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xls" ContentType="application/vnd.ms-exce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675" w:rsidRPr="00D064FF" w:rsidRDefault="002D3675" w:rsidP="00C35D52">
      <w:pPr>
        <w:snapToGrid w:val="0"/>
        <w:spacing w:after="0" w:line="240" w:lineRule="auto"/>
        <w:jc w:val="center"/>
        <w:rPr>
          <w:rFonts w:ascii="Times New Roman" w:eastAsiaTheme="minorEastAsia" w:hAnsi="Times New Roman"/>
          <w:b/>
          <w:color w:val="00000A"/>
          <w:sz w:val="20"/>
          <w:szCs w:val="20"/>
          <w:lang w:eastAsia="zh-CN"/>
        </w:rPr>
      </w:pPr>
      <w:r w:rsidRPr="00D064FF">
        <w:rPr>
          <w:rFonts w:ascii="Times New Roman" w:eastAsia="Times New Roman" w:hAnsi="Times New Roman"/>
          <w:b/>
          <w:color w:val="00000A"/>
          <w:sz w:val="20"/>
          <w:szCs w:val="20"/>
        </w:rPr>
        <w:t>Correlation between Prostate Specific Antigen and Total Bone Scan Findi</w:t>
      </w:r>
      <w:r w:rsidR="00417623" w:rsidRPr="00D064FF">
        <w:rPr>
          <w:rFonts w:ascii="Times New Roman" w:eastAsia="Times New Roman" w:hAnsi="Times New Roman"/>
          <w:b/>
          <w:color w:val="00000A"/>
          <w:sz w:val="20"/>
          <w:szCs w:val="20"/>
        </w:rPr>
        <w:t>ngs of Prostate Cancer Patients</w:t>
      </w:r>
    </w:p>
    <w:p w:rsidR="00C35D52" w:rsidRPr="00D064FF" w:rsidRDefault="00C35D52" w:rsidP="00C35D52">
      <w:pPr>
        <w:snapToGrid w:val="0"/>
        <w:spacing w:after="0" w:line="240" w:lineRule="auto"/>
        <w:jc w:val="center"/>
        <w:rPr>
          <w:rFonts w:ascii="Times New Roman" w:eastAsiaTheme="minorEastAsia" w:hAnsi="Times New Roman"/>
          <w:b/>
          <w:color w:val="00000A"/>
          <w:sz w:val="20"/>
          <w:szCs w:val="20"/>
          <w:lang w:eastAsia="zh-CN"/>
        </w:rPr>
      </w:pPr>
    </w:p>
    <w:p w:rsidR="002D3675" w:rsidRPr="00D064FF" w:rsidRDefault="00B078B1" w:rsidP="00C35D52">
      <w:pPr>
        <w:snapToGrid w:val="0"/>
        <w:spacing w:after="0" w:line="240" w:lineRule="auto"/>
        <w:jc w:val="center"/>
        <w:rPr>
          <w:rFonts w:ascii="Times New Roman" w:eastAsia="Times New Roman" w:hAnsi="Times New Roman"/>
          <w:color w:val="000000"/>
          <w:sz w:val="20"/>
          <w:szCs w:val="20"/>
        </w:rPr>
      </w:pPr>
      <w:r w:rsidRPr="00D064FF">
        <w:rPr>
          <w:rFonts w:ascii="Times New Roman" w:eastAsia="Times New Roman" w:hAnsi="Times New Roman"/>
          <w:color w:val="000000"/>
          <w:sz w:val="20"/>
          <w:szCs w:val="20"/>
        </w:rPr>
        <w:t>*</w:t>
      </w:r>
      <w:proofErr w:type="spellStart"/>
      <w:r w:rsidRPr="00D064FF">
        <w:rPr>
          <w:rFonts w:ascii="Times New Roman" w:eastAsia="Times New Roman" w:hAnsi="Times New Roman"/>
          <w:color w:val="000000"/>
          <w:sz w:val="20"/>
          <w:szCs w:val="20"/>
        </w:rPr>
        <w:t>Elumelu</w:t>
      </w:r>
      <w:proofErr w:type="spellEnd"/>
      <w:r w:rsidRPr="00D064FF">
        <w:rPr>
          <w:rFonts w:ascii="Times New Roman" w:eastAsia="Times New Roman" w:hAnsi="Times New Roman"/>
          <w:color w:val="000000"/>
          <w:sz w:val="20"/>
          <w:szCs w:val="20"/>
        </w:rPr>
        <w:t xml:space="preserve"> T.</w:t>
      </w:r>
      <w:r w:rsidR="002D3675" w:rsidRPr="00D064FF">
        <w:rPr>
          <w:rFonts w:ascii="Times New Roman" w:eastAsia="Times New Roman" w:hAnsi="Times New Roman"/>
          <w:color w:val="000000"/>
          <w:sz w:val="20"/>
          <w:szCs w:val="20"/>
        </w:rPr>
        <w:t xml:space="preserve">N., </w:t>
      </w:r>
      <w:r w:rsidRPr="00D064FF">
        <w:rPr>
          <w:rFonts w:ascii="Times New Roman" w:eastAsia="Times New Roman" w:hAnsi="Times New Roman"/>
          <w:color w:val="000000"/>
          <w:sz w:val="20"/>
          <w:szCs w:val="20"/>
        </w:rPr>
        <w:t>**</w:t>
      </w:r>
      <w:proofErr w:type="spellStart"/>
      <w:r w:rsidR="002D3675" w:rsidRPr="00D064FF">
        <w:rPr>
          <w:rFonts w:ascii="Times New Roman" w:eastAsia="Times New Roman" w:hAnsi="Times New Roman"/>
          <w:color w:val="000000"/>
          <w:sz w:val="20"/>
          <w:szCs w:val="20"/>
        </w:rPr>
        <w:t>Ja</w:t>
      </w:r>
      <w:r w:rsidRPr="00D064FF">
        <w:rPr>
          <w:rFonts w:ascii="Times New Roman" w:eastAsia="Times New Roman" w:hAnsi="Times New Roman"/>
          <w:color w:val="000000"/>
          <w:sz w:val="20"/>
          <w:szCs w:val="20"/>
        </w:rPr>
        <w:t>t</w:t>
      </w:r>
      <w:r w:rsidR="002D3675" w:rsidRPr="00D064FF">
        <w:rPr>
          <w:rFonts w:ascii="Times New Roman" w:eastAsia="Times New Roman" w:hAnsi="Times New Roman"/>
          <w:color w:val="000000"/>
          <w:sz w:val="20"/>
          <w:szCs w:val="20"/>
        </w:rPr>
        <w:t>to</w:t>
      </w:r>
      <w:proofErr w:type="spellEnd"/>
      <w:r w:rsidR="002D3675" w:rsidRPr="00D064FF">
        <w:rPr>
          <w:rFonts w:ascii="Times New Roman" w:eastAsia="Times New Roman" w:hAnsi="Times New Roman"/>
          <w:color w:val="000000"/>
          <w:sz w:val="20"/>
          <w:szCs w:val="20"/>
        </w:rPr>
        <w:t xml:space="preserve"> </w:t>
      </w:r>
      <w:r w:rsidRPr="00D064FF">
        <w:rPr>
          <w:rFonts w:ascii="Times New Roman" w:eastAsia="Times New Roman" w:hAnsi="Times New Roman"/>
          <w:color w:val="000000"/>
          <w:sz w:val="20"/>
          <w:szCs w:val="20"/>
        </w:rPr>
        <w:t>J.B., *</w:t>
      </w:r>
      <w:proofErr w:type="spellStart"/>
      <w:r w:rsidRPr="00D064FF">
        <w:rPr>
          <w:rFonts w:ascii="Times New Roman" w:eastAsia="Times New Roman" w:hAnsi="Times New Roman"/>
          <w:color w:val="000000"/>
          <w:sz w:val="20"/>
          <w:szCs w:val="20"/>
        </w:rPr>
        <w:t>Abdus-salam</w:t>
      </w:r>
      <w:proofErr w:type="spellEnd"/>
      <w:r w:rsidRPr="00D064FF">
        <w:rPr>
          <w:rFonts w:ascii="Times New Roman" w:eastAsia="Times New Roman" w:hAnsi="Times New Roman"/>
          <w:color w:val="000000"/>
          <w:sz w:val="20"/>
          <w:szCs w:val="20"/>
        </w:rPr>
        <w:t xml:space="preserve"> A.A., *</w:t>
      </w:r>
      <w:proofErr w:type="spellStart"/>
      <w:r w:rsidR="002D3675" w:rsidRPr="00D064FF">
        <w:rPr>
          <w:rFonts w:ascii="Times New Roman" w:eastAsia="Times New Roman" w:hAnsi="Times New Roman"/>
          <w:color w:val="000000"/>
          <w:sz w:val="20"/>
          <w:szCs w:val="20"/>
        </w:rPr>
        <w:t>Adenipekun</w:t>
      </w:r>
      <w:proofErr w:type="spellEnd"/>
      <w:r w:rsidR="002D3675" w:rsidRPr="00D064FF">
        <w:rPr>
          <w:rFonts w:ascii="Times New Roman" w:eastAsia="Times New Roman" w:hAnsi="Times New Roman"/>
          <w:color w:val="000000"/>
          <w:sz w:val="20"/>
          <w:szCs w:val="20"/>
        </w:rPr>
        <w:t xml:space="preserve"> A.</w:t>
      </w:r>
      <w:r w:rsidR="00ED7BFF" w:rsidRPr="00D064FF">
        <w:rPr>
          <w:rFonts w:ascii="Times New Roman" w:eastAsia="Times New Roman" w:hAnsi="Times New Roman"/>
          <w:color w:val="000000"/>
          <w:sz w:val="20"/>
          <w:szCs w:val="20"/>
        </w:rPr>
        <w:t>A</w:t>
      </w:r>
    </w:p>
    <w:p w:rsidR="00B078B1" w:rsidRPr="00D064FF" w:rsidRDefault="00B078B1" w:rsidP="00C35D52">
      <w:pPr>
        <w:snapToGrid w:val="0"/>
        <w:spacing w:after="0" w:line="240" w:lineRule="auto"/>
        <w:jc w:val="center"/>
        <w:rPr>
          <w:rFonts w:ascii="Times New Roman" w:hAnsi="Times New Roman"/>
          <w:color w:val="00000A"/>
          <w:sz w:val="20"/>
          <w:szCs w:val="20"/>
        </w:rPr>
      </w:pPr>
    </w:p>
    <w:p w:rsidR="00322084" w:rsidRPr="00D064FF" w:rsidRDefault="00322084" w:rsidP="00C35D52">
      <w:pPr>
        <w:snapToGrid w:val="0"/>
        <w:spacing w:after="0" w:line="240" w:lineRule="auto"/>
        <w:jc w:val="center"/>
        <w:rPr>
          <w:rFonts w:ascii="Times New Roman" w:hAnsi="Times New Roman"/>
          <w:color w:val="00000A"/>
          <w:sz w:val="20"/>
          <w:szCs w:val="20"/>
        </w:rPr>
      </w:pPr>
      <w:r w:rsidRPr="00D064FF">
        <w:rPr>
          <w:rFonts w:ascii="Times New Roman" w:hAnsi="Times New Roman"/>
          <w:color w:val="00000A"/>
          <w:sz w:val="20"/>
          <w:szCs w:val="20"/>
        </w:rPr>
        <w:t xml:space="preserve">*Department of Radiation Oncology, </w:t>
      </w:r>
      <w:r w:rsidR="002D3675" w:rsidRPr="00D064FF">
        <w:rPr>
          <w:rFonts w:ascii="Times New Roman" w:hAnsi="Times New Roman"/>
          <w:color w:val="00000A"/>
          <w:sz w:val="20"/>
          <w:szCs w:val="20"/>
        </w:rPr>
        <w:t>College of Medicine,</w:t>
      </w:r>
      <w:r w:rsidR="00B078B1" w:rsidRPr="00D064FF">
        <w:rPr>
          <w:rFonts w:ascii="Times New Roman" w:hAnsi="Times New Roman"/>
          <w:color w:val="00000A"/>
          <w:sz w:val="20"/>
          <w:szCs w:val="20"/>
        </w:rPr>
        <w:t xml:space="preserve"> University of Ibadan</w:t>
      </w:r>
      <w:r w:rsidR="00ED7BFF" w:rsidRPr="00D064FF">
        <w:rPr>
          <w:rFonts w:ascii="Times New Roman" w:hAnsi="Times New Roman"/>
          <w:color w:val="00000A"/>
          <w:sz w:val="20"/>
          <w:szCs w:val="20"/>
        </w:rPr>
        <w:t>, Ibadan</w:t>
      </w:r>
    </w:p>
    <w:p w:rsidR="00ED2C37" w:rsidRPr="00D064FF" w:rsidRDefault="00322084" w:rsidP="00C35D52">
      <w:pPr>
        <w:snapToGrid w:val="0"/>
        <w:spacing w:after="0" w:line="240" w:lineRule="auto"/>
        <w:jc w:val="center"/>
        <w:rPr>
          <w:rFonts w:ascii="Times New Roman" w:eastAsia="Times New Roman" w:hAnsi="Times New Roman"/>
          <w:color w:val="00000A"/>
          <w:sz w:val="20"/>
          <w:szCs w:val="20"/>
        </w:rPr>
      </w:pPr>
      <w:proofErr w:type="gramStart"/>
      <w:r w:rsidRPr="00D064FF">
        <w:rPr>
          <w:rFonts w:ascii="Times New Roman" w:eastAsia="Times New Roman" w:hAnsi="Times New Roman"/>
          <w:color w:val="00000A"/>
          <w:sz w:val="20"/>
          <w:szCs w:val="20"/>
        </w:rPr>
        <w:t xml:space="preserve">**Department of Radiation Oncology, </w:t>
      </w:r>
      <w:r w:rsidR="002D3675" w:rsidRPr="00D064FF">
        <w:rPr>
          <w:rFonts w:ascii="Times New Roman" w:eastAsia="Times New Roman" w:hAnsi="Times New Roman"/>
          <w:color w:val="00000A"/>
          <w:sz w:val="20"/>
          <w:szCs w:val="20"/>
        </w:rPr>
        <w:t>University College Hospital, Ibadan.</w:t>
      </w:r>
      <w:proofErr w:type="gramEnd"/>
    </w:p>
    <w:p w:rsidR="00ED7BFF" w:rsidRPr="00D064FF" w:rsidRDefault="00355984" w:rsidP="00C35D52">
      <w:pPr>
        <w:snapToGrid w:val="0"/>
        <w:spacing w:after="0" w:line="240" w:lineRule="auto"/>
        <w:jc w:val="center"/>
        <w:rPr>
          <w:rFonts w:ascii="Times New Roman" w:hAnsi="Times New Roman"/>
          <w:color w:val="00000A"/>
          <w:sz w:val="20"/>
          <w:szCs w:val="20"/>
          <w:lang w:eastAsia="zh-CN"/>
        </w:rPr>
      </w:pPr>
      <w:hyperlink r:id="rId8" w:history="1">
        <w:r w:rsidR="00ED7BFF" w:rsidRPr="00D064FF">
          <w:rPr>
            <w:rFonts w:ascii="Times New Roman" w:hAnsi="Times New Roman"/>
            <w:color w:val="0000FF"/>
            <w:sz w:val="20"/>
            <w:szCs w:val="20"/>
            <w:u w:val="single"/>
          </w:rPr>
          <w:t>telumelu@com.ui.edu.ng</w:t>
        </w:r>
      </w:hyperlink>
      <w:r w:rsidR="00ED7BFF" w:rsidRPr="00D064FF">
        <w:rPr>
          <w:rFonts w:ascii="Times New Roman" w:hAnsi="Times New Roman"/>
          <w:bCs/>
          <w:sz w:val="20"/>
          <w:szCs w:val="20"/>
        </w:rPr>
        <w:t xml:space="preserve">, </w:t>
      </w:r>
      <w:hyperlink r:id="rId9" w:history="1">
        <w:r w:rsidR="00D064FF" w:rsidRPr="00D064FF">
          <w:rPr>
            <w:rStyle w:val="Hyperlink"/>
            <w:rFonts w:ascii="Times New Roman" w:hAnsi="Times New Roman"/>
            <w:bCs/>
            <w:sz w:val="20"/>
            <w:szCs w:val="20"/>
          </w:rPr>
          <w:t>tessynek@yahoo.com</w:t>
        </w:r>
      </w:hyperlink>
      <w:r w:rsidR="00D064FF" w:rsidRPr="00D064FF">
        <w:rPr>
          <w:rFonts w:ascii="Times New Roman" w:hAnsi="Times New Roman" w:hint="eastAsia"/>
          <w:bCs/>
          <w:sz w:val="20"/>
          <w:szCs w:val="20"/>
          <w:lang w:eastAsia="zh-CN"/>
        </w:rPr>
        <w:t xml:space="preserve"> </w:t>
      </w:r>
    </w:p>
    <w:p w:rsidR="00ED7BFF" w:rsidRPr="00D064FF" w:rsidRDefault="00ED7BFF" w:rsidP="00C35D52">
      <w:pPr>
        <w:snapToGrid w:val="0"/>
        <w:spacing w:after="0" w:line="240" w:lineRule="auto"/>
        <w:jc w:val="center"/>
        <w:rPr>
          <w:rFonts w:ascii="Times New Roman" w:hAnsi="Times New Roman"/>
          <w:b/>
          <w:sz w:val="20"/>
          <w:szCs w:val="20"/>
        </w:rPr>
      </w:pPr>
    </w:p>
    <w:p w:rsidR="00AA4663" w:rsidRPr="00D064FF" w:rsidRDefault="000652B7" w:rsidP="00C35D52">
      <w:pPr>
        <w:snapToGrid w:val="0"/>
        <w:spacing w:after="0" w:line="240" w:lineRule="auto"/>
        <w:jc w:val="both"/>
        <w:rPr>
          <w:rFonts w:ascii="Times New Roman" w:hAnsi="Times New Roman"/>
          <w:b/>
          <w:sz w:val="20"/>
          <w:szCs w:val="20"/>
          <w:lang w:eastAsia="zh-CN"/>
        </w:rPr>
      </w:pPr>
      <w:r w:rsidRPr="00D064FF">
        <w:rPr>
          <w:rFonts w:ascii="Times New Roman" w:hAnsi="Times New Roman"/>
          <w:b/>
          <w:sz w:val="20"/>
          <w:szCs w:val="20"/>
        </w:rPr>
        <w:t>Abstract</w:t>
      </w:r>
      <w:r w:rsidR="00C35D52" w:rsidRPr="00D064FF">
        <w:rPr>
          <w:rFonts w:ascii="Times New Roman" w:hAnsi="Times New Roman" w:hint="eastAsia"/>
          <w:b/>
          <w:sz w:val="20"/>
          <w:szCs w:val="20"/>
          <w:lang w:eastAsia="zh-CN"/>
        </w:rPr>
        <w:t xml:space="preserve">: </w:t>
      </w:r>
      <w:r w:rsidR="00AA4663" w:rsidRPr="00D064FF">
        <w:rPr>
          <w:rFonts w:ascii="Times New Roman" w:hAnsi="Times New Roman"/>
          <w:b/>
          <w:sz w:val="20"/>
          <w:szCs w:val="20"/>
        </w:rPr>
        <w:t>Introduction:</w:t>
      </w:r>
      <w:r w:rsidR="00AA4663" w:rsidRPr="00D064FF">
        <w:rPr>
          <w:rFonts w:ascii="Times New Roman" w:hAnsi="Times New Roman"/>
          <w:sz w:val="20"/>
          <w:szCs w:val="20"/>
        </w:rPr>
        <w:t xml:space="preserve"> Plasma levels of Prostate Specific Antigen (PSA) and total body bone scan findings play major role in diagnosis, treatment and monitoring of patients</w:t>
      </w:r>
      <w:r w:rsidR="002011B5" w:rsidRPr="00D064FF">
        <w:rPr>
          <w:rFonts w:ascii="Times New Roman" w:hAnsi="Times New Roman"/>
          <w:sz w:val="20"/>
          <w:szCs w:val="20"/>
        </w:rPr>
        <w:t xml:space="preserve"> with cancer of the prostate</w:t>
      </w:r>
      <w:r w:rsidR="00AA4663" w:rsidRPr="00D064FF">
        <w:rPr>
          <w:rFonts w:ascii="Times New Roman" w:hAnsi="Times New Roman"/>
          <w:sz w:val="20"/>
          <w:szCs w:val="20"/>
        </w:rPr>
        <w:t xml:space="preserve">. Although it </w:t>
      </w:r>
      <w:proofErr w:type="gramStart"/>
      <w:r w:rsidR="00AA4663" w:rsidRPr="00D064FF">
        <w:rPr>
          <w:rFonts w:ascii="Times New Roman" w:hAnsi="Times New Roman"/>
          <w:sz w:val="20"/>
          <w:szCs w:val="20"/>
        </w:rPr>
        <w:t>has been suggested</w:t>
      </w:r>
      <w:proofErr w:type="gramEnd"/>
      <w:r w:rsidR="00AA4663" w:rsidRPr="00D064FF">
        <w:rPr>
          <w:rFonts w:ascii="Times New Roman" w:hAnsi="Times New Roman"/>
          <w:sz w:val="20"/>
          <w:szCs w:val="20"/>
        </w:rPr>
        <w:t xml:space="preserve"> that total body bone scan (TBS) may not be necessary in prostate cancer patients with normal prostate spe</w:t>
      </w:r>
      <w:r w:rsidR="00E367EC" w:rsidRPr="00D064FF">
        <w:rPr>
          <w:rFonts w:ascii="Times New Roman" w:hAnsi="Times New Roman"/>
          <w:sz w:val="20"/>
          <w:szCs w:val="20"/>
        </w:rPr>
        <w:t>cific antigen plasma level</w:t>
      </w:r>
      <w:r w:rsidR="00AA4663" w:rsidRPr="00D064FF">
        <w:rPr>
          <w:rFonts w:ascii="Times New Roman" w:hAnsi="Times New Roman"/>
          <w:sz w:val="20"/>
          <w:szCs w:val="20"/>
        </w:rPr>
        <w:t>, controversy still exists.</w:t>
      </w:r>
      <w:r w:rsidR="00D064FF" w:rsidRPr="00D064FF">
        <w:rPr>
          <w:rFonts w:ascii="Times New Roman" w:hAnsi="Times New Roman" w:hint="eastAsia"/>
          <w:sz w:val="20"/>
          <w:szCs w:val="20"/>
          <w:lang w:eastAsia="zh-CN"/>
        </w:rPr>
        <w:t xml:space="preserve"> </w:t>
      </w:r>
      <w:r w:rsidR="00AA4663" w:rsidRPr="00D064FF">
        <w:rPr>
          <w:rFonts w:ascii="Times New Roman" w:hAnsi="Times New Roman"/>
          <w:b/>
          <w:sz w:val="20"/>
          <w:szCs w:val="20"/>
        </w:rPr>
        <w:t xml:space="preserve">Aim: </w:t>
      </w:r>
      <w:r w:rsidR="00AA4663" w:rsidRPr="00D064FF">
        <w:rPr>
          <w:rFonts w:ascii="Times New Roman" w:hAnsi="Times New Roman"/>
          <w:sz w:val="20"/>
          <w:szCs w:val="20"/>
        </w:rPr>
        <w:t xml:space="preserve">The study evaluates relationship between prostate specific antigen levels and Total Body Bone Scan findings in our prostate cancer patients </w:t>
      </w:r>
      <w:proofErr w:type="gramStart"/>
      <w:r w:rsidR="00AA4663" w:rsidRPr="00D064FF">
        <w:rPr>
          <w:rFonts w:ascii="Times New Roman" w:hAnsi="Times New Roman"/>
          <w:sz w:val="20"/>
          <w:szCs w:val="20"/>
        </w:rPr>
        <w:t>and also</w:t>
      </w:r>
      <w:proofErr w:type="gramEnd"/>
      <w:r w:rsidR="00AA4663" w:rsidRPr="00D064FF">
        <w:rPr>
          <w:rFonts w:ascii="Times New Roman" w:hAnsi="Times New Roman"/>
          <w:sz w:val="20"/>
          <w:szCs w:val="20"/>
        </w:rPr>
        <w:t xml:space="preserve"> to determine the PSA cut-off at which TBS is indicated.</w:t>
      </w:r>
      <w:r w:rsidR="00D064FF" w:rsidRPr="00D064FF">
        <w:rPr>
          <w:rFonts w:ascii="Times New Roman" w:hAnsi="Times New Roman" w:hint="eastAsia"/>
          <w:sz w:val="20"/>
          <w:szCs w:val="20"/>
          <w:lang w:eastAsia="zh-CN"/>
        </w:rPr>
        <w:t xml:space="preserve"> </w:t>
      </w:r>
      <w:r w:rsidR="00AA4663" w:rsidRPr="00D064FF">
        <w:rPr>
          <w:rFonts w:ascii="Times New Roman" w:eastAsia="Times New Roman" w:hAnsi="Times New Roman"/>
          <w:b/>
          <w:sz w:val="20"/>
          <w:szCs w:val="20"/>
        </w:rPr>
        <w:t xml:space="preserve">Methodology: </w:t>
      </w:r>
      <w:r w:rsidR="00AA4663" w:rsidRPr="00D064FF">
        <w:rPr>
          <w:rFonts w:ascii="Times New Roman" w:eastAsia="Times New Roman" w:hAnsi="Times New Roman"/>
          <w:sz w:val="20"/>
          <w:szCs w:val="20"/>
        </w:rPr>
        <w:t>This a retrospective review of</w:t>
      </w:r>
      <w:r w:rsidR="002011B5" w:rsidRPr="00D064FF">
        <w:rPr>
          <w:rFonts w:ascii="Times New Roman" w:eastAsia="Times New Roman" w:hAnsi="Times New Roman"/>
          <w:sz w:val="20"/>
          <w:szCs w:val="20"/>
        </w:rPr>
        <w:t xml:space="preserve"> the bone scan reports</w:t>
      </w:r>
      <w:r w:rsidR="00AA4663" w:rsidRPr="00D064FF">
        <w:rPr>
          <w:rFonts w:ascii="Times New Roman" w:eastAsia="Times New Roman" w:hAnsi="Times New Roman"/>
          <w:sz w:val="20"/>
          <w:szCs w:val="20"/>
        </w:rPr>
        <w:t xml:space="preserve"> and the PSA levels of 101 prostate cancer patients at presentation</w:t>
      </w:r>
      <w:r w:rsidR="00783CF0" w:rsidRPr="00D064FF">
        <w:rPr>
          <w:rFonts w:ascii="Times New Roman" w:eastAsia="Times New Roman" w:hAnsi="Times New Roman"/>
          <w:sz w:val="20"/>
          <w:szCs w:val="20"/>
        </w:rPr>
        <w:t xml:space="preserve"> in Radiotherapy Department of the University College Hospital, Ibadan, Nigeria</w:t>
      </w:r>
      <w:r w:rsidR="00AA4663" w:rsidRPr="00D064FF">
        <w:rPr>
          <w:rFonts w:ascii="Times New Roman" w:eastAsia="Times New Roman" w:hAnsi="Times New Roman"/>
          <w:sz w:val="20"/>
          <w:szCs w:val="20"/>
        </w:rPr>
        <w:t>.</w:t>
      </w:r>
      <w:r w:rsidR="00D064FF" w:rsidRPr="00D064FF">
        <w:rPr>
          <w:rFonts w:ascii="Times New Roman" w:eastAsiaTheme="minorEastAsia" w:hAnsi="Times New Roman" w:hint="eastAsia"/>
          <w:sz w:val="20"/>
          <w:szCs w:val="20"/>
          <w:lang w:eastAsia="zh-CN"/>
        </w:rPr>
        <w:t xml:space="preserve"> </w:t>
      </w:r>
      <w:proofErr w:type="gramStart"/>
      <w:r w:rsidR="00AA4663" w:rsidRPr="00D064FF">
        <w:rPr>
          <w:rFonts w:ascii="Times New Roman" w:eastAsia="Times New Roman" w:hAnsi="Times New Roman"/>
          <w:b/>
          <w:sz w:val="20"/>
          <w:szCs w:val="20"/>
        </w:rPr>
        <w:t>Results:</w:t>
      </w:r>
      <w:r w:rsidR="00AA4663" w:rsidRPr="00D064FF">
        <w:rPr>
          <w:rFonts w:ascii="Times New Roman" w:eastAsia="Times New Roman" w:hAnsi="Times New Roman"/>
          <w:color w:val="000000"/>
          <w:sz w:val="20"/>
          <w:szCs w:val="20"/>
        </w:rPr>
        <w:t xml:space="preserve"> Patients’ PSA level ranges from 1.12ng/ml – 837ng/ml.</w:t>
      </w:r>
      <w:proofErr w:type="gramEnd"/>
      <w:r w:rsidR="00AA4663" w:rsidRPr="00D064FF">
        <w:rPr>
          <w:rFonts w:ascii="Times New Roman" w:eastAsia="Times New Roman" w:hAnsi="Times New Roman"/>
          <w:color w:val="000000"/>
          <w:sz w:val="20"/>
          <w:szCs w:val="20"/>
        </w:rPr>
        <w:t xml:space="preserve"> As the PSA increases, the rate of patie</w:t>
      </w:r>
      <w:r w:rsidR="002011B5" w:rsidRPr="00D064FF">
        <w:rPr>
          <w:rFonts w:ascii="Times New Roman" w:eastAsia="Times New Roman" w:hAnsi="Times New Roman"/>
          <w:color w:val="000000"/>
          <w:sz w:val="20"/>
          <w:szCs w:val="20"/>
        </w:rPr>
        <w:t>nts with positive TBS also increases at</w:t>
      </w:r>
      <w:r w:rsidR="00AA4663" w:rsidRPr="00D064FF">
        <w:rPr>
          <w:rFonts w:ascii="Times New Roman" w:eastAsia="Times New Roman" w:hAnsi="Times New Roman"/>
          <w:color w:val="000000"/>
          <w:sz w:val="20"/>
          <w:szCs w:val="20"/>
        </w:rPr>
        <w:t xml:space="preserve"> 3.3%, 6.6%, 8.8%, 15.4%, 41.8%, and 2</w:t>
      </w:r>
      <w:r w:rsidR="002011B5" w:rsidRPr="00D064FF">
        <w:rPr>
          <w:rFonts w:ascii="Times New Roman" w:eastAsia="Times New Roman" w:hAnsi="Times New Roman"/>
          <w:color w:val="000000"/>
          <w:sz w:val="20"/>
          <w:szCs w:val="20"/>
        </w:rPr>
        <w:t xml:space="preserve">4.2% in patients with a PSA 0-4, 4.1-10, 10.1-20, 20.1-40, 40.1-100, and above </w:t>
      </w:r>
      <w:r w:rsidR="00AA4663" w:rsidRPr="00D064FF">
        <w:rPr>
          <w:rFonts w:ascii="Times New Roman" w:eastAsia="Times New Roman" w:hAnsi="Times New Roman"/>
          <w:color w:val="000000"/>
          <w:sz w:val="20"/>
          <w:szCs w:val="20"/>
        </w:rPr>
        <w:t>100ng/ml, respectively (p&lt;0.002).</w:t>
      </w:r>
      <w:r w:rsidR="00783CF0" w:rsidRPr="00D064FF">
        <w:rPr>
          <w:rFonts w:ascii="Times New Roman" w:eastAsia="Times New Roman" w:hAnsi="Times New Roman"/>
          <w:color w:val="000000"/>
          <w:sz w:val="20"/>
          <w:szCs w:val="20"/>
        </w:rPr>
        <w:t xml:space="preserve"> In p</w:t>
      </w:r>
      <w:r w:rsidR="00AA4663" w:rsidRPr="00D064FF">
        <w:rPr>
          <w:rFonts w:ascii="Times New Roman" w:eastAsia="Times New Roman" w:hAnsi="Times New Roman"/>
          <w:color w:val="000000"/>
          <w:sz w:val="20"/>
          <w:szCs w:val="20"/>
        </w:rPr>
        <w:t xml:space="preserve">atients with PSA </w:t>
      </w:r>
      <w:r w:rsidR="00783CF0" w:rsidRPr="00D064FF">
        <w:rPr>
          <w:rFonts w:ascii="Times New Roman" w:eastAsia="Times New Roman" w:hAnsi="Times New Roman"/>
          <w:color w:val="000000"/>
          <w:sz w:val="20"/>
          <w:szCs w:val="20"/>
        </w:rPr>
        <w:t xml:space="preserve">levels </w:t>
      </w:r>
      <w:r w:rsidR="00AA4663" w:rsidRPr="00D064FF">
        <w:rPr>
          <w:rFonts w:ascii="Times New Roman" w:eastAsia="Times New Roman" w:hAnsi="Times New Roman"/>
          <w:color w:val="000000"/>
          <w:sz w:val="20"/>
          <w:szCs w:val="20"/>
        </w:rPr>
        <w:t>of ≤ 10ng/ml,</w:t>
      </w:r>
      <w:r w:rsidR="00E367EC" w:rsidRPr="00D064FF">
        <w:rPr>
          <w:rFonts w:ascii="Times New Roman" w:eastAsia="Times New Roman" w:hAnsi="Times New Roman"/>
          <w:color w:val="000000"/>
          <w:sz w:val="20"/>
          <w:szCs w:val="20"/>
        </w:rPr>
        <w:t xml:space="preserve"> 2 (18%) and </w:t>
      </w:r>
      <w:proofErr w:type="gramStart"/>
      <w:r w:rsidR="00E367EC" w:rsidRPr="00D064FF">
        <w:rPr>
          <w:rFonts w:ascii="Times New Roman" w:eastAsia="Times New Roman" w:hAnsi="Times New Roman"/>
          <w:color w:val="000000"/>
          <w:sz w:val="20"/>
          <w:szCs w:val="20"/>
        </w:rPr>
        <w:t>9</w:t>
      </w:r>
      <w:proofErr w:type="gramEnd"/>
      <w:r w:rsidR="00E367EC" w:rsidRPr="00D064FF">
        <w:rPr>
          <w:rFonts w:ascii="Times New Roman" w:eastAsia="Times New Roman" w:hAnsi="Times New Roman"/>
          <w:color w:val="000000"/>
          <w:sz w:val="20"/>
          <w:szCs w:val="20"/>
        </w:rPr>
        <w:t xml:space="preserve"> </w:t>
      </w:r>
      <w:r w:rsidR="00AA4663" w:rsidRPr="00D064FF">
        <w:rPr>
          <w:rFonts w:ascii="Times New Roman" w:eastAsia="Times New Roman" w:hAnsi="Times New Roman"/>
          <w:color w:val="000000"/>
          <w:sz w:val="20"/>
          <w:szCs w:val="20"/>
        </w:rPr>
        <w:t>(82%) of them had negative and positive TBS respectively.</w:t>
      </w:r>
      <w:r w:rsidR="00D064FF" w:rsidRPr="00D064FF">
        <w:rPr>
          <w:rFonts w:ascii="Times New Roman" w:eastAsiaTheme="minorEastAsia" w:hAnsi="Times New Roman" w:hint="eastAsia"/>
          <w:color w:val="000000"/>
          <w:sz w:val="20"/>
          <w:szCs w:val="20"/>
          <w:lang w:eastAsia="zh-CN"/>
        </w:rPr>
        <w:t xml:space="preserve"> </w:t>
      </w:r>
      <w:r w:rsidR="00AA4663" w:rsidRPr="00D064FF">
        <w:rPr>
          <w:rFonts w:ascii="Times New Roman" w:hAnsi="Times New Roman"/>
          <w:b/>
          <w:sz w:val="20"/>
          <w:szCs w:val="20"/>
        </w:rPr>
        <w:t>Conclusion:</w:t>
      </w:r>
      <w:r w:rsidR="00D064FF">
        <w:rPr>
          <w:rFonts w:ascii="Times New Roman" w:hAnsi="Times New Roman"/>
          <w:b/>
          <w:sz w:val="20"/>
          <w:szCs w:val="20"/>
        </w:rPr>
        <w:t xml:space="preserve"> </w:t>
      </w:r>
      <w:r w:rsidR="00AA4663" w:rsidRPr="00D064FF">
        <w:rPr>
          <w:rFonts w:ascii="Times New Roman" w:hAnsi="Times New Roman"/>
          <w:sz w:val="20"/>
          <w:szCs w:val="20"/>
        </w:rPr>
        <w:t>There is a significant positive correlation between PSA levels and TBS findings in our study but failed to provide PSA cut-off</w:t>
      </w:r>
      <w:r w:rsidR="00783CF0" w:rsidRPr="00D064FF">
        <w:rPr>
          <w:rFonts w:ascii="Times New Roman" w:hAnsi="Times New Roman"/>
          <w:sz w:val="20"/>
          <w:szCs w:val="20"/>
        </w:rPr>
        <w:t xml:space="preserve"> at which a TBS is required</w:t>
      </w:r>
      <w:r w:rsidR="00E367EC" w:rsidRPr="00D064FF">
        <w:rPr>
          <w:rFonts w:ascii="Times New Roman" w:hAnsi="Times New Roman"/>
          <w:sz w:val="20"/>
          <w:szCs w:val="20"/>
        </w:rPr>
        <w:t xml:space="preserve">. It </w:t>
      </w:r>
      <w:proofErr w:type="gramStart"/>
      <w:r w:rsidR="00E367EC" w:rsidRPr="00D064FF">
        <w:rPr>
          <w:rFonts w:ascii="Times New Roman" w:hAnsi="Times New Roman"/>
          <w:sz w:val="20"/>
          <w:szCs w:val="20"/>
        </w:rPr>
        <w:t xml:space="preserve">is </w:t>
      </w:r>
      <w:r w:rsidR="00AA4663" w:rsidRPr="00D064FF">
        <w:rPr>
          <w:rFonts w:ascii="Times New Roman" w:hAnsi="Times New Roman"/>
          <w:sz w:val="20"/>
          <w:szCs w:val="20"/>
        </w:rPr>
        <w:t>advised</w:t>
      </w:r>
      <w:proofErr w:type="gramEnd"/>
      <w:r w:rsidR="002011B5" w:rsidRPr="00D064FF">
        <w:rPr>
          <w:rFonts w:ascii="Times New Roman" w:hAnsi="Times New Roman"/>
          <w:sz w:val="20"/>
          <w:szCs w:val="20"/>
        </w:rPr>
        <w:t xml:space="preserve"> that</w:t>
      </w:r>
      <w:r w:rsidR="00AA4663" w:rsidRPr="00D064FF">
        <w:rPr>
          <w:rFonts w:ascii="Times New Roman" w:hAnsi="Times New Roman"/>
          <w:sz w:val="20"/>
          <w:szCs w:val="20"/>
        </w:rPr>
        <w:t xml:space="preserve"> TBS be performed in all diagnosed prostate cancer</w:t>
      </w:r>
      <w:r w:rsidR="002011B5" w:rsidRPr="00D064FF">
        <w:rPr>
          <w:rFonts w:ascii="Times New Roman" w:hAnsi="Times New Roman"/>
          <w:sz w:val="20"/>
          <w:szCs w:val="20"/>
        </w:rPr>
        <w:t xml:space="preserve"> </w:t>
      </w:r>
      <w:r w:rsidR="00AA4663" w:rsidRPr="00D064FF">
        <w:rPr>
          <w:rFonts w:ascii="Times New Roman" w:hAnsi="Times New Roman"/>
          <w:sz w:val="20"/>
          <w:szCs w:val="20"/>
        </w:rPr>
        <w:t xml:space="preserve">regardless of the PSA levels, </w:t>
      </w:r>
      <w:r w:rsidR="009F5BBC" w:rsidRPr="00D064FF">
        <w:rPr>
          <w:rFonts w:ascii="Times New Roman" w:hAnsi="Times New Roman"/>
          <w:sz w:val="20"/>
          <w:szCs w:val="20"/>
        </w:rPr>
        <w:t>with or without bony symptoms.</w:t>
      </w:r>
    </w:p>
    <w:p w:rsidR="00FF7518" w:rsidRPr="00D064FF" w:rsidRDefault="00FF7518" w:rsidP="00C35D52">
      <w:pPr>
        <w:snapToGrid w:val="0"/>
        <w:spacing w:after="0" w:line="240" w:lineRule="auto"/>
        <w:jc w:val="both"/>
        <w:rPr>
          <w:rFonts w:ascii="Times New Roman" w:hAnsi="Times New Roman"/>
          <w:sz w:val="20"/>
          <w:szCs w:val="20"/>
        </w:rPr>
      </w:pPr>
      <w:r w:rsidRPr="00D064FF">
        <w:rPr>
          <w:rFonts w:ascii="Times New Roman" w:hAnsi="Times New Roman"/>
          <w:bCs/>
          <w:sz w:val="20"/>
          <w:szCs w:val="20"/>
        </w:rPr>
        <w:t>[</w:t>
      </w:r>
      <w:proofErr w:type="spellStart"/>
      <w:r w:rsidR="00C35D52" w:rsidRPr="00D064FF">
        <w:rPr>
          <w:rFonts w:ascii="Times New Roman" w:eastAsia="Times New Roman" w:hAnsi="Times New Roman"/>
          <w:color w:val="000000"/>
          <w:sz w:val="20"/>
          <w:szCs w:val="20"/>
        </w:rPr>
        <w:t>Elumelu</w:t>
      </w:r>
      <w:proofErr w:type="spellEnd"/>
      <w:r w:rsidR="00C35D52" w:rsidRPr="00D064FF">
        <w:rPr>
          <w:rFonts w:ascii="Times New Roman" w:eastAsia="Times New Roman" w:hAnsi="Times New Roman"/>
          <w:color w:val="000000"/>
          <w:sz w:val="20"/>
          <w:szCs w:val="20"/>
        </w:rPr>
        <w:t xml:space="preserve"> T.N., </w:t>
      </w:r>
      <w:proofErr w:type="spellStart"/>
      <w:r w:rsidR="00C35D52" w:rsidRPr="00D064FF">
        <w:rPr>
          <w:rFonts w:ascii="Times New Roman" w:eastAsia="Times New Roman" w:hAnsi="Times New Roman"/>
          <w:color w:val="000000"/>
          <w:sz w:val="20"/>
          <w:szCs w:val="20"/>
        </w:rPr>
        <w:t>Jatto</w:t>
      </w:r>
      <w:proofErr w:type="spellEnd"/>
      <w:r w:rsidR="00C35D52" w:rsidRPr="00D064FF">
        <w:rPr>
          <w:rFonts w:ascii="Times New Roman" w:eastAsia="Times New Roman" w:hAnsi="Times New Roman"/>
          <w:color w:val="000000"/>
          <w:sz w:val="20"/>
          <w:szCs w:val="20"/>
        </w:rPr>
        <w:t xml:space="preserve"> J.B., </w:t>
      </w:r>
      <w:proofErr w:type="spellStart"/>
      <w:r w:rsidR="00C35D52" w:rsidRPr="00D064FF">
        <w:rPr>
          <w:rFonts w:ascii="Times New Roman" w:eastAsia="Times New Roman" w:hAnsi="Times New Roman"/>
          <w:color w:val="000000"/>
          <w:sz w:val="20"/>
          <w:szCs w:val="20"/>
        </w:rPr>
        <w:t>Abdus-salam</w:t>
      </w:r>
      <w:proofErr w:type="spellEnd"/>
      <w:r w:rsidR="00C35D52" w:rsidRPr="00D064FF">
        <w:rPr>
          <w:rFonts w:ascii="Times New Roman" w:eastAsia="Times New Roman" w:hAnsi="Times New Roman"/>
          <w:color w:val="000000"/>
          <w:sz w:val="20"/>
          <w:szCs w:val="20"/>
        </w:rPr>
        <w:t xml:space="preserve"> A.A., </w:t>
      </w:r>
      <w:proofErr w:type="spellStart"/>
      <w:r w:rsidR="00C35D52" w:rsidRPr="00D064FF">
        <w:rPr>
          <w:rFonts w:ascii="Times New Roman" w:eastAsia="Times New Roman" w:hAnsi="Times New Roman"/>
          <w:color w:val="000000"/>
          <w:sz w:val="20"/>
          <w:szCs w:val="20"/>
        </w:rPr>
        <w:t>Adenipekun</w:t>
      </w:r>
      <w:proofErr w:type="spellEnd"/>
      <w:r w:rsidR="00C35D52" w:rsidRPr="00D064FF">
        <w:rPr>
          <w:rFonts w:ascii="Times New Roman" w:eastAsia="Times New Roman" w:hAnsi="Times New Roman"/>
          <w:color w:val="000000"/>
          <w:sz w:val="20"/>
          <w:szCs w:val="20"/>
        </w:rPr>
        <w:t xml:space="preserve"> A.A</w:t>
      </w:r>
      <w:r w:rsidRPr="00D064FF">
        <w:rPr>
          <w:rFonts w:ascii="Times New Roman" w:hAnsi="Times New Roman"/>
          <w:sz w:val="20"/>
          <w:szCs w:val="20"/>
        </w:rPr>
        <w:t>.</w:t>
      </w:r>
      <w:r w:rsidRPr="00D064FF">
        <w:rPr>
          <w:rFonts w:ascii="Times New Roman" w:eastAsiaTheme="minorEastAsia" w:hAnsi="Times New Roman" w:hint="eastAsia"/>
          <w:b/>
          <w:bCs/>
          <w:sz w:val="20"/>
          <w:szCs w:val="20"/>
          <w:lang w:bidi="fa-IR"/>
        </w:rPr>
        <w:t xml:space="preserve"> </w:t>
      </w:r>
      <w:r w:rsidR="00C35D52" w:rsidRPr="00D064FF">
        <w:rPr>
          <w:rFonts w:ascii="Times New Roman" w:eastAsia="Times New Roman" w:hAnsi="Times New Roman"/>
          <w:b/>
          <w:color w:val="00000A"/>
          <w:sz w:val="20"/>
          <w:szCs w:val="20"/>
        </w:rPr>
        <w:t>Correlation between Prostate Specific Antigen and Total Bone Scan Findings of Prostate Cancer Patients</w:t>
      </w:r>
      <w:r w:rsidRPr="00D064FF">
        <w:rPr>
          <w:rFonts w:ascii="Times New Roman" w:eastAsia="Times New Roman" w:hAnsi="Times New Roman"/>
          <w:b/>
          <w:bCs/>
          <w:sz w:val="20"/>
          <w:szCs w:val="20"/>
          <w:lang w:bidi="fa-IR"/>
        </w:rPr>
        <w:t>.</w:t>
      </w:r>
      <w:r w:rsidRPr="00D064FF">
        <w:rPr>
          <w:rFonts w:ascii="Times New Roman" w:hAnsi="Times New Roman"/>
          <w:bCs/>
          <w:i/>
          <w:sz w:val="20"/>
          <w:szCs w:val="20"/>
        </w:rPr>
        <w:t xml:space="preserve"> N Y </w:t>
      </w:r>
      <w:proofErr w:type="spellStart"/>
      <w:r w:rsidRPr="00D064FF">
        <w:rPr>
          <w:rFonts w:ascii="Times New Roman" w:hAnsi="Times New Roman"/>
          <w:bCs/>
          <w:i/>
          <w:sz w:val="20"/>
          <w:szCs w:val="20"/>
        </w:rPr>
        <w:t>Sci</w:t>
      </w:r>
      <w:proofErr w:type="spellEnd"/>
      <w:r w:rsidRPr="00D064FF">
        <w:rPr>
          <w:rFonts w:ascii="Times New Roman" w:hAnsi="Times New Roman"/>
          <w:bCs/>
          <w:i/>
          <w:sz w:val="20"/>
          <w:szCs w:val="20"/>
        </w:rPr>
        <w:t xml:space="preserve"> J</w:t>
      </w:r>
      <w:r w:rsidRPr="00D064FF">
        <w:rPr>
          <w:rFonts w:ascii="Times New Roman" w:hAnsi="Times New Roman"/>
          <w:bCs/>
          <w:sz w:val="20"/>
          <w:szCs w:val="20"/>
        </w:rPr>
        <w:t xml:space="preserve"> </w:t>
      </w:r>
      <w:r w:rsidRPr="00D064FF">
        <w:rPr>
          <w:rFonts w:ascii="Times New Roman" w:hAnsi="Times New Roman"/>
          <w:sz w:val="20"/>
          <w:szCs w:val="20"/>
        </w:rPr>
        <w:t>201</w:t>
      </w:r>
      <w:r w:rsidRPr="00D064FF">
        <w:rPr>
          <w:rFonts w:ascii="Times New Roman" w:hAnsi="Times New Roman" w:hint="eastAsia"/>
          <w:sz w:val="20"/>
          <w:szCs w:val="20"/>
        </w:rPr>
        <w:t>6</w:t>
      </w:r>
      <w:r w:rsidRPr="00D064FF">
        <w:rPr>
          <w:rFonts w:ascii="Times New Roman" w:hAnsi="Times New Roman"/>
          <w:sz w:val="20"/>
          <w:szCs w:val="20"/>
        </w:rPr>
        <w:t>;</w:t>
      </w:r>
      <w:r w:rsidRPr="00D064FF">
        <w:rPr>
          <w:rFonts w:ascii="Times New Roman" w:hAnsi="Times New Roman" w:hint="eastAsia"/>
          <w:sz w:val="20"/>
          <w:szCs w:val="20"/>
        </w:rPr>
        <w:t>9</w:t>
      </w:r>
      <w:r w:rsidRPr="00D064FF">
        <w:rPr>
          <w:rFonts w:ascii="Times New Roman" w:hAnsi="Times New Roman"/>
          <w:sz w:val="20"/>
          <w:szCs w:val="20"/>
        </w:rPr>
        <w:t>(</w:t>
      </w:r>
      <w:r w:rsidRPr="00D064FF">
        <w:rPr>
          <w:rFonts w:ascii="Times New Roman" w:hAnsi="Times New Roman" w:hint="eastAsia"/>
          <w:sz w:val="20"/>
          <w:szCs w:val="20"/>
        </w:rPr>
        <w:t>3</w:t>
      </w:r>
      <w:r w:rsidRPr="00D064FF">
        <w:rPr>
          <w:rFonts w:ascii="Times New Roman" w:hAnsi="Times New Roman"/>
          <w:sz w:val="20"/>
          <w:szCs w:val="20"/>
        </w:rPr>
        <w:t>):</w:t>
      </w:r>
      <w:r w:rsidR="00C9567C" w:rsidRPr="00D064FF">
        <w:rPr>
          <w:rFonts w:ascii="Times New Roman" w:hAnsi="Times New Roman"/>
          <w:noProof/>
          <w:color w:val="000000"/>
          <w:sz w:val="20"/>
          <w:szCs w:val="20"/>
        </w:rPr>
        <w:t>46</w:t>
      </w:r>
      <w:r w:rsidRPr="00D064FF">
        <w:rPr>
          <w:rFonts w:ascii="Times New Roman" w:hAnsi="Times New Roman"/>
          <w:color w:val="000000"/>
          <w:sz w:val="20"/>
          <w:szCs w:val="20"/>
        </w:rPr>
        <w:t>-</w:t>
      </w:r>
      <w:r w:rsidR="00C9567C" w:rsidRPr="00D064FF">
        <w:rPr>
          <w:rFonts w:ascii="Times New Roman" w:hAnsi="Times New Roman"/>
          <w:noProof/>
          <w:color w:val="000000"/>
          <w:sz w:val="20"/>
          <w:szCs w:val="20"/>
        </w:rPr>
        <w:t>5</w:t>
      </w:r>
      <w:r w:rsidR="00601F53">
        <w:rPr>
          <w:rFonts w:ascii="Times New Roman" w:hAnsi="Times New Roman" w:hint="eastAsia"/>
          <w:noProof/>
          <w:color w:val="000000"/>
          <w:sz w:val="20"/>
          <w:szCs w:val="20"/>
          <w:lang w:eastAsia="zh-CN"/>
        </w:rPr>
        <w:t>2</w:t>
      </w:r>
      <w:r w:rsidRPr="00D064FF">
        <w:rPr>
          <w:rFonts w:ascii="Times New Roman" w:hAnsi="Times New Roman"/>
          <w:sz w:val="20"/>
          <w:szCs w:val="20"/>
        </w:rPr>
        <w:t xml:space="preserve">]. </w:t>
      </w:r>
      <w:proofErr w:type="gramStart"/>
      <w:r w:rsidRPr="00D064FF">
        <w:rPr>
          <w:rFonts w:ascii="Times New Roman" w:hAnsi="Times New Roman"/>
          <w:iCs/>
          <w:color w:val="000000"/>
          <w:sz w:val="20"/>
          <w:szCs w:val="20"/>
        </w:rPr>
        <w:t>ISSN 1554-0200 (print); ISSN 2375-723X (online)</w:t>
      </w:r>
      <w:r w:rsidRPr="00D064FF">
        <w:rPr>
          <w:rFonts w:ascii="Times New Roman" w:hAnsi="Times New Roman"/>
          <w:sz w:val="20"/>
          <w:szCs w:val="20"/>
        </w:rPr>
        <w:t>.</w:t>
      </w:r>
      <w:proofErr w:type="gramEnd"/>
      <w:r w:rsidRPr="00D064FF">
        <w:rPr>
          <w:rFonts w:ascii="Times New Roman" w:hAnsi="Times New Roman"/>
          <w:sz w:val="20"/>
          <w:szCs w:val="20"/>
        </w:rPr>
        <w:t xml:space="preserve"> </w:t>
      </w:r>
      <w:hyperlink r:id="rId10" w:history="1">
        <w:r w:rsidRPr="00D064FF">
          <w:rPr>
            <w:rStyle w:val="Hyperlink"/>
            <w:rFonts w:ascii="Times New Roman" w:hAnsi="Times New Roman"/>
            <w:color w:val="0000FF"/>
            <w:sz w:val="20"/>
            <w:szCs w:val="20"/>
          </w:rPr>
          <w:t>http://www.sciencepub.net/newyork</w:t>
        </w:r>
      </w:hyperlink>
      <w:r w:rsidRPr="00D064FF">
        <w:rPr>
          <w:rFonts w:ascii="Times New Roman" w:hAnsi="Times New Roman"/>
          <w:sz w:val="20"/>
          <w:szCs w:val="20"/>
        </w:rPr>
        <w:t xml:space="preserve">. </w:t>
      </w:r>
      <w:r w:rsidR="00C35D52" w:rsidRPr="00D064FF">
        <w:rPr>
          <w:rFonts w:ascii="Times New Roman" w:hAnsi="Times New Roman" w:hint="eastAsia"/>
          <w:sz w:val="20"/>
          <w:szCs w:val="20"/>
          <w:lang w:eastAsia="zh-CN"/>
        </w:rPr>
        <w:t>9</w:t>
      </w:r>
      <w:r w:rsidRPr="00D064FF">
        <w:rPr>
          <w:rFonts w:ascii="Times New Roman" w:hAnsi="Times New Roman" w:hint="eastAsia"/>
          <w:sz w:val="20"/>
          <w:szCs w:val="20"/>
        </w:rPr>
        <w:t xml:space="preserve">. </w:t>
      </w:r>
      <w:proofErr w:type="gramStart"/>
      <w:r w:rsidRPr="00D064FF">
        <w:rPr>
          <w:rFonts w:ascii="Times New Roman" w:hAnsi="Times New Roman"/>
          <w:color w:val="000000"/>
          <w:sz w:val="20"/>
          <w:szCs w:val="20"/>
          <w:shd w:val="clear" w:color="auto" w:fill="FFFFFF"/>
        </w:rPr>
        <w:t>doi</w:t>
      </w:r>
      <w:proofErr w:type="gramEnd"/>
      <w:r w:rsidRPr="00D064FF">
        <w:rPr>
          <w:rFonts w:ascii="Times New Roman" w:hAnsi="Times New Roman"/>
          <w:color w:val="000000"/>
          <w:sz w:val="20"/>
          <w:szCs w:val="20"/>
          <w:shd w:val="clear" w:color="auto" w:fill="FFFFFF"/>
        </w:rPr>
        <w:t>:</w:t>
      </w:r>
      <w:hyperlink r:id="rId11" w:history="1">
        <w:r w:rsidRPr="00D064FF">
          <w:rPr>
            <w:rStyle w:val="Hyperlink"/>
            <w:rFonts w:ascii="Times New Roman" w:hAnsi="Times New Roman"/>
            <w:color w:val="0000FF"/>
            <w:sz w:val="20"/>
            <w:szCs w:val="20"/>
            <w:shd w:val="clear" w:color="auto" w:fill="FFFFFF"/>
          </w:rPr>
          <w:t>10.7537/mars</w:t>
        </w:r>
        <w:r w:rsidRPr="00D064FF">
          <w:rPr>
            <w:rStyle w:val="Hyperlink"/>
            <w:rFonts w:ascii="Times New Roman" w:hAnsi="Times New Roman" w:hint="eastAsia"/>
            <w:color w:val="0000FF"/>
            <w:sz w:val="20"/>
            <w:szCs w:val="20"/>
            <w:shd w:val="clear" w:color="auto" w:fill="FFFFFF"/>
          </w:rPr>
          <w:t>nys0903</w:t>
        </w:r>
        <w:r w:rsidRPr="00D064FF">
          <w:rPr>
            <w:rStyle w:val="Hyperlink"/>
            <w:rFonts w:ascii="Times New Roman" w:hAnsi="Times New Roman"/>
            <w:color w:val="0000FF"/>
            <w:sz w:val="20"/>
            <w:szCs w:val="20"/>
            <w:shd w:val="clear" w:color="auto" w:fill="FFFFFF"/>
          </w:rPr>
          <w:t>1</w:t>
        </w:r>
        <w:r w:rsidRPr="00D064FF">
          <w:rPr>
            <w:rStyle w:val="Hyperlink"/>
            <w:rFonts w:ascii="Times New Roman" w:hAnsi="Times New Roman" w:hint="eastAsia"/>
            <w:color w:val="0000FF"/>
            <w:sz w:val="20"/>
            <w:szCs w:val="20"/>
            <w:shd w:val="clear" w:color="auto" w:fill="FFFFFF"/>
          </w:rPr>
          <w:t>6</w:t>
        </w:r>
        <w:r w:rsidRPr="00D064FF">
          <w:rPr>
            <w:rStyle w:val="Hyperlink"/>
            <w:rFonts w:ascii="Times New Roman" w:hAnsi="Times New Roman"/>
            <w:color w:val="0000FF"/>
            <w:sz w:val="20"/>
            <w:szCs w:val="20"/>
            <w:shd w:val="clear" w:color="auto" w:fill="FFFFFF"/>
          </w:rPr>
          <w:t>0</w:t>
        </w:r>
        <w:r w:rsidR="00C35D52" w:rsidRPr="00D064FF">
          <w:rPr>
            <w:rStyle w:val="Hyperlink"/>
            <w:rFonts w:ascii="Times New Roman" w:hAnsi="Times New Roman" w:hint="eastAsia"/>
            <w:color w:val="0000FF"/>
            <w:sz w:val="20"/>
            <w:szCs w:val="20"/>
            <w:shd w:val="clear" w:color="auto" w:fill="FFFFFF"/>
            <w:lang w:eastAsia="zh-CN"/>
          </w:rPr>
          <w:t>9</w:t>
        </w:r>
      </w:hyperlink>
      <w:r w:rsidRPr="00D064FF">
        <w:rPr>
          <w:rFonts w:ascii="Times New Roman" w:hAnsi="Times New Roman"/>
          <w:color w:val="000000"/>
          <w:sz w:val="20"/>
          <w:szCs w:val="20"/>
          <w:shd w:val="clear" w:color="auto" w:fill="FFFFFF"/>
        </w:rPr>
        <w:t>.</w:t>
      </w:r>
    </w:p>
    <w:p w:rsidR="00FF7518" w:rsidRPr="00D064FF" w:rsidRDefault="00FF7518" w:rsidP="00C35D52">
      <w:pPr>
        <w:snapToGrid w:val="0"/>
        <w:spacing w:after="0" w:line="240" w:lineRule="auto"/>
        <w:jc w:val="both"/>
        <w:rPr>
          <w:rFonts w:ascii="Times New Roman" w:hAnsi="Times New Roman"/>
          <w:sz w:val="20"/>
          <w:szCs w:val="20"/>
          <w:lang w:eastAsia="zh-CN"/>
        </w:rPr>
      </w:pPr>
    </w:p>
    <w:p w:rsidR="00783CF0" w:rsidRPr="00CF21B7" w:rsidRDefault="00AA4663" w:rsidP="00C35D52">
      <w:pPr>
        <w:snapToGrid w:val="0"/>
        <w:spacing w:after="0" w:line="240" w:lineRule="auto"/>
        <w:jc w:val="both"/>
        <w:rPr>
          <w:rFonts w:ascii="Times New Roman" w:eastAsia="Times New Roman" w:hAnsi="Times New Roman"/>
          <w:sz w:val="20"/>
          <w:szCs w:val="20"/>
        </w:rPr>
      </w:pPr>
      <w:r w:rsidRPr="00D064FF">
        <w:rPr>
          <w:rFonts w:ascii="Times New Roman" w:eastAsia="Times New Roman" w:hAnsi="Times New Roman"/>
          <w:b/>
          <w:sz w:val="20"/>
          <w:szCs w:val="20"/>
        </w:rPr>
        <w:t xml:space="preserve">Key Word: </w:t>
      </w:r>
      <w:r w:rsidRPr="00CF21B7">
        <w:rPr>
          <w:rFonts w:ascii="Times New Roman" w:eastAsia="Times New Roman" w:hAnsi="Times New Roman"/>
          <w:sz w:val="20"/>
          <w:szCs w:val="20"/>
        </w:rPr>
        <w:t xml:space="preserve">Prostate Specific Antigen, </w:t>
      </w:r>
      <w:r w:rsidR="002011B5" w:rsidRPr="00CF21B7">
        <w:rPr>
          <w:rFonts w:ascii="Times New Roman" w:eastAsia="Times New Roman" w:hAnsi="Times New Roman"/>
          <w:sz w:val="20"/>
          <w:szCs w:val="20"/>
        </w:rPr>
        <w:t>Total Bone Scan</w:t>
      </w:r>
      <w:r w:rsidR="009F5BBC" w:rsidRPr="00CF21B7">
        <w:rPr>
          <w:rFonts w:ascii="Times New Roman" w:eastAsia="Times New Roman" w:hAnsi="Times New Roman"/>
          <w:sz w:val="20"/>
          <w:szCs w:val="20"/>
        </w:rPr>
        <w:t>, Correlation</w:t>
      </w:r>
    </w:p>
    <w:p w:rsidR="00C35D52" w:rsidRPr="00D064FF" w:rsidRDefault="00C35D52" w:rsidP="00C35D52">
      <w:pPr>
        <w:snapToGrid w:val="0"/>
        <w:spacing w:after="0" w:line="240" w:lineRule="auto"/>
        <w:jc w:val="both"/>
        <w:rPr>
          <w:rFonts w:ascii="Times New Roman" w:hAnsi="Times New Roman"/>
          <w:b/>
          <w:sz w:val="20"/>
          <w:szCs w:val="20"/>
        </w:rPr>
      </w:pPr>
    </w:p>
    <w:p w:rsidR="00C35D52" w:rsidRPr="00D064FF" w:rsidRDefault="00C35D52" w:rsidP="00C35D52">
      <w:pPr>
        <w:snapToGrid w:val="0"/>
        <w:spacing w:after="0" w:line="240" w:lineRule="auto"/>
        <w:jc w:val="both"/>
        <w:rPr>
          <w:rFonts w:ascii="Times New Roman" w:hAnsi="Times New Roman"/>
          <w:b/>
          <w:sz w:val="20"/>
          <w:szCs w:val="20"/>
        </w:rPr>
        <w:sectPr w:rsidR="00C35D52" w:rsidRPr="00D064FF" w:rsidSect="00C9567C">
          <w:headerReference w:type="default" r:id="rId12"/>
          <w:footerReference w:type="default" r:id="rId13"/>
          <w:type w:val="continuous"/>
          <w:pgSz w:w="12242" w:h="15842" w:code="1"/>
          <w:pgMar w:top="1440" w:right="1440" w:bottom="1440" w:left="1440" w:header="720" w:footer="720" w:gutter="0"/>
          <w:pgNumType w:start="46"/>
          <w:cols w:space="708"/>
          <w:docGrid w:linePitch="360"/>
        </w:sectPr>
      </w:pPr>
    </w:p>
    <w:p w:rsidR="009F5BBC" w:rsidRPr="00D064FF" w:rsidRDefault="001F58AE" w:rsidP="00C35D52">
      <w:pPr>
        <w:snapToGrid w:val="0"/>
        <w:spacing w:after="0" w:line="240" w:lineRule="auto"/>
        <w:jc w:val="both"/>
        <w:rPr>
          <w:rFonts w:ascii="Times New Roman" w:eastAsia="Times New Roman" w:hAnsi="Times New Roman"/>
          <w:b/>
          <w:sz w:val="20"/>
          <w:szCs w:val="20"/>
        </w:rPr>
      </w:pPr>
      <w:r w:rsidRPr="00D064FF">
        <w:rPr>
          <w:rFonts w:ascii="Times New Roman" w:hAnsi="Times New Roman"/>
          <w:b/>
          <w:sz w:val="20"/>
          <w:szCs w:val="20"/>
        </w:rPr>
        <w:lastRenderedPageBreak/>
        <w:t>Introduction</w:t>
      </w:r>
      <w:r w:rsidR="009F5BBC" w:rsidRPr="00D064FF">
        <w:rPr>
          <w:rFonts w:ascii="Times New Roman" w:eastAsia="Times New Roman" w:hAnsi="Times New Roman"/>
          <w:b/>
          <w:sz w:val="20"/>
          <w:szCs w:val="20"/>
        </w:rPr>
        <w:t>:</w:t>
      </w:r>
    </w:p>
    <w:p w:rsidR="002011B5" w:rsidRPr="00D064FF" w:rsidRDefault="001F58AE" w:rsidP="00C35D52">
      <w:pPr>
        <w:snapToGrid w:val="0"/>
        <w:spacing w:after="0" w:line="240" w:lineRule="auto"/>
        <w:ind w:firstLine="425"/>
        <w:jc w:val="both"/>
        <w:rPr>
          <w:rFonts w:ascii="Times New Roman" w:eastAsia="Times New Roman" w:hAnsi="Times New Roman"/>
          <w:b/>
          <w:sz w:val="20"/>
          <w:szCs w:val="20"/>
        </w:rPr>
      </w:pPr>
      <w:proofErr w:type="gramStart"/>
      <w:r w:rsidRPr="00D064FF">
        <w:rPr>
          <w:rFonts w:ascii="Times New Roman" w:hAnsi="Times New Roman"/>
          <w:sz w:val="20"/>
          <w:szCs w:val="20"/>
        </w:rPr>
        <w:t xml:space="preserve">Prostate cancer is a leading cause of mortality </w:t>
      </w:r>
      <w:r w:rsidR="009D6291" w:rsidRPr="00D064FF">
        <w:rPr>
          <w:rFonts w:ascii="Times New Roman" w:hAnsi="Times New Roman"/>
          <w:sz w:val="20"/>
          <w:szCs w:val="20"/>
        </w:rPr>
        <w:t xml:space="preserve">in men </w:t>
      </w:r>
      <w:r w:rsidRPr="00D064FF">
        <w:rPr>
          <w:rFonts w:ascii="Times New Roman" w:hAnsi="Times New Roman"/>
          <w:sz w:val="20"/>
          <w:szCs w:val="20"/>
        </w:rPr>
        <w:t xml:space="preserve">and has gradually increased in incidence </w:t>
      </w:r>
      <w:r w:rsidR="009D6291" w:rsidRPr="00D064FF">
        <w:rPr>
          <w:rFonts w:ascii="Times New Roman" w:hAnsi="Times New Roman"/>
          <w:sz w:val="20"/>
          <w:szCs w:val="20"/>
        </w:rPr>
        <w:t>throughout the world resulting</w:t>
      </w:r>
      <w:r w:rsidRPr="00D064FF">
        <w:rPr>
          <w:rFonts w:ascii="Times New Roman" w:hAnsi="Times New Roman"/>
          <w:sz w:val="20"/>
          <w:szCs w:val="20"/>
        </w:rPr>
        <w:t xml:space="preserve"> in more than 200,000 deaths annually</w:t>
      </w:r>
      <w:r w:rsidRPr="00D064FF">
        <w:rPr>
          <w:rFonts w:ascii="Times New Roman" w:hAnsi="Times New Roman"/>
          <w:sz w:val="20"/>
          <w:szCs w:val="20"/>
          <w:vertAlign w:val="superscript"/>
        </w:rPr>
        <w:t>1</w:t>
      </w:r>
      <w:r w:rsidRPr="00D064FF">
        <w:rPr>
          <w:rFonts w:ascii="Times New Roman" w:hAnsi="Times New Roman"/>
          <w:sz w:val="20"/>
          <w:szCs w:val="20"/>
        </w:rPr>
        <w:t>.</w:t>
      </w:r>
      <w:proofErr w:type="gramEnd"/>
      <w:r w:rsidRPr="00D064FF">
        <w:rPr>
          <w:rFonts w:ascii="Times New Roman" w:hAnsi="Times New Roman"/>
          <w:sz w:val="20"/>
          <w:szCs w:val="20"/>
        </w:rPr>
        <w:t xml:space="preserve"> It is also the second most common cause of cancer-associated mortality in Western countries and is responsible for 9% of all cancer deaths among European men</w:t>
      </w:r>
      <w:r w:rsidRPr="00D064FF">
        <w:rPr>
          <w:rFonts w:ascii="Times New Roman" w:hAnsi="Times New Roman"/>
          <w:sz w:val="20"/>
          <w:szCs w:val="20"/>
          <w:vertAlign w:val="superscript"/>
        </w:rPr>
        <w:t>2</w:t>
      </w:r>
      <w:proofErr w:type="gramStart"/>
      <w:r w:rsidRPr="00D064FF">
        <w:rPr>
          <w:rFonts w:ascii="Times New Roman" w:hAnsi="Times New Roman"/>
          <w:sz w:val="20"/>
          <w:szCs w:val="20"/>
          <w:vertAlign w:val="superscript"/>
        </w:rPr>
        <w:t>,3,4</w:t>
      </w:r>
      <w:proofErr w:type="gramEnd"/>
      <w:r w:rsidRPr="00D064FF">
        <w:rPr>
          <w:rFonts w:ascii="Times New Roman" w:hAnsi="Times New Roman"/>
          <w:sz w:val="20"/>
          <w:szCs w:val="20"/>
        </w:rPr>
        <w:t xml:space="preserve">. </w:t>
      </w:r>
      <w:r w:rsidRPr="00D064FF">
        <w:rPr>
          <w:rFonts w:ascii="Times New Roman" w:eastAsia="Times New Roman" w:hAnsi="Times New Roman"/>
          <w:sz w:val="20"/>
          <w:szCs w:val="20"/>
        </w:rPr>
        <w:t>In Nigeria according to GLOBOCAN report of 2008</w:t>
      </w:r>
      <w:r w:rsidR="002011B5" w:rsidRPr="00D064FF">
        <w:rPr>
          <w:rFonts w:ascii="Times New Roman" w:eastAsia="Times New Roman" w:hAnsi="Times New Roman"/>
          <w:sz w:val="20"/>
          <w:szCs w:val="20"/>
        </w:rPr>
        <w:t>,</w:t>
      </w:r>
      <w:r w:rsidR="009D6291" w:rsidRPr="00D064FF">
        <w:rPr>
          <w:rFonts w:ascii="Times New Roman" w:eastAsia="Times New Roman" w:hAnsi="Times New Roman"/>
          <w:sz w:val="20"/>
          <w:szCs w:val="20"/>
        </w:rPr>
        <w:t xml:space="preserve"> prostate cancer is</w:t>
      </w:r>
      <w:r w:rsidRPr="00D064FF">
        <w:rPr>
          <w:rFonts w:ascii="Times New Roman" w:eastAsia="Times New Roman" w:hAnsi="Times New Roman"/>
          <w:sz w:val="20"/>
          <w:szCs w:val="20"/>
        </w:rPr>
        <w:t xml:space="preserve"> the top male cancer and the fourth commonest cancer</w:t>
      </w:r>
      <w:r w:rsidRPr="00D064FF">
        <w:rPr>
          <w:rFonts w:ascii="Times New Roman" w:eastAsia="Times New Roman" w:hAnsi="Times New Roman"/>
          <w:sz w:val="20"/>
          <w:szCs w:val="20"/>
          <w:vertAlign w:val="superscript"/>
        </w:rPr>
        <w:t>5</w:t>
      </w:r>
      <w:r w:rsidRPr="00D064FF">
        <w:rPr>
          <w:rFonts w:ascii="Times New Roman" w:eastAsia="Times New Roman" w:hAnsi="Times New Roman"/>
          <w:sz w:val="20"/>
          <w:szCs w:val="20"/>
        </w:rPr>
        <w:t xml:space="preserve">. Prostate cancer may be curable when it </w:t>
      </w:r>
      <w:proofErr w:type="gramStart"/>
      <w:r w:rsidRPr="00D064FF">
        <w:rPr>
          <w:rFonts w:ascii="Times New Roman" w:eastAsia="Times New Roman" w:hAnsi="Times New Roman"/>
          <w:sz w:val="20"/>
          <w:szCs w:val="20"/>
        </w:rPr>
        <w:t>is identified</w:t>
      </w:r>
      <w:proofErr w:type="gramEnd"/>
      <w:r w:rsidRPr="00D064FF">
        <w:rPr>
          <w:rFonts w:ascii="Times New Roman" w:eastAsia="Times New Roman" w:hAnsi="Times New Roman"/>
          <w:sz w:val="20"/>
          <w:szCs w:val="20"/>
        </w:rPr>
        <w:t xml:space="preserve"> at an early organ-confined </w:t>
      </w:r>
      <w:r w:rsidR="002011B5" w:rsidRPr="00D064FF">
        <w:rPr>
          <w:rFonts w:ascii="Times New Roman" w:eastAsia="Times New Roman" w:hAnsi="Times New Roman"/>
          <w:sz w:val="20"/>
          <w:szCs w:val="20"/>
        </w:rPr>
        <w:t>stage, however</w:t>
      </w:r>
      <w:r w:rsidR="00D7629C" w:rsidRPr="00D064FF">
        <w:rPr>
          <w:rFonts w:ascii="Times New Roman" w:eastAsia="Times New Roman" w:hAnsi="Times New Roman"/>
          <w:sz w:val="20"/>
          <w:szCs w:val="20"/>
        </w:rPr>
        <w:t xml:space="preserve"> a quarter</w:t>
      </w:r>
      <w:r w:rsidRPr="00D064FF">
        <w:rPr>
          <w:rFonts w:ascii="Times New Roman" w:eastAsia="Times New Roman" w:hAnsi="Times New Roman"/>
          <w:sz w:val="20"/>
          <w:szCs w:val="20"/>
        </w:rPr>
        <w:t xml:space="preserve"> of patients present with advanced or metastatic disease at the time of diagnosis</w:t>
      </w:r>
      <w:r w:rsidRPr="00D064FF">
        <w:rPr>
          <w:rFonts w:ascii="Times New Roman" w:eastAsia="Times New Roman" w:hAnsi="Times New Roman"/>
          <w:sz w:val="20"/>
          <w:szCs w:val="20"/>
          <w:vertAlign w:val="superscript"/>
        </w:rPr>
        <w:t>6</w:t>
      </w:r>
      <w:r w:rsidRPr="00D064FF">
        <w:rPr>
          <w:rFonts w:ascii="Times New Roman" w:eastAsia="Times New Roman" w:hAnsi="Times New Roman"/>
          <w:sz w:val="20"/>
          <w:szCs w:val="20"/>
        </w:rPr>
        <w:t>. The skeleton accounts for up to 80% of all prostate cancer metastases</w:t>
      </w:r>
      <w:r w:rsidRPr="00D064FF">
        <w:rPr>
          <w:rFonts w:ascii="Times New Roman" w:eastAsia="Times New Roman" w:hAnsi="Times New Roman"/>
          <w:sz w:val="20"/>
          <w:szCs w:val="20"/>
          <w:vertAlign w:val="superscript"/>
        </w:rPr>
        <w:t>7</w:t>
      </w:r>
      <w:r w:rsidRPr="00D064FF">
        <w:rPr>
          <w:rFonts w:ascii="Times New Roman" w:eastAsia="Times New Roman" w:hAnsi="Times New Roman"/>
          <w:sz w:val="20"/>
          <w:szCs w:val="20"/>
        </w:rPr>
        <w:t>. Despite various therapeutic strategies, nearly half of patients with metastatic disease die within 30 months, and 85-100% of those who die from prostate cancer have skeletal metastasis</w:t>
      </w:r>
      <w:r w:rsidRPr="00D064FF">
        <w:rPr>
          <w:rFonts w:ascii="Times New Roman" w:eastAsia="Times New Roman" w:hAnsi="Times New Roman"/>
          <w:sz w:val="20"/>
          <w:szCs w:val="20"/>
          <w:vertAlign w:val="superscript"/>
        </w:rPr>
        <w:t>8</w:t>
      </w:r>
      <w:r w:rsidRPr="00D064FF">
        <w:rPr>
          <w:rFonts w:ascii="Times New Roman" w:eastAsia="Times New Roman" w:hAnsi="Times New Roman"/>
          <w:sz w:val="20"/>
          <w:szCs w:val="20"/>
        </w:rPr>
        <w:t>.</w:t>
      </w:r>
    </w:p>
    <w:p w:rsidR="001F58AE" w:rsidRPr="00D064FF" w:rsidRDefault="001F58AE" w:rsidP="00C35D52">
      <w:pPr>
        <w:snapToGrid w:val="0"/>
        <w:spacing w:after="0" w:line="240" w:lineRule="auto"/>
        <w:ind w:firstLine="425"/>
        <w:jc w:val="both"/>
        <w:rPr>
          <w:rFonts w:ascii="Times New Roman" w:hAnsi="Times New Roman"/>
          <w:b/>
          <w:sz w:val="20"/>
          <w:szCs w:val="20"/>
        </w:rPr>
      </w:pPr>
      <w:r w:rsidRPr="00D064FF">
        <w:rPr>
          <w:rFonts w:ascii="Times New Roman" w:eastAsia="Times New Roman" w:hAnsi="Times New Roman"/>
          <w:sz w:val="20"/>
          <w:szCs w:val="20"/>
        </w:rPr>
        <w:t xml:space="preserve">When bone metastasis develops, the effect is not only on the prognosis of the disease but also on the quality of life of the patient. The clinical characteristics of skeletal metastasis in prostate cancer include bone pain, impaired mobility, pathological fracture, spinal cord or nerve root compression and </w:t>
      </w:r>
      <w:proofErr w:type="spellStart"/>
      <w:r w:rsidRPr="00D064FF">
        <w:rPr>
          <w:rFonts w:ascii="Times New Roman" w:eastAsia="Times New Roman" w:hAnsi="Times New Roman"/>
          <w:sz w:val="20"/>
          <w:szCs w:val="20"/>
        </w:rPr>
        <w:t>paraparesis</w:t>
      </w:r>
      <w:proofErr w:type="spellEnd"/>
      <w:r w:rsidRPr="00D064FF">
        <w:rPr>
          <w:rFonts w:ascii="Times New Roman" w:eastAsia="Times New Roman" w:hAnsi="Times New Roman"/>
          <w:sz w:val="20"/>
          <w:szCs w:val="20"/>
        </w:rPr>
        <w:t xml:space="preserve"> or paraplegia. To select appropriate treatment, detection of osseous metastasis is essential in patients with prostate cancer for both disease </w:t>
      </w:r>
      <w:r w:rsidRPr="00D064FF">
        <w:rPr>
          <w:rFonts w:ascii="Times New Roman" w:eastAsia="Times New Roman" w:hAnsi="Times New Roman"/>
          <w:sz w:val="20"/>
          <w:szCs w:val="20"/>
        </w:rPr>
        <w:lastRenderedPageBreak/>
        <w:t>staging and the creation of a subsequent follow-up plan. One of the current modality in clinical practice for assessing skeletal metastasis of prostate cancer is total body bone scan,</w:t>
      </w:r>
      <w:r w:rsidR="009D6291" w:rsidRPr="00D064FF">
        <w:rPr>
          <w:rFonts w:ascii="Times New Roman" w:hAnsi="Times New Roman"/>
          <w:sz w:val="20"/>
          <w:szCs w:val="20"/>
        </w:rPr>
        <w:t xml:space="preserve"> using technetium Tc-99m </w:t>
      </w:r>
      <w:proofErr w:type="spellStart"/>
      <w:r w:rsidR="009D6291" w:rsidRPr="00D064FF">
        <w:rPr>
          <w:rFonts w:ascii="Times New Roman" w:hAnsi="Times New Roman"/>
          <w:sz w:val="20"/>
          <w:szCs w:val="20"/>
        </w:rPr>
        <w:t>methylene</w:t>
      </w:r>
      <w:proofErr w:type="spellEnd"/>
      <w:r w:rsidR="009D6291" w:rsidRPr="00D064FF">
        <w:rPr>
          <w:rFonts w:ascii="Times New Roman" w:hAnsi="Times New Roman"/>
          <w:sz w:val="20"/>
          <w:szCs w:val="20"/>
        </w:rPr>
        <w:t xml:space="preserve"> </w:t>
      </w:r>
      <w:proofErr w:type="spellStart"/>
      <w:r w:rsidR="009D6291" w:rsidRPr="00D064FF">
        <w:rPr>
          <w:rFonts w:ascii="Times New Roman" w:hAnsi="Times New Roman"/>
          <w:sz w:val="20"/>
          <w:szCs w:val="20"/>
        </w:rPr>
        <w:t>diphosphonate</w:t>
      </w:r>
      <w:proofErr w:type="spellEnd"/>
      <w:r w:rsidR="009D6291" w:rsidRPr="00D064FF">
        <w:rPr>
          <w:rFonts w:ascii="Times New Roman" w:hAnsi="Times New Roman"/>
          <w:sz w:val="20"/>
          <w:szCs w:val="20"/>
        </w:rPr>
        <w:t xml:space="preserve"> (Tc-</w:t>
      </w:r>
      <w:r w:rsidRPr="00D064FF">
        <w:rPr>
          <w:rFonts w:ascii="Times New Roman" w:hAnsi="Times New Roman"/>
          <w:sz w:val="20"/>
          <w:szCs w:val="20"/>
        </w:rPr>
        <w:t>99m MDP)</w:t>
      </w:r>
      <w:r w:rsidRPr="00D064FF">
        <w:rPr>
          <w:rFonts w:ascii="Times New Roman" w:hAnsi="Times New Roman"/>
          <w:sz w:val="20"/>
          <w:szCs w:val="20"/>
          <w:vertAlign w:val="superscript"/>
        </w:rPr>
        <w:t>9,10</w:t>
      </w:r>
      <w:r w:rsidRPr="00D064FF">
        <w:rPr>
          <w:rFonts w:ascii="Times New Roman" w:hAnsi="Times New Roman"/>
          <w:sz w:val="20"/>
          <w:szCs w:val="20"/>
        </w:rPr>
        <w:t xml:space="preserve">. </w:t>
      </w:r>
      <w:proofErr w:type="gramStart"/>
      <w:r w:rsidRPr="00D064FF">
        <w:rPr>
          <w:rFonts w:ascii="Times New Roman" w:hAnsi="Times New Roman"/>
          <w:sz w:val="20"/>
          <w:szCs w:val="20"/>
        </w:rPr>
        <w:t>It is a highly sensitive one-step procedure that</w:t>
      </w:r>
      <w:proofErr w:type="gramEnd"/>
      <w:r w:rsidRPr="00D064FF">
        <w:rPr>
          <w:rFonts w:ascii="Times New Roman" w:hAnsi="Times New Roman"/>
          <w:sz w:val="20"/>
          <w:szCs w:val="20"/>
        </w:rPr>
        <w:t xml:space="preserve"> utilizes whole body skeletal surveying.</w:t>
      </w:r>
    </w:p>
    <w:p w:rsidR="001F58AE" w:rsidRPr="00D064FF" w:rsidRDefault="001F58AE" w:rsidP="00C35D52">
      <w:pPr>
        <w:snapToGrid w:val="0"/>
        <w:spacing w:after="0" w:line="240" w:lineRule="auto"/>
        <w:ind w:firstLine="425"/>
        <w:jc w:val="both"/>
        <w:rPr>
          <w:rFonts w:ascii="Times New Roman" w:hAnsi="Times New Roman"/>
          <w:sz w:val="20"/>
          <w:szCs w:val="20"/>
        </w:rPr>
      </w:pPr>
      <w:r w:rsidRPr="00D064FF">
        <w:rPr>
          <w:rFonts w:ascii="Times New Roman" w:hAnsi="Times New Roman"/>
          <w:sz w:val="20"/>
          <w:szCs w:val="20"/>
        </w:rPr>
        <w:t>A tumor marker, prostate specific antigen (P</w:t>
      </w:r>
      <w:r w:rsidR="002011B5" w:rsidRPr="00D064FF">
        <w:rPr>
          <w:rFonts w:ascii="Times New Roman" w:hAnsi="Times New Roman"/>
          <w:sz w:val="20"/>
          <w:szCs w:val="20"/>
        </w:rPr>
        <w:t>SA) is widely used as a</w:t>
      </w:r>
      <w:r w:rsidRPr="00D064FF">
        <w:rPr>
          <w:rFonts w:ascii="Times New Roman" w:hAnsi="Times New Roman"/>
          <w:sz w:val="20"/>
          <w:szCs w:val="20"/>
        </w:rPr>
        <w:t xml:space="preserve"> biomarker to screen, monitor, and predict disease severity among prostate cancer patients and its introduction in clinical practice has led to an increased rate of organ-confined disease, associated with a reduction in the incidence of bone metastases at diagnosis</w:t>
      </w:r>
      <w:r w:rsidRPr="00D064FF">
        <w:rPr>
          <w:rFonts w:ascii="Times New Roman" w:hAnsi="Times New Roman"/>
          <w:sz w:val="20"/>
          <w:szCs w:val="20"/>
          <w:vertAlign w:val="superscript"/>
        </w:rPr>
        <w:t>11</w:t>
      </w:r>
      <w:proofErr w:type="gramStart"/>
      <w:r w:rsidRPr="00D064FF">
        <w:rPr>
          <w:rFonts w:ascii="Times New Roman" w:hAnsi="Times New Roman"/>
          <w:sz w:val="20"/>
          <w:szCs w:val="20"/>
          <w:vertAlign w:val="superscript"/>
        </w:rPr>
        <w:t>,12</w:t>
      </w:r>
      <w:proofErr w:type="gramEnd"/>
      <w:r w:rsidRPr="00D064FF">
        <w:rPr>
          <w:rFonts w:ascii="Times New Roman" w:hAnsi="Times New Roman"/>
          <w:sz w:val="20"/>
          <w:szCs w:val="20"/>
        </w:rPr>
        <w:t xml:space="preserve">. However, a rising prostate specific antigen level may occur several months before changes in bone scan </w:t>
      </w:r>
      <w:proofErr w:type="gramStart"/>
      <w:r w:rsidRPr="00D064FF">
        <w:rPr>
          <w:rFonts w:ascii="Times New Roman" w:hAnsi="Times New Roman"/>
          <w:sz w:val="20"/>
          <w:szCs w:val="20"/>
        </w:rPr>
        <w:t>can be seen</w:t>
      </w:r>
      <w:proofErr w:type="gramEnd"/>
      <w:r w:rsidRPr="00D064FF">
        <w:rPr>
          <w:rFonts w:ascii="Times New Roman" w:hAnsi="Times New Roman"/>
          <w:sz w:val="20"/>
          <w:szCs w:val="20"/>
        </w:rPr>
        <w:t>.</w:t>
      </w:r>
    </w:p>
    <w:p w:rsidR="001F58AE" w:rsidRPr="00D064FF" w:rsidRDefault="001F58AE" w:rsidP="00C35D52">
      <w:pPr>
        <w:snapToGrid w:val="0"/>
        <w:spacing w:after="0" w:line="240" w:lineRule="auto"/>
        <w:ind w:firstLine="425"/>
        <w:jc w:val="both"/>
        <w:rPr>
          <w:rFonts w:ascii="Times New Roman" w:hAnsi="Times New Roman"/>
          <w:sz w:val="20"/>
          <w:szCs w:val="20"/>
        </w:rPr>
      </w:pPr>
      <w:r w:rsidRPr="00D064FF">
        <w:rPr>
          <w:rFonts w:ascii="Times New Roman" w:hAnsi="Times New Roman"/>
          <w:sz w:val="20"/>
          <w:szCs w:val="20"/>
        </w:rPr>
        <w:t>Several studies have investigated the ability of baseline clinical parameters to predict the risk of bone metastasis at diagnosis</w:t>
      </w:r>
      <w:r w:rsidRPr="00D064FF">
        <w:rPr>
          <w:rFonts w:ascii="Times New Roman" w:hAnsi="Times New Roman"/>
          <w:sz w:val="20"/>
          <w:szCs w:val="20"/>
          <w:vertAlign w:val="superscript"/>
        </w:rPr>
        <w:t>13</w:t>
      </w:r>
      <w:proofErr w:type="gramStart"/>
      <w:r w:rsidRPr="00D064FF">
        <w:rPr>
          <w:rFonts w:ascii="Times New Roman" w:hAnsi="Times New Roman"/>
          <w:sz w:val="20"/>
          <w:szCs w:val="20"/>
          <w:vertAlign w:val="superscript"/>
        </w:rPr>
        <w:t>,14,15</w:t>
      </w:r>
      <w:proofErr w:type="gramEnd"/>
      <w:r w:rsidR="004947D8" w:rsidRPr="00D064FF">
        <w:rPr>
          <w:rFonts w:ascii="Times New Roman" w:hAnsi="Times New Roman"/>
          <w:sz w:val="20"/>
          <w:szCs w:val="20"/>
        </w:rPr>
        <w:t>.</w:t>
      </w:r>
      <w:r w:rsidRPr="00D064FF">
        <w:rPr>
          <w:rFonts w:ascii="Times New Roman" w:hAnsi="Times New Roman"/>
          <w:sz w:val="20"/>
          <w:szCs w:val="20"/>
        </w:rPr>
        <w:t xml:space="preserve"> On the basis of the results of these studies, the European Association of Urology (EAU</w:t>
      </w:r>
      <w:proofErr w:type="gramStart"/>
      <w:r w:rsidRPr="00D064FF">
        <w:rPr>
          <w:rFonts w:ascii="Times New Roman" w:hAnsi="Times New Roman"/>
          <w:sz w:val="20"/>
          <w:szCs w:val="20"/>
        </w:rPr>
        <w:t>)</w:t>
      </w:r>
      <w:r w:rsidRPr="00D064FF">
        <w:rPr>
          <w:rFonts w:ascii="Times New Roman" w:hAnsi="Times New Roman"/>
          <w:sz w:val="20"/>
          <w:szCs w:val="20"/>
          <w:vertAlign w:val="superscript"/>
        </w:rPr>
        <w:t>2</w:t>
      </w:r>
      <w:proofErr w:type="gramEnd"/>
      <w:r w:rsidRPr="00D064FF">
        <w:rPr>
          <w:rFonts w:ascii="Times New Roman" w:hAnsi="Times New Roman"/>
          <w:sz w:val="20"/>
          <w:szCs w:val="20"/>
        </w:rPr>
        <w:t>, the American Urological Association (AUA)</w:t>
      </w:r>
      <w:r w:rsidRPr="00D064FF">
        <w:rPr>
          <w:rFonts w:ascii="Times New Roman" w:hAnsi="Times New Roman"/>
          <w:sz w:val="20"/>
          <w:szCs w:val="20"/>
          <w:vertAlign w:val="superscript"/>
        </w:rPr>
        <w:t>16</w:t>
      </w:r>
      <w:r w:rsidRPr="00D064FF">
        <w:rPr>
          <w:rFonts w:ascii="Times New Roman" w:hAnsi="Times New Roman"/>
          <w:sz w:val="20"/>
          <w:szCs w:val="20"/>
        </w:rPr>
        <w:t>, the National Comprehensive Cancer Network (NCCN)</w:t>
      </w:r>
      <w:r w:rsidRPr="00D064FF">
        <w:rPr>
          <w:rFonts w:ascii="Times New Roman" w:hAnsi="Times New Roman"/>
          <w:sz w:val="20"/>
          <w:szCs w:val="20"/>
          <w:vertAlign w:val="superscript"/>
        </w:rPr>
        <w:t>17</w:t>
      </w:r>
      <w:r w:rsidRPr="00D064FF">
        <w:rPr>
          <w:rFonts w:ascii="Times New Roman" w:hAnsi="Times New Roman"/>
          <w:sz w:val="20"/>
          <w:szCs w:val="20"/>
        </w:rPr>
        <w:t>, and the American Joint Committee on Cancer (AJCC)</w:t>
      </w:r>
      <w:r w:rsidRPr="00D064FF">
        <w:rPr>
          <w:rFonts w:ascii="Times New Roman" w:hAnsi="Times New Roman"/>
          <w:sz w:val="20"/>
          <w:szCs w:val="20"/>
          <w:vertAlign w:val="superscript"/>
        </w:rPr>
        <w:t>18</w:t>
      </w:r>
      <w:r w:rsidRPr="00D064FF">
        <w:rPr>
          <w:rFonts w:ascii="Times New Roman" w:hAnsi="Times New Roman"/>
          <w:sz w:val="20"/>
          <w:szCs w:val="20"/>
        </w:rPr>
        <w:t xml:space="preserve"> updated their guidelines to indicate the need for total bone scans only in patients with certain unfavorable prostate cancer characteristics. A likewise outcome will be </w:t>
      </w:r>
      <w:r w:rsidRPr="00D064FF">
        <w:rPr>
          <w:rFonts w:ascii="Times New Roman" w:hAnsi="Times New Roman"/>
          <w:sz w:val="20"/>
          <w:szCs w:val="20"/>
        </w:rPr>
        <w:lastRenderedPageBreak/>
        <w:t>beneficial in the case of total body bone scan and prostate cancer.</w:t>
      </w:r>
    </w:p>
    <w:p w:rsidR="001F58AE" w:rsidRPr="00D064FF" w:rsidRDefault="001F58AE" w:rsidP="00C35D52">
      <w:pPr>
        <w:snapToGrid w:val="0"/>
        <w:spacing w:after="0" w:line="240" w:lineRule="auto"/>
        <w:ind w:firstLine="425"/>
        <w:jc w:val="both"/>
        <w:rPr>
          <w:rFonts w:ascii="Times New Roman" w:hAnsi="Times New Roman"/>
          <w:sz w:val="20"/>
          <w:szCs w:val="20"/>
        </w:rPr>
      </w:pPr>
      <w:r w:rsidRPr="00D064FF">
        <w:rPr>
          <w:rFonts w:ascii="Times New Roman" w:hAnsi="Times New Roman"/>
          <w:sz w:val="20"/>
          <w:szCs w:val="20"/>
        </w:rPr>
        <w:t>The purpose of this study is to determine the possible appropriate prostate specific antigen cut-off value and the correlation using total body bone scan for determining skeletal metastasis in patients with prostate cancer.</w:t>
      </w:r>
    </w:p>
    <w:p w:rsidR="001F58AE" w:rsidRPr="00D064FF" w:rsidRDefault="001F58AE" w:rsidP="00C35D52">
      <w:pPr>
        <w:snapToGrid w:val="0"/>
        <w:spacing w:after="0" w:line="240" w:lineRule="auto"/>
        <w:jc w:val="both"/>
        <w:rPr>
          <w:rFonts w:ascii="Times New Roman" w:hAnsi="Times New Roman"/>
          <w:sz w:val="20"/>
          <w:szCs w:val="20"/>
        </w:rPr>
      </w:pPr>
    </w:p>
    <w:p w:rsidR="001F58AE" w:rsidRPr="00D064FF" w:rsidRDefault="000652B7" w:rsidP="00C35D52">
      <w:pPr>
        <w:snapToGrid w:val="0"/>
        <w:spacing w:after="0" w:line="240" w:lineRule="auto"/>
        <w:jc w:val="both"/>
        <w:rPr>
          <w:rFonts w:ascii="Times New Roman" w:hAnsi="Times New Roman"/>
          <w:sz w:val="20"/>
          <w:szCs w:val="20"/>
        </w:rPr>
      </w:pPr>
      <w:r w:rsidRPr="00D064FF">
        <w:rPr>
          <w:rFonts w:ascii="Times New Roman" w:hAnsi="Times New Roman"/>
          <w:b/>
          <w:sz w:val="20"/>
          <w:szCs w:val="20"/>
        </w:rPr>
        <w:t>Materials and Methods</w:t>
      </w:r>
    </w:p>
    <w:p w:rsidR="009D6291" w:rsidRPr="00D064FF" w:rsidRDefault="001F58AE" w:rsidP="00C35D52">
      <w:pPr>
        <w:snapToGrid w:val="0"/>
        <w:spacing w:after="0" w:line="240" w:lineRule="auto"/>
        <w:ind w:firstLine="425"/>
        <w:jc w:val="both"/>
        <w:rPr>
          <w:rFonts w:ascii="Times New Roman" w:hAnsi="Times New Roman"/>
          <w:sz w:val="20"/>
          <w:szCs w:val="20"/>
        </w:rPr>
      </w:pPr>
      <w:r w:rsidRPr="00D064FF">
        <w:rPr>
          <w:rFonts w:ascii="Times New Roman" w:hAnsi="Times New Roman"/>
          <w:sz w:val="20"/>
          <w:szCs w:val="20"/>
        </w:rPr>
        <w:t xml:space="preserve">This was a retrospective and descriptive study involving one hundred and one </w:t>
      </w:r>
      <w:r w:rsidR="002011B5" w:rsidRPr="00D064FF">
        <w:rPr>
          <w:rFonts w:ascii="Times New Roman" w:hAnsi="Times New Roman"/>
          <w:sz w:val="20"/>
          <w:szCs w:val="20"/>
        </w:rPr>
        <w:t xml:space="preserve">(101) </w:t>
      </w:r>
      <w:r w:rsidRPr="00D064FF">
        <w:rPr>
          <w:rFonts w:ascii="Times New Roman" w:hAnsi="Times New Roman"/>
          <w:sz w:val="20"/>
          <w:szCs w:val="20"/>
        </w:rPr>
        <w:t xml:space="preserve">cases of </w:t>
      </w:r>
      <w:proofErr w:type="spellStart"/>
      <w:r w:rsidRPr="00D064FF">
        <w:rPr>
          <w:rFonts w:ascii="Times New Roman" w:hAnsi="Times New Roman"/>
          <w:sz w:val="20"/>
          <w:szCs w:val="20"/>
        </w:rPr>
        <w:t>histologically</w:t>
      </w:r>
      <w:proofErr w:type="spellEnd"/>
      <w:r w:rsidRPr="00D064FF">
        <w:rPr>
          <w:rFonts w:ascii="Times New Roman" w:hAnsi="Times New Roman"/>
          <w:sz w:val="20"/>
          <w:szCs w:val="20"/>
        </w:rPr>
        <w:t xml:space="preserve"> diagnosed prostate cancer seen in the Department of Radiotherapy, University College Hospital, </w:t>
      </w:r>
      <w:proofErr w:type="gramStart"/>
      <w:r w:rsidRPr="00D064FF">
        <w:rPr>
          <w:rFonts w:ascii="Times New Roman" w:hAnsi="Times New Roman"/>
          <w:sz w:val="20"/>
          <w:szCs w:val="20"/>
        </w:rPr>
        <w:t>Ibadan</w:t>
      </w:r>
      <w:proofErr w:type="gramEnd"/>
      <w:r w:rsidRPr="00D064FF">
        <w:rPr>
          <w:rFonts w:ascii="Times New Roman" w:hAnsi="Times New Roman"/>
          <w:sz w:val="20"/>
          <w:szCs w:val="20"/>
        </w:rPr>
        <w:t>. Demographic data and r</w:t>
      </w:r>
      <w:r w:rsidR="002011B5" w:rsidRPr="00D064FF">
        <w:rPr>
          <w:rFonts w:ascii="Times New Roman" w:hAnsi="Times New Roman"/>
          <w:sz w:val="20"/>
          <w:szCs w:val="20"/>
        </w:rPr>
        <w:t>ecords of patients’</w:t>
      </w:r>
      <w:r w:rsidRPr="00D064FF">
        <w:rPr>
          <w:rFonts w:ascii="Times New Roman" w:hAnsi="Times New Roman"/>
          <w:sz w:val="20"/>
          <w:szCs w:val="20"/>
        </w:rPr>
        <w:t xml:space="preserve"> prostate specific antigen (PSA)</w:t>
      </w:r>
      <w:r w:rsidR="002011B5" w:rsidRPr="00D064FF">
        <w:rPr>
          <w:rFonts w:ascii="Times New Roman" w:hAnsi="Times New Roman"/>
          <w:sz w:val="20"/>
          <w:szCs w:val="20"/>
        </w:rPr>
        <w:t xml:space="preserve"> values</w:t>
      </w:r>
      <w:r w:rsidRPr="00D064FF">
        <w:rPr>
          <w:rFonts w:ascii="Times New Roman" w:hAnsi="Times New Roman"/>
          <w:sz w:val="20"/>
          <w:szCs w:val="20"/>
        </w:rPr>
        <w:t xml:space="preserve"> and </w:t>
      </w:r>
      <w:r w:rsidRPr="00D064FF">
        <w:rPr>
          <w:rFonts w:ascii="Times New Roman" w:hAnsi="Times New Roman"/>
          <w:sz w:val="20"/>
          <w:szCs w:val="20"/>
        </w:rPr>
        <w:lastRenderedPageBreak/>
        <w:t>total body bone scan (TBS) reports at the time of presentation</w:t>
      </w:r>
      <w:r w:rsidR="009D6291" w:rsidRPr="00D064FF">
        <w:rPr>
          <w:rFonts w:ascii="Times New Roman" w:hAnsi="Times New Roman"/>
          <w:sz w:val="20"/>
          <w:szCs w:val="20"/>
        </w:rPr>
        <w:t xml:space="preserve"> </w:t>
      </w:r>
      <w:proofErr w:type="gramStart"/>
      <w:r w:rsidR="009D6291" w:rsidRPr="00D064FF">
        <w:rPr>
          <w:rFonts w:ascii="Times New Roman" w:hAnsi="Times New Roman"/>
          <w:sz w:val="20"/>
          <w:szCs w:val="20"/>
        </w:rPr>
        <w:t>were obtained</w:t>
      </w:r>
      <w:proofErr w:type="gramEnd"/>
      <w:r w:rsidR="009D6291" w:rsidRPr="00D064FF">
        <w:rPr>
          <w:rFonts w:ascii="Times New Roman" w:hAnsi="Times New Roman"/>
          <w:sz w:val="20"/>
          <w:szCs w:val="20"/>
        </w:rPr>
        <w:t xml:space="preserve"> for </w:t>
      </w:r>
      <w:r w:rsidRPr="00D064FF">
        <w:rPr>
          <w:rFonts w:ascii="Times New Roman" w:hAnsi="Times New Roman"/>
          <w:sz w:val="20"/>
          <w:szCs w:val="20"/>
        </w:rPr>
        <w:t>analysis.</w:t>
      </w:r>
    </w:p>
    <w:p w:rsidR="009F5BBC" w:rsidRPr="00D064FF" w:rsidRDefault="009F5BBC" w:rsidP="00C35D52">
      <w:pPr>
        <w:snapToGrid w:val="0"/>
        <w:spacing w:after="0" w:line="240" w:lineRule="auto"/>
        <w:jc w:val="both"/>
        <w:rPr>
          <w:rFonts w:ascii="Times New Roman" w:hAnsi="Times New Roman"/>
          <w:b/>
          <w:sz w:val="20"/>
          <w:szCs w:val="20"/>
        </w:rPr>
      </w:pPr>
    </w:p>
    <w:p w:rsidR="001F58AE" w:rsidRPr="00D064FF" w:rsidRDefault="000652B7" w:rsidP="00C35D52">
      <w:pPr>
        <w:snapToGrid w:val="0"/>
        <w:spacing w:after="0" w:line="240" w:lineRule="auto"/>
        <w:jc w:val="both"/>
        <w:rPr>
          <w:rFonts w:ascii="Times New Roman" w:hAnsi="Times New Roman"/>
          <w:sz w:val="20"/>
          <w:szCs w:val="20"/>
        </w:rPr>
      </w:pPr>
      <w:r w:rsidRPr="00D064FF">
        <w:rPr>
          <w:rFonts w:ascii="Times New Roman" w:hAnsi="Times New Roman"/>
          <w:b/>
          <w:sz w:val="20"/>
          <w:szCs w:val="20"/>
        </w:rPr>
        <w:t>Results</w:t>
      </w:r>
    </w:p>
    <w:p w:rsidR="002011B5" w:rsidRPr="00D064FF" w:rsidRDefault="002011B5" w:rsidP="00C35D52">
      <w:pPr>
        <w:tabs>
          <w:tab w:val="left" w:pos="6570"/>
        </w:tabs>
        <w:snapToGrid w:val="0"/>
        <w:spacing w:after="0" w:line="240" w:lineRule="auto"/>
        <w:jc w:val="both"/>
        <w:rPr>
          <w:rFonts w:ascii="Times New Roman" w:hAnsi="Times New Roman"/>
          <w:sz w:val="20"/>
          <w:szCs w:val="20"/>
        </w:rPr>
      </w:pPr>
      <w:r w:rsidRPr="00D064FF">
        <w:rPr>
          <w:rFonts w:ascii="Times New Roman" w:hAnsi="Times New Roman"/>
          <w:b/>
          <w:sz w:val="20"/>
          <w:szCs w:val="20"/>
        </w:rPr>
        <w:t>Demography</w:t>
      </w:r>
    </w:p>
    <w:p w:rsidR="001F58AE" w:rsidRPr="00D064FF" w:rsidRDefault="001F58AE" w:rsidP="00C35D52">
      <w:pPr>
        <w:snapToGrid w:val="0"/>
        <w:spacing w:after="0" w:line="240" w:lineRule="auto"/>
        <w:ind w:firstLine="425"/>
        <w:jc w:val="both"/>
        <w:rPr>
          <w:rFonts w:ascii="Times New Roman" w:hAnsi="Times New Roman"/>
          <w:sz w:val="20"/>
          <w:szCs w:val="20"/>
        </w:rPr>
      </w:pPr>
      <w:r w:rsidRPr="00D064FF">
        <w:rPr>
          <w:rFonts w:ascii="Times New Roman" w:hAnsi="Times New Roman"/>
          <w:sz w:val="20"/>
          <w:szCs w:val="20"/>
        </w:rPr>
        <w:t xml:space="preserve">Patients were between the ages of 47 and 88 years with mean age of </w:t>
      </w:r>
      <w:r w:rsidRPr="00D064FF">
        <w:rPr>
          <w:rFonts w:ascii="Times New Roman" w:hAnsi="Times New Roman"/>
          <w:color w:val="000000"/>
          <w:sz w:val="20"/>
          <w:szCs w:val="20"/>
        </w:rPr>
        <w:t>67.1(±1.8) years.</w:t>
      </w:r>
      <w:r w:rsidR="000652B7" w:rsidRPr="00D064FF">
        <w:rPr>
          <w:rFonts w:ascii="Times New Roman" w:hAnsi="Times New Roman"/>
          <w:sz w:val="20"/>
          <w:szCs w:val="20"/>
        </w:rPr>
        <w:t xml:space="preserve"> </w:t>
      </w:r>
      <w:proofErr w:type="gramStart"/>
      <w:r w:rsidR="000652B7" w:rsidRPr="00D064FF">
        <w:rPr>
          <w:rFonts w:ascii="Times New Roman" w:hAnsi="Times New Roman"/>
          <w:sz w:val="20"/>
          <w:szCs w:val="20"/>
        </w:rPr>
        <w:t xml:space="preserve">Forty </w:t>
      </w:r>
      <w:r w:rsidRPr="00D064FF">
        <w:rPr>
          <w:rFonts w:ascii="Times New Roman" w:hAnsi="Times New Roman"/>
          <w:sz w:val="20"/>
          <w:szCs w:val="20"/>
        </w:rPr>
        <w:t>six</w:t>
      </w:r>
      <w:proofErr w:type="gramEnd"/>
      <w:r w:rsidRPr="00D064FF">
        <w:rPr>
          <w:rFonts w:ascii="Times New Roman" w:hAnsi="Times New Roman"/>
          <w:sz w:val="20"/>
          <w:szCs w:val="20"/>
        </w:rPr>
        <w:t xml:space="preserve"> (45.5%) were between the age range of 60 – 69 years while 3 (3%) were in </w:t>
      </w:r>
      <w:r w:rsidR="009D6291" w:rsidRPr="00D064FF">
        <w:rPr>
          <w:rFonts w:ascii="Times New Roman" w:hAnsi="Times New Roman"/>
          <w:sz w:val="20"/>
          <w:szCs w:val="20"/>
        </w:rPr>
        <w:t>the age range</w:t>
      </w:r>
      <w:r w:rsidRPr="00D064FF">
        <w:rPr>
          <w:rFonts w:ascii="Times New Roman" w:hAnsi="Times New Roman"/>
          <w:sz w:val="20"/>
          <w:szCs w:val="20"/>
        </w:rPr>
        <w:t xml:space="preserve"> of 40 – 49 years (</w:t>
      </w:r>
      <w:r w:rsidRPr="00D064FF">
        <w:rPr>
          <w:rFonts w:ascii="Times New Roman" w:hAnsi="Times New Roman"/>
          <w:color w:val="000000"/>
          <w:sz w:val="20"/>
          <w:szCs w:val="20"/>
        </w:rPr>
        <w:t>figure 1).</w:t>
      </w:r>
      <w:r w:rsidRPr="00D064FF">
        <w:rPr>
          <w:rFonts w:ascii="Times New Roman" w:hAnsi="Times New Roman"/>
          <w:b/>
          <w:sz w:val="20"/>
          <w:szCs w:val="20"/>
        </w:rPr>
        <w:t xml:space="preserve"> </w:t>
      </w:r>
      <w:r w:rsidRPr="00D064FF">
        <w:rPr>
          <w:rFonts w:ascii="Times New Roman" w:hAnsi="Times New Roman"/>
          <w:sz w:val="20"/>
          <w:szCs w:val="20"/>
        </w:rPr>
        <w:t xml:space="preserve">Forty-three (42.6%) patients were retired, </w:t>
      </w:r>
      <w:proofErr w:type="gramStart"/>
      <w:r w:rsidRPr="00D064FF">
        <w:rPr>
          <w:rFonts w:ascii="Times New Roman" w:hAnsi="Times New Roman"/>
          <w:sz w:val="20"/>
          <w:szCs w:val="20"/>
        </w:rPr>
        <w:t>3</w:t>
      </w:r>
      <w:proofErr w:type="gramEnd"/>
      <w:r w:rsidRPr="00D064FF">
        <w:rPr>
          <w:rFonts w:ascii="Times New Roman" w:hAnsi="Times New Roman"/>
          <w:sz w:val="20"/>
          <w:szCs w:val="20"/>
        </w:rPr>
        <w:t xml:space="preserve"> (3%) were traditional rule</w:t>
      </w:r>
      <w:r w:rsidR="009D6291" w:rsidRPr="00D064FF">
        <w:rPr>
          <w:rFonts w:ascii="Times New Roman" w:hAnsi="Times New Roman"/>
          <w:sz w:val="20"/>
          <w:szCs w:val="20"/>
        </w:rPr>
        <w:t>rs and clergy men (none of them catholic)</w:t>
      </w:r>
      <w:r w:rsidRPr="00D064FF">
        <w:rPr>
          <w:rFonts w:ascii="Times New Roman" w:hAnsi="Times New Roman"/>
          <w:sz w:val="20"/>
          <w:szCs w:val="20"/>
        </w:rPr>
        <w:t xml:space="preserve"> </w:t>
      </w:r>
      <w:r w:rsidR="009D6291" w:rsidRPr="00D064FF">
        <w:rPr>
          <w:rFonts w:ascii="Times New Roman" w:hAnsi="Times New Roman"/>
          <w:sz w:val="20"/>
          <w:szCs w:val="20"/>
        </w:rPr>
        <w:t>respectively. O</w:t>
      </w:r>
      <w:r w:rsidRPr="00D064FF">
        <w:rPr>
          <w:rFonts w:ascii="Times New Roman" w:hAnsi="Times New Roman"/>
          <w:sz w:val="20"/>
          <w:szCs w:val="20"/>
        </w:rPr>
        <w:t>thers were civil servants 9 (8.9%), traders 19 (18.8%) and those in self-employment 24 (23.8%).</w:t>
      </w:r>
    </w:p>
    <w:p w:rsidR="00C35D52" w:rsidRPr="00D064FF" w:rsidRDefault="00C35D52" w:rsidP="00C35D52">
      <w:pPr>
        <w:snapToGrid w:val="0"/>
        <w:spacing w:after="0" w:line="240" w:lineRule="auto"/>
        <w:jc w:val="both"/>
        <w:rPr>
          <w:rFonts w:ascii="Times New Roman" w:hAnsi="Times New Roman"/>
          <w:b/>
          <w:sz w:val="20"/>
          <w:szCs w:val="20"/>
        </w:rPr>
        <w:sectPr w:rsidR="00C35D52" w:rsidRPr="00D064FF" w:rsidSect="00D064FF">
          <w:headerReference w:type="default" r:id="rId14"/>
          <w:footerReference w:type="default" r:id="rId15"/>
          <w:type w:val="continuous"/>
          <w:pgSz w:w="12242" w:h="15842" w:code="1"/>
          <w:pgMar w:top="1440" w:right="1440" w:bottom="1440" w:left="1440" w:header="720" w:footer="720" w:gutter="0"/>
          <w:cols w:num="2" w:space="576"/>
          <w:docGrid w:linePitch="360"/>
        </w:sectPr>
      </w:pPr>
    </w:p>
    <w:p w:rsidR="00CA425D" w:rsidRPr="00D064FF" w:rsidRDefault="00CA425D" w:rsidP="00C35D52">
      <w:pPr>
        <w:snapToGrid w:val="0"/>
        <w:spacing w:after="0" w:line="240" w:lineRule="auto"/>
        <w:jc w:val="both"/>
        <w:rPr>
          <w:rFonts w:ascii="Times New Roman" w:hAnsi="Times New Roman"/>
          <w:b/>
          <w:sz w:val="20"/>
          <w:szCs w:val="20"/>
        </w:rPr>
      </w:pPr>
    </w:p>
    <w:p w:rsidR="00244A81" w:rsidRPr="00D064FF" w:rsidRDefault="002B5588" w:rsidP="00C35D52">
      <w:pPr>
        <w:snapToGrid w:val="0"/>
        <w:spacing w:after="0" w:line="240" w:lineRule="auto"/>
        <w:jc w:val="center"/>
        <w:rPr>
          <w:rFonts w:ascii="Times New Roman" w:hAnsi="Times New Roman"/>
          <w:sz w:val="20"/>
          <w:szCs w:val="20"/>
        </w:rPr>
      </w:pPr>
      <w:r w:rsidRPr="00D064FF">
        <w:rPr>
          <w:rFonts w:ascii="Times New Roman" w:hAnsi="Times New Roman"/>
          <w:b/>
          <w:noProof/>
          <w:sz w:val="20"/>
          <w:szCs w:val="20"/>
        </w:rPr>
        <w:object w:dxaOrig="8612" w:dyaOrig="50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430.75pt;height:252.95pt;visibility:visible" o:ole="">
            <v:imagedata r:id="rId16" o:title=""/>
            <o:lock v:ext="edit" aspectratio="f"/>
          </v:shape>
          <o:OLEObject Type="Embed" ProgID="Excel.Sheet.8" ShapeID="Object 1" DrawAspect="Content" ObjectID="_1518608652" r:id="rId17">
            <o:FieldCodes>\s</o:FieldCodes>
          </o:OLEObject>
        </w:object>
      </w:r>
    </w:p>
    <w:p w:rsidR="00C35D52" w:rsidRPr="00D064FF" w:rsidRDefault="00C35D52" w:rsidP="00C35D52">
      <w:pPr>
        <w:snapToGrid w:val="0"/>
        <w:spacing w:after="0" w:line="240" w:lineRule="auto"/>
        <w:jc w:val="center"/>
        <w:rPr>
          <w:rFonts w:ascii="Times New Roman" w:hAnsi="Times New Roman"/>
          <w:b/>
          <w:sz w:val="20"/>
          <w:szCs w:val="20"/>
        </w:rPr>
      </w:pPr>
      <w:r w:rsidRPr="00D064FF">
        <w:rPr>
          <w:rFonts w:ascii="Times New Roman" w:hAnsi="Times New Roman"/>
          <w:b/>
          <w:sz w:val="20"/>
          <w:szCs w:val="20"/>
        </w:rPr>
        <w:t>Figure 1: Age distribution</w:t>
      </w:r>
    </w:p>
    <w:p w:rsidR="00C35D52" w:rsidRPr="00D064FF" w:rsidRDefault="00C35D52" w:rsidP="00C35D52">
      <w:pPr>
        <w:snapToGrid w:val="0"/>
        <w:spacing w:after="0" w:line="240" w:lineRule="auto"/>
        <w:ind w:firstLine="425"/>
        <w:jc w:val="both"/>
        <w:rPr>
          <w:rFonts w:ascii="Times New Roman" w:hAnsi="Times New Roman"/>
          <w:sz w:val="20"/>
          <w:szCs w:val="20"/>
          <w:lang w:eastAsia="zh-CN"/>
        </w:rPr>
      </w:pPr>
    </w:p>
    <w:p w:rsidR="00C35D52" w:rsidRPr="00D064FF" w:rsidRDefault="00C35D52" w:rsidP="00C35D52">
      <w:pPr>
        <w:snapToGrid w:val="0"/>
        <w:spacing w:after="0" w:line="240" w:lineRule="auto"/>
        <w:ind w:firstLine="425"/>
        <w:jc w:val="both"/>
        <w:rPr>
          <w:rFonts w:ascii="Times New Roman" w:hAnsi="Times New Roman"/>
          <w:sz w:val="20"/>
          <w:szCs w:val="20"/>
          <w:lang w:eastAsia="zh-CN"/>
        </w:rPr>
        <w:sectPr w:rsidR="00C35D52" w:rsidRPr="00D064FF" w:rsidSect="00945A82">
          <w:headerReference w:type="default" r:id="rId18"/>
          <w:footerReference w:type="default" r:id="rId19"/>
          <w:type w:val="continuous"/>
          <w:pgSz w:w="12242" w:h="15842" w:code="1"/>
          <w:pgMar w:top="1440" w:right="1440" w:bottom="1440" w:left="1440" w:header="720" w:footer="720" w:gutter="0"/>
          <w:cols w:space="708"/>
          <w:docGrid w:linePitch="360"/>
        </w:sectPr>
      </w:pPr>
    </w:p>
    <w:p w:rsidR="00977013" w:rsidRDefault="001F58AE" w:rsidP="00C35D52">
      <w:pPr>
        <w:snapToGrid w:val="0"/>
        <w:spacing w:after="0" w:line="240" w:lineRule="auto"/>
        <w:ind w:firstLine="425"/>
        <w:jc w:val="both"/>
        <w:rPr>
          <w:rFonts w:ascii="Times New Roman" w:hAnsi="Times New Roman"/>
          <w:sz w:val="20"/>
          <w:szCs w:val="20"/>
          <w:lang w:eastAsia="zh-CN"/>
        </w:rPr>
      </w:pPr>
      <w:r w:rsidRPr="00D064FF">
        <w:rPr>
          <w:rFonts w:ascii="Times New Roman" w:hAnsi="Times New Roman"/>
          <w:sz w:val="20"/>
          <w:szCs w:val="20"/>
        </w:rPr>
        <w:lastRenderedPageBreak/>
        <w:t xml:space="preserve">Fifty-two (51.5%) of the patients had tertiary education, while 34 (33.7%), 12 (11.9%), and </w:t>
      </w:r>
      <w:proofErr w:type="gramStart"/>
      <w:r w:rsidRPr="00D064FF">
        <w:rPr>
          <w:rFonts w:ascii="Times New Roman" w:hAnsi="Times New Roman"/>
          <w:sz w:val="20"/>
          <w:szCs w:val="20"/>
        </w:rPr>
        <w:t>3</w:t>
      </w:r>
      <w:proofErr w:type="gramEnd"/>
      <w:r w:rsidRPr="00D064FF">
        <w:rPr>
          <w:rFonts w:ascii="Times New Roman" w:hAnsi="Times New Roman"/>
          <w:sz w:val="20"/>
          <w:szCs w:val="20"/>
        </w:rPr>
        <w:t xml:space="preserve"> (3%) had secondary level, primary level, and no formal education respectively. Ninety-eight (97%) patients were married and </w:t>
      </w:r>
      <w:proofErr w:type="gramStart"/>
      <w:r w:rsidRPr="00D064FF">
        <w:rPr>
          <w:rFonts w:ascii="Times New Roman" w:hAnsi="Times New Roman"/>
          <w:sz w:val="20"/>
          <w:szCs w:val="20"/>
        </w:rPr>
        <w:t>3</w:t>
      </w:r>
      <w:proofErr w:type="gramEnd"/>
      <w:r w:rsidRPr="00D064FF">
        <w:rPr>
          <w:rFonts w:ascii="Times New Roman" w:hAnsi="Times New Roman"/>
          <w:sz w:val="20"/>
          <w:szCs w:val="20"/>
        </w:rPr>
        <w:t xml:space="preserve"> (3%) widowers. Eighty-two (81.2%) were Christians, 17 (16.8%) Muslims and </w:t>
      </w:r>
      <w:proofErr w:type="gramStart"/>
      <w:r w:rsidRPr="00D064FF">
        <w:rPr>
          <w:rFonts w:ascii="Times New Roman" w:hAnsi="Times New Roman"/>
          <w:sz w:val="20"/>
          <w:szCs w:val="20"/>
        </w:rPr>
        <w:t>2</w:t>
      </w:r>
      <w:proofErr w:type="gramEnd"/>
      <w:r w:rsidRPr="00D064FF">
        <w:rPr>
          <w:rFonts w:ascii="Times New Roman" w:hAnsi="Times New Roman"/>
          <w:sz w:val="20"/>
          <w:szCs w:val="20"/>
        </w:rPr>
        <w:t xml:space="preserve"> (2%) traditional religion worshippers.</w:t>
      </w:r>
      <w:r w:rsidR="00D064FF">
        <w:rPr>
          <w:rFonts w:ascii="Times New Roman" w:hAnsi="Times New Roman"/>
          <w:sz w:val="20"/>
          <w:szCs w:val="20"/>
        </w:rPr>
        <w:t xml:space="preserve"> </w:t>
      </w:r>
      <w:r w:rsidRPr="00D064FF">
        <w:rPr>
          <w:rFonts w:ascii="Times New Roman" w:hAnsi="Times New Roman"/>
          <w:sz w:val="20"/>
          <w:szCs w:val="20"/>
        </w:rPr>
        <w:t xml:space="preserve">Fifty (49.5%) of the patients neither smoke nor consume alcohol, 37 (36.6%) of them smoke and consume alcohol while 11 (10.9%), and </w:t>
      </w:r>
      <w:proofErr w:type="gramStart"/>
      <w:r w:rsidRPr="00D064FF">
        <w:rPr>
          <w:rFonts w:ascii="Times New Roman" w:hAnsi="Times New Roman"/>
          <w:sz w:val="20"/>
          <w:szCs w:val="20"/>
        </w:rPr>
        <w:t>3</w:t>
      </w:r>
      <w:proofErr w:type="gramEnd"/>
      <w:r w:rsidRPr="00D064FF">
        <w:rPr>
          <w:rFonts w:ascii="Times New Roman" w:hAnsi="Times New Roman"/>
          <w:sz w:val="20"/>
          <w:szCs w:val="20"/>
        </w:rPr>
        <w:t xml:space="preserve"> (3%) consume alcohol only and smoke only respectively.</w:t>
      </w:r>
    </w:p>
    <w:p w:rsidR="00D064FF" w:rsidRPr="00D064FF" w:rsidRDefault="00D064FF" w:rsidP="00C35D52">
      <w:pPr>
        <w:snapToGrid w:val="0"/>
        <w:spacing w:after="0" w:line="240" w:lineRule="auto"/>
        <w:ind w:firstLine="425"/>
        <w:jc w:val="both"/>
        <w:rPr>
          <w:rFonts w:ascii="Times New Roman" w:hAnsi="Times New Roman"/>
          <w:sz w:val="20"/>
          <w:szCs w:val="20"/>
          <w:lang w:eastAsia="zh-CN"/>
        </w:rPr>
      </w:pPr>
    </w:p>
    <w:p w:rsidR="001F58AE" w:rsidRPr="00D064FF" w:rsidRDefault="00977013" w:rsidP="00C35D52">
      <w:pPr>
        <w:snapToGrid w:val="0"/>
        <w:spacing w:after="0" w:line="240" w:lineRule="auto"/>
        <w:jc w:val="both"/>
        <w:rPr>
          <w:rFonts w:ascii="Times New Roman" w:hAnsi="Times New Roman"/>
          <w:b/>
          <w:sz w:val="20"/>
          <w:szCs w:val="20"/>
        </w:rPr>
      </w:pPr>
      <w:r w:rsidRPr="00D064FF">
        <w:rPr>
          <w:rFonts w:ascii="Times New Roman" w:hAnsi="Times New Roman"/>
          <w:b/>
          <w:sz w:val="20"/>
          <w:szCs w:val="20"/>
        </w:rPr>
        <w:t>Symptoms and Disease Stages</w:t>
      </w:r>
    </w:p>
    <w:p w:rsidR="001F58AE" w:rsidRPr="00D064FF" w:rsidRDefault="009D6291" w:rsidP="00C35D52">
      <w:pPr>
        <w:snapToGrid w:val="0"/>
        <w:spacing w:after="0" w:line="240" w:lineRule="auto"/>
        <w:ind w:firstLine="425"/>
        <w:jc w:val="both"/>
        <w:rPr>
          <w:rFonts w:ascii="Times New Roman" w:hAnsi="Times New Roman"/>
          <w:sz w:val="20"/>
          <w:szCs w:val="20"/>
        </w:rPr>
      </w:pPr>
      <w:r w:rsidRPr="00D064FF">
        <w:rPr>
          <w:rFonts w:ascii="Times New Roman" w:hAnsi="Times New Roman"/>
          <w:sz w:val="20"/>
          <w:szCs w:val="20"/>
        </w:rPr>
        <w:lastRenderedPageBreak/>
        <w:t>Forty-five (44.6%) patients</w:t>
      </w:r>
      <w:r w:rsidR="001F58AE" w:rsidRPr="00D064FF">
        <w:rPr>
          <w:rFonts w:ascii="Times New Roman" w:hAnsi="Times New Roman"/>
          <w:sz w:val="20"/>
          <w:szCs w:val="20"/>
        </w:rPr>
        <w:t xml:space="preserve"> had back pain, </w:t>
      </w:r>
      <w:r w:rsidRPr="00D064FF">
        <w:rPr>
          <w:rFonts w:ascii="Times New Roman" w:hAnsi="Times New Roman"/>
          <w:sz w:val="20"/>
          <w:szCs w:val="20"/>
        </w:rPr>
        <w:t>while 21(20.8%) had</w:t>
      </w:r>
      <w:r w:rsidR="001F58AE" w:rsidRPr="00D064FF">
        <w:rPr>
          <w:rFonts w:ascii="Times New Roman" w:hAnsi="Times New Roman"/>
          <w:sz w:val="20"/>
          <w:szCs w:val="20"/>
        </w:rPr>
        <w:t xml:space="preserve"> </w:t>
      </w:r>
      <w:proofErr w:type="spellStart"/>
      <w:r w:rsidR="001F58AE" w:rsidRPr="00D064FF">
        <w:rPr>
          <w:rFonts w:ascii="Times New Roman" w:hAnsi="Times New Roman"/>
          <w:sz w:val="20"/>
          <w:szCs w:val="20"/>
        </w:rPr>
        <w:t>paraparesis</w:t>
      </w:r>
      <w:proofErr w:type="spellEnd"/>
      <w:r w:rsidR="001F58AE" w:rsidRPr="00D064FF">
        <w:rPr>
          <w:rFonts w:ascii="Times New Roman" w:hAnsi="Times New Roman"/>
          <w:sz w:val="20"/>
          <w:szCs w:val="20"/>
        </w:rPr>
        <w:t xml:space="preserve"> at </w:t>
      </w:r>
      <w:r w:rsidRPr="00D064FF">
        <w:rPr>
          <w:rFonts w:ascii="Times New Roman" w:hAnsi="Times New Roman"/>
          <w:sz w:val="20"/>
          <w:szCs w:val="20"/>
        </w:rPr>
        <w:t xml:space="preserve">the </w:t>
      </w:r>
      <w:r w:rsidR="001F58AE" w:rsidRPr="00D064FF">
        <w:rPr>
          <w:rFonts w:ascii="Times New Roman" w:hAnsi="Times New Roman"/>
          <w:sz w:val="20"/>
          <w:szCs w:val="20"/>
        </w:rPr>
        <w:t>time of presentation. Average duration of illness</w:t>
      </w:r>
      <w:r w:rsidRPr="00D064FF">
        <w:rPr>
          <w:rFonts w:ascii="Times New Roman" w:hAnsi="Times New Roman"/>
          <w:sz w:val="20"/>
          <w:szCs w:val="20"/>
        </w:rPr>
        <w:t xml:space="preserve"> prior to presentation at Radiotherapy</w:t>
      </w:r>
      <w:r w:rsidR="001F58AE" w:rsidRPr="00D064FF">
        <w:rPr>
          <w:rFonts w:ascii="Times New Roman" w:hAnsi="Times New Roman"/>
          <w:sz w:val="20"/>
          <w:szCs w:val="20"/>
        </w:rPr>
        <w:t xml:space="preserve"> was 22.3 months. All the patients had </w:t>
      </w:r>
      <w:proofErr w:type="spellStart"/>
      <w:r w:rsidR="001F58AE" w:rsidRPr="00D064FF">
        <w:rPr>
          <w:rFonts w:ascii="Times New Roman" w:hAnsi="Times New Roman"/>
          <w:sz w:val="20"/>
          <w:szCs w:val="20"/>
        </w:rPr>
        <w:t>histologically</w:t>
      </w:r>
      <w:proofErr w:type="spellEnd"/>
      <w:r w:rsidR="001F58AE" w:rsidRPr="00D064FF">
        <w:rPr>
          <w:rFonts w:ascii="Times New Roman" w:hAnsi="Times New Roman"/>
          <w:sz w:val="20"/>
          <w:szCs w:val="20"/>
        </w:rPr>
        <w:t xml:space="preserve"> confirmed </w:t>
      </w:r>
      <w:proofErr w:type="spellStart"/>
      <w:r w:rsidR="001F58AE" w:rsidRPr="00D064FF">
        <w:rPr>
          <w:rFonts w:ascii="Times New Roman" w:hAnsi="Times New Roman"/>
          <w:sz w:val="20"/>
          <w:szCs w:val="20"/>
        </w:rPr>
        <w:t>adenocarcinoma</w:t>
      </w:r>
      <w:proofErr w:type="spellEnd"/>
      <w:r w:rsidR="001F58AE" w:rsidRPr="00D064FF">
        <w:rPr>
          <w:rFonts w:ascii="Times New Roman" w:hAnsi="Times New Roman"/>
          <w:sz w:val="20"/>
          <w:szCs w:val="20"/>
        </w:rPr>
        <w:t>.</w:t>
      </w:r>
    </w:p>
    <w:p w:rsidR="001F58AE" w:rsidRPr="00D064FF" w:rsidRDefault="001F58AE" w:rsidP="00C35D52">
      <w:pPr>
        <w:snapToGrid w:val="0"/>
        <w:spacing w:after="0" w:line="240" w:lineRule="auto"/>
        <w:ind w:firstLine="425"/>
        <w:jc w:val="both"/>
        <w:rPr>
          <w:rFonts w:ascii="Times New Roman" w:hAnsi="Times New Roman"/>
          <w:sz w:val="20"/>
          <w:szCs w:val="20"/>
        </w:rPr>
      </w:pPr>
      <w:r w:rsidRPr="00D064FF">
        <w:rPr>
          <w:rFonts w:ascii="Times New Roman" w:hAnsi="Times New Roman"/>
          <w:sz w:val="20"/>
          <w:szCs w:val="20"/>
        </w:rPr>
        <w:t xml:space="preserve">There were 91(90.1%) stage IV, 9(8.9%) stage III and </w:t>
      </w:r>
      <w:proofErr w:type="gramStart"/>
      <w:r w:rsidRPr="00D064FF">
        <w:rPr>
          <w:rFonts w:ascii="Times New Roman" w:hAnsi="Times New Roman"/>
          <w:sz w:val="20"/>
          <w:szCs w:val="20"/>
        </w:rPr>
        <w:t>1</w:t>
      </w:r>
      <w:proofErr w:type="gramEnd"/>
      <w:r w:rsidRPr="00D064FF">
        <w:rPr>
          <w:rFonts w:ascii="Times New Roman" w:hAnsi="Times New Roman"/>
          <w:sz w:val="20"/>
          <w:szCs w:val="20"/>
        </w:rPr>
        <w:t xml:space="preserve"> (1%) stage 2 diseases. No patient presented with a stage 1 disease.</w:t>
      </w:r>
    </w:p>
    <w:p w:rsidR="001F58AE" w:rsidRPr="00D064FF" w:rsidRDefault="001F58AE" w:rsidP="00C35D52">
      <w:pPr>
        <w:snapToGrid w:val="0"/>
        <w:spacing w:after="0" w:line="240" w:lineRule="auto"/>
        <w:ind w:firstLine="425"/>
        <w:jc w:val="both"/>
        <w:rPr>
          <w:rFonts w:ascii="Times New Roman" w:hAnsi="Times New Roman"/>
          <w:sz w:val="20"/>
          <w:szCs w:val="20"/>
        </w:rPr>
      </w:pPr>
      <w:r w:rsidRPr="00D064FF">
        <w:rPr>
          <w:rFonts w:ascii="Times New Roman" w:hAnsi="Times New Roman"/>
          <w:sz w:val="20"/>
          <w:szCs w:val="20"/>
        </w:rPr>
        <w:t xml:space="preserve">The PSA level ranges from 1.12ng/ml - 837ng/ml. Forty (39.6%) patients had a PSA range of 40.1 – 100ng/ml and 4 (4%) with PSA of </w:t>
      </w:r>
      <w:proofErr w:type="gramStart"/>
      <w:r w:rsidRPr="00D064FF">
        <w:rPr>
          <w:rFonts w:ascii="Times New Roman" w:hAnsi="Times New Roman"/>
          <w:sz w:val="20"/>
          <w:szCs w:val="20"/>
        </w:rPr>
        <w:t>0</w:t>
      </w:r>
      <w:proofErr w:type="gramEnd"/>
      <w:r w:rsidRPr="00D064FF">
        <w:rPr>
          <w:rFonts w:ascii="Times New Roman" w:hAnsi="Times New Roman"/>
          <w:sz w:val="20"/>
          <w:szCs w:val="20"/>
        </w:rPr>
        <w:t xml:space="preserve"> – 4ng/ml and</w:t>
      </w:r>
      <w:r w:rsidR="006109D4" w:rsidRPr="00D064FF">
        <w:rPr>
          <w:rFonts w:ascii="Times New Roman" w:hAnsi="Times New Roman"/>
          <w:sz w:val="20"/>
          <w:szCs w:val="20"/>
        </w:rPr>
        <w:t xml:space="preserve"> another 4 (4%) had </w:t>
      </w:r>
      <w:r w:rsidRPr="00D064FF">
        <w:rPr>
          <w:rFonts w:ascii="Times New Roman" w:hAnsi="Times New Roman"/>
          <w:sz w:val="20"/>
          <w:szCs w:val="20"/>
        </w:rPr>
        <w:t xml:space="preserve">PSA </w:t>
      </w:r>
      <w:r w:rsidR="006109D4" w:rsidRPr="00D064FF">
        <w:rPr>
          <w:rFonts w:ascii="Times New Roman" w:hAnsi="Times New Roman"/>
          <w:sz w:val="20"/>
          <w:szCs w:val="20"/>
        </w:rPr>
        <w:t xml:space="preserve">levels above 500ng/ml. </w:t>
      </w:r>
      <w:r w:rsidRPr="00D064FF">
        <w:rPr>
          <w:rFonts w:ascii="Times New Roman" w:hAnsi="Times New Roman"/>
          <w:sz w:val="20"/>
          <w:szCs w:val="20"/>
        </w:rPr>
        <w:t>(Figure 2).</w:t>
      </w:r>
    </w:p>
    <w:p w:rsidR="00C35D52" w:rsidRPr="00D064FF" w:rsidRDefault="00C35D52" w:rsidP="00C35D52">
      <w:pPr>
        <w:snapToGrid w:val="0"/>
        <w:spacing w:after="0" w:line="240" w:lineRule="auto"/>
        <w:jc w:val="both"/>
        <w:rPr>
          <w:rFonts w:ascii="Times New Roman" w:hAnsi="Times New Roman"/>
          <w:b/>
          <w:sz w:val="20"/>
          <w:szCs w:val="20"/>
        </w:rPr>
        <w:sectPr w:rsidR="00C35D52" w:rsidRPr="00D064FF" w:rsidSect="00D064FF">
          <w:headerReference w:type="default" r:id="rId20"/>
          <w:footerReference w:type="default" r:id="rId21"/>
          <w:type w:val="continuous"/>
          <w:pgSz w:w="12242" w:h="15842" w:code="1"/>
          <w:pgMar w:top="1440" w:right="1440" w:bottom="1440" w:left="1440" w:header="720" w:footer="720" w:gutter="0"/>
          <w:cols w:num="2" w:space="576"/>
          <w:docGrid w:linePitch="360"/>
        </w:sectPr>
      </w:pPr>
    </w:p>
    <w:p w:rsidR="00F7468A" w:rsidRPr="00D064FF" w:rsidRDefault="00F7468A" w:rsidP="00C35D52">
      <w:pPr>
        <w:snapToGrid w:val="0"/>
        <w:spacing w:after="0" w:line="240" w:lineRule="auto"/>
        <w:jc w:val="both"/>
        <w:rPr>
          <w:rFonts w:ascii="Times New Roman" w:hAnsi="Times New Roman"/>
          <w:b/>
          <w:sz w:val="20"/>
          <w:szCs w:val="20"/>
        </w:rPr>
      </w:pPr>
    </w:p>
    <w:p w:rsidR="00F7468A" w:rsidRDefault="00F7468A" w:rsidP="00C35D52">
      <w:pPr>
        <w:snapToGrid w:val="0"/>
        <w:spacing w:after="0" w:line="240" w:lineRule="auto"/>
        <w:ind w:firstLine="425"/>
        <w:jc w:val="both"/>
        <w:rPr>
          <w:rFonts w:ascii="Times New Roman" w:hAnsi="Times New Roman"/>
          <w:b/>
          <w:sz w:val="20"/>
          <w:szCs w:val="20"/>
          <w:lang w:eastAsia="zh-CN"/>
        </w:rPr>
      </w:pPr>
    </w:p>
    <w:p w:rsidR="00D064FF" w:rsidRDefault="00D064FF" w:rsidP="00C35D52">
      <w:pPr>
        <w:snapToGrid w:val="0"/>
        <w:spacing w:after="0" w:line="240" w:lineRule="auto"/>
        <w:ind w:firstLine="425"/>
        <w:jc w:val="both"/>
        <w:rPr>
          <w:rFonts w:ascii="Times New Roman" w:hAnsi="Times New Roman"/>
          <w:b/>
          <w:sz w:val="20"/>
          <w:szCs w:val="20"/>
          <w:lang w:eastAsia="zh-CN"/>
        </w:rPr>
      </w:pPr>
    </w:p>
    <w:p w:rsidR="00D064FF" w:rsidRPr="00D064FF" w:rsidRDefault="00D064FF" w:rsidP="00C35D52">
      <w:pPr>
        <w:snapToGrid w:val="0"/>
        <w:spacing w:after="0" w:line="240" w:lineRule="auto"/>
        <w:ind w:firstLine="425"/>
        <w:jc w:val="both"/>
        <w:rPr>
          <w:rFonts w:ascii="Times New Roman" w:hAnsi="Times New Roman"/>
          <w:b/>
          <w:sz w:val="20"/>
          <w:szCs w:val="20"/>
          <w:lang w:eastAsia="zh-CN"/>
        </w:rPr>
      </w:pPr>
    </w:p>
    <w:p w:rsidR="00244A81" w:rsidRPr="00D064FF" w:rsidRDefault="002B5588" w:rsidP="00C35D52">
      <w:pPr>
        <w:autoSpaceDE w:val="0"/>
        <w:autoSpaceDN w:val="0"/>
        <w:adjustRightInd w:val="0"/>
        <w:snapToGrid w:val="0"/>
        <w:spacing w:after="0" w:line="240" w:lineRule="auto"/>
        <w:jc w:val="center"/>
        <w:rPr>
          <w:rFonts w:ascii="Times New Roman" w:hAnsi="Times New Roman"/>
          <w:sz w:val="20"/>
          <w:szCs w:val="20"/>
        </w:rPr>
      </w:pPr>
      <w:r w:rsidRPr="00D064FF">
        <w:rPr>
          <w:rFonts w:ascii="Times New Roman" w:hAnsi="Times New Roman"/>
          <w:noProof/>
          <w:sz w:val="20"/>
          <w:szCs w:val="20"/>
        </w:rPr>
        <w:object w:dxaOrig="8612" w:dyaOrig="5060">
          <v:shape id="Object 2" o:spid="_x0000_i1026" type="#_x0000_t75" style="width:430.75pt;height:252.95pt;visibility:visible" o:ole="">
            <v:imagedata r:id="rId22" o:title=""/>
            <o:lock v:ext="edit" aspectratio="f"/>
          </v:shape>
          <o:OLEObject Type="Embed" ProgID="Excel.Sheet.8" ShapeID="Object 2" DrawAspect="Content" ObjectID="_1518608653" r:id="rId23">
            <o:FieldCodes>\s</o:FieldCodes>
          </o:OLEObject>
        </w:object>
      </w:r>
    </w:p>
    <w:p w:rsidR="00C35D52" w:rsidRPr="00D064FF" w:rsidRDefault="00C35D52" w:rsidP="00C35D52">
      <w:pPr>
        <w:snapToGrid w:val="0"/>
        <w:spacing w:after="0" w:line="240" w:lineRule="auto"/>
        <w:jc w:val="center"/>
        <w:rPr>
          <w:rFonts w:ascii="Times New Roman" w:hAnsi="Times New Roman"/>
          <w:b/>
          <w:sz w:val="20"/>
          <w:szCs w:val="20"/>
        </w:rPr>
      </w:pPr>
      <w:r w:rsidRPr="00D064FF">
        <w:rPr>
          <w:rFonts w:ascii="Times New Roman" w:hAnsi="Times New Roman"/>
          <w:b/>
          <w:sz w:val="20"/>
          <w:szCs w:val="20"/>
        </w:rPr>
        <w:t>Figure 2:</w:t>
      </w:r>
      <w:r w:rsidR="00D064FF">
        <w:rPr>
          <w:rFonts w:ascii="Times New Roman" w:hAnsi="Times New Roman"/>
          <w:b/>
          <w:sz w:val="20"/>
          <w:szCs w:val="20"/>
        </w:rPr>
        <w:t xml:space="preserve"> </w:t>
      </w:r>
      <w:r w:rsidRPr="00D064FF">
        <w:rPr>
          <w:rFonts w:ascii="Times New Roman" w:hAnsi="Times New Roman"/>
          <w:b/>
          <w:sz w:val="20"/>
          <w:szCs w:val="20"/>
        </w:rPr>
        <w:t>PSA Level at presentation.</w:t>
      </w:r>
    </w:p>
    <w:p w:rsidR="00244A81" w:rsidRDefault="00244A81" w:rsidP="00C35D52">
      <w:pPr>
        <w:autoSpaceDE w:val="0"/>
        <w:autoSpaceDN w:val="0"/>
        <w:adjustRightInd w:val="0"/>
        <w:snapToGrid w:val="0"/>
        <w:spacing w:after="0" w:line="240" w:lineRule="auto"/>
        <w:ind w:firstLine="425"/>
        <w:jc w:val="both"/>
        <w:rPr>
          <w:rFonts w:ascii="Times New Roman" w:hAnsi="Times New Roman"/>
          <w:sz w:val="20"/>
          <w:szCs w:val="20"/>
          <w:lang w:eastAsia="zh-CN"/>
        </w:rPr>
      </w:pPr>
    </w:p>
    <w:p w:rsidR="00D064FF" w:rsidRPr="00D064FF" w:rsidRDefault="00D064FF" w:rsidP="00C35D52">
      <w:pPr>
        <w:autoSpaceDE w:val="0"/>
        <w:autoSpaceDN w:val="0"/>
        <w:adjustRightInd w:val="0"/>
        <w:snapToGrid w:val="0"/>
        <w:spacing w:after="0" w:line="240" w:lineRule="auto"/>
        <w:ind w:firstLine="425"/>
        <w:jc w:val="both"/>
        <w:rPr>
          <w:rFonts w:ascii="Times New Roman" w:hAnsi="Times New Roman"/>
          <w:sz w:val="20"/>
          <w:szCs w:val="20"/>
          <w:lang w:eastAsia="zh-CN"/>
        </w:rPr>
      </w:pPr>
    </w:p>
    <w:p w:rsidR="00C35D52" w:rsidRPr="00D064FF" w:rsidRDefault="00C35D52" w:rsidP="00C35D52">
      <w:pPr>
        <w:snapToGrid w:val="0"/>
        <w:spacing w:after="0" w:line="240" w:lineRule="auto"/>
        <w:ind w:firstLine="425"/>
        <w:jc w:val="both"/>
        <w:rPr>
          <w:rFonts w:ascii="Times New Roman" w:hAnsi="Times New Roman"/>
          <w:sz w:val="20"/>
          <w:szCs w:val="20"/>
        </w:rPr>
        <w:sectPr w:rsidR="00C35D52" w:rsidRPr="00D064FF" w:rsidSect="00945A82">
          <w:headerReference w:type="default" r:id="rId24"/>
          <w:footerReference w:type="default" r:id="rId25"/>
          <w:type w:val="continuous"/>
          <w:pgSz w:w="12242" w:h="15842" w:code="1"/>
          <w:pgMar w:top="1440" w:right="1440" w:bottom="1440" w:left="1440" w:header="720" w:footer="720" w:gutter="0"/>
          <w:cols w:space="708"/>
          <w:docGrid w:linePitch="360"/>
        </w:sectPr>
      </w:pPr>
    </w:p>
    <w:p w:rsidR="00C35D52" w:rsidRPr="00D064FF" w:rsidRDefault="001F58AE" w:rsidP="00C35D52">
      <w:pPr>
        <w:snapToGrid w:val="0"/>
        <w:spacing w:after="0" w:line="240" w:lineRule="auto"/>
        <w:ind w:firstLine="425"/>
        <w:jc w:val="both"/>
        <w:rPr>
          <w:rFonts w:ascii="Times New Roman" w:hAnsi="Times New Roman"/>
          <w:b/>
          <w:sz w:val="20"/>
          <w:szCs w:val="20"/>
        </w:rPr>
      </w:pPr>
      <w:r w:rsidRPr="00D064FF">
        <w:rPr>
          <w:rFonts w:ascii="Times New Roman" w:hAnsi="Times New Roman"/>
          <w:sz w:val="20"/>
          <w:szCs w:val="20"/>
        </w:rPr>
        <w:lastRenderedPageBreak/>
        <w:t xml:space="preserve">Ninety-one (90.1%) patients had positive TBS at presentation, while 10 (9) were negative. Sixty (59.4%) TBS showed wide spread bony metastasis, </w:t>
      </w:r>
      <w:r w:rsidRPr="00D064FF">
        <w:rPr>
          <w:rFonts w:ascii="Times New Roman" w:hAnsi="Times New Roman"/>
          <w:sz w:val="20"/>
          <w:szCs w:val="20"/>
        </w:rPr>
        <w:lastRenderedPageBreak/>
        <w:t xml:space="preserve">14 (13.9%) had </w:t>
      </w:r>
      <w:r w:rsidR="006109D4" w:rsidRPr="00D064FF">
        <w:rPr>
          <w:rFonts w:ascii="Times New Roman" w:hAnsi="Times New Roman"/>
          <w:sz w:val="20"/>
          <w:szCs w:val="20"/>
        </w:rPr>
        <w:t xml:space="preserve">only </w:t>
      </w:r>
      <w:proofErr w:type="gramStart"/>
      <w:r w:rsidRPr="00D064FF">
        <w:rPr>
          <w:rFonts w:ascii="Times New Roman" w:hAnsi="Times New Roman"/>
          <w:sz w:val="20"/>
          <w:szCs w:val="20"/>
        </w:rPr>
        <w:t>two</w:t>
      </w:r>
      <w:proofErr w:type="gramEnd"/>
      <w:r w:rsidRPr="00D064FF">
        <w:rPr>
          <w:rFonts w:ascii="Times New Roman" w:hAnsi="Times New Roman"/>
          <w:sz w:val="20"/>
          <w:szCs w:val="20"/>
        </w:rPr>
        <w:t xml:space="preserve"> sites </w:t>
      </w:r>
      <w:r w:rsidR="006109D4" w:rsidRPr="00D064FF">
        <w:rPr>
          <w:rFonts w:ascii="Times New Roman" w:hAnsi="Times New Roman"/>
          <w:sz w:val="20"/>
          <w:szCs w:val="20"/>
        </w:rPr>
        <w:t xml:space="preserve">of </w:t>
      </w:r>
      <w:r w:rsidRPr="00D064FF">
        <w:rPr>
          <w:rFonts w:ascii="Times New Roman" w:hAnsi="Times New Roman"/>
          <w:sz w:val="20"/>
          <w:szCs w:val="20"/>
        </w:rPr>
        <w:t>bone involvement and 17 (16.8%) had single site bone involvement (Table 1).</w:t>
      </w:r>
      <w:r w:rsidR="00D064FF">
        <w:rPr>
          <w:rFonts w:ascii="Times New Roman" w:hAnsi="Times New Roman"/>
          <w:sz w:val="20"/>
          <w:szCs w:val="20"/>
        </w:rPr>
        <w:t xml:space="preserve"> </w:t>
      </w:r>
      <w:r w:rsidR="00244A81" w:rsidRPr="00D064FF">
        <w:rPr>
          <w:rFonts w:ascii="Times New Roman" w:hAnsi="Times New Roman"/>
          <w:b/>
          <w:sz w:val="20"/>
          <w:szCs w:val="20"/>
        </w:rPr>
        <w:t xml:space="preserve"> </w:t>
      </w:r>
    </w:p>
    <w:p w:rsidR="00C35D52" w:rsidRPr="00D064FF" w:rsidRDefault="00C35D52" w:rsidP="00C35D52">
      <w:pPr>
        <w:snapToGrid w:val="0"/>
        <w:spacing w:after="0" w:line="240" w:lineRule="auto"/>
        <w:ind w:firstLine="425"/>
        <w:jc w:val="both"/>
        <w:rPr>
          <w:rFonts w:ascii="Times New Roman" w:hAnsi="Times New Roman"/>
          <w:b/>
          <w:sz w:val="20"/>
          <w:szCs w:val="20"/>
        </w:rPr>
        <w:sectPr w:rsidR="00C35D52" w:rsidRPr="00D064FF" w:rsidSect="00945A82">
          <w:headerReference w:type="default" r:id="rId26"/>
          <w:footerReference w:type="default" r:id="rId27"/>
          <w:type w:val="continuous"/>
          <w:pgSz w:w="12242" w:h="15842" w:code="1"/>
          <w:pgMar w:top="1440" w:right="1440" w:bottom="1440" w:left="1440" w:header="720" w:footer="720" w:gutter="0"/>
          <w:cols w:num="2" w:space="708"/>
          <w:docGrid w:linePitch="360"/>
        </w:sectPr>
      </w:pPr>
    </w:p>
    <w:p w:rsidR="00244A81" w:rsidRPr="00D064FF" w:rsidRDefault="00244A81" w:rsidP="00C35D52">
      <w:pPr>
        <w:snapToGrid w:val="0"/>
        <w:spacing w:after="0" w:line="240" w:lineRule="auto"/>
        <w:jc w:val="center"/>
        <w:rPr>
          <w:rFonts w:ascii="Times New Roman" w:hAnsi="Times New Roman"/>
          <w:sz w:val="20"/>
          <w:szCs w:val="20"/>
        </w:rPr>
      </w:pPr>
    </w:p>
    <w:p w:rsidR="00D064FF" w:rsidRDefault="00D064FF" w:rsidP="00C35D52">
      <w:pPr>
        <w:snapToGrid w:val="0"/>
        <w:spacing w:after="0" w:line="240" w:lineRule="auto"/>
        <w:jc w:val="center"/>
        <w:rPr>
          <w:rFonts w:ascii="Times New Roman" w:hAnsi="Times New Roman"/>
          <w:b/>
          <w:bCs/>
          <w:color w:val="000000"/>
          <w:sz w:val="20"/>
          <w:szCs w:val="20"/>
          <w:lang w:eastAsia="zh-CN"/>
        </w:rPr>
      </w:pPr>
    </w:p>
    <w:p w:rsidR="00244A81" w:rsidRPr="00D064FF" w:rsidRDefault="00244A81" w:rsidP="00C35D52">
      <w:pPr>
        <w:snapToGrid w:val="0"/>
        <w:spacing w:after="0" w:line="240" w:lineRule="auto"/>
        <w:jc w:val="center"/>
        <w:rPr>
          <w:rFonts w:ascii="Times New Roman" w:hAnsi="Times New Roman"/>
          <w:sz w:val="20"/>
          <w:szCs w:val="20"/>
        </w:rPr>
      </w:pPr>
      <w:proofErr w:type="gramStart"/>
      <w:r w:rsidRPr="00D064FF">
        <w:rPr>
          <w:rFonts w:ascii="Times New Roman" w:hAnsi="Times New Roman"/>
          <w:b/>
          <w:bCs/>
          <w:color w:val="000000"/>
          <w:sz w:val="20"/>
          <w:szCs w:val="20"/>
        </w:rPr>
        <w:t>Table 1: Correlation between PSA and TBS at Presentation.</w:t>
      </w:r>
      <w:proofErr w:type="gramEnd"/>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30"/>
        <w:gridCol w:w="1192"/>
        <w:gridCol w:w="1352"/>
        <w:gridCol w:w="1354"/>
        <w:gridCol w:w="1352"/>
        <w:gridCol w:w="1354"/>
        <w:gridCol w:w="944"/>
      </w:tblGrid>
      <w:tr w:rsidR="00244A81" w:rsidRPr="00D064FF" w:rsidTr="00C35D52">
        <w:trPr>
          <w:jc w:val="center"/>
        </w:trPr>
        <w:tc>
          <w:tcPr>
            <w:tcW w:w="1059" w:type="pct"/>
          </w:tcPr>
          <w:p w:rsidR="00244A81" w:rsidRPr="00D064FF" w:rsidRDefault="00244A81" w:rsidP="00C35D52">
            <w:pPr>
              <w:autoSpaceDE w:val="0"/>
              <w:autoSpaceDN w:val="0"/>
              <w:adjustRightInd w:val="0"/>
              <w:snapToGrid w:val="0"/>
              <w:spacing w:after="0" w:line="240" w:lineRule="auto"/>
              <w:jc w:val="both"/>
              <w:rPr>
                <w:rFonts w:ascii="Times New Roman" w:eastAsiaTheme="minorEastAsia" w:hAnsi="Times New Roman"/>
                <w:b/>
                <w:color w:val="000000"/>
                <w:sz w:val="20"/>
                <w:szCs w:val="20"/>
              </w:rPr>
            </w:pPr>
          </w:p>
          <w:p w:rsidR="00244A81" w:rsidRPr="00D064FF" w:rsidRDefault="00244A81" w:rsidP="00C35D52">
            <w:pPr>
              <w:autoSpaceDE w:val="0"/>
              <w:autoSpaceDN w:val="0"/>
              <w:adjustRightInd w:val="0"/>
              <w:snapToGrid w:val="0"/>
              <w:spacing w:after="0" w:line="240" w:lineRule="auto"/>
              <w:jc w:val="both"/>
              <w:rPr>
                <w:rFonts w:ascii="Times New Roman" w:eastAsiaTheme="minorEastAsia" w:hAnsi="Times New Roman"/>
                <w:b/>
                <w:color w:val="000000"/>
                <w:sz w:val="20"/>
                <w:szCs w:val="20"/>
              </w:rPr>
            </w:pPr>
            <w:r w:rsidRPr="00D064FF">
              <w:rPr>
                <w:rFonts w:ascii="Times New Roman" w:eastAsiaTheme="minorEastAsia" w:hAnsi="Times New Roman"/>
                <w:b/>
                <w:color w:val="000000"/>
                <w:sz w:val="20"/>
                <w:szCs w:val="20"/>
              </w:rPr>
              <w:t>PSA at presentation</w:t>
            </w:r>
          </w:p>
        </w:tc>
        <w:tc>
          <w:tcPr>
            <w:tcW w:w="622" w:type="pct"/>
            <w:vAlign w:val="bottom"/>
          </w:tcPr>
          <w:p w:rsidR="00244A81" w:rsidRPr="00D064FF" w:rsidRDefault="00244A81" w:rsidP="00C35D52">
            <w:pPr>
              <w:snapToGrid w:val="0"/>
              <w:spacing w:after="0" w:line="240" w:lineRule="auto"/>
              <w:jc w:val="both"/>
              <w:rPr>
                <w:rFonts w:ascii="Times New Roman" w:eastAsiaTheme="minorEastAsia" w:hAnsi="Times New Roman"/>
                <w:b/>
                <w:color w:val="000000"/>
                <w:sz w:val="20"/>
                <w:szCs w:val="20"/>
              </w:rPr>
            </w:pPr>
            <w:r w:rsidRPr="00D064FF">
              <w:rPr>
                <w:rFonts w:ascii="Times New Roman" w:eastAsiaTheme="minorEastAsia" w:hAnsi="Times New Roman"/>
                <w:b/>
                <w:color w:val="000000"/>
                <w:sz w:val="20"/>
                <w:szCs w:val="20"/>
              </w:rPr>
              <w:t>No site (n</w:t>
            </w:r>
            <w:proofErr w:type="gramStart"/>
            <w:r w:rsidRPr="00D064FF">
              <w:rPr>
                <w:rFonts w:ascii="Times New Roman" w:eastAsiaTheme="minorEastAsia" w:hAnsi="Times New Roman"/>
                <w:b/>
                <w:color w:val="000000"/>
                <w:sz w:val="20"/>
                <w:szCs w:val="20"/>
              </w:rPr>
              <w:t>,%</w:t>
            </w:r>
            <w:proofErr w:type="gramEnd"/>
            <w:r w:rsidRPr="00D064FF">
              <w:rPr>
                <w:rFonts w:ascii="Times New Roman" w:eastAsiaTheme="minorEastAsia" w:hAnsi="Times New Roman"/>
                <w:b/>
                <w:color w:val="000000"/>
                <w:sz w:val="20"/>
                <w:szCs w:val="20"/>
              </w:rPr>
              <w:t>)</w:t>
            </w:r>
          </w:p>
        </w:tc>
        <w:tc>
          <w:tcPr>
            <w:tcW w:w="706" w:type="pct"/>
            <w:vAlign w:val="bottom"/>
          </w:tcPr>
          <w:p w:rsidR="00244A81" w:rsidRPr="00D064FF" w:rsidRDefault="00244A81" w:rsidP="00C35D52">
            <w:pPr>
              <w:snapToGrid w:val="0"/>
              <w:spacing w:after="0" w:line="240" w:lineRule="auto"/>
              <w:jc w:val="both"/>
              <w:rPr>
                <w:rFonts w:ascii="Times New Roman" w:eastAsiaTheme="minorEastAsia" w:hAnsi="Times New Roman"/>
                <w:b/>
                <w:color w:val="000000"/>
                <w:sz w:val="20"/>
                <w:szCs w:val="20"/>
              </w:rPr>
            </w:pPr>
            <w:r w:rsidRPr="00D064FF">
              <w:rPr>
                <w:rFonts w:ascii="Times New Roman" w:eastAsiaTheme="minorEastAsia" w:hAnsi="Times New Roman"/>
                <w:b/>
                <w:color w:val="000000"/>
                <w:sz w:val="20"/>
                <w:szCs w:val="20"/>
              </w:rPr>
              <w:t>One site (n</w:t>
            </w:r>
            <w:proofErr w:type="gramStart"/>
            <w:r w:rsidRPr="00D064FF">
              <w:rPr>
                <w:rFonts w:ascii="Times New Roman" w:eastAsiaTheme="minorEastAsia" w:hAnsi="Times New Roman"/>
                <w:b/>
                <w:color w:val="000000"/>
                <w:sz w:val="20"/>
                <w:szCs w:val="20"/>
              </w:rPr>
              <w:t>,%</w:t>
            </w:r>
            <w:proofErr w:type="gramEnd"/>
            <w:r w:rsidRPr="00D064FF">
              <w:rPr>
                <w:rFonts w:ascii="Times New Roman" w:eastAsiaTheme="minorEastAsia" w:hAnsi="Times New Roman"/>
                <w:b/>
                <w:color w:val="000000"/>
                <w:sz w:val="20"/>
                <w:szCs w:val="20"/>
              </w:rPr>
              <w:t>)</w:t>
            </w:r>
          </w:p>
        </w:tc>
        <w:tc>
          <w:tcPr>
            <w:tcW w:w="707" w:type="pct"/>
            <w:vAlign w:val="bottom"/>
          </w:tcPr>
          <w:p w:rsidR="00244A81" w:rsidRPr="00D064FF" w:rsidRDefault="00244A81" w:rsidP="00C35D52">
            <w:pPr>
              <w:snapToGrid w:val="0"/>
              <w:spacing w:after="0" w:line="240" w:lineRule="auto"/>
              <w:jc w:val="both"/>
              <w:rPr>
                <w:rFonts w:ascii="Times New Roman" w:eastAsiaTheme="minorEastAsia" w:hAnsi="Times New Roman"/>
                <w:b/>
                <w:color w:val="000000"/>
                <w:sz w:val="20"/>
                <w:szCs w:val="20"/>
              </w:rPr>
            </w:pPr>
            <w:r w:rsidRPr="00D064FF">
              <w:rPr>
                <w:rFonts w:ascii="Times New Roman" w:eastAsiaTheme="minorEastAsia" w:hAnsi="Times New Roman"/>
                <w:b/>
                <w:color w:val="000000"/>
                <w:sz w:val="20"/>
                <w:szCs w:val="20"/>
              </w:rPr>
              <w:t>Two sites (n</w:t>
            </w:r>
            <w:proofErr w:type="gramStart"/>
            <w:r w:rsidRPr="00D064FF">
              <w:rPr>
                <w:rFonts w:ascii="Times New Roman" w:eastAsiaTheme="minorEastAsia" w:hAnsi="Times New Roman"/>
                <w:b/>
                <w:color w:val="000000"/>
                <w:sz w:val="20"/>
                <w:szCs w:val="20"/>
              </w:rPr>
              <w:t>,%</w:t>
            </w:r>
            <w:proofErr w:type="gramEnd"/>
            <w:r w:rsidRPr="00D064FF">
              <w:rPr>
                <w:rFonts w:ascii="Times New Roman" w:eastAsiaTheme="minorEastAsia" w:hAnsi="Times New Roman"/>
                <w:b/>
                <w:color w:val="000000"/>
                <w:sz w:val="20"/>
                <w:szCs w:val="20"/>
              </w:rPr>
              <w:t>)</w:t>
            </w:r>
          </w:p>
        </w:tc>
        <w:tc>
          <w:tcPr>
            <w:tcW w:w="706" w:type="pct"/>
            <w:vAlign w:val="bottom"/>
          </w:tcPr>
          <w:p w:rsidR="00244A81" w:rsidRPr="00D064FF" w:rsidRDefault="00244A81" w:rsidP="00C35D52">
            <w:pPr>
              <w:snapToGrid w:val="0"/>
              <w:spacing w:after="0" w:line="240" w:lineRule="auto"/>
              <w:jc w:val="both"/>
              <w:rPr>
                <w:rFonts w:ascii="Times New Roman" w:eastAsiaTheme="minorEastAsia" w:hAnsi="Times New Roman"/>
                <w:b/>
                <w:color w:val="000000"/>
                <w:sz w:val="20"/>
                <w:szCs w:val="20"/>
              </w:rPr>
            </w:pPr>
            <w:r w:rsidRPr="00D064FF">
              <w:rPr>
                <w:rFonts w:ascii="Times New Roman" w:eastAsiaTheme="minorEastAsia" w:hAnsi="Times New Roman"/>
                <w:b/>
                <w:color w:val="000000"/>
                <w:sz w:val="20"/>
                <w:szCs w:val="20"/>
              </w:rPr>
              <w:t>Wide spread (n</w:t>
            </w:r>
            <w:proofErr w:type="gramStart"/>
            <w:r w:rsidRPr="00D064FF">
              <w:rPr>
                <w:rFonts w:ascii="Times New Roman" w:eastAsiaTheme="minorEastAsia" w:hAnsi="Times New Roman"/>
                <w:b/>
                <w:color w:val="000000"/>
                <w:sz w:val="20"/>
                <w:szCs w:val="20"/>
              </w:rPr>
              <w:t>,%</w:t>
            </w:r>
            <w:proofErr w:type="gramEnd"/>
            <w:r w:rsidRPr="00D064FF">
              <w:rPr>
                <w:rFonts w:ascii="Times New Roman" w:eastAsiaTheme="minorEastAsia" w:hAnsi="Times New Roman"/>
                <w:b/>
                <w:color w:val="000000"/>
                <w:sz w:val="20"/>
                <w:szCs w:val="20"/>
              </w:rPr>
              <w:t>)</w:t>
            </w:r>
          </w:p>
        </w:tc>
        <w:tc>
          <w:tcPr>
            <w:tcW w:w="707" w:type="pct"/>
            <w:tcBorders>
              <w:right w:val="single" w:sz="4" w:space="0" w:color="auto"/>
            </w:tcBorders>
          </w:tcPr>
          <w:p w:rsidR="00244A81" w:rsidRPr="00D064FF" w:rsidRDefault="00244A81" w:rsidP="00C35D52">
            <w:pPr>
              <w:snapToGrid w:val="0"/>
              <w:spacing w:after="0" w:line="240" w:lineRule="auto"/>
              <w:jc w:val="both"/>
              <w:rPr>
                <w:rFonts w:ascii="Times New Roman" w:eastAsiaTheme="minorEastAsia" w:hAnsi="Times New Roman"/>
                <w:b/>
                <w:color w:val="000000"/>
                <w:sz w:val="20"/>
                <w:szCs w:val="20"/>
              </w:rPr>
            </w:pPr>
            <w:r w:rsidRPr="00D064FF">
              <w:rPr>
                <w:rFonts w:ascii="Times New Roman" w:eastAsiaTheme="minorEastAsia" w:hAnsi="Times New Roman"/>
                <w:b/>
                <w:color w:val="000000"/>
                <w:sz w:val="20"/>
                <w:szCs w:val="20"/>
              </w:rPr>
              <w:t>Total (patients)</w:t>
            </w:r>
          </w:p>
        </w:tc>
        <w:tc>
          <w:tcPr>
            <w:tcW w:w="494" w:type="pct"/>
            <w:tcBorders>
              <w:left w:val="single" w:sz="4" w:space="0" w:color="auto"/>
            </w:tcBorders>
          </w:tcPr>
          <w:p w:rsidR="00244A81" w:rsidRPr="00D064FF" w:rsidRDefault="00244A81" w:rsidP="00C35D52">
            <w:pPr>
              <w:snapToGrid w:val="0"/>
              <w:spacing w:after="0" w:line="240" w:lineRule="auto"/>
              <w:jc w:val="both"/>
              <w:rPr>
                <w:rFonts w:ascii="Times New Roman" w:eastAsiaTheme="minorEastAsia" w:hAnsi="Times New Roman"/>
                <w:b/>
                <w:color w:val="000000"/>
                <w:sz w:val="20"/>
                <w:szCs w:val="20"/>
              </w:rPr>
            </w:pPr>
            <w:r w:rsidRPr="00D064FF">
              <w:rPr>
                <w:rFonts w:ascii="Times New Roman" w:eastAsiaTheme="minorEastAsia" w:hAnsi="Times New Roman"/>
                <w:b/>
                <w:color w:val="000000"/>
                <w:sz w:val="20"/>
                <w:szCs w:val="20"/>
              </w:rPr>
              <w:t>p-value</w:t>
            </w:r>
          </w:p>
        </w:tc>
      </w:tr>
      <w:tr w:rsidR="00244A81" w:rsidRPr="00D064FF" w:rsidTr="00C35D52">
        <w:trPr>
          <w:jc w:val="center"/>
        </w:trPr>
        <w:tc>
          <w:tcPr>
            <w:tcW w:w="1059" w:type="pct"/>
          </w:tcPr>
          <w:p w:rsidR="00244A81" w:rsidRPr="00D064FF" w:rsidRDefault="00244A81" w:rsidP="00C35D52">
            <w:pPr>
              <w:snapToGrid w:val="0"/>
              <w:spacing w:after="0" w:line="240" w:lineRule="auto"/>
              <w:jc w:val="both"/>
              <w:rPr>
                <w:rFonts w:ascii="Times New Roman" w:eastAsiaTheme="minorEastAsia" w:hAnsi="Times New Roman"/>
                <w:color w:val="000000"/>
                <w:sz w:val="20"/>
                <w:szCs w:val="20"/>
              </w:rPr>
            </w:pPr>
            <w:r w:rsidRPr="00D064FF">
              <w:rPr>
                <w:rFonts w:ascii="Times New Roman" w:eastAsiaTheme="minorEastAsia" w:hAnsi="Times New Roman"/>
                <w:color w:val="000000"/>
                <w:sz w:val="20"/>
                <w:szCs w:val="20"/>
              </w:rPr>
              <w:t>0-4ng/ml</w:t>
            </w:r>
          </w:p>
        </w:tc>
        <w:tc>
          <w:tcPr>
            <w:tcW w:w="622" w:type="pct"/>
          </w:tcPr>
          <w:p w:rsidR="00244A81" w:rsidRPr="00D064FF" w:rsidRDefault="00244A81" w:rsidP="00C35D52">
            <w:pPr>
              <w:snapToGrid w:val="0"/>
              <w:spacing w:after="0" w:line="240" w:lineRule="auto"/>
              <w:jc w:val="both"/>
              <w:rPr>
                <w:rFonts w:ascii="Times New Roman" w:eastAsiaTheme="minorEastAsia" w:hAnsi="Times New Roman"/>
                <w:color w:val="000000"/>
                <w:sz w:val="20"/>
                <w:szCs w:val="20"/>
              </w:rPr>
            </w:pPr>
            <w:r w:rsidRPr="00D064FF">
              <w:rPr>
                <w:rFonts w:ascii="Times New Roman" w:eastAsiaTheme="minorEastAsia" w:hAnsi="Times New Roman"/>
                <w:color w:val="000000"/>
                <w:sz w:val="20"/>
                <w:szCs w:val="20"/>
              </w:rPr>
              <w:t>1(25.0%)</w:t>
            </w:r>
          </w:p>
        </w:tc>
        <w:tc>
          <w:tcPr>
            <w:tcW w:w="706" w:type="pct"/>
          </w:tcPr>
          <w:p w:rsidR="00244A81" w:rsidRPr="00D064FF" w:rsidRDefault="00244A81" w:rsidP="00C35D52">
            <w:pPr>
              <w:snapToGrid w:val="0"/>
              <w:spacing w:after="0" w:line="240" w:lineRule="auto"/>
              <w:jc w:val="both"/>
              <w:rPr>
                <w:rFonts w:ascii="Times New Roman" w:eastAsiaTheme="minorEastAsia" w:hAnsi="Times New Roman"/>
                <w:color w:val="000000"/>
                <w:sz w:val="20"/>
                <w:szCs w:val="20"/>
              </w:rPr>
            </w:pPr>
            <w:r w:rsidRPr="00D064FF">
              <w:rPr>
                <w:rFonts w:ascii="Times New Roman" w:eastAsiaTheme="minorEastAsia" w:hAnsi="Times New Roman"/>
                <w:color w:val="000000"/>
                <w:sz w:val="20"/>
                <w:szCs w:val="20"/>
              </w:rPr>
              <w:t>3(75.0%)</w:t>
            </w:r>
          </w:p>
        </w:tc>
        <w:tc>
          <w:tcPr>
            <w:tcW w:w="707" w:type="pct"/>
          </w:tcPr>
          <w:p w:rsidR="00244A81" w:rsidRPr="00D064FF" w:rsidRDefault="00244A81" w:rsidP="00C35D52">
            <w:pPr>
              <w:snapToGrid w:val="0"/>
              <w:spacing w:after="0" w:line="240" w:lineRule="auto"/>
              <w:jc w:val="both"/>
              <w:rPr>
                <w:rFonts w:ascii="Times New Roman" w:eastAsiaTheme="minorEastAsia" w:hAnsi="Times New Roman"/>
                <w:color w:val="000000"/>
                <w:sz w:val="20"/>
                <w:szCs w:val="20"/>
              </w:rPr>
            </w:pPr>
            <w:r w:rsidRPr="00D064FF">
              <w:rPr>
                <w:rFonts w:ascii="Times New Roman" w:eastAsiaTheme="minorEastAsia" w:hAnsi="Times New Roman"/>
                <w:color w:val="000000"/>
                <w:sz w:val="20"/>
                <w:szCs w:val="20"/>
              </w:rPr>
              <w:t>-</w:t>
            </w:r>
          </w:p>
        </w:tc>
        <w:tc>
          <w:tcPr>
            <w:tcW w:w="706" w:type="pct"/>
            <w:tcBorders>
              <w:bottom w:val="single" w:sz="4" w:space="0" w:color="auto"/>
            </w:tcBorders>
          </w:tcPr>
          <w:p w:rsidR="00244A81" w:rsidRPr="00D064FF" w:rsidRDefault="00244A81" w:rsidP="00C35D52">
            <w:pPr>
              <w:snapToGrid w:val="0"/>
              <w:spacing w:after="0" w:line="240" w:lineRule="auto"/>
              <w:jc w:val="both"/>
              <w:rPr>
                <w:rFonts w:ascii="Times New Roman" w:eastAsiaTheme="minorEastAsia" w:hAnsi="Times New Roman"/>
                <w:color w:val="000000"/>
                <w:sz w:val="20"/>
                <w:szCs w:val="20"/>
              </w:rPr>
            </w:pPr>
            <w:r w:rsidRPr="00D064FF">
              <w:rPr>
                <w:rFonts w:ascii="Times New Roman" w:eastAsiaTheme="minorEastAsia" w:hAnsi="Times New Roman"/>
                <w:color w:val="000000"/>
                <w:sz w:val="20"/>
                <w:szCs w:val="20"/>
              </w:rPr>
              <w:t>-</w:t>
            </w:r>
          </w:p>
        </w:tc>
        <w:tc>
          <w:tcPr>
            <w:tcW w:w="707" w:type="pct"/>
            <w:tcBorders>
              <w:bottom w:val="single" w:sz="4" w:space="0" w:color="auto"/>
              <w:right w:val="single" w:sz="4" w:space="0" w:color="auto"/>
            </w:tcBorders>
          </w:tcPr>
          <w:p w:rsidR="00244A81" w:rsidRPr="00D064FF" w:rsidRDefault="00244A81" w:rsidP="00C35D52">
            <w:pPr>
              <w:snapToGrid w:val="0"/>
              <w:spacing w:after="0" w:line="240" w:lineRule="auto"/>
              <w:jc w:val="both"/>
              <w:rPr>
                <w:rFonts w:ascii="Times New Roman" w:eastAsiaTheme="minorEastAsia" w:hAnsi="Times New Roman"/>
                <w:color w:val="000000"/>
                <w:sz w:val="20"/>
                <w:szCs w:val="20"/>
              </w:rPr>
            </w:pPr>
            <w:r w:rsidRPr="00D064FF">
              <w:rPr>
                <w:rFonts w:ascii="Times New Roman" w:eastAsiaTheme="minorEastAsia" w:hAnsi="Times New Roman"/>
                <w:color w:val="000000"/>
                <w:sz w:val="20"/>
                <w:szCs w:val="20"/>
              </w:rPr>
              <w:t>4(4.0%)</w:t>
            </w:r>
          </w:p>
        </w:tc>
        <w:tc>
          <w:tcPr>
            <w:tcW w:w="494" w:type="pct"/>
            <w:vMerge w:val="restart"/>
            <w:tcBorders>
              <w:left w:val="single" w:sz="4" w:space="0" w:color="auto"/>
            </w:tcBorders>
          </w:tcPr>
          <w:p w:rsidR="00244A81" w:rsidRPr="00D064FF" w:rsidRDefault="00244A81" w:rsidP="00C35D52">
            <w:pPr>
              <w:snapToGrid w:val="0"/>
              <w:spacing w:after="0" w:line="240" w:lineRule="auto"/>
              <w:jc w:val="both"/>
              <w:rPr>
                <w:rFonts w:ascii="Times New Roman" w:eastAsiaTheme="minorEastAsia" w:hAnsi="Times New Roman"/>
                <w:color w:val="000000"/>
                <w:sz w:val="20"/>
                <w:szCs w:val="20"/>
              </w:rPr>
            </w:pPr>
          </w:p>
          <w:p w:rsidR="00244A81" w:rsidRPr="00D064FF" w:rsidRDefault="00244A81" w:rsidP="00C35D52">
            <w:pPr>
              <w:snapToGrid w:val="0"/>
              <w:spacing w:after="0" w:line="240" w:lineRule="auto"/>
              <w:jc w:val="both"/>
              <w:rPr>
                <w:rFonts w:ascii="Times New Roman" w:eastAsiaTheme="minorEastAsia" w:hAnsi="Times New Roman"/>
                <w:color w:val="000000"/>
                <w:sz w:val="20"/>
                <w:szCs w:val="20"/>
              </w:rPr>
            </w:pPr>
          </w:p>
          <w:p w:rsidR="00244A81" w:rsidRPr="00D064FF" w:rsidRDefault="00244A81" w:rsidP="00C35D52">
            <w:pPr>
              <w:snapToGrid w:val="0"/>
              <w:spacing w:after="0" w:line="240" w:lineRule="auto"/>
              <w:jc w:val="both"/>
              <w:rPr>
                <w:rFonts w:ascii="Times New Roman" w:eastAsiaTheme="minorEastAsia" w:hAnsi="Times New Roman"/>
                <w:color w:val="000000"/>
                <w:sz w:val="20"/>
                <w:szCs w:val="20"/>
              </w:rPr>
            </w:pPr>
          </w:p>
          <w:p w:rsidR="00244A81" w:rsidRPr="00D064FF" w:rsidRDefault="00244A81" w:rsidP="00C35D52">
            <w:pPr>
              <w:snapToGrid w:val="0"/>
              <w:spacing w:after="0" w:line="240" w:lineRule="auto"/>
              <w:jc w:val="both"/>
              <w:rPr>
                <w:rFonts w:ascii="Times New Roman" w:eastAsiaTheme="minorEastAsia" w:hAnsi="Times New Roman"/>
                <w:color w:val="000000"/>
                <w:sz w:val="20"/>
                <w:szCs w:val="20"/>
              </w:rPr>
            </w:pPr>
          </w:p>
          <w:p w:rsidR="00244A81" w:rsidRPr="00D064FF" w:rsidRDefault="00244A81" w:rsidP="00C35D52">
            <w:pPr>
              <w:snapToGrid w:val="0"/>
              <w:spacing w:after="0" w:line="240" w:lineRule="auto"/>
              <w:jc w:val="both"/>
              <w:rPr>
                <w:rFonts w:ascii="Times New Roman" w:eastAsiaTheme="minorEastAsia" w:hAnsi="Times New Roman"/>
                <w:color w:val="000000"/>
                <w:sz w:val="20"/>
                <w:szCs w:val="20"/>
              </w:rPr>
            </w:pPr>
            <w:r w:rsidRPr="00D064FF">
              <w:rPr>
                <w:rFonts w:ascii="Times New Roman" w:eastAsiaTheme="minorEastAsia" w:hAnsi="Times New Roman"/>
                <w:color w:val="000000"/>
                <w:sz w:val="20"/>
                <w:szCs w:val="20"/>
              </w:rPr>
              <w:t>0.002</w:t>
            </w:r>
          </w:p>
        </w:tc>
      </w:tr>
      <w:tr w:rsidR="00244A81" w:rsidRPr="00D064FF" w:rsidTr="00C35D52">
        <w:trPr>
          <w:jc w:val="center"/>
        </w:trPr>
        <w:tc>
          <w:tcPr>
            <w:tcW w:w="1059" w:type="pct"/>
          </w:tcPr>
          <w:p w:rsidR="00244A81" w:rsidRPr="00D064FF" w:rsidRDefault="00244A81" w:rsidP="00C35D52">
            <w:pPr>
              <w:snapToGrid w:val="0"/>
              <w:spacing w:after="0" w:line="240" w:lineRule="auto"/>
              <w:jc w:val="both"/>
              <w:rPr>
                <w:rFonts w:ascii="Times New Roman" w:eastAsiaTheme="minorEastAsia" w:hAnsi="Times New Roman"/>
                <w:color w:val="000000"/>
                <w:sz w:val="20"/>
                <w:szCs w:val="20"/>
              </w:rPr>
            </w:pPr>
            <w:r w:rsidRPr="00D064FF">
              <w:rPr>
                <w:rFonts w:ascii="Times New Roman" w:eastAsiaTheme="minorEastAsia" w:hAnsi="Times New Roman"/>
                <w:color w:val="000000"/>
                <w:sz w:val="20"/>
                <w:szCs w:val="20"/>
              </w:rPr>
              <w:t>4.1-10ng/ml</w:t>
            </w:r>
          </w:p>
        </w:tc>
        <w:tc>
          <w:tcPr>
            <w:tcW w:w="622" w:type="pct"/>
          </w:tcPr>
          <w:p w:rsidR="00244A81" w:rsidRPr="00D064FF" w:rsidRDefault="00244A81" w:rsidP="00C35D52">
            <w:pPr>
              <w:snapToGrid w:val="0"/>
              <w:spacing w:after="0" w:line="240" w:lineRule="auto"/>
              <w:jc w:val="both"/>
              <w:rPr>
                <w:rFonts w:ascii="Times New Roman" w:eastAsiaTheme="minorEastAsia" w:hAnsi="Times New Roman"/>
                <w:color w:val="000000"/>
                <w:sz w:val="20"/>
                <w:szCs w:val="20"/>
              </w:rPr>
            </w:pPr>
            <w:r w:rsidRPr="00D064FF">
              <w:rPr>
                <w:rFonts w:ascii="Times New Roman" w:eastAsiaTheme="minorEastAsia" w:hAnsi="Times New Roman"/>
                <w:color w:val="000000"/>
                <w:sz w:val="20"/>
                <w:szCs w:val="20"/>
              </w:rPr>
              <w:t>1(14.3%)</w:t>
            </w:r>
          </w:p>
        </w:tc>
        <w:tc>
          <w:tcPr>
            <w:tcW w:w="706" w:type="pct"/>
          </w:tcPr>
          <w:p w:rsidR="00244A81" w:rsidRPr="00D064FF" w:rsidRDefault="00244A81" w:rsidP="00C35D52">
            <w:pPr>
              <w:snapToGrid w:val="0"/>
              <w:spacing w:after="0" w:line="240" w:lineRule="auto"/>
              <w:jc w:val="both"/>
              <w:rPr>
                <w:rFonts w:ascii="Times New Roman" w:eastAsiaTheme="minorEastAsia" w:hAnsi="Times New Roman"/>
                <w:color w:val="000000"/>
                <w:sz w:val="20"/>
                <w:szCs w:val="20"/>
              </w:rPr>
            </w:pPr>
            <w:r w:rsidRPr="00D064FF">
              <w:rPr>
                <w:rFonts w:ascii="Times New Roman" w:eastAsiaTheme="minorEastAsia" w:hAnsi="Times New Roman"/>
                <w:color w:val="000000"/>
                <w:sz w:val="20"/>
                <w:szCs w:val="20"/>
              </w:rPr>
              <w:t>2(28.6%)</w:t>
            </w:r>
          </w:p>
        </w:tc>
        <w:tc>
          <w:tcPr>
            <w:tcW w:w="707" w:type="pct"/>
          </w:tcPr>
          <w:p w:rsidR="00244A81" w:rsidRPr="00D064FF" w:rsidRDefault="00244A81" w:rsidP="00C35D52">
            <w:pPr>
              <w:snapToGrid w:val="0"/>
              <w:spacing w:after="0" w:line="240" w:lineRule="auto"/>
              <w:jc w:val="both"/>
              <w:rPr>
                <w:rFonts w:ascii="Times New Roman" w:eastAsiaTheme="minorEastAsia" w:hAnsi="Times New Roman"/>
                <w:color w:val="000000"/>
                <w:sz w:val="20"/>
                <w:szCs w:val="20"/>
              </w:rPr>
            </w:pPr>
            <w:r w:rsidRPr="00D064FF">
              <w:rPr>
                <w:rFonts w:ascii="Times New Roman" w:eastAsiaTheme="minorEastAsia" w:hAnsi="Times New Roman"/>
                <w:color w:val="000000"/>
                <w:sz w:val="20"/>
                <w:szCs w:val="20"/>
              </w:rPr>
              <w:t>2(28.6%)</w:t>
            </w:r>
          </w:p>
        </w:tc>
        <w:tc>
          <w:tcPr>
            <w:tcW w:w="706" w:type="pct"/>
            <w:tcBorders>
              <w:bottom w:val="single" w:sz="4" w:space="0" w:color="auto"/>
            </w:tcBorders>
          </w:tcPr>
          <w:p w:rsidR="00244A81" w:rsidRPr="00D064FF" w:rsidRDefault="00244A81" w:rsidP="00C35D52">
            <w:pPr>
              <w:snapToGrid w:val="0"/>
              <w:spacing w:after="0" w:line="240" w:lineRule="auto"/>
              <w:jc w:val="both"/>
              <w:rPr>
                <w:rFonts w:ascii="Times New Roman" w:eastAsiaTheme="minorEastAsia" w:hAnsi="Times New Roman"/>
                <w:color w:val="000000"/>
                <w:sz w:val="20"/>
                <w:szCs w:val="20"/>
              </w:rPr>
            </w:pPr>
            <w:r w:rsidRPr="00D064FF">
              <w:rPr>
                <w:rFonts w:ascii="Times New Roman" w:eastAsiaTheme="minorEastAsia" w:hAnsi="Times New Roman"/>
                <w:color w:val="000000"/>
                <w:sz w:val="20"/>
                <w:szCs w:val="20"/>
              </w:rPr>
              <w:t>2(28.6%)</w:t>
            </w:r>
          </w:p>
        </w:tc>
        <w:tc>
          <w:tcPr>
            <w:tcW w:w="707" w:type="pct"/>
            <w:tcBorders>
              <w:top w:val="single" w:sz="4" w:space="0" w:color="auto"/>
              <w:bottom w:val="single" w:sz="4" w:space="0" w:color="auto"/>
              <w:right w:val="single" w:sz="4" w:space="0" w:color="auto"/>
            </w:tcBorders>
          </w:tcPr>
          <w:p w:rsidR="00244A81" w:rsidRPr="00D064FF" w:rsidRDefault="00244A81" w:rsidP="00C35D52">
            <w:pPr>
              <w:snapToGrid w:val="0"/>
              <w:spacing w:after="0" w:line="240" w:lineRule="auto"/>
              <w:jc w:val="both"/>
              <w:rPr>
                <w:rFonts w:ascii="Times New Roman" w:eastAsiaTheme="minorEastAsia" w:hAnsi="Times New Roman"/>
                <w:color w:val="000000"/>
                <w:sz w:val="20"/>
                <w:szCs w:val="20"/>
              </w:rPr>
            </w:pPr>
            <w:r w:rsidRPr="00D064FF">
              <w:rPr>
                <w:rFonts w:ascii="Times New Roman" w:eastAsiaTheme="minorEastAsia" w:hAnsi="Times New Roman"/>
                <w:color w:val="000000"/>
                <w:sz w:val="20"/>
                <w:szCs w:val="20"/>
              </w:rPr>
              <w:t>7(6.93%)</w:t>
            </w:r>
          </w:p>
        </w:tc>
        <w:tc>
          <w:tcPr>
            <w:tcW w:w="494" w:type="pct"/>
            <w:vMerge/>
            <w:tcBorders>
              <w:left w:val="single" w:sz="4" w:space="0" w:color="auto"/>
            </w:tcBorders>
          </w:tcPr>
          <w:p w:rsidR="00244A81" w:rsidRPr="00D064FF" w:rsidRDefault="00244A81" w:rsidP="00C35D52">
            <w:pPr>
              <w:snapToGrid w:val="0"/>
              <w:spacing w:after="0" w:line="240" w:lineRule="auto"/>
              <w:jc w:val="both"/>
              <w:rPr>
                <w:rFonts w:ascii="Times New Roman" w:eastAsiaTheme="minorEastAsia" w:hAnsi="Times New Roman"/>
                <w:color w:val="000000"/>
                <w:sz w:val="20"/>
                <w:szCs w:val="20"/>
              </w:rPr>
            </w:pPr>
          </w:p>
        </w:tc>
      </w:tr>
      <w:tr w:rsidR="00244A81" w:rsidRPr="00D064FF" w:rsidTr="00C35D52">
        <w:trPr>
          <w:jc w:val="center"/>
        </w:trPr>
        <w:tc>
          <w:tcPr>
            <w:tcW w:w="1059" w:type="pct"/>
          </w:tcPr>
          <w:p w:rsidR="00244A81" w:rsidRPr="00D064FF" w:rsidRDefault="00244A81" w:rsidP="00C35D52">
            <w:pPr>
              <w:snapToGrid w:val="0"/>
              <w:spacing w:after="0" w:line="240" w:lineRule="auto"/>
              <w:jc w:val="both"/>
              <w:rPr>
                <w:rFonts w:ascii="Times New Roman" w:eastAsiaTheme="minorEastAsia" w:hAnsi="Times New Roman"/>
                <w:color w:val="000000"/>
                <w:sz w:val="20"/>
                <w:szCs w:val="20"/>
              </w:rPr>
            </w:pPr>
            <w:r w:rsidRPr="00D064FF">
              <w:rPr>
                <w:rFonts w:ascii="Times New Roman" w:eastAsiaTheme="minorEastAsia" w:hAnsi="Times New Roman"/>
                <w:color w:val="000000"/>
                <w:sz w:val="20"/>
                <w:szCs w:val="20"/>
              </w:rPr>
              <w:t>10.1-20ng/ml</w:t>
            </w:r>
          </w:p>
        </w:tc>
        <w:tc>
          <w:tcPr>
            <w:tcW w:w="622" w:type="pct"/>
          </w:tcPr>
          <w:p w:rsidR="00244A81" w:rsidRPr="00D064FF" w:rsidRDefault="00244A81" w:rsidP="00C35D52">
            <w:pPr>
              <w:snapToGrid w:val="0"/>
              <w:spacing w:after="0" w:line="240" w:lineRule="auto"/>
              <w:jc w:val="both"/>
              <w:rPr>
                <w:rFonts w:ascii="Times New Roman" w:eastAsiaTheme="minorEastAsia" w:hAnsi="Times New Roman"/>
                <w:color w:val="000000"/>
                <w:sz w:val="20"/>
                <w:szCs w:val="20"/>
              </w:rPr>
            </w:pPr>
            <w:r w:rsidRPr="00D064FF">
              <w:rPr>
                <w:rFonts w:ascii="Times New Roman" w:eastAsiaTheme="minorEastAsia" w:hAnsi="Times New Roman"/>
                <w:color w:val="000000"/>
                <w:sz w:val="20"/>
                <w:szCs w:val="20"/>
              </w:rPr>
              <w:t>1(11.1%)</w:t>
            </w:r>
          </w:p>
        </w:tc>
        <w:tc>
          <w:tcPr>
            <w:tcW w:w="706" w:type="pct"/>
          </w:tcPr>
          <w:p w:rsidR="00244A81" w:rsidRPr="00D064FF" w:rsidRDefault="00244A81" w:rsidP="00C35D52">
            <w:pPr>
              <w:snapToGrid w:val="0"/>
              <w:spacing w:after="0" w:line="240" w:lineRule="auto"/>
              <w:jc w:val="both"/>
              <w:rPr>
                <w:rFonts w:ascii="Times New Roman" w:eastAsiaTheme="minorEastAsia" w:hAnsi="Times New Roman"/>
                <w:color w:val="000000"/>
                <w:sz w:val="20"/>
                <w:szCs w:val="20"/>
              </w:rPr>
            </w:pPr>
            <w:r w:rsidRPr="00D064FF">
              <w:rPr>
                <w:rFonts w:ascii="Times New Roman" w:eastAsiaTheme="minorEastAsia" w:hAnsi="Times New Roman"/>
                <w:color w:val="000000"/>
                <w:sz w:val="20"/>
                <w:szCs w:val="20"/>
              </w:rPr>
              <w:t>3(33.3%)</w:t>
            </w:r>
          </w:p>
        </w:tc>
        <w:tc>
          <w:tcPr>
            <w:tcW w:w="707" w:type="pct"/>
          </w:tcPr>
          <w:p w:rsidR="00244A81" w:rsidRPr="00D064FF" w:rsidRDefault="00244A81" w:rsidP="00C35D52">
            <w:pPr>
              <w:snapToGrid w:val="0"/>
              <w:spacing w:after="0" w:line="240" w:lineRule="auto"/>
              <w:jc w:val="both"/>
              <w:rPr>
                <w:rFonts w:ascii="Times New Roman" w:eastAsiaTheme="minorEastAsia" w:hAnsi="Times New Roman"/>
                <w:color w:val="000000"/>
                <w:sz w:val="20"/>
                <w:szCs w:val="20"/>
              </w:rPr>
            </w:pPr>
            <w:r w:rsidRPr="00D064FF">
              <w:rPr>
                <w:rFonts w:ascii="Times New Roman" w:eastAsiaTheme="minorEastAsia" w:hAnsi="Times New Roman"/>
                <w:color w:val="000000"/>
                <w:sz w:val="20"/>
                <w:szCs w:val="20"/>
              </w:rPr>
              <w:t>1(11.1%)</w:t>
            </w:r>
          </w:p>
        </w:tc>
        <w:tc>
          <w:tcPr>
            <w:tcW w:w="706" w:type="pct"/>
          </w:tcPr>
          <w:p w:rsidR="00244A81" w:rsidRPr="00D064FF" w:rsidRDefault="00244A81" w:rsidP="00C35D52">
            <w:pPr>
              <w:snapToGrid w:val="0"/>
              <w:spacing w:after="0" w:line="240" w:lineRule="auto"/>
              <w:jc w:val="both"/>
              <w:rPr>
                <w:rFonts w:ascii="Times New Roman" w:eastAsiaTheme="minorEastAsia" w:hAnsi="Times New Roman"/>
                <w:color w:val="000000"/>
                <w:sz w:val="20"/>
                <w:szCs w:val="20"/>
              </w:rPr>
            </w:pPr>
            <w:r w:rsidRPr="00D064FF">
              <w:rPr>
                <w:rFonts w:ascii="Times New Roman" w:eastAsiaTheme="minorEastAsia" w:hAnsi="Times New Roman"/>
                <w:color w:val="000000"/>
                <w:sz w:val="20"/>
                <w:szCs w:val="20"/>
              </w:rPr>
              <w:t>4(44.4%)</w:t>
            </w:r>
          </w:p>
        </w:tc>
        <w:tc>
          <w:tcPr>
            <w:tcW w:w="707" w:type="pct"/>
            <w:tcBorders>
              <w:top w:val="single" w:sz="4" w:space="0" w:color="auto"/>
              <w:bottom w:val="single" w:sz="4" w:space="0" w:color="auto"/>
              <w:right w:val="single" w:sz="4" w:space="0" w:color="auto"/>
            </w:tcBorders>
          </w:tcPr>
          <w:p w:rsidR="00244A81" w:rsidRPr="00D064FF" w:rsidRDefault="00244A81" w:rsidP="00C35D52">
            <w:pPr>
              <w:snapToGrid w:val="0"/>
              <w:spacing w:after="0" w:line="240" w:lineRule="auto"/>
              <w:jc w:val="both"/>
              <w:rPr>
                <w:rFonts w:ascii="Times New Roman" w:eastAsiaTheme="minorEastAsia" w:hAnsi="Times New Roman"/>
                <w:color w:val="000000"/>
                <w:sz w:val="20"/>
                <w:szCs w:val="20"/>
              </w:rPr>
            </w:pPr>
            <w:r w:rsidRPr="00D064FF">
              <w:rPr>
                <w:rFonts w:ascii="Times New Roman" w:eastAsiaTheme="minorEastAsia" w:hAnsi="Times New Roman"/>
                <w:color w:val="000000"/>
                <w:sz w:val="20"/>
                <w:szCs w:val="20"/>
              </w:rPr>
              <w:t>9(8.91%)</w:t>
            </w:r>
          </w:p>
        </w:tc>
        <w:tc>
          <w:tcPr>
            <w:tcW w:w="494" w:type="pct"/>
            <w:vMerge/>
            <w:tcBorders>
              <w:left w:val="single" w:sz="4" w:space="0" w:color="auto"/>
            </w:tcBorders>
          </w:tcPr>
          <w:p w:rsidR="00244A81" w:rsidRPr="00D064FF" w:rsidRDefault="00244A81" w:rsidP="00C35D52">
            <w:pPr>
              <w:snapToGrid w:val="0"/>
              <w:spacing w:after="0" w:line="240" w:lineRule="auto"/>
              <w:jc w:val="both"/>
              <w:rPr>
                <w:rFonts w:ascii="Times New Roman" w:eastAsiaTheme="minorEastAsia" w:hAnsi="Times New Roman"/>
                <w:color w:val="000000"/>
                <w:sz w:val="20"/>
                <w:szCs w:val="20"/>
              </w:rPr>
            </w:pPr>
          </w:p>
        </w:tc>
      </w:tr>
      <w:tr w:rsidR="00244A81" w:rsidRPr="00D064FF" w:rsidTr="00C35D52">
        <w:trPr>
          <w:jc w:val="center"/>
        </w:trPr>
        <w:tc>
          <w:tcPr>
            <w:tcW w:w="1059" w:type="pct"/>
          </w:tcPr>
          <w:p w:rsidR="00244A81" w:rsidRPr="00D064FF" w:rsidRDefault="00244A81" w:rsidP="00C35D52">
            <w:pPr>
              <w:snapToGrid w:val="0"/>
              <w:spacing w:after="0" w:line="240" w:lineRule="auto"/>
              <w:jc w:val="both"/>
              <w:rPr>
                <w:rFonts w:ascii="Times New Roman" w:eastAsiaTheme="minorEastAsia" w:hAnsi="Times New Roman"/>
                <w:color w:val="000000"/>
                <w:sz w:val="20"/>
                <w:szCs w:val="20"/>
              </w:rPr>
            </w:pPr>
            <w:r w:rsidRPr="00D064FF">
              <w:rPr>
                <w:rFonts w:ascii="Times New Roman" w:eastAsiaTheme="minorEastAsia" w:hAnsi="Times New Roman"/>
                <w:color w:val="000000"/>
                <w:sz w:val="20"/>
                <w:szCs w:val="20"/>
              </w:rPr>
              <w:t>20.1-40ng/mg</w:t>
            </w:r>
          </w:p>
        </w:tc>
        <w:tc>
          <w:tcPr>
            <w:tcW w:w="622" w:type="pct"/>
          </w:tcPr>
          <w:p w:rsidR="00244A81" w:rsidRPr="00D064FF" w:rsidRDefault="00244A81" w:rsidP="00C35D52">
            <w:pPr>
              <w:snapToGrid w:val="0"/>
              <w:spacing w:after="0" w:line="240" w:lineRule="auto"/>
              <w:jc w:val="both"/>
              <w:rPr>
                <w:rFonts w:ascii="Times New Roman" w:eastAsiaTheme="minorEastAsia" w:hAnsi="Times New Roman"/>
                <w:color w:val="000000"/>
                <w:sz w:val="20"/>
                <w:szCs w:val="20"/>
              </w:rPr>
            </w:pPr>
            <w:r w:rsidRPr="00D064FF">
              <w:rPr>
                <w:rFonts w:ascii="Times New Roman" w:eastAsiaTheme="minorEastAsia" w:hAnsi="Times New Roman"/>
                <w:color w:val="000000"/>
                <w:sz w:val="20"/>
                <w:szCs w:val="20"/>
              </w:rPr>
              <w:t>2(12.5%)</w:t>
            </w:r>
          </w:p>
        </w:tc>
        <w:tc>
          <w:tcPr>
            <w:tcW w:w="706" w:type="pct"/>
          </w:tcPr>
          <w:p w:rsidR="00244A81" w:rsidRPr="00D064FF" w:rsidRDefault="00244A81" w:rsidP="00C35D52">
            <w:pPr>
              <w:snapToGrid w:val="0"/>
              <w:spacing w:after="0" w:line="240" w:lineRule="auto"/>
              <w:jc w:val="both"/>
              <w:rPr>
                <w:rFonts w:ascii="Times New Roman" w:eastAsiaTheme="minorEastAsia" w:hAnsi="Times New Roman"/>
                <w:color w:val="000000"/>
                <w:sz w:val="20"/>
                <w:szCs w:val="20"/>
              </w:rPr>
            </w:pPr>
            <w:r w:rsidRPr="00D064FF">
              <w:rPr>
                <w:rFonts w:ascii="Times New Roman" w:eastAsiaTheme="minorEastAsia" w:hAnsi="Times New Roman"/>
                <w:color w:val="000000"/>
                <w:sz w:val="20"/>
                <w:szCs w:val="20"/>
              </w:rPr>
              <w:t>6(37.5%)</w:t>
            </w:r>
          </w:p>
        </w:tc>
        <w:tc>
          <w:tcPr>
            <w:tcW w:w="707" w:type="pct"/>
          </w:tcPr>
          <w:p w:rsidR="00244A81" w:rsidRPr="00D064FF" w:rsidRDefault="00244A81" w:rsidP="00C35D52">
            <w:pPr>
              <w:snapToGrid w:val="0"/>
              <w:spacing w:after="0" w:line="240" w:lineRule="auto"/>
              <w:jc w:val="both"/>
              <w:rPr>
                <w:rFonts w:ascii="Times New Roman" w:eastAsiaTheme="minorEastAsia" w:hAnsi="Times New Roman"/>
                <w:color w:val="000000"/>
                <w:sz w:val="20"/>
                <w:szCs w:val="20"/>
              </w:rPr>
            </w:pPr>
            <w:r w:rsidRPr="00D064FF">
              <w:rPr>
                <w:rFonts w:ascii="Times New Roman" w:eastAsiaTheme="minorEastAsia" w:hAnsi="Times New Roman"/>
                <w:color w:val="000000"/>
                <w:sz w:val="20"/>
                <w:szCs w:val="20"/>
              </w:rPr>
              <w:t>4(25.0%)</w:t>
            </w:r>
          </w:p>
        </w:tc>
        <w:tc>
          <w:tcPr>
            <w:tcW w:w="706" w:type="pct"/>
          </w:tcPr>
          <w:p w:rsidR="00244A81" w:rsidRPr="00D064FF" w:rsidRDefault="00244A81" w:rsidP="00C35D52">
            <w:pPr>
              <w:snapToGrid w:val="0"/>
              <w:spacing w:after="0" w:line="240" w:lineRule="auto"/>
              <w:jc w:val="both"/>
              <w:rPr>
                <w:rFonts w:ascii="Times New Roman" w:eastAsiaTheme="minorEastAsia" w:hAnsi="Times New Roman"/>
                <w:color w:val="000000"/>
                <w:sz w:val="20"/>
                <w:szCs w:val="20"/>
              </w:rPr>
            </w:pPr>
            <w:r w:rsidRPr="00D064FF">
              <w:rPr>
                <w:rFonts w:ascii="Times New Roman" w:eastAsiaTheme="minorEastAsia" w:hAnsi="Times New Roman"/>
                <w:color w:val="000000"/>
                <w:sz w:val="20"/>
                <w:szCs w:val="20"/>
              </w:rPr>
              <w:t>4(25.0%)</w:t>
            </w:r>
          </w:p>
        </w:tc>
        <w:tc>
          <w:tcPr>
            <w:tcW w:w="707" w:type="pct"/>
            <w:tcBorders>
              <w:top w:val="single" w:sz="4" w:space="0" w:color="auto"/>
              <w:bottom w:val="single" w:sz="4" w:space="0" w:color="auto"/>
              <w:right w:val="single" w:sz="4" w:space="0" w:color="auto"/>
            </w:tcBorders>
          </w:tcPr>
          <w:p w:rsidR="00244A81" w:rsidRPr="00D064FF" w:rsidRDefault="00244A81" w:rsidP="00C35D52">
            <w:pPr>
              <w:snapToGrid w:val="0"/>
              <w:spacing w:after="0" w:line="240" w:lineRule="auto"/>
              <w:jc w:val="both"/>
              <w:rPr>
                <w:rFonts w:ascii="Times New Roman" w:eastAsiaTheme="minorEastAsia" w:hAnsi="Times New Roman"/>
                <w:color w:val="000000"/>
                <w:sz w:val="20"/>
                <w:szCs w:val="20"/>
              </w:rPr>
            </w:pPr>
            <w:r w:rsidRPr="00D064FF">
              <w:rPr>
                <w:rFonts w:ascii="Times New Roman" w:eastAsiaTheme="minorEastAsia" w:hAnsi="Times New Roman"/>
                <w:color w:val="000000"/>
                <w:sz w:val="20"/>
                <w:szCs w:val="20"/>
              </w:rPr>
              <w:t>16(15.8%</w:t>
            </w:r>
          </w:p>
        </w:tc>
        <w:tc>
          <w:tcPr>
            <w:tcW w:w="494" w:type="pct"/>
            <w:vMerge/>
            <w:tcBorders>
              <w:left w:val="single" w:sz="4" w:space="0" w:color="auto"/>
            </w:tcBorders>
          </w:tcPr>
          <w:p w:rsidR="00244A81" w:rsidRPr="00D064FF" w:rsidRDefault="00244A81" w:rsidP="00C35D52">
            <w:pPr>
              <w:snapToGrid w:val="0"/>
              <w:spacing w:after="0" w:line="240" w:lineRule="auto"/>
              <w:jc w:val="both"/>
              <w:rPr>
                <w:rFonts w:ascii="Times New Roman" w:eastAsiaTheme="minorEastAsia" w:hAnsi="Times New Roman"/>
                <w:color w:val="000000"/>
                <w:sz w:val="20"/>
                <w:szCs w:val="20"/>
              </w:rPr>
            </w:pPr>
          </w:p>
        </w:tc>
      </w:tr>
      <w:tr w:rsidR="00244A81" w:rsidRPr="00D064FF" w:rsidTr="00C35D52">
        <w:trPr>
          <w:jc w:val="center"/>
        </w:trPr>
        <w:tc>
          <w:tcPr>
            <w:tcW w:w="1059" w:type="pct"/>
          </w:tcPr>
          <w:p w:rsidR="00244A81" w:rsidRPr="00D064FF" w:rsidRDefault="00244A81" w:rsidP="00C35D52">
            <w:pPr>
              <w:snapToGrid w:val="0"/>
              <w:spacing w:after="0" w:line="240" w:lineRule="auto"/>
              <w:jc w:val="both"/>
              <w:rPr>
                <w:rFonts w:ascii="Times New Roman" w:eastAsiaTheme="minorEastAsia" w:hAnsi="Times New Roman"/>
                <w:color w:val="000000"/>
                <w:sz w:val="20"/>
                <w:szCs w:val="20"/>
              </w:rPr>
            </w:pPr>
            <w:r w:rsidRPr="00D064FF">
              <w:rPr>
                <w:rFonts w:ascii="Times New Roman" w:eastAsiaTheme="minorEastAsia" w:hAnsi="Times New Roman"/>
                <w:color w:val="000000"/>
                <w:sz w:val="20"/>
                <w:szCs w:val="20"/>
              </w:rPr>
              <w:t>40.1-100ng/mg</w:t>
            </w:r>
          </w:p>
        </w:tc>
        <w:tc>
          <w:tcPr>
            <w:tcW w:w="622" w:type="pct"/>
          </w:tcPr>
          <w:p w:rsidR="00244A81" w:rsidRPr="00D064FF" w:rsidRDefault="00244A81" w:rsidP="00C35D52">
            <w:pPr>
              <w:snapToGrid w:val="0"/>
              <w:spacing w:after="0" w:line="240" w:lineRule="auto"/>
              <w:jc w:val="both"/>
              <w:rPr>
                <w:rFonts w:ascii="Times New Roman" w:eastAsiaTheme="minorEastAsia" w:hAnsi="Times New Roman"/>
                <w:color w:val="000000"/>
                <w:sz w:val="20"/>
                <w:szCs w:val="20"/>
              </w:rPr>
            </w:pPr>
            <w:r w:rsidRPr="00D064FF">
              <w:rPr>
                <w:rFonts w:ascii="Times New Roman" w:eastAsiaTheme="minorEastAsia" w:hAnsi="Times New Roman"/>
                <w:color w:val="000000"/>
                <w:sz w:val="20"/>
                <w:szCs w:val="20"/>
              </w:rPr>
              <w:t>2(5.0%)</w:t>
            </w:r>
          </w:p>
        </w:tc>
        <w:tc>
          <w:tcPr>
            <w:tcW w:w="706" w:type="pct"/>
          </w:tcPr>
          <w:p w:rsidR="00244A81" w:rsidRPr="00D064FF" w:rsidRDefault="00244A81" w:rsidP="00C35D52">
            <w:pPr>
              <w:snapToGrid w:val="0"/>
              <w:spacing w:after="0" w:line="240" w:lineRule="auto"/>
              <w:jc w:val="both"/>
              <w:rPr>
                <w:rFonts w:ascii="Times New Roman" w:eastAsiaTheme="minorEastAsia" w:hAnsi="Times New Roman"/>
                <w:color w:val="000000"/>
                <w:sz w:val="20"/>
                <w:szCs w:val="20"/>
              </w:rPr>
            </w:pPr>
            <w:r w:rsidRPr="00D064FF">
              <w:rPr>
                <w:rFonts w:ascii="Times New Roman" w:eastAsiaTheme="minorEastAsia" w:hAnsi="Times New Roman"/>
                <w:color w:val="000000"/>
                <w:sz w:val="20"/>
                <w:szCs w:val="20"/>
              </w:rPr>
              <w:t>2(5.0%)</w:t>
            </w:r>
          </w:p>
        </w:tc>
        <w:tc>
          <w:tcPr>
            <w:tcW w:w="707" w:type="pct"/>
          </w:tcPr>
          <w:p w:rsidR="00244A81" w:rsidRPr="00D064FF" w:rsidRDefault="00244A81" w:rsidP="00C35D52">
            <w:pPr>
              <w:snapToGrid w:val="0"/>
              <w:spacing w:after="0" w:line="240" w:lineRule="auto"/>
              <w:jc w:val="both"/>
              <w:rPr>
                <w:rFonts w:ascii="Times New Roman" w:eastAsiaTheme="minorEastAsia" w:hAnsi="Times New Roman"/>
                <w:color w:val="000000"/>
                <w:sz w:val="20"/>
                <w:szCs w:val="20"/>
              </w:rPr>
            </w:pPr>
            <w:r w:rsidRPr="00D064FF">
              <w:rPr>
                <w:rFonts w:ascii="Times New Roman" w:eastAsiaTheme="minorEastAsia" w:hAnsi="Times New Roman"/>
                <w:color w:val="000000"/>
                <w:sz w:val="20"/>
                <w:szCs w:val="20"/>
              </w:rPr>
              <w:t>6(15.0%)</w:t>
            </w:r>
          </w:p>
        </w:tc>
        <w:tc>
          <w:tcPr>
            <w:tcW w:w="706" w:type="pct"/>
            <w:tcBorders>
              <w:bottom w:val="single" w:sz="4" w:space="0" w:color="auto"/>
            </w:tcBorders>
          </w:tcPr>
          <w:p w:rsidR="00244A81" w:rsidRPr="00D064FF" w:rsidRDefault="00244A81" w:rsidP="00C35D52">
            <w:pPr>
              <w:snapToGrid w:val="0"/>
              <w:spacing w:after="0" w:line="240" w:lineRule="auto"/>
              <w:jc w:val="both"/>
              <w:rPr>
                <w:rFonts w:ascii="Times New Roman" w:eastAsiaTheme="minorEastAsia" w:hAnsi="Times New Roman"/>
                <w:color w:val="000000"/>
                <w:sz w:val="20"/>
                <w:szCs w:val="20"/>
              </w:rPr>
            </w:pPr>
            <w:r w:rsidRPr="00D064FF">
              <w:rPr>
                <w:rFonts w:ascii="Times New Roman" w:eastAsiaTheme="minorEastAsia" w:hAnsi="Times New Roman"/>
                <w:color w:val="000000"/>
                <w:sz w:val="20"/>
                <w:szCs w:val="20"/>
              </w:rPr>
              <w:t>30(75.0%)</w:t>
            </w:r>
          </w:p>
        </w:tc>
        <w:tc>
          <w:tcPr>
            <w:tcW w:w="707" w:type="pct"/>
            <w:tcBorders>
              <w:top w:val="single" w:sz="4" w:space="0" w:color="auto"/>
              <w:bottom w:val="single" w:sz="4" w:space="0" w:color="auto"/>
              <w:right w:val="single" w:sz="4" w:space="0" w:color="auto"/>
            </w:tcBorders>
          </w:tcPr>
          <w:p w:rsidR="00244A81" w:rsidRPr="00D064FF" w:rsidRDefault="00244A81" w:rsidP="00C35D52">
            <w:pPr>
              <w:snapToGrid w:val="0"/>
              <w:spacing w:after="0" w:line="240" w:lineRule="auto"/>
              <w:jc w:val="both"/>
              <w:rPr>
                <w:rFonts w:ascii="Times New Roman" w:eastAsiaTheme="minorEastAsia" w:hAnsi="Times New Roman"/>
                <w:color w:val="000000"/>
                <w:sz w:val="20"/>
                <w:szCs w:val="20"/>
              </w:rPr>
            </w:pPr>
            <w:r w:rsidRPr="00D064FF">
              <w:rPr>
                <w:rFonts w:ascii="Times New Roman" w:eastAsiaTheme="minorEastAsia" w:hAnsi="Times New Roman"/>
                <w:color w:val="000000"/>
                <w:sz w:val="20"/>
                <w:szCs w:val="20"/>
              </w:rPr>
              <w:t>40(39.6%</w:t>
            </w:r>
          </w:p>
        </w:tc>
        <w:tc>
          <w:tcPr>
            <w:tcW w:w="494" w:type="pct"/>
            <w:vMerge/>
            <w:tcBorders>
              <w:left w:val="single" w:sz="4" w:space="0" w:color="auto"/>
            </w:tcBorders>
          </w:tcPr>
          <w:p w:rsidR="00244A81" w:rsidRPr="00D064FF" w:rsidRDefault="00244A81" w:rsidP="00C35D52">
            <w:pPr>
              <w:snapToGrid w:val="0"/>
              <w:spacing w:after="0" w:line="240" w:lineRule="auto"/>
              <w:jc w:val="both"/>
              <w:rPr>
                <w:rFonts w:ascii="Times New Roman" w:eastAsiaTheme="minorEastAsia" w:hAnsi="Times New Roman"/>
                <w:color w:val="000000"/>
                <w:sz w:val="20"/>
                <w:szCs w:val="20"/>
              </w:rPr>
            </w:pPr>
          </w:p>
        </w:tc>
      </w:tr>
      <w:tr w:rsidR="00244A81" w:rsidRPr="00D064FF" w:rsidTr="00C35D52">
        <w:trPr>
          <w:jc w:val="center"/>
        </w:trPr>
        <w:tc>
          <w:tcPr>
            <w:tcW w:w="1059" w:type="pct"/>
          </w:tcPr>
          <w:p w:rsidR="00244A81" w:rsidRPr="00D064FF" w:rsidRDefault="00244A81" w:rsidP="00C35D52">
            <w:pPr>
              <w:snapToGrid w:val="0"/>
              <w:spacing w:after="0" w:line="240" w:lineRule="auto"/>
              <w:jc w:val="both"/>
              <w:rPr>
                <w:rFonts w:ascii="Times New Roman" w:eastAsiaTheme="minorEastAsia" w:hAnsi="Times New Roman"/>
                <w:color w:val="000000"/>
                <w:sz w:val="20"/>
                <w:szCs w:val="20"/>
              </w:rPr>
            </w:pPr>
            <w:r w:rsidRPr="00D064FF">
              <w:rPr>
                <w:rFonts w:ascii="Times New Roman" w:eastAsiaTheme="minorEastAsia" w:hAnsi="Times New Roman"/>
                <w:color w:val="000000"/>
                <w:sz w:val="20"/>
                <w:szCs w:val="20"/>
              </w:rPr>
              <w:t>100.1-500ng/mg</w:t>
            </w:r>
          </w:p>
        </w:tc>
        <w:tc>
          <w:tcPr>
            <w:tcW w:w="622" w:type="pct"/>
          </w:tcPr>
          <w:p w:rsidR="00244A81" w:rsidRPr="00D064FF" w:rsidRDefault="00244A81" w:rsidP="00C35D52">
            <w:pPr>
              <w:snapToGrid w:val="0"/>
              <w:spacing w:after="0" w:line="240" w:lineRule="auto"/>
              <w:jc w:val="both"/>
              <w:rPr>
                <w:rFonts w:ascii="Times New Roman" w:eastAsiaTheme="minorEastAsia" w:hAnsi="Times New Roman"/>
                <w:color w:val="000000"/>
                <w:sz w:val="20"/>
                <w:szCs w:val="20"/>
              </w:rPr>
            </w:pPr>
            <w:r w:rsidRPr="00D064FF">
              <w:rPr>
                <w:rFonts w:ascii="Times New Roman" w:eastAsiaTheme="minorEastAsia" w:hAnsi="Times New Roman"/>
                <w:color w:val="000000"/>
                <w:sz w:val="20"/>
                <w:szCs w:val="20"/>
              </w:rPr>
              <w:t>3(14.3%)</w:t>
            </w:r>
          </w:p>
        </w:tc>
        <w:tc>
          <w:tcPr>
            <w:tcW w:w="706" w:type="pct"/>
          </w:tcPr>
          <w:p w:rsidR="00244A81" w:rsidRPr="00D064FF" w:rsidRDefault="00244A81" w:rsidP="00C35D52">
            <w:pPr>
              <w:snapToGrid w:val="0"/>
              <w:spacing w:after="0" w:line="240" w:lineRule="auto"/>
              <w:jc w:val="both"/>
              <w:rPr>
                <w:rFonts w:ascii="Times New Roman" w:eastAsiaTheme="minorEastAsia" w:hAnsi="Times New Roman"/>
                <w:color w:val="000000"/>
                <w:sz w:val="20"/>
                <w:szCs w:val="20"/>
              </w:rPr>
            </w:pPr>
            <w:r w:rsidRPr="00D064FF">
              <w:rPr>
                <w:rFonts w:ascii="Times New Roman" w:eastAsiaTheme="minorEastAsia" w:hAnsi="Times New Roman"/>
                <w:color w:val="000000"/>
                <w:sz w:val="20"/>
                <w:szCs w:val="20"/>
              </w:rPr>
              <w:t>1(4.8%)</w:t>
            </w:r>
          </w:p>
        </w:tc>
        <w:tc>
          <w:tcPr>
            <w:tcW w:w="707" w:type="pct"/>
          </w:tcPr>
          <w:p w:rsidR="00244A81" w:rsidRPr="00D064FF" w:rsidRDefault="00244A81" w:rsidP="00C35D52">
            <w:pPr>
              <w:snapToGrid w:val="0"/>
              <w:spacing w:after="0" w:line="240" w:lineRule="auto"/>
              <w:jc w:val="both"/>
              <w:rPr>
                <w:rFonts w:ascii="Times New Roman" w:eastAsiaTheme="minorEastAsia" w:hAnsi="Times New Roman"/>
                <w:color w:val="000000"/>
                <w:sz w:val="20"/>
                <w:szCs w:val="20"/>
              </w:rPr>
            </w:pPr>
            <w:r w:rsidRPr="00D064FF">
              <w:rPr>
                <w:rFonts w:ascii="Times New Roman" w:eastAsiaTheme="minorEastAsia" w:hAnsi="Times New Roman"/>
                <w:color w:val="000000"/>
                <w:sz w:val="20"/>
                <w:szCs w:val="20"/>
              </w:rPr>
              <w:t>-</w:t>
            </w:r>
          </w:p>
        </w:tc>
        <w:tc>
          <w:tcPr>
            <w:tcW w:w="706" w:type="pct"/>
          </w:tcPr>
          <w:p w:rsidR="00244A81" w:rsidRPr="00D064FF" w:rsidRDefault="00244A81" w:rsidP="00C35D52">
            <w:pPr>
              <w:snapToGrid w:val="0"/>
              <w:spacing w:after="0" w:line="240" w:lineRule="auto"/>
              <w:jc w:val="both"/>
              <w:rPr>
                <w:rFonts w:ascii="Times New Roman" w:eastAsiaTheme="minorEastAsia" w:hAnsi="Times New Roman"/>
                <w:color w:val="000000"/>
                <w:sz w:val="20"/>
                <w:szCs w:val="20"/>
              </w:rPr>
            </w:pPr>
            <w:r w:rsidRPr="00D064FF">
              <w:rPr>
                <w:rFonts w:ascii="Times New Roman" w:eastAsiaTheme="minorEastAsia" w:hAnsi="Times New Roman"/>
                <w:color w:val="000000"/>
                <w:sz w:val="20"/>
                <w:szCs w:val="20"/>
              </w:rPr>
              <w:t>17(81.0%)</w:t>
            </w:r>
          </w:p>
        </w:tc>
        <w:tc>
          <w:tcPr>
            <w:tcW w:w="707" w:type="pct"/>
            <w:tcBorders>
              <w:top w:val="single" w:sz="4" w:space="0" w:color="auto"/>
              <w:bottom w:val="single" w:sz="4" w:space="0" w:color="auto"/>
              <w:right w:val="single" w:sz="4" w:space="0" w:color="auto"/>
            </w:tcBorders>
          </w:tcPr>
          <w:p w:rsidR="00244A81" w:rsidRPr="00D064FF" w:rsidRDefault="00244A81" w:rsidP="00C35D52">
            <w:pPr>
              <w:snapToGrid w:val="0"/>
              <w:spacing w:after="0" w:line="240" w:lineRule="auto"/>
              <w:jc w:val="both"/>
              <w:rPr>
                <w:rFonts w:ascii="Times New Roman" w:eastAsiaTheme="minorEastAsia" w:hAnsi="Times New Roman"/>
                <w:color w:val="000000"/>
                <w:sz w:val="20"/>
                <w:szCs w:val="20"/>
              </w:rPr>
            </w:pPr>
            <w:r w:rsidRPr="00D064FF">
              <w:rPr>
                <w:rFonts w:ascii="Times New Roman" w:eastAsiaTheme="minorEastAsia" w:hAnsi="Times New Roman"/>
                <w:color w:val="000000"/>
                <w:sz w:val="20"/>
                <w:szCs w:val="20"/>
              </w:rPr>
              <w:t>21(20.8%</w:t>
            </w:r>
          </w:p>
        </w:tc>
        <w:tc>
          <w:tcPr>
            <w:tcW w:w="494" w:type="pct"/>
            <w:vMerge/>
            <w:tcBorders>
              <w:left w:val="single" w:sz="4" w:space="0" w:color="auto"/>
            </w:tcBorders>
          </w:tcPr>
          <w:p w:rsidR="00244A81" w:rsidRPr="00D064FF" w:rsidRDefault="00244A81" w:rsidP="00C35D52">
            <w:pPr>
              <w:snapToGrid w:val="0"/>
              <w:spacing w:after="0" w:line="240" w:lineRule="auto"/>
              <w:jc w:val="both"/>
              <w:rPr>
                <w:rFonts w:ascii="Times New Roman" w:eastAsiaTheme="minorEastAsia" w:hAnsi="Times New Roman"/>
                <w:color w:val="000000"/>
                <w:sz w:val="20"/>
                <w:szCs w:val="20"/>
              </w:rPr>
            </w:pPr>
          </w:p>
        </w:tc>
      </w:tr>
      <w:tr w:rsidR="00244A81" w:rsidRPr="00D064FF" w:rsidTr="00C35D52">
        <w:trPr>
          <w:jc w:val="center"/>
        </w:trPr>
        <w:tc>
          <w:tcPr>
            <w:tcW w:w="1059" w:type="pct"/>
          </w:tcPr>
          <w:p w:rsidR="00244A81" w:rsidRPr="00D064FF" w:rsidRDefault="00244A81" w:rsidP="00C35D52">
            <w:pPr>
              <w:snapToGrid w:val="0"/>
              <w:spacing w:after="0" w:line="240" w:lineRule="auto"/>
              <w:jc w:val="both"/>
              <w:rPr>
                <w:rFonts w:ascii="Times New Roman" w:eastAsiaTheme="minorEastAsia" w:hAnsi="Times New Roman"/>
                <w:color w:val="000000"/>
                <w:sz w:val="20"/>
                <w:szCs w:val="20"/>
              </w:rPr>
            </w:pPr>
            <w:r w:rsidRPr="00D064FF">
              <w:rPr>
                <w:rFonts w:ascii="Times New Roman" w:eastAsiaTheme="minorEastAsia" w:hAnsi="Times New Roman"/>
                <w:color w:val="000000"/>
                <w:sz w:val="20"/>
                <w:szCs w:val="20"/>
              </w:rPr>
              <w:t>&gt;500ng/ml</w:t>
            </w:r>
          </w:p>
        </w:tc>
        <w:tc>
          <w:tcPr>
            <w:tcW w:w="622" w:type="pct"/>
          </w:tcPr>
          <w:p w:rsidR="00244A81" w:rsidRPr="00D064FF" w:rsidRDefault="00244A81" w:rsidP="00C35D52">
            <w:pPr>
              <w:snapToGrid w:val="0"/>
              <w:spacing w:after="0" w:line="240" w:lineRule="auto"/>
              <w:jc w:val="both"/>
              <w:rPr>
                <w:rFonts w:ascii="Times New Roman" w:eastAsiaTheme="minorEastAsia" w:hAnsi="Times New Roman"/>
                <w:color w:val="000000"/>
                <w:sz w:val="20"/>
                <w:szCs w:val="20"/>
              </w:rPr>
            </w:pPr>
            <w:r w:rsidRPr="00D064FF">
              <w:rPr>
                <w:rFonts w:ascii="Times New Roman" w:eastAsiaTheme="minorEastAsia" w:hAnsi="Times New Roman"/>
                <w:color w:val="000000"/>
                <w:sz w:val="20"/>
                <w:szCs w:val="20"/>
              </w:rPr>
              <w:t>-</w:t>
            </w:r>
          </w:p>
        </w:tc>
        <w:tc>
          <w:tcPr>
            <w:tcW w:w="706" w:type="pct"/>
          </w:tcPr>
          <w:p w:rsidR="00244A81" w:rsidRPr="00D064FF" w:rsidRDefault="00244A81" w:rsidP="00C35D52">
            <w:pPr>
              <w:snapToGrid w:val="0"/>
              <w:spacing w:after="0" w:line="240" w:lineRule="auto"/>
              <w:jc w:val="both"/>
              <w:rPr>
                <w:rFonts w:ascii="Times New Roman" w:eastAsiaTheme="minorEastAsia" w:hAnsi="Times New Roman"/>
                <w:color w:val="000000"/>
                <w:sz w:val="20"/>
                <w:szCs w:val="20"/>
              </w:rPr>
            </w:pPr>
            <w:r w:rsidRPr="00D064FF">
              <w:rPr>
                <w:rFonts w:ascii="Times New Roman" w:eastAsiaTheme="minorEastAsia" w:hAnsi="Times New Roman"/>
                <w:color w:val="000000"/>
                <w:sz w:val="20"/>
                <w:szCs w:val="20"/>
              </w:rPr>
              <w:t>-</w:t>
            </w:r>
          </w:p>
        </w:tc>
        <w:tc>
          <w:tcPr>
            <w:tcW w:w="707" w:type="pct"/>
          </w:tcPr>
          <w:p w:rsidR="00244A81" w:rsidRPr="00D064FF" w:rsidRDefault="00244A81" w:rsidP="00C35D52">
            <w:pPr>
              <w:snapToGrid w:val="0"/>
              <w:spacing w:after="0" w:line="240" w:lineRule="auto"/>
              <w:jc w:val="both"/>
              <w:rPr>
                <w:rFonts w:ascii="Times New Roman" w:eastAsiaTheme="minorEastAsia" w:hAnsi="Times New Roman"/>
                <w:color w:val="000000"/>
                <w:sz w:val="20"/>
                <w:szCs w:val="20"/>
              </w:rPr>
            </w:pPr>
            <w:r w:rsidRPr="00D064FF">
              <w:rPr>
                <w:rFonts w:ascii="Times New Roman" w:eastAsiaTheme="minorEastAsia" w:hAnsi="Times New Roman"/>
                <w:color w:val="000000"/>
                <w:sz w:val="20"/>
                <w:szCs w:val="20"/>
              </w:rPr>
              <w:t>1(25.0%)</w:t>
            </w:r>
          </w:p>
        </w:tc>
        <w:tc>
          <w:tcPr>
            <w:tcW w:w="706" w:type="pct"/>
          </w:tcPr>
          <w:p w:rsidR="00244A81" w:rsidRPr="00D064FF" w:rsidRDefault="00244A81" w:rsidP="00C35D52">
            <w:pPr>
              <w:snapToGrid w:val="0"/>
              <w:spacing w:after="0" w:line="240" w:lineRule="auto"/>
              <w:jc w:val="both"/>
              <w:rPr>
                <w:rFonts w:ascii="Times New Roman" w:eastAsiaTheme="minorEastAsia" w:hAnsi="Times New Roman"/>
                <w:color w:val="000000"/>
                <w:sz w:val="20"/>
                <w:szCs w:val="20"/>
              </w:rPr>
            </w:pPr>
            <w:r w:rsidRPr="00D064FF">
              <w:rPr>
                <w:rFonts w:ascii="Times New Roman" w:eastAsiaTheme="minorEastAsia" w:hAnsi="Times New Roman"/>
                <w:color w:val="000000"/>
                <w:sz w:val="20"/>
                <w:szCs w:val="20"/>
              </w:rPr>
              <w:t>3(75.0%)</w:t>
            </w:r>
          </w:p>
        </w:tc>
        <w:tc>
          <w:tcPr>
            <w:tcW w:w="707" w:type="pct"/>
            <w:tcBorders>
              <w:top w:val="single" w:sz="4" w:space="0" w:color="auto"/>
              <w:bottom w:val="single" w:sz="4" w:space="0" w:color="auto"/>
              <w:right w:val="single" w:sz="4" w:space="0" w:color="auto"/>
            </w:tcBorders>
          </w:tcPr>
          <w:p w:rsidR="00244A81" w:rsidRPr="00D064FF" w:rsidRDefault="00244A81" w:rsidP="00C35D52">
            <w:pPr>
              <w:snapToGrid w:val="0"/>
              <w:spacing w:after="0" w:line="240" w:lineRule="auto"/>
              <w:jc w:val="both"/>
              <w:rPr>
                <w:rFonts w:ascii="Times New Roman" w:eastAsiaTheme="minorEastAsia" w:hAnsi="Times New Roman"/>
                <w:color w:val="000000"/>
                <w:sz w:val="20"/>
                <w:szCs w:val="20"/>
              </w:rPr>
            </w:pPr>
            <w:r w:rsidRPr="00D064FF">
              <w:rPr>
                <w:rFonts w:ascii="Times New Roman" w:eastAsiaTheme="minorEastAsia" w:hAnsi="Times New Roman"/>
                <w:color w:val="000000"/>
                <w:sz w:val="20"/>
                <w:szCs w:val="20"/>
              </w:rPr>
              <w:t>4(4.0%)</w:t>
            </w:r>
          </w:p>
        </w:tc>
        <w:tc>
          <w:tcPr>
            <w:tcW w:w="494" w:type="pct"/>
            <w:vMerge/>
            <w:tcBorders>
              <w:left w:val="single" w:sz="4" w:space="0" w:color="auto"/>
            </w:tcBorders>
          </w:tcPr>
          <w:p w:rsidR="00244A81" w:rsidRPr="00D064FF" w:rsidRDefault="00244A81" w:rsidP="00C35D52">
            <w:pPr>
              <w:snapToGrid w:val="0"/>
              <w:spacing w:after="0" w:line="240" w:lineRule="auto"/>
              <w:jc w:val="both"/>
              <w:rPr>
                <w:rFonts w:ascii="Times New Roman" w:eastAsiaTheme="minorEastAsia" w:hAnsi="Times New Roman"/>
                <w:color w:val="000000"/>
                <w:sz w:val="20"/>
                <w:szCs w:val="20"/>
              </w:rPr>
            </w:pPr>
          </w:p>
        </w:tc>
      </w:tr>
      <w:tr w:rsidR="00244A81" w:rsidRPr="00D064FF" w:rsidTr="00C35D52">
        <w:trPr>
          <w:jc w:val="center"/>
        </w:trPr>
        <w:tc>
          <w:tcPr>
            <w:tcW w:w="1059" w:type="pct"/>
          </w:tcPr>
          <w:p w:rsidR="00244A81" w:rsidRPr="00D064FF" w:rsidRDefault="00244A81" w:rsidP="00C35D52">
            <w:pPr>
              <w:snapToGrid w:val="0"/>
              <w:spacing w:after="0" w:line="240" w:lineRule="auto"/>
              <w:jc w:val="both"/>
              <w:rPr>
                <w:rFonts w:ascii="Times New Roman" w:eastAsiaTheme="minorEastAsia" w:hAnsi="Times New Roman"/>
                <w:b/>
                <w:color w:val="000000"/>
                <w:sz w:val="20"/>
                <w:szCs w:val="20"/>
              </w:rPr>
            </w:pPr>
            <w:r w:rsidRPr="00D064FF">
              <w:rPr>
                <w:rFonts w:ascii="Times New Roman" w:eastAsiaTheme="minorEastAsia" w:hAnsi="Times New Roman"/>
                <w:b/>
                <w:color w:val="000000"/>
                <w:sz w:val="20"/>
                <w:szCs w:val="20"/>
              </w:rPr>
              <w:t>Total</w:t>
            </w:r>
            <w:r w:rsidR="00D064FF">
              <w:rPr>
                <w:rFonts w:ascii="Times New Roman" w:eastAsiaTheme="minorEastAsia" w:hAnsi="Times New Roman" w:hint="eastAsia"/>
                <w:b/>
                <w:color w:val="000000"/>
                <w:sz w:val="20"/>
                <w:szCs w:val="20"/>
                <w:lang w:eastAsia="zh-CN"/>
              </w:rPr>
              <w:t xml:space="preserve"> </w:t>
            </w:r>
            <w:r w:rsidRPr="00D064FF">
              <w:rPr>
                <w:rFonts w:ascii="Times New Roman" w:eastAsiaTheme="minorEastAsia" w:hAnsi="Times New Roman"/>
                <w:b/>
                <w:color w:val="000000"/>
                <w:sz w:val="20"/>
                <w:szCs w:val="20"/>
              </w:rPr>
              <w:t>(sites)</w:t>
            </w:r>
          </w:p>
        </w:tc>
        <w:tc>
          <w:tcPr>
            <w:tcW w:w="622" w:type="pct"/>
          </w:tcPr>
          <w:p w:rsidR="00244A81" w:rsidRPr="00D064FF" w:rsidRDefault="00244A81" w:rsidP="00C35D52">
            <w:pPr>
              <w:snapToGrid w:val="0"/>
              <w:spacing w:after="0" w:line="240" w:lineRule="auto"/>
              <w:jc w:val="both"/>
              <w:rPr>
                <w:rFonts w:ascii="Times New Roman" w:eastAsiaTheme="minorEastAsia" w:hAnsi="Times New Roman"/>
                <w:b/>
                <w:color w:val="000000"/>
                <w:sz w:val="20"/>
                <w:szCs w:val="20"/>
              </w:rPr>
            </w:pPr>
            <w:r w:rsidRPr="00D064FF">
              <w:rPr>
                <w:rFonts w:ascii="Times New Roman" w:eastAsiaTheme="minorEastAsia" w:hAnsi="Times New Roman"/>
                <w:b/>
                <w:color w:val="000000"/>
                <w:sz w:val="20"/>
                <w:szCs w:val="20"/>
              </w:rPr>
              <w:t>10(9.9%)</w:t>
            </w:r>
          </w:p>
        </w:tc>
        <w:tc>
          <w:tcPr>
            <w:tcW w:w="706" w:type="pct"/>
          </w:tcPr>
          <w:p w:rsidR="00244A81" w:rsidRPr="00D064FF" w:rsidRDefault="00244A81" w:rsidP="00C35D52">
            <w:pPr>
              <w:snapToGrid w:val="0"/>
              <w:spacing w:after="0" w:line="240" w:lineRule="auto"/>
              <w:jc w:val="both"/>
              <w:rPr>
                <w:rFonts w:ascii="Times New Roman" w:eastAsiaTheme="minorEastAsia" w:hAnsi="Times New Roman"/>
                <w:b/>
                <w:color w:val="000000"/>
                <w:sz w:val="20"/>
                <w:szCs w:val="20"/>
              </w:rPr>
            </w:pPr>
            <w:r w:rsidRPr="00D064FF">
              <w:rPr>
                <w:rFonts w:ascii="Times New Roman" w:eastAsiaTheme="minorEastAsia" w:hAnsi="Times New Roman"/>
                <w:b/>
                <w:color w:val="000000"/>
                <w:sz w:val="20"/>
                <w:szCs w:val="20"/>
              </w:rPr>
              <w:t>17(16.8%)</w:t>
            </w:r>
          </w:p>
        </w:tc>
        <w:tc>
          <w:tcPr>
            <w:tcW w:w="707" w:type="pct"/>
          </w:tcPr>
          <w:p w:rsidR="00244A81" w:rsidRPr="00D064FF" w:rsidRDefault="00244A81" w:rsidP="00C35D52">
            <w:pPr>
              <w:snapToGrid w:val="0"/>
              <w:spacing w:after="0" w:line="240" w:lineRule="auto"/>
              <w:jc w:val="both"/>
              <w:rPr>
                <w:rFonts w:ascii="Times New Roman" w:eastAsiaTheme="minorEastAsia" w:hAnsi="Times New Roman"/>
                <w:b/>
                <w:color w:val="000000"/>
                <w:sz w:val="20"/>
                <w:szCs w:val="20"/>
              </w:rPr>
            </w:pPr>
            <w:r w:rsidRPr="00D064FF">
              <w:rPr>
                <w:rFonts w:ascii="Times New Roman" w:eastAsiaTheme="minorEastAsia" w:hAnsi="Times New Roman"/>
                <w:b/>
                <w:color w:val="000000"/>
                <w:sz w:val="20"/>
                <w:szCs w:val="20"/>
              </w:rPr>
              <w:t>14(13.9%)</w:t>
            </w:r>
          </w:p>
        </w:tc>
        <w:tc>
          <w:tcPr>
            <w:tcW w:w="706" w:type="pct"/>
          </w:tcPr>
          <w:p w:rsidR="00244A81" w:rsidRPr="00D064FF" w:rsidRDefault="00244A81" w:rsidP="00C35D52">
            <w:pPr>
              <w:snapToGrid w:val="0"/>
              <w:spacing w:after="0" w:line="240" w:lineRule="auto"/>
              <w:jc w:val="both"/>
              <w:rPr>
                <w:rFonts w:ascii="Times New Roman" w:eastAsiaTheme="minorEastAsia" w:hAnsi="Times New Roman"/>
                <w:b/>
                <w:color w:val="000000"/>
                <w:sz w:val="20"/>
                <w:szCs w:val="20"/>
              </w:rPr>
            </w:pPr>
            <w:r w:rsidRPr="00D064FF">
              <w:rPr>
                <w:rFonts w:ascii="Times New Roman" w:eastAsiaTheme="minorEastAsia" w:hAnsi="Times New Roman"/>
                <w:b/>
                <w:color w:val="000000"/>
                <w:sz w:val="20"/>
                <w:szCs w:val="20"/>
              </w:rPr>
              <w:t>60(59.4%)</w:t>
            </w:r>
          </w:p>
        </w:tc>
        <w:tc>
          <w:tcPr>
            <w:tcW w:w="707" w:type="pct"/>
            <w:tcBorders>
              <w:top w:val="single" w:sz="4" w:space="0" w:color="auto"/>
              <w:right w:val="single" w:sz="4" w:space="0" w:color="auto"/>
            </w:tcBorders>
          </w:tcPr>
          <w:p w:rsidR="00244A81" w:rsidRPr="00D064FF" w:rsidRDefault="00244A81" w:rsidP="00C35D52">
            <w:pPr>
              <w:snapToGrid w:val="0"/>
              <w:spacing w:after="0" w:line="240" w:lineRule="auto"/>
              <w:jc w:val="both"/>
              <w:rPr>
                <w:rFonts w:ascii="Times New Roman" w:eastAsiaTheme="minorEastAsia" w:hAnsi="Times New Roman"/>
                <w:b/>
                <w:color w:val="000000"/>
                <w:sz w:val="20"/>
                <w:szCs w:val="20"/>
              </w:rPr>
            </w:pPr>
            <w:r w:rsidRPr="00D064FF">
              <w:rPr>
                <w:rFonts w:ascii="Times New Roman" w:eastAsiaTheme="minorEastAsia" w:hAnsi="Times New Roman"/>
                <w:b/>
                <w:color w:val="000000"/>
                <w:sz w:val="20"/>
                <w:szCs w:val="20"/>
              </w:rPr>
              <w:t>101(100%</w:t>
            </w:r>
          </w:p>
        </w:tc>
        <w:tc>
          <w:tcPr>
            <w:tcW w:w="494" w:type="pct"/>
            <w:vMerge/>
            <w:tcBorders>
              <w:left w:val="single" w:sz="4" w:space="0" w:color="auto"/>
            </w:tcBorders>
          </w:tcPr>
          <w:p w:rsidR="00244A81" w:rsidRPr="00D064FF" w:rsidRDefault="00244A81" w:rsidP="00C35D52">
            <w:pPr>
              <w:snapToGrid w:val="0"/>
              <w:spacing w:after="0" w:line="240" w:lineRule="auto"/>
              <w:jc w:val="both"/>
              <w:rPr>
                <w:rFonts w:ascii="Times New Roman" w:eastAsiaTheme="minorEastAsia" w:hAnsi="Times New Roman"/>
                <w:color w:val="000000"/>
                <w:sz w:val="20"/>
                <w:szCs w:val="20"/>
              </w:rPr>
            </w:pPr>
          </w:p>
        </w:tc>
      </w:tr>
    </w:tbl>
    <w:p w:rsidR="00C35D52" w:rsidRDefault="00C35D52" w:rsidP="00C35D52">
      <w:pPr>
        <w:snapToGrid w:val="0"/>
        <w:spacing w:after="0" w:line="240" w:lineRule="auto"/>
        <w:ind w:firstLine="425"/>
        <w:jc w:val="both"/>
        <w:rPr>
          <w:rFonts w:ascii="Times New Roman" w:hAnsi="Times New Roman"/>
          <w:sz w:val="20"/>
          <w:szCs w:val="20"/>
          <w:lang w:eastAsia="zh-CN"/>
        </w:rPr>
      </w:pPr>
    </w:p>
    <w:p w:rsidR="00D064FF" w:rsidRPr="00D064FF" w:rsidRDefault="00D064FF" w:rsidP="00C35D52">
      <w:pPr>
        <w:snapToGrid w:val="0"/>
        <w:spacing w:after="0" w:line="240" w:lineRule="auto"/>
        <w:ind w:firstLine="425"/>
        <w:jc w:val="both"/>
        <w:rPr>
          <w:rFonts w:ascii="Times New Roman" w:hAnsi="Times New Roman"/>
          <w:sz w:val="20"/>
          <w:szCs w:val="20"/>
          <w:lang w:eastAsia="zh-CN"/>
        </w:rPr>
      </w:pPr>
    </w:p>
    <w:p w:rsidR="00C35D52" w:rsidRPr="00D064FF" w:rsidRDefault="00C35D52" w:rsidP="00C35D52">
      <w:pPr>
        <w:snapToGrid w:val="0"/>
        <w:spacing w:after="0" w:line="240" w:lineRule="auto"/>
        <w:ind w:firstLine="425"/>
        <w:jc w:val="both"/>
        <w:rPr>
          <w:rFonts w:ascii="Times New Roman" w:hAnsi="Times New Roman"/>
          <w:sz w:val="20"/>
          <w:szCs w:val="20"/>
        </w:rPr>
        <w:sectPr w:rsidR="00C35D52" w:rsidRPr="00D064FF" w:rsidSect="00945A82">
          <w:headerReference w:type="default" r:id="rId28"/>
          <w:footerReference w:type="default" r:id="rId29"/>
          <w:type w:val="continuous"/>
          <w:pgSz w:w="12242" w:h="15842" w:code="1"/>
          <w:pgMar w:top="1440" w:right="1440" w:bottom="1440" w:left="1440" w:header="720" w:footer="720" w:gutter="0"/>
          <w:cols w:space="708"/>
          <w:docGrid w:linePitch="360"/>
        </w:sectPr>
      </w:pPr>
    </w:p>
    <w:p w:rsidR="001F58AE" w:rsidRPr="00D064FF" w:rsidRDefault="001F58AE" w:rsidP="00C35D52">
      <w:pPr>
        <w:snapToGrid w:val="0"/>
        <w:spacing w:after="0" w:line="240" w:lineRule="auto"/>
        <w:ind w:firstLine="425"/>
        <w:jc w:val="both"/>
        <w:rPr>
          <w:rFonts w:ascii="Times New Roman" w:hAnsi="Times New Roman"/>
          <w:sz w:val="20"/>
          <w:szCs w:val="20"/>
        </w:rPr>
      </w:pPr>
      <w:r w:rsidRPr="00D064FF">
        <w:rPr>
          <w:rFonts w:ascii="Times New Roman" w:hAnsi="Times New Roman"/>
          <w:sz w:val="20"/>
          <w:szCs w:val="20"/>
        </w:rPr>
        <w:lastRenderedPageBreak/>
        <w:t>There is significant positive correlation between the PSA and TBS at presentation. The prevalence of bony metastasis proven by TBS increases progressively with rising PSA level, rising from 3 (3.3%), 6 (6.6%), 8 (8.8%), 14 (15.4%), 38 (41.8%), 18 (19.8%), and 4 (4.4%) patients for PSA 0-4ng/ml, 4.1-10ng/ml, 10.1-20ng/ml, 20.1-40ng/ml, 40.1-100ng/ml, 100-500ng/ml, and &gt;500ng/ml respectiv</w:t>
      </w:r>
      <w:r w:rsidR="00291B07" w:rsidRPr="00D064FF">
        <w:rPr>
          <w:rFonts w:ascii="Times New Roman" w:hAnsi="Times New Roman"/>
          <w:sz w:val="20"/>
          <w:szCs w:val="20"/>
        </w:rPr>
        <w:t>ely (p-value 0.002)</w:t>
      </w:r>
      <w:r w:rsidRPr="00D064FF">
        <w:rPr>
          <w:rFonts w:ascii="Times New Roman" w:hAnsi="Times New Roman"/>
          <w:sz w:val="20"/>
          <w:szCs w:val="20"/>
        </w:rPr>
        <w:t>.</w:t>
      </w:r>
    </w:p>
    <w:p w:rsidR="001F58AE" w:rsidRPr="00D064FF" w:rsidRDefault="001F58AE" w:rsidP="00C35D52">
      <w:pPr>
        <w:autoSpaceDE w:val="0"/>
        <w:autoSpaceDN w:val="0"/>
        <w:adjustRightInd w:val="0"/>
        <w:snapToGrid w:val="0"/>
        <w:spacing w:after="0" w:line="240" w:lineRule="auto"/>
        <w:ind w:firstLine="425"/>
        <w:jc w:val="both"/>
        <w:rPr>
          <w:rFonts w:ascii="Times New Roman" w:hAnsi="Times New Roman"/>
          <w:bCs/>
          <w:color w:val="000000"/>
          <w:sz w:val="20"/>
          <w:szCs w:val="20"/>
        </w:rPr>
      </w:pPr>
      <w:r w:rsidRPr="00D064FF">
        <w:rPr>
          <w:rFonts w:ascii="Times New Roman" w:hAnsi="Times New Roman"/>
          <w:bCs/>
          <w:color w:val="000000"/>
          <w:sz w:val="20"/>
          <w:szCs w:val="20"/>
        </w:rPr>
        <w:lastRenderedPageBreak/>
        <w:t>Three (30%) of the 10 patients who initially had negative TBS at presentation, became positive at subsequent TBS at follow-up (2-6 years).</w:t>
      </w:r>
    </w:p>
    <w:p w:rsidR="00977013" w:rsidRPr="00D064FF" w:rsidRDefault="001F58AE" w:rsidP="00C35D52">
      <w:pPr>
        <w:snapToGrid w:val="0"/>
        <w:spacing w:after="0" w:line="240" w:lineRule="auto"/>
        <w:ind w:firstLine="425"/>
        <w:jc w:val="both"/>
        <w:rPr>
          <w:rFonts w:ascii="Times New Roman" w:hAnsi="Times New Roman"/>
          <w:b/>
          <w:sz w:val="20"/>
          <w:szCs w:val="20"/>
        </w:rPr>
      </w:pPr>
      <w:r w:rsidRPr="00D064FF">
        <w:rPr>
          <w:rFonts w:ascii="Times New Roman" w:hAnsi="Times New Roman"/>
          <w:sz w:val="20"/>
          <w:szCs w:val="20"/>
        </w:rPr>
        <w:t>Using the risk stratification</w:t>
      </w:r>
      <w:r w:rsidR="006109D4" w:rsidRPr="00D064FF">
        <w:rPr>
          <w:rFonts w:ascii="Times New Roman" w:hAnsi="Times New Roman"/>
          <w:sz w:val="20"/>
          <w:szCs w:val="20"/>
        </w:rPr>
        <w:t xml:space="preserve"> system proposed by D’Amico </w:t>
      </w:r>
      <w:proofErr w:type="gramStart"/>
      <w:r w:rsidR="006109D4" w:rsidRPr="00D064FF">
        <w:rPr>
          <w:rFonts w:ascii="Times New Roman" w:hAnsi="Times New Roman"/>
          <w:sz w:val="20"/>
          <w:szCs w:val="20"/>
        </w:rPr>
        <w:t>et</w:t>
      </w:r>
      <w:proofErr w:type="gramEnd"/>
      <w:r w:rsidR="006109D4" w:rsidRPr="00D064FF">
        <w:rPr>
          <w:rFonts w:ascii="Times New Roman" w:hAnsi="Times New Roman"/>
          <w:sz w:val="20"/>
          <w:szCs w:val="20"/>
        </w:rPr>
        <w:t xml:space="preserve"> al</w:t>
      </w:r>
      <w:r w:rsidR="00C46AE4" w:rsidRPr="00D064FF">
        <w:rPr>
          <w:rFonts w:ascii="Times New Roman" w:hAnsi="Times New Roman"/>
          <w:sz w:val="20"/>
          <w:szCs w:val="20"/>
          <w:vertAlign w:val="superscript"/>
        </w:rPr>
        <w:t>19</w:t>
      </w:r>
      <w:r w:rsidR="00C46AE4" w:rsidRPr="00D064FF">
        <w:rPr>
          <w:rFonts w:ascii="Times New Roman" w:hAnsi="Times New Roman"/>
          <w:sz w:val="20"/>
          <w:szCs w:val="20"/>
        </w:rPr>
        <w:t xml:space="preserve">, </w:t>
      </w:r>
      <w:r w:rsidRPr="00D064FF">
        <w:rPr>
          <w:rFonts w:ascii="Times New Roman" w:hAnsi="Times New Roman"/>
          <w:sz w:val="20"/>
          <w:szCs w:val="20"/>
        </w:rPr>
        <w:t>94 (93%) patients were in high-risk group while 2 (2%) were in low-risk group (Fig 4). The patients at high-risk stratification have more positive TBS findings (92.6%) compare to other risk groups (T</w:t>
      </w:r>
      <w:r w:rsidR="00F7468A" w:rsidRPr="00D064FF">
        <w:rPr>
          <w:rFonts w:ascii="Times New Roman" w:hAnsi="Times New Roman"/>
          <w:sz w:val="20"/>
          <w:szCs w:val="20"/>
        </w:rPr>
        <w:t>able</w:t>
      </w:r>
      <w:r w:rsidR="00D064FF">
        <w:rPr>
          <w:rFonts w:ascii="Times New Roman" w:hAnsi="Times New Roman" w:hint="eastAsia"/>
          <w:sz w:val="20"/>
          <w:szCs w:val="20"/>
          <w:lang w:eastAsia="zh-CN"/>
        </w:rPr>
        <w:t xml:space="preserve"> </w:t>
      </w:r>
      <w:r w:rsidR="00C46AE4" w:rsidRPr="00D064FF">
        <w:rPr>
          <w:rFonts w:ascii="Times New Roman" w:hAnsi="Times New Roman"/>
          <w:sz w:val="20"/>
          <w:szCs w:val="20"/>
        </w:rPr>
        <w:t>2</w:t>
      </w:r>
      <w:r w:rsidRPr="00D064FF">
        <w:rPr>
          <w:rFonts w:ascii="Times New Roman" w:hAnsi="Times New Roman"/>
          <w:sz w:val="20"/>
          <w:szCs w:val="20"/>
        </w:rPr>
        <w:t>).</w:t>
      </w:r>
    </w:p>
    <w:p w:rsidR="00C35D52" w:rsidRPr="00D064FF" w:rsidRDefault="00C35D52" w:rsidP="00C35D52">
      <w:pPr>
        <w:snapToGrid w:val="0"/>
        <w:spacing w:after="0" w:line="240" w:lineRule="auto"/>
        <w:jc w:val="both"/>
        <w:rPr>
          <w:rFonts w:ascii="Times New Roman" w:hAnsi="Times New Roman"/>
          <w:b/>
          <w:sz w:val="20"/>
          <w:szCs w:val="20"/>
        </w:rPr>
        <w:sectPr w:rsidR="00C35D52" w:rsidRPr="00D064FF" w:rsidSect="00945A82">
          <w:headerReference w:type="default" r:id="rId30"/>
          <w:footerReference w:type="default" r:id="rId31"/>
          <w:type w:val="continuous"/>
          <w:pgSz w:w="12242" w:h="15842" w:code="1"/>
          <w:pgMar w:top="1440" w:right="1440" w:bottom="1440" w:left="1440" w:header="720" w:footer="720" w:gutter="0"/>
          <w:cols w:num="2" w:space="708"/>
          <w:docGrid w:linePitch="360"/>
        </w:sectPr>
      </w:pPr>
    </w:p>
    <w:p w:rsidR="00C46AE4" w:rsidRPr="00D064FF" w:rsidRDefault="00C46AE4" w:rsidP="00C35D52">
      <w:pPr>
        <w:snapToGrid w:val="0"/>
        <w:spacing w:after="0" w:line="240" w:lineRule="auto"/>
        <w:jc w:val="center"/>
        <w:rPr>
          <w:rFonts w:ascii="Times New Roman" w:hAnsi="Times New Roman"/>
          <w:b/>
          <w:sz w:val="20"/>
          <w:szCs w:val="20"/>
        </w:rPr>
      </w:pPr>
    </w:p>
    <w:p w:rsidR="00D064FF" w:rsidRDefault="00D064FF" w:rsidP="00C35D52">
      <w:pPr>
        <w:snapToGrid w:val="0"/>
        <w:spacing w:after="0" w:line="240" w:lineRule="auto"/>
        <w:jc w:val="center"/>
        <w:rPr>
          <w:rFonts w:ascii="Times New Roman" w:hAnsi="Times New Roman"/>
          <w:b/>
          <w:sz w:val="20"/>
          <w:szCs w:val="20"/>
          <w:lang w:eastAsia="zh-CN"/>
        </w:rPr>
      </w:pPr>
    </w:p>
    <w:p w:rsidR="00D064FF" w:rsidRDefault="00D064FF" w:rsidP="00C35D52">
      <w:pPr>
        <w:snapToGrid w:val="0"/>
        <w:spacing w:after="0" w:line="240" w:lineRule="auto"/>
        <w:jc w:val="center"/>
        <w:rPr>
          <w:rFonts w:ascii="Times New Roman" w:hAnsi="Times New Roman"/>
          <w:b/>
          <w:sz w:val="20"/>
          <w:szCs w:val="20"/>
          <w:lang w:eastAsia="zh-CN"/>
        </w:rPr>
      </w:pPr>
    </w:p>
    <w:p w:rsidR="00C46AE4" w:rsidRPr="00D064FF" w:rsidRDefault="00C46AE4" w:rsidP="00C35D52">
      <w:pPr>
        <w:snapToGrid w:val="0"/>
        <w:spacing w:after="0" w:line="240" w:lineRule="auto"/>
        <w:jc w:val="center"/>
        <w:rPr>
          <w:rFonts w:ascii="Times New Roman" w:hAnsi="Times New Roman"/>
          <w:b/>
          <w:sz w:val="20"/>
          <w:szCs w:val="20"/>
        </w:rPr>
      </w:pPr>
      <w:r w:rsidRPr="00D064FF">
        <w:rPr>
          <w:rFonts w:ascii="Times New Roman" w:hAnsi="Times New Roman"/>
          <w:b/>
          <w:sz w:val="20"/>
          <w:szCs w:val="20"/>
        </w:rPr>
        <w:t>Table 2: Relationship between Risk Stratification and Total Body Bone Scan findings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128"/>
        <w:gridCol w:w="1988"/>
        <w:gridCol w:w="1749"/>
        <w:gridCol w:w="1192"/>
        <w:gridCol w:w="1521"/>
      </w:tblGrid>
      <w:tr w:rsidR="00C46AE4" w:rsidRPr="00D064FF" w:rsidTr="00C35D52">
        <w:trPr>
          <w:trHeight w:val="20"/>
          <w:jc w:val="center"/>
        </w:trPr>
        <w:tc>
          <w:tcPr>
            <w:tcW w:w="1633" w:type="pct"/>
            <w:vMerge w:val="restart"/>
            <w:vAlign w:val="center"/>
          </w:tcPr>
          <w:p w:rsidR="00C46AE4" w:rsidRPr="00D064FF" w:rsidRDefault="00C46AE4" w:rsidP="00C35D52">
            <w:pPr>
              <w:snapToGrid w:val="0"/>
              <w:spacing w:after="0" w:line="240" w:lineRule="auto"/>
              <w:contextualSpacing/>
              <w:jc w:val="both"/>
              <w:rPr>
                <w:rFonts w:ascii="Times New Roman" w:eastAsiaTheme="minorEastAsia" w:hAnsi="Times New Roman"/>
                <w:color w:val="000000"/>
                <w:sz w:val="20"/>
                <w:szCs w:val="20"/>
              </w:rPr>
            </w:pPr>
            <w:r w:rsidRPr="00D064FF">
              <w:rPr>
                <w:rFonts w:ascii="Times New Roman" w:eastAsiaTheme="minorEastAsia" w:hAnsi="Times New Roman"/>
                <w:color w:val="000000"/>
                <w:sz w:val="20"/>
                <w:szCs w:val="20"/>
              </w:rPr>
              <w:t>Risk Stratification</w:t>
            </w:r>
          </w:p>
        </w:tc>
        <w:tc>
          <w:tcPr>
            <w:tcW w:w="2573" w:type="pct"/>
            <w:gridSpan w:val="3"/>
            <w:vAlign w:val="center"/>
          </w:tcPr>
          <w:p w:rsidR="00C46AE4" w:rsidRPr="00D064FF" w:rsidRDefault="00C46AE4" w:rsidP="00C35D52">
            <w:pPr>
              <w:snapToGrid w:val="0"/>
              <w:spacing w:after="0" w:line="240" w:lineRule="auto"/>
              <w:contextualSpacing/>
              <w:jc w:val="both"/>
              <w:rPr>
                <w:rFonts w:ascii="Times New Roman" w:eastAsiaTheme="minorEastAsia" w:hAnsi="Times New Roman"/>
                <w:color w:val="000000"/>
                <w:sz w:val="20"/>
                <w:szCs w:val="20"/>
              </w:rPr>
            </w:pPr>
            <w:r w:rsidRPr="00D064FF">
              <w:rPr>
                <w:rFonts w:ascii="Times New Roman" w:eastAsiaTheme="minorEastAsia" w:hAnsi="Times New Roman"/>
                <w:color w:val="000000"/>
                <w:sz w:val="20"/>
                <w:szCs w:val="20"/>
              </w:rPr>
              <w:t>Total Body Bone Scan</w:t>
            </w:r>
          </w:p>
        </w:tc>
        <w:tc>
          <w:tcPr>
            <w:tcW w:w="794" w:type="pct"/>
            <w:vMerge w:val="restart"/>
            <w:tcBorders>
              <w:top w:val="single" w:sz="4" w:space="0" w:color="auto"/>
              <w:right w:val="single" w:sz="4" w:space="0" w:color="auto"/>
            </w:tcBorders>
            <w:shd w:val="clear" w:color="auto" w:fill="auto"/>
            <w:vAlign w:val="center"/>
          </w:tcPr>
          <w:p w:rsidR="00C46AE4" w:rsidRPr="00D064FF" w:rsidRDefault="00C46AE4" w:rsidP="00C35D52">
            <w:pPr>
              <w:snapToGrid w:val="0"/>
              <w:spacing w:after="0" w:line="240" w:lineRule="auto"/>
              <w:jc w:val="both"/>
              <w:rPr>
                <w:rFonts w:ascii="Times New Roman" w:eastAsiaTheme="minorEastAsia" w:hAnsi="Times New Roman"/>
                <w:color w:val="000000"/>
                <w:sz w:val="20"/>
                <w:szCs w:val="20"/>
              </w:rPr>
            </w:pPr>
            <w:r w:rsidRPr="00D064FF">
              <w:rPr>
                <w:rFonts w:ascii="Times New Roman" w:eastAsiaTheme="minorEastAsia" w:hAnsi="Times New Roman"/>
                <w:color w:val="000000"/>
                <w:sz w:val="20"/>
                <w:szCs w:val="20"/>
              </w:rPr>
              <w:t>p-value</w:t>
            </w:r>
          </w:p>
        </w:tc>
      </w:tr>
      <w:tr w:rsidR="00C46AE4" w:rsidRPr="00D064FF" w:rsidTr="00C35D52">
        <w:trPr>
          <w:trHeight w:val="20"/>
          <w:jc w:val="center"/>
        </w:trPr>
        <w:tc>
          <w:tcPr>
            <w:tcW w:w="1633" w:type="pct"/>
            <w:vMerge/>
            <w:vAlign w:val="center"/>
          </w:tcPr>
          <w:p w:rsidR="00C46AE4" w:rsidRPr="00D064FF" w:rsidRDefault="00C46AE4" w:rsidP="00C35D52">
            <w:pPr>
              <w:snapToGrid w:val="0"/>
              <w:spacing w:after="0" w:line="240" w:lineRule="auto"/>
              <w:contextualSpacing/>
              <w:jc w:val="both"/>
              <w:rPr>
                <w:rFonts w:ascii="Times New Roman" w:eastAsiaTheme="minorEastAsia" w:hAnsi="Times New Roman"/>
                <w:color w:val="000000"/>
                <w:sz w:val="20"/>
                <w:szCs w:val="20"/>
              </w:rPr>
            </w:pPr>
          </w:p>
        </w:tc>
        <w:tc>
          <w:tcPr>
            <w:tcW w:w="1038" w:type="pct"/>
            <w:vAlign w:val="center"/>
          </w:tcPr>
          <w:p w:rsidR="00C46AE4" w:rsidRPr="00D064FF" w:rsidRDefault="00C46AE4" w:rsidP="00C35D52">
            <w:pPr>
              <w:snapToGrid w:val="0"/>
              <w:spacing w:after="0" w:line="240" w:lineRule="auto"/>
              <w:contextualSpacing/>
              <w:jc w:val="both"/>
              <w:rPr>
                <w:rFonts w:ascii="Times New Roman" w:eastAsiaTheme="minorEastAsia" w:hAnsi="Times New Roman"/>
                <w:color w:val="000000"/>
                <w:sz w:val="20"/>
                <w:szCs w:val="20"/>
              </w:rPr>
            </w:pPr>
            <w:r w:rsidRPr="00D064FF">
              <w:rPr>
                <w:rFonts w:ascii="Times New Roman" w:eastAsiaTheme="minorEastAsia" w:hAnsi="Times New Roman"/>
                <w:color w:val="000000"/>
                <w:sz w:val="20"/>
                <w:szCs w:val="20"/>
              </w:rPr>
              <w:t>Positive</w:t>
            </w:r>
          </w:p>
        </w:tc>
        <w:tc>
          <w:tcPr>
            <w:tcW w:w="913" w:type="pct"/>
            <w:vAlign w:val="center"/>
          </w:tcPr>
          <w:p w:rsidR="00C46AE4" w:rsidRPr="00D064FF" w:rsidRDefault="00C46AE4" w:rsidP="00C35D52">
            <w:pPr>
              <w:snapToGrid w:val="0"/>
              <w:spacing w:after="0" w:line="240" w:lineRule="auto"/>
              <w:contextualSpacing/>
              <w:jc w:val="both"/>
              <w:rPr>
                <w:rFonts w:ascii="Times New Roman" w:eastAsiaTheme="minorEastAsia" w:hAnsi="Times New Roman"/>
                <w:color w:val="000000"/>
                <w:sz w:val="20"/>
                <w:szCs w:val="20"/>
              </w:rPr>
            </w:pPr>
            <w:r w:rsidRPr="00D064FF">
              <w:rPr>
                <w:rFonts w:ascii="Times New Roman" w:eastAsiaTheme="minorEastAsia" w:hAnsi="Times New Roman"/>
                <w:color w:val="000000"/>
                <w:sz w:val="20"/>
                <w:szCs w:val="20"/>
              </w:rPr>
              <w:t>Negative</w:t>
            </w:r>
          </w:p>
        </w:tc>
        <w:tc>
          <w:tcPr>
            <w:tcW w:w="622" w:type="pct"/>
            <w:vAlign w:val="center"/>
          </w:tcPr>
          <w:p w:rsidR="00C46AE4" w:rsidRPr="00D064FF" w:rsidRDefault="00C46AE4" w:rsidP="00C35D52">
            <w:pPr>
              <w:snapToGrid w:val="0"/>
              <w:spacing w:after="0" w:line="240" w:lineRule="auto"/>
              <w:contextualSpacing/>
              <w:jc w:val="both"/>
              <w:rPr>
                <w:rFonts w:ascii="Times New Roman" w:eastAsiaTheme="minorEastAsia" w:hAnsi="Times New Roman"/>
                <w:color w:val="000000"/>
                <w:sz w:val="20"/>
                <w:szCs w:val="20"/>
              </w:rPr>
            </w:pPr>
            <w:r w:rsidRPr="00D064FF">
              <w:rPr>
                <w:rFonts w:ascii="Times New Roman" w:eastAsiaTheme="minorEastAsia" w:hAnsi="Times New Roman"/>
                <w:color w:val="000000"/>
                <w:sz w:val="20"/>
                <w:szCs w:val="20"/>
              </w:rPr>
              <w:t>Total</w:t>
            </w:r>
          </w:p>
        </w:tc>
        <w:tc>
          <w:tcPr>
            <w:tcW w:w="794" w:type="pct"/>
            <w:vMerge/>
            <w:tcBorders>
              <w:bottom w:val="single" w:sz="4" w:space="0" w:color="auto"/>
              <w:right w:val="single" w:sz="4" w:space="0" w:color="auto"/>
            </w:tcBorders>
            <w:shd w:val="clear" w:color="auto" w:fill="auto"/>
            <w:vAlign w:val="center"/>
          </w:tcPr>
          <w:p w:rsidR="00C46AE4" w:rsidRPr="00D064FF" w:rsidRDefault="00C46AE4" w:rsidP="00C35D52">
            <w:pPr>
              <w:snapToGrid w:val="0"/>
              <w:spacing w:after="0" w:line="240" w:lineRule="auto"/>
              <w:jc w:val="both"/>
              <w:rPr>
                <w:rFonts w:ascii="Times New Roman" w:eastAsiaTheme="minorEastAsia" w:hAnsi="Times New Roman"/>
                <w:color w:val="000000"/>
                <w:sz w:val="20"/>
                <w:szCs w:val="20"/>
              </w:rPr>
            </w:pPr>
          </w:p>
        </w:tc>
      </w:tr>
      <w:tr w:rsidR="00C46AE4" w:rsidRPr="00D064FF" w:rsidTr="00C35D52">
        <w:tblPrEx>
          <w:tblLook w:val="04A0"/>
        </w:tblPrEx>
        <w:trPr>
          <w:trHeight w:val="20"/>
          <w:jc w:val="center"/>
        </w:trPr>
        <w:tc>
          <w:tcPr>
            <w:tcW w:w="1633" w:type="pct"/>
            <w:vAlign w:val="center"/>
          </w:tcPr>
          <w:p w:rsidR="00C46AE4" w:rsidRPr="00D064FF" w:rsidRDefault="00C46AE4" w:rsidP="00C35D52">
            <w:pPr>
              <w:snapToGrid w:val="0"/>
              <w:spacing w:after="0" w:line="240" w:lineRule="auto"/>
              <w:contextualSpacing/>
              <w:jc w:val="both"/>
              <w:rPr>
                <w:rFonts w:ascii="Times New Roman" w:eastAsiaTheme="minorEastAsia" w:hAnsi="Times New Roman"/>
                <w:color w:val="000000"/>
                <w:sz w:val="20"/>
                <w:szCs w:val="20"/>
              </w:rPr>
            </w:pPr>
            <w:r w:rsidRPr="00D064FF">
              <w:rPr>
                <w:rFonts w:ascii="Times New Roman" w:eastAsiaTheme="minorEastAsia" w:hAnsi="Times New Roman"/>
                <w:color w:val="000000"/>
                <w:sz w:val="20"/>
                <w:szCs w:val="20"/>
              </w:rPr>
              <w:t>Low-risk</w:t>
            </w:r>
          </w:p>
        </w:tc>
        <w:tc>
          <w:tcPr>
            <w:tcW w:w="1038" w:type="pct"/>
            <w:vAlign w:val="center"/>
          </w:tcPr>
          <w:p w:rsidR="00C46AE4" w:rsidRPr="00D064FF" w:rsidRDefault="00C46AE4" w:rsidP="00C35D52">
            <w:pPr>
              <w:snapToGrid w:val="0"/>
              <w:spacing w:after="0" w:line="240" w:lineRule="auto"/>
              <w:contextualSpacing/>
              <w:jc w:val="both"/>
              <w:rPr>
                <w:rFonts w:ascii="Times New Roman" w:eastAsiaTheme="minorEastAsia" w:hAnsi="Times New Roman"/>
                <w:color w:val="000000"/>
                <w:sz w:val="20"/>
                <w:szCs w:val="20"/>
              </w:rPr>
            </w:pPr>
            <w:r w:rsidRPr="00D064FF">
              <w:rPr>
                <w:rFonts w:ascii="Times New Roman" w:eastAsiaTheme="minorEastAsia" w:hAnsi="Times New Roman"/>
                <w:color w:val="000000"/>
                <w:sz w:val="20"/>
                <w:szCs w:val="20"/>
              </w:rPr>
              <w:t>1(50%)</w:t>
            </w:r>
          </w:p>
        </w:tc>
        <w:tc>
          <w:tcPr>
            <w:tcW w:w="913" w:type="pct"/>
            <w:vAlign w:val="center"/>
          </w:tcPr>
          <w:p w:rsidR="00C46AE4" w:rsidRPr="00D064FF" w:rsidRDefault="00C46AE4" w:rsidP="00C35D52">
            <w:pPr>
              <w:snapToGrid w:val="0"/>
              <w:spacing w:after="0" w:line="240" w:lineRule="auto"/>
              <w:contextualSpacing/>
              <w:jc w:val="both"/>
              <w:rPr>
                <w:rFonts w:ascii="Times New Roman" w:eastAsiaTheme="minorEastAsia" w:hAnsi="Times New Roman"/>
                <w:color w:val="000000"/>
                <w:sz w:val="20"/>
                <w:szCs w:val="20"/>
              </w:rPr>
            </w:pPr>
            <w:r w:rsidRPr="00D064FF">
              <w:rPr>
                <w:rFonts w:ascii="Times New Roman" w:eastAsiaTheme="minorEastAsia" w:hAnsi="Times New Roman"/>
                <w:color w:val="000000"/>
                <w:sz w:val="20"/>
                <w:szCs w:val="20"/>
              </w:rPr>
              <w:t>1</w:t>
            </w:r>
          </w:p>
        </w:tc>
        <w:tc>
          <w:tcPr>
            <w:tcW w:w="622" w:type="pct"/>
            <w:vAlign w:val="center"/>
          </w:tcPr>
          <w:p w:rsidR="00C46AE4" w:rsidRPr="00D064FF" w:rsidRDefault="00C46AE4" w:rsidP="00C35D52">
            <w:pPr>
              <w:snapToGrid w:val="0"/>
              <w:spacing w:after="0" w:line="240" w:lineRule="auto"/>
              <w:contextualSpacing/>
              <w:jc w:val="both"/>
              <w:rPr>
                <w:rFonts w:ascii="Times New Roman" w:eastAsiaTheme="minorEastAsia" w:hAnsi="Times New Roman"/>
                <w:color w:val="000000"/>
                <w:sz w:val="20"/>
                <w:szCs w:val="20"/>
              </w:rPr>
            </w:pPr>
            <w:r w:rsidRPr="00D064FF">
              <w:rPr>
                <w:rFonts w:ascii="Times New Roman" w:eastAsiaTheme="minorEastAsia" w:hAnsi="Times New Roman"/>
                <w:color w:val="000000"/>
                <w:sz w:val="20"/>
                <w:szCs w:val="20"/>
              </w:rPr>
              <w:t>2</w:t>
            </w:r>
          </w:p>
        </w:tc>
        <w:tc>
          <w:tcPr>
            <w:tcW w:w="794" w:type="pct"/>
            <w:vMerge w:val="restart"/>
            <w:tcBorders>
              <w:top w:val="single" w:sz="4" w:space="0" w:color="auto"/>
              <w:right w:val="single" w:sz="4" w:space="0" w:color="auto"/>
            </w:tcBorders>
            <w:shd w:val="clear" w:color="auto" w:fill="auto"/>
            <w:vAlign w:val="center"/>
          </w:tcPr>
          <w:p w:rsidR="00C46AE4" w:rsidRPr="00D064FF" w:rsidRDefault="00C46AE4" w:rsidP="00C35D52">
            <w:pPr>
              <w:snapToGrid w:val="0"/>
              <w:spacing w:after="0" w:line="240" w:lineRule="auto"/>
              <w:jc w:val="both"/>
              <w:rPr>
                <w:rFonts w:ascii="Times New Roman" w:eastAsiaTheme="minorEastAsia" w:hAnsi="Times New Roman"/>
                <w:color w:val="000000"/>
                <w:sz w:val="20"/>
                <w:szCs w:val="20"/>
              </w:rPr>
            </w:pPr>
            <w:r w:rsidRPr="00D064FF">
              <w:rPr>
                <w:rFonts w:ascii="Times New Roman" w:eastAsiaTheme="minorEastAsia" w:hAnsi="Times New Roman"/>
                <w:color w:val="000000"/>
                <w:sz w:val="20"/>
                <w:szCs w:val="20"/>
              </w:rPr>
              <w:t>0.001</w:t>
            </w:r>
          </w:p>
        </w:tc>
      </w:tr>
      <w:tr w:rsidR="00C46AE4" w:rsidRPr="00D064FF" w:rsidTr="00C35D52">
        <w:tblPrEx>
          <w:tblLook w:val="04A0"/>
        </w:tblPrEx>
        <w:trPr>
          <w:trHeight w:val="20"/>
          <w:jc w:val="center"/>
        </w:trPr>
        <w:tc>
          <w:tcPr>
            <w:tcW w:w="1633" w:type="pct"/>
            <w:vAlign w:val="center"/>
          </w:tcPr>
          <w:p w:rsidR="00C46AE4" w:rsidRPr="00D064FF" w:rsidRDefault="00C46AE4" w:rsidP="00C35D52">
            <w:pPr>
              <w:snapToGrid w:val="0"/>
              <w:spacing w:after="0" w:line="240" w:lineRule="auto"/>
              <w:contextualSpacing/>
              <w:jc w:val="both"/>
              <w:rPr>
                <w:rFonts w:ascii="Times New Roman" w:eastAsiaTheme="minorEastAsia" w:hAnsi="Times New Roman"/>
                <w:color w:val="000000"/>
                <w:sz w:val="20"/>
                <w:szCs w:val="20"/>
              </w:rPr>
            </w:pPr>
            <w:r w:rsidRPr="00D064FF">
              <w:rPr>
                <w:rFonts w:ascii="Times New Roman" w:eastAsiaTheme="minorEastAsia" w:hAnsi="Times New Roman"/>
                <w:color w:val="000000"/>
                <w:sz w:val="20"/>
                <w:szCs w:val="20"/>
              </w:rPr>
              <w:t>Intermediate-risk</w:t>
            </w:r>
          </w:p>
        </w:tc>
        <w:tc>
          <w:tcPr>
            <w:tcW w:w="1038" w:type="pct"/>
            <w:vAlign w:val="center"/>
          </w:tcPr>
          <w:p w:rsidR="00C46AE4" w:rsidRPr="00D064FF" w:rsidRDefault="00C46AE4" w:rsidP="00C35D52">
            <w:pPr>
              <w:snapToGrid w:val="0"/>
              <w:spacing w:after="0" w:line="240" w:lineRule="auto"/>
              <w:contextualSpacing/>
              <w:jc w:val="both"/>
              <w:rPr>
                <w:rFonts w:ascii="Times New Roman" w:eastAsiaTheme="minorEastAsia" w:hAnsi="Times New Roman"/>
                <w:color w:val="000000"/>
                <w:sz w:val="20"/>
                <w:szCs w:val="20"/>
              </w:rPr>
            </w:pPr>
            <w:r w:rsidRPr="00D064FF">
              <w:rPr>
                <w:rFonts w:ascii="Times New Roman" w:eastAsiaTheme="minorEastAsia" w:hAnsi="Times New Roman"/>
                <w:color w:val="000000"/>
                <w:sz w:val="20"/>
                <w:szCs w:val="20"/>
              </w:rPr>
              <w:t>3(60%)</w:t>
            </w:r>
          </w:p>
        </w:tc>
        <w:tc>
          <w:tcPr>
            <w:tcW w:w="913" w:type="pct"/>
            <w:vAlign w:val="center"/>
          </w:tcPr>
          <w:p w:rsidR="00C46AE4" w:rsidRPr="00D064FF" w:rsidRDefault="00C46AE4" w:rsidP="00C35D52">
            <w:pPr>
              <w:snapToGrid w:val="0"/>
              <w:spacing w:after="0" w:line="240" w:lineRule="auto"/>
              <w:contextualSpacing/>
              <w:jc w:val="both"/>
              <w:rPr>
                <w:rFonts w:ascii="Times New Roman" w:eastAsiaTheme="minorEastAsia" w:hAnsi="Times New Roman"/>
                <w:color w:val="000000"/>
                <w:sz w:val="20"/>
                <w:szCs w:val="20"/>
              </w:rPr>
            </w:pPr>
            <w:r w:rsidRPr="00D064FF">
              <w:rPr>
                <w:rFonts w:ascii="Times New Roman" w:eastAsiaTheme="minorEastAsia" w:hAnsi="Times New Roman"/>
                <w:color w:val="000000"/>
                <w:sz w:val="20"/>
                <w:szCs w:val="20"/>
              </w:rPr>
              <w:t>2</w:t>
            </w:r>
          </w:p>
        </w:tc>
        <w:tc>
          <w:tcPr>
            <w:tcW w:w="622" w:type="pct"/>
            <w:vAlign w:val="center"/>
          </w:tcPr>
          <w:p w:rsidR="00C46AE4" w:rsidRPr="00D064FF" w:rsidRDefault="00C46AE4" w:rsidP="00C35D52">
            <w:pPr>
              <w:snapToGrid w:val="0"/>
              <w:spacing w:after="0" w:line="240" w:lineRule="auto"/>
              <w:contextualSpacing/>
              <w:jc w:val="both"/>
              <w:rPr>
                <w:rFonts w:ascii="Times New Roman" w:eastAsiaTheme="minorEastAsia" w:hAnsi="Times New Roman"/>
                <w:color w:val="000000"/>
                <w:sz w:val="20"/>
                <w:szCs w:val="20"/>
              </w:rPr>
            </w:pPr>
            <w:r w:rsidRPr="00D064FF">
              <w:rPr>
                <w:rFonts w:ascii="Times New Roman" w:eastAsiaTheme="minorEastAsia" w:hAnsi="Times New Roman"/>
                <w:color w:val="000000"/>
                <w:sz w:val="20"/>
                <w:szCs w:val="20"/>
              </w:rPr>
              <w:t>5</w:t>
            </w:r>
          </w:p>
        </w:tc>
        <w:tc>
          <w:tcPr>
            <w:tcW w:w="794" w:type="pct"/>
            <w:vMerge/>
            <w:tcBorders>
              <w:right w:val="single" w:sz="4" w:space="0" w:color="auto"/>
            </w:tcBorders>
            <w:shd w:val="clear" w:color="auto" w:fill="auto"/>
            <w:vAlign w:val="center"/>
          </w:tcPr>
          <w:p w:rsidR="00C46AE4" w:rsidRPr="00D064FF" w:rsidRDefault="00C46AE4" w:rsidP="00C35D52">
            <w:pPr>
              <w:snapToGrid w:val="0"/>
              <w:spacing w:after="0" w:line="240" w:lineRule="auto"/>
              <w:jc w:val="both"/>
              <w:rPr>
                <w:rFonts w:ascii="Times New Roman" w:eastAsiaTheme="minorEastAsia" w:hAnsi="Times New Roman"/>
                <w:color w:val="000000"/>
                <w:sz w:val="20"/>
                <w:szCs w:val="20"/>
              </w:rPr>
            </w:pPr>
          </w:p>
        </w:tc>
      </w:tr>
      <w:tr w:rsidR="00C46AE4" w:rsidRPr="00D064FF" w:rsidTr="00C35D52">
        <w:tblPrEx>
          <w:tblLook w:val="04A0"/>
        </w:tblPrEx>
        <w:trPr>
          <w:trHeight w:val="20"/>
          <w:jc w:val="center"/>
        </w:trPr>
        <w:tc>
          <w:tcPr>
            <w:tcW w:w="1633" w:type="pct"/>
            <w:vAlign w:val="center"/>
          </w:tcPr>
          <w:p w:rsidR="00C46AE4" w:rsidRPr="00D064FF" w:rsidRDefault="00C46AE4" w:rsidP="00C35D52">
            <w:pPr>
              <w:snapToGrid w:val="0"/>
              <w:spacing w:after="0" w:line="240" w:lineRule="auto"/>
              <w:contextualSpacing/>
              <w:jc w:val="both"/>
              <w:rPr>
                <w:rFonts w:ascii="Times New Roman" w:eastAsiaTheme="minorEastAsia" w:hAnsi="Times New Roman"/>
                <w:color w:val="000000"/>
                <w:sz w:val="20"/>
                <w:szCs w:val="20"/>
              </w:rPr>
            </w:pPr>
            <w:r w:rsidRPr="00D064FF">
              <w:rPr>
                <w:rFonts w:ascii="Times New Roman" w:eastAsiaTheme="minorEastAsia" w:hAnsi="Times New Roman"/>
                <w:color w:val="000000"/>
                <w:sz w:val="20"/>
                <w:szCs w:val="20"/>
              </w:rPr>
              <w:t>High-risk</w:t>
            </w:r>
          </w:p>
        </w:tc>
        <w:tc>
          <w:tcPr>
            <w:tcW w:w="1038" w:type="pct"/>
            <w:vAlign w:val="center"/>
          </w:tcPr>
          <w:p w:rsidR="00C46AE4" w:rsidRPr="00D064FF" w:rsidRDefault="00C46AE4" w:rsidP="00C35D52">
            <w:pPr>
              <w:snapToGrid w:val="0"/>
              <w:spacing w:after="0" w:line="240" w:lineRule="auto"/>
              <w:contextualSpacing/>
              <w:jc w:val="both"/>
              <w:rPr>
                <w:rFonts w:ascii="Times New Roman" w:eastAsiaTheme="minorEastAsia" w:hAnsi="Times New Roman"/>
                <w:color w:val="000000"/>
                <w:sz w:val="20"/>
                <w:szCs w:val="20"/>
              </w:rPr>
            </w:pPr>
            <w:r w:rsidRPr="00D064FF">
              <w:rPr>
                <w:rFonts w:ascii="Times New Roman" w:eastAsiaTheme="minorEastAsia" w:hAnsi="Times New Roman"/>
                <w:color w:val="000000"/>
                <w:sz w:val="20"/>
                <w:szCs w:val="20"/>
              </w:rPr>
              <w:t>87(92.6%)</w:t>
            </w:r>
          </w:p>
        </w:tc>
        <w:tc>
          <w:tcPr>
            <w:tcW w:w="913" w:type="pct"/>
            <w:vAlign w:val="center"/>
          </w:tcPr>
          <w:p w:rsidR="00C46AE4" w:rsidRPr="00D064FF" w:rsidRDefault="00C46AE4" w:rsidP="00C35D52">
            <w:pPr>
              <w:snapToGrid w:val="0"/>
              <w:spacing w:after="0" w:line="240" w:lineRule="auto"/>
              <w:contextualSpacing/>
              <w:jc w:val="both"/>
              <w:rPr>
                <w:rFonts w:ascii="Times New Roman" w:eastAsiaTheme="minorEastAsia" w:hAnsi="Times New Roman"/>
                <w:color w:val="000000"/>
                <w:sz w:val="20"/>
                <w:szCs w:val="20"/>
              </w:rPr>
            </w:pPr>
            <w:r w:rsidRPr="00D064FF">
              <w:rPr>
                <w:rFonts w:ascii="Times New Roman" w:eastAsiaTheme="minorEastAsia" w:hAnsi="Times New Roman"/>
                <w:color w:val="000000"/>
                <w:sz w:val="20"/>
                <w:szCs w:val="20"/>
              </w:rPr>
              <w:t>7</w:t>
            </w:r>
          </w:p>
        </w:tc>
        <w:tc>
          <w:tcPr>
            <w:tcW w:w="622" w:type="pct"/>
            <w:vAlign w:val="center"/>
          </w:tcPr>
          <w:p w:rsidR="00C46AE4" w:rsidRPr="00D064FF" w:rsidRDefault="00C46AE4" w:rsidP="00C35D52">
            <w:pPr>
              <w:snapToGrid w:val="0"/>
              <w:spacing w:after="0" w:line="240" w:lineRule="auto"/>
              <w:contextualSpacing/>
              <w:jc w:val="both"/>
              <w:rPr>
                <w:rFonts w:ascii="Times New Roman" w:eastAsiaTheme="minorEastAsia" w:hAnsi="Times New Roman"/>
                <w:color w:val="000000"/>
                <w:sz w:val="20"/>
                <w:szCs w:val="20"/>
              </w:rPr>
            </w:pPr>
            <w:r w:rsidRPr="00D064FF">
              <w:rPr>
                <w:rFonts w:ascii="Times New Roman" w:eastAsiaTheme="minorEastAsia" w:hAnsi="Times New Roman"/>
                <w:color w:val="000000"/>
                <w:sz w:val="20"/>
                <w:szCs w:val="20"/>
              </w:rPr>
              <w:t>94</w:t>
            </w:r>
          </w:p>
        </w:tc>
        <w:tc>
          <w:tcPr>
            <w:tcW w:w="794" w:type="pct"/>
            <w:vMerge/>
            <w:tcBorders>
              <w:bottom w:val="single" w:sz="4" w:space="0" w:color="auto"/>
              <w:right w:val="single" w:sz="4" w:space="0" w:color="auto"/>
            </w:tcBorders>
            <w:shd w:val="clear" w:color="auto" w:fill="auto"/>
            <w:vAlign w:val="center"/>
          </w:tcPr>
          <w:p w:rsidR="00C46AE4" w:rsidRPr="00D064FF" w:rsidRDefault="00C46AE4" w:rsidP="00C35D52">
            <w:pPr>
              <w:snapToGrid w:val="0"/>
              <w:spacing w:after="0" w:line="240" w:lineRule="auto"/>
              <w:jc w:val="both"/>
              <w:rPr>
                <w:rFonts w:ascii="Times New Roman" w:eastAsiaTheme="minorEastAsia" w:hAnsi="Times New Roman"/>
                <w:color w:val="000000"/>
                <w:sz w:val="20"/>
                <w:szCs w:val="20"/>
              </w:rPr>
            </w:pPr>
          </w:p>
        </w:tc>
      </w:tr>
    </w:tbl>
    <w:p w:rsidR="00C35D52" w:rsidRDefault="00C35D52" w:rsidP="00C35D52">
      <w:pPr>
        <w:snapToGrid w:val="0"/>
        <w:spacing w:after="0" w:line="240" w:lineRule="auto"/>
        <w:jc w:val="both"/>
        <w:rPr>
          <w:rFonts w:ascii="Times New Roman" w:hAnsi="Times New Roman"/>
          <w:b/>
          <w:sz w:val="20"/>
          <w:szCs w:val="20"/>
          <w:lang w:eastAsia="zh-CN"/>
        </w:rPr>
      </w:pPr>
    </w:p>
    <w:p w:rsidR="00D064FF" w:rsidRPr="00D064FF" w:rsidRDefault="00D064FF" w:rsidP="00C35D52">
      <w:pPr>
        <w:snapToGrid w:val="0"/>
        <w:spacing w:after="0" w:line="240" w:lineRule="auto"/>
        <w:jc w:val="both"/>
        <w:rPr>
          <w:rFonts w:ascii="Times New Roman" w:hAnsi="Times New Roman"/>
          <w:b/>
          <w:sz w:val="20"/>
          <w:szCs w:val="20"/>
          <w:lang w:eastAsia="zh-CN"/>
        </w:rPr>
      </w:pPr>
    </w:p>
    <w:p w:rsidR="00C35D52" w:rsidRPr="00D064FF" w:rsidRDefault="00C35D52" w:rsidP="00C35D52">
      <w:pPr>
        <w:snapToGrid w:val="0"/>
        <w:spacing w:after="0" w:line="240" w:lineRule="auto"/>
        <w:jc w:val="both"/>
        <w:rPr>
          <w:rFonts w:ascii="Times New Roman" w:hAnsi="Times New Roman"/>
          <w:b/>
          <w:sz w:val="20"/>
          <w:szCs w:val="20"/>
        </w:rPr>
        <w:sectPr w:rsidR="00C35D52" w:rsidRPr="00D064FF" w:rsidSect="00945A82">
          <w:headerReference w:type="default" r:id="rId32"/>
          <w:footerReference w:type="default" r:id="rId33"/>
          <w:type w:val="continuous"/>
          <w:pgSz w:w="12242" w:h="15842" w:code="1"/>
          <w:pgMar w:top="1440" w:right="1440" w:bottom="1440" w:left="1440" w:header="720" w:footer="720" w:gutter="0"/>
          <w:cols w:space="708"/>
          <w:docGrid w:linePitch="360"/>
        </w:sectPr>
      </w:pPr>
    </w:p>
    <w:p w:rsidR="00977013" w:rsidRPr="00D064FF" w:rsidRDefault="00977013" w:rsidP="00C35D52">
      <w:pPr>
        <w:snapToGrid w:val="0"/>
        <w:spacing w:after="0" w:line="240" w:lineRule="auto"/>
        <w:jc w:val="both"/>
        <w:rPr>
          <w:rFonts w:ascii="Times New Roman" w:hAnsi="Times New Roman"/>
          <w:sz w:val="20"/>
          <w:szCs w:val="20"/>
        </w:rPr>
      </w:pPr>
      <w:r w:rsidRPr="00D064FF">
        <w:rPr>
          <w:rFonts w:ascii="Times New Roman" w:hAnsi="Times New Roman"/>
          <w:b/>
          <w:sz w:val="20"/>
          <w:szCs w:val="20"/>
        </w:rPr>
        <w:lastRenderedPageBreak/>
        <w:t>Discussion</w:t>
      </w:r>
    </w:p>
    <w:p w:rsidR="00977013" w:rsidRPr="00D064FF" w:rsidRDefault="00977013" w:rsidP="00C35D52">
      <w:pPr>
        <w:snapToGrid w:val="0"/>
        <w:spacing w:after="0" w:line="240" w:lineRule="auto"/>
        <w:ind w:firstLine="425"/>
        <w:jc w:val="both"/>
        <w:rPr>
          <w:rFonts w:ascii="Times New Roman" w:hAnsi="Times New Roman"/>
          <w:sz w:val="20"/>
          <w:szCs w:val="20"/>
        </w:rPr>
      </w:pPr>
      <w:r w:rsidRPr="00D064FF">
        <w:rPr>
          <w:rFonts w:ascii="Times New Roman" w:hAnsi="Times New Roman"/>
          <w:sz w:val="20"/>
          <w:szCs w:val="20"/>
        </w:rPr>
        <w:t>Prostate cancer has become a major global health problem and African American men have among the highest reported prostate cancer rates in the world</w:t>
      </w:r>
      <w:r w:rsidR="00C46AE4" w:rsidRPr="00D064FF">
        <w:rPr>
          <w:rFonts w:ascii="Times New Roman" w:hAnsi="Times New Roman"/>
          <w:sz w:val="20"/>
          <w:szCs w:val="20"/>
          <w:vertAlign w:val="superscript"/>
        </w:rPr>
        <w:t>20</w:t>
      </w:r>
      <w:r w:rsidRPr="00D064FF">
        <w:rPr>
          <w:rFonts w:ascii="Times New Roman" w:hAnsi="Times New Roman"/>
          <w:sz w:val="20"/>
          <w:szCs w:val="20"/>
        </w:rPr>
        <w:t>. However, it is unclear whether similar high rates occur among men in Africa</w:t>
      </w:r>
      <w:r w:rsidR="00C46AE4" w:rsidRPr="00D064FF">
        <w:rPr>
          <w:rFonts w:ascii="Times New Roman" w:hAnsi="Times New Roman"/>
          <w:sz w:val="20"/>
          <w:szCs w:val="20"/>
          <w:vertAlign w:val="superscript"/>
        </w:rPr>
        <w:t>21</w:t>
      </w:r>
      <w:r w:rsidRPr="00D064FF">
        <w:rPr>
          <w:rFonts w:ascii="Times New Roman" w:hAnsi="Times New Roman"/>
          <w:sz w:val="20"/>
          <w:szCs w:val="20"/>
        </w:rPr>
        <w:t>.</w:t>
      </w:r>
      <w:r w:rsidRPr="00D064FF">
        <w:rPr>
          <w:rFonts w:ascii="Times New Roman" w:hAnsi="Times New Roman"/>
          <w:sz w:val="20"/>
          <w:szCs w:val="20"/>
          <w:vertAlign w:val="superscript"/>
        </w:rPr>
        <w:t xml:space="preserve"> </w:t>
      </w:r>
      <w:r w:rsidRPr="00D064FF">
        <w:rPr>
          <w:rFonts w:ascii="Times New Roman" w:hAnsi="Times New Roman"/>
          <w:sz w:val="20"/>
          <w:szCs w:val="20"/>
        </w:rPr>
        <w:t>The diagnosis of bony metastasis secondary to prostate cancer significantly alters the patient's treatment. Currently, total body bone scans are the gold standard for detecting osseous metastasis.</w:t>
      </w:r>
    </w:p>
    <w:p w:rsidR="00977013" w:rsidRPr="00D064FF" w:rsidRDefault="00977013" w:rsidP="00C35D52">
      <w:pPr>
        <w:snapToGrid w:val="0"/>
        <w:spacing w:after="0" w:line="240" w:lineRule="auto"/>
        <w:ind w:firstLine="425"/>
        <w:jc w:val="both"/>
        <w:rPr>
          <w:rFonts w:ascii="Times New Roman" w:hAnsi="Times New Roman"/>
          <w:sz w:val="20"/>
          <w:szCs w:val="20"/>
        </w:rPr>
      </w:pPr>
      <w:r w:rsidRPr="00D064FF">
        <w:rPr>
          <w:rFonts w:ascii="Times New Roman" w:hAnsi="Times New Roman"/>
          <w:sz w:val="20"/>
          <w:szCs w:val="20"/>
        </w:rPr>
        <w:t xml:space="preserve">One hundred and one patients with </w:t>
      </w:r>
      <w:proofErr w:type="spellStart"/>
      <w:r w:rsidRPr="00D064FF">
        <w:rPr>
          <w:rFonts w:ascii="Times New Roman" w:hAnsi="Times New Roman"/>
          <w:sz w:val="20"/>
          <w:szCs w:val="20"/>
        </w:rPr>
        <w:t>histologically</w:t>
      </w:r>
      <w:proofErr w:type="spellEnd"/>
      <w:r w:rsidRPr="00D064FF">
        <w:rPr>
          <w:rFonts w:ascii="Times New Roman" w:hAnsi="Times New Roman"/>
          <w:sz w:val="20"/>
          <w:szCs w:val="20"/>
        </w:rPr>
        <w:t xml:space="preserve"> confirmed </w:t>
      </w:r>
      <w:proofErr w:type="spellStart"/>
      <w:r w:rsidRPr="00D064FF">
        <w:rPr>
          <w:rFonts w:ascii="Times New Roman" w:hAnsi="Times New Roman"/>
          <w:sz w:val="20"/>
          <w:szCs w:val="20"/>
        </w:rPr>
        <w:t>adenocarcinoma</w:t>
      </w:r>
      <w:proofErr w:type="spellEnd"/>
      <w:r w:rsidRPr="00D064FF">
        <w:rPr>
          <w:rFonts w:ascii="Times New Roman" w:hAnsi="Times New Roman"/>
          <w:sz w:val="20"/>
          <w:szCs w:val="20"/>
        </w:rPr>
        <w:t xml:space="preserve"> of the prostate </w:t>
      </w:r>
      <w:proofErr w:type="gramStart"/>
      <w:r w:rsidRPr="00D064FF">
        <w:rPr>
          <w:rFonts w:ascii="Times New Roman" w:hAnsi="Times New Roman"/>
          <w:sz w:val="20"/>
          <w:szCs w:val="20"/>
        </w:rPr>
        <w:t>were studied</w:t>
      </w:r>
      <w:proofErr w:type="gramEnd"/>
      <w:r w:rsidRPr="00D064FF">
        <w:rPr>
          <w:rFonts w:ascii="Times New Roman" w:hAnsi="Times New Roman"/>
          <w:sz w:val="20"/>
          <w:szCs w:val="20"/>
        </w:rPr>
        <w:t xml:space="preserve"> retrospectively. The results of this study gave a mean age of </w:t>
      </w:r>
      <w:r w:rsidRPr="00D064FF">
        <w:rPr>
          <w:rFonts w:ascii="Times New Roman" w:hAnsi="Times New Roman"/>
          <w:color w:val="000000"/>
          <w:sz w:val="20"/>
          <w:szCs w:val="20"/>
        </w:rPr>
        <w:t>67.1 years and age range of 47-88 years, similar to results of previous study on prostate cancer in Nigeria</w:t>
      </w:r>
      <w:r w:rsidR="00C46AE4" w:rsidRPr="00D064FF">
        <w:rPr>
          <w:rFonts w:ascii="Times New Roman" w:hAnsi="Times New Roman"/>
          <w:color w:val="000000"/>
          <w:sz w:val="20"/>
          <w:szCs w:val="20"/>
          <w:vertAlign w:val="superscript"/>
        </w:rPr>
        <w:t>22</w:t>
      </w:r>
      <w:r w:rsidRPr="00D064FF">
        <w:rPr>
          <w:rFonts w:ascii="Times New Roman" w:hAnsi="Times New Roman"/>
          <w:color w:val="000000"/>
          <w:sz w:val="20"/>
          <w:szCs w:val="20"/>
        </w:rPr>
        <w:t xml:space="preserve"> but lower than that of a previous study reported in developed countries</w:t>
      </w:r>
      <w:r w:rsidR="00C46AE4" w:rsidRPr="00D064FF">
        <w:rPr>
          <w:rFonts w:ascii="Times New Roman" w:hAnsi="Times New Roman"/>
          <w:color w:val="000000"/>
          <w:sz w:val="20"/>
          <w:szCs w:val="20"/>
          <w:vertAlign w:val="superscript"/>
        </w:rPr>
        <w:t>23</w:t>
      </w:r>
      <w:r w:rsidRPr="00D064FF">
        <w:rPr>
          <w:rFonts w:ascii="Times New Roman" w:hAnsi="Times New Roman"/>
          <w:color w:val="000000"/>
          <w:sz w:val="20"/>
          <w:szCs w:val="20"/>
        </w:rPr>
        <w:t>. Over 40% (44.6%) of the patients in the study</w:t>
      </w:r>
      <w:r w:rsidRPr="00D064FF">
        <w:rPr>
          <w:rFonts w:ascii="Times New Roman" w:hAnsi="Times New Roman"/>
          <w:sz w:val="20"/>
          <w:szCs w:val="20"/>
        </w:rPr>
        <w:t xml:space="preserve"> is within the ages of 60 – 69 years, which is lower than the highest incident rate of 70-74 in the United State of America reported by National Institute of Cancer</w:t>
      </w:r>
      <w:r w:rsidR="00C46AE4" w:rsidRPr="00D064FF">
        <w:rPr>
          <w:rFonts w:ascii="Times New Roman" w:hAnsi="Times New Roman"/>
          <w:sz w:val="20"/>
          <w:szCs w:val="20"/>
          <w:vertAlign w:val="superscript"/>
        </w:rPr>
        <w:t>24</w:t>
      </w:r>
      <w:r w:rsidRPr="00D064FF">
        <w:rPr>
          <w:rFonts w:ascii="Times New Roman" w:hAnsi="Times New Roman"/>
          <w:sz w:val="20"/>
          <w:szCs w:val="20"/>
        </w:rPr>
        <w:t>. About 51.5% of these patients had tertiary education, which means better education and higher standard of life in this elite group with a possibility of a longer life span as compared to those with lower educational standard, hence more of them may reach prostate cancer age group, this is similar to findings in a previous study</w:t>
      </w:r>
      <w:r w:rsidR="00C46AE4" w:rsidRPr="00D064FF">
        <w:rPr>
          <w:rFonts w:ascii="Times New Roman" w:hAnsi="Times New Roman"/>
          <w:sz w:val="20"/>
          <w:szCs w:val="20"/>
          <w:vertAlign w:val="superscript"/>
        </w:rPr>
        <w:t>22</w:t>
      </w:r>
      <w:r w:rsidRPr="00D064FF">
        <w:rPr>
          <w:rFonts w:ascii="Times New Roman" w:hAnsi="Times New Roman"/>
          <w:sz w:val="20"/>
          <w:szCs w:val="20"/>
        </w:rPr>
        <w:t>. Almost all the patients 90.1% presented with a stage IV disease, which is far more than the 75% reported in most studies on prostate cancer in Nigeria.</w:t>
      </w:r>
      <w:r w:rsidR="00C46AE4" w:rsidRPr="00D064FF">
        <w:rPr>
          <w:rFonts w:ascii="Times New Roman" w:hAnsi="Times New Roman"/>
          <w:sz w:val="20"/>
          <w:szCs w:val="20"/>
          <w:vertAlign w:val="superscript"/>
        </w:rPr>
        <w:t>25</w:t>
      </w:r>
      <w:proofErr w:type="gramStart"/>
      <w:r w:rsidR="00C46AE4" w:rsidRPr="00D064FF">
        <w:rPr>
          <w:rFonts w:ascii="Times New Roman" w:hAnsi="Times New Roman"/>
          <w:sz w:val="20"/>
          <w:szCs w:val="20"/>
          <w:vertAlign w:val="superscript"/>
        </w:rPr>
        <w:t>,26</w:t>
      </w:r>
      <w:proofErr w:type="gramEnd"/>
      <w:r w:rsidRPr="00D064FF">
        <w:rPr>
          <w:rFonts w:ascii="Times New Roman" w:hAnsi="Times New Roman"/>
          <w:sz w:val="20"/>
          <w:szCs w:val="20"/>
        </w:rPr>
        <w:t xml:space="preserve"> This may be due to the fact </w:t>
      </w:r>
      <w:r w:rsidR="00C46AE4" w:rsidRPr="00D064FF">
        <w:rPr>
          <w:rFonts w:ascii="Times New Roman" w:hAnsi="Times New Roman"/>
          <w:sz w:val="20"/>
          <w:szCs w:val="20"/>
        </w:rPr>
        <w:t>that most</w:t>
      </w:r>
      <w:r w:rsidRPr="00D064FF">
        <w:rPr>
          <w:rFonts w:ascii="Times New Roman" w:hAnsi="Times New Roman"/>
          <w:sz w:val="20"/>
          <w:szCs w:val="20"/>
        </w:rPr>
        <w:t xml:space="preserve"> of the patients are only referred when metastatic symptoms arise. About 90.1% of the patients presented with skeletal </w:t>
      </w:r>
      <w:proofErr w:type="gramStart"/>
      <w:r w:rsidRPr="00D064FF">
        <w:rPr>
          <w:rFonts w:ascii="Times New Roman" w:hAnsi="Times New Roman"/>
          <w:sz w:val="20"/>
          <w:szCs w:val="20"/>
        </w:rPr>
        <w:t>met</w:t>
      </w:r>
      <w:r w:rsidR="00F7468A" w:rsidRPr="00D064FF">
        <w:rPr>
          <w:rFonts w:ascii="Times New Roman" w:hAnsi="Times New Roman"/>
          <w:sz w:val="20"/>
          <w:szCs w:val="20"/>
        </w:rPr>
        <w:t xml:space="preserve">astasis </w:t>
      </w:r>
      <w:r w:rsidRPr="00D064FF">
        <w:rPr>
          <w:rFonts w:ascii="Times New Roman" w:hAnsi="Times New Roman"/>
          <w:sz w:val="20"/>
          <w:szCs w:val="20"/>
        </w:rPr>
        <w:t>which</w:t>
      </w:r>
      <w:proofErr w:type="gramEnd"/>
      <w:r w:rsidRPr="00D064FF">
        <w:rPr>
          <w:rFonts w:ascii="Times New Roman" w:hAnsi="Times New Roman"/>
          <w:sz w:val="20"/>
          <w:szCs w:val="20"/>
        </w:rPr>
        <w:t xml:space="preserve"> is in agreement with a previous study that reported that the skeleton is the most common site of metastatic spread, accounting for 80% of all prostate cancer metastases</w:t>
      </w:r>
      <w:r w:rsidRPr="00D064FF">
        <w:rPr>
          <w:rFonts w:ascii="Times New Roman" w:hAnsi="Times New Roman"/>
          <w:sz w:val="20"/>
          <w:szCs w:val="20"/>
          <w:vertAlign w:val="superscript"/>
        </w:rPr>
        <w:t>7</w:t>
      </w:r>
      <w:r w:rsidRPr="00D064FF">
        <w:rPr>
          <w:rFonts w:ascii="Times New Roman" w:hAnsi="Times New Roman"/>
          <w:sz w:val="20"/>
          <w:szCs w:val="20"/>
        </w:rPr>
        <w:t>. The results of this study show 65.5% of the patients presenting with pain as complaint compared with the 90.1% that eventually had radiological evidence of bony metastasis. It shows that even patients who did not present with pain as symptom may benefit from a TBS. The study also noted that 56.5% of the patients presented with complaints &gt;1year duration, indication late hospital presentation.</w:t>
      </w:r>
    </w:p>
    <w:p w:rsidR="00977013" w:rsidRPr="00D064FF" w:rsidRDefault="00977013" w:rsidP="00C35D52">
      <w:pPr>
        <w:snapToGrid w:val="0"/>
        <w:spacing w:after="0" w:line="240" w:lineRule="auto"/>
        <w:ind w:firstLine="425"/>
        <w:jc w:val="both"/>
        <w:rPr>
          <w:rFonts w:ascii="Times New Roman" w:hAnsi="Times New Roman"/>
          <w:sz w:val="20"/>
          <w:szCs w:val="20"/>
        </w:rPr>
      </w:pPr>
      <w:r w:rsidRPr="00D064FF">
        <w:rPr>
          <w:rFonts w:ascii="Times New Roman" w:hAnsi="Times New Roman"/>
          <w:sz w:val="20"/>
          <w:szCs w:val="20"/>
        </w:rPr>
        <w:t xml:space="preserve">In this study 24.8% of the patients had PSA values &gt; 100ng/ml, which far exceed the PSA in a </w:t>
      </w:r>
      <w:r w:rsidRPr="00D064FF">
        <w:rPr>
          <w:rFonts w:ascii="Times New Roman" w:hAnsi="Times New Roman"/>
          <w:sz w:val="20"/>
          <w:szCs w:val="20"/>
        </w:rPr>
        <w:lastRenderedPageBreak/>
        <w:t>study of 703 American men with prostate cancer, where PSA values obtained in 99% of the patients were below 50ng/ml and only 1% had a PSA &gt; 50ng/ml</w:t>
      </w:r>
      <w:r w:rsidR="00C46AE4" w:rsidRPr="00D064FF">
        <w:rPr>
          <w:rFonts w:ascii="Times New Roman" w:hAnsi="Times New Roman"/>
          <w:sz w:val="20"/>
          <w:szCs w:val="20"/>
          <w:vertAlign w:val="superscript"/>
        </w:rPr>
        <w:t>27</w:t>
      </w:r>
      <w:r w:rsidRPr="00D064FF">
        <w:rPr>
          <w:rFonts w:ascii="Times New Roman" w:hAnsi="Times New Roman"/>
          <w:sz w:val="20"/>
          <w:szCs w:val="20"/>
        </w:rPr>
        <w:t>. Other studies from Nigeria also corroborate the differences in PSA values between African men on one hand and American and African-American men on the other</w:t>
      </w:r>
      <w:r w:rsidR="00C46AE4" w:rsidRPr="00D064FF">
        <w:rPr>
          <w:rFonts w:ascii="Times New Roman" w:hAnsi="Times New Roman"/>
          <w:sz w:val="20"/>
          <w:szCs w:val="20"/>
          <w:vertAlign w:val="superscript"/>
        </w:rPr>
        <w:t>28</w:t>
      </w:r>
      <w:r w:rsidRPr="00D064FF">
        <w:rPr>
          <w:rFonts w:ascii="Times New Roman" w:hAnsi="Times New Roman"/>
          <w:sz w:val="20"/>
          <w:szCs w:val="20"/>
        </w:rPr>
        <w:t>. These studies suggest that higher PSA values in African men with prostate cancer are probably due to higher tumor stages at presentation in African than in American patients.</w:t>
      </w:r>
    </w:p>
    <w:p w:rsidR="00977013" w:rsidRPr="00D064FF" w:rsidRDefault="00977013" w:rsidP="00C35D52">
      <w:pPr>
        <w:snapToGrid w:val="0"/>
        <w:spacing w:after="0" w:line="240" w:lineRule="auto"/>
        <w:ind w:firstLine="425"/>
        <w:jc w:val="both"/>
        <w:rPr>
          <w:rFonts w:ascii="Times New Roman" w:hAnsi="Times New Roman"/>
          <w:sz w:val="20"/>
          <w:szCs w:val="20"/>
        </w:rPr>
      </w:pPr>
      <w:r w:rsidRPr="00D064FF">
        <w:rPr>
          <w:rFonts w:ascii="Times New Roman" w:hAnsi="Times New Roman"/>
          <w:sz w:val="20"/>
          <w:szCs w:val="20"/>
        </w:rPr>
        <w:t>This study showed significant positive correlation between the PSA and TBS. The results show that as the PSA increases the probability of positive TBS is higher, which is evidenced by</w:t>
      </w:r>
      <w:r w:rsidR="00D064FF">
        <w:rPr>
          <w:rFonts w:ascii="Times New Roman" w:hAnsi="Times New Roman"/>
          <w:sz w:val="20"/>
          <w:szCs w:val="20"/>
        </w:rPr>
        <w:t xml:space="preserve"> </w:t>
      </w:r>
      <w:r w:rsidRPr="00D064FF">
        <w:rPr>
          <w:rFonts w:ascii="Times New Roman" w:hAnsi="Times New Roman"/>
          <w:sz w:val="20"/>
          <w:szCs w:val="20"/>
        </w:rPr>
        <w:t>a PSA of</w:t>
      </w:r>
      <w:r w:rsidR="00D064FF">
        <w:rPr>
          <w:rFonts w:ascii="Times New Roman" w:hAnsi="Times New Roman"/>
          <w:sz w:val="20"/>
          <w:szCs w:val="20"/>
        </w:rPr>
        <w:t xml:space="preserve"> </w:t>
      </w:r>
      <w:r w:rsidRPr="00D064FF">
        <w:rPr>
          <w:rFonts w:ascii="Times New Roman" w:hAnsi="Times New Roman"/>
          <w:sz w:val="20"/>
          <w:szCs w:val="20"/>
        </w:rPr>
        <w:t>0-4ng/ml, 4.1-10ng/ml, 10.1-20ng/ml, 20.1-40ng/ml, 40.1-100ng/ml, and &gt;100ng/ml resulting in positive TBS findings of 3.3%, 6.6%, 8.8%, 15.4%, 41.8%, and 24.2%</w:t>
      </w:r>
      <w:r w:rsidR="00D064FF">
        <w:rPr>
          <w:rFonts w:ascii="Times New Roman" w:hAnsi="Times New Roman"/>
          <w:sz w:val="20"/>
          <w:szCs w:val="20"/>
        </w:rPr>
        <w:t xml:space="preserve"> </w:t>
      </w:r>
      <w:r w:rsidRPr="00D064FF">
        <w:rPr>
          <w:rFonts w:ascii="Times New Roman" w:hAnsi="Times New Roman"/>
          <w:sz w:val="20"/>
          <w:szCs w:val="20"/>
        </w:rPr>
        <w:t>respectively (p-value 0.002). This corresponds with findings of similar studies done in Sudan, Argentina, Spain, Japan, Taiwan, Germany, Netherlands, United State of American, and Bosnia and Herzegovina</w:t>
      </w:r>
      <w:r w:rsidR="002B5588" w:rsidRPr="00D064FF">
        <w:rPr>
          <w:rFonts w:ascii="Times New Roman" w:hAnsi="Times New Roman"/>
          <w:sz w:val="20"/>
          <w:szCs w:val="20"/>
          <w:vertAlign w:val="superscript"/>
        </w:rPr>
        <w:t>29</w:t>
      </w:r>
      <w:r w:rsidRPr="00D064FF">
        <w:rPr>
          <w:rFonts w:ascii="Times New Roman" w:hAnsi="Times New Roman"/>
          <w:sz w:val="20"/>
          <w:szCs w:val="20"/>
          <w:vertAlign w:val="superscript"/>
        </w:rPr>
        <w:t>-3</w:t>
      </w:r>
      <w:r w:rsidR="002B5588" w:rsidRPr="00D064FF">
        <w:rPr>
          <w:rFonts w:ascii="Times New Roman" w:hAnsi="Times New Roman"/>
          <w:sz w:val="20"/>
          <w:szCs w:val="20"/>
          <w:vertAlign w:val="superscript"/>
        </w:rPr>
        <w:t>6</w:t>
      </w:r>
      <w:r w:rsidRPr="00D064FF">
        <w:rPr>
          <w:rFonts w:ascii="Times New Roman" w:hAnsi="Times New Roman"/>
          <w:sz w:val="20"/>
          <w:szCs w:val="20"/>
        </w:rPr>
        <w:t>.</w:t>
      </w:r>
    </w:p>
    <w:p w:rsidR="00977013" w:rsidRPr="00D064FF" w:rsidRDefault="00977013" w:rsidP="00C35D52">
      <w:pPr>
        <w:snapToGrid w:val="0"/>
        <w:spacing w:after="0" w:line="240" w:lineRule="auto"/>
        <w:ind w:firstLine="425"/>
        <w:jc w:val="both"/>
        <w:rPr>
          <w:rFonts w:ascii="Times New Roman" w:hAnsi="Times New Roman"/>
          <w:sz w:val="20"/>
          <w:szCs w:val="20"/>
        </w:rPr>
      </w:pPr>
      <w:r w:rsidRPr="00D064FF">
        <w:rPr>
          <w:rFonts w:ascii="Times New Roman" w:hAnsi="Times New Roman"/>
          <w:sz w:val="20"/>
          <w:szCs w:val="20"/>
        </w:rPr>
        <w:t>Several studies advocate that TBS is not indicated when PSA levels are low, and when patients are in the low-risk stratification of prostate cancer</w:t>
      </w:r>
      <w:r w:rsidR="002B5588" w:rsidRPr="00D064FF">
        <w:rPr>
          <w:rFonts w:ascii="Times New Roman" w:hAnsi="Times New Roman"/>
          <w:sz w:val="20"/>
          <w:szCs w:val="20"/>
          <w:vertAlign w:val="superscript"/>
        </w:rPr>
        <w:t>13</w:t>
      </w:r>
      <w:proofErr w:type="gramStart"/>
      <w:r w:rsidR="002B5588" w:rsidRPr="00D064FF">
        <w:rPr>
          <w:rFonts w:ascii="Times New Roman" w:hAnsi="Times New Roman"/>
          <w:sz w:val="20"/>
          <w:szCs w:val="20"/>
          <w:vertAlign w:val="superscript"/>
        </w:rPr>
        <w:t>,23</w:t>
      </w:r>
      <w:proofErr w:type="gramEnd"/>
      <w:r w:rsidR="00F7468A" w:rsidRPr="00D064FF">
        <w:rPr>
          <w:rFonts w:ascii="Times New Roman" w:hAnsi="Times New Roman"/>
          <w:sz w:val="20"/>
          <w:szCs w:val="20"/>
        </w:rPr>
        <w:t xml:space="preserve">. </w:t>
      </w:r>
      <w:r w:rsidRPr="00D064FF">
        <w:rPr>
          <w:rFonts w:ascii="Times New Roman" w:hAnsi="Times New Roman"/>
          <w:sz w:val="20"/>
          <w:szCs w:val="20"/>
        </w:rPr>
        <w:t>However</w:t>
      </w:r>
      <w:r w:rsidR="00247B49" w:rsidRPr="00D064FF">
        <w:rPr>
          <w:rFonts w:ascii="Times New Roman" w:hAnsi="Times New Roman"/>
          <w:sz w:val="20"/>
          <w:szCs w:val="20"/>
        </w:rPr>
        <w:t>,</w:t>
      </w:r>
      <w:r w:rsidRPr="00D064FF">
        <w:rPr>
          <w:rFonts w:ascii="Times New Roman" w:hAnsi="Times New Roman"/>
          <w:sz w:val="20"/>
          <w:szCs w:val="20"/>
        </w:rPr>
        <w:t xml:space="preserve"> different studies established different cut-off levels for indication of TBS. Despite recent numerous studies and reviews citing between 10-20ng/ml as a threshold for omitting TBS, others still believe that the small but measurable risk is sufficient to warrant TBS</w:t>
      </w:r>
      <w:r w:rsidR="002B5588" w:rsidRPr="00D064FF">
        <w:rPr>
          <w:rFonts w:ascii="Times New Roman" w:hAnsi="Times New Roman"/>
          <w:sz w:val="20"/>
          <w:szCs w:val="20"/>
          <w:vertAlign w:val="superscript"/>
        </w:rPr>
        <w:t>37,38</w:t>
      </w:r>
      <w:r w:rsidRPr="00D064FF">
        <w:rPr>
          <w:rFonts w:ascii="Times New Roman" w:hAnsi="Times New Roman"/>
          <w:sz w:val="20"/>
          <w:szCs w:val="20"/>
        </w:rPr>
        <w:t xml:space="preserve">. In this study </w:t>
      </w:r>
      <w:proofErr w:type="gramStart"/>
      <w:r w:rsidRPr="00D064FF">
        <w:rPr>
          <w:rFonts w:ascii="Times New Roman" w:hAnsi="Times New Roman"/>
          <w:sz w:val="20"/>
          <w:szCs w:val="20"/>
        </w:rPr>
        <w:t>4</w:t>
      </w:r>
      <w:proofErr w:type="gramEnd"/>
      <w:r w:rsidRPr="00D064FF">
        <w:rPr>
          <w:rFonts w:ascii="Times New Roman" w:hAnsi="Times New Roman"/>
          <w:sz w:val="20"/>
          <w:szCs w:val="20"/>
        </w:rPr>
        <w:t xml:space="preserve"> patients had a PSA of 0-4ng/ml, out of which 3 (75%) of them had positive TBS. This is very significant, meaning even with a low PSA, the patients are still at risk of developing positive TBS. Several studies have also reported that a significant proportion of patients with bone metastasis have normal PSA whose TBS findings may need further confirmation with the use of CT scan and MRI due to possibility of false</w:t>
      </w:r>
      <w:r w:rsidR="00D064FF">
        <w:rPr>
          <w:rFonts w:ascii="Times New Roman" w:hAnsi="Times New Roman"/>
          <w:sz w:val="20"/>
          <w:szCs w:val="20"/>
        </w:rPr>
        <w:t xml:space="preserve"> </w:t>
      </w:r>
      <w:r w:rsidRPr="00D064FF">
        <w:rPr>
          <w:rFonts w:ascii="Times New Roman" w:hAnsi="Times New Roman"/>
          <w:sz w:val="20"/>
          <w:szCs w:val="20"/>
        </w:rPr>
        <w:t>positive results</w:t>
      </w:r>
      <w:r w:rsidR="00F81DA0" w:rsidRPr="00D064FF">
        <w:rPr>
          <w:rFonts w:ascii="Times New Roman" w:hAnsi="Times New Roman"/>
          <w:sz w:val="20"/>
          <w:szCs w:val="20"/>
          <w:vertAlign w:val="superscript"/>
        </w:rPr>
        <w:t>39-43</w:t>
      </w:r>
      <w:r w:rsidRPr="00D064FF">
        <w:rPr>
          <w:rFonts w:ascii="Times New Roman" w:hAnsi="Times New Roman"/>
          <w:sz w:val="20"/>
          <w:szCs w:val="20"/>
        </w:rPr>
        <w:t>.</w:t>
      </w:r>
    </w:p>
    <w:p w:rsidR="00977013" w:rsidRPr="00D064FF" w:rsidRDefault="00977013" w:rsidP="00C35D52">
      <w:pPr>
        <w:snapToGrid w:val="0"/>
        <w:spacing w:after="0" w:line="240" w:lineRule="auto"/>
        <w:ind w:firstLine="425"/>
        <w:jc w:val="both"/>
        <w:rPr>
          <w:rFonts w:ascii="Times New Roman" w:hAnsi="Times New Roman"/>
          <w:sz w:val="20"/>
          <w:szCs w:val="20"/>
        </w:rPr>
      </w:pPr>
      <w:r w:rsidRPr="00D064FF">
        <w:rPr>
          <w:rFonts w:ascii="Times New Roman" w:hAnsi="Times New Roman"/>
          <w:sz w:val="20"/>
          <w:szCs w:val="20"/>
        </w:rPr>
        <w:t xml:space="preserve">Total body bone scan have also been an important investigation in monitoring disease progression after completion of treatment. This study showed </w:t>
      </w:r>
      <w:proofErr w:type="gramStart"/>
      <w:r w:rsidRPr="00D064FF">
        <w:rPr>
          <w:rFonts w:ascii="Times New Roman" w:hAnsi="Times New Roman"/>
          <w:sz w:val="20"/>
          <w:szCs w:val="20"/>
        </w:rPr>
        <w:t>3</w:t>
      </w:r>
      <w:proofErr w:type="gramEnd"/>
      <w:r w:rsidRPr="00D064FF">
        <w:rPr>
          <w:rFonts w:ascii="Times New Roman" w:hAnsi="Times New Roman"/>
          <w:sz w:val="20"/>
          <w:szCs w:val="20"/>
        </w:rPr>
        <w:t xml:space="preserve"> (30%) of the 10 patients that initially had a negative TBS, became positive during follow-up. However, the same controversy exist about the </w:t>
      </w:r>
      <w:r w:rsidRPr="00D064FF">
        <w:rPr>
          <w:rFonts w:ascii="Times New Roman" w:hAnsi="Times New Roman"/>
          <w:sz w:val="20"/>
          <w:szCs w:val="20"/>
        </w:rPr>
        <w:lastRenderedPageBreak/>
        <w:t>optimal post-treatment PSA at which to recommend TBS</w:t>
      </w:r>
      <w:r w:rsidR="00F81DA0" w:rsidRPr="00D064FF">
        <w:rPr>
          <w:rFonts w:ascii="Times New Roman" w:hAnsi="Times New Roman"/>
          <w:sz w:val="20"/>
          <w:szCs w:val="20"/>
          <w:vertAlign w:val="superscript"/>
        </w:rPr>
        <w:t>23</w:t>
      </w:r>
      <w:proofErr w:type="gramStart"/>
      <w:r w:rsidR="00F81DA0" w:rsidRPr="00D064FF">
        <w:rPr>
          <w:rFonts w:ascii="Times New Roman" w:hAnsi="Times New Roman"/>
          <w:sz w:val="20"/>
          <w:szCs w:val="20"/>
          <w:vertAlign w:val="superscript"/>
        </w:rPr>
        <w:t>,44</w:t>
      </w:r>
      <w:proofErr w:type="gramEnd"/>
      <w:r w:rsidRPr="00D064FF">
        <w:rPr>
          <w:rFonts w:ascii="Times New Roman" w:hAnsi="Times New Roman"/>
          <w:sz w:val="20"/>
          <w:szCs w:val="20"/>
        </w:rPr>
        <w:t>.</w:t>
      </w:r>
    </w:p>
    <w:p w:rsidR="00977013" w:rsidRDefault="00977013" w:rsidP="00C35D52">
      <w:pPr>
        <w:snapToGrid w:val="0"/>
        <w:spacing w:after="0" w:line="240" w:lineRule="auto"/>
        <w:jc w:val="both"/>
        <w:rPr>
          <w:rFonts w:ascii="Times New Roman" w:hAnsi="Times New Roman"/>
          <w:b/>
          <w:sz w:val="20"/>
          <w:szCs w:val="20"/>
          <w:lang w:eastAsia="zh-CN"/>
        </w:rPr>
      </w:pPr>
    </w:p>
    <w:p w:rsidR="00D064FF" w:rsidRPr="00D064FF" w:rsidRDefault="00D064FF" w:rsidP="00C35D52">
      <w:pPr>
        <w:snapToGrid w:val="0"/>
        <w:spacing w:after="0" w:line="240" w:lineRule="auto"/>
        <w:jc w:val="both"/>
        <w:rPr>
          <w:rFonts w:ascii="Times New Roman" w:hAnsi="Times New Roman"/>
          <w:b/>
          <w:sz w:val="20"/>
          <w:szCs w:val="20"/>
          <w:lang w:eastAsia="zh-CN"/>
        </w:rPr>
      </w:pPr>
    </w:p>
    <w:p w:rsidR="00977013" w:rsidRPr="00D064FF" w:rsidRDefault="00977013" w:rsidP="00C35D52">
      <w:pPr>
        <w:snapToGrid w:val="0"/>
        <w:spacing w:after="0" w:line="240" w:lineRule="auto"/>
        <w:jc w:val="both"/>
        <w:rPr>
          <w:rFonts w:ascii="Times New Roman" w:hAnsi="Times New Roman"/>
          <w:sz w:val="20"/>
          <w:szCs w:val="20"/>
        </w:rPr>
      </w:pPr>
      <w:r w:rsidRPr="00D064FF">
        <w:rPr>
          <w:rFonts w:ascii="Times New Roman" w:hAnsi="Times New Roman"/>
          <w:b/>
          <w:sz w:val="20"/>
          <w:szCs w:val="20"/>
        </w:rPr>
        <w:t>Conclusion</w:t>
      </w:r>
    </w:p>
    <w:p w:rsidR="00977013" w:rsidRPr="00D064FF" w:rsidRDefault="00977013" w:rsidP="00C35D52">
      <w:pPr>
        <w:snapToGrid w:val="0"/>
        <w:spacing w:after="0" w:line="240" w:lineRule="auto"/>
        <w:ind w:firstLine="425"/>
        <w:jc w:val="both"/>
        <w:rPr>
          <w:rFonts w:ascii="Times New Roman" w:hAnsi="Times New Roman"/>
          <w:sz w:val="20"/>
          <w:szCs w:val="20"/>
        </w:rPr>
      </w:pPr>
      <w:r w:rsidRPr="00D064FF">
        <w:rPr>
          <w:rFonts w:ascii="Times New Roman" w:hAnsi="Times New Roman"/>
          <w:sz w:val="20"/>
          <w:szCs w:val="20"/>
        </w:rPr>
        <w:t>This study shows that there is a progressive rising incidence of bone metastasis as evidence on TBS in relation to the PSA levels in patients diagnosed of prostate cancer.</w:t>
      </w:r>
    </w:p>
    <w:p w:rsidR="00977013" w:rsidRPr="00D064FF" w:rsidRDefault="00977013" w:rsidP="00C35D52">
      <w:pPr>
        <w:snapToGrid w:val="0"/>
        <w:spacing w:after="0" w:line="240" w:lineRule="auto"/>
        <w:ind w:firstLine="425"/>
        <w:jc w:val="both"/>
        <w:rPr>
          <w:rFonts w:ascii="Times New Roman" w:hAnsi="Times New Roman"/>
          <w:sz w:val="20"/>
          <w:szCs w:val="20"/>
          <w:lang w:eastAsia="zh-CN"/>
        </w:rPr>
      </w:pPr>
      <w:r w:rsidRPr="00D064FF">
        <w:rPr>
          <w:rFonts w:ascii="Times New Roman" w:hAnsi="Times New Roman"/>
          <w:sz w:val="20"/>
          <w:szCs w:val="20"/>
        </w:rPr>
        <w:t xml:space="preserve">The </w:t>
      </w:r>
      <w:r w:rsidR="00773B1C" w:rsidRPr="00D064FF">
        <w:rPr>
          <w:rFonts w:ascii="Times New Roman" w:hAnsi="Times New Roman"/>
          <w:sz w:val="20"/>
          <w:szCs w:val="20"/>
        </w:rPr>
        <w:t>study</w:t>
      </w:r>
      <w:r w:rsidRPr="00D064FF">
        <w:rPr>
          <w:rFonts w:ascii="Times New Roman" w:hAnsi="Times New Roman"/>
          <w:sz w:val="20"/>
          <w:szCs w:val="20"/>
        </w:rPr>
        <w:t xml:space="preserve"> however</w:t>
      </w:r>
      <w:r w:rsidR="00247B49" w:rsidRPr="00D064FF">
        <w:rPr>
          <w:rFonts w:ascii="Times New Roman" w:hAnsi="Times New Roman"/>
          <w:sz w:val="20"/>
          <w:szCs w:val="20"/>
        </w:rPr>
        <w:t>,</w:t>
      </w:r>
      <w:r w:rsidRPr="00D064FF">
        <w:rPr>
          <w:rFonts w:ascii="Times New Roman" w:hAnsi="Times New Roman"/>
          <w:sz w:val="20"/>
          <w:szCs w:val="20"/>
        </w:rPr>
        <w:t xml:space="preserve"> shows no PSA cut-off point for positive TBS </w:t>
      </w:r>
      <w:r w:rsidR="00247B49" w:rsidRPr="00D064FF">
        <w:rPr>
          <w:rFonts w:ascii="Times New Roman" w:hAnsi="Times New Roman"/>
          <w:sz w:val="20"/>
          <w:szCs w:val="20"/>
        </w:rPr>
        <w:t xml:space="preserve">in our patients. This </w:t>
      </w:r>
      <w:proofErr w:type="gramStart"/>
      <w:r w:rsidR="00247B49" w:rsidRPr="00D064FF">
        <w:rPr>
          <w:rFonts w:ascii="Times New Roman" w:hAnsi="Times New Roman"/>
          <w:sz w:val="20"/>
          <w:szCs w:val="20"/>
        </w:rPr>
        <w:t xml:space="preserve">may be </w:t>
      </w:r>
      <w:r w:rsidRPr="00D064FF">
        <w:rPr>
          <w:rFonts w:ascii="Times New Roman" w:hAnsi="Times New Roman"/>
          <w:sz w:val="20"/>
          <w:szCs w:val="20"/>
        </w:rPr>
        <w:t>attributed</w:t>
      </w:r>
      <w:proofErr w:type="gramEnd"/>
      <w:r w:rsidRPr="00D064FF">
        <w:rPr>
          <w:rFonts w:ascii="Times New Roman" w:hAnsi="Times New Roman"/>
          <w:sz w:val="20"/>
          <w:szCs w:val="20"/>
        </w:rPr>
        <w:t xml:space="preserve"> to higher tumor stages at presentation as compared with other studies. Total bone scan </w:t>
      </w:r>
      <w:proofErr w:type="gramStart"/>
      <w:r w:rsidRPr="00D064FF">
        <w:rPr>
          <w:rFonts w:ascii="Times New Roman" w:hAnsi="Times New Roman"/>
          <w:sz w:val="20"/>
          <w:szCs w:val="20"/>
        </w:rPr>
        <w:t>should be recommended</w:t>
      </w:r>
      <w:proofErr w:type="gramEnd"/>
      <w:r w:rsidRPr="00D064FF">
        <w:rPr>
          <w:rFonts w:ascii="Times New Roman" w:hAnsi="Times New Roman"/>
          <w:sz w:val="20"/>
          <w:szCs w:val="20"/>
        </w:rPr>
        <w:t xml:space="preserve"> at presentation regardless of the PSA </w:t>
      </w:r>
      <w:r w:rsidR="00F81DA0" w:rsidRPr="00D064FF">
        <w:rPr>
          <w:rFonts w:ascii="Times New Roman" w:hAnsi="Times New Roman"/>
          <w:sz w:val="20"/>
          <w:szCs w:val="20"/>
        </w:rPr>
        <w:t xml:space="preserve">level in patients with or </w:t>
      </w:r>
      <w:r w:rsidRPr="00D064FF">
        <w:rPr>
          <w:rFonts w:ascii="Times New Roman" w:hAnsi="Times New Roman"/>
          <w:sz w:val="20"/>
          <w:szCs w:val="20"/>
        </w:rPr>
        <w:t>without bony symptoms. Though the financial and psychological burden may be enormous bearing in mind the cost and availability of the facility in the country, its benefit we believe out-weighs the burden. This may reduce drastically the number of preventable complications and morbidity from skeletal-related events with improved quality of life of these patients.</w:t>
      </w:r>
    </w:p>
    <w:p w:rsidR="00C35D52" w:rsidRDefault="00C35D52" w:rsidP="00C35D52">
      <w:pPr>
        <w:snapToGrid w:val="0"/>
        <w:spacing w:after="0" w:line="240" w:lineRule="auto"/>
        <w:ind w:firstLine="425"/>
        <w:jc w:val="both"/>
        <w:rPr>
          <w:rFonts w:ascii="Times New Roman" w:hAnsi="Times New Roman"/>
          <w:sz w:val="20"/>
          <w:szCs w:val="20"/>
          <w:lang w:eastAsia="zh-CN"/>
        </w:rPr>
      </w:pPr>
    </w:p>
    <w:p w:rsidR="00D064FF" w:rsidRPr="00D064FF" w:rsidRDefault="00D064FF" w:rsidP="00C35D52">
      <w:pPr>
        <w:snapToGrid w:val="0"/>
        <w:spacing w:after="0" w:line="240" w:lineRule="auto"/>
        <w:ind w:firstLine="425"/>
        <w:jc w:val="both"/>
        <w:rPr>
          <w:rFonts w:ascii="Times New Roman" w:hAnsi="Times New Roman"/>
          <w:sz w:val="20"/>
          <w:szCs w:val="20"/>
          <w:lang w:eastAsia="zh-CN"/>
        </w:rPr>
      </w:pPr>
    </w:p>
    <w:p w:rsidR="00322084" w:rsidRPr="00D064FF" w:rsidRDefault="00322084" w:rsidP="00C35D52">
      <w:pPr>
        <w:snapToGrid w:val="0"/>
        <w:spacing w:after="0" w:line="240" w:lineRule="auto"/>
        <w:jc w:val="both"/>
        <w:rPr>
          <w:rFonts w:ascii="Times New Roman" w:hAnsi="Times New Roman"/>
          <w:b/>
          <w:bCs/>
          <w:sz w:val="20"/>
          <w:szCs w:val="20"/>
        </w:rPr>
      </w:pPr>
      <w:r w:rsidRPr="00D064FF">
        <w:rPr>
          <w:rFonts w:ascii="Times New Roman" w:hAnsi="Times New Roman"/>
          <w:b/>
          <w:bCs/>
          <w:sz w:val="20"/>
          <w:szCs w:val="20"/>
        </w:rPr>
        <w:t>Corresponding Author:</w:t>
      </w:r>
    </w:p>
    <w:p w:rsidR="00322084" w:rsidRPr="00D064FF" w:rsidRDefault="00322084" w:rsidP="00C35D52">
      <w:pPr>
        <w:snapToGrid w:val="0"/>
        <w:spacing w:after="0" w:line="240" w:lineRule="auto"/>
        <w:jc w:val="both"/>
        <w:rPr>
          <w:rFonts w:ascii="Times New Roman" w:hAnsi="Times New Roman"/>
          <w:bCs/>
          <w:sz w:val="20"/>
          <w:szCs w:val="20"/>
        </w:rPr>
      </w:pPr>
      <w:proofErr w:type="spellStart"/>
      <w:r w:rsidRPr="00D064FF">
        <w:rPr>
          <w:rFonts w:ascii="Times New Roman" w:hAnsi="Times New Roman"/>
          <w:bCs/>
          <w:sz w:val="20"/>
          <w:szCs w:val="20"/>
        </w:rPr>
        <w:t>Elumelu</w:t>
      </w:r>
      <w:proofErr w:type="spellEnd"/>
      <w:r w:rsidRPr="00D064FF">
        <w:rPr>
          <w:rFonts w:ascii="Times New Roman" w:hAnsi="Times New Roman"/>
          <w:bCs/>
          <w:sz w:val="20"/>
          <w:szCs w:val="20"/>
        </w:rPr>
        <w:t xml:space="preserve"> T.N MBBS, FMCR, FWACS, DPC, MBA.</w:t>
      </w:r>
    </w:p>
    <w:p w:rsidR="00322084" w:rsidRPr="00D064FF" w:rsidRDefault="00322084" w:rsidP="00C35D52">
      <w:pPr>
        <w:snapToGrid w:val="0"/>
        <w:spacing w:after="0" w:line="240" w:lineRule="auto"/>
        <w:jc w:val="both"/>
        <w:rPr>
          <w:rFonts w:ascii="Times New Roman" w:hAnsi="Times New Roman"/>
          <w:bCs/>
          <w:sz w:val="20"/>
          <w:szCs w:val="20"/>
        </w:rPr>
      </w:pPr>
      <w:r w:rsidRPr="00D064FF">
        <w:rPr>
          <w:rFonts w:ascii="Times New Roman" w:hAnsi="Times New Roman"/>
          <w:bCs/>
          <w:sz w:val="20"/>
          <w:szCs w:val="20"/>
        </w:rPr>
        <w:t>Department of Radiotherapy,</w:t>
      </w:r>
    </w:p>
    <w:p w:rsidR="00322084" w:rsidRPr="00D064FF" w:rsidRDefault="00322084" w:rsidP="00C35D52">
      <w:pPr>
        <w:snapToGrid w:val="0"/>
        <w:spacing w:after="0" w:line="240" w:lineRule="auto"/>
        <w:jc w:val="both"/>
        <w:rPr>
          <w:rFonts w:ascii="Times New Roman" w:hAnsi="Times New Roman"/>
          <w:bCs/>
          <w:sz w:val="20"/>
          <w:szCs w:val="20"/>
        </w:rPr>
      </w:pPr>
      <w:r w:rsidRPr="00D064FF">
        <w:rPr>
          <w:rFonts w:ascii="Times New Roman" w:hAnsi="Times New Roman"/>
          <w:bCs/>
          <w:sz w:val="20"/>
          <w:szCs w:val="20"/>
        </w:rPr>
        <w:t>College of Medicine,</w:t>
      </w:r>
    </w:p>
    <w:p w:rsidR="00322084" w:rsidRPr="00D064FF" w:rsidRDefault="00322084" w:rsidP="00C35D52">
      <w:pPr>
        <w:snapToGrid w:val="0"/>
        <w:spacing w:after="0" w:line="240" w:lineRule="auto"/>
        <w:jc w:val="both"/>
        <w:rPr>
          <w:rFonts w:ascii="Times New Roman" w:hAnsi="Times New Roman"/>
          <w:bCs/>
          <w:sz w:val="20"/>
          <w:szCs w:val="20"/>
        </w:rPr>
      </w:pPr>
      <w:r w:rsidRPr="00D064FF">
        <w:rPr>
          <w:rFonts w:ascii="Times New Roman" w:hAnsi="Times New Roman"/>
          <w:bCs/>
          <w:sz w:val="20"/>
          <w:szCs w:val="20"/>
        </w:rPr>
        <w:t>University of Ibadan,</w:t>
      </w:r>
    </w:p>
    <w:p w:rsidR="00322084" w:rsidRPr="00D064FF" w:rsidRDefault="00322084" w:rsidP="00C35D52">
      <w:pPr>
        <w:snapToGrid w:val="0"/>
        <w:spacing w:after="0" w:line="240" w:lineRule="auto"/>
        <w:jc w:val="both"/>
        <w:rPr>
          <w:rFonts w:ascii="Times New Roman" w:hAnsi="Times New Roman"/>
          <w:bCs/>
          <w:sz w:val="20"/>
          <w:szCs w:val="20"/>
        </w:rPr>
      </w:pPr>
      <w:proofErr w:type="gramStart"/>
      <w:r w:rsidRPr="00D064FF">
        <w:rPr>
          <w:rFonts w:ascii="Times New Roman" w:hAnsi="Times New Roman"/>
          <w:bCs/>
          <w:sz w:val="20"/>
          <w:szCs w:val="20"/>
        </w:rPr>
        <w:t>Ibadan, Oyo State, Nigeria.</w:t>
      </w:r>
      <w:proofErr w:type="gramEnd"/>
    </w:p>
    <w:p w:rsidR="00322084" w:rsidRDefault="00322084" w:rsidP="00D064FF">
      <w:pPr>
        <w:snapToGrid w:val="0"/>
        <w:spacing w:after="0" w:line="240" w:lineRule="auto"/>
        <w:rPr>
          <w:rFonts w:ascii="Times New Roman" w:hAnsi="Times New Roman"/>
          <w:bCs/>
          <w:sz w:val="20"/>
          <w:szCs w:val="20"/>
          <w:lang w:eastAsia="zh-CN"/>
        </w:rPr>
      </w:pPr>
      <w:r w:rsidRPr="00D064FF">
        <w:rPr>
          <w:rFonts w:ascii="Times New Roman" w:hAnsi="Times New Roman"/>
          <w:bCs/>
          <w:sz w:val="20"/>
          <w:szCs w:val="20"/>
        </w:rPr>
        <w:t xml:space="preserve">Email- </w:t>
      </w:r>
      <w:hyperlink r:id="rId34" w:history="1">
        <w:r w:rsidRPr="00D064FF">
          <w:rPr>
            <w:rFonts w:ascii="Times New Roman" w:hAnsi="Times New Roman"/>
            <w:color w:val="0000FF"/>
            <w:sz w:val="20"/>
            <w:szCs w:val="20"/>
            <w:u w:val="single"/>
          </w:rPr>
          <w:t>telumelu@com.ui.edu.ng</w:t>
        </w:r>
      </w:hyperlink>
      <w:r w:rsidRPr="00D064FF">
        <w:rPr>
          <w:rFonts w:ascii="Times New Roman" w:hAnsi="Times New Roman"/>
          <w:bCs/>
          <w:sz w:val="20"/>
          <w:szCs w:val="20"/>
        </w:rPr>
        <w:t xml:space="preserve">, </w:t>
      </w:r>
      <w:hyperlink r:id="rId35" w:history="1">
        <w:r w:rsidR="00D064FF" w:rsidRPr="00BD38E3">
          <w:rPr>
            <w:rStyle w:val="Hyperlink"/>
            <w:rFonts w:ascii="Times New Roman" w:hAnsi="Times New Roman"/>
            <w:bCs/>
            <w:sz w:val="20"/>
            <w:szCs w:val="20"/>
          </w:rPr>
          <w:t>tessynek@yahoo.com</w:t>
        </w:r>
      </w:hyperlink>
    </w:p>
    <w:p w:rsidR="00D064FF" w:rsidRPr="00D064FF" w:rsidRDefault="00D064FF" w:rsidP="00D064FF">
      <w:pPr>
        <w:snapToGrid w:val="0"/>
        <w:spacing w:after="0" w:line="240" w:lineRule="auto"/>
        <w:rPr>
          <w:rFonts w:ascii="Times New Roman" w:hAnsi="Times New Roman"/>
          <w:bCs/>
          <w:sz w:val="20"/>
          <w:szCs w:val="20"/>
          <w:lang w:eastAsia="zh-CN"/>
        </w:rPr>
      </w:pPr>
    </w:p>
    <w:p w:rsidR="00C64D57" w:rsidRPr="00D064FF" w:rsidRDefault="00C64D57" w:rsidP="00C35D52">
      <w:pPr>
        <w:snapToGrid w:val="0"/>
        <w:spacing w:after="0" w:line="240" w:lineRule="auto"/>
        <w:jc w:val="both"/>
        <w:rPr>
          <w:rFonts w:ascii="Times New Roman" w:hAnsi="Times New Roman"/>
          <w:sz w:val="20"/>
          <w:szCs w:val="20"/>
        </w:rPr>
      </w:pPr>
    </w:p>
    <w:p w:rsidR="00C35D52" w:rsidRPr="00D064FF" w:rsidRDefault="0086341D" w:rsidP="00C35D52">
      <w:pPr>
        <w:snapToGrid w:val="0"/>
        <w:spacing w:after="0" w:line="240" w:lineRule="auto"/>
        <w:jc w:val="both"/>
        <w:rPr>
          <w:rFonts w:ascii="Times New Roman" w:hAnsi="Times New Roman"/>
          <w:sz w:val="20"/>
          <w:szCs w:val="20"/>
        </w:rPr>
      </w:pPr>
      <w:r w:rsidRPr="00D064FF">
        <w:rPr>
          <w:rFonts w:ascii="Times New Roman" w:hAnsi="Times New Roman"/>
          <w:b/>
          <w:sz w:val="20"/>
          <w:szCs w:val="20"/>
        </w:rPr>
        <w:t>References</w:t>
      </w:r>
    </w:p>
    <w:p w:rsidR="00C35D52" w:rsidRPr="00D064FF" w:rsidRDefault="00C35D52" w:rsidP="00C35D52">
      <w:pPr>
        <w:numPr>
          <w:ilvl w:val="0"/>
          <w:numId w:val="6"/>
        </w:numPr>
        <w:snapToGrid w:val="0"/>
        <w:spacing w:after="0" w:line="240" w:lineRule="auto"/>
        <w:jc w:val="both"/>
        <w:rPr>
          <w:rFonts w:ascii="Times New Roman" w:hAnsi="Times New Roman"/>
          <w:sz w:val="20"/>
          <w:szCs w:val="20"/>
        </w:rPr>
      </w:pPr>
      <w:proofErr w:type="spellStart"/>
      <w:r w:rsidRPr="00D064FF">
        <w:rPr>
          <w:rFonts w:ascii="Times New Roman" w:hAnsi="Times New Roman"/>
          <w:sz w:val="20"/>
          <w:szCs w:val="20"/>
        </w:rPr>
        <w:t>F</w:t>
      </w:r>
      <w:r w:rsidR="0086341D" w:rsidRPr="00D064FF">
        <w:rPr>
          <w:rFonts w:ascii="Times New Roman" w:hAnsi="Times New Roman"/>
          <w:sz w:val="20"/>
          <w:szCs w:val="20"/>
        </w:rPr>
        <w:t>erlay</w:t>
      </w:r>
      <w:proofErr w:type="spellEnd"/>
      <w:r w:rsidR="0086341D" w:rsidRPr="00D064FF">
        <w:rPr>
          <w:rFonts w:ascii="Times New Roman" w:hAnsi="Times New Roman"/>
          <w:sz w:val="20"/>
          <w:szCs w:val="20"/>
        </w:rPr>
        <w:t xml:space="preserve"> J, Bray F, and </w:t>
      </w:r>
      <w:proofErr w:type="spellStart"/>
      <w:r w:rsidR="0086341D" w:rsidRPr="00D064FF">
        <w:rPr>
          <w:rFonts w:ascii="Times New Roman" w:hAnsi="Times New Roman"/>
          <w:sz w:val="20"/>
          <w:szCs w:val="20"/>
        </w:rPr>
        <w:t>Pisani</w:t>
      </w:r>
      <w:proofErr w:type="spellEnd"/>
      <w:r w:rsidR="0086341D" w:rsidRPr="00D064FF">
        <w:rPr>
          <w:rFonts w:ascii="Times New Roman" w:hAnsi="Times New Roman"/>
          <w:sz w:val="20"/>
          <w:szCs w:val="20"/>
        </w:rPr>
        <w:t xml:space="preserve"> P, et al. (2001). </w:t>
      </w:r>
      <w:proofErr w:type="spellStart"/>
      <w:proofErr w:type="gramStart"/>
      <w:r w:rsidR="0086341D" w:rsidRPr="00D064FF">
        <w:rPr>
          <w:rFonts w:ascii="Times New Roman" w:hAnsi="Times New Roman"/>
          <w:sz w:val="20"/>
          <w:szCs w:val="20"/>
        </w:rPr>
        <w:t>Globocan</w:t>
      </w:r>
      <w:proofErr w:type="spellEnd"/>
      <w:r w:rsidR="0086341D" w:rsidRPr="00D064FF">
        <w:rPr>
          <w:rFonts w:ascii="Times New Roman" w:hAnsi="Times New Roman"/>
          <w:sz w:val="20"/>
          <w:szCs w:val="20"/>
        </w:rPr>
        <w:t xml:space="preserve"> 2002: cancer incidence, mortality and prevalence worldwide: IARC Cancer Base num 5, version I.O. Lyon IARC Press.</w:t>
      </w:r>
      <w:proofErr w:type="gramEnd"/>
    </w:p>
    <w:p w:rsidR="00C35D52" w:rsidRPr="00D064FF" w:rsidRDefault="0086341D" w:rsidP="00C35D52">
      <w:pPr>
        <w:numPr>
          <w:ilvl w:val="0"/>
          <w:numId w:val="6"/>
        </w:numPr>
        <w:snapToGrid w:val="0"/>
        <w:spacing w:after="0" w:line="240" w:lineRule="auto"/>
        <w:jc w:val="both"/>
        <w:rPr>
          <w:rFonts w:ascii="Times New Roman" w:hAnsi="Times New Roman"/>
          <w:sz w:val="20"/>
          <w:szCs w:val="20"/>
        </w:rPr>
      </w:pPr>
      <w:proofErr w:type="spellStart"/>
      <w:r w:rsidRPr="00D064FF">
        <w:rPr>
          <w:rFonts w:ascii="Times New Roman" w:hAnsi="Times New Roman"/>
          <w:sz w:val="20"/>
          <w:szCs w:val="20"/>
        </w:rPr>
        <w:t>Heidenreich</w:t>
      </w:r>
      <w:proofErr w:type="spellEnd"/>
      <w:r w:rsidRPr="00D064FF">
        <w:rPr>
          <w:rFonts w:ascii="Times New Roman" w:hAnsi="Times New Roman"/>
          <w:sz w:val="20"/>
          <w:szCs w:val="20"/>
        </w:rPr>
        <w:t xml:space="preserve">, G. Aus, M. </w:t>
      </w:r>
      <w:proofErr w:type="spellStart"/>
      <w:r w:rsidRPr="00D064FF">
        <w:rPr>
          <w:rFonts w:ascii="Times New Roman" w:hAnsi="Times New Roman"/>
          <w:sz w:val="20"/>
          <w:szCs w:val="20"/>
        </w:rPr>
        <w:t>Bolla</w:t>
      </w:r>
      <w:proofErr w:type="spellEnd"/>
      <w:r w:rsidRPr="00D064FF">
        <w:rPr>
          <w:rFonts w:ascii="Times New Roman" w:hAnsi="Times New Roman"/>
          <w:sz w:val="20"/>
          <w:szCs w:val="20"/>
        </w:rPr>
        <w:t xml:space="preserve"> et al</w:t>
      </w:r>
      <w:proofErr w:type="gramStart"/>
      <w:r w:rsidRPr="00D064FF">
        <w:rPr>
          <w:rFonts w:ascii="Times New Roman" w:hAnsi="Times New Roman"/>
          <w:sz w:val="20"/>
          <w:szCs w:val="20"/>
        </w:rPr>
        <w:t>.(</w:t>
      </w:r>
      <w:proofErr w:type="gramEnd"/>
      <w:r w:rsidRPr="00D064FF">
        <w:rPr>
          <w:rFonts w:ascii="Times New Roman" w:hAnsi="Times New Roman"/>
          <w:sz w:val="20"/>
          <w:szCs w:val="20"/>
        </w:rPr>
        <w:t xml:space="preserve">2008). </w:t>
      </w:r>
      <w:proofErr w:type="gramStart"/>
      <w:r w:rsidRPr="00D064FF">
        <w:rPr>
          <w:rFonts w:ascii="Times New Roman" w:hAnsi="Times New Roman"/>
          <w:sz w:val="20"/>
          <w:szCs w:val="20"/>
        </w:rPr>
        <w:t>EAU guidelines on prostate cancer.</w:t>
      </w:r>
      <w:proofErr w:type="gramEnd"/>
      <w:r w:rsidRPr="00D064FF">
        <w:rPr>
          <w:rFonts w:ascii="Times New Roman" w:hAnsi="Times New Roman"/>
          <w:sz w:val="20"/>
          <w:szCs w:val="20"/>
        </w:rPr>
        <w:t xml:space="preserve"> </w:t>
      </w:r>
      <w:proofErr w:type="spellStart"/>
      <w:r w:rsidRPr="00D064FF">
        <w:rPr>
          <w:rFonts w:ascii="Times New Roman" w:hAnsi="Times New Roman"/>
          <w:sz w:val="20"/>
          <w:szCs w:val="20"/>
        </w:rPr>
        <w:t>Eur</w:t>
      </w:r>
      <w:proofErr w:type="spellEnd"/>
      <w:r w:rsidRPr="00D064FF">
        <w:rPr>
          <w:rFonts w:ascii="Times New Roman" w:hAnsi="Times New Roman"/>
          <w:sz w:val="20"/>
          <w:szCs w:val="20"/>
        </w:rPr>
        <w:t xml:space="preserve"> </w:t>
      </w:r>
      <w:proofErr w:type="spellStart"/>
      <w:r w:rsidRPr="00D064FF">
        <w:rPr>
          <w:rFonts w:ascii="Times New Roman" w:hAnsi="Times New Roman"/>
          <w:sz w:val="20"/>
          <w:szCs w:val="20"/>
        </w:rPr>
        <w:t>Urol</w:t>
      </w:r>
      <w:proofErr w:type="spellEnd"/>
      <w:r w:rsidRPr="00D064FF">
        <w:rPr>
          <w:rFonts w:ascii="Times New Roman" w:hAnsi="Times New Roman"/>
          <w:sz w:val="20"/>
          <w:szCs w:val="20"/>
        </w:rPr>
        <w:t>; 53: 68–80.</w:t>
      </w:r>
    </w:p>
    <w:p w:rsidR="00C35D52" w:rsidRPr="00D064FF" w:rsidRDefault="00C35D52" w:rsidP="00C35D52">
      <w:pPr>
        <w:numPr>
          <w:ilvl w:val="0"/>
          <w:numId w:val="6"/>
        </w:numPr>
        <w:snapToGrid w:val="0"/>
        <w:spacing w:after="0" w:line="240" w:lineRule="auto"/>
        <w:jc w:val="both"/>
        <w:rPr>
          <w:rFonts w:ascii="Times New Roman" w:hAnsi="Times New Roman"/>
          <w:sz w:val="20"/>
          <w:szCs w:val="20"/>
        </w:rPr>
      </w:pPr>
      <w:r w:rsidRPr="00D064FF">
        <w:rPr>
          <w:rFonts w:ascii="Times New Roman" w:hAnsi="Times New Roman"/>
          <w:sz w:val="20"/>
          <w:szCs w:val="20"/>
        </w:rPr>
        <w:t>F</w:t>
      </w:r>
      <w:r w:rsidR="0086341D" w:rsidRPr="00D064FF">
        <w:rPr>
          <w:rFonts w:ascii="Times New Roman" w:hAnsi="Times New Roman"/>
          <w:sz w:val="20"/>
          <w:szCs w:val="20"/>
        </w:rPr>
        <w:t xml:space="preserve">. Bray, R. </w:t>
      </w:r>
      <w:proofErr w:type="spellStart"/>
      <w:r w:rsidR="0086341D" w:rsidRPr="00D064FF">
        <w:rPr>
          <w:rFonts w:ascii="Times New Roman" w:hAnsi="Times New Roman"/>
          <w:sz w:val="20"/>
          <w:szCs w:val="20"/>
        </w:rPr>
        <w:t>Sankila</w:t>
      </w:r>
      <w:proofErr w:type="spellEnd"/>
      <w:r w:rsidR="0086341D" w:rsidRPr="00D064FF">
        <w:rPr>
          <w:rFonts w:ascii="Times New Roman" w:hAnsi="Times New Roman"/>
          <w:sz w:val="20"/>
          <w:szCs w:val="20"/>
        </w:rPr>
        <w:t xml:space="preserve">, J. </w:t>
      </w:r>
      <w:proofErr w:type="spellStart"/>
      <w:r w:rsidR="0086341D" w:rsidRPr="00D064FF">
        <w:rPr>
          <w:rFonts w:ascii="Times New Roman" w:hAnsi="Times New Roman"/>
          <w:sz w:val="20"/>
          <w:szCs w:val="20"/>
        </w:rPr>
        <w:t>Ferlay</w:t>
      </w:r>
      <w:proofErr w:type="spellEnd"/>
      <w:r w:rsidR="0086341D" w:rsidRPr="00D064FF">
        <w:rPr>
          <w:rFonts w:ascii="Times New Roman" w:hAnsi="Times New Roman"/>
          <w:sz w:val="20"/>
          <w:szCs w:val="20"/>
        </w:rPr>
        <w:t xml:space="preserve">, </w:t>
      </w:r>
      <w:proofErr w:type="gramStart"/>
      <w:r w:rsidR="0086341D" w:rsidRPr="00D064FF">
        <w:rPr>
          <w:rFonts w:ascii="Times New Roman" w:hAnsi="Times New Roman"/>
          <w:sz w:val="20"/>
          <w:szCs w:val="20"/>
        </w:rPr>
        <w:t>D.M</w:t>
      </w:r>
      <w:proofErr w:type="gramEnd"/>
      <w:r w:rsidR="0086341D" w:rsidRPr="00D064FF">
        <w:rPr>
          <w:rFonts w:ascii="Times New Roman" w:hAnsi="Times New Roman"/>
          <w:sz w:val="20"/>
          <w:szCs w:val="20"/>
        </w:rPr>
        <w:t xml:space="preserve">. </w:t>
      </w:r>
      <w:proofErr w:type="spellStart"/>
      <w:r w:rsidR="0086341D" w:rsidRPr="00D064FF">
        <w:rPr>
          <w:rFonts w:ascii="Times New Roman" w:hAnsi="Times New Roman"/>
          <w:sz w:val="20"/>
          <w:szCs w:val="20"/>
        </w:rPr>
        <w:t>Parkin</w:t>
      </w:r>
      <w:proofErr w:type="spellEnd"/>
      <w:r w:rsidR="0086341D" w:rsidRPr="00D064FF">
        <w:rPr>
          <w:rFonts w:ascii="Times New Roman" w:hAnsi="Times New Roman"/>
          <w:sz w:val="20"/>
          <w:szCs w:val="20"/>
        </w:rPr>
        <w:t>.</w:t>
      </w:r>
      <w:r w:rsidR="00D064FF">
        <w:rPr>
          <w:rFonts w:ascii="Times New Roman" w:hAnsi="Times New Roman" w:hint="eastAsia"/>
          <w:sz w:val="20"/>
          <w:szCs w:val="20"/>
          <w:lang w:eastAsia="zh-CN"/>
        </w:rPr>
        <w:t xml:space="preserve"> </w:t>
      </w:r>
      <w:proofErr w:type="gramStart"/>
      <w:r w:rsidR="0086341D" w:rsidRPr="00D064FF">
        <w:rPr>
          <w:rFonts w:ascii="Times New Roman" w:hAnsi="Times New Roman"/>
          <w:sz w:val="20"/>
          <w:szCs w:val="20"/>
        </w:rPr>
        <w:t>(2002). Estimates of cancer incidence and mortality in Europe in 1995.</w:t>
      </w:r>
      <w:proofErr w:type="gramEnd"/>
      <w:r w:rsidR="0086341D" w:rsidRPr="00D064FF">
        <w:rPr>
          <w:rFonts w:ascii="Times New Roman" w:hAnsi="Times New Roman"/>
          <w:sz w:val="20"/>
          <w:szCs w:val="20"/>
        </w:rPr>
        <w:t xml:space="preserve"> </w:t>
      </w:r>
      <w:proofErr w:type="spellStart"/>
      <w:r w:rsidR="0086341D" w:rsidRPr="00D064FF">
        <w:rPr>
          <w:rFonts w:ascii="Times New Roman" w:hAnsi="Times New Roman"/>
          <w:sz w:val="20"/>
          <w:szCs w:val="20"/>
        </w:rPr>
        <w:t>Eur</w:t>
      </w:r>
      <w:proofErr w:type="spellEnd"/>
      <w:r w:rsidR="0086341D" w:rsidRPr="00D064FF">
        <w:rPr>
          <w:rFonts w:ascii="Times New Roman" w:hAnsi="Times New Roman"/>
          <w:sz w:val="20"/>
          <w:szCs w:val="20"/>
        </w:rPr>
        <w:t xml:space="preserve"> J Cancer; 38: 99–166.</w:t>
      </w:r>
    </w:p>
    <w:p w:rsidR="00C35D52" w:rsidRPr="00D064FF" w:rsidRDefault="00C35D52" w:rsidP="00C35D52">
      <w:pPr>
        <w:numPr>
          <w:ilvl w:val="0"/>
          <w:numId w:val="6"/>
        </w:numPr>
        <w:snapToGrid w:val="0"/>
        <w:spacing w:after="0" w:line="240" w:lineRule="auto"/>
        <w:jc w:val="both"/>
        <w:rPr>
          <w:rFonts w:ascii="Times New Roman" w:hAnsi="Times New Roman"/>
          <w:sz w:val="20"/>
          <w:szCs w:val="20"/>
        </w:rPr>
      </w:pPr>
      <w:r w:rsidRPr="00D064FF">
        <w:rPr>
          <w:rFonts w:ascii="Times New Roman" w:hAnsi="Times New Roman"/>
          <w:sz w:val="20"/>
          <w:szCs w:val="20"/>
        </w:rPr>
        <w:t>R</w:t>
      </w:r>
      <w:r w:rsidR="0086341D" w:rsidRPr="00D064FF">
        <w:rPr>
          <w:rFonts w:ascii="Times New Roman" w:hAnsi="Times New Roman"/>
          <w:sz w:val="20"/>
          <w:szCs w:val="20"/>
        </w:rPr>
        <w:t xml:space="preserve">.J. Black, F. Bray, J. </w:t>
      </w:r>
      <w:proofErr w:type="spellStart"/>
      <w:r w:rsidR="0086341D" w:rsidRPr="00D064FF">
        <w:rPr>
          <w:rFonts w:ascii="Times New Roman" w:hAnsi="Times New Roman"/>
          <w:sz w:val="20"/>
          <w:szCs w:val="20"/>
        </w:rPr>
        <w:t>Ferlay</w:t>
      </w:r>
      <w:proofErr w:type="spellEnd"/>
      <w:r w:rsidR="0086341D" w:rsidRPr="00D064FF">
        <w:rPr>
          <w:rFonts w:ascii="Times New Roman" w:hAnsi="Times New Roman"/>
          <w:sz w:val="20"/>
          <w:szCs w:val="20"/>
        </w:rPr>
        <w:t xml:space="preserve">, D.M. </w:t>
      </w:r>
      <w:proofErr w:type="spellStart"/>
      <w:r w:rsidR="0086341D" w:rsidRPr="00D064FF">
        <w:rPr>
          <w:rFonts w:ascii="Times New Roman" w:hAnsi="Times New Roman"/>
          <w:sz w:val="20"/>
          <w:szCs w:val="20"/>
        </w:rPr>
        <w:t>Parkin</w:t>
      </w:r>
      <w:proofErr w:type="spellEnd"/>
      <w:r w:rsidR="0086341D" w:rsidRPr="00D064FF">
        <w:rPr>
          <w:rFonts w:ascii="Times New Roman" w:hAnsi="Times New Roman"/>
          <w:sz w:val="20"/>
          <w:szCs w:val="20"/>
        </w:rPr>
        <w:t>.</w:t>
      </w:r>
      <w:r w:rsidR="00D064FF">
        <w:rPr>
          <w:rFonts w:ascii="Times New Roman" w:hAnsi="Times New Roman" w:hint="eastAsia"/>
          <w:sz w:val="20"/>
          <w:szCs w:val="20"/>
          <w:lang w:eastAsia="zh-CN"/>
        </w:rPr>
        <w:t xml:space="preserve"> </w:t>
      </w:r>
      <w:r w:rsidR="0086341D" w:rsidRPr="00D064FF">
        <w:rPr>
          <w:rFonts w:ascii="Times New Roman" w:hAnsi="Times New Roman"/>
          <w:sz w:val="20"/>
          <w:szCs w:val="20"/>
        </w:rPr>
        <w:t xml:space="preserve">(1997). Cancer incidence and mortality in the European Union: cancer registry data and estimates of national incidence for 1990. </w:t>
      </w:r>
      <w:proofErr w:type="spellStart"/>
      <w:r w:rsidR="0086341D" w:rsidRPr="00D064FF">
        <w:rPr>
          <w:rFonts w:ascii="Times New Roman" w:hAnsi="Times New Roman"/>
          <w:sz w:val="20"/>
          <w:szCs w:val="20"/>
        </w:rPr>
        <w:t>Eur</w:t>
      </w:r>
      <w:proofErr w:type="spellEnd"/>
      <w:r w:rsidR="0086341D" w:rsidRPr="00D064FF">
        <w:rPr>
          <w:rFonts w:ascii="Times New Roman" w:hAnsi="Times New Roman"/>
          <w:sz w:val="20"/>
          <w:szCs w:val="20"/>
        </w:rPr>
        <w:t xml:space="preserve"> J Cancer; 33: 1075–1107.</w:t>
      </w:r>
    </w:p>
    <w:p w:rsidR="00C35D52" w:rsidRPr="00D064FF" w:rsidRDefault="00C35D52" w:rsidP="00C35D52">
      <w:pPr>
        <w:numPr>
          <w:ilvl w:val="0"/>
          <w:numId w:val="6"/>
        </w:numPr>
        <w:snapToGrid w:val="0"/>
        <w:spacing w:after="0" w:line="240" w:lineRule="auto"/>
        <w:jc w:val="both"/>
        <w:rPr>
          <w:rFonts w:ascii="Times New Roman" w:eastAsia="Times New Roman" w:hAnsi="Times New Roman"/>
          <w:sz w:val="20"/>
          <w:szCs w:val="20"/>
        </w:rPr>
      </w:pPr>
      <w:proofErr w:type="spellStart"/>
      <w:r w:rsidRPr="00D064FF">
        <w:rPr>
          <w:rFonts w:ascii="Times New Roman" w:eastAsia="Times New Roman" w:hAnsi="Times New Roman"/>
          <w:sz w:val="20"/>
          <w:szCs w:val="20"/>
        </w:rPr>
        <w:t>F</w:t>
      </w:r>
      <w:r w:rsidR="0086341D" w:rsidRPr="00D064FF">
        <w:rPr>
          <w:rFonts w:ascii="Times New Roman" w:eastAsia="Times New Roman" w:hAnsi="Times New Roman"/>
          <w:sz w:val="20"/>
          <w:szCs w:val="20"/>
        </w:rPr>
        <w:t>erlay</w:t>
      </w:r>
      <w:proofErr w:type="spellEnd"/>
      <w:r w:rsidR="0086341D" w:rsidRPr="00D064FF">
        <w:rPr>
          <w:rFonts w:ascii="Times New Roman" w:eastAsia="Times New Roman" w:hAnsi="Times New Roman"/>
          <w:sz w:val="20"/>
          <w:szCs w:val="20"/>
        </w:rPr>
        <w:t xml:space="preserve"> J, Shin HR, Bray F, Forman D, </w:t>
      </w:r>
      <w:proofErr w:type="spellStart"/>
      <w:r w:rsidR="0086341D" w:rsidRPr="00D064FF">
        <w:rPr>
          <w:rFonts w:ascii="Times New Roman" w:eastAsia="Times New Roman" w:hAnsi="Times New Roman"/>
          <w:sz w:val="20"/>
          <w:szCs w:val="20"/>
        </w:rPr>
        <w:t>Mathers</w:t>
      </w:r>
      <w:proofErr w:type="spellEnd"/>
      <w:r w:rsidR="0086341D" w:rsidRPr="00D064FF">
        <w:rPr>
          <w:rFonts w:ascii="Times New Roman" w:eastAsia="Times New Roman" w:hAnsi="Times New Roman"/>
          <w:sz w:val="20"/>
          <w:szCs w:val="20"/>
        </w:rPr>
        <w:t xml:space="preserve"> C, </w:t>
      </w:r>
      <w:proofErr w:type="spellStart"/>
      <w:r w:rsidR="0086341D" w:rsidRPr="00D064FF">
        <w:rPr>
          <w:rFonts w:ascii="Times New Roman" w:eastAsia="Times New Roman" w:hAnsi="Times New Roman"/>
          <w:sz w:val="20"/>
          <w:szCs w:val="20"/>
        </w:rPr>
        <w:t>Parkin</w:t>
      </w:r>
      <w:proofErr w:type="spellEnd"/>
      <w:r w:rsidR="0086341D" w:rsidRPr="00D064FF">
        <w:rPr>
          <w:rFonts w:ascii="Times New Roman" w:eastAsia="Times New Roman" w:hAnsi="Times New Roman"/>
          <w:sz w:val="20"/>
          <w:szCs w:val="20"/>
        </w:rPr>
        <w:t xml:space="preserve"> DM. (2010). </w:t>
      </w:r>
      <w:proofErr w:type="gramStart"/>
      <w:r w:rsidR="0086341D" w:rsidRPr="00D064FF">
        <w:rPr>
          <w:rFonts w:ascii="Times New Roman" w:eastAsia="Times New Roman" w:hAnsi="Times New Roman"/>
          <w:sz w:val="20"/>
          <w:szCs w:val="20"/>
        </w:rPr>
        <w:t>IARC Cancer Base No. 10 [Internet] Lyon, France: International Agency for Research on Cancer.</w:t>
      </w:r>
      <w:proofErr w:type="gramEnd"/>
      <w:r w:rsidR="0086341D" w:rsidRPr="00D064FF">
        <w:rPr>
          <w:rFonts w:ascii="Times New Roman" w:eastAsia="Times New Roman" w:hAnsi="Times New Roman"/>
          <w:sz w:val="20"/>
          <w:szCs w:val="20"/>
        </w:rPr>
        <w:t xml:space="preserve"> </w:t>
      </w:r>
      <w:proofErr w:type="gramStart"/>
      <w:r w:rsidR="0086341D" w:rsidRPr="00D064FF">
        <w:rPr>
          <w:rFonts w:ascii="Times New Roman" w:eastAsia="Times New Roman" w:hAnsi="Times New Roman"/>
          <w:sz w:val="20"/>
          <w:szCs w:val="20"/>
        </w:rPr>
        <w:t>GLOBOCAN 2008, Cancer Incidence and Mortality Worldwide.</w:t>
      </w:r>
      <w:proofErr w:type="gramEnd"/>
    </w:p>
    <w:p w:rsidR="00C35D52" w:rsidRPr="00D064FF" w:rsidRDefault="00C35D52" w:rsidP="00C35D52">
      <w:pPr>
        <w:numPr>
          <w:ilvl w:val="0"/>
          <w:numId w:val="6"/>
        </w:numPr>
        <w:snapToGrid w:val="0"/>
        <w:spacing w:after="0" w:line="240" w:lineRule="auto"/>
        <w:jc w:val="both"/>
        <w:rPr>
          <w:rFonts w:ascii="Times New Roman" w:eastAsia="Times New Roman" w:hAnsi="Times New Roman"/>
          <w:sz w:val="20"/>
          <w:szCs w:val="20"/>
        </w:rPr>
      </w:pPr>
      <w:proofErr w:type="gramStart"/>
      <w:r w:rsidRPr="00D064FF">
        <w:rPr>
          <w:rFonts w:ascii="Times New Roman" w:eastAsia="Times New Roman" w:hAnsi="Times New Roman"/>
          <w:sz w:val="20"/>
          <w:szCs w:val="20"/>
        </w:rPr>
        <w:lastRenderedPageBreak/>
        <w:t>N</w:t>
      </w:r>
      <w:r w:rsidR="0086341D" w:rsidRPr="00D064FF">
        <w:rPr>
          <w:rFonts w:ascii="Times New Roman" w:eastAsia="Times New Roman" w:hAnsi="Times New Roman"/>
          <w:sz w:val="20"/>
          <w:szCs w:val="20"/>
        </w:rPr>
        <w:t>ational institute for clinical excellence (NICE).</w:t>
      </w:r>
      <w:proofErr w:type="gramEnd"/>
      <w:r w:rsidR="0086341D" w:rsidRPr="00D064FF">
        <w:rPr>
          <w:rFonts w:ascii="Times New Roman" w:eastAsia="Times New Roman" w:hAnsi="Times New Roman"/>
          <w:sz w:val="20"/>
          <w:szCs w:val="20"/>
        </w:rPr>
        <w:t xml:space="preserve"> (September 2002). Guidance on cancer services: improving outcome in urological cancers, urological (CSGUC). </w:t>
      </w:r>
      <w:proofErr w:type="gramStart"/>
      <w:r w:rsidR="0086341D" w:rsidRPr="00D064FF">
        <w:rPr>
          <w:rFonts w:ascii="Times New Roman" w:eastAsia="Times New Roman" w:hAnsi="Times New Roman"/>
          <w:sz w:val="20"/>
          <w:szCs w:val="20"/>
        </w:rPr>
        <w:t>The manual-NICE.</w:t>
      </w:r>
      <w:proofErr w:type="gramEnd"/>
    </w:p>
    <w:p w:rsidR="00C35D52" w:rsidRPr="00D064FF" w:rsidRDefault="00C35D52" w:rsidP="00C35D52">
      <w:pPr>
        <w:numPr>
          <w:ilvl w:val="0"/>
          <w:numId w:val="6"/>
        </w:numPr>
        <w:snapToGrid w:val="0"/>
        <w:spacing w:after="0" w:line="240" w:lineRule="auto"/>
        <w:jc w:val="both"/>
        <w:rPr>
          <w:rFonts w:ascii="Times New Roman" w:eastAsia="Times New Roman" w:hAnsi="Times New Roman"/>
          <w:sz w:val="20"/>
          <w:szCs w:val="20"/>
        </w:rPr>
      </w:pPr>
      <w:proofErr w:type="spellStart"/>
      <w:r w:rsidRPr="00D064FF">
        <w:rPr>
          <w:rFonts w:ascii="Times New Roman" w:eastAsia="Times New Roman" w:hAnsi="Times New Roman"/>
          <w:sz w:val="20"/>
          <w:szCs w:val="20"/>
        </w:rPr>
        <w:t>R</w:t>
      </w:r>
      <w:r w:rsidR="0086341D" w:rsidRPr="00D064FF">
        <w:rPr>
          <w:rFonts w:ascii="Times New Roman" w:eastAsia="Times New Roman" w:hAnsi="Times New Roman"/>
          <w:sz w:val="20"/>
          <w:szCs w:val="20"/>
        </w:rPr>
        <w:t>igaud</w:t>
      </w:r>
      <w:proofErr w:type="spellEnd"/>
      <w:r w:rsidR="0086341D" w:rsidRPr="00D064FF">
        <w:rPr>
          <w:rFonts w:ascii="Times New Roman" w:eastAsia="Times New Roman" w:hAnsi="Times New Roman"/>
          <w:sz w:val="20"/>
          <w:szCs w:val="20"/>
        </w:rPr>
        <w:t xml:space="preserve"> J, </w:t>
      </w:r>
      <w:proofErr w:type="spellStart"/>
      <w:r w:rsidR="0086341D" w:rsidRPr="00D064FF">
        <w:rPr>
          <w:rFonts w:ascii="Times New Roman" w:eastAsia="Times New Roman" w:hAnsi="Times New Roman"/>
          <w:sz w:val="20"/>
          <w:szCs w:val="20"/>
        </w:rPr>
        <w:t>Tiguert</w:t>
      </w:r>
      <w:proofErr w:type="spellEnd"/>
      <w:r w:rsidR="0086341D" w:rsidRPr="00D064FF">
        <w:rPr>
          <w:rFonts w:ascii="Times New Roman" w:eastAsia="Times New Roman" w:hAnsi="Times New Roman"/>
          <w:sz w:val="20"/>
          <w:szCs w:val="20"/>
        </w:rPr>
        <w:t xml:space="preserve"> R, Le Normand L, et al</w:t>
      </w:r>
      <w:proofErr w:type="gramStart"/>
      <w:r w:rsidR="0086341D" w:rsidRPr="00D064FF">
        <w:rPr>
          <w:rFonts w:ascii="Times New Roman" w:eastAsia="Times New Roman" w:hAnsi="Times New Roman"/>
          <w:sz w:val="20"/>
          <w:szCs w:val="20"/>
        </w:rPr>
        <w:t>.(</w:t>
      </w:r>
      <w:proofErr w:type="gramEnd"/>
      <w:r w:rsidR="0086341D" w:rsidRPr="00D064FF">
        <w:rPr>
          <w:rFonts w:ascii="Times New Roman" w:eastAsia="Times New Roman" w:hAnsi="Times New Roman"/>
          <w:sz w:val="20"/>
          <w:szCs w:val="20"/>
        </w:rPr>
        <w:t xml:space="preserve"> 2002). Prognostic value of bone scan in patients with metastatic prostate cancer treated initially with androgen deprivation therapy. J </w:t>
      </w:r>
      <w:proofErr w:type="spellStart"/>
      <w:r w:rsidR="0086341D" w:rsidRPr="00D064FF">
        <w:rPr>
          <w:rFonts w:ascii="Times New Roman" w:eastAsia="Times New Roman" w:hAnsi="Times New Roman"/>
          <w:sz w:val="20"/>
          <w:szCs w:val="20"/>
        </w:rPr>
        <w:t>Urol</w:t>
      </w:r>
      <w:proofErr w:type="spellEnd"/>
      <w:r w:rsidR="0086341D" w:rsidRPr="00D064FF">
        <w:rPr>
          <w:rFonts w:ascii="Times New Roman" w:eastAsia="Times New Roman" w:hAnsi="Times New Roman"/>
          <w:sz w:val="20"/>
          <w:szCs w:val="20"/>
        </w:rPr>
        <w:t>; 168: 1423-6.</w:t>
      </w:r>
    </w:p>
    <w:p w:rsidR="00C35D52" w:rsidRPr="00D064FF" w:rsidRDefault="00C35D52" w:rsidP="00C35D52">
      <w:pPr>
        <w:numPr>
          <w:ilvl w:val="0"/>
          <w:numId w:val="6"/>
        </w:numPr>
        <w:snapToGrid w:val="0"/>
        <w:spacing w:after="0" w:line="240" w:lineRule="auto"/>
        <w:jc w:val="both"/>
        <w:rPr>
          <w:rFonts w:ascii="Times New Roman" w:eastAsia="Times New Roman" w:hAnsi="Times New Roman"/>
          <w:sz w:val="20"/>
          <w:szCs w:val="20"/>
        </w:rPr>
      </w:pPr>
      <w:proofErr w:type="gramStart"/>
      <w:r w:rsidRPr="00D064FF">
        <w:rPr>
          <w:rFonts w:ascii="Times New Roman" w:eastAsia="Times New Roman" w:hAnsi="Times New Roman"/>
          <w:sz w:val="20"/>
          <w:szCs w:val="20"/>
        </w:rPr>
        <w:t>C</w:t>
      </w:r>
      <w:r w:rsidR="00D064FF">
        <w:rPr>
          <w:rFonts w:ascii="Times New Roman" w:eastAsia="Times New Roman" w:hAnsi="Times New Roman"/>
          <w:sz w:val="20"/>
          <w:szCs w:val="20"/>
        </w:rPr>
        <w:t xml:space="preserve">arlin BL, </w:t>
      </w:r>
      <w:proofErr w:type="spellStart"/>
      <w:r w:rsidR="00D064FF">
        <w:rPr>
          <w:rFonts w:ascii="Times New Roman" w:eastAsia="Times New Roman" w:hAnsi="Times New Roman"/>
          <w:sz w:val="20"/>
          <w:szCs w:val="20"/>
        </w:rPr>
        <w:t>Andriole</w:t>
      </w:r>
      <w:proofErr w:type="spellEnd"/>
      <w:r w:rsidR="00D064FF">
        <w:rPr>
          <w:rFonts w:ascii="Times New Roman" w:eastAsia="Times New Roman" w:hAnsi="Times New Roman"/>
          <w:sz w:val="20"/>
          <w:szCs w:val="20"/>
        </w:rPr>
        <w:t xml:space="preserve"> GL. (</w:t>
      </w:r>
      <w:r w:rsidR="0086341D" w:rsidRPr="00D064FF">
        <w:rPr>
          <w:rFonts w:ascii="Times New Roman" w:eastAsia="Times New Roman" w:hAnsi="Times New Roman"/>
          <w:sz w:val="20"/>
          <w:szCs w:val="20"/>
        </w:rPr>
        <w:t>2000).</w:t>
      </w:r>
      <w:proofErr w:type="gramEnd"/>
      <w:r w:rsidR="00D064FF">
        <w:rPr>
          <w:rFonts w:ascii="Times New Roman" w:eastAsiaTheme="minorEastAsia" w:hAnsi="Times New Roman" w:hint="eastAsia"/>
          <w:sz w:val="20"/>
          <w:szCs w:val="20"/>
          <w:lang w:eastAsia="zh-CN"/>
        </w:rPr>
        <w:t xml:space="preserve"> </w:t>
      </w:r>
      <w:proofErr w:type="gramStart"/>
      <w:r w:rsidR="0086341D" w:rsidRPr="00D064FF">
        <w:rPr>
          <w:rFonts w:ascii="Times New Roman" w:eastAsia="Times New Roman" w:hAnsi="Times New Roman"/>
          <w:sz w:val="20"/>
          <w:szCs w:val="20"/>
        </w:rPr>
        <w:t>The natural history, skeletal complications, and management of bone metastases in patients with prostate carcinoma.</w:t>
      </w:r>
      <w:proofErr w:type="gramEnd"/>
      <w:r w:rsidR="0086341D" w:rsidRPr="00D064FF">
        <w:rPr>
          <w:rFonts w:ascii="Times New Roman" w:eastAsia="Times New Roman" w:hAnsi="Times New Roman"/>
          <w:sz w:val="20"/>
          <w:szCs w:val="20"/>
        </w:rPr>
        <w:t xml:space="preserve"> Cancer; 88: 2989-94.</w:t>
      </w:r>
    </w:p>
    <w:p w:rsidR="00C35D52" w:rsidRPr="00D064FF" w:rsidRDefault="00C35D52" w:rsidP="00C35D52">
      <w:pPr>
        <w:numPr>
          <w:ilvl w:val="0"/>
          <w:numId w:val="6"/>
        </w:numPr>
        <w:snapToGrid w:val="0"/>
        <w:spacing w:after="0" w:line="240" w:lineRule="auto"/>
        <w:jc w:val="both"/>
        <w:rPr>
          <w:rFonts w:ascii="Times New Roman" w:hAnsi="Times New Roman"/>
          <w:sz w:val="20"/>
          <w:szCs w:val="20"/>
        </w:rPr>
      </w:pPr>
      <w:r w:rsidRPr="00D064FF">
        <w:rPr>
          <w:rFonts w:ascii="Times New Roman" w:hAnsi="Times New Roman"/>
          <w:sz w:val="20"/>
          <w:szCs w:val="20"/>
        </w:rPr>
        <w:t>D</w:t>
      </w:r>
      <w:r w:rsidR="0086341D" w:rsidRPr="00D064FF">
        <w:rPr>
          <w:rFonts w:ascii="Times New Roman" w:hAnsi="Times New Roman"/>
          <w:sz w:val="20"/>
          <w:szCs w:val="20"/>
        </w:rPr>
        <w:t>.L.</w:t>
      </w:r>
      <w:r w:rsidR="00D064FF">
        <w:rPr>
          <w:rFonts w:ascii="Times New Roman" w:hAnsi="Times New Roman" w:hint="eastAsia"/>
          <w:sz w:val="20"/>
          <w:szCs w:val="20"/>
          <w:lang w:eastAsia="zh-CN"/>
        </w:rPr>
        <w:t xml:space="preserve"> </w:t>
      </w:r>
      <w:r w:rsidR="0086341D" w:rsidRPr="00D064FF">
        <w:rPr>
          <w:rFonts w:ascii="Times New Roman" w:hAnsi="Times New Roman"/>
          <w:sz w:val="20"/>
          <w:szCs w:val="20"/>
        </w:rPr>
        <w:t xml:space="preserve">Schaffer, H.P. Pendergrass. </w:t>
      </w:r>
      <w:proofErr w:type="gramStart"/>
      <w:r w:rsidR="0086341D" w:rsidRPr="00D064FF">
        <w:rPr>
          <w:rFonts w:ascii="Times New Roman" w:hAnsi="Times New Roman"/>
          <w:sz w:val="20"/>
          <w:szCs w:val="20"/>
        </w:rPr>
        <w:t>(1976). Comparison of enzyme, clinical, radiographic, and radionuclide methods of detecting bone metastases from carcinoma of the prostate.</w:t>
      </w:r>
      <w:proofErr w:type="gramEnd"/>
      <w:r w:rsidR="0086341D" w:rsidRPr="00D064FF">
        <w:rPr>
          <w:rFonts w:ascii="Times New Roman" w:hAnsi="Times New Roman"/>
          <w:sz w:val="20"/>
          <w:szCs w:val="20"/>
        </w:rPr>
        <w:t xml:space="preserve"> Radiology; 121: 431–434.</w:t>
      </w:r>
    </w:p>
    <w:p w:rsidR="00C35D52" w:rsidRPr="00D064FF" w:rsidRDefault="0086341D" w:rsidP="00C35D52">
      <w:pPr>
        <w:numPr>
          <w:ilvl w:val="0"/>
          <w:numId w:val="6"/>
        </w:numPr>
        <w:snapToGrid w:val="0"/>
        <w:spacing w:after="0" w:line="240" w:lineRule="auto"/>
        <w:jc w:val="both"/>
        <w:rPr>
          <w:rFonts w:ascii="Times New Roman" w:hAnsi="Times New Roman"/>
          <w:sz w:val="20"/>
          <w:szCs w:val="20"/>
        </w:rPr>
      </w:pPr>
      <w:proofErr w:type="spellStart"/>
      <w:r w:rsidRPr="00D064FF">
        <w:rPr>
          <w:rFonts w:ascii="Times New Roman" w:hAnsi="Times New Roman"/>
          <w:sz w:val="20"/>
          <w:szCs w:val="20"/>
        </w:rPr>
        <w:t>Thurairaja</w:t>
      </w:r>
      <w:proofErr w:type="spellEnd"/>
      <w:r w:rsidRPr="00D064FF">
        <w:rPr>
          <w:rFonts w:ascii="Times New Roman" w:hAnsi="Times New Roman"/>
          <w:sz w:val="20"/>
          <w:szCs w:val="20"/>
        </w:rPr>
        <w:t xml:space="preserve">, J. McFarlane, Z. </w:t>
      </w:r>
      <w:proofErr w:type="spellStart"/>
      <w:r w:rsidRPr="00D064FF">
        <w:rPr>
          <w:rFonts w:ascii="Times New Roman" w:hAnsi="Times New Roman"/>
          <w:sz w:val="20"/>
          <w:szCs w:val="20"/>
        </w:rPr>
        <w:t>Traill</w:t>
      </w:r>
      <w:proofErr w:type="spellEnd"/>
      <w:r w:rsidRPr="00D064FF">
        <w:rPr>
          <w:rFonts w:ascii="Times New Roman" w:hAnsi="Times New Roman"/>
          <w:sz w:val="20"/>
          <w:szCs w:val="20"/>
        </w:rPr>
        <w:t xml:space="preserve">, R. </w:t>
      </w:r>
      <w:proofErr w:type="spellStart"/>
      <w:r w:rsidRPr="00D064FF">
        <w:rPr>
          <w:rFonts w:ascii="Times New Roman" w:hAnsi="Times New Roman"/>
          <w:sz w:val="20"/>
          <w:szCs w:val="20"/>
        </w:rPr>
        <w:t>Persad</w:t>
      </w:r>
      <w:proofErr w:type="spellEnd"/>
      <w:r w:rsidRPr="00D064FF">
        <w:rPr>
          <w:rFonts w:ascii="Times New Roman" w:hAnsi="Times New Roman"/>
          <w:sz w:val="20"/>
          <w:szCs w:val="20"/>
        </w:rPr>
        <w:t xml:space="preserve">. (2004). State-of-the-art approaches to detecting early bone metastasis in prostate cancer. BJU </w:t>
      </w:r>
      <w:proofErr w:type="spellStart"/>
      <w:r w:rsidRPr="00D064FF">
        <w:rPr>
          <w:rFonts w:ascii="Times New Roman" w:hAnsi="Times New Roman"/>
          <w:sz w:val="20"/>
          <w:szCs w:val="20"/>
        </w:rPr>
        <w:t>Int</w:t>
      </w:r>
      <w:proofErr w:type="spellEnd"/>
      <w:r w:rsidRPr="00D064FF">
        <w:rPr>
          <w:rFonts w:ascii="Times New Roman" w:hAnsi="Times New Roman"/>
          <w:sz w:val="20"/>
          <w:szCs w:val="20"/>
        </w:rPr>
        <w:t>; 94: 268–271.</w:t>
      </w:r>
    </w:p>
    <w:p w:rsidR="00C35D52" w:rsidRPr="00D064FF" w:rsidRDefault="0086341D" w:rsidP="00C35D52">
      <w:pPr>
        <w:numPr>
          <w:ilvl w:val="0"/>
          <w:numId w:val="6"/>
        </w:numPr>
        <w:snapToGrid w:val="0"/>
        <w:spacing w:after="0" w:line="240" w:lineRule="auto"/>
        <w:jc w:val="both"/>
        <w:rPr>
          <w:rFonts w:ascii="Times New Roman" w:hAnsi="Times New Roman"/>
          <w:sz w:val="20"/>
          <w:szCs w:val="20"/>
        </w:rPr>
      </w:pPr>
      <w:proofErr w:type="spellStart"/>
      <w:r w:rsidRPr="00D064FF">
        <w:rPr>
          <w:rFonts w:ascii="Times New Roman" w:hAnsi="Times New Roman"/>
          <w:sz w:val="20"/>
          <w:szCs w:val="20"/>
        </w:rPr>
        <w:t>Gallina</w:t>
      </w:r>
      <w:proofErr w:type="spellEnd"/>
      <w:r w:rsidRPr="00D064FF">
        <w:rPr>
          <w:rFonts w:ascii="Times New Roman" w:hAnsi="Times New Roman"/>
          <w:sz w:val="20"/>
          <w:szCs w:val="20"/>
        </w:rPr>
        <w:t xml:space="preserve">, F.K. Chun, N. </w:t>
      </w:r>
      <w:proofErr w:type="spellStart"/>
      <w:r w:rsidRPr="00D064FF">
        <w:rPr>
          <w:rFonts w:ascii="Times New Roman" w:hAnsi="Times New Roman"/>
          <w:sz w:val="20"/>
          <w:szCs w:val="20"/>
        </w:rPr>
        <w:t>Suardi</w:t>
      </w:r>
      <w:proofErr w:type="spellEnd"/>
      <w:r w:rsidRPr="00D064FF">
        <w:rPr>
          <w:rFonts w:ascii="Times New Roman" w:hAnsi="Times New Roman"/>
          <w:sz w:val="20"/>
          <w:szCs w:val="20"/>
        </w:rPr>
        <w:t xml:space="preserve"> et al. (2008). Comparison of stage migration patterns between Europe and the USA: an analysis of 11 350 men treated with radical prostatectomy for prostate cancer. BJU </w:t>
      </w:r>
      <w:proofErr w:type="spellStart"/>
      <w:r w:rsidRPr="00D064FF">
        <w:rPr>
          <w:rFonts w:ascii="Times New Roman" w:hAnsi="Times New Roman"/>
          <w:sz w:val="20"/>
          <w:szCs w:val="20"/>
        </w:rPr>
        <w:t>Int</w:t>
      </w:r>
      <w:proofErr w:type="spellEnd"/>
      <w:r w:rsidRPr="00D064FF">
        <w:rPr>
          <w:rFonts w:ascii="Times New Roman" w:hAnsi="Times New Roman"/>
          <w:sz w:val="20"/>
          <w:szCs w:val="20"/>
        </w:rPr>
        <w:t>; 101: 1513–1518.</w:t>
      </w:r>
    </w:p>
    <w:p w:rsidR="00C35D52" w:rsidRPr="00D064FF" w:rsidRDefault="00C35D52" w:rsidP="00C35D52">
      <w:pPr>
        <w:numPr>
          <w:ilvl w:val="0"/>
          <w:numId w:val="6"/>
        </w:numPr>
        <w:snapToGrid w:val="0"/>
        <w:spacing w:after="0" w:line="240" w:lineRule="auto"/>
        <w:jc w:val="both"/>
        <w:rPr>
          <w:rFonts w:ascii="Times New Roman" w:hAnsi="Times New Roman"/>
          <w:sz w:val="20"/>
          <w:szCs w:val="20"/>
        </w:rPr>
      </w:pPr>
      <w:r w:rsidRPr="00D064FF">
        <w:rPr>
          <w:rFonts w:ascii="Times New Roman" w:hAnsi="Times New Roman"/>
          <w:sz w:val="20"/>
          <w:szCs w:val="20"/>
        </w:rPr>
        <w:t>C</w:t>
      </w:r>
      <w:r w:rsidR="0086341D" w:rsidRPr="00D064FF">
        <w:rPr>
          <w:rFonts w:ascii="Times New Roman" w:hAnsi="Times New Roman"/>
          <w:sz w:val="20"/>
          <w:szCs w:val="20"/>
        </w:rPr>
        <w:t xml:space="preserve">.J. Ryan, E.P. Elkin, E.J. Small, J. </w:t>
      </w:r>
      <w:proofErr w:type="spellStart"/>
      <w:r w:rsidR="0086341D" w:rsidRPr="00D064FF">
        <w:rPr>
          <w:rFonts w:ascii="Times New Roman" w:hAnsi="Times New Roman"/>
          <w:sz w:val="20"/>
          <w:szCs w:val="20"/>
        </w:rPr>
        <w:t>Duchane</w:t>
      </w:r>
      <w:proofErr w:type="spellEnd"/>
      <w:r w:rsidR="0086341D" w:rsidRPr="00D064FF">
        <w:rPr>
          <w:rFonts w:ascii="Times New Roman" w:hAnsi="Times New Roman"/>
          <w:sz w:val="20"/>
          <w:szCs w:val="20"/>
        </w:rPr>
        <w:t xml:space="preserve">, P. Carroll. (2006). </w:t>
      </w:r>
      <w:proofErr w:type="gramStart"/>
      <w:r w:rsidR="0086341D" w:rsidRPr="00D064FF">
        <w:rPr>
          <w:rFonts w:ascii="Times New Roman" w:hAnsi="Times New Roman"/>
          <w:sz w:val="20"/>
          <w:szCs w:val="20"/>
        </w:rPr>
        <w:t>Reduced</w:t>
      </w:r>
      <w:proofErr w:type="gramEnd"/>
      <w:r w:rsidR="0086341D" w:rsidRPr="00D064FF">
        <w:rPr>
          <w:rFonts w:ascii="Times New Roman" w:hAnsi="Times New Roman"/>
          <w:sz w:val="20"/>
          <w:szCs w:val="20"/>
        </w:rPr>
        <w:t xml:space="preserve"> incidence of bony metastasis at initial prostate cancer diagnosis: data from </w:t>
      </w:r>
      <w:proofErr w:type="spellStart"/>
      <w:r w:rsidR="0086341D" w:rsidRPr="00D064FF">
        <w:rPr>
          <w:rFonts w:ascii="Times New Roman" w:hAnsi="Times New Roman"/>
          <w:sz w:val="20"/>
          <w:szCs w:val="20"/>
        </w:rPr>
        <w:t>CaPSURE</w:t>
      </w:r>
      <w:proofErr w:type="spellEnd"/>
      <w:r w:rsidR="0086341D" w:rsidRPr="00D064FF">
        <w:rPr>
          <w:rFonts w:ascii="Times New Roman" w:hAnsi="Times New Roman"/>
          <w:sz w:val="20"/>
          <w:szCs w:val="20"/>
        </w:rPr>
        <w:t xml:space="preserve">. </w:t>
      </w:r>
      <w:proofErr w:type="spellStart"/>
      <w:r w:rsidR="0086341D" w:rsidRPr="00D064FF">
        <w:rPr>
          <w:rFonts w:ascii="Times New Roman" w:hAnsi="Times New Roman"/>
          <w:sz w:val="20"/>
          <w:szCs w:val="20"/>
        </w:rPr>
        <w:t>Urol</w:t>
      </w:r>
      <w:proofErr w:type="spellEnd"/>
      <w:r w:rsidR="0086341D" w:rsidRPr="00D064FF">
        <w:rPr>
          <w:rFonts w:ascii="Times New Roman" w:hAnsi="Times New Roman"/>
          <w:sz w:val="20"/>
          <w:szCs w:val="20"/>
        </w:rPr>
        <w:t xml:space="preserve"> </w:t>
      </w:r>
      <w:proofErr w:type="spellStart"/>
      <w:r w:rsidR="0086341D" w:rsidRPr="00D064FF">
        <w:rPr>
          <w:rFonts w:ascii="Times New Roman" w:hAnsi="Times New Roman"/>
          <w:sz w:val="20"/>
          <w:szCs w:val="20"/>
        </w:rPr>
        <w:t>Oncol</w:t>
      </w:r>
      <w:proofErr w:type="spellEnd"/>
      <w:r w:rsidR="0086341D" w:rsidRPr="00D064FF">
        <w:rPr>
          <w:rFonts w:ascii="Times New Roman" w:hAnsi="Times New Roman"/>
          <w:sz w:val="20"/>
          <w:szCs w:val="20"/>
        </w:rPr>
        <w:t>; 24: 396–402.</w:t>
      </w:r>
    </w:p>
    <w:p w:rsidR="00C35D52" w:rsidRPr="00D064FF" w:rsidRDefault="00C35D52" w:rsidP="00C35D52">
      <w:pPr>
        <w:numPr>
          <w:ilvl w:val="0"/>
          <w:numId w:val="6"/>
        </w:numPr>
        <w:snapToGrid w:val="0"/>
        <w:spacing w:after="0" w:line="240" w:lineRule="auto"/>
        <w:jc w:val="both"/>
        <w:rPr>
          <w:rFonts w:ascii="Times New Roman" w:hAnsi="Times New Roman"/>
          <w:sz w:val="20"/>
          <w:szCs w:val="20"/>
        </w:rPr>
      </w:pPr>
      <w:r w:rsidRPr="00D064FF">
        <w:rPr>
          <w:rFonts w:ascii="Times New Roman" w:hAnsi="Times New Roman"/>
          <w:sz w:val="20"/>
          <w:szCs w:val="20"/>
        </w:rPr>
        <w:t>N</w:t>
      </w:r>
      <w:r w:rsidR="0086341D" w:rsidRPr="00D064FF">
        <w:rPr>
          <w:rFonts w:ascii="Times New Roman" w:hAnsi="Times New Roman"/>
          <w:sz w:val="20"/>
          <w:szCs w:val="20"/>
        </w:rPr>
        <w:t xml:space="preserve">. Lee, R. </w:t>
      </w:r>
      <w:proofErr w:type="spellStart"/>
      <w:r w:rsidR="0086341D" w:rsidRPr="00D064FF">
        <w:rPr>
          <w:rFonts w:ascii="Times New Roman" w:hAnsi="Times New Roman"/>
          <w:sz w:val="20"/>
          <w:szCs w:val="20"/>
        </w:rPr>
        <w:t>Fawaaz</w:t>
      </w:r>
      <w:proofErr w:type="spellEnd"/>
      <w:r w:rsidR="0086341D" w:rsidRPr="00D064FF">
        <w:rPr>
          <w:rFonts w:ascii="Times New Roman" w:hAnsi="Times New Roman"/>
          <w:sz w:val="20"/>
          <w:szCs w:val="20"/>
        </w:rPr>
        <w:t xml:space="preserve">, C.A. Olsson et al. (2000). Which patients with newly diagnosed prostate cancer need a radionuclide bone scan? An analysis based on 631 patients. </w:t>
      </w:r>
      <w:proofErr w:type="spellStart"/>
      <w:r w:rsidR="0086341D" w:rsidRPr="00D064FF">
        <w:rPr>
          <w:rFonts w:ascii="Times New Roman" w:hAnsi="Times New Roman"/>
          <w:sz w:val="20"/>
          <w:szCs w:val="20"/>
        </w:rPr>
        <w:t>Int</w:t>
      </w:r>
      <w:proofErr w:type="spellEnd"/>
      <w:r w:rsidR="0086341D" w:rsidRPr="00D064FF">
        <w:rPr>
          <w:rFonts w:ascii="Times New Roman" w:hAnsi="Times New Roman"/>
          <w:sz w:val="20"/>
          <w:szCs w:val="20"/>
        </w:rPr>
        <w:t xml:space="preserve"> J </w:t>
      </w:r>
      <w:proofErr w:type="spellStart"/>
      <w:r w:rsidR="0086341D" w:rsidRPr="00D064FF">
        <w:rPr>
          <w:rFonts w:ascii="Times New Roman" w:hAnsi="Times New Roman"/>
          <w:sz w:val="20"/>
          <w:szCs w:val="20"/>
        </w:rPr>
        <w:t>Radiat</w:t>
      </w:r>
      <w:proofErr w:type="spellEnd"/>
      <w:r w:rsidR="0086341D" w:rsidRPr="00D064FF">
        <w:rPr>
          <w:rFonts w:ascii="Times New Roman" w:hAnsi="Times New Roman"/>
          <w:sz w:val="20"/>
          <w:szCs w:val="20"/>
        </w:rPr>
        <w:t xml:space="preserve"> </w:t>
      </w:r>
      <w:proofErr w:type="spellStart"/>
      <w:r w:rsidR="0086341D" w:rsidRPr="00D064FF">
        <w:rPr>
          <w:rFonts w:ascii="Times New Roman" w:hAnsi="Times New Roman"/>
          <w:sz w:val="20"/>
          <w:szCs w:val="20"/>
        </w:rPr>
        <w:t>Oncol</w:t>
      </w:r>
      <w:proofErr w:type="spellEnd"/>
      <w:r w:rsidR="0086341D" w:rsidRPr="00D064FF">
        <w:rPr>
          <w:rFonts w:ascii="Times New Roman" w:hAnsi="Times New Roman"/>
          <w:sz w:val="20"/>
          <w:szCs w:val="20"/>
        </w:rPr>
        <w:t xml:space="preserve"> </w:t>
      </w:r>
      <w:proofErr w:type="spellStart"/>
      <w:r w:rsidR="0086341D" w:rsidRPr="00D064FF">
        <w:rPr>
          <w:rFonts w:ascii="Times New Roman" w:hAnsi="Times New Roman"/>
          <w:sz w:val="20"/>
          <w:szCs w:val="20"/>
        </w:rPr>
        <w:t>Biol</w:t>
      </w:r>
      <w:proofErr w:type="spellEnd"/>
      <w:r w:rsidR="0086341D" w:rsidRPr="00D064FF">
        <w:rPr>
          <w:rFonts w:ascii="Times New Roman" w:hAnsi="Times New Roman"/>
          <w:sz w:val="20"/>
          <w:szCs w:val="20"/>
        </w:rPr>
        <w:t xml:space="preserve"> Phys; 48: 1443–1446.</w:t>
      </w:r>
    </w:p>
    <w:p w:rsidR="00C35D52" w:rsidRPr="00D064FF" w:rsidRDefault="0086341D" w:rsidP="00C35D52">
      <w:pPr>
        <w:numPr>
          <w:ilvl w:val="0"/>
          <w:numId w:val="6"/>
        </w:numPr>
        <w:snapToGrid w:val="0"/>
        <w:spacing w:after="0" w:line="240" w:lineRule="auto"/>
        <w:jc w:val="both"/>
        <w:rPr>
          <w:rFonts w:ascii="Times New Roman" w:hAnsi="Times New Roman"/>
          <w:sz w:val="20"/>
          <w:szCs w:val="20"/>
        </w:rPr>
      </w:pPr>
      <w:proofErr w:type="spellStart"/>
      <w:r w:rsidRPr="00D064FF">
        <w:rPr>
          <w:rFonts w:ascii="Times New Roman" w:hAnsi="Times New Roman"/>
          <w:sz w:val="20"/>
          <w:szCs w:val="20"/>
        </w:rPr>
        <w:t>Ataus</w:t>
      </w:r>
      <w:proofErr w:type="spellEnd"/>
      <w:r w:rsidRPr="00D064FF">
        <w:rPr>
          <w:rFonts w:ascii="Times New Roman" w:hAnsi="Times New Roman"/>
          <w:sz w:val="20"/>
          <w:szCs w:val="20"/>
        </w:rPr>
        <w:t xml:space="preserve">, A. </w:t>
      </w:r>
      <w:proofErr w:type="spellStart"/>
      <w:r w:rsidRPr="00D064FF">
        <w:rPr>
          <w:rFonts w:ascii="Times New Roman" w:hAnsi="Times New Roman"/>
          <w:sz w:val="20"/>
          <w:szCs w:val="20"/>
        </w:rPr>
        <w:t>Citçi</w:t>
      </w:r>
      <w:proofErr w:type="spellEnd"/>
      <w:r w:rsidRPr="00D064FF">
        <w:rPr>
          <w:rFonts w:ascii="Times New Roman" w:hAnsi="Times New Roman"/>
          <w:sz w:val="20"/>
          <w:szCs w:val="20"/>
        </w:rPr>
        <w:t xml:space="preserve">, B. </w:t>
      </w:r>
      <w:proofErr w:type="spellStart"/>
      <w:r w:rsidRPr="00D064FF">
        <w:rPr>
          <w:rFonts w:ascii="Times New Roman" w:hAnsi="Times New Roman"/>
          <w:sz w:val="20"/>
          <w:szCs w:val="20"/>
        </w:rPr>
        <w:t>Alici</w:t>
      </w:r>
      <w:proofErr w:type="spellEnd"/>
      <w:r w:rsidRPr="00D064FF">
        <w:rPr>
          <w:rFonts w:ascii="Times New Roman" w:hAnsi="Times New Roman"/>
          <w:sz w:val="20"/>
          <w:szCs w:val="20"/>
        </w:rPr>
        <w:t xml:space="preserve"> et al. (1999). The value of serum prostate specific antigen and other parameters in detecting bone metastases in prostate cancer. </w:t>
      </w:r>
      <w:proofErr w:type="spellStart"/>
      <w:r w:rsidRPr="00D064FF">
        <w:rPr>
          <w:rFonts w:ascii="Times New Roman" w:hAnsi="Times New Roman"/>
          <w:sz w:val="20"/>
          <w:szCs w:val="20"/>
        </w:rPr>
        <w:t>Int</w:t>
      </w:r>
      <w:proofErr w:type="spellEnd"/>
      <w:r w:rsidRPr="00D064FF">
        <w:rPr>
          <w:rFonts w:ascii="Times New Roman" w:hAnsi="Times New Roman"/>
          <w:sz w:val="20"/>
          <w:szCs w:val="20"/>
        </w:rPr>
        <w:t xml:space="preserve"> </w:t>
      </w:r>
      <w:proofErr w:type="spellStart"/>
      <w:r w:rsidRPr="00D064FF">
        <w:rPr>
          <w:rFonts w:ascii="Times New Roman" w:hAnsi="Times New Roman"/>
          <w:sz w:val="20"/>
          <w:szCs w:val="20"/>
        </w:rPr>
        <w:t>Urol</w:t>
      </w:r>
      <w:proofErr w:type="spellEnd"/>
      <w:r w:rsidRPr="00D064FF">
        <w:rPr>
          <w:rFonts w:ascii="Times New Roman" w:hAnsi="Times New Roman"/>
          <w:sz w:val="20"/>
          <w:szCs w:val="20"/>
        </w:rPr>
        <w:t xml:space="preserve"> </w:t>
      </w:r>
      <w:proofErr w:type="spellStart"/>
      <w:r w:rsidRPr="00D064FF">
        <w:rPr>
          <w:rFonts w:ascii="Times New Roman" w:hAnsi="Times New Roman"/>
          <w:sz w:val="20"/>
          <w:szCs w:val="20"/>
        </w:rPr>
        <w:t>Nephrol</w:t>
      </w:r>
      <w:proofErr w:type="spellEnd"/>
      <w:r w:rsidRPr="00D064FF">
        <w:rPr>
          <w:rFonts w:ascii="Times New Roman" w:hAnsi="Times New Roman"/>
          <w:sz w:val="20"/>
          <w:szCs w:val="20"/>
        </w:rPr>
        <w:t>; 31: 481–489.</w:t>
      </w:r>
    </w:p>
    <w:p w:rsidR="00C35D52" w:rsidRPr="00D064FF" w:rsidRDefault="00C35D52" w:rsidP="00C35D52">
      <w:pPr>
        <w:numPr>
          <w:ilvl w:val="0"/>
          <w:numId w:val="6"/>
        </w:numPr>
        <w:snapToGrid w:val="0"/>
        <w:spacing w:after="0" w:line="240" w:lineRule="auto"/>
        <w:jc w:val="both"/>
        <w:rPr>
          <w:rFonts w:ascii="Times New Roman" w:hAnsi="Times New Roman"/>
          <w:sz w:val="20"/>
          <w:szCs w:val="20"/>
        </w:rPr>
      </w:pPr>
      <w:proofErr w:type="gramStart"/>
      <w:r w:rsidRPr="00D064FF">
        <w:rPr>
          <w:rFonts w:ascii="Times New Roman" w:hAnsi="Times New Roman"/>
          <w:sz w:val="20"/>
          <w:szCs w:val="20"/>
        </w:rPr>
        <w:t>M</w:t>
      </w:r>
      <w:r w:rsidR="0086341D" w:rsidRPr="00D064FF">
        <w:rPr>
          <w:rFonts w:ascii="Times New Roman" w:hAnsi="Times New Roman"/>
          <w:sz w:val="20"/>
          <w:szCs w:val="20"/>
        </w:rPr>
        <w:t xml:space="preserve">.E. </w:t>
      </w:r>
      <w:proofErr w:type="spellStart"/>
      <w:r w:rsidR="0086341D" w:rsidRPr="00D064FF">
        <w:rPr>
          <w:rFonts w:ascii="Times New Roman" w:hAnsi="Times New Roman"/>
          <w:sz w:val="20"/>
          <w:szCs w:val="20"/>
        </w:rPr>
        <w:t>Gleave</w:t>
      </w:r>
      <w:proofErr w:type="spellEnd"/>
      <w:r w:rsidR="0086341D" w:rsidRPr="00D064FF">
        <w:rPr>
          <w:rFonts w:ascii="Times New Roman" w:hAnsi="Times New Roman"/>
          <w:sz w:val="20"/>
          <w:szCs w:val="20"/>
        </w:rPr>
        <w:t xml:space="preserve">, D. </w:t>
      </w:r>
      <w:proofErr w:type="spellStart"/>
      <w:r w:rsidR="0086341D" w:rsidRPr="00D064FF">
        <w:rPr>
          <w:rFonts w:ascii="Times New Roman" w:hAnsi="Times New Roman"/>
          <w:sz w:val="20"/>
          <w:szCs w:val="20"/>
        </w:rPr>
        <w:t>Coupland</w:t>
      </w:r>
      <w:proofErr w:type="spellEnd"/>
      <w:r w:rsidR="0086341D" w:rsidRPr="00D064FF">
        <w:rPr>
          <w:rFonts w:ascii="Times New Roman" w:hAnsi="Times New Roman"/>
          <w:sz w:val="20"/>
          <w:szCs w:val="20"/>
        </w:rPr>
        <w:t xml:space="preserve">, D. </w:t>
      </w:r>
      <w:proofErr w:type="spellStart"/>
      <w:r w:rsidR="0086341D" w:rsidRPr="00D064FF">
        <w:rPr>
          <w:rFonts w:ascii="Times New Roman" w:hAnsi="Times New Roman"/>
          <w:sz w:val="20"/>
          <w:szCs w:val="20"/>
        </w:rPr>
        <w:t>Drachenberg</w:t>
      </w:r>
      <w:proofErr w:type="spellEnd"/>
      <w:r w:rsidR="0086341D" w:rsidRPr="00D064FF">
        <w:rPr>
          <w:rFonts w:ascii="Times New Roman" w:hAnsi="Times New Roman"/>
          <w:sz w:val="20"/>
          <w:szCs w:val="20"/>
        </w:rPr>
        <w:t xml:space="preserve"> et al. (1996).</w:t>
      </w:r>
      <w:proofErr w:type="gramEnd"/>
      <w:r w:rsidR="0086341D" w:rsidRPr="00D064FF">
        <w:rPr>
          <w:rFonts w:ascii="Times New Roman" w:hAnsi="Times New Roman"/>
          <w:sz w:val="20"/>
          <w:szCs w:val="20"/>
        </w:rPr>
        <w:t xml:space="preserve"> Ability of serum prostate-specific antigen levels to predict normal bone scans in patients with newly diagnosed prostate cancer. Urology; 47: 708–712.</w:t>
      </w:r>
    </w:p>
    <w:p w:rsidR="00C35D52" w:rsidRPr="00D064FF" w:rsidRDefault="0086341D" w:rsidP="00C35D52">
      <w:pPr>
        <w:numPr>
          <w:ilvl w:val="0"/>
          <w:numId w:val="6"/>
        </w:numPr>
        <w:snapToGrid w:val="0"/>
        <w:spacing w:after="0" w:line="240" w:lineRule="auto"/>
        <w:jc w:val="both"/>
        <w:rPr>
          <w:rFonts w:ascii="Times New Roman" w:hAnsi="Times New Roman"/>
          <w:sz w:val="20"/>
          <w:szCs w:val="20"/>
        </w:rPr>
      </w:pPr>
      <w:r w:rsidRPr="00D064FF">
        <w:rPr>
          <w:rFonts w:ascii="Times New Roman" w:hAnsi="Times New Roman"/>
          <w:sz w:val="20"/>
          <w:szCs w:val="20"/>
        </w:rPr>
        <w:t xml:space="preserve">Thompson, J.B. Thrasher, G. Aus et al. (2007). Guideline for the management of clinically localized prostate cancer. J </w:t>
      </w:r>
      <w:proofErr w:type="spellStart"/>
      <w:r w:rsidRPr="00D064FF">
        <w:rPr>
          <w:rFonts w:ascii="Times New Roman" w:hAnsi="Times New Roman"/>
          <w:sz w:val="20"/>
          <w:szCs w:val="20"/>
        </w:rPr>
        <w:t>Urol</w:t>
      </w:r>
      <w:proofErr w:type="spellEnd"/>
      <w:r w:rsidRPr="00D064FF">
        <w:rPr>
          <w:rFonts w:ascii="Times New Roman" w:hAnsi="Times New Roman"/>
          <w:sz w:val="20"/>
          <w:szCs w:val="20"/>
        </w:rPr>
        <w:t>; 177: 2106–2131.</w:t>
      </w:r>
    </w:p>
    <w:p w:rsidR="00C35D52" w:rsidRPr="00D064FF" w:rsidRDefault="00C35D52" w:rsidP="00C35D52">
      <w:pPr>
        <w:numPr>
          <w:ilvl w:val="0"/>
          <w:numId w:val="6"/>
        </w:numPr>
        <w:snapToGrid w:val="0"/>
        <w:spacing w:after="0" w:line="240" w:lineRule="auto"/>
        <w:jc w:val="both"/>
        <w:rPr>
          <w:rFonts w:ascii="Times New Roman" w:hAnsi="Times New Roman"/>
          <w:sz w:val="20"/>
          <w:szCs w:val="20"/>
        </w:rPr>
      </w:pPr>
      <w:proofErr w:type="gramStart"/>
      <w:r w:rsidRPr="00D064FF">
        <w:rPr>
          <w:rFonts w:ascii="Times New Roman" w:hAnsi="Times New Roman"/>
          <w:sz w:val="20"/>
          <w:szCs w:val="20"/>
        </w:rPr>
        <w:t>C</w:t>
      </w:r>
      <w:r w:rsidR="0086341D" w:rsidRPr="00D064FF">
        <w:rPr>
          <w:rFonts w:ascii="Times New Roman" w:hAnsi="Times New Roman"/>
          <w:sz w:val="20"/>
          <w:szCs w:val="20"/>
        </w:rPr>
        <w:t>linical recommendations.</w:t>
      </w:r>
      <w:proofErr w:type="gramEnd"/>
      <w:r w:rsidR="0086341D" w:rsidRPr="00D064FF">
        <w:rPr>
          <w:rFonts w:ascii="Times New Roman" w:hAnsi="Times New Roman"/>
          <w:sz w:val="20"/>
          <w:szCs w:val="20"/>
        </w:rPr>
        <w:t xml:space="preserve"> </w:t>
      </w:r>
      <w:proofErr w:type="gramStart"/>
      <w:r w:rsidR="0086341D" w:rsidRPr="00D064FF">
        <w:rPr>
          <w:rFonts w:ascii="Times New Roman" w:hAnsi="Times New Roman"/>
          <w:sz w:val="20"/>
          <w:szCs w:val="20"/>
        </w:rPr>
        <w:t>National Comprehensive Cancer Network Web site.</w:t>
      </w:r>
      <w:proofErr w:type="gramEnd"/>
      <w:r w:rsidR="0086341D" w:rsidRPr="00D064FF">
        <w:rPr>
          <w:rFonts w:ascii="Times New Roman" w:hAnsi="Times New Roman"/>
          <w:sz w:val="20"/>
          <w:szCs w:val="20"/>
        </w:rPr>
        <w:t xml:space="preserve"> http://www.nccn.org/professionals/physician_gls/f_guidelines.asp.</w:t>
      </w:r>
    </w:p>
    <w:p w:rsidR="00C35D52" w:rsidRPr="00D064FF" w:rsidRDefault="00C35D52" w:rsidP="00C35D52">
      <w:pPr>
        <w:numPr>
          <w:ilvl w:val="0"/>
          <w:numId w:val="6"/>
        </w:numPr>
        <w:snapToGrid w:val="0"/>
        <w:spacing w:after="0" w:line="240" w:lineRule="auto"/>
        <w:jc w:val="both"/>
        <w:rPr>
          <w:rFonts w:ascii="Times New Roman" w:hAnsi="Times New Roman"/>
          <w:sz w:val="20"/>
          <w:szCs w:val="20"/>
        </w:rPr>
      </w:pPr>
      <w:r w:rsidRPr="00D064FF">
        <w:rPr>
          <w:rFonts w:ascii="Times New Roman" w:hAnsi="Times New Roman"/>
          <w:sz w:val="20"/>
          <w:szCs w:val="20"/>
        </w:rPr>
        <w:t>F</w:t>
      </w:r>
      <w:r w:rsidR="0086341D" w:rsidRPr="00D064FF">
        <w:rPr>
          <w:rFonts w:ascii="Times New Roman" w:hAnsi="Times New Roman"/>
          <w:sz w:val="20"/>
          <w:szCs w:val="20"/>
        </w:rPr>
        <w:t xml:space="preserve">.L. Greene, D.L. Page, I.D. Fleming, et al (Eds.). (2002). American Joint Committee on </w:t>
      </w:r>
      <w:r w:rsidR="0086341D" w:rsidRPr="00D064FF">
        <w:rPr>
          <w:rFonts w:ascii="Times New Roman" w:hAnsi="Times New Roman"/>
          <w:sz w:val="20"/>
          <w:szCs w:val="20"/>
        </w:rPr>
        <w:lastRenderedPageBreak/>
        <w:t>Cancer staging manual (6th ed.), Springer-</w:t>
      </w:r>
      <w:proofErr w:type="spellStart"/>
      <w:r w:rsidR="0086341D" w:rsidRPr="00D064FF">
        <w:rPr>
          <w:rFonts w:ascii="Times New Roman" w:hAnsi="Times New Roman"/>
          <w:sz w:val="20"/>
          <w:szCs w:val="20"/>
        </w:rPr>
        <w:t>Verlag</w:t>
      </w:r>
      <w:proofErr w:type="spellEnd"/>
      <w:r w:rsidR="0086341D" w:rsidRPr="00D064FF">
        <w:rPr>
          <w:rFonts w:ascii="Times New Roman" w:hAnsi="Times New Roman"/>
          <w:sz w:val="20"/>
          <w:szCs w:val="20"/>
        </w:rPr>
        <w:t xml:space="preserve">, </w:t>
      </w:r>
      <w:proofErr w:type="gramStart"/>
      <w:r w:rsidR="0086341D" w:rsidRPr="00D064FF">
        <w:rPr>
          <w:rFonts w:ascii="Times New Roman" w:hAnsi="Times New Roman"/>
          <w:sz w:val="20"/>
          <w:szCs w:val="20"/>
        </w:rPr>
        <w:t>New-York</w:t>
      </w:r>
      <w:proofErr w:type="gramEnd"/>
      <w:r w:rsidR="0086341D" w:rsidRPr="00D064FF">
        <w:rPr>
          <w:rFonts w:ascii="Times New Roman" w:hAnsi="Times New Roman"/>
          <w:sz w:val="20"/>
          <w:szCs w:val="20"/>
        </w:rPr>
        <w:t xml:space="preserve">. </w:t>
      </w:r>
      <w:proofErr w:type="gramStart"/>
      <w:r w:rsidR="0086341D" w:rsidRPr="00D064FF">
        <w:rPr>
          <w:rFonts w:ascii="Times New Roman" w:hAnsi="Times New Roman"/>
          <w:sz w:val="20"/>
          <w:szCs w:val="20"/>
        </w:rPr>
        <w:t>P 91.</w:t>
      </w:r>
      <w:proofErr w:type="gramEnd"/>
    </w:p>
    <w:p w:rsidR="00C35D52" w:rsidRPr="00D064FF" w:rsidRDefault="00C35D52" w:rsidP="00C35D52">
      <w:pPr>
        <w:numPr>
          <w:ilvl w:val="0"/>
          <w:numId w:val="6"/>
        </w:numPr>
        <w:snapToGrid w:val="0"/>
        <w:spacing w:after="0" w:line="240" w:lineRule="auto"/>
        <w:jc w:val="both"/>
        <w:rPr>
          <w:rFonts w:ascii="Times New Roman" w:hAnsi="Times New Roman"/>
          <w:sz w:val="20"/>
          <w:szCs w:val="20"/>
        </w:rPr>
      </w:pPr>
      <w:r w:rsidRPr="00D064FF">
        <w:rPr>
          <w:rFonts w:ascii="Times New Roman" w:hAnsi="Times New Roman"/>
          <w:sz w:val="20"/>
          <w:szCs w:val="20"/>
        </w:rPr>
        <w:t>D</w:t>
      </w:r>
      <w:r w:rsidR="00C46AE4" w:rsidRPr="00D064FF">
        <w:rPr>
          <w:rFonts w:ascii="Times New Roman" w:hAnsi="Times New Roman"/>
          <w:sz w:val="20"/>
          <w:szCs w:val="20"/>
        </w:rPr>
        <w:t xml:space="preserve">’Amico AV, Whittington R, </w:t>
      </w:r>
      <w:proofErr w:type="spellStart"/>
      <w:r w:rsidR="00C46AE4" w:rsidRPr="00D064FF">
        <w:rPr>
          <w:rFonts w:ascii="Times New Roman" w:hAnsi="Times New Roman"/>
          <w:sz w:val="20"/>
          <w:szCs w:val="20"/>
        </w:rPr>
        <w:t>Malkowicz</w:t>
      </w:r>
      <w:proofErr w:type="spellEnd"/>
      <w:r w:rsidR="00C46AE4" w:rsidRPr="00D064FF">
        <w:rPr>
          <w:rFonts w:ascii="Times New Roman" w:hAnsi="Times New Roman"/>
          <w:sz w:val="20"/>
          <w:szCs w:val="20"/>
        </w:rPr>
        <w:t xml:space="preserve"> SB, et al. Biochemical outcome after radical prostatectomy, external beam radiation therapy, or interstitial radiation therapy for clinically localized prostate cancer.</w:t>
      </w:r>
      <w:r w:rsidR="00D064FF">
        <w:rPr>
          <w:rFonts w:ascii="Times New Roman" w:hAnsi="Times New Roman" w:hint="eastAsia"/>
          <w:sz w:val="20"/>
          <w:szCs w:val="20"/>
          <w:lang w:eastAsia="zh-CN"/>
        </w:rPr>
        <w:t xml:space="preserve"> </w:t>
      </w:r>
      <w:proofErr w:type="gramStart"/>
      <w:r w:rsidR="00C46AE4" w:rsidRPr="00D064FF">
        <w:rPr>
          <w:rFonts w:ascii="Times New Roman" w:hAnsi="Times New Roman"/>
          <w:sz w:val="20"/>
          <w:szCs w:val="20"/>
        </w:rPr>
        <w:t>JAMA.</w:t>
      </w:r>
      <w:proofErr w:type="gramEnd"/>
      <w:r w:rsidR="00D064FF">
        <w:rPr>
          <w:rFonts w:ascii="Times New Roman" w:hAnsi="Times New Roman" w:hint="eastAsia"/>
          <w:sz w:val="20"/>
          <w:szCs w:val="20"/>
          <w:lang w:eastAsia="zh-CN"/>
        </w:rPr>
        <w:t xml:space="preserve"> </w:t>
      </w:r>
      <w:r w:rsidR="00C46AE4" w:rsidRPr="00D064FF">
        <w:rPr>
          <w:rFonts w:ascii="Times New Roman" w:hAnsi="Times New Roman"/>
          <w:sz w:val="20"/>
          <w:szCs w:val="20"/>
        </w:rPr>
        <w:t>1998</w:t>
      </w:r>
      <w:proofErr w:type="gramStart"/>
      <w:r w:rsidR="00C46AE4" w:rsidRPr="00D064FF">
        <w:rPr>
          <w:rFonts w:ascii="Times New Roman" w:hAnsi="Times New Roman"/>
          <w:sz w:val="20"/>
          <w:szCs w:val="20"/>
        </w:rPr>
        <w:t>;280:969</w:t>
      </w:r>
      <w:proofErr w:type="gramEnd"/>
      <w:r w:rsidR="00C46AE4" w:rsidRPr="00D064FF">
        <w:rPr>
          <w:rFonts w:ascii="Times New Roman" w:hAnsi="Times New Roman"/>
          <w:sz w:val="20"/>
          <w:szCs w:val="20"/>
        </w:rPr>
        <w:t>–74.</w:t>
      </w:r>
    </w:p>
    <w:p w:rsidR="00C35D52" w:rsidRPr="00D064FF" w:rsidRDefault="00C35D52" w:rsidP="00C35D52">
      <w:pPr>
        <w:numPr>
          <w:ilvl w:val="0"/>
          <w:numId w:val="6"/>
        </w:numPr>
        <w:snapToGrid w:val="0"/>
        <w:spacing w:after="0" w:line="240" w:lineRule="auto"/>
        <w:jc w:val="both"/>
        <w:rPr>
          <w:rFonts w:ascii="Times New Roman" w:hAnsi="Times New Roman"/>
          <w:sz w:val="20"/>
          <w:szCs w:val="20"/>
        </w:rPr>
      </w:pPr>
      <w:proofErr w:type="spellStart"/>
      <w:r w:rsidRPr="00D064FF">
        <w:rPr>
          <w:rFonts w:ascii="Times New Roman" w:eastAsia="Times New Roman" w:hAnsi="Times New Roman"/>
          <w:sz w:val="20"/>
          <w:szCs w:val="20"/>
        </w:rPr>
        <w:t>H</w:t>
      </w:r>
      <w:r w:rsidR="0086341D" w:rsidRPr="00D064FF">
        <w:rPr>
          <w:rFonts w:ascii="Times New Roman" w:eastAsia="Times New Roman" w:hAnsi="Times New Roman"/>
          <w:sz w:val="20"/>
          <w:szCs w:val="20"/>
        </w:rPr>
        <w:t>sing</w:t>
      </w:r>
      <w:proofErr w:type="spellEnd"/>
      <w:r w:rsidR="0086341D" w:rsidRPr="00D064FF">
        <w:rPr>
          <w:rFonts w:ascii="Times New Roman" w:eastAsia="Times New Roman" w:hAnsi="Times New Roman"/>
          <w:sz w:val="20"/>
          <w:szCs w:val="20"/>
        </w:rPr>
        <w:t xml:space="preserve"> AW, </w:t>
      </w:r>
      <w:proofErr w:type="spellStart"/>
      <w:r w:rsidR="0086341D" w:rsidRPr="00D064FF">
        <w:rPr>
          <w:rFonts w:ascii="Times New Roman" w:eastAsia="Times New Roman" w:hAnsi="Times New Roman"/>
          <w:sz w:val="20"/>
          <w:szCs w:val="20"/>
        </w:rPr>
        <w:t>Devesa</w:t>
      </w:r>
      <w:proofErr w:type="spellEnd"/>
      <w:r w:rsidR="0086341D" w:rsidRPr="00D064FF">
        <w:rPr>
          <w:rFonts w:ascii="Times New Roman" w:eastAsia="Times New Roman" w:hAnsi="Times New Roman"/>
          <w:sz w:val="20"/>
          <w:szCs w:val="20"/>
        </w:rPr>
        <w:t xml:space="preserve"> SS. (2001).</w:t>
      </w:r>
      <w:r w:rsidR="00D064FF">
        <w:rPr>
          <w:rFonts w:ascii="Times New Roman" w:eastAsiaTheme="minorEastAsia" w:hAnsi="Times New Roman" w:hint="eastAsia"/>
          <w:sz w:val="20"/>
          <w:szCs w:val="20"/>
          <w:lang w:eastAsia="zh-CN"/>
        </w:rPr>
        <w:t xml:space="preserve"> </w:t>
      </w:r>
      <w:r w:rsidR="0086341D" w:rsidRPr="00D064FF">
        <w:rPr>
          <w:rFonts w:ascii="Times New Roman" w:eastAsia="Times New Roman" w:hAnsi="Times New Roman"/>
          <w:sz w:val="20"/>
          <w:szCs w:val="20"/>
        </w:rPr>
        <w:t xml:space="preserve">Trends and patterns of prostate cancer: what do they suggest? </w:t>
      </w:r>
      <w:r w:rsidR="0086341D" w:rsidRPr="00D064FF">
        <w:rPr>
          <w:rFonts w:ascii="Times New Roman" w:hAnsi="Times New Roman"/>
          <w:sz w:val="20"/>
          <w:szCs w:val="20"/>
        </w:rPr>
        <w:t>Epidemiologic Reviews</w:t>
      </w:r>
      <w:r w:rsidR="0086341D" w:rsidRPr="00D064FF">
        <w:rPr>
          <w:rFonts w:ascii="Times New Roman" w:eastAsia="Times New Roman" w:hAnsi="Times New Roman"/>
          <w:sz w:val="20"/>
          <w:szCs w:val="20"/>
        </w:rPr>
        <w:t>; 23(1): 3–13.</w:t>
      </w:r>
    </w:p>
    <w:p w:rsidR="00C35D52" w:rsidRPr="00D064FF" w:rsidRDefault="00C35D52" w:rsidP="00C35D52">
      <w:pPr>
        <w:numPr>
          <w:ilvl w:val="0"/>
          <w:numId w:val="6"/>
        </w:numPr>
        <w:snapToGrid w:val="0"/>
        <w:spacing w:after="0" w:line="240" w:lineRule="auto"/>
        <w:jc w:val="both"/>
        <w:rPr>
          <w:rFonts w:ascii="Times New Roman" w:eastAsia="Times New Roman" w:hAnsi="Times New Roman"/>
          <w:sz w:val="20"/>
          <w:szCs w:val="20"/>
        </w:rPr>
      </w:pPr>
      <w:proofErr w:type="spellStart"/>
      <w:proofErr w:type="gramStart"/>
      <w:r w:rsidRPr="00D064FF">
        <w:rPr>
          <w:rFonts w:ascii="Times New Roman" w:eastAsia="Times New Roman" w:hAnsi="Times New Roman"/>
          <w:sz w:val="20"/>
          <w:szCs w:val="20"/>
        </w:rPr>
        <w:t>P</w:t>
      </w:r>
      <w:r w:rsidR="0086341D" w:rsidRPr="00D064FF">
        <w:rPr>
          <w:rFonts w:ascii="Times New Roman" w:eastAsia="Times New Roman" w:hAnsi="Times New Roman"/>
          <w:sz w:val="20"/>
          <w:szCs w:val="20"/>
        </w:rPr>
        <w:t>arkin</w:t>
      </w:r>
      <w:proofErr w:type="spellEnd"/>
      <w:r w:rsidR="0086341D" w:rsidRPr="00D064FF">
        <w:rPr>
          <w:rFonts w:ascii="Times New Roman" w:eastAsia="Times New Roman" w:hAnsi="Times New Roman"/>
          <w:sz w:val="20"/>
          <w:szCs w:val="20"/>
        </w:rPr>
        <w:t xml:space="preserve"> DM, </w:t>
      </w:r>
      <w:proofErr w:type="spellStart"/>
      <w:r w:rsidR="0086341D" w:rsidRPr="00D064FF">
        <w:rPr>
          <w:rFonts w:ascii="Times New Roman" w:eastAsia="Times New Roman" w:hAnsi="Times New Roman"/>
          <w:sz w:val="20"/>
          <w:szCs w:val="20"/>
        </w:rPr>
        <w:t>Ferlay</w:t>
      </w:r>
      <w:proofErr w:type="spellEnd"/>
      <w:r w:rsidR="0086341D" w:rsidRPr="00D064FF">
        <w:rPr>
          <w:rFonts w:ascii="Times New Roman" w:eastAsia="Times New Roman" w:hAnsi="Times New Roman"/>
          <w:sz w:val="20"/>
          <w:szCs w:val="20"/>
        </w:rPr>
        <w:t xml:space="preserve"> J, </w:t>
      </w:r>
      <w:proofErr w:type="spellStart"/>
      <w:r w:rsidR="0086341D" w:rsidRPr="00D064FF">
        <w:rPr>
          <w:rFonts w:ascii="Times New Roman" w:eastAsia="Times New Roman" w:hAnsi="Times New Roman"/>
          <w:sz w:val="20"/>
          <w:szCs w:val="20"/>
        </w:rPr>
        <w:t>Hamdi-Cherif</w:t>
      </w:r>
      <w:proofErr w:type="spellEnd"/>
      <w:r w:rsidR="0086341D" w:rsidRPr="00D064FF">
        <w:rPr>
          <w:rFonts w:ascii="Times New Roman" w:eastAsia="Times New Roman" w:hAnsi="Times New Roman"/>
          <w:sz w:val="20"/>
          <w:szCs w:val="20"/>
        </w:rPr>
        <w:t xml:space="preserve"> M, et al. (2003).</w:t>
      </w:r>
      <w:proofErr w:type="gramEnd"/>
      <w:r w:rsidR="0086341D" w:rsidRPr="00D064FF">
        <w:rPr>
          <w:rFonts w:ascii="Times New Roman" w:eastAsia="Times New Roman" w:hAnsi="Times New Roman"/>
          <w:sz w:val="20"/>
          <w:szCs w:val="20"/>
        </w:rPr>
        <w:t xml:space="preserve"> </w:t>
      </w:r>
      <w:proofErr w:type="gramStart"/>
      <w:r w:rsidR="0086341D" w:rsidRPr="00D064FF">
        <w:rPr>
          <w:rFonts w:ascii="Times New Roman" w:hAnsi="Times New Roman"/>
          <w:sz w:val="20"/>
          <w:szCs w:val="20"/>
        </w:rPr>
        <w:t>Cancer in Africa:</w:t>
      </w:r>
      <w:r w:rsidR="0086341D" w:rsidRPr="00D064FF">
        <w:rPr>
          <w:rFonts w:ascii="Times New Roman" w:eastAsia="Times New Roman" w:hAnsi="Times New Roman"/>
          <w:i/>
          <w:iCs/>
          <w:sz w:val="20"/>
          <w:szCs w:val="20"/>
        </w:rPr>
        <w:t xml:space="preserve"> </w:t>
      </w:r>
      <w:r w:rsidR="0086341D" w:rsidRPr="00D064FF">
        <w:rPr>
          <w:rFonts w:ascii="Times New Roman" w:hAnsi="Times New Roman"/>
          <w:sz w:val="20"/>
          <w:szCs w:val="20"/>
        </w:rPr>
        <w:t>Epidemiology and Prevention.</w:t>
      </w:r>
      <w:proofErr w:type="gramEnd"/>
      <w:r w:rsidR="0086341D" w:rsidRPr="00D064FF">
        <w:rPr>
          <w:rFonts w:ascii="Times New Roman" w:eastAsia="Times New Roman" w:hAnsi="Times New Roman"/>
          <w:sz w:val="20"/>
          <w:szCs w:val="20"/>
        </w:rPr>
        <w:t xml:space="preserve"> </w:t>
      </w:r>
      <w:proofErr w:type="gramStart"/>
      <w:r w:rsidR="0086341D" w:rsidRPr="00D064FF">
        <w:rPr>
          <w:rFonts w:ascii="Times New Roman" w:eastAsia="Times New Roman" w:hAnsi="Times New Roman"/>
          <w:sz w:val="20"/>
          <w:szCs w:val="20"/>
        </w:rPr>
        <w:t>Lyon, France: IARC Scientific Publications.</w:t>
      </w:r>
      <w:proofErr w:type="gramEnd"/>
    </w:p>
    <w:p w:rsidR="00C35D52" w:rsidRPr="00D064FF" w:rsidRDefault="00C35D52" w:rsidP="00C35D52">
      <w:pPr>
        <w:numPr>
          <w:ilvl w:val="0"/>
          <w:numId w:val="6"/>
        </w:numPr>
        <w:snapToGrid w:val="0"/>
        <w:spacing w:after="0" w:line="240" w:lineRule="auto"/>
        <w:jc w:val="both"/>
        <w:rPr>
          <w:rFonts w:ascii="Times New Roman" w:eastAsia="Times New Roman" w:hAnsi="Times New Roman"/>
          <w:sz w:val="20"/>
          <w:szCs w:val="20"/>
        </w:rPr>
      </w:pPr>
      <w:proofErr w:type="spellStart"/>
      <w:r w:rsidRPr="00D064FF">
        <w:rPr>
          <w:rFonts w:ascii="Times New Roman" w:eastAsia="Times New Roman" w:hAnsi="Times New Roman"/>
          <w:sz w:val="20"/>
          <w:szCs w:val="20"/>
        </w:rPr>
        <w:t>O</w:t>
      </w:r>
      <w:r w:rsidR="0086341D" w:rsidRPr="00D064FF">
        <w:rPr>
          <w:rFonts w:ascii="Times New Roman" w:eastAsia="Times New Roman" w:hAnsi="Times New Roman"/>
          <w:sz w:val="20"/>
          <w:szCs w:val="20"/>
        </w:rPr>
        <w:t>segbe</w:t>
      </w:r>
      <w:proofErr w:type="spellEnd"/>
      <w:r w:rsidR="0086341D" w:rsidRPr="00D064FF">
        <w:rPr>
          <w:rFonts w:ascii="Times New Roman" w:eastAsia="Times New Roman" w:hAnsi="Times New Roman"/>
          <w:sz w:val="20"/>
          <w:szCs w:val="20"/>
        </w:rPr>
        <w:t xml:space="preserve"> D N et al. (1997). </w:t>
      </w:r>
      <w:proofErr w:type="gramStart"/>
      <w:r w:rsidR="0086341D" w:rsidRPr="00D064FF">
        <w:rPr>
          <w:rFonts w:ascii="Times New Roman" w:eastAsia="Times New Roman" w:hAnsi="Times New Roman"/>
          <w:sz w:val="20"/>
          <w:szCs w:val="20"/>
        </w:rPr>
        <w:t xml:space="preserve">Prostate cancer in Nigerians: facts and </w:t>
      </w:r>
      <w:proofErr w:type="spellStart"/>
      <w:r w:rsidR="0086341D" w:rsidRPr="00D064FF">
        <w:rPr>
          <w:rFonts w:ascii="Times New Roman" w:eastAsia="Times New Roman" w:hAnsi="Times New Roman"/>
          <w:sz w:val="20"/>
          <w:szCs w:val="20"/>
        </w:rPr>
        <w:t>nonfacts</w:t>
      </w:r>
      <w:proofErr w:type="spellEnd"/>
      <w:r w:rsidR="0086341D" w:rsidRPr="00D064FF">
        <w:rPr>
          <w:rFonts w:ascii="Times New Roman" w:eastAsia="Times New Roman" w:hAnsi="Times New Roman"/>
          <w:sz w:val="20"/>
          <w:szCs w:val="20"/>
        </w:rPr>
        <w:t>.</w:t>
      </w:r>
      <w:proofErr w:type="gramEnd"/>
      <w:r w:rsidR="0086341D" w:rsidRPr="00D064FF">
        <w:rPr>
          <w:rFonts w:ascii="Times New Roman" w:eastAsia="Times New Roman" w:hAnsi="Times New Roman"/>
          <w:sz w:val="20"/>
          <w:szCs w:val="20"/>
        </w:rPr>
        <w:t xml:space="preserve"> The Journal of Urology; 157(4): 1340-1343.</w:t>
      </w:r>
    </w:p>
    <w:p w:rsidR="00C35D52" w:rsidRPr="00D064FF" w:rsidRDefault="00C35D52" w:rsidP="00C35D52">
      <w:pPr>
        <w:numPr>
          <w:ilvl w:val="0"/>
          <w:numId w:val="6"/>
        </w:numPr>
        <w:snapToGrid w:val="0"/>
        <w:spacing w:after="0" w:line="240" w:lineRule="auto"/>
        <w:jc w:val="both"/>
        <w:rPr>
          <w:rFonts w:ascii="Times New Roman" w:hAnsi="Times New Roman"/>
          <w:sz w:val="20"/>
          <w:szCs w:val="20"/>
        </w:rPr>
      </w:pPr>
      <w:proofErr w:type="spellStart"/>
      <w:r w:rsidRPr="00D064FF">
        <w:rPr>
          <w:rFonts w:ascii="Times New Roman" w:hAnsi="Times New Roman"/>
          <w:sz w:val="20"/>
          <w:szCs w:val="20"/>
        </w:rPr>
        <w:t>K</w:t>
      </w:r>
      <w:r w:rsidR="0086341D" w:rsidRPr="00D064FF">
        <w:rPr>
          <w:rFonts w:ascii="Times New Roman" w:hAnsi="Times New Roman"/>
          <w:sz w:val="20"/>
          <w:szCs w:val="20"/>
        </w:rPr>
        <w:t>osuda</w:t>
      </w:r>
      <w:proofErr w:type="spellEnd"/>
      <w:r w:rsidR="0086341D" w:rsidRPr="00D064FF">
        <w:rPr>
          <w:rFonts w:ascii="Times New Roman" w:hAnsi="Times New Roman"/>
          <w:sz w:val="20"/>
          <w:szCs w:val="20"/>
        </w:rPr>
        <w:t xml:space="preserve">, S., Yoshimura, I., </w:t>
      </w:r>
      <w:proofErr w:type="spellStart"/>
      <w:r w:rsidR="0086341D" w:rsidRPr="00D064FF">
        <w:rPr>
          <w:rFonts w:ascii="Times New Roman" w:hAnsi="Times New Roman"/>
          <w:sz w:val="20"/>
          <w:szCs w:val="20"/>
        </w:rPr>
        <w:t>Aizawa</w:t>
      </w:r>
      <w:proofErr w:type="spellEnd"/>
      <w:r w:rsidR="0086341D" w:rsidRPr="00D064FF">
        <w:rPr>
          <w:rFonts w:ascii="Times New Roman" w:hAnsi="Times New Roman"/>
          <w:sz w:val="20"/>
          <w:szCs w:val="20"/>
        </w:rPr>
        <w:t xml:space="preserve">, T., Koizumi, K., </w:t>
      </w:r>
      <w:proofErr w:type="spellStart"/>
      <w:r w:rsidR="0086341D" w:rsidRPr="00D064FF">
        <w:rPr>
          <w:rFonts w:ascii="Times New Roman" w:hAnsi="Times New Roman"/>
          <w:sz w:val="20"/>
          <w:szCs w:val="20"/>
        </w:rPr>
        <w:t>Akakura</w:t>
      </w:r>
      <w:proofErr w:type="spellEnd"/>
      <w:r w:rsidR="0086341D" w:rsidRPr="00D064FF">
        <w:rPr>
          <w:rFonts w:ascii="Times New Roman" w:hAnsi="Times New Roman"/>
          <w:sz w:val="20"/>
          <w:szCs w:val="20"/>
        </w:rPr>
        <w:t xml:space="preserve">, K., </w:t>
      </w:r>
      <w:proofErr w:type="spellStart"/>
      <w:r w:rsidR="0086341D" w:rsidRPr="00D064FF">
        <w:rPr>
          <w:rFonts w:ascii="Times New Roman" w:hAnsi="Times New Roman"/>
          <w:sz w:val="20"/>
          <w:szCs w:val="20"/>
        </w:rPr>
        <w:t>Kuyama</w:t>
      </w:r>
      <w:proofErr w:type="spellEnd"/>
      <w:r w:rsidR="0086341D" w:rsidRPr="00D064FF">
        <w:rPr>
          <w:rFonts w:ascii="Times New Roman" w:hAnsi="Times New Roman"/>
          <w:sz w:val="20"/>
          <w:szCs w:val="20"/>
        </w:rPr>
        <w:t xml:space="preserve">, J., Ichihara, K., </w:t>
      </w:r>
      <w:proofErr w:type="spellStart"/>
      <w:r w:rsidR="0086341D" w:rsidRPr="00D064FF">
        <w:rPr>
          <w:rFonts w:ascii="Times New Roman" w:hAnsi="Times New Roman"/>
          <w:sz w:val="20"/>
          <w:szCs w:val="20"/>
        </w:rPr>
        <w:t>Yonese</w:t>
      </w:r>
      <w:proofErr w:type="spellEnd"/>
      <w:r w:rsidR="0086341D" w:rsidRPr="00D064FF">
        <w:rPr>
          <w:rFonts w:ascii="Times New Roman" w:hAnsi="Times New Roman"/>
          <w:sz w:val="20"/>
          <w:szCs w:val="20"/>
        </w:rPr>
        <w:t xml:space="preserve">, J., Koizumi, M., Nakashima, J. and </w:t>
      </w:r>
      <w:proofErr w:type="spellStart"/>
      <w:r w:rsidR="0086341D" w:rsidRPr="00D064FF">
        <w:rPr>
          <w:rFonts w:ascii="Times New Roman" w:hAnsi="Times New Roman"/>
          <w:sz w:val="20"/>
          <w:szCs w:val="20"/>
        </w:rPr>
        <w:t>Fujii</w:t>
      </w:r>
      <w:proofErr w:type="spellEnd"/>
      <w:r w:rsidR="0086341D" w:rsidRPr="00D064FF">
        <w:rPr>
          <w:rFonts w:ascii="Times New Roman" w:hAnsi="Times New Roman"/>
          <w:sz w:val="20"/>
          <w:szCs w:val="20"/>
        </w:rPr>
        <w:t>, H. (15 February 2002). Can initial prostate specific antigen determinations eliminate the need for bone scans in patients with newly diagnosed prostate car</w:t>
      </w:r>
      <w:r w:rsidR="000652B7" w:rsidRPr="00D064FF">
        <w:rPr>
          <w:rFonts w:ascii="Times New Roman" w:hAnsi="Times New Roman"/>
          <w:sz w:val="20"/>
          <w:szCs w:val="20"/>
        </w:rPr>
        <w:t>cinoma? Cancer; 94(4): 964–972.</w:t>
      </w:r>
    </w:p>
    <w:p w:rsidR="00C35D52" w:rsidRPr="00D064FF" w:rsidRDefault="00C35D52" w:rsidP="00C35D52">
      <w:pPr>
        <w:numPr>
          <w:ilvl w:val="0"/>
          <w:numId w:val="6"/>
        </w:numPr>
        <w:snapToGrid w:val="0"/>
        <w:spacing w:after="0" w:line="240" w:lineRule="auto"/>
        <w:jc w:val="both"/>
        <w:rPr>
          <w:rFonts w:ascii="Times New Roman" w:eastAsia="Times New Roman" w:hAnsi="Times New Roman"/>
          <w:sz w:val="20"/>
          <w:szCs w:val="20"/>
        </w:rPr>
      </w:pPr>
      <w:r w:rsidRPr="00D064FF">
        <w:rPr>
          <w:rFonts w:ascii="Times New Roman" w:eastAsia="Times New Roman" w:hAnsi="Times New Roman"/>
          <w:sz w:val="20"/>
          <w:szCs w:val="20"/>
        </w:rPr>
        <w:t>S</w:t>
      </w:r>
      <w:r w:rsidR="0086341D" w:rsidRPr="00D064FF">
        <w:rPr>
          <w:rFonts w:ascii="Times New Roman" w:eastAsia="Times New Roman" w:hAnsi="Times New Roman"/>
          <w:sz w:val="20"/>
          <w:szCs w:val="20"/>
        </w:rPr>
        <w:t xml:space="preserve">urveillance, Epidemiology, and End Results Program (SEER) of the National Cancer Institute. </w:t>
      </w:r>
      <w:proofErr w:type="gramStart"/>
      <w:r w:rsidR="0086341D" w:rsidRPr="00D064FF">
        <w:rPr>
          <w:rFonts w:ascii="Times New Roman" w:eastAsia="Times New Roman" w:hAnsi="Times New Roman"/>
          <w:sz w:val="20"/>
          <w:szCs w:val="20"/>
        </w:rPr>
        <w:t>[Accessed November 11, 2011].</w:t>
      </w:r>
      <w:proofErr w:type="gramEnd"/>
      <w:r w:rsidR="0086341D" w:rsidRPr="00D064FF">
        <w:rPr>
          <w:rFonts w:ascii="Times New Roman" w:eastAsia="Times New Roman" w:hAnsi="Times New Roman"/>
          <w:sz w:val="20"/>
          <w:szCs w:val="20"/>
        </w:rPr>
        <w:t xml:space="preserve"> </w:t>
      </w:r>
      <w:proofErr w:type="gramStart"/>
      <w:r w:rsidR="0086341D" w:rsidRPr="00D064FF">
        <w:rPr>
          <w:rFonts w:ascii="Times New Roman" w:eastAsia="Times New Roman" w:hAnsi="Times New Roman"/>
          <w:sz w:val="20"/>
          <w:szCs w:val="20"/>
        </w:rPr>
        <w:t>Fast Stats: An interactive tool for access to SEER cancer statistics.</w:t>
      </w:r>
      <w:proofErr w:type="gramEnd"/>
      <w:r w:rsidR="0086341D" w:rsidRPr="00D064FF">
        <w:rPr>
          <w:rFonts w:ascii="Times New Roman" w:eastAsia="Times New Roman" w:hAnsi="Times New Roman"/>
          <w:sz w:val="20"/>
          <w:szCs w:val="20"/>
        </w:rPr>
        <w:t xml:space="preserve"> Bethesda, MD: SEER, National Cancer Institute; </w:t>
      </w:r>
      <w:proofErr w:type="spellStart"/>
      <w:r w:rsidR="0086341D" w:rsidRPr="00D064FF">
        <w:rPr>
          <w:rFonts w:ascii="Times New Roman" w:eastAsia="Times New Roman" w:hAnsi="Times New Roman"/>
          <w:sz w:val="20"/>
          <w:szCs w:val="20"/>
        </w:rPr>
        <w:t>nd</w:t>
      </w:r>
      <w:proofErr w:type="spellEnd"/>
      <w:r w:rsidR="0086341D" w:rsidRPr="00D064FF">
        <w:rPr>
          <w:rFonts w:ascii="Times New Roman" w:eastAsia="Times New Roman" w:hAnsi="Times New Roman"/>
          <w:sz w:val="20"/>
          <w:szCs w:val="20"/>
        </w:rPr>
        <w:t xml:space="preserve">. </w:t>
      </w:r>
      <w:proofErr w:type="gramStart"/>
      <w:r w:rsidR="0086341D" w:rsidRPr="00D064FF">
        <w:rPr>
          <w:rFonts w:ascii="Times New Roman" w:eastAsia="Times New Roman" w:hAnsi="Times New Roman"/>
          <w:sz w:val="20"/>
          <w:szCs w:val="20"/>
        </w:rPr>
        <w:t xml:space="preserve">Available from: </w:t>
      </w:r>
      <w:r w:rsidR="0086341D" w:rsidRPr="00D064FF">
        <w:rPr>
          <w:rFonts w:ascii="Times New Roman" w:eastAsia="Times New Roman" w:hAnsi="Times New Roman"/>
          <w:color w:val="0000FF"/>
          <w:sz w:val="20"/>
          <w:szCs w:val="20"/>
          <w:u w:val="single"/>
        </w:rPr>
        <w:t>www.seer.cancer.gov/faststats</w:t>
      </w:r>
      <w:r w:rsidR="000652B7" w:rsidRPr="00D064FF">
        <w:rPr>
          <w:rFonts w:ascii="Times New Roman" w:eastAsia="Times New Roman" w:hAnsi="Times New Roman"/>
          <w:sz w:val="20"/>
          <w:szCs w:val="20"/>
        </w:rPr>
        <w:t>.</w:t>
      </w:r>
      <w:proofErr w:type="gramEnd"/>
    </w:p>
    <w:p w:rsidR="00C35D52" w:rsidRPr="00D064FF" w:rsidRDefault="00C35D52" w:rsidP="00C35D52">
      <w:pPr>
        <w:numPr>
          <w:ilvl w:val="0"/>
          <w:numId w:val="6"/>
        </w:numPr>
        <w:snapToGrid w:val="0"/>
        <w:spacing w:after="0" w:line="240" w:lineRule="auto"/>
        <w:jc w:val="both"/>
        <w:rPr>
          <w:rFonts w:ascii="Times New Roman" w:eastAsia="Times New Roman" w:hAnsi="Times New Roman"/>
          <w:sz w:val="20"/>
          <w:szCs w:val="20"/>
        </w:rPr>
      </w:pPr>
      <w:proofErr w:type="spellStart"/>
      <w:proofErr w:type="gramStart"/>
      <w:r w:rsidRPr="00D064FF">
        <w:rPr>
          <w:rFonts w:ascii="Times New Roman" w:eastAsia="Times New Roman" w:hAnsi="Times New Roman"/>
          <w:sz w:val="20"/>
          <w:szCs w:val="20"/>
        </w:rPr>
        <w:t>D</w:t>
      </w:r>
      <w:r w:rsidR="0086341D" w:rsidRPr="00D064FF">
        <w:rPr>
          <w:rFonts w:ascii="Times New Roman" w:eastAsia="Times New Roman" w:hAnsi="Times New Roman"/>
          <w:sz w:val="20"/>
          <w:szCs w:val="20"/>
        </w:rPr>
        <w:t>awam</w:t>
      </w:r>
      <w:proofErr w:type="spellEnd"/>
      <w:r w:rsidR="0086341D" w:rsidRPr="00D064FF">
        <w:rPr>
          <w:rFonts w:ascii="Times New Roman" w:eastAsia="Times New Roman" w:hAnsi="Times New Roman"/>
          <w:sz w:val="20"/>
          <w:szCs w:val="20"/>
        </w:rPr>
        <w:t xml:space="preserve"> D, </w:t>
      </w:r>
      <w:proofErr w:type="spellStart"/>
      <w:r w:rsidR="0086341D" w:rsidRPr="00D064FF">
        <w:rPr>
          <w:rFonts w:ascii="Times New Roman" w:eastAsia="Times New Roman" w:hAnsi="Times New Roman"/>
          <w:sz w:val="20"/>
          <w:szCs w:val="20"/>
        </w:rPr>
        <w:t>Rafindadi</w:t>
      </w:r>
      <w:proofErr w:type="spellEnd"/>
      <w:r w:rsidR="0086341D" w:rsidRPr="00D064FF">
        <w:rPr>
          <w:rFonts w:ascii="Times New Roman" w:eastAsia="Times New Roman" w:hAnsi="Times New Roman"/>
          <w:sz w:val="20"/>
          <w:szCs w:val="20"/>
        </w:rPr>
        <w:t xml:space="preserve"> AH, </w:t>
      </w:r>
      <w:proofErr w:type="spellStart"/>
      <w:r w:rsidR="0086341D" w:rsidRPr="00D064FF">
        <w:rPr>
          <w:rFonts w:ascii="Times New Roman" w:eastAsia="Times New Roman" w:hAnsi="Times New Roman"/>
          <w:sz w:val="20"/>
          <w:szCs w:val="20"/>
        </w:rPr>
        <w:t>Kalayi</w:t>
      </w:r>
      <w:proofErr w:type="spellEnd"/>
      <w:r w:rsidR="0086341D" w:rsidRPr="00D064FF">
        <w:rPr>
          <w:rFonts w:ascii="Times New Roman" w:eastAsia="Times New Roman" w:hAnsi="Times New Roman"/>
          <w:sz w:val="20"/>
          <w:szCs w:val="20"/>
        </w:rPr>
        <w:t xml:space="preserve"> GD. (2000).</w:t>
      </w:r>
      <w:proofErr w:type="gramEnd"/>
      <w:r w:rsidR="0086341D" w:rsidRPr="00D064FF">
        <w:rPr>
          <w:rFonts w:ascii="Times New Roman" w:eastAsia="Times New Roman" w:hAnsi="Times New Roman"/>
          <w:sz w:val="20"/>
          <w:szCs w:val="20"/>
        </w:rPr>
        <w:t xml:space="preserve"> </w:t>
      </w:r>
      <w:proofErr w:type="gramStart"/>
      <w:r w:rsidR="0086341D" w:rsidRPr="00D064FF">
        <w:rPr>
          <w:rFonts w:ascii="Times New Roman" w:eastAsia="Times New Roman" w:hAnsi="Times New Roman"/>
          <w:sz w:val="20"/>
          <w:szCs w:val="20"/>
        </w:rPr>
        <w:t>Benign prostatic hyperplasia and prostate carcinoma in native Africans.</w:t>
      </w:r>
      <w:proofErr w:type="gramEnd"/>
      <w:r w:rsidR="0086341D" w:rsidRPr="00D064FF">
        <w:rPr>
          <w:rFonts w:ascii="Times New Roman" w:eastAsia="Times New Roman" w:hAnsi="Times New Roman"/>
          <w:sz w:val="20"/>
          <w:szCs w:val="20"/>
        </w:rPr>
        <w:t xml:space="preserve"> BJU </w:t>
      </w:r>
      <w:proofErr w:type="spellStart"/>
      <w:r w:rsidR="0086341D" w:rsidRPr="00D064FF">
        <w:rPr>
          <w:rFonts w:ascii="Times New Roman" w:eastAsia="Times New Roman" w:hAnsi="Times New Roman"/>
          <w:sz w:val="20"/>
          <w:szCs w:val="20"/>
        </w:rPr>
        <w:t>Int</w:t>
      </w:r>
      <w:proofErr w:type="spellEnd"/>
      <w:r w:rsidR="0086341D" w:rsidRPr="00D064FF">
        <w:rPr>
          <w:rFonts w:ascii="Times New Roman" w:eastAsia="Times New Roman" w:hAnsi="Times New Roman"/>
          <w:sz w:val="20"/>
          <w:szCs w:val="20"/>
        </w:rPr>
        <w:t>; 85(9): 1074–7.</w:t>
      </w:r>
    </w:p>
    <w:p w:rsidR="00C35D52" w:rsidRPr="00D064FF" w:rsidRDefault="00C35D52" w:rsidP="00C35D52">
      <w:pPr>
        <w:numPr>
          <w:ilvl w:val="0"/>
          <w:numId w:val="6"/>
        </w:numPr>
        <w:snapToGrid w:val="0"/>
        <w:spacing w:after="0" w:line="240" w:lineRule="auto"/>
        <w:jc w:val="both"/>
        <w:rPr>
          <w:rFonts w:ascii="Times New Roman" w:eastAsia="Times New Roman" w:hAnsi="Times New Roman"/>
          <w:sz w:val="20"/>
          <w:szCs w:val="20"/>
        </w:rPr>
      </w:pPr>
      <w:proofErr w:type="spellStart"/>
      <w:r w:rsidRPr="00D064FF">
        <w:rPr>
          <w:rFonts w:ascii="Times New Roman" w:eastAsia="Times New Roman" w:hAnsi="Times New Roman"/>
          <w:sz w:val="20"/>
          <w:szCs w:val="20"/>
        </w:rPr>
        <w:t>E</w:t>
      </w:r>
      <w:r w:rsidR="0086341D" w:rsidRPr="00D064FF">
        <w:rPr>
          <w:rFonts w:ascii="Times New Roman" w:eastAsia="Times New Roman" w:hAnsi="Times New Roman"/>
          <w:sz w:val="20"/>
          <w:szCs w:val="20"/>
        </w:rPr>
        <w:t>kwere</w:t>
      </w:r>
      <w:proofErr w:type="spellEnd"/>
      <w:r w:rsidR="0086341D" w:rsidRPr="00D064FF">
        <w:rPr>
          <w:rFonts w:ascii="Times New Roman" w:eastAsia="Times New Roman" w:hAnsi="Times New Roman"/>
          <w:sz w:val="20"/>
          <w:szCs w:val="20"/>
        </w:rPr>
        <w:t xml:space="preserve"> PD, </w:t>
      </w:r>
      <w:proofErr w:type="spellStart"/>
      <w:r w:rsidR="0086341D" w:rsidRPr="00D064FF">
        <w:rPr>
          <w:rFonts w:ascii="Times New Roman" w:eastAsia="Times New Roman" w:hAnsi="Times New Roman"/>
          <w:sz w:val="20"/>
          <w:szCs w:val="20"/>
        </w:rPr>
        <w:t>Egbe</w:t>
      </w:r>
      <w:proofErr w:type="spellEnd"/>
      <w:r w:rsidR="0086341D" w:rsidRPr="00D064FF">
        <w:rPr>
          <w:rFonts w:ascii="Times New Roman" w:eastAsia="Times New Roman" w:hAnsi="Times New Roman"/>
          <w:sz w:val="20"/>
          <w:szCs w:val="20"/>
        </w:rPr>
        <w:t xml:space="preserve"> SN. (2002). </w:t>
      </w:r>
      <w:proofErr w:type="gramStart"/>
      <w:r w:rsidR="0086341D" w:rsidRPr="00D064FF">
        <w:rPr>
          <w:rFonts w:ascii="Times New Roman" w:eastAsia="Times New Roman" w:hAnsi="Times New Roman"/>
          <w:sz w:val="20"/>
          <w:szCs w:val="20"/>
        </w:rPr>
        <w:t>The</w:t>
      </w:r>
      <w:proofErr w:type="gramEnd"/>
      <w:r w:rsidR="0086341D" w:rsidRPr="00D064FF">
        <w:rPr>
          <w:rFonts w:ascii="Times New Roman" w:eastAsia="Times New Roman" w:hAnsi="Times New Roman"/>
          <w:sz w:val="20"/>
          <w:szCs w:val="20"/>
        </w:rPr>
        <w:t xml:space="preserve"> changing pattern of prostate cancer in Nigerians: current status in the southeastern states. J </w:t>
      </w:r>
      <w:proofErr w:type="spellStart"/>
      <w:r w:rsidR="0086341D" w:rsidRPr="00D064FF">
        <w:rPr>
          <w:rFonts w:ascii="Times New Roman" w:eastAsia="Times New Roman" w:hAnsi="Times New Roman"/>
          <w:sz w:val="20"/>
          <w:szCs w:val="20"/>
        </w:rPr>
        <w:t>Natl</w:t>
      </w:r>
      <w:proofErr w:type="spellEnd"/>
      <w:r w:rsidR="0086341D" w:rsidRPr="00D064FF">
        <w:rPr>
          <w:rFonts w:ascii="Times New Roman" w:eastAsia="Times New Roman" w:hAnsi="Times New Roman"/>
          <w:sz w:val="20"/>
          <w:szCs w:val="20"/>
        </w:rPr>
        <w:t xml:space="preserve"> Med Assoc; 94(7): 619–27.</w:t>
      </w:r>
    </w:p>
    <w:p w:rsidR="00C35D52" w:rsidRPr="00D064FF" w:rsidRDefault="00C35D52" w:rsidP="00C35D52">
      <w:pPr>
        <w:numPr>
          <w:ilvl w:val="0"/>
          <w:numId w:val="6"/>
        </w:numPr>
        <w:snapToGrid w:val="0"/>
        <w:spacing w:after="0" w:line="240" w:lineRule="auto"/>
        <w:jc w:val="both"/>
        <w:rPr>
          <w:rFonts w:ascii="Times New Roman" w:eastAsia="Times New Roman" w:hAnsi="Times New Roman"/>
          <w:sz w:val="20"/>
          <w:szCs w:val="20"/>
        </w:rPr>
      </w:pPr>
      <w:r w:rsidRPr="00D064FF">
        <w:rPr>
          <w:rFonts w:ascii="Times New Roman" w:eastAsia="Times New Roman" w:hAnsi="Times New Roman"/>
          <w:sz w:val="20"/>
          <w:szCs w:val="20"/>
        </w:rPr>
        <w:t>T</w:t>
      </w:r>
      <w:r w:rsidR="0086341D" w:rsidRPr="00D064FF">
        <w:rPr>
          <w:rFonts w:ascii="Times New Roman" w:eastAsia="Times New Roman" w:hAnsi="Times New Roman"/>
          <w:sz w:val="20"/>
          <w:szCs w:val="20"/>
        </w:rPr>
        <w:t xml:space="preserve">hompson I M, Chi C, </w:t>
      </w:r>
      <w:proofErr w:type="spellStart"/>
      <w:r w:rsidR="0086341D" w:rsidRPr="00D064FF">
        <w:rPr>
          <w:rFonts w:ascii="Times New Roman" w:eastAsia="Times New Roman" w:hAnsi="Times New Roman"/>
          <w:sz w:val="20"/>
          <w:szCs w:val="20"/>
        </w:rPr>
        <w:t>Ankerst</w:t>
      </w:r>
      <w:proofErr w:type="spellEnd"/>
      <w:r w:rsidR="0086341D" w:rsidRPr="00D064FF">
        <w:rPr>
          <w:rFonts w:ascii="Times New Roman" w:eastAsia="Times New Roman" w:hAnsi="Times New Roman"/>
          <w:sz w:val="20"/>
          <w:szCs w:val="20"/>
        </w:rPr>
        <w:t xml:space="preserve"> D P, Goodman P J, </w:t>
      </w:r>
      <w:proofErr w:type="spellStart"/>
      <w:r w:rsidR="0086341D" w:rsidRPr="00D064FF">
        <w:rPr>
          <w:rFonts w:ascii="Times New Roman" w:eastAsia="Times New Roman" w:hAnsi="Times New Roman"/>
          <w:sz w:val="20"/>
          <w:szCs w:val="20"/>
        </w:rPr>
        <w:t>Tangen</w:t>
      </w:r>
      <w:proofErr w:type="spellEnd"/>
      <w:r w:rsidR="0086341D" w:rsidRPr="00D064FF">
        <w:rPr>
          <w:rFonts w:ascii="Times New Roman" w:eastAsia="Times New Roman" w:hAnsi="Times New Roman"/>
          <w:sz w:val="20"/>
          <w:szCs w:val="20"/>
        </w:rPr>
        <w:t xml:space="preserve"> C M, </w:t>
      </w:r>
      <w:proofErr w:type="spellStart"/>
      <w:r w:rsidR="0086341D" w:rsidRPr="00D064FF">
        <w:rPr>
          <w:rFonts w:ascii="Times New Roman" w:eastAsia="Times New Roman" w:hAnsi="Times New Roman"/>
          <w:sz w:val="20"/>
          <w:szCs w:val="20"/>
        </w:rPr>
        <w:t>Lippman</w:t>
      </w:r>
      <w:proofErr w:type="spellEnd"/>
      <w:r w:rsidR="0086341D" w:rsidRPr="00D064FF">
        <w:rPr>
          <w:rFonts w:ascii="Times New Roman" w:eastAsia="Times New Roman" w:hAnsi="Times New Roman"/>
          <w:sz w:val="20"/>
          <w:szCs w:val="20"/>
        </w:rPr>
        <w:t xml:space="preserve"> S M, et al. (2006). </w:t>
      </w:r>
      <w:proofErr w:type="gramStart"/>
      <w:r w:rsidR="0086341D" w:rsidRPr="00D064FF">
        <w:rPr>
          <w:rFonts w:ascii="Times New Roman" w:eastAsia="Times New Roman" w:hAnsi="Times New Roman"/>
          <w:sz w:val="20"/>
          <w:szCs w:val="20"/>
        </w:rPr>
        <w:t xml:space="preserve">Effect of </w:t>
      </w:r>
      <w:proofErr w:type="spellStart"/>
      <w:r w:rsidR="0086341D" w:rsidRPr="00D064FF">
        <w:rPr>
          <w:rFonts w:ascii="Times New Roman" w:eastAsia="Times New Roman" w:hAnsi="Times New Roman"/>
          <w:sz w:val="20"/>
          <w:szCs w:val="20"/>
        </w:rPr>
        <w:t>finasteride</w:t>
      </w:r>
      <w:proofErr w:type="spellEnd"/>
      <w:r w:rsidR="0086341D" w:rsidRPr="00D064FF">
        <w:rPr>
          <w:rFonts w:ascii="Times New Roman" w:eastAsia="Times New Roman" w:hAnsi="Times New Roman"/>
          <w:sz w:val="20"/>
          <w:szCs w:val="20"/>
        </w:rPr>
        <w:t xml:space="preserve"> on the sensitivity of PSA for detecting prostate cancer.</w:t>
      </w:r>
      <w:proofErr w:type="gramEnd"/>
      <w:r w:rsidR="0086341D" w:rsidRPr="00D064FF">
        <w:rPr>
          <w:rFonts w:ascii="Times New Roman" w:eastAsia="Times New Roman" w:hAnsi="Times New Roman"/>
          <w:sz w:val="20"/>
          <w:szCs w:val="20"/>
        </w:rPr>
        <w:t xml:space="preserve"> J </w:t>
      </w:r>
      <w:proofErr w:type="spellStart"/>
      <w:r w:rsidR="0086341D" w:rsidRPr="00D064FF">
        <w:rPr>
          <w:rFonts w:ascii="Times New Roman" w:eastAsia="Times New Roman" w:hAnsi="Times New Roman"/>
          <w:sz w:val="20"/>
          <w:szCs w:val="20"/>
        </w:rPr>
        <w:t>Natl</w:t>
      </w:r>
      <w:proofErr w:type="spellEnd"/>
      <w:r w:rsidR="0086341D" w:rsidRPr="00D064FF">
        <w:rPr>
          <w:rFonts w:ascii="Times New Roman" w:eastAsia="Times New Roman" w:hAnsi="Times New Roman"/>
          <w:sz w:val="20"/>
          <w:szCs w:val="20"/>
        </w:rPr>
        <w:t xml:space="preserve"> Cancer Inst</w:t>
      </w:r>
      <w:proofErr w:type="gramStart"/>
      <w:r w:rsidR="0086341D" w:rsidRPr="00D064FF">
        <w:rPr>
          <w:rFonts w:ascii="Times New Roman" w:eastAsia="Times New Roman" w:hAnsi="Times New Roman"/>
          <w:sz w:val="20"/>
          <w:szCs w:val="20"/>
        </w:rPr>
        <w:t>;</w:t>
      </w:r>
      <w:proofErr w:type="gramEnd"/>
      <w:r w:rsidR="0086341D" w:rsidRPr="00D064FF">
        <w:rPr>
          <w:rFonts w:ascii="Times New Roman" w:eastAsia="Times New Roman" w:hAnsi="Times New Roman"/>
          <w:sz w:val="20"/>
          <w:szCs w:val="20"/>
        </w:rPr>
        <w:t xml:space="preserve"> 98(16): 1128-33.</w:t>
      </w:r>
    </w:p>
    <w:p w:rsidR="00C35D52" w:rsidRPr="00D064FF" w:rsidRDefault="00C35D52" w:rsidP="00C35D52">
      <w:pPr>
        <w:numPr>
          <w:ilvl w:val="0"/>
          <w:numId w:val="6"/>
        </w:numPr>
        <w:snapToGrid w:val="0"/>
        <w:spacing w:after="0" w:line="240" w:lineRule="auto"/>
        <w:jc w:val="both"/>
        <w:rPr>
          <w:rFonts w:ascii="Times New Roman" w:eastAsia="Times New Roman" w:hAnsi="Times New Roman"/>
          <w:sz w:val="20"/>
          <w:szCs w:val="20"/>
        </w:rPr>
      </w:pPr>
      <w:proofErr w:type="spellStart"/>
      <w:r w:rsidRPr="00D064FF">
        <w:rPr>
          <w:rFonts w:ascii="Times New Roman" w:eastAsia="Times New Roman" w:hAnsi="Times New Roman"/>
          <w:sz w:val="20"/>
          <w:szCs w:val="20"/>
        </w:rPr>
        <w:t>A</w:t>
      </w:r>
      <w:r w:rsidR="0086341D" w:rsidRPr="00D064FF">
        <w:rPr>
          <w:rFonts w:ascii="Times New Roman" w:eastAsia="Times New Roman" w:hAnsi="Times New Roman"/>
          <w:sz w:val="20"/>
          <w:szCs w:val="20"/>
        </w:rPr>
        <w:t>mayo</w:t>
      </w:r>
      <w:proofErr w:type="spellEnd"/>
      <w:r w:rsidR="0086341D" w:rsidRPr="00D064FF">
        <w:rPr>
          <w:rFonts w:ascii="Times New Roman" w:eastAsia="Times New Roman" w:hAnsi="Times New Roman"/>
          <w:sz w:val="20"/>
          <w:szCs w:val="20"/>
        </w:rPr>
        <w:t xml:space="preserve"> A, </w:t>
      </w:r>
      <w:proofErr w:type="spellStart"/>
      <w:r w:rsidR="0086341D" w:rsidRPr="00D064FF">
        <w:rPr>
          <w:rFonts w:ascii="Times New Roman" w:eastAsia="Times New Roman" w:hAnsi="Times New Roman"/>
          <w:sz w:val="20"/>
          <w:szCs w:val="20"/>
        </w:rPr>
        <w:t>Obara</w:t>
      </w:r>
      <w:proofErr w:type="spellEnd"/>
      <w:r w:rsidR="0086341D" w:rsidRPr="00D064FF">
        <w:rPr>
          <w:rFonts w:ascii="Times New Roman" w:eastAsia="Times New Roman" w:hAnsi="Times New Roman"/>
          <w:sz w:val="20"/>
          <w:szCs w:val="20"/>
        </w:rPr>
        <w:t xml:space="preserve"> W. (2004). Serum prostate specific antigen levels in men with benign prostate hyperplasia and cancer of prostate. East </w:t>
      </w:r>
      <w:proofErr w:type="spellStart"/>
      <w:r w:rsidR="0086341D" w:rsidRPr="00D064FF">
        <w:rPr>
          <w:rFonts w:ascii="Times New Roman" w:eastAsia="Times New Roman" w:hAnsi="Times New Roman"/>
          <w:sz w:val="20"/>
          <w:szCs w:val="20"/>
        </w:rPr>
        <w:t>Afr</w:t>
      </w:r>
      <w:proofErr w:type="spellEnd"/>
      <w:r w:rsidR="0086341D" w:rsidRPr="00D064FF">
        <w:rPr>
          <w:rFonts w:ascii="Times New Roman" w:eastAsia="Times New Roman" w:hAnsi="Times New Roman"/>
          <w:sz w:val="20"/>
          <w:szCs w:val="20"/>
        </w:rPr>
        <w:t xml:space="preserve"> Med J; 81(1): 22-6.</w:t>
      </w:r>
    </w:p>
    <w:p w:rsidR="00C35D52" w:rsidRPr="00D064FF" w:rsidRDefault="00C35D52" w:rsidP="00C35D52">
      <w:pPr>
        <w:numPr>
          <w:ilvl w:val="0"/>
          <w:numId w:val="6"/>
        </w:numPr>
        <w:snapToGrid w:val="0"/>
        <w:spacing w:after="0" w:line="240" w:lineRule="auto"/>
        <w:jc w:val="both"/>
        <w:rPr>
          <w:rFonts w:ascii="Times New Roman" w:hAnsi="Times New Roman"/>
          <w:sz w:val="20"/>
          <w:szCs w:val="20"/>
        </w:rPr>
      </w:pPr>
      <w:r w:rsidRPr="00D064FF">
        <w:rPr>
          <w:rFonts w:ascii="Times New Roman" w:hAnsi="Times New Roman"/>
          <w:sz w:val="20"/>
          <w:szCs w:val="20"/>
        </w:rPr>
        <w:t>K</w:t>
      </w:r>
      <w:r w:rsidR="0086341D" w:rsidRPr="00D064FF">
        <w:rPr>
          <w:rFonts w:ascii="Times New Roman" w:hAnsi="Times New Roman"/>
          <w:sz w:val="20"/>
          <w:szCs w:val="20"/>
        </w:rPr>
        <w:t xml:space="preserve">halid KE, </w:t>
      </w:r>
      <w:proofErr w:type="spellStart"/>
      <w:r w:rsidR="0086341D" w:rsidRPr="00D064FF">
        <w:rPr>
          <w:rFonts w:ascii="Times New Roman" w:hAnsi="Times New Roman"/>
          <w:sz w:val="20"/>
          <w:szCs w:val="20"/>
        </w:rPr>
        <w:t>Brair</w:t>
      </w:r>
      <w:proofErr w:type="spellEnd"/>
      <w:r w:rsidR="0086341D" w:rsidRPr="00D064FF">
        <w:rPr>
          <w:rFonts w:ascii="Times New Roman" w:hAnsi="Times New Roman"/>
          <w:sz w:val="20"/>
          <w:szCs w:val="20"/>
        </w:rPr>
        <w:t xml:space="preserve"> AI, </w:t>
      </w:r>
      <w:proofErr w:type="spellStart"/>
      <w:r w:rsidR="0086341D" w:rsidRPr="00D064FF">
        <w:rPr>
          <w:rFonts w:ascii="Times New Roman" w:hAnsi="Times New Roman"/>
          <w:sz w:val="20"/>
          <w:szCs w:val="20"/>
        </w:rPr>
        <w:t>Elhaj</w:t>
      </w:r>
      <w:proofErr w:type="spellEnd"/>
      <w:r w:rsidR="0086341D" w:rsidRPr="00D064FF">
        <w:rPr>
          <w:rFonts w:ascii="Times New Roman" w:hAnsi="Times New Roman"/>
          <w:sz w:val="20"/>
          <w:szCs w:val="20"/>
        </w:rPr>
        <w:t xml:space="preserve"> AM, Ali KE. </w:t>
      </w:r>
      <w:proofErr w:type="gramStart"/>
      <w:r w:rsidR="0086341D" w:rsidRPr="00D064FF">
        <w:rPr>
          <w:rFonts w:ascii="Times New Roman" w:hAnsi="Times New Roman"/>
          <w:sz w:val="20"/>
          <w:szCs w:val="20"/>
        </w:rPr>
        <w:t>(2011). Prostate-specific antigen level and risk of bone metastasis in Sudanese patients with prostate cancer.</w:t>
      </w:r>
      <w:proofErr w:type="gramEnd"/>
      <w:r w:rsidR="0086341D" w:rsidRPr="00D064FF">
        <w:rPr>
          <w:rFonts w:ascii="Times New Roman" w:hAnsi="Times New Roman"/>
          <w:sz w:val="20"/>
          <w:szCs w:val="20"/>
        </w:rPr>
        <w:t xml:space="preserve"> Saudi J Kidney </w:t>
      </w:r>
      <w:proofErr w:type="spellStart"/>
      <w:r w:rsidR="0086341D" w:rsidRPr="00D064FF">
        <w:rPr>
          <w:rFonts w:ascii="Times New Roman" w:hAnsi="Times New Roman"/>
          <w:sz w:val="20"/>
          <w:szCs w:val="20"/>
        </w:rPr>
        <w:t>Dis</w:t>
      </w:r>
      <w:proofErr w:type="spellEnd"/>
      <w:r w:rsidR="0086341D" w:rsidRPr="00D064FF">
        <w:rPr>
          <w:rFonts w:ascii="Times New Roman" w:hAnsi="Times New Roman"/>
          <w:sz w:val="20"/>
          <w:szCs w:val="20"/>
        </w:rPr>
        <w:t xml:space="preserve"> </w:t>
      </w:r>
      <w:proofErr w:type="spellStart"/>
      <w:r w:rsidR="0086341D" w:rsidRPr="00D064FF">
        <w:rPr>
          <w:rFonts w:ascii="Times New Roman" w:hAnsi="Times New Roman"/>
          <w:sz w:val="20"/>
          <w:szCs w:val="20"/>
        </w:rPr>
        <w:t>Transpl</w:t>
      </w:r>
      <w:proofErr w:type="spellEnd"/>
      <w:r w:rsidR="0086341D" w:rsidRPr="00D064FF">
        <w:rPr>
          <w:rFonts w:ascii="Times New Roman" w:hAnsi="Times New Roman"/>
          <w:sz w:val="20"/>
          <w:szCs w:val="20"/>
        </w:rPr>
        <w:t>; 22(5): 1041-3.</w:t>
      </w:r>
    </w:p>
    <w:p w:rsidR="00C35D52" w:rsidRPr="00D064FF" w:rsidRDefault="00C35D52" w:rsidP="00C35D52">
      <w:pPr>
        <w:numPr>
          <w:ilvl w:val="0"/>
          <w:numId w:val="6"/>
        </w:numPr>
        <w:snapToGrid w:val="0"/>
        <w:spacing w:after="0" w:line="240" w:lineRule="auto"/>
        <w:jc w:val="both"/>
        <w:rPr>
          <w:rFonts w:ascii="Times New Roman" w:hAnsi="Times New Roman"/>
          <w:sz w:val="20"/>
          <w:szCs w:val="20"/>
        </w:rPr>
      </w:pPr>
      <w:proofErr w:type="spellStart"/>
      <w:r w:rsidRPr="00D064FF">
        <w:rPr>
          <w:rFonts w:ascii="Times New Roman" w:hAnsi="Times New Roman"/>
          <w:sz w:val="20"/>
          <w:szCs w:val="20"/>
        </w:rPr>
        <w:lastRenderedPageBreak/>
        <w:t>L</w:t>
      </w:r>
      <w:r w:rsidR="0086341D" w:rsidRPr="00D064FF">
        <w:rPr>
          <w:rFonts w:ascii="Times New Roman" w:hAnsi="Times New Roman"/>
          <w:sz w:val="20"/>
          <w:szCs w:val="20"/>
        </w:rPr>
        <w:t>ópez</w:t>
      </w:r>
      <w:proofErr w:type="spellEnd"/>
      <w:r w:rsidR="0086341D" w:rsidRPr="00D064FF">
        <w:rPr>
          <w:rFonts w:ascii="Times New Roman" w:hAnsi="Times New Roman"/>
          <w:sz w:val="20"/>
          <w:szCs w:val="20"/>
        </w:rPr>
        <w:t xml:space="preserve"> M, Montes De </w:t>
      </w:r>
      <w:proofErr w:type="spellStart"/>
      <w:r w:rsidR="0086341D" w:rsidRPr="00D064FF">
        <w:rPr>
          <w:rFonts w:ascii="Times New Roman" w:hAnsi="Times New Roman"/>
          <w:sz w:val="20"/>
          <w:szCs w:val="20"/>
        </w:rPr>
        <w:t>Oca</w:t>
      </w:r>
      <w:proofErr w:type="spellEnd"/>
      <w:r w:rsidR="0086341D" w:rsidRPr="00D064FF">
        <w:rPr>
          <w:rFonts w:ascii="Times New Roman" w:hAnsi="Times New Roman"/>
          <w:sz w:val="20"/>
          <w:szCs w:val="20"/>
        </w:rPr>
        <w:t xml:space="preserve"> L, Bernardo N, </w:t>
      </w:r>
      <w:proofErr w:type="spellStart"/>
      <w:r w:rsidR="0086341D" w:rsidRPr="00D064FF">
        <w:rPr>
          <w:rFonts w:ascii="Times New Roman" w:hAnsi="Times New Roman"/>
          <w:sz w:val="20"/>
          <w:szCs w:val="20"/>
        </w:rPr>
        <w:t>Scorticati</w:t>
      </w:r>
      <w:proofErr w:type="spellEnd"/>
      <w:r w:rsidR="0086341D" w:rsidRPr="00D064FF">
        <w:rPr>
          <w:rFonts w:ascii="Times New Roman" w:hAnsi="Times New Roman"/>
          <w:sz w:val="20"/>
          <w:szCs w:val="20"/>
        </w:rPr>
        <w:t xml:space="preserve"> C </w:t>
      </w:r>
      <w:proofErr w:type="spellStart"/>
      <w:r w:rsidR="0086341D" w:rsidRPr="00D064FF">
        <w:rPr>
          <w:rFonts w:ascii="Times New Roman" w:hAnsi="Times New Roman"/>
          <w:sz w:val="20"/>
          <w:szCs w:val="20"/>
        </w:rPr>
        <w:t>Jr</w:t>
      </w:r>
      <w:proofErr w:type="spellEnd"/>
      <w:r w:rsidR="0086341D" w:rsidRPr="00D064FF">
        <w:rPr>
          <w:rFonts w:ascii="Times New Roman" w:hAnsi="Times New Roman"/>
          <w:sz w:val="20"/>
          <w:szCs w:val="20"/>
        </w:rPr>
        <w:t xml:space="preserve">, </w:t>
      </w:r>
      <w:proofErr w:type="spellStart"/>
      <w:r w:rsidR="0086341D" w:rsidRPr="00D064FF">
        <w:rPr>
          <w:rFonts w:ascii="Times New Roman" w:hAnsi="Times New Roman"/>
          <w:sz w:val="20"/>
          <w:szCs w:val="20"/>
        </w:rPr>
        <w:t>Suárez</w:t>
      </w:r>
      <w:proofErr w:type="spellEnd"/>
      <w:r w:rsidR="0086341D" w:rsidRPr="00D064FF">
        <w:rPr>
          <w:rFonts w:ascii="Times New Roman" w:hAnsi="Times New Roman"/>
          <w:sz w:val="20"/>
          <w:szCs w:val="20"/>
        </w:rPr>
        <w:t xml:space="preserve"> P, </w:t>
      </w:r>
      <w:proofErr w:type="spellStart"/>
      <w:r w:rsidR="0086341D" w:rsidRPr="00D064FF">
        <w:rPr>
          <w:rFonts w:ascii="Times New Roman" w:hAnsi="Times New Roman"/>
          <w:sz w:val="20"/>
          <w:szCs w:val="20"/>
        </w:rPr>
        <w:t>Bencardino</w:t>
      </w:r>
      <w:proofErr w:type="spellEnd"/>
      <w:r w:rsidR="0086341D" w:rsidRPr="00D064FF">
        <w:rPr>
          <w:rFonts w:ascii="Times New Roman" w:hAnsi="Times New Roman"/>
          <w:sz w:val="20"/>
          <w:szCs w:val="20"/>
        </w:rPr>
        <w:t xml:space="preserve"> F, De </w:t>
      </w:r>
      <w:proofErr w:type="spellStart"/>
      <w:r w:rsidR="0086341D" w:rsidRPr="00D064FF">
        <w:rPr>
          <w:rFonts w:ascii="Times New Roman" w:hAnsi="Times New Roman"/>
          <w:sz w:val="20"/>
          <w:szCs w:val="20"/>
        </w:rPr>
        <w:t>Lasa</w:t>
      </w:r>
      <w:proofErr w:type="spellEnd"/>
      <w:r w:rsidR="0086341D" w:rsidRPr="00D064FF">
        <w:rPr>
          <w:rFonts w:ascii="Times New Roman" w:hAnsi="Times New Roman"/>
          <w:sz w:val="20"/>
          <w:szCs w:val="20"/>
        </w:rPr>
        <w:t xml:space="preserve"> T, </w:t>
      </w:r>
      <w:proofErr w:type="spellStart"/>
      <w:r w:rsidR="0086341D" w:rsidRPr="00D064FF">
        <w:rPr>
          <w:rFonts w:ascii="Times New Roman" w:hAnsi="Times New Roman"/>
          <w:sz w:val="20"/>
          <w:szCs w:val="20"/>
        </w:rPr>
        <w:t>Sotero</w:t>
      </w:r>
      <w:proofErr w:type="spellEnd"/>
      <w:r w:rsidR="0086341D" w:rsidRPr="00D064FF">
        <w:rPr>
          <w:rFonts w:ascii="Times New Roman" w:hAnsi="Times New Roman"/>
          <w:sz w:val="20"/>
          <w:szCs w:val="20"/>
        </w:rPr>
        <w:t xml:space="preserve"> </w:t>
      </w:r>
      <w:proofErr w:type="spellStart"/>
      <w:r w:rsidR="0086341D" w:rsidRPr="00D064FF">
        <w:rPr>
          <w:rFonts w:ascii="Times New Roman" w:hAnsi="Times New Roman"/>
          <w:sz w:val="20"/>
          <w:szCs w:val="20"/>
        </w:rPr>
        <w:t>Falco</w:t>
      </w:r>
      <w:proofErr w:type="spellEnd"/>
      <w:r w:rsidR="0086341D" w:rsidRPr="00D064FF">
        <w:rPr>
          <w:rFonts w:ascii="Times New Roman" w:hAnsi="Times New Roman"/>
          <w:sz w:val="20"/>
          <w:szCs w:val="20"/>
        </w:rPr>
        <w:t xml:space="preserve"> E, Coimbra F, </w:t>
      </w:r>
      <w:proofErr w:type="spellStart"/>
      <w:r w:rsidR="0086341D" w:rsidRPr="00D064FF">
        <w:rPr>
          <w:rFonts w:ascii="Times New Roman" w:hAnsi="Times New Roman"/>
          <w:sz w:val="20"/>
          <w:szCs w:val="20"/>
        </w:rPr>
        <w:t>Scorticati</w:t>
      </w:r>
      <w:proofErr w:type="spellEnd"/>
      <w:r w:rsidR="0086341D" w:rsidRPr="00D064FF">
        <w:rPr>
          <w:rFonts w:ascii="Times New Roman" w:hAnsi="Times New Roman"/>
          <w:sz w:val="20"/>
          <w:szCs w:val="20"/>
        </w:rPr>
        <w:t xml:space="preserve"> C. (1996 Nov). </w:t>
      </w:r>
      <w:proofErr w:type="gramStart"/>
      <w:r w:rsidR="0086341D" w:rsidRPr="00D064FF">
        <w:rPr>
          <w:rFonts w:ascii="Times New Roman" w:hAnsi="Times New Roman"/>
          <w:sz w:val="20"/>
          <w:szCs w:val="20"/>
        </w:rPr>
        <w:t xml:space="preserve">Correlation between specific prostatic antigen and findings with total body bone </w:t>
      </w:r>
      <w:proofErr w:type="spellStart"/>
      <w:r w:rsidR="0086341D" w:rsidRPr="00D064FF">
        <w:rPr>
          <w:rFonts w:ascii="Times New Roman" w:hAnsi="Times New Roman"/>
          <w:sz w:val="20"/>
          <w:szCs w:val="20"/>
        </w:rPr>
        <w:t>scintigraphy</w:t>
      </w:r>
      <w:proofErr w:type="spellEnd"/>
      <w:r w:rsidR="0086341D" w:rsidRPr="00D064FF">
        <w:rPr>
          <w:rFonts w:ascii="Times New Roman" w:hAnsi="Times New Roman"/>
          <w:sz w:val="20"/>
          <w:szCs w:val="20"/>
        </w:rPr>
        <w:t>.</w:t>
      </w:r>
      <w:proofErr w:type="gramEnd"/>
      <w:r w:rsidR="0086341D" w:rsidRPr="00D064FF">
        <w:rPr>
          <w:rFonts w:ascii="Times New Roman" w:hAnsi="Times New Roman"/>
          <w:sz w:val="20"/>
          <w:szCs w:val="20"/>
        </w:rPr>
        <w:t xml:space="preserve"> Arch </w:t>
      </w:r>
      <w:proofErr w:type="spellStart"/>
      <w:proofErr w:type="gramStart"/>
      <w:r w:rsidR="0086341D" w:rsidRPr="00D064FF">
        <w:rPr>
          <w:rFonts w:ascii="Times New Roman" w:hAnsi="Times New Roman"/>
          <w:sz w:val="20"/>
          <w:szCs w:val="20"/>
        </w:rPr>
        <w:t>Esp</w:t>
      </w:r>
      <w:proofErr w:type="spellEnd"/>
      <w:proofErr w:type="gramEnd"/>
      <w:r w:rsidR="0086341D" w:rsidRPr="00D064FF">
        <w:rPr>
          <w:rFonts w:ascii="Times New Roman" w:hAnsi="Times New Roman"/>
          <w:sz w:val="20"/>
          <w:szCs w:val="20"/>
        </w:rPr>
        <w:t xml:space="preserve"> </w:t>
      </w:r>
      <w:proofErr w:type="spellStart"/>
      <w:r w:rsidR="0086341D" w:rsidRPr="00D064FF">
        <w:rPr>
          <w:rFonts w:ascii="Times New Roman" w:hAnsi="Times New Roman"/>
          <w:sz w:val="20"/>
          <w:szCs w:val="20"/>
        </w:rPr>
        <w:t>Urol</w:t>
      </w:r>
      <w:proofErr w:type="spellEnd"/>
      <w:r w:rsidR="0086341D" w:rsidRPr="00D064FF">
        <w:rPr>
          <w:rFonts w:ascii="Times New Roman" w:hAnsi="Times New Roman"/>
          <w:sz w:val="20"/>
          <w:szCs w:val="20"/>
        </w:rPr>
        <w:t>; 49(9): 953-5.</w:t>
      </w:r>
    </w:p>
    <w:p w:rsidR="00C35D52" w:rsidRPr="00D064FF" w:rsidRDefault="00C35D52" w:rsidP="00C35D52">
      <w:pPr>
        <w:numPr>
          <w:ilvl w:val="0"/>
          <w:numId w:val="6"/>
        </w:numPr>
        <w:snapToGrid w:val="0"/>
        <w:spacing w:after="0" w:line="240" w:lineRule="auto"/>
        <w:jc w:val="both"/>
        <w:rPr>
          <w:rFonts w:ascii="Times New Roman" w:hAnsi="Times New Roman"/>
          <w:sz w:val="20"/>
          <w:szCs w:val="20"/>
        </w:rPr>
      </w:pPr>
      <w:proofErr w:type="spellStart"/>
      <w:proofErr w:type="gramStart"/>
      <w:r w:rsidRPr="00D064FF">
        <w:rPr>
          <w:rFonts w:ascii="Times New Roman" w:hAnsi="Times New Roman"/>
          <w:sz w:val="20"/>
          <w:szCs w:val="20"/>
        </w:rPr>
        <w:t>W</w:t>
      </w:r>
      <w:r w:rsidR="0086341D" w:rsidRPr="00D064FF">
        <w:rPr>
          <w:rFonts w:ascii="Times New Roman" w:hAnsi="Times New Roman"/>
          <w:sz w:val="20"/>
          <w:szCs w:val="20"/>
        </w:rPr>
        <w:t>ymenga</w:t>
      </w:r>
      <w:proofErr w:type="spellEnd"/>
      <w:r w:rsidR="0086341D" w:rsidRPr="00D064FF">
        <w:rPr>
          <w:rFonts w:ascii="Times New Roman" w:hAnsi="Times New Roman"/>
          <w:sz w:val="20"/>
          <w:szCs w:val="20"/>
        </w:rPr>
        <w:t xml:space="preserve">, L., </w:t>
      </w:r>
      <w:proofErr w:type="spellStart"/>
      <w:r w:rsidR="0086341D" w:rsidRPr="00D064FF">
        <w:rPr>
          <w:rFonts w:ascii="Times New Roman" w:hAnsi="Times New Roman"/>
          <w:sz w:val="20"/>
          <w:szCs w:val="20"/>
        </w:rPr>
        <w:t>Boomsma</w:t>
      </w:r>
      <w:proofErr w:type="spellEnd"/>
      <w:r w:rsidR="0086341D" w:rsidRPr="00D064FF">
        <w:rPr>
          <w:rFonts w:ascii="Times New Roman" w:hAnsi="Times New Roman"/>
          <w:sz w:val="20"/>
          <w:szCs w:val="20"/>
        </w:rPr>
        <w:t xml:space="preserve">, J., </w:t>
      </w:r>
      <w:proofErr w:type="spellStart"/>
      <w:r w:rsidR="0086341D" w:rsidRPr="00D064FF">
        <w:rPr>
          <w:rFonts w:ascii="Times New Roman" w:hAnsi="Times New Roman"/>
          <w:sz w:val="20"/>
          <w:szCs w:val="20"/>
        </w:rPr>
        <w:t>Groenier</w:t>
      </w:r>
      <w:proofErr w:type="spellEnd"/>
      <w:r w:rsidR="0086341D" w:rsidRPr="00D064FF">
        <w:rPr>
          <w:rFonts w:ascii="Times New Roman" w:hAnsi="Times New Roman"/>
          <w:sz w:val="20"/>
          <w:szCs w:val="20"/>
        </w:rPr>
        <w:t xml:space="preserve">, K., Piers, D. and </w:t>
      </w:r>
      <w:proofErr w:type="spellStart"/>
      <w:r w:rsidR="0086341D" w:rsidRPr="00D064FF">
        <w:rPr>
          <w:rFonts w:ascii="Times New Roman" w:hAnsi="Times New Roman"/>
          <w:sz w:val="20"/>
          <w:szCs w:val="20"/>
        </w:rPr>
        <w:t>Mensink</w:t>
      </w:r>
      <w:proofErr w:type="spellEnd"/>
      <w:r w:rsidR="0086341D" w:rsidRPr="00D064FF">
        <w:rPr>
          <w:rFonts w:ascii="Times New Roman" w:hAnsi="Times New Roman"/>
          <w:sz w:val="20"/>
          <w:szCs w:val="20"/>
        </w:rPr>
        <w:t>, H. (2001).</w:t>
      </w:r>
      <w:proofErr w:type="gramEnd"/>
      <w:r w:rsidR="0086341D" w:rsidRPr="00D064FF">
        <w:rPr>
          <w:rFonts w:ascii="Times New Roman" w:hAnsi="Times New Roman"/>
          <w:sz w:val="20"/>
          <w:szCs w:val="20"/>
        </w:rPr>
        <w:t xml:space="preserve"> Routine bone scans in patients with prostate cancer related to serum prostate-specific antigen and alkaline </w:t>
      </w:r>
      <w:proofErr w:type="spellStart"/>
      <w:r w:rsidR="0086341D" w:rsidRPr="00D064FF">
        <w:rPr>
          <w:rFonts w:ascii="Times New Roman" w:hAnsi="Times New Roman"/>
          <w:sz w:val="20"/>
          <w:szCs w:val="20"/>
        </w:rPr>
        <w:t>phosphatase</w:t>
      </w:r>
      <w:proofErr w:type="spellEnd"/>
      <w:r w:rsidR="0086341D" w:rsidRPr="00D064FF">
        <w:rPr>
          <w:rFonts w:ascii="Times New Roman" w:hAnsi="Times New Roman"/>
          <w:sz w:val="20"/>
          <w:szCs w:val="20"/>
        </w:rPr>
        <w:t>. BJU International; 88(3): 226–230.</w:t>
      </w:r>
    </w:p>
    <w:p w:rsidR="00C35D52" w:rsidRPr="00D064FF" w:rsidRDefault="00C35D52" w:rsidP="00C35D52">
      <w:pPr>
        <w:numPr>
          <w:ilvl w:val="0"/>
          <w:numId w:val="6"/>
        </w:numPr>
        <w:snapToGrid w:val="0"/>
        <w:spacing w:after="0" w:line="240" w:lineRule="auto"/>
        <w:jc w:val="both"/>
        <w:rPr>
          <w:rFonts w:ascii="Times New Roman" w:hAnsi="Times New Roman"/>
          <w:sz w:val="20"/>
          <w:szCs w:val="20"/>
        </w:rPr>
      </w:pPr>
      <w:r w:rsidRPr="00D064FF">
        <w:rPr>
          <w:rFonts w:ascii="Times New Roman" w:hAnsi="Times New Roman"/>
          <w:sz w:val="20"/>
          <w:szCs w:val="20"/>
        </w:rPr>
        <w:t>O</w:t>
      </w:r>
      <w:r w:rsidR="0086341D" w:rsidRPr="00D064FF">
        <w:rPr>
          <w:rFonts w:ascii="Times New Roman" w:hAnsi="Times New Roman"/>
          <w:sz w:val="20"/>
          <w:szCs w:val="20"/>
        </w:rPr>
        <w:t xml:space="preserve">rtega A, Alonso JC, </w:t>
      </w:r>
      <w:proofErr w:type="spellStart"/>
      <w:r w:rsidR="0086341D" w:rsidRPr="00D064FF">
        <w:rPr>
          <w:rFonts w:ascii="Times New Roman" w:hAnsi="Times New Roman"/>
          <w:sz w:val="20"/>
          <w:szCs w:val="20"/>
        </w:rPr>
        <w:t>Suárez</w:t>
      </w:r>
      <w:proofErr w:type="spellEnd"/>
      <w:r w:rsidR="0086341D" w:rsidRPr="00D064FF">
        <w:rPr>
          <w:rFonts w:ascii="Times New Roman" w:hAnsi="Times New Roman"/>
          <w:sz w:val="20"/>
          <w:szCs w:val="20"/>
        </w:rPr>
        <w:t xml:space="preserve"> M, </w:t>
      </w:r>
      <w:proofErr w:type="spellStart"/>
      <w:r w:rsidR="0086341D" w:rsidRPr="00D064FF">
        <w:rPr>
          <w:rFonts w:ascii="Times New Roman" w:hAnsi="Times New Roman"/>
          <w:sz w:val="20"/>
          <w:szCs w:val="20"/>
        </w:rPr>
        <w:t>Domínguez</w:t>
      </w:r>
      <w:proofErr w:type="spellEnd"/>
      <w:r w:rsidR="0086341D" w:rsidRPr="00D064FF">
        <w:rPr>
          <w:rFonts w:ascii="Times New Roman" w:hAnsi="Times New Roman"/>
          <w:sz w:val="20"/>
          <w:szCs w:val="20"/>
        </w:rPr>
        <w:t xml:space="preserve"> P, </w:t>
      </w:r>
      <w:proofErr w:type="spellStart"/>
      <w:r w:rsidR="0086341D" w:rsidRPr="00D064FF">
        <w:rPr>
          <w:rFonts w:ascii="Times New Roman" w:hAnsi="Times New Roman"/>
          <w:sz w:val="20"/>
          <w:szCs w:val="20"/>
        </w:rPr>
        <w:t>Almoguera</w:t>
      </w:r>
      <w:proofErr w:type="spellEnd"/>
      <w:r w:rsidR="0086341D" w:rsidRPr="00D064FF">
        <w:rPr>
          <w:rFonts w:ascii="Times New Roman" w:hAnsi="Times New Roman"/>
          <w:sz w:val="20"/>
          <w:szCs w:val="20"/>
        </w:rPr>
        <w:t xml:space="preserve"> I, </w:t>
      </w:r>
      <w:proofErr w:type="spellStart"/>
      <w:r w:rsidR="0086341D" w:rsidRPr="00D064FF">
        <w:rPr>
          <w:rFonts w:ascii="Times New Roman" w:hAnsi="Times New Roman"/>
          <w:sz w:val="20"/>
          <w:szCs w:val="20"/>
        </w:rPr>
        <w:t>Bittini</w:t>
      </w:r>
      <w:proofErr w:type="spellEnd"/>
      <w:r w:rsidR="0086341D" w:rsidRPr="00D064FF">
        <w:rPr>
          <w:rFonts w:ascii="Times New Roman" w:hAnsi="Times New Roman"/>
          <w:sz w:val="20"/>
          <w:szCs w:val="20"/>
        </w:rPr>
        <w:t xml:space="preserve"> A, </w:t>
      </w:r>
      <w:proofErr w:type="spellStart"/>
      <w:r w:rsidR="0086341D" w:rsidRPr="00D064FF">
        <w:rPr>
          <w:rFonts w:ascii="Times New Roman" w:hAnsi="Times New Roman"/>
          <w:sz w:val="20"/>
          <w:szCs w:val="20"/>
        </w:rPr>
        <w:t>Gómez</w:t>
      </w:r>
      <w:proofErr w:type="spellEnd"/>
      <w:r w:rsidR="0086341D" w:rsidRPr="00D064FF">
        <w:rPr>
          <w:rFonts w:ascii="Times New Roman" w:hAnsi="Times New Roman"/>
          <w:sz w:val="20"/>
          <w:szCs w:val="20"/>
        </w:rPr>
        <w:t xml:space="preserve"> A, </w:t>
      </w:r>
      <w:proofErr w:type="spellStart"/>
      <w:r w:rsidR="0086341D" w:rsidRPr="00D064FF">
        <w:rPr>
          <w:rFonts w:ascii="Times New Roman" w:hAnsi="Times New Roman"/>
          <w:sz w:val="20"/>
          <w:szCs w:val="20"/>
        </w:rPr>
        <w:t>Martínez</w:t>
      </w:r>
      <w:proofErr w:type="spellEnd"/>
      <w:r w:rsidR="0086341D" w:rsidRPr="00D064FF">
        <w:rPr>
          <w:rFonts w:ascii="Times New Roman" w:hAnsi="Times New Roman"/>
          <w:sz w:val="20"/>
          <w:szCs w:val="20"/>
        </w:rPr>
        <w:t xml:space="preserve"> L, </w:t>
      </w:r>
      <w:proofErr w:type="spellStart"/>
      <w:r w:rsidR="0086341D" w:rsidRPr="00D064FF">
        <w:rPr>
          <w:rFonts w:ascii="Times New Roman" w:hAnsi="Times New Roman"/>
          <w:sz w:val="20"/>
          <w:szCs w:val="20"/>
        </w:rPr>
        <w:t>Herranz</w:t>
      </w:r>
      <w:proofErr w:type="spellEnd"/>
      <w:r w:rsidR="0086341D" w:rsidRPr="00D064FF">
        <w:rPr>
          <w:rFonts w:ascii="Times New Roman" w:hAnsi="Times New Roman"/>
          <w:sz w:val="20"/>
          <w:szCs w:val="20"/>
        </w:rPr>
        <w:t xml:space="preserve"> F, </w:t>
      </w:r>
      <w:proofErr w:type="spellStart"/>
      <w:r w:rsidR="0086341D" w:rsidRPr="00D064FF">
        <w:rPr>
          <w:rFonts w:ascii="Times New Roman" w:hAnsi="Times New Roman"/>
          <w:sz w:val="20"/>
          <w:szCs w:val="20"/>
        </w:rPr>
        <w:t>Pérez-Vázquez</w:t>
      </w:r>
      <w:proofErr w:type="spellEnd"/>
      <w:r w:rsidR="0086341D" w:rsidRPr="00D064FF">
        <w:rPr>
          <w:rFonts w:ascii="Times New Roman" w:hAnsi="Times New Roman"/>
          <w:sz w:val="20"/>
          <w:szCs w:val="20"/>
        </w:rPr>
        <w:t xml:space="preserve"> JM. </w:t>
      </w:r>
      <w:proofErr w:type="gramStart"/>
      <w:r w:rsidR="0086341D" w:rsidRPr="00D064FF">
        <w:rPr>
          <w:rFonts w:ascii="Times New Roman" w:hAnsi="Times New Roman"/>
          <w:sz w:val="20"/>
          <w:szCs w:val="20"/>
        </w:rPr>
        <w:t>(2000 Oct).</w:t>
      </w:r>
      <w:proofErr w:type="gramEnd"/>
      <w:r w:rsidR="0086341D" w:rsidRPr="00D064FF">
        <w:rPr>
          <w:rFonts w:ascii="Times New Roman" w:hAnsi="Times New Roman"/>
          <w:sz w:val="20"/>
          <w:szCs w:val="20"/>
        </w:rPr>
        <w:t xml:space="preserve"> Bone </w:t>
      </w:r>
      <w:proofErr w:type="spellStart"/>
      <w:r w:rsidR="0086341D" w:rsidRPr="00D064FF">
        <w:rPr>
          <w:rFonts w:ascii="Times New Roman" w:hAnsi="Times New Roman"/>
          <w:sz w:val="20"/>
          <w:szCs w:val="20"/>
        </w:rPr>
        <w:t>scintigraphy</w:t>
      </w:r>
      <w:proofErr w:type="spellEnd"/>
      <w:r w:rsidR="0086341D" w:rsidRPr="00D064FF">
        <w:rPr>
          <w:rFonts w:ascii="Times New Roman" w:hAnsi="Times New Roman"/>
          <w:sz w:val="20"/>
          <w:szCs w:val="20"/>
        </w:rPr>
        <w:t xml:space="preserve"> findings in patients with recently diagnosed </w:t>
      </w:r>
      <w:proofErr w:type="spellStart"/>
      <w:r w:rsidR="0086341D" w:rsidRPr="00D064FF">
        <w:rPr>
          <w:rFonts w:ascii="Times New Roman" w:hAnsi="Times New Roman"/>
          <w:sz w:val="20"/>
          <w:szCs w:val="20"/>
        </w:rPr>
        <w:t>adenocarcinoma</w:t>
      </w:r>
      <w:proofErr w:type="spellEnd"/>
      <w:r w:rsidR="0086341D" w:rsidRPr="00D064FF">
        <w:rPr>
          <w:rFonts w:ascii="Times New Roman" w:hAnsi="Times New Roman"/>
          <w:sz w:val="20"/>
          <w:szCs w:val="20"/>
        </w:rPr>
        <w:t xml:space="preserve"> of the prostate: relationship with prostate specific antigen levels. Rev </w:t>
      </w:r>
      <w:proofErr w:type="spellStart"/>
      <w:proofErr w:type="gramStart"/>
      <w:r w:rsidR="0086341D" w:rsidRPr="00D064FF">
        <w:rPr>
          <w:rFonts w:ascii="Times New Roman" w:hAnsi="Times New Roman"/>
          <w:sz w:val="20"/>
          <w:szCs w:val="20"/>
        </w:rPr>
        <w:t>Esp</w:t>
      </w:r>
      <w:proofErr w:type="spellEnd"/>
      <w:proofErr w:type="gramEnd"/>
      <w:r w:rsidR="0086341D" w:rsidRPr="00D064FF">
        <w:rPr>
          <w:rFonts w:ascii="Times New Roman" w:hAnsi="Times New Roman"/>
          <w:sz w:val="20"/>
          <w:szCs w:val="20"/>
        </w:rPr>
        <w:t xml:space="preserve"> Med </w:t>
      </w:r>
      <w:proofErr w:type="spellStart"/>
      <w:r w:rsidR="0086341D" w:rsidRPr="00D064FF">
        <w:rPr>
          <w:rFonts w:ascii="Times New Roman" w:hAnsi="Times New Roman"/>
          <w:sz w:val="20"/>
          <w:szCs w:val="20"/>
        </w:rPr>
        <w:t>Nucl</w:t>
      </w:r>
      <w:proofErr w:type="spellEnd"/>
      <w:r w:rsidR="0086341D" w:rsidRPr="00D064FF">
        <w:rPr>
          <w:rFonts w:ascii="Times New Roman" w:hAnsi="Times New Roman"/>
          <w:sz w:val="20"/>
          <w:szCs w:val="20"/>
        </w:rPr>
        <w:t>; 19(6): 409-15.</w:t>
      </w:r>
    </w:p>
    <w:p w:rsidR="00C35D52" w:rsidRPr="00D064FF" w:rsidRDefault="00C35D52" w:rsidP="00C35D52">
      <w:pPr>
        <w:numPr>
          <w:ilvl w:val="0"/>
          <w:numId w:val="6"/>
        </w:numPr>
        <w:snapToGrid w:val="0"/>
        <w:spacing w:after="0" w:line="240" w:lineRule="auto"/>
        <w:jc w:val="both"/>
        <w:rPr>
          <w:rFonts w:ascii="Times New Roman" w:hAnsi="Times New Roman"/>
          <w:sz w:val="20"/>
          <w:szCs w:val="20"/>
        </w:rPr>
      </w:pPr>
      <w:proofErr w:type="spellStart"/>
      <w:r w:rsidRPr="00D064FF">
        <w:rPr>
          <w:rFonts w:ascii="Times New Roman" w:hAnsi="Times New Roman"/>
          <w:sz w:val="20"/>
          <w:szCs w:val="20"/>
        </w:rPr>
        <w:t>B</w:t>
      </w:r>
      <w:r w:rsidR="0086341D" w:rsidRPr="00D064FF">
        <w:rPr>
          <w:rFonts w:ascii="Times New Roman" w:hAnsi="Times New Roman"/>
          <w:sz w:val="20"/>
          <w:szCs w:val="20"/>
        </w:rPr>
        <w:t>egic</w:t>
      </w:r>
      <w:proofErr w:type="spellEnd"/>
      <w:r w:rsidR="0086341D" w:rsidRPr="00D064FF">
        <w:rPr>
          <w:rFonts w:ascii="Times New Roman" w:hAnsi="Times New Roman"/>
          <w:sz w:val="20"/>
          <w:szCs w:val="20"/>
        </w:rPr>
        <w:t xml:space="preserve"> A, </w:t>
      </w:r>
      <w:proofErr w:type="spellStart"/>
      <w:r w:rsidR="0086341D" w:rsidRPr="00D064FF">
        <w:rPr>
          <w:rFonts w:ascii="Times New Roman" w:hAnsi="Times New Roman"/>
          <w:sz w:val="20"/>
          <w:szCs w:val="20"/>
        </w:rPr>
        <w:t>Kucukalic-Selimovic</w:t>
      </w:r>
      <w:proofErr w:type="spellEnd"/>
      <w:r w:rsidR="0086341D" w:rsidRPr="00D064FF">
        <w:rPr>
          <w:rFonts w:ascii="Times New Roman" w:hAnsi="Times New Roman"/>
          <w:sz w:val="20"/>
          <w:szCs w:val="20"/>
        </w:rPr>
        <w:t xml:space="preserve"> E, </w:t>
      </w:r>
      <w:proofErr w:type="spellStart"/>
      <w:r w:rsidR="0086341D" w:rsidRPr="00D064FF">
        <w:rPr>
          <w:rFonts w:ascii="Times New Roman" w:hAnsi="Times New Roman"/>
          <w:sz w:val="20"/>
          <w:szCs w:val="20"/>
        </w:rPr>
        <w:t>Obralic</w:t>
      </w:r>
      <w:proofErr w:type="spellEnd"/>
      <w:r w:rsidR="0086341D" w:rsidRPr="00D064FF">
        <w:rPr>
          <w:rFonts w:ascii="Times New Roman" w:hAnsi="Times New Roman"/>
          <w:sz w:val="20"/>
          <w:szCs w:val="20"/>
        </w:rPr>
        <w:t xml:space="preserve"> N, </w:t>
      </w:r>
      <w:proofErr w:type="spellStart"/>
      <w:r w:rsidR="0086341D" w:rsidRPr="00D064FF">
        <w:rPr>
          <w:rFonts w:ascii="Times New Roman" w:hAnsi="Times New Roman"/>
          <w:sz w:val="20"/>
          <w:szCs w:val="20"/>
        </w:rPr>
        <w:t>Duric</w:t>
      </w:r>
      <w:proofErr w:type="spellEnd"/>
      <w:r w:rsidR="0086341D" w:rsidRPr="00D064FF">
        <w:rPr>
          <w:rFonts w:ascii="Times New Roman" w:hAnsi="Times New Roman"/>
          <w:sz w:val="20"/>
          <w:szCs w:val="20"/>
        </w:rPr>
        <w:t xml:space="preserve"> O, </w:t>
      </w:r>
      <w:proofErr w:type="spellStart"/>
      <w:r w:rsidR="0086341D" w:rsidRPr="00D064FF">
        <w:rPr>
          <w:rFonts w:ascii="Times New Roman" w:hAnsi="Times New Roman"/>
          <w:sz w:val="20"/>
          <w:szCs w:val="20"/>
        </w:rPr>
        <w:t>Lacevic</w:t>
      </w:r>
      <w:proofErr w:type="spellEnd"/>
      <w:r w:rsidR="0086341D" w:rsidRPr="00D064FF">
        <w:rPr>
          <w:rFonts w:ascii="Times New Roman" w:hAnsi="Times New Roman"/>
          <w:sz w:val="20"/>
          <w:szCs w:val="20"/>
        </w:rPr>
        <w:t xml:space="preserve"> N, </w:t>
      </w:r>
      <w:proofErr w:type="spellStart"/>
      <w:r w:rsidR="0086341D" w:rsidRPr="00D064FF">
        <w:rPr>
          <w:rFonts w:ascii="Times New Roman" w:hAnsi="Times New Roman"/>
          <w:sz w:val="20"/>
          <w:szCs w:val="20"/>
        </w:rPr>
        <w:t>Begovic-Hadzimuratovic</w:t>
      </w:r>
      <w:proofErr w:type="spellEnd"/>
      <w:r w:rsidR="0086341D" w:rsidRPr="00D064FF">
        <w:rPr>
          <w:rFonts w:ascii="Times New Roman" w:hAnsi="Times New Roman"/>
          <w:sz w:val="20"/>
          <w:szCs w:val="20"/>
        </w:rPr>
        <w:t xml:space="preserve"> S, </w:t>
      </w:r>
      <w:proofErr w:type="spellStart"/>
      <w:r w:rsidR="0086341D" w:rsidRPr="00D064FF">
        <w:rPr>
          <w:rFonts w:ascii="Times New Roman" w:hAnsi="Times New Roman"/>
          <w:sz w:val="20"/>
          <w:szCs w:val="20"/>
        </w:rPr>
        <w:t>Skopljak</w:t>
      </w:r>
      <w:proofErr w:type="spellEnd"/>
      <w:r w:rsidR="0086341D" w:rsidRPr="00D064FF">
        <w:rPr>
          <w:rFonts w:ascii="Times New Roman" w:hAnsi="Times New Roman"/>
          <w:sz w:val="20"/>
          <w:szCs w:val="20"/>
        </w:rPr>
        <w:t xml:space="preserve"> A, </w:t>
      </w:r>
      <w:proofErr w:type="spellStart"/>
      <w:r w:rsidR="0086341D" w:rsidRPr="00D064FF">
        <w:rPr>
          <w:rFonts w:ascii="Times New Roman" w:hAnsi="Times New Roman"/>
          <w:sz w:val="20"/>
          <w:szCs w:val="20"/>
        </w:rPr>
        <w:t>Dzubur-Aganovic</w:t>
      </w:r>
      <w:proofErr w:type="spellEnd"/>
      <w:r w:rsidR="0086341D" w:rsidRPr="00D064FF">
        <w:rPr>
          <w:rFonts w:ascii="Times New Roman" w:hAnsi="Times New Roman"/>
          <w:sz w:val="20"/>
          <w:szCs w:val="20"/>
        </w:rPr>
        <w:t xml:space="preserve"> M. (2006).</w:t>
      </w:r>
      <w:r w:rsidR="00D064FF">
        <w:rPr>
          <w:rFonts w:ascii="Times New Roman" w:hAnsi="Times New Roman" w:hint="eastAsia"/>
          <w:sz w:val="20"/>
          <w:szCs w:val="20"/>
          <w:lang w:eastAsia="zh-CN"/>
        </w:rPr>
        <w:t xml:space="preserve"> </w:t>
      </w:r>
      <w:proofErr w:type="gramStart"/>
      <w:r w:rsidR="0086341D" w:rsidRPr="00D064FF">
        <w:rPr>
          <w:rFonts w:ascii="Times New Roman" w:hAnsi="Times New Roman"/>
          <w:sz w:val="20"/>
          <w:szCs w:val="20"/>
        </w:rPr>
        <w:t xml:space="preserve">The relationship between the serum prostate specific antigen and whole body </w:t>
      </w:r>
      <w:proofErr w:type="spellStart"/>
      <w:r w:rsidR="0086341D" w:rsidRPr="00D064FF">
        <w:rPr>
          <w:rFonts w:ascii="Times New Roman" w:hAnsi="Times New Roman"/>
          <w:sz w:val="20"/>
          <w:szCs w:val="20"/>
        </w:rPr>
        <w:t>scintigraphy</w:t>
      </w:r>
      <w:proofErr w:type="spellEnd"/>
      <w:r w:rsidR="0086341D" w:rsidRPr="00D064FF">
        <w:rPr>
          <w:rFonts w:ascii="Times New Roman" w:hAnsi="Times New Roman"/>
          <w:sz w:val="20"/>
          <w:szCs w:val="20"/>
        </w:rPr>
        <w:t xml:space="preserve"> in prostate cancer patients after prostatectomy.</w:t>
      </w:r>
      <w:proofErr w:type="gramEnd"/>
      <w:r w:rsidR="0086341D" w:rsidRPr="00D064FF">
        <w:rPr>
          <w:rFonts w:ascii="Times New Roman" w:hAnsi="Times New Roman"/>
          <w:sz w:val="20"/>
          <w:szCs w:val="20"/>
        </w:rPr>
        <w:t xml:space="preserve"> Med </w:t>
      </w:r>
      <w:proofErr w:type="spellStart"/>
      <w:r w:rsidR="0086341D" w:rsidRPr="00D064FF">
        <w:rPr>
          <w:rFonts w:ascii="Times New Roman" w:hAnsi="Times New Roman"/>
          <w:sz w:val="20"/>
          <w:szCs w:val="20"/>
        </w:rPr>
        <w:t>Arh</w:t>
      </w:r>
      <w:proofErr w:type="spellEnd"/>
      <w:r w:rsidR="0086341D" w:rsidRPr="00D064FF">
        <w:rPr>
          <w:rFonts w:ascii="Times New Roman" w:hAnsi="Times New Roman"/>
          <w:sz w:val="20"/>
          <w:szCs w:val="20"/>
        </w:rPr>
        <w:t>; 60(1): 54-5.</w:t>
      </w:r>
    </w:p>
    <w:p w:rsidR="00C35D52" w:rsidRPr="00D064FF" w:rsidRDefault="00C35D52" w:rsidP="00C35D52">
      <w:pPr>
        <w:numPr>
          <w:ilvl w:val="0"/>
          <w:numId w:val="6"/>
        </w:numPr>
        <w:snapToGrid w:val="0"/>
        <w:spacing w:after="0" w:line="240" w:lineRule="auto"/>
        <w:jc w:val="both"/>
        <w:rPr>
          <w:rFonts w:ascii="Times New Roman" w:hAnsi="Times New Roman"/>
          <w:sz w:val="20"/>
          <w:szCs w:val="20"/>
        </w:rPr>
      </w:pPr>
      <w:r w:rsidRPr="00D064FF">
        <w:rPr>
          <w:rFonts w:ascii="Times New Roman" w:hAnsi="Times New Roman"/>
          <w:sz w:val="20"/>
          <w:szCs w:val="20"/>
        </w:rPr>
        <w:t>J</w:t>
      </w:r>
      <w:r w:rsidR="0086341D" w:rsidRPr="00D064FF">
        <w:rPr>
          <w:rFonts w:ascii="Times New Roman" w:hAnsi="Times New Roman"/>
          <w:sz w:val="20"/>
          <w:szCs w:val="20"/>
        </w:rPr>
        <w:t xml:space="preserve">.M. Wolff, M. </w:t>
      </w:r>
      <w:proofErr w:type="spellStart"/>
      <w:r w:rsidR="0086341D" w:rsidRPr="00D064FF">
        <w:rPr>
          <w:rFonts w:ascii="Times New Roman" w:hAnsi="Times New Roman"/>
          <w:sz w:val="20"/>
          <w:szCs w:val="20"/>
        </w:rPr>
        <w:t>Zimny</w:t>
      </w:r>
      <w:proofErr w:type="spellEnd"/>
      <w:r w:rsidR="0086341D" w:rsidRPr="00D064FF">
        <w:rPr>
          <w:rFonts w:ascii="Times New Roman" w:hAnsi="Times New Roman"/>
          <w:sz w:val="20"/>
          <w:szCs w:val="20"/>
        </w:rPr>
        <w:t xml:space="preserve">, H. </w:t>
      </w:r>
      <w:proofErr w:type="spellStart"/>
      <w:r w:rsidR="0086341D" w:rsidRPr="00D064FF">
        <w:rPr>
          <w:rFonts w:ascii="Times New Roman" w:hAnsi="Times New Roman"/>
          <w:sz w:val="20"/>
          <w:szCs w:val="20"/>
        </w:rPr>
        <w:t>Borchers</w:t>
      </w:r>
      <w:proofErr w:type="spellEnd"/>
      <w:r w:rsidR="0086341D" w:rsidRPr="00D064FF">
        <w:rPr>
          <w:rFonts w:ascii="Times New Roman" w:hAnsi="Times New Roman"/>
          <w:sz w:val="20"/>
          <w:szCs w:val="20"/>
        </w:rPr>
        <w:t xml:space="preserve">, J. </w:t>
      </w:r>
      <w:proofErr w:type="spellStart"/>
      <w:r w:rsidR="0086341D" w:rsidRPr="00D064FF">
        <w:rPr>
          <w:rFonts w:ascii="Times New Roman" w:hAnsi="Times New Roman"/>
          <w:sz w:val="20"/>
          <w:szCs w:val="20"/>
        </w:rPr>
        <w:t>Wildberger</w:t>
      </w:r>
      <w:proofErr w:type="spellEnd"/>
      <w:r w:rsidR="0086341D" w:rsidRPr="00D064FF">
        <w:rPr>
          <w:rFonts w:ascii="Times New Roman" w:hAnsi="Times New Roman"/>
          <w:sz w:val="20"/>
          <w:szCs w:val="20"/>
        </w:rPr>
        <w:t xml:space="preserve">, U. Buell, G. </w:t>
      </w:r>
      <w:proofErr w:type="spellStart"/>
      <w:r w:rsidR="0086341D" w:rsidRPr="00D064FF">
        <w:rPr>
          <w:rFonts w:ascii="Times New Roman" w:hAnsi="Times New Roman"/>
          <w:sz w:val="20"/>
          <w:szCs w:val="20"/>
        </w:rPr>
        <w:t>Jakse</w:t>
      </w:r>
      <w:proofErr w:type="spellEnd"/>
      <w:r w:rsidR="0086341D" w:rsidRPr="00D064FF">
        <w:rPr>
          <w:rFonts w:ascii="Times New Roman" w:hAnsi="Times New Roman"/>
          <w:sz w:val="20"/>
          <w:szCs w:val="20"/>
        </w:rPr>
        <w:t xml:space="preserve">. (1998). Is Prostate-Specific Antigen a Reliable Marker of Bone Metastasis in Patients with Newly Diagnosed Cancer of the Prostate? </w:t>
      </w:r>
      <w:proofErr w:type="spellStart"/>
      <w:r w:rsidR="0086341D" w:rsidRPr="00D064FF">
        <w:rPr>
          <w:rFonts w:ascii="Times New Roman" w:hAnsi="Times New Roman"/>
          <w:sz w:val="20"/>
          <w:szCs w:val="20"/>
        </w:rPr>
        <w:t>Eur</w:t>
      </w:r>
      <w:proofErr w:type="spellEnd"/>
      <w:r w:rsidR="0086341D" w:rsidRPr="00D064FF">
        <w:rPr>
          <w:rFonts w:ascii="Times New Roman" w:hAnsi="Times New Roman"/>
          <w:sz w:val="20"/>
          <w:szCs w:val="20"/>
        </w:rPr>
        <w:t xml:space="preserve"> </w:t>
      </w:r>
      <w:proofErr w:type="spellStart"/>
      <w:r w:rsidR="0086341D" w:rsidRPr="00D064FF">
        <w:rPr>
          <w:rFonts w:ascii="Times New Roman" w:hAnsi="Times New Roman"/>
          <w:sz w:val="20"/>
          <w:szCs w:val="20"/>
        </w:rPr>
        <w:t>Urol</w:t>
      </w:r>
      <w:proofErr w:type="spellEnd"/>
      <w:r w:rsidR="0086341D" w:rsidRPr="00D064FF">
        <w:rPr>
          <w:rFonts w:ascii="Times New Roman" w:hAnsi="Times New Roman"/>
          <w:sz w:val="20"/>
          <w:szCs w:val="20"/>
        </w:rPr>
        <w:t>; 33(4): 376-381.</w:t>
      </w:r>
    </w:p>
    <w:p w:rsidR="00C35D52" w:rsidRPr="00D064FF" w:rsidRDefault="00C35D52" w:rsidP="00C35D52">
      <w:pPr>
        <w:numPr>
          <w:ilvl w:val="0"/>
          <w:numId w:val="6"/>
        </w:numPr>
        <w:snapToGrid w:val="0"/>
        <w:spacing w:after="0" w:line="240" w:lineRule="auto"/>
        <w:jc w:val="both"/>
        <w:rPr>
          <w:rFonts w:ascii="Times New Roman" w:hAnsi="Times New Roman"/>
          <w:sz w:val="20"/>
          <w:szCs w:val="20"/>
        </w:rPr>
      </w:pPr>
      <w:r w:rsidRPr="00D064FF">
        <w:rPr>
          <w:rFonts w:ascii="Times New Roman" w:hAnsi="Times New Roman"/>
          <w:sz w:val="20"/>
          <w:szCs w:val="20"/>
        </w:rPr>
        <w:t>M</w:t>
      </w:r>
      <w:r w:rsidR="0086341D" w:rsidRPr="00D064FF">
        <w:rPr>
          <w:rFonts w:ascii="Times New Roman" w:hAnsi="Times New Roman"/>
          <w:sz w:val="20"/>
          <w:szCs w:val="20"/>
        </w:rPr>
        <w:t xml:space="preserve">ichael L. Cher, Fernando J. </w:t>
      </w:r>
      <w:proofErr w:type="spellStart"/>
      <w:r w:rsidR="0086341D" w:rsidRPr="00D064FF">
        <w:rPr>
          <w:rFonts w:ascii="Times New Roman" w:hAnsi="Times New Roman"/>
          <w:sz w:val="20"/>
          <w:szCs w:val="20"/>
        </w:rPr>
        <w:t>Bianco</w:t>
      </w:r>
      <w:proofErr w:type="spellEnd"/>
      <w:r w:rsidR="0086341D" w:rsidRPr="00D064FF">
        <w:rPr>
          <w:rFonts w:ascii="Times New Roman" w:hAnsi="Times New Roman"/>
          <w:sz w:val="20"/>
          <w:szCs w:val="20"/>
        </w:rPr>
        <w:t xml:space="preserve"> Jr., John S. Lam, Lawrence P. Davis, David </w:t>
      </w:r>
      <w:proofErr w:type="spellStart"/>
      <w:r w:rsidR="0086341D" w:rsidRPr="00D064FF">
        <w:rPr>
          <w:rFonts w:ascii="Times New Roman" w:hAnsi="Times New Roman"/>
          <w:sz w:val="20"/>
          <w:szCs w:val="20"/>
        </w:rPr>
        <w:t>Jgrignon</w:t>
      </w:r>
      <w:proofErr w:type="spellEnd"/>
      <w:r w:rsidR="0086341D" w:rsidRPr="00D064FF">
        <w:rPr>
          <w:rFonts w:ascii="Times New Roman" w:hAnsi="Times New Roman"/>
          <w:sz w:val="20"/>
          <w:szCs w:val="20"/>
        </w:rPr>
        <w:t xml:space="preserve">, </w:t>
      </w:r>
      <w:proofErr w:type="spellStart"/>
      <w:r w:rsidR="0086341D" w:rsidRPr="00D064FF">
        <w:rPr>
          <w:rFonts w:ascii="Times New Roman" w:hAnsi="Times New Roman"/>
          <w:sz w:val="20"/>
          <w:szCs w:val="20"/>
        </w:rPr>
        <w:t>Waela</w:t>
      </w:r>
      <w:proofErr w:type="spellEnd"/>
      <w:r w:rsidR="0086341D" w:rsidRPr="00D064FF">
        <w:rPr>
          <w:rFonts w:ascii="Times New Roman" w:hAnsi="Times New Roman"/>
          <w:sz w:val="20"/>
          <w:szCs w:val="20"/>
        </w:rPr>
        <w:t xml:space="preserve">. </w:t>
      </w:r>
      <w:proofErr w:type="spellStart"/>
      <w:r w:rsidR="0086341D" w:rsidRPr="00D064FF">
        <w:rPr>
          <w:rFonts w:ascii="Times New Roman" w:hAnsi="Times New Roman"/>
          <w:sz w:val="20"/>
          <w:szCs w:val="20"/>
        </w:rPr>
        <w:t>Sakr</w:t>
      </w:r>
      <w:proofErr w:type="spellEnd"/>
      <w:r w:rsidR="0086341D" w:rsidRPr="00D064FF">
        <w:rPr>
          <w:rFonts w:ascii="Times New Roman" w:hAnsi="Times New Roman"/>
          <w:sz w:val="20"/>
          <w:szCs w:val="20"/>
        </w:rPr>
        <w:t xml:space="preserve">, </w:t>
      </w:r>
      <w:proofErr w:type="spellStart"/>
      <w:r w:rsidR="0086341D" w:rsidRPr="00D064FF">
        <w:rPr>
          <w:rFonts w:ascii="Times New Roman" w:hAnsi="Times New Roman"/>
          <w:sz w:val="20"/>
          <w:szCs w:val="20"/>
        </w:rPr>
        <w:t>Mousumi</w:t>
      </w:r>
      <w:proofErr w:type="spellEnd"/>
      <w:r w:rsidR="0086341D" w:rsidRPr="00D064FF">
        <w:rPr>
          <w:rFonts w:ascii="Times New Roman" w:hAnsi="Times New Roman"/>
          <w:sz w:val="20"/>
          <w:szCs w:val="20"/>
        </w:rPr>
        <w:t xml:space="preserve"> </w:t>
      </w:r>
      <w:proofErr w:type="spellStart"/>
      <w:r w:rsidR="0086341D" w:rsidRPr="00D064FF">
        <w:rPr>
          <w:rFonts w:ascii="Times New Roman" w:hAnsi="Times New Roman"/>
          <w:sz w:val="20"/>
          <w:szCs w:val="20"/>
        </w:rPr>
        <w:t>Banerjee</w:t>
      </w:r>
      <w:proofErr w:type="spellEnd"/>
      <w:r w:rsidR="0086341D" w:rsidRPr="00D064FF">
        <w:rPr>
          <w:rFonts w:ascii="Times New Roman" w:hAnsi="Times New Roman"/>
          <w:sz w:val="20"/>
          <w:szCs w:val="20"/>
        </w:rPr>
        <w:t xml:space="preserve">, J. </w:t>
      </w:r>
      <w:proofErr w:type="spellStart"/>
      <w:r w:rsidR="0086341D" w:rsidRPr="00D064FF">
        <w:rPr>
          <w:rFonts w:ascii="Times New Roman" w:hAnsi="Times New Roman"/>
          <w:sz w:val="20"/>
          <w:szCs w:val="20"/>
        </w:rPr>
        <w:t>Edson</w:t>
      </w:r>
      <w:proofErr w:type="spellEnd"/>
      <w:r w:rsidR="0086341D" w:rsidRPr="00D064FF">
        <w:rPr>
          <w:rFonts w:ascii="Times New Roman" w:hAnsi="Times New Roman"/>
          <w:sz w:val="20"/>
          <w:szCs w:val="20"/>
        </w:rPr>
        <w:t xml:space="preserve"> Pontes, David P. Wood JR. (October 1998).</w:t>
      </w:r>
      <w:r w:rsidR="00D064FF">
        <w:rPr>
          <w:rFonts w:ascii="Times New Roman" w:hAnsi="Times New Roman" w:hint="eastAsia"/>
          <w:sz w:val="20"/>
          <w:szCs w:val="20"/>
          <w:lang w:eastAsia="zh-CN"/>
        </w:rPr>
        <w:t xml:space="preserve"> </w:t>
      </w:r>
      <w:proofErr w:type="gramStart"/>
      <w:r w:rsidR="0086341D" w:rsidRPr="00D064FF">
        <w:rPr>
          <w:rFonts w:ascii="Times New Roman" w:hAnsi="Times New Roman"/>
          <w:sz w:val="20"/>
          <w:szCs w:val="20"/>
        </w:rPr>
        <w:t xml:space="preserve">Limited role of radionuclide bone </w:t>
      </w:r>
      <w:proofErr w:type="spellStart"/>
      <w:r w:rsidR="0086341D" w:rsidRPr="00D064FF">
        <w:rPr>
          <w:rFonts w:ascii="Times New Roman" w:hAnsi="Times New Roman"/>
          <w:sz w:val="20"/>
          <w:szCs w:val="20"/>
        </w:rPr>
        <w:t>scintigraphy</w:t>
      </w:r>
      <w:proofErr w:type="spellEnd"/>
      <w:r w:rsidR="0086341D" w:rsidRPr="00D064FF">
        <w:rPr>
          <w:rFonts w:ascii="Times New Roman" w:hAnsi="Times New Roman"/>
          <w:sz w:val="20"/>
          <w:szCs w:val="20"/>
        </w:rPr>
        <w:t xml:space="preserve"> in patients with prostate specific antigen elevations after radical prostatectomy.</w:t>
      </w:r>
      <w:proofErr w:type="gramEnd"/>
      <w:r w:rsidR="00D064FF">
        <w:rPr>
          <w:rFonts w:ascii="Times New Roman" w:hAnsi="Times New Roman"/>
          <w:sz w:val="20"/>
          <w:szCs w:val="20"/>
        </w:rPr>
        <w:t xml:space="preserve"> </w:t>
      </w:r>
      <w:r w:rsidR="0086341D" w:rsidRPr="00D064FF">
        <w:rPr>
          <w:rFonts w:ascii="Times New Roman" w:hAnsi="Times New Roman"/>
          <w:sz w:val="20"/>
          <w:szCs w:val="20"/>
        </w:rPr>
        <w:t>The Journal of Urology; 160(4): 1387–1391.</w:t>
      </w:r>
    </w:p>
    <w:p w:rsidR="00C35D52" w:rsidRPr="00D064FF" w:rsidRDefault="00C35D52" w:rsidP="00C35D52">
      <w:pPr>
        <w:numPr>
          <w:ilvl w:val="0"/>
          <w:numId w:val="6"/>
        </w:numPr>
        <w:snapToGrid w:val="0"/>
        <w:spacing w:after="0" w:line="240" w:lineRule="auto"/>
        <w:jc w:val="both"/>
        <w:rPr>
          <w:rFonts w:ascii="Times New Roman" w:hAnsi="Times New Roman"/>
          <w:sz w:val="20"/>
          <w:szCs w:val="20"/>
        </w:rPr>
      </w:pPr>
      <w:r w:rsidRPr="00D064FF">
        <w:rPr>
          <w:rFonts w:ascii="Times New Roman" w:hAnsi="Times New Roman"/>
          <w:sz w:val="20"/>
          <w:szCs w:val="20"/>
        </w:rPr>
        <w:t>L</w:t>
      </w:r>
      <w:r w:rsidR="0086341D" w:rsidRPr="00D064FF">
        <w:rPr>
          <w:rFonts w:ascii="Times New Roman" w:hAnsi="Times New Roman"/>
          <w:sz w:val="20"/>
          <w:szCs w:val="20"/>
        </w:rPr>
        <w:t>ing-</w:t>
      </w:r>
      <w:proofErr w:type="spellStart"/>
      <w:r w:rsidR="0086341D" w:rsidRPr="00D064FF">
        <w:rPr>
          <w:rFonts w:ascii="Times New Roman" w:hAnsi="Times New Roman"/>
          <w:sz w:val="20"/>
          <w:szCs w:val="20"/>
        </w:rPr>
        <w:t>Huei</w:t>
      </w:r>
      <w:proofErr w:type="spellEnd"/>
      <w:r w:rsidR="0086341D" w:rsidRPr="00D064FF">
        <w:rPr>
          <w:rFonts w:ascii="Times New Roman" w:hAnsi="Times New Roman"/>
          <w:sz w:val="20"/>
          <w:szCs w:val="20"/>
        </w:rPr>
        <w:t xml:space="preserve"> Wei, </w:t>
      </w:r>
      <w:proofErr w:type="spellStart"/>
      <w:r w:rsidR="0086341D" w:rsidRPr="00D064FF">
        <w:rPr>
          <w:rFonts w:ascii="Times New Roman" w:hAnsi="Times New Roman"/>
          <w:sz w:val="20"/>
          <w:szCs w:val="20"/>
        </w:rPr>
        <w:t>Jainn</w:t>
      </w:r>
      <w:proofErr w:type="spellEnd"/>
      <w:r w:rsidR="0086341D" w:rsidRPr="00D064FF">
        <w:rPr>
          <w:rFonts w:ascii="Times New Roman" w:hAnsi="Times New Roman"/>
          <w:sz w:val="20"/>
          <w:szCs w:val="20"/>
        </w:rPr>
        <w:t xml:space="preserve">-Shinn Chin, </w:t>
      </w:r>
      <w:proofErr w:type="spellStart"/>
      <w:r w:rsidR="0086341D" w:rsidRPr="00D064FF">
        <w:rPr>
          <w:rFonts w:ascii="Times New Roman" w:hAnsi="Times New Roman"/>
          <w:sz w:val="20"/>
          <w:szCs w:val="20"/>
        </w:rPr>
        <w:t>Shion</w:t>
      </w:r>
      <w:proofErr w:type="spellEnd"/>
      <w:r w:rsidR="0086341D" w:rsidRPr="00D064FF">
        <w:rPr>
          <w:rFonts w:ascii="Times New Roman" w:hAnsi="Times New Roman"/>
          <w:sz w:val="20"/>
          <w:szCs w:val="20"/>
        </w:rPr>
        <w:t xml:space="preserve">-Ying Chang, </w:t>
      </w:r>
      <w:proofErr w:type="spellStart"/>
      <w:r w:rsidR="0086341D" w:rsidRPr="00D064FF">
        <w:rPr>
          <w:rFonts w:ascii="Times New Roman" w:hAnsi="Times New Roman"/>
          <w:sz w:val="20"/>
          <w:szCs w:val="20"/>
        </w:rPr>
        <w:t>Yuh-Feng</w:t>
      </w:r>
      <w:proofErr w:type="spellEnd"/>
      <w:r w:rsidR="0086341D" w:rsidRPr="00D064FF">
        <w:rPr>
          <w:rFonts w:ascii="Times New Roman" w:hAnsi="Times New Roman"/>
          <w:sz w:val="20"/>
          <w:szCs w:val="20"/>
        </w:rPr>
        <w:t xml:space="preserve"> Wang. (Dec 2008).</w:t>
      </w:r>
      <w:r w:rsidR="00D064FF">
        <w:rPr>
          <w:rFonts w:ascii="Times New Roman" w:hAnsi="Times New Roman" w:hint="eastAsia"/>
          <w:sz w:val="20"/>
          <w:szCs w:val="20"/>
          <w:lang w:eastAsia="zh-CN"/>
        </w:rPr>
        <w:t xml:space="preserve"> </w:t>
      </w:r>
      <w:r w:rsidR="0086341D" w:rsidRPr="00D064FF">
        <w:rPr>
          <w:rFonts w:ascii="Times New Roman" w:hAnsi="Times New Roman"/>
          <w:sz w:val="20"/>
          <w:szCs w:val="20"/>
        </w:rPr>
        <w:t>Predicting bone metastasis in prostate cancer patients: Value of prostate specific antigen.</w:t>
      </w:r>
      <w:r w:rsidR="00D064FF">
        <w:rPr>
          <w:rFonts w:ascii="Times New Roman" w:hAnsi="Times New Roman" w:hint="eastAsia"/>
          <w:sz w:val="20"/>
          <w:szCs w:val="20"/>
          <w:lang w:eastAsia="zh-CN"/>
        </w:rPr>
        <w:t xml:space="preserve"> </w:t>
      </w:r>
      <w:proofErr w:type="spellStart"/>
      <w:r w:rsidR="0086341D" w:rsidRPr="00D064FF">
        <w:rPr>
          <w:rFonts w:ascii="Times New Roman" w:hAnsi="Times New Roman"/>
          <w:sz w:val="20"/>
          <w:szCs w:val="20"/>
        </w:rPr>
        <w:t>Tzuchi</w:t>
      </w:r>
      <w:proofErr w:type="spellEnd"/>
      <w:r w:rsidR="0086341D" w:rsidRPr="00D064FF">
        <w:rPr>
          <w:rFonts w:ascii="Times New Roman" w:hAnsi="Times New Roman"/>
          <w:sz w:val="20"/>
          <w:szCs w:val="20"/>
        </w:rPr>
        <w:t xml:space="preserve"> med J; 20(4): 291-295.</w:t>
      </w:r>
    </w:p>
    <w:p w:rsidR="00C35D52" w:rsidRPr="00D064FF" w:rsidRDefault="00C35D52" w:rsidP="00C35D52">
      <w:pPr>
        <w:numPr>
          <w:ilvl w:val="0"/>
          <w:numId w:val="6"/>
        </w:numPr>
        <w:snapToGrid w:val="0"/>
        <w:spacing w:after="0" w:line="240" w:lineRule="auto"/>
        <w:jc w:val="both"/>
        <w:rPr>
          <w:rFonts w:ascii="Times New Roman" w:eastAsia="Times New Roman" w:hAnsi="Times New Roman"/>
          <w:sz w:val="20"/>
          <w:szCs w:val="20"/>
        </w:rPr>
      </w:pPr>
      <w:r w:rsidRPr="00D064FF">
        <w:rPr>
          <w:rFonts w:ascii="Times New Roman" w:hAnsi="Times New Roman"/>
          <w:sz w:val="20"/>
          <w:szCs w:val="20"/>
        </w:rPr>
        <w:t>W</w:t>
      </w:r>
      <w:r w:rsidR="0086341D" w:rsidRPr="00D064FF">
        <w:rPr>
          <w:rFonts w:ascii="Times New Roman" w:hAnsi="Times New Roman"/>
          <w:sz w:val="20"/>
          <w:szCs w:val="20"/>
        </w:rPr>
        <w:t xml:space="preserve">arren KS, </w:t>
      </w:r>
      <w:proofErr w:type="spellStart"/>
      <w:r w:rsidR="0086341D" w:rsidRPr="00D064FF">
        <w:rPr>
          <w:rFonts w:ascii="Times New Roman" w:hAnsi="Times New Roman"/>
          <w:sz w:val="20"/>
          <w:szCs w:val="20"/>
        </w:rPr>
        <w:t>Chodak</w:t>
      </w:r>
      <w:proofErr w:type="spellEnd"/>
      <w:r w:rsidR="0086341D" w:rsidRPr="00D064FF">
        <w:rPr>
          <w:rFonts w:ascii="Times New Roman" w:hAnsi="Times New Roman"/>
          <w:sz w:val="20"/>
          <w:szCs w:val="20"/>
        </w:rPr>
        <w:t xml:space="preserve"> JW, See WA, Iverson P, McLeod D, Wirth M, et-al. </w:t>
      </w:r>
      <w:r w:rsidR="0086341D" w:rsidRPr="00D064FF">
        <w:rPr>
          <w:rFonts w:ascii="Times New Roman" w:eastAsia="Times New Roman" w:hAnsi="Times New Roman"/>
          <w:sz w:val="20"/>
          <w:szCs w:val="20"/>
        </w:rPr>
        <w:t>(2006). Are bone scans</w:t>
      </w:r>
      <w:r w:rsidR="00D064FF">
        <w:rPr>
          <w:rFonts w:ascii="Times New Roman" w:eastAsia="Times New Roman" w:hAnsi="Times New Roman"/>
          <w:sz w:val="20"/>
          <w:szCs w:val="20"/>
        </w:rPr>
        <w:t xml:space="preserve"> </w:t>
      </w:r>
      <w:r w:rsidR="0086341D" w:rsidRPr="00D064FF">
        <w:rPr>
          <w:rFonts w:ascii="Times New Roman" w:eastAsia="Times New Roman" w:hAnsi="Times New Roman"/>
          <w:sz w:val="20"/>
          <w:szCs w:val="20"/>
        </w:rPr>
        <w:t xml:space="preserve">necessary in men with low APE levels following localized therapy? J </w:t>
      </w:r>
      <w:proofErr w:type="spellStart"/>
      <w:r w:rsidR="0086341D" w:rsidRPr="00D064FF">
        <w:rPr>
          <w:rFonts w:ascii="Times New Roman" w:eastAsia="Times New Roman" w:hAnsi="Times New Roman"/>
          <w:sz w:val="20"/>
          <w:szCs w:val="20"/>
        </w:rPr>
        <w:t>Urol</w:t>
      </w:r>
      <w:proofErr w:type="spellEnd"/>
      <w:r w:rsidR="0086341D" w:rsidRPr="00D064FF">
        <w:rPr>
          <w:rFonts w:ascii="Times New Roman" w:eastAsia="Times New Roman" w:hAnsi="Times New Roman"/>
          <w:sz w:val="20"/>
          <w:szCs w:val="20"/>
        </w:rPr>
        <w:t>; 176: 70-4.</w:t>
      </w:r>
    </w:p>
    <w:p w:rsidR="00C35D52" w:rsidRPr="00D064FF" w:rsidRDefault="00C35D52" w:rsidP="00C35D52">
      <w:pPr>
        <w:numPr>
          <w:ilvl w:val="0"/>
          <w:numId w:val="6"/>
        </w:numPr>
        <w:snapToGrid w:val="0"/>
        <w:spacing w:after="0" w:line="240" w:lineRule="auto"/>
        <w:jc w:val="both"/>
        <w:rPr>
          <w:rFonts w:ascii="Times New Roman" w:eastAsia="Times New Roman" w:hAnsi="Times New Roman"/>
          <w:sz w:val="20"/>
          <w:szCs w:val="20"/>
        </w:rPr>
      </w:pPr>
      <w:proofErr w:type="spellStart"/>
      <w:r w:rsidRPr="00D064FF">
        <w:rPr>
          <w:rFonts w:ascii="Times New Roman" w:hAnsi="Times New Roman"/>
          <w:sz w:val="20"/>
          <w:szCs w:val="20"/>
        </w:rPr>
        <w:t>O</w:t>
      </w:r>
      <w:r w:rsidR="0086341D" w:rsidRPr="00D064FF">
        <w:rPr>
          <w:rFonts w:ascii="Times New Roman" w:hAnsi="Times New Roman"/>
          <w:sz w:val="20"/>
          <w:szCs w:val="20"/>
        </w:rPr>
        <w:t>esterling</w:t>
      </w:r>
      <w:proofErr w:type="spellEnd"/>
      <w:r w:rsidR="0086341D" w:rsidRPr="00D064FF">
        <w:rPr>
          <w:rFonts w:ascii="Times New Roman" w:hAnsi="Times New Roman"/>
          <w:sz w:val="20"/>
          <w:szCs w:val="20"/>
        </w:rPr>
        <w:t xml:space="preserve"> IE, Martin SK, </w:t>
      </w:r>
      <w:proofErr w:type="spellStart"/>
      <w:r w:rsidR="0086341D" w:rsidRPr="00D064FF">
        <w:rPr>
          <w:rFonts w:ascii="Times New Roman" w:hAnsi="Times New Roman"/>
          <w:sz w:val="20"/>
          <w:szCs w:val="20"/>
        </w:rPr>
        <w:t>Bergstralh</w:t>
      </w:r>
      <w:proofErr w:type="spellEnd"/>
      <w:r w:rsidR="0086341D" w:rsidRPr="00D064FF">
        <w:rPr>
          <w:rFonts w:ascii="Times New Roman" w:hAnsi="Times New Roman"/>
          <w:sz w:val="20"/>
          <w:szCs w:val="20"/>
        </w:rPr>
        <w:t xml:space="preserve"> EJ, Lowe FC. </w:t>
      </w:r>
      <w:r w:rsidR="0086341D" w:rsidRPr="00D064FF">
        <w:rPr>
          <w:rFonts w:ascii="Times New Roman" w:eastAsia="Times New Roman" w:hAnsi="Times New Roman"/>
          <w:sz w:val="20"/>
          <w:szCs w:val="20"/>
        </w:rPr>
        <w:t>(1993).</w:t>
      </w:r>
      <w:r w:rsidR="00D064FF">
        <w:rPr>
          <w:rFonts w:ascii="Times New Roman" w:eastAsiaTheme="minorEastAsia" w:hAnsi="Times New Roman" w:hint="eastAsia"/>
          <w:sz w:val="20"/>
          <w:szCs w:val="20"/>
          <w:lang w:eastAsia="zh-CN"/>
        </w:rPr>
        <w:t xml:space="preserve"> </w:t>
      </w:r>
      <w:proofErr w:type="gramStart"/>
      <w:r w:rsidR="0086341D" w:rsidRPr="00D064FF">
        <w:rPr>
          <w:rFonts w:ascii="Times New Roman" w:eastAsia="Times New Roman" w:hAnsi="Times New Roman"/>
          <w:sz w:val="20"/>
          <w:szCs w:val="20"/>
        </w:rPr>
        <w:t>The</w:t>
      </w:r>
      <w:proofErr w:type="gramEnd"/>
      <w:r w:rsidR="0086341D" w:rsidRPr="00D064FF">
        <w:rPr>
          <w:rFonts w:ascii="Times New Roman" w:eastAsia="Times New Roman" w:hAnsi="Times New Roman"/>
          <w:sz w:val="20"/>
          <w:szCs w:val="20"/>
        </w:rPr>
        <w:t xml:space="preserve"> use of prostate-specific antigen in staging patients with newly diagnosed prostate cancer. JAMA; 269: 57-60.</w:t>
      </w:r>
    </w:p>
    <w:p w:rsidR="00C35D52" w:rsidRPr="00D064FF" w:rsidRDefault="00C35D52" w:rsidP="00C35D52">
      <w:pPr>
        <w:numPr>
          <w:ilvl w:val="0"/>
          <w:numId w:val="6"/>
        </w:numPr>
        <w:snapToGrid w:val="0"/>
        <w:spacing w:after="0" w:line="240" w:lineRule="auto"/>
        <w:jc w:val="both"/>
        <w:rPr>
          <w:rFonts w:ascii="Times New Roman" w:hAnsi="Times New Roman"/>
          <w:sz w:val="20"/>
          <w:szCs w:val="20"/>
        </w:rPr>
      </w:pPr>
      <w:proofErr w:type="spellStart"/>
      <w:r w:rsidRPr="00D064FF">
        <w:rPr>
          <w:rFonts w:ascii="Times New Roman" w:hAnsi="Times New Roman"/>
          <w:sz w:val="20"/>
          <w:szCs w:val="20"/>
        </w:rPr>
        <w:t>L</w:t>
      </w:r>
      <w:r w:rsidR="0086341D" w:rsidRPr="00D064FF">
        <w:rPr>
          <w:rFonts w:ascii="Times New Roman" w:hAnsi="Times New Roman"/>
          <w:sz w:val="20"/>
          <w:szCs w:val="20"/>
        </w:rPr>
        <w:t>ecovet</w:t>
      </w:r>
      <w:proofErr w:type="spellEnd"/>
      <w:r w:rsidR="0086341D" w:rsidRPr="00D064FF">
        <w:rPr>
          <w:rFonts w:ascii="Times New Roman" w:hAnsi="Times New Roman"/>
          <w:sz w:val="20"/>
          <w:szCs w:val="20"/>
        </w:rPr>
        <w:t xml:space="preserve"> FE, </w:t>
      </w:r>
      <w:proofErr w:type="spellStart"/>
      <w:r w:rsidR="0086341D" w:rsidRPr="00D064FF">
        <w:rPr>
          <w:rFonts w:ascii="Times New Roman" w:hAnsi="Times New Roman"/>
          <w:sz w:val="20"/>
          <w:szCs w:val="20"/>
        </w:rPr>
        <w:t>Geukens</w:t>
      </w:r>
      <w:proofErr w:type="spellEnd"/>
      <w:r w:rsidR="0086341D" w:rsidRPr="00D064FF">
        <w:rPr>
          <w:rFonts w:ascii="Times New Roman" w:hAnsi="Times New Roman"/>
          <w:sz w:val="20"/>
          <w:szCs w:val="20"/>
        </w:rPr>
        <w:t xml:space="preserve"> D, </w:t>
      </w:r>
      <w:proofErr w:type="spellStart"/>
      <w:r w:rsidR="0086341D" w:rsidRPr="00D064FF">
        <w:rPr>
          <w:rFonts w:ascii="Times New Roman" w:hAnsi="Times New Roman"/>
          <w:sz w:val="20"/>
          <w:szCs w:val="20"/>
        </w:rPr>
        <w:t>Stainier</w:t>
      </w:r>
      <w:proofErr w:type="spellEnd"/>
      <w:r w:rsidR="0086341D" w:rsidRPr="00D064FF">
        <w:rPr>
          <w:rFonts w:ascii="Times New Roman" w:hAnsi="Times New Roman"/>
          <w:sz w:val="20"/>
          <w:szCs w:val="20"/>
        </w:rPr>
        <w:t xml:space="preserve"> A et al. (2007). Magnetic resonance imaging of the axial skeleton for detecting bone metastasis in patients with high-risk prostate cancer: </w:t>
      </w:r>
      <w:proofErr w:type="gramStart"/>
      <w:r w:rsidR="0086341D" w:rsidRPr="00D064FF">
        <w:rPr>
          <w:rFonts w:ascii="Times New Roman" w:hAnsi="Times New Roman"/>
          <w:sz w:val="20"/>
          <w:szCs w:val="20"/>
        </w:rPr>
        <w:t xml:space="preserve">Diagnosis and </w:t>
      </w:r>
      <w:r w:rsidR="0086341D" w:rsidRPr="00D064FF">
        <w:rPr>
          <w:rFonts w:ascii="Times New Roman" w:hAnsi="Times New Roman"/>
          <w:sz w:val="20"/>
          <w:szCs w:val="20"/>
        </w:rPr>
        <w:lastRenderedPageBreak/>
        <w:t>cost-effectiveness</w:t>
      </w:r>
      <w:proofErr w:type="gramEnd"/>
      <w:r w:rsidR="0086341D" w:rsidRPr="00D064FF">
        <w:rPr>
          <w:rFonts w:ascii="Times New Roman" w:hAnsi="Times New Roman"/>
          <w:sz w:val="20"/>
          <w:szCs w:val="20"/>
        </w:rPr>
        <w:t xml:space="preserve"> and comparison with current detection strategies. J </w:t>
      </w:r>
      <w:proofErr w:type="spellStart"/>
      <w:r w:rsidR="0086341D" w:rsidRPr="00D064FF">
        <w:rPr>
          <w:rFonts w:ascii="Times New Roman" w:hAnsi="Times New Roman"/>
          <w:sz w:val="20"/>
          <w:szCs w:val="20"/>
        </w:rPr>
        <w:t>Clin</w:t>
      </w:r>
      <w:proofErr w:type="spellEnd"/>
      <w:r w:rsidR="0086341D" w:rsidRPr="00D064FF">
        <w:rPr>
          <w:rFonts w:ascii="Times New Roman" w:hAnsi="Times New Roman"/>
          <w:sz w:val="20"/>
          <w:szCs w:val="20"/>
        </w:rPr>
        <w:t xml:space="preserve"> </w:t>
      </w:r>
      <w:proofErr w:type="spellStart"/>
      <w:r w:rsidR="0086341D" w:rsidRPr="00D064FF">
        <w:rPr>
          <w:rFonts w:ascii="Times New Roman" w:hAnsi="Times New Roman"/>
          <w:sz w:val="20"/>
          <w:szCs w:val="20"/>
        </w:rPr>
        <w:t>Oncol</w:t>
      </w:r>
      <w:proofErr w:type="spellEnd"/>
      <w:proofErr w:type="gramStart"/>
      <w:r w:rsidR="0086341D" w:rsidRPr="00D064FF">
        <w:rPr>
          <w:rFonts w:ascii="Times New Roman" w:hAnsi="Times New Roman"/>
          <w:sz w:val="20"/>
          <w:szCs w:val="20"/>
        </w:rPr>
        <w:t>;</w:t>
      </w:r>
      <w:proofErr w:type="gramEnd"/>
      <w:r w:rsidR="0086341D" w:rsidRPr="00D064FF">
        <w:rPr>
          <w:rFonts w:ascii="Times New Roman" w:hAnsi="Times New Roman"/>
          <w:sz w:val="20"/>
          <w:szCs w:val="20"/>
        </w:rPr>
        <w:t xml:space="preserve"> 25(22): 3281-3287.</w:t>
      </w:r>
    </w:p>
    <w:p w:rsidR="00C35D52" w:rsidRPr="00D064FF" w:rsidRDefault="00C35D52" w:rsidP="00C35D52">
      <w:pPr>
        <w:numPr>
          <w:ilvl w:val="0"/>
          <w:numId w:val="6"/>
        </w:numPr>
        <w:snapToGrid w:val="0"/>
        <w:spacing w:after="0" w:line="240" w:lineRule="auto"/>
        <w:jc w:val="both"/>
        <w:rPr>
          <w:rFonts w:ascii="Times New Roman" w:hAnsi="Times New Roman"/>
          <w:sz w:val="20"/>
          <w:szCs w:val="20"/>
        </w:rPr>
      </w:pPr>
      <w:proofErr w:type="spellStart"/>
      <w:r w:rsidRPr="00D064FF">
        <w:rPr>
          <w:rFonts w:ascii="Times New Roman" w:hAnsi="Times New Roman"/>
          <w:sz w:val="20"/>
          <w:szCs w:val="20"/>
        </w:rPr>
        <w:t>T</w:t>
      </w:r>
      <w:r w:rsidR="0086341D" w:rsidRPr="00D064FF">
        <w:rPr>
          <w:rFonts w:ascii="Times New Roman" w:hAnsi="Times New Roman"/>
          <w:sz w:val="20"/>
          <w:szCs w:val="20"/>
        </w:rPr>
        <w:t>raill</w:t>
      </w:r>
      <w:proofErr w:type="spellEnd"/>
      <w:r w:rsidR="0086341D" w:rsidRPr="00D064FF">
        <w:rPr>
          <w:rFonts w:ascii="Times New Roman" w:hAnsi="Times New Roman"/>
          <w:sz w:val="20"/>
          <w:szCs w:val="20"/>
        </w:rPr>
        <w:t xml:space="preserve"> ZC, Talbot D, Golding S, Gleeson FV. </w:t>
      </w:r>
      <w:proofErr w:type="gramStart"/>
      <w:r w:rsidR="0086341D" w:rsidRPr="00D064FF">
        <w:rPr>
          <w:rFonts w:ascii="Times New Roman" w:hAnsi="Times New Roman"/>
          <w:sz w:val="20"/>
          <w:szCs w:val="20"/>
        </w:rPr>
        <w:t xml:space="preserve">(1999). Magnetic resonance imaging </w:t>
      </w:r>
      <w:proofErr w:type="spellStart"/>
      <w:r w:rsidR="0086341D" w:rsidRPr="00D064FF">
        <w:rPr>
          <w:rFonts w:ascii="Times New Roman" w:hAnsi="Times New Roman"/>
          <w:sz w:val="20"/>
          <w:szCs w:val="20"/>
        </w:rPr>
        <w:t>vs</w:t>
      </w:r>
      <w:proofErr w:type="spellEnd"/>
      <w:r w:rsidR="0086341D" w:rsidRPr="00D064FF">
        <w:rPr>
          <w:rFonts w:ascii="Times New Roman" w:hAnsi="Times New Roman"/>
          <w:sz w:val="20"/>
          <w:szCs w:val="20"/>
        </w:rPr>
        <w:t xml:space="preserve"> radionuclide </w:t>
      </w:r>
      <w:proofErr w:type="spellStart"/>
      <w:r w:rsidR="0086341D" w:rsidRPr="00D064FF">
        <w:rPr>
          <w:rFonts w:ascii="Times New Roman" w:hAnsi="Times New Roman"/>
          <w:sz w:val="20"/>
          <w:szCs w:val="20"/>
        </w:rPr>
        <w:t>scintigraphy</w:t>
      </w:r>
      <w:proofErr w:type="spellEnd"/>
      <w:r w:rsidR="0086341D" w:rsidRPr="00D064FF">
        <w:rPr>
          <w:rFonts w:ascii="Times New Roman" w:hAnsi="Times New Roman"/>
          <w:sz w:val="20"/>
          <w:szCs w:val="20"/>
        </w:rPr>
        <w:t xml:space="preserve"> in screening for bone metastasis.</w:t>
      </w:r>
      <w:proofErr w:type="gramEnd"/>
      <w:r w:rsidR="0086341D" w:rsidRPr="00D064FF">
        <w:rPr>
          <w:rFonts w:ascii="Times New Roman" w:hAnsi="Times New Roman"/>
          <w:sz w:val="20"/>
          <w:szCs w:val="20"/>
        </w:rPr>
        <w:t xml:space="preserve"> </w:t>
      </w:r>
      <w:proofErr w:type="spellStart"/>
      <w:r w:rsidR="0086341D" w:rsidRPr="00D064FF">
        <w:rPr>
          <w:rFonts w:ascii="Times New Roman" w:hAnsi="Times New Roman"/>
          <w:sz w:val="20"/>
          <w:szCs w:val="20"/>
        </w:rPr>
        <w:t>Clin</w:t>
      </w:r>
      <w:proofErr w:type="spellEnd"/>
      <w:r w:rsidR="0086341D" w:rsidRPr="00D064FF">
        <w:rPr>
          <w:rFonts w:ascii="Times New Roman" w:hAnsi="Times New Roman"/>
          <w:sz w:val="20"/>
          <w:szCs w:val="20"/>
        </w:rPr>
        <w:t xml:space="preserve"> </w:t>
      </w:r>
      <w:proofErr w:type="spellStart"/>
      <w:r w:rsidR="0086341D" w:rsidRPr="00D064FF">
        <w:rPr>
          <w:rFonts w:ascii="Times New Roman" w:hAnsi="Times New Roman"/>
          <w:sz w:val="20"/>
          <w:szCs w:val="20"/>
        </w:rPr>
        <w:t>Radiol</w:t>
      </w:r>
      <w:proofErr w:type="spellEnd"/>
      <w:r w:rsidR="0086341D" w:rsidRPr="00D064FF">
        <w:rPr>
          <w:rFonts w:ascii="Times New Roman" w:hAnsi="Times New Roman"/>
          <w:sz w:val="20"/>
          <w:szCs w:val="20"/>
        </w:rPr>
        <w:t>; 54(7): 448-451.</w:t>
      </w:r>
    </w:p>
    <w:p w:rsidR="00C35D52" w:rsidRPr="00D064FF" w:rsidRDefault="00C35D52" w:rsidP="00C35D52">
      <w:pPr>
        <w:numPr>
          <w:ilvl w:val="0"/>
          <w:numId w:val="6"/>
        </w:numPr>
        <w:snapToGrid w:val="0"/>
        <w:spacing w:after="0" w:line="240" w:lineRule="auto"/>
        <w:jc w:val="both"/>
        <w:rPr>
          <w:rFonts w:ascii="Times New Roman" w:hAnsi="Times New Roman"/>
          <w:sz w:val="20"/>
          <w:szCs w:val="20"/>
        </w:rPr>
      </w:pPr>
      <w:proofErr w:type="spellStart"/>
      <w:r w:rsidRPr="00D064FF">
        <w:rPr>
          <w:rFonts w:ascii="Times New Roman" w:hAnsi="Times New Roman"/>
          <w:sz w:val="20"/>
          <w:szCs w:val="20"/>
        </w:rPr>
        <w:t>H</w:t>
      </w:r>
      <w:r w:rsidR="0086341D" w:rsidRPr="00D064FF">
        <w:rPr>
          <w:rFonts w:ascii="Times New Roman" w:hAnsi="Times New Roman"/>
          <w:sz w:val="20"/>
          <w:szCs w:val="20"/>
        </w:rPr>
        <w:t>ricak</w:t>
      </w:r>
      <w:proofErr w:type="spellEnd"/>
      <w:r w:rsidR="0086341D" w:rsidRPr="00D064FF">
        <w:rPr>
          <w:rFonts w:ascii="Times New Roman" w:hAnsi="Times New Roman"/>
          <w:sz w:val="20"/>
          <w:szCs w:val="20"/>
        </w:rPr>
        <w:t xml:space="preserve"> H, </w:t>
      </w:r>
      <w:proofErr w:type="spellStart"/>
      <w:r w:rsidR="0086341D" w:rsidRPr="00D064FF">
        <w:rPr>
          <w:rFonts w:ascii="Times New Roman" w:hAnsi="Times New Roman"/>
          <w:sz w:val="20"/>
          <w:szCs w:val="20"/>
        </w:rPr>
        <w:t>Choye</w:t>
      </w:r>
      <w:proofErr w:type="spellEnd"/>
      <w:r w:rsidR="0086341D" w:rsidRPr="00D064FF">
        <w:rPr>
          <w:rFonts w:ascii="Times New Roman" w:hAnsi="Times New Roman"/>
          <w:sz w:val="20"/>
          <w:szCs w:val="20"/>
        </w:rPr>
        <w:t xml:space="preserve"> PL, </w:t>
      </w:r>
      <w:proofErr w:type="spellStart"/>
      <w:r w:rsidR="0086341D" w:rsidRPr="00D064FF">
        <w:rPr>
          <w:rFonts w:ascii="Times New Roman" w:hAnsi="Times New Roman"/>
          <w:sz w:val="20"/>
          <w:szCs w:val="20"/>
        </w:rPr>
        <w:t>Eberhardt</w:t>
      </w:r>
      <w:proofErr w:type="spellEnd"/>
      <w:r w:rsidR="0086341D" w:rsidRPr="00D064FF">
        <w:rPr>
          <w:rFonts w:ascii="Times New Roman" w:hAnsi="Times New Roman"/>
          <w:sz w:val="20"/>
          <w:szCs w:val="20"/>
        </w:rPr>
        <w:t xml:space="preserve"> SA, </w:t>
      </w:r>
      <w:proofErr w:type="spellStart"/>
      <w:r w:rsidR="0086341D" w:rsidRPr="00D064FF">
        <w:rPr>
          <w:rFonts w:ascii="Times New Roman" w:hAnsi="Times New Roman"/>
          <w:sz w:val="20"/>
          <w:szCs w:val="20"/>
        </w:rPr>
        <w:t>Leibel</w:t>
      </w:r>
      <w:proofErr w:type="spellEnd"/>
      <w:r w:rsidR="0086341D" w:rsidRPr="00D064FF">
        <w:rPr>
          <w:rFonts w:ascii="Times New Roman" w:hAnsi="Times New Roman"/>
          <w:sz w:val="20"/>
          <w:szCs w:val="20"/>
        </w:rPr>
        <w:t xml:space="preserve"> A, </w:t>
      </w:r>
      <w:proofErr w:type="spellStart"/>
      <w:r w:rsidR="0086341D" w:rsidRPr="00D064FF">
        <w:rPr>
          <w:rFonts w:ascii="Times New Roman" w:hAnsi="Times New Roman"/>
          <w:sz w:val="20"/>
          <w:szCs w:val="20"/>
        </w:rPr>
        <w:t>Scardino</w:t>
      </w:r>
      <w:proofErr w:type="spellEnd"/>
      <w:r w:rsidR="0086341D" w:rsidRPr="00D064FF">
        <w:rPr>
          <w:rFonts w:ascii="Times New Roman" w:hAnsi="Times New Roman"/>
          <w:sz w:val="20"/>
          <w:szCs w:val="20"/>
        </w:rPr>
        <w:t xml:space="preserve"> PT. (2007). </w:t>
      </w:r>
      <w:proofErr w:type="gramStart"/>
      <w:r w:rsidR="0086341D" w:rsidRPr="00D064FF">
        <w:rPr>
          <w:rFonts w:ascii="Times New Roman" w:hAnsi="Times New Roman"/>
          <w:sz w:val="20"/>
          <w:szCs w:val="20"/>
        </w:rPr>
        <w:t>Imaging prostate cancer: A multidisciplinary perspective.</w:t>
      </w:r>
      <w:proofErr w:type="gramEnd"/>
      <w:r w:rsidR="0086341D" w:rsidRPr="00D064FF">
        <w:rPr>
          <w:rFonts w:ascii="Times New Roman" w:hAnsi="Times New Roman"/>
          <w:sz w:val="20"/>
          <w:szCs w:val="20"/>
        </w:rPr>
        <w:t xml:space="preserve"> Radiology; 243(1): 28-53.</w:t>
      </w:r>
    </w:p>
    <w:p w:rsidR="00C35D52" w:rsidRPr="00D064FF" w:rsidRDefault="00C35D52" w:rsidP="00C35D52">
      <w:pPr>
        <w:numPr>
          <w:ilvl w:val="0"/>
          <w:numId w:val="6"/>
        </w:numPr>
        <w:snapToGrid w:val="0"/>
        <w:spacing w:after="0" w:line="240" w:lineRule="auto"/>
        <w:jc w:val="both"/>
        <w:rPr>
          <w:rFonts w:ascii="Times New Roman" w:hAnsi="Times New Roman"/>
          <w:sz w:val="20"/>
          <w:szCs w:val="20"/>
        </w:rPr>
      </w:pPr>
      <w:proofErr w:type="spellStart"/>
      <w:proofErr w:type="gramStart"/>
      <w:r w:rsidRPr="00D064FF">
        <w:rPr>
          <w:rFonts w:ascii="Times New Roman" w:hAnsi="Times New Roman"/>
          <w:sz w:val="20"/>
          <w:szCs w:val="20"/>
        </w:rPr>
        <w:t>W</w:t>
      </w:r>
      <w:r w:rsidR="0086341D" w:rsidRPr="00D064FF">
        <w:rPr>
          <w:rFonts w:ascii="Times New Roman" w:hAnsi="Times New Roman"/>
          <w:sz w:val="20"/>
          <w:szCs w:val="20"/>
        </w:rPr>
        <w:t>ymenga</w:t>
      </w:r>
      <w:proofErr w:type="spellEnd"/>
      <w:r w:rsidR="0086341D" w:rsidRPr="00D064FF">
        <w:rPr>
          <w:rFonts w:ascii="Times New Roman" w:hAnsi="Times New Roman"/>
          <w:sz w:val="20"/>
          <w:szCs w:val="20"/>
        </w:rPr>
        <w:t xml:space="preserve">, L., </w:t>
      </w:r>
      <w:proofErr w:type="spellStart"/>
      <w:r w:rsidR="0086341D" w:rsidRPr="00D064FF">
        <w:rPr>
          <w:rFonts w:ascii="Times New Roman" w:hAnsi="Times New Roman"/>
          <w:sz w:val="20"/>
          <w:szCs w:val="20"/>
        </w:rPr>
        <w:t>Boomsma</w:t>
      </w:r>
      <w:proofErr w:type="spellEnd"/>
      <w:r w:rsidR="0086341D" w:rsidRPr="00D064FF">
        <w:rPr>
          <w:rFonts w:ascii="Times New Roman" w:hAnsi="Times New Roman"/>
          <w:sz w:val="20"/>
          <w:szCs w:val="20"/>
        </w:rPr>
        <w:t xml:space="preserve">, J., </w:t>
      </w:r>
      <w:proofErr w:type="spellStart"/>
      <w:r w:rsidR="0086341D" w:rsidRPr="00D064FF">
        <w:rPr>
          <w:rFonts w:ascii="Times New Roman" w:hAnsi="Times New Roman"/>
          <w:sz w:val="20"/>
          <w:szCs w:val="20"/>
        </w:rPr>
        <w:t>Groenier</w:t>
      </w:r>
      <w:proofErr w:type="spellEnd"/>
      <w:r w:rsidR="0086341D" w:rsidRPr="00D064FF">
        <w:rPr>
          <w:rFonts w:ascii="Times New Roman" w:hAnsi="Times New Roman"/>
          <w:sz w:val="20"/>
          <w:szCs w:val="20"/>
        </w:rPr>
        <w:t xml:space="preserve">, K., Piers, D. and </w:t>
      </w:r>
      <w:proofErr w:type="spellStart"/>
      <w:r w:rsidR="0086341D" w:rsidRPr="00D064FF">
        <w:rPr>
          <w:rFonts w:ascii="Times New Roman" w:hAnsi="Times New Roman"/>
          <w:sz w:val="20"/>
          <w:szCs w:val="20"/>
        </w:rPr>
        <w:t>Mensink</w:t>
      </w:r>
      <w:proofErr w:type="spellEnd"/>
      <w:r w:rsidR="0086341D" w:rsidRPr="00D064FF">
        <w:rPr>
          <w:rFonts w:ascii="Times New Roman" w:hAnsi="Times New Roman"/>
          <w:sz w:val="20"/>
          <w:szCs w:val="20"/>
        </w:rPr>
        <w:t>, H. (2001).</w:t>
      </w:r>
      <w:proofErr w:type="gramEnd"/>
      <w:r w:rsidR="0086341D" w:rsidRPr="00D064FF">
        <w:rPr>
          <w:rFonts w:ascii="Times New Roman" w:hAnsi="Times New Roman"/>
          <w:sz w:val="20"/>
          <w:szCs w:val="20"/>
        </w:rPr>
        <w:t xml:space="preserve"> Routine bone scans in patients with prostate cancer related to serum </w:t>
      </w:r>
      <w:r w:rsidR="0086341D" w:rsidRPr="00D064FF">
        <w:rPr>
          <w:rFonts w:ascii="Times New Roman" w:hAnsi="Times New Roman"/>
          <w:sz w:val="20"/>
          <w:szCs w:val="20"/>
        </w:rPr>
        <w:lastRenderedPageBreak/>
        <w:t xml:space="preserve">prostate-specific antigen and alkaline </w:t>
      </w:r>
      <w:proofErr w:type="spellStart"/>
      <w:r w:rsidR="0086341D" w:rsidRPr="00D064FF">
        <w:rPr>
          <w:rFonts w:ascii="Times New Roman" w:hAnsi="Times New Roman"/>
          <w:sz w:val="20"/>
          <w:szCs w:val="20"/>
        </w:rPr>
        <w:t>phosphatase</w:t>
      </w:r>
      <w:proofErr w:type="spellEnd"/>
      <w:r w:rsidR="0086341D" w:rsidRPr="00D064FF">
        <w:rPr>
          <w:rFonts w:ascii="Times New Roman" w:hAnsi="Times New Roman"/>
          <w:sz w:val="20"/>
          <w:szCs w:val="20"/>
        </w:rPr>
        <w:t>. BJU International; 88(3): 226–230.</w:t>
      </w:r>
    </w:p>
    <w:p w:rsidR="00C35D52" w:rsidRPr="00D064FF" w:rsidRDefault="00C35D52" w:rsidP="00C35D52">
      <w:pPr>
        <w:numPr>
          <w:ilvl w:val="0"/>
          <w:numId w:val="6"/>
        </w:numPr>
        <w:snapToGrid w:val="0"/>
        <w:spacing w:after="0" w:line="240" w:lineRule="auto"/>
        <w:jc w:val="both"/>
        <w:rPr>
          <w:rFonts w:ascii="Times New Roman" w:hAnsi="Times New Roman"/>
          <w:sz w:val="20"/>
          <w:szCs w:val="20"/>
        </w:rPr>
      </w:pPr>
      <w:r w:rsidRPr="00D064FF">
        <w:rPr>
          <w:rFonts w:ascii="Times New Roman" w:hAnsi="Times New Roman"/>
          <w:sz w:val="20"/>
          <w:szCs w:val="20"/>
        </w:rPr>
        <w:t>O</w:t>
      </w:r>
      <w:r w:rsidR="0086341D" w:rsidRPr="00D064FF">
        <w:rPr>
          <w:rFonts w:ascii="Times New Roman" w:hAnsi="Times New Roman"/>
          <w:sz w:val="20"/>
          <w:szCs w:val="20"/>
        </w:rPr>
        <w:t xml:space="preserve">rtega A, Alonso JC, </w:t>
      </w:r>
      <w:proofErr w:type="spellStart"/>
      <w:r w:rsidR="0086341D" w:rsidRPr="00D064FF">
        <w:rPr>
          <w:rFonts w:ascii="Times New Roman" w:hAnsi="Times New Roman"/>
          <w:sz w:val="20"/>
          <w:szCs w:val="20"/>
        </w:rPr>
        <w:t>Suárez</w:t>
      </w:r>
      <w:proofErr w:type="spellEnd"/>
      <w:r w:rsidR="0086341D" w:rsidRPr="00D064FF">
        <w:rPr>
          <w:rFonts w:ascii="Times New Roman" w:hAnsi="Times New Roman"/>
          <w:sz w:val="20"/>
          <w:szCs w:val="20"/>
        </w:rPr>
        <w:t xml:space="preserve"> M, </w:t>
      </w:r>
      <w:proofErr w:type="spellStart"/>
      <w:r w:rsidR="0086341D" w:rsidRPr="00D064FF">
        <w:rPr>
          <w:rFonts w:ascii="Times New Roman" w:hAnsi="Times New Roman"/>
          <w:sz w:val="20"/>
          <w:szCs w:val="20"/>
        </w:rPr>
        <w:t>Domínguez</w:t>
      </w:r>
      <w:proofErr w:type="spellEnd"/>
      <w:r w:rsidR="0086341D" w:rsidRPr="00D064FF">
        <w:rPr>
          <w:rFonts w:ascii="Times New Roman" w:hAnsi="Times New Roman"/>
          <w:sz w:val="20"/>
          <w:szCs w:val="20"/>
        </w:rPr>
        <w:t xml:space="preserve"> P, </w:t>
      </w:r>
      <w:proofErr w:type="spellStart"/>
      <w:r w:rsidR="0086341D" w:rsidRPr="00D064FF">
        <w:rPr>
          <w:rFonts w:ascii="Times New Roman" w:hAnsi="Times New Roman"/>
          <w:sz w:val="20"/>
          <w:szCs w:val="20"/>
        </w:rPr>
        <w:t>Almoguera</w:t>
      </w:r>
      <w:proofErr w:type="spellEnd"/>
      <w:r w:rsidR="0086341D" w:rsidRPr="00D064FF">
        <w:rPr>
          <w:rFonts w:ascii="Times New Roman" w:hAnsi="Times New Roman"/>
          <w:sz w:val="20"/>
          <w:szCs w:val="20"/>
        </w:rPr>
        <w:t xml:space="preserve"> I, </w:t>
      </w:r>
      <w:proofErr w:type="spellStart"/>
      <w:r w:rsidR="0086341D" w:rsidRPr="00D064FF">
        <w:rPr>
          <w:rFonts w:ascii="Times New Roman" w:hAnsi="Times New Roman"/>
          <w:sz w:val="20"/>
          <w:szCs w:val="20"/>
        </w:rPr>
        <w:t>Bittini</w:t>
      </w:r>
      <w:proofErr w:type="spellEnd"/>
      <w:r w:rsidR="0086341D" w:rsidRPr="00D064FF">
        <w:rPr>
          <w:rFonts w:ascii="Times New Roman" w:hAnsi="Times New Roman"/>
          <w:sz w:val="20"/>
          <w:szCs w:val="20"/>
        </w:rPr>
        <w:t xml:space="preserve"> A, </w:t>
      </w:r>
      <w:proofErr w:type="spellStart"/>
      <w:r w:rsidR="0086341D" w:rsidRPr="00D064FF">
        <w:rPr>
          <w:rFonts w:ascii="Times New Roman" w:hAnsi="Times New Roman"/>
          <w:sz w:val="20"/>
          <w:szCs w:val="20"/>
        </w:rPr>
        <w:t>Gómez</w:t>
      </w:r>
      <w:proofErr w:type="spellEnd"/>
      <w:r w:rsidR="0086341D" w:rsidRPr="00D064FF">
        <w:rPr>
          <w:rFonts w:ascii="Times New Roman" w:hAnsi="Times New Roman"/>
          <w:sz w:val="20"/>
          <w:szCs w:val="20"/>
        </w:rPr>
        <w:t xml:space="preserve"> A, </w:t>
      </w:r>
      <w:proofErr w:type="spellStart"/>
      <w:r w:rsidR="0086341D" w:rsidRPr="00D064FF">
        <w:rPr>
          <w:rFonts w:ascii="Times New Roman" w:hAnsi="Times New Roman"/>
          <w:sz w:val="20"/>
          <w:szCs w:val="20"/>
        </w:rPr>
        <w:t>Martínez</w:t>
      </w:r>
      <w:proofErr w:type="spellEnd"/>
      <w:r w:rsidR="0086341D" w:rsidRPr="00D064FF">
        <w:rPr>
          <w:rFonts w:ascii="Times New Roman" w:hAnsi="Times New Roman"/>
          <w:sz w:val="20"/>
          <w:szCs w:val="20"/>
        </w:rPr>
        <w:t xml:space="preserve"> L, </w:t>
      </w:r>
      <w:proofErr w:type="spellStart"/>
      <w:r w:rsidR="0086341D" w:rsidRPr="00D064FF">
        <w:rPr>
          <w:rFonts w:ascii="Times New Roman" w:hAnsi="Times New Roman"/>
          <w:sz w:val="20"/>
          <w:szCs w:val="20"/>
        </w:rPr>
        <w:t>Herranz</w:t>
      </w:r>
      <w:proofErr w:type="spellEnd"/>
      <w:r w:rsidR="0086341D" w:rsidRPr="00D064FF">
        <w:rPr>
          <w:rFonts w:ascii="Times New Roman" w:hAnsi="Times New Roman"/>
          <w:sz w:val="20"/>
          <w:szCs w:val="20"/>
        </w:rPr>
        <w:t xml:space="preserve"> F, </w:t>
      </w:r>
      <w:proofErr w:type="spellStart"/>
      <w:r w:rsidR="0086341D" w:rsidRPr="00D064FF">
        <w:rPr>
          <w:rFonts w:ascii="Times New Roman" w:hAnsi="Times New Roman"/>
          <w:sz w:val="20"/>
          <w:szCs w:val="20"/>
        </w:rPr>
        <w:t>Pérez-Vázquez</w:t>
      </w:r>
      <w:proofErr w:type="spellEnd"/>
      <w:r w:rsidR="0086341D" w:rsidRPr="00D064FF">
        <w:rPr>
          <w:rFonts w:ascii="Times New Roman" w:hAnsi="Times New Roman"/>
          <w:sz w:val="20"/>
          <w:szCs w:val="20"/>
        </w:rPr>
        <w:t xml:space="preserve"> JM. </w:t>
      </w:r>
      <w:proofErr w:type="gramStart"/>
      <w:r w:rsidR="0086341D" w:rsidRPr="00D064FF">
        <w:rPr>
          <w:rFonts w:ascii="Times New Roman" w:hAnsi="Times New Roman"/>
          <w:sz w:val="20"/>
          <w:szCs w:val="20"/>
        </w:rPr>
        <w:t>(2000 Oct).</w:t>
      </w:r>
      <w:proofErr w:type="gramEnd"/>
      <w:r w:rsidR="0086341D" w:rsidRPr="00D064FF">
        <w:rPr>
          <w:rFonts w:ascii="Times New Roman" w:hAnsi="Times New Roman"/>
          <w:sz w:val="20"/>
          <w:szCs w:val="20"/>
        </w:rPr>
        <w:t xml:space="preserve"> Bone </w:t>
      </w:r>
      <w:proofErr w:type="spellStart"/>
      <w:r w:rsidR="0086341D" w:rsidRPr="00D064FF">
        <w:rPr>
          <w:rFonts w:ascii="Times New Roman" w:hAnsi="Times New Roman"/>
          <w:sz w:val="20"/>
          <w:szCs w:val="20"/>
        </w:rPr>
        <w:t>scintigraphy</w:t>
      </w:r>
      <w:proofErr w:type="spellEnd"/>
      <w:r w:rsidR="0086341D" w:rsidRPr="00D064FF">
        <w:rPr>
          <w:rFonts w:ascii="Times New Roman" w:hAnsi="Times New Roman"/>
          <w:sz w:val="20"/>
          <w:szCs w:val="20"/>
        </w:rPr>
        <w:t xml:space="preserve"> findings in patients with recently diagnosed </w:t>
      </w:r>
      <w:proofErr w:type="spellStart"/>
      <w:r w:rsidR="0086341D" w:rsidRPr="00D064FF">
        <w:rPr>
          <w:rFonts w:ascii="Times New Roman" w:hAnsi="Times New Roman"/>
          <w:sz w:val="20"/>
          <w:szCs w:val="20"/>
        </w:rPr>
        <w:t>adenocarcinoma</w:t>
      </w:r>
      <w:proofErr w:type="spellEnd"/>
      <w:r w:rsidR="0086341D" w:rsidRPr="00D064FF">
        <w:rPr>
          <w:rFonts w:ascii="Times New Roman" w:hAnsi="Times New Roman"/>
          <w:sz w:val="20"/>
          <w:szCs w:val="20"/>
        </w:rPr>
        <w:t xml:space="preserve"> of the prostate: relationship with prostate specific antigen levels. Rev </w:t>
      </w:r>
      <w:proofErr w:type="spellStart"/>
      <w:proofErr w:type="gramStart"/>
      <w:r w:rsidR="0086341D" w:rsidRPr="00D064FF">
        <w:rPr>
          <w:rFonts w:ascii="Times New Roman" w:hAnsi="Times New Roman"/>
          <w:sz w:val="20"/>
          <w:szCs w:val="20"/>
        </w:rPr>
        <w:t>Esp</w:t>
      </w:r>
      <w:proofErr w:type="spellEnd"/>
      <w:proofErr w:type="gramEnd"/>
      <w:r w:rsidR="0086341D" w:rsidRPr="00D064FF">
        <w:rPr>
          <w:rFonts w:ascii="Times New Roman" w:hAnsi="Times New Roman"/>
          <w:sz w:val="20"/>
          <w:szCs w:val="20"/>
        </w:rPr>
        <w:t xml:space="preserve"> Med </w:t>
      </w:r>
      <w:proofErr w:type="spellStart"/>
      <w:r w:rsidR="0086341D" w:rsidRPr="00D064FF">
        <w:rPr>
          <w:rFonts w:ascii="Times New Roman" w:hAnsi="Times New Roman"/>
          <w:sz w:val="20"/>
          <w:szCs w:val="20"/>
        </w:rPr>
        <w:t>Nucl</w:t>
      </w:r>
      <w:proofErr w:type="spellEnd"/>
      <w:r w:rsidR="0086341D" w:rsidRPr="00D064FF">
        <w:rPr>
          <w:rFonts w:ascii="Times New Roman" w:hAnsi="Times New Roman"/>
          <w:sz w:val="20"/>
          <w:szCs w:val="20"/>
        </w:rPr>
        <w:t>; 19(6): 409-15.</w:t>
      </w:r>
    </w:p>
    <w:p w:rsidR="00C35D52" w:rsidRPr="00D064FF" w:rsidRDefault="00C35D52" w:rsidP="00C35D52">
      <w:pPr>
        <w:numPr>
          <w:ilvl w:val="0"/>
          <w:numId w:val="6"/>
        </w:numPr>
        <w:snapToGrid w:val="0"/>
        <w:spacing w:after="0" w:line="240" w:lineRule="auto"/>
        <w:ind w:left="425" w:hanging="425"/>
        <w:jc w:val="both"/>
        <w:rPr>
          <w:rFonts w:ascii="Times New Roman" w:hAnsi="Times New Roman"/>
          <w:sz w:val="20"/>
          <w:szCs w:val="20"/>
        </w:rPr>
      </w:pPr>
      <w:r w:rsidRPr="00D064FF">
        <w:rPr>
          <w:rFonts w:ascii="Times New Roman" w:hAnsi="Times New Roman"/>
          <w:sz w:val="20"/>
          <w:szCs w:val="20"/>
        </w:rPr>
        <w:t>H</w:t>
      </w:r>
      <w:r w:rsidR="0086341D" w:rsidRPr="00D064FF">
        <w:rPr>
          <w:rFonts w:ascii="Times New Roman" w:hAnsi="Times New Roman"/>
          <w:sz w:val="20"/>
          <w:szCs w:val="20"/>
        </w:rPr>
        <w:t xml:space="preserve">offman RM, Stone SN, </w:t>
      </w:r>
      <w:proofErr w:type="spellStart"/>
      <w:r w:rsidR="0086341D" w:rsidRPr="00D064FF">
        <w:rPr>
          <w:rFonts w:ascii="Times New Roman" w:hAnsi="Times New Roman"/>
          <w:sz w:val="20"/>
          <w:szCs w:val="20"/>
        </w:rPr>
        <w:t>Espey</w:t>
      </w:r>
      <w:proofErr w:type="spellEnd"/>
      <w:r w:rsidR="0086341D" w:rsidRPr="00D064FF">
        <w:rPr>
          <w:rFonts w:ascii="Times New Roman" w:hAnsi="Times New Roman"/>
          <w:sz w:val="20"/>
          <w:szCs w:val="20"/>
        </w:rPr>
        <w:t xml:space="preserve"> D, </w:t>
      </w:r>
      <w:proofErr w:type="spellStart"/>
      <w:r w:rsidR="0086341D" w:rsidRPr="00D064FF">
        <w:rPr>
          <w:rFonts w:ascii="Times New Roman" w:hAnsi="Times New Roman"/>
          <w:sz w:val="20"/>
          <w:szCs w:val="20"/>
        </w:rPr>
        <w:t>Potosky</w:t>
      </w:r>
      <w:proofErr w:type="spellEnd"/>
      <w:r w:rsidR="0086341D" w:rsidRPr="00D064FF">
        <w:rPr>
          <w:rFonts w:ascii="Times New Roman" w:hAnsi="Times New Roman"/>
          <w:sz w:val="20"/>
          <w:szCs w:val="20"/>
        </w:rPr>
        <w:t xml:space="preserve"> AL. (</w:t>
      </w:r>
      <w:r w:rsidR="0086341D" w:rsidRPr="00D064FF">
        <w:rPr>
          <w:rFonts w:ascii="Times New Roman" w:eastAsia="Times New Roman" w:hAnsi="Times New Roman"/>
          <w:sz w:val="20"/>
          <w:szCs w:val="20"/>
        </w:rPr>
        <w:t>2005). Differences between men with screening detected versus clinica1ly diagnosed prostate cancers in the USA. BMC Cancer; 5: 27-37.</w:t>
      </w:r>
      <w:r w:rsidR="00D064FF" w:rsidRPr="00D064FF">
        <w:rPr>
          <w:rFonts w:ascii="Times New Roman" w:eastAsiaTheme="minorEastAsia" w:hAnsi="Times New Roman" w:hint="eastAsia"/>
          <w:sz w:val="20"/>
          <w:szCs w:val="20"/>
          <w:lang w:eastAsia="zh-CN"/>
        </w:rPr>
        <w:t xml:space="preserve"> </w:t>
      </w:r>
    </w:p>
    <w:p w:rsidR="00C35D52" w:rsidRPr="00D064FF" w:rsidRDefault="00C35D52" w:rsidP="00C35D52">
      <w:pPr>
        <w:snapToGrid w:val="0"/>
        <w:spacing w:after="0" w:line="240" w:lineRule="auto"/>
        <w:ind w:left="425" w:hanging="425"/>
        <w:jc w:val="both"/>
        <w:rPr>
          <w:rFonts w:ascii="Times New Roman" w:hAnsi="Times New Roman"/>
          <w:sz w:val="20"/>
          <w:szCs w:val="20"/>
        </w:rPr>
        <w:sectPr w:rsidR="00C35D52" w:rsidRPr="00D064FF" w:rsidSect="00D064FF">
          <w:headerReference w:type="default" r:id="rId36"/>
          <w:footerReference w:type="default" r:id="rId37"/>
          <w:type w:val="continuous"/>
          <w:pgSz w:w="12242" w:h="15842" w:code="1"/>
          <w:pgMar w:top="1440" w:right="1440" w:bottom="1440" w:left="1440" w:header="720" w:footer="720" w:gutter="0"/>
          <w:cols w:num="2" w:space="576"/>
          <w:docGrid w:linePitch="360"/>
        </w:sectPr>
      </w:pPr>
    </w:p>
    <w:p w:rsidR="00C35D52" w:rsidRPr="00D064FF" w:rsidRDefault="00C35D52" w:rsidP="00C35D52">
      <w:pPr>
        <w:snapToGrid w:val="0"/>
        <w:spacing w:after="0" w:line="240" w:lineRule="auto"/>
        <w:ind w:left="425" w:hanging="425"/>
        <w:jc w:val="both"/>
        <w:rPr>
          <w:rFonts w:ascii="Times New Roman" w:hAnsi="Times New Roman"/>
          <w:sz w:val="20"/>
          <w:szCs w:val="20"/>
          <w:lang w:eastAsia="zh-CN"/>
        </w:rPr>
      </w:pPr>
    </w:p>
    <w:p w:rsidR="00C35D52" w:rsidRPr="00D064FF" w:rsidRDefault="00C35D52" w:rsidP="00C35D52">
      <w:pPr>
        <w:snapToGrid w:val="0"/>
        <w:spacing w:after="0" w:line="240" w:lineRule="auto"/>
        <w:ind w:left="425" w:hanging="425"/>
        <w:jc w:val="both"/>
        <w:rPr>
          <w:rFonts w:ascii="Times New Roman" w:hAnsi="Times New Roman"/>
          <w:sz w:val="20"/>
          <w:szCs w:val="20"/>
          <w:lang w:eastAsia="zh-CN"/>
        </w:rPr>
      </w:pPr>
    </w:p>
    <w:p w:rsidR="00C35D52" w:rsidRPr="00D064FF" w:rsidRDefault="00C35D52" w:rsidP="00C35D52">
      <w:pPr>
        <w:snapToGrid w:val="0"/>
        <w:spacing w:after="0" w:line="240" w:lineRule="auto"/>
        <w:ind w:left="425" w:hanging="425"/>
        <w:jc w:val="both"/>
        <w:rPr>
          <w:rFonts w:ascii="Times New Roman" w:hAnsi="Times New Roman"/>
          <w:sz w:val="20"/>
          <w:szCs w:val="20"/>
          <w:lang w:eastAsia="zh-CN"/>
        </w:rPr>
      </w:pPr>
    </w:p>
    <w:p w:rsidR="00291B07" w:rsidRPr="00D064FF" w:rsidRDefault="00C35D52" w:rsidP="00C35D52">
      <w:pPr>
        <w:snapToGrid w:val="0"/>
        <w:spacing w:after="0" w:line="240" w:lineRule="auto"/>
        <w:ind w:left="425" w:hanging="425"/>
        <w:jc w:val="both"/>
        <w:rPr>
          <w:rFonts w:ascii="Times New Roman" w:hAnsi="Times New Roman"/>
          <w:sz w:val="20"/>
          <w:szCs w:val="20"/>
        </w:rPr>
      </w:pPr>
      <w:r w:rsidRPr="00D064FF">
        <w:rPr>
          <w:rFonts w:ascii="Times New Roman" w:hAnsi="Times New Roman"/>
          <w:sz w:val="20"/>
          <w:szCs w:val="20"/>
        </w:rPr>
        <w:t>3/1/2016</w:t>
      </w:r>
    </w:p>
    <w:sectPr w:rsidR="00291B07" w:rsidRPr="00D064FF" w:rsidSect="00945A82">
      <w:headerReference w:type="default" r:id="rId38"/>
      <w:footerReference w:type="default" r:id="rId39"/>
      <w:type w:val="continuous"/>
      <w:pgSz w:w="12242" w:h="15842" w:code="1"/>
      <w:pgMar w:top="1440" w:right="1440" w:bottom="1440" w:left="1440" w:header="720" w:footer="720"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190" w:rsidRDefault="00C30190" w:rsidP="006D50B2">
      <w:pPr>
        <w:spacing w:after="0" w:line="240" w:lineRule="auto"/>
      </w:pPr>
      <w:r>
        <w:separator/>
      </w:r>
    </w:p>
  </w:endnote>
  <w:endnote w:type="continuationSeparator" w:id="0">
    <w:p w:rsidR="00C30190" w:rsidRDefault="00C30190" w:rsidP="006D50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D52" w:rsidRPr="00C35D52" w:rsidRDefault="00355984" w:rsidP="00C35D52">
    <w:pPr>
      <w:spacing w:after="0" w:line="240" w:lineRule="auto"/>
      <w:jc w:val="center"/>
      <w:rPr>
        <w:rFonts w:ascii="Times New Roman" w:hAnsi="Times New Roman"/>
        <w:sz w:val="20"/>
      </w:rPr>
    </w:pPr>
    <w:r w:rsidRPr="00C35D52">
      <w:rPr>
        <w:rFonts w:ascii="Times New Roman" w:hAnsi="Times New Roman"/>
        <w:sz w:val="20"/>
      </w:rPr>
      <w:fldChar w:fldCharType="begin"/>
    </w:r>
    <w:r w:rsidR="00C35D52" w:rsidRPr="00C35D52">
      <w:rPr>
        <w:rFonts w:ascii="Times New Roman" w:hAnsi="Times New Roman"/>
        <w:sz w:val="20"/>
      </w:rPr>
      <w:instrText xml:space="preserve"> page </w:instrText>
    </w:r>
    <w:r w:rsidRPr="00C35D52">
      <w:rPr>
        <w:rFonts w:ascii="Times New Roman" w:hAnsi="Times New Roman"/>
        <w:sz w:val="20"/>
      </w:rPr>
      <w:fldChar w:fldCharType="separate"/>
    </w:r>
    <w:r w:rsidR="00CF21B7">
      <w:rPr>
        <w:rFonts w:ascii="Times New Roman" w:hAnsi="Times New Roman"/>
        <w:noProof/>
        <w:sz w:val="20"/>
      </w:rPr>
      <w:t>46</w:t>
    </w:r>
    <w:r w:rsidRPr="00C35D52">
      <w:rPr>
        <w:rFonts w:ascii="Times New Roman" w:hAnsi="Times New Roman"/>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D52" w:rsidRPr="00C35D52" w:rsidRDefault="00355984" w:rsidP="00C35D52">
    <w:pPr>
      <w:spacing w:after="0" w:line="240" w:lineRule="auto"/>
      <w:jc w:val="center"/>
      <w:rPr>
        <w:rFonts w:ascii="Times New Roman" w:hAnsi="Times New Roman"/>
        <w:sz w:val="20"/>
      </w:rPr>
    </w:pPr>
    <w:r w:rsidRPr="00C35D52">
      <w:rPr>
        <w:rFonts w:ascii="Times New Roman" w:hAnsi="Times New Roman"/>
        <w:sz w:val="20"/>
      </w:rPr>
      <w:fldChar w:fldCharType="begin"/>
    </w:r>
    <w:r w:rsidR="00C35D52" w:rsidRPr="00C35D52">
      <w:rPr>
        <w:rFonts w:ascii="Times New Roman" w:hAnsi="Times New Roman"/>
        <w:sz w:val="20"/>
      </w:rPr>
      <w:instrText xml:space="preserve"> page </w:instrText>
    </w:r>
    <w:r w:rsidRPr="00C35D52">
      <w:rPr>
        <w:rFonts w:ascii="Times New Roman" w:hAnsi="Times New Roman"/>
        <w:sz w:val="20"/>
      </w:rPr>
      <w:fldChar w:fldCharType="separate"/>
    </w:r>
    <w:r w:rsidR="00CF21B7">
      <w:rPr>
        <w:rFonts w:ascii="Times New Roman" w:hAnsi="Times New Roman"/>
        <w:noProof/>
        <w:sz w:val="20"/>
      </w:rPr>
      <w:t>52</w:t>
    </w:r>
    <w:r w:rsidRPr="00C35D52">
      <w:rPr>
        <w:rFonts w:ascii="Times New Roman" w:hAnsi="Times New Roman"/>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D52" w:rsidRPr="00C35D52" w:rsidRDefault="00355984" w:rsidP="00C35D52">
    <w:pPr>
      <w:spacing w:after="0" w:line="240" w:lineRule="auto"/>
      <w:jc w:val="center"/>
      <w:rPr>
        <w:rFonts w:ascii="Times New Roman" w:hAnsi="Times New Roman"/>
        <w:sz w:val="20"/>
      </w:rPr>
    </w:pPr>
    <w:r w:rsidRPr="00C35D52">
      <w:rPr>
        <w:rFonts w:ascii="Times New Roman" w:hAnsi="Times New Roman"/>
        <w:sz w:val="20"/>
      </w:rPr>
      <w:fldChar w:fldCharType="begin"/>
    </w:r>
    <w:r w:rsidR="00C35D52" w:rsidRPr="00C35D52">
      <w:rPr>
        <w:rFonts w:ascii="Times New Roman" w:hAnsi="Times New Roman"/>
        <w:sz w:val="20"/>
      </w:rPr>
      <w:instrText xml:space="preserve"> page </w:instrText>
    </w:r>
    <w:r w:rsidRPr="00C35D52">
      <w:rPr>
        <w:rFonts w:ascii="Times New Roman" w:hAnsi="Times New Roman"/>
        <w:sz w:val="20"/>
      </w:rPr>
      <w:fldChar w:fldCharType="separate"/>
    </w:r>
    <w:r w:rsidR="00C35D52">
      <w:rPr>
        <w:rFonts w:ascii="Times New Roman" w:hAnsi="Times New Roman"/>
        <w:noProof/>
        <w:sz w:val="20"/>
      </w:rPr>
      <w:t>1</w:t>
    </w:r>
    <w:r w:rsidRPr="00C35D52">
      <w:rPr>
        <w:rFonts w:ascii="Times New Roman" w:hAnsi="Times New Roman"/>
        <w:sz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D52" w:rsidRPr="00C35D52" w:rsidRDefault="00355984" w:rsidP="00C35D52">
    <w:pPr>
      <w:spacing w:after="0" w:line="240" w:lineRule="auto"/>
      <w:jc w:val="center"/>
      <w:rPr>
        <w:rFonts w:ascii="Times New Roman" w:hAnsi="Times New Roman"/>
        <w:sz w:val="20"/>
      </w:rPr>
    </w:pPr>
    <w:r w:rsidRPr="00C35D52">
      <w:rPr>
        <w:rFonts w:ascii="Times New Roman" w:hAnsi="Times New Roman"/>
        <w:sz w:val="20"/>
      </w:rPr>
      <w:fldChar w:fldCharType="begin"/>
    </w:r>
    <w:r w:rsidR="00C35D52" w:rsidRPr="00C35D52">
      <w:rPr>
        <w:rFonts w:ascii="Times New Roman" w:hAnsi="Times New Roman"/>
        <w:sz w:val="20"/>
      </w:rPr>
      <w:instrText xml:space="preserve"> page </w:instrText>
    </w:r>
    <w:r w:rsidRPr="00C35D52">
      <w:rPr>
        <w:rFonts w:ascii="Times New Roman" w:hAnsi="Times New Roman"/>
        <w:sz w:val="20"/>
      </w:rPr>
      <w:fldChar w:fldCharType="separate"/>
    </w:r>
    <w:r w:rsidR="00CF21B7">
      <w:rPr>
        <w:rFonts w:ascii="Times New Roman" w:hAnsi="Times New Roman"/>
        <w:noProof/>
        <w:sz w:val="20"/>
      </w:rPr>
      <w:t>47</w:t>
    </w:r>
    <w:r w:rsidRPr="00C35D52">
      <w:rPr>
        <w:rFonts w:ascii="Times New Roman" w:hAnsi="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D52" w:rsidRPr="00C35D52" w:rsidRDefault="00355984" w:rsidP="00C35D52">
    <w:pPr>
      <w:spacing w:after="0" w:line="240" w:lineRule="auto"/>
      <w:jc w:val="center"/>
      <w:rPr>
        <w:rFonts w:ascii="Times New Roman" w:hAnsi="Times New Roman"/>
        <w:sz w:val="20"/>
      </w:rPr>
    </w:pPr>
    <w:r w:rsidRPr="00C35D52">
      <w:rPr>
        <w:rFonts w:ascii="Times New Roman" w:hAnsi="Times New Roman"/>
        <w:sz w:val="20"/>
      </w:rPr>
      <w:fldChar w:fldCharType="begin"/>
    </w:r>
    <w:r w:rsidR="00C35D52" w:rsidRPr="00C35D52">
      <w:rPr>
        <w:rFonts w:ascii="Times New Roman" w:hAnsi="Times New Roman"/>
        <w:sz w:val="20"/>
      </w:rPr>
      <w:instrText xml:space="preserve"> page </w:instrText>
    </w:r>
    <w:r w:rsidRPr="00C35D52">
      <w:rPr>
        <w:rFonts w:ascii="Times New Roman" w:hAnsi="Times New Roman"/>
        <w:sz w:val="20"/>
      </w:rPr>
      <w:fldChar w:fldCharType="separate"/>
    </w:r>
    <w:r w:rsidR="00C35D52">
      <w:rPr>
        <w:rFonts w:ascii="Times New Roman" w:hAnsi="Times New Roman"/>
        <w:noProof/>
        <w:sz w:val="20"/>
      </w:rPr>
      <w:t>1</w:t>
    </w:r>
    <w:r w:rsidRPr="00C35D52">
      <w:rPr>
        <w:rFonts w:ascii="Times New Roman" w:hAnsi="Times New Roman"/>
        <w:sz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D52" w:rsidRPr="00C35D52" w:rsidRDefault="00355984" w:rsidP="00C35D52">
    <w:pPr>
      <w:spacing w:after="0" w:line="240" w:lineRule="auto"/>
      <w:jc w:val="center"/>
      <w:rPr>
        <w:rFonts w:ascii="Times New Roman" w:hAnsi="Times New Roman"/>
        <w:sz w:val="20"/>
      </w:rPr>
    </w:pPr>
    <w:r w:rsidRPr="00C35D52">
      <w:rPr>
        <w:rFonts w:ascii="Times New Roman" w:hAnsi="Times New Roman"/>
        <w:sz w:val="20"/>
      </w:rPr>
      <w:fldChar w:fldCharType="begin"/>
    </w:r>
    <w:r w:rsidR="00C35D52" w:rsidRPr="00C35D52">
      <w:rPr>
        <w:rFonts w:ascii="Times New Roman" w:hAnsi="Times New Roman"/>
        <w:sz w:val="20"/>
      </w:rPr>
      <w:instrText xml:space="preserve"> page </w:instrText>
    </w:r>
    <w:r w:rsidRPr="00C35D52">
      <w:rPr>
        <w:rFonts w:ascii="Times New Roman" w:hAnsi="Times New Roman"/>
        <w:sz w:val="20"/>
      </w:rPr>
      <w:fldChar w:fldCharType="separate"/>
    </w:r>
    <w:r w:rsidR="00C35D52">
      <w:rPr>
        <w:rFonts w:ascii="Times New Roman" w:hAnsi="Times New Roman"/>
        <w:noProof/>
        <w:sz w:val="20"/>
      </w:rPr>
      <w:t>3</w:t>
    </w:r>
    <w:r w:rsidRPr="00C35D52">
      <w:rPr>
        <w:rFonts w:ascii="Times New Roman" w:hAnsi="Times New Roman"/>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D52" w:rsidRPr="00C35D52" w:rsidRDefault="00355984" w:rsidP="00C35D52">
    <w:pPr>
      <w:spacing w:after="0" w:line="240" w:lineRule="auto"/>
      <w:jc w:val="center"/>
      <w:rPr>
        <w:rFonts w:ascii="Times New Roman" w:hAnsi="Times New Roman"/>
        <w:sz w:val="20"/>
      </w:rPr>
    </w:pPr>
    <w:r w:rsidRPr="00C35D52">
      <w:rPr>
        <w:rFonts w:ascii="Times New Roman" w:hAnsi="Times New Roman"/>
        <w:sz w:val="20"/>
      </w:rPr>
      <w:fldChar w:fldCharType="begin"/>
    </w:r>
    <w:r w:rsidR="00C35D52" w:rsidRPr="00C35D52">
      <w:rPr>
        <w:rFonts w:ascii="Times New Roman" w:hAnsi="Times New Roman"/>
        <w:sz w:val="20"/>
      </w:rPr>
      <w:instrText xml:space="preserve"> page </w:instrText>
    </w:r>
    <w:r w:rsidRPr="00C35D52">
      <w:rPr>
        <w:rFonts w:ascii="Times New Roman" w:hAnsi="Times New Roman"/>
        <w:sz w:val="20"/>
      </w:rPr>
      <w:fldChar w:fldCharType="separate"/>
    </w:r>
    <w:r w:rsidR="002A1166">
      <w:rPr>
        <w:rFonts w:ascii="Times New Roman" w:hAnsi="Times New Roman"/>
        <w:noProof/>
        <w:sz w:val="20"/>
      </w:rPr>
      <w:t>48</w:t>
    </w:r>
    <w:r w:rsidRPr="00C35D52">
      <w:rPr>
        <w:rFonts w:ascii="Times New Roman" w:hAnsi="Times New Roman"/>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D52" w:rsidRPr="00C35D52" w:rsidRDefault="00355984" w:rsidP="00C35D52">
    <w:pPr>
      <w:spacing w:after="0" w:line="240" w:lineRule="auto"/>
      <w:jc w:val="center"/>
      <w:rPr>
        <w:rFonts w:ascii="Times New Roman" w:hAnsi="Times New Roman"/>
        <w:sz w:val="20"/>
      </w:rPr>
    </w:pPr>
    <w:r w:rsidRPr="00C35D52">
      <w:rPr>
        <w:rFonts w:ascii="Times New Roman" w:hAnsi="Times New Roman"/>
        <w:sz w:val="20"/>
      </w:rPr>
      <w:fldChar w:fldCharType="begin"/>
    </w:r>
    <w:r w:rsidR="00C35D52" w:rsidRPr="00C35D52">
      <w:rPr>
        <w:rFonts w:ascii="Times New Roman" w:hAnsi="Times New Roman"/>
        <w:sz w:val="20"/>
      </w:rPr>
      <w:instrText xml:space="preserve"> page </w:instrText>
    </w:r>
    <w:r w:rsidRPr="00C35D52">
      <w:rPr>
        <w:rFonts w:ascii="Times New Roman" w:hAnsi="Times New Roman"/>
        <w:sz w:val="20"/>
      </w:rPr>
      <w:fldChar w:fldCharType="separate"/>
    </w:r>
    <w:r w:rsidR="00C35D52">
      <w:rPr>
        <w:rFonts w:ascii="Times New Roman" w:hAnsi="Times New Roman"/>
        <w:noProof/>
        <w:sz w:val="20"/>
      </w:rPr>
      <w:t>1</w:t>
    </w:r>
    <w:r w:rsidRPr="00C35D52">
      <w:rPr>
        <w:rFonts w:ascii="Times New Roman" w:hAnsi="Times New Roman"/>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D52" w:rsidRPr="00C35D52" w:rsidRDefault="00355984" w:rsidP="00C35D52">
    <w:pPr>
      <w:spacing w:after="0" w:line="240" w:lineRule="auto"/>
      <w:jc w:val="center"/>
      <w:rPr>
        <w:rFonts w:ascii="Times New Roman" w:hAnsi="Times New Roman"/>
        <w:sz w:val="20"/>
      </w:rPr>
    </w:pPr>
    <w:r w:rsidRPr="00C35D52">
      <w:rPr>
        <w:rFonts w:ascii="Times New Roman" w:hAnsi="Times New Roman"/>
        <w:sz w:val="20"/>
      </w:rPr>
      <w:fldChar w:fldCharType="begin"/>
    </w:r>
    <w:r w:rsidR="00C35D52" w:rsidRPr="00C35D52">
      <w:rPr>
        <w:rFonts w:ascii="Times New Roman" w:hAnsi="Times New Roman"/>
        <w:sz w:val="20"/>
      </w:rPr>
      <w:instrText xml:space="preserve"> page </w:instrText>
    </w:r>
    <w:r w:rsidRPr="00C35D52">
      <w:rPr>
        <w:rFonts w:ascii="Times New Roman" w:hAnsi="Times New Roman"/>
        <w:sz w:val="20"/>
      </w:rPr>
      <w:fldChar w:fldCharType="separate"/>
    </w:r>
    <w:r w:rsidR="00C35D52">
      <w:rPr>
        <w:rFonts w:ascii="Times New Roman" w:hAnsi="Times New Roman"/>
        <w:noProof/>
        <w:sz w:val="20"/>
      </w:rPr>
      <w:t>4</w:t>
    </w:r>
    <w:r w:rsidRPr="00C35D52">
      <w:rPr>
        <w:rFonts w:ascii="Times New Roman" w:hAnsi="Times New Roman"/>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D52" w:rsidRPr="00C35D52" w:rsidRDefault="00355984" w:rsidP="00C35D52">
    <w:pPr>
      <w:spacing w:after="0" w:line="240" w:lineRule="auto"/>
      <w:jc w:val="center"/>
      <w:rPr>
        <w:rFonts w:ascii="Times New Roman" w:hAnsi="Times New Roman"/>
        <w:sz w:val="20"/>
      </w:rPr>
    </w:pPr>
    <w:r w:rsidRPr="00C35D52">
      <w:rPr>
        <w:rFonts w:ascii="Times New Roman" w:hAnsi="Times New Roman"/>
        <w:sz w:val="20"/>
      </w:rPr>
      <w:fldChar w:fldCharType="begin"/>
    </w:r>
    <w:r w:rsidR="00C35D52" w:rsidRPr="00C35D52">
      <w:rPr>
        <w:rFonts w:ascii="Times New Roman" w:hAnsi="Times New Roman"/>
        <w:sz w:val="20"/>
      </w:rPr>
      <w:instrText xml:space="preserve"> page </w:instrText>
    </w:r>
    <w:r w:rsidRPr="00C35D52">
      <w:rPr>
        <w:rFonts w:ascii="Times New Roman" w:hAnsi="Times New Roman"/>
        <w:sz w:val="20"/>
      </w:rPr>
      <w:fldChar w:fldCharType="separate"/>
    </w:r>
    <w:r w:rsidR="00C35D52">
      <w:rPr>
        <w:rFonts w:ascii="Times New Roman" w:hAnsi="Times New Roman"/>
        <w:noProof/>
        <w:sz w:val="20"/>
      </w:rPr>
      <w:t>4</w:t>
    </w:r>
    <w:r w:rsidRPr="00C35D52">
      <w:rPr>
        <w:rFonts w:ascii="Times New Roman" w:hAnsi="Times New Roman"/>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D52" w:rsidRPr="00C35D52" w:rsidRDefault="00355984" w:rsidP="00C35D52">
    <w:pPr>
      <w:spacing w:after="0" w:line="240" w:lineRule="auto"/>
      <w:jc w:val="center"/>
      <w:rPr>
        <w:rFonts w:ascii="Times New Roman" w:hAnsi="Times New Roman"/>
        <w:sz w:val="20"/>
      </w:rPr>
    </w:pPr>
    <w:r w:rsidRPr="00C35D52">
      <w:rPr>
        <w:rFonts w:ascii="Times New Roman" w:hAnsi="Times New Roman"/>
        <w:sz w:val="20"/>
      </w:rPr>
      <w:fldChar w:fldCharType="begin"/>
    </w:r>
    <w:r w:rsidR="00C35D52" w:rsidRPr="00C35D52">
      <w:rPr>
        <w:rFonts w:ascii="Times New Roman" w:hAnsi="Times New Roman"/>
        <w:sz w:val="20"/>
      </w:rPr>
      <w:instrText xml:space="preserve"> page </w:instrText>
    </w:r>
    <w:r w:rsidRPr="00C35D52">
      <w:rPr>
        <w:rFonts w:ascii="Times New Roman" w:hAnsi="Times New Roman"/>
        <w:sz w:val="20"/>
      </w:rPr>
      <w:fldChar w:fldCharType="separate"/>
    </w:r>
    <w:r w:rsidR="002A1166">
      <w:rPr>
        <w:rFonts w:ascii="Times New Roman" w:hAnsi="Times New Roman"/>
        <w:noProof/>
        <w:sz w:val="20"/>
      </w:rPr>
      <w:t>49</w:t>
    </w:r>
    <w:r w:rsidRPr="00C35D52">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190" w:rsidRDefault="00C30190" w:rsidP="006D50B2">
      <w:pPr>
        <w:spacing w:after="0" w:line="240" w:lineRule="auto"/>
      </w:pPr>
      <w:r>
        <w:separator/>
      </w:r>
    </w:p>
  </w:footnote>
  <w:footnote w:type="continuationSeparator" w:id="0">
    <w:p w:rsidR="00C30190" w:rsidRDefault="00C30190" w:rsidP="006D50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D52" w:rsidRPr="00C35D52" w:rsidRDefault="00C35D52" w:rsidP="00C35D5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C35D52">
      <w:rPr>
        <w:rFonts w:ascii="Times New Roman" w:hAnsi="Times New Roman" w:hint="eastAsia"/>
        <w:sz w:val="20"/>
        <w:szCs w:val="20"/>
      </w:rPr>
      <w:tab/>
    </w:r>
    <w:r w:rsidRPr="00C35D52">
      <w:rPr>
        <w:rFonts w:ascii="Times New Roman" w:hAnsi="Times New Roman"/>
        <w:sz w:val="20"/>
        <w:szCs w:val="20"/>
      </w:rPr>
      <w:t>New York Science Journal 201</w:t>
    </w:r>
    <w:r w:rsidRPr="00C35D52">
      <w:rPr>
        <w:rFonts w:ascii="Times New Roman" w:hAnsi="Times New Roman" w:hint="eastAsia"/>
        <w:sz w:val="20"/>
        <w:szCs w:val="20"/>
      </w:rPr>
      <w:t>6</w:t>
    </w:r>
    <w:proofErr w:type="gramStart"/>
    <w:r w:rsidRPr="00C35D52">
      <w:rPr>
        <w:rFonts w:ascii="Times New Roman" w:hAnsi="Times New Roman"/>
        <w:sz w:val="20"/>
        <w:szCs w:val="20"/>
      </w:rPr>
      <w:t>;</w:t>
    </w:r>
    <w:r w:rsidRPr="00C35D52">
      <w:rPr>
        <w:rFonts w:ascii="Times New Roman" w:hAnsi="Times New Roman" w:hint="eastAsia"/>
        <w:sz w:val="20"/>
        <w:szCs w:val="20"/>
      </w:rPr>
      <w:t>9</w:t>
    </w:r>
    <w:proofErr w:type="gramEnd"/>
    <w:r w:rsidRPr="00C35D52">
      <w:rPr>
        <w:rFonts w:ascii="Times New Roman" w:hAnsi="Times New Roman"/>
        <w:sz w:val="20"/>
        <w:szCs w:val="20"/>
      </w:rPr>
      <w:t>(</w:t>
    </w:r>
    <w:r w:rsidRPr="00C35D52">
      <w:rPr>
        <w:rFonts w:ascii="Times New Roman" w:hAnsi="Times New Roman" w:hint="eastAsia"/>
        <w:sz w:val="20"/>
        <w:szCs w:val="20"/>
      </w:rPr>
      <w:t>3</w:t>
    </w:r>
    <w:r w:rsidRPr="00C35D52">
      <w:rPr>
        <w:rFonts w:ascii="Times New Roman" w:hAnsi="Times New Roman"/>
        <w:sz w:val="20"/>
        <w:szCs w:val="20"/>
      </w:rPr>
      <w:t>)</w:t>
    </w:r>
    <w:r w:rsidRPr="00C35D52">
      <w:rPr>
        <w:rFonts w:ascii="Times New Roman" w:hAnsi="Times New Roman"/>
        <w:iCs/>
        <w:sz w:val="20"/>
        <w:szCs w:val="20"/>
      </w:rPr>
      <w:t xml:space="preserve">     </w:t>
    </w:r>
    <w:r w:rsidRPr="00C35D52">
      <w:rPr>
        <w:rFonts w:ascii="Times New Roman" w:hAnsi="Times New Roman" w:hint="eastAsia"/>
        <w:iCs/>
        <w:sz w:val="20"/>
        <w:szCs w:val="20"/>
      </w:rPr>
      <w:tab/>
    </w:r>
    <w:r w:rsidRPr="00C35D52">
      <w:rPr>
        <w:rFonts w:ascii="Times New Roman" w:hAnsi="Times New Roman"/>
        <w:iCs/>
        <w:sz w:val="20"/>
        <w:szCs w:val="20"/>
      </w:rPr>
      <w:t xml:space="preserve"> </w:t>
    </w:r>
    <w:r w:rsidRPr="00C35D52">
      <w:rPr>
        <w:rFonts w:ascii="Times New Roman" w:hAnsi="Times New Roman" w:hint="eastAsia"/>
        <w:iCs/>
        <w:sz w:val="20"/>
        <w:szCs w:val="20"/>
      </w:rPr>
      <w:t xml:space="preserve"> </w:t>
    </w:r>
    <w:r w:rsidRPr="00C35D52">
      <w:rPr>
        <w:rFonts w:ascii="Times New Roman" w:hAnsi="Times New Roman"/>
        <w:iCs/>
        <w:sz w:val="20"/>
        <w:szCs w:val="20"/>
      </w:rPr>
      <w:t xml:space="preserve">   </w:t>
    </w:r>
    <w:hyperlink r:id="rId1" w:history="1">
      <w:r w:rsidRPr="00C35D52">
        <w:rPr>
          <w:rStyle w:val="Hyperlink"/>
          <w:rFonts w:ascii="Times New Roman" w:hAnsi="Times New Roman"/>
          <w:color w:val="0000FF"/>
          <w:sz w:val="20"/>
          <w:szCs w:val="20"/>
        </w:rPr>
        <w:t>http://www.sciencepub.net/newyork</w:t>
      </w:r>
    </w:hyperlink>
  </w:p>
  <w:p w:rsidR="00C35D52" w:rsidRPr="00C35D52" w:rsidRDefault="00C35D52" w:rsidP="00C35D52">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D52" w:rsidRPr="00C35D52" w:rsidRDefault="00C35D52" w:rsidP="00C35D5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C35D52">
      <w:rPr>
        <w:rFonts w:ascii="Times New Roman" w:hAnsi="Times New Roman" w:hint="eastAsia"/>
        <w:sz w:val="20"/>
        <w:szCs w:val="20"/>
      </w:rPr>
      <w:tab/>
    </w:r>
    <w:r w:rsidRPr="00C35D52">
      <w:rPr>
        <w:rFonts w:ascii="Times New Roman" w:hAnsi="Times New Roman"/>
        <w:sz w:val="20"/>
        <w:szCs w:val="20"/>
      </w:rPr>
      <w:t>New York Science Journal 201</w:t>
    </w:r>
    <w:r w:rsidRPr="00C35D52">
      <w:rPr>
        <w:rFonts w:ascii="Times New Roman" w:hAnsi="Times New Roman" w:hint="eastAsia"/>
        <w:sz w:val="20"/>
        <w:szCs w:val="20"/>
      </w:rPr>
      <w:t>6</w:t>
    </w:r>
    <w:proofErr w:type="gramStart"/>
    <w:r w:rsidRPr="00C35D52">
      <w:rPr>
        <w:rFonts w:ascii="Times New Roman" w:hAnsi="Times New Roman"/>
        <w:sz w:val="20"/>
        <w:szCs w:val="20"/>
      </w:rPr>
      <w:t>;</w:t>
    </w:r>
    <w:r w:rsidRPr="00C35D52">
      <w:rPr>
        <w:rFonts w:ascii="Times New Roman" w:hAnsi="Times New Roman" w:hint="eastAsia"/>
        <w:sz w:val="20"/>
        <w:szCs w:val="20"/>
      </w:rPr>
      <w:t>9</w:t>
    </w:r>
    <w:proofErr w:type="gramEnd"/>
    <w:r w:rsidRPr="00C35D52">
      <w:rPr>
        <w:rFonts w:ascii="Times New Roman" w:hAnsi="Times New Roman"/>
        <w:sz w:val="20"/>
        <w:szCs w:val="20"/>
      </w:rPr>
      <w:t>(</w:t>
    </w:r>
    <w:r w:rsidRPr="00C35D52">
      <w:rPr>
        <w:rFonts w:ascii="Times New Roman" w:hAnsi="Times New Roman" w:hint="eastAsia"/>
        <w:sz w:val="20"/>
        <w:szCs w:val="20"/>
      </w:rPr>
      <w:t>3</w:t>
    </w:r>
    <w:r w:rsidRPr="00C35D52">
      <w:rPr>
        <w:rFonts w:ascii="Times New Roman" w:hAnsi="Times New Roman"/>
        <w:sz w:val="20"/>
        <w:szCs w:val="20"/>
      </w:rPr>
      <w:t>)</w:t>
    </w:r>
    <w:r w:rsidRPr="00C35D52">
      <w:rPr>
        <w:rFonts w:ascii="Times New Roman" w:hAnsi="Times New Roman"/>
        <w:iCs/>
        <w:sz w:val="20"/>
        <w:szCs w:val="20"/>
      </w:rPr>
      <w:t xml:space="preserve">     </w:t>
    </w:r>
    <w:r w:rsidRPr="00C35D52">
      <w:rPr>
        <w:rFonts w:ascii="Times New Roman" w:hAnsi="Times New Roman" w:hint="eastAsia"/>
        <w:iCs/>
        <w:sz w:val="20"/>
        <w:szCs w:val="20"/>
      </w:rPr>
      <w:tab/>
    </w:r>
    <w:r w:rsidRPr="00C35D52">
      <w:rPr>
        <w:rFonts w:ascii="Times New Roman" w:hAnsi="Times New Roman"/>
        <w:iCs/>
        <w:sz w:val="20"/>
        <w:szCs w:val="20"/>
      </w:rPr>
      <w:t xml:space="preserve"> </w:t>
    </w:r>
    <w:r w:rsidRPr="00C35D52">
      <w:rPr>
        <w:rFonts w:ascii="Times New Roman" w:hAnsi="Times New Roman" w:hint="eastAsia"/>
        <w:iCs/>
        <w:sz w:val="20"/>
        <w:szCs w:val="20"/>
      </w:rPr>
      <w:t xml:space="preserve"> </w:t>
    </w:r>
    <w:r w:rsidRPr="00C35D52">
      <w:rPr>
        <w:rFonts w:ascii="Times New Roman" w:hAnsi="Times New Roman"/>
        <w:iCs/>
        <w:sz w:val="20"/>
        <w:szCs w:val="20"/>
      </w:rPr>
      <w:t xml:space="preserve">   </w:t>
    </w:r>
    <w:hyperlink r:id="rId1" w:history="1">
      <w:r w:rsidRPr="00C35D52">
        <w:rPr>
          <w:rStyle w:val="Hyperlink"/>
          <w:rFonts w:ascii="Times New Roman" w:hAnsi="Times New Roman"/>
          <w:color w:val="0000FF"/>
          <w:sz w:val="20"/>
          <w:szCs w:val="20"/>
        </w:rPr>
        <w:t>http://www.sciencepub.net/newyork</w:t>
      </w:r>
    </w:hyperlink>
  </w:p>
  <w:p w:rsidR="00C35D52" w:rsidRPr="00C35D52" w:rsidRDefault="00C35D52" w:rsidP="00C35D52">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D52" w:rsidRPr="00C35D52" w:rsidRDefault="00C35D52" w:rsidP="00C35D5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C35D52">
      <w:rPr>
        <w:rFonts w:ascii="Times New Roman" w:hAnsi="Times New Roman" w:hint="eastAsia"/>
        <w:sz w:val="20"/>
        <w:szCs w:val="20"/>
      </w:rPr>
      <w:tab/>
    </w:r>
    <w:r w:rsidRPr="00C35D52">
      <w:rPr>
        <w:rFonts w:ascii="Times New Roman" w:hAnsi="Times New Roman"/>
        <w:sz w:val="20"/>
        <w:szCs w:val="20"/>
      </w:rPr>
      <w:t>New York Science Journal 201</w:t>
    </w:r>
    <w:r w:rsidRPr="00C35D52">
      <w:rPr>
        <w:rFonts w:ascii="Times New Roman" w:hAnsi="Times New Roman" w:hint="eastAsia"/>
        <w:sz w:val="20"/>
        <w:szCs w:val="20"/>
      </w:rPr>
      <w:t>6</w:t>
    </w:r>
    <w:proofErr w:type="gramStart"/>
    <w:r w:rsidRPr="00C35D52">
      <w:rPr>
        <w:rFonts w:ascii="Times New Roman" w:hAnsi="Times New Roman"/>
        <w:sz w:val="20"/>
        <w:szCs w:val="20"/>
      </w:rPr>
      <w:t>;</w:t>
    </w:r>
    <w:r w:rsidRPr="00C35D52">
      <w:rPr>
        <w:rFonts w:ascii="Times New Roman" w:hAnsi="Times New Roman" w:hint="eastAsia"/>
        <w:sz w:val="20"/>
        <w:szCs w:val="20"/>
      </w:rPr>
      <w:t>9</w:t>
    </w:r>
    <w:proofErr w:type="gramEnd"/>
    <w:r w:rsidRPr="00C35D52">
      <w:rPr>
        <w:rFonts w:ascii="Times New Roman" w:hAnsi="Times New Roman"/>
        <w:sz w:val="20"/>
        <w:szCs w:val="20"/>
      </w:rPr>
      <w:t>(</w:t>
    </w:r>
    <w:r w:rsidRPr="00C35D52">
      <w:rPr>
        <w:rFonts w:ascii="Times New Roman" w:hAnsi="Times New Roman" w:hint="eastAsia"/>
        <w:sz w:val="20"/>
        <w:szCs w:val="20"/>
      </w:rPr>
      <w:t>3</w:t>
    </w:r>
    <w:r w:rsidRPr="00C35D52">
      <w:rPr>
        <w:rFonts w:ascii="Times New Roman" w:hAnsi="Times New Roman"/>
        <w:sz w:val="20"/>
        <w:szCs w:val="20"/>
      </w:rPr>
      <w:t>)</w:t>
    </w:r>
    <w:r w:rsidRPr="00C35D52">
      <w:rPr>
        <w:rFonts w:ascii="Times New Roman" w:hAnsi="Times New Roman"/>
        <w:iCs/>
        <w:sz w:val="20"/>
        <w:szCs w:val="20"/>
      </w:rPr>
      <w:t xml:space="preserve">     </w:t>
    </w:r>
    <w:r w:rsidRPr="00C35D52">
      <w:rPr>
        <w:rFonts w:ascii="Times New Roman" w:hAnsi="Times New Roman" w:hint="eastAsia"/>
        <w:iCs/>
        <w:sz w:val="20"/>
        <w:szCs w:val="20"/>
      </w:rPr>
      <w:tab/>
    </w:r>
    <w:r w:rsidRPr="00C35D52">
      <w:rPr>
        <w:rFonts w:ascii="Times New Roman" w:hAnsi="Times New Roman"/>
        <w:iCs/>
        <w:sz w:val="20"/>
        <w:szCs w:val="20"/>
      </w:rPr>
      <w:t xml:space="preserve"> </w:t>
    </w:r>
    <w:r w:rsidRPr="00C35D52">
      <w:rPr>
        <w:rFonts w:ascii="Times New Roman" w:hAnsi="Times New Roman" w:hint="eastAsia"/>
        <w:iCs/>
        <w:sz w:val="20"/>
        <w:szCs w:val="20"/>
      </w:rPr>
      <w:t xml:space="preserve"> </w:t>
    </w:r>
    <w:r w:rsidRPr="00C35D52">
      <w:rPr>
        <w:rFonts w:ascii="Times New Roman" w:hAnsi="Times New Roman"/>
        <w:iCs/>
        <w:sz w:val="20"/>
        <w:szCs w:val="20"/>
      </w:rPr>
      <w:t xml:space="preserve">   </w:t>
    </w:r>
    <w:hyperlink r:id="rId1" w:history="1">
      <w:r w:rsidRPr="00C35D52">
        <w:rPr>
          <w:rStyle w:val="Hyperlink"/>
          <w:rFonts w:ascii="Times New Roman" w:hAnsi="Times New Roman"/>
          <w:color w:val="0000FF"/>
          <w:sz w:val="20"/>
          <w:szCs w:val="20"/>
        </w:rPr>
        <w:t>http://www.sciencepub.net/newyork</w:t>
      </w:r>
    </w:hyperlink>
  </w:p>
  <w:p w:rsidR="00C35D52" w:rsidRPr="00C35D52" w:rsidRDefault="00C35D52" w:rsidP="00C35D52">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D52" w:rsidRPr="00C35D52" w:rsidRDefault="00C35D52" w:rsidP="00C35D5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C35D52">
      <w:rPr>
        <w:rFonts w:ascii="Times New Roman" w:hAnsi="Times New Roman" w:hint="eastAsia"/>
        <w:sz w:val="20"/>
        <w:szCs w:val="20"/>
      </w:rPr>
      <w:tab/>
    </w:r>
    <w:r w:rsidRPr="00C35D52">
      <w:rPr>
        <w:rFonts w:ascii="Times New Roman" w:hAnsi="Times New Roman"/>
        <w:sz w:val="20"/>
        <w:szCs w:val="20"/>
      </w:rPr>
      <w:t>New York Science Journal 201</w:t>
    </w:r>
    <w:r w:rsidRPr="00C35D52">
      <w:rPr>
        <w:rFonts w:ascii="Times New Roman" w:hAnsi="Times New Roman" w:hint="eastAsia"/>
        <w:sz w:val="20"/>
        <w:szCs w:val="20"/>
      </w:rPr>
      <w:t>6</w:t>
    </w:r>
    <w:proofErr w:type="gramStart"/>
    <w:r w:rsidRPr="00C35D52">
      <w:rPr>
        <w:rFonts w:ascii="Times New Roman" w:hAnsi="Times New Roman"/>
        <w:sz w:val="20"/>
        <w:szCs w:val="20"/>
      </w:rPr>
      <w:t>;</w:t>
    </w:r>
    <w:r w:rsidRPr="00C35D52">
      <w:rPr>
        <w:rFonts w:ascii="Times New Roman" w:hAnsi="Times New Roman" w:hint="eastAsia"/>
        <w:sz w:val="20"/>
        <w:szCs w:val="20"/>
      </w:rPr>
      <w:t>9</w:t>
    </w:r>
    <w:proofErr w:type="gramEnd"/>
    <w:r w:rsidRPr="00C35D52">
      <w:rPr>
        <w:rFonts w:ascii="Times New Roman" w:hAnsi="Times New Roman"/>
        <w:sz w:val="20"/>
        <w:szCs w:val="20"/>
      </w:rPr>
      <w:t>(</w:t>
    </w:r>
    <w:r w:rsidRPr="00C35D52">
      <w:rPr>
        <w:rFonts w:ascii="Times New Roman" w:hAnsi="Times New Roman" w:hint="eastAsia"/>
        <w:sz w:val="20"/>
        <w:szCs w:val="20"/>
      </w:rPr>
      <w:t>3</w:t>
    </w:r>
    <w:r w:rsidRPr="00C35D52">
      <w:rPr>
        <w:rFonts w:ascii="Times New Roman" w:hAnsi="Times New Roman"/>
        <w:sz w:val="20"/>
        <w:szCs w:val="20"/>
      </w:rPr>
      <w:t>)</w:t>
    </w:r>
    <w:r w:rsidRPr="00C35D52">
      <w:rPr>
        <w:rFonts w:ascii="Times New Roman" w:hAnsi="Times New Roman"/>
        <w:iCs/>
        <w:sz w:val="20"/>
        <w:szCs w:val="20"/>
      </w:rPr>
      <w:t xml:space="preserve">     </w:t>
    </w:r>
    <w:r w:rsidRPr="00C35D52">
      <w:rPr>
        <w:rFonts w:ascii="Times New Roman" w:hAnsi="Times New Roman" w:hint="eastAsia"/>
        <w:iCs/>
        <w:sz w:val="20"/>
        <w:szCs w:val="20"/>
      </w:rPr>
      <w:tab/>
    </w:r>
    <w:r w:rsidRPr="00C35D52">
      <w:rPr>
        <w:rFonts w:ascii="Times New Roman" w:hAnsi="Times New Roman"/>
        <w:iCs/>
        <w:sz w:val="20"/>
        <w:szCs w:val="20"/>
      </w:rPr>
      <w:t xml:space="preserve"> </w:t>
    </w:r>
    <w:r w:rsidRPr="00C35D52">
      <w:rPr>
        <w:rFonts w:ascii="Times New Roman" w:hAnsi="Times New Roman" w:hint="eastAsia"/>
        <w:iCs/>
        <w:sz w:val="20"/>
        <w:szCs w:val="20"/>
      </w:rPr>
      <w:t xml:space="preserve"> </w:t>
    </w:r>
    <w:r w:rsidRPr="00C35D52">
      <w:rPr>
        <w:rFonts w:ascii="Times New Roman" w:hAnsi="Times New Roman"/>
        <w:iCs/>
        <w:sz w:val="20"/>
        <w:szCs w:val="20"/>
      </w:rPr>
      <w:t xml:space="preserve">   </w:t>
    </w:r>
    <w:hyperlink r:id="rId1" w:history="1">
      <w:r w:rsidRPr="00C35D52">
        <w:rPr>
          <w:rStyle w:val="Hyperlink"/>
          <w:rFonts w:ascii="Times New Roman" w:hAnsi="Times New Roman"/>
          <w:color w:val="0000FF"/>
          <w:sz w:val="20"/>
          <w:szCs w:val="20"/>
        </w:rPr>
        <w:t>http://www.sciencepub.net/newyork</w:t>
      </w:r>
    </w:hyperlink>
  </w:p>
  <w:p w:rsidR="00C35D52" w:rsidRPr="00C35D52" w:rsidRDefault="00C35D52" w:rsidP="00C35D52">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D52" w:rsidRPr="00C35D52" w:rsidRDefault="00C35D52" w:rsidP="00C35D5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C35D52">
      <w:rPr>
        <w:rFonts w:ascii="Times New Roman" w:hAnsi="Times New Roman" w:hint="eastAsia"/>
        <w:sz w:val="20"/>
        <w:szCs w:val="20"/>
      </w:rPr>
      <w:tab/>
    </w:r>
    <w:r w:rsidRPr="00C35D52">
      <w:rPr>
        <w:rFonts w:ascii="Times New Roman" w:hAnsi="Times New Roman"/>
        <w:sz w:val="20"/>
        <w:szCs w:val="20"/>
      </w:rPr>
      <w:t>New York Science Journal 201</w:t>
    </w:r>
    <w:r w:rsidRPr="00C35D52">
      <w:rPr>
        <w:rFonts w:ascii="Times New Roman" w:hAnsi="Times New Roman" w:hint="eastAsia"/>
        <w:sz w:val="20"/>
        <w:szCs w:val="20"/>
      </w:rPr>
      <w:t>6</w:t>
    </w:r>
    <w:proofErr w:type="gramStart"/>
    <w:r w:rsidRPr="00C35D52">
      <w:rPr>
        <w:rFonts w:ascii="Times New Roman" w:hAnsi="Times New Roman"/>
        <w:sz w:val="20"/>
        <w:szCs w:val="20"/>
      </w:rPr>
      <w:t>;</w:t>
    </w:r>
    <w:r w:rsidRPr="00C35D52">
      <w:rPr>
        <w:rFonts w:ascii="Times New Roman" w:hAnsi="Times New Roman" w:hint="eastAsia"/>
        <w:sz w:val="20"/>
        <w:szCs w:val="20"/>
      </w:rPr>
      <w:t>9</w:t>
    </w:r>
    <w:proofErr w:type="gramEnd"/>
    <w:r w:rsidRPr="00C35D52">
      <w:rPr>
        <w:rFonts w:ascii="Times New Roman" w:hAnsi="Times New Roman"/>
        <w:sz w:val="20"/>
        <w:szCs w:val="20"/>
      </w:rPr>
      <w:t>(</w:t>
    </w:r>
    <w:r w:rsidRPr="00C35D52">
      <w:rPr>
        <w:rFonts w:ascii="Times New Roman" w:hAnsi="Times New Roman" w:hint="eastAsia"/>
        <w:sz w:val="20"/>
        <w:szCs w:val="20"/>
      </w:rPr>
      <w:t>3</w:t>
    </w:r>
    <w:r w:rsidRPr="00C35D52">
      <w:rPr>
        <w:rFonts w:ascii="Times New Roman" w:hAnsi="Times New Roman"/>
        <w:sz w:val="20"/>
        <w:szCs w:val="20"/>
      </w:rPr>
      <w:t>)</w:t>
    </w:r>
    <w:r w:rsidRPr="00C35D52">
      <w:rPr>
        <w:rFonts w:ascii="Times New Roman" w:hAnsi="Times New Roman"/>
        <w:iCs/>
        <w:sz w:val="20"/>
        <w:szCs w:val="20"/>
      </w:rPr>
      <w:t xml:space="preserve">     </w:t>
    </w:r>
    <w:r w:rsidRPr="00C35D52">
      <w:rPr>
        <w:rFonts w:ascii="Times New Roman" w:hAnsi="Times New Roman" w:hint="eastAsia"/>
        <w:iCs/>
        <w:sz w:val="20"/>
        <w:szCs w:val="20"/>
      </w:rPr>
      <w:tab/>
    </w:r>
    <w:r w:rsidRPr="00C35D52">
      <w:rPr>
        <w:rFonts w:ascii="Times New Roman" w:hAnsi="Times New Roman"/>
        <w:iCs/>
        <w:sz w:val="20"/>
        <w:szCs w:val="20"/>
      </w:rPr>
      <w:t xml:space="preserve"> </w:t>
    </w:r>
    <w:r w:rsidRPr="00C35D52">
      <w:rPr>
        <w:rFonts w:ascii="Times New Roman" w:hAnsi="Times New Roman" w:hint="eastAsia"/>
        <w:iCs/>
        <w:sz w:val="20"/>
        <w:szCs w:val="20"/>
      </w:rPr>
      <w:t xml:space="preserve"> </w:t>
    </w:r>
    <w:r w:rsidRPr="00C35D52">
      <w:rPr>
        <w:rFonts w:ascii="Times New Roman" w:hAnsi="Times New Roman"/>
        <w:iCs/>
        <w:sz w:val="20"/>
        <w:szCs w:val="20"/>
      </w:rPr>
      <w:t xml:space="preserve">   </w:t>
    </w:r>
    <w:hyperlink r:id="rId1" w:history="1">
      <w:r w:rsidRPr="00C35D52">
        <w:rPr>
          <w:rStyle w:val="Hyperlink"/>
          <w:rFonts w:ascii="Times New Roman" w:hAnsi="Times New Roman"/>
          <w:color w:val="0000FF"/>
          <w:sz w:val="20"/>
          <w:szCs w:val="20"/>
        </w:rPr>
        <w:t>http://www.sciencepub.net/newyork</w:t>
      </w:r>
    </w:hyperlink>
  </w:p>
  <w:p w:rsidR="00C35D52" w:rsidRPr="00C35D52" w:rsidRDefault="00C35D52" w:rsidP="00C35D52">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D52" w:rsidRPr="00C35D52" w:rsidRDefault="00C35D52" w:rsidP="00C35D5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C35D52">
      <w:rPr>
        <w:rFonts w:ascii="Times New Roman" w:hAnsi="Times New Roman" w:hint="eastAsia"/>
        <w:sz w:val="20"/>
        <w:szCs w:val="20"/>
      </w:rPr>
      <w:tab/>
    </w:r>
    <w:r w:rsidRPr="00C35D52">
      <w:rPr>
        <w:rFonts w:ascii="Times New Roman" w:hAnsi="Times New Roman"/>
        <w:sz w:val="20"/>
        <w:szCs w:val="20"/>
      </w:rPr>
      <w:t>New York Science Journal 201</w:t>
    </w:r>
    <w:r w:rsidRPr="00C35D52">
      <w:rPr>
        <w:rFonts w:ascii="Times New Roman" w:hAnsi="Times New Roman" w:hint="eastAsia"/>
        <w:sz w:val="20"/>
        <w:szCs w:val="20"/>
      </w:rPr>
      <w:t>6</w:t>
    </w:r>
    <w:proofErr w:type="gramStart"/>
    <w:r w:rsidRPr="00C35D52">
      <w:rPr>
        <w:rFonts w:ascii="Times New Roman" w:hAnsi="Times New Roman"/>
        <w:sz w:val="20"/>
        <w:szCs w:val="20"/>
      </w:rPr>
      <w:t>;</w:t>
    </w:r>
    <w:r w:rsidRPr="00C35D52">
      <w:rPr>
        <w:rFonts w:ascii="Times New Roman" w:hAnsi="Times New Roman" w:hint="eastAsia"/>
        <w:sz w:val="20"/>
        <w:szCs w:val="20"/>
      </w:rPr>
      <w:t>9</w:t>
    </w:r>
    <w:proofErr w:type="gramEnd"/>
    <w:r w:rsidRPr="00C35D52">
      <w:rPr>
        <w:rFonts w:ascii="Times New Roman" w:hAnsi="Times New Roman"/>
        <w:sz w:val="20"/>
        <w:szCs w:val="20"/>
      </w:rPr>
      <w:t>(</w:t>
    </w:r>
    <w:r w:rsidRPr="00C35D52">
      <w:rPr>
        <w:rFonts w:ascii="Times New Roman" w:hAnsi="Times New Roman" w:hint="eastAsia"/>
        <w:sz w:val="20"/>
        <w:szCs w:val="20"/>
      </w:rPr>
      <w:t>3</w:t>
    </w:r>
    <w:r w:rsidRPr="00C35D52">
      <w:rPr>
        <w:rFonts w:ascii="Times New Roman" w:hAnsi="Times New Roman"/>
        <w:sz w:val="20"/>
        <w:szCs w:val="20"/>
      </w:rPr>
      <w:t>)</w:t>
    </w:r>
    <w:r w:rsidRPr="00C35D52">
      <w:rPr>
        <w:rFonts w:ascii="Times New Roman" w:hAnsi="Times New Roman"/>
        <w:iCs/>
        <w:sz w:val="20"/>
        <w:szCs w:val="20"/>
      </w:rPr>
      <w:t xml:space="preserve">     </w:t>
    </w:r>
    <w:r w:rsidRPr="00C35D52">
      <w:rPr>
        <w:rFonts w:ascii="Times New Roman" w:hAnsi="Times New Roman" w:hint="eastAsia"/>
        <w:iCs/>
        <w:sz w:val="20"/>
        <w:szCs w:val="20"/>
      </w:rPr>
      <w:tab/>
    </w:r>
    <w:r w:rsidRPr="00C35D52">
      <w:rPr>
        <w:rFonts w:ascii="Times New Roman" w:hAnsi="Times New Roman"/>
        <w:iCs/>
        <w:sz w:val="20"/>
        <w:szCs w:val="20"/>
      </w:rPr>
      <w:t xml:space="preserve"> </w:t>
    </w:r>
    <w:r w:rsidRPr="00C35D52">
      <w:rPr>
        <w:rFonts w:ascii="Times New Roman" w:hAnsi="Times New Roman" w:hint="eastAsia"/>
        <w:iCs/>
        <w:sz w:val="20"/>
        <w:szCs w:val="20"/>
      </w:rPr>
      <w:t xml:space="preserve"> </w:t>
    </w:r>
    <w:r w:rsidRPr="00C35D52">
      <w:rPr>
        <w:rFonts w:ascii="Times New Roman" w:hAnsi="Times New Roman"/>
        <w:iCs/>
        <w:sz w:val="20"/>
        <w:szCs w:val="20"/>
      </w:rPr>
      <w:t xml:space="preserve">   </w:t>
    </w:r>
    <w:hyperlink r:id="rId1" w:history="1">
      <w:r w:rsidRPr="00C35D52">
        <w:rPr>
          <w:rStyle w:val="Hyperlink"/>
          <w:rFonts w:ascii="Times New Roman" w:hAnsi="Times New Roman"/>
          <w:color w:val="0000FF"/>
          <w:sz w:val="20"/>
          <w:szCs w:val="20"/>
        </w:rPr>
        <w:t>http://www.sciencepub.net/newyork</w:t>
      </w:r>
    </w:hyperlink>
  </w:p>
  <w:p w:rsidR="00C35D52" w:rsidRPr="00C35D52" w:rsidRDefault="00C35D52" w:rsidP="00C35D52">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D52" w:rsidRPr="00C35D52" w:rsidRDefault="00C35D52" w:rsidP="00C35D5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C35D52">
      <w:rPr>
        <w:rFonts w:ascii="Times New Roman" w:hAnsi="Times New Roman" w:hint="eastAsia"/>
        <w:sz w:val="20"/>
        <w:szCs w:val="20"/>
      </w:rPr>
      <w:tab/>
    </w:r>
    <w:r w:rsidRPr="00C35D52">
      <w:rPr>
        <w:rFonts w:ascii="Times New Roman" w:hAnsi="Times New Roman"/>
        <w:sz w:val="20"/>
        <w:szCs w:val="20"/>
      </w:rPr>
      <w:t>New York Science Journal 201</w:t>
    </w:r>
    <w:r w:rsidRPr="00C35D52">
      <w:rPr>
        <w:rFonts w:ascii="Times New Roman" w:hAnsi="Times New Roman" w:hint="eastAsia"/>
        <w:sz w:val="20"/>
        <w:szCs w:val="20"/>
      </w:rPr>
      <w:t>6</w:t>
    </w:r>
    <w:proofErr w:type="gramStart"/>
    <w:r w:rsidRPr="00C35D52">
      <w:rPr>
        <w:rFonts w:ascii="Times New Roman" w:hAnsi="Times New Roman"/>
        <w:sz w:val="20"/>
        <w:szCs w:val="20"/>
      </w:rPr>
      <w:t>;</w:t>
    </w:r>
    <w:r w:rsidRPr="00C35D52">
      <w:rPr>
        <w:rFonts w:ascii="Times New Roman" w:hAnsi="Times New Roman" w:hint="eastAsia"/>
        <w:sz w:val="20"/>
        <w:szCs w:val="20"/>
      </w:rPr>
      <w:t>9</w:t>
    </w:r>
    <w:proofErr w:type="gramEnd"/>
    <w:r w:rsidRPr="00C35D52">
      <w:rPr>
        <w:rFonts w:ascii="Times New Roman" w:hAnsi="Times New Roman"/>
        <w:sz w:val="20"/>
        <w:szCs w:val="20"/>
      </w:rPr>
      <w:t>(</w:t>
    </w:r>
    <w:r w:rsidRPr="00C35D52">
      <w:rPr>
        <w:rFonts w:ascii="Times New Roman" w:hAnsi="Times New Roman" w:hint="eastAsia"/>
        <w:sz w:val="20"/>
        <w:szCs w:val="20"/>
      </w:rPr>
      <w:t>3</w:t>
    </w:r>
    <w:r w:rsidRPr="00C35D52">
      <w:rPr>
        <w:rFonts w:ascii="Times New Roman" w:hAnsi="Times New Roman"/>
        <w:sz w:val="20"/>
        <w:szCs w:val="20"/>
      </w:rPr>
      <w:t>)</w:t>
    </w:r>
    <w:r w:rsidRPr="00C35D52">
      <w:rPr>
        <w:rFonts w:ascii="Times New Roman" w:hAnsi="Times New Roman"/>
        <w:iCs/>
        <w:sz w:val="20"/>
        <w:szCs w:val="20"/>
      </w:rPr>
      <w:t xml:space="preserve">     </w:t>
    </w:r>
    <w:r w:rsidRPr="00C35D52">
      <w:rPr>
        <w:rFonts w:ascii="Times New Roman" w:hAnsi="Times New Roman" w:hint="eastAsia"/>
        <w:iCs/>
        <w:sz w:val="20"/>
        <w:szCs w:val="20"/>
      </w:rPr>
      <w:tab/>
    </w:r>
    <w:r w:rsidRPr="00C35D52">
      <w:rPr>
        <w:rFonts w:ascii="Times New Roman" w:hAnsi="Times New Roman"/>
        <w:iCs/>
        <w:sz w:val="20"/>
        <w:szCs w:val="20"/>
      </w:rPr>
      <w:t xml:space="preserve"> </w:t>
    </w:r>
    <w:r w:rsidRPr="00C35D52">
      <w:rPr>
        <w:rFonts w:ascii="Times New Roman" w:hAnsi="Times New Roman" w:hint="eastAsia"/>
        <w:iCs/>
        <w:sz w:val="20"/>
        <w:szCs w:val="20"/>
      </w:rPr>
      <w:t xml:space="preserve"> </w:t>
    </w:r>
    <w:r w:rsidRPr="00C35D52">
      <w:rPr>
        <w:rFonts w:ascii="Times New Roman" w:hAnsi="Times New Roman"/>
        <w:iCs/>
        <w:sz w:val="20"/>
        <w:szCs w:val="20"/>
      </w:rPr>
      <w:t xml:space="preserve">   </w:t>
    </w:r>
    <w:hyperlink r:id="rId1" w:history="1">
      <w:r w:rsidRPr="00C35D52">
        <w:rPr>
          <w:rStyle w:val="Hyperlink"/>
          <w:rFonts w:ascii="Times New Roman" w:hAnsi="Times New Roman"/>
          <w:color w:val="0000FF"/>
          <w:sz w:val="20"/>
          <w:szCs w:val="20"/>
        </w:rPr>
        <w:t>http://www.sciencepub.net/newyork</w:t>
      </w:r>
    </w:hyperlink>
  </w:p>
  <w:p w:rsidR="00C35D52" w:rsidRPr="00C35D52" w:rsidRDefault="00C35D52" w:rsidP="00C35D52">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D52" w:rsidRPr="00C35D52" w:rsidRDefault="00C35D52" w:rsidP="00C35D5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C35D52">
      <w:rPr>
        <w:rFonts w:ascii="Times New Roman" w:hAnsi="Times New Roman" w:hint="eastAsia"/>
        <w:sz w:val="20"/>
        <w:szCs w:val="20"/>
      </w:rPr>
      <w:tab/>
    </w:r>
    <w:r w:rsidRPr="00C35D52">
      <w:rPr>
        <w:rFonts w:ascii="Times New Roman" w:hAnsi="Times New Roman"/>
        <w:sz w:val="20"/>
        <w:szCs w:val="20"/>
      </w:rPr>
      <w:t>New York Science Journal 201</w:t>
    </w:r>
    <w:r w:rsidRPr="00C35D52">
      <w:rPr>
        <w:rFonts w:ascii="Times New Roman" w:hAnsi="Times New Roman" w:hint="eastAsia"/>
        <w:sz w:val="20"/>
        <w:szCs w:val="20"/>
      </w:rPr>
      <w:t>6</w:t>
    </w:r>
    <w:proofErr w:type="gramStart"/>
    <w:r w:rsidRPr="00C35D52">
      <w:rPr>
        <w:rFonts w:ascii="Times New Roman" w:hAnsi="Times New Roman"/>
        <w:sz w:val="20"/>
        <w:szCs w:val="20"/>
      </w:rPr>
      <w:t>;</w:t>
    </w:r>
    <w:r w:rsidRPr="00C35D52">
      <w:rPr>
        <w:rFonts w:ascii="Times New Roman" w:hAnsi="Times New Roman" w:hint="eastAsia"/>
        <w:sz w:val="20"/>
        <w:szCs w:val="20"/>
      </w:rPr>
      <w:t>9</w:t>
    </w:r>
    <w:proofErr w:type="gramEnd"/>
    <w:r w:rsidRPr="00C35D52">
      <w:rPr>
        <w:rFonts w:ascii="Times New Roman" w:hAnsi="Times New Roman"/>
        <w:sz w:val="20"/>
        <w:szCs w:val="20"/>
      </w:rPr>
      <w:t>(</w:t>
    </w:r>
    <w:r w:rsidRPr="00C35D52">
      <w:rPr>
        <w:rFonts w:ascii="Times New Roman" w:hAnsi="Times New Roman" w:hint="eastAsia"/>
        <w:sz w:val="20"/>
        <w:szCs w:val="20"/>
      </w:rPr>
      <w:t>3</w:t>
    </w:r>
    <w:r w:rsidRPr="00C35D52">
      <w:rPr>
        <w:rFonts w:ascii="Times New Roman" w:hAnsi="Times New Roman"/>
        <w:sz w:val="20"/>
        <w:szCs w:val="20"/>
      </w:rPr>
      <w:t>)</w:t>
    </w:r>
    <w:r w:rsidRPr="00C35D52">
      <w:rPr>
        <w:rFonts w:ascii="Times New Roman" w:hAnsi="Times New Roman"/>
        <w:iCs/>
        <w:sz w:val="20"/>
        <w:szCs w:val="20"/>
      </w:rPr>
      <w:t xml:space="preserve">     </w:t>
    </w:r>
    <w:r w:rsidRPr="00C35D52">
      <w:rPr>
        <w:rFonts w:ascii="Times New Roman" w:hAnsi="Times New Roman" w:hint="eastAsia"/>
        <w:iCs/>
        <w:sz w:val="20"/>
        <w:szCs w:val="20"/>
      </w:rPr>
      <w:tab/>
    </w:r>
    <w:r w:rsidRPr="00C35D52">
      <w:rPr>
        <w:rFonts w:ascii="Times New Roman" w:hAnsi="Times New Roman"/>
        <w:iCs/>
        <w:sz w:val="20"/>
        <w:szCs w:val="20"/>
      </w:rPr>
      <w:t xml:space="preserve"> </w:t>
    </w:r>
    <w:r w:rsidRPr="00C35D52">
      <w:rPr>
        <w:rFonts w:ascii="Times New Roman" w:hAnsi="Times New Roman" w:hint="eastAsia"/>
        <w:iCs/>
        <w:sz w:val="20"/>
        <w:szCs w:val="20"/>
      </w:rPr>
      <w:t xml:space="preserve"> </w:t>
    </w:r>
    <w:r w:rsidRPr="00C35D52">
      <w:rPr>
        <w:rFonts w:ascii="Times New Roman" w:hAnsi="Times New Roman"/>
        <w:iCs/>
        <w:sz w:val="20"/>
        <w:szCs w:val="20"/>
      </w:rPr>
      <w:t xml:space="preserve">   </w:t>
    </w:r>
    <w:hyperlink r:id="rId1" w:history="1">
      <w:r w:rsidRPr="00C35D52">
        <w:rPr>
          <w:rStyle w:val="Hyperlink"/>
          <w:rFonts w:ascii="Times New Roman" w:hAnsi="Times New Roman"/>
          <w:color w:val="0000FF"/>
          <w:sz w:val="20"/>
          <w:szCs w:val="20"/>
        </w:rPr>
        <w:t>http://www.sciencepub.net/newyork</w:t>
      </w:r>
    </w:hyperlink>
  </w:p>
  <w:p w:rsidR="00C35D52" w:rsidRPr="00C35D52" w:rsidRDefault="00C35D52" w:rsidP="00C35D52">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D52" w:rsidRPr="00C35D52" w:rsidRDefault="00C35D52" w:rsidP="00C35D5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C35D52">
      <w:rPr>
        <w:rFonts w:ascii="Times New Roman" w:hAnsi="Times New Roman" w:hint="eastAsia"/>
        <w:sz w:val="20"/>
        <w:szCs w:val="20"/>
      </w:rPr>
      <w:tab/>
    </w:r>
    <w:r w:rsidRPr="00C35D52">
      <w:rPr>
        <w:rFonts w:ascii="Times New Roman" w:hAnsi="Times New Roman"/>
        <w:sz w:val="20"/>
        <w:szCs w:val="20"/>
      </w:rPr>
      <w:t>New York Science Journal 201</w:t>
    </w:r>
    <w:r w:rsidRPr="00C35D52">
      <w:rPr>
        <w:rFonts w:ascii="Times New Roman" w:hAnsi="Times New Roman" w:hint="eastAsia"/>
        <w:sz w:val="20"/>
        <w:szCs w:val="20"/>
      </w:rPr>
      <w:t>6</w:t>
    </w:r>
    <w:proofErr w:type="gramStart"/>
    <w:r w:rsidRPr="00C35D52">
      <w:rPr>
        <w:rFonts w:ascii="Times New Roman" w:hAnsi="Times New Roman"/>
        <w:sz w:val="20"/>
        <w:szCs w:val="20"/>
      </w:rPr>
      <w:t>;</w:t>
    </w:r>
    <w:r w:rsidRPr="00C35D52">
      <w:rPr>
        <w:rFonts w:ascii="Times New Roman" w:hAnsi="Times New Roman" w:hint="eastAsia"/>
        <w:sz w:val="20"/>
        <w:szCs w:val="20"/>
      </w:rPr>
      <w:t>9</w:t>
    </w:r>
    <w:proofErr w:type="gramEnd"/>
    <w:r w:rsidRPr="00C35D52">
      <w:rPr>
        <w:rFonts w:ascii="Times New Roman" w:hAnsi="Times New Roman"/>
        <w:sz w:val="20"/>
        <w:szCs w:val="20"/>
      </w:rPr>
      <w:t>(</w:t>
    </w:r>
    <w:r w:rsidRPr="00C35D52">
      <w:rPr>
        <w:rFonts w:ascii="Times New Roman" w:hAnsi="Times New Roman" w:hint="eastAsia"/>
        <w:sz w:val="20"/>
        <w:szCs w:val="20"/>
      </w:rPr>
      <w:t>3</w:t>
    </w:r>
    <w:r w:rsidRPr="00C35D52">
      <w:rPr>
        <w:rFonts w:ascii="Times New Roman" w:hAnsi="Times New Roman"/>
        <w:sz w:val="20"/>
        <w:szCs w:val="20"/>
      </w:rPr>
      <w:t>)</w:t>
    </w:r>
    <w:r w:rsidRPr="00C35D52">
      <w:rPr>
        <w:rFonts w:ascii="Times New Roman" w:hAnsi="Times New Roman"/>
        <w:iCs/>
        <w:sz w:val="20"/>
        <w:szCs w:val="20"/>
      </w:rPr>
      <w:t xml:space="preserve">     </w:t>
    </w:r>
    <w:r w:rsidRPr="00C35D52">
      <w:rPr>
        <w:rFonts w:ascii="Times New Roman" w:hAnsi="Times New Roman" w:hint="eastAsia"/>
        <w:iCs/>
        <w:sz w:val="20"/>
        <w:szCs w:val="20"/>
      </w:rPr>
      <w:tab/>
    </w:r>
    <w:r w:rsidRPr="00C35D52">
      <w:rPr>
        <w:rFonts w:ascii="Times New Roman" w:hAnsi="Times New Roman"/>
        <w:iCs/>
        <w:sz w:val="20"/>
        <w:szCs w:val="20"/>
      </w:rPr>
      <w:t xml:space="preserve"> </w:t>
    </w:r>
    <w:r w:rsidRPr="00C35D52">
      <w:rPr>
        <w:rFonts w:ascii="Times New Roman" w:hAnsi="Times New Roman" w:hint="eastAsia"/>
        <w:iCs/>
        <w:sz w:val="20"/>
        <w:szCs w:val="20"/>
      </w:rPr>
      <w:t xml:space="preserve"> </w:t>
    </w:r>
    <w:r w:rsidRPr="00C35D52">
      <w:rPr>
        <w:rFonts w:ascii="Times New Roman" w:hAnsi="Times New Roman"/>
        <w:iCs/>
        <w:sz w:val="20"/>
        <w:szCs w:val="20"/>
      </w:rPr>
      <w:t xml:space="preserve">   </w:t>
    </w:r>
    <w:hyperlink r:id="rId1" w:history="1">
      <w:r w:rsidRPr="00C35D52">
        <w:rPr>
          <w:rStyle w:val="Hyperlink"/>
          <w:rFonts w:ascii="Times New Roman" w:hAnsi="Times New Roman"/>
          <w:color w:val="0000FF"/>
          <w:sz w:val="20"/>
          <w:szCs w:val="20"/>
        </w:rPr>
        <w:t>http://www.sciencepub.net/newyork</w:t>
      </w:r>
    </w:hyperlink>
  </w:p>
  <w:p w:rsidR="00C35D52" w:rsidRPr="00C35D52" w:rsidRDefault="00C35D52" w:rsidP="00C35D52">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D52" w:rsidRPr="00C35D52" w:rsidRDefault="00C35D52" w:rsidP="00C35D5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C35D52">
      <w:rPr>
        <w:rFonts w:ascii="Times New Roman" w:hAnsi="Times New Roman" w:hint="eastAsia"/>
        <w:sz w:val="20"/>
        <w:szCs w:val="20"/>
      </w:rPr>
      <w:tab/>
    </w:r>
    <w:r w:rsidRPr="00C35D52">
      <w:rPr>
        <w:rFonts w:ascii="Times New Roman" w:hAnsi="Times New Roman"/>
        <w:sz w:val="20"/>
        <w:szCs w:val="20"/>
      </w:rPr>
      <w:t>New York Science Journal 201</w:t>
    </w:r>
    <w:r w:rsidRPr="00C35D52">
      <w:rPr>
        <w:rFonts w:ascii="Times New Roman" w:hAnsi="Times New Roman" w:hint="eastAsia"/>
        <w:sz w:val="20"/>
        <w:szCs w:val="20"/>
      </w:rPr>
      <w:t>6</w:t>
    </w:r>
    <w:proofErr w:type="gramStart"/>
    <w:r w:rsidRPr="00C35D52">
      <w:rPr>
        <w:rFonts w:ascii="Times New Roman" w:hAnsi="Times New Roman"/>
        <w:sz w:val="20"/>
        <w:szCs w:val="20"/>
      </w:rPr>
      <w:t>;</w:t>
    </w:r>
    <w:r w:rsidRPr="00C35D52">
      <w:rPr>
        <w:rFonts w:ascii="Times New Roman" w:hAnsi="Times New Roman" w:hint="eastAsia"/>
        <w:sz w:val="20"/>
        <w:szCs w:val="20"/>
      </w:rPr>
      <w:t>9</w:t>
    </w:r>
    <w:proofErr w:type="gramEnd"/>
    <w:r w:rsidRPr="00C35D52">
      <w:rPr>
        <w:rFonts w:ascii="Times New Roman" w:hAnsi="Times New Roman"/>
        <w:sz w:val="20"/>
        <w:szCs w:val="20"/>
      </w:rPr>
      <w:t>(</w:t>
    </w:r>
    <w:r w:rsidRPr="00C35D52">
      <w:rPr>
        <w:rFonts w:ascii="Times New Roman" w:hAnsi="Times New Roman" w:hint="eastAsia"/>
        <w:sz w:val="20"/>
        <w:szCs w:val="20"/>
      </w:rPr>
      <w:t>3</w:t>
    </w:r>
    <w:r w:rsidRPr="00C35D52">
      <w:rPr>
        <w:rFonts w:ascii="Times New Roman" w:hAnsi="Times New Roman"/>
        <w:sz w:val="20"/>
        <w:szCs w:val="20"/>
      </w:rPr>
      <w:t>)</w:t>
    </w:r>
    <w:r w:rsidRPr="00C35D52">
      <w:rPr>
        <w:rFonts w:ascii="Times New Roman" w:hAnsi="Times New Roman"/>
        <w:iCs/>
        <w:sz w:val="20"/>
        <w:szCs w:val="20"/>
      </w:rPr>
      <w:t xml:space="preserve">     </w:t>
    </w:r>
    <w:r w:rsidRPr="00C35D52">
      <w:rPr>
        <w:rFonts w:ascii="Times New Roman" w:hAnsi="Times New Roman" w:hint="eastAsia"/>
        <w:iCs/>
        <w:sz w:val="20"/>
        <w:szCs w:val="20"/>
      </w:rPr>
      <w:tab/>
    </w:r>
    <w:r w:rsidRPr="00C35D52">
      <w:rPr>
        <w:rFonts w:ascii="Times New Roman" w:hAnsi="Times New Roman"/>
        <w:iCs/>
        <w:sz w:val="20"/>
        <w:szCs w:val="20"/>
      </w:rPr>
      <w:t xml:space="preserve"> </w:t>
    </w:r>
    <w:r w:rsidRPr="00C35D52">
      <w:rPr>
        <w:rFonts w:ascii="Times New Roman" w:hAnsi="Times New Roman" w:hint="eastAsia"/>
        <w:iCs/>
        <w:sz w:val="20"/>
        <w:szCs w:val="20"/>
      </w:rPr>
      <w:t xml:space="preserve"> </w:t>
    </w:r>
    <w:r w:rsidRPr="00C35D52">
      <w:rPr>
        <w:rFonts w:ascii="Times New Roman" w:hAnsi="Times New Roman"/>
        <w:iCs/>
        <w:sz w:val="20"/>
        <w:szCs w:val="20"/>
      </w:rPr>
      <w:t xml:space="preserve">   </w:t>
    </w:r>
    <w:hyperlink r:id="rId1" w:history="1">
      <w:r w:rsidRPr="00C35D52">
        <w:rPr>
          <w:rStyle w:val="Hyperlink"/>
          <w:rFonts w:ascii="Times New Roman" w:hAnsi="Times New Roman"/>
          <w:color w:val="0000FF"/>
          <w:sz w:val="20"/>
          <w:szCs w:val="20"/>
        </w:rPr>
        <w:t>http://www.sciencepub.net/newyork</w:t>
      </w:r>
    </w:hyperlink>
  </w:p>
  <w:p w:rsidR="00C35D52" w:rsidRPr="00C35D52" w:rsidRDefault="00C35D52" w:rsidP="00C35D52">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5D52" w:rsidRPr="00C35D52" w:rsidRDefault="00C35D52" w:rsidP="00C35D52">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sz w:val="20"/>
        <w:szCs w:val="20"/>
      </w:rPr>
    </w:pPr>
    <w:r w:rsidRPr="00C35D52">
      <w:rPr>
        <w:rFonts w:ascii="Times New Roman" w:hAnsi="Times New Roman" w:hint="eastAsia"/>
        <w:sz w:val="20"/>
        <w:szCs w:val="20"/>
      </w:rPr>
      <w:tab/>
    </w:r>
    <w:r w:rsidRPr="00C35D52">
      <w:rPr>
        <w:rFonts w:ascii="Times New Roman" w:hAnsi="Times New Roman"/>
        <w:sz w:val="20"/>
        <w:szCs w:val="20"/>
      </w:rPr>
      <w:t>New York Science Journal 201</w:t>
    </w:r>
    <w:r w:rsidRPr="00C35D52">
      <w:rPr>
        <w:rFonts w:ascii="Times New Roman" w:hAnsi="Times New Roman" w:hint="eastAsia"/>
        <w:sz w:val="20"/>
        <w:szCs w:val="20"/>
      </w:rPr>
      <w:t>6</w:t>
    </w:r>
    <w:proofErr w:type="gramStart"/>
    <w:r w:rsidRPr="00C35D52">
      <w:rPr>
        <w:rFonts w:ascii="Times New Roman" w:hAnsi="Times New Roman"/>
        <w:sz w:val="20"/>
        <w:szCs w:val="20"/>
      </w:rPr>
      <w:t>;</w:t>
    </w:r>
    <w:r w:rsidRPr="00C35D52">
      <w:rPr>
        <w:rFonts w:ascii="Times New Roman" w:hAnsi="Times New Roman" w:hint="eastAsia"/>
        <w:sz w:val="20"/>
        <w:szCs w:val="20"/>
      </w:rPr>
      <w:t>9</w:t>
    </w:r>
    <w:proofErr w:type="gramEnd"/>
    <w:r w:rsidRPr="00C35D52">
      <w:rPr>
        <w:rFonts w:ascii="Times New Roman" w:hAnsi="Times New Roman"/>
        <w:sz w:val="20"/>
        <w:szCs w:val="20"/>
      </w:rPr>
      <w:t>(</w:t>
    </w:r>
    <w:r w:rsidRPr="00C35D52">
      <w:rPr>
        <w:rFonts w:ascii="Times New Roman" w:hAnsi="Times New Roman" w:hint="eastAsia"/>
        <w:sz w:val="20"/>
        <w:szCs w:val="20"/>
      </w:rPr>
      <w:t>3</w:t>
    </w:r>
    <w:r w:rsidRPr="00C35D52">
      <w:rPr>
        <w:rFonts w:ascii="Times New Roman" w:hAnsi="Times New Roman"/>
        <w:sz w:val="20"/>
        <w:szCs w:val="20"/>
      </w:rPr>
      <w:t>)</w:t>
    </w:r>
    <w:r w:rsidRPr="00C35D52">
      <w:rPr>
        <w:rFonts w:ascii="Times New Roman" w:hAnsi="Times New Roman"/>
        <w:iCs/>
        <w:sz w:val="20"/>
        <w:szCs w:val="20"/>
      </w:rPr>
      <w:t xml:space="preserve">     </w:t>
    </w:r>
    <w:r w:rsidRPr="00C35D52">
      <w:rPr>
        <w:rFonts w:ascii="Times New Roman" w:hAnsi="Times New Roman" w:hint="eastAsia"/>
        <w:iCs/>
        <w:sz w:val="20"/>
        <w:szCs w:val="20"/>
      </w:rPr>
      <w:tab/>
    </w:r>
    <w:r w:rsidRPr="00C35D52">
      <w:rPr>
        <w:rFonts w:ascii="Times New Roman" w:hAnsi="Times New Roman"/>
        <w:iCs/>
        <w:sz w:val="20"/>
        <w:szCs w:val="20"/>
      </w:rPr>
      <w:t xml:space="preserve"> </w:t>
    </w:r>
    <w:r w:rsidRPr="00C35D52">
      <w:rPr>
        <w:rFonts w:ascii="Times New Roman" w:hAnsi="Times New Roman" w:hint="eastAsia"/>
        <w:iCs/>
        <w:sz w:val="20"/>
        <w:szCs w:val="20"/>
      </w:rPr>
      <w:t xml:space="preserve"> </w:t>
    </w:r>
    <w:r w:rsidRPr="00C35D52">
      <w:rPr>
        <w:rFonts w:ascii="Times New Roman" w:hAnsi="Times New Roman"/>
        <w:iCs/>
        <w:sz w:val="20"/>
        <w:szCs w:val="20"/>
      </w:rPr>
      <w:t xml:space="preserve">   </w:t>
    </w:r>
    <w:hyperlink r:id="rId1" w:history="1">
      <w:r w:rsidRPr="00C35D52">
        <w:rPr>
          <w:rStyle w:val="Hyperlink"/>
          <w:rFonts w:ascii="Times New Roman" w:hAnsi="Times New Roman"/>
          <w:color w:val="0000FF"/>
          <w:sz w:val="20"/>
          <w:szCs w:val="20"/>
        </w:rPr>
        <w:t>http://www.sciencepub.net/newyork</w:t>
      </w:r>
    </w:hyperlink>
  </w:p>
  <w:p w:rsidR="00C35D52" w:rsidRPr="00C35D52" w:rsidRDefault="00C35D52" w:rsidP="00C35D52">
    <w:pPr>
      <w:tabs>
        <w:tab w:val="left" w:pos="851"/>
        <w:tab w:val="left" w:pos="7200"/>
        <w:tab w:val="right" w:pos="8364"/>
      </w:tabs>
      <w:adjustRightInd w:val="0"/>
      <w:snapToGrid w:val="0"/>
      <w:spacing w:after="0" w:line="240" w:lineRule="auto"/>
      <w:jc w:val="both"/>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C570E"/>
    <w:multiLevelType w:val="hybridMultilevel"/>
    <w:tmpl w:val="551EC9FA"/>
    <w:lvl w:ilvl="0" w:tplc="0E867CC6">
      <w:start w:val="9"/>
      <w:numFmt w:val="upperLetter"/>
      <w:lvlText w:val="%1."/>
      <w:lvlJc w:val="left"/>
      <w:pPr>
        <w:ind w:left="735" w:hanging="360"/>
      </w:pPr>
      <w:rPr>
        <w:rFonts w:hint="default"/>
      </w:rPr>
    </w:lvl>
    <w:lvl w:ilvl="1" w:tplc="04090019" w:tentative="1">
      <w:start w:val="1"/>
      <w:numFmt w:val="lowerLetter"/>
      <w:lvlText w:val="%2)"/>
      <w:lvlJc w:val="left"/>
      <w:pPr>
        <w:ind w:left="1215" w:hanging="420"/>
      </w:pPr>
    </w:lvl>
    <w:lvl w:ilvl="2" w:tplc="0409001B" w:tentative="1">
      <w:start w:val="1"/>
      <w:numFmt w:val="lowerRoman"/>
      <w:lvlText w:val="%3."/>
      <w:lvlJc w:val="right"/>
      <w:pPr>
        <w:ind w:left="1635" w:hanging="420"/>
      </w:pPr>
    </w:lvl>
    <w:lvl w:ilvl="3" w:tplc="0409000F" w:tentative="1">
      <w:start w:val="1"/>
      <w:numFmt w:val="decimal"/>
      <w:lvlText w:val="%4."/>
      <w:lvlJc w:val="left"/>
      <w:pPr>
        <w:ind w:left="2055" w:hanging="420"/>
      </w:pPr>
    </w:lvl>
    <w:lvl w:ilvl="4" w:tplc="04090019" w:tentative="1">
      <w:start w:val="1"/>
      <w:numFmt w:val="lowerLetter"/>
      <w:lvlText w:val="%5)"/>
      <w:lvlJc w:val="left"/>
      <w:pPr>
        <w:ind w:left="2475" w:hanging="420"/>
      </w:pPr>
    </w:lvl>
    <w:lvl w:ilvl="5" w:tplc="0409001B" w:tentative="1">
      <w:start w:val="1"/>
      <w:numFmt w:val="lowerRoman"/>
      <w:lvlText w:val="%6."/>
      <w:lvlJc w:val="right"/>
      <w:pPr>
        <w:ind w:left="2895" w:hanging="420"/>
      </w:pPr>
    </w:lvl>
    <w:lvl w:ilvl="6" w:tplc="0409000F" w:tentative="1">
      <w:start w:val="1"/>
      <w:numFmt w:val="decimal"/>
      <w:lvlText w:val="%7."/>
      <w:lvlJc w:val="left"/>
      <w:pPr>
        <w:ind w:left="3315" w:hanging="420"/>
      </w:pPr>
    </w:lvl>
    <w:lvl w:ilvl="7" w:tplc="04090019" w:tentative="1">
      <w:start w:val="1"/>
      <w:numFmt w:val="lowerLetter"/>
      <w:lvlText w:val="%8)"/>
      <w:lvlJc w:val="left"/>
      <w:pPr>
        <w:ind w:left="3735" w:hanging="420"/>
      </w:pPr>
    </w:lvl>
    <w:lvl w:ilvl="8" w:tplc="0409001B" w:tentative="1">
      <w:start w:val="1"/>
      <w:numFmt w:val="lowerRoman"/>
      <w:lvlText w:val="%9."/>
      <w:lvlJc w:val="right"/>
      <w:pPr>
        <w:ind w:left="4155" w:hanging="420"/>
      </w:pPr>
    </w:lvl>
  </w:abstractNum>
  <w:abstractNum w:abstractNumId="1">
    <w:nsid w:val="199B11F7"/>
    <w:multiLevelType w:val="hybridMultilevel"/>
    <w:tmpl w:val="D7929FF2"/>
    <w:lvl w:ilvl="0" w:tplc="0E867CC6">
      <w:start w:val="9"/>
      <w:numFmt w:val="upperLetter"/>
      <w:lvlText w:val="%1."/>
      <w:lvlJc w:val="left"/>
      <w:pPr>
        <w:ind w:left="735"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E8E699F"/>
    <w:multiLevelType w:val="hybridMultilevel"/>
    <w:tmpl w:val="DA520ED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E6FA9A82">
      <w:start w:val="1"/>
      <w:numFmt w:val="upperLetter"/>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6A535D1"/>
    <w:multiLevelType w:val="hybridMultilevel"/>
    <w:tmpl w:val="BE6264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26617C0"/>
    <w:multiLevelType w:val="hybridMultilevel"/>
    <w:tmpl w:val="A01823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0DF4A24"/>
    <w:multiLevelType w:val="hybridMultilevel"/>
    <w:tmpl w:val="11E84F64"/>
    <w:lvl w:ilvl="0" w:tplc="0E867CC6">
      <w:start w:val="9"/>
      <w:numFmt w:val="upperLetter"/>
      <w:lvlText w:val="%1."/>
      <w:lvlJc w:val="left"/>
      <w:pPr>
        <w:ind w:left="735" w:hanging="36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5"/>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ctiveWritingStyle w:appName="MSWord" w:lang="en-US" w:vendorID="64" w:dllVersion="131078" w:nlCheck="1" w:checkStyle="0"/>
  <w:activeWritingStyle w:appName="MSWord" w:lang="en-GB" w:vendorID="64" w:dllVersion="131078" w:nlCheck="1" w:checkStyle="0"/>
  <w:proofState w:spelling="clean" w:grammar="clean"/>
  <w:doNotTrackMoves/>
  <w:documentProtection w:edit="readOnly" w:enforcement="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A4663"/>
    <w:rsid w:val="000652B7"/>
    <w:rsid w:val="00113B05"/>
    <w:rsid w:val="00171B7A"/>
    <w:rsid w:val="001F58AE"/>
    <w:rsid w:val="002011B5"/>
    <w:rsid w:val="00244A81"/>
    <w:rsid w:val="00247B49"/>
    <w:rsid w:val="00291B07"/>
    <w:rsid w:val="002A1166"/>
    <w:rsid w:val="002B5588"/>
    <w:rsid w:val="002D3675"/>
    <w:rsid w:val="00320421"/>
    <w:rsid w:val="00322084"/>
    <w:rsid w:val="00355984"/>
    <w:rsid w:val="00417623"/>
    <w:rsid w:val="00431703"/>
    <w:rsid w:val="004947D8"/>
    <w:rsid w:val="00510C08"/>
    <w:rsid w:val="005523B2"/>
    <w:rsid w:val="00587F7A"/>
    <w:rsid w:val="005C4242"/>
    <w:rsid w:val="00601F53"/>
    <w:rsid w:val="006109D4"/>
    <w:rsid w:val="00660443"/>
    <w:rsid w:val="006D50B2"/>
    <w:rsid w:val="00773B1C"/>
    <w:rsid w:val="00783CF0"/>
    <w:rsid w:val="007B3BB4"/>
    <w:rsid w:val="0086341D"/>
    <w:rsid w:val="00945A82"/>
    <w:rsid w:val="00977013"/>
    <w:rsid w:val="009D6291"/>
    <w:rsid w:val="009F5BBC"/>
    <w:rsid w:val="00A81C5B"/>
    <w:rsid w:val="00AA4663"/>
    <w:rsid w:val="00B078B1"/>
    <w:rsid w:val="00BF7D22"/>
    <w:rsid w:val="00C30190"/>
    <w:rsid w:val="00C35D52"/>
    <w:rsid w:val="00C46AE4"/>
    <w:rsid w:val="00C64D57"/>
    <w:rsid w:val="00C9567C"/>
    <w:rsid w:val="00CA425D"/>
    <w:rsid w:val="00CC5C51"/>
    <w:rsid w:val="00CF21B7"/>
    <w:rsid w:val="00D064FF"/>
    <w:rsid w:val="00D30407"/>
    <w:rsid w:val="00D7629C"/>
    <w:rsid w:val="00D94CEF"/>
    <w:rsid w:val="00E367EC"/>
    <w:rsid w:val="00E54DC5"/>
    <w:rsid w:val="00E7607C"/>
    <w:rsid w:val="00E8237A"/>
    <w:rsid w:val="00ED2C37"/>
    <w:rsid w:val="00ED7BFF"/>
    <w:rsid w:val="00F7468A"/>
    <w:rsid w:val="00F81DA0"/>
    <w:rsid w:val="00FE6F9A"/>
    <w:rsid w:val="00FF751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66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D50B2"/>
    <w:pPr>
      <w:tabs>
        <w:tab w:val="center" w:pos="4320"/>
        <w:tab w:val="right" w:pos="8640"/>
      </w:tabs>
    </w:pPr>
  </w:style>
  <w:style w:type="character" w:customStyle="1" w:styleId="HeaderChar">
    <w:name w:val="Header Char"/>
    <w:basedOn w:val="DefaultParagraphFont"/>
    <w:link w:val="Header"/>
    <w:uiPriority w:val="99"/>
    <w:semiHidden/>
    <w:rsid w:val="006D50B2"/>
    <w:rPr>
      <w:sz w:val="22"/>
      <w:szCs w:val="22"/>
      <w:lang w:eastAsia="en-US"/>
    </w:rPr>
  </w:style>
  <w:style w:type="paragraph" w:styleId="Footer">
    <w:name w:val="footer"/>
    <w:basedOn w:val="Normal"/>
    <w:link w:val="FooterChar"/>
    <w:uiPriority w:val="99"/>
    <w:semiHidden/>
    <w:unhideWhenUsed/>
    <w:rsid w:val="006D50B2"/>
    <w:pPr>
      <w:tabs>
        <w:tab w:val="center" w:pos="4320"/>
        <w:tab w:val="right" w:pos="8640"/>
      </w:tabs>
    </w:pPr>
  </w:style>
  <w:style w:type="character" w:customStyle="1" w:styleId="FooterChar">
    <w:name w:val="Footer Char"/>
    <w:basedOn w:val="DefaultParagraphFont"/>
    <w:link w:val="Footer"/>
    <w:uiPriority w:val="99"/>
    <w:semiHidden/>
    <w:rsid w:val="006D50B2"/>
    <w:rPr>
      <w:sz w:val="22"/>
      <w:szCs w:val="22"/>
      <w:lang w:eastAsia="en-US"/>
    </w:rPr>
  </w:style>
  <w:style w:type="character" w:styleId="Hyperlink">
    <w:name w:val="Hyperlink"/>
    <w:basedOn w:val="DefaultParagraphFont"/>
    <w:uiPriority w:val="99"/>
    <w:rsid w:val="00FF7518"/>
    <w:rPr>
      <w:color w:val="000000"/>
      <w:u w:val="single"/>
    </w:rPr>
  </w:style>
  <w:style w:type="paragraph" w:styleId="BalloonText">
    <w:name w:val="Balloon Text"/>
    <w:basedOn w:val="Normal"/>
    <w:link w:val="BalloonTextChar"/>
    <w:uiPriority w:val="99"/>
    <w:semiHidden/>
    <w:unhideWhenUsed/>
    <w:rsid w:val="006604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0443"/>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lumelu@com.ui.edu.ng" TargetMode="Externa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eader" Target="header6.xml"/><Relationship Id="rId39"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hyperlink" Target="mailto:telumelu@com.ui.edu.ng"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oleObject" Target="embeddings/Microsoft_Office_Excel_97-2003_Worksheet1.xls"/><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4.xml"/><Relationship Id="rId29" Type="http://schemas.openxmlformats.org/officeDocument/2006/relationships/footer" Target="footer7.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x.doi.org/10.7537/marsnys09031609" TargetMode="External"/><Relationship Id="rId24" Type="http://schemas.openxmlformats.org/officeDocument/2006/relationships/header" Target="header5.xml"/><Relationship Id="rId32" Type="http://schemas.openxmlformats.org/officeDocument/2006/relationships/header" Target="header9.xml"/><Relationship Id="rId37" Type="http://schemas.openxmlformats.org/officeDocument/2006/relationships/footer" Target="footer10.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oleObject" Target="embeddings/Microsoft_Office_Excel_97-2003_Worksheet2.xls"/><Relationship Id="rId28" Type="http://schemas.openxmlformats.org/officeDocument/2006/relationships/header" Target="header7.xml"/><Relationship Id="rId36" Type="http://schemas.openxmlformats.org/officeDocument/2006/relationships/header" Target="header10.xml"/><Relationship Id="rId10" Type="http://schemas.openxmlformats.org/officeDocument/2006/relationships/hyperlink" Target="http://www.sciencepub.net/newyork" TargetMode="External"/><Relationship Id="rId19" Type="http://schemas.openxmlformats.org/officeDocument/2006/relationships/footer" Target="footer3.xml"/><Relationship Id="rId31"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yperlink" Target="mailto:tessynek@yahoo.com" TargetMode="External"/><Relationship Id="rId14" Type="http://schemas.openxmlformats.org/officeDocument/2006/relationships/header" Target="header2.xml"/><Relationship Id="rId22" Type="http://schemas.openxmlformats.org/officeDocument/2006/relationships/image" Target="media/image2.png"/><Relationship Id="rId27" Type="http://schemas.openxmlformats.org/officeDocument/2006/relationships/footer" Target="footer6.xml"/><Relationship Id="rId30" Type="http://schemas.openxmlformats.org/officeDocument/2006/relationships/header" Target="header8.xml"/><Relationship Id="rId35" Type="http://schemas.openxmlformats.org/officeDocument/2006/relationships/hyperlink" Target="mailto:tessynek@yahoo.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0.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1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8.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9.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6C09A-1CA8-4621-90DF-4BC305E6E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3599</Words>
  <Characters>20515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24066</CharactersWithSpaces>
  <SharedDoc>false</SharedDoc>
  <HLinks>
    <vt:vector size="12" baseType="variant">
      <vt:variant>
        <vt:i4>7143509</vt:i4>
      </vt:variant>
      <vt:variant>
        <vt:i4>9</vt:i4>
      </vt:variant>
      <vt:variant>
        <vt:i4>0</vt:i4>
      </vt:variant>
      <vt:variant>
        <vt:i4>5</vt:i4>
      </vt:variant>
      <vt:variant>
        <vt:lpwstr>mailto:telumelu@com.ui.edu.ng</vt:lpwstr>
      </vt:variant>
      <vt:variant>
        <vt:lpwstr/>
      </vt:variant>
      <vt:variant>
        <vt:i4>7143509</vt:i4>
      </vt:variant>
      <vt:variant>
        <vt:i4>0</vt:i4>
      </vt:variant>
      <vt:variant>
        <vt:i4>0</vt:i4>
      </vt:variant>
      <vt:variant>
        <vt:i4>5</vt:i4>
      </vt:variant>
      <vt:variant>
        <vt:lpwstr>mailto:telumelu@com.ui.edu.ng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Abbas Abdus-salam</dc:creator>
  <cp:lastModifiedBy>Administrator</cp:lastModifiedBy>
  <cp:revision>7</cp:revision>
  <cp:lastPrinted>2016-03-04T05:45:00Z</cp:lastPrinted>
  <dcterms:created xsi:type="dcterms:W3CDTF">2016-03-04T08:50:00Z</dcterms:created>
  <dcterms:modified xsi:type="dcterms:W3CDTF">2016-03-04T06:58:00Z</dcterms:modified>
</cp:coreProperties>
</file>