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9A4" w:rsidRPr="00EC25B1" w:rsidRDefault="007A09A4" w:rsidP="00025B26">
      <w:pPr>
        <w:snapToGrid w:val="0"/>
        <w:jc w:val="center"/>
        <w:rPr>
          <w:b/>
          <w:bCs/>
          <w:color w:val="000000"/>
          <w:sz w:val="20"/>
          <w:szCs w:val="20"/>
        </w:rPr>
      </w:pPr>
      <w:r w:rsidRPr="00EC25B1">
        <w:rPr>
          <w:b/>
          <w:bCs/>
          <w:sz w:val="20"/>
          <w:szCs w:val="20"/>
        </w:rPr>
        <w:t xml:space="preserve">Correlations of JAK2V617F Mutational status with </w:t>
      </w:r>
      <w:proofErr w:type="spellStart"/>
      <w:r w:rsidRPr="00EC25B1">
        <w:rPr>
          <w:b/>
          <w:bCs/>
          <w:sz w:val="20"/>
          <w:szCs w:val="20"/>
        </w:rPr>
        <w:t>Clinicohematologic</w:t>
      </w:r>
      <w:proofErr w:type="spellEnd"/>
      <w:r w:rsidRPr="00EC25B1">
        <w:rPr>
          <w:b/>
          <w:bCs/>
          <w:sz w:val="20"/>
          <w:szCs w:val="20"/>
        </w:rPr>
        <w:t xml:space="preserve"> Characteristics</w:t>
      </w:r>
      <w:r w:rsidRPr="00EC25B1">
        <w:rPr>
          <w:b/>
          <w:bCs/>
          <w:color w:val="000000"/>
          <w:sz w:val="20"/>
          <w:szCs w:val="20"/>
        </w:rPr>
        <w:t xml:space="preserve"> </w:t>
      </w:r>
      <w:r w:rsidRPr="00EC25B1">
        <w:rPr>
          <w:b/>
          <w:bCs/>
          <w:sz w:val="20"/>
          <w:szCs w:val="20"/>
        </w:rPr>
        <w:t xml:space="preserve">in Sudanese Patients with Primary </w:t>
      </w:r>
      <w:proofErr w:type="spellStart"/>
      <w:r w:rsidRPr="00EC25B1">
        <w:rPr>
          <w:b/>
          <w:bCs/>
          <w:sz w:val="20"/>
          <w:szCs w:val="20"/>
        </w:rPr>
        <w:t>Myelofibrosis</w:t>
      </w:r>
      <w:proofErr w:type="spellEnd"/>
    </w:p>
    <w:p w:rsidR="00480715" w:rsidRPr="00EC25B1" w:rsidRDefault="00480715" w:rsidP="00025B26">
      <w:pPr>
        <w:snapToGrid w:val="0"/>
        <w:jc w:val="center"/>
        <w:rPr>
          <w:sz w:val="20"/>
          <w:szCs w:val="20"/>
          <w:lang w:eastAsia="zh-CN"/>
        </w:rPr>
      </w:pPr>
    </w:p>
    <w:p w:rsidR="007A09A4" w:rsidRPr="00EC25B1" w:rsidRDefault="007A09A4" w:rsidP="00025B26">
      <w:pPr>
        <w:autoSpaceDE w:val="0"/>
        <w:autoSpaceDN w:val="0"/>
        <w:adjustRightInd w:val="0"/>
        <w:snapToGrid w:val="0"/>
        <w:jc w:val="center"/>
        <w:rPr>
          <w:sz w:val="20"/>
          <w:szCs w:val="20"/>
          <w:vertAlign w:val="superscript"/>
        </w:rPr>
      </w:pPr>
      <w:proofErr w:type="spellStart"/>
      <w:r w:rsidRPr="00EC25B1">
        <w:rPr>
          <w:sz w:val="20"/>
          <w:szCs w:val="20"/>
        </w:rPr>
        <w:t>Hashim</w:t>
      </w:r>
      <w:proofErr w:type="spellEnd"/>
      <w:r w:rsidRPr="00EC25B1">
        <w:rPr>
          <w:sz w:val="20"/>
          <w:szCs w:val="20"/>
        </w:rPr>
        <w:t xml:space="preserve"> M. Abkar</w:t>
      </w:r>
      <w:r w:rsidRPr="00EC25B1">
        <w:rPr>
          <w:sz w:val="20"/>
          <w:szCs w:val="20"/>
          <w:vertAlign w:val="superscript"/>
        </w:rPr>
        <w:t>1</w:t>
      </w:r>
      <w:r w:rsidRPr="00EC25B1">
        <w:rPr>
          <w:sz w:val="20"/>
          <w:szCs w:val="20"/>
        </w:rPr>
        <w:t xml:space="preserve">, </w:t>
      </w:r>
      <w:proofErr w:type="spellStart"/>
      <w:r w:rsidRPr="00EC25B1">
        <w:rPr>
          <w:sz w:val="20"/>
          <w:szCs w:val="20"/>
        </w:rPr>
        <w:t>Fathelrahman</w:t>
      </w:r>
      <w:proofErr w:type="spellEnd"/>
      <w:r w:rsidRPr="00EC25B1">
        <w:rPr>
          <w:sz w:val="20"/>
          <w:szCs w:val="20"/>
        </w:rPr>
        <w:t xml:space="preserve"> M. Hassan</w:t>
      </w:r>
      <w:r w:rsidRPr="00EC25B1">
        <w:rPr>
          <w:sz w:val="20"/>
          <w:szCs w:val="20"/>
          <w:vertAlign w:val="superscript"/>
        </w:rPr>
        <w:t>2</w:t>
      </w:r>
      <w:r w:rsidRPr="00EC25B1">
        <w:rPr>
          <w:sz w:val="20"/>
          <w:szCs w:val="20"/>
        </w:rPr>
        <w:t xml:space="preserve">, </w:t>
      </w:r>
      <w:proofErr w:type="spellStart"/>
      <w:r w:rsidRPr="00EC25B1">
        <w:rPr>
          <w:sz w:val="20"/>
          <w:szCs w:val="20"/>
        </w:rPr>
        <w:t>Babiker</w:t>
      </w:r>
      <w:proofErr w:type="spellEnd"/>
      <w:r w:rsidRPr="00EC25B1">
        <w:rPr>
          <w:sz w:val="20"/>
          <w:szCs w:val="20"/>
        </w:rPr>
        <w:t xml:space="preserve"> A. Mohamed</w:t>
      </w:r>
      <w:r w:rsidRPr="00EC25B1">
        <w:rPr>
          <w:sz w:val="20"/>
          <w:szCs w:val="20"/>
          <w:vertAlign w:val="superscript"/>
        </w:rPr>
        <w:t>3</w:t>
      </w:r>
    </w:p>
    <w:p w:rsidR="00471E57" w:rsidRPr="00EC25B1" w:rsidRDefault="00471E57" w:rsidP="00025B26">
      <w:pPr>
        <w:snapToGrid w:val="0"/>
        <w:jc w:val="center"/>
        <w:rPr>
          <w:sz w:val="20"/>
          <w:szCs w:val="20"/>
        </w:rPr>
      </w:pPr>
    </w:p>
    <w:p w:rsidR="007A09A4" w:rsidRPr="00EC25B1" w:rsidRDefault="007A09A4" w:rsidP="00025B26">
      <w:pPr>
        <w:autoSpaceDE w:val="0"/>
        <w:autoSpaceDN w:val="0"/>
        <w:adjustRightInd w:val="0"/>
        <w:snapToGrid w:val="0"/>
        <w:jc w:val="center"/>
        <w:rPr>
          <w:sz w:val="20"/>
          <w:szCs w:val="20"/>
        </w:rPr>
      </w:pPr>
      <w:r w:rsidRPr="00EC25B1">
        <w:rPr>
          <w:sz w:val="20"/>
          <w:szCs w:val="20"/>
          <w:vertAlign w:val="superscript"/>
        </w:rPr>
        <w:t>1</w:t>
      </w:r>
      <w:r w:rsidRPr="00EC25B1">
        <w:rPr>
          <w:sz w:val="20"/>
          <w:szCs w:val="20"/>
        </w:rPr>
        <w:t>College of Medical Laboratory Science, Sudan University of Science and technology, Sudan</w:t>
      </w:r>
    </w:p>
    <w:p w:rsidR="007A09A4" w:rsidRPr="00EC25B1" w:rsidRDefault="007A09A4" w:rsidP="00025B26">
      <w:pPr>
        <w:autoSpaceDE w:val="0"/>
        <w:autoSpaceDN w:val="0"/>
        <w:adjustRightInd w:val="0"/>
        <w:snapToGrid w:val="0"/>
        <w:jc w:val="center"/>
        <w:rPr>
          <w:sz w:val="20"/>
          <w:szCs w:val="20"/>
        </w:rPr>
      </w:pPr>
      <w:r w:rsidRPr="00EC25B1">
        <w:rPr>
          <w:sz w:val="20"/>
          <w:szCs w:val="20"/>
          <w:vertAlign w:val="superscript"/>
        </w:rPr>
        <w:t>2</w:t>
      </w:r>
      <w:r w:rsidRPr="00EC25B1">
        <w:rPr>
          <w:sz w:val="20"/>
          <w:szCs w:val="20"/>
        </w:rPr>
        <w:t>College Medical Laboratory Science College, Sudan University of Science and technology, Sudan</w:t>
      </w:r>
    </w:p>
    <w:p w:rsidR="007A09A4" w:rsidRPr="00EC25B1" w:rsidRDefault="007A09A4" w:rsidP="00025B26">
      <w:pPr>
        <w:autoSpaceDE w:val="0"/>
        <w:autoSpaceDN w:val="0"/>
        <w:adjustRightInd w:val="0"/>
        <w:snapToGrid w:val="0"/>
        <w:jc w:val="center"/>
        <w:rPr>
          <w:sz w:val="20"/>
          <w:szCs w:val="20"/>
        </w:rPr>
      </w:pPr>
      <w:r w:rsidRPr="00EC25B1">
        <w:rPr>
          <w:sz w:val="20"/>
          <w:szCs w:val="20"/>
          <w:vertAlign w:val="superscript"/>
        </w:rPr>
        <w:t>3</w:t>
      </w:r>
      <w:r w:rsidRPr="00EC25B1">
        <w:rPr>
          <w:sz w:val="20"/>
          <w:szCs w:val="20"/>
        </w:rPr>
        <w:t xml:space="preserve">College medicine, </w:t>
      </w:r>
      <w:proofErr w:type="spellStart"/>
      <w:r w:rsidRPr="00EC25B1">
        <w:rPr>
          <w:sz w:val="20"/>
          <w:szCs w:val="20"/>
        </w:rPr>
        <w:t>Karary</w:t>
      </w:r>
      <w:proofErr w:type="spellEnd"/>
      <w:r w:rsidRPr="00EC25B1">
        <w:rPr>
          <w:sz w:val="20"/>
          <w:szCs w:val="20"/>
        </w:rPr>
        <w:t xml:space="preserve"> University, Omdurman- Sudan</w:t>
      </w:r>
    </w:p>
    <w:p w:rsidR="007A09A4" w:rsidRPr="00EC25B1" w:rsidRDefault="00D74E4E" w:rsidP="00025B26">
      <w:pPr>
        <w:autoSpaceDE w:val="0"/>
        <w:autoSpaceDN w:val="0"/>
        <w:adjustRightInd w:val="0"/>
        <w:snapToGrid w:val="0"/>
        <w:jc w:val="center"/>
        <w:rPr>
          <w:sz w:val="20"/>
          <w:szCs w:val="20"/>
        </w:rPr>
      </w:pPr>
      <w:hyperlink r:id="rId7" w:history="1">
        <w:r w:rsidR="007A09A4" w:rsidRPr="00EC25B1">
          <w:rPr>
            <w:rStyle w:val="Hyperlink"/>
            <w:sz w:val="20"/>
            <w:szCs w:val="20"/>
          </w:rPr>
          <w:t>hashimmohamed10@yahoo.com</w:t>
        </w:r>
      </w:hyperlink>
    </w:p>
    <w:p w:rsidR="007A09A4" w:rsidRPr="00EC25B1" w:rsidRDefault="007A09A4" w:rsidP="00025B26">
      <w:pPr>
        <w:autoSpaceDE w:val="0"/>
        <w:autoSpaceDN w:val="0"/>
        <w:adjustRightInd w:val="0"/>
        <w:snapToGrid w:val="0"/>
        <w:jc w:val="center"/>
        <w:rPr>
          <w:sz w:val="20"/>
          <w:szCs w:val="20"/>
        </w:rPr>
      </w:pPr>
    </w:p>
    <w:p w:rsidR="007A09A4" w:rsidRPr="00EC25B1" w:rsidRDefault="007A09A4" w:rsidP="00025B26">
      <w:pPr>
        <w:snapToGrid w:val="0"/>
        <w:jc w:val="both"/>
        <w:rPr>
          <w:rFonts w:eastAsia="Times New Roman"/>
          <w:b/>
          <w:bCs/>
          <w:sz w:val="20"/>
          <w:szCs w:val="20"/>
        </w:rPr>
      </w:pPr>
      <w:r w:rsidRPr="00EC25B1">
        <w:rPr>
          <w:b/>
          <w:bCs/>
          <w:color w:val="000000"/>
          <w:sz w:val="20"/>
          <w:szCs w:val="20"/>
        </w:rPr>
        <w:t xml:space="preserve">Abstract: </w:t>
      </w:r>
      <w:r w:rsidRPr="00EC25B1">
        <w:rPr>
          <w:rStyle w:val="A2"/>
          <w:rFonts w:cs="Times New Roman"/>
          <w:b w:val="0"/>
          <w:bCs w:val="0"/>
        </w:rPr>
        <w:t xml:space="preserve">Primary </w:t>
      </w:r>
      <w:proofErr w:type="spellStart"/>
      <w:r w:rsidRPr="00EC25B1">
        <w:rPr>
          <w:rStyle w:val="A2"/>
          <w:rFonts w:cs="Times New Roman"/>
          <w:b w:val="0"/>
          <w:bCs w:val="0"/>
        </w:rPr>
        <w:t>myelofibrosis</w:t>
      </w:r>
      <w:proofErr w:type="spellEnd"/>
      <w:r w:rsidRPr="00EC25B1">
        <w:rPr>
          <w:rStyle w:val="A2"/>
          <w:rFonts w:cs="Times New Roman"/>
          <w:b w:val="0"/>
          <w:bCs w:val="0"/>
        </w:rPr>
        <w:t xml:space="preserve"> (PMF) is a </w:t>
      </w:r>
      <w:r w:rsidRPr="00EC25B1">
        <w:rPr>
          <w:i/>
          <w:iCs/>
          <w:sz w:val="20"/>
          <w:szCs w:val="20"/>
        </w:rPr>
        <w:t>BCR</w:t>
      </w:r>
      <w:r w:rsidRPr="00EC25B1">
        <w:rPr>
          <w:sz w:val="20"/>
          <w:szCs w:val="20"/>
        </w:rPr>
        <w:t>/</w:t>
      </w:r>
      <w:r w:rsidRPr="00EC25B1">
        <w:rPr>
          <w:i/>
          <w:iCs/>
          <w:sz w:val="20"/>
          <w:szCs w:val="20"/>
        </w:rPr>
        <w:t>ABL</w:t>
      </w:r>
      <w:r w:rsidRPr="00EC25B1">
        <w:rPr>
          <w:sz w:val="20"/>
          <w:szCs w:val="20"/>
        </w:rPr>
        <w:t>-negative</w:t>
      </w:r>
      <w:r w:rsidRPr="00EC25B1">
        <w:rPr>
          <w:b/>
          <w:bCs/>
          <w:sz w:val="20"/>
          <w:szCs w:val="20"/>
        </w:rPr>
        <w:t xml:space="preserve"> </w:t>
      </w:r>
      <w:proofErr w:type="spellStart"/>
      <w:r w:rsidRPr="00EC25B1">
        <w:rPr>
          <w:rStyle w:val="A2"/>
          <w:rFonts w:cs="Times New Roman"/>
          <w:b w:val="0"/>
          <w:bCs w:val="0"/>
        </w:rPr>
        <w:t>myeloproliferative</w:t>
      </w:r>
      <w:proofErr w:type="spellEnd"/>
      <w:r w:rsidRPr="00EC25B1">
        <w:rPr>
          <w:rStyle w:val="A2"/>
          <w:rFonts w:cs="Times New Roman"/>
          <w:b w:val="0"/>
          <w:bCs w:val="0"/>
        </w:rPr>
        <w:t xml:space="preserve"> neoplasm (MPNs) characterized by </w:t>
      </w:r>
      <w:proofErr w:type="spellStart"/>
      <w:r w:rsidRPr="00EC25B1">
        <w:rPr>
          <w:rStyle w:val="A2"/>
          <w:rFonts w:cs="Times New Roman"/>
          <w:b w:val="0"/>
          <w:bCs w:val="0"/>
        </w:rPr>
        <w:t>dysregulated</w:t>
      </w:r>
      <w:proofErr w:type="spellEnd"/>
      <w:r w:rsidRPr="00EC25B1">
        <w:rPr>
          <w:rStyle w:val="A2"/>
          <w:rFonts w:cs="Times New Roman"/>
          <w:b w:val="0"/>
          <w:bCs w:val="0"/>
        </w:rPr>
        <w:t xml:space="preserve"> </w:t>
      </w:r>
      <w:proofErr w:type="spellStart"/>
      <w:r w:rsidRPr="00EC25B1">
        <w:rPr>
          <w:rStyle w:val="A2"/>
          <w:rFonts w:cs="Times New Roman"/>
          <w:b w:val="0"/>
          <w:bCs w:val="0"/>
        </w:rPr>
        <w:t>kinase</w:t>
      </w:r>
      <w:proofErr w:type="spellEnd"/>
      <w:r w:rsidRPr="00EC25B1">
        <w:rPr>
          <w:rStyle w:val="A2"/>
          <w:rFonts w:cs="Times New Roman"/>
          <w:b w:val="0"/>
          <w:bCs w:val="0"/>
        </w:rPr>
        <w:t xml:space="preserve"> signaling and release of abnormal cytokines</w:t>
      </w:r>
      <w:r w:rsidRPr="00EC25B1">
        <w:rPr>
          <w:rStyle w:val="highlight"/>
          <w:color w:val="000000"/>
          <w:sz w:val="20"/>
          <w:szCs w:val="20"/>
          <w:shd w:val="clear" w:color="auto" w:fill="FFFFFF"/>
        </w:rPr>
        <w:t xml:space="preserve">. About 50-60% of PMF patients have been reported to have acquired somatic mutation in Janus </w:t>
      </w:r>
      <w:proofErr w:type="spellStart"/>
      <w:r w:rsidRPr="00EC25B1">
        <w:rPr>
          <w:rStyle w:val="highlight"/>
          <w:color w:val="000000"/>
          <w:sz w:val="20"/>
          <w:szCs w:val="20"/>
          <w:shd w:val="clear" w:color="auto" w:fill="FFFFFF"/>
        </w:rPr>
        <w:t>kinase</w:t>
      </w:r>
      <w:proofErr w:type="spellEnd"/>
      <w:r w:rsidRPr="00EC25B1">
        <w:rPr>
          <w:rStyle w:val="highlight"/>
          <w:color w:val="000000"/>
          <w:sz w:val="20"/>
          <w:szCs w:val="20"/>
          <w:shd w:val="clear" w:color="auto" w:fill="FFFFFF"/>
        </w:rPr>
        <w:t xml:space="preserve"> 2 </w:t>
      </w:r>
      <w:proofErr w:type="gramStart"/>
      <w:r w:rsidRPr="00EC25B1">
        <w:rPr>
          <w:rStyle w:val="highlight"/>
          <w:color w:val="000000"/>
          <w:sz w:val="20"/>
          <w:szCs w:val="20"/>
          <w:shd w:val="clear" w:color="auto" w:fill="FFFFFF"/>
        </w:rPr>
        <w:t>gene</w:t>
      </w:r>
      <w:proofErr w:type="gramEnd"/>
      <w:r w:rsidRPr="00EC25B1">
        <w:rPr>
          <w:rStyle w:val="highlight"/>
          <w:color w:val="000000"/>
          <w:sz w:val="20"/>
          <w:szCs w:val="20"/>
          <w:shd w:val="clear" w:color="auto" w:fill="FFFFFF"/>
        </w:rPr>
        <w:t xml:space="preserve"> (</w:t>
      </w:r>
      <w:r w:rsidRPr="00EC25B1">
        <w:rPr>
          <w:rStyle w:val="highlight"/>
          <w:i/>
          <w:iCs/>
          <w:color w:val="000000"/>
          <w:sz w:val="20"/>
          <w:szCs w:val="20"/>
          <w:shd w:val="clear" w:color="auto" w:fill="FFFFFF"/>
        </w:rPr>
        <w:t>JAK</w:t>
      </w:r>
      <w:r w:rsidRPr="00EC25B1">
        <w:rPr>
          <w:rStyle w:val="highlight"/>
          <w:color w:val="000000"/>
          <w:sz w:val="20"/>
          <w:szCs w:val="20"/>
          <w:shd w:val="clear" w:color="auto" w:fill="FFFFFF"/>
        </w:rPr>
        <w:t xml:space="preserve">-V617F mutation). The aim of this study was to fine out </w:t>
      </w:r>
      <w:r w:rsidRPr="00EC25B1">
        <w:rPr>
          <w:sz w:val="20"/>
          <w:szCs w:val="20"/>
        </w:rPr>
        <w:t xml:space="preserve">correlation between the </w:t>
      </w:r>
      <w:r w:rsidRPr="00EC25B1">
        <w:rPr>
          <w:i/>
          <w:iCs/>
          <w:sz w:val="20"/>
          <w:szCs w:val="20"/>
        </w:rPr>
        <w:t>JAK2</w:t>
      </w:r>
      <w:r w:rsidRPr="00EC25B1">
        <w:rPr>
          <w:sz w:val="20"/>
          <w:szCs w:val="20"/>
        </w:rPr>
        <w:t xml:space="preserve">-V617F mutational status and the </w:t>
      </w:r>
      <w:proofErr w:type="spellStart"/>
      <w:r w:rsidRPr="00EC25B1">
        <w:rPr>
          <w:sz w:val="20"/>
          <w:szCs w:val="20"/>
        </w:rPr>
        <w:t>clinicohematologic</w:t>
      </w:r>
      <w:proofErr w:type="spellEnd"/>
      <w:r w:rsidRPr="00EC25B1">
        <w:rPr>
          <w:sz w:val="20"/>
          <w:szCs w:val="20"/>
        </w:rPr>
        <w:t xml:space="preserve"> characteristics</w:t>
      </w:r>
      <w:r w:rsidRPr="00EC25B1">
        <w:rPr>
          <w:rStyle w:val="highlight"/>
          <w:color w:val="000000"/>
          <w:sz w:val="20"/>
          <w:szCs w:val="20"/>
          <w:shd w:val="clear" w:color="auto" w:fill="FFFFFF"/>
        </w:rPr>
        <w:t xml:space="preserve"> in Sudanese patients with PMF.</w:t>
      </w:r>
      <w:r w:rsidRPr="00EC25B1">
        <w:rPr>
          <w:rFonts w:eastAsia="Times New Roman"/>
          <w:sz w:val="20"/>
          <w:szCs w:val="20"/>
        </w:rPr>
        <w:t xml:space="preserve"> 45 patients with PMF were involved in this study</w:t>
      </w:r>
      <w:r w:rsidRPr="00EC25B1">
        <w:rPr>
          <w:sz w:val="20"/>
          <w:szCs w:val="20"/>
        </w:rPr>
        <w:t xml:space="preserve">. </w:t>
      </w:r>
      <w:r w:rsidRPr="00EC25B1">
        <w:rPr>
          <w:rFonts w:eastAsia="Times New Roman"/>
          <w:sz w:val="20"/>
          <w:szCs w:val="20"/>
        </w:rPr>
        <w:t>Allele specific PCR</w:t>
      </w:r>
      <w:r w:rsidRPr="00EC25B1">
        <w:rPr>
          <w:sz w:val="20"/>
          <w:szCs w:val="20"/>
        </w:rPr>
        <w:t xml:space="preserve"> was used to detected the </w:t>
      </w:r>
      <w:r w:rsidRPr="00EC25B1">
        <w:rPr>
          <w:i/>
          <w:iCs/>
          <w:sz w:val="20"/>
          <w:szCs w:val="20"/>
        </w:rPr>
        <w:t>JAK2</w:t>
      </w:r>
      <w:r w:rsidRPr="00EC25B1">
        <w:rPr>
          <w:sz w:val="20"/>
          <w:szCs w:val="20"/>
        </w:rPr>
        <w:t xml:space="preserve">-V617F, and </w:t>
      </w:r>
      <w:r w:rsidRPr="00EC25B1">
        <w:rPr>
          <w:rFonts w:eastAsia="Times New Roman"/>
          <w:sz w:val="20"/>
          <w:szCs w:val="20"/>
        </w:rPr>
        <w:t>quantitative real-time polymerase chain reaction (</w:t>
      </w:r>
      <w:proofErr w:type="spellStart"/>
      <w:r w:rsidRPr="00EC25B1">
        <w:rPr>
          <w:rFonts w:eastAsia="Times New Roman"/>
          <w:sz w:val="20"/>
          <w:szCs w:val="20"/>
        </w:rPr>
        <w:t>qRT</w:t>
      </w:r>
      <w:proofErr w:type="spellEnd"/>
      <w:r w:rsidRPr="00EC25B1">
        <w:rPr>
          <w:rFonts w:eastAsia="Times New Roman"/>
          <w:sz w:val="20"/>
          <w:szCs w:val="20"/>
        </w:rPr>
        <w:t xml:space="preserve">-PCR) was used to determinate the percentage of mutated alleles in </w:t>
      </w:r>
      <w:r w:rsidRPr="00EC25B1">
        <w:rPr>
          <w:sz w:val="20"/>
          <w:szCs w:val="20"/>
        </w:rPr>
        <w:t xml:space="preserve">genomic DNA among </w:t>
      </w:r>
      <w:r w:rsidRPr="00EC25B1">
        <w:rPr>
          <w:i/>
          <w:iCs/>
          <w:sz w:val="20"/>
          <w:szCs w:val="20"/>
        </w:rPr>
        <w:t>JAK2</w:t>
      </w:r>
      <w:r w:rsidRPr="00EC25B1">
        <w:rPr>
          <w:sz w:val="20"/>
          <w:szCs w:val="20"/>
        </w:rPr>
        <w:t>-V617F positive MPNs</w:t>
      </w:r>
      <w:r w:rsidRPr="00EC25B1">
        <w:rPr>
          <w:rFonts w:eastAsia="Times New Roman"/>
          <w:sz w:val="20"/>
          <w:szCs w:val="20"/>
        </w:rPr>
        <w:t xml:space="preserve">. </w:t>
      </w:r>
      <w:r w:rsidRPr="00EC25B1">
        <w:rPr>
          <w:sz w:val="20"/>
          <w:szCs w:val="20"/>
        </w:rPr>
        <w:t xml:space="preserve">The </w:t>
      </w:r>
      <w:r w:rsidRPr="00EC25B1">
        <w:rPr>
          <w:i/>
          <w:iCs/>
          <w:sz w:val="20"/>
          <w:szCs w:val="20"/>
        </w:rPr>
        <w:t>JAK2</w:t>
      </w:r>
      <w:r w:rsidRPr="00EC25B1">
        <w:rPr>
          <w:sz w:val="20"/>
          <w:szCs w:val="20"/>
        </w:rPr>
        <w:t>-V617F mutation was detected in</w:t>
      </w:r>
      <w:r w:rsidRPr="00EC25B1">
        <w:rPr>
          <w:rFonts w:eastAsia="Times New Roman"/>
          <w:sz w:val="20"/>
          <w:szCs w:val="20"/>
        </w:rPr>
        <w:t xml:space="preserve"> 51.1%.</w:t>
      </w:r>
      <w:r w:rsidRPr="00EC25B1">
        <w:rPr>
          <w:sz w:val="20"/>
          <w:szCs w:val="20"/>
        </w:rPr>
        <w:t xml:space="preserve"> The mean allele burden of </w:t>
      </w:r>
      <w:r w:rsidRPr="00EC25B1">
        <w:rPr>
          <w:rStyle w:val="Emphasis"/>
          <w:sz w:val="20"/>
          <w:szCs w:val="20"/>
        </w:rPr>
        <w:t>JAK2</w:t>
      </w:r>
      <w:r w:rsidRPr="00EC25B1">
        <w:rPr>
          <w:sz w:val="20"/>
          <w:szCs w:val="20"/>
        </w:rPr>
        <w:t>-V617F for positive patients was 69.3%</w:t>
      </w:r>
      <w:r w:rsidRPr="00EC25B1">
        <w:rPr>
          <w:rFonts w:eastAsia="Times New Roman"/>
          <w:sz w:val="20"/>
          <w:szCs w:val="20"/>
        </w:rPr>
        <w:t>.</w:t>
      </w:r>
      <w:r w:rsidRPr="00EC25B1">
        <w:rPr>
          <w:sz w:val="20"/>
          <w:szCs w:val="20"/>
        </w:rPr>
        <w:t xml:space="preserve"> The prevalence of patients with high allele burden (i.e. </w:t>
      </w:r>
      <w:r w:rsidRPr="00EC25B1">
        <w:rPr>
          <w:rStyle w:val="Emphasis"/>
          <w:sz w:val="20"/>
          <w:szCs w:val="20"/>
        </w:rPr>
        <w:t>JAK2</w:t>
      </w:r>
      <w:r w:rsidRPr="00EC25B1">
        <w:rPr>
          <w:sz w:val="20"/>
          <w:szCs w:val="20"/>
        </w:rPr>
        <w:t>-V617F allele burden exceeded 50%)</w:t>
      </w:r>
      <w:r w:rsidRPr="00EC25B1">
        <w:rPr>
          <w:rFonts w:eastAsia="Times New Roman"/>
          <w:sz w:val="20"/>
          <w:szCs w:val="20"/>
        </w:rPr>
        <w:t xml:space="preserve"> was 31.1%.</w:t>
      </w:r>
      <w:r w:rsidRPr="00EC25B1">
        <w:rPr>
          <w:rStyle w:val="apple-converted-space"/>
          <w:sz w:val="20"/>
          <w:szCs w:val="20"/>
        </w:rPr>
        <w:t xml:space="preserve"> </w:t>
      </w:r>
      <w:r w:rsidRPr="00EC25B1">
        <w:rPr>
          <w:i/>
          <w:iCs/>
          <w:sz w:val="20"/>
          <w:szCs w:val="20"/>
        </w:rPr>
        <w:t>JAK2</w:t>
      </w:r>
      <w:r w:rsidRPr="00EC25B1">
        <w:rPr>
          <w:sz w:val="20"/>
          <w:szCs w:val="20"/>
        </w:rPr>
        <w:t xml:space="preserve">-V617F mutation associated with high </w:t>
      </w:r>
      <w:proofErr w:type="spellStart"/>
      <w:r w:rsidRPr="00EC25B1">
        <w:rPr>
          <w:sz w:val="20"/>
          <w:szCs w:val="20"/>
        </w:rPr>
        <w:t>Hb</w:t>
      </w:r>
      <w:proofErr w:type="spellEnd"/>
      <w:r w:rsidRPr="00EC25B1">
        <w:rPr>
          <w:sz w:val="20"/>
          <w:szCs w:val="20"/>
        </w:rPr>
        <w:t xml:space="preserve"> (P=.039), </w:t>
      </w:r>
      <w:proofErr w:type="spellStart"/>
      <w:r w:rsidRPr="00EC25B1">
        <w:rPr>
          <w:sz w:val="20"/>
          <w:szCs w:val="20"/>
        </w:rPr>
        <w:t>Hct</w:t>
      </w:r>
      <w:proofErr w:type="spellEnd"/>
      <w:r w:rsidRPr="00EC25B1">
        <w:rPr>
          <w:sz w:val="20"/>
          <w:szCs w:val="20"/>
        </w:rPr>
        <w:t xml:space="preserve"> (P=.04) in PMF patients</w:t>
      </w:r>
      <w:r w:rsidRPr="00EC25B1">
        <w:rPr>
          <w:rFonts w:eastAsia="Times New Roman"/>
          <w:sz w:val="20"/>
          <w:szCs w:val="20"/>
        </w:rPr>
        <w:t xml:space="preserve">. </w:t>
      </w:r>
      <w:r w:rsidRPr="00EC25B1">
        <w:rPr>
          <w:rStyle w:val="Emphasis"/>
          <w:sz w:val="20"/>
          <w:szCs w:val="20"/>
        </w:rPr>
        <w:t>JAK2</w:t>
      </w:r>
      <w:r w:rsidRPr="00EC25B1">
        <w:rPr>
          <w:sz w:val="20"/>
          <w:szCs w:val="20"/>
        </w:rPr>
        <w:t xml:space="preserve"> V617F allele burden was correlate with lower platelet count in (</w:t>
      </w:r>
      <w:r w:rsidRPr="00EC25B1">
        <w:rPr>
          <w:rStyle w:val="Emphasis"/>
          <w:sz w:val="20"/>
          <w:szCs w:val="20"/>
        </w:rPr>
        <w:t>P = .015)</w:t>
      </w:r>
      <w:r w:rsidRPr="00EC25B1">
        <w:rPr>
          <w:sz w:val="20"/>
          <w:szCs w:val="20"/>
        </w:rPr>
        <w:t>.</w:t>
      </w:r>
    </w:p>
    <w:p w:rsidR="00025B26" w:rsidRPr="00EC25B1" w:rsidRDefault="003246A8" w:rsidP="00025B26">
      <w:pPr>
        <w:snapToGrid w:val="0"/>
        <w:jc w:val="both"/>
        <w:rPr>
          <w:sz w:val="20"/>
          <w:szCs w:val="20"/>
        </w:rPr>
      </w:pPr>
      <w:r w:rsidRPr="00EC25B1">
        <w:rPr>
          <w:sz w:val="20"/>
          <w:szCs w:val="20"/>
        </w:rPr>
        <w:t>[</w:t>
      </w:r>
      <w:proofErr w:type="spellStart"/>
      <w:r w:rsidR="007A09A4" w:rsidRPr="00EC25B1">
        <w:rPr>
          <w:sz w:val="20"/>
          <w:szCs w:val="20"/>
        </w:rPr>
        <w:t>Abkar</w:t>
      </w:r>
      <w:proofErr w:type="spellEnd"/>
      <w:r w:rsidR="009D2EC9" w:rsidRPr="00EC25B1">
        <w:rPr>
          <w:sz w:val="20"/>
          <w:szCs w:val="20"/>
          <w:vertAlign w:val="superscript"/>
        </w:rPr>
        <w:t xml:space="preserve"> </w:t>
      </w:r>
      <w:r w:rsidR="009D2EC9" w:rsidRPr="00EC25B1">
        <w:rPr>
          <w:sz w:val="20"/>
          <w:szCs w:val="20"/>
        </w:rPr>
        <w:t>HM</w:t>
      </w:r>
      <w:r w:rsidR="007A09A4" w:rsidRPr="00EC25B1">
        <w:rPr>
          <w:sz w:val="20"/>
          <w:szCs w:val="20"/>
        </w:rPr>
        <w:t>,</w:t>
      </w:r>
      <w:r w:rsidR="009D2EC9" w:rsidRPr="00EC25B1">
        <w:rPr>
          <w:sz w:val="20"/>
          <w:szCs w:val="20"/>
        </w:rPr>
        <w:t xml:space="preserve"> </w:t>
      </w:r>
      <w:r w:rsidR="007A09A4" w:rsidRPr="00EC25B1">
        <w:rPr>
          <w:sz w:val="20"/>
          <w:szCs w:val="20"/>
        </w:rPr>
        <w:t>Hassan</w:t>
      </w:r>
      <w:r w:rsidR="009D2EC9" w:rsidRPr="00EC25B1">
        <w:rPr>
          <w:sz w:val="20"/>
          <w:szCs w:val="20"/>
        </w:rPr>
        <w:t xml:space="preserve"> FM</w:t>
      </w:r>
      <w:r w:rsidR="007A09A4" w:rsidRPr="00EC25B1">
        <w:rPr>
          <w:sz w:val="20"/>
          <w:szCs w:val="20"/>
        </w:rPr>
        <w:t>, Mohamed</w:t>
      </w:r>
      <w:r w:rsidR="009D2EC9" w:rsidRPr="00EC25B1">
        <w:rPr>
          <w:sz w:val="20"/>
          <w:szCs w:val="20"/>
        </w:rPr>
        <w:t xml:space="preserve"> BA. </w:t>
      </w:r>
      <w:proofErr w:type="gramStart"/>
      <w:r w:rsidR="009D2EC9" w:rsidRPr="00EC25B1">
        <w:rPr>
          <w:b/>
          <w:bCs/>
          <w:sz w:val="20"/>
          <w:szCs w:val="20"/>
        </w:rPr>
        <w:t xml:space="preserve">Correlations of JAK2V617F Mutational status with </w:t>
      </w:r>
      <w:proofErr w:type="spellStart"/>
      <w:r w:rsidR="009D2EC9" w:rsidRPr="00EC25B1">
        <w:rPr>
          <w:b/>
          <w:bCs/>
          <w:sz w:val="20"/>
          <w:szCs w:val="20"/>
        </w:rPr>
        <w:t>Clinicohematologic</w:t>
      </w:r>
      <w:proofErr w:type="spellEnd"/>
      <w:r w:rsidR="009D2EC9" w:rsidRPr="00EC25B1">
        <w:rPr>
          <w:b/>
          <w:bCs/>
          <w:sz w:val="20"/>
          <w:szCs w:val="20"/>
        </w:rPr>
        <w:t xml:space="preserve"> Characteristics</w:t>
      </w:r>
      <w:r w:rsidR="009D2EC9" w:rsidRPr="00EC25B1">
        <w:rPr>
          <w:b/>
          <w:bCs/>
          <w:color w:val="000000"/>
          <w:sz w:val="20"/>
          <w:szCs w:val="20"/>
        </w:rPr>
        <w:t xml:space="preserve"> </w:t>
      </w:r>
      <w:r w:rsidR="009D2EC9" w:rsidRPr="00EC25B1">
        <w:rPr>
          <w:b/>
          <w:bCs/>
          <w:sz w:val="20"/>
          <w:szCs w:val="20"/>
        </w:rPr>
        <w:t xml:space="preserve">in Sudanese Patients with Primary </w:t>
      </w:r>
      <w:proofErr w:type="spellStart"/>
      <w:r w:rsidR="009D2EC9" w:rsidRPr="00EC25B1">
        <w:rPr>
          <w:b/>
          <w:bCs/>
          <w:sz w:val="20"/>
          <w:szCs w:val="20"/>
        </w:rPr>
        <w:t>Myelofibrosis</w:t>
      </w:r>
      <w:proofErr w:type="spellEnd"/>
      <w:r w:rsidR="00025B26" w:rsidRPr="00EC25B1">
        <w:rPr>
          <w:rFonts w:eastAsia="Times New Roman"/>
          <w:b/>
          <w:bCs/>
          <w:sz w:val="20"/>
          <w:szCs w:val="20"/>
          <w:lang w:bidi="fa-IR"/>
        </w:rPr>
        <w:t>.</w:t>
      </w:r>
      <w:proofErr w:type="gramEnd"/>
      <w:r w:rsidR="00025B26" w:rsidRPr="00EC25B1">
        <w:rPr>
          <w:bCs/>
          <w:i/>
          <w:sz w:val="20"/>
          <w:szCs w:val="20"/>
        </w:rPr>
        <w:t xml:space="preserve"> N Y </w:t>
      </w:r>
      <w:proofErr w:type="spellStart"/>
      <w:r w:rsidR="00025B26" w:rsidRPr="00EC25B1">
        <w:rPr>
          <w:bCs/>
          <w:i/>
          <w:sz w:val="20"/>
          <w:szCs w:val="20"/>
        </w:rPr>
        <w:t>Sci</w:t>
      </w:r>
      <w:proofErr w:type="spellEnd"/>
      <w:r w:rsidR="00025B26" w:rsidRPr="00EC25B1">
        <w:rPr>
          <w:bCs/>
          <w:i/>
          <w:sz w:val="20"/>
          <w:szCs w:val="20"/>
        </w:rPr>
        <w:t xml:space="preserve"> J</w:t>
      </w:r>
      <w:r w:rsidR="00025B26" w:rsidRPr="00EC25B1">
        <w:rPr>
          <w:bCs/>
          <w:sz w:val="20"/>
          <w:szCs w:val="20"/>
        </w:rPr>
        <w:t xml:space="preserve"> </w:t>
      </w:r>
      <w:r w:rsidR="00025B26" w:rsidRPr="00EC25B1">
        <w:rPr>
          <w:sz w:val="20"/>
          <w:szCs w:val="20"/>
        </w:rPr>
        <w:t>201</w:t>
      </w:r>
      <w:r w:rsidR="00025B26" w:rsidRPr="00EC25B1">
        <w:rPr>
          <w:rFonts w:hint="eastAsia"/>
          <w:sz w:val="20"/>
          <w:szCs w:val="20"/>
        </w:rPr>
        <w:t>6</w:t>
      </w:r>
      <w:proofErr w:type="gramStart"/>
      <w:r w:rsidR="00025B26" w:rsidRPr="00EC25B1">
        <w:rPr>
          <w:sz w:val="20"/>
          <w:szCs w:val="20"/>
        </w:rPr>
        <w:t>;</w:t>
      </w:r>
      <w:r w:rsidR="00025B26" w:rsidRPr="00EC25B1">
        <w:rPr>
          <w:rFonts w:hint="eastAsia"/>
          <w:sz w:val="20"/>
          <w:szCs w:val="20"/>
        </w:rPr>
        <w:t>9</w:t>
      </w:r>
      <w:proofErr w:type="gramEnd"/>
      <w:r w:rsidR="00025B26" w:rsidRPr="00EC25B1">
        <w:rPr>
          <w:sz w:val="20"/>
          <w:szCs w:val="20"/>
        </w:rPr>
        <w:t>(</w:t>
      </w:r>
      <w:r w:rsidR="00025B26" w:rsidRPr="00EC25B1">
        <w:rPr>
          <w:rFonts w:hint="eastAsia"/>
          <w:sz w:val="20"/>
          <w:szCs w:val="20"/>
        </w:rPr>
        <w:t>3</w:t>
      </w:r>
      <w:r w:rsidR="00025B26" w:rsidRPr="00EC25B1">
        <w:rPr>
          <w:sz w:val="20"/>
          <w:szCs w:val="20"/>
        </w:rPr>
        <w:t>):</w:t>
      </w:r>
      <w:r w:rsidR="00A56F4B" w:rsidRPr="00EC25B1">
        <w:rPr>
          <w:noProof/>
          <w:color w:val="000000"/>
          <w:sz w:val="20"/>
          <w:szCs w:val="20"/>
        </w:rPr>
        <w:t>79</w:t>
      </w:r>
      <w:r w:rsidR="00025B26" w:rsidRPr="00EC25B1">
        <w:rPr>
          <w:color w:val="000000"/>
          <w:sz w:val="20"/>
          <w:szCs w:val="20"/>
        </w:rPr>
        <w:t>-</w:t>
      </w:r>
      <w:r w:rsidR="00A56F4B" w:rsidRPr="00EC25B1">
        <w:rPr>
          <w:noProof/>
          <w:color w:val="000000"/>
          <w:sz w:val="20"/>
          <w:szCs w:val="20"/>
        </w:rPr>
        <w:t>82</w:t>
      </w:r>
      <w:r w:rsidR="00025B26" w:rsidRPr="00EC25B1">
        <w:rPr>
          <w:sz w:val="20"/>
          <w:szCs w:val="20"/>
        </w:rPr>
        <w:t xml:space="preserve">]. </w:t>
      </w:r>
      <w:proofErr w:type="gramStart"/>
      <w:r w:rsidR="00025B26" w:rsidRPr="00EC25B1">
        <w:rPr>
          <w:iCs/>
          <w:color w:val="000000"/>
          <w:sz w:val="20"/>
          <w:szCs w:val="20"/>
        </w:rPr>
        <w:t>ISSN 1554-0200 (print); ISSN 2375-723X (online)</w:t>
      </w:r>
      <w:r w:rsidR="00025B26" w:rsidRPr="00EC25B1">
        <w:rPr>
          <w:sz w:val="20"/>
          <w:szCs w:val="20"/>
        </w:rPr>
        <w:t>.</w:t>
      </w:r>
      <w:proofErr w:type="gramEnd"/>
      <w:r w:rsidR="00025B26" w:rsidRPr="00EC25B1">
        <w:rPr>
          <w:sz w:val="20"/>
          <w:szCs w:val="20"/>
        </w:rPr>
        <w:t xml:space="preserve"> </w:t>
      </w:r>
      <w:hyperlink r:id="rId8" w:history="1">
        <w:r w:rsidR="00025B26" w:rsidRPr="00EC25B1">
          <w:rPr>
            <w:rStyle w:val="Hyperlink"/>
            <w:sz w:val="20"/>
            <w:szCs w:val="20"/>
          </w:rPr>
          <w:t>http://www.sciencepub.net/newyork</w:t>
        </w:r>
      </w:hyperlink>
      <w:r w:rsidR="00025B26" w:rsidRPr="00EC25B1">
        <w:rPr>
          <w:sz w:val="20"/>
          <w:szCs w:val="20"/>
        </w:rPr>
        <w:t xml:space="preserve">. </w:t>
      </w:r>
      <w:r w:rsidR="00025B26" w:rsidRPr="00EC25B1">
        <w:rPr>
          <w:rFonts w:hint="eastAsia"/>
          <w:sz w:val="20"/>
          <w:szCs w:val="20"/>
          <w:lang w:eastAsia="zh-CN"/>
        </w:rPr>
        <w:t>14</w:t>
      </w:r>
      <w:r w:rsidR="00025B26" w:rsidRPr="00EC25B1">
        <w:rPr>
          <w:rFonts w:hint="eastAsia"/>
          <w:sz w:val="20"/>
          <w:szCs w:val="20"/>
        </w:rPr>
        <w:t xml:space="preserve">. </w:t>
      </w:r>
      <w:proofErr w:type="gramStart"/>
      <w:r w:rsidR="00025B26" w:rsidRPr="00EC25B1">
        <w:rPr>
          <w:color w:val="000000"/>
          <w:sz w:val="20"/>
          <w:szCs w:val="20"/>
          <w:shd w:val="clear" w:color="auto" w:fill="FFFFFF"/>
        </w:rPr>
        <w:t>doi</w:t>
      </w:r>
      <w:proofErr w:type="gramEnd"/>
      <w:r w:rsidR="00025B26" w:rsidRPr="00EC25B1">
        <w:rPr>
          <w:color w:val="000000"/>
          <w:sz w:val="20"/>
          <w:szCs w:val="20"/>
          <w:shd w:val="clear" w:color="auto" w:fill="FFFFFF"/>
        </w:rPr>
        <w:t>:</w:t>
      </w:r>
      <w:hyperlink r:id="rId9" w:history="1">
        <w:r w:rsidR="00025B26" w:rsidRPr="00EC25B1">
          <w:rPr>
            <w:rStyle w:val="Hyperlink"/>
            <w:sz w:val="20"/>
            <w:szCs w:val="20"/>
            <w:shd w:val="clear" w:color="auto" w:fill="FFFFFF"/>
          </w:rPr>
          <w:t>10.7537/mars</w:t>
        </w:r>
        <w:r w:rsidR="00025B26" w:rsidRPr="00EC25B1">
          <w:rPr>
            <w:rStyle w:val="Hyperlink"/>
            <w:rFonts w:hint="eastAsia"/>
            <w:sz w:val="20"/>
            <w:szCs w:val="20"/>
            <w:shd w:val="clear" w:color="auto" w:fill="FFFFFF"/>
          </w:rPr>
          <w:t>nys0903</w:t>
        </w:r>
        <w:r w:rsidR="00025B26" w:rsidRPr="00EC25B1">
          <w:rPr>
            <w:rStyle w:val="Hyperlink"/>
            <w:sz w:val="20"/>
            <w:szCs w:val="20"/>
            <w:shd w:val="clear" w:color="auto" w:fill="FFFFFF"/>
          </w:rPr>
          <w:t>1</w:t>
        </w:r>
        <w:r w:rsidR="00025B26" w:rsidRPr="00EC25B1">
          <w:rPr>
            <w:rStyle w:val="Hyperlink"/>
            <w:rFonts w:hint="eastAsia"/>
            <w:sz w:val="20"/>
            <w:szCs w:val="20"/>
            <w:shd w:val="clear" w:color="auto" w:fill="FFFFFF"/>
          </w:rPr>
          <w:t>6</w:t>
        </w:r>
        <w:r w:rsidR="00025B26" w:rsidRPr="00EC25B1">
          <w:rPr>
            <w:rStyle w:val="Hyperlink"/>
            <w:rFonts w:hint="eastAsia"/>
            <w:sz w:val="20"/>
            <w:szCs w:val="20"/>
            <w:shd w:val="clear" w:color="auto" w:fill="FFFFFF"/>
            <w:lang w:eastAsia="zh-CN"/>
          </w:rPr>
          <w:t>14</w:t>
        </w:r>
      </w:hyperlink>
      <w:r w:rsidR="00025B26" w:rsidRPr="00EC25B1">
        <w:rPr>
          <w:color w:val="000000"/>
          <w:sz w:val="20"/>
          <w:szCs w:val="20"/>
          <w:shd w:val="clear" w:color="auto" w:fill="FFFFFF"/>
        </w:rPr>
        <w:t>.</w:t>
      </w:r>
    </w:p>
    <w:p w:rsidR="001817C7" w:rsidRPr="00EC25B1" w:rsidRDefault="001817C7" w:rsidP="00025B26">
      <w:pPr>
        <w:autoSpaceDE w:val="0"/>
        <w:autoSpaceDN w:val="0"/>
        <w:adjustRightInd w:val="0"/>
        <w:snapToGrid w:val="0"/>
        <w:jc w:val="both"/>
        <w:rPr>
          <w:sz w:val="20"/>
          <w:szCs w:val="20"/>
        </w:rPr>
      </w:pPr>
    </w:p>
    <w:p w:rsidR="009D2EC9" w:rsidRPr="00EC25B1" w:rsidRDefault="001817C7" w:rsidP="00025B26">
      <w:pPr>
        <w:snapToGrid w:val="0"/>
        <w:jc w:val="both"/>
        <w:rPr>
          <w:rStyle w:val="highlight"/>
          <w:color w:val="000000"/>
          <w:sz w:val="20"/>
          <w:szCs w:val="20"/>
          <w:shd w:val="clear" w:color="auto" w:fill="FFFFFF"/>
        </w:rPr>
      </w:pPr>
      <w:r w:rsidRPr="00EC25B1">
        <w:rPr>
          <w:b/>
          <w:sz w:val="20"/>
          <w:szCs w:val="20"/>
        </w:rPr>
        <w:t xml:space="preserve">Keywords: </w:t>
      </w:r>
      <w:r w:rsidR="009D2EC9" w:rsidRPr="00EC25B1">
        <w:rPr>
          <w:rStyle w:val="Emphasis"/>
          <w:sz w:val="20"/>
          <w:szCs w:val="20"/>
        </w:rPr>
        <w:t>JAK2</w:t>
      </w:r>
      <w:r w:rsidR="009D2EC9" w:rsidRPr="00EC25B1">
        <w:rPr>
          <w:sz w:val="20"/>
          <w:szCs w:val="20"/>
        </w:rPr>
        <w:t>-V617F mutation</w:t>
      </w:r>
      <w:r w:rsidR="00404599" w:rsidRPr="00EC25B1">
        <w:rPr>
          <w:rStyle w:val="highlight"/>
          <w:color w:val="000000"/>
          <w:sz w:val="20"/>
          <w:szCs w:val="20"/>
          <w:shd w:val="clear" w:color="auto" w:fill="FFFFFF"/>
        </w:rPr>
        <w:t xml:space="preserve">; </w:t>
      </w:r>
      <w:r w:rsidR="009D2EC9" w:rsidRPr="00EC25B1">
        <w:rPr>
          <w:rStyle w:val="highlight"/>
          <w:color w:val="000000"/>
          <w:sz w:val="20"/>
          <w:szCs w:val="20"/>
          <w:shd w:val="clear" w:color="auto" w:fill="FFFFFF"/>
        </w:rPr>
        <w:t xml:space="preserve">Primary </w:t>
      </w:r>
      <w:proofErr w:type="spellStart"/>
      <w:r w:rsidR="009D2EC9" w:rsidRPr="00EC25B1">
        <w:rPr>
          <w:rStyle w:val="highlight"/>
          <w:color w:val="000000"/>
          <w:sz w:val="20"/>
          <w:szCs w:val="20"/>
          <w:shd w:val="clear" w:color="auto" w:fill="FFFFFF"/>
        </w:rPr>
        <w:t>myelofibrosis</w:t>
      </w:r>
      <w:proofErr w:type="spellEnd"/>
      <w:r w:rsidR="00404599" w:rsidRPr="00EC25B1">
        <w:rPr>
          <w:rStyle w:val="apple-converted-space"/>
          <w:color w:val="000000"/>
          <w:sz w:val="20"/>
          <w:szCs w:val="20"/>
          <w:shd w:val="clear" w:color="auto" w:fill="FFFFFF"/>
        </w:rPr>
        <w:t xml:space="preserve">; </w:t>
      </w:r>
      <w:proofErr w:type="spellStart"/>
      <w:proofErr w:type="gramStart"/>
      <w:r w:rsidR="009D2EC9" w:rsidRPr="00EC25B1">
        <w:rPr>
          <w:rStyle w:val="apple-converted-space"/>
          <w:color w:val="000000"/>
          <w:sz w:val="20"/>
          <w:szCs w:val="20"/>
          <w:shd w:val="clear" w:color="auto" w:fill="FFFFFF"/>
        </w:rPr>
        <w:t>Myeloproliferative</w:t>
      </w:r>
      <w:proofErr w:type="spellEnd"/>
      <w:proofErr w:type="gramEnd"/>
      <w:r w:rsidR="009D2EC9" w:rsidRPr="00EC25B1">
        <w:rPr>
          <w:rStyle w:val="A2"/>
          <w:rFonts w:cs="Times New Roman"/>
        </w:rPr>
        <w:t xml:space="preserve"> </w:t>
      </w:r>
      <w:proofErr w:type="spellStart"/>
      <w:r w:rsidR="009D2EC9" w:rsidRPr="00EC25B1">
        <w:rPr>
          <w:rStyle w:val="A2"/>
          <w:rFonts w:cs="Times New Roman"/>
          <w:b w:val="0"/>
          <w:bCs w:val="0"/>
        </w:rPr>
        <w:t>neoplasms</w:t>
      </w:r>
      <w:proofErr w:type="spellEnd"/>
      <w:r w:rsidR="00404599" w:rsidRPr="00EC25B1">
        <w:rPr>
          <w:rStyle w:val="apple-converted-space"/>
          <w:color w:val="000000"/>
          <w:sz w:val="20"/>
          <w:szCs w:val="20"/>
          <w:shd w:val="clear" w:color="auto" w:fill="FFFFFF"/>
        </w:rPr>
        <w:t xml:space="preserve">; </w:t>
      </w:r>
      <w:r w:rsidR="009D2EC9" w:rsidRPr="00EC25B1">
        <w:rPr>
          <w:rStyle w:val="apple-converted-space"/>
          <w:color w:val="000000"/>
          <w:sz w:val="20"/>
          <w:szCs w:val="20"/>
          <w:shd w:val="clear" w:color="auto" w:fill="FFFFFF"/>
        </w:rPr>
        <w:t>JAK2V617F allele burden</w:t>
      </w:r>
    </w:p>
    <w:p w:rsidR="00025B26" w:rsidRPr="00EC25B1" w:rsidRDefault="00025B26" w:rsidP="00025B26">
      <w:pPr>
        <w:snapToGrid w:val="0"/>
        <w:jc w:val="both"/>
        <w:rPr>
          <w:b/>
          <w:sz w:val="20"/>
          <w:szCs w:val="20"/>
        </w:rPr>
      </w:pPr>
    </w:p>
    <w:p w:rsidR="00025B26" w:rsidRPr="00EC25B1" w:rsidRDefault="00025B26" w:rsidP="00025B26">
      <w:pPr>
        <w:snapToGrid w:val="0"/>
        <w:jc w:val="both"/>
        <w:rPr>
          <w:b/>
          <w:sz w:val="20"/>
          <w:szCs w:val="20"/>
        </w:rPr>
        <w:sectPr w:rsidR="00025B26" w:rsidRPr="00EC25B1" w:rsidSect="00A56F4B">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79"/>
          <w:cols w:space="720"/>
          <w:docGrid w:linePitch="360"/>
        </w:sectPr>
      </w:pPr>
    </w:p>
    <w:p w:rsidR="00471E57" w:rsidRPr="00EC25B1" w:rsidRDefault="00471E57" w:rsidP="00025B26">
      <w:pPr>
        <w:snapToGrid w:val="0"/>
        <w:jc w:val="both"/>
        <w:rPr>
          <w:b/>
          <w:sz w:val="20"/>
          <w:szCs w:val="20"/>
        </w:rPr>
      </w:pPr>
      <w:r w:rsidRPr="00EC25B1">
        <w:rPr>
          <w:b/>
          <w:sz w:val="20"/>
          <w:szCs w:val="20"/>
        </w:rPr>
        <w:lastRenderedPageBreak/>
        <w:t>1. Introduction</w:t>
      </w:r>
    </w:p>
    <w:p w:rsidR="003405C6" w:rsidRPr="00EC25B1" w:rsidRDefault="00404599" w:rsidP="00025B26">
      <w:pPr>
        <w:snapToGrid w:val="0"/>
        <w:ind w:firstLine="425"/>
        <w:jc w:val="both"/>
        <w:rPr>
          <w:sz w:val="20"/>
          <w:szCs w:val="20"/>
        </w:rPr>
      </w:pPr>
      <w:r w:rsidRPr="00EC25B1">
        <w:rPr>
          <w:sz w:val="20"/>
          <w:szCs w:val="20"/>
        </w:rPr>
        <w:t xml:space="preserve">Primary </w:t>
      </w:r>
      <w:proofErr w:type="spellStart"/>
      <w:r w:rsidRPr="00EC25B1">
        <w:rPr>
          <w:sz w:val="20"/>
          <w:szCs w:val="20"/>
        </w:rPr>
        <w:t>myelofibrosis</w:t>
      </w:r>
      <w:proofErr w:type="spellEnd"/>
      <w:r w:rsidRPr="00EC25B1">
        <w:rPr>
          <w:sz w:val="20"/>
          <w:szCs w:val="20"/>
        </w:rPr>
        <w:t xml:space="preserve"> (PMF) is a </w:t>
      </w:r>
      <w:proofErr w:type="spellStart"/>
      <w:r w:rsidRPr="00EC25B1">
        <w:rPr>
          <w:sz w:val="20"/>
          <w:szCs w:val="20"/>
        </w:rPr>
        <w:t>clonal</w:t>
      </w:r>
      <w:proofErr w:type="spellEnd"/>
      <w:r w:rsidRPr="00EC25B1">
        <w:rPr>
          <w:sz w:val="20"/>
          <w:szCs w:val="20"/>
        </w:rPr>
        <w:t xml:space="preserve"> stem cell disorder characterized by chronic </w:t>
      </w:r>
      <w:proofErr w:type="spellStart"/>
      <w:r w:rsidRPr="00EC25B1">
        <w:rPr>
          <w:sz w:val="20"/>
          <w:szCs w:val="20"/>
        </w:rPr>
        <w:t>myeloproliferation</w:t>
      </w:r>
      <w:proofErr w:type="spellEnd"/>
      <w:r w:rsidRPr="00EC25B1">
        <w:rPr>
          <w:sz w:val="20"/>
          <w:szCs w:val="20"/>
        </w:rPr>
        <w:t xml:space="preserve">, atypical megakaryocytic hyperplasia, and bone marrow fibrosis. The disorder manifests clinically as anemia, </w:t>
      </w:r>
      <w:proofErr w:type="spellStart"/>
      <w:r w:rsidRPr="00EC25B1">
        <w:rPr>
          <w:sz w:val="20"/>
          <w:szCs w:val="20"/>
        </w:rPr>
        <w:t>spl</w:t>
      </w:r>
      <w:r w:rsidR="003405C6" w:rsidRPr="00EC25B1">
        <w:rPr>
          <w:sz w:val="20"/>
          <w:szCs w:val="20"/>
        </w:rPr>
        <w:t>enomegaly</w:t>
      </w:r>
      <w:proofErr w:type="spellEnd"/>
      <w:r w:rsidR="003405C6" w:rsidRPr="00EC25B1">
        <w:rPr>
          <w:sz w:val="20"/>
          <w:szCs w:val="20"/>
        </w:rPr>
        <w:t xml:space="preserve"> due to </w:t>
      </w:r>
      <w:proofErr w:type="spellStart"/>
      <w:r w:rsidR="003405C6" w:rsidRPr="00EC25B1">
        <w:rPr>
          <w:sz w:val="20"/>
          <w:szCs w:val="20"/>
        </w:rPr>
        <w:t>extramedullary</w:t>
      </w:r>
      <w:proofErr w:type="spellEnd"/>
      <w:r w:rsidR="003405C6" w:rsidRPr="00EC25B1">
        <w:rPr>
          <w:sz w:val="20"/>
          <w:szCs w:val="20"/>
        </w:rPr>
        <w:t xml:space="preserve"> </w:t>
      </w:r>
      <w:proofErr w:type="spellStart"/>
      <w:r w:rsidR="003405C6" w:rsidRPr="00EC25B1">
        <w:rPr>
          <w:sz w:val="20"/>
          <w:szCs w:val="20"/>
        </w:rPr>
        <w:t>hematopoiesis</w:t>
      </w:r>
      <w:proofErr w:type="spellEnd"/>
      <w:r w:rsidR="003405C6" w:rsidRPr="00EC25B1">
        <w:rPr>
          <w:sz w:val="20"/>
          <w:szCs w:val="20"/>
        </w:rPr>
        <w:t xml:space="preserve"> </w:t>
      </w:r>
      <w:r w:rsidRPr="00EC25B1">
        <w:rPr>
          <w:sz w:val="20"/>
          <w:szCs w:val="20"/>
        </w:rPr>
        <w:t xml:space="preserve">(EMH), </w:t>
      </w:r>
      <w:proofErr w:type="spellStart"/>
      <w:r w:rsidRPr="00EC25B1">
        <w:rPr>
          <w:sz w:val="20"/>
          <w:szCs w:val="20"/>
        </w:rPr>
        <w:t>leukoerythroblastosis</w:t>
      </w:r>
      <w:proofErr w:type="spellEnd"/>
      <w:r w:rsidRPr="00EC25B1">
        <w:rPr>
          <w:sz w:val="20"/>
          <w:szCs w:val="20"/>
        </w:rPr>
        <w:t>, and constitutional symptoms</w:t>
      </w:r>
      <w:r w:rsidRPr="00EC25B1">
        <w:rPr>
          <w:rStyle w:val="apple-converted-space"/>
          <w:color w:val="000000"/>
          <w:sz w:val="20"/>
          <w:szCs w:val="20"/>
          <w:shd w:val="clear" w:color="auto" w:fill="FFFFFF"/>
        </w:rPr>
        <w:t xml:space="preserve"> </w:t>
      </w:r>
      <w:r w:rsidR="00C20E03" w:rsidRPr="00EC25B1">
        <w:rPr>
          <w:rStyle w:val="apple-converted-space"/>
          <w:color w:val="000000"/>
          <w:sz w:val="20"/>
          <w:szCs w:val="20"/>
          <w:shd w:val="clear" w:color="auto" w:fill="FFFFFF"/>
        </w:rPr>
        <w:t>(</w:t>
      </w:r>
      <w:proofErr w:type="spellStart"/>
      <w:r w:rsidR="00C20E03" w:rsidRPr="00EC25B1">
        <w:rPr>
          <w:sz w:val="20"/>
          <w:szCs w:val="20"/>
        </w:rPr>
        <w:t>Tefferi</w:t>
      </w:r>
      <w:proofErr w:type="spellEnd"/>
      <w:r w:rsidR="00C20E03" w:rsidRPr="00EC25B1">
        <w:rPr>
          <w:rStyle w:val="apple-converted-space"/>
          <w:color w:val="000000"/>
          <w:sz w:val="20"/>
          <w:szCs w:val="20"/>
          <w:shd w:val="clear" w:color="auto" w:fill="FFFFFF"/>
        </w:rPr>
        <w:t>, 2014)</w:t>
      </w:r>
      <w:r w:rsidRPr="00EC25B1">
        <w:rPr>
          <w:rStyle w:val="apple-converted-space"/>
          <w:color w:val="000000"/>
          <w:sz w:val="20"/>
          <w:szCs w:val="20"/>
          <w:shd w:val="clear" w:color="auto" w:fill="FFFFFF"/>
        </w:rPr>
        <w:t xml:space="preserve">. Along with </w:t>
      </w:r>
      <w:proofErr w:type="spellStart"/>
      <w:r w:rsidRPr="00EC25B1">
        <w:rPr>
          <w:sz w:val="20"/>
          <w:szCs w:val="20"/>
        </w:rPr>
        <w:t>polycythemia</w:t>
      </w:r>
      <w:proofErr w:type="spellEnd"/>
      <w:r w:rsidRPr="00EC25B1">
        <w:rPr>
          <w:sz w:val="20"/>
          <w:szCs w:val="20"/>
        </w:rPr>
        <w:t xml:space="preserve"> </w:t>
      </w:r>
      <w:proofErr w:type="spellStart"/>
      <w:proofErr w:type="gramStart"/>
      <w:r w:rsidRPr="00EC25B1">
        <w:rPr>
          <w:sz w:val="20"/>
          <w:szCs w:val="20"/>
        </w:rPr>
        <w:t>vera</w:t>
      </w:r>
      <w:proofErr w:type="spellEnd"/>
      <w:proofErr w:type="gramEnd"/>
      <w:r w:rsidRPr="00EC25B1">
        <w:rPr>
          <w:sz w:val="20"/>
          <w:szCs w:val="20"/>
        </w:rPr>
        <w:t xml:space="preserve"> (PV) and essential </w:t>
      </w:r>
      <w:proofErr w:type="spellStart"/>
      <w:r w:rsidRPr="00EC25B1">
        <w:rPr>
          <w:sz w:val="20"/>
          <w:szCs w:val="20"/>
        </w:rPr>
        <w:t>thrombocythemia</w:t>
      </w:r>
      <w:proofErr w:type="spellEnd"/>
      <w:r w:rsidRPr="00EC25B1">
        <w:rPr>
          <w:sz w:val="20"/>
          <w:szCs w:val="20"/>
        </w:rPr>
        <w:t xml:space="preserve"> (ET), PMF considered as classic Philadelphia (Ph) negative MPNs </w:t>
      </w:r>
      <w:r w:rsidR="00C20E03" w:rsidRPr="00EC25B1">
        <w:rPr>
          <w:sz w:val="20"/>
          <w:szCs w:val="20"/>
        </w:rPr>
        <w:t>(Amy and Nicholas, 2013) (Dan and Cameron, 2010)</w:t>
      </w:r>
      <w:r w:rsidRPr="00EC25B1">
        <w:rPr>
          <w:sz w:val="20"/>
          <w:szCs w:val="20"/>
        </w:rPr>
        <w:t xml:space="preserve">. approximately half of the patients with PMF have been reported to have an acquired somatic mutation, results from G to T mutation involving JAK2 </w:t>
      </w:r>
      <w:proofErr w:type="spellStart"/>
      <w:r w:rsidRPr="00EC25B1">
        <w:rPr>
          <w:sz w:val="20"/>
          <w:szCs w:val="20"/>
        </w:rPr>
        <w:t>exon</w:t>
      </w:r>
      <w:proofErr w:type="spellEnd"/>
      <w:r w:rsidRPr="00EC25B1">
        <w:rPr>
          <w:sz w:val="20"/>
          <w:szCs w:val="20"/>
        </w:rPr>
        <w:t xml:space="preserve"> 14, which leads to nucleotide change at position 1849 and the substitution of </w:t>
      </w:r>
      <w:proofErr w:type="spellStart"/>
      <w:r w:rsidRPr="00EC25B1">
        <w:rPr>
          <w:sz w:val="20"/>
          <w:szCs w:val="20"/>
        </w:rPr>
        <w:t>valine</w:t>
      </w:r>
      <w:proofErr w:type="spellEnd"/>
      <w:r w:rsidRPr="00EC25B1">
        <w:rPr>
          <w:sz w:val="20"/>
          <w:szCs w:val="20"/>
        </w:rPr>
        <w:t xml:space="preserve"> to phenylalanine at </w:t>
      </w:r>
      <w:proofErr w:type="spellStart"/>
      <w:r w:rsidRPr="00EC25B1">
        <w:rPr>
          <w:sz w:val="20"/>
          <w:szCs w:val="20"/>
        </w:rPr>
        <w:t>codon</w:t>
      </w:r>
      <w:proofErr w:type="spellEnd"/>
      <w:r w:rsidRPr="00EC25B1">
        <w:rPr>
          <w:sz w:val="20"/>
          <w:szCs w:val="20"/>
        </w:rPr>
        <w:t xml:space="preserve"> 617</w:t>
      </w:r>
      <w:r w:rsidR="00C20E03" w:rsidRPr="00EC25B1">
        <w:rPr>
          <w:sz w:val="20"/>
          <w:szCs w:val="20"/>
        </w:rPr>
        <w:t xml:space="preserve"> (Baxter et al., 2005)</w:t>
      </w:r>
      <w:r w:rsidR="00EC25B1" w:rsidRPr="00EC25B1">
        <w:rPr>
          <w:rFonts w:hint="eastAsia"/>
          <w:sz w:val="20"/>
          <w:szCs w:val="20"/>
          <w:lang w:eastAsia="zh-CN"/>
        </w:rPr>
        <w:t xml:space="preserve"> </w:t>
      </w:r>
      <w:r w:rsidR="00C20E03" w:rsidRPr="00EC25B1">
        <w:rPr>
          <w:sz w:val="20"/>
          <w:szCs w:val="20"/>
        </w:rPr>
        <w:t>(</w:t>
      </w:r>
      <w:proofErr w:type="spellStart"/>
      <w:r w:rsidR="00C20E03" w:rsidRPr="00EC25B1">
        <w:rPr>
          <w:sz w:val="20"/>
          <w:szCs w:val="20"/>
        </w:rPr>
        <w:t>Kralovics</w:t>
      </w:r>
      <w:proofErr w:type="spellEnd"/>
      <w:r w:rsidR="00C20E03" w:rsidRPr="00EC25B1">
        <w:rPr>
          <w:sz w:val="20"/>
          <w:szCs w:val="20"/>
        </w:rPr>
        <w:t xml:space="preserve"> et al., 2005)</w:t>
      </w:r>
      <w:r w:rsidR="00EC25B1" w:rsidRPr="00EC25B1">
        <w:rPr>
          <w:rFonts w:hint="eastAsia"/>
          <w:sz w:val="20"/>
          <w:szCs w:val="20"/>
          <w:lang w:eastAsia="zh-CN"/>
        </w:rPr>
        <w:t xml:space="preserve"> </w:t>
      </w:r>
      <w:r w:rsidR="00C20E03" w:rsidRPr="00EC25B1">
        <w:rPr>
          <w:sz w:val="20"/>
          <w:szCs w:val="20"/>
        </w:rPr>
        <w:t>(</w:t>
      </w:r>
      <w:proofErr w:type="spellStart"/>
      <w:r w:rsidR="00C20E03" w:rsidRPr="00EC25B1">
        <w:rPr>
          <w:rFonts w:eastAsia="Times New Roman"/>
          <w:sz w:val="20"/>
          <w:szCs w:val="20"/>
        </w:rPr>
        <w:t>Shirane</w:t>
      </w:r>
      <w:proofErr w:type="spellEnd"/>
      <w:r w:rsidR="00C20E03" w:rsidRPr="00EC25B1">
        <w:rPr>
          <w:sz w:val="20"/>
          <w:szCs w:val="20"/>
        </w:rPr>
        <w:t xml:space="preserve"> et al., 2015)</w:t>
      </w:r>
      <w:r w:rsidR="003405C6" w:rsidRPr="00EC25B1">
        <w:rPr>
          <w:sz w:val="20"/>
          <w:szCs w:val="20"/>
        </w:rPr>
        <w:t>.</w:t>
      </w:r>
    </w:p>
    <w:p w:rsidR="003405C6" w:rsidRPr="00EC25B1" w:rsidRDefault="00404599" w:rsidP="00025B26">
      <w:pPr>
        <w:snapToGrid w:val="0"/>
        <w:ind w:firstLine="425"/>
        <w:jc w:val="both"/>
        <w:rPr>
          <w:sz w:val="20"/>
          <w:szCs w:val="20"/>
        </w:rPr>
      </w:pPr>
      <w:r w:rsidRPr="00EC25B1">
        <w:rPr>
          <w:sz w:val="20"/>
          <w:szCs w:val="20"/>
        </w:rPr>
        <w:t xml:space="preserve">The JAK2 is a </w:t>
      </w:r>
      <w:proofErr w:type="spellStart"/>
      <w:r w:rsidRPr="00EC25B1">
        <w:rPr>
          <w:sz w:val="20"/>
          <w:szCs w:val="20"/>
        </w:rPr>
        <w:t>cytoplasmic</w:t>
      </w:r>
      <w:proofErr w:type="spellEnd"/>
      <w:r w:rsidRPr="00EC25B1">
        <w:rPr>
          <w:sz w:val="20"/>
          <w:szCs w:val="20"/>
        </w:rPr>
        <w:t xml:space="preserve">, non receptor, tyrosine </w:t>
      </w:r>
      <w:proofErr w:type="spellStart"/>
      <w:r w:rsidRPr="00EC25B1">
        <w:rPr>
          <w:sz w:val="20"/>
          <w:szCs w:val="20"/>
        </w:rPr>
        <w:t>kinase</w:t>
      </w:r>
      <w:proofErr w:type="spellEnd"/>
      <w:r w:rsidRPr="00EC25B1">
        <w:rPr>
          <w:sz w:val="20"/>
          <w:szCs w:val="20"/>
        </w:rPr>
        <w:t xml:space="preserve"> that via its association with cytokine receptors serves as a signaling mediator for hematopoietic cyto</w:t>
      </w:r>
      <w:r w:rsidR="00ED235A" w:rsidRPr="00EC25B1">
        <w:rPr>
          <w:sz w:val="20"/>
          <w:szCs w:val="20"/>
        </w:rPr>
        <w:t>kines such as erythropoietin (</w:t>
      </w:r>
      <w:proofErr w:type="spellStart"/>
      <w:r w:rsidR="00ED235A" w:rsidRPr="00EC25B1">
        <w:rPr>
          <w:sz w:val="20"/>
          <w:szCs w:val="20"/>
        </w:rPr>
        <w:t>E</w:t>
      </w:r>
      <w:r w:rsidRPr="00EC25B1">
        <w:rPr>
          <w:sz w:val="20"/>
          <w:szCs w:val="20"/>
        </w:rPr>
        <w:t>po</w:t>
      </w:r>
      <w:proofErr w:type="spellEnd"/>
      <w:r w:rsidRPr="00EC25B1">
        <w:rPr>
          <w:sz w:val="20"/>
          <w:szCs w:val="20"/>
        </w:rPr>
        <w:t xml:space="preserve">), and </w:t>
      </w:r>
      <w:proofErr w:type="spellStart"/>
      <w:r w:rsidRPr="00EC25B1">
        <w:rPr>
          <w:sz w:val="20"/>
          <w:szCs w:val="20"/>
        </w:rPr>
        <w:t>thrombopoietin</w:t>
      </w:r>
      <w:proofErr w:type="spellEnd"/>
      <w:r w:rsidRPr="00EC25B1">
        <w:rPr>
          <w:sz w:val="20"/>
          <w:szCs w:val="20"/>
        </w:rPr>
        <w:t xml:space="preserve"> (</w:t>
      </w:r>
      <w:proofErr w:type="spellStart"/>
      <w:r w:rsidRPr="00EC25B1">
        <w:rPr>
          <w:sz w:val="20"/>
          <w:szCs w:val="20"/>
        </w:rPr>
        <w:t>Tpo</w:t>
      </w:r>
      <w:proofErr w:type="spellEnd"/>
      <w:r w:rsidRPr="00EC25B1">
        <w:rPr>
          <w:sz w:val="20"/>
          <w:szCs w:val="20"/>
        </w:rPr>
        <w:t>) to regulate</w:t>
      </w:r>
      <w:r w:rsidR="00C20E03" w:rsidRPr="00EC25B1">
        <w:rPr>
          <w:sz w:val="20"/>
          <w:szCs w:val="20"/>
        </w:rPr>
        <w:t xml:space="preserve"> cell proliferation and growth (Ross, 2012)</w:t>
      </w:r>
      <w:r w:rsidRPr="00EC25B1">
        <w:rPr>
          <w:sz w:val="20"/>
          <w:szCs w:val="20"/>
        </w:rPr>
        <w:t xml:space="preserve">. </w:t>
      </w:r>
      <w:r w:rsidR="003405C6" w:rsidRPr="00EC25B1">
        <w:rPr>
          <w:i/>
          <w:iCs/>
          <w:sz w:val="20"/>
          <w:szCs w:val="20"/>
        </w:rPr>
        <w:t>JAK2</w:t>
      </w:r>
      <w:r w:rsidR="003405C6" w:rsidRPr="00EC25B1">
        <w:rPr>
          <w:sz w:val="20"/>
          <w:szCs w:val="20"/>
        </w:rPr>
        <w:t>-</w:t>
      </w:r>
      <w:r w:rsidRPr="00EC25B1">
        <w:rPr>
          <w:sz w:val="20"/>
          <w:szCs w:val="20"/>
        </w:rPr>
        <w:t xml:space="preserve">V617F mutation affects the </w:t>
      </w:r>
      <w:proofErr w:type="spellStart"/>
      <w:r w:rsidRPr="00EC25B1">
        <w:rPr>
          <w:sz w:val="20"/>
          <w:szCs w:val="20"/>
        </w:rPr>
        <w:t>noncatalytic</w:t>
      </w:r>
      <w:proofErr w:type="spellEnd"/>
      <w:r w:rsidRPr="00EC25B1">
        <w:rPr>
          <w:sz w:val="20"/>
          <w:szCs w:val="20"/>
        </w:rPr>
        <w:t xml:space="preserve"> ‘pseudo-</w:t>
      </w:r>
      <w:proofErr w:type="spellStart"/>
      <w:r w:rsidRPr="00EC25B1">
        <w:rPr>
          <w:sz w:val="20"/>
          <w:szCs w:val="20"/>
        </w:rPr>
        <w:t>kinase</w:t>
      </w:r>
      <w:proofErr w:type="spellEnd"/>
      <w:r w:rsidRPr="00EC25B1">
        <w:rPr>
          <w:sz w:val="20"/>
          <w:szCs w:val="20"/>
        </w:rPr>
        <w:t xml:space="preserve">’ domain (JH2) of JAK2 and disrupts its </w:t>
      </w:r>
      <w:proofErr w:type="spellStart"/>
      <w:r w:rsidRPr="00EC25B1">
        <w:rPr>
          <w:sz w:val="20"/>
          <w:szCs w:val="20"/>
        </w:rPr>
        <w:t>autoinhibitory</w:t>
      </w:r>
      <w:proofErr w:type="spellEnd"/>
      <w:r w:rsidRPr="00EC25B1">
        <w:rPr>
          <w:sz w:val="20"/>
          <w:szCs w:val="20"/>
        </w:rPr>
        <w:t xml:space="preserve"> function, </w:t>
      </w:r>
      <w:r w:rsidRPr="00EC25B1">
        <w:rPr>
          <w:sz w:val="20"/>
          <w:szCs w:val="20"/>
        </w:rPr>
        <w:lastRenderedPageBreak/>
        <w:t>resulting in constitutive activation of JAK2- mediated signaling pathways, leading to growth factor independent autonomous proliferati</w:t>
      </w:r>
      <w:r w:rsidR="00E75A1F" w:rsidRPr="00EC25B1">
        <w:rPr>
          <w:sz w:val="20"/>
          <w:szCs w:val="20"/>
        </w:rPr>
        <w:t xml:space="preserve">on of hematopoietic precursors </w:t>
      </w:r>
      <w:r w:rsidR="00C20E03" w:rsidRPr="00EC25B1">
        <w:rPr>
          <w:sz w:val="20"/>
          <w:szCs w:val="20"/>
        </w:rPr>
        <w:t>(Ross, 2012)</w:t>
      </w:r>
      <w:r w:rsidR="00E75A1F" w:rsidRPr="00EC25B1">
        <w:rPr>
          <w:sz w:val="20"/>
          <w:szCs w:val="20"/>
        </w:rPr>
        <w:t xml:space="preserve"> </w:t>
      </w:r>
      <w:r w:rsidR="00C20E03" w:rsidRPr="00EC25B1">
        <w:rPr>
          <w:sz w:val="20"/>
          <w:szCs w:val="20"/>
        </w:rPr>
        <w:t>(James et al 2005)</w:t>
      </w:r>
      <w:r w:rsidRPr="00EC25B1">
        <w:rPr>
          <w:sz w:val="20"/>
          <w:szCs w:val="20"/>
        </w:rPr>
        <w:t>.</w:t>
      </w:r>
    </w:p>
    <w:p w:rsidR="00EB51F4" w:rsidRPr="00EC25B1" w:rsidRDefault="00404599" w:rsidP="00025B26">
      <w:pPr>
        <w:snapToGrid w:val="0"/>
        <w:ind w:firstLine="425"/>
        <w:jc w:val="both"/>
        <w:rPr>
          <w:sz w:val="20"/>
          <w:szCs w:val="20"/>
        </w:rPr>
      </w:pPr>
      <w:r w:rsidRPr="00EC25B1">
        <w:rPr>
          <w:sz w:val="20"/>
          <w:szCs w:val="20"/>
        </w:rPr>
        <w:t>Correlation of</w:t>
      </w:r>
      <w:r w:rsidRPr="00EC25B1">
        <w:rPr>
          <w:i/>
          <w:iCs/>
          <w:sz w:val="20"/>
          <w:szCs w:val="20"/>
        </w:rPr>
        <w:t xml:space="preserve"> JAK2</w:t>
      </w:r>
      <w:r w:rsidRPr="00EC25B1">
        <w:rPr>
          <w:sz w:val="20"/>
          <w:szCs w:val="20"/>
        </w:rPr>
        <w:t xml:space="preserve">-V617F mutation with clinical and hematological characteristic in MPNs haves demonstrated in several studies and reported variable results. In this current study we aimed to determine the relationship between JAK2 V617F mutational statuses, JAK2 V617F allele burden with </w:t>
      </w:r>
      <w:proofErr w:type="spellStart"/>
      <w:r w:rsidRPr="00EC25B1">
        <w:rPr>
          <w:sz w:val="20"/>
          <w:szCs w:val="20"/>
        </w:rPr>
        <w:t>clinicohematologic</w:t>
      </w:r>
      <w:proofErr w:type="spellEnd"/>
      <w:r w:rsidRPr="00EC25B1">
        <w:rPr>
          <w:sz w:val="20"/>
          <w:szCs w:val="20"/>
        </w:rPr>
        <w:t xml:space="preserve"> characteristics</w:t>
      </w:r>
      <w:r w:rsidRPr="00EC25B1">
        <w:rPr>
          <w:rStyle w:val="highlight"/>
          <w:color w:val="000000"/>
          <w:sz w:val="20"/>
          <w:szCs w:val="20"/>
          <w:shd w:val="clear" w:color="auto" w:fill="FFFFFF"/>
        </w:rPr>
        <w:t xml:space="preserve"> in Sudanese patients with</w:t>
      </w:r>
      <w:r w:rsidRPr="00EC25B1">
        <w:rPr>
          <w:sz w:val="20"/>
          <w:szCs w:val="20"/>
        </w:rPr>
        <w:t xml:space="preserve"> PMF.</w:t>
      </w:r>
    </w:p>
    <w:p w:rsidR="00404599" w:rsidRPr="00EC25B1" w:rsidRDefault="00404599" w:rsidP="00025B26">
      <w:pPr>
        <w:snapToGrid w:val="0"/>
        <w:jc w:val="both"/>
        <w:rPr>
          <w:sz w:val="20"/>
          <w:szCs w:val="20"/>
        </w:rPr>
      </w:pPr>
    </w:p>
    <w:p w:rsidR="00471E57" w:rsidRPr="00EC25B1" w:rsidRDefault="00471E57" w:rsidP="00025B26">
      <w:pPr>
        <w:snapToGrid w:val="0"/>
        <w:jc w:val="both"/>
        <w:rPr>
          <w:b/>
          <w:sz w:val="20"/>
          <w:szCs w:val="20"/>
        </w:rPr>
      </w:pPr>
      <w:r w:rsidRPr="00EC25B1">
        <w:rPr>
          <w:b/>
          <w:sz w:val="20"/>
          <w:szCs w:val="20"/>
        </w:rPr>
        <w:t>2. Material and Methods</w:t>
      </w:r>
    </w:p>
    <w:p w:rsidR="003405C6" w:rsidRPr="00EC25B1" w:rsidRDefault="003405C6" w:rsidP="00025B26">
      <w:pPr>
        <w:autoSpaceDE w:val="0"/>
        <w:autoSpaceDN w:val="0"/>
        <w:adjustRightInd w:val="0"/>
        <w:snapToGrid w:val="0"/>
        <w:jc w:val="both"/>
        <w:rPr>
          <w:color w:val="000000"/>
          <w:sz w:val="20"/>
          <w:szCs w:val="20"/>
        </w:rPr>
      </w:pPr>
      <w:r w:rsidRPr="00EC25B1">
        <w:rPr>
          <w:b/>
          <w:bCs/>
          <w:sz w:val="20"/>
          <w:szCs w:val="20"/>
        </w:rPr>
        <w:t xml:space="preserve">Study population (patients): </w:t>
      </w:r>
      <w:r w:rsidRPr="00EC25B1">
        <w:rPr>
          <w:color w:val="000000"/>
          <w:sz w:val="20"/>
          <w:szCs w:val="20"/>
        </w:rPr>
        <w:t xml:space="preserve">This cross sectional study, extended from 2013 to 2015. </w:t>
      </w:r>
      <w:r w:rsidRPr="00EC25B1">
        <w:rPr>
          <w:sz w:val="20"/>
          <w:szCs w:val="20"/>
        </w:rPr>
        <w:t xml:space="preserve">Forty-five </w:t>
      </w:r>
      <w:r w:rsidRPr="00EC25B1">
        <w:rPr>
          <w:color w:val="000000"/>
          <w:sz w:val="20"/>
          <w:szCs w:val="20"/>
        </w:rPr>
        <w:t xml:space="preserve">patients diagnosed to have PMF according to the World Health Organization (WHO) criteria </w:t>
      </w:r>
      <w:r w:rsidR="00E75A1F" w:rsidRPr="00EC25B1">
        <w:rPr>
          <w:color w:val="000000"/>
          <w:sz w:val="20"/>
          <w:szCs w:val="20"/>
        </w:rPr>
        <w:t>(</w:t>
      </w:r>
      <w:r w:rsidR="00E75A1F" w:rsidRPr="00EC25B1">
        <w:rPr>
          <w:sz w:val="20"/>
          <w:szCs w:val="20"/>
        </w:rPr>
        <w:t>James</w:t>
      </w:r>
      <w:r w:rsidR="00E75A1F" w:rsidRPr="00EC25B1">
        <w:rPr>
          <w:color w:val="000000"/>
          <w:sz w:val="20"/>
          <w:szCs w:val="20"/>
        </w:rPr>
        <w:t xml:space="preserve"> et al, 2009)</w:t>
      </w:r>
      <w:r w:rsidRPr="00EC25B1">
        <w:rPr>
          <w:color w:val="000000"/>
          <w:sz w:val="20"/>
          <w:szCs w:val="20"/>
        </w:rPr>
        <w:t xml:space="preserve"> were enrolled.</w:t>
      </w:r>
      <w:r w:rsidRPr="00EC25B1">
        <w:rPr>
          <w:sz w:val="20"/>
          <w:szCs w:val="20"/>
        </w:rPr>
        <w:t xml:space="preserve"> Hematologic data obtained from patient's records.</w:t>
      </w:r>
    </w:p>
    <w:p w:rsidR="003405C6" w:rsidRPr="00EC25B1" w:rsidRDefault="003405C6" w:rsidP="00025B26">
      <w:pPr>
        <w:snapToGrid w:val="0"/>
        <w:jc w:val="both"/>
        <w:rPr>
          <w:b/>
          <w:bCs/>
          <w:sz w:val="20"/>
          <w:szCs w:val="20"/>
        </w:rPr>
      </w:pPr>
      <w:r w:rsidRPr="00EC25B1">
        <w:rPr>
          <w:b/>
          <w:bCs/>
          <w:sz w:val="20"/>
          <w:szCs w:val="20"/>
        </w:rPr>
        <w:t xml:space="preserve">Blood sampling and DNA extraction: </w:t>
      </w:r>
      <w:r w:rsidRPr="00EC25B1">
        <w:rPr>
          <w:rFonts w:eastAsia="Times New Roman"/>
          <w:sz w:val="20"/>
          <w:szCs w:val="20"/>
        </w:rPr>
        <w:t xml:space="preserve">5 ml of </w:t>
      </w:r>
      <w:r w:rsidRPr="00EC25B1">
        <w:rPr>
          <w:sz w:val="20"/>
          <w:szCs w:val="20"/>
        </w:rPr>
        <w:t xml:space="preserve">peripheral blood from each subject was collected in EDTA K3 tube. Genomic </w:t>
      </w:r>
      <w:r w:rsidRPr="00EC25B1">
        <w:rPr>
          <w:rFonts w:eastAsia="Times New Roman"/>
          <w:sz w:val="20"/>
          <w:szCs w:val="20"/>
        </w:rPr>
        <w:t xml:space="preserve">DNA </w:t>
      </w:r>
      <w:r w:rsidRPr="00EC25B1">
        <w:rPr>
          <w:sz w:val="20"/>
          <w:szCs w:val="20"/>
        </w:rPr>
        <w:t>extraction</w:t>
      </w:r>
      <w:r w:rsidRPr="00EC25B1">
        <w:rPr>
          <w:rFonts w:eastAsia="Times New Roman"/>
          <w:sz w:val="20"/>
          <w:szCs w:val="20"/>
        </w:rPr>
        <w:t xml:space="preserve"> from peripheral blood leukocytes was carried out following the protocol of </w:t>
      </w:r>
      <w:proofErr w:type="spellStart"/>
      <w:r w:rsidRPr="00EC25B1">
        <w:rPr>
          <w:rFonts w:eastAsia="Times New Roman"/>
          <w:sz w:val="20"/>
          <w:szCs w:val="20"/>
        </w:rPr>
        <w:t>innuPREP</w:t>
      </w:r>
      <w:proofErr w:type="spellEnd"/>
      <w:r w:rsidRPr="00EC25B1">
        <w:rPr>
          <w:rFonts w:eastAsia="Times New Roman"/>
          <w:sz w:val="20"/>
          <w:szCs w:val="20"/>
        </w:rPr>
        <w:t xml:space="preserve"> kit (</w:t>
      </w:r>
      <w:proofErr w:type="spellStart"/>
      <w:r w:rsidRPr="00EC25B1">
        <w:rPr>
          <w:rFonts w:eastAsia="Times New Roman"/>
          <w:sz w:val="20"/>
          <w:szCs w:val="20"/>
        </w:rPr>
        <w:t>Analytik</w:t>
      </w:r>
      <w:proofErr w:type="spellEnd"/>
      <w:r w:rsidRPr="00EC25B1">
        <w:rPr>
          <w:rFonts w:eastAsia="Times New Roman"/>
          <w:sz w:val="20"/>
          <w:szCs w:val="20"/>
        </w:rPr>
        <w:t xml:space="preserve"> Jena/Germany).</w:t>
      </w:r>
    </w:p>
    <w:p w:rsidR="003405C6" w:rsidRPr="00EC25B1" w:rsidRDefault="003405C6" w:rsidP="00025B26">
      <w:pPr>
        <w:autoSpaceDE w:val="0"/>
        <w:autoSpaceDN w:val="0"/>
        <w:adjustRightInd w:val="0"/>
        <w:snapToGrid w:val="0"/>
        <w:jc w:val="both"/>
        <w:rPr>
          <w:sz w:val="20"/>
          <w:szCs w:val="20"/>
        </w:rPr>
      </w:pPr>
      <w:r w:rsidRPr="00EC25B1">
        <w:rPr>
          <w:b/>
          <w:bCs/>
          <w:sz w:val="20"/>
          <w:szCs w:val="20"/>
        </w:rPr>
        <w:lastRenderedPageBreak/>
        <w:t xml:space="preserve">Analysis of the </w:t>
      </w:r>
      <w:r w:rsidRPr="00EC25B1">
        <w:rPr>
          <w:rStyle w:val="Emphasis"/>
          <w:b/>
          <w:bCs/>
          <w:sz w:val="20"/>
          <w:szCs w:val="20"/>
        </w:rPr>
        <w:t>JAK2</w:t>
      </w:r>
      <w:r w:rsidRPr="00EC25B1">
        <w:rPr>
          <w:b/>
          <w:bCs/>
          <w:sz w:val="20"/>
          <w:szCs w:val="20"/>
        </w:rPr>
        <w:t xml:space="preserve"> V617F mutation</w:t>
      </w:r>
      <w:r w:rsidRPr="00EC25B1">
        <w:rPr>
          <w:sz w:val="20"/>
          <w:szCs w:val="20"/>
        </w:rPr>
        <w:t>: The presence of JAK2-V617F mutation was assessed in 45 patients with PMF by</w:t>
      </w:r>
      <w:r w:rsidRPr="00EC25B1">
        <w:rPr>
          <w:rFonts w:eastAsia="Times New Roman"/>
          <w:sz w:val="20"/>
          <w:szCs w:val="20"/>
        </w:rPr>
        <w:t xml:space="preserve"> Allele specific PCR.</w:t>
      </w:r>
      <w:r w:rsidRPr="00EC25B1">
        <w:rPr>
          <w:sz w:val="20"/>
          <w:szCs w:val="20"/>
        </w:rPr>
        <w:t xml:space="preserve"> Amplifications were done in a total volume of 25 </w:t>
      </w:r>
      <w:proofErr w:type="spellStart"/>
      <w:r w:rsidRPr="00EC25B1">
        <w:rPr>
          <w:sz w:val="20"/>
          <w:szCs w:val="20"/>
        </w:rPr>
        <w:t>μL</w:t>
      </w:r>
      <w:proofErr w:type="spellEnd"/>
      <w:r w:rsidRPr="00EC25B1">
        <w:rPr>
          <w:sz w:val="20"/>
          <w:szCs w:val="20"/>
        </w:rPr>
        <w:t xml:space="preserve"> PCR mix containing 12.5 </w:t>
      </w:r>
      <w:proofErr w:type="spellStart"/>
      <w:r w:rsidRPr="00EC25B1">
        <w:rPr>
          <w:sz w:val="20"/>
          <w:szCs w:val="20"/>
        </w:rPr>
        <w:t>μL</w:t>
      </w:r>
      <w:proofErr w:type="spellEnd"/>
      <w:r w:rsidRPr="00EC25B1">
        <w:rPr>
          <w:sz w:val="20"/>
          <w:szCs w:val="20"/>
        </w:rPr>
        <w:t xml:space="preserve"> of </w:t>
      </w:r>
      <w:proofErr w:type="spellStart"/>
      <w:r w:rsidRPr="00EC25B1">
        <w:rPr>
          <w:sz w:val="20"/>
          <w:szCs w:val="20"/>
        </w:rPr>
        <w:t>TaqMan</w:t>
      </w:r>
      <w:proofErr w:type="spellEnd"/>
      <w:r w:rsidRPr="00EC25B1">
        <w:rPr>
          <w:sz w:val="20"/>
          <w:szCs w:val="20"/>
        </w:rPr>
        <w:t xml:space="preserve"> Universal Master Mix, 5 </w:t>
      </w:r>
      <w:proofErr w:type="spellStart"/>
      <w:r w:rsidRPr="00EC25B1">
        <w:rPr>
          <w:sz w:val="20"/>
          <w:szCs w:val="20"/>
        </w:rPr>
        <w:t>μL</w:t>
      </w:r>
      <w:proofErr w:type="spellEnd"/>
      <w:r w:rsidRPr="00EC25B1">
        <w:rPr>
          <w:sz w:val="20"/>
          <w:szCs w:val="20"/>
        </w:rPr>
        <w:t xml:space="preserve"> of nuclease-free PCR grade water, 2.5 </w:t>
      </w:r>
      <w:proofErr w:type="spellStart"/>
      <w:r w:rsidRPr="00EC25B1">
        <w:rPr>
          <w:sz w:val="20"/>
          <w:szCs w:val="20"/>
        </w:rPr>
        <w:t>μL</w:t>
      </w:r>
      <w:proofErr w:type="spellEnd"/>
      <w:r w:rsidRPr="00EC25B1">
        <w:rPr>
          <w:sz w:val="20"/>
          <w:szCs w:val="20"/>
        </w:rPr>
        <w:t xml:space="preserve"> of primers and probes mix and 50 </w:t>
      </w:r>
      <w:proofErr w:type="spellStart"/>
      <w:r w:rsidRPr="00EC25B1">
        <w:rPr>
          <w:sz w:val="20"/>
          <w:szCs w:val="20"/>
        </w:rPr>
        <w:t>ng</w:t>
      </w:r>
      <w:proofErr w:type="spellEnd"/>
      <w:r w:rsidRPr="00EC25B1">
        <w:rPr>
          <w:sz w:val="20"/>
          <w:szCs w:val="20"/>
        </w:rPr>
        <w:t>/</w:t>
      </w:r>
      <w:proofErr w:type="spellStart"/>
      <w:r w:rsidRPr="00EC25B1">
        <w:rPr>
          <w:sz w:val="20"/>
          <w:szCs w:val="20"/>
        </w:rPr>
        <w:t>μL</w:t>
      </w:r>
      <w:proofErr w:type="spellEnd"/>
      <w:r w:rsidRPr="00EC25B1">
        <w:rPr>
          <w:sz w:val="20"/>
          <w:szCs w:val="20"/>
        </w:rPr>
        <w:t xml:space="preserve"> of DNA template. PCR conditions used were </w:t>
      </w:r>
      <w:proofErr w:type="spellStart"/>
      <w:r w:rsidRPr="00EC25B1">
        <w:rPr>
          <w:sz w:val="20"/>
          <w:szCs w:val="20"/>
        </w:rPr>
        <w:t>denaturation</w:t>
      </w:r>
      <w:proofErr w:type="spellEnd"/>
      <w:r w:rsidRPr="00EC25B1">
        <w:rPr>
          <w:sz w:val="20"/>
          <w:szCs w:val="20"/>
        </w:rPr>
        <w:t xml:space="preserve"> at 95℃ for 1 min, annealing at 58℃ for 40 s, and extension at 72℃ for 45 s. Products were </w:t>
      </w:r>
      <w:proofErr w:type="spellStart"/>
      <w:r w:rsidRPr="00EC25B1">
        <w:rPr>
          <w:sz w:val="20"/>
          <w:szCs w:val="20"/>
        </w:rPr>
        <w:t>electrophoresed</w:t>
      </w:r>
      <w:proofErr w:type="spellEnd"/>
      <w:r w:rsidRPr="00EC25B1">
        <w:rPr>
          <w:sz w:val="20"/>
          <w:szCs w:val="20"/>
        </w:rPr>
        <w:t xml:space="preserve"> on </w:t>
      </w:r>
      <w:proofErr w:type="spellStart"/>
      <w:r w:rsidRPr="00EC25B1">
        <w:rPr>
          <w:sz w:val="20"/>
          <w:szCs w:val="20"/>
        </w:rPr>
        <w:t>agarose</w:t>
      </w:r>
      <w:proofErr w:type="spellEnd"/>
      <w:r w:rsidRPr="00EC25B1">
        <w:rPr>
          <w:sz w:val="20"/>
          <w:szCs w:val="20"/>
        </w:rPr>
        <w:t xml:space="preserve"> gels and visualized using </w:t>
      </w:r>
      <w:proofErr w:type="spellStart"/>
      <w:r w:rsidRPr="00EC25B1">
        <w:rPr>
          <w:sz w:val="20"/>
          <w:szCs w:val="20"/>
        </w:rPr>
        <w:t>ethidium</w:t>
      </w:r>
      <w:proofErr w:type="spellEnd"/>
      <w:r w:rsidRPr="00EC25B1">
        <w:rPr>
          <w:sz w:val="20"/>
          <w:szCs w:val="20"/>
        </w:rPr>
        <w:t xml:space="preserve"> bromide staining. 23 PMF patients positive for </w:t>
      </w:r>
      <w:r w:rsidRPr="00EC25B1">
        <w:rPr>
          <w:rStyle w:val="Emphasis"/>
          <w:sz w:val="20"/>
          <w:szCs w:val="20"/>
        </w:rPr>
        <w:t>JAK2</w:t>
      </w:r>
      <w:r w:rsidRPr="00EC25B1">
        <w:rPr>
          <w:sz w:val="20"/>
          <w:szCs w:val="20"/>
        </w:rPr>
        <w:t>-V617F mutation were analyzed for</w:t>
      </w:r>
      <w:r w:rsidRPr="00EC25B1">
        <w:rPr>
          <w:rStyle w:val="Emphasis"/>
          <w:sz w:val="20"/>
          <w:szCs w:val="20"/>
        </w:rPr>
        <w:t xml:space="preserve"> JAK2</w:t>
      </w:r>
      <w:r w:rsidRPr="00EC25B1">
        <w:rPr>
          <w:sz w:val="20"/>
          <w:szCs w:val="20"/>
        </w:rPr>
        <w:t xml:space="preserve">-V617F mutational load by using </w:t>
      </w:r>
      <w:r w:rsidRPr="00EC25B1">
        <w:rPr>
          <w:rStyle w:val="Emphasis"/>
          <w:sz w:val="20"/>
          <w:szCs w:val="20"/>
        </w:rPr>
        <w:t>JAK2</w:t>
      </w:r>
      <w:r w:rsidRPr="00EC25B1">
        <w:rPr>
          <w:sz w:val="20"/>
          <w:szCs w:val="20"/>
        </w:rPr>
        <w:t xml:space="preserve"> </w:t>
      </w:r>
      <w:proofErr w:type="spellStart"/>
      <w:r w:rsidRPr="00EC25B1">
        <w:rPr>
          <w:sz w:val="20"/>
          <w:szCs w:val="20"/>
        </w:rPr>
        <w:t>Muta</w:t>
      </w:r>
      <w:r w:rsidRPr="00EC25B1">
        <w:rPr>
          <w:rStyle w:val="Emphasis"/>
          <w:sz w:val="20"/>
          <w:szCs w:val="20"/>
        </w:rPr>
        <w:t>Quant</w:t>
      </w:r>
      <w:proofErr w:type="spellEnd"/>
      <w:r w:rsidRPr="00EC25B1">
        <w:rPr>
          <w:sz w:val="20"/>
          <w:szCs w:val="20"/>
        </w:rPr>
        <w:t>™ (</w:t>
      </w:r>
      <w:proofErr w:type="spellStart"/>
      <w:r w:rsidRPr="00EC25B1">
        <w:rPr>
          <w:sz w:val="20"/>
          <w:szCs w:val="20"/>
        </w:rPr>
        <w:t>Ipsogen</w:t>
      </w:r>
      <w:proofErr w:type="spellEnd"/>
      <w:r w:rsidRPr="00EC25B1">
        <w:rPr>
          <w:sz w:val="20"/>
          <w:szCs w:val="20"/>
        </w:rPr>
        <w:t xml:space="preserve"> Inc., New Haven, CT). </w:t>
      </w:r>
      <w:proofErr w:type="spellStart"/>
      <w:r w:rsidRPr="00EC25B1">
        <w:rPr>
          <w:sz w:val="20"/>
          <w:szCs w:val="20"/>
        </w:rPr>
        <w:t>qPCR</w:t>
      </w:r>
      <w:proofErr w:type="spellEnd"/>
      <w:r w:rsidRPr="00EC25B1">
        <w:rPr>
          <w:sz w:val="20"/>
          <w:szCs w:val="20"/>
        </w:rPr>
        <w:t xml:space="preserve"> reactions were performed in a final volume of 25 </w:t>
      </w:r>
      <w:proofErr w:type="spellStart"/>
      <w:r w:rsidRPr="00EC25B1">
        <w:rPr>
          <w:sz w:val="20"/>
          <w:szCs w:val="20"/>
        </w:rPr>
        <w:t>μl</w:t>
      </w:r>
      <w:proofErr w:type="spellEnd"/>
      <w:r w:rsidRPr="00EC25B1">
        <w:rPr>
          <w:sz w:val="20"/>
          <w:szCs w:val="20"/>
        </w:rPr>
        <w:t xml:space="preserve"> mix which containing 12.5 µL of </w:t>
      </w:r>
      <w:proofErr w:type="spellStart"/>
      <w:r w:rsidRPr="00EC25B1">
        <w:rPr>
          <w:sz w:val="20"/>
          <w:szCs w:val="20"/>
        </w:rPr>
        <w:t>TaqMan</w:t>
      </w:r>
      <w:proofErr w:type="spellEnd"/>
      <w:r w:rsidRPr="00EC25B1">
        <w:rPr>
          <w:sz w:val="20"/>
          <w:szCs w:val="20"/>
        </w:rPr>
        <w:t xml:space="preserve"> Universal PCR master mix, 1 µL of IPSOGEN PPM- VF or wild type primers and probe mix, and 6.5 µL of nuclease-free water, and 5 µL genomic DNA was used per well. The RQ-PCR conditions used were as follows: 50℃ for 2 min, heating at 95℃ for 10 min, and 50 cycles of 95℃ for 15 s and 63℃ for 90 s. The RQ-PCR was performed using a Rotor-Gene Q 5plex HRM instruments. Standard curves for both V617F and wild type were constructed using either a V617F or a wild-type plasmid of known value, provided by the manufacturer. The equation was calculated for each curve, and these equations were used to calculate the copy number of V617F and wild-type alleles in unknown samples. The allele burden of </w:t>
      </w:r>
      <w:r w:rsidRPr="00EC25B1">
        <w:rPr>
          <w:rStyle w:val="Emphasis"/>
          <w:sz w:val="20"/>
          <w:szCs w:val="20"/>
        </w:rPr>
        <w:t>JAK2</w:t>
      </w:r>
      <w:r w:rsidRPr="00EC25B1">
        <w:rPr>
          <w:sz w:val="20"/>
          <w:szCs w:val="20"/>
        </w:rPr>
        <w:t xml:space="preserve"> V617F is expressed as the percentage of V617F copies </w:t>
      </w:r>
      <w:r w:rsidRPr="00EC25B1">
        <w:rPr>
          <w:sz w:val="20"/>
          <w:szCs w:val="20"/>
        </w:rPr>
        <w:lastRenderedPageBreak/>
        <w:t>compared with the sum of V617F and wild-type copies.</w:t>
      </w:r>
    </w:p>
    <w:p w:rsidR="00493EC1" w:rsidRPr="00EC25B1" w:rsidRDefault="00493EC1" w:rsidP="00025B26">
      <w:pPr>
        <w:autoSpaceDE w:val="0"/>
        <w:autoSpaceDN w:val="0"/>
        <w:adjustRightInd w:val="0"/>
        <w:snapToGrid w:val="0"/>
        <w:jc w:val="both"/>
        <w:rPr>
          <w:sz w:val="20"/>
          <w:szCs w:val="20"/>
        </w:rPr>
      </w:pPr>
      <w:r w:rsidRPr="00EC25B1">
        <w:rPr>
          <w:b/>
          <w:bCs/>
          <w:sz w:val="20"/>
          <w:szCs w:val="20"/>
        </w:rPr>
        <w:t>Statistical analysis</w:t>
      </w:r>
      <w:r w:rsidRPr="00EC25B1">
        <w:rPr>
          <w:sz w:val="20"/>
          <w:szCs w:val="20"/>
        </w:rPr>
        <w:t>: Statistical analyses were performed using the SPSS version 11.2</w:t>
      </w:r>
    </w:p>
    <w:p w:rsidR="00C44596" w:rsidRPr="00EC25B1" w:rsidRDefault="00C44596" w:rsidP="00025B26">
      <w:pPr>
        <w:snapToGrid w:val="0"/>
        <w:jc w:val="both"/>
        <w:rPr>
          <w:sz w:val="20"/>
          <w:szCs w:val="20"/>
        </w:rPr>
      </w:pPr>
    </w:p>
    <w:p w:rsidR="00471E57" w:rsidRPr="00EC25B1" w:rsidRDefault="00471E57" w:rsidP="00025B26">
      <w:pPr>
        <w:snapToGrid w:val="0"/>
        <w:jc w:val="both"/>
        <w:rPr>
          <w:b/>
          <w:sz w:val="20"/>
          <w:szCs w:val="20"/>
        </w:rPr>
      </w:pPr>
      <w:r w:rsidRPr="00EC25B1">
        <w:rPr>
          <w:b/>
          <w:sz w:val="20"/>
          <w:szCs w:val="20"/>
        </w:rPr>
        <w:t>3. Results</w:t>
      </w:r>
    </w:p>
    <w:p w:rsidR="00493EC1" w:rsidRPr="00EC25B1" w:rsidRDefault="00493EC1" w:rsidP="00025B26">
      <w:pPr>
        <w:pStyle w:val="NoSpacing"/>
        <w:bidi w:val="0"/>
        <w:snapToGrid w:val="0"/>
        <w:ind w:firstLine="425"/>
        <w:jc w:val="both"/>
        <w:rPr>
          <w:rFonts w:ascii="Times New Roman" w:hAnsi="Times New Roman" w:cs="Times New Roman"/>
          <w:sz w:val="20"/>
          <w:szCs w:val="20"/>
        </w:rPr>
      </w:pPr>
      <w:r w:rsidRPr="00EC25B1">
        <w:rPr>
          <w:rFonts w:ascii="Times New Roman" w:hAnsi="Times New Roman" w:cs="Times New Roman"/>
          <w:sz w:val="20"/>
          <w:szCs w:val="20"/>
        </w:rPr>
        <w:t>Forty-five PMF patients were enrolled in this study. At diagnosis the mean age was 57.00 years, mean hemoglobin 9.89 g/</w:t>
      </w:r>
      <w:proofErr w:type="spellStart"/>
      <w:r w:rsidRPr="00EC25B1">
        <w:rPr>
          <w:rFonts w:ascii="Times New Roman" w:hAnsi="Times New Roman" w:cs="Times New Roman"/>
          <w:sz w:val="20"/>
          <w:szCs w:val="20"/>
        </w:rPr>
        <w:t>dL</w:t>
      </w:r>
      <w:proofErr w:type="spellEnd"/>
      <w:r w:rsidRPr="00EC25B1">
        <w:rPr>
          <w:rFonts w:ascii="Times New Roman" w:hAnsi="Times New Roman" w:cs="Times New Roman"/>
          <w:sz w:val="20"/>
          <w:szCs w:val="20"/>
        </w:rPr>
        <w:t>, RBC 4.01×10</w:t>
      </w:r>
      <w:r w:rsidRPr="00EC25B1">
        <w:rPr>
          <w:rFonts w:ascii="Times New Roman" w:hAnsi="Times New Roman" w:cs="Times New Roman"/>
          <w:sz w:val="20"/>
          <w:szCs w:val="20"/>
          <w:vertAlign w:val="superscript"/>
        </w:rPr>
        <w:t>9</w:t>
      </w:r>
      <w:r w:rsidRPr="00EC25B1">
        <w:rPr>
          <w:rFonts w:ascii="Times New Roman" w:hAnsi="Times New Roman" w:cs="Times New Roman"/>
          <w:sz w:val="20"/>
          <w:szCs w:val="20"/>
        </w:rPr>
        <w:t>/L, WBC12.05×10</w:t>
      </w:r>
      <w:r w:rsidRPr="00EC25B1">
        <w:rPr>
          <w:rFonts w:ascii="Times New Roman" w:hAnsi="Times New Roman" w:cs="Times New Roman"/>
          <w:sz w:val="20"/>
          <w:szCs w:val="20"/>
          <w:vertAlign w:val="superscript"/>
        </w:rPr>
        <w:t>9</w:t>
      </w:r>
      <w:r w:rsidRPr="00EC25B1">
        <w:rPr>
          <w:rFonts w:ascii="Times New Roman" w:hAnsi="Times New Roman" w:cs="Times New Roman"/>
          <w:sz w:val="20"/>
          <w:szCs w:val="20"/>
        </w:rPr>
        <w:t>/L and mean platelets count was 242.20×10</w:t>
      </w:r>
      <w:r w:rsidRPr="00EC25B1">
        <w:rPr>
          <w:rFonts w:ascii="Times New Roman" w:hAnsi="Times New Roman" w:cs="Times New Roman"/>
          <w:sz w:val="20"/>
          <w:szCs w:val="20"/>
          <w:vertAlign w:val="superscript"/>
        </w:rPr>
        <w:t>9</w:t>
      </w:r>
      <w:r w:rsidRPr="00EC25B1">
        <w:rPr>
          <w:rFonts w:ascii="Times New Roman" w:hAnsi="Times New Roman" w:cs="Times New Roman"/>
          <w:sz w:val="20"/>
          <w:szCs w:val="20"/>
        </w:rPr>
        <w:t>/L.</w:t>
      </w:r>
    </w:p>
    <w:p w:rsidR="00493EC1" w:rsidRPr="00EC25B1" w:rsidRDefault="00493EC1" w:rsidP="00025B26">
      <w:pPr>
        <w:pStyle w:val="NoSpacing"/>
        <w:bidi w:val="0"/>
        <w:snapToGrid w:val="0"/>
        <w:ind w:firstLine="425"/>
        <w:jc w:val="both"/>
        <w:rPr>
          <w:rFonts w:ascii="Times New Roman" w:hAnsi="Times New Roman" w:cs="Times New Roman"/>
          <w:sz w:val="20"/>
          <w:szCs w:val="20"/>
        </w:rPr>
      </w:pPr>
      <w:r w:rsidRPr="00EC25B1">
        <w:rPr>
          <w:rFonts w:ascii="Times New Roman" w:hAnsi="Times New Roman" w:cs="Times New Roman"/>
          <w:sz w:val="20"/>
          <w:szCs w:val="20"/>
        </w:rPr>
        <w:t xml:space="preserve">Out of all patients, 23(51.1%) patient were JAK2V617F-positive, while 22(48.9%) were wild-type. The median allele burden of </w:t>
      </w:r>
      <w:r w:rsidRPr="00EC25B1">
        <w:rPr>
          <w:rStyle w:val="Emphasis"/>
          <w:rFonts w:ascii="Times New Roman" w:hAnsi="Times New Roman" w:cs="Times New Roman"/>
          <w:sz w:val="20"/>
          <w:szCs w:val="20"/>
        </w:rPr>
        <w:t>JAK2</w:t>
      </w:r>
      <w:r w:rsidRPr="00EC25B1">
        <w:rPr>
          <w:rFonts w:ascii="Times New Roman" w:hAnsi="Times New Roman" w:cs="Times New Roman"/>
          <w:sz w:val="20"/>
          <w:szCs w:val="20"/>
        </w:rPr>
        <w:t xml:space="preserve">-V617F for positive patients was 69.3%. Patients divided into homozygous (had allele burden exceeded 50%) and heterozygous in which mutational load equal or less than 50%. Of 23 patients who were positive for </w:t>
      </w:r>
      <w:r w:rsidRPr="00EC25B1">
        <w:rPr>
          <w:rStyle w:val="Emphasis"/>
          <w:rFonts w:ascii="Times New Roman" w:hAnsi="Times New Roman" w:cs="Times New Roman"/>
          <w:sz w:val="20"/>
          <w:szCs w:val="20"/>
        </w:rPr>
        <w:t>JAK2</w:t>
      </w:r>
      <w:r w:rsidRPr="00EC25B1">
        <w:rPr>
          <w:rFonts w:ascii="Times New Roman" w:hAnsi="Times New Roman" w:cs="Times New Roman"/>
          <w:sz w:val="20"/>
          <w:szCs w:val="20"/>
        </w:rPr>
        <w:t>-V617F mutation, 14 patients were homozygous 60.9% correspond 31.1% of whole patients.</w:t>
      </w:r>
    </w:p>
    <w:p w:rsidR="00493EC1" w:rsidRPr="00EC25B1" w:rsidRDefault="00493EC1" w:rsidP="00025B26">
      <w:pPr>
        <w:pStyle w:val="NoSpacing"/>
        <w:bidi w:val="0"/>
        <w:snapToGrid w:val="0"/>
        <w:ind w:firstLine="425"/>
        <w:jc w:val="both"/>
        <w:rPr>
          <w:rFonts w:ascii="Times New Roman" w:hAnsi="Times New Roman" w:cs="Times New Roman"/>
          <w:sz w:val="20"/>
          <w:szCs w:val="20"/>
        </w:rPr>
      </w:pPr>
      <w:r w:rsidRPr="00EC25B1">
        <w:rPr>
          <w:rFonts w:ascii="Times New Roman" w:hAnsi="Times New Roman" w:cs="Times New Roman"/>
          <w:sz w:val="20"/>
          <w:szCs w:val="20"/>
        </w:rPr>
        <w:t xml:space="preserve">The presence of </w:t>
      </w:r>
      <w:r w:rsidRPr="00EC25B1">
        <w:rPr>
          <w:rStyle w:val="Emphasis"/>
          <w:rFonts w:ascii="Times New Roman" w:hAnsi="Times New Roman" w:cs="Times New Roman"/>
          <w:sz w:val="20"/>
          <w:szCs w:val="20"/>
        </w:rPr>
        <w:t>JAK2</w:t>
      </w:r>
      <w:r w:rsidRPr="00EC25B1">
        <w:rPr>
          <w:rFonts w:ascii="Times New Roman" w:hAnsi="Times New Roman" w:cs="Times New Roman"/>
          <w:sz w:val="20"/>
          <w:szCs w:val="20"/>
        </w:rPr>
        <w:t xml:space="preserve">-V617F mutation significantly associated with high </w:t>
      </w:r>
      <w:proofErr w:type="spellStart"/>
      <w:r w:rsidRPr="00EC25B1">
        <w:rPr>
          <w:rFonts w:ascii="Times New Roman" w:hAnsi="Times New Roman" w:cs="Times New Roman"/>
          <w:sz w:val="20"/>
          <w:szCs w:val="20"/>
        </w:rPr>
        <w:t>Hb</w:t>
      </w:r>
      <w:proofErr w:type="spellEnd"/>
      <w:r w:rsidRPr="00EC25B1">
        <w:rPr>
          <w:rFonts w:ascii="Times New Roman" w:hAnsi="Times New Roman" w:cs="Times New Roman"/>
          <w:sz w:val="20"/>
          <w:szCs w:val="20"/>
        </w:rPr>
        <w:t xml:space="preserve"> (P=.039) and </w:t>
      </w:r>
      <w:proofErr w:type="spellStart"/>
      <w:r w:rsidRPr="00EC25B1">
        <w:rPr>
          <w:rFonts w:ascii="Times New Roman" w:hAnsi="Times New Roman" w:cs="Times New Roman"/>
          <w:sz w:val="20"/>
          <w:szCs w:val="20"/>
        </w:rPr>
        <w:t>Hct</w:t>
      </w:r>
      <w:proofErr w:type="spellEnd"/>
      <w:r w:rsidRPr="00EC25B1">
        <w:rPr>
          <w:rFonts w:ascii="Times New Roman" w:hAnsi="Times New Roman" w:cs="Times New Roman"/>
          <w:sz w:val="20"/>
          <w:szCs w:val="20"/>
        </w:rPr>
        <w:t xml:space="preserve"> (P=.04).</w:t>
      </w:r>
      <w:r w:rsidR="00EC25B1">
        <w:rPr>
          <w:rFonts w:ascii="Times New Roman" w:hAnsi="Times New Roman" w:cs="Times New Roman"/>
          <w:sz w:val="20"/>
          <w:szCs w:val="20"/>
        </w:rPr>
        <w:t xml:space="preserve"> </w:t>
      </w:r>
      <w:r w:rsidRPr="00EC25B1">
        <w:rPr>
          <w:rFonts w:ascii="Times New Roman" w:hAnsi="Times New Roman" w:cs="Times New Roman"/>
          <w:sz w:val="20"/>
          <w:szCs w:val="20"/>
        </w:rPr>
        <w:t>There were no significant differences in median age at presentation, total leukocyte count or erythrocyte count between JAK2V617F-positive and JAK2V617F-negative PMF patients (Table 1).</w:t>
      </w:r>
    </w:p>
    <w:p w:rsidR="00493EC1" w:rsidRPr="00EC25B1" w:rsidRDefault="00493EC1" w:rsidP="00025B26">
      <w:pPr>
        <w:pStyle w:val="NoSpacing"/>
        <w:bidi w:val="0"/>
        <w:snapToGrid w:val="0"/>
        <w:ind w:firstLine="425"/>
        <w:jc w:val="both"/>
        <w:rPr>
          <w:rFonts w:ascii="Times New Roman" w:eastAsiaTheme="minorEastAsia" w:hAnsi="Times New Roman" w:cs="Times New Roman" w:hint="eastAsia"/>
          <w:sz w:val="20"/>
          <w:szCs w:val="20"/>
          <w:lang w:eastAsia="zh-CN"/>
        </w:rPr>
      </w:pPr>
      <w:r w:rsidRPr="00EC25B1">
        <w:rPr>
          <w:rFonts w:ascii="Times New Roman" w:hAnsi="Times New Roman" w:cs="Times New Roman"/>
          <w:sz w:val="20"/>
          <w:szCs w:val="20"/>
        </w:rPr>
        <w:t xml:space="preserve">Homozygous patients had lowest platelets count compare with heterozygous </w:t>
      </w:r>
      <w:r w:rsidRPr="00EC25B1">
        <w:rPr>
          <w:rStyle w:val="Emphasis"/>
          <w:rFonts w:ascii="Times New Roman" w:hAnsi="Times New Roman" w:cs="Times New Roman"/>
          <w:sz w:val="20"/>
          <w:szCs w:val="20"/>
        </w:rPr>
        <w:t>PMF patients</w:t>
      </w:r>
      <w:r w:rsidRPr="00EC25B1">
        <w:rPr>
          <w:rFonts w:ascii="Times New Roman" w:hAnsi="Times New Roman" w:cs="Times New Roman"/>
          <w:sz w:val="20"/>
          <w:szCs w:val="20"/>
        </w:rPr>
        <w:t xml:space="preserve"> (</w:t>
      </w:r>
      <w:r w:rsidRPr="00EC25B1">
        <w:rPr>
          <w:rStyle w:val="Emphasis"/>
          <w:rFonts w:ascii="Times New Roman" w:hAnsi="Times New Roman" w:cs="Times New Roman"/>
          <w:sz w:val="20"/>
          <w:szCs w:val="20"/>
        </w:rPr>
        <w:t>P = .015)</w:t>
      </w:r>
      <w:r w:rsidRPr="00EC25B1">
        <w:rPr>
          <w:rFonts w:ascii="Times New Roman" w:hAnsi="Times New Roman" w:cs="Times New Roman"/>
          <w:sz w:val="20"/>
          <w:szCs w:val="20"/>
        </w:rPr>
        <w:t xml:space="preserve">. There were no significant differences in mean age, WBC or </w:t>
      </w:r>
      <w:proofErr w:type="spellStart"/>
      <w:r w:rsidRPr="00EC25B1">
        <w:rPr>
          <w:rFonts w:ascii="Times New Roman" w:hAnsi="Times New Roman" w:cs="Times New Roman"/>
          <w:sz w:val="20"/>
          <w:szCs w:val="20"/>
        </w:rPr>
        <w:t>Hb</w:t>
      </w:r>
      <w:proofErr w:type="spellEnd"/>
      <w:r w:rsidRPr="00EC25B1">
        <w:rPr>
          <w:rFonts w:ascii="Times New Roman" w:hAnsi="Times New Roman" w:cs="Times New Roman"/>
          <w:sz w:val="20"/>
          <w:szCs w:val="20"/>
        </w:rPr>
        <w:t xml:space="preserve"> between Homozygous and heterozygous </w:t>
      </w:r>
      <w:r w:rsidRPr="00EC25B1">
        <w:rPr>
          <w:rStyle w:val="Emphasis"/>
          <w:rFonts w:ascii="Times New Roman" w:hAnsi="Times New Roman" w:cs="Times New Roman"/>
          <w:sz w:val="20"/>
          <w:szCs w:val="20"/>
        </w:rPr>
        <w:t>PMF patients (Table 2</w:t>
      </w:r>
      <w:r w:rsidRPr="00EC25B1">
        <w:rPr>
          <w:rFonts w:ascii="Times New Roman" w:hAnsi="Times New Roman" w:cs="Times New Roman"/>
          <w:sz w:val="20"/>
          <w:szCs w:val="20"/>
        </w:rPr>
        <w:t>)</w:t>
      </w:r>
      <w:r w:rsidR="00EC25B1" w:rsidRPr="00EC25B1">
        <w:rPr>
          <w:rFonts w:ascii="Times New Roman" w:eastAsiaTheme="minorEastAsia" w:hAnsi="Times New Roman" w:cs="Times New Roman" w:hint="eastAsia"/>
          <w:sz w:val="20"/>
          <w:szCs w:val="20"/>
          <w:lang w:eastAsia="zh-CN"/>
        </w:rPr>
        <w:t>.</w:t>
      </w:r>
    </w:p>
    <w:p w:rsidR="00025B26" w:rsidRPr="00EC25B1" w:rsidRDefault="00025B26" w:rsidP="00025B26">
      <w:pPr>
        <w:snapToGrid w:val="0"/>
        <w:ind w:firstLine="425"/>
        <w:jc w:val="both"/>
        <w:rPr>
          <w:sz w:val="20"/>
          <w:szCs w:val="20"/>
        </w:rPr>
        <w:sectPr w:rsidR="00025B26" w:rsidRPr="00EC25B1" w:rsidSect="00835C53">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576"/>
          <w:docGrid w:linePitch="360"/>
        </w:sectPr>
      </w:pPr>
    </w:p>
    <w:p w:rsidR="008233D0" w:rsidRPr="00EC25B1" w:rsidRDefault="008233D0" w:rsidP="00025B26">
      <w:pPr>
        <w:snapToGrid w:val="0"/>
        <w:jc w:val="center"/>
        <w:rPr>
          <w:sz w:val="20"/>
          <w:szCs w:val="20"/>
          <w:lang w:eastAsia="zh-CN"/>
        </w:rPr>
      </w:pPr>
    </w:p>
    <w:p w:rsidR="00493EC1" w:rsidRPr="00EC25B1" w:rsidRDefault="00835D53" w:rsidP="00025B26">
      <w:pPr>
        <w:snapToGrid w:val="0"/>
        <w:jc w:val="both"/>
        <w:rPr>
          <w:sz w:val="20"/>
          <w:szCs w:val="20"/>
        </w:rPr>
      </w:pPr>
      <w:proofErr w:type="gramStart"/>
      <w:r w:rsidRPr="00EC25B1">
        <w:rPr>
          <w:sz w:val="20"/>
          <w:szCs w:val="20"/>
        </w:rPr>
        <w:t xml:space="preserve">Table </w:t>
      </w:r>
      <w:r w:rsidR="00493EC1" w:rsidRPr="00EC25B1">
        <w:rPr>
          <w:sz w:val="20"/>
          <w:szCs w:val="20"/>
        </w:rPr>
        <w:t>1</w:t>
      </w:r>
      <w:r w:rsidRPr="00EC25B1">
        <w:rPr>
          <w:sz w:val="20"/>
          <w:szCs w:val="20"/>
        </w:rPr>
        <w:t>.</w:t>
      </w:r>
      <w:proofErr w:type="gramEnd"/>
      <w:r w:rsidRPr="00EC25B1">
        <w:rPr>
          <w:sz w:val="20"/>
          <w:szCs w:val="20"/>
        </w:rPr>
        <w:t xml:space="preserve"> Hematologic characteristics associated with the JAK2 V617F mutation status in PMF patients. P</w:t>
      </w:r>
      <w:r w:rsidRPr="00EC25B1">
        <w:rPr>
          <w:sz w:val="20"/>
          <w:szCs w:val="20"/>
          <w:vertAlign w:val="superscript"/>
        </w:rPr>
        <w:t>*</w:t>
      </w:r>
      <w:r w:rsidRPr="00EC25B1">
        <w:rPr>
          <w:sz w:val="20"/>
          <w:szCs w:val="20"/>
        </w:rPr>
        <w:t>, significant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5"/>
        <w:gridCol w:w="1689"/>
        <w:gridCol w:w="2151"/>
        <w:gridCol w:w="1756"/>
        <w:gridCol w:w="755"/>
      </w:tblGrid>
      <w:tr w:rsidR="00493EC1" w:rsidRPr="00EC25B1" w:rsidTr="00EC25B1">
        <w:trPr>
          <w:jc w:val="center"/>
        </w:trPr>
        <w:tc>
          <w:tcPr>
            <w:tcW w:w="1684" w:type="pct"/>
          </w:tcPr>
          <w:p w:rsidR="00493EC1" w:rsidRPr="00EC25B1" w:rsidRDefault="00493EC1" w:rsidP="00025B26">
            <w:pPr>
              <w:snapToGrid w:val="0"/>
              <w:jc w:val="both"/>
              <w:rPr>
                <w:b/>
                <w:bCs/>
                <w:color w:val="000000"/>
                <w:sz w:val="20"/>
                <w:szCs w:val="20"/>
              </w:rPr>
            </w:pPr>
            <w:r w:rsidRPr="00EC25B1">
              <w:rPr>
                <w:color w:val="000000"/>
                <w:sz w:val="20"/>
                <w:szCs w:val="20"/>
              </w:rPr>
              <w:t>Characteristics</w:t>
            </w:r>
          </w:p>
        </w:tc>
        <w:tc>
          <w:tcPr>
            <w:tcW w:w="882" w:type="pct"/>
          </w:tcPr>
          <w:p w:rsidR="00493EC1" w:rsidRPr="00EC25B1" w:rsidRDefault="00493EC1" w:rsidP="00025B26">
            <w:pPr>
              <w:snapToGrid w:val="0"/>
              <w:jc w:val="both"/>
              <w:rPr>
                <w:b/>
                <w:bCs/>
                <w:color w:val="000000"/>
                <w:sz w:val="20"/>
                <w:szCs w:val="20"/>
              </w:rPr>
            </w:pPr>
            <w:r w:rsidRPr="00EC25B1">
              <w:rPr>
                <w:color w:val="000000"/>
                <w:sz w:val="20"/>
                <w:szCs w:val="20"/>
              </w:rPr>
              <w:t>Total</w:t>
            </w:r>
          </w:p>
        </w:tc>
        <w:tc>
          <w:tcPr>
            <w:tcW w:w="1123" w:type="pct"/>
          </w:tcPr>
          <w:p w:rsidR="00493EC1" w:rsidRPr="00EC25B1" w:rsidRDefault="00493EC1" w:rsidP="00025B26">
            <w:pPr>
              <w:snapToGrid w:val="0"/>
              <w:jc w:val="both"/>
              <w:rPr>
                <w:b/>
                <w:bCs/>
                <w:color w:val="000000"/>
                <w:sz w:val="20"/>
                <w:szCs w:val="20"/>
              </w:rPr>
            </w:pPr>
            <w:r w:rsidRPr="00EC25B1">
              <w:rPr>
                <w:color w:val="000000"/>
                <w:sz w:val="20"/>
                <w:szCs w:val="20"/>
              </w:rPr>
              <w:t>JAK2 Wild-type</w:t>
            </w:r>
          </w:p>
        </w:tc>
        <w:tc>
          <w:tcPr>
            <w:tcW w:w="917" w:type="pct"/>
          </w:tcPr>
          <w:p w:rsidR="00493EC1" w:rsidRPr="00EC25B1" w:rsidRDefault="00493EC1" w:rsidP="00025B26">
            <w:pPr>
              <w:snapToGrid w:val="0"/>
              <w:jc w:val="both"/>
              <w:rPr>
                <w:b/>
                <w:bCs/>
                <w:color w:val="000000"/>
                <w:sz w:val="20"/>
                <w:szCs w:val="20"/>
              </w:rPr>
            </w:pPr>
            <w:r w:rsidRPr="00EC25B1">
              <w:rPr>
                <w:color w:val="000000"/>
                <w:sz w:val="20"/>
                <w:szCs w:val="20"/>
              </w:rPr>
              <w:t>JAK2- V617F</w:t>
            </w:r>
          </w:p>
        </w:tc>
        <w:tc>
          <w:tcPr>
            <w:tcW w:w="394" w:type="pct"/>
          </w:tcPr>
          <w:p w:rsidR="00493EC1" w:rsidRPr="00EC25B1" w:rsidRDefault="00493EC1" w:rsidP="00025B26">
            <w:pPr>
              <w:snapToGrid w:val="0"/>
              <w:jc w:val="both"/>
              <w:rPr>
                <w:b/>
                <w:bCs/>
                <w:color w:val="000000"/>
                <w:sz w:val="20"/>
                <w:szCs w:val="20"/>
              </w:rPr>
            </w:pPr>
            <w:r w:rsidRPr="00EC25B1">
              <w:rPr>
                <w:color w:val="000000"/>
                <w:sz w:val="20"/>
                <w:szCs w:val="20"/>
              </w:rPr>
              <w:t>P</w:t>
            </w:r>
          </w:p>
        </w:tc>
      </w:tr>
      <w:tr w:rsidR="00493EC1" w:rsidRPr="00EC25B1" w:rsidTr="00EC25B1">
        <w:trPr>
          <w:jc w:val="center"/>
        </w:trPr>
        <w:tc>
          <w:tcPr>
            <w:tcW w:w="1684" w:type="pct"/>
          </w:tcPr>
          <w:p w:rsidR="00493EC1" w:rsidRPr="00EC25B1" w:rsidRDefault="00493EC1" w:rsidP="00025B26">
            <w:pPr>
              <w:snapToGrid w:val="0"/>
              <w:jc w:val="both"/>
              <w:rPr>
                <w:color w:val="000000"/>
                <w:sz w:val="20"/>
                <w:szCs w:val="20"/>
              </w:rPr>
            </w:pPr>
            <w:r w:rsidRPr="00EC25B1">
              <w:rPr>
                <w:color w:val="000000"/>
                <w:sz w:val="20"/>
                <w:szCs w:val="20"/>
              </w:rPr>
              <w:t>No of patients</w:t>
            </w:r>
          </w:p>
        </w:tc>
        <w:tc>
          <w:tcPr>
            <w:tcW w:w="882" w:type="pct"/>
          </w:tcPr>
          <w:p w:rsidR="00493EC1" w:rsidRPr="00EC25B1" w:rsidRDefault="00493EC1" w:rsidP="00025B26">
            <w:pPr>
              <w:snapToGrid w:val="0"/>
              <w:jc w:val="both"/>
              <w:rPr>
                <w:color w:val="000000"/>
                <w:sz w:val="20"/>
                <w:szCs w:val="20"/>
              </w:rPr>
            </w:pPr>
            <w:r w:rsidRPr="00EC25B1">
              <w:rPr>
                <w:color w:val="000000"/>
                <w:sz w:val="20"/>
                <w:szCs w:val="20"/>
              </w:rPr>
              <w:t>45</w:t>
            </w:r>
          </w:p>
        </w:tc>
        <w:tc>
          <w:tcPr>
            <w:tcW w:w="1123" w:type="pct"/>
          </w:tcPr>
          <w:p w:rsidR="00493EC1" w:rsidRPr="00EC25B1" w:rsidRDefault="00493EC1" w:rsidP="00025B26">
            <w:pPr>
              <w:snapToGrid w:val="0"/>
              <w:jc w:val="both"/>
              <w:rPr>
                <w:color w:val="000000"/>
                <w:sz w:val="20"/>
                <w:szCs w:val="20"/>
              </w:rPr>
            </w:pPr>
            <w:r w:rsidRPr="00EC25B1">
              <w:rPr>
                <w:color w:val="000000"/>
                <w:sz w:val="20"/>
                <w:szCs w:val="20"/>
              </w:rPr>
              <w:t>22(48.9%)</w:t>
            </w:r>
          </w:p>
        </w:tc>
        <w:tc>
          <w:tcPr>
            <w:tcW w:w="917" w:type="pct"/>
          </w:tcPr>
          <w:p w:rsidR="00493EC1" w:rsidRPr="00EC25B1" w:rsidRDefault="00493EC1" w:rsidP="00025B26">
            <w:pPr>
              <w:snapToGrid w:val="0"/>
              <w:jc w:val="both"/>
              <w:rPr>
                <w:color w:val="000000"/>
                <w:sz w:val="20"/>
                <w:szCs w:val="20"/>
              </w:rPr>
            </w:pPr>
            <w:r w:rsidRPr="00EC25B1">
              <w:rPr>
                <w:color w:val="000000"/>
                <w:sz w:val="20"/>
                <w:szCs w:val="20"/>
              </w:rPr>
              <w:t>23(51.1%)</w:t>
            </w:r>
          </w:p>
        </w:tc>
        <w:tc>
          <w:tcPr>
            <w:tcW w:w="394" w:type="pct"/>
          </w:tcPr>
          <w:p w:rsidR="00493EC1" w:rsidRPr="00EC25B1" w:rsidRDefault="00493EC1" w:rsidP="00025B26">
            <w:pPr>
              <w:snapToGrid w:val="0"/>
              <w:jc w:val="both"/>
              <w:rPr>
                <w:color w:val="000000"/>
                <w:sz w:val="20"/>
                <w:szCs w:val="20"/>
              </w:rPr>
            </w:pPr>
          </w:p>
        </w:tc>
      </w:tr>
      <w:tr w:rsidR="00493EC1" w:rsidRPr="00EC25B1" w:rsidTr="00EC25B1">
        <w:trPr>
          <w:jc w:val="center"/>
        </w:trPr>
        <w:tc>
          <w:tcPr>
            <w:tcW w:w="1684" w:type="pct"/>
          </w:tcPr>
          <w:p w:rsidR="00493EC1" w:rsidRPr="00EC25B1" w:rsidRDefault="00493EC1" w:rsidP="00025B26">
            <w:pPr>
              <w:snapToGrid w:val="0"/>
              <w:jc w:val="both"/>
              <w:rPr>
                <w:color w:val="000000"/>
                <w:sz w:val="20"/>
                <w:szCs w:val="20"/>
              </w:rPr>
            </w:pPr>
            <w:r w:rsidRPr="00EC25B1">
              <w:rPr>
                <w:color w:val="000000"/>
                <w:sz w:val="20"/>
                <w:szCs w:val="20"/>
              </w:rPr>
              <w:t xml:space="preserve">Age at diagnosis (yr, </w:t>
            </w:r>
            <w:proofErr w:type="spellStart"/>
            <w:r w:rsidRPr="00EC25B1">
              <w:rPr>
                <w:color w:val="000000"/>
                <w:sz w:val="20"/>
                <w:szCs w:val="20"/>
              </w:rPr>
              <w:t>mean±SD</w:t>
            </w:r>
            <w:proofErr w:type="spellEnd"/>
            <w:r w:rsidRPr="00EC25B1">
              <w:rPr>
                <w:color w:val="000000"/>
                <w:sz w:val="20"/>
                <w:szCs w:val="20"/>
              </w:rPr>
              <w:t>)</w:t>
            </w:r>
          </w:p>
        </w:tc>
        <w:tc>
          <w:tcPr>
            <w:tcW w:w="882" w:type="pct"/>
          </w:tcPr>
          <w:p w:rsidR="00493EC1" w:rsidRPr="00EC25B1" w:rsidRDefault="00493EC1" w:rsidP="00025B26">
            <w:pPr>
              <w:snapToGrid w:val="0"/>
              <w:jc w:val="both"/>
              <w:rPr>
                <w:color w:val="000000"/>
                <w:sz w:val="20"/>
                <w:szCs w:val="20"/>
              </w:rPr>
            </w:pPr>
            <w:r w:rsidRPr="00EC25B1">
              <w:rPr>
                <w:color w:val="000000"/>
                <w:sz w:val="20"/>
                <w:szCs w:val="20"/>
              </w:rPr>
              <w:t>57.00±16.64</w:t>
            </w:r>
          </w:p>
        </w:tc>
        <w:tc>
          <w:tcPr>
            <w:tcW w:w="1123" w:type="pct"/>
          </w:tcPr>
          <w:p w:rsidR="00493EC1" w:rsidRPr="00EC25B1" w:rsidRDefault="00493EC1" w:rsidP="00025B26">
            <w:pPr>
              <w:snapToGrid w:val="0"/>
              <w:jc w:val="both"/>
              <w:rPr>
                <w:color w:val="000000"/>
                <w:sz w:val="20"/>
                <w:szCs w:val="20"/>
              </w:rPr>
            </w:pPr>
            <w:r w:rsidRPr="00EC25B1">
              <w:rPr>
                <w:color w:val="000000"/>
                <w:sz w:val="20"/>
                <w:szCs w:val="20"/>
              </w:rPr>
              <w:t>54.31±16.55</w:t>
            </w:r>
          </w:p>
        </w:tc>
        <w:tc>
          <w:tcPr>
            <w:tcW w:w="917" w:type="pct"/>
          </w:tcPr>
          <w:p w:rsidR="00493EC1" w:rsidRPr="00EC25B1" w:rsidRDefault="00493EC1" w:rsidP="00025B26">
            <w:pPr>
              <w:snapToGrid w:val="0"/>
              <w:jc w:val="both"/>
              <w:rPr>
                <w:color w:val="000000"/>
                <w:sz w:val="20"/>
                <w:szCs w:val="20"/>
              </w:rPr>
            </w:pPr>
            <w:r w:rsidRPr="00EC25B1">
              <w:rPr>
                <w:color w:val="000000"/>
                <w:sz w:val="20"/>
                <w:szCs w:val="20"/>
              </w:rPr>
              <w:t>59.56±16.68</w:t>
            </w:r>
          </w:p>
        </w:tc>
        <w:tc>
          <w:tcPr>
            <w:tcW w:w="394" w:type="pct"/>
          </w:tcPr>
          <w:p w:rsidR="00493EC1" w:rsidRPr="00EC25B1" w:rsidRDefault="00493EC1" w:rsidP="00025B26">
            <w:pPr>
              <w:snapToGrid w:val="0"/>
              <w:jc w:val="both"/>
              <w:rPr>
                <w:color w:val="000000"/>
                <w:sz w:val="20"/>
                <w:szCs w:val="20"/>
              </w:rPr>
            </w:pPr>
            <w:r w:rsidRPr="00EC25B1">
              <w:rPr>
                <w:color w:val="000000"/>
                <w:sz w:val="20"/>
                <w:szCs w:val="20"/>
              </w:rPr>
              <w:t>.296</w:t>
            </w:r>
          </w:p>
        </w:tc>
      </w:tr>
      <w:tr w:rsidR="00493EC1" w:rsidRPr="00EC25B1" w:rsidTr="00EC25B1">
        <w:trPr>
          <w:jc w:val="center"/>
        </w:trPr>
        <w:tc>
          <w:tcPr>
            <w:tcW w:w="1684" w:type="pct"/>
          </w:tcPr>
          <w:p w:rsidR="00493EC1" w:rsidRPr="00EC25B1" w:rsidRDefault="00493EC1" w:rsidP="00025B26">
            <w:pPr>
              <w:snapToGrid w:val="0"/>
              <w:jc w:val="both"/>
              <w:rPr>
                <w:color w:val="000000"/>
                <w:sz w:val="20"/>
                <w:szCs w:val="20"/>
              </w:rPr>
            </w:pPr>
            <w:r w:rsidRPr="00EC25B1">
              <w:rPr>
                <w:color w:val="000000"/>
                <w:sz w:val="20"/>
                <w:szCs w:val="20"/>
              </w:rPr>
              <w:t>WBC (×10</w:t>
            </w:r>
            <w:r w:rsidRPr="00EC25B1">
              <w:rPr>
                <w:color w:val="000000"/>
                <w:sz w:val="20"/>
                <w:szCs w:val="20"/>
                <w:vertAlign w:val="superscript"/>
              </w:rPr>
              <w:t>9</w:t>
            </w:r>
            <w:r w:rsidRPr="00EC25B1">
              <w:rPr>
                <w:color w:val="000000"/>
                <w:sz w:val="20"/>
                <w:szCs w:val="20"/>
              </w:rPr>
              <w:t xml:space="preserve">/L, </w:t>
            </w:r>
            <w:proofErr w:type="spellStart"/>
            <w:r w:rsidRPr="00EC25B1">
              <w:rPr>
                <w:color w:val="000000"/>
                <w:sz w:val="20"/>
                <w:szCs w:val="20"/>
              </w:rPr>
              <w:t>mean±SD</w:t>
            </w:r>
            <w:proofErr w:type="spellEnd"/>
            <w:r w:rsidRPr="00EC25B1">
              <w:rPr>
                <w:color w:val="000000"/>
                <w:sz w:val="20"/>
                <w:szCs w:val="20"/>
              </w:rPr>
              <w:t>)</w:t>
            </w:r>
          </w:p>
        </w:tc>
        <w:tc>
          <w:tcPr>
            <w:tcW w:w="882" w:type="pct"/>
          </w:tcPr>
          <w:p w:rsidR="00493EC1" w:rsidRPr="00EC25B1" w:rsidRDefault="00493EC1" w:rsidP="00025B26">
            <w:pPr>
              <w:snapToGrid w:val="0"/>
              <w:jc w:val="both"/>
              <w:rPr>
                <w:color w:val="000000"/>
                <w:sz w:val="20"/>
                <w:szCs w:val="20"/>
              </w:rPr>
            </w:pPr>
            <w:r w:rsidRPr="00EC25B1">
              <w:rPr>
                <w:color w:val="000000"/>
                <w:sz w:val="20"/>
                <w:szCs w:val="20"/>
              </w:rPr>
              <w:t>12.05±10.78</w:t>
            </w:r>
          </w:p>
        </w:tc>
        <w:tc>
          <w:tcPr>
            <w:tcW w:w="1123" w:type="pct"/>
          </w:tcPr>
          <w:p w:rsidR="00493EC1" w:rsidRPr="00EC25B1" w:rsidRDefault="00493EC1" w:rsidP="00025B26">
            <w:pPr>
              <w:snapToGrid w:val="0"/>
              <w:jc w:val="both"/>
              <w:rPr>
                <w:color w:val="000000"/>
                <w:sz w:val="20"/>
                <w:szCs w:val="20"/>
              </w:rPr>
            </w:pPr>
            <w:r w:rsidRPr="00EC25B1">
              <w:rPr>
                <w:color w:val="000000"/>
                <w:sz w:val="20"/>
                <w:szCs w:val="20"/>
              </w:rPr>
              <w:t>11.20±10.30</w:t>
            </w:r>
          </w:p>
        </w:tc>
        <w:tc>
          <w:tcPr>
            <w:tcW w:w="917" w:type="pct"/>
          </w:tcPr>
          <w:p w:rsidR="00493EC1" w:rsidRPr="00EC25B1" w:rsidRDefault="00493EC1" w:rsidP="00025B26">
            <w:pPr>
              <w:snapToGrid w:val="0"/>
              <w:jc w:val="both"/>
              <w:rPr>
                <w:color w:val="000000"/>
                <w:sz w:val="20"/>
                <w:szCs w:val="20"/>
              </w:rPr>
            </w:pPr>
            <w:r w:rsidRPr="00EC25B1">
              <w:rPr>
                <w:color w:val="000000"/>
                <w:sz w:val="20"/>
                <w:szCs w:val="20"/>
              </w:rPr>
              <w:t>12.95±11.43</w:t>
            </w:r>
          </w:p>
        </w:tc>
        <w:tc>
          <w:tcPr>
            <w:tcW w:w="394" w:type="pct"/>
          </w:tcPr>
          <w:p w:rsidR="00493EC1" w:rsidRPr="00EC25B1" w:rsidRDefault="00493EC1" w:rsidP="00025B26">
            <w:pPr>
              <w:snapToGrid w:val="0"/>
              <w:jc w:val="both"/>
              <w:rPr>
                <w:color w:val="000000"/>
                <w:sz w:val="20"/>
                <w:szCs w:val="20"/>
              </w:rPr>
            </w:pPr>
            <w:r w:rsidRPr="00EC25B1">
              <w:rPr>
                <w:color w:val="000000"/>
                <w:sz w:val="20"/>
                <w:szCs w:val="20"/>
              </w:rPr>
              <w:t>.592</w:t>
            </w:r>
          </w:p>
        </w:tc>
      </w:tr>
      <w:tr w:rsidR="00493EC1" w:rsidRPr="00EC25B1" w:rsidTr="00EC25B1">
        <w:trPr>
          <w:jc w:val="center"/>
        </w:trPr>
        <w:tc>
          <w:tcPr>
            <w:tcW w:w="1684" w:type="pct"/>
          </w:tcPr>
          <w:p w:rsidR="00493EC1" w:rsidRPr="00EC25B1" w:rsidRDefault="00493EC1" w:rsidP="00025B26">
            <w:pPr>
              <w:snapToGrid w:val="0"/>
              <w:jc w:val="both"/>
              <w:rPr>
                <w:color w:val="000000"/>
                <w:sz w:val="20"/>
                <w:szCs w:val="20"/>
              </w:rPr>
            </w:pPr>
            <w:r w:rsidRPr="00EC25B1">
              <w:rPr>
                <w:color w:val="000000"/>
                <w:sz w:val="20"/>
                <w:szCs w:val="20"/>
              </w:rPr>
              <w:t>RBC (×10</w:t>
            </w:r>
            <w:r w:rsidRPr="00EC25B1">
              <w:rPr>
                <w:color w:val="000000"/>
                <w:sz w:val="20"/>
                <w:szCs w:val="20"/>
                <w:vertAlign w:val="superscript"/>
              </w:rPr>
              <w:t>9</w:t>
            </w:r>
            <w:r w:rsidRPr="00EC25B1">
              <w:rPr>
                <w:color w:val="000000"/>
                <w:sz w:val="20"/>
                <w:szCs w:val="20"/>
              </w:rPr>
              <w:t xml:space="preserve">/L, </w:t>
            </w:r>
            <w:proofErr w:type="spellStart"/>
            <w:r w:rsidRPr="00EC25B1">
              <w:rPr>
                <w:color w:val="000000"/>
                <w:sz w:val="20"/>
                <w:szCs w:val="20"/>
              </w:rPr>
              <w:t>mean±SD</w:t>
            </w:r>
            <w:proofErr w:type="spellEnd"/>
            <w:r w:rsidRPr="00EC25B1">
              <w:rPr>
                <w:color w:val="000000"/>
                <w:sz w:val="20"/>
                <w:szCs w:val="20"/>
              </w:rPr>
              <w:t>)</w:t>
            </w:r>
          </w:p>
        </w:tc>
        <w:tc>
          <w:tcPr>
            <w:tcW w:w="882" w:type="pct"/>
          </w:tcPr>
          <w:p w:rsidR="00493EC1" w:rsidRPr="00EC25B1" w:rsidRDefault="00493EC1" w:rsidP="00025B26">
            <w:pPr>
              <w:snapToGrid w:val="0"/>
              <w:jc w:val="both"/>
              <w:rPr>
                <w:color w:val="000000"/>
                <w:sz w:val="20"/>
                <w:szCs w:val="20"/>
              </w:rPr>
            </w:pPr>
            <w:r w:rsidRPr="00EC25B1">
              <w:rPr>
                <w:color w:val="000000"/>
                <w:sz w:val="20"/>
                <w:szCs w:val="20"/>
              </w:rPr>
              <w:t>4.01±1.41</w:t>
            </w:r>
          </w:p>
        </w:tc>
        <w:tc>
          <w:tcPr>
            <w:tcW w:w="1123" w:type="pct"/>
          </w:tcPr>
          <w:p w:rsidR="00493EC1" w:rsidRPr="00EC25B1" w:rsidRDefault="00493EC1" w:rsidP="00025B26">
            <w:pPr>
              <w:snapToGrid w:val="0"/>
              <w:jc w:val="both"/>
              <w:rPr>
                <w:color w:val="000000"/>
                <w:sz w:val="20"/>
                <w:szCs w:val="20"/>
              </w:rPr>
            </w:pPr>
            <w:r w:rsidRPr="00EC25B1">
              <w:rPr>
                <w:color w:val="000000"/>
                <w:sz w:val="20"/>
                <w:szCs w:val="20"/>
              </w:rPr>
              <w:t>3.64±1.19</w:t>
            </w:r>
          </w:p>
        </w:tc>
        <w:tc>
          <w:tcPr>
            <w:tcW w:w="917" w:type="pct"/>
          </w:tcPr>
          <w:p w:rsidR="00493EC1" w:rsidRPr="00EC25B1" w:rsidRDefault="00493EC1" w:rsidP="00025B26">
            <w:pPr>
              <w:snapToGrid w:val="0"/>
              <w:jc w:val="both"/>
              <w:rPr>
                <w:color w:val="000000"/>
                <w:sz w:val="20"/>
                <w:szCs w:val="20"/>
              </w:rPr>
            </w:pPr>
            <w:r w:rsidRPr="00EC25B1">
              <w:rPr>
                <w:color w:val="000000"/>
                <w:sz w:val="20"/>
                <w:szCs w:val="20"/>
              </w:rPr>
              <w:t>4.40±1.55</w:t>
            </w:r>
          </w:p>
        </w:tc>
        <w:tc>
          <w:tcPr>
            <w:tcW w:w="394" w:type="pct"/>
          </w:tcPr>
          <w:p w:rsidR="00493EC1" w:rsidRPr="00EC25B1" w:rsidRDefault="00493EC1" w:rsidP="00025B26">
            <w:pPr>
              <w:snapToGrid w:val="0"/>
              <w:jc w:val="both"/>
              <w:rPr>
                <w:color w:val="000000"/>
                <w:sz w:val="20"/>
                <w:szCs w:val="20"/>
              </w:rPr>
            </w:pPr>
            <w:r w:rsidRPr="00EC25B1">
              <w:rPr>
                <w:color w:val="000000"/>
                <w:sz w:val="20"/>
                <w:szCs w:val="20"/>
              </w:rPr>
              <w:t>.075</w:t>
            </w:r>
          </w:p>
        </w:tc>
      </w:tr>
      <w:tr w:rsidR="00493EC1" w:rsidRPr="00EC25B1" w:rsidTr="00EC25B1">
        <w:trPr>
          <w:jc w:val="center"/>
        </w:trPr>
        <w:tc>
          <w:tcPr>
            <w:tcW w:w="1684" w:type="pct"/>
          </w:tcPr>
          <w:p w:rsidR="00493EC1" w:rsidRPr="00EC25B1" w:rsidRDefault="00493EC1" w:rsidP="00025B26">
            <w:pPr>
              <w:snapToGrid w:val="0"/>
              <w:jc w:val="both"/>
              <w:rPr>
                <w:color w:val="000000"/>
                <w:sz w:val="20"/>
                <w:szCs w:val="20"/>
              </w:rPr>
            </w:pPr>
            <w:proofErr w:type="spellStart"/>
            <w:r w:rsidRPr="00EC25B1">
              <w:rPr>
                <w:color w:val="000000"/>
                <w:sz w:val="20"/>
                <w:szCs w:val="20"/>
              </w:rPr>
              <w:t>Hb</w:t>
            </w:r>
            <w:proofErr w:type="spellEnd"/>
            <w:r w:rsidRPr="00EC25B1">
              <w:rPr>
                <w:color w:val="000000"/>
                <w:sz w:val="20"/>
                <w:szCs w:val="20"/>
              </w:rPr>
              <w:t xml:space="preserve"> (g/</w:t>
            </w:r>
            <w:proofErr w:type="spellStart"/>
            <w:r w:rsidRPr="00EC25B1">
              <w:rPr>
                <w:color w:val="000000"/>
                <w:sz w:val="20"/>
                <w:szCs w:val="20"/>
              </w:rPr>
              <w:t>dL</w:t>
            </w:r>
            <w:proofErr w:type="spellEnd"/>
            <w:r w:rsidRPr="00EC25B1">
              <w:rPr>
                <w:color w:val="000000"/>
                <w:sz w:val="20"/>
                <w:szCs w:val="20"/>
              </w:rPr>
              <w:t xml:space="preserve">, </w:t>
            </w:r>
            <w:proofErr w:type="spellStart"/>
            <w:r w:rsidRPr="00EC25B1">
              <w:rPr>
                <w:color w:val="000000"/>
                <w:sz w:val="20"/>
                <w:szCs w:val="20"/>
              </w:rPr>
              <w:t>mean±SD</w:t>
            </w:r>
            <w:proofErr w:type="spellEnd"/>
            <w:r w:rsidRPr="00EC25B1">
              <w:rPr>
                <w:color w:val="000000"/>
                <w:sz w:val="20"/>
                <w:szCs w:val="20"/>
              </w:rPr>
              <w:t>)</w:t>
            </w:r>
          </w:p>
        </w:tc>
        <w:tc>
          <w:tcPr>
            <w:tcW w:w="882" w:type="pct"/>
          </w:tcPr>
          <w:p w:rsidR="00493EC1" w:rsidRPr="00EC25B1" w:rsidRDefault="00493EC1" w:rsidP="00025B26">
            <w:pPr>
              <w:snapToGrid w:val="0"/>
              <w:jc w:val="both"/>
              <w:rPr>
                <w:color w:val="000000"/>
                <w:sz w:val="20"/>
                <w:szCs w:val="20"/>
              </w:rPr>
            </w:pPr>
            <w:r w:rsidRPr="00EC25B1">
              <w:rPr>
                <w:color w:val="000000"/>
                <w:sz w:val="20"/>
                <w:szCs w:val="20"/>
              </w:rPr>
              <w:t>9.89±2.59</w:t>
            </w:r>
          </w:p>
        </w:tc>
        <w:tc>
          <w:tcPr>
            <w:tcW w:w="1123" w:type="pct"/>
          </w:tcPr>
          <w:p w:rsidR="00493EC1" w:rsidRPr="00EC25B1" w:rsidRDefault="00493EC1" w:rsidP="00025B26">
            <w:pPr>
              <w:snapToGrid w:val="0"/>
              <w:jc w:val="both"/>
              <w:rPr>
                <w:color w:val="000000"/>
                <w:sz w:val="20"/>
                <w:szCs w:val="20"/>
              </w:rPr>
            </w:pPr>
            <w:r w:rsidRPr="00EC25B1">
              <w:rPr>
                <w:color w:val="000000"/>
                <w:sz w:val="20"/>
                <w:szCs w:val="20"/>
              </w:rPr>
              <w:t>9.11±2.02</w:t>
            </w:r>
          </w:p>
        </w:tc>
        <w:tc>
          <w:tcPr>
            <w:tcW w:w="917" w:type="pct"/>
          </w:tcPr>
          <w:p w:rsidR="00493EC1" w:rsidRPr="00EC25B1" w:rsidRDefault="00493EC1" w:rsidP="00025B26">
            <w:pPr>
              <w:snapToGrid w:val="0"/>
              <w:jc w:val="both"/>
              <w:rPr>
                <w:color w:val="000000"/>
                <w:sz w:val="20"/>
                <w:szCs w:val="20"/>
              </w:rPr>
            </w:pPr>
            <w:r w:rsidRPr="00EC25B1">
              <w:rPr>
                <w:color w:val="000000"/>
                <w:sz w:val="20"/>
                <w:szCs w:val="20"/>
              </w:rPr>
              <w:t>10.70±2.90</w:t>
            </w:r>
          </w:p>
        </w:tc>
        <w:tc>
          <w:tcPr>
            <w:tcW w:w="394" w:type="pct"/>
          </w:tcPr>
          <w:p w:rsidR="00493EC1" w:rsidRPr="00EC25B1" w:rsidRDefault="00493EC1" w:rsidP="00025B26">
            <w:pPr>
              <w:snapToGrid w:val="0"/>
              <w:jc w:val="both"/>
              <w:rPr>
                <w:color w:val="000000"/>
                <w:sz w:val="20"/>
                <w:szCs w:val="20"/>
                <w:vertAlign w:val="superscript"/>
              </w:rPr>
            </w:pPr>
            <w:r w:rsidRPr="00EC25B1">
              <w:rPr>
                <w:color w:val="000000"/>
                <w:sz w:val="20"/>
                <w:szCs w:val="20"/>
              </w:rPr>
              <w:t>.039</w:t>
            </w:r>
            <w:r w:rsidRPr="00EC25B1">
              <w:rPr>
                <w:color w:val="000000"/>
                <w:sz w:val="20"/>
                <w:szCs w:val="20"/>
                <w:vertAlign w:val="superscript"/>
              </w:rPr>
              <w:t>*</w:t>
            </w:r>
          </w:p>
        </w:tc>
      </w:tr>
      <w:tr w:rsidR="00493EC1" w:rsidRPr="00EC25B1" w:rsidTr="00EC25B1">
        <w:trPr>
          <w:jc w:val="center"/>
        </w:trPr>
        <w:tc>
          <w:tcPr>
            <w:tcW w:w="1684" w:type="pct"/>
          </w:tcPr>
          <w:p w:rsidR="00493EC1" w:rsidRPr="00EC25B1" w:rsidRDefault="00493EC1" w:rsidP="00025B26">
            <w:pPr>
              <w:snapToGrid w:val="0"/>
              <w:jc w:val="both"/>
              <w:rPr>
                <w:color w:val="000000"/>
                <w:sz w:val="20"/>
                <w:szCs w:val="20"/>
              </w:rPr>
            </w:pPr>
            <w:proofErr w:type="spellStart"/>
            <w:r w:rsidRPr="00EC25B1">
              <w:rPr>
                <w:color w:val="000000"/>
                <w:sz w:val="20"/>
                <w:szCs w:val="20"/>
              </w:rPr>
              <w:t>Hct</w:t>
            </w:r>
            <w:proofErr w:type="spellEnd"/>
            <w:r w:rsidRPr="00EC25B1">
              <w:rPr>
                <w:color w:val="000000"/>
                <w:sz w:val="20"/>
                <w:szCs w:val="20"/>
              </w:rPr>
              <w:t xml:space="preserve"> (%, </w:t>
            </w:r>
            <w:proofErr w:type="spellStart"/>
            <w:r w:rsidRPr="00EC25B1">
              <w:rPr>
                <w:color w:val="000000"/>
                <w:sz w:val="20"/>
                <w:szCs w:val="20"/>
              </w:rPr>
              <w:t>mean±SD</w:t>
            </w:r>
            <w:proofErr w:type="spellEnd"/>
            <w:r w:rsidRPr="00EC25B1">
              <w:rPr>
                <w:color w:val="000000"/>
                <w:sz w:val="20"/>
                <w:szCs w:val="20"/>
              </w:rPr>
              <w:t>)</w:t>
            </w:r>
          </w:p>
        </w:tc>
        <w:tc>
          <w:tcPr>
            <w:tcW w:w="882" w:type="pct"/>
          </w:tcPr>
          <w:p w:rsidR="00493EC1" w:rsidRPr="00EC25B1" w:rsidRDefault="00493EC1" w:rsidP="00025B26">
            <w:pPr>
              <w:snapToGrid w:val="0"/>
              <w:jc w:val="both"/>
              <w:rPr>
                <w:color w:val="000000"/>
                <w:sz w:val="20"/>
                <w:szCs w:val="20"/>
              </w:rPr>
            </w:pPr>
            <w:r w:rsidRPr="00EC25B1">
              <w:rPr>
                <w:color w:val="000000"/>
                <w:sz w:val="20"/>
                <w:szCs w:val="20"/>
              </w:rPr>
              <w:t>29.28±7.59</w:t>
            </w:r>
          </w:p>
        </w:tc>
        <w:tc>
          <w:tcPr>
            <w:tcW w:w="1123" w:type="pct"/>
          </w:tcPr>
          <w:p w:rsidR="00493EC1" w:rsidRPr="00EC25B1" w:rsidRDefault="00493EC1" w:rsidP="00025B26">
            <w:pPr>
              <w:snapToGrid w:val="0"/>
              <w:jc w:val="both"/>
              <w:rPr>
                <w:color w:val="000000"/>
                <w:sz w:val="20"/>
                <w:szCs w:val="20"/>
              </w:rPr>
            </w:pPr>
            <w:r w:rsidRPr="00EC25B1">
              <w:rPr>
                <w:color w:val="000000"/>
                <w:sz w:val="20"/>
                <w:szCs w:val="20"/>
              </w:rPr>
              <w:t>27.02±5.88</w:t>
            </w:r>
          </w:p>
        </w:tc>
        <w:tc>
          <w:tcPr>
            <w:tcW w:w="917" w:type="pct"/>
          </w:tcPr>
          <w:p w:rsidR="00493EC1" w:rsidRPr="00EC25B1" w:rsidRDefault="00493EC1" w:rsidP="00025B26">
            <w:pPr>
              <w:snapToGrid w:val="0"/>
              <w:jc w:val="both"/>
              <w:rPr>
                <w:color w:val="000000"/>
                <w:sz w:val="20"/>
                <w:szCs w:val="20"/>
              </w:rPr>
            </w:pPr>
            <w:r w:rsidRPr="00EC25B1">
              <w:rPr>
                <w:color w:val="000000"/>
                <w:sz w:val="20"/>
                <w:szCs w:val="20"/>
              </w:rPr>
              <w:t>31.65±8.55</w:t>
            </w:r>
          </w:p>
        </w:tc>
        <w:tc>
          <w:tcPr>
            <w:tcW w:w="394" w:type="pct"/>
          </w:tcPr>
          <w:p w:rsidR="00493EC1" w:rsidRPr="00EC25B1" w:rsidRDefault="00493EC1" w:rsidP="00025B26">
            <w:pPr>
              <w:snapToGrid w:val="0"/>
              <w:jc w:val="both"/>
              <w:rPr>
                <w:color w:val="000000"/>
                <w:sz w:val="20"/>
                <w:szCs w:val="20"/>
                <w:vertAlign w:val="superscript"/>
              </w:rPr>
            </w:pPr>
            <w:r w:rsidRPr="00EC25B1">
              <w:rPr>
                <w:color w:val="000000"/>
                <w:sz w:val="20"/>
                <w:szCs w:val="20"/>
              </w:rPr>
              <w:t>.040</w:t>
            </w:r>
            <w:r w:rsidRPr="00EC25B1">
              <w:rPr>
                <w:color w:val="000000"/>
                <w:sz w:val="20"/>
                <w:szCs w:val="20"/>
                <w:vertAlign w:val="superscript"/>
              </w:rPr>
              <w:t>*</w:t>
            </w:r>
          </w:p>
        </w:tc>
      </w:tr>
      <w:tr w:rsidR="00493EC1" w:rsidRPr="00EC25B1" w:rsidTr="00EC25B1">
        <w:trPr>
          <w:jc w:val="center"/>
        </w:trPr>
        <w:tc>
          <w:tcPr>
            <w:tcW w:w="1684" w:type="pct"/>
          </w:tcPr>
          <w:p w:rsidR="00493EC1" w:rsidRPr="00EC25B1" w:rsidRDefault="00493EC1" w:rsidP="00025B26">
            <w:pPr>
              <w:snapToGrid w:val="0"/>
              <w:jc w:val="both"/>
              <w:rPr>
                <w:color w:val="000000"/>
                <w:sz w:val="20"/>
                <w:szCs w:val="20"/>
              </w:rPr>
            </w:pPr>
            <w:r w:rsidRPr="00EC25B1">
              <w:rPr>
                <w:color w:val="000000"/>
                <w:sz w:val="20"/>
                <w:szCs w:val="20"/>
              </w:rPr>
              <w:t>Platelet (×10</w:t>
            </w:r>
            <w:r w:rsidRPr="00EC25B1">
              <w:rPr>
                <w:color w:val="000000"/>
                <w:sz w:val="20"/>
                <w:szCs w:val="20"/>
                <w:vertAlign w:val="superscript"/>
              </w:rPr>
              <w:t>9</w:t>
            </w:r>
            <w:r w:rsidRPr="00EC25B1">
              <w:rPr>
                <w:color w:val="000000"/>
                <w:sz w:val="20"/>
                <w:szCs w:val="20"/>
              </w:rPr>
              <w:t xml:space="preserve">/L, </w:t>
            </w:r>
            <w:proofErr w:type="spellStart"/>
            <w:r w:rsidRPr="00EC25B1">
              <w:rPr>
                <w:color w:val="000000"/>
                <w:sz w:val="20"/>
                <w:szCs w:val="20"/>
              </w:rPr>
              <w:t>mean±SD</w:t>
            </w:r>
            <w:proofErr w:type="spellEnd"/>
            <w:r w:rsidRPr="00EC25B1">
              <w:rPr>
                <w:color w:val="000000"/>
                <w:sz w:val="20"/>
                <w:szCs w:val="20"/>
              </w:rPr>
              <w:t>)</w:t>
            </w:r>
          </w:p>
        </w:tc>
        <w:tc>
          <w:tcPr>
            <w:tcW w:w="882" w:type="pct"/>
          </w:tcPr>
          <w:p w:rsidR="00493EC1" w:rsidRPr="00EC25B1" w:rsidRDefault="00493EC1" w:rsidP="00025B26">
            <w:pPr>
              <w:snapToGrid w:val="0"/>
              <w:jc w:val="both"/>
              <w:rPr>
                <w:color w:val="000000"/>
                <w:sz w:val="20"/>
                <w:szCs w:val="20"/>
              </w:rPr>
            </w:pPr>
            <w:r w:rsidRPr="00EC25B1">
              <w:rPr>
                <w:color w:val="000000"/>
                <w:sz w:val="20"/>
                <w:szCs w:val="20"/>
              </w:rPr>
              <w:t>242.20±206.27</w:t>
            </w:r>
          </w:p>
        </w:tc>
        <w:tc>
          <w:tcPr>
            <w:tcW w:w="1123" w:type="pct"/>
          </w:tcPr>
          <w:p w:rsidR="00493EC1" w:rsidRPr="00EC25B1" w:rsidRDefault="00493EC1" w:rsidP="00025B26">
            <w:pPr>
              <w:snapToGrid w:val="0"/>
              <w:jc w:val="both"/>
              <w:rPr>
                <w:color w:val="000000"/>
                <w:sz w:val="20"/>
                <w:szCs w:val="20"/>
              </w:rPr>
            </w:pPr>
            <w:r w:rsidRPr="00EC25B1">
              <w:rPr>
                <w:color w:val="000000"/>
                <w:sz w:val="20"/>
                <w:szCs w:val="20"/>
              </w:rPr>
              <w:t>272.04±222.64</w:t>
            </w:r>
          </w:p>
        </w:tc>
        <w:tc>
          <w:tcPr>
            <w:tcW w:w="917" w:type="pct"/>
          </w:tcPr>
          <w:p w:rsidR="00493EC1" w:rsidRPr="00EC25B1" w:rsidRDefault="00493EC1" w:rsidP="00025B26">
            <w:pPr>
              <w:snapToGrid w:val="0"/>
              <w:jc w:val="both"/>
              <w:rPr>
                <w:color w:val="000000"/>
                <w:sz w:val="20"/>
                <w:szCs w:val="20"/>
              </w:rPr>
            </w:pPr>
            <w:r w:rsidRPr="00EC25B1">
              <w:rPr>
                <w:color w:val="000000"/>
                <w:sz w:val="20"/>
                <w:szCs w:val="20"/>
              </w:rPr>
              <w:t>213.65±189.83</w:t>
            </w:r>
          </w:p>
        </w:tc>
        <w:tc>
          <w:tcPr>
            <w:tcW w:w="394" w:type="pct"/>
          </w:tcPr>
          <w:p w:rsidR="00493EC1" w:rsidRPr="00EC25B1" w:rsidRDefault="00493EC1" w:rsidP="00025B26">
            <w:pPr>
              <w:snapToGrid w:val="0"/>
              <w:jc w:val="both"/>
              <w:rPr>
                <w:color w:val="000000"/>
                <w:sz w:val="20"/>
                <w:szCs w:val="20"/>
              </w:rPr>
            </w:pPr>
            <w:r w:rsidRPr="00EC25B1">
              <w:rPr>
                <w:color w:val="000000"/>
                <w:sz w:val="20"/>
                <w:szCs w:val="20"/>
              </w:rPr>
              <w:t>.348</w:t>
            </w:r>
          </w:p>
        </w:tc>
      </w:tr>
    </w:tbl>
    <w:p w:rsidR="00493EC1" w:rsidRPr="00EC25B1" w:rsidRDefault="00493EC1" w:rsidP="00025B26">
      <w:pPr>
        <w:pStyle w:val="NoSpacing"/>
        <w:bidi w:val="0"/>
        <w:snapToGrid w:val="0"/>
        <w:ind w:firstLine="425"/>
        <w:jc w:val="both"/>
        <w:rPr>
          <w:rFonts w:ascii="Times New Roman" w:hAnsi="Times New Roman" w:cs="Times New Roman"/>
          <w:sz w:val="20"/>
          <w:szCs w:val="20"/>
        </w:rPr>
      </w:pPr>
    </w:p>
    <w:p w:rsidR="00493EC1" w:rsidRPr="00EC25B1" w:rsidRDefault="00493EC1" w:rsidP="00025B26">
      <w:pPr>
        <w:snapToGrid w:val="0"/>
        <w:jc w:val="center"/>
        <w:rPr>
          <w:sz w:val="20"/>
          <w:szCs w:val="20"/>
        </w:rPr>
      </w:pPr>
      <w:proofErr w:type="gramStart"/>
      <w:r w:rsidRPr="00EC25B1">
        <w:rPr>
          <w:sz w:val="20"/>
          <w:szCs w:val="20"/>
        </w:rPr>
        <w:t>Table 2</w:t>
      </w:r>
      <w:r w:rsidR="00835D53" w:rsidRPr="00EC25B1">
        <w:rPr>
          <w:sz w:val="20"/>
          <w:szCs w:val="20"/>
        </w:rPr>
        <w:t>.</w:t>
      </w:r>
      <w:proofErr w:type="gramEnd"/>
      <w:r w:rsidR="00835D53" w:rsidRPr="00EC25B1">
        <w:rPr>
          <w:sz w:val="20"/>
          <w:szCs w:val="20"/>
        </w:rPr>
        <w:t xml:space="preserve"> Associations of hematologic parameters with the JAK2 V617F allele burden in PMF patients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9"/>
        <w:gridCol w:w="2781"/>
        <w:gridCol w:w="2779"/>
        <w:gridCol w:w="927"/>
      </w:tblGrid>
      <w:tr w:rsidR="00493EC1" w:rsidRPr="00EC25B1" w:rsidTr="00EC25B1">
        <w:trPr>
          <w:jc w:val="center"/>
        </w:trPr>
        <w:tc>
          <w:tcPr>
            <w:tcW w:w="1613" w:type="pct"/>
          </w:tcPr>
          <w:p w:rsidR="00493EC1" w:rsidRPr="00EC25B1" w:rsidRDefault="00493EC1" w:rsidP="00025B26">
            <w:pPr>
              <w:snapToGrid w:val="0"/>
              <w:jc w:val="both"/>
              <w:rPr>
                <w:b/>
                <w:bCs/>
                <w:color w:val="000000"/>
                <w:sz w:val="20"/>
                <w:szCs w:val="20"/>
                <w:u w:val="single"/>
              </w:rPr>
            </w:pPr>
            <w:r w:rsidRPr="00EC25B1">
              <w:rPr>
                <w:color w:val="000000"/>
                <w:sz w:val="20"/>
                <w:szCs w:val="20"/>
              </w:rPr>
              <w:t>Characteristics</w:t>
            </w:r>
          </w:p>
        </w:tc>
        <w:tc>
          <w:tcPr>
            <w:tcW w:w="1452" w:type="pct"/>
          </w:tcPr>
          <w:p w:rsidR="00493EC1" w:rsidRPr="00EC25B1" w:rsidRDefault="00493EC1" w:rsidP="00025B26">
            <w:pPr>
              <w:snapToGrid w:val="0"/>
              <w:jc w:val="both"/>
              <w:rPr>
                <w:b/>
                <w:bCs/>
                <w:color w:val="000000"/>
                <w:sz w:val="20"/>
                <w:szCs w:val="20"/>
              </w:rPr>
            </w:pPr>
            <w:r w:rsidRPr="00EC25B1">
              <w:rPr>
                <w:color w:val="000000"/>
                <w:sz w:val="20"/>
                <w:szCs w:val="20"/>
              </w:rPr>
              <w:t>JAK2V617F- heterozygous</w:t>
            </w:r>
          </w:p>
        </w:tc>
        <w:tc>
          <w:tcPr>
            <w:tcW w:w="1451" w:type="pct"/>
          </w:tcPr>
          <w:p w:rsidR="00493EC1" w:rsidRPr="00EC25B1" w:rsidRDefault="00493EC1" w:rsidP="00025B26">
            <w:pPr>
              <w:snapToGrid w:val="0"/>
              <w:jc w:val="both"/>
              <w:rPr>
                <w:b/>
                <w:bCs/>
                <w:color w:val="000000"/>
                <w:sz w:val="20"/>
                <w:szCs w:val="20"/>
              </w:rPr>
            </w:pPr>
            <w:r w:rsidRPr="00EC25B1">
              <w:rPr>
                <w:color w:val="000000"/>
                <w:sz w:val="20"/>
                <w:szCs w:val="20"/>
              </w:rPr>
              <w:t>JAK2V617F- homozygous</w:t>
            </w:r>
          </w:p>
        </w:tc>
        <w:tc>
          <w:tcPr>
            <w:tcW w:w="484" w:type="pct"/>
          </w:tcPr>
          <w:p w:rsidR="00493EC1" w:rsidRPr="00EC25B1" w:rsidRDefault="00835D53" w:rsidP="00025B26">
            <w:pPr>
              <w:snapToGrid w:val="0"/>
              <w:jc w:val="both"/>
              <w:rPr>
                <w:b/>
                <w:bCs/>
                <w:color w:val="000000"/>
                <w:sz w:val="20"/>
                <w:szCs w:val="20"/>
              </w:rPr>
            </w:pPr>
            <w:r w:rsidRPr="00EC25B1">
              <w:rPr>
                <w:color w:val="000000"/>
                <w:sz w:val="20"/>
                <w:szCs w:val="20"/>
              </w:rPr>
              <w:t>P</w:t>
            </w:r>
          </w:p>
        </w:tc>
      </w:tr>
      <w:tr w:rsidR="00493EC1" w:rsidRPr="00EC25B1" w:rsidTr="00EC25B1">
        <w:trPr>
          <w:jc w:val="center"/>
        </w:trPr>
        <w:tc>
          <w:tcPr>
            <w:tcW w:w="1613" w:type="pct"/>
          </w:tcPr>
          <w:p w:rsidR="00493EC1" w:rsidRPr="00EC25B1" w:rsidRDefault="00493EC1" w:rsidP="00025B26">
            <w:pPr>
              <w:snapToGrid w:val="0"/>
              <w:jc w:val="both"/>
              <w:rPr>
                <w:color w:val="000000"/>
                <w:sz w:val="20"/>
                <w:szCs w:val="20"/>
              </w:rPr>
            </w:pPr>
            <w:r w:rsidRPr="00EC25B1">
              <w:rPr>
                <w:color w:val="000000"/>
                <w:sz w:val="20"/>
                <w:szCs w:val="20"/>
              </w:rPr>
              <w:t>No of patients</w:t>
            </w:r>
          </w:p>
        </w:tc>
        <w:tc>
          <w:tcPr>
            <w:tcW w:w="1452" w:type="pct"/>
          </w:tcPr>
          <w:p w:rsidR="00493EC1" w:rsidRPr="00EC25B1" w:rsidRDefault="00493EC1" w:rsidP="00025B26">
            <w:pPr>
              <w:snapToGrid w:val="0"/>
              <w:jc w:val="both"/>
              <w:rPr>
                <w:color w:val="000000"/>
                <w:sz w:val="20"/>
                <w:szCs w:val="20"/>
              </w:rPr>
            </w:pPr>
            <w:r w:rsidRPr="00EC25B1">
              <w:rPr>
                <w:color w:val="000000"/>
                <w:sz w:val="20"/>
                <w:szCs w:val="20"/>
              </w:rPr>
              <w:t>9(39.1%)</w:t>
            </w:r>
          </w:p>
        </w:tc>
        <w:tc>
          <w:tcPr>
            <w:tcW w:w="1451" w:type="pct"/>
          </w:tcPr>
          <w:p w:rsidR="00493EC1" w:rsidRPr="00EC25B1" w:rsidRDefault="00493EC1" w:rsidP="00025B26">
            <w:pPr>
              <w:snapToGrid w:val="0"/>
              <w:jc w:val="both"/>
              <w:rPr>
                <w:color w:val="000000"/>
                <w:sz w:val="20"/>
                <w:szCs w:val="20"/>
              </w:rPr>
            </w:pPr>
            <w:r w:rsidRPr="00EC25B1">
              <w:rPr>
                <w:color w:val="000000"/>
                <w:sz w:val="20"/>
                <w:szCs w:val="20"/>
              </w:rPr>
              <w:t>14(60.9%)</w:t>
            </w:r>
          </w:p>
        </w:tc>
        <w:tc>
          <w:tcPr>
            <w:tcW w:w="484" w:type="pct"/>
          </w:tcPr>
          <w:p w:rsidR="00493EC1" w:rsidRPr="00EC25B1" w:rsidRDefault="00493EC1" w:rsidP="00025B26">
            <w:pPr>
              <w:snapToGrid w:val="0"/>
              <w:jc w:val="both"/>
              <w:rPr>
                <w:color w:val="000000"/>
                <w:sz w:val="20"/>
                <w:szCs w:val="20"/>
              </w:rPr>
            </w:pPr>
          </w:p>
        </w:tc>
      </w:tr>
      <w:tr w:rsidR="00493EC1" w:rsidRPr="00EC25B1" w:rsidTr="00EC25B1">
        <w:trPr>
          <w:jc w:val="center"/>
        </w:trPr>
        <w:tc>
          <w:tcPr>
            <w:tcW w:w="1613" w:type="pct"/>
          </w:tcPr>
          <w:p w:rsidR="00493EC1" w:rsidRPr="00EC25B1" w:rsidRDefault="00493EC1" w:rsidP="00025B26">
            <w:pPr>
              <w:snapToGrid w:val="0"/>
              <w:jc w:val="both"/>
              <w:rPr>
                <w:color w:val="000000"/>
                <w:sz w:val="20"/>
                <w:szCs w:val="20"/>
              </w:rPr>
            </w:pPr>
            <w:r w:rsidRPr="00EC25B1">
              <w:rPr>
                <w:color w:val="000000"/>
                <w:sz w:val="20"/>
                <w:szCs w:val="20"/>
              </w:rPr>
              <w:t>Age at diagnosis(</w:t>
            </w:r>
            <w:proofErr w:type="spellStart"/>
            <w:r w:rsidRPr="00EC25B1">
              <w:rPr>
                <w:color w:val="000000"/>
                <w:sz w:val="20"/>
                <w:szCs w:val="20"/>
              </w:rPr>
              <w:t>yr,mean±SD</w:t>
            </w:r>
            <w:proofErr w:type="spellEnd"/>
            <w:r w:rsidRPr="00EC25B1">
              <w:rPr>
                <w:color w:val="000000"/>
                <w:sz w:val="20"/>
                <w:szCs w:val="20"/>
              </w:rPr>
              <w:t>)</w:t>
            </w:r>
          </w:p>
        </w:tc>
        <w:tc>
          <w:tcPr>
            <w:tcW w:w="1452" w:type="pct"/>
          </w:tcPr>
          <w:p w:rsidR="00493EC1" w:rsidRPr="00EC25B1" w:rsidRDefault="00493EC1" w:rsidP="00025B26">
            <w:pPr>
              <w:snapToGrid w:val="0"/>
              <w:jc w:val="both"/>
              <w:rPr>
                <w:color w:val="000000"/>
                <w:sz w:val="20"/>
                <w:szCs w:val="20"/>
              </w:rPr>
            </w:pPr>
            <w:r w:rsidRPr="00EC25B1">
              <w:rPr>
                <w:color w:val="000000"/>
                <w:sz w:val="20"/>
                <w:szCs w:val="20"/>
              </w:rPr>
              <w:t>58.44±14.49</w:t>
            </w:r>
          </w:p>
        </w:tc>
        <w:tc>
          <w:tcPr>
            <w:tcW w:w="1451" w:type="pct"/>
          </w:tcPr>
          <w:p w:rsidR="00493EC1" w:rsidRPr="00EC25B1" w:rsidRDefault="00493EC1" w:rsidP="00025B26">
            <w:pPr>
              <w:snapToGrid w:val="0"/>
              <w:jc w:val="both"/>
              <w:rPr>
                <w:color w:val="000000"/>
                <w:sz w:val="20"/>
                <w:szCs w:val="20"/>
              </w:rPr>
            </w:pPr>
            <w:r w:rsidRPr="00EC25B1">
              <w:rPr>
                <w:color w:val="000000"/>
                <w:sz w:val="20"/>
                <w:szCs w:val="20"/>
              </w:rPr>
              <w:t>60.28±18.44</w:t>
            </w:r>
          </w:p>
        </w:tc>
        <w:tc>
          <w:tcPr>
            <w:tcW w:w="484" w:type="pct"/>
          </w:tcPr>
          <w:p w:rsidR="00493EC1" w:rsidRPr="00EC25B1" w:rsidRDefault="00493EC1" w:rsidP="00025B26">
            <w:pPr>
              <w:snapToGrid w:val="0"/>
              <w:jc w:val="both"/>
              <w:rPr>
                <w:color w:val="000000"/>
                <w:sz w:val="20"/>
                <w:szCs w:val="20"/>
              </w:rPr>
            </w:pPr>
            <w:r w:rsidRPr="00EC25B1">
              <w:rPr>
                <w:color w:val="000000"/>
                <w:sz w:val="20"/>
                <w:szCs w:val="20"/>
              </w:rPr>
              <w:t>.803</w:t>
            </w:r>
          </w:p>
        </w:tc>
      </w:tr>
      <w:tr w:rsidR="00493EC1" w:rsidRPr="00EC25B1" w:rsidTr="00EC25B1">
        <w:trPr>
          <w:jc w:val="center"/>
        </w:trPr>
        <w:tc>
          <w:tcPr>
            <w:tcW w:w="1613" w:type="pct"/>
          </w:tcPr>
          <w:p w:rsidR="00493EC1" w:rsidRPr="00EC25B1" w:rsidRDefault="00493EC1" w:rsidP="00025B26">
            <w:pPr>
              <w:snapToGrid w:val="0"/>
              <w:jc w:val="both"/>
              <w:rPr>
                <w:color w:val="000000"/>
                <w:sz w:val="20"/>
                <w:szCs w:val="20"/>
              </w:rPr>
            </w:pPr>
            <w:r w:rsidRPr="00EC25B1">
              <w:rPr>
                <w:color w:val="000000"/>
                <w:sz w:val="20"/>
                <w:szCs w:val="20"/>
              </w:rPr>
              <w:t>WBC (×10</w:t>
            </w:r>
            <w:r w:rsidRPr="00EC25B1">
              <w:rPr>
                <w:color w:val="000000"/>
                <w:sz w:val="20"/>
                <w:szCs w:val="20"/>
                <w:vertAlign w:val="superscript"/>
              </w:rPr>
              <w:t>9</w:t>
            </w:r>
            <w:r w:rsidRPr="00EC25B1">
              <w:rPr>
                <w:color w:val="000000"/>
                <w:sz w:val="20"/>
                <w:szCs w:val="20"/>
              </w:rPr>
              <w:t xml:space="preserve">/L, </w:t>
            </w:r>
            <w:proofErr w:type="spellStart"/>
            <w:r w:rsidRPr="00EC25B1">
              <w:rPr>
                <w:color w:val="000000"/>
                <w:sz w:val="20"/>
                <w:szCs w:val="20"/>
              </w:rPr>
              <w:t>mean±SD</w:t>
            </w:r>
            <w:proofErr w:type="spellEnd"/>
            <w:r w:rsidRPr="00EC25B1">
              <w:rPr>
                <w:color w:val="000000"/>
                <w:sz w:val="20"/>
                <w:szCs w:val="20"/>
              </w:rPr>
              <w:t>)</w:t>
            </w:r>
          </w:p>
        </w:tc>
        <w:tc>
          <w:tcPr>
            <w:tcW w:w="1452" w:type="pct"/>
          </w:tcPr>
          <w:p w:rsidR="00493EC1" w:rsidRPr="00EC25B1" w:rsidRDefault="00493EC1" w:rsidP="00025B26">
            <w:pPr>
              <w:snapToGrid w:val="0"/>
              <w:jc w:val="both"/>
              <w:rPr>
                <w:color w:val="000000"/>
                <w:sz w:val="20"/>
                <w:szCs w:val="20"/>
              </w:rPr>
            </w:pPr>
            <w:r w:rsidRPr="00EC25B1">
              <w:rPr>
                <w:color w:val="000000"/>
                <w:sz w:val="20"/>
                <w:szCs w:val="20"/>
              </w:rPr>
              <w:t>9.87±9.91</w:t>
            </w:r>
          </w:p>
        </w:tc>
        <w:tc>
          <w:tcPr>
            <w:tcW w:w="1451" w:type="pct"/>
          </w:tcPr>
          <w:p w:rsidR="00493EC1" w:rsidRPr="00EC25B1" w:rsidRDefault="00493EC1" w:rsidP="00025B26">
            <w:pPr>
              <w:snapToGrid w:val="0"/>
              <w:jc w:val="both"/>
              <w:rPr>
                <w:color w:val="000000"/>
                <w:sz w:val="20"/>
                <w:szCs w:val="20"/>
              </w:rPr>
            </w:pPr>
            <w:r w:rsidRPr="00EC25B1">
              <w:rPr>
                <w:color w:val="000000"/>
                <w:sz w:val="20"/>
                <w:szCs w:val="20"/>
              </w:rPr>
              <w:t>13.25±11.16</w:t>
            </w:r>
          </w:p>
        </w:tc>
        <w:tc>
          <w:tcPr>
            <w:tcW w:w="484" w:type="pct"/>
          </w:tcPr>
          <w:p w:rsidR="00493EC1" w:rsidRPr="00EC25B1" w:rsidRDefault="00493EC1" w:rsidP="00025B26">
            <w:pPr>
              <w:snapToGrid w:val="0"/>
              <w:jc w:val="both"/>
              <w:rPr>
                <w:color w:val="000000"/>
                <w:sz w:val="20"/>
                <w:szCs w:val="20"/>
              </w:rPr>
            </w:pPr>
            <w:r w:rsidRPr="00EC25B1">
              <w:rPr>
                <w:color w:val="000000"/>
                <w:sz w:val="20"/>
                <w:szCs w:val="20"/>
              </w:rPr>
              <w:t>.456</w:t>
            </w:r>
          </w:p>
        </w:tc>
      </w:tr>
      <w:tr w:rsidR="00493EC1" w:rsidRPr="00EC25B1" w:rsidTr="00EC25B1">
        <w:trPr>
          <w:jc w:val="center"/>
        </w:trPr>
        <w:tc>
          <w:tcPr>
            <w:tcW w:w="1613" w:type="pct"/>
          </w:tcPr>
          <w:p w:rsidR="00493EC1" w:rsidRPr="00EC25B1" w:rsidRDefault="00493EC1" w:rsidP="00025B26">
            <w:pPr>
              <w:snapToGrid w:val="0"/>
              <w:jc w:val="both"/>
              <w:rPr>
                <w:color w:val="000000"/>
                <w:sz w:val="20"/>
                <w:szCs w:val="20"/>
              </w:rPr>
            </w:pPr>
            <w:r w:rsidRPr="00EC25B1">
              <w:rPr>
                <w:color w:val="000000"/>
                <w:sz w:val="20"/>
                <w:szCs w:val="20"/>
              </w:rPr>
              <w:t>RBC (×10</w:t>
            </w:r>
            <w:r w:rsidRPr="00EC25B1">
              <w:rPr>
                <w:color w:val="000000"/>
                <w:sz w:val="20"/>
                <w:szCs w:val="20"/>
                <w:vertAlign w:val="superscript"/>
              </w:rPr>
              <w:t>9</w:t>
            </w:r>
            <w:r w:rsidRPr="00EC25B1">
              <w:rPr>
                <w:color w:val="000000"/>
                <w:sz w:val="20"/>
                <w:szCs w:val="20"/>
              </w:rPr>
              <w:t xml:space="preserve">/L, </w:t>
            </w:r>
            <w:proofErr w:type="spellStart"/>
            <w:r w:rsidRPr="00EC25B1">
              <w:rPr>
                <w:color w:val="000000"/>
                <w:sz w:val="20"/>
                <w:szCs w:val="20"/>
              </w:rPr>
              <w:t>mean±SD</w:t>
            </w:r>
            <w:proofErr w:type="spellEnd"/>
            <w:r w:rsidRPr="00EC25B1">
              <w:rPr>
                <w:color w:val="000000"/>
                <w:sz w:val="20"/>
                <w:szCs w:val="20"/>
              </w:rPr>
              <w:t>)</w:t>
            </w:r>
          </w:p>
        </w:tc>
        <w:tc>
          <w:tcPr>
            <w:tcW w:w="1452" w:type="pct"/>
          </w:tcPr>
          <w:p w:rsidR="00493EC1" w:rsidRPr="00EC25B1" w:rsidRDefault="00493EC1" w:rsidP="00025B26">
            <w:pPr>
              <w:snapToGrid w:val="0"/>
              <w:jc w:val="both"/>
              <w:rPr>
                <w:color w:val="000000"/>
                <w:sz w:val="20"/>
                <w:szCs w:val="20"/>
              </w:rPr>
            </w:pPr>
            <w:r w:rsidRPr="00EC25B1">
              <w:rPr>
                <w:color w:val="000000"/>
                <w:sz w:val="20"/>
                <w:szCs w:val="20"/>
              </w:rPr>
              <w:t>3.30±0.84</w:t>
            </w:r>
          </w:p>
        </w:tc>
        <w:tc>
          <w:tcPr>
            <w:tcW w:w="1451" w:type="pct"/>
          </w:tcPr>
          <w:p w:rsidR="00493EC1" w:rsidRPr="00EC25B1" w:rsidRDefault="00493EC1" w:rsidP="00025B26">
            <w:pPr>
              <w:snapToGrid w:val="0"/>
              <w:jc w:val="both"/>
              <w:rPr>
                <w:color w:val="000000"/>
                <w:sz w:val="20"/>
                <w:szCs w:val="20"/>
              </w:rPr>
            </w:pPr>
            <w:r w:rsidRPr="00EC25B1">
              <w:rPr>
                <w:color w:val="000000"/>
                <w:sz w:val="20"/>
                <w:szCs w:val="20"/>
              </w:rPr>
              <w:t>4.19±1.50</w:t>
            </w:r>
          </w:p>
        </w:tc>
        <w:tc>
          <w:tcPr>
            <w:tcW w:w="484" w:type="pct"/>
          </w:tcPr>
          <w:p w:rsidR="00493EC1" w:rsidRPr="00EC25B1" w:rsidRDefault="00493EC1" w:rsidP="00025B26">
            <w:pPr>
              <w:snapToGrid w:val="0"/>
              <w:jc w:val="both"/>
              <w:rPr>
                <w:color w:val="000000"/>
                <w:sz w:val="20"/>
                <w:szCs w:val="20"/>
              </w:rPr>
            </w:pPr>
            <w:r w:rsidRPr="00EC25B1">
              <w:rPr>
                <w:color w:val="000000"/>
                <w:sz w:val="20"/>
                <w:szCs w:val="20"/>
              </w:rPr>
              <w:t>.082</w:t>
            </w:r>
          </w:p>
        </w:tc>
      </w:tr>
      <w:tr w:rsidR="00493EC1" w:rsidRPr="00EC25B1" w:rsidTr="00EC25B1">
        <w:trPr>
          <w:jc w:val="center"/>
        </w:trPr>
        <w:tc>
          <w:tcPr>
            <w:tcW w:w="1613" w:type="pct"/>
          </w:tcPr>
          <w:p w:rsidR="00493EC1" w:rsidRPr="00EC25B1" w:rsidRDefault="00493EC1" w:rsidP="00025B26">
            <w:pPr>
              <w:snapToGrid w:val="0"/>
              <w:jc w:val="both"/>
              <w:rPr>
                <w:color w:val="000000"/>
                <w:sz w:val="20"/>
                <w:szCs w:val="20"/>
              </w:rPr>
            </w:pPr>
            <w:proofErr w:type="spellStart"/>
            <w:r w:rsidRPr="00EC25B1">
              <w:rPr>
                <w:color w:val="000000"/>
                <w:sz w:val="20"/>
                <w:szCs w:val="20"/>
              </w:rPr>
              <w:t>Hb</w:t>
            </w:r>
            <w:proofErr w:type="spellEnd"/>
            <w:r w:rsidRPr="00EC25B1">
              <w:rPr>
                <w:color w:val="000000"/>
                <w:sz w:val="20"/>
                <w:szCs w:val="20"/>
              </w:rPr>
              <w:t xml:space="preserve"> (g/</w:t>
            </w:r>
            <w:proofErr w:type="spellStart"/>
            <w:r w:rsidRPr="00EC25B1">
              <w:rPr>
                <w:color w:val="000000"/>
                <w:sz w:val="20"/>
                <w:szCs w:val="20"/>
              </w:rPr>
              <w:t>dL</w:t>
            </w:r>
            <w:proofErr w:type="spellEnd"/>
            <w:r w:rsidRPr="00EC25B1">
              <w:rPr>
                <w:color w:val="000000"/>
                <w:sz w:val="20"/>
                <w:szCs w:val="20"/>
              </w:rPr>
              <w:t xml:space="preserve">, </w:t>
            </w:r>
            <w:proofErr w:type="spellStart"/>
            <w:r w:rsidRPr="00EC25B1">
              <w:rPr>
                <w:color w:val="000000"/>
                <w:sz w:val="20"/>
                <w:szCs w:val="20"/>
              </w:rPr>
              <w:t>mean±SD</w:t>
            </w:r>
            <w:proofErr w:type="spellEnd"/>
            <w:r w:rsidRPr="00EC25B1">
              <w:rPr>
                <w:color w:val="000000"/>
                <w:sz w:val="20"/>
                <w:szCs w:val="20"/>
              </w:rPr>
              <w:t>)</w:t>
            </w:r>
          </w:p>
        </w:tc>
        <w:tc>
          <w:tcPr>
            <w:tcW w:w="1452" w:type="pct"/>
          </w:tcPr>
          <w:p w:rsidR="00493EC1" w:rsidRPr="00EC25B1" w:rsidRDefault="00493EC1" w:rsidP="00025B26">
            <w:pPr>
              <w:snapToGrid w:val="0"/>
              <w:jc w:val="both"/>
              <w:rPr>
                <w:color w:val="000000"/>
                <w:sz w:val="20"/>
                <w:szCs w:val="20"/>
              </w:rPr>
            </w:pPr>
            <w:r w:rsidRPr="00EC25B1">
              <w:rPr>
                <w:color w:val="000000"/>
                <w:sz w:val="20"/>
                <w:szCs w:val="20"/>
              </w:rPr>
              <w:t>8.75±2.24</w:t>
            </w:r>
          </w:p>
        </w:tc>
        <w:tc>
          <w:tcPr>
            <w:tcW w:w="1451" w:type="pct"/>
          </w:tcPr>
          <w:p w:rsidR="00493EC1" w:rsidRPr="00EC25B1" w:rsidRDefault="00493EC1" w:rsidP="00025B26">
            <w:pPr>
              <w:snapToGrid w:val="0"/>
              <w:jc w:val="both"/>
              <w:rPr>
                <w:color w:val="000000"/>
                <w:sz w:val="20"/>
                <w:szCs w:val="20"/>
              </w:rPr>
            </w:pPr>
            <w:r w:rsidRPr="00EC25B1">
              <w:rPr>
                <w:color w:val="000000"/>
                <w:sz w:val="20"/>
                <w:szCs w:val="20"/>
              </w:rPr>
              <w:t>9.68±1.56</w:t>
            </w:r>
          </w:p>
        </w:tc>
        <w:tc>
          <w:tcPr>
            <w:tcW w:w="484" w:type="pct"/>
          </w:tcPr>
          <w:p w:rsidR="00493EC1" w:rsidRPr="00EC25B1" w:rsidRDefault="00493EC1" w:rsidP="00025B26">
            <w:pPr>
              <w:snapToGrid w:val="0"/>
              <w:jc w:val="both"/>
              <w:rPr>
                <w:color w:val="000000"/>
                <w:sz w:val="20"/>
                <w:szCs w:val="20"/>
              </w:rPr>
            </w:pPr>
            <w:r w:rsidRPr="00EC25B1">
              <w:rPr>
                <w:color w:val="000000"/>
                <w:sz w:val="20"/>
                <w:szCs w:val="20"/>
              </w:rPr>
              <w:t>.288</w:t>
            </w:r>
          </w:p>
        </w:tc>
      </w:tr>
      <w:tr w:rsidR="00493EC1" w:rsidRPr="00EC25B1" w:rsidTr="00EC25B1">
        <w:trPr>
          <w:jc w:val="center"/>
        </w:trPr>
        <w:tc>
          <w:tcPr>
            <w:tcW w:w="1613" w:type="pct"/>
          </w:tcPr>
          <w:p w:rsidR="00493EC1" w:rsidRPr="00EC25B1" w:rsidRDefault="00493EC1" w:rsidP="00025B26">
            <w:pPr>
              <w:snapToGrid w:val="0"/>
              <w:jc w:val="both"/>
              <w:rPr>
                <w:color w:val="000000"/>
                <w:sz w:val="20"/>
                <w:szCs w:val="20"/>
              </w:rPr>
            </w:pPr>
            <w:proofErr w:type="spellStart"/>
            <w:r w:rsidRPr="00EC25B1">
              <w:rPr>
                <w:color w:val="000000"/>
                <w:sz w:val="20"/>
                <w:szCs w:val="20"/>
              </w:rPr>
              <w:t>Hct</w:t>
            </w:r>
            <w:proofErr w:type="spellEnd"/>
            <w:r w:rsidRPr="00EC25B1">
              <w:rPr>
                <w:color w:val="000000"/>
                <w:sz w:val="20"/>
                <w:szCs w:val="20"/>
              </w:rPr>
              <w:t xml:space="preserve"> (%, </w:t>
            </w:r>
            <w:proofErr w:type="spellStart"/>
            <w:r w:rsidRPr="00EC25B1">
              <w:rPr>
                <w:color w:val="000000"/>
                <w:sz w:val="20"/>
                <w:szCs w:val="20"/>
              </w:rPr>
              <w:t>mean±SD</w:t>
            </w:r>
            <w:proofErr w:type="spellEnd"/>
            <w:r w:rsidRPr="00EC25B1">
              <w:rPr>
                <w:color w:val="000000"/>
                <w:sz w:val="20"/>
                <w:szCs w:val="20"/>
              </w:rPr>
              <w:t>)</w:t>
            </w:r>
          </w:p>
        </w:tc>
        <w:tc>
          <w:tcPr>
            <w:tcW w:w="1452" w:type="pct"/>
          </w:tcPr>
          <w:p w:rsidR="00493EC1" w:rsidRPr="00EC25B1" w:rsidRDefault="00493EC1" w:rsidP="00025B26">
            <w:pPr>
              <w:snapToGrid w:val="0"/>
              <w:jc w:val="both"/>
              <w:rPr>
                <w:color w:val="000000"/>
                <w:sz w:val="20"/>
                <w:szCs w:val="20"/>
              </w:rPr>
            </w:pPr>
            <w:r w:rsidRPr="00EC25B1">
              <w:rPr>
                <w:color w:val="000000"/>
                <w:sz w:val="20"/>
                <w:szCs w:val="20"/>
              </w:rPr>
              <w:t>26.06±6.64</w:t>
            </w:r>
          </w:p>
        </w:tc>
        <w:tc>
          <w:tcPr>
            <w:tcW w:w="1451" w:type="pct"/>
          </w:tcPr>
          <w:p w:rsidR="00493EC1" w:rsidRPr="00EC25B1" w:rsidRDefault="00493EC1" w:rsidP="00025B26">
            <w:pPr>
              <w:snapToGrid w:val="0"/>
              <w:jc w:val="both"/>
              <w:rPr>
                <w:color w:val="000000"/>
                <w:sz w:val="20"/>
                <w:szCs w:val="20"/>
              </w:rPr>
            </w:pPr>
            <w:r w:rsidRPr="00EC25B1">
              <w:rPr>
                <w:color w:val="000000"/>
                <w:sz w:val="20"/>
                <w:szCs w:val="20"/>
              </w:rPr>
              <w:t>28.52±4.40</w:t>
            </w:r>
          </w:p>
        </w:tc>
        <w:tc>
          <w:tcPr>
            <w:tcW w:w="484" w:type="pct"/>
          </w:tcPr>
          <w:p w:rsidR="00493EC1" w:rsidRPr="00EC25B1" w:rsidRDefault="00493EC1" w:rsidP="00025B26">
            <w:pPr>
              <w:snapToGrid w:val="0"/>
              <w:jc w:val="both"/>
              <w:rPr>
                <w:color w:val="000000"/>
                <w:sz w:val="20"/>
                <w:szCs w:val="20"/>
              </w:rPr>
            </w:pPr>
            <w:r w:rsidRPr="00EC25B1">
              <w:rPr>
                <w:color w:val="000000"/>
                <w:sz w:val="20"/>
                <w:szCs w:val="20"/>
              </w:rPr>
              <w:t>.340</w:t>
            </w:r>
          </w:p>
        </w:tc>
      </w:tr>
      <w:tr w:rsidR="00493EC1" w:rsidRPr="00EC25B1" w:rsidTr="00EC25B1">
        <w:trPr>
          <w:jc w:val="center"/>
        </w:trPr>
        <w:tc>
          <w:tcPr>
            <w:tcW w:w="1613" w:type="pct"/>
          </w:tcPr>
          <w:p w:rsidR="00493EC1" w:rsidRPr="00EC25B1" w:rsidRDefault="00493EC1" w:rsidP="00025B26">
            <w:pPr>
              <w:snapToGrid w:val="0"/>
              <w:jc w:val="both"/>
              <w:rPr>
                <w:color w:val="000000"/>
                <w:sz w:val="20"/>
                <w:szCs w:val="20"/>
              </w:rPr>
            </w:pPr>
            <w:r w:rsidRPr="00EC25B1">
              <w:rPr>
                <w:color w:val="000000"/>
                <w:sz w:val="20"/>
                <w:szCs w:val="20"/>
              </w:rPr>
              <w:t>Platelet (×10</w:t>
            </w:r>
            <w:r w:rsidRPr="00EC25B1">
              <w:rPr>
                <w:color w:val="000000"/>
                <w:sz w:val="20"/>
                <w:szCs w:val="20"/>
                <w:vertAlign w:val="superscript"/>
              </w:rPr>
              <w:t>9</w:t>
            </w:r>
            <w:r w:rsidRPr="00EC25B1">
              <w:rPr>
                <w:color w:val="000000"/>
                <w:sz w:val="20"/>
                <w:szCs w:val="20"/>
              </w:rPr>
              <w:t xml:space="preserve">/L, </w:t>
            </w:r>
            <w:proofErr w:type="spellStart"/>
            <w:r w:rsidRPr="00EC25B1">
              <w:rPr>
                <w:color w:val="000000"/>
                <w:sz w:val="20"/>
                <w:szCs w:val="20"/>
              </w:rPr>
              <w:t>mean±SD</w:t>
            </w:r>
            <w:proofErr w:type="spellEnd"/>
            <w:r w:rsidRPr="00EC25B1">
              <w:rPr>
                <w:color w:val="000000"/>
                <w:sz w:val="20"/>
                <w:szCs w:val="20"/>
              </w:rPr>
              <w:t>)</w:t>
            </w:r>
          </w:p>
        </w:tc>
        <w:tc>
          <w:tcPr>
            <w:tcW w:w="1452" w:type="pct"/>
          </w:tcPr>
          <w:p w:rsidR="00493EC1" w:rsidRPr="00EC25B1" w:rsidRDefault="00493EC1" w:rsidP="00025B26">
            <w:pPr>
              <w:snapToGrid w:val="0"/>
              <w:jc w:val="both"/>
              <w:rPr>
                <w:color w:val="000000"/>
                <w:sz w:val="20"/>
                <w:szCs w:val="20"/>
              </w:rPr>
            </w:pPr>
            <w:r w:rsidRPr="00EC25B1">
              <w:rPr>
                <w:color w:val="000000"/>
                <w:sz w:val="20"/>
                <w:szCs w:val="20"/>
              </w:rPr>
              <w:t>329.55±184.36</w:t>
            </w:r>
          </w:p>
        </w:tc>
        <w:tc>
          <w:tcPr>
            <w:tcW w:w="1451" w:type="pct"/>
          </w:tcPr>
          <w:p w:rsidR="00493EC1" w:rsidRPr="00EC25B1" w:rsidRDefault="00493EC1" w:rsidP="00025B26">
            <w:pPr>
              <w:snapToGrid w:val="0"/>
              <w:jc w:val="both"/>
              <w:rPr>
                <w:color w:val="000000"/>
                <w:sz w:val="20"/>
                <w:szCs w:val="20"/>
              </w:rPr>
            </w:pPr>
            <w:r w:rsidRPr="00EC25B1">
              <w:rPr>
                <w:color w:val="000000"/>
                <w:sz w:val="20"/>
                <w:szCs w:val="20"/>
              </w:rPr>
              <w:t>139.14±157.44</w:t>
            </w:r>
          </w:p>
        </w:tc>
        <w:tc>
          <w:tcPr>
            <w:tcW w:w="484" w:type="pct"/>
          </w:tcPr>
          <w:p w:rsidR="00493EC1" w:rsidRPr="00EC25B1" w:rsidRDefault="00493EC1" w:rsidP="00025B26">
            <w:pPr>
              <w:snapToGrid w:val="0"/>
              <w:jc w:val="both"/>
              <w:rPr>
                <w:color w:val="000000"/>
                <w:sz w:val="20"/>
                <w:szCs w:val="20"/>
                <w:vertAlign w:val="superscript"/>
              </w:rPr>
            </w:pPr>
            <w:r w:rsidRPr="00EC25B1">
              <w:rPr>
                <w:color w:val="000000"/>
                <w:sz w:val="20"/>
                <w:szCs w:val="20"/>
              </w:rPr>
              <w:t>.015</w:t>
            </w:r>
            <w:r w:rsidRPr="00EC25B1">
              <w:rPr>
                <w:color w:val="000000"/>
                <w:sz w:val="20"/>
                <w:szCs w:val="20"/>
                <w:vertAlign w:val="superscript"/>
              </w:rPr>
              <w:t>*</w:t>
            </w:r>
          </w:p>
        </w:tc>
      </w:tr>
    </w:tbl>
    <w:p w:rsidR="00025B26" w:rsidRDefault="00025B26" w:rsidP="00025B26">
      <w:pPr>
        <w:snapToGrid w:val="0"/>
        <w:ind w:firstLine="425"/>
        <w:jc w:val="both"/>
        <w:rPr>
          <w:rFonts w:hint="eastAsia"/>
          <w:sz w:val="20"/>
          <w:szCs w:val="20"/>
          <w:lang w:eastAsia="zh-CN"/>
        </w:rPr>
      </w:pPr>
    </w:p>
    <w:p w:rsidR="00EC25B1" w:rsidRPr="00EC25B1" w:rsidRDefault="00EC25B1" w:rsidP="00025B26">
      <w:pPr>
        <w:snapToGrid w:val="0"/>
        <w:ind w:firstLine="425"/>
        <w:jc w:val="both"/>
        <w:rPr>
          <w:rFonts w:hint="eastAsia"/>
          <w:sz w:val="20"/>
          <w:szCs w:val="20"/>
          <w:lang w:eastAsia="zh-CN"/>
        </w:rPr>
      </w:pPr>
    </w:p>
    <w:p w:rsidR="00025B26" w:rsidRPr="00EC25B1" w:rsidRDefault="00025B26" w:rsidP="00025B26">
      <w:pPr>
        <w:snapToGrid w:val="0"/>
        <w:ind w:firstLine="425"/>
        <w:jc w:val="both"/>
        <w:rPr>
          <w:sz w:val="20"/>
          <w:szCs w:val="20"/>
        </w:rPr>
        <w:sectPr w:rsidR="00025B26" w:rsidRPr="00EC25B1" w:rsidSect="00835C53">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space="576"/>
          <w:docGrid w:linePitch="360"/>
        </w:sectPr>
      </w:pPr>
    </w:p>
    <w:p w:rsidR="00835D53" w:rsidRPr="00EC25B1" w:rsidRDefault="00471E57" w:rsidP="00025B26">
      <w:pPr>
        <w:snapToGrid w:val="0"/>
        <w:jc w:val="both"/>
        <w:rPr>
          <w:b/>
          <w:sz w:val="20"/>
          <w:szCs w:val="20"/>
        </w:rPr>
      </w:pPr>
      <w:r w:rsidRPr="00EC25B1">
        <w:rPr>
          <w:b/>
          <w:sz w:val="20"/>
          <w:szCs w:val="20"/>
        </w:rPr>
        <w:lastRenderedPageBreak/>
        <w:t>4. Discussions</w:t>
      </w:r>
    </w:p>
    <w:p w:rsidR="00835D53" w:rsidRPr="00EC25B1" w:rsidRDefault="00835D53" w:rsidP="00025B26">
      <w:pPr>
        <w:snapToGrid w:val="0"/>
        <w:ind w:firstLine="425"/>
        <w:jc w:val="both"/>
        <w:rPr>
          <w:b/>
          <w:sz w:val="20"/>
          <w:szCs w:val="20"/>
        </w:rPr>
      </w:pPr>
      <w:r w:rsidRPr="00EC25B1">
        <w:rPr>
          <w:sz w:val="20"/>
          <w:szCs w:val="20"/>
        </w:rPr>
        <w:t xml:space="preserve">The </w:t>
      </w:r>
      <w:r w:rsidRPr="00EC25B1">
        <w:rPr>
          <w:rStyle w:val="Emphasis"/>
          <w:sz w:val="20"/>
          <w:szCs w:val="20"/>
        </w:rPr>
        <w:t>JAK2</w:t>
      </w:r>
      <w:r w:rsidRPr="00EC25B1">
        <w:rPr>
          <w:sz w:val="20"/>
          <w:szCs w:val="20"/>
        </w:rPr>
        <w:t xml:space="preserve"> V617F acquired somatic mutation is the most commonly described mutation associated with MPN. In PMF patients it have been detected in range (50-60%) </w:t>
      </w:r>
      <w:r w:rsidR="00ED235A" w:rsidRPr="00EC25B1">
        <w:rPr>
          <w:sz w:val="20"/>
          <w:szCs w:val="20"/>
        </w:rPr>
        <w:t>(</w:t>
      </w:r>
      <w:r w:rsidR="00E75A1F" w:rsidRPr="00EC25B1">
        <w:rPr>
          <w:rStyle w:val="element-citation"/>
          <w:sz w:val="20"/>
          <w:szCs w:val="20"/>
        </w:rPr>
        <w:t>Levine</w:t>
      </w:r>
      <w:r w:rsidR="00E75A1F" w:rsidRPr="00EC25B1">
        <w:rPr>
          <w:sz w:val="20"/>
          <w:szCs w:val="20"/>
        </w:rPr>
        <w:t xml:space="preserve"> et al, 2205)</w:t>
      </w:r>
      <w:r w:rsidR="00EC25B1">
        <w:rPr>
          <w:rFonts w:hint="eastAsia"/>
          <w:sz w:val="20"/>
          <w:szCs w:val="20"/>
          <w:lang w:eastAsia="zh-CN"/>
        </w:rPr>
        <w:t xml:space="preserve"> </w:t>
      </w:r>
      <w:proofErr w:type="gramStart"/>
      <w:r w:rsidR="00E75A1F" w:rsidRPr="00EC25B1">
        <w:rPr>
          <w:sz w:val="20"/>
          <w:szCs w:val="20"/>
        </w:rPr>
        <w:t>(</w:t>
      </w:r>
      <w:r w:rsidR="00ED235A" w:rsidRPr="00EC25B1">
        <w:rPr>
          <w:sz w:val="20"/>
          <w:szCs w:val="20"/>
        </w:rPr>
        <w:t xml:space="preserve">Sultan and </w:t>
      </w:r>
      <w:proofErr w:type="spellStart"/>
      <w:r w:rsidR="00ED235A" w:rsidRPr="00EC25B1">
        <w:rPr>
          <w:sz w:val="20"/>
          <w:szCs w:val="20"/>
        </w:rPr>
        <w:t>Irfan</w:t>
      </w:r>
      <w:proofErr w:type="spellEnd"/>
      <w:r w:rsidR="00ED235A" w:rsidRPr="00EC25B1">
        <w:rPr>
          <w:sz w:val="20"/>
          <w:szCs w:val="20"/>
        </w:rPr>
        <w:t>,</w:t>
      </w:r>
      <w:r w:rsidR="00E75A1F" w:rsidRPr="00EC25B1">
        <w:rPr>
          <w:sz w:val="20"/>
          <w:szCs w:val="20"/>
        </w:rPr>
        <w:t xml:space="preserve"> 2015)</w:t>
      </w:r>
      <w:r w:rsidRPr="00EC25B1">
        <w:rPr>
          <w:sz w:val="20"/>
          <w:szCs w:val="20"/>
        </w:rPr>
        <w:t>].</w:t>
      </w:r>
      <w:proofErr w:type="gramEnd"/>
      <w:r w:rsidRPr="00EC25B1">
        <w:rPr>
          <w:sz w:val="20"/>
          <w:szCs w:val="20"/>
        </w:rPr>
        <w:t xml:space="preserve"> Prevalence of JAK2V617F mutation in PMF patients in our study was 51.1%, similar to the reported data worldwide. The median allele burden of </w:t>
      </w:r>
      <w:r w:rsidRPr="00EC25B1">
        <w:rPr>
          <w:rStyle w:val="Emphasis"/>
          <w:sz w:val="20"/>
          <w:szCs w:val="20"/>
        </w:rPr>
        <w:t>JAK2</w:t>
      </w:r>
      <w:r w:rsidRPr="00EC25B1">
        <w:rPr>
          <w:sz w:val="20"/>
          <w:szCs w:val="20"/>
        </w:rPr>
        <w:t xml:space="preserve">-V617F for positive patients was 69.3%, similar to findings by </w:t>
      </w:r>
      <w:r w:rsidRPr="00EC25B1">
        <w:rPr>
          <w:rFonts w:eastAsia="Times New Roman"/>
          <w:i/>
          <w:iCs/>
          <w:sz w:val="20"/>
          <w:szCs w:val="20"/>
        </w:rPr>
        <w:t>Larsen TS</w:t>
      </w:r>
      <w:r w:rsidRPr="00EC25B1">
        <w:rPr>
          <w:sz w:val="20"/>
          <w:szCs w:val="20"/>
        </w:rPr>
        <w:t xml:space="preserve"> et al </w:t>
      </w:r>
      <w:r w:rsidR="00E75A1F" w:rsidRPr="00EC25B1">
        <w:rPr>
          <w:sz w:val="20"/>
          <w:szCs w:val="20"/>
        </w:rPr>
        <w:t>(</w:t>
      </w:r>
      <w:r w:rsidR="00E75A1F" w:rsidRPr="00EC25B1">
        <w:rPr>
          <w:rFonts w:eastAsia="Times New Roman"/>
          <w:sz w:val="20"/>
          <w:szCs w:val="20"/>
        </w:rPr>
        <w:t>Larsen</w:t>
      </w:r>
      <w:r w:rsidR="00E75A1F" w:rsidRPr="00EC25B1">
        <w:rPr>
          <w:sz w:val="20"/>
          <w:szCs w:val="20"/>
        </w:rPr>
        <w:t xml:space="preserve"> et al</w:t>
      </w:r>
      <w:r w:rsidR="00ED235A" w:rsidRPr="00EC25B1">
        <w:rPr>
          <w:sz w:val="20"/>
          <w:szCs w:val="20"/>
        </w:rPr>
        <w:t>.</w:t>
      </w:r>
      <w:r w:rsidR="00E75A1F" w:rsidRPr="00EC25B1">
        <w:rPr>
          <w:sz w:val="20"/>
          <w:szCs w:val="20"/>
        </w:rPr>
        <w:t>, 2007)</w:t>
      </w:r>
      <w:r w:rsidRPr="00EC25B1">
        <w:rPr>
          <w:sz w:val="20"/>
          <w:szCs w:val="20"/>
        </w:rPr>
        <w:t xml:space="preserve"> and</w:t>
      </w:r>
      <w:r w:rsidRPr="00EC25B1">
        <w:rPr>
          <w:rFonts w:eastAsia="Times New Roman"/>
          <w:i/>
          <w:iCs/>
          <w:sz w:val="20"/>
          <w:szCs w:val="20"/>
        </w:rPr>
        <w:t xml:space="preserve"> </w:t>
      </w:r>
      <w:r w:rsidRPr="00EC25B1">
        <w:rPr>
          <w:rFonts w:eastAsia="Times New Roman"/>
          <w:sz w:val="20"/>
          <w:szCs w:val="20"/>
        </w:rPr>
        <w:t>Sang</w:t>
      </w:r>
      <w:r w:rsidR="00ED235A" w:rsidRPr="00EC25B1">
        <w:rPr>
          <w:sz w:val="20"/>
          <w:szCs w:val="20"/>
        </w:rPr>
        <w:t xml:space="preserve"> P et al (</w:t>
      </w:r>
      <w:r w:rsidR="00E75A1F" w:rsidRPr="00EC25B1">
        <w:rPr>
          <w:rFonts w:eastAsia="Times New Roman"/>
          <w:sz w:val="20"/>
          <w:szCs w:val="20"/>
        </w:rPr>
        <w:t>Sang et al., 2013</w:t>
      </w:r>
      <w:r w:rsidR="00ED235A" w:rsidRPr="00EC25B1">
        <w:rPr>
          <w:sz w:val="20"/>
          <w:szCs w:val="20"/>
        </w:rPr>
        <w:t>)</w:t>
      </w:r>
      <w:r w:rsidRPr="00EC25B1">
        <w:rPr>
          <w:sz w:val="20"/>
          <w:szCs w:val="20"/>
        </w:rPr>
        <w:t xml:space="preserve">. In our study, the </w:t>
      </w:r>
      <w:proofErr w:type="spellStart"/>
      <w:r w:rsidRPr="00EC25B1">
        <w:rPr>
          <w:sz w:val="20"/>
          <w:szCs w:val="20"/>
        </w:rPr>
        <w:t>homozygosity</w:t>
      </w:r>
      <w:proofErr w:type="spellEnd"/>
      <w:r w:rsidRPr="00EC25B1">
        <w:rPr>
          <w:sz w:val="20"/>
          <w:szCs w:val="20"/>
        </w:rPr>
        <w:t xml:space="preserve"> among JAK2V617F positive PMF patients was 60.9% correspond 31.1% of whole patients. Similarly these </w:t>
      </w:r>
      <w:proofErr w:type="gramStart"/>
      <w:r w:rsidRPr="00EC25B1">
        <w:rPr>
          <w:sz w:val="20"/>
          <w:szCs w:val="20"/>
        </w:rPr>
        <w:t>result</w:t>
      </w:r>
      <w:proofErr w:type="gramEnd"/>
      <w:r w:rsidRPr="00EC25B1">
        <w:rPr>
          <w:sz w:val="20"/>
          <w:szCs w:val="20"/>
        </w:rPr>
        <w:t xml:space="preserve"> were reported in numerous published studies </w:t>
      </w:r>
      <w:r w:rsidR="00261A17" w:rsidRPr="00EC25B1">
        <w:rPr>
          <w:sz w:val="20"/>
          <w:szCs w:val="20"/>
        </w:rPr>
        <w:t>(Singh et al., 2015)</w:t>
      </w:r>
      <w:r w:rsidR="00EC25B1">
        <w:rPr>
          <w:rFonts w:hint="eastAsia"/>
          <w:sz w:val="20"/>
          <w:szCs w:val="20"/>
          <w:lang w:eastAsia="zh-CN"/>
        </w:rPr>
        <w:t xml:space="preserve"> </w:t>
      </w:r>
      <w:r w:rsidR="00261A17" w:rsidRPr="00EC25B1">
        <w:rPr>
          <w:sz w:val="20"/>
          <w:szCs w:val="20"/>
        </w:rPr>
        <w:t>(</w:t>
      </w:r>
      <w:proofErr w:type="spellStart"/>
      <w:r w:rsidR="00261A17" w:rsidRPr="00EC25B1">
        <w:rPr>
          <w:rFonts w:eastAsia="Times New Roman"/>
          <w:sz w:val="20"/>
          <w:szCs w:val="20"/>
        </w:rPr>
        <w:t>Ipek</w:t>
      </w:r>
      <w:proofErr w:type="spellEnd"/>
      <w:r w:rsidR="00EC25B1">
        <w:rPr>
          <w:rFonts w:eastAsia="Times New Roman"/>
          <w:sz w:val="20"/>
          <w:szCs w:val="20"/>
        </w:rPr>
        <w:t xml:space="preserve"> </w:t>
      </w:r>
      <w:r w:rsidR="00261A17" w:rsidRPr="00EC25B1">
        <w:rPr>
          <w:sz w:val="20"/>
          <w:szCs w:val="20"/>
        </w:rPr>
        <w:t>et al., 2015)</w:t>
      </w:r>
      <w:r w:rsidR="00EC25B1">
        <w:rPr>
          <w:rFonts w:hint="eastAsia"/>
          <w:sz w:val="20"/>
          <w:szCs w:val="20"/>
          <w:lang w:eastAsia="zh-CN"/>
        </w:rPr>
        <w:t xml:space="preserve"> </w:t>
      </w:r>
      <w:r w:rsidR="00261A17" w:rsidRPr="00EC25B1">
        <w:rPr>
          <w:sz w:val="20"/>
          <w:szCs w:val="20"/>
        </w:rPr>
        <w:t>(</w:t>
      </w:r>
      <w:proofErr w:type="spellStart"/>
      <w:r w:rsidR="00261A17" w:rsidRPr="00EC25B1">
        <w:rPr>
          <w:rFonts w:eastAsia="Times New Roman"/>
          <w:sz w:val="20"/>
          <w:szCs w:val="20"/>
        </w:rPr>
        <w:t>Kralovics</w:t>
      </w:r>
      <w:proofErr w:type="spellEnd"/>
      <w:r w:rsidR="00261A17" w:rsidRPr="00EC25B1">
        <w:rPr>
          <w:rFonts w:eastAsia="Times New Roman"/>
          <w:sz w:val="20"/>
          <w:szCs w:val="20"/>
        </w:rPr>
        <w:t xml:space="preserve"> </w:t>
      </w:r>
      <w:r w:rsidR="00261A17" w:rsidRPr="00EC25B1">
        <w:rPr>
          <w:sz w:val="20"/>
          <w:szCs w:val="20"/>
        </w:rPr>
        <w:t>et al., 2005)</w:t>
      </w:r>
      <w:r w:rsidR="00EC25B1">
        <w:rPr>
          <w:rFonts w:hint="eastAsia"/>
          <w:sz w:val="20"/>
          <w:szCs w:val="20"/>
          <w:lang w:eastAsia="zh-CN"/>
        </w:rPr>
        <w:t xml:space="preserve"> </w:t>
      </w:r>
      <w:r w:rsidR="00261A17" w:rsidRPr="00EC25B1">
        <w:rPr>
          <w:sz w:val="20"/>
          <w:szCs w:val="20"/>
        </w:rPr>
        <w:t>(</w:t>
      </w:r>
      <w:proofErr w:type="spellStart"/>
      <w:r w:rsidR="00261A17" w:rsidRPr="00EC25B1">
        <w:rPr>
          <w:rFonts w:eastAsia="Times New Roman"/>
          <w:sz w:val="20"/>
          <w:szCs w:val="20"/>
        </w:rPr>
        <w:t>Yonal</w:t>
      </w:r>
      <w:proofErr w:type="spellEnd"/>
      <w:r w:rsidR="00EC25B1">
        <w:rPr>
          <w:rFonts w:eastAsia="Times New Roman"/>
          <w:sz w:val="20"/>
          <w:szCs w:val="20"/>
        </w:rPr>
        <w:t xml:space="preserve"> </w:t>
      </w:r>
      <w:r w:rsidR="00261A17" w:rsidRPr="00EC25B1">
        <w:rPr>
          <w:rFonts w:eastAsia="Times New Roman"/>
          <w:sz w:val="20"/>
          <w:szCs w:val="20"/>
        </w:rPr>
        <w:t>et al., 2015)</w:t>
      </w:r>
      <w:r w:rsidRPr="00EC25B1">
        <w:rPr>
          <w:sz w:val="20"/>
          <w:szCs w:val="20"/>
        </w:rPr>
        <w:t>.</w:t>
      </w:r>
    </w:p>
    <w:p w:rsidR="00835D53" w:rsidRPr="00EC25B1" w:rsidRDefault="00835D53" w:rsidP="00025B26">
      <w:pPr>
        <w:snapToGrid w:val="0"/>
        <w:ind w:firstLine="425"/>
        <w:jc w:val="both"/>
        <w:rPr>
          <w:sz w:val="20"/>
          <w:szCs w:val="20"/>
          <w:shd w:val="clear" w:color="auto" w:fill="FFFFFF"/>
        </w:rPr>
      </w:pPr>
      <w:r w:rsidRPr="00EC25B1">
        <w:rPr>
          <w:sz w:val="20"/>
          <w:szCs w:val="20"/>
        </w:rPr>
        <w:t xml:space="preserve">In numerous studies, the JAK2V617F mutation has been variably associated with higher indices of </w:t>
      </w:r>
      <w:proofErr w:type="spellStart"/>
      <w:r w:rsidRPr="00EC25B1">
        <w:rPr>
          <w:sz w:val="20"/>
          <w:szCs w:val="20"/>
        </w:rPr>
        <w:t>erythropoiesis</w:t>
      </w:r>
      <w:proofErr w:type="spellEnd"/>
      <w:r w:rsidRPr="00EC25B1">
        <w:rPr>
          <w:sz w:val="20"/>
          <w:szCs w:val="20"/>
        </w:rPr>
        <w:t xml:space="preserve">, unchanged or decreased platelet count, increased bone marrow fibrosis, older age, and longer duration of disease </w:t>
      </w:r>
      <w:r w:rsidR="000C114F" w:rsidRPr="00EC25B1">
        <w:rPr>
          <w:sz w:val="20"/>
          <w:szCs w:val="20"/>
          <w:shd w:val="clear" w:color="auto" w:fill="FFFFFF"/>
        </w:rPr>
        <w:t>(</w:t>
      </w:r>
      <w:proofErr w:type="spellStart"/>
      <w:r w:rsidR="00261A17" w:rsidRPr="00EC25B1">
        <w:rPr>
          <w:sz w:val="20"/>
          <w:szCs w:val="20"/>
        </w:rPr>
        <w:t>Kralovics</w:t>
      </w:r>
      <w:proofErr w:type="spellEnd"/>
      <w:r w:rsidR="00261A17" w:rsidRPr="00EC25B1">
        <w:rPr>
          <w:sz w:val="20"/>
          <w:szCs w:val="20"/>
        </w:rPr>
        <w:t xml:space="preserve"> et al.,2005)</w:t>
      </w:r>
      <w:r w:rsidR="00EC25B1">
        <w:rPr>
          <w:rFonts w:hint="eastAsia"/>
          <w:sz w:val="20"/>
          <w:szCs w:val="20"/>
          <w:lang w:eastAsia="zh-CN"/>
        </w:rPr>
        <w:t xml:space="preserve"> </w:t>
      </w:r>
      <w:r w:rsidR="00261A17" w:rsidRPr="00EC25B1">
        <w:rPr>
          <w:sz w:val="20"/>
          <w:szCs w:val="20"/>
          <w:shd w:val="clear" w:color="auto" w:fill="FFFFFF"/>
        </w:rPr>
        <w:t>(</w:t>
      </w:r>
      <w:proofErr w:type="spellStart"/>
      <w:r w:rsidR="00261A17" w:rsidRPr="00EC25B1">
        <w:rPr>
          <w:sz w:val="20"/>
          <w:szCs w:val="20"/>
        </w:rPr>
        <w:t>Rudzki</w:t>
      </w:r>
      <w:proofErr w:type="spellEnd"/>
      <w:r w:rsidR="00261A17" w:rsidRPr="00EC25B1">
        <w:rPr>
          <w:sz w:val="20"/>
          <w:szCs w:val="20"/>
        </w:rPr>
        <w:t xml:space="preserve"> </w:t>
      </w:r>
      <w:r w:rsidR="000C114F" w:rsidRPr="00EC25B1">
        <w:rPr>
          <w:sz w:val="20"/>
          <w:szCs w:val="20"/>
        </w:rPr>
        <w:t>et al., 2007</w:t>
      </w:r>
      <w:r w:rsidR="00261A17" w:rsidRPr="00EC25B1">
        <w:rPr>
          <w:sz w:val="20"/>
          <w:szCs w:val="20"/>
        </w:rPr>
        <w:t>)</w:t>
      </w:r>
      <w:r w:rsidR="00EC25B1">
        <w:rPr>
          <w:rFonts w:hint="eastAsia"/>
          <w:sz w:val="20"/>
          <w:szCs w:val="20"/>
          <w:lang w:eastAsia="zh-CN"/>
        </w:rPr>
        <w:t xml:space="preserve"> </w:t>
      </w:r>
      <w:r w:rsidR="00261A17" w:rsidRPr="00EC25B1">
        <w:rPr>
          <w:sz w:val="20"/>
          <w:szCs w:val="20"/>
        </w:rPr>
        <w:t>(</w:t>
      </w:r>
      <w:proofErr w:type="spellStart"/>
      <w:r w:rsidR="000C114F" w:rsidRPr="00EC25B1">
        <w:rPr>
          <w:sz w:val="20"/>
          <w:szCs w:val="20"/>
        </w:rPr>
        <w:t>Speletas</w:t>
      </w:r>
      <w:proofErr w:type="spellEnd"/>
      <w:r w:rsidR="000C114F" w:rsidRPr="00EC25B1">
        <w:rPr>
          <w:sz w:val="20"/>
          <w:szCs w:val="20"/>
        </w:rPr>
        <w:t xml:space="preserve"> et al.,2007)</w:t>
      </w:r>
      <w:r w:rsidRPr="00EC25B1">
        <w:rPr>
          <w:sz w:val="20"/>
          <w:szCs w:val="20"/>
          <w:shd w:val="clear" w:color="auto" w:fill="FFFFFF"/>
        </w:rPr>
        <w:t xml:space="preserve">. The studies by </w:t>
      </w:r>
      <w:proofErr w:type="spellStart"/>
      <w:r w:rsidRPr="00EC25B1">
        <w:rPr>
          <w:sz w:val="20"/>
          <w:szCs w:val="20"/>
          <w:shd w:val="clear" w:color="auto" w:fill="FFFFFF"/>
        </w:rPr>
        <w:t>Yonal</w:t>
      </w:r>
      <w:proofErr w:type="spellEnd"/>
      <w:r w:rsidRPr="00EC25B1">
        <w:rPr>
          <w:sz w:val="20"/>
          <w:szCs w:val="20"/>
          <w:shd w:val="clear" w:color="auto" w:fill="FFFFFF"/>
        </w:rPr>
        <w:t xml:space="preserve"> I et al </w:t>
      </w:r>
      <w:r w:rsidR="000C114F" w:rsidRPr="00EC25B1">
        <w:rPr>
          <w:sz w:val="20"/>
          <w:szCs w:val="20"/>
          <w:shd w:val="clear" w:color="auto" w:fill="FFFFFF"/>
        </w:rPr>
        <w:t>(</w:t>
      </w:r>
      <w:proofErr w:type="spellStart"/>
      <w:r w:rsidR="000C114F" w:rsidRPr="00EC25B1">
        <w:rPr>
          <w:rFonts w:eastAsia="Times New Roman"/>
          <w:sz w:val="20"/>
          <w:szCs w:val="20"/>
        </w:rPr>
        <w:t>Yonal</w:t>
      </w:r>
      <w:proofErr w:type="spellEnd"/>
      <w:r w:rsidR="000C114F" w:rsidRPr="00EC25B1">
        <w:rPr>
          <w:sz w:val="20"/>
          <w:szCs w:val="20"/>
          <w:shd w:val="clear" w:color="auto" w:fill="FFFFFF"/>
        </w:rPr>
        <w:t xml:space="preserve"> et al., 2015)</w:t>
      </w:r>
      <w:r w:rsidRPr="00EC25B1">
        <w:rPr>
          <w:sz w:val="20"/>
          <w:szCs w:val="20"/>
          <w:shd w:val="clear" w:color="auto" w:fill="FFFFFF"/>
        </w:rPr>
        <w:t xml:space="preserve">, </w:t>
      </w:r>
      <w:proofErr w:type="spellStart"/>
      <w:r w:rsidRPr="00EC25B1">
        <w:rPr>
          <w:sz w:val="20"/>
          <w:szCs w:val="20"/>
          <w:shd w:val="clear" w:color="auto" w:fill="FFFFFF"/>
        </w:rPr>
        <w:t>Benmoussa</w:t>
      </w:r>
      <w:proofErr w:type="spellEnd"/>
      <w:r w:rsidRPr="00EC25B1">
        <w:rPr>
          <w:sz w:val="20"/>
          <w:szCs w:val="20"/>
          <w:shd w:val="clear" w:color="auto" w:fill="FFFFFF"/>
        </w:rPr>
        <w:t xml:space="preserve"> A et al </w:t>
      </w:r>
      <w:r w:rsidR="000C114F" w:rsidRPr="00EC25B1">
        <w:rPr>
          <w:sz w:val="20"/>
          <w:szCs w:val="20"/>
          <w:shd w:val="clear" w:color="auto" w:fill="FFFFFF"/>
        </w:rPr>
        <w:t>(</w:t>
      </w:r>
      <w:proofErr w:type="spellStart"/>
      <w:r w:rsidR="000C114F" w:rsidRPr="00EC25B1">
        <w:rPr>
          <w:sz w:val="20"/>
          <w:szCs w:val="20"/>
          <w:shd w:val="clear" w:color="auto" w:fill="FFFFFF"/>
        </w:rPr>
        <w:t>Benmoussa</w:t>
      </w:r>
      <w:proofErr w:type="spellEnd"/>
      <w:r w:rsidR="000C114F" w:rsidRPr="00EC25B1">
        <w:rPr>
          <w:sz w:val="20"/>
          <w:szCs w:val="20"/>
          <w:shd w:val="clear" w:color="auto" w:fill="FFFFFF"/>
        </w:rPr>
        <w:t xml:space="preserve"> et al., 2011) and </w:t>
      </w:r>
      <w:proofErr w:type="spellStart"/>
      <w:r w:rsidR="000C114F" w:rsidRPr="00EC25B1">
        <w:rPr>
          <w:sz w:val="20"/>
          <w:szCs w:val="20"/>
          <w:shd w:val="clear" w:color="auto" w:fill="FFFFFF"/>
        </w:rPr>
        <w:t>Ayad</w:t>
      </w:r>
      <w:proofErr w:type="spellEnd"/>
      <w:r w:rsidR="000C114F" w:rsidRPr="00EC25B1">
        <w:rPr>
          <w:sz w:val="20"/>
          <w:szCs w:val="20"/>
          <w:shd w:val="clear" w:color="auto" w:fill="FFFFFF"/>
        </w:rPr>
        <w:t xml:space="preserve"> W et al (</w:t>
      </w:r>
      <w:proofErr w:type="spellStart"/>
      <w:r w:rsidR="000C114F" w:rsidRPr="00EC25B1">
        <w:rPr>
          <w:sz w:val="20"/>
          <w:szCs w:val="20"/>
          <w:shd w:val="clear" w:color="auto" w:fill="FFFFFF"/>
        </w:rPr>
        <w:t>Ayad</w:t>
      </w:r>
      <w:proofErr w:type="spellEnd"/>
      <w:r w:rsidR="000C114F" w:rsidRPr="00EC25B1">
        <w:rPr>
          <w:sz w:val="20"/>
          <w:szCs w:val="20"/>
          <w:shd w:val="clear" w:color="auto" w:fill="FFFFFF"/>
        </w:rPr>
        <w:t xml:space="preserve"> and </w:t>
      </w:r>
      <w:proofErr w:type="spellStart"/>
      <w:r w:rsidR="000C114F" w:rsidRPr="00EC25B1">
        <w:rPr>
          <w:sz w:val="20"/>
          <w:szCs w:val="20"/>
          <w:shd w:val="clear" w:color="auto" w:fill="FFFFFF"/>
        </w:rPr>
        <w:t>Nafea</w:t>
      </w:r>
      <w:proofErr w:type="spellEnd"/>
      <w:r w:rsidR="000C114F" w:rsidRPr="00EC25B1">
        <w:rPr>
          <w:sz w:val="20"/>
          <w:szCs w:val="20"/>
          <w:shd w:val="clear" w:color="auto" w:fill="FFFFFF"/>
        </w:rPr>
        <w:t>, 2010)</w:t>
      </w:r>
      <w:r w:rsidRPr="00EC25B1">
        <w:rPr>
          <w:sz w:val="20"/>
          <w:szCs w:val="20"/>
          <w:shd w:val="clear" w:color="auto" w:fill="FFFFFF"/>
        </w:rPr>
        <w:t xml:space="preserve"> showed association between JAK2-V617F mutation and </w:t>
      </w:r>
      <w:r w:rsidRPr="00EC25B1">
        <w:rPr>
          <w:sz w:val="20"/>
          <w:szCs w:val="20"/>
        </w:rPr>
        <w:t xml:space="preserve">higher levels of </w:t>
      </w:r>
      <w:proofErr w:type="spellStart"/>
      <w:r w:rsidRPr="00EC25B1">
        <w:rPr>
          <w:sz w:val="20"/>
          <w:szCs w:val="20"/>
        </w:rPr>
        <w:t>haemoglobin</w:t>
      </w:r>
      <w:proofErr w:type="spellEnd"/>
      <w:r w:rsidRPr="00EC25B1">
        <w:rPr>
          <w:sz w:val="20"/>
          <w:szCs w:val="20"/>
        </w:rPr>
        <w:t xml:space="preserve"> and </w:t>
      </w:r>
      <w:proofErr w:type="spellStart"/>
      <w:r w:rsidRPr="00EC25B1">
        <w:rPr>
          <w:sz w:val="20"/>
          <w:szCs w:val="20"/>
        </w:rPr>
        <w:t>hematocrit</w:t>
      </w:r>
      <w:proofErr w:type="spellEnd"/>
      <w:r w:rsidRPr="00EC25B1">
        <w:rPr>
          <w:sz w:val="20"/>
          <w:szCs w:val="20"/>
        </w:rPr>
        <w:t xml:space="preserve"> in PMF patients. Similarly we have observed significant differences in </w:t>
      </w:r>
      <w:proofErr w:type="spellStart"/>
      <w:r w:rsidRPr="00EC25B1">
        <w:rPr>
          <w:sz w:val="20"/>
          <w:szCs w:val="20"/>
        </w:rPr>
        <w:t>Hb</w:t>
      </w:r>
      <w:proofErr w:type="spellEnd"/>
      <w:r w:rsidRPr="00EC25B1">
        <w:rPr>
          <w:sz w:val="20"/>
          <w:szCs w:val="20"/>
        </w:rPr>
        <w:t xml:space="preserve"> and </w:t>
      </w:r>
      <w:proofErr w:type="spellStart"/>
      <w:r w:rsidRPr="00EC25B1">
        <w:rPr>
          <w:sz w:val="20"/>
          <w:szCs w:val="20"/>
        </w:rPr>
        <w:t>Hct</w:t>
      </w:r>
      <w:proofErr w:type="spellEnd"/>
      <w:r w:rsidRPr="00EC25B1">
        <w:rPr>
          <w:sz w:val="20"/>
          <w:szCs w:val="20"/>
        </w:rPr>
        <w:t xml:space="preserve"> between JAK2V617F-positive and JAK2V617F-negative PMF patients. Also we observed no significant differences in mean age, WBCs, RBCs or platelets between mutated and un mutated patients, these results were consistent with the observations reported by Ha S et al </w:t>
      </w:r>
      <w:r w:rsidR="000C114F" w:rsidRPr="00EC25B1">
        <w:rPr>
          <w:sz w:val="20"/>
          <w:szCs w:val="20"/>
        </w:rPr>
        <w:t>(Ha et al., 2012)</w:t>
      </w:r>
      <w:r w:rsidRPr="00EC25B1">
        <w:rPr>
          <w:sz w:val="20"/>
          <w:szCs w:val="20"/>
        </w:rPr>
        <w:t>, Sultan S et al</w:t>
      </w:r>
      <w:r w:rsidR="00997CA2" w:rsidRPr="00EC25B1">
        <w:rPr>
          <w:sz w:val="20"/>
          <w:szCs w:val="20"/>
        </w:rPr>
        <w:t xml:space="preserve"> (Sultan and </w:t>
      </w:r>
      <w:proofErr w:type="spellStart"/>
      <w:r w:rsidR="00997CA2" w:rsidRPr="00EC25B1">
        <w:rPr>
          <w:sz w:val="20"/>
          <w:szCs w:val="20"/>
        </w:rPr>
        <w:t>Irfan</w:t>
      </w:r>
      <w:proofErr w:type="spellEnd"/>
      <w:r w:rsidR="00997CA2" w:rsidRPr="00EC25B1">
        <w:rPr>
          <w:sz w:val="20"/>
          <w:szCs w:val="20"/>
        </w:rPr>
        <w:t>, 2015)</w:t>
      </w:r>
      <w:r w:rsidRPr="00EC25B1">
        <w:rPr>
          <w:sz w:val="20"/>
          <w:szCs w:val="20"/>
        </w:rPr>
        <w:t xml:space="preserve"> and </w:t>
      </w:r>
      <w:r w:rsidR="00997CA2" w:rsidRPr="00EC25B1">
        <w:rPr>
          <w:sz w:val="20"/>
          <w:szCs w:val="20"/>
        </w:rPr>
        <w:t>Campbell J et al (Campbell et al., 2005)</w:t>
      </w:r>
      <w:r w:rsidRPr="00EC25B1">
        <w:rPr>
          <w:sz w:val="20"/>
          <w:szCs w:val="20"/>
        </w:rPr>
        <w:t>.</w:t>
      </w:r>
    </w:p>
    <w:p w:rsidR="00835D53" w:rsidRPr="00EC25B1" w:rsidRDefault="00835D53" w:rsidP="00025B26">
      <w:pPr>
        <w:snapToGrid w:val="0"/>
        <w:ind w:firstLine="425"/>
        <w:jc w:val="both"/>
        <w:rPr>
          <w:sz w:val="20"/>
          <w:szCs w:val="20"/>
          <w:shd w:val="clear" w:color="auto" w:fill="FFFFFF"/>
        </w:rPr>
      </w:pPr>
      <w:r w:rsidRPr="00EC25B1">
        <w:rPr>
          <w:sz w:val="20"/>
          <w:szCs w:val="20"/>
          <w:shd w:val="clear" w:color="auto" w:fill="FFFFFF"/>
        </w:rPr>
        <w:t xml:space="preserve">Correlation analysis in our study showed association between JAK2V617F homozygous genotype and low platelets count </w:t>
      </w:r>
      <w:r w:rsidRPr="00EC25B1">
        <w:rPr>
          <w:sz w:val="20"/>
          <w:szCs w:val="20"/>
        </w:rPr>
        <w:t>(</w:t>
      </w:r>
      <w:r w:rsidRPr="00EC25B1">
        <w:rPr>
          <w:rStyle w:val="Emphasis"/>
          <w:sz w:val="20"/>
          <w:szCs w:val="20"/>
        </w:rPr>
        <w:t>P = .015)</w:t>
      </w:r>
      <w:r w:rsidRPr="00EC25B1">
        <w:rPr>
          <w:sz w:val="20"/>
          <w:szCs w:val="20"/>
        </w:rPr>
        <w:t xml:space="preserve">, </w:t>
      </w:r>
      <w:r w:rsidRPr="00EC25B1">
        <w:rPr>
          <w:sz w:val="20"/>
          <w:szCs w:val="20"/>
          <w:shd w:val="clear" w:color="auto" w:fill="FFFFFF"/>
        </w:rPr>
        <w:t>this observation was comparable with results in several studies [</w:t>
      </w:r>
      <w:proofErr w:type="spellStart"/>
      <w:r w:rsidR="00997CA2" w:rsidRPr="00EC25B1">
        <w:rPr>
          <w:rFonts w:eastAsia="Times New Roman"/>
          <w:sz w:val="20"/>
          <w:szCs w:val="20"/>
        </w:rPr>
        <w:t>Yonal</w:t>
      </w:r>
      <w:proofErr w:type="spellEnd"/>
      <w:r w:rsidR="00997CA2" w:rsidRPr="00EC25B1">
        <w:rPr>
          <w:sz w:val="20"/>
          <w:szCs w:val="20"/>
          <w:shd w:val="clear" w:color="auto" w:fill="FFFFFF"/>
        </w:rPr>
        <w:t xml:space="preserve"> et al., 2015)</w:t>
      </w:r>
      <w:r w:rsidR="00EC25B1">
        <w:rPr>
          <w:rFonts w:hint="eastAsia"/>
          <w:sz w:val="20"/>
          <w:szCs w:val="20"/>
          <w:shd w:val="clear" w:color="auto" w:fill="FFFFFF"/>
          <w:lang w:eastAsia="zh-CN"/>
        </w:rPr>
        <w:t xml:space="preserve"> </w:t>
      </w:r>
      <w:r w:rsidR="00997CA2" w:rsidRPr="00EC25B1">
        <w:rPr>
          <w:sz w:val="20"/>
          <w:szCs w:val="20"/>
          <w:shd w:val="clear" w:color="auto" w:fill="FFFFFF"/>
        </w:rPr>
        <w:t>(</w:t>
      </w:r>
      <w:proofErr w:type="spellStart"/>
      <w:r w:rsidR="00997CA2" w:rsidRPr="00EC25B1">
        <w:rPr>
          <w:sz w:val="20"/>
          <w:szCs w:val="20"/>
        </w:rPr>
        <w:t>Rudzki</w:t>
      </w:r>
      <w:proofErr w:type="spellEnd"/>
      <w:r w:rsidR="00997CA2" w:rsidRPr="00EC25B1">
        <w:rPr>
          <w:sz w:val="20"/>
          <w:szCs w:val="20"/>
        </w:rPr>
        <w:t xml:space="preserve"> et al., 2007)</w:t>
      </w:r>
      <w:r w:rsidRPr="00EC25B1">
        <w:rPr>
          <w:sz w:val="20"/>
          <w:szCs w:val="20"/>
          <w:shd w:val="clear" w:color="auto" w:fill="FFFFFF"/>
        </w:rPr>
        <w:t>. In contrast several studies [</w:t>
      </w:r>
      <w:r w:rsidR="00997CA2" w:rsidRPr="00EC25B1">
        <w:rPr>
          <w:sz w:val="20"/>
          <w:szCs w:val="20"/>
        </w:rPr>
        <w:t xml:space="preserve">(Sultan and </w:t>
      </w:r>
      <w:proofErr w:type="spellStart"/>
      <w:r w:rsidR="00997CA2" w:rsidRPr="00EC25B1">
        <w:rPr>
          <w:sz w:val="20"/>
          <w:szCs w:val="20"/>
        </w:rPr>
        <w:t>Irfan</w:t>
      </w:r>
      <w:proofErr w:type="spellEnd"/>
      <w:r w:rsidR="00997CA2" w:rsidRPr="00EC25B1">
        <w:rPr>
          <w:sz w:val="20"/>
          <w:szCs w:val="20"/>
        </w:rPr>
        <w:t>, 2015) (Ha et al., 2012),</w:t>
      </w:r>
      <w:r w:rsidR="00997CA2" w:rsidRPr="00EC25B1">
        <w:rPr>
          <w:sz w:val="20"/>
          <w:szCs w:val="20"/>
          <w:shd w:val="clear" w:color="auto" w:fill="FFFFFF"/>
        </w:rPr>
        <w:t xml:space="preserve"> </w:t>
      </w:r>
      <w:r w:rsidRPr="00EC25B1">
        <w:rPr>
          <w:sz w:val="20"/>
          <w:szCs w:val="20"/>
          <w:shd w:val="clear" w:color="auto" w:fill="FFFFFF"/>
        </w:rPr>
        <w:t xml:space="preserve">showed no correlations between JAK2V617F allele burden and mean age, WBCs, </w:t>
      </w:r>
      <w:proofErr w:type="spellStart"/>
      <w:r w:rsidRPr="00EC25B1">
        <w:rPr>
          <w:sz w:val="20"/>
          <w:szCs w:val="20"/>
          <w:shd w:val="clear" w:color="auto" w:fill="FFFFFF"/>
        </w:rPr>
        <w:t>Hb</w:t>
      </w:r>
      <w:proofErr w:type="spellEnd"/>
      <w:r w:rsidRPr="00EC25B1">
        <w:rPr>
          <w:sz w:val="20"/>
          <w:szCs w:val="20"/>
          <w:shd w:val="clear" w:color="auto" w:fill="FFFFFF"/>
        </w:rPr>
        <w:t xml:space="preserve">, or </w:t>
      </w:r>
      <w:proofErr w:type="spellStart"/>
      <w:r w:rsidRPr="00EC25B1">
        <w:rPr>
          <w:sz w:val="20"/>
          <w:szCs w:val="20"/>
          <w:shd w:val="clear" w:color="auto" w:fill="FFFFFF"/>
        </w:rPr>
        <w:t>Hct</w:t>
      </w:r>
      <w:proofErr w:type="spellEnd"/>
      <w:r w:rsidRPr="00EC25B1">
        <w:rPr>
          <w:sz w:val="20"/>
          <w:szCs w:val="20"/>
          <w:shd w:val="clear" w:color="auto" w:fill="FFFFFF"/>
        </w:rPr>
        <w:t xml:space="preserve"> in PMF mutated patients. Similarly we observed on significant differences in </w:t>
      </w:r>
      <w:proofErr w:type="spellStart"/>
      <w:r w:rsidRPr="00EC25B1">
        <w:rPr>
          <w:sz w:val="20"/>
          <w:szCs w:val="20"/>
          <w:shd w:val="clear" w:color="auto" w:fill="FFFFFF"/>
        </w:rPr>
        <w:t>Hb</w:t>
      </w:r>
      <w:proofErr w:type="spellEnd"/>
      <w:r w:rsidRPr="00EC25B1">
        <w:rPr>
          <w:sz w:val="20"/>
          <w:szCs w:val="20"/>
          <w:shd w:val="clear" w:color="auto" w:fill="FFFFFF"/>
        </w:rPr>
        <w:t xml:space="preserve">, WBCs, or mean age between homozygous genotype and heterozygous genotype groups. Over all the findings in our study were comparable with </w:t>
      </w:r>
      <w:r w:rsidRPr="00EC25B1">
        <w:rPr>
          <w:sz w:val="20"/>
          <w:szCs w:val="20"/>
        </w:rPr>
        <w:t>to the reported data worldwide</w:t>
      </w:r>
      <w:r w:rsidRPr="00EC25B1">
        <w:rPr>
          <w:sz w:val="20"/>
          <w:szCs w:val="20"/>
          <w:shd w:val="clear" w:color="auto" w:fill="FFFFFF"/>
        </w:rPr>
        <w:t>.</w:t>
      </w:r>
    </w:p>
    <w:p w:rsidR="00E52EA0" w:rsidRPr="00EC25B1" w:rsidRDefault="00E52EA0" w:rsidP="00025B26">
      <w:pPr>
        <w:snapToGrid w:val="0"/>
        <w:jc w:val="both"/>
        <w:rPr>
          <w:sz w:val="20"/>
          <w:szCs w:val="20"/>
        </w:rPr>
      </w:pPr>
    </w:p>
    <w:p w:rsidR="00471E57" w:rsidRPr="00EC25B1" w:rsidRDefault="00C44596" w:rsidP="00025B26">
      <w:pPr>
        <w:snapToGrid w:val="0"/>
        <w:jc w:val="both"/>
        <w:rPr>
          <w:b/>
          <w:sz w:val="20"/>
          <w:szCs w:val="20"/>
        </w:rPr>
      </w:pPr>
      <w:r w:rsidRPr="00EC25B1">
        <w:rPr>
          <w:b/>
          <w:sz w:val="20"/>
          <w:szCs w:val="20"/>
        </w:rPr>
        <w:t>Acknowledgements:</w:t>
      </w:r>
    </w:p>
    <w:p w:rsidR="00FB5B6A" w:rsidRPr="00EC25B1" w:rsidRDefault="007F763B" w:rsidP="00025B26">
      <w:pPr>
        <w:snapToGrid w:val="0"/>
        <w:ind w:firstLine="425"/>
        <w:jc w:val="both"/>
        <w:rPr>
          <w:sz w:val="20"/>
          <w:szCs w:val="20"/>
          <w:lang w:eastAsia="zh-CN"/>
        </w:rPr>
      </w:pPr>
      <w:r w:rsidRPr="00EC25B1">
        <w:rPr>
          <w:sz w:val="20"/>
          <w:szCs w:val="20"/>
        </w:rPr>
        <w:t xml:space="preserve">Authors are grateful to the Department of </w:t>
      </w:r>
      <w:r w:rsidR="0048212D" w:rsidRPr="00EC25B1">
        <w:rPr>
          <w:sz w:val="20"/>
          <w:szCs w:val="20"/>
        </w:rPr>
        <w:t xml:space="preserve">Hematology al isotope centre hospital-Sudan (Dr. </w:t>
      </w:r>
      <w:proofErr w:type="spellStart"/>
      <w:proofErr w:type="gramStart"/>
      <w:r w:rsidR="0048212D" w:rsidRPr="00EC25B1">
        <w:rPr>
          <w:sz w:val="20"/>
          <w:szCs w:val="20"/>
        </w:rPr>
        <w:lastRenderedPageBreak/>
        <w:t>ihsan</w:t>
      </w:r>
      <w:proofErr w:type="spellEnd"/>
      <w:proofErr w:type="gramEnd"/>
      <w:r w:rsidR="0048212D" w:rsidRPr="00EC25B1">
        <w:rPr>
          <w:sz w:val="20"/>
          <w:szCs w:val="20"/>
        </w:rPr>
        <w:t xml:space="preserve">, Dr. </w:t>
      </w:r>
      <w:proofErr w:type="spellStart"/>
      <w:r w:rsidR="0048212D" w:rsidRPr="00EC25B1">
        <w:rPr>
          <w:sz w:val="20"/>
          <w:szCs w:val="20"/>
        </w:rPr>
        <w:t>Dalal</w:t>
      </w:r>
      <w:proofErr w:type="spellEnd"/>
      <w:r w:rsidR="0048212D" w:rsidRPr="00EC25B1">
        <w:rPr>
          <w:sz w:val="20"/>
          <w:szCs w:val="20"/>
        </w:rPr>
        <w:t xml:space="preserve"> G </w:t>
      </w:r>
      <w:proofErr w:type="spellStart"/>
      <w:r w:rsidR="0048212D" w:rsidRPr="00EC25B1">
        <w:rPr>
          <w:sz w:val="20"/>
          <w:szCs w:val="20"/>
        </w:rPr>
        <w:t>sid</w:t>
      </w:r>
      <w:proofErr w:type="spellEnd"/>
      <w:r w:rsidR="0048212D" w:rsidRPr="00EC25B1">
        <w:rPr>
          <w:sz w:val="20"/>
          <w:szCs w:val="20"/>
        </w:rPr>
        <w:t>) for helping us in the data collection.</w:t>
      </w:r>
    </w:p>
    <w:p w:rsidR="00025B26" w:rsidRPr="00EC25B1" w:rsidRDefault="00025B26" w:rsidP="00025B26">
      <w:pPr>
        <w:snapToGrid w:val="0"/>
        <w:ind w:firstLine="425"/>
        <w:jc w:val="both"/>
        <w:rPr>
          <w:sz w:val="20"/>
          <w:szCs w:val="20"/>
          <w:lang w:eastAsia="zh-CN"/>
        </w:rPr>
      </w:pPr>
    </w:p>
    <w:p w:rsidR="00471E57" w:rsidRPr="00EC25B1" w:rsidRDefault="00471E57" w:rsidP="00025B26">
      <w:pPr>
        <w:snapToGrid w:val="0"/>
        <w:jc w:val="both"/>
        <w:rPr>
          <w:b/>
          <w:sz w:val="20"/>
          <w:szCs w:val="20"/>
        </w:rPr>
      </w:pPr>
      <w:r w:rsidRPr="00EC25B1">
        <w:rPr>
          <w:b/>
          <w:sz w:val="20"/>
          <w:szCs w:val="20"/>
        </w:rPr>
        <w:t>Corresponding Author:</w:t>
      </w:r>
    </w:p>
    <w:p w:rsidR="0048212D" w:rsidRPr="00EC25B1" w:rsidRDefault="0048212D" w:rsidP="00025B26">
      <w:pPr>
        <w:autoSpaceDE w:val="0"/>
        <w:autoSpaceDN w:val="0"/>
        <w:adjustRightInd w:val="0"/>
        <w:snapToGrid w:val="0"/>
        <w:jc w:val="both"/>
        <w:rPr>
          <w:sz w:val="20"/>
          <w:szCs w:val="20"/>
        </w:rPr>
      </w:pPr>
      <w:proofErr w:type="spellStart"/>
      <w:r w:rsidRPr="00EC25B1">
        <w:rPr>
          <w:sz w:val="20"/>
          <w:szCs w:val="20"/>
        </w:rPr>
        <w:t>Hashim</w:t>
      </w:r>
      <w:proofErr w:type="spellEnd"/>
      <w:r w:rsidRPr="00EC25B1">
        <w:rPr>
          <w:sz w:val="20"/>
          <w:szCs w:val="20"/>
        </w:rPr>
        <w:t xml:space="preserve"> M. </w:t>
      </w:r>
      <w:proofErr w:type="spellStart"/>
      <w:r w:rsidRPr="00EC25B1">
        <w:rPr>
          <w:sz w:val="20"/>
          <w:szCs w:val="20"/>
        </w:rPr>
        <w:t>Abkar</w:t>
      </w:r>
      <w:proofErr w:type="spellEnd"/>
    </w:p>
    <w:p w:rsidR="0049143E" w:rsidRPr="00EC25B1" w:rsidRDefault="0049143E" w:rsidP="00025B26">
      <w:pPr>
        <w:snapToGrid w:val="0"/>
        <w:jc w:val="both"/>
        <w:rPr>
          <w:sz w:val="20"/>
          <w:szCs w:val="20"/>
        </w:rPr>
      </w:pPr>
      <w:r w:rsidRPr="00EC25B1">
        <w:rPr>
          <w:sz w:val="20"/>
          <w:szCs w:val="20"/>
        </w:rPr>
        <w:t xml:space="preserve">Department of </w:t>
      </w:r>
      <w:r w:rsidR="00154445" w:rsidRPr="00EC25B1">
        <w:rPr>
          <w:sz w:val="20"/>
          <w:szCs w:val="20"/>
        </w:rPr>
        <w:t>Hematology</w:t>
      </w:r>
    </w:p>
    <w:p w:rsidR="00154445" w:rsidRPr="00EC25B1" w:rsidRDefault="00154445" w:rsidP="00025B26">
      <w:pPr>
        <w:snapToGrid w:val="0"/>
        <w:jc w:val="both"/>
        <w:rPr>
          <w:sz w:val="20"/>
          <w:szCs w:val="20"/>
        </w:rPr>
      </w:pPr>
      <w:r w:rsidRPr="00EC25B1">
        <w:rPr>
          <w:sz w:val="20"/>
          <w:szCs w:val="20"/>
        </w:rPr>
        <w:t>College of Medical Laboratory Science</w:t>
      </w:r>
      <w:r w:rsidR="00471E57" w:rsidRPr="00EC25B1">
        <w:rPr>
          <w:sz w:val="20"/>
          <w:szCs w:val="20"/>
        </w:rPr>
        <w:t>,</w:t>
      </w:r>
    </w:p>
    <w:p w:rsidR="0049143E" w:rsidRPr="00EC25B1" w:rsidRDefault="00154445" w:rsidP="00025B26">
      <w:pPr>
        <w:snapToGrid w:val="0"/>
        <w:jc w:val="both"/>
        <w:rPr>
          <w:sz w:val="20"/>
          <w:szCs w:val="20"/>
          <w:lang w:eastAsia="zh-CN"/>
        </w:rPr>
      </w:pPr>
      <w:r w:rsidRPr="00EC25B1">
        <w:rPr>
          <w:sz w:val="20"/>
          <w:szCs w:val="20"/>
        </w:rPr>
        <w:t>University of Science and technology, Sudan</w:t>
      </w:r>
    </w:p>
    <w:p w:rsidR="00154445" w:rsidRPr="00EC25B1" w:rsidRDefault="00997A8E" w:rsidP="00025B26">
      <w:pPr>
        <w:snapToGrid w:val="0"/>
        <w:jc w:val="both"/>
        <w:rPr>
          <w:sz w:val="20"/>
          <w:szCs w:val="20"/>
        </w:rPr>
      </w:pPr>
      <w:r w:rsidRPr="00EC25B1">
        <w:rPr>
          <w:rFonts w:hint="eastAsia"/>
          <w:sz w:val="20"/>
          <w:szCs w:val="20"/>
          <w:lang w:eastAsia="zh-CN"/>
        </w:rPr>
        <w:t xml:space="preserve">Telephone: </w:t>
      </w:r>
      <w:r w:rsidR="00154445" w:rsidRPr="00EC25B1">
        <w:rPr>
          <w:sz w:val="20"/>
          <w:szCs w:val="20"/>
        </w:rPr>
        <w:t>00249912831108</w:t>
      </w:r>
    </w:p>
    <w:p w:rsidR="002057BA" w:rsidRPr="00EC25B1" w:rsidRDefault="00471E57" w:rsidP="00025B26">
      <w:pPr>
        <w:autoSpaceDE w:val="0"/>
        <w:autoSpaceDN w:val="0"/>
        <w:adjustRightInd w:val="0"/>
        <w:snapToGrid w:val="0"/>
        <w:jc w:val="both"/>
        <w:rPr>
          <w:sz w:val="20"/>
          <w:szCs w:val="20"/>
        </w:rPr>
      </w:pPr>
      <w:r w:rsidRPr="00EC25B1">
        <w:rPr>
          <w:sz w:val="20"/>
          <w:szCs w:val="20"/>
        </w:rPr>
        <w:t xml:space="preserve">E-mail: </w:t>
      </w:r>
      <w:hyperlink r:id="rId19" w:history="1">
        <w:r w:rsidR="002057BA" w:rsidRPr="00EC25B1">
          <w:rPr>
            <w:rStyle w:val="Hyperlink"/>
            <w:sz w:val="20"/>
            <w:szCs w:val="20"/>
          </w:rPr>
          <w:t>hashimmohamed10@yahoo.com</w:t>
        </w:r>
      </w:hyperlink>
    </w:p>
    <w:p w:rsidR="00471E57" w:rsidRPr="00EC25B1" w:rsidRDefault="00471E57" w:rsidP="00025B26">
      <w:pPr>
        <w:snapToGrid w:val="0"/>
        <w:jc w:val="both"/>
        <w:rPr>
          <w:sz w:val="20"/>
          <w:szCs w:val="20"/>
        </w:rPr>
      </w:pPr>
    </w:p>
    <w:p w:rsidR="00471E57" w:rsidRPr="00EC25B1" w:rsidRDefault="00471E57" w:rsidP="00025B26">
      <w:pPr>
        <w:snapToGrid w:val="0"/>
        <w:jc w:val="both"/>
        <w:rPr>
          <w:b/>
          <w:sz w:val="20"/>
          <w:szCs w:val="20"/>
        </w:rPr>
      </w:pPr>
      <w:r w:rsidRPr="00EC25B1">
        <w:rPr>
          <w:b/>
          <w:sz w:val="20"/>
          <w:szCs w:val="20"/>
        </w:rPr>
        <w:t>References</w:t>
      </w:r>
    </w:p>
    <w:p w:rsidR="002057BA" w:rsidRPr="00EC25B1" w:rsidRDefault="002057BA" w:rsidP="00025B26">
      <w:pPr>
        <w:pStyle w:val="ListParagraph"/>
        <w:numPr>
          <w:ilvl w:val="0"/>
          <w:numId w:val="5"/>
        </w:numPr>
        <w:shd w:val="clear" w:color="auto" w:fill="FFFFFF"/>
        <w:bidi w:val="0"/>
        <w:snapToGrid w:val="0"/>
        <w:spacing w:after="0" w:line="240" w:lineRule="auto"/>
        <w:ind w:left="425" w:hanging="425"/>
        <w:jc w:val="both"/>
        <w:rPr>
          <w:rFonts w:ascii="Times New Roman" w:hAnsi="Times New Roman" w:cs="Times New Roman"/>
          <w:sz w:val="20"/>
          <w:szCs w:val="20"/>
        </w:rPr>
      </w:pPr>
      <w:proofErr w:type="spellStart"/>
      <w:r w:rsidRPr="00EC25B1">
        <w:rPr>
          <w:rFonts w:ascii="Times New Roman" w:hAnsi="Times New Roman" w:cs="Times New Roman"/>
          <w:sz w:val="20"/>
          <w:szCs w:val="20"/>
        </w:rPr>
        <w:t>Tefferi</w:t>
      </w:r>
      <w:proofErr w:type="spellEnd"/>
      <w:r w:rsidRPr="00EC25B1">
        <w:rPr>
          <w:rFonts w:ascii="Times New Roman" w:hAnsi="Times New Roman" w:cs="Times New Roman"/>
          <w:sz w:val="20"/>
          <w:szCs w:val="20"/>
        </w:rPr>
        <w:t xml:space="preserve"> A. Primary </w:t>
      </w:r>
      <w:proofErr w:type="spellStart"/>
      <w:r w:rsidRPr="00EC25B1">
        <w:rPr>
          <w:rFonts w:ascii="Times New Roman" w:hAnsi="Times New Roman" w:cs="Times New Roman"/>
          <w:sz w:val="20"/>
          <w:szCs w:val="20"/>
        </w:rPr>
        <w:t>myelofibrosis</w:t>
      </w:r>
      <w:proofErr w:type="spellEnd"/>
      <w:r w:rsidRPr="00EC25B1">
        <w:rPr>
          <w:rFonts w:ascii="Times New Roman" w:hAnsi="Times New Roman" w:cs="Times New Roman"/>
          <w:sz w:val="20"/>
          <w:szCs w:val="20"/>
        </w:rPr>
        <w:t>: 2014 update on diagnosis, risk-stratificatio</w:t>
      </w:r>
      <w:r w:rsidR="00EC25B1">
        <w:rPr>
          <w:rFonts w:ascii="Times New Roman" w:hAnsi="Times New Roman" w:cs="Times New Roman"/>
          <w:sz w:val="20"/>
          <w:szCs w:val="20"/>
        </w:rPr>
        <w:t xml:space="preserve">n, and management. Am J </w:t>
      </w:r>
      <w:proofErr w:type="spellStart"/>
      <w:r w:rsidR="00EC25B1">
        <w:rPr>
          <w:rFonts w:ascii="Times New Roman" w:hAnsi="Times New Roman" w:cs="Times New Roman"/>
          <w:sz w:val="20"/>
          <w:szCs w:val="20"/>
        </w:rPr>
        <w:t>Hematol</w:t>
      </w:r>
      <w:proofErr w:type="spellEnd"/>
      <w:r w:rsidR="00EC25B1">
        <w:rPr>
          <w:rFonts w:ascii="Times New Roman" w:eastAsiaTheme="minorEastAsia" w:hAnsi="Times New Roman" w:cs="Times New Roman" w:hint="eastAsia"/>
          <w:sz w:val="20"/>
          <w:szCs w:val="20"/>
          <w:lang w:eastAsia="zh-CN"/>
        </w:rPr>
        <w:t xml:space="preserve"> </w:t>
      </w:r>
      <w:r w:rsidRPr="00EC25B1">
        <w:rPr>
          <w:rFonts w:ascii="Times New Roman" w:hAnsi="Times New Roman" w:cs="Times New Roman"/>
          <w:sz w:val="20"/>
          <w:szCs w:val="20"/>
        </w:rPr>
        <w:t>2014 Sep;</w:t>
      </w:r>
      <w:r w:rsidR="00EC25B1">
        <w:rPr>
          <w:rFonts w:ascii="Times New Roman" w:eastAsiaTheme="minorEastAsia" w:hAnsi="Times New Roman" w:cs="Times New Roman" w:hint="eastAsia"/>
          <w:sz w:val="20"/>
          <w:szCs w:val="20"/>
          <w:lang w:eastAsia="zh-CN"/>
        </w:rPr>
        <w:t xml:space="preserve"> </w:t>
      </w:r>
      <w:r w:rsidRPr="00EC25B1">
        <w:rPr>
          <w:rFonts w:ascii="Times New Roman" w:hAnsi="Times New Roman" w:cs="Times New Roman"/>
          <w:sz w:val="20"/>
          <w:szCs w:val="20"/>
        </w:rPr>
        <w:t xml:space="preserve">89(9):915-25. </w:t>
      </w:r>
      <w:proofErr w:type="spellStart"/>
      <w:proofErr w:type="gramStart"/>
      <w:r w:rsidRPr="00EC25B1">
        <w:rPr>
          <w:rFonts w:ascii="Times New Roman" w:hAnsi="Times New Roman" w:cs="Times New Roman"/>
          <w:sz w:val="20"/>
          <w:szCs w:val="20"/>
        </w:rPr>
        <w:t>doi</w:t>
      </w:r>
      <w:proofErr w:type="spellEnd"/>
      <w:proofErr w:type="gramEnd"/>
      <w:r w:rsidRPr="00EC25B1">
        <w:rPr>
          <w:rFonts w:ascii="Times New Roman" w:hAnsi="Times New Roman" w:cs="Times New Roman"/>
          <w:sz w:val="20"/>
          <w:szCs w:val="20"/>
        </w:rPr>
        <w:t>: 10.1002/ajh.23703. PMID</w:t>
      </w:r>
      <w:proofErr w:type="gramStart"/>
      <w:r w:rsidRPr="00EC25B1">
        <w:rPr>
          <w:rFonts w:ascii="Times New Roman" w:hAnsi="Times New Roman" w:cs="Times New Roman"/>
          <w:sz w:val="20"/>
          <w:szCs w:val="20"/>
        </w:rPr>
        <w:t>:25124313</w:t>
      </w:r>
      <w:proofErr w:type="gramEnd"/>
      <w:r w:rsidRPr="00EC25B1">
        <w:rPr>
          <w:rFonts w:ascii="Times New Roman" w:hAnsi="Times New Roman" w:cs="Times New Roman"/>
          <w:sz w:val="20"/>
          <w:szCs w:val="20"/>
        </w:rPr>
        <w:t>.</w:t>
      </w:r>
    </w:p>
    <w:p w:rsidR="002057BA" w:rsidRPr="00EC25B1" w:rsidRDefault="002057BA" w:rsidP="00025B26">
      <w:pPr>
        <w:pStyle w:val="ListParagraph"/>
        <w:numPr>
          <w:ilvl w:val="0"/>
          <w:numId w:val="5"/>
        </w:numPr>
        <w:shd w:val="clear" w:color="auto" w:fill="FFFFFF"/>
        <w:bidi w:val="0"/>
        <w:snapToGrid w:val="0"/>
        <w:spacing w:after="0" w:line="240" w:lineRule="auto"/>
        <w:ind w:left="425" w:hanging="425"/>
        <w:jc w:val="both"/>
        <w:rPr>
          <w:rFonts w:ascii="Times New Roman" w:hAnsi="Times New Roman" w:cs="Times New Roman"/>
          <w:sz w:val="20"/>
          <w:szCs w:val="20"/>
        </w:rPr>
      </w:pPr>
      <w:r w:rsidRPr="00EC25B1">
        <w:rPr>
          <w:rFonts w:ascii="Times New Roman" w:hAnsi="Times New Roman" w:cs="Times New Roman"/>
          <w:sz w:val="20"/>
          <w:szCs w:val="20"/>
        </w:rPr>
        <w:t xml:space="preserve">Amy V, Nicholas C. Inherited predisposition to </w:t>
      </w:r>
      <w:proofErr w:type="spellStart"/>
      <w:r w:rsidRPr="00EC25B1">
        <w:rPr>
          <w:rFonts w:ascii="Times New Roman" w:hAnsi="Times New Roman" w:cs="Times New Roman"/>
          <w:sz w:val="20"/>
          <w:szCs w:val="20"/>
        </w:rPr>
        <w:t>myeloproliferative</w:t>
      </w:r>
      <w:proofErr w:type="spellEnd"/>
      <w:r w:rsidRPr="00EC25B1">
        <w:rPr>
          <w:rFonts w:ascii="Times New Roman" w:hAnsi="Times New Roman" w:cs="Times New Roman"/>
          <w:sz w:val="20"/>
          <w:szCs w:val="20"/>
        </w:rPr>
        <w:t xml:space="preserve"> </w:t>
      </w:r>
      <w:proofErr w:type="spellStart"/>
      <w:r w:rsidRPr="00EC25B1">
        <w:rPr>
          <w:rFonts w:ascii="Times New Roman" w:hAnsi="Times New Roman" w:cs="Times New Roman"/>
          <w:sz w:val="20"/>
          <w:szCs w:val="20"/>
        </w:rPr>
        <w:t>neoplasms</w:t>
      </w:r>
      <w:proofErr w:type="spellEnd"/>
      <w:r w:rsidRPr="00EC25B1">
        <w:rPr>
          <w:rFonts w:ascii="Times New Roman" w:hAnsi="Times New Roman" w:cs="Times New Roman"/>
          <w:sz w:val="20"/>
          <w:szCs w:val="20"/>
        </w:rPr>
        <w:t xml:space="preserve">. </w:t>
      </w:r>
      <w:proofErr w:type="spellStart"/>
      <w:r w:rsidRPr="00EC25B1">
        <w:rPr>
          <w:rFonts w:ascii="Times New Roman" w:hAnsi="Times New Roman" w:cs="Times New Roman"/>
          <w:sz w:val="20"/>
          <w:szCs w:val="20"/>
        </w:rPr>
        <w:t>Ther</w:t>
      </w:r>
      <w:proofErr w:type="spellEnd"/>
      <w:r w:rsidRPr="00EC25B1">
        <w:rPr>
          <w:rFonts w:ascii="Times New Roman" w:hAnsi="Times New Roman" w:cs="Times New Roman"/>
          <w:sz w:val="20"/>
          <w:szCs w:val="20"/>
        </w:rPr>
        <w:t xml:space="preserve"> Adv </w:t>
      </w:r>
      <w:proofErr w:type="spellStart"/>
      <w:r w:rsidRPr="00EC25B1">
        <w:rPr>
          <w:rFonts w:ascii="Times New Roman" w:hAnsi="Times New Roman" w:cs="Times New Roman"/>
          <w:sz w:val="20"/>
          <w:szCs w:val="20"/>
        </w:rPr>
        <w:t>Hematol</w:t>
      </w:r>
      <w:proofErr w:type="spellEnd"/>
      <w:r w:rsidRPr="00EC25B1">
        <w:rPr>
          <w:rFonts w:ascii="Times New Roman" w:hAnsi="Times New Roman" w:cs="Times New Roman"/>
          <w:sz w:val="20"/>
          <w:szCs w:val="20"/>
        </w:rPr>
        <w:t>, 2013, 4(4) 237–253.</w:t>
      </w:r>
      <w:r w:rsidR="00EC25B1">
        <w:rPr>
          <w:rFonts w:ascii="Times New Roman" w:eastAsiaTheme="minorEastAsia" w:hAnsi="Times New Roman" w:cs="Times New Roman" w:hint="eastAsia"/>
          <w:sz w:val="20"/>
          <w:szCs w:val="20"/>
          <w:lang w:eastAsia="zh-CN"/>
        </w:rPr>
        <w:t xml:space="preserve"> </w:t>
      </w:r>
      <w:proofErr w:type="gramStart"/>
      <w:r w:rsidRPr="00EC25B1">
        <w:rPr>
          <w:rFonts w:ascii="Times New Roman" w:hAnsi="Times New Roman" w:cs="Times New Roman"/>
          <w:sz w:val="20"/>
          <w:szCs w:val="20"/>
        </w:rPr>
        <w:t>doi</w:t>
      </w:r>
      <w:proofErr w:type="gramEnd"/>
      <w:r w:rsidRPr="00EC25B1">
        <w:rPr>
          <w:rFonts w:ascii="Times New Roman" w:hAnsi="Times New Roman" w:cs="Times New Roman"/>
          <w:sz w:val="20"/>
          <w:szCs w:val="20"/>
        </w:rPr>
        <w:t>:</w:t>
      </w:r>
      <w:hyperlink r:id="rId20" w:tgtFrame="pmc_ext" w:history="1">
        <w:r w:rsidRPr="00EC25B1">
          <w:rPr>
            <w:rFonts w:ascii="Times New Roman" w:hAnsi="Times New Roman" w:cs="Times New Roman"/>
            <w:sz w:val="20"/>
            <w:szCs w:val="20"/>
          </w:rPr>
          <w:t>10.1177/2040620713489144</w:t>
        </w:r>
      </w:hyperlink>
      <w:r w:rsidRPr="00EC25B1">
        <w:rPr>
          <w:rFonts w:ascii="Times New Roman" w:hAnsi="Times New Roman" w:cs="Times New Roman"/>
          <w:sz w:val="20"/>
          <w:szCs w:val="20"/>
        </w:rPr>
        <w:t xml:space="preserve"> PMCID: PMC3734902.</w:t>
      </w:r>
    </w:p>
    <w:p w:rsidR="002057BA" w:rsidRPr="00EC25B1" w:rsidRDefault="002057BA" w:rsidP="00025B26">
      <w:pPr>
        <w:pStyle w:val="ListParagraph"/>
        <w:numPr>
          <w:ilvl w:val="0"/>
          <w:numId w:val="5"/>
        </w:numPr>
        <w:shd w:val="clear" w:color="auto" w:fill="FFFFFF"/>
        <w:bidi w:val="0"/>
        <w:snapToGrid w:val="0"/>
        <w:spacing w:after="0" w:line="240" w:lineRule="auto"/>
        <w:ind w:left="425" w:hanging="425"/>
        <w:jc w:val="both"/>
        <w:rPr>
          <w:rFonts w:ascii="Times New Roman" w:hAnsi="Times New Roman" w:cs="Times New Roman"/>
          <w:sz w:val="20"/>
          <w:szCs w:val="20"/>
        </w:rPr>
      </w:pPr>
      <w:r w:rsidRPr="00EC25B1">
        <w:rPr>
          <w:rFonts w:ascii="Times New Roman" w:hAnsi="Times New Roman" w:cs="Times New Roman"/>
          <w:sz w:val="20"/>
          <w:szCs w:val="20"/>
        </w:rPr>
        <w:t xml:space="preserve">Dan J, Cameron Y. </w:t>
      </w:r>
      <w:proofErr w:type="spellStart"/>
      <w:r w:rsidRPr="00EC25B1">
        <w:rPr>
          <w:rFonts w:ascii="Times New Roman" w:hAnsi="Times New Roman" w:cs="Times New Roman"/>
          <w:sz w:val="20"/>
          <w:szCs w:val="20"/>
        </w:rPr>
        <w:t>Neoplastic</w:t>
      </w:r>
      <w:proofErr w:type="spellEnd"/>
      <w:r w:rsidRPr="00EC25B1">
        <w:rPr>
          <w:rFonts w:ascii="Times New Roman" w:hAnsi="Times New Roman" w:cs="Times New Roman"/>
          <w:sz w:val="20"/>
          <w:szCs w:val="20"/>
        </w:rPr>
        <w:t xml:space="preserve"> </w:t>
      </w:r>
      <w:proofErr w:type="spellStart"/>
      <w:r w:rsidRPr="00EC25B1">
        <w:rPr>
          <w:rFonts w:ascii="Times New Roman" w:hAnsi="Times New Roman" w:cs="Times New Roman"/>
          <w:sz w:val="20"/>
          <w:szCs w:val="20"/>
        </w:rPr>
        <w:t>hematopathology</w:t>
      </w:r>
      <w:proofErr w:type="spellEnd"/>
      <w:r w:rsidRPr="00EC25B1">
        <w:rPr>
          <w:rFonts w:ascii="Times New Roman" w:hAnsi="Times New Roman" w:cs="Times New Roman"/>
          <w:sz w:val="20"/>
          <w:szCs w:val="20"/>
        </w:rPr>
        <w:t xml:space="preserve">: Experimental and Clinical </w:t>
      </w:r>
      <w:proofErr w:type="spellStart"/>
      <w:r w:rsidRPr="00EC25B1">
        <w:rPr>
          <w:rFonts w:ascii="Times New Roman" w:hAnsi="Times New Roman" w:cs="Times New Roman"/>
          <w:sz w:val="20"/>
          <w:szCs w:val="20"/>
        </w:rPr>
        <w:t>Approches</w:t>
      </w:r>
      <w:proofErr w:type="spellEnd"/>
      <w:r w:rsidRPr="00EC25B1">
        <w:rPr>
          <w:rFonts w:ascii="Times New Roman" w:hAnsi="Times New Roman" w:cs="Times New Roman"/>
          <w:sz w:val="20"/>
          <w:szCs w:val="20"/>
        </w:rPr>
        <w:t>. Humana press 2010,</w:t>
      </w:r>
      <w:r w:rsidRPr="00EC25B1">
        <w:rPr>
          <w:rStyle w:val="mixed-citation"/>
          <w:rFonts w:ascii="Times New Roman" w:hAnsi="Times New Roman" w:cs="Times New Roman"/>
          <w:sz w:val="20"/>
          <w:szCs w:val="20"/>
        </w:rPr>
        <w:t xml:space="preserve"> ISBN978-1-60761-383-1.</w:t>
      </w:r>
      <w:r w:rsidRPr="00EC25B1">
        <w:rPr>
          <w:rFonts w:ascii="Times New Roman" w:hAnsi="Times New Roman" w:cs="Times New Roman"/>
          <w:sz w:val="20"/>
          <w:szCs w:val="20"/>
        </w:rPr>
        <w:t>e</w:t>
      </w:r>
      <w:r w:rsidRPr="00EC25B1">
        <w:rPr>
          <w:rStyle w:val="mixed-citation"/>
          <w:rFonts w:ascii="Times New Roman" w:hAnsi="Times New Roman" w:cs="Times New Roman"/>
          <w:sz w:val="20"/>
          <w:szCs w:val="20"/>
        </w:rPr>
        <w:t xml:space="preserve"> ISBN978-1-60761-384-8.</w:t>
      </w:r>
      <w:r w:rsidR="00EC25B1">
        <w:rPr>
          <w:rStyle w:val="mixed-citation"/>
          <w:rFonts w:ascii="Times New Roman" w:eastAsiaTheme="minorEastAsia" w:hAnsi="Times New Roman" w:cs="Times New Roman" w:hint="eastAsia"/>
          <w:sz w:val="20"/>
          <w:szCs w:val="20"/>
          <w:lang w:eastAsia="zh-CN"/>
        </w:rPr>
        <w:t xml:space="preserve"> </w:t>
      </w:r>
      <w:proofErr w:type="gramStart"/>
      <w:r w:rsidRPr="00EC25B1">
        <w:rPr>
          <w:rFonts w:ascii="Times New Roman" w:hAnsi="Times New Roman" w:cs="Times New Roman"/>
          <w:sz w:val="20"/>
          <w:szCs w:val="20"/>
        </w:rPr>
        <w:t>doi</w:t>
      </w:r>
      <w:proofErr w:type="gramEnd"/>
      <w:r w:rsidRPr="00EC25B1">
        <w:rPr>
          <w:rFonts w:ascii="Times New Roman" w:hAnsi="Times New Roman" w:cs="Times New Roman"/>
          <w:sz w:val="20"/>
          <w:szCs w:val="20"/>
        </w:rPr>
        <w:t>:</w:t>
      </w:r>
      <w:hyperlink r:id="rId21" w:tgtFrame="pmc_ext" w:history="1">
        <w:r w:rsidRPr="00EC25B1">
          <w:rPr>
            <w:rFonts w:ascii="Times New Roman" w:hAnsi="Times New Roman" w:cs="Times New Roman"/>
            <w:sz w:val="20"/>
            <w:szCs w:val="20"/>
          </w:rPr>
          <w:t>10.1007/</w:t>
        </w:r>
        <w:r w:rsidRPr="00EC25B1">
          <w:rPr>
            <w:rStyle w:val="mixed-citation"/>
            <w:rFonts w:ascii="Times New Roman" w:hAnsi="Times New Roman" w:cs="Times New Roman"/>
            <w:sz w:val="20"/>
            <w:szCs w:val="20"/>
          </w:rPr>
          <w:t>978-160761-384-8</w:t>
        </w:r>
      </w:hyperlink>
      <w:r w:rsidR="00EC25B1">
        <w:rPr>
          <w:rFonts w:eastAsiaTheme="minorEastAsia" w:hint="eastAsia"/>
          <w:sz w:val="20"/>
          <w:szCs w:val="20"/>
          <w:lang w:eastAsia="zh-CN"/>
        </w:rPr>
        <w:t>.</w:t>
      </w:r>
    </w:p>
    <w:p w:rsidR="002057BA" w:rsidRPr="00EC25B1" w:rsidRDefault="002057BA" w:rsidP="00025B26">
      <w:pPr>
        <w:pStyle w:val="ListParagraph"/>
        <w:numPr>
          <w:ilvl w:val="0"/>
          <w:numId w:val="5"/>
        </w:numPr>
        <w:shd w:val="clear" w:color="auto" w:fill="FFFFFF"/>
        <w:bidi w:val="0"/>
        <w:snapToGrid w:val="0"/>
        <w:spacing w:after="0" w:line="240" w:lineRule="auto"/>
        <w:ind w:left="425" w:hanging="425"/>
        <w:jc w:val="both"/>
        <w:rPr>
          <w:rFonts w:ascii="Times New Roman" w:hAnsi="Times New Roman" w:cs="Times New Roman"/>
          <w:sz w:val="20"/>
          <w:szCs w:val="20"/>
        </w:rPr>
      </w:pPr>
      <w:r w:rsidRPr="00EC25B1">
        <w:rPr>
          <w:rFonts w:ascii="Times New Roman" w:hAnsi="Times New Roman" w:cs="Times New Roman"/>
          <w:sz w:val="20"/>
          <w:szCs w:val="20"/>
        </w:rPr>
        <w:t>Baxter</w:t>
      </w:r>
      <w:r w:rsidR="00261A17" w:rsidRPr="00EC25B1">
        <w:rPr>
          <w:rFonts w:ascii="Times New Roman" w:hAnsi="Times New Roman" w:cs="Times New Roman"/>
          <w:sz w:val="20"/>
          <w:szCs w:val="20"/>
        </w:rPr>
        <w:t xml:space="preserve"> </w:t>
      </w:r>
      <w:r w:rsidRPr="00EC25B1">
        <w:rPr>
          <w:rFonts w:ascii="Times New Roman" w:hAnsi="Times New Roman" w:cs="Times New Roman"/>
          <w:sz w:val="20"/>
          <w:szCs w:val="20"/>
        </w:rPr>
        <w:t xml:space="preserve">E, Scott L, Campbell P, East C, </w:t>
      </w:r>
      <w:proofErr w:type="spellStart"/>
      <w:r w:rsidRPr="00EC25B1">
        <w:rPr>
          <w:rFonts w:ascii="Times New Roman" w:hAnsi="Times New Roman" w:cs="Times New Roman"/>
          <w:sz w:val="20"/>
          <w:szCs w:val="20"/>
        </w:rPr>
        <w:t>Fourouclas</w:t>
      </w:r>
      <w:proofErr w:type="spellEnd"/>
      <w:r w:rsidRPr="00EC25B1">
        <w:rPr>
          <w:rFonts w:ascii="Times New Roman" w:hAnsi="Times New Roman" w:cs="Times New Roman"/>
          <w:sz w:val="20"/>
          <w:szCs w:val="20"/>
        </w:rPr>
        <w:t xml:space="preserve"> N, Swanton S. Acquired mutation of the tyrosine </w:t>
      </w:r>
      <w:proofErr w:type="spellStart"/>
      <w:r w:rsidRPr="00EC25B1">
        <w:rPr>
          <w:rFonts w:ascii="Times New Roman" w:hAnsi="Times New Roman" w:cs="Times New Roman"/>
          <w:sz w:val="20"/>
          <w:szCs w:val="20"/>
        </w:rPr>
        <w:t>kinase</w:t>
      </w:r>
      <w:proofErr w:type="spellEnd"/>
      <w:r w:rsidRPr="00EC25B1">
        <w:rPr>
          <w:rFonts w:ascii="Times New Roman" w:hAnsi="Times New Roman" w:cs="Times New Roman"/>
          <w:sz w:val="20"/>
          <w:szCs w:val="20"/>
        </w:rPr>
        <w:t xml:space="preserve"> JAK2 in human </w:t>
      </w:r>
      <w:proofErr w:type="spellStart"/>
      <w:r w:rsidRPr="00EC25B1">
        <w:rPr>
          <w:rFonts w:ascii="Times New Roman" w:hAnsi="Times New Roman" w:cs="Times New Roman"/>
          <w:sz w:val="20"/>
          <w:szCs w:val="20"/>
        </w:rPr>
        <w:t>myeloproliferative</w:t>
      </w:r>
      <w:proofErr w:type="spellEnd"/>
      <w:r w:rsidRPr="00EC25B1">
        <w:rPr>
          <w:rFonts w:ascii="Times New Roman" w:hAnsi="Times New Roman" w:cs="Times New Roman"/>
          <w:sz w:val="20"/>
          <w:szCs w:val="20"/>
        </w:rPr>
        <w:t xml:space="preserve"> disorders. Lancet, 2005, 365: 1054–1061.</w:t>
      </w:r>
    </w:p>
    <w:p w:rsidR="002057BA" w:rsidRPr="00EC25B1" w:rsidRDefault="002057BA" w:rsidP="00025B26">
      <w:pPr>
        <w:pStyle w:val="ListParagraph"/>
        <w:numPr>
          <w:ilvl w:val="0"/>
          <w:numId w:val="5"/>
        </w:numPr>
        <w:shd w:val="clear" w:color="auto" w:fill="FFFFFF"/>
        <w:bidi w:val="0"/>
        <w:snapToGrid w:val="0"/>
        <w:spacing w:after="0" w:line="240" w:lineRule="auto"/>
        <w:ind w:left="425" w:hanging="425"/>
        <w:jc w:val="both"/>
        <w:rPr>
          <w:rFonts w:ascii="Times New Roman" w:hAnsi="Times New Roman" w:cs="Times New Roman"/>
          <w:sz w:val="20"/>
          <w:szCs w:val="20"/>
        </w:rPr>
      </w:pPr>
      <w:proofErr w:type="spellStart"/>
      <w:r w:rsidRPr="00EC25B1">
        <w:rPr>
          <w:rFonts w:ascii="Times New Roman" w:hAnsi="Times New Roman" w:cs="Times New Roman"/>
          <w:sz w:val="20"/>
          <w:szCs w:val="20"/>
        </w:rPr>
        <w:t>Kralovics</w:t>
      </w:r>
      <w:proofErr w:type="spellEnd"/>
      <w:r w:rsidRPr="00EC25B1">
        <w:rPr>
          <w:rFonts w:ascii="Times New Roman" w:hAnsi="Times New Roman" w:cs="Times New Roman"/>
          <w:sz w:val="20"/>
          <w:szCs w:val="20"/>
        </w:rPr>
        <w:t xml:space="preserve"> R, </w:t>
      </w:r>
      <w:proofErr w:type="spellStart"/>
      <w:r w:rsidRPr="00EC25B1">
        <w:rPr>
          <w:rFonts w:ascii="Times New Roman" w:hAnsi="Times New Roman" w:cs="Times New Roman"/>
          <w:sz w:val="20"/>
          <w:szCs w:val="20"/>
        </w:rPr>
        <w:t>Passamonti</w:t>
      </w:r>
      <w:proofErr w:type="spellEnd"/>
      <w:r w:rsidRPr="00EC25B1">
        <w:rPr>
          <w:rFonts w:ascii="Times New Roman" w:hAnsi="Times New Roman" w:cs="Times New Roman"/>
          <w:sz w:val="20"/>
          <w:szCs w:val="20"/>
        </w:rPr>
        <w:t xml:space="preserve"> F, </w:t>
      </w:r>
      <w:proofErr w:type="spellStart"/>
      <w:r w:rsidRPr="00EC25B1">
        <w:rPr>
          <w:rFonts w:ascii="Times New Roman" w:hAnsi="Times New Roman" w:cs="Times New Roman"/>
          <w:sz w:val="20"/>
          <w:szCs w:val="20"/>
        </w:rPr>
        <w:t>Buser</w:t>
      </w:r>
      <w:proofErr w:type="spellEnd"/>
      <w:r w:rsidRPr="00EC25B1">
        <w:rPr>
          <w:rFonts w:ascii="Times New Roman" w:hAnsi="Times New Roman" w:cs="Times New Roman"/>
          <w:sz w:val="20"/>
          <w:szCs w:val="20"/>
        </w:rPr>
        <w:t xml:space="preserve"> A, </w:t>
      </w:r>
      <w:proofErr w:type="spellStart"/>
      <w:r w:rsidRPr="00EC25B1">
        <w:rPr>
          <w:rFonts w:ascii="Times New Roman" w:hAnsi="Times New Roman" w:cs="Times New Roman"/>
          <w:sz w:val="20"/>
          <w:szCs w:val="20"/>
        </w:rPr>
        <w:t>Teo</w:t>
      </w:r>
      <w:proofErr w:type="spellEnd"/>
      <w:r w:rsidRPr="00EC25B1">
        <w:rPr>
          <w:rFonts w:ascii="Times New Roman" w:hAnsi="Times New Roman" w:cs="Times New Roman"/>
          <w:sz w:val="20"/>
          <w:szCs w:val="20"/>
        </w:rPr>
        <w:t xml:space="preserve"> S, </w:t>
      </w:r>
      <w:proofErr w:type="spellStart"/>
      <w:r w:rsidRPr="00EC25B1">
        <w:rPr>
          <w:rFonts w:ascii="Times New Roman" w:hAnsi="Times New Roman" w:cs="Times New Roman"/>
          <w:sz w:val="20"/>
          <w:szCs w:val="20"/>
        </w:rPr>
        <w:t>Tiedt</w:t>
      </w:r>
      <w:proofErr w:type="spellEnd"/>
      <w:r w:rsidRPr="00EC25B1">
        <w:rPr>
          <w:rFonts w:ascii="Times New Roman" w:hAnsi="Times New Roman" w:cs="Times New Roman"/>
          <w:sz w:val="20"/>
          <w:szCs w:val="20"/>
        </w:rPr>
        <w:t xml:space="preserve"> R, </w:t>
      </w:r>
      <w:proofErr w:type="spellStart"/>
      <w:r w:rsidRPr="00EC25B1">
        <w:rPr>
          <w:rFonts w:ascii="Times New Roman" w:hAnsi="Times New Roman" w:cs="Times New Roman"/>
          <w:sz w:val="20"/>
          <w:szCs w:val="20"/>
        </w:rPr>
        <w:t>Passweg</w:t>
      </w:r>
      <w:proofErr w:type="spellEnd"/>
      <w:r w:rsidRPr="00EC25B1">
        <w:rPr>
          <w:rFonts w:ascii="Times New Roman" w:hAnsi="Times New Roman" w:cs="Times New Roman"/>
          <w:sz w:val="20"/>
          <w:szCs w:val="20"/>
        </w:rPr>
        <w:t xml:space="preserve"> J. A gain-of-function mutation of JAK2 in </w:t>
      </w:r>
      <w:proofErr w:type="spellStart"/>
      <w:r w:rsidRPr="00EC25B1">
        <w:rPr>
          <w:rFonts w:ascii="Times New Roman" w:hAnsi="Times New Roman" w:cs="Times New Roman"/>
          <w:sz w:val="20"/>
          <w:szCs w:val="20"/>
        </w:rPr>
        <w:t>myeloproliferative</w:t>
      </w:r>
      <w:proofErr w:type="spellEnd"/>
      <w:r w:rsidRPr="00EC25B1">
        <w:rPr>
          <w:rFonts w:ascii="Times New Roman" w:hAnsi="Times New Roman" w:cs="Times New Roman"/>
          <w:sz w:val="20"/>
          <w:szCs w:val="20"/>
        </w:rPr>
        <w:t xml:space="preserve"> disorders. N </w:t>
      </w:r>
      <w:proofErr w:type="spellStart"/>
      <w:r w:rsidRPr="00EC25B1">
        <w:rPr>
          <w:rFonts w:ascii="Times New Roman" w:hAnsi="Times New Roman" w:cs="Times New Roman"/>
          <w:sz w:val="20"/>
          <w:szCs w:val="20"/>
        </w:rPr>
        <w:t>Engl</w:t>
      </w:r>
      <w:proofErr w:type="spellEnd"/>
      <w:r w:rsidRPr="00EC25B1">
        <w:rPr>
          <w:rFonts w:ascii="Times New Roman" w:hAnsi="Times New Roman" w:cs="Times New Roman"/>
          <w:sz w:val="20"/>
          <w:szCs w:val="20"/>
        </w:rPr>
        <w:t xml:space="preserve"> J Med, 2005, 352: 1779–1790.</w:t>
      </w:r>
    </w:p>
    <w:p w:rsidR="002057BA" w:rsidRPr="00EC25B1" w:rsidRDefault="002057BA" w:rsidP="00025B26">
      <w:pPr>
        <w:pStyle w:val="ListParagraph"/>
        <w:numPr>
          <w:ilvl w:val="0"/>
          <w:numId w:val="5"/>
        </w:numPr>
        <w:shd w:val="clear" w:color="auto" w:fill="FFFFFF"/>
        <w:bidi w:val="0"/>
        <w:snapToGrid w:val="0"/>
        <w:spacing w:after="0" w:line="240" w:lineRule="auto"/>
        <w:ind w:left="425" w:hanging="425"/>
        <w:jc w:val="both"/>
        <w:rPr>
          <w:rFonts w:ascii="Times New Roman" w:hAnsi="Times New Roman" w:cs="Times New Roman"/>
          <w:sz w:val="20"/>
          <w:szCs w:val="20"/>
        </w:rPr>
      </w:pPr>
      <w:proofErr w:type="spellStart"/>
      <w:r w:rsidRPr="00EC25B1">
        <w:rPr>
          <w:rFonts w:ascii="Times New Roman" w:hAnsi="Times New Roman" w:cs="Times New Roman"/>
          <w:sz w:val="20"/>
          <w:szCs w:val="20"/>
        </w:rPr>
        <w:t>Shirane</w:t>
      </w:r>
      <w:proofErr w:type="spellEnd"/>
      <w:r w:rsidRPr="00EC25B1">
        <w:rPr>
          <w:rFonts w:ascii="Times New Roman" w:hAnsi="Times New Roman" w:cs="Times New Roman"/>
          <w:sz w:val="20"/>
          <w:szCs w:val="20"/>
        </w:rPr>
        <w:t xml:space="preserve"> S, Araki M, </w:t>
      </w:r>
      <w:proofErr w:type="spellStart"/>
      <w:r w:rsidRPr="00EC25B1">
        <w:rPr>
          <w:rFonts w:ascii="Times New Roman" w:hAnsi="Times New Roman" w:cs="Times New Roman"/>
          <w:sz w:val="20"/>
          <w:szCs w:val="20"/>
        </w:rPr>
        <w:t>Morishita</w:t>
      </w:r>
      <w:proofErr w:type="spellEnd"/>
      <w:r w:rsidRPr="00EC25B1">
        <w:rPr>
          <w:rFonts w:ascii="Times New Roman" w:hAnsi="Times New Roman" w:cs="Times New Roman"/>
          <w:sz w:val="20"/>
          <w:szCs w:val="20"/>
        </w:rPr>
        <w:t xml:space="preserve"> S, </w:t>
      </w:r>
      <w:proofErr w:type="spellStart"/>
      <w:r w:rsidRPr="00EC25B1">
        <w:rPr>
          <w:rFonts w:ascii="Times New Roman" w:hAnsi="Times New Roman" w:cs="Times New Roman"/>
          <w:sz w:val="20"/>
          <w:szCs w:val="20"/>
        </w:rPr>
        <w:t>Edahiro</w:t>
      </w:r>
      <w:proofErr w:type="spellEnd"/>
      <w:r w:rsidRPr="00EC25B1">
        <w:rPr>
          <w:rFonts w:ascii="Times New Roman" w:hAnsi="Times New Roman" w:cs="Times New Roman"/>
          <w:sz w:val="20"/>
          <w:szCs w:val="20"/>
        </w:rPr>
        <w:t xml:space="preserve"> Y, Takei H, </w:t>
      </w:r>
      <w:proofErr w:type="spellStart"/>
      <w:r w:rsidRPr="00EC25B1">
        <w:rPr>
          <w:rFonts w:ascii="Times New Roman" w:hAnsi="Times New Roman" w:cs="Times New Roman"/>
          <w:sz w:val="20"/>
          <w:szCs w:val="20"/>
        </w:rPr>
        <w:t>Yoo</w:t>
      </w:r>
      <w:proofErr w:type="spellEnd"/>
      <w:r w:rsidRPr="00EC25B1">
        <w:rPr>
          <w:rFonts w:ascii="Times New Roman" w:hAnsi="Times New Roman" w:cs="Times New Roman"/>
          <w:sz w:val="20"/>
          <w:szCs w:val="20"/>
        </w:rPr>
        <w:t xml:space="preserve"> Y et. JAK2, CALR, and MPL mutation spectrum in Japanese patients with </w:t>
      </w:r>
      <w:proofErr w:type="spellStart"/>
      <w:r w:rsidRPr="00EC25B1">
        <w:rPr>
          <w:rFonts w:ascii="Times New Roman" w:hAnsi="Times New Roman" w:cs="Times New Roman"/>
          <w:sz w:val="20"/>
          <w:szCs w:val="20"/>
        </w:rPr>
        <w:t>myeloproliferative</w:t>
      </w:r>
      <w:proofErr w:type="spellEnd"/>
      <w:r w:rsidRPr="00EC25B1">
        <w:rPr>
          <w:rFonts w:ascii="Times New Roman" w:hAnsi="Times New Roman" w:cs="Times New Roman"/>
          <w:sz w:val="20"/>
          <w:szCs w:val="20"/>
        </w:rPr>
        <w:t xml:space="preserve"> </w:t>
      </w:r>
      <w:proofErr w:type="spellStart"/>
      <w:r w:rsidRPr="00EC25B1">
        <w:rPr>
          <w:rFonts w:ascii="Times New Roman" w:hAnsi="Times New Roman" w:cs="Times New Roman"/>
          <w:sz w:val="20"/>
          <w:szCs w:val="20"/>
        </w:rPr>
        <w:t>neoplasms</w:t>
      </w:r>
      <w:proofErr w:type="spellEnd"/>
      <w:r w:rsidRPr="00EC25B1">
        <w:rPr>
          <w:rFonts w:ascii="Times New Roman" w:hAnsi="Times New Roman" w:cs="Times New Roman"/>
          <w:sz w:val="20"/>
          <w:szCs w:val="20"/>
        </w:rPr>
        <w:t xml:space="preserve">. </w:t>
      </w:r>
      <w:proofErr w:type="spellStart"/>
      <w:r w:rsidRPr="00EC25B1">
        <w:rPr>
          <w:rFonts w:ascii="Times New Roman" w:hAnsi="Times New Roman" w:cs="Times New Roman"/>
          <w:sz w:val="20"/>
          <w:szCs w:val="20"/>
        </w:rPr>
        <w:t>Haematologica</w:t>
      </w:r>
      <w:proofErr w:type="spellEnd"/>
      <w:r w:rsidRPr="00EC25B1">
        <w:rPr>
          <w:rFonts w:ascii="Times New Roman" w:hAnsi="Times New Roman" w:cs="Times New Roman"/>
          <w:sz w:val="20"/>
          <w:szCs w:val="20"/>
        </w:rPr>
        <w:t>. 2015 Feb; 100(2):e46-8</w:t>
      </w:r>
      <w:proofErr w:type="gramStart"/>
      <w:r w:rsidRPr="00EC25B1">
        <w:rPr>
          <w:rFonts w:ascii="Times New Roman" w:hAnsi="Times New Roman" w:cs="Times New Roman"/>
          <w:sz w:val="20"/>
          <w:szCs w:val="20"/>
        </w:rPr>
        <w:t>.[</w:t>
      </w:r>
      <w:proofErr w:type="spellStart"/>
      <w:proofErr w:type="gramEnd"/>
      <w:r w:rsidR="00D74E4E" w:rsidRPr="00EC25B1">
        <w:rPr>
          <w:sz w:val="20"/>
          <w:szCs w:val="20"/>
        </w:rPr>
        <w:fldChar w:fldCharType="begin"/>
      </w:r>
      <w:r w:rsidR="008E4210" w:rsidRPr="00EC25B1">
        <w:rPr>
          <w:sz w:val="20"/>
          <w:szCs w:val="20"/>
        </w:rPr>
        <w:instrText>HYPERLINK "http://www.ncbi.nlm.nih.gov/pubmed/25398833/"</w:instrText>
      </w:r>
      <w:r w:rsidR="00D74E4E" w:rsidRPr="00EC25B1">
        <w:rPr>
          <w:sz w:val="20"/>
          <w:szCs w:val="20"/>
        </w:rPr>
        <w:fldChar w:fldCharType="separate"/>
      </w:r>
      <w:r w:rsidRPr="00EC25B1">
        <w:rPr>
          <w:rFonts w:ascii="Times New Roman" w:hAnsi="Times New Roman" w:cs="Times New Roman"/>
          <w:sz w:val="20"/>
          <w:szCs w:val="20"/>
        </w:rPr>
        <w:t>PubMed</w:t>
      </w:r>
      <w:proofErr w:type="spellEnd"/>
      <w:r w:rsidR="00D74E4E" w:rsidRPr="00EC25B1">
        <w:rPr>
          <w:sz w:val="20"/>
          <w:szCs w:val="20"/>
        </w:rPr>
        <w:fldChar w:fldCharType="end"/>
      </w:r>
      <w:r w:rsidRPr="00EC25B1">
        <w:rPr>
          <w:rFonts w:ascii="Times New Roman" w:hAnsi="Times New Roman" w:cs="Times New Roman"/>
          <w:sz w:val="20"/>
          <w:szCs w:val="20"/>
        </w:rPr>
        <w:t>] [</w:t>
      </w:r>
      <w:hyperlink r:id="rId22" w:anchor="CR7" w:history="1">
        <w:r w:rsidRPr="00EC25B1">
          <w:rPr>
            <w:rFonts w:ascii="Times New Roman" w:hAnsi="Times New Roman" w:cs="Times New Roman"/>
            <w:sz w:val="20"/>
            <w:szCs w:val="20"/>
          </w:rPr>
          <w:t>Ref list</w:t>
        </w:r>
      </w:hyperlink>
      <w:r w:rsidRPr="00EC25B1">
        <w:rPr>
          <w:rFonts w:ascii="Times New Roman" w:hAnsi="Times New Roman" w:cs="Times New Roman"/>
          <w:sz w:val="20"/>
          <w:szCs w:val="20"/>
        </w:rPr>
        <w:t>]</w:t>
      </w:r>
      <w:r w:rsidR="00EC25B1">
        <w:rPr>
          <w:rFonts w:ascii="Times New Roman" w:eastAsiaTheme="minorEastAsia" w:hAnsi="Times New Roman" w:cs="Times New Roman" w:hint="eastAsia"/>
          <w:sz w:val="20"/>
          <w:szCs w:val="20"/>
          <w:lang w:eastAsia="zh-CN"/>
        </w:rPr>
        <w:t>.</w:t>
      </w:r>
    </w:p>
    <w:p w:rsidR="002057BA" w:rsidRPr="00EC25B1" w:rsidRDefault="002057BA" w:rsidP="00025B26">
      <w:pPr>
        <w:pStyle w:val="ListParagraph"/>
        <w:numPr>
          <w:ilvl w:val="0"/>
          <w:numId w:val="5"/>
        </w:numPr>
        <w:shd w:val="clear" w:color="auto" w:fill="FFFFFF"/>
        <w:bidi w:val="0"/>
        <w:snapToGrid w:val="0"/>
        <w:spacing w:after="0" w:line="240" w:lineRule="auto"/>
        <w:ind w:left="425" w:hanging="425"/>
        <w:jc w:val="both"/>
        <w:rPr>
          <w:rFonts w:ascii="Times New Roman" w:hAnsi="Times New Roman" w:cs="Times New Roman"/>
          <w:sz w:val="20"/>
          <w:szCs w:val="20"/>
        </w:rPr>
      </w:pPr>
      <w:r w:rsidRPr="00EC25B1">
        <w:rPr>
          <w:rFonts w:ascii="Times New Roman" w:hAnsi="Times New Roman" w:cs="Times New Roman"/>
          <w:sz w:val="20"/>
          <w:szCs w:val="20"/>
        </w:rPr>
        <w:t xml:space="preserve">Ross L. Non CML </w:t>
      </w:r>
      <w:proofErr w:type="spellStart"/>
      <w:r w:rsidRPr="00EC25B1">
        <w:rPr>
          <w:rFonts w:ascii="Times New Roman" w:hAnsi="Times New Roman" w:cs="Times New Roman"/>
          <w:sz w:val="20"/>
          <w:szCs w:val="20"/>
        </w:rPr>
        <w:t>myeloproliferative</w:t>
      </w:r>
      <w:proofErr w:type="spellEnd"/>
      <w:r w:rsidRPr="00EC25B1">
        <w:rPr>
          <w:rFonts w:ascii="Times New Roman" w:hAnsi="Times New Roman" w:cs="Times New Roman"/>
          <w:sz w:val="20"/>
          <w:szCs w:val="20"/>
        </w:rPr>
        <w:t xml:space="preserve"> </w:t>
      </w:r>
      <w:proofErr w:type="spellStart"/>
      <w:r w:rsidRPr="00EC25B1">
        <w:rPr>
          <w:rFonts w:ascii="Times New Roman" w:hAnsi="Times New Roman" w:cs="Times New Roman"/>
          <w:sz w:val="20"/>
          <w:szCs w:val="20"/>
        </w:rPr>
        <w:t>neoplasms</w:t>
      </w:r>
      <w:proofErr w:type="spellEnd"/>
      <w:r w:rsidRPr="00EC25B1">
        <w:rPr>
          <w:rFonts w:ascii="Times New Roman" w:hAnsi="Times New Roman" w:cs="Times New Roman"/>
          <w:sz w:val="20"/>
          <w:szCs w:val="20"/>
        </w:rPr>
        <w:t>. Hematology/oncology clinics of North America. October 2012. Volume 26. Number 5.</w:t>
      </w:r>
    </w:p>
    <w:p w:rsidR="002057BA" w:rsidRPr="00EC25B1" w:rsidRDefault="002057BA" w:rsidP="00025B26">
      <w:pPr>
        <w:pStyle w:val="ListParagraph"/>
        <w:numPr>
          <w:ilvl w:val="0"/>
          <w:numId w:val="5"/>
        </w:numPr>
        <w:shd w:val="clear" w:color="auto" w:fill="FFFFFF"/>
        <w:bidi w:val="0"/>
        <w:snapToGrid w:val="0"/>
        <w:spacing w:after="0" w:line="240" w:lineRule="auto"/>
        <w:ind w:left="425" w:hanging="425"/>
        <w:jc w:val="both"/>
        <w:rPr>
          <w:rFonts w:ascii="Times New Roman" w:hAnsi="Times New Roman" w:cs="Times New Roman"/>
          <w:sz w:val="20"/>
          <w:szCs w:val="20"/>
        </w:rPr>
      </w:pPr>
      <w:r w:rsidRPr="00EC25B1">
        <w:rPr>
          <w:rFonts w:ascii="Times New Roman" w:hAnsi="Times New Roman" w:cs="Times New Roman"/>
          <w:sz w:val="20"/>
          <w:szCs w:val="20"/>
        </w:rPr>
        <w:t xml:space="preserve">James C, </w:t>
      </w:r>
      <w:proofErr w:type="spellStart"/>
      <w:r w:rsidRPr="00EC25B1">
        <w:rPr>
          <w:rFonts w:ascii="Times New Roman" w:hAnsi="Times New Roman" w:cs="Times New Roman"/>
          <w:sz w:val="20"/>
          <w:szCs w:val="20"/>
        </w:rPr>
        <w:t>Ugo</w:t>
      </w:r>
      <w:proofErr w:type="spellEnd"/>
      <w:r w:rsidRPr="00EC25B1">
        <w:rPr>
          <w:rFonts w:ascii="Times New Roman" w:hAnsi="Times New Roman" w:cs="Times New Roman"/>
          <w:sz w:val="20"/>
          <w:szCs w:val="20"/>
        </w:rPr>
        <w:t xml:space="preserve"> V, Le </w:t>
      </w:r>
      <w:proofErr w:type="spellStart"/>
      <w:r w:rsidRPr="00EC25B1">
        <w:rPr>
          <w:rFonts w:ascii="Times New Roman" w:hAnsi="Times New Roman" w:cs="Times New Roman"/>
          <w:sz w:val="20"/>
          <w:szCs w:val="20"/>
        </w:rPr>
        <w:t>Couedic</w:t>
      </w:r>
      <w:proofErr w:type="spellEnd"/>
      <w:r w:rsidRPr="00EC25B1">
        <w:rPr>
          <w:rFonts w:ascii="Times New Roman" w:hAnsi="Times New Roman" w:cs="Times New Roman"/>
          <w:sz w:val="20"/>
          <w:szCs w:val="20"/>
        </w:rPr>
        <w:t xml:space="preserve"> J, </w:t>
      </w:r>
      <w:proofErr w:type="spellStart"/>
      <w:r w:rsidRPr="00EC25B1">
        <w:rPr>
          <w:rFonts w:ascii="Times New Roman" w:hAnsi="Times New Roman" w:cs="Times New Roman"/>
          <w:sz w:val="20"/>
          <w:szCs w:val="20"/>
        </w:rPr>
        <w:t>Staerk</w:t>
      </w:r>
      <w:proofErr w:type="spellEnd"/>
      <w:r w:rsidRPr="00EC25B1">
        <w:rPr>
          <w:rFonts w:ascii="Times New Roman" w:hAnsi="Times New Roman" w:cs="Times New Roman"/>
          <w:sz w:val="20"/>
          <w:szCs w:val="20"/>
        </w:rPr>
        <w:t xml:space="preserve"> J, </w:t>
      </w:r>
      <w:proofErr w:type="spellStart"/>
      <w:r w:rsidRPr="00EC25B1">
        <w:rPr>
          <w:rFonts w:ascii="Times New Roman" w:hAnsi="Times New Roman" w:cs="Times New Roman"/>
          <w:sz w:val="20"/>
          <w:szCs w:val="20"/>
        </w:rPr>
        <w:t>Delhommeau</w:t>
      </w:r>
      <w:proofErr w:type="spellEnd"/>
      <w:r w:rsidRPr="00EC25B1">
        <w:rPr>
          <w:rFonts w:ascii="Times New Roman" w:hAnsi="Times New Roman" w:cs="Times New Roman"/>
          <w:sz w:val="20"/>
          <w:szCs w:val="20"/>
        </w:rPr>
        <w:t xml:space="preserve"> F, </w:t>
      </w:r>
      <w:proofErr w:type="spellStart"/>
      <w:r w:rsidRPr="00EC25B1">
        <w:rPr>
          <w:rFonts w:ascii="Times New Roman" w:hAnsi="Times New Roman" w:cs="Times New Roman"/>
          <w:sz w:val="20"/>
          <w:szCs w:val="20"/>
        </w:rPr>
        <w:t>Lacout</w:t>
      </w:r>
      <w:proofErr w:type="spellEnd"/>
      <w:r w:rsidRPr="00EC25B1">
        <w:rPr>
          <w:rFonts w:ascii="Times New Roman" w:hAnsi="Times New Roman" w:cs="Times New Roman"/>
          <w:sz w:val="20"/>
          <w:szCs w:val="20"/>
        </w:rPr>
        <w:t xml:space="preserve"> C. A unique </w:t>
      </w:r>
      <w:proofErr w:type="spellStart"/>
      <w:r w:rsidRPr="00EC25B1">
        <w:rPr>
          <w:rFonts w:ascii="Times New Roman" w:hAnsi="Times New Roman" w:cs="Times New Roman"/>
          <w:sz w:val="20"/>
          <w:szCs w:val="20"/>
        </w:rPr>
        <w:t>clonal</w:t>
      </w:r>
      <w:proofErr w:type="spellEnd"/>
      <w:r w:rsidRPr="00EC25B1">
        <w:rPr>
          <w:rFonts w:ascii="Times New Roman" w:hAnsi="Times New Roman" w:cs="Times New Roman"/>
          <w:sz w:val="20"/>
          <w:szCs w:val="20"/>
        </w:rPr>
        <w:t xml:space="preserve"> JAK2 mutation leading to constitutive </w:t>
      </w:r>
      <w:proofErr w:type="spellStart"/>
      <w:r w:rsidRPr="00EC25B1">
        <w:rPr>
          <w:rFonts w:ascii="Times New Roman" w:hAnsi="Times New Roman" w:cs="Times New Roman"/>
          <w:sz w:val="20"/>
          <w:szCs w:val="20"/>
        </w:rPr>
        <w:t>signalling</w:t>
      </w:r>
      <w:proofErr w:type="spellEnd"/>
      <w:r w:rsidRPr="00EC25B1">
        <w:rPr>
          <w:rFonts w:ascii="Times New Roman" w:hAnsi="Times New Roman" w:cs="Times New Roman"/>
          <w:sz w:val="20"/>
          <w:szCs w:val="20"/>
        </w:rPr>
        <w:t xml:space="preserve"> causes </w:t>
      </w:r>
      <w:proofErr w:type="spellStart"/>
      <w:r w:rsidRPr="00EC25B1">
        <w:rPr>
          <w:rFonts w:ascii="Times New Roman" w:hAnsi="Times New Roman" w:cs="Times New Roman"/>
          <w:sz w:val="20"/>
          <w:szCs w:val="20"/>
        </w:rPr>
        <w:t>polyc</w:t>
      </w:r>
      <w:r w:rsidR="00EC25B1">
        <w:rPr>
          <w:rFonts w:ascii="Times New Roman" w:hAnsi="Times New Roman" w:cs="Times New Roman"/>
          <w:sz w:val="20"/>
          <w:szCs w:val="20"/>
        </w:rPr>
        <w:t>ythaemiavera</w:t>
      </w:r>
      <w:proofErr w:type="spellEnd"/>
      <w:r w:rsidR="00EC25B1">
        <w:rPr>
          <w:rFonts w:ascii="Times New Roman" w:hAnsi="Times New Roman" w:cs="Times New Roman"/>
          <w:sz w:val="20"/>
          <w:szCs w:val="20"/>
        </w:rPr>
        <w:t>. Nature, 2005, 434</w:t>
      </w:r>
      <w:r w:rsidR="00EC25B1">
        <w:rPr>
          <w:rFonts w:ascii="Times New Roman" w:eastAsiaTheme="minorEastAsia" w:hAnsi="Times New Roman" w:cs="Times New Roman" w:hint="eastAsia"/>
          <w:sz w:val="20"/>
          <w:szCs w:val="20"/>
          <w:lang w:eastAsia="zh-CN"/>
        </w:rPr>
        <w:t>.</w:t>
      </w:r>
    </w:p>
    <w:p w:rsidR="002057BA" w:rsidRPr="00EC25B1" w:rsidRDefault="002057BA" w:rsidP="00025B26">
      <w:pPr>
        <w:pStyle w:val="ListParagraph"/>
        <w:numPr>
          <w:ilvl w:val="0"/>
          <w:numId w:val="5"/>
        </w:numPr>
        <w:shd w:val="clear" w:color="auto" w:fill="FFFFFF"/>
        <w:bidi w:val="0"/>
        <w:snapToGrid w:val="0"/>
        <w:spacing w:after="0" w:line="240" w:lineRule="auto"/>
        <w:ind w:left="425" w:hanging="425"/>
        <w:jc w:val="both"/>
        <w:rPr>
          <w:rFonts w:ascii="Times New Roman" w:hAnsi="Times New Roman" w:cs="Times New Roman"/>
          <w:sz w:val="20"/>
          <w:szCs w:val="20"/>
        </w:rPr>
      </w:pPr>
      <w:r w:rsidRPr="00EC25B1">
        <w:rPr>
          <w:rFonts w:ascii="Times New Roman" w:hAnsi="Times New Roman" w:cs="Times New Roman"/>
          <w:sz w:val="20"/>
          <w:szCs w:val="20"/>
        </w:rPr>
        <w:t xml:space="preserve">James V, Thiele J, Daniel A, Richard D, Michael J, Anna P et al. The 2008 revision of </w:t>
      </w:r>
      <w:proofErr w:type="spellStart"/>
      <w:r w:rsidRPr="00EC25B1">
        <w:rPr>
          <w:rFonts w:ascii="Times New Roman" w:hAnsi="Times New Roman" w:cs="Times New Roman"/>
          <w:sz w:val="20"/>
          <w:szCs w:val="20"/>
        </w:rPr>
        <w:t>theWorld</w:t>
      </w:r>
      <w:proofErr w:type="spellEnd"/>
      <w:r w:rsidRPr="00EC25B1">
        <w:rPr>
          <w:rFonts w:ascii="Times New Roman" w:hAnsi="Times New Roman" w:cs="Times New Roman"/>
          <w:sz w:val="20"/>
          <w:szCs w:val="20"/>
        </w:rPr>
        <w:t xml:space="preserve"> Health Organization (WHO) classification of myeloid </w:t>
      </w:r>
      <w:proofErr w:type="spellStart"/>
      <w:r w:rsidRPr="00EC25B1">
        <w:rPr>
          <w:rFonts w:ascii="Times New Roman" w:hAnsi="Times New Roman" w:cs="Times New Roman"/>
          <w:sz w:val="20"/>
          <w:szCs w:val="20"/>
        </w:rPr>
        <w:t>neoplasms</w:t>
      </w:r>
      <w:proofErr w:type="spellEnd"/>
      <w:r w:rsidRPr="00EC25B1">
        <w:rPr>
          <w:rFonts w:ascii="Times New Roman" w:hAnsi="Times New Roman" w:cs="Times New Roman"/>
          <w:sz w:val="20"/>
          <w:szCs w:val="20"/>
        </w:rPr>
        <w:t xml:space="preserve"> and acute leukemia: rationale and important changes. BLOOD, 30 JULY 2009 _ VOLUME 114, NUMBER 5</w:t>
      </w:r>
    </w:p>
    <w:p w:rsidR="002057BA" w:rsidRPr="00EC25B1" w:rsidRDefault="002057BA" w:rsidP="00025B26">
      <w:pPr>
        <w:pStyle w:val="ListParagraph"/>
        <w:numPr>
          <w:ilvl w:val="0"/>
          <w:numId w:val="5"/>
        </w:numPr>
        <w:shd w:val="clear" w:color="auto" w:fill="FFFFFF"/>
        <w:bidi w:val="0"/>
        <w:snapToGrid w:val="0"/>
        <w:spacing w:after="0" w:line="240" w:lineRule="auto"/>
        <w:ind w:left="425" w:hanging="425"/>
        <w:jc w:val="both"/>
        <w:rPr>
          <w:rStyle w:val="element-citation"/>
          <w:rFonts w:ascii="Times New Roman" w:hAnsi="Times New Roman" w:cs="Times New Roman"/>
          <w:sz w:val="20"/>
          <w:szCs w:val="20"/>
        </w:rPr>
      </w:pPr>
      <w:r w:rsidRPr="00EC25B1">
        <w:rPr>
          <w:rStyle w:val="element-citation"/>
          <w:rFonts w:ascii="Times New Roman" w:hAnsi="Times New Roman" w:cs="Times New Roman"/>
          <w:sz w:val="20"/>
          <w:szCs w:val="20"/>
        </w:rPr>
        <w:lastRenderedPageBreak/>
        <w:t xml:space="preserve">Levine RL, </w:t>
      </w:r>
      <w:proofErr w:type="spellStart"/>
      <w:r w:rsidRPr="00EC25B1">
        <w:rPr>
          <w:rStyle w:val="element-citation"/>
          <w:rFonts w:ascii="Times New Roman" w:hAnsi="Times New Roman" w:cs="Times New Roman"/>
          <w:sz w:val="20"/>
          <w:szCs w:val="20"/>
        </w:rPr>
        <w:t>Wadleigh</w:t>
      </w:r>
      <w:proofErr w:type="spellEnd"/>
      <w:r w:rsidRPr="00EC25B1">
        <w:rPr>
          <w:rStyle w:val="element-citation"/>
          <w:rFonts w:ascii="Times New Roman" w:hAnsi="Times New Roman" w:cs="Times New Roman"/>
          <w:sz w:val="20"/>
          <w:szCs w:val="20"/>
        </w:rPr>
        <w:t xml:space="preserve"> M, Cools J, et al. Activating mutation in the tyrosine </w:t>
      </w:r>
      <w:proofErr w:type="spellStart"/>
      <w:r w:rsidRPr="00EC25B1">
        <w:rPr>
          <w:rStyle w:val="element-citation"/>
          <w:rFonts w:ascii="Times New Roman" w:hAnsi="Times New Roman" w:cs="Times New Roman"/>
          <w:sz w:val="20"/>
          <w:szCs w:val="20"/>
        </w:rPr>
        <w:t>kinase</w:t>
      </w:r>
      <w:proofErr w:type="spellEnd"/>
      <w:r w:rsidRPr="00EC25B1">
        <w:rPr>
          <w:rStyle w:val="element-citation"/>
          <w:rFonts w:ascii="Times New Roman" w:hAnsi="Times New Roman" w:cs="Times New Roman"/>
          <w:sz w:val="20"/>
          <w:szCs w:val="20"/>
        </w:rPr>
        <w:t xml:space="preserve"> JAK2 in </w:t>
      </w:r>
      <w:proofErr w:type="spellStart"/>
      <w:r w:rsidRPr="00EC25B1">
        <w:rPr>
          <w:rStyle w:val="element-citation"/>
          <w:rFonts w:ascii="Times New Roman" w:hAnsi="Times New Roman" w:cs="Times New Roman"/>
          <w:sz w:val="20"/>
          <w:szCs w:val="20"/>
        </w:rPr>
        <w:t>polycythemia</w:t>
      </w:r>
      <w:proofErr w:type="spellEnd"/>
      <w:r w:rsidRPr="00EC25B1">
        <w:rPr>
          <w:rStyle w:val="element-citation"/>
          <w:rFonts w:ascii="Times New Roman" w:hAnsi="Times New Roman" w:cs="Times New Roman"/>
          <w:sz w:val="20"/>
          <w:szCs w:val="20"/>
        </w:rPr>
        <w:t xml:space="preserve"> </w:t>
      </w:r>
      <w:proofErr w:type="spellStart"/>
      <w:r w:rsidRPr="00EC25B1">
        <w:rPr>
          <w:rStyle w:val="element-citation"/>
          <w:rFonts w:ascii="Times New Roman" w:hAnsi="Times New Roman" w:cs="Times New Roman"/>
          <w:sz w:val="20"/>
          <w:szCs w:val="20"/>
        </w:rPr>
        <w:t>vera</w:t>
      </w:r>
      <w:proofErr w:type="spellEnd"/>
      <w:r w:rsidRPr="00EC25B1">
        <w:rPr>
          <w:rStyle w:val="element-citation"/>
          <w:rFonts w:ascii="Times New Roman" w:hAnsi="Times New Roman" w:cs="Times New Roman"/>
          <w:sz w:val="20"/>
          <w:szCs w:val="20"/>
        </w:rPr>
        <w:t xml:space="preserve">, essential </w:t>
      </w:r>
      <w:proofErr w:type="spellStart"/>
      <w:r w:rsidRPr="00EC25B1">
        <w:rPr>
          <w:rStyle w:val="element-citation"/>
          <w:rFonts w:ascii="Times New Roman" w:hAnsi="Times New Roman" w:cs="Times New Roman"/>
          <w:sz w:val="20"/>
          <w:szCs w:val="20"/>
        </w:rPr>
        <w:t>thrombocythemia</w:t>
      </w:r>
      <w:proofErr w:type="spellEnd"/>
      <w:r w:rsidRPr="00EC25B1">
        <w:rPr>
          <w:rStyle w:val="element-citation"/>
          <w:rFonts w:ascii="Times New Roman" w:hAnsi="Times New Roman" w:cs="Times New Roman"/>
          <w:sz w:val="20"/>
          <w:szCs w:val="20"/>
        </w:rPr>
        <w:t xml:space="preserve">, and myeloid </w:t>
      </w:r>
      <w:proofErr w:type="spellStart"/>
      <w:r w:rsidRPr="00EC25B1">
        <w:rPr>
          <w:rStyle w:val="element-citation"/>
          <w:rFonts w:ascii="Times New Roman" w:hAnsi="Times New Roman" w:cs="Times New Roman"/>
          <w:sz w:val="20"/>
          <w:szCs w:val="20"/>
        </w:rPr>
        <w:t>metaplasia</w:t>
      </w:r>
      <w:proofErr w:type="spellEnd"/>
      <w:r w:rsidRPr="00EC25B1">
        <w:rPr>
          <w:rStyle w:val="element-citation"/>
          <w:rFonts w:ascii="Times New Roman" w:hAnsi="Times New Roman" w:cs="Times New Roman"/>
          <w:sz w:val="20"/>
          <w:szCs w:val="20"/>
        </w:rPr>
        <w:t xml:space="preserve"> with </w:t>
      </w:r>
      <w:proofErr w:type="spellStart"/>
      <w:r w:rsidRPr="00EC25B1">
        <w:rPr>
          <w:rStyle w:val="element-citation"/>
          <w:rFonts w:ascii="Times New Roman" w:hAnsi="Times New Roman" w:cs="Times New Roman"/>
          <w:sz w:val="20"/>
          <w:szCs w:val="20"/>
        </w:rPr>
        <w:t>myelofibrosis</w:t>
      </w:r>
      <w:proofErr w:type="spellEnd"/>
      <w:r w:rsidRPr="00EC25B1">
        <w:rPr>
          <w:rStyle w:val="element-citation"/>
          <w:rFonts w:ascii="Times New Roman" w:hAnsi="Times New Roman" w:cs="Times New Roman"/>
          <w:sz w:val="20"/>
          <w:szCs w:val="20"/>
        </w:rPr>
        <w:t xml:space="preserve">. </w:t>
      </w:r>
      <w:r w:rsidRPr="00EC25B1">
        <w:rPr>
          <w:rStyle w:val="ref-journal"/>
          <w:rFonts w:ascii="Times New Roman" w:hAnsi="Times New Roman" w:cs="Times New Roman"/>
          <w:sz w:val="20"/>
          <w:szCs w:val="20"/>
        </w:rPr>
        <w:t xml:space="preserve">Cancer Cell. </w:t>
      </w:r>
      <w:r w:rsidRPr="00EC25B1">
        <w:rPr>
          <w:rStyle w:val="element-citation"/>
          <w:rFonts w:ascii="Times New Roman" w:hAnsi="Times New Roman" w:cs="Times New Roman"/>
          <w:sz w:val="20"/>
          <w:szCs w:val="20"/>
        </w:rPr>
        <w:t>2005;</w:t>
      </w:r>
      <w:r w:rsidRPr="00EC25B1">
        <w:rPr>
          <w:rStyle w:val="ref-vol"/>
          <w:rFonts w:ascii="Times New Roman" w:hAnsi="Times New Roman" w:cs="Times New Roman"/>
          <w:sz w:val="20"/>
          <w:szCs w:val="20"/>
        </w:rPr>
        <w:t>7</w:t>
      </w:r>
      <w:r w:rsidRPr="00EC25B1">
        <w:rPr>
          <w:rStyle w:val="element-citation"/>
          <w:rFonts w:ascii="Times New Roman" w:hAnsi="Times New Roman" w:cs="Times New Roman"/>
          <w:sz w:val="20"/>
          <w:szCs w:val="20"/>
        </w:rPr>
        <w:t>:387–397</w:t>
      </w:r>
    </w:p>
    <w:p w:rsidR="002057BA" w:rsidRPr="00EC25B1" w:rsidRDefault="00D74E4E" w:rsidP="00025B26">
      <w:pPr>
        <w:pStyle w:val="ListParagraph"/>
        <w:numPr>
          <w:ilvl w:val="0"/>
          <w:numId w:val="5"/>
        </w:numPr>
        <w:shd w:val="clear" w:color="auto" w:fill="FFFFFF"/>
        <w:bidi w:val="0"/>
        <w:snapToGrid w:val="0"/>
        <w:spacing w:after="0" w:line="240" w:lineRule="auto"/>
        <w:ind w:left="425" w:hanging="425"/>
        <w:jc w:val="both"/>
        <w:rPr>
          <w:rFonts w:ascii="Times New Roman" w:hAnsi="Times New Roman" w:cs="Times New Roman"/>
          <w:sz w:val="20"/>
          <w:szCs w:val="20"/>
        </w:rPr>
      </w:pPr>
      <w:hyperlink r:id="rId23" w:history="1">
        <w:r w:rsidR="002057BA" w:rsidRPr="00EC25B1">
          <w:rPr>
            <w:rFonts w:ascii="Times New Roman" w:hAnsi="Times New Roman" w:cs="Times New Roman"/>
            <w:sz w:val="20"/>
            <w:szCs w:val="20"/>
          </w:rPr>
          <w:t>Sultan S</w:t>
        </w:r>
      </w:hyperlink>
      <w:r w:rsidR="002057BA" w:rsidRPr="00EC25B1">
        <w:rPr>
          <w:rFonts w:ascii="Times New Roman" w:hAnsi="Times New Roman" w:cs="Times New Roman"/>
          <w:sz w:val="20"/>
          <w:szCs w:val="20"/>
        </w:rPr>
        <w:t xml:space="preserve">, </w:t>
      </w:r>
      <w:hyperlink r:id="rId24" w:history="1">
        <w:proofErr w:type="spellStart"/>
        <w:r w:rsidR="002057BA" w:rsidRPr="00EC25B1">
          <w:rPr>
            <w:rFonts w:ascii="Times New Roman" w:hAnsi="Times New Roman" w:cs="Times New Roman"/>
            <w:sz w:val="20"/>
            <w:szCs w:val="20"/>
          </w:rPr>
          <w:t>Irfan</w:t>
        </w:r>
        <w:proofErr w:type="spellEnd"/>
        <w:r w:rsidR="002057BA" w:rsidRPr="00EC25B1">
          <w:rPr>
            <w:rFonts w:ascii="Times New Roman" w:hAnsi="Times New Roman" w:cs="Times New Roman"/>
            <w:sz w:val="20"/>
            <w:szCs w:val="20"/>
          </w:rPr>
          <w:t xml:space="preserve"> SM</w:t>
        </w:r>
      </w:hyperlink>
      <w:r w:rsidR="002057BA" w:rsidRPr="00EC25B1">
        <w:rPr>
          <w:rFonts w:ascii="Times New Roman" w:hAnsi="Times New Roman" w:cs="Times New Roman"/>
          <w:sz w:val="20"/>
          <w:szCs w:val="20"/>
        </w:rPr>
        <w:t>.</w:t>
      </w:r>
      <w:r w:rsidR="002057BA" w:rsidRPr="00EC25B1">
        <w:rPr>
          <w:rFonts w:ascii="Times New Roman" w:hAnsi="Times New Roman" w:cs="Times New Roman"/>
          <w:b/>
          <w:bCs/>
          <w:sz w:val="20"/>
          <w:szCs w:val="20"/>
        </w:rPr>
        <w:t xml:space="preserve"> </w:t>
      </w:r>
      <w:r w:rsidR="002057BA" w:rsidRPr="00EC25B1">
        <w:rPr>
          <w:rFonts w:ascii="Times New Roman" w:hAnsi="Times New Roman" w:cs="Times New Roman"/>
          <w:sz w:val="20"/>
          <w:szCs w:val="20"/>
        </w:rPr>
        <w:t xml:space="preserve">JAK-2 </w:t>
      </w:r>
      <w:r w:rsidR="002057BA" w:rsidRPr="00EC25B1">
        <w:rPr>
          <w:rStyle w:val="highlight2"/>
          <w:rFonts w:ascii="Times New Roman" w:hAnsi="Times New Roman" w:cs="Times New Roman"/>
          <w:sz w:val="20"/>
          <w:szCs w:val="20"/>
        </w:rPr>
        <w:t>V617F</w:t>
      </w:r>
      <w:r w:rsidR="002057BA" w:rsidRPr="00EC25B1">
        <w:rPr>
          <w:rFonts w:ascii="Times New Roman" w:hAnsi="Times New Roman" w:cs="Times New Roman"/>
          <w:sz w:val="20"/>
          <w:szCs w:val="20"/>
        </w:rPr>
        <w:t xml:space="preserve"> Mutational Analysis in </w:t>
      </w:r>
      <w:r w:rsidR="002057BA" w:rsidRPr="00EC25B1">
        <w:rPr>
          <w:rStyle w:val="highlight2"/>
          <w:rFonts w:ascii="Times New Roman" w:hAnsi="Times New Roman" w:cs="Times New Roman"/>
          <w:sz w:val="20"/>
          <w:szCs w:val="20"/>
        </w:rPr>
        <w:t>Primary</w:t>
      </w:r>
      <w:r w:rsidR="002057BA" w:rsidRPr="00EC25B1">
        <w:rPr>
          <w:rFonts w:ascii="Times New Roman" w:hAnsi="Times New Roman" w:cs="Times New Roman"/>
          <w:sz w:val="20"/>
          <w:szCs w:val="20"/>
        </w:rPr>
        <w:t xml:space="preserve"> Idiopathic </w:t>
      </w:r>
      <w:proofErr w:type="spellStart"/>
      <w:r w:rsidR="002057BA" w:rsidRPr="00EC25B1">
        <w:rPr>
          <w:rStyle w:val="highlight2"/>
          <w:rFonts w:ascii="Times New Roman" w:hAnsi="Times New Roman" w:cs="Times New Roman"/>
          <w:sz w:val="20"/>
          <w:szCs w:val="20"/>
        </w:rPr>
        <w:t>Myelofibrosis</w:t>
      </w:r>
      <w:proofErr w:type="spellEnd"/>
      <w:r w:rsidR="002057BA" w:rsidRPr="00EC25B1">
        <w:rPr>
          <w:rFonts w:ascii="Times New Roman" w:hAnsi="Times New Roman" w:cs="Times New Roman"/>
          <w:sz w:val="20"/>
          <w:szCs w:val="20"/>
        </w:rPr>
        <w:t xml:space="preserve">: Experience from Southern Pakistan. </w:t>
      </w:r>
      <w:hyperlink r:id="rId25" w:tooltip="Asian Pacific journal of cancer prevention : APJCP." w:history="1">
        <w:r w:rsidR="002057BA" w:rsidRPr="00EC25B1">
          <w:rPr>
            <w:rFonts w:ascii="Times New Roman" w:hAnsi="Times New Roman" w:cs="Times New Roman"/>
            <w:sz w:val="20"/>
            <w:szCs w:val="20"/>
          </w:rPr>
          <w:t>Asian Pac J Cancer Prev.</w:t>
        </w:r>
      </w:hyperlink>
      <w:r w:rsidR="00EC25B1">
        <w:rPr>
          <w:rFonts w:ascii="Times New Roman" w:hAnsi="Times New Roman" w:cs="Times New Roman"/>
          <w:sz w:val="20"/>
          <w:szCs w:val="20"/>
        </w:rPr>
        <w:t xml:space="preserve"> 2015</w:t>
      </w:r>
      <w:proofErr w:type="gramStart"/>
      <w:r w:rsidR="00EC25B1">
        <w:rPr>
          <w:rFonts w:ascii="Times New Roman" w:hAnsi="Times New Roman" w:cs="Times New Roman"/>
          <w:sz w:val="20"/>
          <w:szCs w:val="20"/>
        </w:rPr>
        <w:t>;16</w:t>
      </w:r>
      <w:proofErr w:type="gramEnd"/>
      <w:r w:rsidR="00EC25B1">
        <w:rPr>
          <w:rFonts w:ascii="Times New Roman" w:hAnsi="Times New Roman" w:cs="Times New Roman"/>
          <w:sz w:val="20"/>
          <w:szCs w:val="20"/>
        </w:rPr>
        <w:t>(17):7889-92.</w:t>
      </w:r>
    </w:p>
    <w:p w:rsidR="002057BA" w:rsidRPr="00EC25B1" w:rsidRDefault="002057BA" w:rsidP="00025B26">
      <w:pPr>
        <w:pStyle w:val="ListParagraph"/>
        <w:numPr>
          <w:ilvl w:val="0"/>
          <w:numId w:val="5"/>
        </w:numPr>
        <w:shd w:val="clear" w:color="auto" w:fill="FFFFFF"/>
        <w:bidi w:val="0"/>
        <w:snapToGrid w:val="0"/>
        <w:spacing w:after="0" w:line="240" w:lineRule="auto"/>
        <w:ind w:left="425" w:hanging="425"/>
        <w:jc w:val="both"/>
        <w:rPr>
          <w:rFonts w:ascii="Times New Roman" w:hAnsi="Times New Roman" w:cs="Times New Roman"/>
          <w:sz w:val="20"/>
          <w:szCs w:val="20"/>
        </w:rPr>
      </w:pPr>
      <w:r w:rsidRPr="00EC25B1">
        <w:rPr>
          <w:rFonts w:ascii="Times New Roman" w:hAnsi="Times New Roman" w:cs="Times New Roman"/>
          <w:sz w:val="20"/>
          <w:szCs w:val="20"/>
        </w:rPr>
        <w:t xml:space="preserve">Larsen TS, </w:t>
      </w:r>
      <w:proofErr w:type="spellStart"/>
      <w:r w:rsidRPr="00EC25B1">
        <w:rPr>
          <w:rFonts w:ascii="Times New Roman" w:hAnsi="Times New Roman" w:cs="Times New Roman"/>
          <w:sz w:val="20"/>
          <w:szCs w:val="20"/>
        </w:rPr>
        <w:t>Pallisgaard</w:t>
      </w:r>
      <w:proofErr w:type="spellEnd"/>
      <w:r w:rsidRPr="00EC25B1">
        <w:rPr>
          <w:rFonts w:ascii="Times New Roman" w:hAnsi="Times New Roman" w:cs="Times New Roman"/>
          <w:sz w:val="20"/>
          <w:szCs w:val="20"/>
        </w:rPr>
        <w:t xml:space="preserve"> N, </w:t>
      </w:r>
      <w:proofErr w:type="spellStart"/>
      <w:r w:rsidRPr="00EC25B1">
        <w:rPr>
          <w:rFonts w:ascii="Times New Roman" w:hAnsi="Times New Roman" w:cs="Times New Roman"/>
          <w:sz w:val="20"/>
          <w:szCs w:val="20"/>
        </w:rPr>
        <w:t>Møller</w:t>
      </w:r>
      <w:proofErr w:type="spellEnd"/>
      <w:r w:rsidRPr="00EC25B1">
        <w:rPr>
          <w:rFonts w:ascii="Times New Roman" w:hAnsi="Times New Roman" w:cs="Times New Roman"/>
          <w:sz w:val="20"/>
          <w:szCs w:val="20"/>
        </w:rPr>
        <w:t xml:space="preserve"> MB, </w:t>
      </w:r>
      <w:proofErr w:type="spellStart"/>
      <w:r w:rsidRPr="00EC25B1">
        <w:rPr>
          <w:rFonts w:ascii="Times New Roman" w:hAnsi="Times New Roman" w:cs="Times New Roman"/>
          <w:sz w:val="20"/>
          <w:szCs w:val="20"/>
        </w:rPr>
        <w:t>Hasselbalch</w:t>
      </w:r>
      <w:proofErr w:type="spellEnd"/>
      <w:r w:rsidRPr="00EC25B1">
        <w:rPr>
          <w:rFonts w:ascii="Times New Roman" w:hAnsi="Times New Roman" w:cs="Times New Roman"/>
          <w:sz w:val="20"/>
          <w:szCs w:val="20"/>
        </w:rPr>
        <w:t xml:space="preserve"> HC. The JAK2 V617F allele burden in essential </w:t>
      </w:r>
      <w:proofErr w:type="spellStart"/>
      <w:r w:rsidRPr="00EC25B1">
        <w:rPr>
          <w:rFonts w:ascii="Times New Roman" w:hAnsi="Times New Roman" w:cs="Times New Roman"/>
          <w:sz w:val="20"/>
          <w:szCs w:val="20"/>
        </w:rPr>
        <w:t>thrombocythemia</w:t>
      </w:r>
      <w:proofErr w:type="spellEnd"/>
      <w:r w:rsidRPr="00EC25B1">
        <w:rPr>
          <w:rFonts w:ascii="Times New Roman" w:hAnsi="Times New Roman" w:cs="Times New Roman"/>
          <w:sz w:val="20"/>
          <w:szCs w:val="20"/>
        </w:rPr>
        <w:t xml:space="preserve">, </w:t>
      </w:r>
      <w:proofErr w:type="spellStart"/>
      <w:r w:rsidRPr="00EC25B1">
        <w:rPr>
          <w:rFonts w:ascii="Times New Roman" w:hAnsi="Times New Roman" w:cs="Times New Roman"/>
          <w:sz w:val="20"/>
          <w:szCs w:val="20"/>
        </w:rPr>
        <w:t>polycythemia</w:t>
      </w:r>
      <w:proofErr w:type="spellEnd"/>
      <w:r w:rsidRPr="00EC25B1">
        <w:rPr>
          <w:rFonts w:ascii="Times New Roman" w:hAnsi="Times New Roman" w:cs="Times New Roman"/>
          <w:sz w:val="20"/>
          <w:szCs w:val="20"/>
        </w:rPr>
        <w:t xml:space="preserve"> </w:t>
      </w:r>
      <w:proofErr w:type="spellStart"/>
      <w:proofErr w:type="gramStart"/>
      <w:r w:rsidRPr="00EC25B1">
        <w:rPr>
          <w:rFonts w:ascii="Times New Roman" w:hAnsi="Times New Roman" w:cs="Times New Roman"/>
          <w:sz w:val="20"/>
          <w:szCs w:val="20"/>
        </w:rPr>
        <w:t>vera</w:t>
      </w:r>
      <w:proofErr w:type="spellEnd"/>
      <w:proofErr w:type="gramEnd"/>
      <w:r w:rsidRPr="00EC25B1">
        <w:rPr>
          <w:rFonts w:ascii="Times New Roman" w:hAnsi="Times New Roman" w:cs="Times New Roman"/>
          <w:sz w:val="20"/>
          <w:szCs w:val="20"/>
        </w:rPr>
        <w:t xml:space="preserve"> and primary </w:t>
      </w:r>
      <w:proofErr w:type="spellStart"/>
      <w:r w:rsidRPr="00EC25B1">
        <w:rPr>
          <w:rFonts w:ascii="Times New Roman" w:hAnsi="Times New Roman" w:cs="Times New Roman"/>
          <w:sz w:val="20"/>
          <w:szCs w:val="20"/>
        </w:rPr>
        <w:t>myelofibrosis</w:t>
      </w:r>
      <w:proofErr w:type="spellEnd"/>
      <w:r w:rsidRPr="00EC25B1">
        <w:rPr>
          <w:rFonts w:ascii="Times New Roman" w:hAnsi="Times New Roman" w:cs="Times New Roman"/>
          <w:sz w:val="20"/>
          <w:szCs w:val="20"/>
        </w:rPr>
        <w:t>--impact on disease phenotype.</w:t>
      </w:r>
      <w:r w:rsidR="00EC25B1">
        <w:rPr>
          <w:rFonts w:ascii="Times New Roman" w:hAnsi="Times New Roman" w:cs="Times New Roman"/>
          <w:sz w:val="20"/>
          <w:szCs w:val="20"/>
        </w:rPr>
        <w:t xml:space="preserve"> </w:t>
      </w:r>
      <w:proofErr w:type="spellStart"/>
      <w:r w:rsidRPr="00EC25B1">
        <w:rPr>
          <w:rFonts w:ascii="Times New Roman" w:hAnsi="Times New Roman" w:cs="Times New Roman"/>
          <w:sz w:val="20"/>
          <w:szCs w:val="20"/>
        </w:rPr>
        <w:t>Eur</w:t>
      </w:r>
      <w:proofErr w:type="spellEnd"/>
      <w:r w:rsidRPr="00EC25B1">
        <w:rPr>
          <w:rFonts w:ascii="Times New Roman" w:hAnsi="Times New Roman" w:cs="Times New Roman"/>
          <w:sz w:val="20"/>
          <w:szCs w:val="20"/>
        </w:rPr>
        <w:t xml:space="preserve"> J </w:t>
      </w:r>
      <w:proofErr w:type="spellStart"/>
      <w:r w:rsidRPr="00EC25B1">
        <w:rPr>
          <w:rFonts w:ascii="Times New Roman" w:hAnsi="Times New Roman" w:cs="Times New Roman"/>
          <w:sz w:val="20"/>
          <w:szCs w:val="20"/>
        </w:rPr>
        <w:t>Haematol</w:t>
      </w:r>
      <w:proofErr w:type="spellEnd"/>
      <w:r w:rsidRPr="00EC25B1">
        <w:rPr>
          <w:rFonts w:ascii="Times New Roman" w:hAnsi="Times New Roman" w:cs="Times New Roman"/>
          <w:sz w:val="20"/>
          <w:szCs w:val="20"/>
        </w:rPr>
        <w:t xml:space="preserve">. 2007 Dec; 79(6):508-15. </w:t>
      </w:r>
      <w:proofErr w:type="spellStart"/>
      <w:r w:rsidRPr="00EC25B1">
        <w:rPr>
          <w:rFonts w:ascii="Times New Roman" w:hAnsi="Times New Roman" w:cs="Times New Roman"/>
          <w:sz w:val="20"/>
          <w:szCs w:val="20"/>
        </w:rPr>
        <w:t>Epub</w:t>
      </w:r>
      <w:proofErr w:type="spellEnd"/>
      <w:r w:rsidRPr="00EC25B1">
        <w:rPr>
          <w:rFonts w:ascii="Times New Roman" w:hAnsi="Times New Roman" w:cs="Times New Roman"/>
          <w:sz w:val="20"/>
          <w:szCs w:val="20"/>
        </w:rPr>
        <w:t xml:space="preserve"> 2007 Oct 23.</w:t>
      </w:r>
    </w:p>
    <w:p w:rsidR="002057BA" w:rsidRPr="00EC25B1" w:rsidRDefault="002057BA" w:rsidP="00025B26">
      <w:pPr>
        <w:pStyle w:val="ListParagraph"/>
        <w:numPr>
          <w:ilvl w:val="0"/>
          <w:numId w:val="5"/>
        </w:numPr>
        <w:shd w:val="clear" w:color="auto" w:fill="FFFFFF"/>
        <w:bidi w:val="0"/>
        <w:snapToGrid w:val="0"/>
        <w:spacing w:after="0" w:line="240" w:lineRule="auto"/>
        <w:ind w:left="425" w:hanging="425"/>
        <w:jc w:val="both"/>
        <w:rPr>
          <w:rStyle w:val="cit"/>
          <w:rFonts w:ascii="Times New Roman" w:hAnsi="Times New Roman" w:cs="Times New Roman"/>
          <w:sz w:val="20"/>
          <w:szCs w:val="20"/>
        </w:rPr>
      </w:pPr>
      <w:r w:rsidRPr="00EC25B1">
        <w:rPr>
          <w:rFonts w:ascii="Times New Roman" w:hAnsi="Times New Roman" w:cs="Times New Roman"/>
          <w:sz w:val="20"/>
          <w:szCs w:val="20"/>
        </w:rPr>
        <w:t xml:space="preserve">Sang H, Hyun Chi, Chan P. The allele burden of JAK2 V617F can aid in differential diagnosis of Philadelphia Chromosome-Negative </w:t>
      </w:r>
      <w:proofErr w:type="spellStart"/>
      <w:r w:rsidRPr="00EC25B1">
        <w:rPr>
          <w:rFonts w:ascii="Times New Roman" w:hAnsi="Times New Roman" w:cs="Times New Roman"/>
          <w:sz w:val="20"/>
          <w:szCs w:val="20"/>
        </w:rPr>
        <w:t>Myeloproliferative</w:t>
      </w:r>
      <w:proofErr w:type="spellEnd"/>
      <w:r w:rsidRPr="00EC25B1">
        <w:rPr>
          <w:rFonts w:ascii="Times New Roman" w:hAnsi="Times New Roman" w:cs="Times New Roman"/>
          <w:sz w:val="20"/>
          <w:szCs w:val="20"/>
        </w:rPr>
        <w:t xml:space="preserve"> Neoplasm</w:t>
      </w:r>
      <w:r w:rsidRPr="00EC25B1">
        <w:rPr>
          <w:rStyle w:val="Emphasis"/>
          <w:rFonts w:ascii="Times New Roman" w:hAnsi="Times New Roman" w:cs="Times New Roman"/>
          <w:sz w:val="20"/>
          <w:szCs w:val="20"/>
        </w:rPr>
        <w:t xml:space="preserve">. </w:t>
      </w:r>
      <w:r w:rsidRPr="00EC25B1">
        <w:rPr>
          <w:rStyle w:val="cit"/>
          <w:rFonts w:ascii="Times New Roman" w:hAnsi="Times New Roman" w:cs="Times New Roman"/>
          <w:sz w:val="20"/>
          <w:szCs w:val="20"/>
        </w:rPr>
        <w:t>Blood Res. 2013 Jun; 48(2): 128–132.</w:t>
      </w:r>
    </w:p>
    <w:p w:rsidR="002057BA" w:rsidRPr="00EC25B1" w:rsidRDefault="00D74E4E" w:rsidP="00025B26">
      <w:pPr>
        <w:pStyle w:val="ListParagraph"/>
        <w:numPr>
          <w:ilvl w:val="0"/>
          <w:numId w:val="5"/>
        </w:numPr>
        <w:shd w:val="clear" w:color="auto" w:fill="FFFFFF"/>
        <w:bidi w:val="0"/>
        <w:snapToGrid w:val="0"/>
        <w:spacing w:after="0" w:line="240" w:lineRule="auto"/>
        <w:ind w:left="425" w:hanging="425"/>
        <w:jc w:val="both"/>
        <w:rPr>
          <w:rFonts w:ascii="Times New Roman" w:hAnsi="Times New Roman" w:cs="Times New Roman"/>
          <w:sz w:val="20"/>
          <w:szCs w:val="20"/>
        </w:rPr>
      </w:pPr>
      <w:hyperlink r:id="rId26" w:history="1">
        <w:r w:rsidR="002057BA" w:rsidRPr="00EC25B1">
          <w:rPr>
            <w:rFonts w:ascii="Times New Roman" w:hAnsi="Times New Roman" w:cs="Times New Roman"/>
            <w:sz w:val="20"/>
            <w:szCs w:val="20"/>
          </w:rPr>
          <w:t>Singh N</w:t>
        </w:r>
      </w:hyperlink>
      <w:r w:rsidR="002057BA" w:rsidRPr="00EC25B1">
        <w:rPr>
          <w:rFonts w:ascii="Times New Roman" w:hAnsi="Times New Roman" w:cs="Times New Roman"/>
          <w:sz w:val="20"/>
          <w:szCs w:val="20"/>
        </w:rPr>
        <w:t xml:space="preserve">, </w:t>
      </w:r>
      <w:hyperlink r:id="rId27" w:history="1">
        <w:proofErr w:type="spellStart"/>
        <w:r w:rsidR="002057BA" w:rsidRPr="00EC25B1">
          <w:rPr>
            <w:rFonts w:ascii="Times New Roman" w:hAnsi="Times New Roman" w:cs="Times New Roman"/>
            <w:sz w:val="20"/>
            <w:szCs w:val="20"/>
          </w:rPr>
          <w:t>Sazawal</w:t>
        </w:r>
        <w:proofErr w:type="spellEnd"/>
        <w:r w:rsidR="002057BA" w:rsidRPr="00EC25B1">
          <w:rPr>
            <w:rFonts w:ascii="Times New Roman" w:hAnsi="Times New Roman" w:cs="Times New Roman"/>
            <w:sz w:val="20"/>
            <w:szCs w:val="20"/>
          </w:rPr>
          <w:t xml:space="preserve"> S</w:t>
        </w:r>
      </w:hyperlink>
      <w:r w:rsidR="002057BA" w:rsidRPr="00EC25B1">
        <w:rPr>
          <w:rFonts w:ascii="Times New Roman" w:hAnsi="Times New Roman" w:cs="Times New Roman"/>
          <w:sz w:val="20"/>
          <w:szCs w:val="20"/>
        </w:rPr>
        <w:t xml:space="preserve">, </w:t>
      </w:r>
      <w:hyperlink r:id="rId28" w:history="1">
        <w:proofErr w:type="spellStart"/>
        <w:r w:rsidR="002057BA" w:rsidRPr="00EC25B1">
          <w:rPr>
            <w:rFonts w:ascii="Times New Roman" w:hAnsi="Times New Roman" w:cs="Times New Roman"/>
            <w:sz w:val="20"/>
            <w:szCs w:val="20"/>
          </w:rPr>
          <w:t>Upadhyay</w:t>
        </w:r>
        <w:proofErr w:type="spellEnd"/>
        <w:r w:rsidR="002057BA" w:rsidRPr="00EC25B1">
          <w:rPr>
            <w:rFonts w:ascii="Times New Roman" w:hAnsi="Times New Roman" w:cs="Times New Roman"/>
            <w:sz w:val="20"/>
            <w:szCs w:val="20"/>
          </w:rPr>
          <w:t xml:space="preserve"> A</w:t>
        </w:r>
      </w:hyperlink>
      <w:r w:rsidR="002057BA" w:rsidRPr="00EC25B1">
        <w:rPr>
          <w:rFonts w:ascii="Times New Roman" w:hAnsi="Times New Roman" w:cs="Times New Roman"/>
          <w:sz w:val="20"/>
          <w:szCs w:val="20"/>
        </w:rPr>
        <w:t xml:space="preserve">, </w:t>
      </w:r>
      <w:hyperlink r:id="rId29" w:history="1">
        <w:proofErr w:type="spellStart"/>
        <w:r w:rsidR="002057BA" w:rsidRPr="00EC25B1">
          <w:rPr>
            <w:rFonts w:ascii="Times New Roman" w:hAnsi="Times New Roman" w:cs="Times New Roman"/>
            <w:sz w:val="20"/>
            <w:szCs w:val="20"/>
          </w:rPr>
          <w:t>Chhikara</w:t>
        </w:r>
        <w:proofErr w:type="spellEnd"/>
        <w:r w:rsidR="002057BA" w:rsidRPr="00EC25B1">
          <w:rPr>
            <w:rFonts w:ascii="Times New Roman" w:hAnsi="Times New Roman" w:cs="Times New Roman"/>
            <w:sz w:val="20"/>
            <w:szCs w:val="20"/>
          </w:rPr>
          <w:t xml:space="preserve"> S</w:t>
        </w:r>
      </w:hyperlink>
      <w:r w:rsidR="002057BA" w:rsidRPr="00EC25B1">
        <w:rPr>
          <w:rFonts w:ascii="Times New Roman" w:hAnsi="Times New Roman" w:cs="Times New Roman"/>
          <w:sz w:val="20"/>
          <w:szCs w:val="20"/>
        </w:rPr>
        <w:t xml:space="preserve">, </w:t>
      </w:r>
      <w:hyperlink r:id="rId30" w:history="1">
        <w:proofErr w:type="spellStart"/>
        <w:r w:rsidR="002057BA" w:rsidRPr="00EC25B1">
          <w:rPr>
            <w:rFonts w:ascii="Times New Roman" w:hAnsi="Times New Roman" w:cs="Times New Roman"/>
            <w:sz w:val="20"/>
            <w:szCs w:val="20"/>
          </w:rPr>
          <w:t>Mahapatra</w:t>
        </w:r>
        <w:proofErr w:type="spellEnd"/>
        <w:r w:rsidR="002057BA" w:rsidRPr="00EC25B1">
          <w:rPr>
            <w:rFonts w:ascii="Times New Roman" w:hAnsi="Times New Roman" w:cs="Times New Roman"/>
            <w:sz w:val="20"/>
            <w:szCs w:val="20"/>
          </w:rPr>
          <w:t xml:space="preserve"> M</w:t>
        </w:r>
      </w:hyperlink>
      <w:r w:rsidR="002057BA" w:rsidRPr="00EC25B1">
        <w:rPr>
          <w:rFonts w:ascii="Times New Roman" w:hAnsi="Times New Roman" w:cs="Times New Roman"/>
          <w:sz w:val="20"/>
          <w:szCs w:val="20"/>
        </w:rPr>
        <w:t xml:space="preserve">, </w:t>
      </w:r>
      <w:hyperlink r:id="rId31" w:history="1">
        <w:proofErr w:type="spellStart"/>
        <w:r w:rsidR="002057BA" w:rsidRPr="00EC25B1">
          <w:rPr>
            <w:rFonts w:ascii="Times New Roman" w:hAnsi="Times New Roman" w:cs="Times New Roman"/>
            <w:sz w:val="20"/>
            <w:szCs w:val="20"/>
          </w:rPr>
          <w:t>Saxena</w:t>
        </w:r>
        <w:proofErr w:type="spellEnd"/>
        <w:r w:rsidR="002057BA" w:rsidRPr="00EC25B1">
          <w:rPr>
            <w:rFonts w:ascii="Times New Roman" w:hAnsi="Times New Roman" w:cs="Times New Roman"/>
            <w:sz w:val="20"/>
            <w:szCs w:val="20"/>
          </w:rPr>
          <w:t xml:space="preserve"> R</w:t>
        </w:r>
      </w:hyperlink>
      <w:r w:rsidR="002057BA" w:rsidRPr="00EC25B1">
        <w:rPr>
          <w:rFonts w:ascii="Times New Roman" w:hAnsi="Times New Roman" w:cs="Times New Roman"/>
          <w:sz w:val="20"/>
          <w:szCs w:val="20"/>
        </w:rPr>
        <w:t>.</w:t>
      </w:r>
      <w:r w:rsidR="002057BA" w:rsidRPr="00EC25B1">
        <w:rPr>
          <w:rFonts w:ascii="Times New Roman" w:hAnsi="Times New Roman" w:cs="Times New Roman"/>
          <w:b/>
          <w:bCs/>
          <w:sz w:val="20"/>
          <w:szCs w:val="20"/>
        </w:rPr>
        <w:t xml:space="preserve"> </w:t>
      </w:r>
      <w:r w:rsidR="002057BA" w:rsidRPr="00EC25B1">
        <w:rPr>
          <w:rFonts w:ascii="Times New Roman" w:hAnsi="Times New Roman" w:cs="Times New Roman"/>
          <w:sz w:val="20"/>
          <w:szCs w:val="20"/>
        </w:rPr>
        <w:t xml:space="preserve">Correlation of JAK2V617F mutational status in primary </w:t>
      </w:r>
      <w:proofErr w:type="spellStart"/>
      <w:r w:rsidR="002057BA" w:rsidRPr="00EC25B1">
        <w:rPr>
          <w:rFonts w:ascii="Times New Roman" w:hAnsi="Times New Roman" w:cs="Times New Roman"/>
          <w:sz w:val="20"/>
          <w:szCs w:val="20"/>
        </w:rPr>
        <w:t>myelofibrosis</w:t>
      </w:r>
      <w:proofErr w:type="spellEnd"/>
      <w:r w:rsidR="002057BA" w:rsidRPr="00EC25B1">
        <w:rPr>
          <w:rFonts w:ascii="Times New Roman" w:hAnsi="Times New Roman" w:cs="Times New Roman"/>
          <w:sz w:val="20"/>
          <w:szCs w:val="20"/>
        </w:rPr>
        <w:t xml:space="preserve"> with </w:t>
      </w:r>
      <w:proofErr w:type="spellStart"/>
      <w:r w:rsidR="002057BA" w:rsidRPr="00EC25B1">
        <w:rPr>
          <w:rFonts w:ascii="Times New Roman" w:hAnsi="Times New Roman" w:cs="Times New Roman"/>
          <w:sz w:val="20"/>
          <w:szCs w:val="20"/>
        </w:rPr>
        <w:t>clinico</w:t>
      </w:r>
      <w:proofErr w:type="spellEnd"/>
      <w:r w:rsidR="002057BA" w:rsidRPr="00EC25B1">
        <w:rPr>
          <w:rFonts w:ascii="Times New Roman" w:hAnsi="Times New Roman" w:cs="Times New Roman"/>
          <w:sz w:val="20"/>
          <w:szCs w:val="20"/>
        </w:rPr>
        <w:t xml:space="preserve">-hematologic characteristics and international prognostic scoring system scoring: a single center experience. </w:t>
      </w:r>
      <w:hyperlink r:id="rId32" w:tooltip="Indian journal of pathology &amp; microbiology." w:history="1">
        <w:r w:rsidR="002057BA" w:rsidRPr="00EC25B1">
          <w:rPr>
            <w:rFonts w:ascii="Times New Roman" w:hAnsi="Times New Roman" w:cs="Times New Roman"/>
            <w:sz w:val="20"/>
            <w:szCs w:val="20"/>
          </w:rPr>
          <w:t xml:space="preserve">Indian J </w:t>
        </w:r>
        <w:proofErr w:type="spellStart"/>
        <w:r w:rsidR="002057BA" w:rsidRPr="00EC25B1">
          <w:rPr>
            <w:rFonts w:ascii="Times New Roman" w:hAnsi="Times New Roman" w:cs="Times New Roman"/>
            <w:sz w:val="20"/>
            <w:szCs w:val="20"/>
          </w:rPr>
          <w:t>Pathol</w:t>
        </w:r>
        <w:proofErr w:type="spellEnd"/>
        <w:r w:rsidR="002057BA" w:rsidRPr="00EC25B1">
          <w:rPr>
            <w:rFonts w:ascii="Times New Roman" w:hAnsi="Times New Roman" w:cs="Times New Roman"/>
            <w:sz w:val="20"/>
            <w:szCs w:val="20"/>
          </w:rPr>
          <w:t xml:space="preserve"> </w:t>
        </w:r>
        <w:proofErr w:type="spellStart"/>
        <w:r w:rsidR="002057BA" w:rsidRPr="00EC25B1">
          <w:rPr>
            <w:rFonts w:ascii="Times New Roman" w:hAnsi="Times New Roman" w:cs="Times New Roman"/>
            <w:sz w:val="20"/>
            <w:szCs w:val="20"/>
          </w:rPr>
          <w:t>Microbiol</w:t>
        </w:r>
        <w:proofErr w:type="spellEnd"/>
        <w:r w:rsidR="002057BA" w:rsidRPr="00EC25B1">
          <w:rPr>
            <w:rFonts w:ascii="Times New Roman" w:hAnsi="Times New Roman" w:cs="Times New Roman"/>
            <w:sz w:val="20"/>
            <w:szCs w:val="20"/>
          </w:rPr>
          <w:t>.</w:t>
        </w:r>
      </w:hyperlink>
      <w:r w:rsidR="002057BA" w:rsidRPr="00EC25B1">
        <w:rPr>
          <w:rFonts w:ascii="Times New Roman" w:hAnsi="Times New Roman" w:cs="Times New Roman"/>
          <w:sz w:val="20"/>
          <w:szCs w:val="20"/>
        </w:rPr>
        <w:t xml:space="preserve"> 2015 Apr-Jun</w:t>
      </w:r>
      <w:proofErr w:type="gramStart"/>
      <w:r w:rsidR="002057BA" w:rsidRPr="00EC25B1">
        <w:rPr>
          <w:rFonts w:ascii="Times New Roman" w:hAnsi="Times New Roman" w:cs="Times New Roman"/>
          <w:sz w:val="20"/>
          <w:szCs w:val="20"/>
        </w:rPr>
        <w:t>;58</w:t>
      </w:r>
      <w:proofErr w:type="gramEnd"/>
      <w:r w:rsidR="002057BA" w:rsidRPr="00EC25B1">
        <w:rPr>
          <w:rFonts w:ascii="Times New Roman" w:hAnsi="Times New Roman" w:cs="Times New Roman"/>
          <w:sz w:val="20"/>
          <w:szCs w:val="20"/>
        </w:rPr>
        <w:t>(2):187-91. doi:</w:t>
      </w:r>
      <w:r w:rsidR="00EC25B1">
        <w:rPr>
          <w:rFonts w:ascii="Times New Roman" w:hAnsi="Times New Roman" w:cs="Times New Roman"/>
          <w:sz w:val="20"/>
          <w:szCs w:val="20"/>
        </w:rPr>
        <w:t>10.4103/0377-4929.155311.</w:t>
      </w:r>
    </w:p>
    <w:p w:rsidR="002057BA" w:rsidRPr="00EC25B1" w:rsidRDefault="002057BA" w:rsidP="00025B26">
      <w:pPr>
        <w:pStyle w:val="ListParagraph"/>
        <w:numPr>
          <w:ilvl w:val="0"/>
          <w:numId w:val="5"/>
        </w:numPr>
        <w:shd w:val="clear" w:color="auto" w:fill="FFFFFF"/>
        <w:bidi w:val="0"/>
        <w:snapToGrid w:val="0"/>
        <w:spacing w:after="0" w:line="240" w:lineRule="auto"/>
        <w:ind w:left="425" w:hanging="425"/>
        <w:jc w:val="both"/>
        <w:rPr>
          <w:rFonts w:ascii="Times New Roman" w:hAnsi="Times New Roman" w:cs="Times New Roman"/>
          <w:sz w:val="20"/>
          <w:szCs w:val="20"/>
        </w:rPr>
      </w:pPr>
      <w:proofErr w:type="spellStart"/>
      <w:r w:rsidRPr="00EC25B1">
        <w:rPr>
          <w:rFonts w:ascii="Times New Roman" w:hAnsi="Times New Roman" w:cs="Times New Roman"/>
          <w:sz w:val="20"/>
          <w:szCs w:val="20"/>
        </w:rPr>
        <w:t>Ipek</w:t>
      </w:r>
      <w:proofErr w:type="spellEnd"/>
      <w:r w:rsidRPr="00EC25B1">
        <w:rPr>
          <w:rFonts w:ascii="Times New Roman" w:hAnsi="Times New Roman" w:cs="Times New Roman"/>
          <w:sz w:val="20"/>
          <w:szCs w:val="20"/>
        </w:rPr>
        <w:t xml:space="preserve"> Y, </w:t>
      </w:r>
      <w:proofErr w:type="spellStart"/>
      <w:r w:rsidRPr="00EC25B1">
        <w:rPr>
          <w:rFonts w:ascii="Times New Roman" w:hAnsi="Times New Roman" w:cs="Times New Roman"/>
          <w:sz w:val="20"/>
          <w:szCs w:val="20"/>
        </w:rPr>
        <w:t>Aynur</w:t>
      </w:r>
      <w:proofErr w:type="spellEnd"/>
      <w:r w:rsidRPr="00EC25B1">
        <w:rPr>
          <w:rFonts w:ascii="Times New Roman" w:hAnsi="Times New Roman" w:cs="Times New Roman"/>
          <w:sz w:val="20"/>
          <w:szCs w:val="20"/>
        </w:rPr>
        <w:t xml:space="preserve"> D, </w:t>
      </w:r>
      <w:proofErr w:type="spellStart"/>
      <w:r w:rsidRPr="00EC25B1">
        <w:rPr>
          <w:rFonts w:ascii="Times New Roman" w:hAnsi="Times New Roman" w:cs="Times New Roman"/>
          <w:sz w:val="20"/>
          <w:szCs w:val="20"/>
        </w:rPr>
        <w:t>Basak</w:t>
      </w:r>
      <w:proofErr w:type="spellEnd"/>
      <w:r w:rsidRPr="00EC25B1">
        <w:rPr>
          <w:rFonts w:ascii="Times New Roman" w:hAnsi="Times New Roman" w:cs="Times New Roman"/>
          <w:sz w:val="20"/>
          <w:szCs w:val="20"/>
        </w:rPr>
        <w:t xml:space="preserve"> A, </w:t>
      </w:r>
      <w:proofErr w:type="spellStart"/>
      <w:r w:rsidRPr="00EC25B1">
        <w:rPr>
          <w:rFonts w:ascii="Times New Roman" w:hAnsi="Times New Roman" w:cs="Times New Roman"/>
          <w:sz w:val="20"/>
          <w:szCs w:val="20"/>
        </w:rPr>
        <w:t>Ceylan</w:t>
      </w:r>
      <w:proofErr w:type="spellEnd"/>
      <w:r w:rsidRPr="00EC25B1">
        <w:rPr>
          <w:rFonts w:ascii="Times New Roman" w:hAnsi="Times New Roman" w:cs="Times New Roman"/>
          <w:sz w:val="20"/>
          <w:szCs w:val="20"/>
        </w:rPr>
        <w:t xml:space="preserve"> Y, </w:t>
      </w:r>
      <w:proofErr w:type="spellStart"/>
      <w:r w:rsidRPr="00EC25B1">
        <w:rPr>
          <w:rFonts w:ascii="Times New Roman" w:hAnsi="Times New Roman" w:cs="Times New Roman"/>
          <w:sz w:val="20"/>
          <w:szCs w:val="20"/>
        </w:rPr>
        <w:t>Meliha</w:t>
      </w:r>
      <w:proofErr w:type="spellEnd"/>
      <w:r w:rsidRPr="00EC25B1">
        <w:rPr>
          <w:rFonts w:ascii="Times New Roman" w:hAnsi="Times New Roman" w:cs="Times New Roman"/>
          <w:sz w:val="20"/>
          <w:szCs w:val="20"/>
        </w:rPr>
        <w:t xml:space="preserve"> N, </w:t>
      </w:r>
      <w:proofErr w:type="spellStart"/>
      <w:r w:rsidRPr="00EC25B1">
        <w:rPr>
          <w:rFonts w:ascii="Times New Roman" w:hAnsi="Times New Roman" w:cs="Times New Roman"/>
          <w:sz w:val="20"/>
          <w:szCs w:val="20"/>
        </w:rPr>
        <w:t>Akif</w:t>
      </w:r>
      <w:proofErr w:type="spellEnd"/>
      <w:r w:rsidRPr="00EC25B1">
        <w:rPr>
          <w:rFonts w:ascii="Times New Roman" w:hAnsi="Times New Roman" w:cs="Times New Roman"/>
          <w:sz w:val="20"/>
          <w:szCs w:val="20"/>
        </w:rPr>
        <w:t xml:space="preserve"> S et al. The Burden of JAK2V617F Mutated Allele in Turkish Patients with </w:t>
      </w:r>
      <w:proofErr w:type="spellStart"/>
      <w:r w:rsidRPr="00EC25B1">
        <w:rPr>
          <w:rFonts w:ascii="Times New Roman" w:hAnsi="Times New Roman" w:cs="Times New Roman"/>
          <w:sz w:val="20"/>
          <w:szCs w:val="20"/>
        </w:rPr>
        <w:t>Myeloproliferative</w:t>
      </w:r>
      <w:proofErr w:type="spellEnd"/>
      <w:r w:rsidRPr="00EC25B1">
        <w:rPr>
          <w:rFonts w:ascii="Times New Roman" w:hAnsi="Times New Roman" w:cs="Times New Roman"/>
          <w:sz w:val="20"/>
          <w:szCs w:val="20"/>
        </w:rPr>
        <w:t xml:space="preserve"> </w:t>
      </w:r>
      <w:proofErr w:type="spellStart"/>
      <w:r w:rsidRPr="00EC25B1">
        <w:rPr>
          <w:rFonts w:ascii="Times New Roman" w:hAnsi="Times New Roman" w:cs="Times New Roman"/>
          <w:sz w:val="20"/>
          <w:szCs w:val="20"/>
        </w:rPr>
        <w:t>Neoplasms</w:t>
      </w:r>
      <w:proofErr w:type="spellEnd"/>
      <w:r w:rsidRPr="00EC25B1">
        <w:rPr>
          <w:rFonts w:ascii="Times New Roman" w:hAnsi="Times New Roman" w:cs="Times New Roman"/>
          <w:sz w:val="20"/>
          <w:szCs w:val="20"/>
        </w:rPr>
        <w:t>. Med Res. 2015 March; 7(3)</w:t>
      </w:r>
      <w:r w:rsidR="00EC25B1">
        <w:rPr>
          <w:rFonts w:ascii="Times New Roman" w:eastAsiaTheme="minorEastAsia" w:hAnsi="Times New Roman" w:cs="Times New Roman" w:hint="eastAsia"/>
          <w:sz w:val="20"/>
          <w:szCs w:val="20"/>
          <w:lang w:eastAsia="zh-CN"/>
        </w:rPr>
        <w:t>.</w:t>
      </w:r>
    </w:p>
    <w:p w:rsidR="002057BA" w:rsidRPr="00EC25B1" w:rsidRDefault="002057BA" w:rsidP="00025B26">
      <w:pPr>
        <w:pStyle w:val="ListParagraph"/>
        <w:numPr>
          <w:ilvl w:val="0"/>
          <w:numId w:val="5"/>
        </w:numPr>
        <w:shd w:val="clear" w:color="auto" w:fill="FFFFFF"/>
        <w:bidi w:val="0"/>
        <w:snapToGrid w:val="0"/>
        <w:spacing w:after="0" w:line="240" w:lineRule="auto"/>
        <w:ind w:left="425" w:hanging="425"/>
        <w:jc w:val="both"/>
        <w:rPr>
          <w:rFonts w:ascii="Times New Roman" w:hAnsi="Times New Roman" w:cs="Times New Roman"/>
          <w:sz w:val="20"/>
          <w:szCs w:val="20"/>
        </w:rPr>
      </w:pPr>
      <w:proofErr w:type="spellStart"/>
      <w:r w:rsidRPr="00EC25B1">
        <w:rPr>
          <w:rFonts w:ascii="Times New Roman" w:hAnsi="Times New Roman" w:cs="Times New Roman"/>
          <w:sz w:val="20"/>
          <w:szCs w:val="20"/>
        </w:rPr>
        <w:t>Yonal</w:t>
      </w:r>
      <w:proofErr w:type="spellEnd"/>
      <w:r w:rsidRPr="00EC25B1">
        <w:rPr>
          <w:rFonts w:ascii="Times New Roman" w:hAnsi="Times New Roman" w:cs="Times New Roman"/>
          <w:sz w:val="20"/>
          <w:szCs w:val="20"/>
        </w:rPr>
        <w:t xml:space="preserve"> I, </w:t>
      </w:r>
      <w:proofErr w:type="spellStart"/>
      <w:r w:rsidRPr="00EC25B1">
        <w:rPr>
          <w:rFonts w:ascii="Times New Roman" w:hAnsi="Times New Roman" w:cs="Times New Roman"/>
          <w:sz w:val="20"/>
          <w:szCs w:val="20"/>
        </w:rPr>
        <w:t>Daglar</w:t>
      </w:r>
      <w:proofErr w:type="spellEnd"/>
      <w:r w:rsidRPr="00EC25B1">
        <w:rPr>
          <w:rFonts w:ascii="Times New Roman" w:hAnsi="Times New Roman" w:cs="Times New Roman"/>
          <w:sz w:val="20"/>
          <w:szCs w:val="20"/>
        </w:rPr>
        <w:t xml:space="preserve"> A, </w:t>
      </w:r>
      <w:proofErr w:type="spellStart"/>
      <w:r w:rsidRPr="00EC25B1">
        <w:rPr>
          <w:rFonts w:ascii="Times New Roman" w:hAnsi="Times New Roman" w:cs="Times New Roman"/>
          <w:sz w:val="20"/>
          <w:szCs w:val="20"/>
        </w:rPr>
        <w:t>Akadam</w:t>
      </w:r>
      <w:proofErr w:type="spellEnd"/>
      <w:r w:rsidRPr="00EC25B1">
        <w:rPr>
          <w:rFonts w:ascii="Times New Roman" w:hAnsi="Times New Roman" w:cs="Times New Roman"/>
          <w:sz w:val="20"/>
          <w:szCs w:val="20"/>
        </w:rPr>
        <w:t xml:space="preserve"> B, </w:t>
      </w:r>
      <w:proofErr w:type="spellStart"/>
      <w:r w:rsidRPr="00EC25B1">
        <w:rPr>
          <w:rFonts w:ascii="Times New Roman" w:hAnsi="Times New Roman" w:cs="Times New Roman"/>
          <w:sz w:val="20"/>
          <w:szCs w:val="20"/>
        </w:rPr>
        <w:t>Ceylan</w:t>
      </w:r>
      <w:proofErr w:type="spellEnd"/>
      <w:r w:rsidRPr="00EC25B1">
        <w:rPr>
          <w:rFonts w:ascii="Times New Roman" w:hAnsi="Times New Roman" w:cs="Times New Roman"/>
          <w:sz w:val="20"/>
          <w:szCs w:val="20"/>
        </w:rPr>
        <w:t xml:space="preserve"> Y, </w:t>
      </w:r>
      <w:proofErr w:type="spellStart"/>
      <w:r w:rsidRPr="00EC25B1">
        <w:rPr>
          <w:rFonts w:ascii="Times New Roman" w:hAnsi="Times New Roman" w:cs="Times New Roman"/>
          <w:sz w:val="20"/>
          <w:szCs w:val="20"/>
        </w:rPr>
        <w:t>Nalcacı</w:t>
      </w:r>
      <w:proofErr w:type="spellEnd"/>
      <w:r w:rsidRPr="00EC25B1">
        <w:rPr>
          <w:rFonts w:ascii="Times New Roman" w:hAnsi="Times New Roman" w:cs="Times New Roman"/>
          <w:sz w:val="20"/>
          <w:szCs w:val="20"/>
        </w:rPr>
        <w:t xml:space="preserve"> M, </w:t>
      </w:r>
      <w:proofErr w:type="spellStart"/>
      <w:r w:rsidRPr="00EC25B1">
        <w:rPr>
          <w:rFonts w:ascii="Times New Roman" w:hAnsi="Times New Roman" w:cs="Times New Roman"/>
          <w:sz w:val="20"/>
          <w:szCs w:val="20"/>
        </w:rPr>
        <w:t>Yavuz</w:t>
      </w:r>
      <w:proofErr w:type="spellEnd"/>
      <w:r w:rsidRPr="00EC25B1">
        <w:rPr>
          <w:rFonts w:ascii="Times New Roman" w:hAnsi="Times New Roman" w:cs="Times New Roman"/>
          <w:sz w:val="20"/>
          <w:szCs w:val="20"/>
        </w:rPr>
        <w:t xml:space="preserve"> AS et al. Impact of JAK2V617F Mutational Status on Phenotypic Features in Essential </w:t>
      </w:r>
      <w:proofErr w:type="spellStart"/>
      <w:r w:rsidRPr="00EC25B1">
        <w:rPr>
          <w:rFonts w:ascii="Times New Roman" w:hAnsi="Times New Roman" w:cs="Times New Roman"/>
          <w:sz w:val="20"/>
          <w:szCs w:val="20"/>
        </w:rPr>
        <w:t>Thrombocythemia</w:t>
      </w:r>
      <w:proofErr w:type="spellEnd"/>
      <w:r w:rsidRPr="00EC25B1">
        <w:rPr>
          <w:rFonts w:ascii="Times New Roman" w:hAnsi="Times New Roman" w:cs="Times New Roman"/>
          <w:sz w:val="20"/>
          <w:szCs w:val="20"/>
        </w:rPr>
        <w:t xml:space="preserve"> and Primary </w:t>
      </w:r>
      <w:proofErr w:type="spellStart"/>
      <w:r w:rsidRPr="00EC25B1">
        <w:rPr>
          <w:rFonts w:ascii="Times New Roman" w:hAnsi="Times New Roman" w:cs="Times New Roman"/>
          <w:sz w:val="20"/>
          <w:szCs w:val="20"/>
        </w:rPr>
        <w:t>Myelofibrosis</w:t>
      </w:r>
      <w:proofErr w:type="spellEnd"/>
      <w:r w:rsidRPr="00EC25B1">
        <w:rPr>
          <w:rFonts w:ascii="Times New Roman" w:hAnsi="Times New Roman" w:cs="Times New Roman"/>
          <w:sz w:val="20"/>
          <w:szCs w:val="20"/>
        </w:rPr>
        <w:t xml:space="preserve">. Turk J </w:t>
      </w:r>
      <w:proofErr w:type="spellStart"/>
      <w:r w:rsidRPr="00EC25B1">
        <w:rPr>
          <w:rFonts w:ascii="Times New Roman" w:hAnsi="Times New Roman" w:cs="Times New Roman"/>
          <w:sz w:val="20"/>
          <w:szCs w:val="20"/>
        </w:rPr>
        <w:t>Haematol</w:t>
      </w:r>
      <w:proofErr w:type="spellEnd"/>
      <w:r w:rsidRPr="00EC25B1">
        <w:rPr>
          <w:rFonts w:ascii="Times New Roman" w:hAnsi="Times New Roman" w:cs="Times New Roman"/>
          <w:sz w:val="20"/>
          <w:szCs w:val="20"/>
        </w:rPr>
        <w:t xml:space="preserve">. 2015 Apr 27; </w:t>
      </w:r>
      <w:proofErr w:type="spellStart"/>
      <w:r w:rsidRPr="00EC25B1">
        <w:rPr>
          <w:rFonts w:ascii="Times New Roman" w:hAnsi="Times New Roman" w:cs="Times New Roman"/>
          <w:sz w:val="20"/>
          <w:szCs w:val="20"/>
        </w:rPr>
        <w:t>Epub</w:t>
      </w:r>
      <w:proofErr w:type="spellEnd"/>
      <w:r w:rsidRPr="00EC25B1">
        <w:rPr>
          <w:rFonts w:ascii="Times New Roman" w:hAnsi="Times New Roman" w:cs="Times New Roman"/>
          <w:sz w:val="20"/>
          <w:szCs w:val="20"/>
        </w:rPr>
        <w:t xml:space="preserve"> 2015 Apr 27.</w:t>
      </w:r>
    </w:p>
    <w:p w:rsidR="002057BA" w:rsidRPr="00EC25B1" w:rsidRDefault="002057BA" w:rsidP="00025B26">
      <w:pPr>
        <w:pStyle w:val="ListParagraph"/>
        <w:numPr>
          <w:ilvl w:val="0"/>
          <w:numId w:val="5"/>
        </w:numPr>
        <w:shd w:val="clear" w:color="auto" w:fill="FFFFFF"/>
        <w:bidi w:val="0"/>
        <w:snapToGrid w:val="0"/>
        <w:spacing w:after="0" w:line="240" w:lineRule="auto"/>
        <w:ind w:left="425" w:hanging="425"/>
        <w:jc w:val="both"/>
        <w:rPr>
          <w:rFonts w:ascii="Times New Roman" w:hAnsi="Times New Roman" w:cs="Times New Roman"/>
          <w:sz w:val="20"/>
          <w:szCs w:val="20"/>
        </w:rPr>
      </w:pPr>
      <w:proofErr w:type="spellStart"/>
      <w:r w:rsidRPr="00EC25B1">
        <w:rPr>
          <w:rFonts w:ascii="Times New Roman" w:hAnsi="Times New Roman" w:cs="Times New Roman"/>
          <w:sz w:val="20"/>
          <w:szCs w:val="20"/>
        </w:rPr>
        <w:lastRenderedPageBreak/>
        <w:t>Rudzki</w:t>
      </w:r>
      <w:proofErr w:type="spellEnd"/>
      <w:r w:rsidRPr="00EC25B1">
        <w:rPr>
          <w:rFonts w:ascii="Times New Roman" w:hAnsi="Times New Roman" w:cs="Times New Roman"/>
          <w:sz w:val="20"/>
          <w:szCs w:val="20"/>
        </w:rPr>
        <w:t xml:space="preserve"> Z, </w:t>
      </w:r>
      <w:proofErr w:type="spellStart"/>
      <w:r w:rsidRPr="00EC25B1">
        <w:rPr>
          <w:rFonts w:ascii="Times New Roman" w:hAnsi="Times New Roman" w:cs="Times New Roman"/>
          <w:sz w:val="20"/>
          <w:szCs w:val="20"/>
        </w:rPr>
        <w:t>Sacha</w:t>
      </w:r>
      <w:proofErr w:type="spellEnd"/>
      <w:r w:rsidRPr="00EC25B1">
        <w:rPr>
          <w:rFonts w:ascii="Times New Roman" w:hAnsi="Times New Roman" w:cs="Times New Roman"/>
          <w:sz w:val="20"/>
          <w:szCs w:val="20"/>
        </w:rPr>
        <w:t xml:space="preserve"> T, </w:t>
      </w:r>
      <w:proofErr w:type="spellStart"/>
      <w:r w:rsidRPr="00EC25B1">
        <w:rPr>
          <w:rFonts w:ascii="Times New Roman" w:hAnsi="Times New Roman" w:cs="Times New Roman"/>
          <w:sz w:val="20"/>
          <w:szCs w:val="20"/>
        </w:rPr>
        <w:t>Stój</w:t>
      </w:r>
      <w:proofErr w:type="spellEnd"/>
      <w:r w:rsidRPr="00EC25B1">
        <w:rPr>
          <w:rFonts w:ascii="Times New Roman" w:hAnsi="Times New Roman" w:cs="Times New Roman"/>
          <w:sz w:val="20"/>
          <w:szCs w:val="20"/>
        </w:rPr>
        <w:t xml:space="preserve"> A, </w:t>
      </w:r>
      <w:proofErr w:type="spellStart"/>
      <w:r w:rsidRPr="00EC25B1">
        <w:rPr>
          <w:rFonts w:ascii="Times New Roman" w:hAnsi="Times New Roman" w:cs="Times New Roman"/>
          <w:sz w:val="20"/>
          <w:szCs w:val="20"/>
        </w:rPr>
        <w:t>Czekalska</w:t>
      </w:r>
      <w:proofErr w:type="spellEnd"/>
      <w:r w:rsidRPr="00EC25B1">
        <w:rPr>
          <w:rFonts w:ascii="Times New Roman" w:hAnsi="Times New Roman" w:cs="Times New Roman"/>
          <w:sz w:val="20"/>
          <w:szCs w:val="20"/>
        </w:rPr>
        <w:t xml:space="preserve"> S, </w:t>
      </w:r>
      <w:proofErr w:type="spellStart"/>
      <w:r w:rsidRPr="00EC25B1">
        <w:rPr>
          <w:rFonts w:ascii="Times New Roman" w:hAnsi="Times New Roman" w:cs="Times New Roman"/>
          <w:sz w:val="20"/>
          <w:szCs w:val="20"/>
        </w:rPr>
        <w:t>Wójcik</w:t>
      </w:r>
      <w:proofErr w:type="spellEnd"/>
      <w:r w:rsidRPr="00EC25B1">
        <w:rPr>
          <w:rFonts w:ascii="Times New Roman" w:hAnsi="Times New Roman" w:cs="Times New Roman"/>
          <w:sz w:val="20"/>
          <w:szCs w:val="20"/>
        </w:rPr>
        <w:t xml:space="preserve"> M, </w:t>
      </w:r>
      <w:proofErr w:type="spellStart"/>
      <w:r w:rsidRPr="00EC25B1">
        <w:rPr>
          <w:rFonts w:ascii="Times New Roman" w:hAnsi="Times New Roman" w:cs="Times New Roman"/>
          <w:sz w:val="20"/>
          <w:szCs w:val="20"/>
        </w:rPr>
        <w:t>Skotnicki</w:t>
      </w:r>
      <w:proofErr w:type="spellEnd"/>
      <w:r w:rsidRPr="00EC25B1">
        <w:rPr>
          <w:rFonts w:ascii="Times New Roman" w:hAnsi="Times New Roman" w:cs="Times New Roman"/>
          <w:sz w:val="20"/>
          <w:szCs w:val="20"/>
        </w:rPr>
        <w:t xml:space="preserve"> AB, et al. The gain-of-function JAK2 V617F mutation shifts the phenotype of essential </w:t>
      </w:r>
      <w:proofErr w:type="spellStart"/>
      <w:r w:rsidRPr="00EC25B1">
        <w:rPr>
          <w:rFonts w:ascii="Times New Roman" w:hAnsi="Times New Roman" w:cs="Times New Roman"/>
          <w:sz w:val="20"/>
          <w:szCs w:val="20"/>
        </w:rPr>
        <w:t>thrombocythemia</w:t>
      </w:r>
      <w:proofErr w:type="spellEnd"/>
      <w:r w:rsidRPr="00EC25B1">
        <w:rPr>
          <w:rFonts w:ascii="Times New Roman" w:hAnsi="Times New Roman" w:cs="Times New Roman"/>
          <w:sz w:val="20"/>
          <w:szCs w:val="20"/>
        </w:rPr>
        <w:t xml:space="preserve"> and chronic idiopathic </w:t>
      </w:r>
      <w:proofErr w:type="spellStart"/>
      <w:r w:rsidRPr="00EC25B1">
        <w:rPr>
          <w:rFonts w:ascii="Times New Roman" w:hAnsi="Times New Roman" w:cs="Times New Roman"/>
          <w:sz w:val="20"/>
          <w:szCs w:val="20"/>
        </w:rPr>
        <w:t>myelofibrosis</w:t>
      </w:r>
      <w:proofErr w:type="spellEnd"/>
      <w:r w:rsidRPr="00EC25B1">
        <w:rPr>
          <w:rFonts w:ascii="Times New Roman" w:hAnsi="Times New Roman" w:cs="Times New Roman"/>
          <w:sz w:val="20"/>
          <w:szCs w:val="20"/>
        </w:rPr>
        <w:t xml:space="preserve"> to more "</w:t>
      </w:r>
      <w:proofErr w:type="spellStart"/>
      <w:r w:rsidRPr="00EC25B1">
        <w:rPr>
          <w:rFonts w:ascii="Times New Roman" w:hAnsi="Times New Roman" w:cs="Times New Roman"/>
          <w:sz w:val="20"/>
          <w:szCs w:val="20"/>
        </w:rPr>
        <w:t>erythremic</w:t>
      </w:r>
      <w:proofErr w:type="spellEnd"/>
      <w:r w:rsidRPr="00EC25B1">
        <w:rPr>
          <w:rFonts w:ascii="Times New Roman" w:hAnsi="Times New Roman" w:cs="Times New Roman"/>
          <w:sz w:val="20"/>
          <w:szCs w:val="20"/>
        </w:rPr>
        <w:t>" and less "</w:t>
      </w:r>
      <w:proofErr w:type="spellStart"/>
      <w:r w:rsidRPr="00EC25B1">
        <w:rPr>
          <w:rFonts w:ascii="Times New Roman" w:hAnsi="Times New Roman" w:cs="Times New Roman"/>
          <w:sz w:val="20"/>
          <w:szCs w:val="20"/>
        </w:rPr>
        <w:t>thrombocythemic</w:t>
      </w:r>
      <w:proofErr w:type="spellEnd"/>
      <w:r w:rsidRPr="00EC25B1">
        <w:rPr>
          <w:rFonts w:ascii="Times New Roman" w:hAnsi="Times New Roman" w:cs="Times New Roman"/>
          <w:sz w:val="20"/>
          <w:szCs w:val="20"/>
        </w:rPr>
        <w:t xml:space="preserve">": A molecular, </w:t>
      </w:r>
      <w:proofErr w:type="spellStart"/>
      <w:r w:rsidRPr="00EC25B1">
        <w:rPr>
          <w:rFonts w:ascii="Times New Roman" w:hAnsi="Times New Roman" w:cs="Times New Roman"/>
          <w:sz w:val="20"/>
          <w:szCs w:val="20"/>
        </w:rPr>
        <w:t>histologic</w:t>
      </w:r>
      <w:proofErr w:type="spellEnd"/>
      <w:r w:rsidRPr="00EC25B1">
        <w:rPr>
          <w:rFonts w:ascii="Times New Roman" w:hAnsi="Times New Roman" w:cs="Times New Roman"/>
          <w:sz w:val="20"/>
          <w:szCs w:val="20"/>
        </w:rPr>
        <w:t xml:space="preserve">, and clinical study. </w:t>
      </w:r>
      <w:proofErr w:type="spellStart"/>
      <w:r w:rsidRPr="00EC25B1">
        <w:rPr>
          <w:rFonts w:ascii="Times New Roman" w:hAnsi="Times New Roman" w:cs="Times New Roman"/>
          <w:sz w:val="20"/>
          <w:szCs w:val="20"/>
        </w:rPr>
        <w:t>Int</w:t>
      </w:r>
      <w:proofErr w:type="spellEnd"/>
      <w:r w:rsidRPr="00EC25B1">
        <w:rPr>
          <w:rFonts w:ascii="Times New Roman" w:hAnsi="Times New Roman" w:cs="Times New Roman"/>
          <w:sz w:val="20"/>
          <w:szCs w:val="20"/>
        </w:rPr>
        <w:t xml:space="preserve"> J </w:t>
      </w:r>
      <w:proofErr w:type="spellStart"/>
      <w:r w:rsidRPr="00EC25B1">
        <w:rPr>
          <w:rFonts w:ascii="Times New Roman" w:hAnsi="Times New Roman" w:cs="Times New Roman"/>
          <w:sz w:val="20"/>
          <w:szCs w:val="20"/>
        </w:rPr>
        <w:t>Hematol</w:t>
      </w:r>
      <w:proofErr w:type="spellEnd"/>
      <w:r w:rsidRPr="00EC25B1">
        <w:rPr>
          <w:rFonts w:ascii="Times New Roman" w:hAnsi="Times New Roman" w:cs="Times New Roman"/>
          <w:sz w:val="20"/>
          <w:szCs w:val="20"/>
        </w:rPr>
        <w:t xml:space="preserve"> 2007</w:t>
      </w:r>
      <w:proofErr w:type="gramStart"/>
      <w:r w:rsidRPr="00EC25B1">
        <w:rPr>
          <w:rFonts w:ascii="Times New Roman" w:hAnsi="Times New Roman" w:cs="Times New Roman"/>
          <w:sz w:val="20"/>
          <w:szCs w:val="20"/>
        </w:rPr>
        <w:t>;86:130</w:t>
      </w:r>
      <w:proofErr w:type="gramEnd"/>
      <w:r w:rsidRPr="00EC25B1">
        <w:rPr>
          <w:rFonts w:ascii="Times New Roman" w:hAnsi="Times New Roman" w:cs="Times New Roman"/>
          <w:sz w:val="20"/>
          <w:szCs w:val="20"/>
        </w:rPr>
        <w:t>-6.</w:t>
      </w:r>
    </w:p>
    <w:p w:rsidR="002057BA" w:rsidRPr="00EC25B1" w:rsidRDefault="002057BA" w:rsidP="00025B26">
      <w:pPr>
        <w:pStyle w:val="ListParagraph"/>
        <w:numPr>
          <w:ilvl w:val="0"/>
          <w:numId w:val="5"/>
        </w:numPr>
        <w:shd w:val="clear" w:color="auto" w:fill="FFFFFF"/>
        <w:bidi w:val="0"/>
        <w:snapToGrid w:val="0"/>
        <w:spacing w:after="0" w:line="240" w:lineRule="auto"/>
        <w:ind w:left="425" w:hanging="425"/>
        <w:jc w:val="both"/>
        <w:rPr>
          <w:rFonts w:ascii="Times New Roman" w:hAnsi="Times New Roman" w:cs="Times New Roman"/>
          <w:sz w:val="20"/>
          <w:szCs w:val="20"/>
        </w:rPr>
      </w:pPr>
      <w:proofErr w:type="spellStart"/>
      <w:r w:rsidRPr="00EC25B1">
        <w:rPr>
          <w:rFonts w:ascii="Times New Roman" w:hAnsi="Times New Roman" w:cs="Times New Roman"/>
          <w:sz w:val="20"/>
          <w:szCs w:val="20"/>
        </w:rPr>
        <w:t>Speletas</w:t>
      </w:r>
      <w:proofErr w:type="spellEnd"/>
      <w:r w:rsidRPr="00EC25B1">
        <w:rPr>
          <w:rFonts w:ascii="Times New Roman" w:hAnsi="Times New Roman" w:cs="Times New Roman"/>
          <w:sz w:val="20"/>
          <w:szCs w:val="20"/>
        </w:rPr>
        <w:t xml:space="preserve"> M, </w:t>
      </w:r>
      <w:proofErr w:type="spellStart"/>
      <w:r w:rsidRPr="00EC25B1">
        <w:rPr>
          <w:rFonts w:ascii="Times New Roman" w:hAnsi="Times New Roman" w:cs="Times New Roman"/>
          <w:sz w:val="20"/>
          <w:szCs w:val="20"/>
        </w:rPr>
        <w:t>Katodritou</w:t>
      </w:r>
      <w:proofErr w:type="spellEnd"/>
      <w:r w:rsidRPr="00EC25B1">
        <w:rPr>
          <w:rFonts w:ascii="Times New Roman" w:hAnsi="Times New Roman" w:cs="Times New Roman"/>
          <w:sz w:val="20"/>
          <w:szCs w:val="20"/>
        </w:rPr>
        <w:t xml:space="preserve"> E, </w:t>
      </w:r>
      <w:proofErr w:type="spellStart"/>
      <w:r w:rsidRPr="00EC25B1">
        <w:rPr>
          <w:rFonts w:ascii="Times New Roman" w:hAnsi="Times New Roman" w:cs="Times New Roman"/>
          <w:sz w:val="20"/>
          <w:szCs w:val="20"/>
        </w:rPr>
        <w:t>Daiou</w:t>
      </w:r>
      <w:proofErr w:type="spellEnd"/>
      <w:r w:rsidRPr="00EC25B1">
        <w:rPr>
          <w:rFonts w:ascii="Times New Roman" w:hAnsi="Times New Roman" w:cs="Times New Roman"/>
          <w:sz w:val="20"/>
          <w:szCs w:val="20"/>
        </w:rPr>
        <w:t xml:space="preserve"> C, </w:t>
      </w:r>
      <w:proofErr w:type="spellStart"/>
      <w:r w:rsidRPr="00EC25B1">
        <w:rPr>
          <w:rFonts w:ascii="Times New Roman" w:hAnsi="Times New Roman" w:cs="Times New Roman"/>
          <w:sz w:val="20"/>
          <w:szCs w:val="20"/>
        </w:rPr>
        <w:t>Mandala</w:t>
      </w:r>
      <w:proofErr w:type="spellEnd"/>
      <w:r w:rsidRPr="00EC25B1">
        <w:rPr>
          <w:rFonts w:ascii="Times New Roman" w:hAnsi="Times New Roman" w:cs="Times New Roman"/>
          <w:sz w:val="20"/>
          <w:szCs w:val="20"/>
        </w:rPr>
        <w:t xml:space="preserve"> E, </w:t>
      </w:r>
      <w:proofErr w:type="spellStart"/>
      <w:r w:rsidRPr="00EC25B1">
        <w:rPr>
          <w:rFonts w:ascii="Times New Roman" w:hAnsi="Times New Roman" w:cs="Times New Roman"/>
          <w:sz w:val="20"/>
          <w:szCs w:val="20"/>
        </w:rPr>
        <w:t>Papadakis</w:t>
      </w:r>
      <w:proofErr w:type="spellEnd"/>
      <w:r w:rsidRPr="00EC25B1">
        <w:rPr>
          <w:rFonts w:ascii="Times New Roman" w:hAnsi="Times New Roman" w:cs="Times New Roman"/>
          <w:sz w:val="20"/>
          <w:szCs w:val="20"/>
        </w:rPr>
        <w:t xml:space="preserve"> E, </w:t>
      </w:r>
      <w:proofErr w:type="spellStart"/>
      <w:r w:rsidRPr="00EC25B1">
        <w:rPr>
          <w:rFonts w:ascii="Times New Roman" w:hAnsi="Times New Roman" w:cs="Times New Roman"/>
          <w:sz w:val="20"/>
          <w:szCs w:val="20"/>
        </w:rPr>
        <w:t>Kioumi</w:t>
      </w:r>
      <w:proofErr w:type="spellEnd"/>
      <w:r w:rsidRPr="00EC25B1">
        <w:rPr>
          <w:rFonts w:ascii="Times New Roman" w:hAnsi="Times New Roman" w:cs="Times New Roman"/>
          <w:sz w:val="20"/>
          <w:szCs w:val="20"/>
        </w:rPr>
        <w:t xml:space="preserve"> A et al. Correlations of JAK2-V617F mutation with clinical and laboratory findings in patients with </w:t>
      </w:r>
      <w:proofErr w:type="spellStart"/>
      <w:r w:rsidRPr="00EC25B1">
        <w:rPr>
          <w:rFonts w:ascii="Times New Roman" w:hAnsi="Times New Roman" w:cs="Times New Roman"/>
          <w:sz w:val="20"/>
          <w:szCs w:val="20"/>
        </w:rPr>
        <w:t>myeloproliferative</w:t>
      </w:r>
      <w:proofErr w:type="spellEnd"/>
      <w:r w:rsidRPr="00EC25B1">
        <w:rPr>
          <w:rFonts w:ascii="Times New Roman" w:hAnsi="Times New Roman" w:cs="Times New Roman"/>
          <w:sz w:val="20"/>
          <w:szCs w:val="20"/>
        </w:rPr>
        <w:t xml:space="preserve"> disorders.</w:t>
      </w:r>
      <w:r w:rsidR="00EC25B1">
        <w:rPr>
          <w:rFonts w:ascii="Times New Roman" w:hAnsi="Times New Roman" w:cs="Times New Roman"/>
          <w:sz w:val="20"/>
          <w:szCs w:val="20"/>
        </w:rPr>
        <w:t xml:space="preserve"> </w:t>
      </w:r>
      <w:proofErr w:type="spellStart"/>
      <w:r w:rsidRPr="00EC25B1">
        <w:rPr>
          <w:rFonts w:ascii="Times New Roman" w:hAnsi="Times New Roman" w:cs="Times New Roman"/>
          <w:sz w:val="20"/>
          <w:szCs w:val="20"/>
        </w:rPr>
        <w:t>Leuk</w:t>
      </w:r>
      <w:proofErr w:type="spellEnd"/>
      <w:r w:rsidRPr="00EC25B1">
        <w:rPr>
          <w:rFonts w:ascii="Times New Roman" w:hAnsi="Times New Roman" w:cs="Times New Roman"/>
          <w:sz w:val="20"/>
          <w:szCs w:val="20"/>
        </w:rPr>
        <w:t xml:space="preserve"> Res. 2007 Aug; 31(8):1053-62. </w:t>
      </w:r>
      <w:proofErr w:type="spellStart"/>
      <w:r w:rsidRPr="00EC25B1">
        <w:rPr>
          <w:rFonts w:ascii="Times New Roman" w:hAnsi="Times New Roman" w:cs="Times New Roman"/>
          <w:sz w:val="20"/>
          <w:szCs w:val="20"/>
        </w:rPr>
        <w:t>Epub</w:t>
      </w:r>
      <w:proofErr w:type="spellEnd"/>
      <w:r w:rsidRPr="00EC25B1">
        <w:rPr>
          <w:rFonts w:ascii="Times New Roman" w:hAnsi="Times New Roman" w:cs="Times New Roman"/>
          <w:sz w:val="20"/>
          <w:szCs w:val="20"/>
        </w:rPr>
        <w:t xml:space="preserve"> 2006 Oct 12.</w:t>
      </w:r>
    </w:p>
    <w:p w:rsidR="002057BA" w:rsidRPr="00EC25B1" w:rsidRDefault="00D74E4E" w:rsidP="00025B26">
      <w:pPr>
        <w:pStyle w:val="ListParagraph"/>
        <w:numPr>
          <w:ilvl w:val="0"/>
          <w:numId w:val="5"/>
        </w:numPr>
        <w:shd w:val="clear" w:color="auto" w:fill="FFFFFF"/>
        <w:bidi w:val="0"/>
        <w:snapToGrid w:val="0"/>
        <w:spacing w:after="0" w:line="240" w:lineRule="auto"/>
        <w:ind w:left="425" w:hanging="425"/>
        <w:jc w:val="both"/>
        <w:rPr>
          <w:rFonts w:ascii="Times New Roman" w:hAnsi="Times New Roman" w:cs="Times New Roman"/>
          <w:sz w:val="20"/>
          <w:szCs w:val="20"/>
        </w:rPr>
      </w:pPr>
      <w:hyperlink r:id="rId33" w:history="1">
        <w:proofErr w:type="spellStart"/>
        <w:r w:rsidR="002057BA" w:rsidRPr="00EC25B1">
          <w:rPr>
            <w:rFonts w:ascii="Times New Roman" w:hAnsi="Times New Roman" w:cs="Times New Roman"/>
            <w:sz w:val="20"/>
            <w:szCs w:val="20"/>
          </w:rPr>
          <w:t>Benmoussa</w:t>
        </w:r>
        <w:proofErr w:type="spellEnd"/>
        <w:r w:rsidR="002057BA" w:rsidRPr="00EC25B1">
          <w:rPr>
            <w:rFonts w:ascii="Times New Roman" w:hAnsi="Times New Roman" w:cs="Times New Roman"/>
            <w:sz w:val="20"/>
            <w:szCs w:val="20"/>
          </w:rPr>
          <w:t xml:space="preserve"> A</w:t>
        </w:r>
      </w:hyperlink>
      <w:r w:rsidR="002057BA" w:rsidRPr="00EC25B1">
        <w:rPr>
          <w:rFonts w:ascii="Times New Roman" w:hAnsi="Times New Roman" w:cs="Times New Roman"/>
          <w:sz w:val="20"/>
          <w:szCs w:val="20"/>
        </w:rPr>
        <w:t xml:space="preserve">, </w:t>
      </w:r>
      <w:hyperlink r:id="rId34" w:history="1">
        <w:proofErr w:type="spellStart"/>
        <w:r w:rsidR="002057BA" w:rsidRPr="00EC25B1">
          <w:rPr>
            <w:rFonts w:ascii="Times New Roman" w:hAnsi="Times New Roman" w:cs="Times New Roman"/>
            <w:sz w:val="20"/>
            <w:szCs w:val="20"/>
          </w:rPr>
          <w:t>Dehbi</w:t>
        </w:r>
        <w:proofErr w:type="spellEnd"/>
        <w:r w:rsidR="002057BA" w:rsidRPr="00EC25B1">
          <w:rPr>
            <w:rFonts w:ascii="Times New Roman" w:hAnsi="Times New Roman" w:cs="Times New Roman"/>
            <w:sz w:val="20"/>
            <w:szCs w:val="20"/>
          </w:rPr>
          <w:t xml:space="preserve"> H</w:t>
        </w:r>
      </w:hyperlink>
      <w:r w:rsidR="002057BA" w:rsidRPr="00EC25B1">
        <w:rPr>
          <w:rFonts w:ascii="Times New Roman" w:hAnsi="Times New Roman" w:cs="Times New Roman"/>
          <w:sz w:val="20"/>
          <w:szCs w:val="20"/>
        </w:rPr>
        <w:t xml:space="preserve">, </w:t>
      </w:r>
      <w:hyperlink r:id="rId35" w:history="1">
        <w:proofErr w:type="spellStart"/>
        <w:r w:rsidR="002057BA" w:rsidRPr="00EC25B1">
          <w:rPr>
            <w:rFonts w:ascii="Times New Roman" w:hAnsi="Times New Roman" w:cs="Times New Roman"/>
            <w:sz w:val="20"/>
            <w:szCs w:val="20"/>
          </w:rPr>
          <w:t>Fehri</w:t>
        </w:r>
        <w:proofErr w:type="spellEnd"/>
        <w:r w:rsidR="002057BA" w:rsidRPr="00EC25B1">
          <w:rPr>
            <w:rFonts w:ascii="Times New Roman" w:hAnsi="Times New Roman" w:cs="Times New Roman"/>
            <w:sz w:val="20"/>
            <w:szCs w:val="20"/>
          </w:rPr>
          <w:t xml:space="preserve"> S</w:t>
        </w:r>
      </w:hyperlink>
      <w:r w:rsidR="002057BA" w:rsidRPr="00EC25B1">
        <w:rPr>
          <w:rFonts w:ascii="Times New Roman" w:hAnsi="Times New Roman" w:cs="Times New Roman"/>
          <w:sz w:val="20"/>
          <w:szCs w:val="20"/>
        </w:rPr>
        <w:t xml:space="preserve">, </w:t>
      </w:r>
      <w:hyperlink r:id="rId36" w:history="1">
        <w:proofErr w:type="spellStart"/>
        <w:r w:rsidR="002057BA" w:rsidRPr="00EC25B1">
          <w:rPr>
            <w:rFonts w:ascii="Times New Roman" w:hAnsi="Times New Roman" w:cs="Times New Roman"/>
            <w:sz w:val="20"/>
            <w:szCs w:val="20"/>
          </w:rPr>
          <w:t>Quessar</w:t>
        </w:r>
        <w:proofErr w:type="spellEnd"/>
        <w:r w:rsidR="002057BA" w:rsidRPr="00EC25B1">
          <w:rPr>
            <w:rFonts w:ascii="Times New Roman" w:hAnsi="Times New Roman" w:cs="Times New Roman"/>
            <w:sz w:val="20"/>
            <w:szCs w:val="20"/>
          </w:rPr>
          <w:t xml:space="preserve"> A</w:t>
        </w:r>
      </w:hyperlink>
      <w:r w:rsidR="002057BA" w:rsidRPr="00EC25B1">
        <w:rPr>
          <w:rFonts w:ascii="Times New Roman" w:hAnsi="Times New Roman" w:cs="Times New Roman"/>
          <w:sz w:val="20"/>
          <w:szCs w:val="20"/>
        </w:rPr>
        <w:t xml:space="preserve">, </w:t>
      </w:r>
      <w:hyperlink r:id="rId37" w:history="1">
        <w:proofErr w:type="spellStart"/>
        <w:r w:rsidR="002057BA" w:rsidRPr="00EC25B1">
          <w:rPr>
            <w:rFonts w:ascii="Times New Roman" w:hAnsi="Times New Roman" w:cs="Times New Roman"/>
            <w:sz w:val="20"/>
            <w:szCs w:val="20"/>
          </w:rPr>
          <w:t>Nadifi</w:t>
        </w:r>
        <w:proofErr w:type="spellEnd"/>
        <w:r w:rsidR="002057BA" w:rsidRPr="00EC25B1">
          <w:rPr>
            <w:rFonts w:ascii="Times New Roman" w:hAnsi="Times New Roman" w:cs="Times New Roman"/>
            <w:sz w:val="20"/>
            <w:szCs w:val="20"/>
          </w:rPr>
          <w:t xml:space="preserve"> S</w:t>
        </w:r>
      </w:hyperlink>
      <w:r w:rsidR="002057BA" w:rsidRPr="00EC25B1">
        <w:rPr>
          <w:rFonts w:ascii="Times New Roman" w:hAnsi="Times New Roman" w:cs="Times New Roman"/>
          <w:sz w:val="20"/>
          <w:szCs w:val="20"/>
        </w:rPr>
        <w:t>.</w:t>
      </w:r>
      <w:r w:rsidR="002057BA" w:rsidRPr="00EC25B1">
        <w:rPr>
          <w:rFonts w:ascii="Times New Roman" w:hAnsi="Times New Roman" w:cs="Times New Roman"/>
          <w:b/>
          <w:bCs/>
          <w:sz w:val="20"/>
          <w:szCs w:val="20"/>
        </w:rPr>
        <w:t xml:space="preserve"> </w:t>
      </w:r>
      <w:r w:rsidR="002057BA" w:rsidRPr="00EC25B1">
        <w:rPr>
          <w:rFonts w:ascii="Times New Roman" w:hAnsi="Times New Roman" w:cs="Times New Roman"/>
          <w:sz w:val="20"/>
          <w:szCs w:val="20"/>
        </w:rPr>
        <w:t xml:space="preserve">JAK2-V617F mutation in Moroccan patients with </w:t>
      </w:r>
      <w:proofErr w:type="spellStart"/>
      <w:r w:rsidR="002057BA" w:rsidRPr="00EC25B1">
        <w:rPr>
          <w:rFonts w:ascii="Times New Roman" w:hAnsi="Times New Roman" w:cs="Times New Roman"/>
          <w:sz w:val="20"/>
          <w:szCs w:val="20"/>
        </w:rPr>
        <w:t>myeloproliferative</w:t>
      </w:r>
      <w:proofErr w:type="spellEnd"/>
      <w:r w:rsidR="002057BA" w:rsidRPr="00EC25B1">
        <w:rPr>
          <w:rFonts w:ascii="Times New Roman" w:hAnsi="Times New Roman" w:cs="Times New Roman"/>
          <w:sz w:val="20"/>
          <w:szCs w:val="20"/>
        </w:rPr>
        <w:t xml:space="preserve"> disorders: contribution, diagnosis and therapeutic prospects. </w:t>
      </w:r>
      <w:proofErr w:type="spellStart"/>
      <w:r w:rsidR="002057BA" w:rsidRPr="00EC25B1">
        <w:rPr>
          <w:rFonts w:ascii="Times New Roman" w:hAnsi="Times New Roman" w:cs="Times New Roman"/>
          <w:sz w:val="20"/>
          <w:szCs w:val="20"/>
        </w:rPr>
        <w:t>Pathol</w:t>
      </w:r>
      <w:proofErr w:type="spellEnd"/>
      <w:r w:rsidR="002057BA" w:rsidRPr="00EC25B1">
        <w:rPr>
          <w:rFonts w:ascii="Times New Roman" w:hAnsi="Times New Roman" w:cs="Times New Roman"/>
          <w:sz w:val="20"/>
          <w:szCs w:val="20"/>
        </w:rPr>
        <w:t xml:space="preserve"> </w:t>
      </w:r>
      <w:proofErr w:type="spellStart"/>
      <w:r w:rsidR="002057BA" w:rsidRPr="00EC25B1">
        <w:rPr>
          <w:rFonts w:ascii="Times New Roman" w:hAnsi="Times New Roman" w:cs="Times New Roman"/>
          <w:sz w:val="20"/>
          <w:szCs w:val="20"/>
        </w:rPr>
        <w:t>Biol</w:t>
      </w:r>
      <w:proofErr w:type="spellEnd"/>
      <w:r w:rsidR="002057BA" w:rsidRPr="00EC25B1">
        <w:rPr>
          <w:rFonts w:ascii="Times New Roman" w:hAnsi="Times New Roman" w:cs="Times New Roman"/>
          <w:sz w:val="20"/>
          <w:szCs w:val="20"/>
        </w:rPr>
        <w:t xml:space="preserve"> 2011 Aug;59</w:t>
      </w:r>
      <w:r w:rsidR="00EC25B1">
        <w:rPr>
          <w:rFonts w:ascii="Times New Roman" w:hAnsi="Times New Roman" w:cs="Times New Roman"/>
          <w:sz w:val="20"/>
          <w:szCs w:val="20"/>
        </w:rPr>
        <w:t>(4):e89-92. doi:</w:t>
      </w:r>
      <w:r w:rsidR="002057BA" w:rsidRPr="00EC25B1">
        <w:rPr>
          <w:rFonts w:ascii="Times New Roman" w:hAnsi="Times New Roman" w:cs="Times New Roman"/>
          <w:sz w:val="20"/>
          <w:szCs w:val="20"/>
        </w:rPr>
        <w:t>10.1016/j.patbio.</w:t>
      </w:r>
      <w:r w:rsidR="00EC25B1">
        <w:rPr>
          <w:rFonts w:ascii="Times New Roman" w:hAnsi="Times New Roman" w:cs="Times New Roman"/>
          <w:sz w:val="20"/>
          <w:szCs w:val="20"/>
        </w:rPr>
        <w:t xml:space="preserve">2009.06.005. </w:t>
      </w:r>
      <w:proofErr w:type="spellStart"/>
      <w:r w:rsidR="00EC25B1">
        <w:rPr>
          <w:rFonts w:ascii="Times New Roman" w:hAnsi="Times New Roman" w:cs="Times New Roman"/>
          <w:sz w:val="20"/>
          <w:szCs w:val="20"/>
        </w:rPr>
        <w:t>Epub</w:t>
      </w:r>
      <w:proofErr w:type="spellEnd"/>
      <w:r w:rsidR="00EC25B1">
        <w:rPr>
          <w:rFonts w:ascii="Times New Roman" w:hAnsi="Times New Roman" w:cs="Times New Roman"/>
          <w:sz w:val="20"/>
          <w:szCs w:val="20"/>
        </w:rPr>
        <w:t xml:space="preserve"> 2009 Nov 24.</w:t>
      </w:r>
    </w:p>
    <w:p w:rsidR="002057BA" w:rsidRPr="00EC25B1" w:rsidRDefault="00D74E4E" w:rsidP="00025B26">
      <w:pPr>
        <w:pStyle w:val="ListParagraph"/>
        <w:numPr>
          <w:ilvl w:val="0"/>
          <w:numId w:val="5"/>
        </w:numPr>
        <w:shd w:val="clear" w:color="auto" w:fill="FFFFFF"/>
        <w:bidi w:val="0"/>
        <w:snapToGrid w:val="0"/>
        <w:spacing w:after="0" w:line="240" w:lineRule="auto"/>
        <w:ind w:left="425" w:hanging="425"/>
        <w:jc w:val="both"/>
        <w:rPr>
          <w:rFonts w:ascii="Times New Roman" w:hAnsi="Times New Roman" w:cs="Times New Roman"/>
          <w:sz w:val="20"/>
          <w:szCs w:val="20"/>
        </w:rPr>
      </w:pPr>
      <w:hyperlink r:id="rId38" w:history="1">
        <w:proofErr w:type="spellStart"/>
        <w:r w:rsidR="002057BA" w:rsidRPr="00EC25B1">
          <w:rPr>
            <w:rFonts w:ascii="Times New Roman" w:hAnsi="Times New Roman" w:cs="Times New Roman"/>
            <w:sz w:val="20"/>
            <w:szCs w:val="20"/>
          </w:rPr>
          <w:t>Ayad</w:t>
        </w:r>
        <w:proofErr w:type="spellEnd"/>
        <w:r w:rsidR="002057BA" w:rsidRPr="00EC25B1">
          <w:rPr>
            <w:rFonts w:ascii="Times New Roman" w:hAnsi="Times New Roman" w:cs="Times New Roman"/>
            <w:sz w:val="20"/>
            <w:szCs w:val="20"/>
          </w:rPr>
          <w:t xml:space="preserve"> MW</w:t>
        </w:r>
      </w:hyperlink>
      <w:r w:rsidR="002057BA" w:rsidRPr="00EC25B1">
        <w:rPr>
          <w:rFonts w:ascii="Times New Roman" w:hAnsi="Times New Roman" w:cs="Times New Roman"/>
          <w:sz w:val="20"/>
          <w:szCs w:val="20"/>
        </w:rPr>
        <w:t xml:space="preserve">, </w:t>
      </w:r>
      <w:hyperlink r:id="rId39" w:history="1">
        <w:proofErr w:type="spellStart"/>
        <w:r w:rsidR="002057BA" w:rsidRPr="00EC25B1">
          <w:rPr>
            <w:rFonts w:ascii="Times New Roman" w:hAnsi="Times New Roman" w:cs="Times New Roman"/>
            <w:sz w:val="20"/>
            <w:szCs w:val="20"/>
          </w:rPr>
          <w:t>Nafea</w:t>
        </w:r>
        <w:proofErr w:type="spellEnd"/>
        <w:r w:rsidR="002057BA" w:rsidRPr="00EC25B1">
          <w:rPr>
            <w:rFonts w:ascii="Times New Roman" w:hAnsi="Times New Roman" w:cs="Times New Roman"/>
            <w:sz w:val="20"/>
            <w:szCs w:val="20"/>
          </w:rPr>
          <w:t xml:space="preserve"> D</w:t>
        </w:r>
      </w:hyperlink>
      <w:r w:rsidR="002057BA" w:rsidRPr="00EC25B1">
        <w:rPr>
          <w:rFonts w:ascii="Times New Roman" w:hAnsi="Times New Roman" w:cs="Times New Roman"/>
          <w:sz w:val="20"/>
          <w:szCs w:val="20"/>
        </w:rPr>
        <w:t>.</w:t>
      </w:r>
      <w:r w:rsidR="002057BA" w:rsidRPr="00EC25B1">
        <w:rPr>
          <w:rFonts w:ascii="Times New Roman" w:hAnsi="Times New Roman" w:cs="Times New Roman"/>
          <w:b/>
          <w:bCs/>
          <w:sz w:val="20"/>
          <w:szCs w:val="20"/>
        </w:rPr>
        <w:t xml:space="preserve"> </w:t>
      </w:r>
      <w:r w:rsidR="002057BA" w:rsidRPr="00EC25B1">
        <w:rPr>
          <w:rFonts w:ascii="Times New Roman" w:hAnsi="Times New Roman" w:cs="Times New Roman"/>
          <w:sz w:val="20"/>
          <w:szCs w:val="20"/>
        </w:rPr>
        <w:t xml:space="preserve">Acquired mutation of the tyrosine </w:t>
      </w:r>
      <w:proofErr w:type="spellStart"/>
      <w:r w:rsidR="002057BA" w:rsidRPr="00EC25B1">
        <w:rPr>
          <w:rFonts w:ascii="Times New Roman" w:hAnsi="Times New Roman" w:cs="Times New Roman"/>
          <w:sz w:val="20"/>
          <w:szCs w:val="20"/>
        </w:rPr>
        <w:t>kinase</w:t>
      </w:r>
      <w:proofErr w:type="spellEnd"/>
      <w:r w:rsidR="002057BA" w:rsidRPr="00EC25B1">
        <w:rPr>
          <w:rFonts w:ascii="Times New Roman" w:hAnsi="Times New Roman" w:cs="Times New Roman"/>
          <w:sz w:val="20"/>
          <w:szCs w:val="20"/>
        </w:rPr>
        <w:t xml:space="preserve"> JAK2V617F in Egyptian patients with myeloid disorders.</w:t>
      </w:r>
      <w:r w:rsidR="002057BA" w:rsidRPr="00EC25B1">
        <w:rPr>
          <w:rFonts w:ascii="Times New Roman" w:hAnsi="Times New Roman" w:cs="Times New Roman"/>
          <w:b/>
          <w:bCs/>
          <w:sz w:val="20"/>
          <w:szCs w:val="20"/>
        </w:rPr>
        <w:t xml:space="preserve"> </w:t>
      </w:r>
      <w:hyperlink r:id="rId40" w:tooltip="Genetic testing and molecular biomarkers." w:history="1">
        <w:r w:rsidR="002057BA" w:rsidRPr="00EC25B1">
          <w:rPr>
            <w:rFonts w:ascii="Times New Roman" w:hAnsi="Times New Roman" w:cs="Times New Roman"/>
            <w:sz w:val="20"/>
            <w:szCs w:val="20"/>
          </w:rPr>
          <w:t>Genet Test Mol Biomarkers.</w:t>
        </w:r>
      </w:hyperlink>
      <w:r w:rsidR="002057BA" w:rsidRPr="00EC25B1">
        <w:rPr>
          <w:rFonts w:ascii="Times New Roman" w:hAnsi="Times New Roman" w:cs="Times New Roman"/>
          <w:sz w:val="20"/>
          <w:szCs w:val="20"/>
        </w:rPr>
        <w:t xml:space="preserve"> 2011 Jan-Feb</w:t>
      </w:r>
      <w:proofErr w:type="gramStart"/>
      <w:r w:rsidR="002057BA" w:rsidRPr="00EC25B1">
        <w:rPr>
          <w:rFonts w:ascii="Times New Roman" w:hAnsi="Times New Roman" w:cs="Times New Roman"/>
          <w:sz w:val="20"/>
          <w:szCs w:val="20"/>
        </w:rPr>
        <w:t>;15</w:t>
      </w:r>
      <w:proofErr w:type="gramEnd"/>
      <w:r w:rsidR="002057BA" w:rsidRPr="00EC25B1">
        <w:rPr>
          <w:rFonts w:ascii="Times New Roman" w:hAnsi="Times New Roman" w:cs="Times New Roman"/>
          <w:sz w:val="20"/>
          <w:szCs w:val="20"/>
        </w:rPr>
        <w:t xml:space="preserve">(1-2):17-21. </w:t>
      </w:r>
      <w:proofErr w:type="spellStart"/>
      <w:proofErr w:type="gramStart"/>
      <w:r w:rsidR="002057BA" w:rsidRPr="00EC25B1">
        <w:rPr>
          <w:rFonts w:ascii="Times New Roman" w:hAnsi="Times New Roman" w:cs="Times New Roman"/>
          <w:sz w:val="20"/>
          <w:szCs w:val="20"/>
        </w:rPr>
        <w:t>doi</w:t>
      </w:r>
      <w:proofErr w:type="spellEnd"/>
      <w:proofErr w:type="gramEnd"/>
      <w:r w:rsidR="002057BA" w:rsidRPr="00EC25B1">
        <w:rPr>
          <w:rFonts w:ascii="Times New Roman" w:hAnsi="Times New Roman" w:cs="Times New Roman"/>
          <w:sz w:val="20"/>
          <w:szCs w:val="20"/>
        </w:rPr>
        <w:t>: 10.1089/gt</w:t>
      </w:r>
      <w:r w:rsidR="00EC25B1">
        <w:rPr>
          <w:rFonts w:ascii="Times New Roman" w:hAnsi="Times New Roman" w:cs="Times New Roman"/>
          <w:sz w:val="20"/>
          <w:szCs w:val="20"/>
        </w:rPr>
        <w:t xml:space="preserve">mb.2010.0093. </w:t>
      </w:r>
      <w:proofErr w:type="spellStart"/>
      <w:r w:rsidR="00EC25B1">
        <w:rPr>
          <w:rFonts w:ascii="Times New Roman" w:hAnsi="Times New Roman" w:cs="Times New Roman"/>
          <w:sz w:val="20"/>
          <w:szCs w:val="20"/>
        </w:rPr>
        <w:t>Epub</w:t>
      </w:r>
      <w:proofErr w:type="spellEnd"/>
      <w:r w:rsidR="00EC25B1">
        <w:rPr>
          <w:rFonts w:ascii="Times New Roman" w:hAnsi="Times New Roman" w:cs="Times New Roman"/>
          <w:sz w:val="20"/>
          <w:szCs w:val="20"/>
        </w:rPr>
        <w:t xml:space="preserve"> 2010 Oct 29.</w:t>
      </w:r>
    </w:p>
    <w:p w:rsidR="002057BA" w:rsidRPr="00EC25B1" w:rsidRDefault="00D74E4E" w:rsidP="00025B26">
      <w:pPr>
        <w:pStyle w:val="ListParagraph"/>
        <w:numPr>
          <w:ilvl w:val="0"/>
          <w:numId w:val="5"/>
        </w:numPr>
        <w:shd w:val="clear" w:color="auto" w:fill="FFFFFF"/>
        <w:bidi w:val="0"/>
        <w:snapToGrid w:val="0"/>
        <w:spacing w:after="0" w:line="240" w:lineRule="auto"/>
        <w:ind w:left="425" w:hanging="425"/>
        <w:jc w:val="both"/>
        <w:rPr>
          <w:rFonts w:ascii="Times New Roman" w:hAnsi="Times New Roman" w:cs="Times New Roman"/>
          <w:sz w:val="20"/>
          <w:szCs w:val="20"/>
        </w:rPr>
      </w:pPr>
      <w:hyperlink r:id="rId41" w:history="1">
        <w:r w:rsidR="002057BA" w:rsidRPr="00EC25B1">
          <w:rPr>
            <w:rFonts w:ascii="Times New Roman" w:hAnsi="Times New Roman" w:cs="Times New Roman"/>
            <w:sz w:val="20"/>
            <w:szCs w:val="20"/>
          </w:rPr>
          <w:t>Ha JS</w:t>
        </w:r>
      </w:hyperlink>
      <w:r w:rsidR="002057BA" w:rsidRPr="00EC25B1">
        <w:rPr>
          <w:rFonts w:ascii="Times New Roman" w:hAnsi="Times New Roman" w:cs="Times New Roman"/>
          <w:sz w:val="20"/>
          <w:szCs w:val="20"/>
        </w:rPr>
        <w:t xml:space="preserve">, </w:t>
      </w:r>
      <w:hyperlink r:id="rId42" w:history="1">
        <w:r w:rsidR="002057BA" w:rsidRPr="00EC25B1">
          <w:rPr>
            <w:rFonts w:ascii="Times New Roman" w:hAnsi="Times New Roman" w:cs="Times New Roman"/>
            <w:sz w:val="20"/>
            <w:szCs w:val="20"/>
          </w:rPr>
          <w:t>Kim YK</w:t>
        </w:r>
      </w:hyperlink>
      <w:r w:rsidR="002057BA" w:rsidRPr="00EC25B1">
        <w:rPr>
          <w:rFonts w:ascii="Times New Roman" w:hAnsi="Times New Roman" w:cs="Times New Roman"/>
          <w:sz w:val="20"/>
          <w:szCs w:val="20"/>
        </w:rPr>
        <w:t xml:space="preserve">, </w:t>
      </w:r>
      <w:hyperlink r:id="rId43" w:history="1">
        <w:r w:rsidR="002057BA" w:rsidRPr="00EC25B1">
          <w:rPr>
            <w:rFonts w:ascii="Times New Roman" w:hAnsi="Times New Roman" w:cs="Times New Roman"/>
            <w:sz w:val="20"/>
            <w:szCs w:val="20"/>
          </w:rPr>
          <w:t>Jung SI</w:t>
        </w:r>
      </w:hyperlink>
      <w:r w:rsidR="002057BA" w:rsidRPr="00EC25B1">
        <w:rPr>
          <w:rFonts w:ascii="Times New Roman" w:hAnsi="Times New Roman" w:cs="Times New Roman"/>
          <w:sz w:val="20"/>
          <w:szCs w:val="20"/>
        </w:rPr>
        <w:t xml:space="preserve">, </w:t>
      </w:r>
      <w:hyperlink r:id="rId44" w:history="1">
        <w:r w:rsidR="002057BA" w:rsidRPr="00EC25B1">
          <w:rPr>
            <w:rFonts w:ascii="Times New Roman" w:hAnsi="Times New Roman" w:cs="Times New Roman"/>
            <w:sz w:val="20"/>
            <w:szCs w:val="20"/>
          </w:rPr>
          <w:t>Jung HR</w:t>
        </w:r>
      </w:hyperlink>
      <w:r w:rsidR="002057BA" w:rsidRPr="00EC25B1">
        <w:rPr>
          <w:rFonts w:ascii="Times New Roman" w:hAnsi="Times New Roman" w:cs="Times New Roman"/>
          <w:sz w:val="20"/>
          <w:szCs w:val="20"/>
        </w:rPr>
        <w:t xml:space="preserve">, </w:t>
      </w:r>
      <w:hyperlink r:id="rId45" w:history="1">
        <w:r w:rsidR="002057BA" w:rsidRPr="00EC25B1">
          <w:rPr>
            <w:rFonts w:ascii="Times New Roman" w:hAnsi="Times New Roman" w:cs="Times New Roman"/>
            <w:sz w:val="20"/>
            <w:szCs w:val="20"/>
          </w:rPr>
          <w:t>Chung IS</w:t>
        </w:r>
      </w:hyperlink>
      <w:r w:rsidR="002057BA" w:rsidRPr="00EC25B1">
        <w:rPr>
          <w:rFonts w:ascii="Times New Roman" w:hAnsi="Times New Roman" w:cs="Times New Roman"/>
          <w:sz w:val="20"/>
          <w:szCs w:val="20"/>
        </w:rPr>
        <w:t>.</w:t>
      </w:r>
      <w:r w:rsidR="002057BA" w:rsidRPr="00EC25B1">
        <w:rPr>
          <w:rFonts w:ascii="Times New Roman" w:hAnsi="Times New Roman" w:cs="Times New Roman"/>
          <w:b/>
          <w:bCs/>
          <w:sz w:val="20"/>
          <w:szCs w:val="20"/>
        </w:rPr>
        <w:t xml:space="preserve"> </w:t>
      </w:r>
      <w:r w:rsidR="002057BA" w:rsidRPr="00EC25B1">
        <w:rPr>
          <w:rFonts w:ascii="Times New Roman" w:hAnsi="Times New Roman" w:cs="Times New Roman"/>
          <w:sz w:val="20"/>
          <w:szCs w:val="20"/>
        </w:rPr>
        <w:t xml:space="preserve">Correlations between Janus </w:t>
      </w:r>
      <w:proofErr w:type="spellStart"/>
      <w:r w:rsidR="002057BA" w:rsidRPr="00EC25B1">
        <w:rPr>
          <w:rFonts w:ascii="Times New Roman" w:hAnsi="Times New Roman" w:cs="Times New Roman"/>
          <w:sz w:val="20"/>
          <w:szCs w:val="20"/>
        </w:rPr>
        <w:t>kinase</w:t>
      </w:r>
      <w:proofErr w:type="spellEnd"/>
      <w:r w:rsidR="002057BA" w:rsidRPr="00EC25B1">
        <w:rPr>
          <w:rFonts w:ascii="Times New Roman" w:hAnsi="Times New Roman" w:cs="Times New Roman"/>
          <w:sz w:val="20"/>
          <w:szCs w:val="20"/>
        </w:rPr>
        <w:t xml:space="preserve"> 2 V617F allele burdens and </w:t>
      </w:r>
      <w:proofErr w:type="spellStart"/>
      <w:r w:rsidR="002057BA" w:rsidRPr="00EC25B1">
        <w:rPr>
          <w:rFonts w:ascii="Times New Roman" w:hAnsi="Times New Roman" w:cs="Times New Roman"/>
          <w:sz w:val="20"/>
          <w:szCs w:val="20"/>
        </w:rPr>
        <w:t>clinicohematologic</w:t>
      </w:r>
      <w:proofErr w:type="spellEnd"/>
      <w:r w:rsidR="002057BA" w:rsidRPr="00EC25B1">
        <w:rPr>
          <w:rFonts w:ascii="Times New Roman" w:hAnsi="Times New Roman" w:cs="Times New Roman"/>
          <w:sz w:val="20"/>
          <w:szCs w:val="20"/>
        </w:rPr>
        <w:t xml:space="preserve"> parameters in </w:t>
      </w:r>
      <w:proofErr w:type="spellStart"/>
      <w:r w:rsidR="002057BA" w:rsidRPr="00EC25B1">
        <w:rPr>
          <w:rFonts w:ascii="Times New Roman" w:hAnsi="Times New Roman" w:cs="Times New Roman"/>
          <w:sz w:val="20"/>
          <w:szCs w:val="20"/>
        </w:rPr>
        <w:t>myeloproliferative</w:t>
      </w:r>
      <w:proofErr w:type="spellEnd"/>
      <w:r w:rsidR="002057BA" w:rsidRPr="00EC25B1">
        <w:rPr>
          <w:rFonts w:ascii="Times New Roman" w:hAnsi="Times New Roman" w:cs="Times New Roman"/>
          <w:sz w:val="20"/>
          <w:szCs w:val="20"/>
        </w:rPr>
        <w:t xml:space="preserve"> </w:t>
      </w:r>
      <w:proofErr w:type="spellStart"/>
      <w:r w:rsidR="002057BA" w:rsidRPr="00EC25B1">
        <w:rPr>
          <w:rFonts w:ascii="Times New Roman" w:hAnsi="Times New Roman" w:cs="Times New Roman"/>
          <w:sz w:val="20"/>
          <w:szCs w:val="20"/>
        </w:rPr>
        <w:t>neoplasms</w:t>
      </w:r>
      <w:proofErr w:type="spellEnd"/>
      <w:r w:rsidR="002057BA" w:rsidRPr="00EC25B1">
        <w:rPr>
          <w:rFonts w:ascii="Times New Roman" w:hAnsi="Times New Roman" w:cs="Times New Roman"/>
          <w:sz w:val="20"/>
          <w:szCs w:val="20"/>
        </w:rPr>
        <w:t>.</w:t>
      </w:r>
      <w:r w:rsidR="002057BA" w:rsidRPr="00EC25B1">
        <w:rPr>
          <w:rFonts w:ascii="Times New Roman" w:hAnsi="Times New Roman" w:cs="Times New Roman"/>
          <w:b/>
          <w:bCs/>
          <w:sz w:val="20"/>
          <w:szCs w:val="20"/>
        </w:rPr>
        <w:t xml:space="preserve"> </w:t>
      </w:r>
      <w:hyperlink r:id="rId46" w:tooltip="Annals of laboratory medicine." w:history="1">
        <w:r w:rsidR="002057BA" w:rsidRPr="00EC25B1">
          <w:rPr>
            <w:rFonts w:ascii="Times New Roman" w:hAnsi="Times New Roman" w:cs="Times New Roman"/>
            <w:sz w:val="20"/>
            <w:szCs w:val="20"/>
          </w:rPr>
          <w:t>Ann Lab Med.</w:t>
        </w:r>
      </w:hyperlink>
      <w:r w:rsidR="00EC25B1">
        <w:rPr>
          <w:rFonts w:ascii="Times New Roman" w:hAnsi="Times New Roman" w:cs="Times New Roman"/>
          <w:sz w:val="20"/>
          <w:szCs w:val="20"/>
        </w:rPr>
        <w:t xml:space="preserve"> 2012 Nov</w:t>
      </w:r>
      <w:proofErr w:type="gramStart"/>
      <w:r w:rsidR="00EC25B1">
        <w:rPr>
          <w:rFonts w:ascii="Times New Roman" w:hAnsi="Times New Roman" w:cs="Times New Roman"/>
          <w:sz w:val="20"/>
          <w:szCs w:val="20"/>
        </w:rPr>
        <w:t>;32</w:t>
      </w:r>
      <w:proofErr w:type="gramEnd"/>
      <w:r w:rsidR="00EC25B1">
        <w:rPr>
          <w:rFonts w:ascii="Times New Roman" w:hAnsi="Times New Roman" w:cs="Times New Roman"/>
          <w:sz w:val="20"/>
          <w:szCs w:val="20"/>
        </w:rPr>
        <w:t>(6):385-91. doi:</w:t>
      </w:r>
      <w:r w:rsidR="002057BA" w:rsidRPr="00EC25B1">
        <w:rPr>
          <w:rFonts w:ascii="Times New Roman" w:hAnsi="Times New Roman" w:cs="Times New Roman"/>
          <w:sz w:val="20"/>
          <w:szCs w:val="20"/>
        </w:rPr>
        <w:t>10.3343/alm.2</w:t>
      </w:r>
      <w:r w:rsidR="00EC25B1">
        <w:rPr>
          <w:rFonts w:ascii="Times New Roman" w:hAnsi="Times New Roman" w:cs="Times New Roman"/>
          <w:sz w:val="20"/>
          <w:szCs w:val="20"/>
        </w:rPr>
        <w:t xml:space="preserve">012.32.6.385. </w:t>
      </w:r>
      <w:proofErr w:type="spellStart"/>
      <w:r w:rsidR="00EC25B1">
        <w:rPr>
          <w:rFonts w:ascii="Times New Roman" w:hAnsi="Times New Roman" w:cs="Times New Roman"/>
          <w:sz w:val="20"/>
          <w:szCs w:val="20"/>
        </w:rPr>
        <w:t>Epub</w:t>
      </w:r>
      <w:proofErr w:type="spellEnd"/>
      <w:r w:rsidR="00EC25B1">
        <w:rPr>
          <w:rFonts w:ascii="Times New Roman" w:hAnsi="Times New Roman" w:cs="Times New Roman"/>
          <w:sz w:val="20"/>
          <w:szCs w:val="20"/>
        </w:rPr>
        <w:t xml:space="preserve"> 2012 Oct 17.</w:t>
      </w:r>
    </w:p>
    <w:p w:rsidR="00025B26" w:rsidRPr="00EC25B1" w:rsidRDefault="00D74E4E" w:rsidP="00025B26">
      <w:pPr>
        <w:pStyle w:val="ListParagraph"/>
        <w:numPr>
          <w:ilvl w:val="0"/>
          <w:numId w:val="5"/>
        </w:numPr>
        <w:shd w:val="clear" w:color="auto" w:fill="FFFFFF"/>
        <w:bidi w:val="0"/>
        <w:snapToGrid w:val="0"/>
        <w:spacing w:after="0" w:line="240" w:lineRule="auto"/>
        <w:ind w:left="425" w:hanging="425"/>
        <w:jc w:val="both"/>
        <w:rPr>
          <w:rFonts w:ascii="Times New Roman" w:hAnsi="Times New Roman" w:cs="Times New Roman"/>
          <w:sz w:val="20"/>
          <w:szCs w:val="20"/>
        </w:rPr>
      </w:pPr>
      <w:hyperlink r:id="rId47" w:history="1">
        <w:r w:rsidR="002057BA" w:rsidRPr="00EC25B1">
          <w:rPr>
            <w:rFonts w:ascii="Times New Roman" w:hAnsi="Times New Roman" w:cs="Times New Roman"/>
            <w:sz w:val="20"/>
            <w:szCs w:val="20"/>
          </w:rPr>
          <w:t>Campbell PJ</w:t>
        </w:r>
      </w:hyperlink>
      <w:r w:rsidR="002057BA" w:rsidRPr="00EC25B1">
        <w:rPr>
          <w:rFonts w:ascii="Times New Roman" w:hAnsi="Times New Roman" w:cs="Times New Roman"/>
          <w:sz w:val="20"/>
          <w:szCs w:val="20"/>
        </w:rPr>
        <w:t xml:space="preserve">, </w:t>
      </w:r>
      <w:hyperlink r:id="rId48" w:history="1">
        <w:proofErr w:type="spellStart"/>
        <w:r w:rsidR="002057BA" w:rsidRPr="00EC25B1">
          <w:rPr>
            <w:rFonts w:ascii="Times New Roman" w:hAnsi="Times New Roman" w:cs="Times New Roman"/>
            <w:sz w:val="20"/>
            <w:szCs w:val="20"/>
          </w:rPr>
          <w:t>Griesshammer</w:t>
        </w:r>
        <w:proofErr w:type="spellEnd"/>
        <w:r w:rsidR="002057BA" w:rsidRPr="00EC25B1">
          <w:rPr>
            <w:rFonts w:ascii="Times New Roman" w:hAnsi="Times New Roman" w:cs="Times New Roman"/>
            <w:sz w:val="20"/>
            <w:szCs w:val="20"/>
          </w:rPr>
          <w:t xml:space="preserve"> M</w:t>
        </w:r>
      </w:hyperlink>
      <w:r w:rsidR="002057BA" w:rsidRPr="00EC25B1">
        <w:rPr>
          <w:rFonts w:ascii="Times New Roman" w:hAnsi="Times New Roman" w:cs="Times New Roman"/>
          <w:sz w:val="20"/>
          <w:szCs w:val="20"/>
        </w:rPr>
        <w:t xml:space="preserve">, </w:t>
      </w:r>
      <w:hyperlink r:id="rId49" w:history="1">
        <w:proofErr w:type="spellStart"/>
        <w:r w:rsidR="002057BA" w:rsidRPr="00EC25B1">
          <w:rPr>
            <w:rFonts w:ascii="Times New Roman" w:hAnsi="Times New Roman" w:cs="Times New Roman"/>
            <w:sz w:val="20"/>
            <w:szCs w:val="20"/>
          </w:rPr>
          <w:t>Döhner</w:t>
        </w:r>
        <w:proofErr w:type="spellEnd"/>
        <w:r w:rsidR="002057BA" w:rsidRPr="00EC25B1">
          <w:rPr>
            <w:rFonts w:ascii="Times New Roman" w:hAnsi="Times New Roman" w:cs="Times New Roman"/>
            <w:sz w:val="20"/>
            <w:szCs w:val="20"/>
          </w:rPr>
          <w:t xml:space="preserve"> K</w:t>
        </w:r>
      </w:hyperlink>
      <w:r w:rsidR="002057BA" w:rsidRPr="00EC25B1">
        <w:rPr>
          <w:rFonts w:ascii="Times New Roman" w:hAnsi="Times New Roman" w:cs="Times New Roman"/>
          <w:sz w:val="20"/>
          <w:szCs w:val="20"/>
        </w:rPr>
        <w:t xml:space="preserve">, </w:t>
      </w:r>
      <w:hyperlink r:id="rId50" w:history="1">
        <w:proofErr w:type="spellStart"/>
        <w:r w:rsidR="002057BA" w:rsidRPr="00EC25B1">
          <w:rPr>
            <w:rFonts w:ascii="Times New Roman" w:hAnsi="Times New Roman" w:cs="Times New Roman"/>
            <w:sz w:val="20"/>
            <w:szCs w:val="20"/>
          </w:rPr>
          <w:t>Döhner</w:t>
        </w:r>
        <w:proofErr w:type="spellEnd"/>
        <w:r w:rsidR="002057BA" w:rsidRPr="00EC25B1">
          <w:rPr>
            <w:rFonts w:ascii="Times New Roman" w:hAnsi="Times New Roman" w:cs="Times New Roman"/>
            <w:sz w:val="20"/>
            <w:szCs w:val="20"/>
          </w:rPr>
          <w:t xml:space="preserve"> H</w:t>
        </w:r>
      </w:hyperlink>
      <w:r w:rsidR="002057BA" w:rsidRPr="00EC25B1">
        <w:rPr>
          <w:rFonts w:ascii="Times New Roman" w:hAnsi="Times New Roman" w:cs="Times New Roman"/>
          <w:sz w:val="20"/>
          <w:szCs w:val="20"/>
        </w:rPr>
        <w:t xml:space="preserve">, </w:t>
      </w:r>
      <w:hyperlink r:id="rId51" w:history="1">
        <w:proofErr w:type="spellStart"/>
        <w:r w:rsidR="002057BA" w:rsidRPr="00EC25B1">
          <w:rPr>
            <w:rFonts w:ascii="Times New Roman" w:hAnsi="Times New Roman" w:cs="Times New Roman"/>
            <w:sz w:val="20"/>
            <w:szCs w:val="20"/>
          </w:rPr>
          <w:t>Kusec</w:t>
        </w:r>
        <w:proofErr w:type="spellEnd"/>
        <w:r w:rsidR="002057BA" w:rsidRPr="00EC25B1">
          <w:rPr>
            <w:rFonts w:ascii="Times New Roman" w:hAnsi="Times New Roman" w:cs="Times New Roman"/>
            <w:sz w:val="20"/>
            <w:szCs w:val="20"/>
          </w:rPr>
          <w:t xml:space="preserve"> R</w:t>
        </w:r>
      </w:hyperlink>
      <w:r w:rsidR="002057BA" w:rsidRPr="00EC25B1">
        <w:rPr>
          <w:rFonts w:ascii="Times New Roman" w:hAnsi="Times New Roman" w:cs="Times New Roman"/>
          <w:sz w:val="20"/>
          <w:szCs w:val="20"/>
        </w:rPr>
        <w:t xml:space="preserve"> et al.</w:t>
      </w:r>
      <w:r w:rsidR="002057BA" w:rsidRPr="00EC25B1">
        <w:rPr>
          <w:rFonts w:ascii="Times New Roman" w:hAnsi="Times New Roman" w:cs="Times New Roman"/>
          <w:b/>
          <w:bCs/>
          <w:sz w:val="20"/>
          <w:szCs w:val="20"/>
        </w:rPr>
        <w:t xml:space="preserve"> </w:t>
      </w:r>
      <w:r w:rsidR="002057BA" w:rsidRPr="00EC25B1">
        <w:rPr>
          <w:rFonts w:ascii="Times New Roman" w:hAnsi="Times New Roman" w:cs="Times New Roman"/>
          <w:sz w:val="20"/>
          <w:szCs w:val="20"/>
        </w:rPr>
        <w:t xml:space="preserve">V617F mutation in JAK2 is associated with poorer survival in idiopathic </w:t>
      </w:r>
      <w:proofErr w:type="spellStart"/>
      <w:r w:rsidR="002057BA" w:rsidRPr="00EC25B1">
        <w:rPr>
          <w:rFonts w:ascii="Times New Roman" w:hAnsi="Times New Roman" w:cs="Times New Roman"/>
          <w:sz w:val="20"/>
          <w:szCs w:val="20"/>
        </w:rPr>
        <w:t>myelofibrosis</w:t>
      </w:r>
      <w:proofErr w:type="spellEnd"/>
      <w:r w:rsidR="002057BA" w:rsidRPr="00EC25B1">
        <w:rPr>
          <w:rFonts w:ascii="Times New Roman" w:hAnsi="Times New Roman" w:cs="Times New Roman"/>
          <w:sz w:val="20"/>
          <w:szCs w:val="20"/>
        </w:rPr>
        <w:t xml:space="preserve">. </w:t>
      </w:r>
      <w:hyperlink r:id="rId52" w:tooltip="Blood." w:history="1">
        <w:r w:rsidR="002057BA" w:rsidRPr="00EC25B1">
          <w:rPr>
            <w:rFonts w:ascii="Times New Roman" w:hAnsi="Times New Roman" w:cs="Times New Roman"/>
            <w:sz w:val="20"/>
            <w:szCs w:val="20"/>
          </w:rPr>
          <w:t>Blood.</w:t>
        </w:r>
      </w:hyperlink>
      <w:r w:rsidR="002057BA" w:rsidRPr="00EC25B1">
        <w:rPr>
          <w:rFonts w:ascii="Times New Roman" w:hAnsi="Times New Roman" w:cs="Times New Roman"/>
          <w:sz w:val="20"/>
          <w:szCs w:val="20"/>
        </w:rPr>
        <w:t xml:space="preserve"> 2006 Mar 1</w:t>
      </w:r>
      <w:proofErr w:type="gramStart"/>
      <w:r w:rsidR="002057BA" w:rsidRPr="00EC25B1">
        <w:rPr>
          <w:rFonts w:ascii="Times New Roman" w:hAnsi="Times New Roman" w:cs="Times New Roman"/>
          <w:sz w:val="20"/>
          <w:szCs w:val="20"/>
        </w:rPr>
        <w:t>;107</w:t>
      </w:r>
      <w:proofErr w:type="gramEnd"/>
      <w:r w:rsidR="002057BA" w:rsidRPr="00EC25B1">
        <w:rPr>
          <w:rFonts w:ascii="Times New Roman" w:hAnsi="Times New Roman" w:cs="Times New Roman"/>
          <w:sz w:val="20"/>
          <w:szCs w:val="20"/>
        </w:rPr>
        <w:t xml:space="preserve">(5):2098-100. </w:t>
      </w:r>
      <w:proofErr w:type="spellStart"/>
      <w:r w:rsidR="002057BA" w:rsidRPr="00EC25B1">
        <w:rPr>
          <w:rFonts w:ascii="Times New Roman" w:hAnsi="Times New Roman" w:cs="Times New Roman"/>
          <w:sz w:val="20"/>
          <w:szCs w:val="20"/>
        </w:rPr>
        <w:t>Epub</w:t>
      </w:r>
      <w:proofErr w:type="spellEnd"/>
      <w:r w:rsidR="002057BA" w:rsidRPr="00EC25B1">
        <w:rPr>
          <w:rFonts w:ascii="Times New Roman" w:hAnsi="Times New Roman" w:cs="Times New Roman"/>
          <w:sz w:val="20"/>
          <w:szCs w:val="20"/>
        </w:rPr>
        <w:t xml:space="preserve"> 2005 Nov 17.</w:t>
      </w:r>
    </w:p>
    <w:p w:rsidR="00025B26" w:rsidRPr="00EC25B1" w:rsidRDefault="00025B26" w:rsidP="00025B26">
      <w:pPr>
        <w:pStyle w:val="ListParagraph"/>
        <w:numPr>
          <w:ilvl w:val="0"/>
          <w:numId w:val="5"/>
        </w:numPr>
        <w:shd w:val="clear" w:color="auto" w:fill="FFFFFF"/>
        <w:bidi w:val="0"/>
        <w:snapToGrid w:val="0"/>
        <w:spacing w:after="0" w:line="240" w:lineRule="auto"/>
        <w:ind w:left="425" w:hanging="425"/>
        <w:jc w:val="both"/>
        <w:rPr>
          <w:rFonts w:ascii="Times New Roman" w:hAnsi="Times New Roman" w:cs="Times New Roman"/>
          <w:sz w:val="20"/>
          <w:szCs w:val="20"/>
        </w:rPr>
        <w:sectPr w:rsidR="00025B26" w:rsidRPr="00EC25B1" w:rsidSect="00835C53">
          <w:headerReference w:type="default" r:id="rId53"/>
          <w:footerReference w:type="even" r:id="rId54"/>
          <w:footerReference w:type="default" r:id="rId55"/>
          <w:footnotePr>
            <w:pos w:val="beneathText"/>
          </w:footnotePr>
          <w:type w:val="continuous"/>
          <w:pgSz w:w="12240" w:h="15840" w:code="1"/>
          <w:pgMar w:top="1440" w:right="1440" w:bottom="1440" w:left="1440" w:header="720" w:footer="720" w:gutter="0"/>
          <w:cols w:num="2" w:space="576"/>
          <w:docGrid w:linePitch="360"/>
        </w:sectPr>
      </w:pPr>
    </w:p>
    <w:p w:rsidR="00025B26" w:rsidRPr="00EC25B1" w:rsidRDefault="00025B26" w:rsidP="00025B26">
      <w:pPr>
        <w:pStyle w:val="ListParagraph"/>
        <w:shd w:val="clear" w:color="auto" w:fill="FFFFFF"/>
        <w:bidi w:val="0"/>
        <w:snapToGrid w:val="0"/>
        <w:spacing w:after="0" w:line="240" w:lineRule="auto"/>
        <w:ind w:left="425" w:hanging="425"/>
        <w:jc w:val="both"/>
        <w:rPr>
          <w:rFonts w:ascii="Times New Roman" w:eastAsiaTheme="minorEastAsia" w:hAnsi="Times New Roman" w:cs="Times New Roman"/>
          <w:sz w:val="20"/>
          <w:szCs w:val="20"/>
          <w:lang w:eastAsia="zh-CN"/>
        </w:rPr>
      </w:pPr>
    </w:p>
    <w:p w:rsidR="00025B26" w:rsidRPr="00EC25B1" w:rsidRDefault="00025B26" w:rsidP="00025B26">
      <w:pPr>
        <w:pStyle w:val="ListParagraph"/>
        <w:shd w:val="clear" w:color="auto" w:fill="FFFFFF"/>
        <w:bidi w:val="0"/>
        <w:snapToGrid w:val="0"/>
        <w:spacing w:after="0" w:line="240" w:lineRule="auto"/>
        <w:ind w:left="425" w:hanging="425"/>
        <w:jc w:val="both"/>
        <w:rPr>
          <w:rFonts w:ascii="Times New Roman" w:eastAsiaTheme="minorEastAsia" w:hAnsi="Times New Roman" w:cs="Times New Roman"/>
          <w:sz w:val="20"/>
          <w:szCs w:val="20"/>
          <w:lang w:eastAsia="zh-CN"/>
        </w:rPr>
      </w:pPr>
    </w:p>
    <w:p w:rsidR="00025B26" w:rsidRPr="00EC25B1" w:rsidRDefault="00025B26" w:rsidP="00025B26">
      <w:pPr>
        <w:pStyle w:val="ListParagraph"/>
        <w:shd w:val="clear" w:color="auto" w:fill="FFFFFF"/>
        <w:bidi w:val="0"/>
        <w:snapToGrid w:val="0"/>
        <w:spacing w:after="0" w:line="240" w:lineRule="auto"/>
        <w:ind w:left="425" w:hanging="425"/>
        <w:jc w:val="both"/>
        <w:rPr>
          <w:rFonts w:ascii="Times New Roman" w:eastAsiaTheme="minorEastAsia" w:hAnsi="Times New Roman" w:cs="Times New Roman"/>
          <w:sz w:val="20"/>
          <w:szCs w:val="20"/>
          <w:lang w:eastAsia="zh-CN"/>
        </w:rPr>
      </w:pPr>
    </w:p>
    <w:p w:rsidR="004D0467" w:rsidRPr="00EC25B1" w:rsidRDefault="00025B26" w:rsidP="00025B26">
      <w:pPr>
        <w:pStyle w:val="ListParagraph"/>
        <w:shd w:val="clear" w:color="auto" w:fill="FFFFFF"/>
        <w:bidi w:val="0"/>
        <w:snapToGrid w:val="0"/>
        <w:spacing w:after="0" w:line="240" w:lineRule="auto"/>
        <w:ind w:left="425" w:hanging="425"/>
        <w:jc w:val="both"/>
        <w:rPr>
          <w:rFonts w:ascii="Times New Roman" w:hAnsi="Times New Roman" w:cs="Times New Roman"/>
          <w:sz w:val="20"/>
          <w:szCs w:val="20"/>
        </w:rPr>
      </w:pPr>
      <w:r w:rsidRPr="00EC25B1">
        <w:rPr>
          <w:rFonts w:ascii="Times New Roman" w:hAnsi="Times New Roman" w:cs="Times New Roman"/>
          <w:sz w:val="20"/>
          <w:szCs w:val="20"/>
        </w:rPr>
        <w:t>3/13/2016</w:t>
      </w:r>
    </w:p>
    <w:sectPr w:rsidR="004D0467" w:rsidRPr="00EC25B1" w:rsidSect="00835C53">
      <w:headerReference w:type="default" r:id="rId56"/>
      <w:footerReference w:type="even" r:id="rId57"/>
      <w:footerReference w:type="default" r:id="rId58"/>
      <w:footnotePr>
        <w:pos w:val="beneathText"/>
      </w:footnotePr>
      <w:type w:val="continuous"/>
      <w:pgSz w:w="12240" w:h="15840" w:code="1"/>
      <w:pgMar w:top="1440" w:right="1440" w:bottom="1440" w:left="1440" w:header="720" w:footer="720" w:gutter="0"/>
      <w:cols w:num="2"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694" w:rsidRDefault="00530694">
      <w:r>
        <w:separator/>
      </w:r>
    </w:p>
  </w:endnote>
  <w:endnote w:type="continuationSeparator" w:id="0">
    <w:p w:rsidR="00530694" w:rsidRDefault="005306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B26" w:rsidRDefault="00D74E4E" w:rsidP="00B3167C">
    <w:pPr>
      <w:pStyle w:val="Footer"/>
      <w:framePr w:wrap="around" w:vAnchor="text" w:hAnchor="margin" w:xAlign="center" w:y="1"/>
      <w:rPr>
        <w:rStyle w:val="PageNumber"/>
      </w:rPr>
    </w:pPr>
    <w:r>
      <w:rPr>
        <w:rStyle w:val="PageNumber"/>
      </w:rPr>
      <w:fldChar w:fldCharType="begin"/>
    </w:r>
    <w:r w:rsidR="00025B26">
      <w:rPr>
        <w:rStyle w:val="PageNumber"/>
      </w:rPr>
      <w:instrText xml:space="preserve">PAGE  </w:instrText>
    </w:r>
    <w:r>
      <w:rPr>
        <w:rStyle w:val="PageNumber"/>
      </w:rPr>
      <w:fldChar w:fldCharType="end"/>
    </w:r>
  </w:p>
  <w:p w:rsidR="00025B26" w:rsidRDefault="00025B26"/>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025B26" w:rsidRDefault="00D74E4E" w:rsidP="00025B26">
    <w:pPr>
      <w:jc w:val="center"/>
      <w:rPr>
        <w:sz w:val="20"/>
      </w:rPr>
    </w:pPr>
    <w:r w:rsidRPr="00025B26">
      <w:rPr>
        <w:sz w:val="20"/>
      </w:rPr>
      <w:fldChar w:fldCharType="begin"/>
    </w:r>
    <w:r w:rsidR="00025B26" w:rsidRPr="00025B26">
      <w:rPr>
        <w:sz w:val="20"/>
      </w:rPr>
      <w:instrText xml:space="preserve"> page </w:instrText>
    </w:r>
    <w:r w:rsidRPr="00025B26">
      <w:rPr>
        <w:sz w:val="20"/>
      </w:rPr>
      <w:fldChar w:fldCharType="separate"/>
    </w:r>
    <w:r w:rsidR="00025B26">
      <w:rPr>
        <w:noProof/>
        <w:sz w:val="20"/>
      </w:rPr>
      <w:t>1</w:t>
    </w:r>
    <w:r w:rsidRPr="00025B26">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B26" w:rsidRPr="00025B26" w:rsidRDefault="00D74E4E" w:rsidP="00025B26">
    <w:pPr>
      <w:jc w:val="center"/>
      <w:rPr>
        <w:sz w:val="20"/>
      </w:rPr>
    </w:pPr>
    <w:r w:rsidRPr="00025B26">
      <w:rPr>
        <w:sz w:val="20"/>
      </w:rPr>
      <w:fldChar w:fldCharType="begin"/>
    </w:r>
    <w:r w:rsidR="00025B26" w:rsidRPr="00025B26">
      <w:rPr>
        <w:sz w:val="20"/>
      </w:rPr>
      <w:instrText xml:space="preserve"> page </w:instrText>
    </w:r>
    <w:r w:rsidRPr="00025B26">
      <w:rPr>
        <w:sz w:val="20"/>
      </w:rPr>
      <w:fldChar w:fldCharType="separate"/>
    </w:r>
    <w:r w:rsidR="00EC25B1">
      <w:rPr>
        <w:noProof/>
        <w:sz w:val="20"/>
      </w:rPr>
      <w:t>79</w:t>
    </w:r>
    <w:r w:rsidRPr="00025B26">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B26" w:rsidRDefault="00D74E4E" w:rsidP="00B3167C">
    <w:pPr>
      <w:pStyle w:val="Footer"/>
      <w:framePr w:wrap="around" w:vAnchor="text" w:hAnchor="margin" w:xAlign="center" w:y="1"/>
      <w:rPr>
        <w:rStyle w:val="PageNumber"/>
      </w:rPr>
    </w:pPr>
    <w:r>
      <w:rPr>
        <w:rStyle w:val="PageNumber"/>
      </w:rPr>
      <w:fldChar w:fldCharType="begin"/>
    </w:r>
    <w:r w:rsidR="00025B26">
      <w:rPr>
        <w:rStyle w:val="PageNumber"/>
      </w:rPr>
      <w:instrText xml:space="preserve">PAGE  </w:instrText>
    </w:r>
    <w:r>
      <w:rPr>
        <w:rStyle w:val="PageNumber"/>
      </w:rPr>
      <w:fldChar w:fldCharType="end"/>
    </w:r>
  </w:p>
  <w:p w:rsidR="00025B26" w:rsidRDefault="00025B26"/>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B26" w:rsidRPr="00025B26" w:rsidRDefault="00D74E4E" w:rsidP="00025B26">
    <w:pPr>
      <w:jc w:val="center"/>
      <w:rPr>
        <w:sz w:val="20"/>
      </w:rPr>
    </w:pPr>
    <w:r w:rsidRPr="00025B26">
      <w:rPr>
        <w:sz w:val="20"/>
      </w:rPr>
      <w:fldChar w:fldCharType="begin"/>
    </w:r>
    <w:r w:rsidR="00025B26" w:rsidRPr="00025B26">
      <w:rPr>
        <w:sz w:val="20"/>
      </w:rPr>
      <w:instrText xml:space="preserve"> page </w:instrText>
    </w:r>
    <w:r w:rsidRPr="00025B26">
      <w:rPr>
        <w:sz w:val="20"/>
      </w:rPr>
      <w:fldChar w:fldCharType="separate"/>
    </w:r>
    <w:r w:rsidR="00EC25B1">
      <w:rPr>
        <w:noProof/>
        <w:sz w:val="20"/>
      </w:rPr>
      <w:t>80</w:t>
    </w:r>
    <w:r w:rsidRPr="00025B26">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B26" w:rsidRDefault="00D74E4E" w:rsidP="00B3167C">
    <w:pPr>
      <w:pStyle w:val="Footer"/>
      <w:framePr w:wrap="around" w:vAnchor="text" w:hAnchor="margin" w:xAlign="center" w:y="1"/>
      <w:rPr>
        <w:rStyle w:val="PageNumber"/>
      </w:rPr>
    </w:pPr>
    <w:r>
      <w:rPr>
        <w:rStyle w:val="PageNumber"/>
      </w:rPr>
      <w:fldChar w:fldCharType="begin"/>
    </w:r>
    <w:r w:rsidR="00025B26">
      <w:rPr>
        <w:rStyle w:val="PageNumber"/>
      </w:rPr>
      <w:instrText xml:space="preserve">PAGE  </w:instrText>
    </w:r>
    <w:r>
      <w:rPr>
        <w:rStyle w:val="PageNumber"/>
      </w:rPr>
      <w:fldChar w:fldCharType="end"/>
    </w:r>
  </w:p>
  <w:p w:rsidR="00025B26" w:rsidRDefault="00025B26"/>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B26" w:rsidRPr="00025B26" w:rsidRDefault="00D74E4E" w:rsidP="00025B26">
    <w:pPr>
      <w:jc w:val="center"/>
      <w:rPr>
        <w:sz w:val="20"/>
      </w:rPr>
    </w:pPr>
    <w:r w:rsidRPr="00025B26">
      <w:rPr>
        <w:sz w:val="20"/>
      </w:rPr>
      <w:fldChar w:fldCharType="begin"/>
    </w:r>
    <w:r w:rsidR="00025B26" w:rsidRPr="00025B26">
      <w:rPr>
        <w:sz w:val="20"/>
      </w:rPr>
      <w:instrText xml:space="preserve"> page </w:instrText>
    </w:r>
    <w:r w:rsidRPr="00025B26">
      <w:rPr>
        <w:sz w:val="20"/>
      </w:rPr>
      <w:fldChar w:fldCharType="separate"/>
    </w:r>
    <w:r w:rsidR="00025B26">
      <w:rPr>
        <w:noProof/>
        <w:sz w:val="20"/>
      </w:rPr>
      <w:t>3</w:t>
    </w:r>
    <w:r w:rsidRPr="00025B26">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B26" w:rsidRDefault="00D74E4E" w:rsidP="00B3167C">
    <w:pPr>
      <w:pStyle w:val="Footer"/>
      <w:framePr w:wrap="around" w:vAnchor="text" w:hAnchor="margin" w:xAlign="center" w:y="1"/>
      <w:rPr>
        <w:rStyle w:val="PageNumber"/>
      </w:rPr>
    </w:pPr>
    <w:r>
      <w:rPr>
        <w:rStyle w:val="PageNumber"/>
      </w:rPr>
      <w:fldChar w:fldCharType="begin"/>
    </w:r>
    <w:r w:rsidR="00025B26">
      <w:rPr>
        <w:rStyle w:val="PageNumber"/>
      </w:rPr>
      <w:instrText xml:space="preserve">PAGE  </w:instrText>
    </w:r>
    <w:r>
      <w:rPr>
        <w:rStyle w:val="PageNumber"/>
      </w:rPr>
      <w:fldChar w:fldCharType="end"/>
    </w:r>
  </w:p>
  <w:p w:rsidR="00025B26" w:rsidRDefault="00025B26"/>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B26" w:rsidRPr="00025B26" w:rsidRDefault="00D74E4E" w:rsidP="00025B26">
    <w:pPr>
      <w:jc w:val="center"/>
      <w:rPr>
        <w:sz w:val="20"/>
      </w:rPr>
    </w:pPr>
    <w:r w:rsidRPr="00025B26">
      <w:rPr>
        <w:sz w:val="20"/>
      </w:rPr>
      <w:fldChar w:fldCharType="begin"/>
    </w:r>
    <w:r w:rsidR="00025B26" w:rsidRPr="00025B26">
      <w:rPr>
        <w:sz w:val="20"/>
      </w:rPr>
      <w:instrText xml:space="preserve"> page </w:instrText>
    </w:r>
    <w:r w:rsidRPr="00025B26">
      <w:rPr>
        <w:sz w:val="20"/>
      </w:rPr>
      <w:fldChar w:fldCharType="separate"/>
    </w:r>
    <w:r w:rsidR="00EC25B1">
      <w:rPr>
        <w:noProof/>
        <w:sz w:val="20"/>
      </w:rPr>
      <w:t>81</w:t>
    </w:r>
    <w:r w:rsidRPr="00025B26">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D74E4E"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694" w:rsidRDefault="00530694">
      <w:r>
        <w:separator/>
      </w:r>
    </w:p>
  </w:footnote>
  <w:footnote w:type="continuationSeparator" w:id="0">
    <w:p w:rsidR="00530694" w:rsidRDefault="005306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B26" w:rsidRPr="00025B26" w:rsidRDefault="00025B26" w:rsidP="00025B26">
    <w:pPr>
      <w:pBdr>
        <w:bottom w:val="thinThickMediumGap" w:sz="12" w:space="1" w:color="auto"/>
      </w:pBdr>
      <w:tabs>
        <w:tab w:val="left" w:pos="851"/>
        <w:tab w:val="right" w:pos="8364"/>
      </w:tabs>
      <w:adjustRightInd w:val="0"/>
      <w:snapToGrid w:val="0"/>
      <w:jc w:val="both"/>
      <w:rPr>
        <w:iCs/>
        <w:sz w:val="20"/>
        <w:szCs w:val="20"/>
      </w:rPr>
    </w:pPr>
    <w:r w:rsidRPr="00025B26">
      <w:rPr>
        <w:rFonts w:hint="eastAsia"/>
        <w:sz w:val="20"/>
        <w:szCs w:val="20"/>
      </w:rPr>
      <w:tab/>
    </w:r>
    <w:r w:rsidRPr="00025B26">
      <w:rPr>
        <w:sz w:val="20"/>
        <w:szCs w:val="20"/>
      </w:rPr>
      <w:t>New York Science Journal 201</w:t>
    </w:r>
    <w:r w:rsidRPr="00025B26">
      <w:rPr>
        <w:rFonts w:hint="eastAsia"/>
        <w:sz w:val="20"/>
        <w:szCs w:val="20"/>
      </w:rPr>
      <w:t>6</w:t>
    </w:r>
    <w:proofErr w:type="gramStart"/>
    <w:r w:rsidRPr="00025B26">
      <w:rPr>
        <w:sz w:val="20"/>
        <w:szCs w:val="20"/>
      </w:rPr>
      <w:t>;</w:t>
    </w:r>
    <w:r w:rsidRPr="00025B26">
      <w:rPr>
        <w:rFonts w:hint="eastAsia"/>
        <w:sz w:val="20"/>
        <w:szCs w:val="20"/>
      </w:rPr>
      <w:t>9</w:t>
    </w:r>
    <w:proofErr w:type="gramEnd"/>
    <w:r w:rsidRPr="00025B26">
      <w:rPr>
        <w:sz w:val="20"/>
        <w:szCs w:val="20"/>
      </w:rPr>
      <w:t>(</w:t>
    </w:r>
    <w:r w:rsidRPr="00025B26">
      <w:rPr>
        <w:rFonts w:hint="eastAsia"/>
        <w:sz w:val="20"/>
        <w:szCs w:val="20"/>
      </w:rPr>
      <w:t>3</w:t>
    </w:r>
    <w:r w:rsidRPr="00025B26">
      <w:rPr>
        <w:sz w:val="20"/>
        <w:szCs w:val="20"/>
      </w:rPr>
      <w:t>)</w:t>
    </w:r>
    <w:r w:rsidRPr="00025B26">
      <w:rPr>
        <w:iCs/>
        <w:sz w:val="20"/>
        <w:szCs w:val="20"/>
      </w:rPr>
      <w:t xml:space="preserve">     </w:t>
    </w:r>
    <w:r w:rsidRPr="00025B26">
      <w:rPr>
        <w:rFonts w:hint="eastAsia"/>
        <w:iCs/>
        <w:sz w:val="20"/>
        <w:szCs w:val="20"/>
      </w:rPr>
      <w:tab/>
    </w:r>
    <w:r w:rsidRPr="00025B26">
      <w:rPr>
        <w:iCs/>
        <w:sz w:val="20"/>
        <w:szCs w:val="20"/>
      </w:rPr>
      <w:t xml:space="preserve"> </w:t>
    </w:r>
    <w:r w:rsidRPr="00025B26">
      <w:rPr>
        <w:rFonts w:hint="eastAsia"/>
        <w:iCs/>
        <w:sz w:val="20"/>
        <w:szCs w:val="20"/>
      </w:rPr>
      <w:t xml:space="preserve"> </w:t>
    </w:r>
    <w:r w:rsidRPr="00025B26">
      <w:rPr>
        <w:iCs/>
        <w:sz w:val="20"/>
        <w:szCs w:val="20"/>
      </w:rPr>
      <w:t xml:space="preserve">   </w:t>
    </w:r>
    <w:hyperlink r:id="rId1" w:history="1">
      <w:r w:rsidRPr="00025B26">
        <w:rPr>
          <w:rStyle w:val="Hyperlink"/>
          <w:sz w:val="20"/>
          <w:szCs w:val="20"/>
        </w:rPr>
        <w:t>http://www.sciencepub.net/newyork</w:t>
      </w:r>
    </w:hyperlink>
  </w:p>
  <w:p w:rsidR="00025B26" w:rsidRPr="00025B26" w:rsidRDefault="00025B26" w:rsidP="00025B26">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B26" w:rsidRPr="00025B26" w:rsidRDefault="00025B26" w:rsidP="00025B26">
    <w:pPr>
      <w:pBdr>
        <w:bottom w:val="thinThickMediumGap" w:sz="12" w:space="1" w:color="auto"/>
      </w:pBdr>
      <w:tabs>
        <w:tab w:val="left" w:pos="851"/>
        <w:tab w:val="right" w:pos="8364"/>
      </w:tabs>
      <w:adjustRightInd w:val="0"/>
      <w:snapToGrid w:val="0"/>
      <w:jc w:val="both"/>
      <w:rPr>
        <w:iCs/>
        <w:sz w:val="20"/>
        <w:szCs w:val="20"/>
      </w:rPr>
    </w:pPr>
    <w:r w:rsidRPr="00025B26">
      <w:rPr>
        <w:rFonts w:hint="eastAsia"/>
        <w:sz w:val="20"/>
        <w:szCs w:val="20"/>
      </w:rPr>
      <w:tab/>
    </w:r>
    <w:r w:rsidRPr="00025B26">
      <w:rPr>
        <w:sz w:val="20"/>
        <w:szCs w:val="20"/>
      </w:rPr>
      <w:t>New York Science Journal 201</w:t>
    </w:r>
    <w:r w:rsidRPr="00025B26">
      <w:rPr>
        <w:rFonts w:hint="eastAsia"/>
        <w:sz w:val="20"/>
        <w:szCs w:val="20"/>
      </w:rPr>
      <w:t>6</w:t>
    </w:r>
    <w:proofErr w:type="gramStart"/>
    <w:r w:rsidRPr="00025B26">
      <w:rPr>
        <w:sz w:val="20"/>
        <w:szCs w:val="20"/>
      </w:rPr>
      <w:t>;</w:t>
    </w:r>
    <w:r w:rsidRPr="00025B26">
      <w:rPr>
        <w:rFonts w:hint="eastAsia"/>
        <w:sz w:val="20"/>
        <w:szCs w:val="20"/>
      </w:rPr>
      <w:t>9</w:t>
    </w:r>
    <w:proofErr w:type="gramEnd"/>
    <w:r w:rsidRPr="00025B26">
      <w:rPr>
        <w:sz w:val="20"/>
        <w:szCs w:val="20"/>
      </w:rPr>
      <w:t>(</w:t>
    </w:r>
    <w:r w:rsidRPr="00025B26">
      <w:rPr>
        <w:rFonts w:hint="eastAsia"/>
        <w:sz w:val="20"/>
        <w:szCs w:val="20"/>
      </w:rPr>
      <w:t>3</w:t>
    </w:r>
    <w:r w:rsidRPr="00025B26">
      <w:rPr>
        <w:sz w:val="20"/>
        <w:szCs w:val="20"/>
      </w:rPr>
      <w:t>)</w:t>
    </w:r>
    <w:r w:rsidRPr="00025B26">
      <w:rPr>
        <w:iCs/>
        <w:sz w:val="20"/>
        <w:szCs w:val="20"/>
      </w:rPr>
      <w:t xml:space="preserve">     </w:t>
    </w:r>
    <w:r w:rsidRPr="00025B26">
      <w:rPr>
        <w:rFonts w:hint="eastAsia"/>
        <w:iCs/>
        <w:sz w:val="20"/>
        <w:szCs w:val="20"/>
      </w:rPr>
      <w:tab/>
    </w:r>
    <w:r w:rsidRPr="00025B26">
      <w:rPr>
        <w:iCs/>
        <w:sz w:val="20"/>
        <w:szCs w:val="20"/>
      </w:rPr>
      <w:t xml:space="preserve"> </w:t>
    </w:r>
    <w:r w:rsidRPr="00025B26">
      <w:rPr>
        <w:rFonts w:hint="eastAsia"/>
        <w:iCs/>
        <w:sz w:val="20"/>
        <w:szCs w:val="20"/>
      </w:rPr>
      <w:t xml:space="preserve"> </w:t>
    </w:r>
    <w:r w:rsidRPr="00025B26">
      <w:rPr>
        <w:iCs/>
        <w:sz w:val="20"/>
        <w:szCs w:val="20"/>
      </w:rPr>
      <w:t xml:space="preserve">   </w:t>
    </w:r>
    <w:hyperlink r:id="rId1" w:history="1">
      <w:r w:rsidRPr="00025B26">
        <w:rPr>
          <w:rStyle w:val="Hyperlink"/>
          <w:sz w:val="20"/>
          <w:szCs w:val="20"/>
        </w:rPr>
        <w:t>http://www.sciencepub.net/newyork</w:t>
      </w:r>
    </w:hyperlink>
  </w:p>
  <w:p w:rsidR="00025B26" w:rsidRPr="00025B26" w:rsidRDefault="00025B26" w:rsidP="00025B26">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B26" w:rsidRPr="00025B26" w:rsidRDefault="00025B26" w:rsidP="00025B26">
    <w:pPr>
      <w:pBdr>
        <w:bottom w:val="thinThickMediumGap" w:sz="12" w:space="1" w:color="auto"/>
      </w:pBdr>
      <w:tabs>
        <w:tab w:val="left" w:pos="851"/>
        <w:tab w:val="right" w:pos="8364"/>
      </w:tabs>
      <w:adjustRightInd w:val="0"/>
      <w:snapToGrid w:val="0"/>
      <w:jc w:val="both"/>
      <w:rPr>
        <w:iCs/>
        <w:sz w:val="20"/>
        <w:szCs w:val="20"/>
      </w:rPr>
    </w:pPr>
    <w:r w:rsidRPr="00025B26">
      <w:rPr>
        <w:rFonts w:hint="eastAsia"/>
        <w:sz w:val="20"/>
        <w:szCs w:val="20"/>
      </w:rPr>
      <w:tab/>
    </w:r>
    <w:r w:rsidRPr="00025B26">
      <w:rPr>
        <w:sz w:val="20"/>
        <w:szCs w:val="20"/>
      </w:rPr>
      <w:t>New York Science Journal 201</w:t>
    </w:r>
    <w:r w:rsidRPr="00025B26">
      <w:rPr>
        <w:rFonts w:hint="eastAsia"/>
        <w:sz w:val="20"/>
        <w:szCs w:val="20"/>
      </w:rPr>
      <w:t>6</w:t>
    </w:r>
    <w:proofErr w:type="gramStart"/>
    <w:r w:rsidRPr="00025B26">
      <w:rPr>
        <w:sz w:val="20"/>
        <w:szCs w:val="20"/>
      </w:rPr>
      <w:t>;</w:t>
    </w:r>
    <w:r w:rsidRPr="00025B26">
      <w:rPr>
        <w:rFonts w:hint="eastAsia"/>
        <w:sz w:val="20"/>
        <w:szCs w:val="20"/>
      </w:rPr>
      <w:t>9</w:t>
    </w:r>
    <w:proofErr w:type="gramEnd"/>
    <w:r w:rsidRPr="00025B26">
      <w:rPr>
        <w:sz w:val="20"/>
        <w:szCs w:val="20"/>
      </w:rPr>
      <w:t>(</w:t>
    </w:r>
    <w:r w:rsidRPr="00025B26">
      <w:rPr>
        <w:rFonts w:hint="eastAsia"/>
        <w:sz w:val="20"/>
        <w:szCs w:val="20"/>
      </w:rPr>
      <w:t>3</w:t>
    </w:r>
    <w:r w:rsidRPr="00025B26">
      <w:rPr>
        <w:sz w:val="20"/>
        <w:szCs w:val="20"/>
      </w:rPr>
      <w:t>)</w:t>
    </w:r>
    <w:r w:rsidRPr="00025B26">
      <w:rPr>
        <w:iCs/>
        <w:sz w:val="20"/>
        <w:szCs w:val="20"/>
      </w:rPr>
      <w:t xml:space="preserve">     </w:t>
    </w:r>
    <w:r w:rsidRPr="00025B26">
      <w:rPr>
        <w:rFonts w:hint="eastAsia"/>
        <w:iCs/>
        <w:sz w:val="20"/>
        <w:szCs w:val="20"/>
      </w:rPr>
      <w:tab/>
    </w:r>
    <w:r w:rsidRPr="00025B26">
      <w:rPr>
        <w:iCs/>
        <w:sz w:val="20"/>
        <w:szCs w:val="20"/>
      </w:rPr>
      <w:t xml:space="preserve"> </w:t>
    </w:r>
    <w:r w:rsidRPr="00025B26">
      <w:rPr>
        <w:rFonts w:hint="eastAsia"/>
        <w:iCs/>
        <w:sz w:val="20"/>
        <w:szCs w:val="20"/>
      </w:rPr>
      <w:t xml:space="preserve"> </w:t>
    </w:r>
    <w:r w:rsidRPr="00025B26">
      <w:rPr>
        <w:iCs/>
        <w:sz w:val="20"/>
        <w:szCs w:val="20"/>
      </w:rPr>
      <w:t xml:space="preserve">   </w:t>
    </w:r>
    <w:hyperlink r:id="rId1" w:history="1">
      <w:r w:rsidRPr="00025B26">
        <w:rPr>
          <w:rStyle w:val="Hyperlink"/>
          <w:sz w:val="20"/>
          <w:szCs w:val="20"/>
        </w:rPr>
        <w:t>http://www.sciencepub.net/newyork</w:t>
      </w:r>
    </w:hyperlink>
  </w:p>
  <w:p w:rsidR="00025B26" w:rsidRPr="00025B26" w:rsidRDefault="00025B26" w:rsidP="00025B26">
    <w:pPr>
      <w:tabs>
        <w:tab w:val="left" w:pos="851"/>
        <w:tab w:val="left" w:pos="7200"/>
        <w:tab w:val="right" w:pos="8364"/>
      </w:tabs>
      <w:adjustRightInd w:val="0"/>
      <w:snapToGrid w:val="0"/>
      <w:jc w:val="both"/>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B26" w:rsidRPr="00025B26" w:rsidRDefault="00025B26" w:rsidP="00025B26">
    <w:pPr>
      <w:pBdr>
        <w:bottom w:val="thinThickMediumGap" w:sz="12" w:space="1" w:color="auto"/>
      </w:pBdr>
      <w:tabs>
        <w:tab w:val="left" w:pos="851"/>
        <w:tab w:val="right" w:pos="8364"/>
      </w:tabs>
      <w:adjustRightInd w:val="0"/>
      <w:snapToGrid w:val="0"/>
      <w:jc w:val="both"/>
      <w:rPr>
        <w:iCs/>
        <w:sz w:val="20"/>
        <w:szCs w:val="20"/>
      </w:rPr>
    </w:pPr>
    <w:r w:rsidRPr="00025B26">
      <w:rPr>
        <w:rFonts w:hint="eastAsia"/>
        <w:sz w:val="20"/>
        <w:szCs w:val="20"/>
      </w:rPr>
      <w:tab/>
    </w:r>
    <w:r w:rsidRPr="00025B26">
      <w:rPr>
        <w:sz w:val="20"/>
        <w:szCs w:val="20"/>
      </w:rPr>
      <w:t>New York Science Journal 201</w:t>
    </w:r>
    <w:r w:rsidRPr="00025B26">
      <w:rPr>
        <w:rFonts w:hint="eastAsia"/>
        <w:sz w:val="20"/>
        <w:szCs w:val="20"/>
      </w:rPr>
      <w:t>6</w:t>
    </w:r>
    <w:proofErr w:type="gramStart"/>
    <w:r w:rsidRPr="00025B26">
      <w:rPr>
        <w:sz w:val="20"/>
        <w:szCs w:val="20"/>
      </w:rPr>
      <w:t>;</w:t>
    </w:r>
    <w:r w:rsidRPr="00025B26">
      <w:rPr>
        <w:rFonts w:hint="eastAsia"/>
        <w:sz w:val="20"/>
        <w:szCs w:val="20"/>
      </w:rPr>
      <w:t>9</w:t>
    </w:r>
    <w:proofErr w:type="gramEnd"/>
    <w:r w:rsidRPr="00025B26">
      <w:rPr>
        <w:sz w:val="20"/>
        <w:szCs w:val="20"/>
      </w:rPr>
      <w:t>(</w:t>
    </w:r>
    <w:r w:rsidRPr="00025B26">
      <w:rPr>
        <w:rFonts w:hint="eastAsia"/>
        <w:sz w:val="20"/>
        <w:szCs w:val="20"/>
      </w:rPr>
      <w:t>3</w:t>
    </w:r>
    <w:r w:rsidRPr="00025B26">
      <w:rPr>
        <w:sz w:val="20"/>
        <w:szCs w:val="20"/>
      </w:rPr>
      <w:t>)</w:t>
    </w:r>
    <w:r w:rsidRPr="00025B26">
      <w:rPr>
        <w:iCs/>
        <w:sz w:val="20"/>
        <w:szCs w:val="20"/>
      </w:rPr>
      <w:t xml:space="preserve">     </w:t>
    </w:r>
    <w:r w:rsidRPr="00025B26">
      <w:rPr>
        <w:rFonts w:hint="eastAsia"/>
        <w:iCs/>
        <w:sz w:val="20"/>
        <w:szCs w:val="20"/>
      </w:rPr>
      <w:tab/>
    </w:r>
    <w:r w:rsidRPr="00025B26">
      <w:rPr>
        <w:iCs/>
        <w:sz w:val="20"/>
        <w:szCs w:val="20"/>
      </w:rPr>
      <w:t xml:space="preserve"> </w:t>
    </w:r>
    <w:r w:rsidRPr="00025B26">
      <w:rPr>
        <w:rFonts w:hint="eastAsia"/>
        <w:iCs/>
        <w:sz w:val="20"/>
        <w:szCs w:val="20"/>
      </w:rPr>
      <w:t xml:space="preserve"> </w:t>
    </w:r>
    <w:r w:rsidRPr="00025B26">
      <w:rPr>
        <w:iCs/>
        <w:sz w:val="20"/>
        <w:szCs w:val="20"/>
      </w:rPr>
      <w:t xml:space="preserve">   </w:t>
    </w:r>
    <w:hyperlink r:id="rId1" w:history="1">
      <w:r w:rsidRPr="00025B26">
        <w:rPr>
          <w:rStyle w:val="Hyperlink"/>
          <w:sz w:val="20"/>
          <w:szCs w:val="20"/>
        </w:rPr>
        <w:t>http://www.sciencepub.net/newyork</w:t>
      </w:r>
    </w:hyperlink>
  </w:p>
  <w:p w:rsidR="00025B26" w:rsidRPr="00025B26" w:rsidRDefault="00025B26" w:rsidP="00025B26">
    <w:pPr>
      <w:tabs>
        <w:tab w:val="left" w:pos="851"/>
        <w:tab w:val="left" w:pos="7200"/>
        <w:tab w:val="right" w:pos="8364"/>
      </w:tabs>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B26" w:rsidRPr="00025B26" w:rsidRDefault="00025B26" w:rsidP="00025B26">
    <w:pPr>
      <w:pBdr>
        <w:bottom w:val="thinThickMediumGap" w:sz="12" w:space="1" w:color="auto"/>
      </w:pBdr>
      <w:tabs>
        <w:tab w:val="left" w:pos="851"/>
        <w:tab w:val="right" w:pos="8364"/>
      </w:tabs>
      <w:adjustRightInd w:val="0"/>
      <w:snapToGrid w:val="0"/>
      <w:jc w:val="both"/>
      <w:rPr>
        <w:iCs/>
        <w:sz w:val="20"/>
        <w:szCs w:val="20"/>
      </w:rPr>
    </w:pPr>
    <w:r w:rsidRPr="00025B26">
      <w:rPr>
        <w:rFonts w:hint="eastAsia"/>
        <w:sz w:val="20"/>
        <w:szCs w:val="20"/>
      </w:rPr>
      <w:tab/>
    </w:r>
    <w:r w:rsidRPr="00025B26">
      <w:rPr>
        <w:sz w:val="20"/>
        <w:szCs w:val="20"/>
      </w:rPr>
      <w:t>New York Science Journal 201</w:t>
    </w:r>
    <w:r w:rsidRPr="00025B26">
      <w:rPr>
        <w:rFonts w:hint="eastAsia"/>
        <w:sz w:val="20"/>
        <w:szCs w:val="20"/>
      </w:rPr>
      <w:t>6</w:t>
    </w:r>
    <w:proofErr w:type="gramStart"/>
    <w:r w:rsidRPr="00025B26">
      <w:rPr>
        <w:sz w:val="20"/>
        <w:szCs w:val="20"/>
      </w:rPr>
      <w:t>;</w:t>
    </w:r>
    <w:r w:rsidRPr="00025B26">
      <w:rPr>
        <w:rFonts w:hint="eastAsia"/>
        <w:sz w:val="20"/>
        <w:szCs w:val="20"/>
      </w:rPr>
      <w:t>9</w:t>
    </w:r>
    <w:proofErr w:type="gramEnd"/>
    <w:r w:rsidRPr="00025B26">
      <w:rPr>
        <w:sz w:val="20"/>
        <w:szCs w:val="20"/>
      </w:rPr>
      <w:t>(</w:t>
    </w:r>
    <w:r w:rsidRPr="00025B26">
      <w:rPr>
        <w:rFonts w:hint="eastAsia"/>
        <w:sz w:val="20"/>
        <w:szCs w:val="20"/>
      </w:rPr>
      <w:t>3</w:t>
    </w:r>
    <w:r w:rsidRPr="00025B26">
      <w:rPr>
        <w:sz w:val="20"/>
        <w:szCs w:val="20"/>
      </w:rPr>
      <w:t>)</w:t>
    </w:r>
    <w:r w:rsidRPr="00025B26">
      <w:rPr>
        <w:iCs/>
        <w:sz w:val="20"/>
        <w:szCs w:val="20"/>
      </w:rPr>
      <w:t xml:space="preserve">     </w:t>
    </w:r>
    <w:r w:rsidRPr="00025B26">
      <w:rPr>
        <w:rFonts w:hint="eastAsia"/>
        <w:iCs/>
        <w:sz w:val="20"/>
        <w:szCs w:val="20"/>
      </w:rPr>
      <w:tab/>
    </w:r>
    <w:r w:rsidRPr="00025B26">
      <w:rPr>
        <w:iCs/>
        <w:sz w:val="20"/>
        <w:szCs w:val="20"/>
      </w:rPr>
      <w:t xml:space="preserve"> </w:t>
    </w:r>
    <w:r w:rsidRPr="00025B26">
      <w:rPr>
        <w:rFonts w:hint="eastAsia"/>
        <w:iCs/>
        <w:sz w:val="20"/>
        <w:szCs w:val="20"/>
      </w:rPr>
      <w:t xml:space="preserve"> </w:t>
    </w:r>
    <w:r w:rsidRPr="00025B26">
      <w:rPr>
        <w:iCs/>
        <w:sz w:val="20"/>
        <w:szCs w:val="20"/>
      </w:rPr>
      <w:t xml:space="preserve">   </w:t>
    </w:r>
    <w:hyperlink r:id="rId1" w:history="1">
      <w:r w:rsidRPr="00025B26">
        <w:rPr>
          <w:rStyle w:val="Hyperlink"/>
          <w:sz w:val="20"/>
          <w:szCs w:val="20"/>
        </w:rPr>
        <w:t>http://www.sciencepub.net/newyork</w:t>
      </w:r>
    </w:hyperlink>
  </w:p>
  <w:p w:rsidR="00025B26" w:rsidRPr="00025B26" w:rsidRDefault="00025B26" w:rsidP="00025B26">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97C7C3B"/>
    <w:multiLevelType w:val="hybridMultilevel"/>
    <w:tmpl w:val="84983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25B26"/>
    <w:rsid w:val="0006091F"/>
    <w:rsid w:val="00080CE9"/>
    <w:rsid w:val="000827B7"/>
    <w:rsid w:val="000844D7"/>
    <w:rsid w:val="00086790"/>
    <w:rsid w:val="00090A06"/>
    <w:rsid w:val="000A0250"/>
    <w:rsid w:val="000A3F90"/>
    <w:rsid w:val="000C114F"/>
    <w:rsid w:val="000C73B9"/>
    <w:rsid w:val="00154445"/>
    <w:rsid w:val="001817C7"/>
    <w:rsid w:val="00183764"/>
    <w:rsid w:val="001964D0"/>
    <w:rsid w:val="001B41B8"/>
    <w:rsid w:val="001B650D"/>
    <w:rsid w:val="001C3D42"/>
    <w:rsid w:val="001D7A32"/>
    <w:rsid w:val="002057BA"/>
    <w:rsid w:val="00205E97"/>
    <w:rsid w:val="00245C21"/>
    <w:rsid w:val="00261A17"/>
    <w:rsid w:val="002721F1"/>
    <w:rsid w:val="00282FA1"/>
    <w:rsid w:val="002B5613"/>
    <w:rsid w:val="002D3558"/>
    <w:rsid w:val="002D36B2"/>
    <w:rsid w:val="002D589A"/>
    <w:rsid w:val="002F20CD"/>
    <w:rsid w:val="002F49EF"/>
    <w:rsid w:val="00301F95"/>
    <w:rsid w:val="003074DF"/>
    <w:rsid w:val="00314F95"/>
    <w:rsid w:val="00322FAB"/>
    <w:rsid w:val="003246A8"/>
    <w:rsid w:val="003405C6"/>
    <w:rsid w:val="00345581"/>
    <w:rsid w:val="0034702D"/>
    <w:rsid w:val="003679A0"/>
    <w:rsid w:val="00394B65"/>
    <w:rsid w:val="003A785E"/>
    <w:rsid w:val="003B55FF"/>
    <w:rsid w:val="003B651F"/>
    <w:rsid w:val="003C0116"/>
    <w:rsid w:val="003C4C28"/>
    <w:rsid w:val="00404599"/>
    <w:rsid w:val="0043645D"/>
    <w:rsid w:val="0044518C"/>
    <w:rsid w:val="00454A59"/>
    <w:rsid w:val="00456753"/>
    <w:rsid w:val="00471E57"/>
    <w:rsid w:val="00480715"/>
    <w:rsid w:val="0048212D"/>
    <w:rsid w:val="0049143E"/>
    <w:rsid w:val="00493EC1"/>
    <w:rsid w:val="004C7E2A"/>
    <w:rsid w:val="004D01D3"/>
    <w:rsid w:val="004D0467"/>
    <w:rsid w:val="004F4AFB"/>
    <w:rsid w:val="00520D1A"/>
    <w:rsid w:val="0052512B"/>
    <w:rsid w:val="00530694"/>
    <w:rsid w:val="00553F9B"/>
    <w:rsid w:val="00593132"/>
    <w:rsid w:val="005A21B0"/>
    <w:rsid w:val="005A5E42"/>
    <w:rsid w:val="005C2F35"/>
    <w:rsid w:val="005D1DA6"/>
    <w:rsid w:val="005F5E04"/>
    <w:rsid w:val="00635308"/>
    <w:rsid w:val="0065209A"/>
    <w:rsid w:val="00657995"/>
    <w:rsid w:val="006B5399"/>
    <w:rsid w:val="006D5C2E"/>
    <w:rsid w:val="006E6ACB"/>
    <w:rsid w:val="006E7156"/>
    <w:rsid w:val="006F1706"/>
    <w:rsid w:val="00744442"/>
    <w:rsid w:val="0074629D"/>
    <w:rsid w:val="007725E7"/>
    <w:rsid w:val="0078507E"/>
    <w:rsid w:val="007A09A4"/>
    <w:rsid w:val="007B058F"/>
    <w:rsid w:val="007B073D"/>
    <w:rsid w:val="007D3D09"/>
    <w:rsid w:val="007D746F"/>
    <w:rsid w:val="007F763B"/>
    <w:rsid w:val="008131CF"/>
    <w:rsid w:val="00814FA7"/>
    <w:rsid w:val="008233D0"/>
    <w:rsid w:val="00835C53"/>
    <w:rsid w:val="00835D53"/>
    <w:rsid w:val="0085007D"/>
    <w:rsid w:val="00875C08"/>
    <w:rsid w:val="008A20AC"/>
    <w:rsid w:val="008A67B6"/>
    <w:rsid w:val="008E4210"/>
    <w:rsid w:val="008E6DF0"/>
    <w:rsid w:val="0091208A"/>
    <w:rsid w:val="00914558"/>
    <w:rsid w:val="00935CF7"/>
    <w:rsid w:val="0094140D"/>
    <w:rsid w:val="009459B3"/>
    <w:rsid w:val="00952EB8"/>
    <w:rsid w:val="00997A8E"/>
    <w:rsid w:val="00997CA2"/>
    <w:rsid w:val="009A3681"/>
    <w:rsid w:val="009D2EC9"/>
    <w:rsid w:val="00A13D9C"/>
    <w:rsid w:val="00A1557F"/>
    <w:rsid w:val="00A3476D"/>
    <w:rsid w:val="00A56F4B"/>
    <w:rsid w:val="00B3167C"/>
    <w:rsid w:val="00B36B45"/>
    <w:rsid w:val="00B60543"/>
    <w:rsid w:val="00B60E8D"/>
    <w:rsid w:val="00B80C0E"/>
    <w:rsid w:val="00B918AE"/>
    <w:rsid w:val="00B94E19"/>
    <w:rsid w:val="00BD2A8D"/>
    <w:rsid w:val="00BD4FCC"/>
    <w:rsid w:val="00BF6579"/>
    <w:rsid w:val="00C0761F"/>
    <w:rsid w:val="00C101C9"/>
    <w:rsid w:val="00C20E03"/>
    <w:rsid w:val="00C44596"/>
    <w:rsid w:val="00C60D61"/>
    <w:rsid w:val="00C92003"/>
    <w:rsid w:val="00CC4387"/>
    <w:rsid w:val="00CE7B2F"/>
    <w:rsid w:val="00CF24FB"/>
    <w:rsid w:val="00CF6616"/>
    <w:rsid w:val="00D04C27"/>
    <w:rsid w:val="00D13147"/>
    <w:rsid w:val="00D14AD9"/>
    <w:rsid w:val="00D26F2E"/>
    <w:rsid w:val="00D36244"/>
    <w:rsid w:val="00D3777A"/>
    <w:rsid w:val="00D54C71"/>
    <w:rsid w:val="00D56002"/>
    <w:rsid w:val="00D74E4E"/>
    <w:rsid w:val="00D778C9"/>
    <w:rsid w:val="00DF6507"/>
    <w:rsid w:val="00DF7353"/>
    <w:rsid w:val="00E015B9"/>
    <w:rsid w:val="00E34501"/>
    <w:rsid w:val="00E34DBD"/>
    <w:rsid w:val="00E52EA0"/>
    <w:rsid w:val="00E57761"/>
    <w:rsid w:val="00E617EB"/>
    <w:rsid w:val="00E73E1D"/>
    <w:rsid w:val="00E75A1F"/>
    <w:rsid w:val="00EB51F4"/>
    <w:rsid w:val="00EC25B1"/>
    <w:rsid w:val="00EC565A"/>
    <w:rsid w:val="00EC5C53"/>
    <w:rsid w:val="00ED235A"/>
    <w:rsid w:val="00ED4441"/>
    <w:rsid w:val="00ED4A29"/>
    <w:rsid w:val="00ED4ED9"/>
    <w:rsid w:val="00EE1CEE"/>
    <w:rsid w:val="00EE1F4B"/>
    <w:rsid w:val="00F03305"/>
    <w:rsid w:val="00F2228B"/>
    <w:rsid w:val="00F62573"/>
    <w:rsid w:val="00F64E3F"/>
    <w:rsid w:val="00F83A62"/>
    <w:rsid w:val="00FA6D77"/>
    <w:rsid w:val="00FB5B6A"/>
    <w:rsid w:val="00FC4906"/>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2D36B2"/>
    <w:pPr>
      <w:keepNext/>
      <w:tabs>
        <w:tab w:val="num" w:pos="0"/>
      </w:tabs>
      <w:outlineLvl w:val="0"/>
    </w:pPr>
    <w:rPr>
      <w:b/>
      <w:bCs/>
      <w:sz w:val="32"/>
    </w:rPr>
  </w:style>
  <w:style w:type="paragraph" w:styleId="Heading2">
    <w:name w:val="heading 2"/>
    <w:basedOn w:val="Normal"/>
    <w:next w:val="Normal"/>
    <w:qFormat/>
    <w:rsid w:val="002D36B2"/>
    <w:pPr>
      <w:keepNext/>
      <w:tabs>
        <w:tab w:val="num" w:pos="0"/>
      </w:tabs>
      <w:jc w:val="both"/>
      <w:outlineLvl w:val="1"/>
    </w:pPr>
    <w:rPr>
      <w:b/>
      <w:sz w:val="28"/>
    </w:rPr>
  </w:style>
  <w:style w:type="paragraph" w:styleId="Heading3">
    <w:name w:val="heading 3"/>
    <w:basedOn w:val="Normal"/>
    <w:next w:val="Normal"/>
    <w:qFormat/>
    <w:rsid w:val="002D36B2"/>
    <w:pPr>
      <w:keepNext/>
      <w:tabs>
        <w:tab w:val="num" w:pos="0"/>
      </w:tabs>
      <w:spacing w:line="360" w:lineRule="auto"/>
      <w:jc w:val="both"/>
      <w:outlineLvl w:val="2"/>
    </w:pPr>
    <w:rPr>
      <w:b/>
      <w:bCs/>
    </w:rPr>
  </w:style>
  <w:style w:type="paragraph" w:styleId="Heading6">
    <w:name w:val="heading 6"/>
    <w:basedOn w:val="Normal"/>
    <w:next w:val="Normal"/>
    <w:qFormat/>
    <w:rsid w:val="002D36B2"/>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2D36B2"/>
  </w:style>
  <w:style w:type="character" w:customStyle="1" w:styleId="WW-Absatz-Standardschriftart">
    <w:name w:val="WW-Absatz-Standardschriftart"/>
    <w:rsid w:val="002D36B2"/>
  </w:style>
  <w:style w:type="character" w:customStyle="1" w:styleId="WW-Absatz-Standardschriftart1">
    <w:name w:val="WW-Absatz-Standardschriftart1"/>
    <w:rsid w:val="002D36B2"/>
  </w:style>
  <w:style w:type="character" w:customStyle="1" w:styleId="WW-Absatz-Standardschriftart11">
    <w:name w:val="WW-Absatz-Standardschriftart11"/>
    <w:rsid w:val="002D36B2"/>
  </w:style>
  <w:style w:type="character" w:customStyle="1" w:styleId="WW-Absatz-Standardschriftart111">
    <w:name w:val="WW-Absatz-Standardschriftart111"/>
    <w:rsid w:val="002D36B2"/>
  </w:style>
  <w:style w:type="character" w:customStyle="1" w:styleId="WW-Absatz-Standardschriftart1111">
    <w:name w:val="WW-Absatz-Standardschriftart1111"/>
    <w:rsid w:val="002D36B2"/>
  </w:style>
  <w:style w:type="character" w:customStyle="1" w:styleId="WW-Absatz-Standardschriftart11111">
    <w:name w:val="WW-Absatz-Standardschriftart11111"/>
    <w:rsid w:val="002D36B2"/>
  </w:style>
  <w:style w:type="character" w:customStyle="1" w:styleId="WW-Absatz-Standardschriftart111111">
    <w:name w:val="WW-Absatz-Standardschriftart111111"/>
    <w:rsid w:val="002D36B2"/>
  </w:style>
  <w:style w:type="character" w:customStyle="1" w:styleId="WW-Absatz-Standardschriftart1111111">
    <w:name w:val="WW-Absatz-Standardschriftart1111111"/>
    <w:rsid w:val="002D36B2"/>
  </w:style>
  <w:style w:type="character" w:customStyle="1" w:styleId="WW-Absatz-Standardschriftart11111111">
    <w:name w:val="WW-Absatz-Standardschriftart11111111"/>
    <w:rsid w:val="002D36B2"/>
  </w:style>
  <w:style w:type="character" w:customStyle="1" w:styleId="WW-Absatz-Standardschriftart111111111">
    <w:name w:val="WW-Absatz-Standardschriftart111111111"/>
    <w:rsid w:val="002D36B2"/>
  </w:style>
  <w:style w:type="character" w:customStyle="1" w:styleId="WW-Absatz-Standardschriftart1111111111">
    <w:name w:val="WW-Absatz-Standardschriftart1111111111"/>
    <w:rsid w:val="002D36B2"/>
  </w:style>
  <w:style w:type="character" w:customStyle="1" w:styleId="WW-Absatz-Standardschriftart11111111111">
    <w:name w:val="WW-Absatz-Standardschriftart11111111111"/>
    <w:rsid w:val="002D36B2"/>
  </w:style>
  <w:style w:type="character" w:customStyle="1" w:styleId="WW-Absatz-Standardschriftart111111111111">
    <w:name w:val="WW-Absatz-Standardschriftart111111111111"/>
    <w:rsid w:val="002D36B2"/>
  </w:style>
  <w:style w:type="character" w:customStyle="1" w:styleId="WW-Absatz-Standardschriftart1111111111111">
    <w:name w:val="WW-Absatz-Standardschriftart1111111111111"/>
    <w:rsid w:val="002D36B2"/>
  </w:style>
  <w:style w:type="character" w:customStyle="1" w:styleId="WW-Absatz-Standardschriftart11111111111111">
    <w:name w:val="WW-Absatz-Standardschriftart11111111111111"/>
    <w:rsid w:val="002D36B2"/>
  </w:style>
  <w:style w:type="character" w:customStyle="1" w:styleId="WW-Absatz-Standardschriftart111111111111111">
    <w:name w:val="WW-Absatz-Standardschriftart111111111111111"/>
    <w:rsid w:val="002D36B2"/>
  </w:style>
  <w:style w:type="character" w:customStyle="1" w:styleId="WW-Absatz-Standardschriftart1111111111111111">
    <w:name w:val="WW-Absatz-Standardschriftart1111111111111111"/>
    <w:rsid w:val="002D36B2"/>
  </w:style>
  <w:style w:type="character" w:customStyle="1" w:styleId="WW8Num1z0">
    <w:name w:val="WW8Num1z0"/>
    <w:rsid w:val="002D36B2"/>
    <w:rPr>
      <w:rFonts w:ascii="Symbol" w:eastAsia="Times New Roman" w:hAnsi="Symbol" w:cs="Times New Roman"/>
    </w:rPr>
  </w:style>
  <w:style w:type="character" w:customStyle="1" w:styleId="WW8Num1z1">
    <w:name w:val="WW8Num1z1"/>
    <w:rsid w:val="002D36B2"/>
    <w:rPr>
      <w:rFonts w:ascii="Courier New" w:hAnsi="Courier New" w:cs="Courier New"/>
    </w:rPr>
  </w:style>
  <w:style w:type="character" w:customStyle="1" w:styleId="WW8Num1z2">
    <w:name w:val="WW8Num1z2"/>
    <w:rsid w:val="002D36B2"/>
    <w:rPr>
      <w:rFonts w:ascii="Wingdings" w:hAnsi="Wingdings"/>
    </w:rPr>
  </w:style>
  <w:style w:type="character" w:customStyle="1" w:styleId="WW8Num1z3">
    <w:name w:val="WW8Num1z3"/>
    <w:rsid w:val="002D36B2"/>
    <w:rPr>
      <w:rFonts w:ascii="Symbol" w:hAnsi="Symbol"/>
    </w:rPr>
  </w:style>
  <w:style w:type="character" w:styleId="PageNumber">
    <w:name w:val="page number"/>
    <w:basedOn w:val="DefaultParagraphFont"/>
    <w:rsid w:val="002D36B2"/>
  </w:style>
  <w:style w:type="character" w:styleId="Hyperlink">
    <w:name w:val="Hyperlink"/>
    <w:basedOn w:val="DefaultParagraphFont"/>
    <w:rsid w:val="002D36B2"/>
    <w:rPr>
      <w:color w:val="0000FF"/>
      <w:u w:val="single"/>
    </w:rPr>
  </w:style>
  <w:style w:type="character" w:styleId="FollowedHyperlink">
    <w:name w:val="FollowedHyperlink"/>
    <w:basedOn w:val="DefaultParagraphFont"/>
    <w:rsid w:val="002D36B2"/>
    <w:rPr>
      <w:color w:val="800080"/>
      <w:u w:val="single"/>
    </w:rPr>
  </w:style>
  <w:style w:type="character" w:customStyle="1" w:styleId="NumberingSymbols">
    <w:name w:val="Numbering Symbols"/>
    <w:rsid w:val="002D36B2"/>
  </w:style>
  <w:style w:type="paragraph" w:customStyle="1" w:styleId="Heading">
    <w:name w:val="Heading"/>
    <w:basedOn w:val="Normal"/>
    <w:next w:val="BodyText"/>
    <w:rsid w:val="002D36B2"/>
    <w:pPr>
      <w:keepNext/>
      <w:spacing w:before="240" w:after="120"/>
    </w:pPr>
    <w:rPr>
      <w:rFonts w:ascii="Nimbus Sans L" w:eastAsia="DejaVu Sans" w:hAnsi="Nimbus Sans L" w:cs="DejaVu Sans"/>
      <w:sz w:val="28"/>
      <w:szCs w:val="28"/>
    </w:rPr>
  </w:style>
  <w:style w:type="paragraph" w:styleId="BodyText">
    <w:name w:val="Body Text"/>
    <w:basedOn w:val="Normal"/>
    <w:rsid w:val="002D36B2"/>
    <w:pPr>
      <w:spacing w:line="360" w:lineRule="auto"/>
    </w:pPr>
  </w:style>
  <w:style w:type="paragraph" w:styleId="List">
    <w:name w:val="List"/>
    <w:basedOn w:val="BodyText"/>
    <w:rsid w:val="002D36B2"/>
  </w:style>
  <w:style w:type="paragraph" w:styleId="Caption">
    <w:name w:val="caption"/>
    <w:basedOn w:val="Normal"/>
    <w:qFormat/>
    <w:rsid w:val="002D36B2"/>
    <w:pPr>
      <w:suppressLineNumbers/>
      <w:spacing w:before="120" w:after="120"/>
    </w:pPr>
    <w:rPr>
      <w:i/>
      <w:iCs/>
    </w:rPr>
  </w:style>
  <w:style w:type="paragraph" w:customStyle="1" w:styleId="Index">
    <w:name w:val="Index"/>
    <w:basedOn w:val="Normal"/>
    <w:rsid w:val="002D36B2"/>
    <w:pPr>
      <w:suppressLineNumbers/>
    </w:pPr>
  </w:style>
  <w:style w:type="paragraph" w:styleId="Header">
    <w:name w:val="header"/>
    <w:basedOn w:val="Normal"/>
    <w:next w:val="Heading1"/>
    <w:link w:val="HeaderChar"/>
    <w:rsid w:val="002D36B2"/>
    <w:pPr>
      <w:tabs>
        <w:tab w:val="center" w:pos="4320"/>
        <w:tab w:val="right" w:pos="8640"/>
      </w:tabs>
    </w:pPr>
  </w:style>
  <w:style w:type="paragraph" w:styleId="BodyTextIndent3">
    <w:name w:val="Body Text Indent 3"/>
    <w:basedOn w:val="Normal"/>
    <w:rsid w:val="002D36B2"/>
    <w:pPr>
      <w:spacing w:line="360" w:lineRule="auto"/>
      <w:ind w:firstLine="720"/>
      <w:jc w:val="both"/>
    </w:pPr>
    <w:rPr>
      <w:b/>
      <w:bCs/>
    </w:rPr>
  </w:style>
  <w:style w:type="paragraph" w:styleId="BodyTextIndent">
    <w:name w:val="Body Text Indent"/>
    <w:basedOn w:val="Normal"/>
    <w:rsid w:val="002D36B2"/>
    <w:pPr>
      <w:ind w:left="540" w:hanging="720"/>
      <w:jc w:val="both"/>
    </w:pPr>
  </w:style>
  <w:style w:type="paragraph" w:styleId="BodyTextIndent2">
    <w:name w:val="Body Text Indent 2"/>
    <w:basedOn w:val="Normal"/>
    <w:rsid w:val="002D36B2"/>
    <w:pPr>
      <w:spacing w:line="360" w:lineRule="auto"/>
      <w:ind w:firstLine="720"/>
      <w:jc w:val="both"/>
    </w:pPr>
  </w:style>
  <w:style w:type="paragraph" w:styleId="BodyText2">
    <w:name w:val="Body Text 2"/>
    <w:basedOn w:val="Normal"/>
    <w:rsid w:val="002D36B2"/>
    <w:pPr>
      <w:spacing w:line="360" w:lineRule="auto"/>
      <w:jc w:val="both"/>
    </w:pPr>
  </w:style>
  <w:style w:type="paragraph" w:styleId="Footer">
    <w:name w:val="footer"/>
    <w:basedOn w:val="Normal"/>
    <w:rsid w:val="002D36B2"/>
    <w:pPr>
      <w:tabs>
        <w:tab w:val="center" w:pos="4320"/>
        <w:tab w:val="right" w:pos="8640"/>
      </w:tabs>
    </w:pPr>
    <w:rPr>
      <w:sz w:val="32"/>
    </w:rPr>
  </w:style>
  <w:style w:type="paragraph" w:customStyle="1" w:styleId="TableContents">
    <w:name w:val="Table Contents"/>
    <w:basedOn w:val="Normal"/>
    <w:rsid w:val="002D36B2"/>
    <w:pPr>
      <w:suppressLineNumbers/>
    </w:pPr>
  </w:style>
  <w:style w:type="paragraph" w:customStyle="1" w:styleId="TableHeading">
    <w:name w:val="Table Heading"/>
    <w:basedOn w:val="TableContents"/>
    <w:rsid w:val="002D36B2"/>
    <w:pPr>
      <w:jc w:val="center"/>
    </w:pPr>
    <w:rPr>
      <w:b/>
      <w:bCs/>
    </w:rPr>
  </w:style>
  <w:style w:type="paragraph" w:customStyle="1" w:styleId="Framecontents">
    <w:name w:val="Frame contents"/>
    <w:basedOn w:val="BodyText"/>
    <w:rsid w:val="002D36B2"/>
  </w:style>
  <w:style w:type="paragraph" w:customStyle="1" w:styleId="Text">
    <w:name w:val="Text"/>
    <w:basedOn w:val="Normal"/>
    <w:rsid w:val="002D36B2"/>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character" w:customStyle="1" w:styleId="highlight">
    <w:name w:val="highlight"/>
    <w:basedOn w:val="DefaultParagraphFont"/>
    <w:rsid w:val="007A09A4"/>
  </w:style>
  <w:style w:type="character" w:customStyle="1" w:styleId="apple-converted-space">
    <w:name w:val="apple-converted-space"/>
    <w:basedOn w:val="DefaultParagraphFont"/>
    <w:rsid w:val="007A09A4"/>
  </w:style>
  <w:style w:type="character" w:customStyle="1" w:styleId="A2">
    <w:name w:val="A2"/>
    <w:uiPriority w:val="99"/>
    <w:rsid w:val="007A09A4"/>
    <w:rPr>
      <w:rFonts w:cs="Times"/>
      <w:b/>
      <w:bCs/>
      <w:color w:val="000000"/>
      <w:sz w:val="20"/>
      <w:szCs w:val="20"/>
    </w:rPr>
  </w:style>
  <w:style w:type="character" w:styleId="Emphasis">
    <w:name w:val="Emphasis"/>
    <w:basedOn w:val="DefaultParagraphFont"/>
    <w:uiPriority w:val="20"/>
    <w:qFormat/>
    <w:rsid w:val="007A09A4"/>
    <w:rPr>
      <w:i/>
      <w:iCs/>
    </w:rPr>
  </w:style>
  <w:style w:type="paragraph" w:styleId="NoSpacing">
    <w:name w:val="No Spacing"/>
    <w:uiPriority w:val="1"/>
    <w:qFormat/>
    <w:rsid w:val="00493EC1"/>
    <w:pPr>
      <w:bidi/>
    </w:pPr>
    <w:rPr>
      <w:rFonts w:ascii="Calibri" w:eastAsia="Times New Roman" w:hAnsi="Calibri" w:cs="Arial"/>
      <w:sz w:val="22"/>
      <w:szCs w:val="22"/>
      <w:lang w:eastAsia="en-US"/>
    </w:rPr>
  </w:style>
  <w:style w:type="table" w:customStyle="1" w:styleId="LightShading1">
    <w:name w:val="Light Shading1"/>
    <w:basedOn w:val="TableNormal"/>
    <w:uiPriority w:val="60"/>
    <w:rsid w:val="00493EC1"/>
    <w:rPr>
      <w:rFonts w:ascii="Calibri" w:eastAsia="Times New Roman" w:hAnsi="Calibri" w:cs="Arial"/>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mixed-citation">
    <w:name w:val="mixed-citation"/>
    <w:basedOn w:val="DefaultParagraphFont"/>
    <w:rsid w:val="0048212D"/>
  </w:style>
  <w:style w:type="paragraph" w:styleId="ListParagraph">
    <w:name w:val="List Paragraph"/>
    <w:basedOn w:val="Normal"/>
    <w:uiPriority w:val="34"/>
    <w:qFormat/>
    <w:rsid w:val="002057BA"/>
    <w:pPr>
      <w:suppressAutoHyphens w:val="0"/>
      <w:bidi/>
      <w:spacing w:after="200" w:line="276" w:lineRule="auto"/>
      <w:ind w:left="720"/>
      <w:contextualSpacing/>
    </w:pPr>
    <w:rPr>
      <w:rFonts w:ascii="Calibri" w:eastAsia="Times New Roman" w:hAnsi="Calibri" w:cs="Arial"/>
      <w:sz w:val="22"/>
      <w:szCs w:val="22"/>
      <w:lang w:eastAsia="en-US"/>
    </w:rPr>
  </w:style>
  <w:style w:type="character" w:customStyle="1" w:styleId="ref-journal">
    <w:name w:val="ref-journal"/>
    <w:basedOn w:val="DefaultParagraphFont"/>
    <w:rsid w:val="002057BA"/>
  </w:style>
  <w:style w:type="character" w:customStyle="1" w:styleId="ref-vol">
    <w:name w:val="ref-vol"/>
    <w:basedOn w:val="DefaultParagraphFont"/>
    <w:rsid w:val="002057BA"/>
  </w:style>
  <w:style w:type="character" w:customStyle="1" w:styleId="element-citation">
    <w:name w:val="element-citation"/>
    <w:basedOn w:val="DefaultParagraphFont"/>
    <w:rsid w:val="002057BA"/>
  </w:style>
  <w:style w:type="character" w:customStyle="1" w:styleId="cit">
    <w:name w:val="cit"/>
    <w:basedOn w:val="DefaultParagraphFont"/>
    <w:rsid w:val="002057BA"/>
  </w:style>
  <w:style w:type="character" w:customStyle="1" w:styleId="highlight2">
    <w:name w:val="highlight2"/>
    <w:basedOn w:val="DefaultParagraphFont"/>
    <w:rsid w:val="002057BA"/>
  </w:style>
  <w:style w:type="paragraph" w:styleId="BalloonText">
    <w:name w:val="Balloon Text"/>
    <w:basedOn w:val="Normal"/>
    <w:link w:val="BalloonTextChar"/>
    <w:uiPriority w:val="99"/>
    <w:semiHidden/>
    <w:unhideWhenUsed/>
    <w:rsid w:val="0074629D"/>
    <w:rPr>
      <w:rFonts w:ascii="Tahoma" w:hAnsi="Tahoma" w:cs="Tahoma"/>
      <w:sz w:val="16"/>
      <w:szCs w:val="16"/>
    </w:rPr>
  </w:style>
  <w:style w:type="character" w:customStyle="1" w:styleId="BalloonTextChar">
    <w:name w:val="Balloon Text Char"/>
    <w:basedOn w:val="DefaultParagraphFont"/>
    <w:link w:val="BalloonText"/>
    <w:uiPriority w:val="99"/>
    <w:semiHidden/>
    <w:rsid w:val="0074629D"/>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hyperlink" Target="http://www.ncbi.nlm.nih.gov/pubmed/?term=Singh%20N%5BAuthor%5D&amp;cauthor=true&amp;cauthor_uid=25885131" TargetMode="External"/><Relationship Id="rId39" Type="http://schemas.openxmlformats.org/officeDocument/2006/relationships/hyperlink" Target="http://www.ncbi.nlm.nih.gov/pubmed/?term=Nafea%20D%5BAuthor%5D&amp;cauthor=true&amp;cauthor_uid=21034166" TargetMode="External"/><Relationship Id="rId21" Type="http://schemas.openxmlformats.org/officeDocument/2006/relationships/hyperlink" Target="http://dx.doi.org/10.1177%2F2040620713489144" TargetMode="External"/><Relationship Id="rId34" Type="http://schemas.openxmlformats.org/officeDocument/2006/relationships/hyperlink" Target="http://www.ncbi.nlm.nih.gov/pubmed/?term=Dehbi%20H%5BAuthor%5D&amp;cauthor=true&amp;cauthor_uid=19939582" TargetMode="External"/><Relationship Id="rId42" Type="http://schemas.openxmlformats.org/officeDocument/2006/relationships/hyperlink" Target="http://www.ncbi.nlm.nih.gov/pubmed/?term=Kim%20YK%5BAuthor%5D&amp;cauthor=true&amp;cauthor_uid=23130336" TargetMode="External"/><Relationship Id="rId47" Type="http://schemas.openxmlformats.org/officeDocument/2006/relationships/hyperlink" Target="http://www.ncbi.nlm.nih.gov/pubmed/?term=Campbell%20PJ%5BAuthor%5D&amp;cauthor=true&amp;cauthor_uid=16293597" TargetMode="External"/><Relationship Id="rId50" Type="http://schemas.openxmlformats.org/officeDocument/2006/relationships/hyperlink" Target="http://www.ncbi.nlm.nih.gov/pubmed/?term=D%C3%B6hner%20H%5BAuthor%5D&amp;cauthor=true&amp;cauthor_uid=16293597" TargetMode="External"/><Relationship Id="rId55" Type="http://schemas.openxmlformats.org/officeDocument/2006/relationships/footer" Target="footer8.xml"/><Relationship Id="rId7" Type="http://schemas.openxmlformats.org/officeDocument/2006/relationships/hyperlink" Target="mailto:hashimmohamed10@yahoo.com" TargetMode="Externa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www.ncbi.nlm.nih.gov/pubmed/26625816" TargetMode="External"/><Relationship Id="rId33" Type="http://schemas.openxmlformats.org/officeDocument/2006/relationships/hyperlink" Target="http://www.ncbi.nlm.nih.gov/pubmed/?term=Benmoussa%20A%5BAuthor%5D&amp;cauthor=true&amp;cauthor_uid=19939582" TargetMode="External"/><Relationship Id="rId38" Type="http://schemas.openxmlformats.org/officeDocument/2006/relationships/hyperlink" Target="http://www.ncbi.nlm.nih.gov/pubmed/?term=Ayad%20MW%5BAuthor%5D&amp;cauthor=true&amp;cauthor_uid=21034166" TargetMode="External"/><Relationship Id="rId46" Type="http://schemas.openxmlformats.org/officeDocument/2006/relationships/hyperlink" Target="http://www.ncbi.nlm.nih.gov/pubmed/23130336"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dx.doi.org/10.1177%2F2040620713489144" TargetMode="External"/><Relationship Id="rId29" Type="http://schemas.openxmlformats.org/officeDocument/2006/relationships/hyperlink" Target="http://www.ncbi.nlm.nih.gov/pubmed/?term=Chhikara%20S%5BAuthor%5D&amp;cauthor=true&amp;cauthor_uid=25885131" TargetMode="External"/><Relationship Id="rId41" Type="http://schemas.openxmlformats.org/officeDocument/2006/relationships/hyperlink" Target="http://www.ncbi.nlm.nih.gov/pubmed/?term=Ha%20JS%5BAuthor%5D&amp;cauthor=true&amp;cauthor_uid=23130336" TargetMode="External"/><Relationship Id="rId54"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ncbi.nlm.nih.gov/pubmed/?term=Irfan%20SM%5BAuthor%5D&amp;cauthor=true&amp;cauthor_uid=26625816" TargetMode="External"/><Relationship Id="rId32" Type="http://schemas.openxmlformats.org/officeDocument/2006/relationships/hyperlink" Target="http://www.ncbi.nlm.nih.gov/pubmed/25885131" TargetMode="External"/><Relationship Id="rId37" Type="http://schemas.openxmlformats.org/officeDocument/2006/relationships/hyperlink" Target="http://www.ncbi.nlm.nih.gov/pubmed/?term=Nadifi%20S%5BAuthor%5D&amp;cauthor=true&amp;cauthor_uid=19939582" TargetMode="External"/><Relationship Id="rId40" Type="http://schemas.openxmlformats.org/officeDocument/2006/relationships/hyperlink" Target="http://www.ncbi.nlm.nih.gov/pubmed/21034166" TargetMode="External"/><Relationship Id="rId45" Type="http://schemas.openxmlformats.org/officeDocument/2006/relationships/hyperlink" Target="http://www.ncbi.nlm.nih.gov/pubmed/?term=Chung%20IS%5BAuthor%5D&amp;cauthor=true&amp;cauthor_uid=23130336" TargetMode="External"/><Relationship Id="rId53" Type="http://schemas.openxmlformats.org/officeDocument/2006/relationships/header" Target="header4.xml"/><Relationship Id="rId58"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www.ncbi.nlm.nih.gov/pubmed/?term=Sultan%20S%5BAuthor%5D&amp;cauthor=true&amp;cauthor_uid=26625816" TargetMode="External"/><Relationship Id="rId28" Type="http://schemas.openxmlformats.org/officeDocument/2006/relationships/hyperlink" Target="http://www.ncbi.nlm.nih.gov/pubmed/?term=Upadhyay%20A%5BAuthor%5D&amp;cauthor=true&amp;cauthor_uid=25885131" TargetMode="External"/><Relationship Id="rId36" Type="http://schemas.openxmlformats.org/officeDocument/2006/relationships/hyperlink" Target="http://www.ncbi.nlm.nih.gov/pubmed/?term=Quessar%20A%5BAuthor%5D&amp;cauthor=true&amp;cauthor_uid=19939582" TargetMode="External"/><Relationship Id="rId49" Type="http://schemas.openxmlformats.org/officeDocument/2006/relationships/hyperlink" Target="http://www.ncbi.nlm.nih.gov/pubmed/?term=D%C3%B6hner%20K%5BAuthor%5D&amp;cauthor=true&amp;cauthor_uid=16293597" TargetMode="External"/><Relationship Id="rId57" Type="http://schemas.openxmlformats.org/officeDocument/2006/relationships/footer" Target="footer9.xml"/><Relationship Id="rId10" Type="http://schemas.openxmlformats.org/officeDocument/2006/relationships/header" Target="header1.xml"/><Relationship Id="rId19" Type="http://schemas.openxmlformats.org/officeDocument/2006/relationships/hyperlink" Target="mailto:hashimmohamed10@yahoo.com" TargetMode="External"/><Relationship Id="rId31" Type="http://schemas.openxmlformats.org/officeDocument/2006/relationships/hyperlink" Target="http://www.ncbi.nlm.nih.gov/pubmed/?term=Saxena%20R%5BAuthor%5D&amp;cauthor=true&amp;cauthor_uid=25885131" TargetMode="External"/><Relationship Id="rId44" Type="http://schemas.openxmlformats.org/officeDocument/2006/relationships/hyperlink" Target="http://www.ncbi.nlm.nih.gov/pubmed/?term=Jung%20HR%5BAuthor%5D&amp;cauthor=true&amp;cauthor_uid=23130336" TargetMode="External"/><Relationship Id="rId52" Type="http://schemas.openxmlformats.org/officeDocument/2006/relationships/hyperlink" Target="http://www.ncbi.nlm.nih.gov/pubmed/16293597"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x.doi.org/10.7537/marsnys09031614" TargetMode="External"/><Relationship Id="rId14" Type="http://schemas.openxmlformats.org/officeDocument/2006/relationships/footer" Target="footer3.xml"/><Relationship Id="rId22" Type="http://schemas.openxmlformats.org/officeDocument/2006/relationships/hyperlink" Target="http://www.ncbi.nlm.nih.gov/pmc/articles/PMC4730608/" TargetMode="External"/><Relationship Id="rId27" Type="http://schemas.openxmlformats.org/officeDocument/2006/relationships/hyperlink" Target="http://www.ncbi.nlm.nih.gov/pubmed/?term=Sazawal%20S%5BAuthor%5D&amp;cauthor=true&amp;cauthor_uid=25885131" TargetMode="External"/><Relationship Id="rId30" Type="http://schemas.openxmlformats.org/officeDocument/2006/relationships/hyperlink" Target="http://www.ncbi.nlm.nih.gov/pubmed/?term=Mahapatra%20M%5BAuthor%5D&amp;cauthor=true&amp;cauthor_uid=25885131" TargetMode="External"/><Relationship Id="rId35" Type="http://schemas.openxmlformats.org/officeDocument/2006/relationships/hyperlink" Target="http://www.ncbi.nlm.nih.gov/pubmed/?term=Fehri%20S%5BAuthor%5D&amp;cauthor=true&amp;cauthor_uid=19939582" TargetMode="External"/><Relationship Id="rId43" Type="http://schemas.openxmlformats.org/officeDocument/2006/relationships/hyperlink" Target="http://www.ncbi.nlm.nih.gov/pubmed/?term=Jung%20SI%5BAuthor%5D&amp;cauthor=true&amp;cauthor_uid=23130336" TargetMode="External"/><Relationship Id="rId48" Type="http://schemas.openxmlformats.org/officeDocument/2006/relationships/hyperlink" Target="http://www.ncbi.nlm.nih.gov/pubmed/?term=Griesshammer%20M%5BAuthor%5D&amp;cauthor=true&amp;cauthor_uid=16293597" TargetMode="External"/><Relationship Id="rId56" Type="http://schemas.openxmlformats.org/officeDocument/2006/relationships/header" Target="header5.xml"/><Relationship Id="rId8" Type="http://schemas.openxmlformats.org/officeDocument/2006/relationships/hyperlink" Target="http://www.sciencepub.net/newyork" TargetMode="External"/><Relationship Id="rId51" Type="http://schemas.openxmlformats.org/officeDocument/2006/relationships/hyperlink" Target="http://www.ncbi.nlm.nih.gov/pubmed/?term=Kusec%20R%5BAuthor%5D&amp;cauthor=true&amp;cauthor_uid=16293597"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2926</Words>
  <Characters>16684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19571</CharactersWithSpaces>
  <SharedDoc>false</SharedDoc>
  <HLinks>
    <vt:vector size="246" baseType="variant">
      <vt:variant>
        <vt:i4>3735596</vt:i4>
      </vt:variant>
      <vt:variant>
        <vt:i4>111</vt:i4>
      </vt:variant>
      <vt:variant>
        <vt:i4>0</vt:i4>
      </vt:variant>
      <vt:variant>
        <vt:i4>5</vt:i4>
      </vt:variant>
      <vt:variant>
        <vt:lpwstr>http://www.ncbi.nlm.nih.gov/pubmed/16293597</vt:lpwstr>
      </vt:variant>
      <vt:variant>
        <vt:lpwstr/>
      </vt:variant>
      <vt:variant>
        <vt:i4>6619223</vt:i4>
      </vt:variant>
      <vt:variant>
        <vt:i4>108</vt:i4>
      </vt:variant>
      <vt:variant>
        <vt:i4>0</vt:i4>
      </vt:variant>
      <vt:variant>
        <vt:i4>5</vt:i4>
      </vt:variant>
      <vt:variant>
        <vt:lpwstr>http://www.ncbi.nlm.nih.gov/pubmed/?term=Kusec%20R%5BAuthor%5D&amp;cauthor=true&amp;cauthor_uid=16293597</vt:lpwstr>
      </vt:variant>
      <vt:variant>
        <vt:lpwstr/>
      </vt:variant>
      <vt:variant>
        <vt:i4>786494</vt:i4>
      </vt:variant>
      <vt:variant>
        <vt:i4>105</vt:i4>
      </vt:variant>
      <vt:variant>
        <vt:i4>0</vt:i4>
      </vt:variant>
      <vt:variant>
        <vt:i4>5</vt:i4>
      </vt:variant>
      <vt:variant>
        <vt:lpwstr>http://www.ncbi.nlm.nih.gov/pubmed/?term=D%C3%B6hner%20H%5BAuthor%5D&amp;cauthor=true&amp;cauthor_uid=16293597</vt:lpwstr>
      </vt:variant>
      <vt:variant>
        <vt:lpwstr/>
      </vt:variant>
      <vt:variant>
        <vt:i4>983102</vt:i4>
      </vt:variant>
      <vt:variant>
        <vt:i4>102</vt:i4>
      </vt:variant>
      <vt:variant>
        <vt:i4>0</vt:i4>
      </vt:variant>
      <vt:variant>
        <vt:i4>5</vt:i4>
      </vt:variant>
      <vt:variant>
        <vt:lpwstr>http://www.ncbi.nlm.nih.gov/pubmed/?term=D%C3%B6hner%20K%5BAuthor%5D&amp;cauthor=true&amp;cauthor_uid=16293597</vt:lpwstr>
      </vt:variant>
      <vt:variant>
        <vt:lpwstr/>
      </vt:variant>
      <vt:variant>
        <vt:i4>7340038</vt:i4>
      </vt:variant>
      <vt:variant>
        <vt:i4>99</vt:i4>
      </vt:variant>
      <vt:variant>
        <vt:i4>0</vt:i4>
      </vt:variant>
      <vt:variant>
        <vt:i4>5</vt:i4>
      </vt:variant>
      <vt:variant>
        <vt:lpwstr>http://www.ncbi.nlm.nih.gov/pubmed/?term=Griesshammer%20M%5BAuthor%5D&amp;cauthor=true&amp;cauthor_uid=16293597</vt:lpwstr>
      </vt:variant>
      <vt:variant>
        <vt:lpwstr/>
      </vt:variant>
      <vt:variant>
        <vt:i4>2162696</vt:i4>
      </vt:variant>
      <vt:variant>
        <vt:i4>96</vt:i4>
      </vt:variant>
      <vt:variant>
        <vt:i4>0</vt:i4>
      </vt:variant>
      <vt:variant>
        <vt:i4>5</vt:i4>
      </vt:variant>
      <vt:variant>
        <vt:lpwstr>http://www.ncbi.nlm.nih.gov/pubmed/?term=Campbell%20PJ%5BAuthor%5D&amp;cauthor=true&amp;cauthor_uid=16293597</vt:lpwstr>
      </vt:variant>
      <vt:variant>
        <vt:lpwstr/>
      </vt:variant>
      <vt:variant>
        <vt:i4>3145765</vt:i4>
      </vt:variant>
      <vt:variant>
        <vt:i4>93</vt:i4>
      </vt:variant>
      <vt:variant>
        <vt:i4>0</vt:i4>
      </vt:variant>
      <vt:variant>
        <vt:i4>5</vt:i4>
      </vt:variant>
      <vt:variant>
        <vt:lpwstr>http://www.ncbi.nlm.nih.gov/pubmed/23130336</vt:lpwstr>
      </vt:variant>
      <vt:variant>
        <vt:lpwstr/>
      </vt:variant>
      <vt:variant>
        <vt:i4>5963818</vt:i4>
      </vt:variant>
      <vt:variant>
        <vt:i4>90</vt:i4>
      </vt:variant>
      <vt:variant>
        <vt:i4>0</vt:i4>
      </vt:variant>
      <vt:variant>
        <vt:i4>5</vt:i4>
      </vt:variant>
      <vt:variant>
        <vt:lpwstr>http://www.ncbi.nlm.nih.gov/pubmed/?term=Chung%20IS%5BAuthor%5D&amp;cauthor=true&amp;cauthor_uid=23130336</vt:lpwstr>
      </vt:variant>
      <vt:variant>
        <vt:lpwstr/>
      </vt:variant>
      <vt:variant>
        <vt:i4>3473427</vt:i4>
      </vt:variant>
      <vt:variant>
        <vt:i4>87</vt:i4>
      </vt:variant>
      <vt:variant>
        <vt:i4>0</vt:i4>
      </vt:variant>
      <vt:variant>
        <vt:i4>5</vt:i4>
      </vt:variant>
      <vt:variant>
        <vt:lpwstr>http://www.ncbi.nlm.nih.gov/pubmed/?term=Jung%20HR%5BAuthor%5D&amp;cauthor=true&amp;cauthor_uid=23130336</vt:lpwstr>
      </vt:variant>
      <vt:variant>
        <vt:lpwstr/>
      </vt:variant>
      <vt:variant>
        <vt:i4>3014664</vt:i4>
      </vt:variant>
      <vt:variant>
        <vt:i4>84</vt:i4>
      </vt:variant>
      <vt:variant>
        <vt:i4>0</vt:i4>
      </vt:variant>
      <vt:variant>
        <vt:i4>5</vt:i4>
      </vt:variant>
      <vt:variant>
        <vt:lpwstr>http://www.ncbi.nlm.nih.gov/pubmed/?term=Jung%20SI%5BAuthor%5D&amp;cauthor=true&amp;cauthor_uid=23130336</vt:lpwstr>
      </vt:variant>
      <vt:variant>
        <vt:lpwstr/>
      </vt:variant>
      <vt:variant>
        <vt:i4>3932253</vt:i4>
      </vt:variant>
      <vt:variant>
        <vt:i4>81</vt:i4>
      </vt:variant>
      <vt:variant>
        <vt:i4>0</vt:i4>
      </vt:variant>
      <vt:variant>
        <vt:i4>5</vt:i4>
      </vt:variant>
      <vt:variant>
        <vt:lpwstr>http://www.ncbi.nlm.nih.gov/pubmed/?term=Kim%20YK%5BAuthor%5D&amp;cauthor=true&amp;cauthor_uid=23130336</vt:lpwstr>
      </vt:variant>
      <vt:variant>
        <vt:lpwstr/>
      </vt:variant>
      <vt:variant>
        <vt:i4>5767266</vt:i4>
      </vt:variant>
      <vt:variant>
        <vt:i4>78</vt:i4>
      </vt:variant>
      <vt:variant>
        <vt:i4>0</vt:i4>
      </vt:variant>
      <vt:variant>
        <vt:i4>5</vt:i4>
      </vt:variant>
      <vt:variant>
        <vt:lpwstr>http://www.ncbi.nlm.nih.gov/pubmed/?term=Ha%20JS%5BAuthor%5D&amp;cauthor=true&amp;cauthor_uid=23130336</vt:lpwstr>
      </vt:variant>
      <vt:variant>
        <vt:lpwstr/>
      </vt:variant>
      <vt:variant>
        <vt:i4>3145765</vt:i4>
      </vt:variant>
      <vt:variant>
        <vt:i4>75</vt:i4>
      </vt:variant>
      <vt:variant>
        <vt:i4>0</vt:i4>
      </vt:variant>
      <vt:variant>
        <vt:i4>5</vt:i4>
      </vt:variant>
      <vt:variant>
        <vt:lpwstr>http://www.ncbi.nlm.nih.gov/pubmed/21034166</vt:lpwstr>
      </vt:variant>
      <vt:variant>
        <vt:lpwstr/>
      </vt:variant>
      <vt:variant>
        <vt:i4>6881354</vt:i4>
      </vt:variant>
      <vt:variant>
        <vt:i4>72</vt:i4>
      </vt:variant>
      <vt:variant>
        <vt:i4>0</vt:i4>
      </vt:variant>
      <vt:variant>
        <vt:i4>5</vt:i4>
      </vt:variant>
      <vt:variant>
        <vt:lpwstr>http://www.ncbi.nlm.nih.gov/pubmed/?term=Nafea%20D%5BAuthor%5D&amp;cauthor=true&amp;cauthor_uid=21034166</vt:lpwstr>
      </vt:variant>
      <vt:variant>
        <vt:lpwstr/>
      </vt:variant>
      <vt:variant>
        <vt:i4>3407897</vt:i4>
      </vt:variant>
      <vt:variant>
        <vt:i4>69</vt:i4>
      </vt:variant>
      <vt:variant>
        <vt:i4>0</vt:i4>
      </vt:variant>
      <vt:variant>
        <vt:i4>5</vt:i4>
      </vt:variant>
      <vt:variant>
        <vt:lpwstr>http://www.ncbi.nlm.nih.gov/pubmed/?term=Ayad%20MW%5BAuthor%5D&amp;cauthor=true&amp;cauthor_uid=21034166</vt:lpwstr>
      </vt:variant>
      <vt:variant>
        <vt:lpwstr/>
      </vt:variant>
      <vt:variant>
        <vt:i4>65638</vt:i4>
      </vt:variant>
      <vt:variant>
        <vt:i4>66</vt:i4>
      </vt:variant>
      <vt:variant>
        <vt:i4>0</vt:i4>
      </vt:variant>
      <vt:variant>
        <vt:i4>5</vt:i4>
      </vt:variant>
      <vt:variant>
        <vt:lpwstr>http://www.ncbi.nlm.nih.gov/pubmed/?term=Nadifi%20S%5BAuthor%5D&amp;cauthor=true&amp;cauthor_uid=19939582</vt:lpwstr>
      </vt:variant>
      <vt:variant>
        <vt:lpwstr/>
      </vt:variant>
      <vt:variant>
        <vt:i4>1572896</vt:i4>
      </vt:variant>
      <vt:variant>
        <vt:i4>63</vt:i4>
      </vt:variant>
      <vt:variant>
        <vt:i4>0</vt:i4>
      </vt:variant>
      <vt:variant>
        <vt:i4>5</vt:i4>
      </vt:variant>
      <vt:variant>
        <vt:lpwstr>http://www.ncbi.nlm.nih.gov/pubmed/?term=Quessar%20A%5BAuthor%5D&amp;cauthor=true&amp;cauthor_uid=19939582</vt:lpwstr>
      </vt:variant>
      <vt:variant>
        <vt:lpwstr/>
      </vt:variant>
      <vt:variant>
        <vt:i4>7864400</vt:i4>
      </vt:variant>
      <vt:variant>
        <vt:i4>60</vt:i4>
      </vt:variant>
      <vt:variant>
        <vt:i4>0</vt:i4>
      </vt:variant>
      <vt:variant>
        <vt:i4>5</vt:i4>
      </vt:variant>
      <vt:variant>
        <vt:lpwstr>http://www.ncbi.nlm.nih.gov/pubmed/?term=Fehri%20S%5BAuthor%5D&amp;cauthor=true&amp;cauthor_uid=19939582</vt:lpwstr>
      </vt:variant>
      <vt:variant>
        <vt:lpwstr/>
      </vt:variant>
      <vt:variant>
        <vt:i4>6357056</vt:i4>
      </vt:variant>
      <vt:variant>
        <vt:i4>57</vt:i4>
      </vt:variant>
      <vt:variant>
        <vt:i4>0</vt:i4>
      </vt:variant>
      <vt:variant>
        <vt:i4>5</vt:i4>
      </vt:variant>
      <vt:variant>
        <vt:lpwstr>http://www.ncbi.nlm.nih.gov/pubmed/?term=Dehbi%20H%5BAuthor%5D&amp;cauthor=true&amp;cauthor_uid=19939582</vt:lpwstr>
      </vt:variant>
      <vt:variant>
        <vt:lpwstr/>
      </vt:variant>
      <vt:variant>
        <vt:i4>8126537</vt:i4>
      </vt:variant>
      <vt:variant>
        <vt:i4>54</vt:i4>
      </vt:variant>
      <vt:variant>
        <vt:i4>0</vt:i4>
      </vt:variant>
      <vt:variant>
        <vt:i4>5</vt:i4>
      </vt:variant>
      <vt:variant>
        <vt:lpwstr>http://www.ncbi.nlm.nih.gov/pubmed/?term=Benmoussa%20A%5BAuthor%5D&amp;cauthor=true&amp;cauthor_uid=19939582</vt:lpwstr>
      </vt:variant>
      <vt:variant>
        <vt:lpwstr/>
      </vt:variant>
      <vt:variant>
        <vt:i4>3932202</vt:i4>
      </vt:variant>
      <vt:variant>
        <vt:i4>51</vt:i4>
      </vt:variant>
      <vt:variant>
        <vt:i4>0</vt:i4>
      </vt:variant>
      <vt:variant>
        <vt:i4>5</vt:i4>
      </vt:variant>
      <vt:variant>
        <vt:lpwstr>http://www.ncbi.nlm.nih.gov/pubmed/25885131</vt:lpwstr>
      </vt:variant>
      <vt:variant>
        <vt:lpwstr/>
      </vt:variant>
      <vt:variant>
        <vt:i4>852064</vt:i4>
      </vt:variant>
      <vt:variant>
        <vt:i4>48</vt:i4>
      </vt:variant>
      <vt:variant>
        <vt:i4>0</vt:i4>
      </vt:variant>
      <vt:variant>
        <vt:i4>5</vt:i4>
      </vt:variant>
      <vt:variant>
        <vt:lpwstr>http://www.ncbi.nlm.nih.gov/pubmed/?term=Saxena%20R%5BAuthor%5D&amp;cauthor=true&amp;cauthor_uid=25885131</vt:lpwstr>
      </vt:variant>
      <vt:variant>
        <vt:lpwstr/>
      </vt:variant>
      <vt:variant>
        <vt:i4>6357073</vt:i4>
      </vt:variant>
      <vt:variant>
        <vt:i4>45</vt:i4>
      </vt:variant>
      <vt:variant>
        <vt:i4>0</vt:i4>
      </vt:variant>
      <vt:variant>
        <vt:i4>5</vt:i4>
      </vt:variant>
      <vt:variant>
        <vt:lpwstr>http://www.ncbi.nlm.nih.gov/pubmed/?term=Mahapatra%20M%5BAuthor%5D&amp;cauthor=true&amp;cauthor_uid=25885131</vt:lpwstr>
      </vt:variant>
      <vt:variant>
        <vt:lpwstr/>
      </vt:variant>
      <vt:variant>
        <vt:i4>7995397</vt:i4>
      </vt:variant>
      <vt:variant>
        <vt:i4>42</vt:i4>
      </vt:variant>
      <vt:variant>
        <vt:i4>0</vt:i4>
      </vt:variant>
      <vt:variant>
        <vt:i4>5</vt:i4>
      </vt:variant>
      <vt:variant>
        <vt:lpwstr>http://www.ncbi.nlm.nih.gov/pubmed/?term=Chhikara%20S%5BAuthor%5D&amp;cauthor=true&amp;cauthor_uid=25885131</vt:lpwstr>
      </vt:variant>
      <vt:variant>
        <vt:lpwstr/>
      </vt:variant>
      <vt:variant>
        <vt:i4>7667714</vt:i4>
      </vt:variant>
      <vt:variant>
        <vt:i4>39</vt:i4>
      </vt:variant>
      <vt:variant>
        <vt:i4>0</vt:i4>
      </vt:variant>
      <vt:variant>
        <vt:i4>5</vt:i4>
      </vt:variant>
      <vt:variant>
        <vt:lpwstr>http://www.ncbi.nlm.nih.gov/pubmed/?term=Upadhyay%20A%5BAuthor%5D&amp;cauthor=true&amp;cauthor_uid=25885131</vt:lpwstr>
      </vt:variant>
      <vt:variant>
        <vt:lpwstr/>
      </vt:variant>
      <vt:variant>
        <vt:i4>852003</vt:i4>
      </vt:variant>
      <vt:variant>
        <vt:i4>36</vt:i4>
      </vt:variant>
      <vt:variant>
        <vt:i4>0</vt:i4>
      </vt:variant>
      <vt:variant>
        <vt:i4>5</vt:i4>
      </vt:variant>
      <vt:variant>
        <vt:lpwstr>http://www.ncbi.nlm.nih.gov/pubmed/?term=Sazawal%20S%5BAuthor%5D&amp;cauthor=true&amp;cauthor_uid=25885131</vt:lpwstr>
      </vt:variant>
      <vt:variant>
        <vt:lpwstr/>
      </vt:variant>
      <vt:variant>
        <vt:i4>7798860</vt:i4>
      </vt:variant>
      <vt:variant>
        <vt:i4>33</vt:i4>
      </vt:variant>
      <vt:variant>
        <vt:i4>0</vt:i4>
      </vt:variant>
      <vt:variant>
        <vt:i4>5</vt:i4>
      </vt:variant>
      <vt:variant>
        <vt:lpwstr>http://www.ncbi.nlm.nih.gov/pubmed/?term=Singh%20N%5BAuthor%5D&amp;cauthor=true&amp;cauthor_uid=25885131</vt:lpwstr>
      </vt:variant>
      <vt:variant>
        <vt:lpwstr/>
      </vt:variant>
      <vt:variant>
        <vt:i4>3145770</vt:i4>
      </vt:variant>
      <vt:variant>
        <vt:i4>30</vt:i4>
      </vt:variant>
      <vt:variant>
        <vt:i4>0</vt:i4>
      </vt:variant>
      <vt:variant>
        <vt:i4>5</vt:i4>
      </vt:variant>
      <vt:variant>
        <vt:lpwstr>http://www.ncbi.nlm.nih.gov/pubmed/26625816</vt:lpwstr>
      </vt:variant>
      <vt:variant>
        <vt:lpwstr/>
      </vt:variant>
      <vt:variant>
        <vt:i4>5308462</vt:i4>
      </vt:variant>
      <vt:variant>
        <vt:i4>27</vt:i4>
      </vt:variant>
      <vt:variant>
        <vt:i4>0</vt:i4>
      </vt:variant>
      <vt:variant>
        <vt:i4>5</vt:i4>
      </vt:variant>
      <vt:variant>
        <vt:lpwstr>http://www.ncbi.nlm.nih.gov/pubmed/?term=Irfan%20SM%5BAuthor%5D&amp;cauthor=true&amp;cauthor_uid=26625816</vt:lpwstr>
      </vt:variant>
      <vt:variant>
        <vt:lpwstr/>
      </vt:variant>
      <vt:variant>
        <vt:i4>1704043</vt:i4>
      </vt:variant>
      <vt:variant>
        <vt:i4>24</vt:i4>
      </vt:variant>
      <vt:variant>
        <vt:i4>0</vt:i4>
      </vt:variant>
      <vt:variant>
        <vt:i4>5</vt:i4>
      </vt:variant>
      <vt:variant>
        <vt:lpwstr>http://www.ncbi.nlm.nih.gov/pubmed/?term=Sultan%20S%5BAuthor%5D&amp;cauthor=true&amp;cauthor_uid=26625816</vt:lpwstr>
      </vt:variant>
      <vt:variant>
        <vt:lpwstr/>
      </vt:variant>
      <vt:variant>
        <vt:i4>7536742</vt:i4>
      </vt:variant>
      <vt:variant>
        <vt:i4>21</vt:i4>
      </vt:variant>
      <vt:variant>
        <vt:i4>0</vt:i4>
      </vt:variant>
      <vt:variant>
        <vt:i4>5</vt:i4>
      </vt:variant>
      <vt:variant>
        <vt:lpwstr>http://www.ncbi.nlm.nih.gov/pmc/articles/PMC4730608/</vt:lpwstr>
      </vt:variant>
      <vt:variant>
        <vt:lpwstr>CR7</vt:lpwstr>
      </vt:variant>
      <vt:variant>
        <vt:i4>1376273</vt:i4>
      </vt:variant>
      <vt:variant>
        <vt:i4>18</vt:i4>
      </vt:variant>
      <vt:variant>
        <vt:i4>0</vt:i4>
      </vt:variant>
      <vt:variant>
        <vt:i4>5</vt:i4>
      </vt:variant>
      <vt:variant>
        <vt:lpwstr>http://www.ncbi.nlm.nih.gov/pubmed/25398833/</vt:lpwstr>
      </vt:variant>
      <vt:variant>
        <vt:lpwstr/>
      </vt:variant>
      <vt:variant>
        <vt:i4>196695</vt:i4>
      </vt:variant>
      <vt:variant>
        <vt:i4>15</vt:i4>
      </vt:variant>
      <vt:variant>
        <vt:i4>0</vt:i4>
      </vt:variant>
      <vt:variant>
        <vt:i4>5</vt:i4>
      </vt:variant>
      <vt:variant>
        <vt:lpwstr>http://dx.doi.org/10.1177%2F2040620713489144</vt:lpwstr>
      </vt:variant>
      <vt:variant>
        <vt:lpwstr/>
      </vt:variant>
      <vt:variant>
        <vt:i4>196695</vt:i4>
      </vt:variant>
      <vt:variant>
        <vt:i4>12</vt:i4>
      </vt:variant>
      <vt:variant>
        <vt:i4>0</vt:i4>
      </vt:variant>
      <vt:variant>
        <vt:i4>5</vt:i4>
      </vt:variant>
      <vt:variant>
        <vt:lpwstr>http://dx.doi.org/10.1177%2F2040620713489144</vt:lpwstr>
      </vt:variant>
      <vt:variant>
        <vt:lpwstr/>
      </vt:variant>
      <vt:variant>
        <vt:i4>6029435</vt:i4>
      </vt:variant>
      <vt:variant>
        <vt:i4>9</vt:i4>
      </vt:variant>
      <vt:variant>
        <vt:i4>0</vt:i4>
      </vt:variant>
      <vt:variant>
        <vt:i4>5</vt:i4>
      </vt:variant>
      <vt:variant>
        <vt:lpwstr>mailto:hashimmohamed10@yahoo.com</vt:lpwstr>
      </vt:variant>
      <vt:variant>
        <vt:lpwstr/>
      </vt:variant>
      <vt:variant>
        <vt:i4>786501</vt:i4>
      </vt:variant>
      <vt:variant>
        <vt:i4>6</vt:i4>
      </vt:variant>
      <vt:variant>
        <vt:i4>0</vt:i4>
      </vt:variant>
      <vt:variant>
        <vt:i4>5</vt:i4>
      </vt:variant>
      <vt:variant>
        <vt:lpwstr>http://www.dx.doi.org/10.7537/marsnys09xx16xx</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6029435</vt:i4>
      </vt:variant>
      <vt:variant>
        <vt:i4>0</vt:i4>
      </vt:variant>
      <vt:variant>
        <vt:i4>0</vt:i4>
      </vt:variant>
      <vt:variant>
        <vt:i4>5</vt:i4>
      </vt:variant>
      <vt:variant>
        <vt:lpwstr>mailto:hashimmohamed10@yahoo.com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2016-03-14T01:47:00Z</cp:lastPrinted>
  <dcterms:created xsi:type="dcterms:W3CDTF">2016-03-14T08:52:00Z</dcterms:created>
  <dcterms:modified xsi:type="dcterms:W3CDTF">2016-03-14T03:11:00Z</dcterms:modified>
</cp:coreProperties>
</file>