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10F" w:rsidRPr="000D7DAD" w:rsidRDefault="00B1210F" w:rsidP="00B503AF">
      <w:pPr>
        <w:bidi w:val="0"/>
        <w:snapToGrid w:val="0"/>
        <w:spacing w:after="0" w:line="240" w:lineRule="auto"/>
        <w:jc w:val="center"/>
        <w:rPr>
          <w:rFonts w:ascii="Times New Roman" w:hAnsi="Times New Roman" w:cs="Times New Roman"/>
          <w:b/>
          <w:bCs/>
          <w:sz w:val="20"/>
          <w:szCs w:val="20"/>
          <w:lang w:bidi="ar-EG"/>
        </w:rPr>
      </w:pPr>
      <w:r w:rsidRPr="000D7DAD">
        <w:rPr>
          <w:rFonts w:ascii="Times New Roman" w:hAnsi="Times New Roman" w:cs="Times New Roman"/>
          <w:b/>
          <w:bCs/>
          <w:sz w:val="20"/>
          <w:szCs w:val="20"/>
        </w:rPr>
        <w:t>Dietary Intake among a group of Children with Acute Lymphoblastic Leukemia (ALL</w:t>
      </w:r>
      <w:bookmarkStart w:id="0" w:name="_GoBack"/>
      <w:bookmarkEnd w:id="0"/>
      <w:r w:rsidRPr="000D7DAD">
        <w:rPr>
          <w:rFonts w:ascii="Times New Roman" w:hAnsi="Times New Roman" w:cs="Times New Roman"/>
          <w:b/>
          <w:bCs/>
          <w:sz w:val="20"/>
          <w:szCs w:val="20"/>
        </w:rPr>
        <w:t>)</w:t>
      </w:r>
    </w:p>
    <w:p w:rsidR="00B1210F" w:rsidRPr="000D7DAD" w:rsidRDefault="00B1210F" w:rsidP="00B503AF">
      <w:pPr>
        <w:bidi w:val="0"/>
        <w:snapToGrid w:val="0"/>
        <w:spacing w:after="0" w:line="240" w:lineRule="auto"/>
        <w:jc w:val="center"/>
        <w:rPr>
          <w:rFonts w:ascii="Times New Roman" w:hAnsi="Times New Roman" w:cs="Times New Roman"/>
          <w:b/>
          <w:bCs/>
          <w:color w:val="000000"/>
          <w:sz w:val="20"/>
          <w:szCs w:val="20"/>
        </w:rPr>
      </w:pPr>
    </w:p>
    <w:p w:rsidR="00B1210F" w:rsidRPr="000D7DAD" w:rsidRDefault="00B1210F" w:rsidP="00B503AF">
      <w:pPr>
        <w:bidi w:val="0"/>
        <w:snapToGrid w:val="0"/>
        <w:spacing w:after="0" w:line="240" w:lineRule="auto"/>
        <w:jc w:val="center"/>
        <w:rPr>
          <w:rFonts w:ascii="Times New Roman" w:hAnsi="Times New Roman" w:cs="Times New Roman"/>
          <w:color w:val="000000"/>
          <w:sz w:val="20"/>
          <w:szCs w:val="20"/>
          <w:lang w:val="sv-SE"/>
        </w:rPr>
      </w:pPr>
      <w:r w:rsidRPr="000D7DAD">
        <w:rPr>
          <w:rFonts w:ascii="Times New Roman" w:hAnsi="Times New Roman" w:cs="Times New Roman"/>
          <w:color w:val="000000"/>
          <w:sz w:val="20"/>
          <w:szCs w:val="20"/>
        </w:rPr>
        <w:t>DR. Safaa T. El Hussein</w:t>
      </w:r>
      <w:r w:rsidRPr="000D7DAD">
        <w:rPr>
          <w:rFonts w:ascii="Times New Roman" w:hAnsi="Times New Roman" w:cs="Times New Roman"/>
          <w:color w:val="000000"/>
          <w:sz w:val="20"/>
          <w:szCs w:val="20"/>
          <w:lang w:val="sv-SE"/>
        </w:rPr>
        <w:t xml:space="preserve"> PhD</w:t>
      </w:r>
      <w:r w:rsidRPr="000D7DAD">
        <w:rPr>
          <w:rFonts w:ascii="Times New Roman" w:hAnsi="Times New Roman" w:cs="Times New Roman"/>
          <w:color w:val="000000"/>
          <w:sz w:val="20"/>
          <w:szCs w:val="20"/>
        </w:rPr>
        <w:t>*, Salwa M. Saleh; M.D**</w:t>
      </w:r>
      <w:r w:rsidR="007063F2">
        <w:rPr>
          <w:rFonts w:ascii="Times New Roman" w:hAnsi="Times New Roman" w:cs="Times New Roman"/>
          <w:color w:val="000000"/>
          <w:sz w:val="20"/>
          <w:szCs w:val="20"/>
        </w:rPr>
        <w:t>;</w:t>
      </w:r>
      <w:r w:rsidRPr="000D7DAD">
        <w:rPr>
          <w:rFonts w:ascii="Times New Roman" w:hAnsi="Times New Roman" w:cs="Times New Roman"/>
          <w:color w:val="000000"/>
          <w:sz w:val="20"/>
          <w:szCs w:val="20"/>
        </w:rPr>
        <w:t xml:space="preserve"> Maysa A. Samy; M.D***</w:t>
      </w:r>
      <w:r w:rsidR="009079AC">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Manar M. Fathy</w:t>
      </w:r>
    </w:p>
    <w:p w:rsidR="00B1210F" w:rsidRPr="000D7DAD" w:rsidRDefault="00B1210F" w:rsidP="00B503AF">
      <w:pPr>
        <w:bidi w:val="0"/>
        <w:snapToGrid w:val="0"/>
        <w:spacing w:after="0" w:line="240" w:lineRule="auto"/>
        <w:jc w:val="center"/>
        <w:rPr>
          <w:rFonts w:ascii="Times New Roman" w:hAnsi="Times New Roman" w:cs="Times New Roman"/>
          <w:color w:val="000000"/>
          <w:sz w:val="20"/>
          <w:szCs w:val="20"/>
        </w:rPr>
      </w:pPr>
    </w:p>
    <w:p w:rsidR="00B1210F" w:rsidRPr="000D7DAD" w:rsidRDefault="00B1210F" w:rsidP="00B503AF">
      <w:pPr>
        <w:bidi w:val="0"/>
        <w:snapToGrid w:val="0"/>
        <w:spacing w:after="0" w:line="240" w:lineRule="auto"/>
        <w:jc w:val="center"/>
        <w:rPr>
          <w:rFonts w:ascii="Times New Roman" w:hAnsi="Times New Roman" w:cs="Times New Roman"/>
          <w:color w:val="000000"/>
          <w:sz w:val="20"/>
          <w:szCs w:val="20"/>
        </w:rPr>
      </w:pPr>
      <w:r w:rsidRPr="000D7DAD">
        <w:rPr>
          <w:rFonts w:ascii="Times New Roman" w:hAnsi="Times New Roman" w:cs="Times New Roman"/>
          <w:color w:val="000000"/>
          <w:sz w:val="20"/>
          <w:szCs w:val="20"/>
        </w:rPr>
        <w:t>Assistant professor of pediatric, lecturer of pediatric</w:t>
      </w:r>
      <w:r w:rsidR="007063F2">
        <w:rPr>
          <w:rFonts w:ascii="Times New Roman" w:hAnsi="Times New Roman" w:cs="Times New Roman"/>
          <w:color w:val="000000"/>
          <w:sz w:val="20"/>
          <w:szCs w:val="20"/>
        </w:rPr>
        <w:t>,</w:t>
      </w:r>
      <w:r w:rsidRPr="000D7DAD">
        <w:rPr>
          <w:rFonts w:ascii="Times New Roman" w:hAnsi="Times New Roman" w:cs="Times New Roman"/>
          <w:color w:val="000000"/>
          <w:sz w:val="20"/>
          <w:szCs w:val="20"/>
        </w:rPr>
        <w:t xml:space="preserve"> professor of community medicinelecturer of pediatric</w:t>
      </w:r>
      <w:r w:rsidR="007063F2">
        <w:rPr>
          <w:rFonts w:ascii="Times New Roman" w:hAnsi="Times New Roman" w:cs="Times New Roman"/>
          <w:color w:val="000000"/>
          <w:sz w:val="20"/>
          <w:szCs w:val="20"/>
        </w:rPr>
        <w:t>,</w:t>
      </w:r>
      <w:r w:rsidRPr="000D7DAD">
        <w:rPr>
          <w:rFonts w:ascii="Times New Roman" w:hAnsi="Times New Roman" w:cs="Times New Roman"/>
          <w:color w:val="000000"/>
          <w:sz w:val="20"/>
          <w:szCs w:val="20"/>
        </w:rPr>
        <w:t xml:space="preserve"> National Nutrition Institute, Cario, Egypt</w:t>
      </w:r>
    </w:p>
    <w:p w:rsidR="00B1210F" w:rsidRPr="000D7DAD" w:rsidRDefault="00F758E4" w:rsidP="00B503AF">
      <w:pPr>
        <w:bidi w:val="0"/>
        <w:snapToGrid w:val="0"/>
        <w:spacing w:after="0" w:line="240" w:lineRule="auto"/>
        <w:jc w:val="center"/>
        <w:rPr>
          <w:rFonts w:ascii="Times New Roman" w:hAnsi="Times New Roman" w:cs="Times New Roman"/>
          <w:color w:val="000000"/>
          <w:sz w:val="20"/>
          <w:szCs w:val="20"/>
        </w:rPr>
      </w:pPr>
      <w:hyperlink r:id="rId7" w:history="1">
        <w:r w:rsidR="00B1210F" w:rsidRPr="000D7DAD">
          <w:rPr>
            <w:rStyle w:val="Hyperlink"/>
            <w:rFonts w:ascii="Times New Roman" w:hAnsi="Times New Roman"/>
            <w:sz w:val="20"/>
            <w:szCs w:val="20"/>
            <w:u w:val="none"/>
          </w:rPr>
          <w:t>drsalwamahmoud@yahoo.com</w:t>
        </w:r>
      </w:hyperlink>
      <w:r w:rsidR="000D7DAD">
        <w:rPr>
          <w:sz w:val="20"/>
          <w:szCs w:val="20"/>
        </w:rPr>
        <w:t xml:space="preserve"> </w:t>
      </w:r>
    </w:p>
    <w:p w:rsidR="00B1210F" w:rsidRPr="000D7DAD" w:rsidRDefault="00B1210F" w:rsidP="00B503AF">
      <w:pPr>
        <w:bidi w:val="0"/>
        <w:snapToGrid w:val="0"/>
        <w:spacing w:after="0" w:line="240" w:lineRule="auto"/>
        <w:jc w:val="center"/>
        <w:rPr>
          <w:rFonts w:ascii="Times New Roman" w:hAnsi="Times New Roman" w:cs="Times New Roman"/>
          <w:b/>
          <w:bCs/>
          <w:color w:val="000000"/>
          <w:sz w:val="20"/>
          <w:szCs w:val="20"/>
          <w:lang w:bidi="ar-EG"/>
        </w:rPr>
      </w:pPr>
    </w:p>
    <w:p w:rsidR="00B1210F" w:rsidRPr="000D7DAD" w:rsidRDefault="00B1210F" w:rsidP="00B503AF">
      <w:pPr>
        <w:shd w:val="clear" w:color="auto" w:fill="FFFFFF"/>
        <w:bidi w:val="0"/>
        <w:snapToGrid w:val="0"/>
        <w:spacing w:after="0" w:line="240" w:lineRule="auto"/>
        <w:jc w:val="both"/>
        <w:outlineLvl w:val="3"/>
        <w:rPr>
          <w:rFonts w:ascii="Times New Roman" w:hAnsi="Times New Roman" w:cs="Times New Roman"/>
          <w:sz w:val="20"/>
          <w:szCs w:val="20"/>
        </w:rPr>
      </w:pPr>
      <w:r w:rsidRPr="000D7DAD">
        <w:rPr>
          <w:rFonts w:ascii="Times New Roman" w:hAnsi="Times New Roman" w:cs="Times New Roman"/>
          <w:b/>
          <w:bCs/>
          <w:sz w:val="20"/>
          <w:szCs w:val="20"/>
        </w:rPr>
        <w:t>Abstract</w:t>
      </w:r>
      <w:r w:rsidRPr="000D7DAD">
        <w:rPr>
          <w:rFonts w:ascii="Times New Roman" w:hAnsi="Times New Roman" w:cs="Times New Roman"/>
          <w:sz w:val="20"/>
          <w:szCs w:val="20"/>
        </w:rPr>
        <w:t xml:space="preserve">: </w:t>
      </w:r>
      <w:r w:rsidRPr="000D7DAD">
        <w:rPr>
          <w:rFonts w:ascii="Times New Roman" w:hAnsi="Times New Roman" w:cs="Times New Roman"/>
          <w:b/>
          <w:bCs/>
          <w:sz w:val="20"/>
          <w:szCs w:val="20"/>
        </w:rPr>
        <w:t xml:space="preserve">Background: </w:t>
      </w:r>
      <w:r w:rsidRPr="000D7DAD">
        <w:rPr>
          <w:rFonts w:ascii="Times New Roman" w:hAnsi="Times New Roman" w:cs="Times New Roman"/>
          <w:sz w:val="20"/>
          <w:szCs w:val="20"/>
        </w:rPr>
        <w:t xml:space="preserve">Children with acute lymphoblastic leukemia (ALL) are at elevated risk for nutrition-related morbidities both during and after therapy. Children who are malnourished are at increased risk for infection, reduced quality of life, and poor neurodevelopmental and growth outcomes. </w:t>
      </w:r>
      <w:r w:rsidRPr="000D7DAD">
        <w:rPr>
          <w:rFonts w:ascii="Times New Roman" w:hAnsi="Times New Roman" w:cs="Times New Roman"/>
          <w:b/>
          <w:sz w:val="20"/>
          <w:szCs w:val="20"/>
        </w:rPr>
        <w:t>Objectives</w:t>
      </w:r>
      <w:r w:rsidRPr="000D7DAD">
        <w:rPr>
          <w:rFonts w:ascii="Times New Roman" w:hAnsi="Times New Roman" w:cs="Times New Roman"/>
          <w:b/>
          <w:bCs/>
          <w:caps/>
          <w:sz w:val="20"/>
          <w:szCs w:val="20"/>
        </w:rPr>
        <w:t>:</w:t>
      </w:r>
      <w:r w:rsidRPr="000D7DAD">
        <w:rPr>
          <w:rFonts w:ascii="Times New Roman" w:hAnsi="Times New Roman" w:cs="Times New Roman"/>
          <w:sz w:val="20"/>
          <w:szCs w:val="20"/>
        </w:rPr>
        <w:t xml:space="preserve"> This study carried for assessment of the dietary intake of group of children of ALL. </w:t>
      </w:r>
      <w:r w:rsidRPr="000D7DAD">
        <w:rPr>
          <w:rFonts w:ascii="Times New Roman" w:hAnsi="Times New Roman" w:cs="Times New Roman"/>
          <w:b/>
          <w:sz w:val="20"/>
          <w:szCs w:val="20"/>
        </w:rPr>
        <w:t xml:space="preserve">Subjects and Methods: </w:t>
      </w:r>
      <w:r w:rsidRPr="000D7DAD">
        <w:rPr>
          <w:rFonts w:ascii="Times New Roman" w:hAnsi="Times New Roman" w:cs="Times New Roman"/>
          <w:sz w:val="20"/>
          <w:szCs w:val="20"/>
        </w:rPr>
        <w:t>T</w:t>
      </w:r>
      <w:r w:rsidRPr="000D7DAD">
        <w:rPr>
          <w:rFonts w:ascii="Times New Roman" w:hAnsi="Times New Roman" w:cs="Times New Roman"/>
          <w:sz w:val="20"/>
          <w:szCs w:val="20"/>
          <w:lang w:bidi="ar-EG"/>
        </w:rPr>
        <w:t>his study is a cross sectional descriptive one for which the study population</w:t>
      </w:r>
      <w:r w:rsidRPr="000D7DAD">
        <w:rPr>
          <w:rFonts w:ascii="Times New Roman" w:hAnsi="Times New Roman" w:cs="Times New Roman"/>
          <w:sz w:val="20"/>
          <w:szCs w:val="20"/>
        </w:rPr>
        <w:t xml:space="preserve"> was recruited from hematology oncology unit in Zagazig University</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hospitals.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The study included 21 Children undergoing treatment for ALL</w:t>
      </w:r>
      <w:r w:rsidRPr="000D7DAD">
        <w:rPr>
          <w:rFonts w:ascii="Times New Roman" w:hAnsi="Times New Roman" w:cs="Times New Roman"/>
          <w:sz w:val="20"/>
          <w:szCs w:val="20"/>
          <w:lang w:bidi="ar-EG"/>
        </w:rPr>
        <w:t>. Their age ranged from 3-11 year both boys and girls was included. The population sample was interviewed by</w:t>
      </w:r>
      <w:r w:rsidRPr="000D7DAD">
        <w:rPr>
          <w:rFonts w:ascii="Times New Roman" w:hAnsi="Times New Roman" w:cs="Times New Roman"/>
          <w:sz w:val="20"/>
          <w:szCs w:val="20"/>
          <w:shd w:val="clear" w:color="auto" w:fill="FFFFFF"/>
        </w:rPr>
        <w:t xml:space="preserve"> using special questionnaire of the Hematology Oncology unit. Anthropometric measurements were performed. Dietary Assessment was performed using 24H</w:t>
      </w:r>
      <w:r w:rsidR="007063F2">
        <w:rPr>
          <w:rFonts w:ascii="Times New Roman" w:hAnsi="Times New Roman" w:cs="Times New Roman"/>
          <w:sz w:val="20"/>
          <w:szCs w:val="20"/>
          <w:shd w:val="clear" w:color="auto" w:fill="FFFFFF"/>
        </w:rPr>
        <w:t xml:space="preserve"> </w:t>
      </w:r>
      <w:r w:rsidRPr="000D7DAD">
        <w:rPr>
          <w:rFonts w:ascii="Times New Roman" w:hAnsi="Times New Roman" w:cs="Times New Roman"/>
          <w:sz w:val="20"/>
          <w:szCs w:val="20"/>
          <w:shd w:val="clear" w:color="auto" w:fill="FFFFFF"/>
        </w:rPr>
        <w:t>dietary recall,</w:t>
      </w:r>
      <w:r w:rsidR="007063F2">
        <w:rPr>
          <w:rFonts w:ascii="Times New Roman" w:hAnsi="Times New Roman" w:cs="Times New Roman"/>
          <w:sz w:val="20"/>
          <w:szCs w:val="20"/>
          <w:shd w:val="clear" w:color="auto" w:fill="FFFFFF"/>
        </w:rPr>
        <w:t xml:space="preserve"> </w:t>
      </w:r>
      <w:r w:rsidRPr="000D7DAD">
        <w:rPr>
          <w:rFonts w:ascii="Times New Roman" w:hAnsi="Times New Roman" w:cs="Times New Roman"/>
          <w:sz w:val="20"/>
          <w:szCs w:val="20"/>
          <w:shd w:val="clear" w:color="auto" w:fill="FFFFFF"/>
        </w:rPr>
        <w:t xml:space="preserve">food frequency of selected food items, FVS and DDS. Our patients were subjected to laboratory investigation including fasting and post-prandial blood sugar, </w:t>
      </w:r>
      <w:r w:rsidRPr="000D7DAD">
        <w:rPr>
          <w:rFonts w:ascii="Times New Roman" w:hAnsi="Times New Roman" w:cs="Times New Roman"/>
          <w:sz w:val="20"/>
          <w:szCs w:val="20"/>
        </w:rPr>
        <w:t xml:space="preserve">liver and kidney function tests. </w:t>
      </w:r>
      <w:r w:rsidRPr="000D7DAD">
        <w:rPr>
          <w:rFonts w:ascii="Times New Roman" w:hAnsi="Times New Roman" w:cs="Times New Roman"/>
          <w:b/>
          <w:bCs/>
          <w:sz w:val="20"/>
          <w:szCs w:val="20"/>
        </w:rPr>
        <w:t>Results:</w:t>
      </w:r>
      <w:r w:rsidRPr="000D7DAD">
        <w:rPr>
          <w:rFonts w:ascii="Times New Roman" w:hAnsi="Times New Roman" w:cs="Times New Roman"/>
          <w:sz w:val="20"/>
          <w:szCs w:val="20"/>
        </w:rPr>
        <w:t xml:space="preserve"> There was accepted level of consumption of the caloric intake</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The majority of patients were within the RDI for all other macronutrients with specific decrease intake of essential fatty acid. Despite adequate caloric intake, the majority of patients had low</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dietary intakes of vitamin E,C, niacin, folic acid, calcium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selenium and vitamin 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Meanwhile accepted dietary intakes were observed for</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some vitamins and some minerals,</w:t>
      </w:r>
      <w:r w:rsidRPr="000D7DAD">
        <w:rPr>
          <w:rFonts w:ascii="Times New Roman" w:hAnsi="Times New Roman" w:cs="Times New Roman"/>
          <w:color w:val="000000"/>
          <w:sz w:val="20"/>
          <w:szCs w:val="20"/>
        </w:rPr>
        <w:t>.</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There was fair consumption of food variety and accepted level of consumption of different food groups.</w:t>
      </w:r>
      <w:r w:rsidR="007063F2">
        <w:rPr>
          <w:rFonts w:ascii="Times New Roman" w:hAnsi="Times New Roman" w:cs="Times New Roman"/>
          <w:color w:val="000000"/>
          <w:sz w:val="20"/>
          <w:szCs w:val="20"/>
        </w:rPr>
        <w:t xml:space="preserve"> </w:t>
      </w:r>
      <w:r w:rsidRPr="000D7DAD">
        <w:rPr>
          <w:rFonts w:ascii="Times New Roman" w:hAnsi="Times New Roman" w:cs="Times New Roman"/>
          <w:b/>
          <w:bCs/>
          <w:sz w:val="20"/>
          <w:szCs w:val="20"/>
        </w:rPr>
        <w:t>Conclusion</w:t>
      </w:r>
      <w:r w:rsidRPr="000D7DAD">
        <w:rPr>
          <w:rFonts w:ascii="Times New Roman" w:hAnsi="Times New Roman" w:cs="Times New Roman"/>
          <w:sz w:val="20"/>
          <w:szCs w:val="20"/>
        </w:rPr>
        <w:t>: This study was successful in identifying priority nutrients for dietary intervention (total caloric intake, essential fatty acid intake, antioxidants (vitamin, C, E</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selenium) and bone forming nutrients (vitamin D and calcium)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and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folic acid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in selected group</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of ALL children.</w:t>
      </w:r>
    </w:p>
    <w:p w:rsidR="00B503AF" w:rsidRPr="000D7DAD" w:rsidRDefault="00B1210F" w:rsidP="00B503AF">
      <w:pPr>
        <w:bidi w:val="0"/>
        <w:snapToGrid w:val="0"/>
        <w:spacing w:after="0" w:line="240" w:lineRule="auto"/>
        <w:jc w:val="both"/>
        <w:rPr>
          <w:rFonts w:ascii="Times New Roman" w:hAnsi="Times New Roman" w:cs="Times New Roman"/>
          <w:sz w:val="20"/>
          <w:szCs w:val="20"/>
        </w:rPr>
      </w:pPr>
      <w:r w:rsidRPr="000D7DAD">
        <w:rPr>
          <w:rFonts w:ascii="Times New Roman" w:hAnsi="Times New Roman" w:cs="Times New Roman"/>
          <w:color w:val="000000"/>
          <w:sz w:val="20"/>
          <w:szCs w:val="20"/>
        </w:rPr>
        <w:t>[Safaa T. El Hussein,</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 xml:space="preserve">Salwa M. Saleh; Maysa A. Samy and Manar M. Fathy. </w:t>
      </w:r>
      <w:r w:rsidRPr="000D7DAD">
        <w:rPr>
          <w:rFonts w:ascii="Times New Roman" w:hAnsi="Times New Roman" w:cs="Times New Roman"/>
          <w:b/>
          <w:bCs/>
          <w:sz w:val="20"/>
          <w:szCs w:val="20"/>
        </w:rPr>
        <w:t>Dietary Intake among a group of Children with Acute Lymphoblastic Leukemia</w:t>
      </w:r>
      <w:r w:rsidR="00B503AF" w:rsidRPr="000D7DAD">
        <w:rPr>
          <w:rFonts w:ascii="Times New Roman" w:eastAsia="Times New Roman" w:hAnsi="Times New Roman" w:cs="Times New Roman"/>
          <w:b/>
          <w:bCs/>
          <w:sz w:val="20"/>
          <w:szCs w:val="20"/>
          <w:lang w:bidi="fa-IR"/>
        </w:rPr>
        <w:t>.</w:t>
      </w:r>
      <w:r w:rsidR="00B503AF" w:rsidRPr="000D7DAD">
        <w:rPr>
          <w:rFonts w:ascii="Times New Roman" w:hAnsi="Times New Roman" w:cs="Times New Roman"/>
          <w:bCs/>
          <w:i/>
          <w:sz w:val="20"/>
          <w:szCs w:val="20"/>
        </w:rPr>
        <w:t xml:space="preserve"> N Y Sci J</w:t>
      </w:r>
      <w:r w:rsidR="00B503AF" w:rsidRPr="000D7DAD">
        <w:rPr>
          <w:rFonts w:ascii="Times New Roman" w:hAnsi="Times New Roman" w:cs="Times New Roman"/>
          <w:bCs/>
          <w:sz w:val="20"/>
          <w:szCs w:val="20"/>
        </w:rPr>
        <w:t xml:space="preserve"> </w:t>
      </w:r>
      <w:r w:rsidR="00B503AF" w:rsidRPr="000D7DAD">
        <w:rPr>
          <w:rFonts w:ascii="Times New Roman" w:hAnsi="Times New Roman" w:cs="Times New Roman"/>
          <w:sz w:val="20"/>
          <w:szCs w:val="20"/>
        </w:rPr>
        <w:t>201</w:t>
      </w:r>
      <w:r w:rsidR="00B503AF" w:rsidRPr="000D7DAD">
        <w:rPr>
          <w:rFonts w:ascii="Times New Roman" w:hAnsi="Times New Roman" w:cs="Times New Roman" w:hint="eastAsia"/>
          <w:sz w:val="20"/>
          <w:szCs w:val="20"/>
        </w:rPr>
        <w:t>6</w:t>
      </w:r>
      <w:r w:rsidR="00B503AF" w:rsidRPr="000D7DAD">
        <w:rPr>
          <w:rFonts w:ascii="Times New Roman" w:hAnsi="Times New Roman" w:cs="Times New Roman"/>
          <w:sz w:val="20"/>
          <w:szCs w:val="20"/>
        </w:rPr>
        <w:t>;</w:t>
      </w:r>
      <w:r w:rsidR="00B503AF" w:rsidRPr="000D7DAD">
        <w:rPr>
          <w:rFonts w:ascii="Times New Roman" w:hAnsi="Times New Roman" w:cs="Times New Roman" w:hint="eastAsia"/>
          <w:sz w:val="20"/>
          <w:szCs w:val="20"/>
        </w:rPr>
        <w:t>9</w:t>
      </w:r>
      <w:r w:rsidR="00B503AF" w:rsidRPr="000D7DAD">
        <w:rPr>
          <w:rFonts w:ascii="Times New Roman" w:hAnsi="Times New Roman" w:cs="Times New Roman"/>
          <w:sz w:val="20"/>
          <w:szCs w:val="20"/>
        </w:rPr>
        <w:t>(</w:t>
      </w:r>
      <w:r w:rsidR="000D7DAD" w:rsidRPr="000D7DAD">
        <w:rPr>
          <w:rFonts w:ascii="Times New Roman" w:hAnsi="Times New Roman" w:cs="Times New Roman"/>
          <w:sz w:val="20"/>
          <w:szCs w:val="20"/>
        </w:rPr>
        <w:t>6</w:t>
      </w:r>
      <w:r w:rsidR="00B503AF" w:rsidRPr="000D7DAD">
        <w:rPr>
          <w:rFonts w:ascii="Times New Roman" w:hAnsi="Times New Roman" w:cs="Times New Roman"/>
          <w:sz w:val="20"/>
          <w:szCs w:val="20"/>
        </w:rPr>
        <w:t>):</w:t>
      </w:r>
      <w:r w:rsidR="005A3D88" w:rsidRPr="000D7DAD">
        <w:rPr>
          <w:rFonts w:ascii="Times New Roman" w:hAnsi="Times New Roman" w:cs="Times New Roman"/>
          <w:noProof/>
          <w:color w:val="000000"/>
          <w:sz w:val="20"/>
          <w:szCs w:val="20"/>
        </w:rPr>
        <w:t>1</w:t>
      </w:r>
      <w:r w:rsidR="00B503AF" w:rsidRPr="000D7DAD">
        <w:rPr>
          <w:rFonts w:ascii="Times New Roman" w:hAnsi="Times New Roman" w:cs="Times New Roman"/>
          <w:color w:val="000000"/>
          <w:sz w:val="20"/>
          <w:szCs w:val="20"/>
        </w:rPr>
        <w:t>-</w:t>
      </w:r>
      <w:r w:rsidR="005A3D88" w:rsidRPr="000D7DAD">
        <w:rPr>
          <w:rFonts w:ascii="Times New Roman" w:hAnsi="Times New Roman" w:cs="Times New Roman"/>
          <w:noProof/>
          <w:color w:val="000000"/>
          <w:sz w:val="20"/>
          <w:szCs w:val="20"/>
        </w:rPr>
        <w:t>6</w:t>
      </w:r>
      <w:r w:rsidR="00B503AF" w:rsidRPr="000D7DAD">
        <w:rPr>
          <w:rFonts w:ascii="Times New Roman" w:hAnsi="Times New Roman" w:cs="Times New Roman"/>
          <w:sz w:val="20"/>
          <w:szCs w:val="20"/>
        </w:rPr>
        <w:t xml:space="preserve">]. </w:t>
      </w:r>
      <w:r w:rsidR="00B503AF" w:rsidRPr="000D7DAD">
        <w:rPr>
          <w:rFonts w:ascii="Times New Roman" w:hAnsi="Times New Roman" w:cs="Times New Roman"/>
          <w:iCs/>
          <w:color w:val="000000"/>
          <w:sz w:val="20"/>
          <w:szCs w:val="20"/>
        </w:rPr>
        <w:t>ISSN 1554-0200 (print); ISSN 2375-723X (online)</w:t>
      </w:r>
      <w:r w:rsidR="00B503AF" w:rsidRPr="000D7DAD">
        <w:rPr>
          <w:rFonts w:ascii="Times New Roman" w:hAnsi="Times New Roman" w:cs="Times New Roman"/>
          <w:sz w:val="20"/>
          <w:szCs w:val="20"/>
        </w:rPr>
        <w:t xml:space="preserve">. </w:t>
      </w:r>
      <w:hyperlink r:id="rId8" w:history="1">
        <w:r w:rsidR="00B503AF" w:rsidRPr="000D7DAD">
          <w:rPr>
            <w:rStyle w:val="Hyperlink"/>
            <w:rFonts w:ascii="Times New Roman" w:hAnsi="Times New Roman"/>
            <w:color w:val="0000FF"/>
            <w:sz w:val="20"/>
            <w:szCs w:val="20"/>
          </w:rPr>
          <w:t>http://www.sciencepub.net/newyork</w:t>
        </w:r>
      </w:hyperlink>
      <w:r w:rsidR="00B503AF" w:rsidRPr="000D7DAD">
        <w:rPr>
          <w:rFonts w:ascii="Times New Roman" w:hAnsi="Times New Roman" w:cs="Times New Roman"/>
          <w:sz w:val="20"/>
          <w:szCs w:val="20"/>
        </w:rPr>
        <w:t xml:space="preserve">. </w:t>
      </w:r>
      <w:r w:rsidR="00B503AF" w:rsidRPr="000D7DAD">
        <w:rPr>
          <w:rFonts w:ascii="Times New Roman" w:hAnsi="Times New Roman" w:cs="Times New Roman" w:hint="eastAsia"/>
          <w:sz w:val="20"/>
          <w:szCs w:val="20"/>
          <w:lang w:eastAsia="zh-CN"/>
        </w:rPr>
        <w:t>1</w:t>
      </w:r>
      <w:r w:rsidR="00B503AF" w:rsidRPr="000D7DAD">
        <w:rPr>
          <w:rFonts w:ascii="Times New Roman" w:hAnsi="Times New Roman" w:cs="Times New Roman" w:hint="eastAsia"/>
          <w:sz w:val="20"/>
          <w:szCs w:val="20"/>
        </w:rPr>
        <w:t xml:space="preserve">. </w:t>
      </w:r>
      <w:r w:rsidR="00B503AF" w:rsidRPr="000D7DAD">
        <w:rPr>
          <w:rFonts w:ascii="Times New Roman" w:hAnsi="Times New Roman" w:cs="Times New Roman"/>
          <w:color w:val="000000"/>
          <w:sz w:val="20"/>
          <w:szCs w:val="20"/>
          <w:shd w:val="clear" w:color="auto" w:fill="FFFFFF"/>
        </w:rPr>
        <w:t>doi:</w:t>
      </w:r>
      <w:hyperlink r:id="rId9" w:history="1">
        <w:r w:rsidR="00B503AF" w:rsidRPr="000D7DAD">
          <w:rPr>
            <w:rStyle w:val="Hyperlink"/>
            <w:rFonts w:ascii="Times New Roman" w:hAnsi="Times New Roman"/>
            <w:color w:val="0000FF"/>
            <w:sz w:val="20"/>
            <w:szCs w:val="20"/>
            <w:shd w:val="clear" w:color="auto" w:fill="FFFFFF"/>
          </w:rPr>
          <w:t>10.7537/mars</w:t>
        </w:r>
        <w:r w:rsidR="000D7DAD" w:rsidRPr="000D7DAD">
          <w:rPr>
            <w:rStyle w:val="Hyperlink"/>
            <w:rFonts w:ascii="Times New Roman" w:hAnsi="Times New Roman" w:hint="eastAsia"/>
            <w:color w:val="0000FF"/>
            <w:sz w:val="20"/>
            <w:szCs w:val="20"/>
            <w:shd w:val="clear" w:color="auto" w:fill="FFFFFF"/>
          </w:rPr>
          <w:t>nys090</w:t>
        </w:r>
        <w:r w:rsidR="000D7DAD" w:rsidRPr="000D7DAD">
          <w:rPr>
            <w:rStyle w:val="Hyperlink"/>
            <w:rFonts w:ascii="Times New Roman" w:hAnsi="Times New Roman"/>
            <w:color w:val="0000FF"/>
            <w:sz w:val="20"/>
            <w:szCs w:val="20"/>
            <w:shd w:val="clear" w:color="auto" w:fill="FFFFFF"/>
          </w:rPr>
          <w:t>6</w:t>
        </w:r>
        <w:r w:rsidR="00B503AF" w:rsidRPr="000D7DAD">
          <w:rPr>
            <w:rStyle w:val="Hyperlink"/>
            <w:rFonts w:ascii="Times New Roman" w:hAnsi="Times New Roman"/>
            <w:color w:val="0000FF"/>
            <w:sz w:val="20"/>
            <w:szCs w:val="20"/>
            <w:shd w:val="clear" w:color="auto" w:fill="FFFFFF"/>
          </w:rPr>
          <w:t>1</w:t>
        </w:r>
        <w:r w:rsidR="00B503AF" w:rsidRPr="000D7DAD">
          <w:rPr>
            <w:rStyle w:val="Hyperlink"/>
            <w:rFonts w:ascii="Times New Roman" w:hAnsi="Times New Roman" w:hint="eastAsia"/>
            <w:color w:val="0000FF"/>
            <w:sz w:val="20"/>
            <w:szCs w:val="20"/>
            <w:shd w:val="clear" w:color="auto" w:fill="FFFFFF"/>
          </w:rPr>
          <w:t>6</w:t>
        </w:r>
        <w:r w:rsidR="00B503AF" w:rsidRPr="000D7DAD">
          <w:rPr>
            <w:rStyle w:val="Hyperlink"/>
            <w:rFonts w:ascii="Times New Roman" w:hAnsi="Times New Roman"/>
            <w:color w:val="0000FF"/>
            <w:sz w:val="20"/>
            <w:szCs w:val="20"/>
            <w:shd w:val="clear" w:color="auto" w:fill="FFFFFF"/>
          </w:rPr>
          <w:t>0</w:t>
        </w:r>
        <w:r w:rsidR="00B503AF" w:rsidRPr="000D7DAD">
          <w:rPr>
            <w:rStyle w:val="Hyperlink"/>
            <w:rFonts w:ascii="Times New Roman" w:hAnsi="Times New Roman" w:hint="eastAsia"/>
            <w:color w:val="0000FF"/>
            <w:sz w:val="20"/>
            <w:szCs w:val="20"/>
            <w:shd w:val="clear" w:color="auto" w:fill="FFFFFF"/>
            <w:lang w:eastAsia="zh-CN"/>
          </w:rPr>
          <w:t>1</w:t>
        </w:r>
      </w:hyperlink>
      <w:r w:rsidR="00B503AF" w:rsidRPr="000D7DAD">
        <w:rPr>
          <w:rFonts w:ascii="Times New Roman" w:hAnsi="Times New Roman" w:cs="Times New Roman"/>
          <w:color w:val="000000"/>
          <w:sz w:val="20"/>
          <w:szCs w:val="20"/>
          <w:shd w:val="clear" w:color="auto" w:fill="FFFFFF"/>
        </w:rPr>
        <w:t>.</w:t>
      </w:r>
    </w:p>
    <w:p w:rsidR="00B1210F" w:rsidRPr="000D7DAD" w:rsidRDefault="00B1210F" w:rsidP="00B503AF">
      <w:pPr>
        <w:bidi w:val="0"/>
        <w:snapToGrid w:val="0"/>
        <w:spacing w:after="0" w:line="240" w:lineRule="auto"/>
        <w:jc w:val="both"/>
        <w:rPr>
          <w:rFonts w:ascii="Times New Roman" w:hAnsi="Times New Roman" w:cs="Times New Roman"/>
          <w:b/>
          <w:bCs/>
          <w:color w:val="000000"/>
          <w:sz w:val="20"/>
          <w:szCs w:val="20"/>
        </w:rPr>
      </w:pPr>
    </w:p>
    <w:p w:rsidR="00B1210F" w:rsidRPr="000D7DAD" w:rsidRDefault="00B1210F" w:rsidP="00B503AF">
      <w:pPr>
        <w:bidi w:val="0"/>
        <w:snapToGrid w:val="0"/>
        <w:spacing w:after="0" w:line="240" w:lineRule="auto"/>
        <w:jc w:val="both"/>
        <w:rPr>
          <w:rFonts w:ascii="Times New Roman" w:hAnsi="Times New Roman" w:cs="Times New Roman"/>
          <w:color w:val="252525"/>
          <w:sz w:val="20"/>
          <w:szCs w:val="20"/>
        </w:rPr>
      </w:pPr>
      <w:r w:rsidRPr="000D7DAD">
        <w:rPr>
          <w:rFonts w:ascii="Times New Roman" w:hAnsi="Times New Roman" w:cs="Times New Roman"/>
          <w:b/>
          <w:bCs/>
          <w:color w:val="000000"/>
          <w:sz w:val="20"/>
          <w:szCs w:val="20"/>
        </w:rPr>
        <w:t>Key words:</w:t>
      </w:r>
      <w:r w:rsidR="00865869" w:rsidRPr="000D7DAD">
        <w:rPr>
          <w:rFonts w:ascii="Times New Roman" w:hAnsi="Times New Roman" w:cs="Times New Roman"/>
          <w:b/>
          <w:bCs/>
          <w:color w:val="000000"/>
          <w:sz w:val="20"/>
          <w:szCs w:val="20"/>
        </w:rPr>
        <w:t xml:space="preserve"> </w:t>
      </w:r>
      <w:r w:rsidRPr="000D7DAD">
        <w:rPr>
          <w:rFonts w:ascii="Times New Roman" w:hAnsi="Times New Roman" w:cs="Times New Roman"/>
          <w:color w:val="000000"/>
          <w:sz w:val="20"/>
          <w:szCs w:val="20"/>
        </w:rPr>
        <w:t>ALL (acute lymphoplastic leukemia), Children. Dietary intake</w:t>
      </w:r>
    </w:p>
    <w:p w:rsidR="00B1210F" w:rsidRPr="000D7DAD" w:rsidRDefault="00B1210F" w:rsidP="00B503AF">
      <w:pPr>
        <w:bidi w:val="0"/>
        <w:snapToGrid w:val="0"/>
        <w:spacing w:after="0" w:line="240" w:lineRule="auto"/>
        <w:jc w:val="both"/>
        <w:rPr>
          <w:rFonts w:ascii="Times New Roman" w:hAnsi="Times New Roman" w:cs="Times New Roman"/>
          <w:color w:val="252525"/>
          <w:sz w:val="20"/>
          <w:szCs w:val="20"/>
        </w:rPr>
      </w:pPr>
    </w:p>
    <w:p w:rsidR="00B503AF" w:rsidRPr="000D7DAD" w:rsidRDefault="00B503AF" w:rsidP="00B503AF">
      <w:pPr>
        <w:bidi w:val="0"/>
        <w:snapToGrid w:val="0"/>
        <w:spacing w:after="0" w:line="240" w:lineRule="auto"/>
        <w:jc w:val="both"/>
        <w:rPr>
          <w:rFonts w:ascii="Times New Roman" w:hAnsi="Times New Roman" w:cs="Times New Roman"/>
          <w:b/>
          <w:bCs/>
          <w:color w:val="252525"/>
          <w:sz w:val="20"/>
          <w:szCs w:val="20"/>
        </w:rPr>
        <w:sectPr w:rsidR="00B503AF" w:rsidRPr="000D7DAD" w:rsidSect="005E0D2D">
          <w:headerReference w:type="default" r:id="rId10"/>
          <w:footerReference w:type="default" r:id="rId11"/>
          <w:type w:val="continuous"/>
          <w:pgSz w:w="12242" w:h="15842" w:code="1"/>
          <w:pgMar w:top="1440" w:right="1440" w:bottom="1440" w:left="1440" w:header="720" w:footer="720" w:gutter="0"/>
          <w:cols w:space="708"/>
          <w:bidi/>
          <w:docGrid w:linePitch="360"/>
        </w:sectPr>
      </w:pPr>
    </w:p>
    <w:p w:rsidR="00B1210F" w:rsidRPr="000D7DAD" w:rsidRDefault="00B1210F" w:rsidP="00B503AF">
      <w:pPr>
        <w:bidi w:val="0"/>
        <w:snapToGrid w:val="0"/>
        <w:spacing w:after="0" w:line="240" w:lineRule="auto"/>
        <w:jc w:val="both"/>
        <w:rPr>
          <w:rFonts w:ascii="Times New Roman" w:hAnsi="Times New Roman" w:cs="Times New Roman"/>
          <w:color w:val="000000"/>
          <w:sz w:val="20"/>
          <w:szCs w:val="20"/>
        </w:rPr>
      </w:pPr>
      <w:r w:rsidRPr="000D7DAD">
        <w:rPr>
          <w:rFonts w:ascii="Times New Roman" w:hAnsi="Times New Roman" w:cs="Times New Roman"/>
          <w:b/>
          <w:bCs/>
          <w:color w:val="252525"/>
          <w:sz w:val="20"/>
          <w:szCs w:val="20"/>
        </w:rPr>
        <w:lastRenderedPageBreak/>
        <w:t>1.</w:t>
      </w:r>
      <w:r w:rsidRPr="000D7DAD">
        <w:rPr>
          <w:rFonts w:ascii="Times New Roman" w:hAnsi="Times New Roman" w:cs="Times New Roman"/>
          <w:color w:val="252525"/>
          <w:sz w:val="20"/>
          <w:szCs w:val="20"/>
        </w:rPr>
        <w:t xml:space="preserve"> I</w:t>
      </w:r>
      <w:r w:rsidRPr="000D7DAD">
        <w:rPr>
          <w:rFonts w:ascii="Times New Roman" w:hAnsi="Times New Roman" w:cs="Times New Roman"/>
          <w:b/>
          <w:bCs/>
          <w:color w:val="252525"/>
          <w:sz w:val="20"/>
          <w:szCs w:val="20"/>
        </w:rPr>
        <w:t>ntroduction</w:t>
      </w:r>
    </w:p>
    <w:p w:rsidR="00B1210F" w:rsidRPr="000D7DAD" w:rsidRDefault="00B1210F" w:rsidP="00B503AF">
      <w:pPr>
        <w:shd w:val="clear" w:color="auto" w:fill="FFFFFF"/>
        <w:bidi w:val="0"/>
        <w:snapToGrid w:val="0"/>
        <w:spacing w:after="0" w:line="240" w:lineRule="auto"/>
        <w:ind w:firstLine="425"/>
        <w:jc w:val="both"/>
        <w:textAlignment w:val="baseline"/>
        <w:rPr>
          <w:rFonts w:ascii="Times New Roman" w:hAnsi="Times New Roman" w:cs="Times New Roman"/>
          <w:b/>
          <w:bCs/>
          <w:color w:val="000000"/>
          <w:sz w:val="20"/>
          <w:szCs w:val="20"/>
        </w:rPr>
      </w:pPr>
      <w:r w:rsidRPr="000D7DAD">
        <w:rPr>
          <w:rFonts w:ascii="Times New Roman" w:hAnsi="Times New Roman" w:cs="Times New Roman"/>
          <w:sz w:val="20"/>
          <w:szCs w:val="20"/>
        </w:rPr>
        <w:t>Cancer is a disorder of cell growth and regulation,</w:t>
      </w:r>
      <w:r w:rsidR="000D7DAD" w:rsidRPr="000D7DAD">
        <w:rPr>
          <w:rFonts w:ascii="Times New Roman" w:hAnsi="Times New Roman" w:cs="Times New Roman"/>
          <w:sz w:val="20"/>
          <w:szCs w:val="20"/>
        </w:rPr>
        <w:t xml:space="preserve"> </w:t>
      </w:r>
      <w:r w:rsidRPr="000D7DAD">
        <w:rPr>
          <w:rFonts w:ascii="Times New Roman" w:hAnsi="Times New Roman" w:cs="Times New Roman"/>
          <w:sz w:val="20"/>
          <w:szCs w:val="20"/>
        </w:rPr>
        <w:t>leadingto abnormal cell division and production (Grant B.,</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2008). This dysregulation results in unlimited, dysfunctional cell production (Cohen,</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2011). Pediatric acute lymphoblastic leukemia (ALL) is the most frequently occurring cancer in children and adolescents. Symptoms may include bleeding and</w:t>
      </w:r>
      <w:r w:rsidR="000D7DAD">
        <w:rPr>
          <w:rFonts w:ascii="Times New Roman" w:hAnsi="Times New Roman" w:cs="Times New Roman"/>
          <w:sz w:val="20"/>
          <w:szCs w:val="20"/>
        </w:rPr>
        <w:t xml:space="preserve"> </w:t>
      </w:r>
      <w:hyperlink r:id="rId12" w:tooltip="Bruising" w:history="1">
        <w:r w:rsidRPr="000D7DAD">
          <w:rPr>
            <w:rFonts w:ascii="Times New Roman" w:hAnsi="Times New Roman" w:cs="Times New Roman"/>
            <w:sz w:val="20"/>
            <w:szCs w:val="20"/>
          </w:rPr>
          <w:t>bruising</w:t>
        </w:r>
      </w:hyperlink>
      <w:r w:rsidR="000D7DAD">
        <w:rPr>
          <w:sz w:val="20"/>
          <w:szCs w:val="20"/>
        </w:rPr>
        <w:t xml:space="preserve"> </w:t>
      </w:r>
      <w:r w:rsidRPr="000D7DAD">
        <w:rPr>
          <w:rFonts w:ascii="Times New Roman" w:hAnsi="Times New Roman" w:cs="Times New Roman"/>
          <w:sz w:val="20"/>
          <w:szCs w:val="20"/>
        </w:rPr>
        <w:t>problems,</w:t>
      </w:r>
      <w:r w:rsidR="000D7DAD">
        <w:rPr>
          <w:rFonts w:ascii="Times New Roman" w:hAnsi="Times New Roman" w:cs="Times New Roman"/>
          <w:sz w:val="20"/>
          <w:szCs w:val="20"/>
        </w:rPr>
        <w:t xml:space="preserve"> </w:t>
      </w:r>
      <w:hyperlink r:id="rId13" w:tooltip="Fatigue (medical)" w:history="1">
        <w:r w:rsidRPr="000D7DAD">
          <w:rPr>
            <w:rFonts w:ascii="Times New Roman" w:hAnsi="Times New Roman" w:cs="Times New Roman"/>
            <w:sz w:val="20"/>
            <w:szCs w:val="20"/>
          </w:rPr>
          <w:t>feeling tired</w:t>
        </w:r>
      </w:hyperlink>
      <w:r w:rsidRPr="000D7DAD">
        <w:rPr>
          <w:rFonts w:ascii="Times New Roman" w:hAnsi="Times New Roman" w:cs="Times New Roman"/>
          <w:sz w:val="20"/>
          <w:szCs w:val="20"/>
        </w:rPr>
        <w:t>, fever, bone pains and an increased risk of infections (Heuberger,</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2011).</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 xml:space="preserve">Management of ALL is directed towards control of bone marrow and systemic disease. Additionally, treatment must prevent leukemic cells from spreading to other sites, </w:t>
      </w:r>
      <w:r w:rsidRPr="000D7DAD">
        <w:rPr>
          <w:rFonts w:ascii="Times New Roman" w:hAnsi="Times New Roman" w:cs="Times New Roman"/>
          <w:color w:val="252525"/>
          <w:sz w:val="20"/>
          <w:szCs w:val="20"/>
        </w:rPr>
        <w:t>particularly the</w:t>
      </w:r>
      <w:r w:rsidR="000D7DAD">
        <w:rPr>
          <w:rFonts w:ascii="Times New Roman" w:hAnsi="Times New Roman" w:cs="Times New Roman"/>
          <w:color w:val="252525"/>
          <w:sz w:val="20"/>
          <w:szCs w:val="20"/>
        </w:rPr>
        <w:t xml:space="preserve"> </w:t>
      </w:r>
      <w:hyperlink r:id="rId14" w:tooltip="Central nervous system" w:history="1">
        <w:r w:rsidRPr="000D7DAD">
          <w:rPr>
            <w:rFonts w:ascii="Times New Roman" w:hAnsi="Times New Roman" w:cs="Times New Roman"/>
            <w:sz w:val="20"/>
            <w:szCs w:val="20"/>
          </w:rPr>
          <w:t>central nervous system</w:t>
        </w:r>
      </w:hyperlink>
      <w:r w:rsidR="000D7DAD">
        <w:rPr>
          <w:sz w:val="20"/>
          <w:szCs w:val="20"/>
        </w:rPr>
        <w:t xml:space="preserve"> </w:t>
      </w:r>
      <w:r w:rsidRPr="000D7DAD">
        <w:rPr>
          <w:rFonts w:ascii="Times New Roman" w:hAnsi="Times New Roman" w:cs="Times New Roman"/>
          <w:sz w:val="20"/>
          <w:szCs w:val="20"/>
        </w:rPr>
        <w:t>(CNS). Improvements in survival have been most apparent for acute lymphoblastic leukemia (National Cancer Institute, 2013).</w:t>
      </w:r>
      <w:r w:rsidR="000D7DAD">
        <w:rPr>
          <w:rFonts w:ascii="Times New Roman" w:hAnsi="Times New Roman" w:cs="Times New Roman"/>
          <w:sz w:val="20"/>
          <w:szCs w:val="20"/>
        </w:rPr>
        <w:t xml:space="preserve"> </w:t>
      </w:r>
      <w:r w:rsidRPr="000D7DAD">
        <w:rPr>
          <w:rFonts w:ascii="Times New Roman" w:hAnsi="Times New Roman" w:cs="Times New Roman"/>
          <w:color w:val="000000"/>
          <w:sz w:val="20"/>
          <w:szCs w:val="20"/>
        </w:rPr>
        <w:t>Current pediatric treatment protocols yield a cure rate approaching 90%</w:t>
      </w:r>
      <w:r w:rsidRPr="000D7DAD">
        <w:rPr>
          <w:rFonts w:ascii="Times New Roman" w:hAnsi="Times New Roman" w:cs="Times New Roman"/>
          <w:color w:val="222222"/>
          <w:sz w:val="20"/>
          <w:szCs w:val="20"/>
        </w:rPr>
        <w:t xml:space="preserve">.Children with acute lymphoblastic leukemia are at elevated risk for nutrition-related morbidities both during and after therapy </w:t>
      </w:r>
      <w:r w:rsidRPr="000D7DAD">
        <w:rPr>
          <w:rFonts w:ascii="Times New Roman" w:hAnsi="Times New Roman" w:cs="Times New Roman"/>
          <w:color w:val="008000"/>
          <w:sz w:val="20"/>
          <w:szCs w:val="20"/>
        </w:rPr>
        <w:t>(</w:t>
      </w:r>
      <w:r w:rsidRPr="000D7DAD">
        <w:rPr>
          <w:rFonts w:ascii="Times New Roman" w:hAnsi="Times New Roman" w:cs="Times New Roman"/>
          <w:color w:val="000000"/>
          <w:sz w:val="20"/>
          <w:szCs w:val="20"/>
        </w:rPr>
        <w:t>Lados E.,</w:t>
      </w:r>
      <w:r w:rsidR="000D7DAD">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2013).</w:t>
      </w:r>
      <w:r w:rsidR="000D7DAD">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Children who are malnourished are at increased risk for infection</w:t>
      </w:r>
      <w:r w:rsidRPr="000D7DAD">
        <w:rPr>
          <w:rFonts w:ascii="Times New Roman" w:hAnsi="Times New Roman" w:cs="Times New Roman"/>
          <w:sz w:val="20"/>
          <w:szCs w:val="20"/>
        </w:rPr>
        <w:t xml:space="preserve">, reduced quality of life, and poor neurodevelopmental and growth outcomes (Picot et al., 2012). </w:t>
      </w:r>
      <w:r w:rsidRPr="000D7DAD">
        <w:rPr>
          <w:rFonts w:ascii="Times New Roman" w:hAnsi="Times New Roman" w:cs="Times New Roman"/>
          <w:color w:val="000000"/>
          <w:sz w:val="20"/>
          <w:szCs w:val="20"/>
        </w:rPr>
        <w:t xml:space="preserve">The treatment protocols used in pediatric oncology patients </w:t>
      </w:r>
      <w:r w:rsidRPr="000D7DAD">
        <w:rPr>
          <w:rFonts w:ascii="Times New Roman" w:hAnsi="Times New Roman" w:cs="Times New Roman"/>
          <w:color w:val="000000"/>
          <w:sz w:val="20"/>
          <w:szCs w:val="20"/>
        </w:rPr>
        <w:lastRenderedPageBreak/>
        <w:t>are more aggressive than those used in adults</w:t>
      </w:r>
      <w:r w:rsidRPr="000D7DAD">
        <w:rPr>
          <w:rFonts w:ascii="Times New Roman" w:hAnsi="Times New Roman" w:cs="Times New Roman"/>
          <w:color w:val="403838"/>
          <w:sz w:val="20"/>
          <w:szCs w:val="20"/>
        </w:rPr>
        <w:t xml:space="preserve"> as they exhibit elevated substrate needs due to the disease and its treatment. At the same time, children have increased requirements of nutrients. There is important</w:t>
      </w:r>
      <w:r w:rsidR="007063F2">
        <w:rPr>
          <w:rFonts w:ascii="Times New Roman" w:hAnsi="Times New Roman" w:cs="Times New Roman"/>
          <w:color w:val="403838"/>
          <w:sz w:val="20"/>
          <w:szCs w:val="20"/>
        </w:rPr>
        <w:t xml:space="preserve"> </w:t>
      </w:r>
      <w:r w:rsidRPr="000D7DAD">
        <w:rPr>
          <w:rFonts w:ascii="Times New Roman" w:hAnsi="Times New Roman" w:cs="Times New Roman"/>
          <w:color w:val="403838"/>
          <w:sz w:val="20"/>
          <w:szCs w:val="20"/>
        </w:rPr>
        <w:t>pathophysiological mechanisms</w:t>
      </w:r>
      <w:r w:rsidR="007063F2">
        <w:rPr>
          <w:rFonts w:ascii="Times New Roman" w:hAnsi="Times New Roman" w:cs="Times New Roman"/>
          <w:color w:val="403838"/>
          <w:sz w:val="20"/>
          <w:szCs w:val="20"/>
        </w:rPr>
        <w:t xml:space="preserve"> </w:t>
      </w:r>
      <w:r w:rsidRPr="000D7DAD">
        <w:rPr>
          <w:rFonts w:ascii="Times New Roman" w:hAnsi="Times New Roman" w:cs="Times New Roman"/>
          <w:color w:val="403838"/>
          <w:sz w:val="20"/>
          <w:szCs w:val="20"/>
        </w:rPr>
        <w:t>that contribute to the development of malnutrition and growth failure in childhood cancer</w:t>
      </w:r>
      <w:r w:rsidR="007063F2">
        <w:rPr>
          <w:rFonts w:ascii="Times New Roman" w:hAnsi="Times New Roman" w:cs="Times New Roman"/>
          <w:color w:val="222222"/>
          <w:sz w:val="20"/>
          <w:szCs w:val="20"/>
          <w:bdr w:val="none" w:sz="0" w:space="0" w:color="auto" w:frame="1"/>
        </w:rPr>
        <w:t xml:space="preserve">. </w:t>
      </w:r>
      <w:r w:rsidRPr="000D7DAD">
        <w:rPr>
          <w:rFonts w:ascii="Times New Roman" w:hAnsi="Times New Roman" w:cs="Times New Roman"/>
          <w:color w:val="222222"/>
          <w:sz w:val="20"/>
          <w:szCs w:val="20"/>
          <w:bdr w:val="none" w:sz="0" w:space="0" w:color="auto" w:frame="1"/>
        </w:rPr>
        <w:t>(Skipworth</w:t>
      </w:r>
      <w:r w:rsidR="000D7DAD">
        <w:rPr>
          <w:rFonts w:ascii="Times New Roman" w:hAnsi="Times New Roman" w:cs="Times New Roman"/>
          <w:color w:val="222222"/>
          <w:sz w:val="20"/>
          <w:szCs w:val="20"/>
          <w:bdr w:val="none" w:sz="0" w:space="0" w:color="auto" w:frame="1"/>
        </w:rPr>
        <w:t xml:space="preserve"> </w:t>
      </w:r>
      <w:r w:rsidRPr="000D7DAD">
        <w:rPr>
          <w:rFonts w:ascii="Times New Roman" w:hAnsi="Times New Roman" w:cs="Times New Roman"/>
          <w:color w:val="222222"/>
          <w:sz w:val="20"/>
          <w:szCs w:val="20"/>
          <w:bdr w:val="none" w:sz="0" w:space="0" w:color="auto" w:frame="1"/>
        </w:rPr>
        <w:t>R</w:t>
      </w:r>
      <w:r w:rsidRPr="000D7DAD">
        <w:rPr>
          <w:rFonts w:ascii="Times New Roman" w:hAnsi="Times New Roman" w:cs="Times New Roman"/>
          <w:color w:val="403838"/>
          <w:sz w:val="20"/>
          <w:szCs w:val="20"/>
        </w:rPr>
        <w:t>.,</w:t>
      </w:r>
      <w:r w:rsidR="000D7DAD">
        <w:rPr>
          <w:rFonts w:ascii="Times New Roman" w:hAnsi="Times New Roman" w:cs="Times New Roman"/>
          <w:color w:val="403838"/>
          <w:sz w:val="20"/>
          <w:szCs w:val="20"/>
        </w:rPr>
        <w:t xml:space="preserve"> </w:t>
      </w:r>
      <w:r w:rsidRPr="000D7DAD">
        <w:rPr>
          <w:rFonts w:ascii="Times New Roman" w:hAnsi="Times New Roman" w:cs="Times New Roman"/>
          <w:color w:val="403838"/>
          <w:sz w:val="20"/>
          <w:szCs w:val="20"/>
        </w:rPr>
        <w:t>2007</w:t>
      </w:r>
      <w:r w:rsidRPr="000D7DAD">
        <w:rPr>
          <w:rFonts w:ascii="Times New Roman" w:hAnsi="Times New Roman" w:cs="Times New Roman"/>
          <w:sz w:val="20"/>
          <w:szCs w:val="20"/>
        </w:rPr>
        <w:t>)</w:t>
      </w:r>
      <w:r w:rsidRPr="000D7DAD">
        <w:rPr>
          <w:rFonts w:ascii="Times New Roman" w:hAnsi="Times New Roman" w:cs="Times New Roman"/>
          <w:color w:val="403838"/>
          <w:sz w:val="20"/>
          <w:szCs w:val="20"/>
        </w:rPr>
        <w:t xml:space="preserve">. </w:t>
      </w:r>
      <w:r w:rsidRPr="000D7DAD">
        <w:rPr>
          <w:rFonts w:ascii="Times New Roman" w:hAnsi="Times New Roman" w:cs="Times New Roman"/>
          <w:color w:val="000000"/>
          <w:sz w:val="20"/>
          <w:szCs w:val="20"/>
        </w:rPr>
        <w:t>American</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cancer society advocate</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 xml:space="preserve">the importance of balanced diet with increased caloric and protein intake, </w:t>
      </w:r>
      <w:r w:rsidRPr="000D7DAD">
        <w:rPr>
          <w:rFonts w:ascii="Times New Roman" w:hAnsi="Times New Roman" w:cs="Times New Roman"/>
          <w:sz w:val="20"/>
          <w:szCs w:val="20"/>
        </w:rPr>
        <w:t>Getting enough protein is important during treatment. As it is necessary for immune health, growing new cells and the preservation of lean body mass.</w:t>
      </w:r>
      <w:r w:rsidR="000D7DAD">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Children being treated for cancer may need even more calories for tissue healing and energy</w:t>
      </w:r>
      <w:r w:rsidRPr="000D7DAD">
        <w:rPr>
          <w:rFonts w:ascii="Times New Roman" w:hAnsi="Times New Roman" w:cs="Times New Roman"/>
          <w:color w:val="000000"/>
          <w:sz w:val="20"/>
          <w:szCs w:val="20"/>
        </w:rPr>
        <w:t>(American cancer society,</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2012)</w:t>
      </w:r>
      <w:r w:rsidRPr="000D7DAD">
        <w:rPr>
          <w:rFonts w:ascii="Times New Roman" w:hAnsi="Times New Roman" w:cs="Times New Roman"/>
          <w:sz w:val="20"/>
          <w:szCs w:val="20"/>
        </w:rPr>
        <w:t xml:space="preserve">. Many experimental and clinical studies have indicated that free radicals are involved in the biochemical mechanisms that underlie hematologic disorders </w:t>
      </w:r>
      <w:r w:rsidR="000D7DAD">
        <w:rPr>
          <w:rFonts w:ascii="Times New Roman" w:hAnsi="Times New Roman" w:cs="Times New Roman"/>
          <w:sz w:val="20"/>
          <w:szCs w:val="20"/>
        </w:rPr>
        <w:t>[</w:t>
      </w:r>
      <w:r w:rsidRPr="000D7DAD">
        <w:rPr>
          <w:rFonts w:ascii="Times New Roman" w:hAnsi="Times New Roman" w:cs="Times New Roman"/>
          <w:color w:val="000000"/>
          <w:sz w:val="20"/>
          <w:szCs w:val="20"/>
          <w:shd w:val="clear" w:color="auto" w:fill="FFFFFF"/>
        </w:rPr>
        <w:t xml:space="preserve">Corm S </w:t>
      </w:r>
      <w:r w:rsidR="000D7DAD">
        <w:rPr>
          <w:rFonts w:ascii="Times New Roman" w:hAnsi="Times New Roman" w:cs="Times New Roman"/>
          <w:color w:val="000000"/>
          <w:sz w:val="20"/>
          <w:szCs w:val="20"/>
          <w:shd w:val="clear" w:color="auto" w:fill="FFFFFF"/>
        </w:rPr>
        <w:t>e</w:t>
      </w:r>
      <w:r w:rsidRPr="000D7DAD">
        <w:rPr>
          <w:rFonts w:ascii="Times New Roman" w:hAnsi="Times New Roman" w:cs="Times New Roman"/>
          <w:color w:val="000000"/>
          <w:sz w:val="20"/>
          <w:szCs w:val="20"/>
          <w:shd w:val="clear" w:color="auto" w:fill="FFFFFF"/>
        </w:rPr>
        <w:t>t</w:t>
      </w:r>
      <w:r w:rsidR="000D7DAD">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al. (2009)</w:t>
      </w:r>
      <w:r w:rsidR="000D7DAD">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and</w:t>
      </w:r>
      <w:r w:rsidR="000D7DAD">
        <w:rPr>
          <w:rFonts w:ascii="Times New Roman" w:hAnsi="Times New Roman" w:cs="Times New Roman"/>
          <w:color w:val="000000"/>
          <w:sz w:val="20"/>
          <w:szCs w:val="20"/>
          <w:shd w:val="clear" w:color="auto" w:fill="FFFFFF"/>
        </w:rPr>
        <w:t xml:space="preserve"> </w:t>
      </w:r>
      <w:r w:rsidR="000D7DAD">
        <w:rPr>
          <w:rFonts w:ascii="Times New Roman" w:hAnsi="Times New Roman" w:cs="Times New Roman"/>
          <w:sz w:val="20"/>
          <w:szCs w:val="20"/>
        </w:rPr>
        <w:t xml:space="preserve">Al-Gayyar </w:t>
      </w:r>
      <w:r w:rsidRPr="000D7DAD">
        <w:rPr>
          <w:rFonts w:ascii="Times New Roman" w:hAnsi="Times New Roman" w:cs="Times New Roman"/>
          <w:sz w:val="20"/>
          <w:szCs w:val="20"/>
        </w:rPr>
        <w:t>et al., (2007)</w:t>
      </w:r>
      <w:r w:rsidR="000D7DAD">
        <w:rPr>
          <w:rFonts w:ascii="Times New Roman" w:hAnsi="Times New Roman" w:cs="Times New Roman"/>
          <w:sz w:val="20"/>
          <w:szCs w:val="20"/>
        </w:rPr>
        <w:t>]</w:t>
      </w:r>
      <w:r w:rsidRPr="000D7DAD">
        <w:rPr>
          <w:rFonts w:ascii="Times New Roman" w:hAnsi="Times New Roman" w:cs="Times New Roman"/>
          <w:sz w:val="20"/>
          <w:szCs w:val="20"/>
        </w:rPr>
        <w:t>.</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 xml:space="preserve">Concluded that leukemia patients produce larger amounts of ROS than nonleukemia patients. </w:t>
      </w:r>
      <w:r w:rsidRPr="000D7DAD">
        <w:rPr>
          <w:rFonts w:ascii="Times New Roman" w:eastAsia="Arial Unicode MS" w:hAnsi="Times New Roman" w:cs="Times New Roman"/>
          <w:sz w:val="20"/>
          <w:szCs w:val="20"/>
        </w:rPr>
        <w:t>Micronutrients of interest antioxidants may minimize therapy-relate side effect with reduction of oxidative stress</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(Ladas,</w:t>
      </w:r>
      <w:r w:rsidR="000D7DAD">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2013)</w:t>
      </w:r>
      <w:r w:rsidRPr="000D7DAD">
        <w:rPr>
          <w:rFonts w:ascii="Times New Roman" w:hAnsi="Times New Roman" w:cs="Times New Roman"/>
          <w:sz w:val="20"/>
          <w:szCs w:val="20"/>
        </w:rPr>
        <w:t xml:space="preserve">. Zinc, is a trace element that is a constituent of more than 200 enzymes, plays an important role in nucleic acid metabolism, cell </w:t>
      </w:r>
      <w:r w:rsidRPr="000D7DAD">
        <w:rPr>
          <w:rFonts w:ascii="Times New Roman" w:hAnsi="Times New Roman" w:cs="Times New Roman"/>
          <w:sz w:val="20"/>
          <w:szCs w:val="20"/>
        </w:rPr>
        <w:lastRenderedPageBreak/>
        <w:t>replication, tissue repair and growth</w:t>
      </w:r>
      <w:r w:rsidR="007063F2">
        <w:rPr>
          <w:rFonts w:ascii="Times New Roman" w:hAnsi="Times New Roman" w:cs="Times New Roman"/>
          <w:sz w:val="20"/>
          <w:szCs w:val="20"/>
        </w:rPr>
        <w:t>.</w:t>
      </w:r>
      <w:r w:rsidR="009079AC">
        <w:rPr>
          <w:rFonts w:ascii="Times New Roman" w:hAnsi="Times New Roman" w:cs="Times New Roman"/>
          <w:sz w:val="20"/>
          <w:szCs w:val="20"/>
        </w:rPr>
        <w:t xml:space="preserve"> </w:t>
      </w:r>
      <w:r w:rsidRPr="000D7DAD">
        <w:rPr>
          <w:rFonts w:ascii="Times New Roman" w:hAnsi="Times New Roman" w:cs="Times New Roman"/>
          <w:sz w:val="20"/>
          <w:szCs w:val="20"/>
        </w:rPr>
        <w:t>Copper is an essential nutrient that is widely distributed in food and water and a component of several metalloenzymes that are required for oxidative</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metabolism, including cytochrome oxidases</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(Ursula,</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2006</w:t>
      </w:r>
      <w:r w:rsidRPr="000D7DAD">
        <w:rPr>
          <w:rFonts w:ascii="Times New Roman" w:hAnsi="Times New Roman" w:cs="Times New Roman"/>
          <w:b/>
          <w:bCs/>
          <w:sz w:val="20"/>
          <w:szCs w:val="20"/>
        </w:rPr>
        <w:t>)</w:t>
      </w:r>
      <w:r w:rsidRPr="000D7DAD">
        <w:rPr>
          <w:rFonts w:ascii="Times New Roman" w:hAnsi="Times New Roman" w:cs="Times New Roman"/>
          <w:sz w:val="20"/>
          <w:szCs w:val="20"/>
        </w:rPr>
        <w:t>.</w:t>
      </w:r>
      <w:r w:rsidR="000D7DAD">
        <w:rPr>
          <w:rFonts w:ascii="Times New Roman" w:hAnsi="Times New Roman" w:cs="Times New Roman"/>
          <w:sz w:val="20"/>
          <w:szCs w:val="20"/>
        </w:rPr>
        <w:t xml:space="preserve"> </w:t>
      </w:r>
      <w:r w:rsidRPr="000D7DAD">
        <w:rPr>
          <w:rFonts w:ascii="Times New Roman" w:hAnsi="Times New Roman" w:cs="Times New Roman"/>
          <w:color w:val="000000"/>
          <w:sz w:val="20"/>
          <w:szCs w:val="20"/>
        </w:rPr>
        <w:t>In children with acute lymphoblastic leukemia there is</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 xml:space="preserve">abnormalities in mineral homeostasis and bone mass, biomarkers of bone formation (osteocalcin, bone specific alkaline phosphatase were observed to be suppressed, while bone resorption was elevated together with the effect of </w:t>
      </w:r>
      <w:r w:rsidRPr="000D7DAD">
        <w:rPr>
          <w:rFonts w:ascii="Times New Roman" w:hAnsi="Times New Roman" w:cs="Times New Roman"/>
          <w:color w:val="000000"/>
          <w:sz w:val="20"/>
          <w:szCs w:val="20"/>
          <w:shd w:val="clear" w:color="auto" w:fill="FFFFFF"/>
        </w:rPr>
        <w:t>chemotherapeutic drugs such as steroids</w:t>
      </w:r>
      <w:r w:rsidRPr="000D7DAD">
        <w:rPr>
          <w:rFonts w:ascii="Times New Roman" w:hAnsi="Times New Roman" w:cs="Times New Roman"/>
          <w:color w:val="000000"/>
          <w:sz w:val="20"/>
          <w:szCs w:val="20"/>
        </w:rPr>
        <w:t xml:space="preserve"> (</w:t>
      </w:r>
      <w:hyperlink r:id="rId15" w:history="1">
        <w:r w:rsidRPr="000D7DAD">
          <w:rPr>
            <w:rFonts w:ascii="Times New Roman" w:hAnsi="Times New Roman" w:cs="Times New Roman"/>
            <w:color w:val="660066"/>
            <w:sz w:val="20"/>
            <w:szCs w:val="20"/>
          </w:rPr>
          <w:t>Atkinson SA</w:t>
        </w:r>
      </w:hyperlink>
      <w:r w:rsidRPr="000D7DAD">
        <w:rPr>
          <w:rFonts w:ascii="Times New Roman" w:hAnsi="Times New Roman" w:cs="Times New Roman"/>
          <w:color w:val="000000"/>
          <w:sz w:val="20"/>
          <w:szCs w:val="20"/>
        </w:rPr>
        <w:t>.,</w:t>
      </w:r>
      <w:r w:rsidR="000D7DAD">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2008).</w:t>
      </w:r>
      <w:r w:rsidR="007063F2">
        <w:rPr>
          <w:rFonts w:ascii="Times New Roman" w:hAnsi="Times New Roman" w:cs="Times New Roman"/>
          <w:color w:val="000000"/>
          <w:sz w:val="20"/>
          <w:szCs w:val="20"/>
        </w:rPr>
        <w:t xml:space="preserve"> </w:t>
      </w:r>
      <w:r w:rsidRPr="000D7DAD">
        <w:rPr>
          <w:rFonts w:ascii="Times New Roman" w:hAnsi="Times New Roman" w:cs="Times New Roman"/>
          <w:sz w:val="20"/>
          <w:szCs w:val="20"/>
        </w:rPr>
        <w:t>Nutrients related to bone metabolism have been a target area of research due to the observation of increased incidence of bone fractures during and after treatment for ALL in malnourished children (Kaste et al., 2001).</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Balanced and healthy diet that includes plenty of fruits and vegetables, whole grains, lean sources of protein, low-fat dairy foods and healthy fats.) are recommended by Americain cancer society (2012).</w:t>
      </w:r>
      <w:r w:rsidR="009C656E" w:rsidRPr="000D7DAD">
        <w:rPr>
          <w:rFonts w:ascii="Times New Roman" w:hAnsi="Times New Roman" w:cs="Times New Roman"/>
          <w:sz w:val="20"/>
          <w:szCs w:val="20"/>
        </w:rPr>
        <w:t xml:space="preserve"> </w:t>
      </w:r>
      <w:r w:rsidRPr="000D7DAD">
        <w:rPr>
          <w:rFonts w:ascii="Times New Roman" w:hAnsi="Times New Roman" w:cs="Times New Roman"/>
          <w:color w:val="000000"/>
          <w:sz w:val="20"/>
          <w:szCs w:val="20"/>
        </w:rPr>
        <w:t>The assessment of nutritional status among pediatric patients is important for the planning and execution of nutritional strategies that strive to optimize the quality of life and growth among children with ALL. The present study aimed to evaluate the dietary intake among a group</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of children with acute lymphoblastic leukemia</w:t>
      </w:r>
      <w:r w:rsidR="000D7DAD">
        <w:rPr>
          <w:rFonts w:ascii="Times New Roman" w:hAnsi="Times New Roman" w:cs="Times New Roman"/>
          <w:color w:val="000000"/>
          <w:sz w:val="20"/>
          <w:szCs w:val="20"/>
        </w:rPr>
        <w:t>.</w:t>
      </w:r>
    </w:p>
    <w:p w:rsidR="00B1210F" w:rsidRPr="000D7DAD" w:rsidRDefault="00B1210F" w:rsidP="00B503AF">
      <w:pPr>
        <w:bidi w:val="0"/>
        <w:snapToGrid w:val="0"/>
        <w:spacing w:after="0" w:line="240" w:lineRule="auto"/>
        <w:jc w:val="both"/>
        <w:rPr>
          <w:rFonts w:ascii="Times New Roman" w:hAnsi="Times New Roman" w:cs="Times New Roman"/>
          <w:color w:val="000000"/>
          <w:sz w:val="20"/>
          <w:szCs w:val="20"/>
        </w:rPr>
      </w:pPr>
      <w:r w:rsidRPr="000D7DAD">
        <w:rPr>
          <w:rFonts w:ascii="Times New Roman" w:hAnsi="Times New Roman" w:cs="Times New Roman"/>
          <w:b/>
          <w:bCs/>
          <w:color w:val="000000"/>
          <w:sz w:val="20"/>
          <w:szCs w:val="20"/>
        </w:rPr>
        <w:t>Objectives</w:t>
      </w:r>
      <w:r w:rsidRPr="000D7DAD">
        <w:rPr>
          <w:rFonts w:ascii="Times New Roman" w:hAnsi="Times New Roman" w:cs="Times New Roman"/>
          <w:color w:val="000000"/>
          <w:sz w:val="20"/>
          <w:szCs w:val="20"/>
        </w:rPr>
        <w:t>:</w:t>
      </w:r>
    </w:p>
    <w:p w:rsidR="00B1210F" w:rsidRPr="000D7DAD" w:rsidRDefault="00B1210F" w:rsidP="00B503AF">
      <w:pPr>
        <w:tabs>
          <w:tab w:val="right" w:pos="4678"/>
        </w:tabs>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1- Assessing</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dietary intake of the</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ALL children's</w:t>
      </w:r>
      <w:r w:rsidR="000D7DAD">
        <w:rPr>
          <w:rFonts w:ascii="Times New Roman" w:hAnsi="Times New Roman" w:cs="Times New Roman"/>
          <w:color w:val="000000"/>
          <w:sz w:val="20"/>
          <w:szCs w:val="20"/>
        </w:rPr>
        <w:t>.</w:t>
      </w:r>
    </w:p>
    <w:p w:rsidR="00B1210F" w:rsidRPr="000D7DAD" w:rsidRDefault="00B1210F" w:rsidP="00B503AF">
      <w:pPr>
        <w:tabs>
          <w:tab w:val="right" w:pos="4678"/>
        </w:tabs>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2- find the relation between children dietary intake and the dietary recommendation for ALL of the American cancer society</w:t>
      </w:r>
      <w:r w:rsidR="000D7DAD">
        <w:rPr>
          <w:rFonts w:ascii="Times New Roman" w:hAnsi="Times New Roman" w:cs="Times New Roman"/>
          <w:color w:val="000000"/>
          <w:sz w:val="20"/>
          <w:szCs w:val="20"/>
        </w:rPr>
        <w:t>.</w:t>
      </w:r>
    </w:p>
    <w:p w:rsidR="00B1210F" w:rsidRPr="000D7DAD" w:rsidRDefault="00B1210F" w:rsidP="00B503AF">
      <w:pPr>
        <w:bidi w:val="0"/>
        <w:snapToGrid w:val="0"/>
        <w:spacing w:after="0" w:line="240" w:lineRule="auto"/>
        <w:ind w:firstLine="425"/>
        <w:jc w:val="both"/>
        <w:rPr>
          <w:rFonts w:ascii="Times New Roman" w:eastAsia="MS ??" w:hAnsi="Times New Roman" w:cs="Times New Roman"/>
          <w:sz w:val="20"/>
          <w:szCs w:val="20"/>
        </w:rPr>
      </w:pPr>
      <w:r w:rsidRPr="000D7DAD">
        <w:rPr>
          <w:rFonts w:ascii="Times New Roman" w:hAnsi="Times New Roman" w:cs="Times New Roman"/>
          <w:color w:val="000000"/>
          <w:sz w:val="20"/>
          <w:szCs w:val="20"/>
        </w:rPr>
        <w:t xml:space="preserve">3- </w:t>
      </w:r>
      <w:r w:rsidRPr="000D7DAD">
        <w:rPr>
          <w:rFonts w:ascii="Times New Roman" w:hAnsi="Times New Roman" w:cs="Times New Roman"/>
          <w:sz w:val="20"/>
          <w:szCs w:val="20"/>
        </w:rPr>
        <w:t>Identify potential areas of high priority for nutrition intervention</w:t>
      </w:r>
      <w:r w:rsidRPr="000D7DAD">
        <w:rPr>
          <w:rFonts w:ascii="Times New Roman" w:hAnsi="Times New Roman" w:cs="Times New Roman"/>
          <w:color w:val="403838"/>
          <w:sz w:val="20"/>
          <w:szCs w:val="20"/>
        </w:rPr>
        <w:t>.</w:t>
      </w:r>
    </w:p>
    <w:p w:rsidR="00B1210F" w:rsidRPr="000D7DAD" w:rsidRDefault="00B1210F" w:rsidP="00B503AF">
      <w:pPr>
        <w:autoSpaceDE w:val="0"/>
        <w:autoSpaceDN w:val="0"/>
        <w:bidi w:val="0"/>
        <w:adjustRightInd w:val="0"/>
        <w:snapToGrid w:val="0"/>
        <w:spacing w:after="0" w:line="240" w:lineRule="auto"/>
        <w:jc w:val="both"/>
        <w:rPr>
          <w:rFonts w:ascii="Times New Roman" w:hAnsi="Times New Roman" w:cs="Times New Roman"/>
          <w:b/>
          <w:bCs/>
          <w:color w:val="000000"/>
          <w:sz w:val="20"/>
          <w:szCs w:val="20"/>
        </w:rPr>
      </w:pPr>
    </w:p>
    <w:p w:rsidR="00B1210F" w:rsidRPr="000D7DAD" w:rsidRDefault="00B1210F" w:rsidP="00B503AF">
      <w:pPr>
        <w:autoSpaceDE w:val="0"/>
        <w:autoSpaceDN w:val="0"/>
        <w:bidi w:val="0"/>
        <w:adjustRightInd w:val="0"/>
        <w:snapToGrid w:val="0"/>
        <w:spacing w:after="0" w:line="240" w:lineRule="auto"/>
        <w:jc w:val="both"/>
        <w:rPr>
          <w:rFonts w:ascii="Times New Roman" w:hAnsi="Times New Roman" w:cs="Times New Roman"/>
          <w:bCs/>
          <w:sz w:val="20"/>
          <w:szCs w:val="20"/>
        </w:rPr>
      </w:pPr>
      <w:r w:rsidRPr="000D7DAD">
        <w:rPr>
          <w:rFonts w:ascii="Times New Roman" w:hAnsi="Times New Roman" w:cs="Times New Roman"/>
          <w:b/>
          <w:bCs/>
          <w:color w:val="000000"/>
          <w:sz w:val="20"/>
          <w:szCs w:val="20"/>
        </w:rPr>
        <w:t>2. Subjects and methods</w:t>
      </w:r>
    </w:p>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bCs/>
          <w:sz w:val="20"/>
          <w:szCs w:val="20"/>
        </w:rPr>
        <w:t>A puperposivesample</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of</w:t>
      </w:r>
      <w:r w:rsidR="000D7DAD">
        <w:rPr>
          <w:rFonts w:ascii="Times New Roman" w:hAnsi="Times New Roman" w:cs="Times New Roman"/>
          <w:bCs/>
          <w:sz w:val="20"/>
          <w:szCs w:val="20"/>
        </w:rPr>
        <w:t xml:space="preserve"> </w:t>
      </w:r>
      <w:r w:rsidRPr="000D7DAD">
        <w:rPr>
          <w:rFonts w:ascii="Times New Roman" w:hAnsi="Times New Roman" w:cs="Times New Roman"/>
          <w:bCs/>
          <w:sz w:val="20"/>
          <w:szCs w:val="20"/>
        </w:rPr>
        <w:t>21 patients of both sexes with acute lymphoblastic leukemia their age</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 xml:space="preserve">range between 3 and 11 years </w:t>
      </w:r>
      <w:r w:rsidRPr="000D7DAD">
        <w:rPr>
          <w:rFonts w:ascii="Times New Roman" w:hAnsi="Times New Roman" w:cs="Times New Roman"/>
          <w:sz w:val="20"/>
          <w:szCs w:val="20"/>
        </w:rPr>
        <w:t>from Heamatology oncology pediatric department in Zagazig University</w:t>
      </w:r>
      <w:r w:rsidRPr="000D7DAD">
        <w:rPr>
          <w:rFonts w:ascii="Times New Roman" w:hAnsi="Times New Roman" w:cs="Times New Roman"/>
          <w:color w:val="000000"/>
          <w:sz w:val="20"/>
          <w:szCs w:val="20"/>
        </w:rPr>
        <w:t xml:space="preserve"> in EL Zagazic Governorate.</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The study duration 6 months from, June 2015 till December 2015.</w:t>
      </w:r>
      <w:r w:rsidR="000D7DAD">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The</w:t>
      </w:r>
      <w:r w:rsidR="009079AC">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participants</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 xml:space="preserve">were diagnosed as ALL patients based </w:t>
      </w:r>
      <w:r w:rsidRPr="000D7DAD">
        <w:rPr>
          <w:rFonts w:ascii="Times New Roman" w:hAnsi="Times New Roman" w:cs="Times New Roman"/>
          <w:sz w:val="20"/>
          <w:szCs w:val="20"/>
        </w:rPr>
        <w:t>mainly on bone marrow aspiration and immunophenotyping</w:t>
      </w:r>
      <w:r w:rsidRPr="000D7DAD">
        <w:rPr>
          <w:rFonts w:ascii="Times New Roman" w:hAnsi="Times New Roman" w:cs="Times New Roman"/>
          <w:color w:val="000000"/>
          <w:sz w:val="20"/>
          <w:szCs w:val="20"/>
        </w:rPr>
        <w:t>.</w:t>
      </w:r>
      <w:r w:rsidR="000D7DAD">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The study</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was carried in post induction phase of treatment</w:t>
      </w:r>
      <w:r w:rsidRPr="000D7DAD">
        <w:rPr>
          <w:rFonts w:ascii="Times New Roman" w:hAnsi="Times New Roman" w:cs="Times New Roman"/>
          <w:sz w:val="20"/>
          <w:szCs w:val="20"/>
        </w:rPr>
        <w:t>.</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They received CCG protocol that composed of 6 stages ofthe chemotherapeutic agents (Methotrexate,</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oncovein, mercaptopurien, dexamethasone, cycloposphamide and Ara C).</w:t>
      </w:r>
    </w:p>
    <w:p w:rsidR="00B1210F" w:rsidRPr="000D7DAD" w:rsidRDefault="00B1210F" w:rsidP="00B503AF">
      <w:pPr>
        <w:bidi w:val="0"/>
        <w:snapToGrid w:val="0"/>
        <w:spacing w:after="0" w:line="240" w:lineRule="auto"/>
        <w:jc w:val="both"/>
        <w:rPr>
          <w:rFonts w:ascii="Times New Roman" w:hAnsi="Times New Roman" w:cs="Times New Roman"/>
          <w:color w:val="000000"/>
          <w:sz w:val="20"/>
          <w:szCs w:val="20"/>
        </w:rPr>
      </w:pPr>
      <w:r w:rsidRPr="000D7DAD">
        <w:rPr>
          <w:rFonts w:ascii="Times New Roman" w:hAnsi="Times New Roman" w:cs="Times New Roman"/>
          <w:b/>
          <w:bCs/>
          <w:color w:val="000000"/>
          <w:sz w:val="20"/>
          <w:szCs w:val="20"/>
        </w:rPr>
        <w:t xml:space="preserve">1. Questionnaire of </w:t>
      </w:r>
      <w:r w:rsidRPr="000D7DAD">
        <w:rPr>
          <w:rFonts w:ascii="Times New Roman" w:hAnsi="Times New Roman" w:cs="Times New Roman"/>
          <w:b/>
          <w:bCs/>
          <w:sz w:val="20"/>
          <w:szCs w:val="20"/>
        </w:rPr>
        <w:t>Heamatology Oncology</w:t>
      </w:r>
      <w:r w:rsidRPr="000D7DAD">
        <w:rPr>
          <w:rFonts w:ascii="Times New Roman" w:hAnsi="Times New Roman" w:cs="Times New Roman"/>
          <w:b/>
          <w:bCs/>
          <w:color w:val="000000"/>
          <w:sz w:val="20"/>
          <w:szCs w:val="20"/>
        </w:rPr>
        <w:t xml:space="preserve"> Uni</w:t>
      </w:r>
      <w:r w:rsidRPr="000D7DAD">
        <w:rPr>
          <w:rFonts w:ascii="Times New Roman" w:hAnsi="Times New Roman" w:cs="Times New Roman"/>
          <w:color w:val="000000"/>
          <w:sz w:val="20"/>
          <w:szCs w:val="20"/>
        </w:rPr>
        <w:t>t</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 xml:space="preserve">All the cases were subjected to interview questionnaire of </w:t>
      </w:r>
      <w:r w:rsidRPr="000D7DAD">
        <w:rPr>
          <w:rFonts w:ascii="Times New Roman" w:hAnsi="Times New Roman" w:cs="Times New Roman"/>
          <w:sz w:val="20"/>
          <w:szCs w:val="20"/>
        </w:rPr>
        <w:t>Heamatology Oncology Pediatric Department in Zagazig Universit</w:t>
      </w:r>
      <w:r w:rsidRPr="000D7DAD">
        <w:rPr>
          <w:rFonts w:ascii="Times New Roman" w:hAnsi="Times New Roman" w:cs="Times New Roman"/>
          <w:color w:val="000000"/>
          <w:sz w:val="20"/>
          <w:szCs w:val="20"/>
        </w:rPr>
        <w:t>y Hospital.</w:t>
      </w:r>
    </w:p>
    <w:p w:rsidR="00B1210F" w:rsidRPr="000D7DAD" w:rsidRDefault="00B1210F" w:rsidP="00B503AF">
      <w:pPr>
        <w:bidi w:val="0"/>
        <w:snapToGrid w:val="0"/>
        <w:spacing w:after="0" w:line="240" w:lineRule="auto"/>
        <w:jc w:val="both"/>
        <w:rPr>
          <w:rFonts w:ascii="Times New Roman" w:hAnsi="Times New Roman" w:cs="Times New Roman"/>
          <w:color w:val="000000"/>
          <w:sz w:val="20"/>
          <w:szCs w:val="20"/>
          <w:shd w:val="clear" w:color="auto" w:fill="FFFFFF"/>
        </w:rPr>
      </w:pPr>
      <w:r w:rsidRPr="000D7DAD">
        <w:rPr>
          <w:rFonts w:ascii="Times New Roman" w:hAnsi="Times New Roman" w:cs="Times New Roman"/>
          <w:b/>
          <w:bCs/>
          <w:color w:val="000000"/>
          <w:sz w:val="20"/>
          <w:szCs w:val="20"/>
        </w:rPr>
        <w:t>2-Anthropometric Measurements</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shd w:val="clear" w:color="auto" w:fill="FFFFFF"/>
        </w:rPr>
        <w:t>Weight and height was recorded according to the standardized</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methods</w:t>
      </w:r>
      <w:r w:rsidR="000D7DAD">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(who.,</w:t>
      </w:r>
      <w:r w:rsidR="000D7DAD">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2007)</w:t>
      </w:r>
      <w:r w:rsidR="000D7DAD">
        <w:rPr>
          <w:rFonts w:ascii="Times New Roman" w:hAnsi="Times New Roman" w:cs="Times New Roman"/>
          <w:color w:val="000000"/>
          <w:sz w:val="20"/>
          <w:szCs w:val="20"/>
          <w:shd w:val="clear" w:color="auto" w:fill="FFFFFF"/>
        </w:rPr>
        <w:t>.</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lastRenderedPageBreak/>
        <w:t>Height was categorized as: Normal (-2 to +2SD), Short stature &lt;-2SD, and Tall if &gt;+2SD.</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shd w:val="clear" w:color="auto" w:fill="FFFFFF"/>
        </w:rPr>
        <w:t xml:space="preserve">Wight was categorized as: </w:t>
      </w:r>
      <w:r w:rsidRPr="000D7DAD">
        <w:rPr>
          <w:rFonts w:ascii="Times New Roman" w:hAnsi="Times New Roman" w:cs="Times New Roman"/>
          <w:color w:val="000000"/>
          <w:sz w:val="20"/>
          <w:szCs w:val="20"/>
        </w:rPr>
        <w:t>Normal (-2 to +2SD), Wasting (&lt;-2 SD), and Over weight (&gt;+2SD)</w:t>
      </w:r>
      <w:r w:rsidR="000D7DAD">
        <w:rPr>
          <w:rFonts w:ascii="Times New Roman" w:hAnsi="Times New Roman" w:cs="Times New Roman"/>
          <w:color w:val="000000"/>
          <w:sz w:val="20"/>
          <w:szCs w:val="20"/>
        </w:rPr>
        <w:t>.</w:t>
      </w:r>
    </w:p>
    <w:p w:rsidR="00B1210F" w:rsidRPr="000D7DAD" w:rsidRDefault="00B1210F" w:rsidP="00B503AF">
      <w:pPr>
        <w:bidi w:val="0"/>
        <w:snapToGrid w:val="0"/>
        <w:spacing w:after="0" w:line="240" w:lineRule="auto"/>
        <w:jc w:val="both"/>
        <w:rPr>
          <w:rFonts w:ascii="Times New Roman" w:hAnsi="Times New Roman" w:cs="Times New Roman"/>
          <w:b/>
          <w:color w:val="000000"/>
          <w:sz w:val="20"/>
          <w:szCs w:val="20"/>
          <w:shd w:val="clear" w:color="auto" w:fill="FFFFFF"/>
        </w:rPr>
      </w:pPr>
      <w:r w:rsidRPr="000D7DAD">
        <w:rPr>
          <w:rFonts w:ascii="Times New Roman" w:hAnsi="Times New Roman" w:cs="Times New Roman"/>
          <w:b/>
          <w:color w:val="000000"/>
          <w:sz w:val="20"/>
          <w:szCs w:val="20"/>
          <w:shd w:val="clear" w:color="auto" w:fill="FFFFFF"/>
        </w:rPr>
        <w:t>Assessment of Body Mass Index for age:</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For age from 3-11 years old, the Z score body mass index was used for boys and girls.</w:t>
      </w:r>
      <w:r w:rsidR="000D7DAD">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The following categories of weight status were determined according to WHO Z</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score body mass index growth chart reference for children (2-19) years old ) released by WHO in 2007.</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BMI was categorized as: Normal (&gt;-2 to &lt;+1), Over weight (&gt;+1 SD), Obese (&gt;+2SD) and Thinness (&lt;-2 SD)</w:t>
      </w:r>
      <w:r w:rsidR="000D7DAD">
        <w:rPr>
          <w:rFonts w:ascii="Times New Roman" w:hAnsi="Times New Roman" w:cs="Times New Roman"/>
          <w:color w:val="000000"/>
          <w:sz w:val="20"/>
          <w:szCs w:val="20"/>
          <w:shd w:val="clear" w:color="auto" w:fill="FFFFFF"/>
        </w:rPr>
        <w:t>.</w:t>
      </w:r>
    </w:p>
    <w:p w:rsidR="00B1210F" w:rsidRPr="000D7DAD" w:rsidRDefault="00B1210F" w:rsidP="00B503AF">
      <w:pPr>
        <w:bidi w:val="0"/>
        <w:snapToGrid w:val="0"/>
        <w:spacing w:after="0" w:line="240" w:lineRule="auto"/>
        <w:jc w:val="both"/>
        <w:rPr>
          <w:rFonts w:ascii="Times New Roman" w:hAnsi="Times New Roman" w:cs="Times New Roman"/>
          <w:b/>
          <w:bCs/>
          <w:color w:val="000000"/>
          <w:sz w:val="20"/>
          <w:szCs w:val="20"/>
        </w:rPr>
      </w:pPr>
      <w:r w:rsidRPr="000D7DAD">
        <w:rPr>
          <w:rFonts w:ascii="Times New Roman" w:hAnsi="Times New Roman" w:cs="Times New Roman"/>
          <w:b/>
          <w:bCs/>
          <w:color w:val="000000"/>
          <w:sz w:val="20"/>
          <w:szCs w:val="20"/>
        </w:rPr>
        <w:t>3-Dietary assessment:</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Data on nutritional status had been collected using specially designed questionnaires to cover required information on: Food intake (24 hours recall), and Dietary pattern “Food frequency” for selected items.</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The energy and nutrient content of the 24 hour was computed through the compiled food composition tables of the NNI (2006)</w:t>
      </w:r>
      <w:r w:rsidR="000D7DAD">
        <w:rPr>
          <w:rFonts w:ascii="Times New Roman" w:hAnsi="Times New Roman" w:cs="Times New Roman"/>
          <w:sz w:val="20"/>
          <w:szCs w:val="20"/>
        </w:rPr>
        <w:t>.</w:t>
      </w:r>
    </w:p>
    <w:p w:rsidR="00B1210F" w:rsidRPr="000D7DAD" w:rsidRDefault="00B1210F" w:rsidP="00B503AF">
      <w:pPr>
        <w:bidi w:val="0"/>
        <w:snapToGrid w:val="0"/>
        <w:spacing w:after="0" w:line="240" w:lineRule="auto"/>
        <w:jc w:val="both"/>
        <w:rPr>
          <w:rFonts w:ascii="Times New Roman" w:hAnsi="Times New Roman" w:cs="Times New Roman"/>
          <w:b/>
          <w:bCs/>
          <w:sz w:val="20"/>
          <w:szCs w:val="20"/>
        </w:rPr>
      </w:pPr>
      <w:r w:rsidRPr="000D7DAD">
        <w:rPr>
          <w:rFonts w:ascii="Times New Roman" w:hAnsi="Times New Roman" w:cs="Times New Roman"/>
          <w:b/>
          <w:bCs/>
          <w:sz w:val="20"/>
          <w:szCs w:val="20"/>
        </w:rPr>
        <w:t>Dietary dequacy:</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lang w:bidi="ar-EG"/>
        </w:rPr>
      </w:pPr>
      <w:r w:rsidRPr="000D7DAD">
        <w:rPr>
          <w:rFonts w:ascii="Times New Roman" w:hAnsi="Times New Roman" w:cs="Times New Roman"/>
          <w:sz w:val="20"/>
          <w:szCs w:val="20"/>
        </w:rPr>
        <w:t>The nutritional value of foods items consumed was compared to the recommended dietary allowances “RDAs” of WHO,</w:t>
      </w:r>
      <w:r w:rsidR="000D7DAD">
        <w:rPr>
          <w:rFonts w:ascii="Times New Roman" w:hAnsi="Times New Roman" w:cs="Times New Roman"/>
          <w:sz w:val="20"/>
          <w:szCs w:val="20"/>
        </w:rPr>
        <w:t xml:space="preserve"> FAO </w:t>
      </w:r>
      <w:r w:rsidRPr="000D7DAD">
        <w:rPr>
          <w:rFonts w:ascii="Times New Roman" w:hAnsi="Times New Roman" w:cs="Times New Roman"/>
          <w:sz w:val="20"/>
          <w:szCs w:val="20"/>
        </w:rPr>
        <w:t xml:space="preserve">(2002). </w:t>
      </w:r>
      <w:r w:rsidRPr="000D7DAD">
        <w:rPr>
          <w:rFonts w:ascii="Times New Roman" w:hAnsi="Times New Roman" w:cs="Times New Roman"/>
          <w:sz w:val="20"/>
          <w:szCs w:val="20"/>
          <w:lang w:bidi="ar-EG"/>
        </w:rPr>
        <w:t>I</w:t>
      </w:r>
      <w:r w:rsidRPr="000D7DAD">
        <w:rPr>
          <w:rFonts w:ascii="Times New Roman" w:hAnsi="Times New Roman" w:cs="Times New Roman"/>
          <w:sz w:val="20"/>
          <w:szCs w:val="20"/>
        </w:rPr>
        <w:t>ron estimation was based on its bioavailability according to the daily diet content of heam iron source in grams (meat,</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poultry</w:t>
      </w:r>
      <w:r w:rsidR="009079AC">
        <w:rPr>
          <w:rFonts w:ascii="Times New Roman" w:hAnsi="Times New Roman" w:cs="Times New Roman"/>
          <w:sz w:val="20"/>
          <w:szCs w:val="20"/>
        </w:rPr>
        <w:t xml:space="preserve"> </w:t>
      </w:r>
      <w:r w:rsidRPr="000D7DAD">
        <w:rPr>
          <w:rFonts w:ascii="Times New Roman" w:hAnsi="Times New Roman" w:cs="Times New Roman"/>
          <w:sz w:val="20"/>
          <w:szCs w:val="20"/>
        </w:rPr>
        <w:t>and fish) or ascorbic acid (mg) as follows: Low bioavailability:</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&lt;30gm of heam iron source or</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&lt;25 mg of ascorbic, Intermediate bioavailability: 30-90 gm of heam iron source or 25-75mg</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of ascorbic acid and High bioavailability:</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&gt;90gm of heam iron source or</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 xml:space="preserve">&gt;75mg ascorbic acid </w:t>
      </w:r>
      <w:r w:rsidRPr="000D7DAD">
        <w:rPr>
          <w:rFonts w:ascii="Times New Roman" w:hAnsi="Times New Roman" w:cs="Times New Roman"/>
          <w:sz w:val="20"/>
          <w:szCs w:val="20"/>
          <w:lang w:bidi="ar-EG"/>
        </w:rPr>
        <w:t>(Sight and life /Newsletter/ 2002)</w:t>
      </w:r>
      <w:r w:rsidR="000D7DAD">
        <w:rPr>
          <w:rFonts w:ascii="Times New Roman" w:hAnsi="Times New Roman" w:cs="Times New Roman"/>
          <w:sz w:val="20"/>
          <w:szCs w:val="20"/>
          <w:lang w:bidi="ar-EG"/>
        </w:rPr>
        <w:t>.</w:t>
      </w:r>
    </w:p>
    <w:p w:rsidR="00B1210F" w:rsidRPr="000D7DAD" w:rsidRDefault="00B1210F" w:rsidP="00B503AF">
      <w:pPr>
        <w:bidi w:val="0"/>
        <w:snapToGrid w:val="0"/>
        <w:spacing w:after="0" w:line="240" w:lineRule="auto"/>
        <w:jc w:val="both"/>
        <w:rPr>
          <w:rFonts w:ascii="Times New Roman" w:hAnsi="Times New Roman" w:cs="Times New Roman"/>
          <w:b/>
          <w:bCs/>
          <w:sz w:val="20"/>
          <w:szCs w:val="20"/>
        </w:rPr>
      </w:pPr>
      <w:r w:rsidRPr="000D7DAD">
        <w:rPr>
          <w:rFonts w:ascii="Times New Roman" w:eastAsia="MS ??" w:hAnsi="Times New Roman" w:cs="Times New Roman"/>
          <w:b/>
          <w:bCs/>
          <w:sz w:val="20"/>
          <w:szCs w:val="20"/>
        </w:rPr>
        <w:t>Food Variety Score</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eastAsia="MS ??" w:hAnsi="Times New Roman" w:cs="Times New Roman"/>
          <w:sz w:val="20"/>
          <w:szCs w:val="20"/>
        </w:rPr>
        <w:t>Food Variety Score (FVS) was defined as the number of different food items eaten during the registration period. The total number of foods included in FVS was independently of the quantity consumed. This included all the food items (</w:t>
      </w:r>
      <w:r w:rsidRPr="000D7DAD">
        <w:rPr>
          <w:rFonts w:ascii="Times New Roman" w:hAnsi="Times New Roman" w:cs="Times New Roman"/>
          <w:sz w:val="20"/>
          <w:szCs w:val="20"/>
        </w:rPr>
        <w:t>Savige</w:t>
      </w:r>
      <w:r w:rsidR="00145ABE" w:rsidRPr="000D7DAD">
        <w:rPr>
          <w:rFonts w:ascii="Times New Roman" w:hAnsi="Times New Roman" w:cs="Times New Roman"/>
          <w:sz w:val="20"/>
          <w:szCs w:val="20"/>
        </w:rPr>
        <w:t xml:space="preserve"> </w:t>
      </w:r>
      <w:r w:rsidRPr="000D7DAD">
        <w:rPr>
          <w:rFonts w:ascii="Times New Roman" w:hAnsi="Times New Roman" w:cs="Times New Roman"/>
          <w:sz w:val="20"/>
          <w:szCs w:val="20"/>
        </w:rPr>
        <w:t>GS.,</w:t>
      </w:r>
      <w:r w:rsidR="00145ABE" w:rsidRPr="000D7DAD">
        <w:rPr>
          <w:rFonts w:ascii="Times New Roman" w:hAnsi="Times New Roman" w:cs="Times New Roman"/>
          <w:sz w:val="20"/>
          <w:szCs w:val="20"/>
        </w:rPr>
        <w:t xml:space="preserve"> </w:t>
      </w:r>
      <w:r w:rsidRPr="000D7DAD">
        <w:rPr>
          <w:rFonts w:ascii="Times New Roman" w:hAnsi="Times New Roman" w:cs="Times New Roman"/>
          <w:sz w:val="20"/>
          <w:szCs w:val="20"/>
        </w:rPr>
        <w:t>1997)</w:t>
      </w:r>
      <w:r w:rsidR="00145ABE" w:rsidRPr="000D7DAD">
        <w:rPr>
          <w:rFonts w:ascii="Times New Roman" w:hAnsi="Times New Roman" w:cs="Times New Roman"/>
          <w:sz w:val="20"/>
          <w:szCs w:val="20"/>
        </w:rPr>
        <w:t>.</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p>
    <w:p w:rsidR="00B1210F" w:rsidRPr="000D7DAD" w:rsidRDefault="00B1210F" w:rsidP="00B503AF">
      <w:pPr>
        <w:bidi w:val="0"/>
        <w:snapToGrid w:val="0"/>
        <w:spacing w:after="0" w:line="240" w:lineRule="auto"/>
        <w:jc w:val="both"/>
        <w:rPr>
          <w:rFonts w:ascii="Times New Roman" w:hAnsi="Times New Roman" w:cs="Times New Roman"/>
          <w:sz w:val="20"/>
          <w:szCs w:val="20"/>
        </w:rPr>
      </w:pPr>
      <w:r w:rsidRPr="000D7DAD">
        <w:rPr>
          <w:rFonts w:ascii="Times New Roman" w:hAnsi="Times New Roman" w:cs="Times New Roman"/>
          <w:sz w:val="20"/>
          <w:szCs w:val="20"/>
        </w:rPr>
        <w:t>The summary table of variety scores, shown as percentages</w:t>
      </w:r>
    </w:p>
    <w:tbl>
      <w:tblPr>
        <w:tblW w:w="5000" w:type="pct"/>
        <w:jc w:val="center"/>
        <w:tblCellSpacing w:w="0" w:type="dxa"/>
        <w:tblBorders>
          <w:top w:val="outset" w:sz="6" w:space="0" w:color="003366"/>
          <w:left w:val="outset" w:sz="6" w:space="0" w:color="003366"/>
          <w:bottom w:val="outset" w:sz="6" w:space="0" w:color="003366"/>
          <w:right w:val="outset" w:sz="6" w:space="0" w:color="003366"/>
        </w:tblBorders>
        <w:tblCellMar>
          <w:top w:w="15" w:type="dxa"/>
          <w:left w:w="15" w:type="dxa"/>
          <w:bottom w:w="15" w:type="dxa"/>
          <w:right w:w="15" w:type="dxa"/>
        </w:tblCellMar>
        <w:tblLook w:val="00A0"/>
      </w:tblPr>
      <w:tblGrid>
        <w:gridCol w:w="2630"/>
        <w:gridCol w:w="1836"/>
      </w:tblGrid>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shd w:val="clear" w:color="auto" w:fill="FFFFCC"/>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Total Food Variety Score</w:t>
            </w:r>
          </w:p>
        </w:tc>
        <w:tc>
          <w:tcPr>
            <w:tcW w:w="2055" w:type="pct"/>
            <w:tcBorders>
              <w:top w:val="outset" w:sz="6" w:space="0" w:color="003366"/>
              <w:left w:val="outset" w:sz="6" w:space="0" w:color="003366"/>
              <w:bottom w:val="outset" w:sz="6" w:space="0" w:color="003366"/>
            </w:tcBorders>
            <w:shd w:val="clear" w:color="auto" w:fill="FFFFCC"/>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Dietary adequacy</w:t>
            </w:r>
          </w:p>
        </w:tc>
      </w:tr>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30 +</w:t>
            </w:r>
          </w:p>
        </w:tc>
        <w:tc>
          <w:tcPr>
            <w:tcW w:w="2055" w:type="pct"/>
            <w:tcBorders>
              <w:top w:val="outset" w:sz="6" w:space="0" w:color="003366"/>
              <w:left w:val="outset" w:sz="6" w:space="0" w:color="003366"/>
              <w:bottom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very good</w:t>
            </w:r>
          </w:p>
        </w:tc>
      </w:tr>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25 - 29</w:t>
            </w:r>
          </w:p>
        </w:tc>
        <w:tc>
          <w:tcPr>
            <w:tcW w:w="2055" w:type="pct"/>
            <w:tcBorders>
              <w:top w:val="outset" w:sz="6" w:space="0" w:color="003366"/>
              <w:left w:val="outset" w:sz="6" w:space="0" w:color="003366"/>
              <w:bottom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Good</w:t>
            </w:r>
          </w:p>
        </w:tc>
      </w:tr>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20 - 24</w:t>
            </w:r>
          </w:p>
        </w:tc>
        <w:tc>
          <w:tcPr>
            <w:tcW w:w="2055" w:type="pct"/>
            <w:tcBorders>
              <w:top w:val="outset" w:sz="6" w:space="0" w:color="003366"/>
              <w:left w:val="outset" w:sz="6" w:space="0" w:color="003366"/>
              <w:bottom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Fair</w:t>
            </w:r>
          </w:p>
        </w:tc>
      </w:tr>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10 - 19</w:t>
            </w:r>
          </w:p>
        </w:tc>
        <w:tc>
          <w:tcPr>
            <w:tcW w:w="2055" w:type="pct"/>
            <w:tcBorders>
              <w:top w:val="outset" w:sz="6" w:space="0" w:color="003366"/>
              <w:left w:val="outset" w:sz="6" w:space="0" w:color="003366"/>
              <w:bottom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Poor</w:t>
            </w:r>
          </w:p>
        </w:tc>
      </w:tr>
      <w:tr w:rsidR="00B1210F" w:rsidRPr="000D7DAD" w:rsidTr="000D7DAD">
        <w:trPr>
          <w:tblCellSpacing w:w="0" w:type="dxa"/>
          <w:jc w:val="center"/>
        </w:trPr>
        <w:tc>
          <w:tcPr>
            <w:tcW w:w="2945" w:type="pct"/>
            <w:tcBorders>
              <w:top w:val="outset" w:sz="6" w:space="0" w:color="003366"/>
              <w:bottom w:val="outset" w:sz="6" w:space="0" w:color="003366"/>
              <w:right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0 – 9</w:t>
            </w:r>
          </w:p>
        </w:tc>
        <w:tc>
          <w:tcPr>
            <w:tcW w:w="2055" w:type="pct"/>
            <w:tcBorders>
              <w:top w:val="outset" w:sz="6" w:space="0" w:color="003366"/>
              <w:left w:val="outset" w:sz="6" w:space="0" w:color="003366"/>
              <w:bottom w:val="outset" w:sz="6" w:space="0" w:color="003366"/>
            </w:tcBorders>
            <w:vAlign w:val="center"/>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i/>
                <w:iCs/>
                <w:color w:val="000000"/>
                <w:sz w:val="20"/>
                <w:szCs w:val="20"/>
              </w:rPr>
              <w:t>very poor</w:t>
            </w:r>
          </w:p>
        </w:tc>
      </w:tr>
    </w:tbl>
    <w:p w:rsidR="00B1210F" w:rsidRPr="000D7DAD" w:rsidRDefault="00B1210F" w:rsidP="00B503AF">
      <w:pPr>
        <w:shd w:val="clear" w:color="auto" w:fill="FFFFFF"/>
        <w:bidi w:val="0"/>
        <w:snapToGrid w:val="0"/>
        <w:spacing w:after="0" w:line="240" w:lineRule="auto"/>
        <w:ind w:firstLine="425"/>
        <w:jc w:val="both"/>
        <w:rPr>
          <w:rFonts w:ascii="Times New Roman" w:hAnsi="Times New Roman" w:cs="Times New Roman"/>
          <w:sz w:val="20"/>
          <w:szCs w:val="20"/>
        </w:rPr>
      </w:pPr>
    </w:p>
    <w:p w:rsidR="00B1210F" w:rsidRPr="000D7DAD" w:rsidRDefault="00B1210F" w:rsidP="00B503AF">
      <w:pPr>
        <w:autoSpaceDE w:val="0"/>
        <w:autoSpaceDN w:val="0"/>
        <w:bidi w:val="0"/>
        <w:adjustRightInd w:val="0"/>
        <w:snapToGrid w:val="0"/>
        <w:spacing w:after="0" w:line="240" w:lineRule="auto"/>
        <w:jc w:val="both"/>
        <w:rPr>
          <w:rFonts w:ascii="Times New Roman" w:eastAsia="MS ??" w:hAnsi="Times New Roman" w:cs="Times New Roman"/>
          <w:b/>
          <w:bCs/>
          <w:sz w:val="20"/>
          <w:szCs w:val="20"/>
        </w:rPr>
      </w:pPr>
      <w:r w:rsidRPr="000D7DAD">
        <w:rPr>
          <w:rFonts w:ascii="Times New Roman" w:eastAsia="MS ??" w:hAnsi="Times New Roman" w:cs="Times New Roman"/>
          <w:b/>
          <w:bCs/>
          <w:sz w:val="20"/>
          <w:szCs w:val="20"/>
        </w:rPr>
        <w:t>Diet Diversity Score</w:t>
      </w:r>
    </w:p>
    <w:p w:rsidR="00B1210F" w:rsidRPr="000D7DAD" w:rsidRDefault="00B1210F" w:rsidP="00B503AF">
      <w:pPr>
        <w:tabs>
          <w:tab w:val="left" w:pos="975"/>
          <w:tab w:val="left" w:pos="4268"/>
        </w:tabs>
        <w:bidi w:val="0"/>
        <w:snapToGrid w:val="0"/>
        <w:spacing w:after="0" w:line="240" w:lineRule="auto"/>
        <w:ind w:firstLine="425"/>
        <w:jc w:val="both"/>
        <w:rPr>
          <w:rFonts w:ascii="Times New Roman" w:eastAsia="Arial Unicode MS" w:hAnsi="Times New Roman" w:cs="Times New Roman"/>
          <w:sz w:val="20"/>
          <w:szCs w:val="20"/>
        </w:rPr>
      </w:pPr>
      <w:r w:rsidRPr="000D7DAD">
        <w:rPr>
          <w:rFonts w:ascii="Times New Roman" w:eastAsia="MS ??" w:hAnsi="Times New Roman" w:cs="Times New Roman"/>
          <w:sz w:val="20"/>
          <w:szCs w:val="20"/>
        </w:rPr>
        <w:lastRenderedPageBreak/>
        <w:t>Diet Diversity Score (DDS) was defined as the number of food groups consumed by each child (DDS with only eight values was tested for normality) DDS adapted from (Sounda a</w:t>
      </w:r>
      <w:r w:rsidR="007063F2">
        <w:rPr>
          <w:rFonts w:ascii="Times New Roman" w:eastAsia="MS ??" w:hAnsi="Times New Roman" w:cs="Times New Roman"/>
          <w:sz w:val="20"/>
          <w:szCs w:val="20"/>
        </w:rPr>
        <w:t>,</w:t>
      </w:r>
      <w:r w:rsidRPr="000D7DAD">
        <w:rPr>
          <w:rFonts w:ascii="Times New Roman" w:eastAsia="MS ??" w:hAnsi="Times New Roman" w:cs="Times New Roman"/>
          <w:sz w:val="20"/>
          <w:szCs w:val="20"/>
        </w:rPr>
        <w:t xml:space="preserve"> 2006) which include 12 food items).</w:t>
      </w:r>
      <w:r w:rsidR="007063F2">
        <w:rPr>
          <w:rFonts w:ascii="Times New Roman" w:eastAsia="MS ??" w:hAnsi="Times New Roman" w:cs="Times New Roman"/>
          <w:sz w:val="20"/>
          <w:szCs w:val="20"/>
        </w:rPr>
        <w:t xml:space="preserve"> </w:t>
      </w:r>
      <w:r w:rsidRPr="000D7DAD">
        <w:rPr>
          <w:rFonts w:ascii="Times New Roman" w:eastAsia="MS ??" w:hAnsi="Times New Roman" w:cs="Times New Roman"/>
          <w:sz w:val="20"/>
          <w:szCs w:val="20"/>
        </w:rPr>
        <w:t>In Egypt, we divide food groups into 8 groups, as we used to add tuber and root to cereals, fish and eggs to meat</w:t>
      </w:r>
      <w:r w:rsidRPr="000D7DAD">
        <w:rPr>
          <w:rFonts w:ascii="Times New Roman" w:eastAsia="Arial Unicode MS" w:hAnsi="Times New Roman" w:cs="Times New Roman"/>
          <w:sz w:val="20"/>
          <w:szCs w:val="20"/>
        </w:rPr>
        <w:t xml:space="preserve"> and miscellaneous to sugar.</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Each food group was used given the number 1 if used, or Zero if not used.</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The sum of the scores zero or one was calculated and divided by the 8 (total number of food groups).</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If the percentage is above 75%, the level of consumption is</w:t>
      </w:r>
      <w:r w:rsidR="000D7DAD">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accepted.</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If below 50% consumption, it will be unaccepted level of consumption</w:t>
      </w:r>
      <w:r w:rsidR="007063F2">
        <w:rPr>
          <w:rFonts w:ascii="Times New Roman" w:eastAsia="Arial Unicode MS" w:hAnsi="Times New Roman" w:cs="Times New Roman"/>
          <w:sz w:val="20"/>
          <w:szCs w:val="20"/>
        </w:rPr>
        <w:t>.</w:t>
      </w:r>
    </w:p>
    <w:p w:rsidR="00B1210F" w:rsidRPr="000D7DAD" w:rsidRDefault="00B1210F" w:rsidP="00B503AF">
      <w:pPr>
        <w:autoSpaceDE w:val="0"/>
        <w:autoSpaceDN w:val="0"/>
        <w:bidi w:val="0"/>
        <w:adjustRightInd w:val="0"/>
        <w:snapToGrid w:val="0"/>
        <w:spacing w:after="0" w:line="240" w:lineRule="auto"/>
        <w:jc w:val="both"/>
        <w:rPr>
          <w:rFonts w:ascii="Times New Roman" w:eastAsia="MS ??" w:hAnsi="Times New Roman" w:cs="Times New Roman"/>
          <w:sz w:val="20"/>
          <w:szCs w:val="20"/>
        </w:rPr>
      </w:pPr>
      <w:r w:rsidRPr="000D7DAD">
        <w:rPr>
          <w:rFonts w:ascii="Times New Roman" w:eastAsia="MS ??" w:hAnsi="Times New Roman" w:cs="Times New Roman"/>
          <w:b/>
          <w:bCs/>
          <w:sz w:val="20"/>
          <w:szCs w:val="20"/>
        </w:rPr>
        <w:lastRenderedPageBreak/>
        <w:t>Data analysis</w:t>
      </w:r>
    </w:p>
    <w:p w:rsidR="00B1210F" w:rsidRPr="000D7DAD" w:rsidRDefault="00B1210F" w:rsidP="00B503AF">
      <w:pPr>
        <w:bidi w:val="0"/>
        <w:snapToGrid w:val="0"/>
        <w:spacing w:after="0" w:line="240" w:lineRule="auto"/>
        <w:ind w:firstLine="425"/>
        <w:jc w:val="both"/>
        <w:rPr>
          <w:rFonts w:ascii="Times New Roman" w:hAnsi="Times New Roman" w:cs="Times New Roman"/>
          <w:bCs/>
          <w:sz w:val="20"/>
          <w:szCs w:val="20"/>
          <w:lang w:bidi="ar-EG"/>
        </w:rPr>
      </w:pPr>
      <w:r w:rsidRPr="000D7DAD">
        <w:rPr>
          <w:rFonts w:ascii="Times New Roman" w:eastAsia="MS ??" w:hAnsi="Times New Roman" w:cs="Times New Roman"/>
          <w:sz w:val="20"/>
          <w:szCs w:val="20"/>
        </w:rPr>
        <w:t>Statistical Package for the Social Sciences (SPSS version 20.0) was used to conduct all the statistical analyses.</w:t>
      </w:r>
    </w:p>
    <w:p w:rsidR="00B1210F" w:rsidRPr="000D7DAD" w:rsidRDefault="00B1210F" w:rsidP="00B503AF">
      <w:pPr>
        <w:autoSpaceDE w:val="0"/>
        <w:autoSpaceDN w:val="0"/>
        <w:bidi w:val="0"/>
        <w:adjustRightInd w:val="0"/>
        <w:snapToGrid w:val="0"/>
        <w:spacing w:after="0" w:line="240" w:lineRule="auto"/>
        <w:jc w:val="both"/>
        <w:rPr>
          <w:rFonts w:ascii="Times New Roman" w:hAnsi="Times New Roman" w:cs="Times New Roman"/>
          <w:b/>
          <w:sz w:val="20"/>
          <w:szCs w:val="20"/>
        </w:rPr>
      </w:pPr>
    </w:p>
    <w:p w:rsidR="00B1210F" w:rsidRPr="000D7DAD" w:rsidRDefault="00B1210F" w:rsidP="00B503AF">
      <w:pPr>
        <w:autoSpaceDE w:val="0"/>
        <w:autoSpaceDN w:val="0"/>
        <w:bidi w:val="0"/>
        <w:adjustRightInd w:val="0"/>
        <w:snapToGrid w:val="0"/>
        <w:spacing w:after="0" w:line="240" w:lineRule="auto"/>
        <w:jc w:val="both"/>
        <w:rPr>
          <w:rFonts w:ascii="Times New Roman" w:hAnsi="Times New Roman" w:cs="Times New Roman"/>
          <w:b/>
          <w:sz w:val="20"/>
          <w:szCs w:val="20"/>
        </w:rPr>
      </w:pPr>
      <w:r w:rsidRPr="000D7DAD">
        <w:rPr>
          <w:rFonts w:ascii="Times New Roman" w:hAnsi="Times New Roman" w:cs="Times New Roman"/>
          <w:b/>
          <w:sz w:val="20"/>
          <w:szCs w:val="20"/>
        </w:rPr>
        <w:t>3. Results:</w:t>
      </w:r>
    </w:p>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This study included 21 patients with acute lymphoblastic leukemia.</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Of those patients, 11 were boys (52.4%) and 10 were girls (47.6%).</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Their ages range between 3 and 11 years with no statistical difference between boys and girls. No statistical differences were found between boys and girls regarding weight, height (table 1).</w:t>
      </w:r>
    </w:p>
    <w:p w:rsidR="00B503AF" w:rsidRPr="000D7DAD" w:rsidRDefault="00B503AF" w:rsidP="00B503AF">
      <w:pPr>
        <w:autoSpaceDE w:val="0"/>
        <w:autoSpaceDN w:val="0"/>
        <w:bidi w:val="0"/>
        <w:adjustRightInd w:val="0"/>
        <w:snapToGrid w:val="0"/>
        <w:spacing w:after="0" w:line="240" w:lineRule="auto"/>
        <w:ind w:firstLine="425"/>
        <w:jc w:val="both"/>
        <w:rPr>
          <w:rFonts w:ascii="Times New Roman" w:hAnsi="Times New Roman" w:cs="Times New Roman"/>
          <w:sz w:val="20"/>
          <w:szCs w:val="20"/>
        </w:rPr>
        <w:sectPr w:rsidR="00B503AF" w:rsidRPr="000D7DAD" w:rsidSect="000D7DAD">
          <w:type w:val="continuous"/>
          <w:pgSz w:w="12242" w:h="15842" w:code="1"/>
          <w:pgMar w:top="1440" w:right="1440" w:bottom="1440" w:left="1440" w:header="720" w:footer="720" w:gutter="0"/>
          <w:cols w:num="2" w:space="550"/>
          <w:docGrid w:linePitch="360"/>
        </w:sectPr>
      </w:pPr>
    </w:p>
    <w:p w:rsidR="00B503AF" w:rsidRPr="000D7DAD" w:rsidRDefault="00B503AF" w:rsidP="00B503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p>
    <w:p w:rsidR="00B1210F" w:rsidRPr="000D7DAD" w:rsidRDefault="00B1210F" w:rsidP="00B503AF">
      <w:pPr>
        <w:autoSpaceDE w:val="0"/>
        <w:autoSpaceDN w:val="0"/>
        <w:bidi w:val="0"/>
        <w:adjustRightInd w:val="0"/>
        <w:snapToGrid w:val="0"/>
        <w:spacing w:after="0" w:line="240" w:lineRule="auto"/>
        <w:jc w:val="center"/>
        <w:rPr>
          <w:rFonts w:ascii="Times New Roman" w:hAnsi="Times New Roman" w:cs="Times New Roman"/>
          <w:b/>
          <w:sz w:val="20"/>
          <w:szCs w:val="20"/>
          <w:lang w:bidi="ar-EG"/>
        </w:rPr>
      </w:pPr>
      <w:r w:rsidRPr="000D7DAD">
        <w:rPr>
          <w:rFonts w:ascii="Times New Roman" w:hAnsi="Times New Roman" w:cs="Times New Roman"/>
          <w:b/>
          <w:sz w:val="20"/>
          <w:szCs w:val="20"/>
        </w:rPr>
        <w:t>Table 1: Summary of the subjects' characteristics.</w:t>
      </w:r>
    </w:p>
    <w:tbl>
      <w:tblPr>
        <w:bidiVisual/>
        <w:tblW w:w="47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76"/>
        <w:gridCol w:w="2141"/>
        <w:gridCol w:w="2051"/>
        <w:gridCol w:w="2876"/>
      </w:tblGrid>
      <w:tr w:rsidR="00B1210F" w:rsidRPr="000D7DAD" w:rsidTr="000D7DAD">
        <w:trPr>
          <w:jc w:val="center"/>
        </w:trPr>
        <w:tc>
          <w:tcPr>
            <w:tcW w:w="1092"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Total (n = 21)</w:t>
            </w:r>
          </w:p>
        </w:tc>
        <w:tc>
          <w:tcPr>
            <w:tcW w:w="1183"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Boys (n =11)</w:t>
            </w:r>
          </w:p>
        </w:tc>
        <w:tc>
          <w:tcPr>
            <w:tcW w:w="1134"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Girls (n =10)</w:t>
            </w:r>
          </w:p>
        </w:tc>
        <w:tc>
          <w:tcPr>
            <w:tcW w:w="1590"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rPr>
            </w:pPr>
            <w:r w:rsidRPr="000D7DAD">
              <w:rPr>
                <w:rFonts w:ascii="Times New Roman" w:eastAsiaTheme="minorEastAsia" w:hAnsi="Times New Roman" w:cs="Times New Roman"/>
                <w:b/>
                <w:color w:val="000000"/>
                <w:sz w:val="20"/>
                <w:szCs w:val="20"/>
              </w:rPr>
              <w:t>Characteristics</w:t>
            </w:r>
          </w:p>
        </w:tc>
      </w:tr>
      <w:tr w:rsidR="00B1210F" w:rsidRPr="000D7DAD" w:rsidTr="000D7DAD">
        <w:trPr>
          <w:jc w:val="center"/>
        </w:trPr>
        <w:tc>
          <w:tcPr>
            <w:tcW w:w="1092"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7.68 ± 3.05</w:t>
            </w:r>
          </w:p>
        </w:tc>
        <w:tc>
          <w:tcPr>
            <w:tcW w:w="1183"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7.75 ± 2.98</w:t>
            </w:r>
          </w:p>
        </w:tc>
        <w:tc>
          <w:tcPr>
            <w:tcW w:w="1134"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6.5 ± 2.1</w:t>
            </w:r>
          </w:p>
        </w:tc>
        <w:tc>
          <w:tcPr>
            <w:tcW w:w="1590"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Age (years)</w:t>
            </w:r>
          </w:p>
        </w:tc>
      </w:tr>
      <w:tr w:rsidR="00B1210F" w:rsidRPr="000D7DAD" w:rsidTr="000D7DAD">
        <w:trPr>
          <w:jc w:val="center"/>
        </w:trPr>
        <w:tc>
          <w:tcPr>
            <w:tcW w:w="1092"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22.77 ± 7.27</w:t>
            </w:r>
          </w:p>
        </w:tc>
        <w:tc>
          <w:tcPr>
            <w:tcW w:w="1183"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23.75 ± 7.10</w:t>
            </w:r>
          </w:p>
        </w:tc>
        <w:tc>
          <w:tcPr>
            <w:tcW w:w="1134"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21.7 ± 5.98</w:t>
            </w:r>
          </w:p>
        </w:tc>
        <w:tc>
          <w:tcPr>
            <w:tcW w:w="1590"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Weight (kg)</w:t>
            </w:r>
          </w:p>
        </w:tc>
      </w:tr>
      <w:tr w:rsidR="00B1210F" w:rsidRPr="000D7DAD" w:rsidTr="000D7DAD">
        <w:trPr>
          <w:jc w:val="center"/>
        </w:trPr>
        <w:tc>
          <w:tcPr>
            <w:tcW w:w="1092"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114.4 ± 14.28</w:t>
            </w:r>
          </w:p>
        </w:tc>
        <w:tc>
          <w:tcPr>
            <w:tcW w:w="1183"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106.75 ± 12.01</w:t>
            </w:r>
          </w:p>
        </w:tc>
        <w:tc>
          <w:tcPr>
            <w:tcW w:w="1134"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113.7 ± 15.64</w:t>
            </w:r>
          </w:p>
        </w:tc>
        <w:tc>
          <w:tcPr>
            <w:tcW w:w="1590" w:type="pct"/>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Height (cm)</w:t>
            </w:r>
          </w:p>
        </w:tc>
      </w:tr>
    </w:tbl>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b/>
          <w:sz w:val="20"/>
          <w:szCs w:val="20"/>
          <w:lang w:bidi="ar-EG"/>
        </w:rPr>
      </w:pPr>
      <w:r w:rsidRPr="000D7DAD">
        <w:rPr>
          <w:rFonts w:ascii="Times New Roman" w:hAnsi="Times New Roman" w:cs="Times New Roman"/>
          <w:b/>
          <w:sz w:val="20"/>
          <w:szCs w:val="20"/>
        </w:rPr>
        <w:t xml:space="preserve">Values are expressed as mean </w:t>
      </w:r>
      <w:r w:rsidRPr="000D7DAD">
        <w:rPr>
          <w:rFonts w:ascii="Times New Roman" w:hAnsi="Times New Roman" w:cs="Times New Roman"/>
          <w:b/>
          <w:sz w:val="20"/>
          <w:szCs w:val="20"/>
          <w:lang w:bidi="ar-EG"/>
        </w:rPr>
        <w:t xml:space="preserve">± </w:t>
      </w:r>
      <w:r w:rsidRPr="000D7DAD">
        <w:rPr>
          <w:rFonts w:ascii="Times New Roman" w:hAnsi="Times New Roman" w:cs="Times New Roman"/>
          <w:b/>
          <w:sz w:val="20"/>
          <w:szCs w:val="20"/>
        </w:rPr>
        <w:t>SD.</w:t>
      </w:r>
    </w:p>
    <w:p w:rsidR="00B1210F" w:rsidRPr="000D7DAD" w:rsidRDefault="00B1210F" w:rsidP="000D7DAD">
      <w:pPr>
        <w:bidi w:val="0"/>
        <w:snapToGrid w:val="0"/>
        <w:spacing w:after="0" w:line="240" w:lineRule="auto"/>
        <w:rPr>
          <w:rFonts w:ascii="Times New Roman" w:hAnsi="Times New Roman" w:cs="Times New Roman"/>
          <w:sz w:val="20"/>
          <w:szCs w:val="20"/>
        </w:rPr>
      </w:pPr>
    </w:p>
    <w:p w:rsidR="00B503AF" w:rsidRPr="000D7DAD" w:rsidRDefault="00B503AF" w:rsidP="00B503AF">
      <w:pPr>
        <w:bidi w:val="0"/>
        <w:snapToGrid w:val="0"/>
        <w:spacing w:after="0" w:line="240" w:lineRule="auto"/>
        <w:jc w:val="center"/>
        <w:rPr>
          <w:rFonts w:ascii="Times New Roman" w:hAnsi="Times New Roman" w:cs="Times New Roman"/>
          <w:sz w:val="20"/>
          <w:szCs w:val="20"/>
        </w:rPr>
        <w:sectPr w:rsidR="00B503AF" w:rsidRPr="000D7DAD" w:rsidSect="005E0D2D">
          <w:type w:val="continuous"/>
          <w:pgSz w:w="12242" w:h="15842" w:code="1"/>
          <w:pgMar w:top="1440" w:right="1440" w:bottom="1440" w:left="1440" w:header="720" w:footer="720" w:gutter="0"/>
          <w:cols w:space="708"/>
          <w:bidi/>
          <w:docGrid w:linePitch="360"/>
        </w:sectPr>
      </w:pPr>
    </w:p>
    <w:p w:rsidR="00B1210F" w:rsidRPr="000D7DAD" w:rsidRDefault="00B1210F" w:rsidP="00B503AF">
      <w:pPr>
        <w:bidi w:val="0"/>
        <w:snapToGrid w:val="0"/>
        <w:spacing w:after="0" w:line="240" w:lineRule="auto"/>
        <w:jc w:val="center"/>
        <w:rPr>
          <w:rFonts w:ascii="Times New Roman" w:hAnsi="Times New Roman" w:cs="Times New Roman"/>
          <w:sz w:val="20"/>
          <w:szCs w:val="20"/>
        </w:rPr>
      </w:pPr>
      <w:r w:rsidRPr="000D7DAD">
        <w:rPr>
          <w:rFonts w:ascii="Times New Roman" w:hAnsi="Times New Roman" w:cs="Times New Roman"/>
          <w:sz w:val="20"/>
          <w:szCs w:val="20"/>
        </w:rPr>
        <w:lastRenderedPageBreak/>
        <w:t xml:space="preserve">Table (2): </w:t>
      </w:r>
      <w:r w:rsidRPr="000D7DAD">
        <w:rPr>
          <w:rFonts w:ascii="Times New Roman" w:hAnsi="Times New Roman" w:cs="Times New Roman"/>
          <w:b/>
          <w:sz w:val="20"/>
          <w:szCs w:val="20"/>
        </w:rPr>
        <w:t>Percent distribution of Individual according to sex, age groups weight</w:t>
      </w:r>
      <w:r w:rsidR="000D7DAD">
        <w:rPr>
          <w:rFonts w:ascii="Times New Roman" w:hAnsi="Times New Roman" w:cs="Times New Roman"/>
          <w:b/>
          <w:sz w:val="20"/>
          <w:szCs w:val="20"/>
        </w:rPr>
        <w:t xml:space="preserve"> </w:t>
      </w:r>
      <w:r w:rsidRPr="000D7DAD">
        <w:rPr>
          <w:rFonts w:ascii="Times New Roman" w:hAnsi="Times New Roman" w:cs="Times New Roman"/>
          <w:b/>
          <w:sz w:val="20"/>
          <w:szCs w:val="20"/>
        </w:rPr>
        <w:t>height Z score</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Weights and heights of patients were blotted on Weight and heights growth charts.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 xml:space="preserve">The patient was considered stunted when &lt;-2 SD below normal </w:t>
      </w:r>
      <w:r w:rsidRPr="000D7DAD">
        <w:rPr>
          <w:rFonts w:ascii="Times New Roman" w:hAnsi="Times New Roman" w:cs="Times New Roman"/>
          <w:sz w:val="20"/>
          <w:szCs w:val="20"/>
        </w:rPr>
        <w:lastRenderedPageBreak/>
        <w:t>matched height, wasted when &lt;-2 SD below normal weight for matched height.</w:t>
      </w:r>
      <w:r w:rsidR="007063F2">
        <w:rPr>
          <w:rFonts w:ascii="Times New Roman" w:hAnsi="Times New Roman" w:cs="Times New Roman"/>
          <w:sz w:val="20"/>
          <w:szCs w:val="20"/>
        </w:rPr>
        <w:t xml:space="preserve"> </w:t>
      </w:r>
      <w:r w:rsidRPr="000D7DAD">
        <w:rPr>
          <w:rFonts w:ascii="Times New Roman" w:hAnsi="Times New Roman" w:cs="Times New Roman"/>
          <w:bCs/>
          <w:sz w:val="20"/>
          <w:szCs w:val="20"/>
        </w:rPr>
        <w:t xml:space="preserve">Using BMI Z score, </w:t>
      </w:r>
      <w:r w:rsidRPr="000D7DAD">
        <w:rPr>
          <w:rFonts w:ascii="Times New Roman" w:hAnsi="Times New Roman" w:cs="Times New Roman"/>
          <w:sz w:val="20"/>
          <w:szCs w:val="20"/>
        </w:rPr>
        <w:t>the patient was considered thinny when &lt;-2 SD below normal age.</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In the current study</w:t>
      </w:r>
      <w:r w:rsidR="007063F2">
        <w:rPr>
          <w:rFonts w:ascii="Times New Roman" w:hAnsi="Times New Roman" w:cs="Times New Roman"/>
          <w:sz w:val="20"/>
          <w:szCs w:val="20"/>
        </w:rPr>
        <w:t xml:space="preserve"> </w:t>
      </w:r>
      <w:r w:rsidRPr="000D7DAD">
        <w:rPr>
          <w:rFonts w:ascii="Times New Roman" w:hAnsi="Times New Roman" w:cs="Times New Roman"/>
          <w:bCs/>
          <w:sz w:val="20"/>
          <w:szCs w:val="20"/>
        </w:rPr>
        <w:t>38.09%</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were stunded, 3</w:t>
      </w:r>
      <w:r w:rsidRPr="000D7DAD">
        <w:rPr>
          <w:rFonts w:ascii="Times New Roman" w:hAnsi="Times New Roman" w:cs="Times New Roman"/>
          <w:sz w:val="20"/>
          <w:szCs w:val="20"/>
        </w:rPr>
        <w:t>3.3% were wasted,</w:t>
      </w:r>
      <w:r w:rsidRPr="000D7DAD">
        <w:rPr>
          <w:rFonts w:ascii="Times New Roman" w:hAnsi="Times New Roman" w:cs="Times New Roman"/>
          <w:bCs/>
          <w:sz w:val="20"/>
          <w:szCs w:val="20"/>
        </w:rPr>
        <w:t>and</w:t>
      </w:r>
      <w:r w:rsidRPr="000D7DAD">
        <w:rPr>
          <w:rFonts w:ascii="Times New Roman" w:hAnsi="Times New Roman" w:cs="Times New Roman"/>
          <w:sz w:val="20"/>
          <w:szCs w:val="20"/>
        </w:rPr>
        <w:t>28.5were thinny respectively.</w:t>
      </w:r>
    </w:p>
    <w:p w:rsidR="00B503AF" w:rsidRPr="000D7DAD" w:rsidRDefault="00B503AF" w:rsidP="00B503AF">
      <w:pPr>
        <w:bidi w:val="0"/>
        <w:snapToGrid w:val="0"/>
        <w:spacing w:after="0" w:line="240" w:lineRule="auto"/>
        <w:jc w:val="center"/>
        <w:rPr>
          <w:rFonts w:ascii="Times New Roman" w:hAnsi="Times New Roman" w:cs="Times New Roman"/>
          <w:b/>
          <w:sz w:val="20"/>
          <w:szCs w:val="20"/>
        </w:rPr>
        <w:sectPr w:rsidR="00B503AF" w:rsidRPr="000D7DAD" w:rsidSect="00B503AF">
          <w:type w:val="continuous"/>
          <w:pgSz w:w="12242" w:h="15842" w:code="1"/>
          <w:pgMar w:top="1440" w:right="1440" w:bottom="1440" w:left="1440" w:header="720" w:footer="720" w:gutter="0"/>
          <w:cols w:num="2" w:space="425"/>
          <w:docGrid w:linePitch="360"/>
        </w:sectPr>
      </w:pPr>
    </w:p>
    <w:p w:rsidR="00B1210F" w:rsidRPr="000D7DAD" w:rsidRDefault="00B1210F" w:rsidP="00B503AF">
      <w:pPr>
        <w:bidi w:val="0"/>
        <w:snapToGrid w:val="0"/>
        <w:spacing w:after="0" w:line="240" w:lineRule="auto"/>
        <w:jc w:val="center"/>
        <w:rPr>
          <w:rFonts w:ascii="Times New Roman" w:hAnsi="Times New Roman" w:cs="Times New Roman"/>
          <w:b/>
          <w:sz w:val="20"/>
          <w:szCs w:val="20"/>
        </w:rPr>
      </w:pPr>
    </w:p>
    <w:p w:rsidR="00B1210F" w:rsidRPr="000D7DAD" w:rsidRDefault="00B1210F" w:rsidP="00B503AF">
      <w:pPr>
        <w:bidi w:val="0"/>
        <w:snapToGrid w:val="0"/>
        <w:spacing w:after="0" w:line="240" w:lineRule="auto"/>
        <w:jc w:val="center"/>
        <w:rPr>
          <w:rFonts w:ascii="Times New Roman" w:hAnsi="Times New Roman" w:cs="Times New Roman"/>
          <w:b/>
          <w:bCs/>
          <w:sz w:val="20"/>
          <w:szCs w:val="20"/>
        </w:rPr>
      </w:pPr>
      <w:r w:rsidRPr="000D7DAD">
        <w:rPr>
          <w:rFonts w:ascii="Times New Roman" w:hAnsi="Times New Roman" w:cs="Times New Roman"/>
          <w:b/>
          <w:sz w:val="20"/>
          <w:szCs w:val="20"/>
        </w:rPr>
        <w:t>Table (2)</w:t>
      </w:r>
      <w:r w:rsidR="009079AC">
        <w:rPr>
          <w:rFonts w:ascii="Times New Roman" w:hAnsi="Times New Roman" w:cs="Times New Roman"/>
          <w:b/>
          <w:sz w:val="20"/>
          <w:szCs w:val="20"/>
        </w:rPr>
        <w:t>. Factors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440"/>
        <w:gridCol w:w="1583"/>
      </w:tblGrid>
      <w:tr w:rsidR="00B1210F" w:rsidRPr="000D7DAD">
        <w:trPr>
          <w:jc w:val="center"/>
        </w:trPr>
        <w:tc>
          <w:tcPr>
            <w:tcW w:w="352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tc>
        <w:tc>
          <w:tcPr>
            <w:tcW w:w="144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NO</w:t>
            </w:r>
          </w:p>
        </w:tc>
        <w:tc>
          <w:tcPr>
            <w:tcW w:w="158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w:t>
            </w:r>
          </w:p>
        </w:tc>
      </w:tr>
      <w:tr w:rsidR="00B1210F" w:rsidRPr="000D7DAD">
        <w:trPr>
          <w:jc w:val="center"/>
        </w:trPr>
        <w:tc>
          <w:tcPr>
            <w:tcW w:w="352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Sex</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Male</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Female</w:t>
            </w:r>
          </w:p>
        </w:tc>
        <w:tc>
          <w:tcPr>
            <w:tcW w:w="144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w:t>
            </w:r>
          </w:p>
        </w:tc>
        <w:tc>
          <w:tcPr>
            <w:tcW w:w="158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52.4</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43.6</w:t>
            </w:r>
          </w:p>
        </w:tc>
      </w:tr>
      <w:tr w:rsidR="00B1210F" w:rsidRPr="000D7DAD">
        <w:trPr>
          <w:jc w:val="center"/>
        </w:trPr>
        <w:tc>
          <w:tcPr>
            <w:tcW w:w="352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bCs/>
                <w:color w:val="000000"/>
                <w:sz w:val="20"/>
                <w:szCs w:val="20"/>
              </w:rPr>
            </w:pPr>
            <w:r w:rsidRPr="000D7DAD">
              <w:rPr>
                <w:rFonts w:ascii="Times New Roman" w:eastAsiaTheme="minorEastAsia" w:hAnsi="Times New Roman" w:cs="Times New Roman"/>
                <w:color w:val="000000"/>
                <w:sz w:val="20"/>
                <w:szCs w:val="20"/>
              </w:rPr>
              <w:t>BMIZ</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Normal:&gt;-2SD – &lt;2 SD</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Thinness: &lt;-2SD</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Overweight: &gt; 2 SD</w:t>
            </w:r>
          </w:p>
        </w:tc>
        <w:tc>
          <w:tcPr>
            <w:tcW w:w="144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6</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w:t>
            </w:r>
          </w:p>
        </w:tc>
        <w:tc>
          <w:tcPr>
            <w:tcW w:w="158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52.3%</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28.5%</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19%</w:t>
            </w:r>
          </w:p>
        </w:tc>
      </w:tr>
      <w:tr w:rsidR="00B1210F" w:rsidRPr="000D7DAD">
        <w:trPr>
          <w:jc w:val="center"/>
        </w:trPr>
        <w:tc>
          <w:tcPr>
            <w:tcW w:w="352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WHZ</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Normal: &gt; -2SD -&lt;2 SD</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Wasting:</w:t>
            </w:r>
            <w:r w:rsidR="007063F2">
              <w:rPr>
                <w:rFonts w:ascii="Times New Roman" w:eastAsiaTheme="minorEastAsia" w:hAnsi="Times New Roman" w:cs="Times New Roman"/>
                <w:color w:val="000000"/>
                <w:sz w:val="20"/>
                <w:szCs w:val="20"/>
              </w:rPr>
              <w:t xml:space="preserve"> </w:t>
            </w:r>
            <w:r w:rsidRPr="000D7DAD">
              <w:rPr>
                <w:rFonts w:ascii="Times New Roman" w:eastAsiaTheme="minorEastAsia" w:hAnsi="Times New Roman" w:cs="Times New Roman"/>
                <w:color w:val="000000"/>
                <w:sz w:val="20"/>
                <w:szCs w:val="20"/>
              </w:rPr>
              <w:t>&lt; 2SD</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Overweight: &gt; 2 SD</w:t>
            </w:r>
          </w:p>
        </w:tc>
        <w:tc>
          <w:tcPr>
            <w:tcW w:w="144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2</w:t>
            </w:r>
          </w:p>
        </w:tc>
        <w:tc>
          <w:tcPr>
            <w:tcW w:w="158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57.1%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33.3%</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9.5%</w:t>
            </w:r>
          </w:p>
        </w:tc>
      </w:tr>
      <w:tr w:rsidR="00B1210F" w:rsidRPr="000D7DAD">
        <w:trPr>
          <w:jc w:val="center"/>
        </w:trPr>
        <w:tc>
          <w:tcPr>
            <w:tcW w:w="352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HAZ</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Normal:&gt; -2SD - &lt;2 SD</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stunting: &lt; 2SD1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Tall:&gt; 2 SD</w:t>
            </w:r>
          </w:p>
        </w:tc>
        <w:tc>
          <w:tcPr>
            <w:tcW w:w="144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12</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w:t>
            </w:r>
          </w:p>
        </w:tc>
        <w:tc>
          <w:tcPr>
            <w:tcW w:w="158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57.1.</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38. 09</w:t>
            </w:r>
          </w:p>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4.7%</w:t>
            </w:r>
          </w:p>
        </w:tc>
      </w:tr>
    </w:tbl>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b/>
          <w:sz w:val="20"/>
          <w:szCs w:val="20"/>
        </w:rPr>
      </w:pPr>
    </w:p>
    <w:p w:rsidR="00B503AF" w:rsidRPr="000D7DAD" w:rsidRDefault="00B503AF" w:rsidP="00B503AF">
      <w:pPr>
        <w:autoSpaceDE w:val="0"/>
        <w:autoSpaceDN w:val="0"/>
        <w:bidi w:val="0"/>
        <w:adjustRightInd w:val="0"/>
        <w:snapToGrid w:val="0"/>
        <w:spacing w:after="0" w:line="240" w:lineRule="auto"/>
        <w:ind w:firstLine="425"/>
        <w:jc w:val="both"/>
        <w:rPr>
          <w:rFonts w:ascii="Times New Roman" w:hAnsi="Times New Roman" w:cs="Times New Roman"/>
          <w:bCs/>
          <w:sz w:val="20"/>
          <w:szCs w:val="20"/>
        </w:rPr>
        <w:sectPr w:rsidR="00B503AF" w:rsidRPr="000D7DAD" w:rsidSect="005E0D2D">
          <w:type w:val="continuous"/>
          <w:pgSz w:w="12242" w:h="15842" w:code="1"/>
          <w:pgMar w:top="1440" w:right="1440" w:bottom="1440" w:left="1440" w:header="720" w:footer="720" w:gutter="0"/>
          <w:cols w:space="708"/>
          <w:bidi/>
          <w:docGrid w:linePitch="360"/>
        </w:sectPr>
      </w:pPr>
    </w:p>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bCs/>
          <w:sz w:val="20"/>
          <w:szCs w:val="20"/>
        </w:rPr>
      </w:pPr>
      <w:r w:rsidRPr="000D7DAD">
        <w:rPr>
          <w:rFonts w:ascii="Times New Roman" w:hAnsi="Times New Roman" w:cs="Times New Roman"/>
          <w:bCs/>
          <w:sz w:val="20"/>
          <w:szCs w:val="20"/>
        </w:rPr>
        <w:lastRenderedPageBreak/>
        <w:t>Dietary adequacy was interpreted according to the following categories: 50% (unsafe level of consumption), &gt;50-75%</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(unaccepted level of consumption), &gt;75-100% (accepted level of consumption), &gt;100-120% adequate level of consumption and &gt;120% (over consumption).</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The current data showed that there was unsafe level of consumption of vitamin E, C, selenium</w:t>
      </w:r>
      <w:r w:rsidR="007063F2">
        <w:rPr>
          <w:rFonts w:ascii="Times New Roman" w:hAnsi="Times New Roman" w:cs="Times New Roman"/>
          <w:bCs/>
          <w:sz w:val="20"/>
          <w:szCs w:val="20"/>
        </w:rPr>
        <w:t>,</w:t>
      </w:r>
      <w:r w:rsidRPr="000D7DAD">
        <w:rPr>
          <w:rFonts w:ascii="Times New Roman" w:hAnsi="Times New Roman" w:cs="Times New Roman"/>
          <w:bCs/>
          <w:sz w:val="20"/>
          <w:szCs w:val="20"/>
        </w:rPr>
        <w:t xml:space="preserve"> folate vitamin </w:t>
      </w:r>
      <w:r w:rsidRPr="000D7DAD">
        <w:rPr>
          <w:rFonts w:ascii="Times New Roman" w:hAnsi="Times New Roman" w:cs="Times New Roman"/>
          <w:bCs/>
          <w:sz w:val="20"/>
          <w:szCs w:val="20"/>
        </w:rPr>
        <w:lastRenderedPageBreak/>
        <w:t>D, fibers and cupper, unaccepted level of consumption of calcium and omega 3, and accepted level of consumption of total calories and protein, fat, iron, magnesium, vitamin A and B, adequate level of consumption of phosphorus and zinc, with</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over consumption of simple</w:t>
      </w:r>
      <w:r w:rsidR="007063F2">
        <w:rPr>
          <w:rFonts w:ascii="Times New Roman" w:hAnsi="Times New Roman" w:cs="Times New Roman"/>
          <w:bCs/>
          <w:sz w:val="20"/>
          <w:szCs w:val="20"/>
        </w:rPr>
        <w:t xml:space="preserve"> </w:t>
      </w:r>
      <w:r w:rsidRPr="000D7DAD">
        <w:rPr>
          <w:rFonts w:ascii="Times New Roman" w:hAnsi="Times New Roman" w:cs="Times New Roman"/>
          <w:bCs/>
          <w:sz w:val="20"/>
          <w:szCs w:val="20"/>
        </w:rPr>
        <w:t>carbohydrate potassium and sodium and omega 6 (table 4).</w:t>
      </w:r>
    </w:p>
    <w:p w:rsidR="00B503AF" w:rsidRPr="000D7DAD" w:rsidRDefault="00B503AF" w:rsidP="00B503AF">
      <w:pPr>
        <w:tabs>
          <w:tab w:val="left" w:pos="6972"/>
        </w:tabs>
        <w:bidi w:val="0"/>
        <w:snapToGrid w:val="0"/>
        <w:spacing w:after="0" w:line="240" w:lineRule="auto"/>
        <w:jc w:val="center"/>
        <w:rPr>
          <w:rFonts w:ascii="Times New Roman" w:hAnsi="Times New Roman" w:cs="Times New Roman"/>
          <w:b/>
          <w:sz w:val="20"/>
          <w:szCs w:val="20"/>
        </w:rPr>
        <w:sectPr w:rsidR="00B503AF" w:rsidRPr="000D7DAD" w:rsidSect="00B503AF">
          <w:type w:val="continuous"/>
          <w:pgSz w:w="12242" w:h="15842" w:code="1"/>
          <w:pgMar w:top="1440" w:right="1440" w:bottom="1440" w:left="1440" w:header="720" w:footer="720" w:gutter="0"/>
          <w:cols w:num="2" w:space="425"/>
          <w:docGrid w:linePitch="360"/>
        </w:sectPr>
      </w:pPr>
    </w:p>
    <w:p w:rsidR="000D7DAD" w:rsidRPr="000D7DAD" w:rsidRDefault="000D7DAD" w:rsidP="00B503AF">
      <w:pPr>
        <w:tabs>
          <w:tab w:val="left" w:pos="6972"/>
        </w:tabs>
        <w:bidi w:val="0"/>
        <w:snapToGrid w:val="0"/>
        <w:spacing w:after="0" w:line="240" w:lineRule="auto"/>
        <w:jc w:val="center"/>
        <w:rPr>
          <w:rFonts w:ascii="Times New Roman" w:hAnsi="Times New Roman" w:cs="Times New Roman"/>
          <w:b/>
          <w:sz w:val="20"/>
          <w:szCs w:val="20"/>
        </w:rPr>
      </w:pPr>
    </w:p>
    <w:p w:rsidR="009079AC" w:rsidRDefault="009079AC" w:rsidP="000D7DAD">
      <w:pPr>
        <w:tabs>
          <w:tab w:val="left" w:pos="6972"/>
        </w:tabs>
        <w:bidi w:val="0"/>
        <w:snapToGrid w:val="0"/>
        <w:spacing w:after="0" w:line="240" w:lineRule="auto"/>
        <w:jc w:val="center"/>
        <w:rPr>
          <w:rFonts w:ascii="Times New Roman" w:hAnsi="Times New Roman" w:cs="Times New Roman"/>
          <w:b/>
          <w:sz w:val="20"/>
          <w:szCs w:val="20"/>
        </w:rPr>
      </w:pPr>
    </w:p>
    <w:p w:rsidR="00B1210F" w:rsidRPr="000D7DAD" w:rsidRDefault="00B1210F" w:rsidP="009079AC">
      <w:pPr>
        <w:tabs>
          <w:tab w:val="left" w:pos="6972"/>
        </w:tabs>
        <w:bidi w:val="0"/>
        <w:snapToGrid w:val="0"/>
        <w:spacing w:after="0" w:line="240" w:lineRule="auto"/>
        <w:jc w:val="center"/>
        <w:rPr>
          <w:rFonts w:ascii="Times New Roman" w:hAnsi="Times New Roman" w:cs="Times New Roman"/>
          <w:b/>
          <w:sz w:val="20"/>
          <w:szCs w:val="20"/>
        </w:rPr>
      </w:pPr>
      <w:r w:rsidRPr="000D7DAD">
        <w:rPr>
          <w:rFonts w:ascii="Times New Roman" w:hAnsi="Times New Roman" w:cs="Times New Roman"/>
          <w:b/>
          <w:sz w:val="20"/>
          <w:szCs w:val="20"/>
        </w:rPr>
        <w:lastRenderedPageBreak/>
        <w:t>Table</w:t>
      </w:r>
      <w:r w:rsidR="009079AC">
        <w:rPr>
          <w:rFonts w:ascii="Times New Roman" w:hAnsi="Times New Roman" w:cs="Times New Roman"/>
          <w:b/>
          <w:sz w:val="20"/>
          <w:szCs w:val="20"/>
        </w:rPr>
        <w:t xml:space="preserve"> </w:t>
      </w:r>
      <w:r w:rsidRPr="000D7DAD">
        <w:rPr>
          <w:rFonts w:ascii="Times New Roman" w:hAnsi="Times New Roman" w:cs="Times New Roman"/>
          <w:b/>
          <w:sz w:val="20"/>
          <w:szCs w:val="20"/>
        </w:rPr>
        <w:t>(3)</w:t>
      </w:r>
      <w:r w:rsidR="009079AC">
        <w:rPr>
          <w:rFonts w:ascii="Times New Roman" w:hAnsi="Times New Roman" w:cs="Times New Roman"/>
          <w:b/>
          <w:sz w:val="20"/>
          <w:szCs w:val="20"/>
        </w:rPr>
        <w:t>.</w:t>
      </w:r>
      <w:r w:rsidRPr="000D7DAD">
        <w:rPr>
          <w:rFonts w:ascii="Times New Roman" w:hAnsi="Times New Roman" w:cs="Times New Roman"/>
          <w:b/>
          <w:sz w:val="20"/>
          <w:szCs w:val="20"/>
        </w:rPr>
        <w:t xml:space="preserve"> Dietary adequacy among the studied group</w:t>
      </w:r>
    </w:p>
    <w:tbl>
      <w:tblPr>
        <w:bidiVisual/>
        <w:tblW w:w="7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6"/>
        <w:gridCol w:w="2835"/>
        <w:gridCol w:w="2518"/>
      </w:tblGrid>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b/>
                <w:bCs/>
                <w:color w:val="000000"/>
                <w:sz w:val="20"/>
                <w:szCs w:val="20"/>
              </w:rPr>
            </w:pPr>
            <w:r w:rsidRPr="000D7DAD">
              <w:rPr>
                <w:rFonts w:ascii="Times New Roman" w:eastAsiaTheme="minorEastAsia" w:hAnsi="Times New Roman" w:cs="Times New Roman"/>
                <w:b/>
                <w:bCs/>
                <w:color w:val="000000"/>
                <w:sz w:val="20"/>
                <w:szCs w:val="20"/>
              </w:rPr>
              <w:t>%RDA</w:t>
            </w:r>
          </w:p>
        </w:tc>
        <w:tc>
          <w:tcPr>
            <w:tcW w:w="2835"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bCs/>
                <w:color w:val="000000"/>
                <w:sz w:val="20"/>
                <w:szCs w:val="20"/>
              </w:rPr>
            </w:pPr>
            <w:r w:rsidRPr="000D7DAD">
              <w:rPr>
                <w:rFonts w:ascii="Times New Roman" w:eastAsiaTheme="minorEastAsia" w:hAnsi="Times New Roman" w:cs="Times New Roman"/>
                <w:b/>
                <w:bCs/>
                <w:color w:val="000000"/>
                <w:sz w:val="20"/>
                <w:szCs w:val="20"/>
              </w:rPr>
              <w:t>Mean± Std. Deviation</w:t>
            </w:r>
          </w:p>
        </w:tc>
        <w:tc>
          <w:tcPr>
            <w:tcW w:w="2518"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bCs/>
                <w:color w:val="000000"/>
                <w:sz w:val="20"/>
                <w:szCs w:val="20"/>
              </w:rPr>
            </w:pPr>
            <w:r w:rsidRPr="000D7DAD">
              <w:rPr>
                <w:rFonts w:ascii="Times New Roman" w:eastAsiaTheme="minorEastAsia" w:hAnsi="Times New Roman" w:cs="Times New Roman"/>
                <w:b/>
                <w:bCs/>
                <w:color w:val="000000"/>
                <w:sz w:val="20"/>
                <w:szCs w:val="20"/>
              </w:rPr>
              <w:t>Nutrient</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81.41%</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1444.27±412.937</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Cals (kcal)</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77.82%</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56.45±19.160</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Prot (g)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150.39%</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195.50±63.867</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Carb (g)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35.25%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8.82±5.586</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Fib (g)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86.25%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48.55±20.215</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Fat (g)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85.65%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417.55±837.674</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Vit</w:t>
            </w:r>
            <w:r w:rsidR="007063F2">
              <w:rPr>
                <w:rFonts w:ascii="Times New Roman" w:eastAsiaTheme="minorEastAsia" w:hAnsi="Times New Roman" w:cs="Times New Roman"/>
                <w:color w:val="000000"/>
                <w:sz w:val="20"/>
                <w:szCs w:val="20"/>
              </w:rPr>
              <w:t xml:space="preserve"> </w:t>
            </w:r>
            <w:r w:rsidRPr="000D7DAD">
              <w:rPr>
                <w:rFonts w:ascii="Times New Roman" w:eastAsiaTheme="minorEastAsia" w:hAnsi="Times New Roman" w:cs="Times New Roman"/>
                <w:color w:val="000000"/>
                <w:sz w:val="20"/>
                <w:szCs w:val="20"/>
              </w:rPr>
              <w:t>A (µg)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91.25%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.73±.703</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B1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96.25%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.77±.528</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B2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.50±.40</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Niacin</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41.75%</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14.09± 80.522</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Vit C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73.24%</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567.68±272.189</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Calc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14.798%</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.73±.550</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Copp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81.79%</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7.77±6.298</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Iron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87.53%</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103.50±44.962</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Magn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102.11%</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752.27±258.885</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Phos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151.69%</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606.77±163.298</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Pot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199.42%</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2452.95±1010.619</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Sod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105.39%</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7.68±2.662</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Zinc (mg)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50.51%</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.331±.233</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Omeg3(g)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450.03%</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10.898±3.321</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Omeg6 (g)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17.93%</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1.21±1.0</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Vit E(µg)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38.32%</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107.11±58.1</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Selenium(µg)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44.23%</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116.09±38.217</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folate(mcg)</w:t>
            </w:r>
          </w:p>
        </w:tc>
      </w:tr>
      <w:tr w:rsidR="00B1210F" w:rsidRPr="000D7DAD">
        <w:trPr>
          <w:jc w:val="center"/>
        </w:trPr>
        <w:tc>
          <w:tcPr>
            <w:tcW w:w="2126"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33.6%</w:t>
            </w:r>
          </w:p>
        </w:tc>
        <w:tc>
          <w:tcPr>
            <w:tcW w:w="2835"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1.68±0.853</w:t>
            </w:r>
          </w:p>
        </w:tc>
        <w:tc>
          <w:tcPr>
            <w:tcW w:w="2518" w:type="dxa"/>
            <w:vAlign w:val="bottom"/>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rPr>
            </w:pPr>
            <w:r w:rsidRPr="000D7DAD">
              <w:rPr>
                <w:rFonts w:ascii="Times New Roman" w:eastAsiaTheme="minorEastAsia" w:hAnsi="Times New Roman" w:cs="Times New Roman"/>
                <w:color w:val="000000"/>
                <w:sz w:val="20"/>
                <w:szCs w:val="20"/>
              </w:rPr>
              <w:t>vit D (mcg)</w:t>
            </w:r>
          </w:p>
        </w:tc>
      </w:tr>
    </w:tbl>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lang w:bidi="ar-EG"/>
        </w:rPr>
      </w:pPr>
    </w:p>
    <w:p w:rsidR="00B503AF" w:rsidRPr="000D7DAD" w:rsidRDefault="00B503AF" w:rsidP="00B503AF">
      <w:pPr>
        <w:autoSpaceDE w:val="0"/>
        <w:autoSpaceDN w:val="0"/>
        <w:bidi w:val="0"/>
        <w:adjustRightInd w:val="0"/>
        <w:snapToGrid w:val="0"/>
        <w:spacing w:after="0" w:line="240" w:lineRule="auto"/>
        <w:jc w:val="both"/>
        <w:rPr>
          <w:rFonts w:ascii="Times New Roman" w:hAnsi="Times New Roman" w:cs="Times New Roman"/>
          <w:b/>
          <w:iCs/>
          <w:sz w:val="20"/>
          <w:szCs w:val="20"/>
        </w:rPr>
        <w:sectPr w:rsidR="00B503AF" w:rsidRPr="000D7DAD" w:rsidSect="005E0D2D">
          <w:type w:val="continuous"/>
          <w:pgSz w:w="12242" w:h="15842" w:code="1"/>
          <w:pgMar w:top="1440" w:right="1440" w:bottom="1440" w:left="1440" w:header="720" w:footer="720" w:gutter="0"/>
          <w:cols w:space="708"/>
          <w:bidi/>
          <w:docGrid w:linePitch="360"/>
        </w:sectPr>
      </w:pPr>
    </w:p>
    <w:p w:rsidR="00B1210F" w:rsidRPr="000D7DAD" w:rsidRDefault="00B1210F" w:rsidP="00B503AF">
      <w:pPr>
        <w:autoSpaceDE w:val="0"/>
        <w:autoSpaceDN w:val="0"/>
        <w:bidi w:val="0"/>
        <w:adjustRightInd w:val="0"/>
        <w:snapToGrid w:val="0"/>
        <w:spacing w:after="0" w:line="240" w:lineRule="auto"/>
        <w:jc w:val="both"/>
        <w:rPr>
          <w:rFonts w:ascii="Times New Roman" w:hAnsi="Times New Roman" w:cs="Times New Roman"/>
          <w:b/>
          <w:iCs/>
          <w:sz w:val="20"/>
          <w:szCs w:val="20"/>
          <w:lang w:bidi="ar-EG"/>
        </w:rPr>
      </w:pPr>
      <w:r w:rsidRPr="000D7DAD">
        <w:rPr>
          <w:rFonts w:ascii="Times New Roman" w:hAnsi="Times New Roman" w:cs="Times New Roman"/>
          <w:b/>
          <w:iCs/>
          <w:sz w:val="20"/>
          <w:szCs w:val="20"/>
        </w:rPr>
        <w:lastRenderedPageBreak/>
        <w:t>Food variety and dietary diversity</w:t>
      </w:r>
    </w:p>
    <w:p w:rsidR="00B1210F" w:rsidRPr="000D7DAD" w:rsidRDefault="00B1210F" w:rsidP="00B503AF">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The children consumed 20 different food items in total during the registration period, corresponding to a theoretical maximum of the Food Variety Score (FVS) of 75.0 The mean FVS was (20.1) using FVS ranges (12 – 30) our patients score was fair with no statistical differences between boys and girls.</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lastRenderedPageBreak/>
        <w:t>Dietary Diversity (DDS): Number of food groups eaten by the patients are defines as Dietary Diversity Score (DDS).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Mean value of Dietary Diversity Score (DDS) for our patients was 5.8.</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DDS theoretical range was 1 to 8.</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No statistical differences between boys and girls were recorded and the level of consumption of different food groups was accepted (table 5).</w:t>
      </w:r>
    </w:p>
    <w:p w:rsidR="00B503AF" w:rsidRPr="000D7DAD" w:rsidRDefault="00B503AF" w:rsidP="00B503AF">
      <w:pPr>
        <w:autoSpaceDE w:val="0"/>
        <w:autoSpaceDN w:val="0"/>
        <w:bidi w:val="0"/>
        <w:adjustRightInd w:val="0"/>
        <w:snapToGrid w:val="0"/>
        <w:spacing w:after="0" w:line="240" w:lineRule="auto"/>
        <w:jc w:val="center"/>
        <w:rPr>
          <w:rFonts w:ascii="Times New Roman" w:hAnsi="Times New Roman" w:cs="Times New Roman"/>
          <w:b/>
          <w:i/>
          <w:sz w:val="20"/>
          <w:szCs w:val="20"/>
        </w:rPr>
        <w:sectPr w:rsidR="00B503AF" w:rsidRPr="000D7DAD" w:rsidSect="00B503AF">
          <w:type w:val="continuous"/>
          <w:pgSz w:w="12242" w:h="15842" w:code="1"/>
          <w:pgMar w:top="1440" w:right="1440" w:bottom="1440" w:left="1440" w:header="720" w:footer="720" w:gutter="0"/>
          <w:cols w:num="2" w:space="425"/>
          <w:docGrid w:linePitch="360"/>
        </w:sectPr>
      </w:pPr>
    </w:p>
    <w:p w:rsidR="00B1210F" w:rsidRPr="000D7DAD" w:rsidRDefault="00B1210F" w:rsidP="00B503AF">
      <w:pPr>
        <w:autoSpaceDE w:val="0"/>
        <w:autoSpaceDN w:val="0"/>
        <w:bidi w:val="0"/>
        <w:adjustRightInd w:val="0"/>
        <w:snapToGrid w:val="0"/>
        <w:spacing w:after="0" w:line="240" w:lineRule="auto"/>
        <w:jc w:val="center"/>
        <w:rPr>
          <w:rFonts w:ascii="Times New Roman" w:hAnsi="Times New Roman" w:cs="Times New Roman"/>
          <w:b/>
          <w:i/>
          <w:sz w:val="20"/>
          <w:szCs w:val="20"/>
        </w:rPr>
      </w:pPr>
    </w:p>
    <w:p w:rsidR="00B1210F" w:rsidRPr="000D7DAD" w:rsidRDefault="00B1210F" w:rsidP="00B503AF">
      <w:pPr>
        <w:autoSpaceDE w:val="0"/>
        <w:autoSpaceDN w:val="0"/>
        <w:bidi w:val="0"/>
        <w:adjustRightInd w:val="0"/>
        <w:snapToGrid w:val="0"/>
        <w:spacing w:after="0" w:line="240" w:lineRule="auto"/>
        <w:jc w:val="center"/>
        <w:rPr>
          <w:rFonts w:ascii="Times New Roman" w:hAnsi="Times New Roman" w:cs="Times New Roman"/>
          <w:b/>
          <w:iCs/>
          <w:sz w:val="20"/>
          <w:szCs w:val="20"/>
        </w:rPr>
      </w:pPr>
      <w:r w:rsidRPr="000D7DAD">
        <w:rPr>
          <w:rFonts w:ascii="Times New Roman" w:hAnsi="Times New Roman" w:cs="Times New Roman"/>
          <w:b/>
          <w:iCs/>
          <w:sz w:val="20"/>
          <w:szCs w:val="20"/>
        </w:rPr>
        <w:t>Table(4): Food variety and dietary diversity</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992"/>
        <w:gridCol w:w="1920"/>
        <w:gridCol w:w="3262"/>
      </w:tblGrid>
      <w:tr w:rsidR="00B1210F" w:rsidRPr="000D7DAD" w:rsidTr="00B503AF">
        <w:trPr>
          <w:jc w:val="center"/>
        </w:trPr>
        <w:tc>
          <w:tcPr>
            <w:tcW w:w="184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Total (n = 21)</w:t>
            </w:r>
          </w:p>
        </w:tc>
        <w:tc>
          <w:tcPr>
            <w:tcW w:w="199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Boys (n =11)</w:t>
            </w:r>
          </w:p>
        </w:tc>
        <w:tc>
          <w:tcPr>
            <w:tcW w:w="192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Girls (n =10)</w:t>
            </w:r>
          </w:p>
        </w:tc>
        <w:tc>
          <w:tcPr>
            <w:tcW w:w="326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Characteristics</w:t>
            </w:r>
          </w:p>
        </w:tc>
      </w:tr>
      <w:tr w:rsidR="00B1210F" w:rsidRPr="000D7DAD" w:rsidTr="00B503AF">
        <w:trPr>
          <w:jc w:val="center"/>
        </w:trPr>
        <w:tc>
          <w:tcPr>
            <w:tcW w:w="184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7.68 ± 3.05</w:t>
            </w:r>
          </w:p>
        </w:tc>
        <w:tc>
          <w:tcPr>
            <w:tcW w:w="199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7.75 ± 2.98</w:t>
            </w:r>
          </w:p>
        </w:tc>
        <w:tc>
          <w:tcPr>
            <w:tcW w:w="192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6.5 ± 2.1</w:t>
            </w:r>
          </w:p>
        </w:tc>
        <w:tc>
          <w:tcPr>
            <w:tcW w:w="326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Age (years)</w:t>
            </w:r>
          </w:p>
        </w:tc>
      </w:tr>
      <w:tr w:rsidR="00B1210F" w:rsidRPr="000D7DAD" w:rsidTr="00B503AF">
        <w:trPr>
          <w:trHeight w:val="64"/>
          <w:jc w:val="center"/>
        </w:trPr>
        <w:tc>
          <w:tcPr>
            <w:tcW w:w="184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20.2 ± 3.9</w:t>
            </w:r>
          </w:p>
        </w:tc>
        <w:tc>
          <w:tcPr>
            <w:tcW w:w="199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20.1 ± 3.1</w:t>
            </w:r>
          </w:p>
        </w:tc>
        <w:tc>
          <w:tcPr>
            <w:tcW w:w="192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20.8 ± 1.4</w:t>
            </w:r>
          </w:p>
        </w:tc>
        <w:tc>
          <w:tcPr>
            <w:tcW w:w="326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lang w:bidi="ar-EG"/>
              </w:rPr>
            </w:pPr>
            <w:r w:rsidRPr="000D7DAD">
              <w:rPr>
                <w:rFonts w:ascii="Times New Roman" w:eastAsiaTheme="minorEastAsia" w:hAnsi="Times New Roman" w:cs="Times New Roman"/>
                <w:b/>
                <w:color w:val="000000"/>
                <w:sz w:val="20"/>
                <w:szCs w:val="20"/>
              </w:rPr>
              <w:t>Food Variety Score</w:t>
            </w:r>
            <w:r w:rsidR="00B503AF" w:rsidRPr="000D7DAD">
              <w:rPr>
                <w:rFonts w:ascii="Times New Roman" w:eastAsiaTheme="minorEastAsia" w:hAnsi="Times New Roman" w:cs="Times New Roman" w:hint="eastAsia"/>
                <w:b/>
                <w:color w:val="000000"/>
                <w:sz w:val="20"/>
                <w:szCs w:val="20"/>
                <w:lang w:eastAsia="zh-CN"/>
              </w:rPr>
              <w:t xml:space="preserve"> </w:t>
            </w:r>
            <w:r w:rsidRPr="000D7DAD">
              <w:rPr>
                <w:rFonts w:ascii="Times New Roman" w:eastAsiaTheme="minorEastAsia" w:hAnsi="Times New Roman" w:cs="Times New Roman"/>
                <w:b/>
                <w:color w:val="000000"/>
                <w:sz w:val="20"/>
                <w:szCs w:val="20"/>
              </w:rPr>
              <w:t>(FVS)*</w:t>
            </w:r>
          </w:p>
        </w:tc>
      </w:tr>
      <w:tr w:rsidR="00B1210F" w:rsidRPr="000D7DAD" w:rsidTr="00B503AF">
        <w:trPr>
          <w:jc w:val="center"/>
        </w:trPr>
        <w:tc>
          <w:tcPr>
            <w:tcW w:w="1843"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0.77 ± 0.10</w:t>
            </w:r>
          </w:p>
        </w:tc>
        <w:tc>
          <w:tcPr>
            <w:tcW w:w="199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0.77 ± 0.10</w:t>
            </w:r>
          </w:p>
        </w:tc>
        <w:tc>
          <w:tcPr>
            <w:tcW w:w="1920"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color w:val="000000"/>
                <w:sz w:val="20"/>
                <w:szCs w:val="20"/>
                <w:lang w:bidi="ar-EG"/>
              </w:rPr>
            </w:pPr>
            <w:r w:rsidRPr="000D7DAD">
              <w:rPr>
                <w:rFonts w:ascii="Times New Roman" w:eastAsiaTheme="minorEastAsia" w:hAnsi="Times New Roman" w:cs="Times New Roman"/>
                <w:color w:val="000000"/>
                <w:sz w:val="20"/>
                <w:szCs w:val="20"/>
                <w:lang w:bidi="ar-EG"/>
              </w:rPr>
              <w:t>0.78 ± 0.11</w:t>
            </w:r>
          </w:p>
        </w:tc>
        <w:tc>
          <w:tcPr>
            <w:tcW w:w="3262" w:type="dxa"/>
          </w:tcPr>
          <w:p w:rsidR="00B1210F" w:rsidRPr="000D7DAD" w:rsidRDefault="00B1210F" w:rsidP="00B503AF">
            <w:pPr>
              <w:bidi w:val="0"/>
              <w:snapToGrid w:val="0"/>
              <w:spacing w:after="0" w:line="240" w:lineRule="auto"/>
              <w:jc w:val="both"/>
              <w:rPr>
                <w:rFonts w:ascii="Times New Roman" w:eastAsiaTheme="minorEastAsia" w:hAnsi="Times New Roman" w:cs="Times New Roman"/>
                <w:b/>
                <w:color w:val="000000"/>
                <w:sz w:val="20"/>
                <w:szCs w:val="20"/>
              </w:rPr>
            </w:pPr>
            <w:r w:rsidRPr="000D7DAD">
              <w:rPr>
                <w:rFonts w:ascii="Times New Roman" w:eastAsiaTheme="minorEastAsia" w:hAnsi="Times New Roman" w:cs="Times New Roman"/>
                <w:color w:val="000000"/>
                <w:sz w:val="20"/>
                <w:szCs w:val="20"/>
              </w:rPr>
              <w:t>(DDS Dietary Diversity Score</w:t>
            </w:r>
          </w:p>
        </w:tc>
      </w:tr>
    </w:tbl>
    <w:p w:rsidR="00B1210F" w:rsidRPr="000D7DAD" w:rsidRDefault="00B1210F" w:rsidP="00B503AF">
      <w:pPr>
        <w:bidi w:val="0"/>
        <w:snapToGrid w:val="0"/>
        <w:spacing w:after="0" w:line="240" w:lineRule="auto"/>
        <w:jc w:val="both"/>
        <w:rPr>
          <w:rFonts w:ascii="Times New Roman" w:hAnsi="Times New Roman" w:cs="Times New Roman"/>
          <w:b/>
          <w:bCs/>
          <w:sz w:val="20"/>
          <w:szCs w:val="20"/>
        </w:rPr>
      </w:pPr>
    </w:p>
    <w:p w:rsidR="00B503AF" w:rsidRPr="000D7DAD" w:rsidRDefault="00B503AF" w:rsidP="00B503AF">
      <w:pPr>
        <w:bidi w:val="0"/>
        <w:snapToGrid w:val="0"/>
        <w:spacing w:after="0" w:line="240" w:lineRule="auto"/>
        <w:jc w:val="both"/>
        <w:rPr>
          <w:rFonts w:ascii="Times New Roman" w:hAnsi="Times New Roman" w:cs="Times New Roman"/>
          <w:b/>
          <w:bCs/>
          <w:sz w:val="20"/>
          <w:szCs w:val="20"/>
        </w:rPr>
        <w:sectPr w:rsidR="00B503AF" w:rsidRPr="000D7DAD" w:rsidSect="005E0D2D">
          <w:type w:val="continuous"/>
          <w:pgSz w:w="12242" w:h="15842" w:code="1"/>
          <w:pgMar w:top="1440" w:right="1440" w:bottom="1440" w:left="1440" w:header="720" w:footer="720" w:gutter="0"/>
          <w:cols w:space="708"/>
          <w:bidi/>
          <w:docGrid w:linePitch="360"/>
        </w:sectPr>
      </w:pPr>
    </w:p>
    <w:p w:rsidR="00B1210F" w:rsidRPr="000D7DAD" w:rsidRDefault="00B1210F" w:rsidP="00B503AF">
      <w:pPr>
        <w:bidi w:val="0"/>
        <w:snapToGrid w:val="0"/>
        <w:spacing w:after="0" w:line="240" w:lineRule="auto"/>
        <w:jc w:val="both"/>
        <w:rPr>
          <w:rFonts w:ascii="Times New Roman" w:hAnsi="Times New Roman" w:cs="Times New Roman"/>
          <w:b/>
          <w:bCs/>
          <w:sz w:val="20"/>
          <w:szCs w:val="20"/>
        </w:rPr>
      </w:pPr>
      <w:r w:rsidRPr="000D7DAD">
        <w:rPr>
          <w:rFonts w:ascii="Times New Roman" w:hAnsi="Times New Roman" w:cs="Times New Roman"/>
          <w:b/>
          <w:bCs/>
          <w:sz w:val="20"/>
          <w:szCs w:val="20"/>
        </w:rPr>
        <w:lastRenderedPageBreak/>
        <w:t>4. Discussion:</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color w:val="403838"/>
          <w:sz w:val="20"/>
          <w:szCs w:val="20"/>
        </w:rPr>
        <w:t xml:space="preserve">Adequate nutrition during cancer plays a decisive role in several clinical outcome measures, such as treatment response, quality of life and cost of care. </w:t>
      </w:r>
      <w:r w:rsidRPr="000D7DAD">
        <w:rPr>
          <w:rFonts w:ascii="Times New Roman" w:hAnsi="Times New Roman" w:cs="Times New Roman"/>
          <w:sz w:val="20"/>
          <w:szCs w:val="20"/>
        </w:rPr>
        <w:t>(</w:t>
      </w:r>
      <w:hyperlink r:id="rId16" w:history="1">
        <w:r w:rsidRPr="000D7DAD">
          <w:rPr>
            <w:rFonts w:ascii="Times New Roman" w:hAnsi="Times New Roman" w:cs="Times New Roman"/>
            <w:color w:val="000000"/>
            <w:sz w:val="20"/>
            <w:szCs w:val="20"/>
          </w:rPr>
          <w:t>Bauer</w:t>
        </w:r>
      </w:hyperlink>
      <w:r w:rsidRPr="000D7DAD">
        <w:rPr>
          <w:rFonts w:ascii="Times New Roman" w:hAnsi="Times New Roman" w:cs="Times New Roman"/>
          <w:color w:val="333333"/>
          <w:sz w:val="20"/>
          <w:szCs w:val="20"/>
          <w:bdr w:val="none" w:sz="0" w:space="0" w:color="auto" w:frame="1"/>
        </w:rPr>
        <w:t xml:space="preserve"> j., 2005</w:t>
      </w:r>
      <w:r w:rsidRPr="000D7DAD">
        <w:rPr>
          <w:rFonts w:ascii="Times New Roman" w:eastAsia="Arial Unicode MS" w:hAnsi="Times New Roman" w:cs="Times New Roman"/>
          <w:sz w:val="20"/>
          <w:szCs w:val="20"/>
        </w:rPr>
        <w:t xml:space="preserve">) </w:t>
      </w:r>
      <w:r w:rsidRPr="000D7DAD">
        <w:rPr>
          <w:rFonts w:ascii="Times New Roman" w:hAnsi="Times New Roman" w:cs="Times New Roman"/>
          <w:sz w:val="20"/>
          <w:szCs w:val="20"/>
        </w:rPr>
        <w:t>American Institute for Cancer Research,</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2012</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recomend increase caloric intake of cancer children</w:t>
      </w:r>
      <w:r w:rsidR="007063F2">
        <w:rPr>
          <w:rFonts w:ascii="Times New Roman" w:hAnsi="Times New Roman" w:cs="Times New Roman"/>
          <w:sz w:val="20"/>
          <w:szCs w:val="20"/>
        </w:rPr>
        <w:t>.</w:t>
      </w:r>
    </w:p>
    <w:p w:rsidR="00B1210F" w:rsidRPr="000D7DAD" w:rsidRDefault="00B1210F" w:rsidP="00B503AF">
      <w:pPr>
        <w:bidi w:val="0"/>
        <w:snapToGrid w:val="0"/>
        <w:spacing w:after="0" w:line="240" w:lineRule="auto"/>
        <w:ind w:firstLine="425"/>
        <w:jc w:val="both"/>
        <w:rPr>
          <w:rFonts w:ascii="Times New Roman" w:hAnsi="Times New Roman" w:cs="Times New Roman"/>
          <w:sz w:val="20"/>
          <w:szCs w:val="20"/>
        </w:rPr>
      </w:pPr>
      <w:r w:rsidRPr="000D7DAD">
        <w:rPr>
          <w:rFonts w:ascii="Times New Roman" w:hAnsi="Times New Roman" w:cs="Times New Roman"/>
          <w:sz w:val="20"/>
          <w:szCs w:val="20"/>
        </w:rPr>
        <w:t>.Our results showed that the patients’ consumption of total calories was less than the caloric requirement of normal children. But within the accepted range,</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our result was in line with Bonds</w:t>
      </w:r>
      <w:r w:rsidR="007063F2">
        <w:rPr>
          <w:rFonts w:ascii="Times New Roman" w:hAnsi="Times New Roman" w:cs="Times New Roman"/>
          <w:sz w:val="20"/>
          <w:szCs w:val="20"/>
        </w:rPr>
        <w:t>,</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1992 reported that Low caloric intake in the</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studied group of ALL</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children.</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Incontrast to these studies, the results of (Ladas,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2013).</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 xml:space="preserve">Contrary to expectations, </w:t>
      </w:r>
      <w:r w:rsidRPr="000D7DAD">
        <w:rPr>
          <w:rFonts w:ascii="Times New Roman" w:hAnsi="Times New Roman" w:cs="Times New Roman"/>
          <w:sz w:val="20"/>
          <w:szCs w:val="20"/>
        </w:rPr>
        <w:lastRenderedPageBreak/>
        <w:t>total caloric intake in the majority of patients exceeded the DRIs with a smaller percentage of patients below the DRI for calories. This difference may contribute to different stage of assessment and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large study population. Though there was point of concordance there was</w:t>
      </w:r>
      <w:r w:rsidR="007063F2">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reduced energy intake in patients from the upper age range (6 to 10 years</w:t>
      </w:r>
      <w:r w:rsidRPr="000D7DAD">
        <w:rPr>
          <w:rFonts w:ascii="Times New Roman" w:hAnsi="Times New Roman" w:cs="Times New Roman"/>
          <w:sz w:val="20"/>
          <w:szCs w:val="20"/>
        </w:rPr>
        <w:t>).</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Children with cancer may need extra protein</w:t>
      </w:r>
      <w:r w:rsidR="000D7DAD">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and more calories (</w:t>
      </w:r>
      <w:r w:rsidRPr="000D7DAD">
        <w:rPr>
          <w:rFonts w:ascii="Times New Roman" w:hAnsi="Times New Roman" w:cs="Times New Roman"/>
          <w:sz w:val="20"/>
          <w:szCs w:val="20"/>
        </w:rPr>
        <w:t>American Institute for Cancer Research, 2012).</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Fortunately</w:t>
      </w:r>
      <w:r w:rsidR="000D7DAD">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 xml:space="preserve">the </w:t>
      </w:r>
      <w:r w:rsidRPr="000D7DAD">
        <w:rPr>
          <w:rFonts w:ascii="Times New Roman" w:hAnsi="Times New Roman" w:cs="Times New Roman"/>
          <w:sz w:val="20"/>
          <w:szCs w:val="20"/>
        </w:rPr>
        <w:t>majority of our patients had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accepted level of consumption for total protein and fat</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intake with increased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total carbohydrate intake our result was supported by the result (Ladas et</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al., 2013).</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 xml:space="preserve">They found </w:t>
      </w:r>
      <w:r w:rsidRPr="000D7DAD">
        <w:rPr>
          <w:rFonts w:ascii="Times New Roman" w:eastAsia="Arial Unicode MS" w:hAnsi="Times New Roman" w:cs="Times New Roman"/>
          <w:sz w:val="20"/>
          <w:szCs w:val="20"/>
        </w:rPr>
        <w:t xml:space="preserve">that the protein intake was over two times the </w:t>
      </w:r>
      <w:r w:rsidRPr="000D7DAD">
        <w:rPr>
          <w:rFonts w:ascii="Times New Roman" w:eastAsia="Arial Unicode MS" w:hAnsi="Times New Roman" w:cs="Times New Roman"/>
          <w:sz w:val="20"/>
          <w:szCs w:val="20"/>
        </w:rPr>
        <w:lastRenderedPageBreak/>
        <w:t>RDA among children with ALL.</w:t>
      </w:r>
      <w:r w:rsidR="000D7DAD">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Halton et al., (1998) also reported that dietary intake in the majority of children was above the Canadian Recommended Nutrient Intake (RNI).</w:t>
      </w:r>
      <w:r w:rsidR="000D7DAD">
        <w:rPr>
          <w:rFonts w:ascii="Times New Roman" w:eastAsia="Arial Unicode MS" w:hAnsi="Times New Roman" w:cs="Times New Roman"/>
          <w:sz w:val="20"/>
          <w:szCs w:val="20"/>
        </w:rPr>
        <w:t xml:space="preserve"> </w:t>
      </w:r>
      <w:r w:rsidRPr="000D7DAD">
        <w:rPr>
          <w:rFonts w:ascii="Times New Roman" w:hAnsi="Times New Roman" w:cs="Times New Roman"/>
          <w:sz w:val="20"/>
          <w:szCs w:val="20"/>
        </w:rPr>
        <w:t>Unfortunatel</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y</w:t>
      </w:r>
      <w:r w:rsidRPr="000D7DAD">
        <w:rPr>
          <w:rFonts w:ascii="Times New Roman" w:eastAsia="Arial Unicode MS" w:hAnsi="Times New Roman" w:cs="Times New Roman"/>
          <w:sz w:val="20"/>
          <w:szCs w:val="20"/>
        </w:rPr>
        <w:t>our study showed that the majority of the children had adequate carbohydrate intake but with increased intake of simple carbohydrate in contrast to the cancer society recommendation.</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In addition, they had low intake of essential omega 3 fatty acids, such as linoleic acid. Unaccepted level of consumption was noticed</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despite its important contribution in building cells and anti- inflammatory process</w:t>
      </w:r>
      <w:r w:rsidR="007063F2">
        <w:rPr>
          <w:rFonts w:ascii="Times New Roman" w:eastAsia="Arial Unicode MS" w:hAnsi="Times New Roman" w:cs="Times New Roman"/>
          <w:sz w:val="20"/>
          <w:szCs w:val="20"/>
        </w:rPr>
        <w:t>.</w:t>
      </w:r>
      <w:r w:rsidRPr="000D7DAD">
        <w:rPr>
          <w:rFonts w:ascii="Times New Roman" w:eastAsia="Arial Unicode MS" w:hAnsi="Times New Roman" w:cs="Times New Roman"/>
          <w:sz w:val="20"/>
          <w:szCs w:val="20"/>
        </w:rPr>
        <w:t xml:space="preserve"> Our result was in line with</w:t>
      </w:r>
      <w:r w:rsidR="000D7DAD">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(Ladas et al,</w:t>
      </w:r>
      <w:r w:rsidR="000D7DAD">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2013</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a</w:t>
      </w:r>
      <w:r w:rsidRPr="000D7DAD">
        <w:rPr>
          <w:rFonts w:ascii="Times New Roman" w:hAnsi="Times New Roman" w:cs="Times New Roman"/>
          <w:sz w:val="20"/>
          <w:szCs w:val="20"/>
        </w:rPr>
        <w:t>nd, Ursula,</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2006).</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Despite adequate macromolecules intake,</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the majority of patients had low dietary intakes of (vitamins:</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C,</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E</w:t>
      </w:r>
      <w:r w:rsidR="009079AC">
        <w:rPr>
          <w:rFonts w:ascii="Times New Roman" w:hAnsi="Times New Roman" w:cs="Times New Roman"/>
          <w:sz w:val="20"/>
          <w:szCs w:val="20"/>
        </w:rPr>
        <w:t xml:space="preserve"> </w:t>
      </w:r>
      <w:r w:rsidRPr="000D7DAD">
        <w:rPr>
          <w:rFonts w:ascii="Times New Roman" w:hAnsi="Times New Roman" w:cs="Times New Roman"/>
          <w:sz w:val="20"/>
          <w:szCs w:val="20"/>
        </w:rPr>
        <w:t>and,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niacin)</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some minerals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calcium,</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cupper,</w:t>
      </w:r>
      <w:r w:rsidR="000D7DAD">
        <w:rPr>
          <w:rFonts w:ascii="Times New Roman" w:hAnsi="Times New Roman" w:cs="Times New Roman"/>
          <w:sz w:val="20"/>
          <w:szCs w:val="20"/>
        </w:rPr>
        <w:t xml:space="preserve"> </w:t>
      </w:r>
      <w:r w:rsidRPr="000D7DAD">
        <w:rPr>
          <w:rFonts w:ascii="Times New Roman" w:hAnsi="Times New Roman" w:cs="Times New Roman"/>
          <w:sz w:val="20"/>
          <w:szCs w:val="20"/>
        </w:rPr>
        <w:t>selenium)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our result regarding decrease intake of cupper and selenium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was in line with (Ursula, 2006)</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regarding cupper and selenium but not in the zinc intake this could be explained by the observed increased protein intake.</w:t>
      </w:r>
      <w:r w:rsidR="007063F2">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Antioxidants are important point of interest (ladas,</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 xml:space="preserve">2013). Some </w:t>
      </w:r>
      <w:r w:rsidRPr="000D7DAD">
        <w:rPr>
          <w:rFonts w:ascii="Times New Roman" w:hAnsi="Times New Roman" w:cs="Times New Roman"/>
          <w:sz w:val="20"/>
          <w:szCs w:val="20"/>
        </w:rPr>
        <w:t>study explored the effect of dietary intake of antioxidants on therapy-related side effects and survival in children with cancer (Kennedy et al., 2004). The authors found children with higher, dietary intake of beta-carotene and vitamin C experienced reduced hematologic or non-hematologic side effects. Higher</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vitamin E intakes were more likely to have rapid response to treatment.</w:t>
      </w:r>
      <w:r w:rsidRPr="000D7DAD">
        <w:rPr>
          <w:rFonts w:ascii="Times New Roman" w:eastAsia="Arial Unicode MS" w:hAnsi="Times New Roman" w:cs="Times New Roman"/>
          <w:sz w:val="20"/>
          <w:szCs w:val="20"/>
        </w:rPr>
        <w:t xml:space="preserve"> These finding supported our results regarding antioxidant nutrients intake.</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(C</w:t>
      </w:r>
      <w:r w:rsidR="007063F2">
        <w:rPr>
          <w:rFonts w:ascii="Times New Roman" w:eastAsia="Arial Unicode MS" w:hAnsi="Times New Roman" w:cs="Times New Roman"/>
          <w:sz w:val="20"/>
          <w:szCs w:val="20"/>
        </w:rPr>
        <w:t>,</w:t>
      </w:r>
      <w:r w:rsidRPr="000D7DAD">
        <w:rPr>
          <w:rFonts w:ascii="Times New Roman" w:eastAsia="Arial Unicode MS" w:hAnsi="Times New Roman" w:cs="Times New Roman"/>
          <w:sz w:val="20"/>
          <w:szCs w:val="20"/>
        </w:rPr>
        <w:t xml:space="preserve"> E andselnium).</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Comprehensive reviews of the role of</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Bone-metabolizing nutrients in All children</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been</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published (Ladas et al., 2004; Tylavsky et al., 2010).</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They</w:t>
      </w:r>
      <w:r w:rsidR="007063F2">
        <w:rPr>
          <w:rFonts w:ascii="Times New Roman" w:eastAsia="Arial Unicode MS" w:hAnsi="Times New Roman" w:cs="Times New Roman"/>
          <w:sz w:val="20"/>
          <w:szCs w:val="20"/>
        </w:rPr>
        <w:t xml:space="preserve"> </w:t>
      </w:r>
      <w:r w:rsidRPr="000D7DAD">
        <w:rPr>
          <w:rFonts w:ascii="Times New Roman" w:hAnsi="Times New Roman" w:cs="Times New Roman"/>
          <w:sz w:val="20"/>
          <w:szCs w:val="20"/>
        </w:rPr>
        <w:t>Observed diminished intake of vitamin D and calcium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in their studies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this was supportive evidence of our finding</w:t>
      </w:r>
      <w:r w:rsidR="007063F2">
        <w:rPr>
          <w:rFonts w:ascii="Times New Roman" w:hAnsi="Times New Roman" w:cs="Times New Roman"/>
          <w:sz w:val="20"/>
          <w:szCs w:val="20"/>
        </w:rPr>
        <w:t xml:space="preserve"> </w:t>
      </w:r>
      <w:r w:rsidRPr="000D7DAD">
        <w:rPr>
          <w:rFonts w:ascii="Times New Roman" w:eastAsia="Arial Unicode MS" w:hAnsi="Times New Roman" w:cs="Times New Roman"/>
          <w:sz w:val="20"/>
          <w:szCs w:val="20"/>
        </w:rPr>
        <w:t>as we found</w:t>
      </w:r>
      <w:r w:rsidR="007063F2">
        <w:rPr>
          <w:rFonts w:ascii="Times New Roman" w:eastAsia="Arial Unicode MS" w:hAnsi="Times New Roman" w:cs="Times New Roman"/>
          <w:sz w:val="20"/>
          <w:szCs w:val="20"/>
        </w:rPr>
        <w:t xml:space="preserve"> </w:t>
      </w:r>
      <w:r w:rsidRPr="000D7DAD">
        <w:rPr>
          <w:rFonts w:ascii="Times New Roman" w:hAnsi="Times New Roman" w:cs="Times New Roman"/>
          <w:sz w:val="20"/>
          <w:szCs w:val="20"/>
        </w:rPr>
        <w:t>that the majority of patients were below the DNI for calcium,</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and vitamin 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Some studies have suggested a role of B vitamins in the development of neuropathy, a side effect of therapy for ALL (Abbas et al., 1997; Ang et al., 2008).</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To date, no studies have explored dietary intake of B vitamins during cancer therapy in children with ALL. Folate, in particular, is a nutrient of high interest due to the inclusion in the DNA repair</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and the role</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of methotrexate for the treatment of ALL</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(as</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anti-folate drug) (Robien,</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2003).</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Our result showed decrease intake of folic acid this was in line with Chlebowski, 2003.</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According</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to American Institute for Cancer Research, 2012;</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All children must receive a variety of all food groups, fruits and vegetables, whole grains, and lean protein our result showed that the intake from all</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food items was Fair</w:t>
      </w:r>
      <w:r w:rsidR="007063F2">
        <w:rPr>
          <w:rFonts w:ascii="Times New Roman" w:hAnsi="Times New Roman" w:cs="Times New Roman"/>
          <w:sz w:val="20"/>
          <w:szCs w:val="20"/>
        </w:rPr>
        <w:t>.</w:t>
      </w:r>
      <w:r w:rsidRPr="000D7DAD">
        <w:rPr>
          <w:rFonts w:ascii="Times New Roman" w:hAnsi="Times New Roman" w:cs="Times New Roman"/>
          <w:sz w:val="20"/>
          <w:szCs w:val="20"/>
        </w:rPr>
        <w:t xml:space="preserve"> The decreased caloric intake and bone metabolizing nutrients was reflected on the patients nutritional status among our studied children as there was </w:t>
      </w:r>
      <w:r w:rsidRPr="000D7DAD">
        <w:rPr>
          <w:rFonts w:ascii="Times New Roman" w:hAnsi="Times New Roman" w:cs="Times New Roman"/>
          <w:color w:val="000000"/>
          <w:sz w:val="20"/>
          <w:szCs w:val="20"/>
        </w:rPr>
        <w:t>33.3%</w:t>
      </w:r>
      <w:r w:rsidR="009079AC">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wasting</w:t>
      </w:r>
      <w:r w:rsidR="009079AC">
        <w:rPr>
          <w:rFonts w:ascii="Times New Roman" w:hAnsi="Times New Roman" w:cs="Times New Roman"/>
          <w:color w:val="000000"/>
          <w:sz w:val="20"/>
          <w:szCs w:val="20"/>
        </w:rPr>
        <w:t>,</w:t>
      </w:r>
      <w:r w:rsidRPr="000D7DAD">
        <w:rPr>
          <w:rFonts w:ascii="Times New Roman" w:hAnsi="Times New Roman" w:cs="Times New Roman"/>
          <w:color w:val="000000"/>
          <w:sz w:val="20"/>
          <w:szCs w:val="20"/>
        </w:rPr>
        <w:t xml:space="preserve"> 28.2% thininess and stunting</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 xml:space="preserve">38.09%. </w:t>
      </w:r>
      <w:r w:rsidRPr="000D7DAD">
        <w:rPr>
          <w:rFonts w:ascii="Times New Roman" w:hAnsi="Times New Roman" w:cs="Times New Roman"/>
          <w:color w:val="000000"/>
          <w:sz w:val="20"/>
          <w:szCs w:val="20"/>
        </w:rPr>
        <w:lastRenderedPageBreak/>
        <w:t>Similarly, malnutrition</w:t>
      </w:r>
      <w:r w:rsidR="007063F2">
        <w:rPr>
          <w:rFonts w:ascii="Times New Roman" w:hAnsi="Times New Roman" w:cs="Times New Roman"/>
          <w:color w:val="000000"/>
          <w:sz w:val="20"/>
          <w:szCs w:val="20"/>
        </w:rPr>
        <w:t xml:space="preserve"> </w:t>
      </w:r>
      <w:r w:rsidRPr="000D7DAD">
        <w:rPr>
          <w:rFonts w:ascii="Times New Roman" w:hAnsi="Times New Roman" w:cs="Times New Roman"/>
          <w:sz w:val="20"/>
          <w:szCs w:val="20"/>
        </w:rPr>
        <w:t xml:space="preserve">was recorded </w:t>
      </w:r>
      <w:r w:rsidRPr="000D7DAD">
        <w:rPr>
          <w:rFonts w:ascii="Times New Roman" w:eastAsia="Arial Unicode MS" w:hAnsi="Times New Roman" w:cs="Times New Roman"/>
          <w:sz w:val="20"/>
          <w:szCs w:val="20"/>
        </w:rPr>
        <w:t>by (Ursula,</w:t>
      </w:r>
      <w:r w:rsidR="009079AC">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2006) who</w:t>
      </w:r>
      <w:r w:rsidR="007063F2">
        <w:rPr>
          <w:rFonts w:ascii="Times New Roman" w:eastAsia="Arial Unicode MS" w:hAnsi="Times New Roman" w:cs="Times New Roman"/>
          <w:sz w:val="20"/>
          <w:szCs w:val="20"/>
        </w:rPr>
        <w:t xml:space="preserve"> </w:t>
      </w:r>
      <w:r w:rsidRPr="000D7DAD">
        <w:rPr>
          <w:rFonts w:ascii="Times New Roman" w:eastAsia="Arial Unicode MS" w:hAnsi="Times New Roman" w:cs="Times New Roman"/>
          <w:sz w:val="20"/>
          <w:szCs w:val="20"/>
        </w:rPr>
        <w:t>demonstrated that malnutrition prevalence was of 30% among ALL children</w:t>
      </w:r>
      <w:r w:rsidR="007063F2">
        <w:rPr>
          <w:rFonts w:ascii="Times New Roman" w:eastAsia="Arial Unicode MS" w:hAnsi="Times New Roman" w:cs="Times New Roman"/>
          <w:sz w:val="20"/>
          <w:szCs w:val="20"/>
        </w:rPr>
        <w:t>.</w:t>
      </w:r>
      <w:r w:rsidRPr="000D7DAD">
        <w:rPr>
          <w:rFonts w:ascii="Times New Roman" w:eastAsia="Arial Unicode MS" w:hAnsi="Times New Roman" w:cs="Times New Roman"/>
          <w:sz w:val="20"/>
          <w:szCs w:val="20"/>
        </w:rPr>
        <w:t xml:space="preserve"> </w:t>
      </w:r>
      <w:r w:rsidRPr="000D7DAD">
        <w:rPr>
          <w:rFonts w:ascii="Times New Roman" w:hAnsi="Times New Roman" w:cs="Times New Roman"/>
          <w:sz w:val="20"/>
          <w:szCs w:val="20"/>
        </w:rPr>
        <w:t>Another supportive evidence came from (Hingorani et al., 2011)</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Who found that</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his studied children was either underweight or overweight in different stages of cancer therapy.</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A better understanding of variations in dietary intake during cancer therapy and the degree to which children deviate from the DRIs is a necessary first step in developing standardized guidelines for clinical intervention that are evidence-based rather than derived from clinical experience.</w:t>
      </w:r>
    </w:p>
    <w:p w:rsidR="00B1210F" w:rsidRPr="000D7DAD" w:rsidRDefault="00B1210F" w:rsidP="00B503AF">
      <w:pPr>
        <w:bidi w:val="0"/>
        <w:snapToGrid w:val="0"/>
        <w:spacing w:after="0" w:line="240" w:lineRule="auto"/>
        <w:jc w:val="both"/>
        <w:rPr>
          <w:rFonts w:ascii="Times New Roman" w:hAnsi="Times New Roman" w:cs="Times New Roman"/>
          <w:b/>
          <w:bCs/>
          <w:sz w:val="20"/>
          <w:szCs w:val="20"/>
        </w:rPr>
      </w:pPr>
    </w:p>
    <w:p w:rsidR="00B1210F" w:rsidRPr="000D7DAD" w:rsidRDefault="00B1210F" w:rsidP="00B503AF">
      <w:pPr>
        <w:bidi w:val="0"/>
        <w:snapToGrid w:val="0"/>
        <w:spacing w:after="0" w:line="240" w:lineRule="auto"/>
        <w:jc w:val="both"/>
        <w:rPr>
          <w:rFonts w:ascii="Times New Roman" w:hAnsi="Times New Roman" w:cs="Times New Roman"/>
          <w:sz w:val="20"/>
          <w:szCs w:val="20"/>
        </w:rPr>
      </w:pPr>
      <w:r w:rsidRPr="000D7DAD">
        <w:rPr>
          <w:rFonts w:ascii="Times New Roman" w:hAnsi="Times New Roman" w:cs="Times New Roman"/>
          <w:b/>
          <w:bCs/>
          <w:sz w:val="20"/>
          <w:szCs w:val="20"/>
        </w:rPr>
        <w:t>Conclusion</w:t>
      </w:r>
    </w:p>
    <w:p w:rsidR="00B1210F" w:rsidRPr="000D7DAD" w:rsidRDefault="00B1210F" w:rsidP="00B503AF">
      <w:pPr>
        <w:bidi w:val="0"/>
        <w:snapToGrid w:val="0"/>
        <w:spacing w:after="0" w:line="240" w:lineRule="auto"/>
        <w:ind w:firstLine="425"/>
        <w:jc w:val="both"/>
        <w:rPr>
          <w:rFonts w:ascii="Times New Roman" w:hAnsi="Times New Roman" w:cs="Times New Roman"/>
          <w:color w:val="000000"/>
          <w:sz w:val="20"/>
          <w:szCs w:val="20"/>
        </w:rPr>
      </w:pPr>
      <w:r w:rsidRPr="000D7DAD">
        <w:rPr>
          <w:rFonts w:ascii="Times New Roman" w:hAnsi="Times New Roman" w:cs="Times New Roman"/>
          <w:sz w:val="20"/>
          <w:szCs w:val="20"/>
        </w:rPr>
        <w:t>This study was successful in identifying priority nutrients for dietary intervention</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(Essential fatty acid intake, and vitamin E,C</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folic acid vitamin D and</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calcium.</w:t>
      </w:r>
      <w:r w:rsidR="007063F2">
        <w:rPr>
          <w:rFonts w:ascii="Times New Roman" w:hAnsi="Times New Roman" w:cs="Times New Roman"/>
          <w:sz w:val="20"/>
          <w:szCs w:val="20"/>
        </w:rPr>
        <w:t xml:space="preserve"> V</w:t>
      </w:r>
      <w:r w:rsidRPr="000D7DAD">
        <w:rPr>
          <w:rFonts w:ascii="Times New Roman" w:hAnsi="Times New Roman" w:cs="Times New Roman"/>
          <w:sz w:val="20"/>
          <w:szCs w:val="20"/>
        </w:rPr>
        <w:t>itamin A</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there is excess intake of polyunsaturated fatty acid with reverse of the ratio of omega 3 and omega 6</w:t>
      </w:r>
      <w:r w:rsidR="007063F2">
        <w:rPr>
          <w:rFonts w:ascii="Times New Roman" w:hAnsi="Times New Roman" w:cs="Times New Roman"/>
          <w:sz w:val="20"/>
          <w:szCs w:val="20"/>
        </w:rPr>
        <w:t>.</w:t>
      </w:r>
    </w:p>
    <w:p w:rsidR="00B1210F" w:rsidRPr="000D7DAD" w:rsidRDefault="00B1210F" w:rsidP="00B503AF">
      <w:pPr>
        <w:bidi w:val="0"/>
        <w:snapToGrid w:val="0"/>
        <w:spacing w:after="0" w:line="240" w:lineRule="auto"/>
        <w:jc w:val="both"/>
        <w:textAlignment w:val="baseline"/>
        <w:rPr>
          <w:rFonts w:ascii="Times New Roman" w:eastAsia="MS PGothic" w:hAnsi="Times New Roman" w:cs="Times New Roman"/>
          <w:b/>
          <w:bCs/>
          <w:shadow/>
          <w:color w:val="000000"/>
          <w:sz w:val="20"/>
          <w:szCs w:val="20"/>
          <w:lang w:bidi="ar-EG"/>
        </w:rPr>
      </w:pPr>
    </w:p>
    <w:p w:rsidR="00B1210F" w:rsidRPr="000D7DAD" w:rsidRDefault="00B1210F" w:rsidP="00B503AF">
      <w:pPr>
        <w:bidi w:val="0"/>
        <w:snapToGrid w:val="0"/>
        <w:spacing w:after="0" w:line="240" w:lineRule="auto"/>
        <w:jc w:val="both"/>
        <w:textAlignment w:val="baseline"/>
        <w:rPr>
          <w:rFonts w:ascii="Times New Roman" w:eastAsia="MS PGothic" w:hAnsi="Times New Roman" w:cs="Times New Roman"/>
          <w:b/>
          <w:bCs/>
          <w:shadow/>
          <w:color w:val="000000"/>
          <w:sz w:val="20"/>
          <w:szCs w:val="20"/>
          <w:lang w:bidi="ar-EG"/>
        </w:rPr>
      </w:pPr>
      <w:r w:rsidRPr="000D7DAD">
        <w:rPr>
          <w:rFonts w:ascii="Times New Roman" w:eastAsia="MS PGothic" w:hAnsi="Times New Roman" w:cs="Times New Roman"/>
          <w:b/>
          <w:bCs/>
          <w:shadow/>
          <w:color w:val="000000"/>
          <w:sz w:val="20"/>
          <w:szCs w:val="20"/>
          <w:lang w:bidi="ar-EG"/>
        </w:rPr>
        <w:t>Recommendation</w:t>
      </w:r>
    </w:p>
    <w:p w:rsidR="00B1210F" w:rsidRPr="000D7DAD" w:rsidRDefault="00B1210F" w:rsidP="00B503AF">
      <w:pPr>
        <w:bidi w:val="0"/>
        <w:snapToGrid w:val="0"/>
        <w:spacing w:after="0" w:line="240" w:lineRule="auto"/>
        <w:ind w:firstLine="425"/>
        <w:jc w:val="both"/>
        <w:textAlignment w:val="baseline"/>
        <w:rPr>
          <w:rFonts w:ascii="Times New Roman" w:hAnsi="Times New Roman" w:cs="Times New Roman"/>
          <w:color w:val="000000"/>
          <w:sz w:val="20"/>
          <w:szCs w:val="20"/>
          <w:lang w:bidi="ar-EG"/>
        </w:rPr>
      </w:pPr>
      <w:r w:rsidRPr="000D7DAD">
        <w:rPr>
          <w:rFonts w:ascii="Times New Roman" w:eastAsia="MS PGothic" w:hAnsi="Times New Roman" w:cs="Times New Roman"/>
          <w:shadow/>
          <w:color w:val="000000"/>
          <w:sz w:val="20"/>
          <w:szCs w:val="20"/>
          <w:lang w:bidi="ar-EG"/>
        </w:rPr>
        <w:t>The preliminary findings of dietary inadequacy</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and over consumption of some nutrients support the need for nutritional</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screening and</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monitoring of ALL children</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Optimizing dietary intake through nutritional education and</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appropriate use of nutritional support</w:t>
      </w:r>
      <w:r w:rsidR="007063F2">
        <w:rPr>
          <w:rFonts w:ascii="Times New Roman" w:eastAsia="MS PGothic" w:hAnsi="Times New Roman" w:cs="Times New Roman"/>
          <w:shadow/>
          <w:color w:val="000000"/>
          <w:sz w:val="20"/>
          <w:szCs w:val="20"/>
          <w:lang w:bidi="ar-EG"/>
        </w:rPr>
        <w:t xml:space="preserve"> </w:t>
      </w:r>
      <w:r w:rsidRPr="000D7DAD">
        <w:rPr>
          <w:rFonts w:ascii="Times New Roman" w:eastAsia="MS PGothic" w:hAnsi="Times New Roman" w:cs="Times New Roman"/>
          <w:shadow/>
          <w:color w:val="000000"/>
          <w:sz w:val="20"/>
          <w:szCs w:val="20"/>
          <w:lang w:bidi="ar-EG"/>
        </w:rPr>
        <w:t>where necessary</w:t>
      </w:r>
      <w:r w:rsidR="009079AC">
        <w:rPr>
          <w:rFonts w:ascii="Times New Roman" w:eastAsia="MS PGothic" w:hAnsi="Times New Roman" w:cs="Times New Roman"/>
          <w:shadow/>
          <w:color w:val="000000"/>
          <w:sz w:val="20"/>
          <w:szCs w:val="20"/>
          <w:lang w:bidi="ar-EG"/>
        </w:rPr>
        <w:t>.</w:t>
      </w:r>
    </w:p>
    <w:p w:rsidR="00B1210F" w:rsidRPr="000D7DAD" w:rsidRDefault="00B1210F" w:rsidP="00B503AF">
      <w:pPr>
        <w:bidi w:val="0"/>
        <w:snapToGrid w:val="0"/>
        <w:spacing w:after="0" w:line="240" w:lineRule="auto"/>
        <w:jc w:val="both"/>
        <w:rPr>
          <w:rFonts w:ascii="Times New Roman" w:hAnsi="Times New Roman" w:cs="Times New Roman"/>
          <w:color w:val="252525"/>
          <w:sz w:val="20"/>
          <w:szCs w:val="20"/>
        </w:rPr>
      </w:pPr>
    </w:p>
    <w:p w:rsidR="00B1210F" w:rsidRPr="000D7DAD" w:rsidRDefault="00B1210F" w:rsidP="00B503AF">
      <w:pPr>
        <w:shd w:val="clear" w:color="auto" w:fill="FFFFFF"/>
        <w:bidi w:val="0"/>
        <w:snapToGrid w:val="0"/>
        <w:spacing w:after="0" w:line="240" w:lineRule="auto"/>
        <w:jc w:val="both"/>
        <w:rPr>
          <w:rFonts w:ascii="Times New Roman" w:hAnsi="Times New Roman" w:cs="Times New Roman"/>
          <w:b/>
          <w:bCs/>
          <w:color w:val="000000"/>
          <w:sz w:val="20"/>
          <w:szCs w:val="20"/>
        </w:rPr>
      </w:pPr>
      <w:r w:rsidRPr="000D7DAD">
        <w:rPr>
          <w:rFonts w:ascii="Times New Roman" w:hAnsi="Times New Roman" w:cs="Times New Roman"/>
          <w:b/>
          <w:bCs/>
          <w:color w:val="000000"/>
          <w:sz w:val="20"/>
          <w:szCs w:val="20"/>
        </w:rPr>
        <w:t>References</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Grant B.: Medical Nutrition Therapy for Cancer. In: Mahan L.K., Escott-Stump S., editors.</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Krause’s Food &amp; Nutrition Therapy.</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Saunders/Elsevier; St. Louis, MO, USA: 2008. pp. 959–990.</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Cohen D.A.: Neoplastic Disease. In: Nahikian-Nelms M., Sucher K.P., Lacey K., Long Roth S., Editors. Nutrition Therapy and Pathophysiology.</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Wadsworth, Cengage Learning; Belmont, CA, USA: 2011. pp. 702–734.</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Heuberger R.A. Diseases of the Hematological System. In: Nahikian-Nelms M., Sucher K.P., Lacey K., Long Roth S., editors.</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Nutrition Therapy and Pathophysiology.</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Wadsworth, Cengage Learning; Belmont, CA, USA: 2011. pp. 562–608.</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National Cancer Institute 2013-12-23. Retrieved</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18 June</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2014.</w:t>
      </w:r>
      <w:hyperlink r:id="rId17" w:anchor="cite_note-NCIBook2013-3" w:history="1">
        <w:r w:rsidRPr="000D7DAD">
          <w:rPr>
            <w:rFonts w:ascii="Times New Roman" w:hAnsi="Times New Roman" w:cs="Times New Roman"/>
            <w:color w:val="000000"/>
            <w:sz w:val="20"/>
            <w:szCs w:val="20"/>
            <w:vertAlign w:val="superscript"/>
          </w:rPr>
          <w:t>[3]</w:t>
        </w:r>
      </w:hyperlink>
      <w:hyperlink r:id="rId18" w:anchor="cite_ref-NCISnap_5-5" w:history="1">
        <w:r w:rsidRPr="000D7DAD">
          <w:rPr>
            <w:rFonts w:ascii="Times New Roman" w:hAnsi="Times New Roman" w:cs="Times New Roman"/>
            <w:b/>
            <w:bCs/>
            <w:color w:val="000000"/>
            <w:sz w:val="20"/>
            <w:szCs w:val="20"/>
            <w:vertAlign w:val="superscript"/>
          </w:rPr>
          <w:t>f</w:t>
        </w:r>
      </w:hyperlink>
      <w:r w:rsidRPr="000D7DAD">
        <w:rPr>
          <w:rFonts w:ascii="Times New Roman" w:hAnsi="Times New Roman" w:cs="Times New Roman"/>
          <w:color w:val="000000"/>
          <w:sz w:val="20"/>
          <w:szCs w:val="20"/>
        </w:rPr>
        <w:t> </w:t>
      </w:r>
      <w:hyperlink r:id="rId19" w:history="1">
        <w:r w:rsidRPr="000D7DAD">
          <w:rPr>
            <w:rFonts w:ascii="Times New Roman" w:hAnsi="Times New Roman" w:cs="Times New Roman"/>
            <w:color w:val="000000"/>
            <w:sz w:val="20"/>
            <w:szCs w:val="20"/>
          </w:rPr>
          <w:t>"A Snapshot of Leukemia"</w:t>
        </w:r>
      </w:hyperlink>
      <w:r w:rsidRPr="000D7DAD">
        <w:rPr>
          <w:rFonts w:ascii="Times New Roman" w:hAnsi="Times New Roman" w:cs="Times New Roman"/>
          <w:color w:val="000000"/>
          <w:sz w:val="20"/>
          <w:szCs w:val="20"/>
        </w:rPr>
        <w:t>.</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NCI. Retrieved</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18 June</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2014.</w:t>
      </w:r>
    </w:p>
    <w:p w:rsidR="00B1210F" w:rsidRPr="000D7DAD" w:rsidRDefault="00F758E4" w:rsidP="00B503AF">
      <w:pPr>
        <w:numPr>
          <w:ilvl w:val="0"/>
          <w:numId w:val="16"/>
        </w:numPr>
        <w:shd w:val="clear" w:color="auto" w:fill="FFFFFF"/>
        <w:tabs>
          <w:tab w:val="left" w:pos="426"/>
        </w:tabs>
        <w:bidi w:val="0"/>
        <w:snapToGrid w:val="0"/>
        <w:spacing w:after="0" w:line="240" w:lineRule="auto"/>
        <w:ind w:left="425" w:hanging="425"/>
        <w:jc w:val="both"/>
        <w:textAlignment w:val="baseline"/>
        <w:rPr>
          <w:rFonts w:ascii="Times New Roman" w:hAnsi="Times New Roman" w:cs="Times New Roman"/>
          <w:color w:val="000000"/>
          <w:sz w:val="20"/>
          <w:szCs w:val="20"/>
        </w:rPr>
      </w:pPr>
      <w:hyperlink r:id="rId20" w:history="1">
        <w:r w:rsidR="00B1210F" w:rsidRPr="000D7DAD">
          <w:rPr>
            <w:rFonts w:ascii="Times New Roman" w:hAnsi="Times New Roman" w:cs="Times New Roman"/>
            <w:color w:val="000000"/>
            <w:sz w:val="20"/>
            <w:szCs w:val="20"/>
            <w:bdr w:val="none" w:sz="0" w:space="0" w:color="auto" w:frame="1"/>
          </w:rPr>
          <w:t>Ladas, Elena</w:t>
        </w:r>
      </w:hyperlink>
      <w:r w:rsidR="00B1210F" w:rsidRPr="000D7DAD">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rPr>
        <w:t>Dietary Intake among Children with Acute Lymphoblastic Leukemia (ALL) Author (Thesis Advisor (s) Wolf, Randi: 2013.</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 xml:space="preserve">Picot, J., et al. "The Effectiveness of Interventions to Treat Severe Acute Malnutrition in Young </w:t>
      </w:r>
      <w:r w:rsidRPr="000D7DAD">
        <w:rPr>
          <w:rFonts w:ascii="Times New Roman" w:eastAsia="Arial Unicode MS" w:hAnsi="Times New Roman" w:cs="Times New Roman"/>
          <w:color w:val="000000"/>
          <w:sz w:val="20"/>
          <w:szCs w:val="20"/>
        </w:rPr>
        <w:t>Children: A Systematic Review."</w:t>
      </w:r>
      <w:r w:rsidRPr="000D7DAD">
        <w:rPr>
          <w:rFonts w:ascii="Times New Roman" w:eastAsia="Arial Unicode MS" w:hAnsi="Times New Roman" w:cs="Times New Roman"/>
          <w:color w:val="000000"/>
          <w:sz w:val="20"/>
          <w:szCs w:val="20"/>
          <w:shd w:val="clear" w:color="auto" w:fill="FFFFFF"/>
        </w:rPr>
        <w:t xml:space="preserve"> Health Technol</w:t>
      </w:r>
      <w:r w:rsidR="007063F2">
        <w:rPr>
          <w:rFonts w:ascii="Times New Roman" w:eastAsia="Arial Unicode MS" w:hAnsi="Times New Roman" w:cs="Times New Roman"/>
          <w:color w:val="000000"/>
          <w:sz w:val="20"/>
          <w:szCs w:val="20"/>
          <w:shd w:val="clear" w:color="auto" w:fill="FFFFFF"/>
        </w:rPr>
        <w:t xml:space="preserve"> </w:t>
      </w:r>
      <w:r w:rsidRPr="000D7DAD">
        <w:rPr>
          <w:rFonts w:ascii="Times New Roman" w:eastAsia="Arial Unicode MS" w:hAnsi="Times New Roman" w:cs="Times New Roman"/>
          <w:color w:val="000000"/>
          <w:sz w:val="20"/>
          <w:szCs w:val="20"/>
          <w:shd w:val="clear" w:color="auto" w:fill="FFFFFF"/>
        </w:rPr>
        <w:t>Assess</w:t>
      </w:r>
      <w:r w:rsidRPr="000D7DAD">
        <w:rPr>
          <w:rFonts w:ascii="Times New Roman" w:eastAsia="Arial Unicode MS" w:hAnsi="Times New Roman" w:cs="Times New Roman"/>
          <w:color w:val="000000"/>
          <w:sz w:val="20"/>
          <w:szCs w:val="20"/>
        </w:rPr>
        <w:t xml:space="preserve"> 16.19 (2012): 1-316.</w:t>
      </w:r>
    </w:p>
    <w:p w:rsidR="00B1210F" w:rsidRPr="000D7DAD" w:rsidRDefault="007063F2" w:rsidP="00B503AF">
      <w:pPr>
        <w:numPr>
          <w:ilvl w:val="0"/>
          <w:numId w:val="16"/>
        </w:numPr>
        <w:shd w:val="clear" w:color="auto" w:fill="FFFFFF"/>
        <w:tabs>
          <w:tab w:val="left" w:pos="426"/>
        </w:tabs>
        <w:bidi w:val="0"/>
        <w:snapToGrid w:val="0"/>
        <w:spacing w:after="0" w:line="240" w:lineRule="auto"/>
        <w:ind w:left="425" w:hanging="425"/>
        <w:jc w:val="both"/>
        <w:textAlignment w:val="baseline"/>
        <w:rPr>
          <w:rFonts w:ascii="Times New Roman" w:hAnsi="Times New Roman" w:cs="Times New Roman"/>
          <w:color w:val="000000"/>
          <w:sz w:val="20"/>
          <w:szCs w:val="20"/>
        </w:rPr>
      </w:pPr>
      <w:r>
        <w:rPr>
          <w:rFonts w:ascii="Times New Roman" w:hAnsi="Times New Roman" w:cs="Times New Roman"/>
          <w:color w:val="000000"/>
          <w:sz w:val="20"/>
          <w:szCs w:val="20"/>
          <w:bdr w:val="none" w:sz="0" w:space="0" w:color="auto" w:frame="1"/>
        </w:rPr>
        <w:lastRenderedPageBreak/>
        <w:t xml:space="preserve">Skipworth </w:t>
      </w:r>
      <w:r w:rsidR="00B1210F" w:rsidRPr="000D7DAD">
        <w:rPr>
          <w:rFonts w:ascii="Times New Roman" w:hAnsi="Times New Roman" w:cs="Times New Roman"/>
          <w:color w:val="000000"/>
          <w:sz w:val="20"/>
          <w:szCs w:val="20"/>
          <w:bdr w:val="none" w:sz="0" w:space="0" w:color="auto" w:frame="1"/>
        </w:rPr>
        <w:t>RJ</w:t>
      </w:r>
      <w:r w:rsidR="00B1210F" w:rsidRPr="000D7DAD">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B1210F" w:rsidRPr="000D7DAD">
        <w:rPr>
          <w:rFonts w:ascii="Times New Roman" w:hAnsi="Times New Roman" w:cs="Times New Roman"/>
          <w:color w:val="000000"/>
          <w:sz w:val="20"/>
          <w:szCs w:val="20"/>
          <w:bdr w:val="none" w:sz="0" w:space="0" w:color="auto" w:frame="1"/>
        </w:rPr>
        <w:t>Stewart</w:t>
      </w:r>
      <w:r>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bdr w:val="none" w:sz="0" w:space="0" w:color="auto" w:frame="1"/>
        </w:rPr>
        <w:t>GD</w:t>
      </w:r>
      <w:r w:rsidR="00B1210F" w:rsidRPr="000D7DAD">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bdr w:val="none" w:sz="0" w:space="0" w:color="auto" w:frame="1"/>
        </w:rPr>
        <w:t xml:space="preserve">ejong </w:t>
      </w:r>
      <w:r w:rsidR="00B1210F" w:rsidRPr="000D7DAD">
        <w:rPr>
          <w:rFonts w:ascii="Times New Roman" w:hAnsi="Times New Roman" w:cs="Times New Roman"/>
          <w:color w:val="000000"/>
          <w:sz w:val="20"/>
          <w:szCs w:val="20"/>
          <w:bdr w:val="none" w:sz="0" w:space="0" w:color="auto" w:frame="1"/>
        </w:rPr>
        <w:t>CH</w:t>
      </w:r>
      <w:r w:rsidR="00B1210F" w:rsidRPr="000D7DAD">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B1210F" w:rsidRPr="000D7DAD">
        <w:rPr>
          <w:rFonts w:ascii="Times New Roman" w:hAnsi="Times New Roman" w:cs="Times New Roman"/>
          <w:color w:val="000000"/>
          <w:sz w:val="20"/>
          <w:szCs w:val="20"/>
          <w:bdr w:val="none" w:sz="0" w:space="0" w:color="auto" w:frame="1"/>
        </w:rPr>
        <w:t>Preston</w:t>
      </w:r>
      <w:r>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bdr w:val="none" w:sz="0" w:space="0" w:color="auto" w:frame="1"/>
        </w:rPr>
        <w:t>T</w:t>
      </w:r>
      <w:r w:rsidR="00B1210F" w:rsidRPr="000D7DAD">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B1210F" w:rsidRPr="000D7DAD">
        <w:rPr>
          <w:rFonts w:ascii="Times New Roman" w:hAnsi="Times New Roman" w:cs="Times New Roman"/>
          <w:color w:val="000000"/>
          <w:sz w:val="20"/>
          <w:szCs w:val="20"/>
          <w:bdr w:val="none" w:sz="0" w:space="0" w:color="auto" w:frame="1"/>
        </w:rPr>
        <w:t>Fearon</w:t>
      </w:r>
      <w:r>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bdr w:val="none" w:sz="0" w:space="0" w:color="auto" w:frame="1"/>
        </w:rPr>
        <w:t>KC: Pathophysiology of cancer cachexia: much more than host-tumour interaction? Clin</w:t>
      </w:r>
      <w:r>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bdr w:val="none" w:sz="0" w:space="0" w:color="auto" w:frame="1"/>
        </w:rPr>
        <w:t>Nutr.</w:t>
      </w:r>
      <w:r>
        <w:rPr>
          <w:rFonts w:ascii="Times New Roman" w:hAnsi="Times New Roman" w:cs="Times New Roman"/>
          <w:color w:val="000000"/>
          <w:sz w:val="20"/>
          <w:szCs w:val="20"/>
          <w:bdr w:val="none" w:sz="0" w:space="0" w:color="auto" w:frame="1"/>
        </w:rPr>
        <w:t xml:space="preserve"> </w:t>
      </w:r>
      <w:r w:rsidR="00B1210F" w:rsidRPr="000D7DAD">
        <w:rPr>
          <w:rFonts w:ascii="Times New Roman" w:hAnsi="Times New Roman" w:cs="Times New Roman"/>
          <w:color w:val="000000"/>
          <w:sz w:val="20"/>
          <w:szCs w:val="20"/>
          <w:bdr w:val="none" w:sz="0" w:space="0" w:color="auto" w:frame="1"/>
        </w:rPr>
        <w:t xml:space="preserve">2007; </w:t>
      </w:r>
      <w:r w:rsidR="00B1210F" w:rsidRPr="000D7DAD">
        <w:rPr>
          <w:rFonts w:ascii="Times New Roman" w:hAnsi="Times New Roman" w:cs="Times New Roman"/>
          <w:bCs/>
          <w:color w:val="000000"/>
          <w:sz w:val="20"/>
          <w:szCs w:val="20"/>
          <w:bdr w:val="none" w:sz="0" w:space="0" w:color="auto" w:frame="1"/>
        </w:rPr>
        <w:t>26</w:t>
      </w:r>
      <w:r w:rsidR="00B1210F" w:rsidRPr="000D7DAD">
        <w:rPr>
          <w:rFonts w:ascii="Times New Roman" w:hAnsi="Times New Roman" w:cs="Times New Roman"/>
          <w:color w:val="000000"/>
          <w:sz w:val="20"/>
          <w:szCs w:val="20"/>
          <w:bdr w:val="none" w:sz="0" w:space="0" w:color="auto" w:frame="1"/>
        </w:rPr>
        <w:t>: 667–76.</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rPr>
      </w:pPr>
      <w:r w:rsidRPr="000D7DAD">
        <w:rPr>
          <w:rFonts w:ascii="Times New Roman" w:hAnsi="Times New Roman" w:cs="Times New Roman"/>
          <w:color w:val="000000"/>
          <w:sz w:val="20"/>
          <w:szCs w:val="20"/>
        </w:rPr>
        <w:t>Ladas, E. J., Victora CG, Vaughan PJ, Kikwood BR. et al.: Dietary Intake among Children with Risk factors for malnutrition in Brazilian children: the role of social and environmental variables. Bull World Health Org, 2013.</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textAlignment w:val="baseline"/>
        <w:rPr>
          <w:rFonts w:ascii="Times New Roman" w:hAnsi="Times New Roman" w:cs="Times New Roman"/>
          <w:color w:val="000000"/>
          <w:sz w:val="20"/>
          <w:szCs w:val="20"/>
        </w:rPr>
      </w:pPr>
      <w:r w:rsidRPr="000D7DAD">
        <w:rPr>
          <w:rFonts w:ascii="Times New Roman" w:hAnsi="Times New Roman" w:cs="Times New Roman"/>
          <w:color w:val="000000"/>
          <w:sz w:val="20"/>
          <w:szCs w:val="20"/>
        </w:rPr>
        <w:t>American Institute for Cancer Research. "American Institution for Cancer Research." 2012 Accessed: June 15, 2012.</w:t>
      </w:r>
    </w:p>
    <w:p w:rsidR="00B1210F" w:rsidRPr="000D7DAD" w:rsidRDefault="00B1210F" w:rsidP="00B503AF">
      <w:pPr>
        <w:numPr>
          <w:ilvl w:val="0"/>
          <w:numId w:val="16"/>
        </w:numPr>
        <w:tabs>
          <w:tab w:val="left" w:pos="426"/>
        </w:tabs>
        <w:bidi w:val="0"/>
        <w:snapToGrid w:val="0"/>
        <w:spacing w:after="0" w:line="240" w:lineRule="auto"/>
        <w:ind w:left="425" w:hanging="425"/>
        <w:jc w:val="both"/>
        <w:textAlignment w:val="baseline"/>
        <w:rPr>
          <w:rFonts w:ascii="Times New Roman" w:hAnsi="Times New Roman" w:cs="Times New Roman"/>
          <w:color w:val="000000"/>
          <w:sz w:val="20"/>
          <w:szCs w:val="20"/>
        </w:rPr>
      </w:pPr>
      <w:r w:rsidRPr="000D7DAD">
        <w:rPr>
          <w:rFonts w:ascii="Times New Roman" w:hAnsi="Times New Roman" w:cs="Times New Roman"/>
          <w:color w:val="000000"/>
          <w:sz w:val="20"/>
          <w:szCs w:val="20"/>
        </w:rPr>
        <w:t>Corm S., Berthon C., Imbenotte M., Biggio V., Lhermitte M., Dupont C., Briche I., Quesnel B.:</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(2009) Leuk. Res.</w:t>
      </w:r>
      <w:r w:rsidR="007063F2">
        <w:rPr>
          <w:rFonts w:ascii="Times New Roman" w:hAnsi="Times New Roman" w:cs="Times New Roman"/>
          <w:color w:val="000000"/>
          <w:sz w:val="20"/>
          <w:szCs w:val="20"/>
        </w:rPr>
        <w:t xml:space="preserve"> </w:t>
      </w:r>
      <w:r w:rsidRPr="000D7DAD">
        <w:rPr>
          <w:rFonts w:ascii="Times New Roman" w:hAnsi="Times New Roman" w:cs="Times New Roman"/>
          <w:color w:val="000000"/>
          <w:sz w:val="20"/>
          <w:szCs w:val="20"/>
        </w:rPr>
        <w:t>33, 490–494.</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b/>
          <w:bCs/>
          <w:color w:val="000000"/>
          <w:sz w:val="20"/>
          <w:szCs w:val="20"/>
        </w:rPr>
      </w:pPr>
      <w:r w:rsidRPr="000D7DAD">
        <w:rPr>
          <w:rFonts w:ascii="Times New Roman" w:hAnsi="Times New Roman" w:cs="Times New Roman"/>
          <w:color w:val="000000"/>
          <w:sz w:val="20"/>
          <w:szCs w:val="20"/>
          <w:lang w:val="es-ES"/>
        </w:rPr>
        <w:t>Al-Gayyar M. M., Eissa L. A., Rabie A. M., El-Gayar A. M.:</w:t>
      </w:r>
      <w:r w:rsidR="007063F2">
        <w:rPr>
          <w:rFonts w:ascii="Times New Roman" w:hAnsi="Times New Roman" w:cs="Times New Roman"/>
          <w:color w:val="000000"/>
          <w:sz w:val="20"/>
          <w:szCs w:val="20"/>
          <w:lang w:val="es-ES"/>
        </w:rPr>
        <w:t xml:space="preserve"> </w:t>
      </w:r>
      <w:r w:rsidRPr="000D7DAD">
        <w:rPr>
          <w:rFonts w:ascii="Times New Roman" w:hAnsi="Times New Roman" w:cs="Times New Roman"/>
          <w:color w:val="000000"/>
          <w:sz w:val="20"/>
          <w:szCs w:val="20"/>
          <w:lang w:val="es-ES"/>
        </w:rPr>
        <w:t>(2007)</w:t>
      </w:r>
      <w:r w:rsidR="007063F2">
        <w:rPr>
          <w:rFonts w:ascii="Times New Roman" w:hAnsi="Times New Roman" w:cs="Times New Roman"/>
          <w:color w:val="000000"/>
          <w:sz w:val="20"/>
          <w:szCs w:val="20"/>
          <w:lang w:val="es-ES"/>
        </w:rPr>
        <w:t xml:space="preserve"> </w:t>
      </w:r>
      <w:r w:rsidRPr="000D7DAD">
        <w:rPr>
          <w:rFonts w:ascii="Times New Roman" w:hAnsi="Times New Roman" w:cs="Times New Roman"/>
          <w:color w:val="000000"/>
          <w:sz w:val="20"/>
          <w:szCs w:val="20"/>
          <w:lang w:val="es-ES"/>
        </w:rPr>
        <w:t xml:space="preserve">J. Pharm. </w:t>
      </w:r>
      <w:r w:rsidR="007063F2">
        <w:rPr>
          <w:rFonts w:ascii="Times New Roman" w:hAnsi="Times New Roman" w:cs="Times New Roman"/>
          <w:color w:val="000000"/>
          <w:sz w:val="20"/>
          <w:szCs w:val="20"/>
        </w:rPr>
        <w:t xml:space="preserve">Pharmacol. </w:t>
      </w:r>
      <w:r w:rsidRPr="000D7DAD">
        <w:rPr>
          <w:rFonts w:ascii="Times New Roman" w:hAnsi="Times New Roman" w:cs="Times New Roman"/>
          <w:color w:val="000000"/>
          <w:sz w:val="20"/>
          <w:szCs w:val="20"/>
        </w:rPr>
        <w:t>59, 409–417)</w:t>
      </w:r>
      <w:r w:rsidR="000D7DAD" w:rsidRPr="000D7DAD">
        <w:rPr>
          <w:rFonts w:ascii="Times New Roman" w:hAnsi="Times New Roman" w:cs="Times New Roman"/>
          <w:color w:val="000000"/>
          <w:sz w:val="20"/>
          <w:szCs w:val="20"/>
        </w:rPr>
        <w:t>.</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outlineLvl w:val="2"/>
        <w:rPr>
          <w:rFonts w:ascii="Times New Roman" w:hAnsi="Times New Roman" w:cs="Times New Roman"/>
          <w:bCs/>
          <w:color w:val="000000"/>
          <w:sz w:val="20"/>
          <w:szCs w:val="20"/>
        </w:rPr>
      </w:pPr>
      <w:r w:rsidRPr="000D7DAD">
        <w:rPr>
          <w:rFonts w:ascii="Times New Roman" w:hAnsi="Times New Roman" w:cs="Times New Roman"/>
          <w:bCs/>
          <w:color w:val="000000"/>
          <w:sz w:val="20"/>
          <w:szCs w:val="20"/>
        </w:rPr>
        <w:t>Ursula Rohr U Sgarbieri; Mauro Fisberg; Luís Gonzaga Tone; Maria do Rosário Dias Latorre: Nutritional assessment and serum zinc and copper concentration among children with acute lymphocytic leukemia: a longitudinal study.</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Sao Paulo Med. J.</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vol.124</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no.6</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São Paulo</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Nov.</w:t>
      </w:r>
      <w:r w:rsidR="007063F2">
        <w:rPr>
          <w:rFonts w:ascii="Times New Roman" w:hAnsi="Times New Roman" w:cs="Times New Roman"/>
          <w:bCs/>
          <w:color w:val="000000"/>
          <w:sz w:val="20"/>
          <w:szCs w:val="20"/>
        </w:rPr>
        <w:t xml:space="preserve"> </w:t>
      </w:r>
      <w:r w:rsidRPr="000D7DAD">
        <w:rPr>
          <w:rFonts w:ascii="Times New Roman" w:hAnsi="Times New Roman" w:cs="Times New Roman"/>
          <w:bCs/>
          <w:color w:val="000000"/>
          <w:sz w:val="20"/>
          <w:szCs w:val="20"/>
        </w:rPr>
        <w:t>2006.</w:t>
      </w:r>
    </w:p>
    <w:p w:rsidR="00B1210F" w:rsidRPr="000D7DAD" w:rsidRDefault="00F758E4" w:rsidP="00B503AF">
      <w:pPr>
        <w:numPr>
          <w:ilvl w:val="0"/>
          <w:numId w:val="16"/>
        </w:numPr>
        <w:shd w:val="clear" w:color="auto" w:fill="FFFFFF"/>
        <w:tabs>
          <w:tab w:val="left" w:pos="426"/>
        </w:tabs>
        <w:bidi w:val="0"/>
        <w:snapToGrid w:val="0"/>
        <w:spacing w:after="0" w:line="240" w:lineRule="auto"/>
        <w:ind w:left="425" w:hanging="425"/>
        <w:jc w:val="both"/>
        <w:outlineLvl w:val="2"/>
        <w:rPr>
          <w:rFonts w:ascii="Times New Roman" w:hAnsi="Times New Roman" w:cs="Times New Roman"/>
          <w:bCs/>
          <w:color w:val="000000"/>
          <w:sz w:val="20"/>
          <w:szCs w:val="20"/>
        </w:rPr>
      </w:pPr>
      <w:hyperlink r:id="rId21" w:history="1">
        <w:r w:rsidR="00B1210F" w:rsidRPr="000D7DAD">
          <w:rPr>
            <w:rFonts w:ascii="Times New Roman" w:hAnsi="Times New Roman" w:cs="Times New Roman"/>
            <w:color w:val="000000"/>
            <w:sz w:val="20"/>
            <w:szCs w:val="20"/>
          </w:rPr>
          <w:t>Atkinson SA</w:t>
        </w:r>
      </w:hyperlink>
      <w:r w:rsidR="00B1210F" w:rsidRPr="000D7DAD">
        <w:rPr>
          <w:rFonts w:ascii="Times New Roman" w:hAnsi="Times New Roman" w:cs="Times New Roman"/>
          <w:color w:val="000000"/>
          <w:sz w:val="20"/>
          <w:szCs w:val="20"/>
        </w:rPr>
        <w:t xml:space="preserve">: </w:t>
      </w:r>
      <w:r w:rsidR="00B1210F" w:rsidRPr="000D7DAD">
        <w:rPr>
          <w:rFonts w:ascii="Times New Roman" w:hAnsi="Times New Roman" w:cs="Times New Roman"/>
          <w:bCs/>
          <w:color w:val="000000"/>
          <w:sz w:val="20"/>
          <w:szCs w:val="20"/>
        </w:rPr>
        <w:t>Vitamin D status and bone biomarkers in childhood cancer.</w:t>
      </w:r>
      <w:r w:rsidR="007063F2">
        <w:rPr>
          <w:rFonts w:ascii="Times New Roman" w:hAnsi="Times New Roman" w:cs="Times New Roman"/>
          <w:bCs/>
          <w:color w:val="000000"/>
          <w:sz w:val="20"/>
          <w:szCs w:val="20"/>
        </w:rPr>
        <w:t xml:space="preserve"> </w:t>
      </w:r>
      <w:hyperlink r:id="rId22" w:tooltip="Pediatric blood &amp; cancer." w:history="1">
        <w:r w:rsidR="00B1210F" w:rsidRPr="000D7DAD">
          <w:rPr>
            <w:rFonts w:ascii="Times New Roman" w:hAnsi="Times New Roman" w:cs="Times New Roman"/>
            <w:color w:val="000000"/>
            <w:sz w:val="20"/>
            <w:szCs w:val="20"/>
          </w:rPr>
          <w:t>Pediatr Blood Cancer.</w:t>
        </w:r>
      </w:hyperlink>
      <w:r w:rsidR="007063F2">
        <w:rPr>
          <w:rFonts w:ascii="Times New Roman" w:hAnsi="Times New Roman" w:cs="Times New Roman"/>
          <w:color w:val="000000"/>
          <w:sz w:val="20"/>
          <w:szCs w:val="20"/>
        </w:rPr>
        <w:t xml:space="preserve"> </w:t>
      </w:r>
      <w:r w:rsidR="00B1210F" w:rsidRPr="000D7DAD">
        <w:rPr>
          <w:rFonts w:ascii="Times New Roman" w:hAnsi="Times New Roman" w:cs="Times New Roman"/>
          <w:color w:val="000000"/>
          <w:sz w:val="20"/>
          <w:szCs w:val="20"/>
        </w:rPr>
        <w:t>2008 Feb; 50(2 Suppl): 479-82; discussion 486.</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Kaste, S. C., et al. "Bone Mineral Decrements in Survivors of Childhood Acute Lymphoblastic Leukemia: Frequency of Occurrence and Risk Factors for Their Development." Leukemia 15.5 (2001): 728-34.</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WHO, 2007: Onis M, Onyango AW, Borghi E, Siyam A, Nishda C and Siekmann J (2007): Development of a WHO growth reference for school–age children.</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FAO/WHO/UNU</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(2004):</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Human energy requirements report of a joint FAO/WHO/UNU Expert Consultation.</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lang w:val="de-DE"/>
        </w:rPr>
        <w:t xml:space="preserve">Savige GS, Hsu-Hage BH-H, Wahlqvist ML. </w:t>
      </w:r>
      <w:r w:rsidRPr="000D7DAD">
        <w:rPr>
          <w:rFonts w:ascii="Times New Roman" w:hAnsi="Times New Roman" w:cs="Times New Roman"/>
          <w:color w:val="000000"/>
          <w:sz w:val="20"/>
          <w:szCs w:val="20"/>
          <w:shd w:val="clear" w:color="auto" w:fill="FFFFFF"/>
        </w:rPr>
        <w:t>Food variety as nutritional therapy. Current Therapeutics 1997: 57-67.</w:t>
      </w:r>
    </w:p>
    <w:p w:rsidR="00E015BF" w:rsidRPr="000D7DAD" w:rsidRDefault="00E015B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Sight And Life.</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 xml:space="preserve">Newsletter </w:t>
      </w:r>
      <w:r w:rsidR="00B1210F" w:rsidRPr="000D7DAD">
        <w:rPr>
          <w:rFonts w:ascii="Times New Roman" w:hAnsi="Times New Roman" w:cs="Times New Roman"/>
          <w:color w:val="000000"/>
          <w:sz w:val="20"/>
          <w:szCs w:val="20"/>
          <w:shd w:val="clear" w:color="auto" w:fill="FFFFFF"/>
        </w:rPr>
        <w:t>3/2002. 2. Editorial. Contents. Vitmin A and its relatives: marvellous molecules in key life processes. Page 3. Vitamin A,</w:t>
      </w:r>
      <w:r w:rsidR="007063F2">
        <w:rPr>
          <w:rFonts w:ascii="Times New Roman" w:hAnsi="Times New Roman" w:cs="Times New Roman"/>
          <w:color w:val="000000"/>
          <w:sz w:val="20"/>
          <w:szCs w:val="20"/>
          <w:shd w:val="clear" w:color="auto" w:fill="FFFFFF"/>
        </w:rPr>
        <w:t xml:space="preserve"> </w:t>
      </w:r>
      <w:r w:rsidR="00B1210F" w:rsidRPr="000D7DAD">
        <w:rPr>
          <w:rFonts w:ascii="Times New Roman" w:hAnsi="Times New Roman" w:cs="Times New Roman"/>
          <w:color w:val="000000"/>
          <w:sz w:val="20"/>
          <w:szCs w:val="20"/>
          <w:shd w:val="clear" w:color="auto" w:fill="FFFFFF"/>
        </w:rPr>
        <w:t>PH Goodman and</w:t>
      </w:r>
      <w:r w:rsidR="007063F2">
        <w:rPr>
          <w:rFonts w:ascii="Times New Roman" w:hAnsi="Times New Roman" w:cs="Times New Roman"/>
          <w:color w:val="000000"/>
          <w:sz w:val="20"/>
          <w:szCs w:val="20"/>
          <w:shd w:val="clear" w:color="auto" w:fill="FFFFFF"/>
        </w:rPr>
        <w:t xml:space="preserve"> </w:t>
      </w:r>
      <w:hyperlink r:id="rId23" w:history="1">
        <w:r w:rsidR="00B1210F" w:rsidRPr="000D7DAD">
          <w:rPr>
            <w:rFonts w:ascii="Times New Roman" w:hAnsi="Times New Roman" w:cs="Times New Roman"/>
            <w:color w:val="000000"/>
            <w:sz w:val="20"/>
            <w:szCs w:val="20"/>
            <w:shd w:val="clear" w:color="auto" w:fill="FFFFFF"/>
          </w:rPr>
          <w:t>www.a2zproject.org/~a2zorg/pdf/30%202002%20SL.pdf</w:t>
        </w:r>
      </w:hyperlink>
      <w:r w:rsidR="000D7DAD" w:rsidRPr="000D7DAD">
        <w:rPr>
          <w:sz w:val="20"/>
          <w:szCs w:val="20"/>
        </w:rPr>
        <w:t>.</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sz w:val="20"/>
          <w:szCs w:val="20"/>
          <w:shd w:val="clear" w:color="auto" w:fill="FFFFFF"/>
        </w:rPr>
      </w:pPr>
      <w:r w:rsidRPr="000D7DAD">
        <w:rPr>
          <w:rFonts w:ascii="Times New Roman" w:hAnsi="Times New Roman" w:cs="Times New Roman"/>
          <w:sz w:val="20"/>
          <w:szCs w:val="20"/>
        </w:rPr>
        <w:t>19-Swindale A Paula B. Household</w:t>
      </w:r>
      <w:r w:rsidR="007063F2">
        <w:rPr>
          <w:rFonts w:ascii="Times New Roman" w:hAnsi="Times New Roman" w:cs="Times New Roman"/>
          <w:sz w:val="20"/>
          <w:szCs w:val="20"/>
        </w:rPr>
        <w:t xml:space="preserve"> </w:t>
      </w:r>
      <w:r w:rsidRPr="000D7DAD">
        <w:rPr>
          <w:rFonts w:ascii="Times New Roman" w:hAnsi="Times New Roman" w:cs="Times New Roman"/>
          <w:b/>
          <w:bCs/>
          <w:sz w:val="20"/>
          <w:szCs w:val="20"/>
        </w:rPr>
        <w:t>Dietary</w:t>
      </w:r>
      <w:r w:rsidR="007063F2">
        <w:rPr>
          <w:rFonts w:ascii="Times New Roman" w:hAnsi="Times New Roman" w:cs="Times New Roman"/>
          <w:b/>
          <w:bCs/>
          <w:sz w:val="20"/>
          <w:szCs w:val="20"/>
        </w:rPr>
        <w:t xml:space="preserve"> </w:t>
      </w:r>
      <w:r w:rsidRPr="000D7DAD">
        <w:rPr>
          <w:rFonts w:ascii="Times New Roman" w:hAnsi="Times New Roman" w:cs="Times New Roman"/>
          <w:b/>
          <w:bCs/>
          <w:sz w:val="20"/>
          <w:szCs w:val="20"/>
        </w:rPr>
        <w:t>Diversity</w:t>
      </w:r>
      <w:r w:rsidR="007063F2">
        <w:rPr>
          <w:rFonts w:ascii="Times New Roman" w:hAnsi="Times New Roman" w:cs="Times New Roman"/>
          <w:b/>
          <w:bCs/>
          <w:sz w:val="20"/>
          <w:szCs w:val="20"/>
        </w:rPr>
        <w:t xml:space="preserve"> </w:t>
      </w:r>
      <w:r w:rsidRPr="000D7DAD">
        <w:rPr>
          <w:rFonts w:ascii="Times New Roman" w:hAnsi="Times New Roman" w:cs="Times New Roman"/>
          <w:b/>
          <w:bCs/>
          <w:sz w:val="20"/>
          <w:szCs w:val="20"/>
        </w:rPr>
        <w:t>Score</w:t>
      </w:r>
      <w:r w:rsidR="007063F2">
        <w:rPr>
          <w:rFonts w:ascii="Times New Roman" w:hAnsi="Times New Roman" w:cs="Times New Roman"/>
          <w:b/>
          <w:bCs/>
          <w:sz w:val="20"/>
          <w:szCs w:val="20"/>
        </w:rPr>
        <w:t xml:space="preserve"> </w:t>
      </w:r>
      <w:r w:rsidRPr="000D7DAD">
        <w:rPr>
          <w:rFonts w:ascii="Times New Roman" w:hAnsi="Times New Roman" w:cs="Times New Roman"/>
          <w:sz w:val="20"/>
          <w:szCs w:val="20"/>
        </w:rPr>
        <w:t>(HDDS) for Measurement of</w:t>
      </w:r>
      <w:r w:rsidR="007063F2">
        <w:rPr>
          <w:rFonts w:ascii="Times New Roman" w:hAnsi="Times New Roman" w:cs="Times New Roman"/>
          <w:sz w:val="20"/>
          <w:szCs w:val="20"/>
        </w:rPr>
        <w:t xml:space="preserve">. </w:t>
      </w:r>
      <w:r w:rsidRPr="000D7DAD">
        <w:rPr>
          <w:rFonts w:ascii="Times New Roman" w:hAnsi="Times New Roman" w:cs="Times New Roman"/>
          <w:sz w:val="20"/>
          <w:szCs w:val="20"/>
        </w:rPr>
        <w:t>VERSION 2. September</w:t>
      </w:r>
      <w:r w:rsidR="007063F2">
        <w:rPr>
          <w:rFonts w:ascii="Times New Roman" w:hAnsi="Times New Roman" w:cs="Times New Roman"/>
          <w:sz w:val="20"/>
          <w:szCs w:val="20"/>
        </w:rPr>
        <w:t xml:space="preserve"> </w:t>
      </w:r>
      <w:r w:rsidRPr="000D7DAD">
        <w:rPr>
          <w:rFonts w:ascii="Times New Roman" w:hAnsi="Times New Roman" w:cs="Times New Roman"/>
          <w:b/>
          <w:bCs/>
          <w:sz w:val="20"/>
          <w:szCs w:val="20"/>
        </w:rPr>
        <w:t>2006</w:t>
      </w:r>
      <w:r w:rsidRPr="000D7DAD">
        <w:rPr>
          <w:rFonts w:ascii="Times New Roman" w:hAnsi="Times New Roman" w:cs="Times New Roman"/>
          <w:sz w:val="20"/>
          <w:szCs w:val="20"/>
        </w:rPr>
        <w:t xml:space="preserve"> FANTA. FHI 360 1825 Connecticut Ave., NW</w:t>
      </w:r>
      <w:r w:rsidR="007063F2">
        <w:rPr>
          <w:rFonts w:ascii="Times New Roman" w:hAnsi="Times New Roman" w:cs="Times New Roman"/>
          <w:sz w:val="20"/>
          <w:szCs w:val="20"/>
        </w:rPr>
        <w:t>.</w:t>
      </w:r>
    </w:p>
    <w:p w:rsidR="00B1210F" w:rsidRPr="009079AC"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18"/>
          <w:szCs w:val="18"/>
          <w:shd w:val="clear" w:color="auto" w:fill="FFFFFF"/>
        </w:rPr>
      </w:pPr>
      <w:r w:rsidRPr="009079AC">
        <w:rPr>
          <w:rFonts w:ascii="Times New Roman" w:hAnsi="Times New Roman" w:cs="Times New Roman"/>
          <w:color w:val="1B6F75"/>
          <w:sz w:val="18"/>
          <w:szCs w:val="18"/>
        </w:rPr>
        <w:lastRenderedPageBreak/>
        <w:t>www.fantaproject.org/sites/default/files/resources/</w:t>
      </w:r>
      <w:r w:rsidRPr="009079AC">
        <w:rPr>
          <w:rFonts w:ascii="Times New Roman" w:hAnsi="Times New Roman" w:cs="Times New Roman"/>
          <w:color w:val="000000"/>
          <w:sz w:val="18"/>
          <w:szCs w:val="18"/>
          <w:shd w:val="clear" w:color="auto" w:fill="FFFFFF"/>
        </w:rPr>
        <w:t>.</w:t>
      </w:r>
    </w:p>
    <w:p w:rsidR="00B1210F" w:rsidRPr="000D7DAD" w:rsidRDefault="00F758E4"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hyperlink r:id="rId24" w:history="1">
        <w:r w:rsidR="00B1210F" w:rsidRPr="000D7DAD">
          <w:rPr>
            <w:rFonts w:ascii="Times New Roman" w:hAnsi="Times New Roman" w:cs="Times New Roman"/>
            <w:color w:val="000000"/>
            <w:sz w:val="20"/>
            <w:szCs w:val="20"/>
            <w:shd w:val="clear" w:color="auto" w:fill="FFFFFF"/>
          </w:rPr>
          <w:t>Bauer</w:t>
        </w:r>
      </w:hyperlink>
      <w:r w:rsidR="00B1210F" w:rsidRPr="000D7DAD">
        <w:rPr>
          <w:rFonts w:ascii="Times New Roman" w:hAnsi="Times New Roman" w:cs="Times New Roman"/>
          <w:color w:val="000000"/>
          <w:sz w:val="20"/>
          <w:szCs w:val="20"/>
          <w:shd w:val="clear" w:color="auto" w:fill="FFFFFF"/>
        </w:rPr>
        <w:t xml:space="preserve"> j</w:t>
      </w:r>
      <w:hyperlink r:id="rId25" w:anchor="corresp-1" w:history="1">
        <w:r w:rsidR="00B1210F" w:rsidRPr="000D7DAD">
          <w:rPr>
            <w:rFonts w:ascii="Times New Roman" w:hAnsi="Times New Roman" w:cs="Times New Roman"/>
            <w:color w:val="000000"/>
            <w:sz w:val="20"/>
            <w:szCs w:val="20"/>
            <w:shd w:val="clear" w:color="auto" w:fill="FFFFFF"/>
          </w:rPr>
          <w:t>*</w:t>
        </w:r>
      </w:hyperlink>
      <w:r w:rsidR="00B1210F" w:rsidRPr="000D7DAD">
        <w:rPr>
          <w:rFonts w:ascii="Times New Roman" w:hAnsi="Times New Roman" w:cs="Times New Roman"/>
          <w:color w:val="000000"/>
          <w:sz w:val="20"/>
          <w:szCs w:val="20"/>
          <w:shd w:val="clear" w:color="auto" w:fill="FFFFFF"/>
        </w:rPr>
        <w:t>,</w:t>
      </w:r>
      <w:r w:rsidR="007063F2">
        <w:rPr>
          <w:rFonts w:ascii="Times New Roman" w:hAnsi="Times New Roman" w:cs="Times New Roman"/>
          <w:color w:val="000000"/>
          <w:sz w:val="20"/>
          <w:szCs w:val="20"/>
          <w:shd w:val="clear" w:color="auto" w:fill="FFFFFF"/>
        </w:rPr>
        <w:t xml:space="preserve"> </w:t>
      </w:r>
      <w:hyperlink r:id="rId26" w:history="1">
        <w:r w:rsidR="00B1210F" w:rsidRPr="000D7DAD">
          <w:rPr>
            <w:rFonts w:ascii="Times New Roman" w:hAnsi="Times New Roman" w:cs="Times New Roman"/>
            <w:color w:val="000000"/>
            <w:sz w:val="20"/>
            <w:szCs w:val="20"/>
            <w:shd w:val="clear" w:color="auto" w:fill="FFFFFF"/>
          </w:rPr>
          <w:t>Jürgens</w:t>
        </w:r>
      </w:hyperlink>
      <w:r w:rsidR="00B1210F" w:rsidRPr="000D7DAD">
        <w:rPr>
          <w:rFonts w:ascii="Times New Roman" w:hAnsi="Times New Roman" w:cs="Times New Roman"/>
          <w:color w:val="000000"/>
          <w:sz w:val="20"/>
          <w:szCs w:val="20"/>
          <w:shd w:val="clear" w:color="auto" w:fill="FFFFFF"/>
        </w:rPr>
        <w:t xml:space="preserve"> H</w:t>
      </w:r>
      <w:hyperlink r:id="rId27" w:anchor="aff-2" w:history="1">
        <w:r w:rsidR="00B1210F" w:rsidRPr="000D7DAD">
          <w:rPr>
            <w:rFonts w:ascii="Times New Roman" w:hAnsi="Times New Roman" w:cs="Times New Roman"/>
            <w:color w:val="000000"/>
            <w:sz w:val="20"/>
            <w:szCs w:val="20"/>
            <w:shd w:val="clear" w:color="auto" w:fill="FFFFFF"/>
          </w:rPr>
          <w:t>3</w:t>
        </w:r>
      </w:hyperlink>
      <w:r w:rsidR="00B1210F" w:rsidRPr="000D7DAD">
        <w:rPr>
          <w:rFonts w:ascii="Times New Roman" w:hAnsi="Times New Roman" w:cs="Times New Roman"/>
          <w:color w:val="000000"/>
          <w:sz w:val="20"/>
          <w:szCs w:val="20"/>
          <w:shd w:val="clear" w:color="auto" w:fill="FFFFFF"/>
        </w:rPr>
        <w:t>, and</w:t>
      </w:r>
      <w:r w:rsidR="007063F2">
        <w:rPr>
          <w:rFonts w:ascii="Times New Roman" w:hAnsi="Times New Roman" w:cs="Times New Roman"/>
          <w:color w:val="000000"/>
          <w:sz w:val="20"/>
          <w:szCs w:val="20"/>
          <w:shd w:val="clear" w:color="auto" w:fill="FFFFFF"/>
        </w:rPr>
        <w:t xml:space="preserve"> </w:t>
      </w:r>
      <w:hyperlink r:id="rId28" w:history="1">
        <w:r w:rsidR="00B1210F" w:rsidRPr="000D7DAD">
          <w:rPr>
            <w:rFonts w:ascii="Times New Roman" w:hAnsi="Times New Roman" w:cs="Times New Roman"/>
            <w:color w:val="000000"/>
            <w:sz w:val="20"/>
            <w:szCs w:val="20"/>
            <w:shd w:val="clear" w:color="auto" w:fill="FFFFFF"/>
          </w:rPr>
          <w:t>Mmichael C. Frühwald</w:t>
        </w:r>
      </w:hyperlink>
      <w:r w:rsidR="00B1210F" w:rsidRPr="000D7DAD">
        <w:rPr>
          <w:rFonts w:ascii="Times New Roman" w:hAnsi="Times New Roman" w:cs="Times New Roman"/>
          <w:color w:val="000000"/>
          <w:sz w:val="20"/>
          <w:szCs w:val="20"/>
          <w:shd w:val="clear" w:color="auto" w:fill="FFFFFF"/>
        </w:rPr>
        <w:t>: Important Aspects of Nutrition in Children with Cancer advances in Nutrition: An International Review Journal, 2005.</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Bond, S. A., et al. "Energy Intake and Basal Metabolic Rate During Maintenance Chemotherapy." Arch. Dis. Child. 67.2 (1992): 229-32.</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Halton, J. M., S. A. Atkinson, and R. D. Barr. "Growth and Body Composition in Response to Chemotherapy in Children with Acute Lymphoblastic Leukemia." Int.</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J.</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Cancer</w:t>
      </w:r>
      <w:r w:rsidR="007063F2">
        <w:rPr>
          <w:rFonts w:ascii="Times New Roman" w:hAnsi="Times New Roman" w:cs="Times New Roman"/>
          <w:color w:val="000000"/>
          <w:sz w:val="20"/>
          <w:szCs w:val="20"/>
          <w:shd w:val="clear" w:color="auto" w:fill="FFFFFF"/>
        </w:rPr>
        <w:t xml:space="preserve"> </w:t>
      </w:r>
      <w:r w:rsidRPr="000D7DAD">
        <w:rPr>
          <w:rFonts w:ascii="Times New Roman" w:hAnsi="Times New Roman" w:cs="Times New Roman"/>
          <w:color w:val="000000"/>
          <w:sz w:val="20"/>
          <w:szCs w:val="20"/>
          <w:shd w:val="clear" w:color="auto" w:fill="FFFFFF"/>
        </w:rPr>
        <w:t>Suppl 11 (1998): 81-84. Print.</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rPr>
        <w:t>kennedy, D. D., et al.: Low Antioxidant Vitamin Intakes Are Associated with Increases in Adverse Effects of Chemotherapy in Children with Acute Lymphoblastic</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Lleukemiaemia.</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American Journal of clinical nutrition</w:t>
      </w:r>
      <w:r w:rsidRPr="000D7DAD">
        <w:rPr>
          <w:rFonts w:ascii="Times New Roman" w:hAnsi="Times New Roman" w:cs="Times New Roman"/>
          <w:color w:val="000000"/>
          <w:sz w:val="20"/>
          <w:szCs w:val="20"/>
          <w:shd w:val="clear" w:color="auto" w:fill="FFFFFF"/>
        </w:rPr>
        <w:t xml:space="preserve"> (2004)</w:t>
      </w:r>
      <w:r w:rsidRPr="000D7DAD">
        <w:rPr>
          <w:rFonts w:ascii="Times New Roman" w:eastAsia="MS ??" w:hAnsi="Times New Roman" w:cs="Times New Roman"/>
          <w:color w:val="000000"/>
          <w:sz w:val="20"/>
          <w:szCs w:val="20"/>
          <w:shd w:val="clear" w:color="auto" w:fill="FFFFFF"/>
        </w:rPr>
        <w:t>.</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lang w:val="es-ES"/>
        </w:rPr>
        <w:t xml:space="preserve">Ladas, E. J., et al. </w:t>
      </w:r>
      <w:r w:rsidRPr="000D7DAD">
        <w:rPr>
          <w:rFonts w:ascii="Times New Roman" w:eastAsia="MS ??" w:hAnsi="Times New Roman" w:cs="Times New Roman"/>
          <w:color w:val="000000"/>
          <w:sz w:val="20"/>
          <w:szCs w:val="20"/>
          <w:shd w:val="clear" w:color="auto" w:fill="FFFFFF"/>
        </w:rPr>
        <w:t>"Antioxidants and Cancer Therapy: A Systematic Review." J.</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Clin.</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Oncol. 22.3 (2004): 517-28.</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rPr>
        <w:t>Tylavsky, F. A., et al.: Nutritional Intake of Long-Term Survivors of Childhood Acute</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Lymphoblastic Leukemia: Evidence for Bone Health Interventional Opportunities. Pediatr Blood Cancer. 55.7 (2010): 1362-69. Print. U. S. Department of Health Human Services, Center for Disease.</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rPr>
        <w:t>Abbas, Z. G., and A. B. Swai.: Evaluation of the Efficacy of Thiamine and Pyridoxine in the Treatment of Symptomatic Diabetic Peripheral Neuropathy. East Afr. Med. J. 74.12 (1997).</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rPr>
        <w:t>Ang, C. D., et al.: Vitamin B for Treating Peripheral Neuropathy. Cochrane.</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Database.</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Syst.</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Rev.</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3 (2008): CD004573. Print</w:t>
      </w:r>
      <w:r w:rsidRPr="000D7DAD">
        <w:rPr>
          <w:rFonts w:ascii="Times New Roman" w:hAnsi="Times New Roman" w:cs="Times New Roman"/>
          <w:color w:val="000000"/>
          <w:sz w:val="20"/>
          <w:szCs w:val="20"/>
          <w:shd w:val="clear" w:color="auto" w:fill="FFFFFF"/>
        </w:rPr>
        <w:t>.</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hAnsi="Times New Roman" w:cs="Times New Roman"/>
          <w:color w:val="000000"/>
          <w:sz w:val="20"/>
          <w:szCs w:val="20"/>
          <w:shd w:val="clear" w:color="auto" w:fill="FFFFFF"/>
        </w:rPr>
        <w:t xml:space="preserve">Robien: </w:t>
      </w:r>
      <w:r w:rsidRPr="000D7DAD">
        <w:rPr>
          <w:rFonts w:ascii="Times New Roman" w:eastAsia="MS ??" w:hAnsi="Times New Roman" w:cs="Times New Roman"/>
          <w:color w:val="000000"/>
          <w:sz w:val="20"/>
          <w:szCs w:val="20"/>
          <w:shd w:val="clear" w:color="auto" w:fill="FFFFFF"/>
        </w:rPr>
        <w:t>The American Cancer Society Guide for Nutrition and Physical Activity for Cancer Survivors: A Call to Action Clinical Investigators." CA Cancer J.</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Clin. 53.5 (200</w:t>
      </w:r>
      <w:r w:rsidRPr="000D7DAD">
        <w:rPr>
          <w:rFonts w:ascii="Times New Roman" w:hAnsi="Times New Roman" w:cs="Times New Roman"/>
          <w:color w:val="000000"/>
          <w:sz w:val="20"/>
          <w:szCs w:val="20"/>
          <w:shd w:val="clear" w:color="auto" w:fill="FFFFFF"/>
        </w:rPr>
        <w:t>3</w:t>
      </w:r>
      <w:r w:rsidRPr="000D7DAD">
        <w:rPr>
          <w:rFonts w:ascii="Times New Roman" w:eastAsia="MS ??" w:hAnsi="Times New Roman" w:cs="Times New Roman"/>
          <w:color w:val="000000"/>
          <w:sz w:val="20"/>
          <w:szCs w:val="20"/>
          <w:shd w:val="clear" w:color="auto" w:fill="FFFFFF"/>
        </w:rPr>
        <w:t>): 266-67. Print</w:t>
      </w:r>
      <w:r w:rsidR="000D7DAD" w:rsidRPr="000D7DAD">
        <w:rPr>
          <w:rFonts w:ascii="Times New Roman" w:eastAsia="MS ??" w:hAnsi="Times New Roman" w:cs="Times New Roman"/>
          <w:color w:val="000000"/>
          <w:sz w:val="20"/>
          <w:szCs w:val="20"/>
          <w:shd w:val="clear" w:color="auto" w:fill="FFFFFF"/>
        </w:rPr>
        <w:t>.</w:t>
      </w:r>
    </w:p>
    <w:p w:rsidR="00B1210F" w:rsidRPr="000D7DAD" w:rsidRDefault="00B1210F" w:rsidP="00B503AF">
      <w:pPr>
        <w:numPr>
          <w:ilvl w:val="0"/>
          <w:numId w:val="16"/>
        </w:numPr>
        <w:tabs>
          <w:tab w:val="left" w:pos="426"/>
        </w:tabs>
        <w:bidi w:val="0"/>
        <w:snapToGrid w:val="0"/>
        <w:spacing w:after="0" w:line="240" w:lineRule="auto"/>
        <w:ind w:left="425" w:hanging="425"/>
        <w:jc w:val="both"/>
        <w:rPr>
          <w:rFonts w:ascii="Times New Roman" w:hAnsi="Times New Roman" w:cs="Times New Roman"/>
          <w:color w:val="000000"/>
          <w:sz w:val="20"/>
          <w:szCs w:val="20"/>
          <w:shd w:val="clear" w:color="auto" w:fill="FFFFFF"/>
        </w:rPr>
      </w:pPr>
      <w:r w:rsidRPr="000D7DAD">
        <w:rPr>
          <w:rFonts w:ascii="Times New Roman" w:eastAsia="MS ??" w:hAnsi="Times New Roman" w:cs="Times New Roman"/>
          <w:color w:val="000000"/>
          <w:sz w:val="20"/>
          <w:szCs w:val="20"/>
          <w:shd w:val="clear" w:color="auto" w:fill="FFFFFF"/>
        </w:rPr>
        <w:t>Chlebowski, R. T. "The American Cancer Society Guide for Nutrition and Physical Activity for Cancer Survivors: A Call to Action for Clinical Investigators. CA Cancer J.</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Clin</w:t>
      </w:r>
      <w:r w:rsidRPr="000D7DAD">
        <w:rPr>
          <w:rFonts w:ascii="Times New Roman" w:hAnsi="Times New Roman" w:cs="Times New Roman"/>
          <w:color w:val="000000"/>
          <w:sz w:val="20"/>
          <w:szCs w:val="20"/>
          <w:shd w:val="clear" w:color="auto" w:fill="FFFFFF"/>
        </w:rPr>
        <w:t xml:space="preserve"> 2003, 53: </w:t>
      </w:r>
      <w:r w:rsidRPr="000D7DAD">
        <w:rPr>
          <w:rFonts w:ascii="Times New Roman" w:eastAsia="MS ??" w:hAnsi="Times New Roman" w:cs="Times New Roman"/>
          <w:color w:val="000000"/>
          <w:sz w:val="20"/>
          <w:szCs w:val="20"/>
          <w:shd w:val="clear" w:color="auto" w:fill="FFFFFF"/>
        </w:rPr>
        <w:t>5.</w:t>
      </w:r>
    </w:p>
    <w:p w:rsidR="00B1210F" w:rsidRPr="000D7DAD" w:rsidRDefault="00B1210F" w:rsidP="00B503AF">
      <w:pPr>
        <w:numPr>
          <w:ilvl w:val="0"/>
          <w:numId w:val="16"/>
        </w:numPr>
        <w:shd w:val="clear" w:color="auto" w:fill="FFFFFF"/>
        <w:tabs>
          <w:tab w:val="left" w:pos="426"/>
        </w:tabs>
        <w:bidi w:val="0"/>
        <w:snapToGrid w:val="0"/>
        <w:spacing w:after="0" w:line="240" w:lineRule="auto"/>
        <w:ind w:left="425" w:hanging="425"/>
        <w:jc w:val="both"/>
        <w:rPr>
          <w:rFonts w:ascii="Times New Roman" w:hAnsi="Times New Roman" w:cs="Times New Roman"/>
          <w:sz w:val="20"/>
          <w:szCs w:val="20"/>
        </w:rPr>
      </w:pPr>
      <w:r w:rsidRPr="000D7DAD">
        <w:rPr>
          <w:rFonts w:ascii="Times New Roman" w:eastAsia="MS ??" w:hAnsi="Times New Roman" w:cs="Times New Roman"/>
          <w:color w:val="000000"/>
          <w:sz w:val="20"/>
          <w:szCs w:val="20"/>
          <w:shd w:val="clear" w:color="auto" w:fill="FFFFFF"/>
        </w:rPr>
        <w:t>Hingorani, P., et al. "Body Mass Index (Bmi) at Diagnosis Is Associated with Surgical Wound Complications in Patients with Localized Osteosarcoma: A Report from the Children's Oncology Group." Pediatr.</w:t>
      </w:r>
      <w:r w:rsidR="007063F2">
        <w:rPr>
          <w:rFonts w:ascii="Times New Roman" w:eastAsia="MS ??" w:hAnsi="Times New Roman" w:cs="Times New Roman"/>
          <w:color w:val="000000"/>
          <w:sz w:val="20"/>
          <w:szCs w:val="20"/>
          <w:shd w:val="clear" w:color="auto" w:fill="FFFFFF"/>
        </w:rPr>
        <w:t xml:space="preserve"> </w:t>
      </w:r>
      <w:r w:rsidRPr="000D7DAD">
        <w:rPr>
          <w:rFonts w:ascii="Times New Roman" w:eastAsia="MS ??" w:hAnsi="Times New Roman" w:cs="Times New Roman"/>
          <w:color w:val="000000"/>
          <w:sz w:val="20"/>
          <w:szCs w:val="20"/>
          <w:shd w:val="clear" w:color="auto" w:fill="FFFFFF"/>
        </w:rPr>
        <w:t>Blood Caner. 57.6 (2011): 939-42. Print</w:t>
      </w:r>
      <w:r w:rsidRPr="000D7DAD">
        <w:rPr>
          <w:rFonts w:ascii="Times New Roman" w:hAnsi="Times New Roman" w:cs="Times New Roman"/>
          <w:color w:val="000000"/>
          <w:sz w:val="20"/>
          <w:szCs w:val="20"/>
          <w:shd w:val="clear" w:color="auto" w:fill="FFFFFF"/>
        </w:rPr>
        <w:t>.</w:t>
      </w:r>
      <w:r w:rsidR="000D7DAD" w:rsidRPr="000D7DAD">
        <w:rPr>
          <w:rFonts w:ascii="Times New Roman" w:hAnsi="Times New Roman" w:cs="Times New Roman"/>
          <w:color w:val="000000"/>
          <w:sz w:val="20"/>
          <w:szCs w:val="20"/>
          <w:shd w:val="clear" w:color="auto" w:fill="FFFFFF"/>
        </w:rPr>
        <w:t xml:space="preserve"> </w:t>
      </w:r>
    </w:p>
    <w:p w:rsidR="00B503AF" w:rsidRPr="000D7DAD" w:rsidRDefault="00B503AF" w:rsidP="00B503AF">
      <w:pPr>
        <w:bidi w:val="0"/>
        <w:snapToGrid w:val="0"/>
        <w:spacing w:after="0" w:line="240" w:lineRule="auto"/>
        <w:ind w:left="425" w:hanging="425"/>
        <w:jc w:val="both"/>
        <w:rPr>
          <w:rFonts w:ascii="Times New Roman" w:hAnsi="Times New Roman" w:cs="Times New Roman"/>
          <w:sz w:val="20"/>
          <w:szCs w:val="20"/>
        </w:rPr>
        <w:sectPr w:rsidR="00B503AF" w:rsidRPr="000D7DAD" w:rsidSect="000D7DAD">
          <w:type w:val="continuous"/>
          <w:pgSz w:w="12242" w:h="15842" w:code="1"/>
          <w:pgMar w:top="1440" w:right="1440" w:bottom="1440" w:left="1440" w:header="720" w:footer="720" w:gutter="0"/>
          <w:cols w:num="2" w:space="550"/>
          <w:docGrid w:linePitch="360"/>
        </w:sectPr>
      </w:pPr>
    </w:p>
    <w:p w:rsidR="00B503AF" w:rsidRPr="000D7DAD" w:rsidRDefault="00B503AF" w:rsidP="00B503AF">
      <w:pPr>
        <w:bidi w:val="0"/>
        <w:snapToGrid w:val="0"/>
        <w:spacing w:after="0" w:line="240" w:lineRule="auto"/>
        <w:ind w:left="425" w:hanging="425"/>
        <w:jc w:val="both"/>
        <w:rPr>
          <w:rFonts w:ascii="Times New Roman" w:hAnsi="Times New Roman" w:cs="Times New Roman"/>
          <w:sz w:val="20"/>
          <w:szCs w:val="20"/>
        </w:rPr>
      </w:pPr>
    </w:p>
    <w:p w:rsidR="00B1210F" w:rsidRPr="000D7DAD" w:rsidRDefault="00B503AF" w:rsidP="00B503AF">
      <w:pPr>
        <w:bidi w:val="0"/>
        <w:snapToGrid w:val="0"/>
        <w:spacing w:after="0" w:line="240" w:lineRule="auto"/>
        <w:ind w:left="425" w:hanging="425"/>
        <w:jc w:val="both"/>
        <w:rPr>
          <w:rFonts w:ascii="Times New Roman" w:hAnsi="Times New Roman" w:cs="Times New Roman"/>
          <w:sz w:val="20"/>
          <w:szCs w:val="20"/>
        </w:rPr>
      </w:pPr>
      <w:r w:rsidRPr="000D7DAD">
        <w:rPr>
          <w:rFonts w:ascii="Times New Roman" w:hAnsi="Times New Roman" w:cs="Times New Roman"/>
          <w:sz w:val="20"/>
          <w:szCs w:val="20"/>
        </w:rPr>
        <w:t>5/27/2016</w:t>
      </w:r>
    </w:p>
    <w:sectPr w:rsidR="00B1210F" w:rsidRPr="000D7DAD" w:rsidSect="005E0D2D">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63F2" w:rsidRDefault="007063F2" w:rsidP="005575AA">
      <w:pPr>
        <w:spacing w:after="0" w:line="240" w:lineRule="auto"/>
      </w:pPr>
      <w:r>
        <w:separator/>
      </w:r>
    </w:p>
  </w:endnote>
  <w:endnote w:type="continuationSeparator" w:id="0">
    <w:p w:rsidR="007063F2" w:rsidRDefault="007063F2" w:rsidP="00557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F2" w:rsidRPr="00B503AF" w:rsidRDefault="00F758E4" w:rsidP="00B503AF">
    <w:pPr>
      <w:bidi w:val="0"/>
      <w:spacing w:after="0" w:line="240" w:lineRule="auto"/>
      <w:jc w:val="center"/>
      <w:rPr>
        <w:rFonts w:ascii="Times New Roman" w:hAnsi="Times New Roman" w:cs="Times New Roman"/>
        <w:sz w:val="20"/>
      </w:rPr>
    </w:pPr>
    <w:r w:rsidRPr="00B503AF">
      <w:rPr>
        <w:rFonts w:ascii="Times New Roman" w:hAnsi="Times New Roman" w:cs="Times New Roman"/>
        <w:sz w:val="20"/>
      </w:rPr>
      <w:fldChar w:fldCharType="begin"/>
    </w:r>
    <w:r w:rsidR="007063F2" w:rsidRPr="00B503AF">
      <w:rPr>
        <w:rFonts w:ascii="Times New Roman" w:hAnsi="Times New Roman" w:cs="Times New Roman"/>
        <w:sz w:val="20"/>
      </w:rPr>
      <w:instrText xml:space="preserve"> page </w:instrText>
    </w:r>
    <w:r w:rsidRPr="00B503AF">
      <w:rPr>
        <w:rFonts w:ascii="Times New Roman" w:hAnsi="Times New Roman" w:cs="Times New Roman"/>
        <w:sz w:val="20"/>
      </w:rPr>
      <w:fldChar w:fldCharType="separate"/>
    </w:r>
    <w:r w:rsidR="0082015C">
      <w:rPr>
        <w:rFonts w:ascii="Times New Roman" w:hAnsi="Times New Roman" w:cs="Times New Roman"/>
        <w:noProof/>
        <w:sz w:val="20"/>
      </w:rPr>
      <w:t>1</w:t>
    </w:r>
    <w:r w:rsidRPr="00B503AF">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63F2" w:rsidRDefault="007063F2" w:rsidP="005575AA">
      <w:pPr>
        <w:spacing w:after="0" w:line="240" w:lineRule="auto"/>
      </w:pPr>
      <w:r>
        <w:separator/>
      </w:r>
    </w:p>
  </w:footnote>
  <w:footnote w:type="continuationSeparator" w:id="0">
    <w:p w:rsidR="007063F2" w:rsidRDefault="007063F2" w:rsidP="005575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63F2" w:rsidRPr="00B503AF" w:rsidRDefault="007063F2" w:rsidP="00B503AF">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503AF">
      <w:rPr>
        <w:rFonts w:ascii="Times New Roman" w:hAnsi="Times New Roman" w:cs="Times New Roman" w:hint="eastAsia"/>
        <w:sz w:val="20"/>
        <w:szCs w:val="20"/>
      </w:rPr>
      <w:tab/>
    </w:r>
    <w:r w:rsidRPr="00B503AF">
      <w:rPr>
        <w:rFonts w:ascii="Times New Roman" w:hAnsi="Times New Roman" w:cs="Times New Roman"/>
        <w:sz w:val="20"/>
        <w:szCs w:val="20"/>
      </w:rPr>
      <w:t>New York Science Journal 201</w:t>
    </w:r>
    <w:r w:rsidRPr="00B503AF">
      <w:rPr>
        <w:rFonts w:ascii="Times New Roman" w:hAnsi="Times New Roman" w:cs="Times New Roman" w:hint="eastAsia"/>
        <w:sz w:val="20"/>
        <w:szCs w:val="20"/>
      </w:rPr>
      <w:t>6</w:t>
    </w:r>
    <w:r w:rsidRPr="00B503AF">
      <w:rPr>
        <w:rFonts w:ascii="Times New Roman" w:hAnsi="Times New Roman" w:cs="Times New Roman"/>
        <w:sz w:val="20"/>
        <w:szCs w:val="20"/>
      </w:rPr>
      <w:t>;</w:t>
    </w:r>
    <w:r w:rsidRPr="00B503AF">
      <w:rPr>
        <w:rFonts w:ascii="Times New Roman" w:hAnsi="Times New Roman" w:cs="Times New Roman" w:hint="eastAsia"/>
        <w:sz w:val="20"/>
        <w:szCs w:val="20"/>
      </w:rPr>
      <w:t>9</w:t>
    </w:r>
    <w:r w:rsidRPr="00B503AF">
      <w:rPr>
        <w:rFonts w:ascii="Times New Roman" w:hAnsi="Times New Roman" w:cs="Times New Roman"/>
        <w:sz w:val="20"/>
        <w:szCs w:val="20"/>
      </w:rPr>
      <w:t>(</w:t>
    </w:r>
    <w:r>
      <w:rPr>
        <w:rFonts w:ascii="Times New Roman" w:hAnsi="Times New Roman" w:cs="Times New Roman"/>
        <w:sz w:val="20"/>
        <w:szCs w:val="20"/>
      </w:rPr>
      <w:t>6</w:t>
    </w:r>
    <w:r w:rsidRPr="00B503AF">
      <w:rPr>
        <w:rFonts w:ascii="Times New Roman" w:hAnsi="Times New Roman" w:cs="Times New Roman"/>
        <w:sz w:val="20"/>
        <w:szCs w:val="20"/>
      </w:rPr>
      <w:t>)</w:t>
    </w:r>
    <w:r w:rsidRPr="00B503AF">
      <w:rPr>
        <w:rFonts w:ascii="Times New Roman" w:hAnsi="Times New Roman" w:cs="Times New Roman"/>
        <w:iCs/>
        <w:sz w:val="20"/>
        <w:szCs w:val="20"/>
      </w:rPr>
      <w:t xml:space="preserve">     </w:t>
    </w:r>
    <w:r w:rsidRPr="00B503AF">
      <w:rPr>
        <w:rFonts w:ascii="Times New Roman" w:hAnsi="Times New Roman" w:cs="Times New Roman" w:hint="eastAsia"/>
        <w:iCs/>
        <w:sz w:val="20"/>
        <w:szCs w:val="20"/>
      </w:rPr>
      <w:tab/>
    </w:r>
    <w:r w:rsidRPr="00B503AF">
      <w:rPr>
        <w:rFonts w:ascii="Times New Roman" w:hAnsi="Times New Roman" w:cs="Times New Roman"/>
        <w:iCs/>
        <w:sz w:val="20"/>
        <w:szCs w:val="20"/>
      </w:rPr>
      <w:t xml:space="preserve"> </w:t>
    </w:r>
    <w:r w:rsidRPr="00B503AF">
      <w:rPr>
        <w:rFonts w:ascii="Times New Roman" w:hAnsi="Times New Roman" w:cs="Times New Roman" w:hint="eastAsia"/>
        <w:iCs/>
        <w:sz w:val="20"/>
        <w:szCs w:val="20"/>
      </w:rPr>
      <w:t xml:space="preserve"> </w:t>
    </w:r>
    <w:r w:rsidRPr="00B503AF">
      <w:rPr>
        <w:rFonts w:ascii="Times New Roman" w:hAnsi="Times New Roman" w:cs="Times New Roman"/>
        <w:iCs/>
        <w:sz w:val="20"/>
        <w:szCs w:val="20"/>
      </w:rPr>
      <w:t xml:space="preserve">   </w:t>
    </w:r>
    <w:hyperlink r:id="rId1" w:history="1">
      <w:r w:rsidRPr="00B503AF">
        <w:rPr>
          <w:rStyle w:val="Hyperlink"/>
          <w:rFonts w:ascii="Times New Roman" w:hAnsi="Times New Roman"/>
          <w:color w:val="0000FF"/>
          <w:sz w:val="20"/>
          <w:szCs w:val="20"/>
        </w:rPr>
        <w:t>http://www.sciencepub.net/newyork</w:t>
      </w:r>
    </w:hyperlink>
  </w:p>
  <w:p w:rsidR="007063F2" w:rsidRPr="00B503AF" w:rsidRDefault="007063F2" w:rsidP="00B503AF">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
    <w:nsid w:val="00000003"/>
    <w:multiLevelType w:val="multilevel"/>
    <w:tmpl w:val="00000002"/>
    <w:lvl w:ilvl="0">
      <w:start w:val="1"/>
      <w:numFmt w:val="bullet"/>
      <w:lvlText w:val="•"/>
      <w:lvlJc w:val="left"/>
      <w:rPr>
        <w:rFonts w:ascii="Angsana New" w:hAnsi="Angsana New"/>
        <w:b w:val="0"/>
        <w:i w:val="0"/>
        <w:smallCaps w:val="0"/>
        <w:strike w:val="0"/>
        <w:color w:val="000000"/>
        <w:spacing w:val="0"/>
        <w:w w:val="100"/>
        <w:position w:val="0"/>
        <w:sz w:val="32"/>
        <w:u w:val="none"/>
      </w:rPr>
    </w:lvl>
    <w:lvl w:ilvl="1">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2">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3">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4">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5">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6">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7">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lvl w:ilvl="8">
      <w:start w:val="1"/>
      <w:numFmt w:val="upperLetter"/>
      <w:lvlText w:val="%2."/>
      <w:lvlJc w:val="left"/>
      <w:rPr>
        <w:rFonts w:ascii="Angsana New" w:hAnsi="Angsana New" w:cs="Angsana New"/>
        <w:b w:val="0"/>
        <w:bCs w:val="0"/>
        <w:i w:val="0"/>
        <w:iCs w:val="0"/>
        <w:smallCaps w:val="0"/>
        <w:strike w:val="0"/>
        <w:color w:val="000000"/>
        <w:spacing w:val="0"/>
        <w:w w:val="100"/>
        <w:position w:val="0"/>
        <w:sz w:val="32"/>
        <w:szCs w:val="32"/>
        <w:u w:val="none"/>
      </w:rPr>
    </w:lvl>
  </w:abstractNum>
  <w:abstractNum w:abstractNumId="2">
    <w:nsid w:val="060D5AF9"/>
    <w:multiLevelType w:val="multilevel"/>
    <w:tmpl w:val="A276066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ED07857"/>
    <w:multiLevelType w:val="multilevel"/>
    <w:tmpl w:val="E748603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4">
    <w:nsid w:val="13F72102"/>
    <w:multiLevelType w:val="multilevel"/>
    <w:tmpl w:val="18F0332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F652D47"/>
    <w:multiLevelType w:val="multilevel"/>
    <w:tmpl w:val="708AD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6315069"/>
    <w:multiLevelType w:val="hybridMultilevel"/>
    <w:tmpl w:val="2548AC3C"/>
    <w:lvl w:ilvl="0" w:tplc="077204EA">
      <w:start w:val="1"/>
      <w:numFmt w:val="bullet"/>
      <w:lvlText w:val=""/>
      <w:lvlJc w:val="left"/>
      <w:pPr>
        <w:tabs>
          <w:tab w:val="num" w:pos="720"/>
        </w:tabs>
        <w:ind w:left="720" w:hanging="360"/>
      </w:pPr>
      <w:rPr>
        <w:rFonts w:ascii="Wingdings" w:hAnsi="Wingdings" w:hint="default"/>
      </w:rPr>
    </w:lvl>
    <w:lvl w:ilvl="1" w:tplc="C9BA5BB6">
      <w:start w:val="1"/>
      <w:numFmt w:val="bullet"/>
      <w:lvlText w:val=""/>
      <w:lvlJc w:val="left"/>
      <w:pPr>
        <w:tabs>
          <w:tab w:val="num" w:pos="1440"/>
        </w:tabs>
        <w:ind w:left="1440" w:hanging="360"/>
      </w:pPr>
      <w:rPr>
        <w:rFonts w:ascii="Wingdings" w:hAnsi="Wingdings" w:hint="default"/>
      </w:rPr>
    </w:lvl>
    <w:lvl w:ilvl="2" w:tplc="BFF4A4E4">
      <w:start w:val="1"/>
      <w:numFmt w:val="bullet"/>
      <w:lvlText w:val=""/>
      <w:lvlJc w:val="left"/>
      <w:pPr>
        <w:tabs>
          <w:tab w:val="num" w:pos="2160"/>
        </w:tabs>
        <w:ind w:left="2160" w:hanging="360"/>
      </w:pPr>
      <w:rPr>
        <w:rFonts w:ascii="Wingdings" w:hAnsi="Wingdings" w:hint="default"/>
      </w:rPr>
    </w:lvl>
    <w:lvl w:ilvl="3" w:tplc="718696C0">
      <w:start w:val="1"/>
      <w:numFmt w:val="bullet"/>
      <w:lvlText w:val=""/>
      <w:lvlJc w:val="left"/>
      <w:pPr>
        <w:tabs>
          <w:tab w:val="num" w:pos="2880"/>
        </w:tabs>
        <w:ind w:left="2880" w:hanging="360"/>
      </w:pPr>
      <w:rPr>
        <w:rFonts w:ascii="Wingdings" w:hAnsi="Wingdings" w:hint="default"/>
      </w:rPr>
    </w:lvl>
    <w:lvl w:ilvl="4" w:tplc="C854BD82">
      <w:start w:val="1"/>
      <w:numFmt w:val="bullet"/>
      <w:lvlText w:val=""/>
      <w:lvlJc w:val="left"/>
      <w:pPr>
        <w:tabs>
          <w:tab w:val="num" w:pos="3600"/>
        </w:tabs>
        <w:ind w:left="3600" w:hanging="360"/>
      </w:pPr>
      <w:rPr>
        <w:rFonts w:ascii="Wingdings" w:hAnsi="Wingdings" w:hint="default"/>
      </w:rPr>
    </w:lvl>
    <w:lvl w:ilvl="5" w:tplc="AEB87616">
      <w:start w:val="1"/>
      <w:numFmt w:val="bullet"/>
      <w:lvlText w:val=""/>
      <w:lvlJc w:val="left"/>
      <w:pPr>
        <w:tabs>
          <w:tab w:val="num" w:pos="4320"/>
        </w:tabs>
        <w:ind w:left="4320" w:hanging="360"/>
      </w:pPr>
      <w:rPr>
        <w:rFonts w:ascii="Wingdings" w:hAnsi="Wingdings" w:hint="default"/>
      </w:rPr>
    </w:lvl>
    <w:lvl w:ilvl="6" w:tplc="BE8C91D2">
      <w:start w:val="1"/>
      <w:numFmt w:val="bullet"/>
      <w:lvlText w:val=""/>
      <w:lvlJc w:val="left"/>
      <w:pPr>
        <w:tabs>
          <w:tab w:val="num" w:pos="5040"/>
        </w:tabs>
        <w:ind w:left="5040" w:hanging="360"/>
      </w:pPr>
      <w:rPr>
        <w:rFonts w:ascii="Wingdings" w:hAnsi="Wingdings" w:hint="default"/>
      </w:rPr>
    </w:lvl>
    <w:lvl w:ilvl="7" w:tplc="D12E7BD8">
      <w:start w:val="1"/>
      <w:numFmt w:val="bullet"/>
      <w:lvlText w:val=""/>
      <w:lvlJc w:val="left"/>
      <w:pPr>
        <w:tabs>
          <w:tab w:val="num" w:pos="5760"/>
        </w:tabs>
        <w:ind w:left="5760" w:hanging="360"/>
      </w:pPr>
      <w:rPr>
        <w:rFonts w:ascii="Wingdings" w:hAnsi="Wingdings" w:hint="default"/>
      </w:rPr>
    </w:lvl>
    <w:lvl w:ilvl="8" w:tplc="9D6CA6A6">
      <w:start w:val="1"/>
      <w:numFmt w:val="bullet"/>
      <w:lvlText w:val=""/>
      <w:lvlJc w:val="left"/>
      <w:pPr>
        <w:tabs>
          <w:tab w:val="num" w:pos="6480"/>
        </w:tabs>
        <w:ind w:left="6480" w:hanging="360"/>
      </w:pPr>
      <w:rPr>
        <w:rFonts w:ascii="Wingdings" w:hAnsi="Wingdings" w:hint="default"/>
      </w:rPr>
    </w:lvl>
  </w:abstractNum>
  <w:abstractNum w:abstractNumId="7">
    <w:nsid w:val="2D7C3319"/>
    <w:multiLevelType w:val="hybridMultilevel"/>
    <w:tmpl w:val="0CCA0A18"/>
    <w:lvl w:ilvl="0" w:tplc="BA142E54">
      <w:start w:val="1"/>
      <w:numFmt w:val="bullet"/>
      <w:lvlText w:val=""/>
      <w:lvlJc w:val="left"/>
      <w:pPr>
        <w:tabs>
          <w:tab w:val="num" w:pos="720"/>
        </w:tabs>
        <w:ind w:left="720" w:hanging="360"/>
      </w:pPr>
      <w:rPr>
        <w:rFonts w:ascii="Wingdings" w:hAnsi="Wingdings" w:hint="default"/>
      </w:rPr>
    </w:lvl>
    <w:lvl w:ilvl="1" w:tplc="D9F62C08">
      <w:start w:val="1"/>
      <w:numFmt w:val="bullet"/>
      <w:lvlText w:val=""/>
      <w:lvlJc w:val="left"/>
      <w:pPr>
        <w:tabs>
          <w:tab w:val="num" w:pos="1440"/>
        </w:tabs>
        <w:ind w:left="1440" w:hanging="360"/>
      </w:pPr>
      <w:rPr>
        <w:rFonts w:ascii="Wingdings" w:hAnsi="Wingdings" w:hint="default"/>
      </w:rPr>
    </w:lvl>
    <w:lvl w:ilvl="2" w:tplc="9BE2A418">
      <w:start w:val="1"/>
      <w:numFmt w:val="bullet"/>
      <w:lvlText w:val=""/>
      <w:lvlJc w:val="left"/>
      <w:pPr>
        <w:tabs>
          <w:tab w:val="num" w:pos="2160"/>
        </w:tabs>
        <w:ind w:left="2160" w:hanging="360"/>
      </w:pPr>
      <w:rPr>
        <w:rFonts w:ascii="Wingdings" w:hAnsi="Wingdings" w:hint="default"/>
      </w:rPr>
    </w:lvl>
    <w:lvl w:ilvl="3" w:tplc="9D46FA58">
      <w:start w:val="1"/>
      <w:numFmt w:val="bullet"/>
      <w:lvlText w:val=""/>
      <w:lvlJc w:val="left"/>
      <w:pPr>
        <w:tabs>
          <w:tab w:val="num" w:pos="2880"/>
        </w:tabs>
        <w:ind w:left="2880" w:hanging="360"/>
      </w:pPr>
      <w:rPr>
        <w:rFonts w:ascii="Wingdings" w:hAnsi="Wingdings" w:hint="default"/>
      </w:rPr>
    </w:lvl>
    <w:lvl w:ilvl="4" w:tplc="8A903D84">
      <w:start w:val="1"/>
      <w:numFmt w:val="bullet"/>
      <w:lvlText w:val=""/>
      <w:lvlJc w:val="left"/>
      <w:pPr>
        <w:tabs>
          <w:tab w:val="num" w:pos="3600"/>
        </w:tabs>
        <w:ind w:left="3600" w:hanging="360"/>
      </w:pPr>
      <w:rPr>
        <w:rFonts w:ascii="Wingdings" w:hAnsi="Wingdings" w:hint="default"/>
      </w:rPr>
    </w:lvl>
    <w:lvl w:ilvl="5" w:tplc="4DBA699E">
      <w:start w:val="1"/>
      <w:numFmt w:val="bullet"/>
      <w:lvlText w:val=""/>
      <w:lvlJc w:val="left"/>
      <w:pPr>
        <w:tabs>
          <w:tab w:val="num" w:pos="4320"/>
        </w:tabs>
        <w:ind w:left="4320" w:hanging="360"/>
      </w:pPr>
      <w:rPr>
        <w:rFonts w:ascii="Wingdings" w:hAnsi="Wingdings" w:hint="default"/>
      </w:rPr>
    </w:lvl>
    <w:lvl w:ilvl="6" w:tplc="300498BA">
      <w:start w:val="1"/>
      <w:numFmt w:val="bullet"/>
      <w:lvlText w:val=""/>
      <w:lvlJc w:val="left"/>
      <w:pPr>
        <w:tabs>
          <w:tab w:val="num" w:pos="5040"/>
        </w:tabs>
        <w:ind w:left="5040" w:hanging="360"/>
      </w:pPr>
      <w:rPr>
        <w:rFonts w:ascii="Wingdings" w:hAnsi="Wingdings" w:hint="default"/>
      </w:rPr>
    </w:lvl>
    <w:lvl w:ilvl="7" w:tplc="9286A598">
      <w:start w:val="1"/>
      <w:numFmt w:val="bullet"/>
      <w:lvlText w:val=""/>
      <w:lvlJc w:val="left"/>
      <w:pPr>
        <w:tabs>
          <w:tab w:val="num" w:pos="5760"/>
        </w:tabs>
        <w:ind w:left="5760" w:hanging="360"/>
      </w:pPr>
      <w:rPr>
        <w:rFonts w:ascii="Wingdings" w:hAnsi="Wingdings" w:hint="default"/>
      </w:rPr>
    </w:lvl>
    <w:lvl w:ilvl="8" w:tplc="25CC7FBC">
      <w:start w:val="1"/>
      <w:numFmt w:val="bullet"/>
      <w:lvlText w:val=""/>
      <w:lvlJc w:val="left"/>
      <w:pPr>
        <w:tabs>
          <w:tab w:val="num" w:pos="6480"/>
        </w:tabs>
        <w:ind w:left="6480" w:hanging="360"/>
      </w:pPr>
      <w:rPr>
        <w:rFonts w:ascii="Wingdings" w:hAnsi="Wingdings" w:hint="default"/>
      </w:rPr>
    </w:lvl>
  </w:abstractNum>
  <w:abstractNum w:abstractNumId="8">
    <w:nsid w:val="473A3245"/>
    <w:multiLevelType w:val="hybridMultilevel"/>
    <w:tmpl w:val="1D14F21C"/>
    <w:lvl w:ilvl="0" w:tplc="0409000F">
      <w:start w:val="1"/>
      <w:numFmt w:val="decimal"/>
      <w:lvlText w:val="%1."/>
      <w:lvlJc w:val="left"/>
      <w:pPr>
        <w:ind w:left="502" w:hanging="360"/>
      </w:pPr>
      <w:rPr>
        <w:rFonts w:cs="Times New Roman"/>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9">
    <w:nsid w:val="47693A2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5"/>
        <w:szCs w:val="15"/>
        <w:u w:val="none"/>
      </w:rPr>
    </w:lvl>
  </w:abstractNum>
  <w:abstractNum w:abstractNumId="10">
    <w:nsid w:val="4A403E80"/>
    <w:multiLevelType w:val="hybridMultilevel"/>
    <w:tmpl w:val="DF685D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414481D"/>
    <w:multiLevelType w:val="multilevel"/>
    <w:tmpl w:val="A374014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5A287CF2"/>
    <w:multiLevelType w:val="multilevel"/>
    <w:tmpl w:val="4F3868C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6C3F79A0"/>
    <w:multiLevelType w:val="multilevel"/>
    <w:tmpl w:val="A4AE3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703E4490"/>
    <w:multiLevelType w:val="multilevel"/>
    <w:tmpl w:val="1CC2959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15">
    <w:nsid w:val="7CD1416B"/>
    <w:multiLevelType w:val="hybridMultilevel"/>
    <w:tmpl w:val="F03496BC"/>
    <w:lvl w:ilvl="0" w:tplc="0E985196">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4"/>
  </w:num>
  <w:num w:numId="4">
    <w:abstractNumId w:val="0"/>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
  </w:num>
  <w:num w:numId="10">
    <w:abstractNumId w:val="5"/>
  </w:num>
  <w:num w:numId="11">
    <w:abstractNumId w:val="12"/>
  </w:num>
  <w:num w:numId="12">
    <w:abstractNumId w:val="4"/>
  </w:num>
  <w:num w:numId="13">
    <w:abstractNumId w:val="13"/>
  </w:num>
  <w:num w:numId="14">
    <w:abstractNumId w:val="8"/>
  </w:num>
  <w:num w:numId="15">
    <w:abstractNumId w:val="10"/>
  </w:num>
  <w:num w:numId="16">
    <w:abstractNumId w:val="15"/>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ocumentProtection w:edit="readOnly" w:enforcement="0"/>
  <w:defaultTabStop w:val="720"/>
  <w:doNotHyphenateCaps/>
  <w:drawingGridHorizontalSpacing w:val="110"/>
  <w:displayHorizontalDrawingGridEvery w:val="2"/>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3711"/>
    <w:rsid w:val="000054F0"/>
    <w:rsid w:val="0005465E"/>
    <w:rsid w:val="00083519"/>
    <w:rsid w:val="00090EE5"/>
    <w:rsid w:val="000D7DAD"/>
    <w:rsid w:val="00145ABE"/>
    <w:rsid w:val="0016348D"/>
    <w:rsid w:val="00165C3C"/>
    <w:rsid w:val="001B2748"/>
    <w:rsid w:val="001B6643"/>
    <w:rsid w:val="00214814"/>
    <w:rsid w:val="00240807"/>
    <w:rsid w:val="002D1CD6"/>
    <w:rsid w:val="00302957"/>
    <w:rsid w:val="00305FA2"/>
    <w:rsid w:val="00336E24"/>
    <w:rsid w:val="003509B2"/>
    <w:rsid w:val="0036268A"/>
    <w:rsid w:val="0037528C"/>
    <w:rsid w:val="00383788"/>
    <w:rsid w:val="0038455F"/>
    <w:rsid w:val="003874DA"/>
    <w:rsid w:val="00405DB5"/>
    <w:rsid w:val="00434290"/>
    <w:rsid w:val="004C7FB3"/>
    <w:rsid w:val="00553423"/>
    <w:rsid w:val="005575AA"/>
    <w:rsid w:val="005A1FBA"/>
    <w:rsid w:val="005A3D88"/>
    <w:rsid w:val="005D4CFD"/>
    <w:rsid w:val="005E0D2D"/>
    <w:rsid w:val="007063F2"/>
    <w:rsid w:val="00736FB2"/>
    <w:rsid w:val="00763307"/>
    <w:rsid w:val="00786B3D"/>
    <w:rsid w:val="007E024B"/>
    <w:rsid w:val="007E058F"/>
    <w:rsid w:val="0082015C"/>
    <w:rsid w:val="00865869"/>
    <w:rsid w:val="00865D01"/>
    <w:rsid w:val="008A52D3"/>
    <w:rsid w:val="008C3316"/>
    <w:rsid w:val="009079AC"/>
    <w:rsid w:val="00932493"/>
    <w:rsid w:val="0095268F"/>
    <w:rsid w:val="009768CE"/>
    <w:rsid w:val="009C656E"/>
    <w:rsid w:val="00A24021"/>
    <w:rsid w:val="00B1210F"/>
    <w:rsid w:val="00B503AF"/>
    <w:rsid w:val="00B7194D"/>
    <w:rsid w:val="00B71FA1"/>
    <w:rsid w:val="00BE7DF7"/>
    <w:rsid w:val="00C36295"/>
    <w:rsid w:val="00C36911"/>
    <w:rsid w:val="00C41F0A"/>
    <w:rsid w:val="00C97F52"/>
    <w:rsid w:val="00CA3679"/>
    <w:rsid w:val="00CD12E4"/>
    <w:rsid w:val="00D13B7A"/>
    <w:rsid w:val="00D45E04"/>
    <w:rsid w:val="00D93D65"/>
    <w:rsid w:val="00DB1069"/>
    <w:rsid w:val="00DB3711"/>
    <w:rsid w:val="00DE406F"/>
    <w:rsid w:val="00E015BF"/>
    <w:rsid w:val="00E277CE"/>
    <w:rsid w:val="00E51587"/>
    <w:rsid w:val="00E827A9"/>
    <w:rsid w:val="00EA32AA"/>
    <w:rsid w:val="00EB38C2"/>
    <w:rsid w:val="00EE6793"/>
    <w:rsid w:val="00F758E4"/>
    <w:rsid w:val="00F8112A"/>
    <w:rsid w:val="00FF19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90"/>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B3711"/>
    <w:pPr>
      <w:spacing w:after="120"/>
    </w:pPr>
    <w:rPr>
      <w:rFonts w:eastAsia="Times New Roman"/>
    </w:rPr>
  </w:style>
  <w:style w:type="character" w:customStyle="1" w:styleId="BodyTextChar">
    <w:name w:val="Body Text Char"/>
    <w:basedOn w:val="DefaultParagraphFont"/>
    <w:link w:val="BodyText"/>
    <w:uiPriority w:val="99"/>
    <w:locked/>
    <w:rsid w:val="00DB3711"/>
    <w:rPr>
      <w:rFonts w:ascii="Calibri" w:hAnsi="Calibri" w:cs="Arial"/>
    </w:rPr>
  </w:style>
  <w:style w:type="character" w:styleId="Hyperlink">
    <w:name w:val="Hyperlink"/>
    <w:basedOn w:val="DefaultParagraphFont"/>
    <w:uiPriority w:val="99"/>
    <w:rsid w:val="00DB3711"/>
    <w:rPr>
      <w:rFonts w:cs="Times New Roman"/>
      <w:color w:val="0066CC"/>
      <w:u w:val="single"/>
    </w:rPr>
  </w:style>
  <w:style w:type="character" w:customStyle="1" w:styleId="Bodytext5">
    <w:name w:val="Body text (5)_"/>
    <w:basedOn w:val="DefaultParagraphFont"/>
    <w:link w:val="Bodytext50"/>
    <w:uiPriority w:val="99"/>
    <w:locked/>
    <w:rsid w:val="00DB3711"/>
    <w:rPr>
      <w:rFonts w:ascii="Century Gothic" w:hAnsi="Century Gothic" w:cs="Times New Roman"/>
      <w:b/>
      <w:bCs/>
      <w:sz w:val="19"/>
      <w:szCs w:val="19"/>
      <w:shd w:val="clear" w:color="auto" w:fill="FFFFFF"/>
    </w:rPr>
  </w:style>
  <w:style w:type="paragraph" w:customStyle="1" w:styleId="Bodytext50">
    <w:name w:val="Body text (5)"/>
    <w:basedOn w:val="Normal"/>
    <w:link w:val="Bodytext5"/>
    <w:uiPriority w:val="99"/>
    <w:rsid w:val="00DB3711"/>
    <w:pPr>
      <w:shd w:val="clear" w:color="auto" w:fill="FFFFFF"/>
      <w:bidi w:val="0"/>
      <w:spacing w:after="0" w:line="240" w:lineRule="atLeast"/>
    </w:pPr>
    <w:rPr>
      <w:rFonts w:ascii="Century Gothic" w:hAnsi="Century Gothic"/>
      <w:b/>
      <w:bCs/>
      <w:sz w:val="19"/>
      <w:szCs w:val="19"/>
      <w:shd w:val="clear" w:color="auto" w:fill="FFFFFF"/>
    </w:rPr>
  </w:style>
  <w:style w:type="character" w:customStyle="1" w:styleId="Heading2">
    <w:name w:val="Heading #2_"/>
    <w:basedOn w:val="DefaultParagraphFont"/>
    <w:link w:val="Heading20"/>
    <w:uiPriority w:val="99"/>
    <w:locked/>
    <w:rsid w:val="00DB3711"/>
    <w:rPr>
      <w:rFonts w:cs="Times New Roman"/>
      <w:b/>
      <w:bCs/>
      <w:sz w:val="40"/>
      <w:szCs w:val="40"/>
      <w:shd w:val="clear" w:color="auto" w:fill="FFFFFF"/>
    </w:rPr>
  </w:style>
  <w:style w:type="paragraph" w:customStyle="1" w:styleId="Heading20">
    <w:name w:val="Heading #2"/>
    <w:basedOn w:val="Normal"/>
    <w:link w:val="Heading2"/>
    <w:uiPriority w:val="99"/>
    <w:rsid w:val="00DB3711"/>
    <w:pPr>
      <w:shd w:val="clear" w:color="auto" w:fill="FFFFFF"/>
      <w:bidi w:val="0"/>
      <w:spacing w:before="480" w:after="240" w:line="240" w:lineRule="atLeast"/>
      <w:ind w:hanging="220"/>
      <w:outlineLvl w:val="1"/>
    </w:pPr>
    <w:rPr>
      <w:b/>
      <w:bCs/>
      <w:sz w:val="40"/>
      <w:szCs w:val="40"/>
      <w:shd w:val="clear" w:color="auto" w:fill="FFFFFF"/>
    </w:rPr>
  </w:style>
  <w:style w:type="paragraph" w:styleId="BalloonText">
    <w:name w:val="Balloon Text"/>
    <w:basedOn w:val="Normal"/>
    <w:link w:val="BalloonTextChar"/>
    <w:uiPriority w:val="99"/>
    <w:semiHidden/>
    <w:rsid w:val="00DB371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DB3711"/>
    <w:rPr>
      <w:rFonts w:ascii="Tahoma" w:hAnsi="Tahoma" w:cs="Tahoma"/>
      <w:sz w:val="16"/>
      <w:szCs w:val="16"/>
    </w:rPr>
  </w:style>
  <w:style w:type="character" w:customStyle="1" w:styleId="Footnote">
    <w:name w:val="Footnote_"/>
    <w:basedOn w:val="DefaultParagraphFont"/>
    <w:link w:val="Footnote0"/>
    <w:uiPriority w:val="99"/>
    <w:locked/>
    <w:rsid w:val="00DB3711"/>
    <w:rPr>
      <w:rFonts w:ascii="Angsana New" w:hAnsi="Angsana New" w:cs="Angsana New"/>
      <w:sz w:val="26"/>
      <w:szCs w:val="26"/>
      <w:shd w:val="clear" w:color="auto" w:fill="FFFFFF"/>
      <w:lang w:bidi="th-TH"/>
    </w:rPr>
  </w:style>
  <w:style w:type="paragraph" w:customStyle="1" w:styleId="Footnote0">
    <w:name w:val="Footnote"/>
    <w:basedOn w:val="Normal"/>
    <w:link w:val="Footnote"/>
    <w:uiPriority w:val="99"/>
    <w:rsid w:val="00DB3711"/>
    <w:pPr>
      <w:shd w:val="clear" w:color="auto" w:fill="FFFFFF"/>
      <w:bidi w:val="0"/>
      <w:spacing w:after="0" w:line="206" w:lineRule="exact"/>
    </w:pPr>
    <w:rPr>
      <w:rFonts w:ascii="Angsana New" w:hAnsi="Angsana New" w:cs="Angsana New"/>
      <w:sz w:val="26"/>
      <w:szCs w:val="26"/>
      <w:shd w:val="clear" w:color="auto" w:fill="FFFFFF"/>
      <w:lang w:bidi="th-TH"/>
    </w:rPr>
  </w:style>
  <w:style w:type="paragraph" w:styleId="ListParagraph">
    <w:name w:val="List Paragraph"/>
    <w:basedOn w:val="Normal"/>
    <w:uiPriority w:val="99"/>
    <w:qFormat/>
    <w:rsid w:val="00DB3711"/>
    <w:pPr>
      <w:ind w:left="720"/>
    </w:pPr>
    <w:rPr>
      <w:rFonts w:eastAsia="Times New Roman"/>
    </w:rPr>
  </w:style>
  <w:style w:type="character" w:customStyle="1" w:styleId="Bodytext16">
    <w:name w:val="Body text (16)_"/>
    <w:basedOn w:val="DefaultParagraphFont"/>
    <w:link w:val="Bodytext160"/>
    <w:uiPriority w:val="99"/>
    <w:locked/>
    <w:rsid w:val="00DB3711"/>
    <w:rPr>
      <w:rFonts w:cs="Times New Roman"/>
      <w:sz w:val="15"/>
      <w:szCs w:val="15"/>
      <w:shd w:val="clear" w:color="auto" w:fill="FFFFFF"/>
    </w:rPr>
  </w:style>
  <w:style w:type="paragraph" w:customStyle="1" w:styleId="Bodytext160">
    <w:name w:val="Body text (16)"/>
    <w:basedOn w:val="Normal"/>
    <w:link w:val="Bodytext16"/>
    <w:uiPriority w:val="99"/>
    <w:rsid w:val="00DB3711"/>
    <w:pPr>
      <w:shd w:val="clear" w:color="auto" w:fill="FFFFFF"/>
      <w:bidi w:val="0"/>
      <w:spacing w:before="420" w:after="0" w:line="192" w:lineRule="exact"/>
      <w:ind w:hanging="360"/>
      <w:jc w:val="both"/>
    </w:pPr>
    <w:rPr>
      <w:sz w:val="15"/>
      <w:szCs w:val="15"/>
      <w:shd w:val="clear" w:color="auto" w:fill="FFFFFF"/>
    </w:rPr>
  </w:style>
  <w:style w:type="character" w:customStyle="1" w:styleId="apple-converted-space">
    <w:name w:val="apple-converted-space"/>
    <w:basedOn w:val="DefaultParagraphFont"/>
    <w:uiPriority w:val="99"/>
    <w:rsid w:val="00DB3711"/>
    <w:rPr>
      <w:rFonts w:cs="Times New Roman"/>
    </w:rPr>
  </w:style>
  <w:style w:type="character" w:customStyle="1" w:styleId="mixed-citation">
    <w:name w:val="mixed-citation"/>
    <w:basedOn w:val="DefaultParagraphFont"/>
    <w:uiPriority w:val="99"/>
    <w:rsid w:val="00DB3711"/>
    <w:rPr>
      <w:rFonts w:cs="Times New Roman"/>
    </w:rPr>
  </w:style>
  <w:style w:type="character" w:customStyle="1" w:styleId="ref-journal">
    <w:name w:val="ref-journal"/>
    <w:basedOn w:val="DefaultParagraphFont"/>
    <w:uiPriority w:val="99"/>
    <w:rsid w:val="00DB3711"/>
    <w:rPr>
      <w:rFonts w:cs="Times New Roman"/>
    </w:rPr>
  </w:style>
  <w:style w:type="character" w:customStyle="1" w:styleId="ref-vol">
    <w:name w:val="ref-vol"/>
    <w:basedOn w:val="DefaultParagraphFont"/>
    <w:uiPriority w:val="99"/>
    <w:rsid w:val="00DB3711"/>
    <w:rPr>
      <w:rFonts w:cs="Times New Roman"/>
    </w:rPr>
  </w:style>
  <w:style w:type="paragraph" w:styleId="CommentText">
    <w:name w:val="annotation text"/>
    <w:basedOn w:val="Normal"/>
    <w:link w:val="CommentTextChar"/>
    <w:uiPriority w:val="99"/>
    <w:semiHidden/>
    <w:rsid w:val="00786B3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786B3D"/>
    <w:rPr>
      <w:rFonts w:cs="Times New Roman"/>
      <w:sz w:val="20"/>
      <w:szCs w:val="20"/>
    </w:rPr>
  </w:style>
  <w:style w:type="character" w:styleId="CommentReference">
    <w:name w:val="annotation reference"/>
    <w:basedOn w:val="DefaultParagraphFont"/>
    <w:uiPriority w:val="99"/>
    <w:semiHidden/>
    <w:rsid w:val="00786B3D"/>
    <w:rPr>
      <w:rFonts w:cs="Times New Roman"/>
      <w:sz w:val="16"/>
      <w:szCs w:val="16"/>
    </w:rPr>
  </w:style>
  <w:style w:type="paragraph" w:styleId="Header">
    <w:name w:val="header"/>
    <w:basedOn w:val="Normal"/>
    <w:link w:val="HeaderChar"/>
    <w:uiPriority w:val="99"/>
    <w:semiHidden/>
    <w:rsid w:val="005575AA"/>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5575AA"/>
    <w:rPr>
      <w:rFonts w:cs="Times New Roman"/>
    </w:rPr>
  </w:style>
  <w:style w:type="paragraph" w:styleId="Footer">
    <w:name w:val="footer"/>
    <w:basedOn w:val="Normal"/>
    <w:link w:val="FooterChar"/>
    <w:uiPriority w:val="99"/>
    <w:semiHidden/>
    <w:rsid w:val="005575AA"/>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5575AA"/>
    <w:rPr>
      <w:rFonts w:cs="Times New Roman"/>
    </w:rPr>
  </w:style>
</w:styles>
</file>

<file path=word/webSettings.xml><?xml version="1.0" encoding="utf-8"?>
<w:webSettings xmlns:r="http://schemas.openxmlformats.org/officeDocument/2006/relationships" xmlns:w="http://schemas.openxmlformats.org/wordprocessingml/2006/main">
  <w:divs>
    <w:div w:id="42875134">
      <w:marLeft w:val="0"/>
      <w:marRight w:val="0"/>
      <w:marTop w:val="0"/>
      <w:marBottom w:val="0"/>
      <w:divBdr>
        <w:top w:val="none" w:sz="0" w:space="0" w:color="auto"/>
        <w:left w:val="none" w:sz="0" w:space="0" w:color="auto"/>
        <w:bottom w:val="none" w:sz="0" w:space="0" w:color="auto"/>
        <w:right w:val="none" w:sz="0" w:space="0" w:color="auto"/>
      </w:divBdr>
      <w:divsChild>
        <w:div w:id="42875133">
          <w:marLeft w:val="0"/>
          <w:marRight w:val="0"/>
          <w:marTop w:val="134"/>
          <w:marBottom w:val="0"/>
          <w:divBdr>
            <w:top w:val="none" w:sz="0" w:space="0" w:color="auto"/>
            <w:left w:val="none" w:sz="0" w:space="0" w:color="auto"/>
            <w:bottom w:val="none" w:sz="0" w:space="0" w:color="auto"/>
            <w:right w:val="none" w:sz="0" w:space="0" w:color="auto"/>
          </w:divBdr>
        </w:div>
      </w:divsChild>
    </w:div>
    <w:div w:id="42875135">
      <w:marLeft w:val="0"/>
      <w:marRight w:val="0"/>
      <w:marTop w:val="0"/>
      <w:marBottom w:val="0"/>
      <w:divBdr>
        <w:top w:val="none" w:sz="0" w:space="0" w:color="auto"/>
        <w:left w:val="none" w:sz="0" w:space="0" w:color="auto"/>
        <w:bottom w:val="none" w:sz="0" w:space="0" w:color="auto"/>
        <w:right w:val="none" w:sz="0" w:space="0" w:color="auto"/>
      </w:divBdr>
      <w:divsChild>
        <w:div w:id="42875129">
          <w:marLeft w:val="965"/>
          <w:marRight w:val="0"/>
          <w:marTop w:val="173"/>
          <w:marBottom w:val="0"/>
          <w:divBdr>
            <w:top w:val="none" w:sz="0" w:space="0" w:color="auto"/>
            <w:left w:val="none" w:sz="0" w:space="0" w:color="auto"/>
            <w:bottom w:val="none" w:sz="0" w:space="0" w:color="auto"/>
            <w:right w:val="none" w:sz="0" w:space="0" w:color="auto"/>
          </w:divBdr>
        </w:div>
        <w:div w:id="42875130">
          <w:marLeft w:val="965"/>
          <w:marRight w:val="0"/>
          <w:marTop w:val="173"/>
          <w:marBottom w:val="0"/>
          <w:divBdr>
            <w:top w:val="none" w:sz="0" w:space="0" w:color="auto"/>
            <w:left w:val="none" w:sz="0" w:space="0" w:color="auto"/>
            <w:bottom w:val="none" w:sz="0" w:space="0" w:color="auto"/>
            <w:right w:val="none" w:sz="0" w:space="0" w:color="auto"/>
          </w:divBdr>
        </w:div>
        <w:div w:id="42875131">
          <w:marLeft w:val="965"/>
          <w:marRight w:val="0"/>
          <w:marTop w:val="173"/>
          <w:marBottom w:val="0"/>
          <w:divBdr>
            <w:top w:val="none" w:sz="0" w:space="0" w:color="auto"/>
            <w:left w:val="none" w:sz="0" w:space="0" w:color="auto"/>
            <w:bottom w:val="none" w:sz="0" w:space="0" w:color="auto"/>
            <w:right w:val="none" w:sz="0" w:space="0" w:color="auto"/>
          </w:divBdr>
        </w:div>
        <w:div w:id="42875132">
          <w:marLeft w:val="965"/>
          <w:marRight w:val="0"/>
          <w:marTop w:val="173"/>
          <w:marBottom w:val="0"/>
          <w:divBdr>
            <w:top w:val="none" w:sz="0" w:space="0" w:color="auto"/>
            <w:left w:val="none" w:sz="0" w:space="0" w:color="auto"/>
            <w:bottom w:val="none" w:sz="0" w:space="0" w:color="auto"/>
            <w:right w:val="none" w:sz="0" w:space="0" w:color="auto"/>
          </w:divBdr>
        </w:div>
      </w:divsChild>
    </w:div>
    <w:div w:id="42875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s://en.wikipedia.org/wiki/Fatigue_(medical)" TargetMode="External"/><Relationship Id="rId18" Type="http://schemas.openxmlformats.org/officeDocument/2006/relationships/hyperlink" Target="https://en.wikipedia.org/wiki/Leukemia" TargetMode="External"/><Relationship Id="rId26" Type="http://schemas.openxmlformats.org/officeDocument/2006/relationships/hyperlink" Target="http://advances.nutrition.org/search?author1=Heribert+J%C3%BCrgens&amp;sortspec=date&amp;submit=Submit" TargetMode="External"/><Relationship Id="rId3" Type="http://schemas.openxmlformats.org/officeDocument/2006/relationships/settings" Target="settings.xml"/><Relationship Id="rId21" Type="http://schemas.openxmlformats.org/officeDocument/2006/relationships/hyperlink" Target="http://www.ncbi.nlm.nih.gov/pubmed/?term=Atkinson%20SA%5BAuthor%5D&amp;cauthor=true&amp;cauthor_uid=18064644" TargetMode="External"/><Relationship Id="rId7" Type="http://schemas.openxmlformats.org/officeDocument/2006/relationships/hyperlink" Target="mailto:drsalwamahmoud@yahoo.com" TargetMode="External"/><Relationship Id="rId12" Type="http://schemas.openxmlformats.org/officeDocument/2006/relationships/hyperlink" Target="https://en.wikipedia.org/wiki/Bruising" TargetMode="External"/><Relationship Id="rId17" Type="http://schemas.openxmlformats.org/officeDocument/2006/relationships/hyperlink" Target="https://en.wikipedia.org/wiki/Leukemia" TargetMode="External"/><Relationship Id="rId25" Type="http://schemas.openxmlformats.org/officeDocument/2006/relationships/hyperlink" Target="http://advances.nutrition.org/content/2/2/67.full" TargetMode="External"/><Relationship Id="rId2" Type="http://schemas.openxmlformats.org/officeDocument/2006/relationships/styles" Target="styles.xml"/><Relationship Id="rId16" Type="http://schemas.openxmlformats.org/officeDocument/2006/relationships/hyperlink" Target="http://advances.nutrition.org/search?author1=Jacqueline+Bauer&amp;sortspec=date&amp;submit=Submit" TargetMode="External"/><Relationship Id="rId20" Type="http://schemas.openxmlformats.org/officeDocument/2006/relationships/hyperlink" Target="http://academiccommons.columbia.edu/catalog?f%5bauthor_facet%5d%5b%5d=Ladas,%20Elen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advances.nutrition.org/search?author1=Jacqueline+Bauer&amp;sortspec=date&amp;submit=Submit" TargetMode="External"/><Relationship Id="rId5" Type="http://schemas.openxmlformats.org/officeDocument/2006/relationships/footnotes" Target="footnotes.xml"/><Relationship Id="rId15" Type="http://schemas.openxmlformats.org/officeDocument/2006/relationships/hyperlink" Target="http://www.ncbi.nlm.nih.gov/pubmed/?term=Atkinson%20SA%5BAuthor%5D&amp;cauthor=true&amp;cauthor_uid=18064644" TargetMode="External"/><Relationship Id="rId23" Type="http://schemas.openxmlformats.org/officeDocument/2006/relationships/hyperlink" Target="http://www.a2zproject.org/~a2zorg/pdf/30%202002%20SL.pdf" TargetMode="External"/><Relationship Id="rId28" Type="http://schemas.openxmlformats.org/officeDocument/2006/relationships/hyperlink" Target="http://advances.nutrition.org/search?author1=Michael+C.+Fr%C3%BChwald&amp;sortspec=date&amp;submit=Submit" TargetMode="External"/><Relationship Id="rId10" Type="http://schemas.openxmlformats.org/officeDocument/2006/relationships/header" Target="header1.xml"/><Relationship Id="rId19" Type="http://schemas.openxmlformats.org/officeDocument/2006/relationships/hyperlink" Target="http://www.cancer.gov/researchandfunding/snapshots/leukemia" TargetMode="External"/><Relationship Id="rId4" Type="http://schemas.openxmlformats.org/officeDocument/2006/relationships/webSettings" Target="webSettings.xml"/><Relationship Id="rId9" Type="http://schemas.openxmlformats.org/officeDocument/2006/relationships/hyperlink" Target="http://www.dx.doi.org/10.7537/marsnys09061601" TargetMode="External"/><Relationship Id="rId14" Type="http://schemas.openxmlformats.org/officeDocument/2006/relationships/hyperlink" Target="https://en.wikipedia.org/wiki/Central_nervous_system" TargetMode="External"/><Relationship Id="rId22" Type="http://schemas.openxmlformats.org/officeDocument/2006/relationships/hyperlink" Target="http://www.ncbi.nlm.nih.gov/pubmed/18064644" TargetMode="External"/><Relationship Id="rId27" Type="http://schemas.openxmlformats.org/officeDocument/2006/relationships/hyperlink" Target="http://advances.nutrition.org/content/2/2/67.full"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6</Pages>
  <Words>4001</Words>
  <Characters>22812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Dietary Intake among a group of Children with Acute Lymphoblastic Leukemia (ALL)</vt:lpstr>
    </vt:vector>
  </TitlesOfParts>
  <Company>Dr.lbna</Company>
  <LinksUpToDate>false</LinksUpToDate>
  <CharactersWithSpaces>26760</CharactersWithSpaces>
  <SharedDoc>false</SharedDoc>
  <HLinks>
    <vt:vector size="126" baseType="variant">
      <vt:variant>
        <vt:i4>4784145</vt:i4>
      </vt:variant>
      <vt:variant>
        <vt:i4>57</vt:i4>
      </vt:variant>
      <vt:variant>
        <vt:i4>0</vt:i4>
      </vt:variant>
      <vt:variant>
        <vt:i4>5</vt:i4>
      </vt:variant>
      <vt:variant>
        <vt:lpwstr>http://advances.nutrition.org/search?author1=Michael+C.+Fr%C3%BChwald&amp;sortspec=date&amp;submit=Submit</vt:lpwstr>
      </vt:variant>
      <vt:variant>
        <vt:lpwstr/>
      </vt:variant>
      <vt:variant>
        <vt:i4>5898262</vt:i4>
      </vt:variant>
      <vt:variant>
        <vt:i4>54</vt:i4>
      </vt:variant>
      <vt:variant>
        <vt:i4>0</vt:i4>
      </vt:variant>
      <vt:variant>
        <vt:i4>5</vt:i4>
      </vt:variant>
      <vt:variant>
        <vt:lpwstr>http://advances.nutrition.org/content/2/2/67.full</vt:lpwstr>
      </vt:variant>
      <vt:variant>
        <vt:lpwstr>aff-2</vt:lpwstr>
      </vt:variant>
      <vt:variant>
        <vt:i4>7602219</vt:i4>
      </vt:variant>
      <vt:variant>
        <vt:i4>51</vt:i4>
      </vt:variant>
      <vt:variant>
        <vt:i4>0</vt:i4>
      </vt:variant>
      <vt:variant>
        <vt:i4>5</vt:i4>
      </vt:variant>
      <vt:variant>
        <vt:lpwstr>http://advances.nutrition.org/search?author1=Heribert+J%C3%BCrgens&amp;sortspec=date&amp;submit=Submit</vt:lpwstr>
      </vt:variant>
      <vt:variant>
        <vt:lpwstr/>
      </vt:variant>
      <vt:variant>
        <vt:i4>5373973</vt:i4>
      </vt:variant>
      <vt:variant>
        <vt:i4>48</vt:i4>
      </vt:variant>
      <vt:variant>
        <vt:i4>0</vt:i4>
      </vt:variant>
      <vt:variant>
        <vt:i4>5</vt:i4>
      </vt:variant>
      <vt:variant>
        <vt:lpwstr>http://advances.nutrition.org/content/2/2/67.full</vt:lpwstr>
      </vt:variant>
      <vt:variant>
        <vt:lpwstr>corresp-1</vt:lpwstr>
      </vt:variant>
      <vt:variant>
        <vt:i4>2031635</vt:i4>
      </vt:variant>
      <vt:variant>
        <vt:i4>45</vt:i4>
      </vt:variant>
      <vt:variant>
        <vt:i4>0</vt:i4>
      </vt:variant>
      <vt:variant>
        <vt:i4>5</vt:i4>
      </vt:variant>
      <vt:variant>
        <vt:lpwstr>http://advances.nutrition.org/search?author1=Jacqueline+Bauer&amp;sortspec=date&amp;submit=Submit</vt:lpwstr>
      </vt:variant>
      <vt:variant>
        <vt:lpwstr/>
      </vt:variant>
      <vt:variant>
        <vt:i4>6094878</vt:i4>
      </vt:variant>
      <vt:variant>
        <vt:i4>42</vt:i4>
      </vt:variant>
      <vt:variant>
        <vt:i4>0</vt:i4>
      </vt:variant>
      <vt:variant>
        <vt:i4>5</vt:i4>
      </vt:variant>
      <vt:variant>
        <vt:lpwstr>http://www.a2zproject.org/~a2zorg/pdf/30 2002 SL.pdf</vt:lpwstr>
      </vt:variant>
      <vt:variant>
        <vt:lpwstr/>
      </vt:variant>
      <vt:variant>
        <vt:i4>3211310</vt:i4>
      </vt:variant>
      <vt:variant>
        <vt:i4>39</vt:i4>
      </vt:variant>
      <vt:variant>
        <vt:i4>0</vt:i4>
      </vt:variant>
      <vt:variant>
        <vt:i4>5</vt:i4>
      </vt:variant>
      <vt:variant>
        <vt:lpwstr>http://www.ncbi.nlm.nih.gov/pubmed/18064644</vt:lpwstr>
      </vt:variant>
      <vt:variant>
        <vt:lpwstr/>
      </vt:variant>
      <vt:variant>
        <vt:i4>2097179</vt:i4>
      </vt:variant>
      <vt:variant>
        <vt:i4>36</vt:i4>
      </vt:variant>
      <vt:variant>
        <vt:i4>0</vt:i4>
      </vt:variant>
      <vt:variant>
        <vt:i4>5</vt:i4>
      </vt:variant>
      <vt:variant>
        <vt:lpwstr>http://www.ncbi.nlm.nih.gov/pubmed/?term=Atkinson%20SA%5BAuthor%5D&amp;cauthor=true&amp;cauthor_uid=18064644</vt:lpwstr>
      </vt:variant>
      <vt:variant>
        <vt:lpwstr/>
      </vt:variant>
      <vt:variant>
        <vt:i4>5701756</vt:i4>
      </vt:variant>
      <vt:variant>
        <vt:i4>33</vt:i4>
      </vt:variant>
      <vt:variant>
        <vt:i4>0</vt:i4>
      </vt:variant>
      <vt:variant>
        <vt:i4>5</vt:i4>
      </vt:variant>
      <vt:variant>
        <vt:lpwstr>http://academiccommons.columbia.edu/catalog?f%5bauthor_facet%5d%5b%5d=Ladas,%20Elena</vt:lpwstr>
      </vt:variant>
      <vt:variant>
        <vt:lpwstr/>
      </vt:variant>
      <vt:variant>
        <vt:i4>3604521</vt:i4>
      </vt:variant>
      <vt:variant>
        <vt:i4>30</vt:i4>
      </vt:variant>
      <vt:variant>
        <vt:i4>0</vt:i4>
      </vt:variant>
      <vt:variant>
        <vt:i4>5</vt:i4>
      </vt:variant>
      <vt:variant>
        <vt:lpwstr>http://www.cancer.gov/researchandfunding/snapshots/leukemia</vt:lpwstr>
      </vt:variant>
      <vt:variant>
        <vt:lpwstr/>
      </vt:variant>
      <vt:variant>
        <vt:i4>3014754</vt:i4>
      </vt:variant>
      <vt:variant>
        <vt:i4>27</vt:i4>
      </vt:variant>
      <vt:variant>
        <vt:i4>0</vt:i4>
      </vt:variant>
      <vt:variant>
        <vt:i4>5</vt:i4>
      </vt:variant>
      <vt:variant>
        <vt:lpwstr>https://en.wikipedia.org/wiki/Leukemia</vt:lpwstr>
      </vt:variant>
      <vt:variant>
        <vt:lpwstr>cite_ref-NCISnap_5-5</vt:lpwstr>
      </vt:variant>
      <vt:variant>
        <vt:i4>5505059</vt:i4>
      </vt:variant>
      <vt:variant>
        <vt:i4>24</vt:i4>
      </vt:variant>
      <vt:variant>
        <vt:i4>0</vt:i4>
      </vt:variant>
      <vt:variant>
        <vt:i4>5</vt:i4>
      </vt:variant>
      <vt:variant>
        <vt:lpwstr>https://en.wikipedia.org/wiki/Leukemia</vt:lpwstr>
      </vt:variant>
      <vt:variant>
        <vt:lpwstr>cite_note-NCIBook2013-3</vt:lpwstr>
      </vt:variant>
      <vt:variant>
        <vt:i4>2031635</vt:i4>
      </vt:variant>
      <vt:variant>
        <vt:i4>21</vt:i4>
      </vt:variant>
      <vt:variant>
        <vt:i4>0</vt:i4>
      </vt:variant>
      <vt:variant>
        <vt:i4>5</vt:i4>
      </vt:variant>
      <vt:variant>
        <vt:lpwstr>http://advances.nutrition.org/search?author1=Jacqueline+Bauer&amp;sortspec=date&amp;submit=Submit</vt:lpwstr>
      </vt:variant>
      <vt:variant>
        <vt:lpwstr/>
      </vt:variant>
      <vt:variant>
        <vt:i4>2097179</vt:i4>
      </vt:variant>
      <vt:variant>
        <vt:i4>18</vt:i4>
      </vt:variant>
      <vt:variant>
        <vt:i4>0</vt:i4>
      </vt:variant>
      <vt:variant>
        <vt:i4>5</vt:i4>
      </vt:variant>
      <vt:variant>
        <vt:lpwstr>http://www.ncbi.nlm.nih.gov/pubmed/?term=Atkinson%20SA%5BAuthor%5D&amp;cauthor=true&amp;cauthor_uid=18064644</vt:lpwstr>
      </vt:variant>
      <vt:variant>
        <vt:lpwstr/>
      </vt:variant>
      <vt:variant>
        <vt:i4>5963778</vt:i4>
      </vt:variant>
      <vt:variant>
        <vt:i4>15</vt:i4>
      </vt:variant>
      <vt:variant>
        <vt:i4>0</vt:i4>
      </vt:variant>
      <vt:variant>
        <vt:i4>5</vt:i4>
      </vt:variant>
      <vt:variant>
        <vt:lpwstr>https://en.wikipedia.org/wiki/Central_nervous_system</vt:lpwstr>
      </vt:variant>
      <vt:variant>
        <vt:lpwstr/>
      </vt:variant>
      <vt:variant>
        <vt:i4>589857</vt:i4>
      </vt:variant>
      <vt:variant>
        <vt:i4>12</vt:i4>
      </vt:variant>
      <vt:variant>
        <vt:i4>0</vt:i4>
      </vt:variant>
      <vt:variant>
        <vt:i4>5</vt:i4>
      </vt:variant>
      <vt:variant>
        <vt:lpwstr>https://en.wikipedia.org/wiki/Fatigue_(medical)</vt:lpwstr>
      </vt:variant>
      <vt:variant>
        <vt:lpwstr/>
      </vt:variant>
      <vt:variant>
        <vt:i4>3670142</vt:i4>
      </vt:variant>
      <vt:variant>
        <vt:i4>9</vt:i4>
      </vt:variant>
      <vt:variant>
        <vt:i4>0</vt:i4>
      </vt:variant>
      <vt:variant>
        <vt:i4>5</vt:i4>
      </vt:variant>
      <vt:variant>
        <vt:lpwstr>https://en.wikipedia.org/wiki/Bruising</vt:lpwstr>
      </vt:variant>
      <vt:variant>
        <vt:lpwstr/>
      </vt:variant>
      <vt:variant>
        <vt:i4>852033</vt:i4>
      </vt:variant>
      <vt:variant>
        <vt:i4>6</vt:i4>
      </vt:variant>
      <vt:variant>
        <vt:i4>0</vt:i4>
      </vt:variant>
      <vt:variant>
        <vt:i4>5</vt:i4>
      </vt:variant>
      <vt:variant>
        <vt:lpwstr>http://www.dx.doi.org/10.7537/marsnys</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917565</vt:i4>
      </vt:variant>
      <vt:variant>
        <vt:i4>0</vt:i4>
      </vt:variant>
      <vt:variant>
        <vt:i4>0</vt:i4>
      </vt:variant>
      <vt:variant>
        <vt:i4>5</vt:i4>
      </vt:variant>
      <vt:variant>
        <vt:lpwstr>mailto:drsalwamahmoud@yahoo.com</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Dietary Intake among a group of Children with Acute Lymphoblastic Leukemia (ALL)</dc:title>
  <dc:creator>salwa</dc:creator>
  <cp:lastModifiedBy>Administrator</cp:lastModifiedBy>
  <cp:revision>6</cp:revision>
  <cp:lastPrinted>2016-05-30T15:44:00Z</cp:lastPrinted>
  <dcterms:created xsi:type="dcterms:W3CDTF">2016-05-30T09:34:00Z</dcterms:created>
  <dcterms:modified xsi:type="dcterms:W3CDTF">2016-05-30T19:10:00Z</dcterms:modified>
</cp:coreProperties>
</file>