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96" w:rsidRDefault="00A43496">
      <w:pPr>
        <w:pStyle w:val="BodyText"/>
        <w:spacing w:before="6"/>
        <w:ind w:left="0"/>
        <w:jc w:val="left"/>
        <w:rPr>
          <w:sz w:val="28"/>
        </w:rPr>
      </w:pPr>
    </w:p>
    <w:p w:rsidR="00A43496" w:rsidRDefault="00A43496">
      <w:pPr>
        <w:pStyle w:val="Heading1"/>
        <w:spacing w:before="75"/>
        <w:ind w:left="148" w:right="146"/>
        <w:jc w:val="center"/>
      </w:pPr>
      <w:r>
        <w:t>Investigate the joint effect of tobacco exposure and alteration of TNF-α CD8,MDA and GSH levels in blood of Iraqi smokers</w:t>
      </w:r>
    </w:p>
    <w:p w:rsidR="00A43496" w:rsidRDefault="00A43496">
      <w:pPr>
        <w:pStyle w:val="BodyText"/>
        <w:spacing w:before="5"/>
        <w:ind w:left="0"/>
        <w:jc w:val="left"/>
        <w:rPr>
          <w:b/>
          <w:sz w:val="17"/>
        </w:rPr>
      </w:pPr>
    </w:p>
    <w:p w:rsidR="00A43496" w:rsidRDefault="00A43496" w:rsidP="008011CE">
      <w:pPr>
        <w:pStyle w:val="BodyText"/>
        <w:spacing w:before="1"/>
        <w:ind w:left="148" w:right="144"/>
        <w:jc w:val="center"/>
      </w:pPr>
      <w:r>
        <w:rPr>
          <w:position w:val="9"/>
          <w:sz w:val="13"/>
        </w:rPr>
        <w:t>1.</w:t>
      </w:r>
      <w:r>
        <w:t xml:space="preserve">Bushra jasim Mohammed, </w:t>
      </w:r>
      <w:r>
        <w:rPr>
          <w:position w:val="9"/>
          <w:sz w:val="13"/>
        </w:rPr>
        <w:t xml:space="preserve">1. </w:t>
      </w:r>
      <w:r>
        <w:t xml:space="preserve">Amina AL-Thwani-1, </w:t>
      </w:r>
      <w:r>
        <w:rPr>
          <w:position w:val="9"/>
          <w:sz w:val="13"/>
        </w:rPr>
        <w:t>2</w:t>
      </w:r>
      <w:r>
        <w:t>Raghuraman Kannan</w:t>
      </w:r>
    </w:p>
    <w:p w:rsidR="00A43496" w:rsidRDefault="00A43496">
      <w:pPr>
        <w:pStyle w:val="BodyText"/>
        <w:spacing w:before="6"/>
        <w:ind w:left="0"/>
        <w:jc w:val="left"/>
      </w:pPr>
    </w:p>
    <w:p w:rsidR="00A43496" w:rsidRDefault="00A43496">
      <w:pPr>
        <w:pStyle w:val="BodyText"/>
        <w:spacing w:before="1" w:line="226" w:lineRule="exact"/>
        <w:ind w:left="148" w:right="143"/>
        <w:jc w:val="center"/>
      </w:pPr>
      <w:r>
        <w:rPr>
          <w:position w:val="9"/>
          <w:sz w:val="13"/>
        </w:rPr>
        <w:t>1.</w:t>
      </w:r>
      <w:r>
        <w:t>Institute of genetic engineering and biotechnology -</w:t>
      </w:r>
      <w:smartTag w:uri="urn:schemas-microsoft-com:office:smarttags" w:element="PlaceType">
        <w:r>
          <w:t>University</w:t>
        </w:r>
      </w:smartTag>
      <w:r>
        <w:t xml:space="preserve"> of </w:t>
      </w:r>
      <w:smartTag w:uri="urn:schemas-microsoft-com:office:smarttags" w:element="PlaceName">
        <w:r>
          <w:t>Baghdad</w:t>
        </w:r>
      </w:smartTag>
      <w:r>
        <w:t xml:space="preserve">; </w:t>
      </w:r>
      <w:r>
        <w:rPr>
          <w:position w:val="9"/>
          <w:sz w:val="13"/>
        </w:rPr>
        <w:t>2.</w:t>
      </w:r>
      <w:r>
        <w:t xml:space="preserve">University of </w:t>
      </w:r>
      <w:smartTag w:uri="urn:schemas-microsoft-com:office:smarttags" w:element="State">
        <w:smartTag w:uri="urn:schemas-microsoft-com:office:smarttags" w:element="place">
          <w:r>
            <w:t>Missouri</w:t>
          </w:r>
        </w:smartTag>
      </w:smartTag>
      <w:r>
        <w:t xml:space="preserve"> </w:t>
      </w:r>
      <w:hyperlink r:id="rId7">
        <w:r>
          <w:rPr>
            <w:color w:val="0000FF"/>
            <w:u w:val="single" w:color="0000FF"/>
          </w:rPr>
          <w:t>bbushra880@gmail.com</w:t>
        </w:r>
      </w:hyperlink>
    </w:p>
    <w:p w:rsidR="00A43496" w:rsidRDefault="00A43496">
      <w:pPr>
        <w:pStyle w:val="BodyText"/>
        <w:spacing w:before="3"/>
        <w:ind w:left="0"/>
        <w:jc w:val="left"/>
        <w:rPr>
          <w:sz w:val="13"/>
        </w:rPr>
      </w:pPr>
    </w:p>
    <w:p w:rsidR="00A43496" w:rsidRDefault="00A43496" w:rsidP="00F575E2">
      <w:pPr>
        <w:pStyle w:val="BodyText"/>
        <w:ind w:left="160"/>
      </w:pPr>
      <w:r>
        <w:rPr>
          <w:b/>
        </w:rPr>
        <w:t>Abstract: Background</w:t>
      </w:r>
      <w:r>
        <w:t xml:space="preserve">: Cigarette smoke cause alteration in body biological factors, so </w:t>
      </w:r>
      <w:r>
        <w:rPr>
          <w:spacing w:val="-4"/>
        </w:rPr>
        <w:t xml:space="preserve">we </w:t>
      </w:r>
      <w:r>
        <w:t xml:space="preserve">hypothesized that the TNF, CD8, MDA and GSH will change in smoker's blood compared to non </w:t>
      </w:r>
      <w:r>
        <w:rPr>
          <w:spacing w:val="-3"/>
        </w:rPr>
        <w:t xml:space="preserve">smoker </w:t>
      </w:r>
      <w:r>
        <w:t xml:space="preserve">subjects. </w:t>
      </w:r>
      <w:r>
        <w:rPr>
          <w:b/>
        </w:rPr>
        <w:t>Methods</w:t>
      </w:r>
      <w:r>
        <w:t xml:space="preserve">: </w:t>
      </w:r>
      <w:r>
        <w:rPr>
          <w:spacing w:val="-3"/>
        </w:rPr>
        <w:t xml:space="preserve">blood </w:t>
      </w:r>
      <w:r>
        <w:t xml:space="preserve">samples were obtained from Iraqi smokers and non </w:t>
      </w:r>
      <w:r>
        <w:rPr>
          <w:spacing w:val="-3"/>
        </w:rPr>
        <w:t xml:space="preserve">smoker </w:t>
      </w:r>
      <w:r>
        <w:t xml:space="preserve">subjects. </w:t>
      </w:r>
      <w:r>
        <w:rPr>
          <w:spacing w:val="-3"/>
        </w:rPr>
        <w:t xml:space="preserve">Levels </w:t>
      </w:r>
      <w:r>
        <w:t xml:space="preserve">of TNF-α and </w:t>
      </w:r>
      <w:r>
        <w:rPr>
          <w:spacing w:val="-3"/>
        </w:rPr>
        <w:t xml:space="preserve">CD8 </w:t>
      </w:r>
      <w:r>
        <w:t xml:space="preserve">were assessed by ELISA whereas MDA and GSH were measured via optical density using microplate reader. </w:t>
      </w:r>
      <w:r>
        <w:rPr>
          <w:b/>
        </w:rPr>
        <w:t>Results</w:t>
      </w:r>
      <w:r>
        <w:t xml:space="preserve">: levels </w:t>
      </w:r>
      <w:r>
        <w:rPr>
          <w:spacing w:val="-3"/>
        </w:rPr>
        <w:t xml:space="preserve">of </w:t>
      </w:r>
      <w:r>
        <w:t xml:space="preserve">TNF- α and CD8 were significantly increased </w:t>
      </w:r>
      <w:r w:rsidRPr="00C37AAE">
        <w:t>(P&lt;0.01)</w:t>
      </w:r>
      <w:r>
        <w:t xml:space="preserve"> at</w:t>
      </w:r>
      <w:r w:rsidRPr="00E06F59">
        <w:t xml:space="preserve"> </w:t>
      </w:r>
      <w:r>
        <w:t>age group (26-35) years,</w:t>
      </w:r>
      <w:r w:rsidRPr="00E06F59">
        <w:t xml:space="preserve"> </w:t>
      </w:r>
      <w:r>
        <w:t>while MDA were significantly increased</w:t>
      </w:r>
      <w:r w:rsidRPr="00C37AAE">
        <w:t>(P&lt;0.01)</w:t>
      </w:r>
      <w:r>
        <w:t xml:space="preserve"> and</w:t>
      </w:r>
      <w:r>
        <w:rPr>
          <w:spacing w:val="-3"/>
        </w:rPr>
        <w:t xml:space="preserve"> </w:t>
      </w:r>
      <w:r>
        <w:t>GSH were significantly</w:t>
      </w:r>
      <w:r w:rsidRPr="00F575E2">
        <w:t xml:space="preserve"> </w:t>
      </w:r>
      <w:r>
        <w:t xml:space="preserve">decreased </w:t>
      </w:r>
      <w:r w:rsidRPr="00C37AAE">
        <w:t>(P&lt;0.01)</w:t>
      </w:r>
      <w:r>
        <w:t xml:space="preserve"> at the age more than 56 year, also association with consumption more than one pack </w:t>
      </w:r>
      <w:r>
        <w:rPr>
          <w:spacing w:val="-3"/>
        </w:rPr>
        <w:t xml:space="preserve">per </w:t>
      </w:r>
      <w:r>
        <w:rPr>
          <w:spacing w:val="-4"/>
        </w:rPr>
        <w:t xml:space="preserve">day, </w:t>
      </w:r>
      <w:r>
        <w:t xml:space="preserve">and with duration </w:t>
      </w:r>
      <w:r>
        <w:rPr>
          <w:spacing w:val="-3"/>
        </w:rPr>
        <w:t xml:space="preserve">of </w:t>
      </w:r>
      <w:r>
        <w:t>smoking more  than</w:t>
      </w:r>
      <w:r>
        <w:rPr>
          <w:spacing w:val="23"/>
        </w:rPr>
        <w:t xml:space="preserve"> </w:t>
      </w:r>
      <w:r>
        <w:rPr>
          <w:spacing w:val="-3"/>
        </w:rPr>
        <w:t>20</w:t>
      </w:r>
      <w:r>
        <w:rPr>
          <w:spacing w:val="20"/>
        </w:rPr>
        <w:t xml:space="preserve"> </w:t>
      </w:r>
      <w:r>
        <w:rPr>
          <w:spacing w:val="-3"/>
        </w:rPr>
        <w:t>year,</w:t>
      </w:r>
      <w:r>
        <w:rPr>
          <w:spacing w:val="25"/>
        </w:rPr>
        <w:t xml:space="preserve"> </w:t>
      </w:r>
      <w:r>
        <w:t>compared</w:t>
      </w:r>
      <w:r>
        <w:rPr>
          <w:spacing w:val="20"/>
        </w:rPr>
        <w:t xml:space="preserve"> </w:t>
      </w:r>
      <w:r>
        <w:t>with</w:t>
      </w:r>
      <w:r>
        <w:rPr>
          <w:spacing w:val="22"/>
        </w:rPr>
        <w:t xml:space="preserve"> </w:t>
      </w:r>
      <w:r>
        <w:t>others</w:t>
      </w:r>
      <w:r>
        <w:rPr>
          <w:spacing w:val="18"/>
        </w:rPr>
        <w:t xml:space="preserve"> </w:t>
      </w:r>
      <w:r>
        <w:t>smoker</w:t>
      </w:r>
      <w:r>
        <w:rPr>
          <w:spacing w:val="23"/>
        </w:rPr>
        <w:t xml:space="preserve"> </w:t>
      </w:r>
      <w:r>
        <w:t>groups.</w:t>
      </w:r>
      <w:r>
        <w:rPr>
          <w:spacing w:val="24"/>
        </w:rPr>
        <w:t xml:space="preserve"> </w:t>
      </w:r>
      <w:r>
        <w:rPr>
          <w:b/>
        </w:rPr>
        <w:t>Conclusions</w:t>
      </w:r>
      <w:r>
        <w:t>:</w:t>
      </w:r>
      <w:r>
        <w:rPr>
          <w:spacing w:val="25"/>
        </w:rPr>
        <w:t xml:space="preserve"> </w:t>
      </w:r>
      <w:r>
        <w:t>The</w:t>
      </w:r>
      <w:r>
        <w:rPr>
          <w:spacing w:val="12"/>
        </w:rPr>
        <w:t xml:space="preserve"> </w:t>
      </w:r>
      <w:r>
        <w:t>results</w:t>
      </w:r>
      <w:r>
        <w:rPr>
          <w:spacing w:val="19"/>
        </w:rPr>
        <w:t xml:space="preserve"> </w:t>
      </w:r>
      <w:r>
        <w:t>were</w:t>
      </w:r>
      <w:r>
        <w:rPr>
          <w:spacing w:val="20"/>
        </w:rPr>
        <w:t xml:space="preserve"> </w:t>
      </w:r>
      <w:r>
        <w:t>demonstrated</w:t>
      </w:r>
      <w:r>
        <w:rPr>
          <w:spacing w:val="19"/>
        </w:rPr>
        <w:t xml:space="preserve"> </w:t>
      </w:r>
      <w:r>
        <w:t>increase</w:t>
      </w:r>
      <w:r>
        <w:rPr>
          <w:spacing w:val="20"/>
        </w:rPr>
        <w:t xml:space="preserve"> </w:t>
      </w:r>
      <w:r>
        <w:t>TNF-α,</w:t>
      </w:r>
      <w:r w:rsidRPr="00F575E2">
        <w:t xml:space="preserve"> </w:t>
      </w:r>
      <w:r>
        <w:t>CD8, MDA levels and decrease GSH levels in blood of smokers</w:t>
      </w:r>
    </w:p>
    <w:p w:rsidR="00A43496" w:rsidRDefault="00A43496">
      <w:pPr>
        <w:spacing w:before="2" w:line="237" w:lineRule="auto"/>
        <w:ind w:left="160" w:right="153"/>
        <w:jc w:val="both"/>
        <w:rPr>
          <w:sz w:val="20"/>
        </w:rPr>
      </w:pPr>
      <w:r>
        <w:rPr>
          <w:sz w:val="20"/>
        </w:rPr>
        <w:t xml:space="preserve"> [Mohammed B, AL-Thwani A, Kannan R. </w:t>
      </w:r>
      <w:r>
        <w:rPr>
          <w:b/>
          <w:sz w:val="20"/>
        </w:rPr>
        <w:t xml:space="preserve">Investigate the joint effect of tobacco exposure and alteration of  TNF-α CD8,MDA and GSH levels in blood of Iraqi smokers. </w:t>
      </w:r>
      <w:r>
        <w:rPr>
          <w:i/>
          <w:sz w:val="20"/>
        </w:rPr>
        <w:t xml:space="preserve">N Y Sci J </w:t>
      </w:r>
      <w:r>
        <w:rPr>
          <w:sz w:val="20"/>
        </w:rPr>
        <w:t xml:space="preserve">2016;9(7):11-16]. ISSN 1554-0200 (print); ISSN 2375-723X (online). </w:t>
      </w:r>
      <w:hyperlink r:id="rId8">
        <w:r>
          <w:rPr>
            <w:color w:val="0000FF"/>
            <w:sz w:val="20"/>
            <w:u w:val="single" w:color="0000FF"/>
          </w:rPr>
          <w:t>http://www.sciencepub.net/newyork</w:t>
        </w:r>
        <w:r>
          <w:rPr>
            <w:sz w:val="20"/>
          </w:rPr>
          <w:t>.</w:t>
        </w:r>
      </w:hyperlink>
      <w:r>
        <w:rPr>
          <w:sz w:val="20"/>
        </w:rPr>
        <w:t xml:space="preserve"> 3. doi:</w:t>
      </w:r>
      <w:r>
        <w:rPr>
          <w:color w:val="0000FF"/>
          <w:sz w:val="20"/>
          <w:u w:val="single" w:color="0000FF"/>
        </w:rPr>
        <w:t>10.7537/marsnys090716.03</w:t>
      </w:r>
      <w:r>
        <w:rPr>
          <w:sz w:val="20"/>
        </w:rPr>
        <w:t>.</w:t>
      </w:r>
    </w:p>
    <w:p w:rsidR="00A43496" w:rsidRDefault="00A43496">
      <w:pPr>
        <w:pStyle w:val="BodyText"/>
        <w:spacing w:before="1"/>
        <w:ind w:left="0"/>
        <w:jc w:val="left"/>
      </w:pPr>
    </w:p>
    <w:p w:rsidR="00A43496" w:rsidRDefault="00A43496" w:rsidP="00F575E2">
      <w:pPr>
        <w:ind w:left="160"/>
        <w:jc w:val="both"/>
        <w:rPr>
          <w:sz w:val="20"/>
        </w:rPr>
      </w:pPr>
      <w:r>
        <w:rPr>
          <w:b/>
          <w:sz w:val="20"/>
        </w:rPr>
        <w:t xml:space="preserve">Keywords: </w:t>
      </w:r>
      <w:r>
        <w:rPr>
          <w:sz w:val="20"/>
        </w:rPr>
        <w:t>Cigarette smoke TNF-α, CD8, MDA, GSH</w:t>
      </w:r>
    </w:p>
    <w:p w:rsidR="00A43496" w:rsidRDefault="00A43496">
      <w:pPr>
        <w:pStyle w:val="BodyText"/>
        <w:spacing w:before="5"/>
        <w:ind w:left="0"/>
        <w:jc w:val="left"/>
        <w:rPr>
          <w:sz w:val="13"/>
        </w:rPr>
      </w:pPr>
    </w:p>
    <w:p w:rsidR="00A43496" w:rsidRDefault="00A43496">
      <w:pPr>
        <w:rPr>
          <w:sz w:val="13"/>
        </w:rPr>
        <w:sectPr w:rsidR="00A43496">
          <w:headerReference w:type="default" r:id="rId9"/>
          <w:footerReference w:type="default" r:id="rId10"/>
          <w:type w:val="continuous"/>
          <w:pgSz w:w="12240" w:h="15840"/>
          <w:pgMar w:top="1020" w:right="1280" w:bottom="920" w:left="1280" w:header="740" w:footer="730" w:gutter="0"/>
          <w:pgNumType w:start="11"/>
          <w:cols w:space="720"/>
        </w:sectPr>
      </w:pPr>
    </w:p>
    <w:p w:rsidR="00A43496" w:rsidRDefault="00A43496">
      <w:pPr>
        <w:pStyle w:val="Heading1"/>
        <w:numPr>
          <w:ilvl w:val="0"/>
          <w:numId w:val="2"/>
        </w:numPr>
        <w:tabs>
          <w:tab w:val="left" w:pos="314"/>
        </w:tabs>
        <w:spacing w:before="81" w:line="228" w:lineRule="exact"/>
        <w:ind w:firstLine="0"/>
      </w:pPr>
      <w:r>
        <w:t>Introduction</w:t>
      </w:r>
    </w:p>
    <w:p w:rsidR="00A43496" w:rsidRDefault="00A43496" w:rsidP="00F81DE6">
      <w:pPr>
        <w:pStyle w:val="BodyText"/>
        <w:ind w:left="160" w:firstLine="427"/>
      </w:pPr>
      <w:r>
        <w:t xml:space="preserve">As it is </w:t>
      </w:r>
      <w:r>
        <w:rPr>
          <w:spacing w:val="-3"/>
        </w:rPr>
        <w:t xml:space="preserve">known </w:t>
      </w:r>
      <w:r>
        <w:t xml:space="preserve">cigarette smoking is associated with alterations </w:t>
      </w:r>
      <w:r>
        <w:rPr>
          <w:spacing w:val="-3"/>
        </w:rPr>
        <w:t xml:space="preserve">of </w:t>
      </w:r>
      <w:r>
        <w:t xml:space="preserve">body defenses whether weakening of the antioxidant defense systems </w:t>
      </w:r>
      <w:r>
        <w:rPr>
          <w:spacing w:val="-3"/>
        </w:rPr>
        <w:t xml:space="preserve">or </w:t>
      </w:r>
      <w:r>
        <w:t xml:space="preserve">disable the immune </w:t>
      </w:r>
      <w:r>
        <w:rPr>
          <w:spacing w:val="-3"/>
        </w:rPr>
        <w:t xml:space="preserve">system </w:t>
      </w:r>
      <w:r>
        <w:t xml:space="preserve">(Costenbader and Karlson, 2006). Many changes are result </w:t>
      </w:r>
      <w:r>
        <w:rPr>
          <w:spacing w:val="-3"/>
        </w:rPr>
        <w:t xml:space="preserve">of </w:t>
      </w:r>
      <w:r>
        <w:t xml:space="preserve">exposure to the negatively influence </w:t>
      </w:r>
      <w:r>
        <w:rPr>
          <w:spacing w:val="-3"/>
        </w:rPr>
        <w:t xml:space="preserve">of </w:t>
      </w:r>
      <w:r>
        <w:t xml:space="preserve">up to 4700 different baleful substances (Anonymous, 2014), </w:t>
      </w:r>
      <w:r>
        <w:rPr>
          <w:spacing w:val="-3"/>
        </w:rPr>
        <w:t xml:space="preserve">which </w:t>
      </w:r>
      <w:r>
        <w:t xml:space="preserve">leading to high production of cytokines like tumor necrosis factor α (TNF-α) (Borgerdingand Klus, 2005). Also characterized by proliferation numbers </w:t>
      </w:r>
      <w:r>
        <w:rPr>
          <w:spacing w:val="-3"/>
        </w:rPr>
        <w:t xml:space="preserve">of </w:t>
      </w:r>
      <w:r>
        <w:t xml:space="preserve">eosinophils, neutrophil, mast cells, and has </w:t>
      </w:r>
      <w:r>
        <w:rPr>
          <w:spacing w:val="-4"/>
        </w:rPr>
        <w:t xml:space="preserve">been </w:t>
      </w:r>
      <w:r>
        <w:t xml:space="preserve">associated with increased expression </w:t>
      </w:r>
      <w:r>
        <w:rPr>
          <w:spacing w:val="-3"/>
        </w:rPr>
        <w:t xml:space="preserve">of </w:t>
      </w:r>
      <w:r>
        <w:t xml:space="preserve">IL and high numbers </w:t>
      </w:r>
      <w:r>
        <w:rPr>
          <w:spacing w:val="-3"/>
        </w:rPr>
        <w:t xml:space="preserve">of </w:t>
      </w:r>
      <w:r>
        <w:t xml:space="preserve">lymphocytes such as CD8 and CD4 (Glader </w:t>
      </w:r>
      <w:r>
        <w:rPr>
          <w:i/>
        </w:rPr>
        <w:t>et al</w:t>
      </w:r>
      <w:r>
        <w:t xml:space="preserve">., 2006). Free radicals may </w:t>
      </w:r>
      <w:r>
        <w:rPr>
          <w:spacing w:val="-3"/>
        </w:rPr>
        <w:t xml:space="preserve">be </w:t>
      </w:r>
      <w:r>
        <w:t xml:space="preserve">produced by the human </w:t>
      </w:r>
      <w:r>
        <w:rPr>
          <w:spacing w:val="-4"/>
        </w:rPr>
        <w:t xml:space="preserve">body, </w:t>
      </w:r>
      <w:r>
        <w:t xml:space="preserve">for instance by neutrophils, which produce reactive oxygen species and reactive nitrogen species, with a high oxidizing </w:t>
      </w:r>
      <w:r>
        <w:rPr>
          <w:spacing w:val="-4"/>
        </w:rPr>
        <w:t xml:space="preserve">power </w:t>
      </w:r>
      <w:r>
        <w:t xml:space="preserve">(Cedergren </w:t>
      </w:r>
      <w:r>
        <w:rPr>
          <w:i/>
        </w:rPr>
        <w:t>et al</w:t>
      </w:r>
      <w:r>
        <w:t xml:space="preserve">., 2007). The accumulation </w:t>
      </w:r>
      <w:r>
        <w:rPr>
          <w:spacing w:val="-3"/>
        </w:rPr>
        <w:t xml:space="preserve">of </w:t>
      </w:r>
      <w:r>
        <w:t xml:space="preserve">free radicals leads to an altered oxidative status that may end in the oxidation and damage </w:t>
      </w:r>
      <w:r>
        <w:rPr>
          <w:spacing w:val="-3"/>
        </w:rPr>
        <w:t xml:space="preserve">of </w:t>
      </w:r>
      <w:r>
        <w:t xml:space="preserve">biomolecules such as lipids, proteins </w:t>
      </w:r>
      <w:r>
        <w:rPr>
          <w:spacing w:val="-3"/>
        </w:rPr>
        <w:t xml:space="preserve">or </w:t>
      </w:r>
      <w:r>
        <w:t xml:space="preserve">DNA (Valko </w:t>
      </w:r>
      <w:r>
        <w:rPr>
          <w:i/>
        </w:rPr>
        <w:t>et al.</w:t>
      </w:r>
      <w:r>
        <w:t xml:space="preserve">, 2007). </w:t>
      </w:r>
      <w:r>
        <w:rPr>
          <w:spacing w:val="-3"/>
        </w:rPr>
        <w:t xml:space="preserve">In </w:t>
      </w:r>
      <w:r>
        <w:t xml:space="preserve">addition </w:t>
      </w:r>
      <w:r>
        <w:rPr>
          <w:spacing w:val="-3"/>
        </w:rPr>
        <w:t xml:space="preserve">of </w:t>
      </w:r>
      <w:r>
        <w:t xml:space="preserve">smoking may enhance oxidative stress not only through the production </w:t>
      </w:r>
      <w:r>
        <w:rPr>
          <w:spacing w:val="-3"/>
        </w:rPr>
        <w:t xml:space="preserve">of </w:t>
      </w:r>
      <w:r>
        <w:t xml:space="preserve">reactive </w:t>
      </w:r>
      <w:r>
        <w:rPr>
          <w:spacing w:val="-3"/>
        </w:rPr>
        <w:t xml:space="preserve">oxygen </w:t>
      </w:r>
      <w:r>
        <w:t xml:space="preserve">radicals but also  through sapping </w:t>
      </w:r>
      <w:r>
        <w:rPr>
          <w:spacing w:val="-3"/>
        </w:rPr>
        <w:t xml:space="preserve">of </w:t>
      </w:r>
      <w:r>
        <w:t xml:space="preserve">the antioxidant defense systems (Surapaneniand and Venkataramana, 2007), and modification </w:t>
      </w:r>
      <w:r>
        <w:rPr>
          <w:spacing w:val="-3"/>
        </w:rPr>
        <w:t xml:space="preserve">of </w:t>
      </w:r>
      <w:r>
        <w:t xml:space="preserve">oxidative stress marker levels as (MDA) and (GSH), quite like to thecase </w:t>
      </w:r>
      <w:r>
        <w:rPr>
          <w:spacing w:val="-3"/>
        </w:rPr>
        <w:t xml:space="preserve">of </w:t>
      </w:r>
      <w:r>
        <w:t xml:space="preserve">infected with hurtful viral and bacteria, indicating to the state  of alert experienced by the body as a result </w:t>
      </w:r>
      <w:r>
        <w:rPr>
          <w:spacing w:val="-3"/>
        </w:rPr>
        <w:t xml:space="preserve">of </w:t>
      </w:r>
      <w:r>
        <w:t xml:space="preserve">exposure to these toxins (Mahapatra </w:t>
      </w:r>
      <w:r>
        <w:rPr>
          <w:i/>
        </w:rPr>
        <w:t>et al</w:t>
      </w:r>
      <w:r>
        <w:t xml:space="preserve">. 2008). Therefore, the principal aim </w:t>
      </w:r>
      <w:r>
        <w:rPr>
          <w:spacing w:val="-3"/>
        </w:rPr>
        <w:t xml:space="preserve">of </w:t>
      </w:r>
      <w:r>
        <w:t xml:space="preserve">our study </w:t>
      </w:r>
      <w:r>
        <w:rPr>
          <w:spacing w:val="-3"/>
        </w:rPr>
        <w:t xml:space="preserve">was </w:t>
      </w:r>
      <w:r>
        <w:t xml:space="preserve">to investigate the joint </w:t>
      </w:r>
      <w:r>
        <w:rPr>
          <w:spacing w:val="-3"/>
        </w:rPr>
        <w:t xml:space="preserve">effect </w:t>
      </w:r>
      <w:r>
        <w:t>of tobacco exposure and alteration the levels of TNF-α CD8, MDA and GSH</w:t>
      </w:r>
      <w:r>
        <w:rPr>
          <w:spacing w:val="-3"/>
        </w:rPr>
        <w:t xml:space="preserve"> </w:t>
      </w:r>
      <w:r>
        <w:t>in</w:t>
      </w:r>
    </w:p>
    <w:p w:rsidR="00A43496" w:rsidRDefault="00A43496">
      <w:pPr>
        <w:pStyle w:val="BodyText"/>
        <w:spacing w:before="76"/>
        <w:ind w:left="160" w:right="148"/>
      </w:pPr>
      <w:r>
        <w:br w:type="column"/>
        <w:t xml:space="preserve">blood of Iraqi smokers and variation </w:t>
      </w:r>
      <w:r>
        <w:rPr>
          <w:spacing w:val="-3"/>
        </w:rPr>
        <w:t xml:space="preserve">of  </w:t>
      </w:r>
      <w:r>
        <w:t xml:space="preserve">this  levels with the age </w:t>
      </w:r>
      <w:r>
        <w:rPr>
          <w:spacing w:val="-3"/>
        </w:rPr>
        <w:t xml:space="preserve">of </w:t>
      </w:r>
      <w:r>
        <w:t xml:space="preserve">smokers, duration </w:t>
      </w:r>
      <w:r>
        <w:rPr>
          <w:spacing w:val="-3"/>
        </w:rPr>
        <w:t xml:space="preserve">of </w:t>
      </w:r>
      <w:r>
        <w:t>smoking  and pack number consumption per day by</w:t>
      </w:r>
      <w:r>
        <w:rPr>
          <w:spacing w:val="-13"/>
        </w:rPr>
        <w:t xml:space="preserve"> </w:t>
      </w:r>
      <w:r>
        <w:t>smokers.</w:t>
      </w:r>
    </w:p>
    <w:p w:rsidR="00A43496" w:rsidRDefault="00A43496">
      <w:pPr>
        <w:pStyle w:val="BodyText"/>
        <w:spacing w:before="5"/>
        <w:ind w:left="0"/>
        <w:jc w:val="left"/>
      </w:pPr>
    </w:p>
    <w:p w:rsidR="00A43496" w:rsidRDefault="00A43496">
      <w:pPr>
        <w:pStyle w:val="Heading1"/>
        <w:numPr>
          <w:ilvl w:val="0"/>
          <w:numId w:val="2"/>
        </w:numPr>
        <w:tabs>
          <w:tab w:val="left" w:pos="362"/>
        </w:tabs>
        <w:spacing w:before="0"/>
        <w:ind w:right="2367" w:firstLine="0"/>
      </w:pPr>
      <w:r>
        <w:t>Materials and methods Subject</w:t>
      </w:r>
    </w:p>
    <w:p w:rsidR="00A43496" w:rsidRDefault="00A43496" w:rsidP="00056DAE">
      <w:pPr>
        <w:pStyle w:val="BodyText"/>
        <w:ind w:left="160" w:right="148" w:firstLine="427"/>
      </w:pPr>
      <w:r>
        <w:t xml:space="preserve">Eight ml of venous blood sample was obtained from 150 </w:t>
      </w:r>
      <w:r w:rsidRPr="00CA5D12">
        <w:t>volunteers</w:t>
      </w:r>
      <w:r>
        <w:t xml:space="preserve"> of heavy smokers for at less one pack per day and a period of not less than 5 years and 50 </w:t>
      </w:r>
      <w:r w:rsidRPr="00CA5D12">
        <w:t>volunteers</w:t>
      </w:r>
      <w:r>
        <w:t xml:space="preserve"> of non-smokers as control, each sample was divided in to two parts, first 4 ml were collected with EDTA anticoagulant tubes and centrifuged at 1000 x g for 10 min at 4°C, then transferred the top plasma layer to a new tube stored at -20°C for measurement malondialdehyde (MDA) and glutathione (GSH). Another 4 ml of blood were put into a vacationer sterile tube, let to stand for two hours at room temperature, then centrifuged at 3000 rpm for 5 minutes, serum separated, removed and kept at −20°C until required.</w:t>
      </w:r>
    </w:p>
    <w:p w:rsidR="00A43496" w:rsidRDefault="00A43496">
      <w:pPr>
        <w:pStyle w:val="Heading1"/>
        <w:spacing w:before="5" w:line="228" w:lineRule="exact"/>
        <w:jc w:val="both"/>
      </w:pPr>
      <w:r>
        <w:t>Measurement of CD8 and TNF-α levels</w:t>
      </w:r>
    </w:p>
    <w:p w:rsidR="00A43496" w:rsidRDefault="00A43496" w:rsidP="004468F9">
      <w:pPr>
        <w:pStyle w:val="BodyText"/>
        <w:ind w:left="160" w:right="148" w:hanging="50"/>
      </w:pPr>
      <w:r>
        <w:t xml:space="preserve">    The levels of TNF-α and CD8 were measured by Enzyme-Linked Immunosorbent assay (ELISA) technique. using TNF-α ELISA kit (Invitrogen. </w:t>
      </w:r>
      <w:smartTag w:uri="urn:schemas-microsoft-com:office:smarttags" w:element="City">
        <w:smartTag w:uri="urn:schemas-microsoft-com:office:smarttags" w:element="country-region">
          <w:smartTag w:uri="urn:schemas-microsoft-com:office:smarttags" w:element="place">
            <w:r>
              <w:t>USA</w:t>
            </w:r>
          </w:smartTag>
        </w:smartTag>
      </w:smartTag>
      <w:r>
        <w:t xml:space="preserve">) and CD8 ELISA Kit (My bio source. </w:t>
      </w:r>
      <w:smartTag w:uri="urn:schemas-microsoft-com:office:smarttags" w:element="City">
        <w:smartTag w:uri="urn:schemas-microsoft-com:office:smarttags" w:element="country-region">
          <w:smartTag w:uri="urn:schemas-microsoft-com:office:smarttags" w:element="place">
            <w:r>
              <w:t>USA</w:t>
            </w:r>
          </w:smartTag>
        </w:smartTag>
      </w:smartTag>
      <w:r>
        <w:t xml:space="preserve">), according to Pegram </w:t>
      </w:r>
      <w:r>
        <w:rPr>
          <w:i/>
        </w:rPr>
        <w:t>et al</w:t>
      </w:r>
      <w:r>
        <w:t>.</w:t>
      </w:r>
      <w:r w:rsidRPr="0049341B">
        <w:t xml:space="preserve"> </w:t>
      </w:r>
      <w:r>
        <w:t>(2015) and Aukrust (1994) respectively. The levels were measured in nanogram and picogram / ml,</w:t>
      </w:r>
      <w:r w:rsidRPr="00A34FE3">
        <w:t xml:space="preserve"> </w:t>
      </w:r>
      <w:r w:rsidRPr="000C67D5">
        <w:t>normal values</w:t>
      </w:r>
      <w:r>
        <w:t xml:space="preserve"> of</w:t>
      </w:r>
      <w:r w:rsidRPr="004468F9">
        <w:t xml:space="preserve"> </w:t>
      </w:r>
      <w:r>
        <w:t>TNF-α</w:t>
      </w:r>
      <w:r w:rsidRPr="00A34FE3">
        <w:t xml:space="preserve"> </w:t>
      </w:r>
      <w:r>
        <w:t>and</w:t>
      </w:r>
      <w:r w:rsidRPr="004468F9">
        <w:t xml:space="preserve"> </w:t>
      </w:r>
      <w:r>
        <w:t>CD8</w:t>
      </w:r>
      <w:r w:rsidRPr="00A34FE3">
        <w:t xml:space="preserve"> </w:t>
      </w:r>
      <w:r>
        <w:t>are</w:t>
      </w:r>
      <w:r w:rsidRPr="000C67D5">
        <w:t xml:space="preserve"> </w:t>
      </w:r>
      <w:r>
        <w:t>(</w:t>
      </w:r>
      <w:r w:rsidRPr="000C67D5">
        <w:t>12.5-21.5</w:t>
      </w:r>
      <w:r>
        <w:t>)</w:t>
      </w:r>
      <w:r w:rsidRPr="004468F9">
        <w:t xml:space="preserve"> </w:t>
      </w:r>
      <w:r>
        <w:t>and (</w:t>
      </w:r>
      <w:r w:rsidRPr="000C67D5">
        <w:t>35.4-65.4</w:t>
      </w:r>
      <w:r>
        <w:t>) respectively.</w:t>
      </w:r>
    </w:p>
    <w:p w:rsidR="00A43496" w:rsidRDefault="00A43496" w:rsidP="00A34FE3">
      <w:pPr>
        <w:pStyle w:val="BodyText"/>
        <w:spacing w:line="242" w:lineRule="auto"/>
        <w:ind w:left="0" w:right="145"/>
        <w:rPr>
          <w:b/>
        </w:rPr>
      </w:pPr>
      <w:r>
        <w:rPr>
          <w:b/>
        </w:rPr>
        <w:t xml:space="preserve">     Measurement of MDA:</w:t>
      </w:r>
    </w:p>
    <w:p w:rsidR="00A43496" w:rsidRDefault="00A43496" w:rsidP="00F57285">
      <w:pPr>
        <w:pStyle w:val="BodyText"/>
        <w:spacing w:before="1"/>
        <w:ind w:left="160" w:right="145" w:hanging="50"/>
      </w:pPr>
      <w:r>
        <w:t xml:space="preserve">    Malondialdehyde (MDA) </w:t>
      </w:r>
      <w:r>
        <w:rPr>
          <w:spacing w:val="-3"/>
        </w:rPr>
        <w:t xml:space="preserve">was </w:t>
      </w:r>
      <w:r>
        <w:t xml:space="preserve">measured using  thiobarbituric acid (TBA) and MDA assay kit (abcam. </w:t>
      </w:r>
      <w:smartTag w:uri="urn:schemas-microsoft-com:office:smarttags" w:element="City">
        <w:smartTag w:uri="urn:schemas-microsoft-com:office:smarttags" w:element="country-region">
          <w:smartTag w:uri="urn:schemas-microsoft-com:office:smarttags" w:element="place">
            <w:r>
              <w:rPr>
                <w:spacing w:val="-3"/>
              </w:rPr>
              <w:t>USA</w:t>
            </w:r>
          </w:smartTag>
        </w:smartTag>
      </w:smartTag>
      <w:r>
        <w:rPr>
          <w:spacing w:val="-3"/>
        </w:rPr>
        <w:t xml:space="preserve">) </w:t>
      </w:r>
      <w:r>
        <w:t>according to Qiao</w:t>
      </w:r>
      <w:r>
        <w:rPr>
          <w:spacing w:val="7"/>
        </w:rPr>
        <w:t xml:space="preserve"> </w:t>
      </w:r>
      <w:r>
        <w:t>(2016),for</w:t>
      </w:r>
      <w:r w:rsidRPr="0049341B">
        <w:t xml:space="preserve"> </w:t>
      </w:r>
      <w:r>
        <w:t>blank, water was used instead of the sample. The levels were measured in nmol/ml,</w:t>
      </w:r>
      <w:r w:rsidRPr="00D47909">
        <w:t xml:space="preserve"> </w:t>
      </w:r>
      <w:r w:rsidRPr="008A203A">
        <w:t xml:space="preserve">normal values </w:t>
      </w:r>
      <w:r>
        <w:t>(</w:t>
      </w:r>
      <w:r w:rsidRPr="008A203A">
        <w:t>6.5-15.5</w:t>
      </w:r>
      <w:r>
        <w:t>).</w:t>
      </w:r>
      <w:r>
        <w:rPr>
          <w:b/>
          <w:bCs/>
          <w:sz w:val="24"/>
          <w:szCs w:val="24"/>
        </w:rPr>
        <w:t xml:space="preserve"> </w:t>
      </w:r>
      <w:r w:rsidRPr="001D677E">
        <w:rPr>
          <w:b/>
          <w:bCs/>
          <w:sz w:val="24"/>
          <w:szCs w:val="24"/>
        </w:rPr>
        <w:t xml:space="preserve"> </w:t>
      </w:r>
    </w:p>
    <w:p w:rsidR="00A43496" w:rsidRDefault="00A43496">
      <w:pPr>
        <w:sectPr w:rsidR="00A43496">
          <w:type w:val="continuous"/>
          <w:pgSz w:w="12240" w:h="15840"/>
          <w:pgMar w:top="1020" w:right="1280" w:bottom="920" w:left="1280" w:header="720" w:footer="720" w:gutter="0"/>
          <w:cols w:num="2" w:space="720" w:equalWidth="0">
            <w:col w:w="4549" w:space="433"/>
            <w:col w:w="4698"/>
          </w:cols>
        </w:sectPr>
      </w:pPr>
    </w:p>
    <w:p w:rsidR="00A43496" w:rsidRDefault="00A43496">
      <w:pPr>
        <w:pStyle w:val="BodyText"/>
        <w:spacing w:before="6"/>
        <w:ind w:left="0"/>
        <w:jc w:val="left"/>
        <w:rPr>
          <w:sz w:val="28"/>
        </w:rPr>
      </w:pPr>
    </w:p>
    <w:p w:rsidR="00A43496" w:rsidRDefault="00A43496">
      <w:pPr>
        <w:rPr>
          <w:sz w:val="28"/>
        </w:rPr>
        <w:sectPr w:rsidR="00A43496">
          <w:pgSz w:w="12240" w:h="15840"/>
          <w:pgMar w:top="1020" w:right="1220" w:bottom="920" w:left="1220" w:header="740" w:footer="730" w:gutter="0"/>
          <w:cols w:space="720"/>
        </w:sectPr>
      </w:pPr>
    </w:p>
    <w:p w:rsidR="00A43496" w:rsidRDefault="00A43496">
      <w:pPr>
        <w:pStyle w:val="Heading1"/>
        <w:spacing w:before="75" w:line="228" w:lineRule="exact"/>
        <w:ind w:left="220"/>
      </w:pPr>
      <w:r>
        <w:t>Measurement of glutathione (GSH):</w:t>
      </w:r>
    </w:p>
    <w:p w:rsidR="00A43496" w:rsidRDefault="00A43496" w:rsidP="00D47909">
      <w:pPr>
        <w:pStyle w:val="BodyText"/>
        <w:ind w:left="220" w:firstLine="427"/>
      </w:pPr>
      <w:r>
        <w:t xml:space="preserve">Measurement of GSH concentration was done by DTNB using GSH assay kit (Abnova-Taiwan) according to </w:t>
      </w:r>
      <w:smartTag w:uri="urn:schemas-microsoft-com:office:smarttags" w:element="City">
        <w:smartTag w:uri="urn:schemas-microsoft-com:office:smarttags" w:element="place">
          <w:r>
            <w:t>Anderson</w:t>
          </w:r>
        </w:smartTag>
      </w:smartTag>
      <w:r>
        <w:t xml:space="preserve"> (1996) for blank, water was used instead of the sample. The levels were measured in mM/ml,</w:t>
      </w:r>
      <w:r w:rsidRPr="00D47909">
        <w:t xml:space="preserve"> </w:t>
      </w:r>
      <w:r w:rsidRPr="008A203A">
        <w:t xml:space="preserve">normal values </w:t>
      </w:r>
      <w:r>
        <w:t>(</w:t>
      </w:r>
      <w:r w:rsidRPr="008A203A">
        <w:t>10.5-18.5</w:t>
      </w:r>
      <w:r>
        <w:t>).</w:t>
      </w:r>
    </w:p>
    <w:p w:rsidR="00A43496" w:rsidRDefault="00A43496">
      <w:pPr>
        <w:pStyle w:val="BodyText"/>
        <w:ind w:left="0"/>
        <w:jc w:val="left"/>
      </w:pPr>
    </w:p>
    <w:p w:rsidR="00A43496" w:rsidRPr="00C37AAE" w:rsidRDefault="00A43496" w:rsidP="005F3528">
      <w:pPr>
        <w:pStyle w:val="Heading1"/>
        <w:numPr>
          <w:ilvl w:val="0"/>
          <w:numId w:val="2"/>
        </w:numPr>
        <w:tabs>
          <w:tab w:val="left" w:pos="427"/>
        </w:tabs>
        <w:spacing w:before="0" w:line="228" w:lineRule="exact"/>
        <w:ind w:left="426" w:hanging="206"/>
      </w:pPr>
      <w:r>
        <w:t>Statistical</w:t>
      </w:r>
      <w:r>
        <w:rPr>
          <w:spacing w:val="-5"/>
        </w:rPr>
        <w:t xml:space="preserve"> </w:t>
      </w:r>
      <w:r>
        <w:t>analysis</w:t>
      </w:r>
    </w:p>
    <w:p w:rsidR="00A43496" w:rsidRPr="005F3528" w:rsidRDefault="00A43496" w:rsidP="00C44E0B">
      <w:pPr>
        <w:pStyle w:val="BodyText"/>
        <w:ind w:left="0"/>
        <w:rPr>
          <w:b/>
          <w:bCs/>
        </w:rPr>
      </w:pPr>
      <w:r w:rsidRPr="00C37AAE">
        <w:t xml:space="preserve">     The Statistical Analysis System- SAS (2012) program was used to</w:t>
      </w:r>
      <w:r>
        <w:t xml:space="preserve"> measure the</w:t>
      </w:r>
      <w:r w:rsidRPr="00C37AAE">
        <w:t xml:space="preserve"> effect of difference factors in study parameters</w:t>
      </w:r>
      <w:r>
        <w:t>.</w:t>
      </w:r>
      <w:r w:rsidRPr="00C37AAE">
        <w:t xml:space="preserve"> Least significant difference –LSD test (ANOVA) was used to significant compare between means</w:t>
      </w:r>
      <w:r w:rsidRPr="005F3528">
        <w:t xml:space="preserve"> </w:t>
      </w:r>
      <w:r w:rsidRPr="00B32473">
        <w:t xml:space="preserve">in order to evaluate the significance of variability between </w:t>
      </w:r>
      <w:r>
        <w:t>smoker</w:t>
      </w:r>
      <w:r w:rsidRPr="00B32473">
        <w:t xml:space="preserve"> and </w:t>
      </w:r>
      <w:r>
        <w:t xml:space="preserve">non smoker (control) </w:t>
      </w:r>
      <w:r w:rsidRPr="00B32473">
        <w:t>groups</w:t>
      </w:r>
      <w:r>
        <w:t xml:space="preserve"> </w:t>
      </w:r>
      <w:r w:rsidRPr="00B32473">
        <w:t xml:space="preserve"> </w:t>
      </w:r>
      <w:r w:rsidRPr="00C37AAE">
        <w:t>(P&lt;0.01)</w:t>
      </w:r>
      <w:r w:rsidRPr="00B32473">
        <w:t xml:space="preserve"> significant</w:t>
      </w:r>
      <w:r>
        <w:t>,</w:t>
      </w:r>
      <w:r w:rsidRPr="00B32473">
        <w:t xml:space="preserve"> </w:t>
      </w:r>
      <w:r>
        <w:t>t</w:t>
      </w:r>
      <w:r w:rsidRPr="00B32473">
        <w:t xml:space="preserve">he data were presented in simple measure of mean ± SD (standard deviation). </w:t>
      </w:r>
      <w:r>
        <w:br w:type="column"/>
      </w:r>
      <w:r>
        <w:rPr>
          <w:b/>
          <w:bCs/>
        </w:rPr>
        <w:t>4.</w:t>
      </w:r>
      <w:r w:rsidRPr="005F3528">
        <w:rPr>
          <w:b/>
          <w:bCs/>
        </w:rPr>
        <w:t>Results</w:t>
      </w:r>
    </w:p>
    <w:p w:rsidR="00A43496" w:rsidRDefault="00A43496" w:rsidP="00594283">
      <w:pPr>
        <w:pStyle w:val="BodyText"/>
        <w:ind w:left="220" w:right="207" w:firstLine="427"/>
      </w:pPr>
      <w:r>
        <w:t xml:space="preserve">The results </w:t>
      </w:r>
      <w:r>
        <w:rPr>
          <w:spacing w:val="-4"/>
        </w:rPr>
        <w:t xml:space="preserve">showed </w:t>
      </w:r>
      <w:r>
        <w:t xml:space="preserve">significant changes </w:t>
      </w:r>
      <w:r w:rsidRPr="00C37AAE">
        <w:t>(P&lt;0.01)</w:t>
      </w:r>
      <w:r>
        <w:t xml:space="preserve"> in levels </w:t>
      </w:r>
      <w:r>
        <w:rPr>
          <w:spacing w:val="-3"/>
        </w:rPr>
        <w:t xml:space="preserve">of </w:t>
      </w:r>
      <w:r>
        <w:t xml:space="preserve">TNF-α, CD8, MDA and GSH between all smoker groups when compared with non smokers, and these levels varied association with the age </w:t>
      </w:r>
      <w:r>
        <w:rPr>
          <w:spacing w:val="-3"/>
        </w:rPr>
        <w:t xml:space="preserve">of </w:t>
      </w:r>
      <w:r>
        <w:t xml:space="preserve">smokers, duration </w:t>
      </w:r>
      <w:r>
        <w:rPr>
          <w:spacing w:val="-3"/>
        </w:rPr>
        <w:t xml:space="preserve">of </w:t>
      </w:r>
      <w:r>
        <w:t xml:space="preserve">smoking and  pack number  consumption by smokers as </w:t>
      </w:r>
      <w:r>
        <w:rPr>
          <w:spacing w:val="-3"/>
        </w:rPr>
        <w:t xml:space="preserve">shown </w:t>
      </w:r>
      <w:r>
        <w:t xml:space="preserve">in tables </w:t>
      </w:r>
      <w:r>
        <w:rPr>
          <w:spacing w:val="-3"/>
        </w:rPr>
        <w:t xml:space="preserve">below,  </w:t>
      </w:r>
      <w:r>
        <w:t xml:space="preserve">when  </w:t>
      </w:r>
      <w:r>
        <w:rPr>
          <w:spacing w:val="-4"/>
        </w:rPr>
        <w:t xml:space="preserve">it was </w:t>
      </w:r>
      <w:r>
        <w:t xml:space="preserve">studied the relationship </w:t>
      </w:r>
      <w:r>
        <w:rPr>
          <w:spacing w:val="-4"/>
        </w:rPr>
        <w:t xml:space="preserve">between </w:t>
      </w:r>
      <w:r>
        <w:t xml:space="preserve">the age and smoking, the results </w:t>
      </w:r>
      <w:r>
        <w:rPr>
          <w:spacing w:val="-4"/>
        </w:rPr>
        <w:t xml:space="preserve">showed </w:t>
      </w:r>
      <w:r>
        <w:t xml:space="preserve">significant alterations </w:t>
      </w:r>
      <w:r w:rsidRPr="00C37AAE">
        <w:t>(P&lt;0.01)</w:t>
      </w:r>
      <w:r>
        <w:t xml:space="preserve"> in levels </w:t>
      </w:r>
      <w:r>
        <w:rPr>
          <w:spacing w:val="-3"/>
        </w:rPr>
        <w:t xml:space="preserve">of </w:t>
      </w:r>
      <w:r>
        <w:t xml:space="preserve">TNF-α and </w:t>
      </w:r>
      <w:r>
        <w:rPr>
          <w:spacing w:val="-3"/>
        </w:rPr>
        <w:t xml:space="preserve">CD8 </w:t>
      </w:r>
      <w:r>
        <w:t xml:space="preserve">among age groups. As  shown in tables (1,2), the age group (26-35) </w:t>
      </w:r>
      <w:r>
        <w:rPr>
          <w:spacing w:val="-3"/>
        </w:rPr>
        <w:t xml:space="preserve">years </w:t>
      </w:r>
      <w:r>
        <w:t xml:space="preserve">showed a high levels than </w:t>
      </w:r>
      <w:r>
        <w:rPr>
          <w:spacing w:val="-3"/>
        </w:rPr>
        <w:t xml:space="preserve">other </w:t>
      </w:r>
      <w:r>
        <w:t>smokers groups. Otherwise, all smoker groups showed  significant changes when it was compared with control</w:t>
      </w:r>
      <w:r>
        <w:rPr>
          <w:spacing w:val="-12"/>
        </w:rPr>
        <w:t xml:space="preserve"> </w:t>
      </w:r>
      <w:r>
        <w:t>group.</w:t>
      </w:r>
    </w:p>
    <w:p w:rsidR="00A43496" w:rsidRDefault="00A43496">
      <w:pPr>
        <w:sectPr w:rsidR="00A43496">
          <w:type w:val="continuous"/>
          <w:pgSz w:w="12240" w:h="15840"/>
          <w:pgMar w:top="1020" w:right="1220" w:bottom="920" w:left="1220" w:header="720" w:footer="720" w:gutter="0"/>
          <w:cols w:num="2" w:space="720" w:equalWidth="0">
            <w:col w:w="4608" w:space="375"/>
            <w:col w:w="4817"/>
          </w:cols>
        </w:sectPr>
      </w:pPr>
    </w:p>
    <w:p w:rsidR="00A43496" w:rsidRDefault="00A43496">
      <w:pPr>
        <w:pStyle w:val="BodyText"/>
        <w:spacing w:before="5"/>
        <w:ind w:left="0"/>
        <w:jc w:val="left"/>
        <w:rPr>
          <w:sz w:val="13"/>
        </w:rPr>
      </w:pPr>
    </w:p>
    <w:p w:rsidR="00A43496" w:rsidRPr="00767715" w:rsidRDefault="00A43496" w:rsidP="00F57285">
      <w:pPr>
        <w:spacing w:before="75"/>
        <w:ind w:left="330"/>
        <w:rPr>
          <w:b/>
          <w:bCs/>
          <w:sz w:val="20"/>
          <w:szCs w:val="20"/>
        </w:rPr>
      </w:pPr>
      <w:r w:rsidRPr="00767715">
        <w:rPr>
          <w:b/>
          <w:bCs/>
          <w:sz w:val="20"/>
          <w:szCs w:val="20"/>
        </w:rPr>
        <w:t xml:space="preserve">Table (1): Effect of age on smoker TNF- α levels, </w:t>
      </w:r>
      <w:r w:rsidRPr="00767715">
        <w:rPr>
          <w:b/>
          <w:bCs/>
          <w:color w:val="000000"/>
          <w:sz w:val="20"/>
          <w:szCs w:val="20"/>
        </w:rPr>
        <w:t xml:space="preserve">values are mean ± </w:t>
      </w:r>
      <w:r w:rsidRPr="00767715">
        <w:rPr>
          <w:b/>
          <w:bCs/>
          <w:sz w:val="20"/>
          <w:szCs w:val="20"/>
        </w:rPr>
        <w:t xml:space="preserve">SD </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0"/>
        <w:gridCol w:w="1594"/>
        <w:gridCol w:w="2030"/>
        <w:gridCol w:w="2136"/>
        <w:gridCol w:w="2030"/>
      </w:tblGrid>
      <w:tr w:rsidR="00A43496" w:rsidRPr="00767715">
        <w:trPr>
          <w:trHeight w:hRule="exact" w:val="240"/>
        </w:trPr>
        <w:tc>
          <w:tcPr>
            <w:tcW w:w="1790" w:type="dxa"/>
          </w:tcPr>
          <w:p w:rsidR="00A43496" w:rsidRPr="00767715" w:rsidRDefault="00A43496">
            <w:pPr>
              <w:pStyle w:val="TableParagraph"/>
              <w:rPr>
                <w:sz w:val="20"/>
                <w:szCs w:val="20"/>
              </w:rPr>
            </w:pPr>
            <w:r w:rsidRPr="00767715">
              <w:rPr>
                <w:sz w:val="20"/>
                <w:szCs w:val="20"/>
              </w:rPr>
              <w:t>Age groups</w:t>
            </w:r>
          </w:p>
        </w:tc>
        <w:tc>
          <w:tcPr>
            <w:tcW w:w="1594" w:type="dxa"/>
          </w:tcPr>
          <w:p w:rsidR="00A43496" w:rsidRPr="00767715" w:rsidRDefault="00A43496">
            <w:pPr>
              <w:pStyle w:val="TableParagraph"/>
              <w:rPr>
                <w:sz w:val="20"/>
                <w:szCs w:val="20"/>
              </w:rPr>
            </w:pPr>
            <w:r w:rsidRPr="00767715">
              <w:rPr>
                <w:sz w:val="20"/>
                <w:szCs w:val="20"/>
              </w:rPr>
              <w:t>No.</w:t>
            </w:r>
            <w:r>
              <w:rPr>
                <w:sz w:val="20"/>
                <w:szCs w:val="20"/>
              </w:rPr>
              <w:t xml:space="preserve"> of</w:t>
            </w:r>
            <w:r w:rsidRPr="00767715">
              <w:rPr>
                <w:sz w:val="20"/>
                <w:szCs w:val="20"/>
              </w:rPr>
              <w:t xml:space="preserve"> smoker</w:t>
            </w:r>
          </w:p>
        </w:tc>
        <w:tc>
          <w:tcPr>
            <w:tcW w:w="2030" w:type="dxa"/>
          </w:tcPr>
          <w:p w:rsidR="00A43496" w:rsidRPr="00767715" w:rsidRDefault="00A43496">
            <w:pPr>
              <w:pStyle w:val="TableParagraph"/>
              <w:rPr>
                <w:sz w:val="20"/>
                <w:szCs w:val="20"/>
              </w:rPr>
            </w:pPr>
            <w:r w:rsidRPr="00767715">
              <w:rPr>
                <w:sz w:val="20"/>
                <w:szCs w:val="20"/>
              </w:rPr>
              <w:t>TNF- α (pg/ml)</w:t>
            </w:r>
          </w:p>
        </w:tc>
        <w:tc>
          <w:tcPr>
            <w:tcW w:w="2136" w:type="dxa"/>
          </w:tcPr>
          <w:p w:rsidR="00A43496" w:rsidRPr="00767715" w:rsidRDefault="00A43496">
            <w:pPr>
              <w:pStyle w:val="TableParagraph"/>
              <w:ind w:left="100"/>
              <w:rPr>
                <w:sz w:val="20"/>
                <w:szCs w:val="20"/>
              </w:rPr>
            </w:pPr>
            <w:r w:rsidRPr="00767715">
              <w:rPr>
                <w:sz w:val="20"/>
                <w:szCs w:val="20"/>
              </w:rPr>
              <w:t>No.</w:t>
            </w:r>
            <w:r>
              <w:rPr>
                <w:sz w:val="20"/>
                <w:szCs w:val="20"/>
              </w:rPr>
              <w:t xml:space="preserve"> of</w:t>
            </w:r>
            <w:r w:rsidRPr="00767715">
              <w:rPr>
                <w:sz w:val="20"/>
                <w:szCs w:val="20"/>
              </w:rPr>
              <w:t xml:space="preserve"> </w:t>
            </w:r>
            <w:r>
              <w:rPr>
                <w:sz w:val="20"/>
                <w:szCs w:val="20"/>
              </w:rPr>
              <w:t>n</w:t>
            </w:r>
            <w:r w:rsidRPr="00767715">
              <w:rPr>
                <w:sz w:val="20"/>
                <w:szCs w:val="20"/>
              </w:rPr>
              <w:t>on smoker</w:t>
            </w:r>
          </w:p>
        </w:tc>
        <w:tc>
          <w:tcPr>
            <w:tcW w:w="2030" w:type="dxa"/>
          </w:tcPr>
          <w:p w:rsidR="00A43496" w:rsidRPr="00767715" w:rsidRDefault="00A43496">
            <w:pPr>
              <w:pStyle w:val="TableParagraph"/>
              <w:rPr>
                <w:sz w:val="20"/>
                <w:szCs w:val="20"/>
              </w:rPr>
            </w:pPr>
            <w:r w:rsidRPr="00767715">
              <w:rPr>
                <w:sz w:val="20"/>
                <w:szCs w:val="20"/>
              </w:rPr>
              <w:t>TNF- α (pg/ml)</w:t>
            </w:r>
          </w:p>
        </w:tc>
      </w:tr>
      <w:tr w:rsidR="00A43496" w:rsidRPr="00767715">
        <w:trPr>
          <w:trHeight w:hRule="exact" w:val="240"/>
        </w:trPr>
        <w:tc>
          <w:tcPr>
            <w:tcW w:w="1790" w:type="dxa"/>
          </w:tcPr>
          <w:p w:rsidR="00A43496" w:rsidRPr="00767715" w:rsidRDefault="00A43496">
            <w:pPr>
              <w:pStyle w:val="TableParagraph"/>
              <w:rPr>
                <w:sz w:val="20"/>
                <w:szCs w:val="20"/>
              </w:rPr>
            </w:pPr>
            <w:r w:rsidRPr="00767715">
              <w:rPr>
                <w:sz w:val="20"/>
                <w:szCs w:val="20"/>
              </w:rPr>
              <w:t>14-25</w:t>
            </w:r>
          </w:p>
        </w:tc>
        <w:tc>
          <w:tcPr>
            <w:tcW w:w="1594" w:type="dxa"/>
          </w:tcPr>
          <w:p w:rsidR="00A43496" w:rsidRPr="00767715" w:rsidRDefault="00A43496">
            <w:pPr>
              <w:pStyle w:val="TableParagraph"/>
              <w:rPr>
                <w:sz w:val="20"/>
                <w:szCs w:val="20"/>
              </w:rPr>
            </w:pPr>
            <w:r w:rsidRPr="00767715">
              <w:rPr>
                <w:sz w:val="20"/>
                <w:szCs w:val="20"/>
              </w:rPr>
              <w:t>19</w:t>
            </w:r>
          </w:p>
        </w:tc>
        <w:tc>
          <w:tcPr>
            <w:tcW w:w="2030" w:type="dxa"/>
          </w:tcPr>
          <w:p w:rsidR="00A43496" w:rsidRPr="00767715" w:rsidRDefault="00A43496">
            <w:pPr>
              <w:pStyle w:val="TableParagraph"/>
              <w:rPr>
                <w:sz w:val="20"/>
                <w:szCs w:val="20"/>
              </w:rPr>
            </w:pPr>
            <w:r w:rsidRPr="00767715">
              <w:rPr>
                <w:sz w:val="20"/>
                <w:szCs w:val="20"/>
              </w:rPr>
              <w:t>20.75 ± 3.67</w:t>
            </w:r>
          </w:p>
        </w:tc>
        <w:tc>
          <w:tcPr>
            <w:tcW w:w="2136" w:type="dxa"/>
          </w:tcPr>
          <w:p w:rsidR="00A43496" w:rsidRPr="00767715" w:rsidRDefault="00A43496">
            <w:pPr>
              <w:pStyle w:val="TableParagraph"/>
              <w:ind w:left="100"/>
              <w:rPr>
                <w:sz w:val="20"/>
                <w:szCs w:val="20"/>
              </w:rPr>
            </w:pPr>
            <w:r w:rsidRPr="00767715">
              <w:rPr>
                <w:sz w:val="20"/>
                <w:szCs w:val="20"/>
              </w:rPr>
              <w:t>6</w:t>
            </w:r>
          </w:p>
        </w:tc>
        <w:tc>
          <w:tcPr>
            <w:tcW w:w="2030" w:type="dxa"/>
          </w:tcPr>
          <w:p w:rsidR="00A43496" w:rsidRPr="00767715" w:rsidRDefault="00A43496">
            <w:pPr>
              <w:pStyle w:val="TableParagraph"/>
              <w:rPr>
                <w:sz w:val="20"/>
                <w:szCs w:val="20"/>
              </w:rPr>
            </w:pPr>
            <w:r w:rsidRPr="00767715">
              <w:rPr>
                <w:sz w:val="20"/>
                <w:szCs w:val="20"/>
              </w:rPr>
              <w:t xml:space="preserve">13.57 ± 1.26 </w:t>
            </w:r>
          </w:p>
        </w:tc>
      </w:tr>
      <w:tr w:rsidR="00A43496" w:rsidRPr="00767715">
        <w:trPr>
          <w:trHeight w:hRule="exact" w:val="240"/>
        </w:trPr>
        <w:tc>
          <w:tcPr>
            <w:tcW w:w="1790" w:type="dxa"/>
          </w:tcPr>
          <w:p w:rsidR="00A43496" w:rsidRPr="00767715" w:rsidRDefault="00A43496">
            <w:pPr>
              <w:pStyle w:val="TableParagraph"/>
              <w:rPr>
                <w:sz w:val="20"/>
                <w:szCs w:val="20"/>
              </w:rPr>
            </w:pPr>
            <w:r w:rsidRPr="00767715">
              <w:rPr>
                <w:sz w:val="20"/>
                <w:szCs w:val="20"/>
              </w:rPr>
              <w:t>26-35</w:t>
            </w:r>
          </w:p>
        </w:tc>
        <w:tc>
          <w:tcPr>
            <w:tcW w:w="1594" w:type="dxa"/>
          </w:tcPr>
          <w:p w:rsidR="00A43496" w:rsidRPr="00767715" w:rsidRDefault="00A43496">
            <w:pPr>
              <w:pStyle w:val="TableParagraph"/>
              <w:rPr>
                <w:sz w:val="20"/>
                <w:szCs w:val="20"/>
              </w:rPr>
            </w:pPr>
            <w:r w:rsidRPr="00767715">
              <w:rPr>
                <w:sz w:val="20"/>
                <w:szCs w:val="20"/>
              </w:rPr>
              <w:t>32</w:t>
            </w:r>
          </w:p>
        </w:tc>
        <w:tc>
          <w:tcPr>
            <w:tcW w:w="2030" w:type="dxa"/>
          </w:tcPr>
          <w:p w:rsidR="00A43496" w:rsidRPr="00767715" w:rsidRDefault="00A43496">
            <w:pPr>
              <w:pStyle w:val="TableParagraph"/>
              <w:rPr>
                <w:sz w:val="20"/>
                <w:szCs w:val="20"/>
              </w:rPr>
            </w:pPr>
            <w:r w:rsidRPr="00767715">
              <w:rPr>
                <w:sz w:val="20"/>
                <w:szCs w:val="20"/>
              </w:rPr>
              <w:t>39.39 ± 4.25</w:t>
            </w:r>
          </w:p>
        </w:tc>
        <w:tc>
          <w:tcPr>
            <w:tcW w:w="2136" w:type="dxa"/>
          </w:tcPr>
          <w:p w:rsidR="00A43496" w:rsidRPr="00767715" w:rsidRDefault="00A43496">
            <w:pPr>
              <w:pStyle w:val="TableParagraph"/>
              <w:ind w:left="100"/>
              <w:rPr>
                <w:sz w:val="20"/>
                <w:szCs w:val="20"/>
              </w:rPr>
            </w:pPr>
            <w:r w:rsidRPr="00767715">
              <w:rPr>
                <w:sz w:val="20"/>
                <w:szCs w:val="20"/>
              </w:rPr>
              <w:t>5</w:t>
            </w:r>
          </w:p>
        </w:tc>
        <w:tc>
          <w:tcPr>
            <w:tcW w:w="2030" w:type="dxa"/>
          </w:tcPr>
          <w:p w:rsidR="00A43496" w:rsidRPr="00767715" w:rsidRDefault="00A43496">
            <w:pPr>
              <w:pStyle w:val="TableParagraph"/>
              <w:rPr>
                <w:sz w:val="20"/>
                <w:szCs w:val="20"/>
              </w:rPr>
            </w:pPr>
            <w:r w:rsidRPr="00767715">
              <w:rPr>
                <w:sz w:val="20"/>
                <w:szCs w:val="20"/>
              </w:rPr>
              <w:t>18.90 ± 2.74</w:t>
            </w:r>
          </w:p>
        </w:tc>
      </w:tr>
      <w:tr w:rsidR="00A43496" w:rsidRPr="00767715">
        <w:trPr>
          <w:trHeight w:hRule="exact" w:val="240"/>
        </w:trPr>
        <w:tc>
          <w:tcPr>
            <w:tcW w:w="1790" w:type="dxa"/>
          </w:tcPr>
          <w:p w:rsidR="00A43496" w:rsidRPr="00767715" w:rsidRDefault="00A43496">
            <w:pPr>
              <w:pStyle w:val="TableParagraph"/>
              <w:rPr>
                <w:sz w:val="20"/>
                <w:szCs w:val="20"/>
              </w:rPr>
            </w:pPr>
            <w:r w:rsidRPr="00767715">
              <w:rPr>
                <w:sz w:val="20"/>
                <w:szCs w:val="20"/>
              </w:rPr>
              <w:t>36-45</w:t>
            </w:r>
          </w:p>
        </w:tc>
        <w:tc>
          <w:tcPr>
            <w:tcW w:w="1594" w:type="dxa"/>
          </w:tcPr>
          <w:p w:rsidR="00A43496" w:rsidRPr="00767715" w:rsidRDefault="00A43496">
            <w:pPr>
              <w:pStyle w:val="TableParagraph"/>
              <w:rPr>
                <w:sz w:val="20"/>
                <w:szCs w:val="20"/>
              </w:rPr>
            </w:pPr>
            <w:r w:rsidRPr="00767715">
              <w:rPr>
                <w:sz w:val="20"/>
                <w:szCs w:val="20"/>
              </w:rPr>
              <w:t>38</w:t>
            </w:r>
          </w:p>
        </w:tc>
        <w:tc>
          <w:tcPr>
            <w:tcW w:w="2030" w:type="dxa"/>
          </w:tcPr>
          <w:p w:rsidR="00A43496" w:rsidRPr="00767715" w:rsidRDefault="00A43496">
            <w:pPr>
              <w:pStyle w:val="TableParagraph"/>
              <w:rPr>
                <w:sz w:val="20"/>
                <w:szCs w:val="20"/>
              </w:rPr>
            </w:pPr>
            <w:r w:rsidRPr="00767715">
              <w:rPr>
                <w:sz w:val="20"/>
                <w:szCs w:val="20"/>
              </w:rPr>
              <w:t>32.70 ± 4.59</w:t>
            </w:r>
          </w:p>
        </w:tc>
        <w:tc>
          <w:tcPr>
            <w:tcW w:w="2136" w:type="dxa"/>
          </w:tcPr>
          <w:p w:rsidR="00A43496" w:rsidRPr="00767715" w:rsidRDefault="00A43496">
            <w:pPr>
              <w:pStyle w:val="TableParagraph"/>
              <w:ind w:left="100"/>
              <w:rPr>
                <w:sz w:val="20"/>
                <w:szCs w:val="20"/>
              </w:rPr>
            </w:pPr>
            <w:r w:rsidRPr="00767715">
              <w:rPr>
                <w:sz w:val="20"/>
                <w:szCs w:val="20"/>
              </w:rPr>
              <w:t>11</w:t>
            </w:r>
          </w:p>
        </w:tc>
        <w:tc>
          <w:tcPr>
            <w:tcW w:w="2030" w:type="dxa"/>
          </w:tcPr>
          <w:p w:rsidR="00A43496" w:rsidRPr="00767715" w:rsidRDefault="00A43496">
            <w:pPr>
              <w:pStyle w:val="TableParagraph"/>
              <w:rPr>
                <w:sz w:val="20"/>
                <w:szCs w:val="20"/>
              </w:rPr>
            </w:pPr>
            <w:r w:rsidRPr="00767715">
              <w:rPr>
                <w:sz w:val="20"/>
                <w:szCs w:val="20"/>
              </w:rPr>
              <w:t>16.66 ± 2.58</w:t>
            </w:r>
            <w:r w:rsidRPr="00767715">
              <w:rPr>
                <w:sz w:val="20"/>
                <w:szCs w:val="20"/>
                <w:lang w:bidi="ar-IQ"/>
              </w:rPr>
              <w:t xml:space="preserve"> </w:t>
            </w:r>
          </w:p>
        </w:tc>
      </w:tr>
      <w:tr w:rsidR="00A43496" w:rsidRPr="00767715">
        <w:trPr>
          <w:trHeight w:hRule="exact" w:val="240"/>
        </w:trPr>
        <w:tc>
          <w:tcPr>
            <w:tcW w:w="1790" w:type="dxa"/>
          </w:tcPr>
          <w:p w:rsidR="00A43496" w:rsidRPr="00767715" w:rsidRDefault="00A43496">
            <w:pPr>
              <w:pStyle w:val="TableParagraph"/>
              <w:rPr>
                <w:sz w:val="20"/>
                <w:szCs w:val="20"/>
              </w:rPr>
            </w:pPr>
            <w:r w:rsidRPr="00767715">
              <w:rPr>
                <w:sz w:val="20"/>
                <w:szCs w:val="20"/>
              </w:rPr>
              <w:t>46-55</w:t>
            </w:r>
          </w:p>
        </w:tc>
        <w:tc>
          <w:tcPr>
            <w:tcW w:w="1594" w:type="dxa"/>
          </w:tcPr>
          <w:p w:rsidR="00A43496" w:rsidRPr="00767715" w:rsidRDefault="00A43496">
            <w:pPr>
              <w:pStyle w:val="TableParagraph"/>
              <w:rPr>
                <w:sz w:val="20"/>
                <w:szCs w:val="20"/>
              </w:rPr>
            </w:pPr>
            <w:r w:rsidRPr="00767715">
              <w:rPr>
                <w:sz w:val="20"/>
                <w:szCs w:val="20"/>
              </w:rPr>
              <w:t>32</w:t>
            </w:r>
          </w:p>
        </w:tc>
        <w:tc>
          <w:tcPr>
            <w:tcW w:w="2030" w:type="dxa"/>
          </w:tcPr>
          <w:p w:rsidR="00A43496" w:rsidRPr="00767715" w:rsidRDefault="00A43496">
            <w:pPr>
              <w:pStyle w:val="TableParagraph"/>
              <w:rPr>
                <w:sz w:val="20"/>
                <w:szCs w:val="20"/>
              </w:rPr>
            </w:pPr>
            <w:r w:rsidRPr="00767715">
              <w:rPr>
                <w:sz w:val="20"/>
                <w:szCs w:val="20"/>
              </w:rPr>
              <w:t>30.73 ± 4.39</w:t>
            </w:r>
          </w:p>
        </w:tc>
        <w:tc>
          <w:tcPr>
            <w:tcW w:w="2136" w:type="dxa"/>
          </w:tcPr>
          <w:p w:rsidR="00A43496" w:rsidRPr="00767715" w:rsidRDefault="00A43496">
            <w:pPr>
              <w:pStyle w:val="TableParagraph"/>
              <w:ind w:left="100"/>
              <w:rPr>
                <w:sz w:val="20"/>
                <w:szCs w:val="20"/>
              </w:rPr>
            </w:pPr>
            <w:r w:rsidRPr="00767715">
              <w:rPr>
                <w:sz w:val="20"/>
                <w:szCs w:val="20"/>
              </w:rPr>
              <w:t>16</w:t>
            </w:r>
          </w:p>
        </w:tc>
        <w:tc>
          <w:tcPr>
            <w:tcW w:w="2030" w:type="dxa"/>
          </w:tcPr>
          <w:p w:rsidR="00A43496" w:rsidRPr="00767715" w:rsidRDefault="00A43496">
            <w:pPr>
              <w:pStyle w:val="TableParagraph"/>
              <w:rPr>
                <w:sz w:val="20"/>
                <w:szCs w:val="20"/>
              </w:rPr>
            </w:pPr>
            <w:r w:rsidRPr="00767715">
              <w:rPr>
                <w:sz w:val="20"/>
                <w:szCs w:val="20"/>
              </w:rPr>
              <w:t>15.53 ± 1.17</w:t>
            </w:r>
          </w:p>
        </w:tc>
      </w:tr>
      <w:tr w:rsidR="00A43496" w:rsidRPr="00767715">
        <w:trPr>
          <w:trHeight w:hRule="exact" w:val="240"/>
        </w:trPr>
        <w:tc>
          <w:tcPr>
            <w:tcW w:w="1790" w:type="dxa"/>
          </w:tcPr>
          <w:p w:rsidR="00A43496" w:rsidRPr="00767715" w:rsidRDefault="00A43496">
            <w:pPr>
              <w:pStyle w:val="TableParagraph"/>
              <w:rPr>
                <w:sz w:val="20"/>
                <w:szCs w:val="20"/>
              </w:rPr>
            </w:pPr>
            <w:r w:rsidRPr="00767715">
              <w:rPr>
                <w:sz w:val="20"/>
                <w:szCs w:val="20"/>
              </w:rPr>
              <w:t>More than 56</w:t>
            </w:r>
          </w:p>
        </w:tc>
        <w:tc>
          <w:tcPr>
            <w:tcW w:w="1594" w:type="dxa"/>
          </w:tcPr>
          <w:p w:rsidR="00A43496" w:rsidRPr="00767715" w:rsidRDefault="00A43496">
            <w:pPr>
              <w:pStyle w:val="TableParagraph"/>
              <w:rPr>
                <w:sz w:val="20"/>
                <w:szCs w:val="20"/>
              </w:rPr>
            </w:pPr>
            <w:r w:rsidRPr="00767715">
              <w:rPr>
                <w:sz w:val="20"/>
                <w:szCs w:val="20"/>
              </w:rPr>
              <w:t>29</w:t>
            </w:r>
          </w:p>
        </w:tc>
        <w:tc>
          <w:tcPr>
            <w:tcW w:w="2030" w:type="dxa"/>
          </w:tcPr>
          <w:p w:rsidR="00A43496" w:rsidRPr="00767715" w:rsidRDefault="00A43496">
            <w:pPr>
              <w:pStyle w:val="TableParagraph"/>
              <w:rPr>
                <w:sz w:val="20"/>
                <w:szCs w:val="20"/>
              </w:rPr>
            </w:pPr>
            <w:r w:rsidRPr="00767715">
              <w:rPr>
                <w:sz w:val="20"/>
                <w:szCs w:val="20"/>
              </w:rPr>
              <w:t xml:space="preserve">23.18 ± 3.01 </w:t>
            </w:r>
          </w:p>
        </w:tc>
        <w:tc>
          <w:tcPr>
            <w:tcW w:w="2136" w:type="dxa"/>
          </w:tcPr>
          <w:p w:rsidR="00A43496" w:rsidRPr="00767715" w:rsidRDefault="00A43496">
            <w:pPr>
              <w:pStyle w:val="TableParagraph"/>
              <w:ind w:left="100"/>
              <w:rPr>
                <w:sz w:val="20"/>
                <w:szCs w:val="20"/>
              </w:rPr>
            </w:pPr>
            <w:r w:rsidRPr="00767715">
              <w:rPr>
                <w:sz w:val="20"/>
                <w:szCs w:val="20"/>
              </w:rPr>
              <w:t>12</w:t>
            </w:r>
          </w:p>
        </w:tc>
        <w:tc>
          <w:tcPr>
            <w:tcW w:w="2030" w:type="dxa"/>
          </w:tcPr>
          <w:p w:rsidR="00A43496" w:rsidRPr="00767715" w:rsidRDefault="00A43496">
            <w:pPr>
              <w:pStyle w:val="TableParagraph"/>
              <w:rPr>
                <w:sz w:val="20"/>
                <w:szCs w:val="20"/>
              </w:rPr>
            </w:pPr>
            <w:r w:rsidRPr="00767715">
              <w:rPr>
                <w:sz w:val="20"/>
                <w:szCs w:val="20"/>
              </w:rPr>
              <w:t>13.17 ± 1.00</w:t>
            </w:r>
          </w:p>
        </w:tc>
      </w:tr>
    </w:tbl>
    <w:p w:rsidR="00A43496" w:rsidRDefault="00A43496">
      <w:pPr>
        <w:pStyle w:val="BodyText"/>
        <w:spacing w:before="1"/>
        <w:ind w:left="0"/>
        <w:jc w:val="left"/>
        <w:rPr>
          <w:b/>
          <w:sz w:val="13"/>
        </w:rPr>
      </w:pPr>
    </w:p>
    <w:p w:rsidR="00A43496" w:rsidRPr="00767715" w:rsidRDefault="00A43496" w:rsidP="00594283">
      <w:pPr>
        <w:tabs>
          <w:tab w:val="left" w:pos="2742"/>
        </w:tabs>
        <w:rPr>
          <w:sz w:val="20"/>
          <w:szCs w:val="20"/>
          <w:lang w:bidi="ar-IQ"/>
        </w:rPr>
      </w:pPr>
      <w:r w:rsidRPr="00A34FE3">
        <w:rPr>
          <w:b/>
          <w:sz w:val="20"/>
        </w:rPr>
        <w:t>Table (2): Effect of age on smoker CD8 levels</w:t>
      </w:r>
      <w:r>
        <w:rPr>
          <w:b/>
          <w:sz w:val="20"/>
        </w:rPr>
        <w:t xml:space="preserve">, </w:t>
      </w:r>
      <w:r>
        <w:rPr>
          <w:b/>
          <w:color w:val="000000"/>
          <w:sz w:val="20"/>
          <w:szCs w:val="20"/>
        </w:rPr>
        <w:t>v</w:t>
      </w:r>
      <w:r w:rsidRPr="00556554">
        <w:rPr>
          <w:b/>
          <w:color w:val="000000"/>
          <w:sz w:val="20"/>
          <w:szCs w:val="20"/>
        </w:rPr>
        <w:t xml:space="preserve">alues are mean ± </w:t>
      </w:r>
      <w:r w:rsidRPr="00556554">
        <w:rPr>
          <w:b/>
        </w:rPr>
        <w:t>SD</w:t>
      </w:r>
      <w:r w:rsidRPr="007F0D2B">
        <w:rPr>
          <w:sz w:val="20"/>
          <w:szCs w:val="20"/>
          <w:lang w:bidi="ar-IQ"/>
        </w:rPr>
        <w:t xml:space="preserve"> </w:t>
      </w:r>
      <w:r w:rsidRPr="007F0D2B">
        <w:rPr>
          <w:b/>
          <w:bCs/>
          <w:sz w:val="20"/>
          <w:szCs w:val="20"/>
        </w:rPr>
        <w:t xml:space="preserve"> </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0"/>
        <w:gridCol w:w="1699"/>
        <w:gridCol w:w="1834"/>
        <w:gridCol w:w="2304"/>
        <w:gridCol w:w="1834"/>
      </w:tblGrid>
      <w:tr w:rsidR="00A43496">
        <w:trPr>
          <w:trHeight w:hRule="exact" w:val="240"/>
        </w:trPr>
        <w:tc>
          <w:tcPr>
            <w:tcW w:w="1910" w:type="dxa"/>
          </w:tcPr>
          <w:p w:rsidR="00A43496" w:rsidRPr="00767715" w:rsidRDefault="00A43496">
            <w:pPr>
              <w:pStyle w:val="TableParagraph"/>
              <w:spacing w:line="226" w:lineRule="exact"/>
              <w:rPr>
                <w:sz w:val="20"/>
              </w:rPr>
            </w:pPr>
            <w:r w:rsidRPr="00767715">
              <w:rPr>
                <w:sz w:val="20"/>
              </w:rPr>
              <w:t>Age groups</w:t>
            </w:r>
          </w:p>
        </w:tc>
        <w:tc>
          <w:tcPr>
            <w:tcW w:w="1699" w:type="dxa"/>
          </w:tcPr>
          <w:p w:rsidR="00A43496" w:rsidRPr="00767715" w:rsidRDefault="00A43496">
            <w:pPr>
              <w:pStyle w:val="TableParagraph"/>
              <w:spacing w:line="226" w:lineRule="exact"/>
              <w:ind w:left="100"/>
              <w:rPr>
                <w:sz w:val="20"/>
              </w:rPr>
            </w:pPr>
            <w:r w:rsidRPr="00767715">
              <w:rPr>
                <w:sz w:val="20"/>
              </w:rPr>
              <w:t>No.</w:t>
            </w:r>
            <w:r>
              <w:rPr>
                <w:sz w:val="20"/>
              </w:rPr>
              <w:t xml:space="preserve"> of</w:t>
            </w:r>
            <w:r w:rsidRPr="00767715">
              <w:rPr>
                <w:sz w:val="20"/>
              </w:rPr>
              <w:t xml:space="preserve"> smoker</w:t>
            </w:r>
          </w:p>
        </w:tc>
        <w:tc>
          <w:tcPr>
            <w:tcW w:w="1834" w:type="dxa"/>
          </w:tcPr>
          <w:p w:rsidR="00A43496" w:rsidRPr="00767715" w:rsidRDefault="00A43496">
            <w:pPr>
              <w:pStyle w:val="TableParagraph"/>
              <w:spacing w:line="226" w:lineRule="exact"/>
              <w:ind w:left="100"/>
              <w:rPr>
                <w:sz w:val="20"/>
              </w:rPr>
            </w:pPr>
            <w:r w:rsidRPr="00767715">
              <w:rPr>
                <w:sz w:val="20"/>
              </w:rPr>
              <w:t>CD8 (ng/ml)</w:t>
            </w:r>
          </w:p>
        </w:tc>
        <w:tc>
          <w:tcPr>
            <w:tcW w:w="2304" w:type="dxa"/>
          </w:tcPr>
          <w:p w:rsidR="00A43496" w:rsidRPr="00767715" w:rsidRDefault="00A43496">
            <w:pPr>
              <w:pStyle w:val="TableParagraph"/>
              <w:spacing w:line="226" w:lineRule="exact"/>
              <w:ind w:left="100"/>
              <w:rPr>
                <w:sz w:val="20"/>
              </w:rPr>
            </w:pPr>
            <w:r w:rsidRPr="00767715">
              <w:rPr>
                <w:sz w:val="20"/>
              </w:rPr>
              <w:t>No.</w:t>
            </w:r>
            <w:r>
              <w:rPr>
                <w:sz w:val="20"/>
              </w:rPr>
              <w:t xml:space="preserve"> of</w:t>
            </w:r>
            <w:r w:rsidRPr="00767715">
              <w:rPr>
                <w:sz w:val="20"/>
              </w:rPr>
              <w:t xml:space="preserve"> </w:t>
            </w:r>
            <w:r>
              <w:rPr>
                <w:sz w:val="20"/>
              </w:rPr>
              <w:t>n</w:t>
            </w:r>
            <w:r w:rsidRPr="00767715">
              <w:rPr>
                <w:sz w:val="20"/>
              </w:rPr>
              <w:t>on-smoker</w:t>
            </w:r>
          </w:p>
        </w:tc>
        <w:tc>
          <w:tcPr>
            <w:tcW w:w="1834" w:type="dxa"/>
          </w:tcPr>
          <w:p w:rsidR="00A43496" w:rsidRPr="00767715" w:rsidRDefault="00A43496">
            <w:pPr>
              <w:pStyle w:val="TableParagraph"/>
              <w:spacing w:line="226" w:lineRule="exact"/>
              <w:ind w:left="100"/>
              <w:rPr>
                <w:sz w:val="20"/>
              </w:rPr>
            </w:pPr>
            <w:r w:rsidRPr="00767715">
              <w:rPr>
                <w:sz w:val="20"/>
              </w:rPr>
              <w:t>CD8 (ng/ml)</w:t>
            </w:r>
          </w:p>
        </w:tc>
      </w:tr>
      <w:tr w:rsidR="00A43496">
        <w:trPr>
          <w:trHeight w:hRule="exact" w:val="240"/>
        </w:trPr>
        <w:tc>
          <w:tcPr>
            <w:tcW w:w="1910" w:type="dxa"/>
          </w:tcPr>
          <w:p w:rsidR="00A43496" w:rsidRPr="00767715" w:rsidRDefault="00A43496">
            <w:pPr>
              <w:pStyle w:val="TableParagraph"/>
              <w:spacing w:line="226" w:lineRule="exact"/>
              <w:rPr>
                <w:sz w:val="20"/>
              </w:rPr>
            </w:pPr>
            <w:r w:rsidRPr="00767715">
              <w:rPr>
                <w:sz w:val="20"/>
              </w:rPr>
              <w:t>14-25</w:t>
            </w:r>
          </w:p>
        </w:tc>
        <w:tc>
          <w:tcPr>
            <w:tcW w:w="1699" w:type="dxa"/>
          </w:tcPr>
          <w:p w:rsidR="00A43496" w:rsidRPr="00767715" w:rsidRDefault="00A43496">
            <w:pPr>
              <w:pStyle w:val="TableParagraph"/>
              <w:spacing w:line="226" w:lineRule="exact"/>
              <w:ind w:left="100"/>
              <w:rPr>
                <w:sz w:val="20"/>
              </w:rPr>
            </w:pPr>
            <w:r w:rsidRPr="00767715">
              <w:rPr>
                <w:sz w:val="20"/>
              </w:rPr>
              <w:t>19</w:t>
            </w:r>
          </w:p>
        </w:tc>
        <w:tc>
          <w:tcPr>
            <w:tcW w:w="1834" w:type="dxa"/>
          </w:tcPr>
          <w:p w:rsidR="00A43496" w:rsidRPr="00767715" w:rsidRDefault="00A43496">
            <w:pPr>
              <w:pStyle w:val="TableParagraph"/>
              <w:spacing w:line="226" w:lineRule="exact"/>
              <w:ind w:left="100"/>
              <w:rPr>
                <w:sz w:val="20"/>
              </w:rPr>
            </w:pPr>
            <w:r w:rsidRPr="00767715">
              <w:rPr>
                <w:sz w:val="20"/>
                <w:szCs w:val="20"/>
              </w:rPr>
              <w:t>59.72 ± 2.53</w:t>
            </w:r>
          </w:p>
        </w:tc>
        <w:tc>
          <w:tcPr>
            <w:tcW w:w="2304" w:type="dxa"/>
          </w:tcPr>
          <w:p w:rsidR="00A43496" w:rsidRPr="00767715" w:rsidRDefault="00A43496">
            <w:pPr>
              <w:pStyle w:val="TableParagraph"/>
              <w:spacing w:line="226" w:lineRule="exact"/>
              <w:ind w:left="100"/>
              <w:rPr>
                <w:sz w:val="20"/>
              </w:rPr>
            </w:pPr>
            <w:r w:rsidRPr="00767715">
              <w:rPr>
                <w:sz w:val="20"/>
              </w:rPr>
              <w:t>6</w:t>
            </w:r>
          </w:p>
        </w:tc>
        <w:tc>
          <w:tcPr>
            <w:tcW w:w="1834" w:type="dxa"/>
          </w:tcPr>
          <w:p w:rsidR="00A43496" w:rsidRPr="00767715" w:rsidRDefault="00A43496">
            <w:pPr>
              <w:pStyle w:val="TableParagraph"/>
              <w:spacing w:line="226" w:lineRule="exact"/>
              <w:ind w:left="100"/>
              <w:rPr>
                <w:sz w:val="20"/>
              </w:rPr>
            </w:pPr>
            <w:r w:rsidRPr="00767715">
              <w:rPr>
                <w:sz w:val="20"/>
                <w:szCs w:val="20"/>
              </w:rPr>
              <w:t>39.22 ± 7.33</w:t>
            </w:r>
          </w:p>
        </w:tc>
      </w:tr>
      <w:tr w:rsidR="00A43496">
        <w:trPr>
          <w:trHeight w:hRule="exact" w:val="240"/>
        </w:trPr>
        <w:tc>
          <w:tcPr>
            <w:tcW w:w="1910" w:type="dxa"/>
          </w:tcPr>
          <w:p w:rsidR="00A43496" w:rsidRPr="00767715" w:rsidRDefault="00A43496">
            <w:pPr>
              <w:pStyle w:val="TableParagraph"/>
              <w:spacing w:line="226" w:lineRule="exact"/>
              <w:rPr>
                <w:sz w:val="20"/>
              </w:rPr>
            </w:pPr>
            <w:r w:rsidRPr="00767715">
              <w:rPr>
                <w:sz w:val="20"/>
              </w:rPr>
              <w:t>26-35</w:t>
            </w:r>
          </w:p>
        </w:tc>
        <w:tc>
          <w:tcPr>
            <w:tcW w:w="1699" w:type="dxa"/>
          </w:tcPr>
          <w:p w:rsidR="00A43496" w:rsidRPr="00767715" w:rsidRDefault="00A43496">
            <w:pPr>
              <w:pStyle w:val="TableParagraph"/>
              <w:spacing w:line="226" w:lineRule="exact"/>
              <w:ind w:left="100"/>
              <w:rPr>
                <w:sz w:val="20"/>
              </w:rPr>
            </w:pPr>
            <w:r w:rsidRPr="00767715">
              <w:rPr>
                <w:sz w:val="20"/>
              </w:rPr>
              <w:t>32</w:t>
            </w:r>
          </w:p>
        </w:tc>
        <w:tc>
          <w:tcPr>
            <w:tcW w:w="1834" w:type="dxa"/>
          </w:tcPr>
          <w:p w:rsidR="00A43496" w:rsidRPr="00767715" w:rsidRDefault="00A43496">
            <w:pPr>
              <w:pStyle w:val="TableParagraph"/>
              <w:spacing w:line="226" w:lineRule="exact"/>
              <w:ind w:left="100"/>
              <w:rPr>
                <w:sz w:val="20"/>
              </w:rPr>
            </w:pPr>
            <w:r w:rsidRPr="00767715">
              <w:rPr>
                <w:sz w:val="20"/>
                <w:szCs w:val="20"/>
              </w:rPr>
              <w:t>94.09 ± 1.34</w:t>
            </w:r>
          </w:p>
        </w:tc>
        <w:tc>
          <w:tcPr>
            <w:tcW w:w="2304" w:type="dxa"/>
          </w:tcPr>
          <w:p w:rsidR="00A43496" w:rsidRPr="00767715" w:rsidRDefault="00A43496">
            <w:pPr>
              <w:pStyle w:val="TableParagraph"/>
              <w:spacing w:line="226" w:lineRule="exact"/>
              <w:ind w:left="100"/>
              <w:rPr>
                <w:sz w:val="20"/>
              </w:rPr>
            </w:pPr>
            <w:r w:rsidRPr="00767715">
              <w:rPr>
                <w:sz w:val="20"/>
              </w:rPr>
              <w:t>5</w:t>
            </w:r>
          </w:p>
        </w:tc>
        <w:tc>
          <w:tcPr>
            <w:tcW w:w="1834" w:type="dxa"/>
          </w:tcPr>
          <w:p w:rsidR="00A43496" w:rsidRPr="00767715" w:rsidRDefault="00A43496">
            <w:pPr>
              <w:pStyle w:val="TableParagraph"/>
              <w:spacing w:line="226" w:lineRule="exact"/>
              <w:ind w:left="100"/>
              <w:rPr>
                <w:sz w:val="20"/>
              </w:rPr>
            </w:pPr>
            <w:r w:rsidRPr="00767715">
              <w:rPr>
                <w:sz w:val="20"/>
                <w:szCs w:val="20"/>
              </w:rPr>
              <w:t>61.52 ± 2.34</w:t>
            </w:r>
          </w:p>
        </w:tc>
      </w:tr>
      <w:tr w:rsidR="00A43496">
        <w:trPr>
          <w:trHeight w:hRule="exact" w:val="240"/>
        </w:trPr>
        <w:tc>
          <w:tcPr>
            <w:tcW w:w="1910" w:type="dxa"/>
          </w:tcPr>
          <w:p w:rsidR="00A43496" w:rsidRPr="00767715" w:rsidRDefault="00A43496">
            <w:pPr>
              <w:pStyle w:val="TableParagraph"/>
              <w:spacing w:line="226" w:lineRule="exact"/>
              <w:rPr>
                <w:sz w:val="20"/>
              </w:rPr>
            </w:pPr>
            <w:r w:rsidRPr="00767715">
              <w:rPr>
                <w:sz w:val="20"/>
              </w:rPr>
              <w:t>36-45</w:t>
            </w:r>
          </w:p>
        </w:tc>
        <w:tc>
          <w:tcPr>
            <w:tcW w:w="1699" w:type="dxa"/>
          </w:tcPr>
          <w:p w:rsidR="00A43496" w:rsidRPr="00767715" w:rsidRDefault="00A43496">
            <w:pPr>
              <w:pStyle w:val="TableParagraph"/>
              <w:spacing w:line="226" w:lineRule="exact"/>
              <w:ind w:left="100"/>
              <w:rPr>
                <w:sz w:val="20"/>
              </w:rPr>
            </w:pPr>
            <w:r w:rsidRPr="00767715">
              <w:rPr>
                <w:sz w:val="20"/>
              </w:rPr>
              <w:t>38</w:t>
            </w:r>
          </w:p>
        </w:tc>
        <w:tc>
          <w:tcPr>
            <w:tcW w:w="1834" w:type="dxa"/>
          </w:tcPr>
          <w:p w:rsidR="00A43496" w:rsidRPr="00767715" w:rsidRDefault="00A43496">
            <w:pPr>
              <w:pStyle w:val="TableParagraph"/>
              <w:spacing w:line="226" w:lineRule="exact"/>
              <w:ind w:left="100"/>
              <w:rPr>
                <w:sz w:val="20"/>
              </w:rPr>
            </w:pPr>
            <w:r w:rsidRPr="00767715">
              <w:rPr>
                <w:sz w:val="20"/>
                <w:szCs w:val="20"/>
              </w:rPr>
              <w:t>84.65 ± 1.77</w:t>
            </w:r>
          </w:p>
        </w:tc>
        <w:tc>
          <w:tcPr>
            <w:tcW w:w="2304" w:type="dxa"/>
          </w:tcPr>
          <w:p w:rsidR="00A43496" w:rsidRPr="00767715" w:rsidRDefault="00A43496">
            <w:pPr>
              <w:pStyle w:val="TableParagraph"/>
              <w:spacing w:line="226" w:lineRule="exact"/>
              <w:ind w:left="100"/>
              <w:rPr>
                <w:sz w:val="20"/>
              </w:rPr>
            </w:pPr>
            <w:r w:rsidRPr="00767715">
              <w:rPr>
                <w:sz w:val="20"/>
              </w:rPr>
              <w:t>11</w:t>
            </w:r>
          </w:p>
        </w:tc>
        <w:tc>
          <w:tcPr>
            <w:tcW w:w="1834" w:type="dxa"/>
          </w:tcPr>
          <w:p w:rsidR="00A43496" w:rsidRPr="00767715" w:rsidRDefault="00A43496">
            <w:pPr>
              <w:pStyle w:val="TableParagraph"/>
              <w:spacing w:line="226" w:lineRule="exact"/>
              <w:ind w:left="100"/>
              <w:rPr>
                <w:sz w:val="20"/>
              </w:rPr>
            </w:pPr>
            <w:r w:rsidRPr="00767715">
              <w:rPr>
                <w:sz w:val="20"/>
                <w:szCs w:val="20"/>
              </w:rPr>
              <w:t>55.46 ± 2.72</w:t>
            </w:r>
          </w:p>
        </w:tc>
      </w:tr>
      <w:tr w:rsidR="00A43496">
        <w:trPr>
          <w:trHeight w:hRule="exact" w:val="240"/>
        </w:trPr>
        <w:tc>
          <w:tcPr>
            <w:tcW w:w="1910" w:type="dxa"/>
          </w:tcPr>
          <w:p w:rsidR="00A43496" w:rsidRPr="00767715" w:rsidRDefault="00A43496">
            <w:pPr>
              <w:pStyle w:val="TableParagraph"/>
              <w:spacing w:line="226" w:lineRule="exact"/>
              <w:rPr>
                <w:sz w:val="20"/>
              </w:rPr>
            </w:pPr>
            <w:r w:rsidRPr="00767715">
              <w:rPr>
                <w:sz w:val="20"/>
              </w:rPr>
              <w:t>46-55</w:t>
            </w:r>
          </w:p>
        </w:tc>
        <w:tc>
          <w:tcPr>
            <w:tcW w:w="1699" w:type="dxa"/>
          </w:tcPr>
          <w:p w:rsidR="00A43496" w:rsidRPr="00767715" w:rsidRDefault="00A43496">
            <w:pPr>
              <w:pStyle w:val="TableParagraph"/>
              <w:spacing w:line="226" w:lineRule="exact"/>
              <w:ind w:left="100"/>
              <w:rPr>
                <w:sz w:val="20"/>
              </w:rPr>
            </w:pPr>
            <w:r w:rsidRPr="00767715">
              <w:rPr>
                <w:sz w:val="20"/>
              </w:rPr>
              <w:t>32</w:t>
            </w:r>
          </w:p>
        </w:tc>
        <w:tc>
          <w:tcPr>
            <w:tcW w:w="1834" w:type="dxa"/>
          </w:tcPr>
          <w:p w:rsidR="00A43496" w:rsidRPr="00767715" w:rsidRDefault="00A43496">
            <w:pPr>
              <w:pStyle w:val="TableParagraph"/>
              <w:spacing w:line="226" w:lineRule="exact"/>
              <w:ind w:left="100"/>
              <w:rPr>
                <w:sz w:val="20"/>
              </w:rPr>
            </w:pPr>
            <w:r w:rsidRPr="00767715">
              <w:rPr>
                <w:sz w:val="20"/>
                <w:szCs w:val="20"/>
              </w:rPr>
              <w:t>72.38 ± 2.06</w:t>
            </w:r>
          </w:p>
        </w:tc>
        <w:tc>
          <w:tcPr>
            <w:tcW w:w="2304" w:type="dxa"/>
          </w:tcPr>
          <w:p w:rsidR="00A43496" w:rsidRPr="00767715" w:rsidRDefault="00A43496">
            <w:pPr>
              <w:pStyle w:val="TableParagraph"/>
              <w:spacing w:line="226" w:lineRule="exact"/>
              <w:ind w:left="100"/>
              <w:rPr>
                <w:sz w:val="20"/>
              </w:rPr>
            </w:pPr>
            <w:r w:rsidRPr="00767715">
              <w:rPr>
                <w:sz w:val="20"/>
              </w:rPr>
              <w:t>16</w:t>
            </w:r>
          </w:p>
        </w:tc>
        <w:tc>
          <w:tcPr>
            <w:tcW w:w="1834" w:type="dxa"/>
          </w:tcPr>
          <w:p w:rsidR="00A43496" w:rsidRPr="00767715" w:rsidRDefault="00A43496">
            <w:pPr>
              <w:pStyle w:val="TableParagraph"/>
              <w:spacing w:line="226" w:lineRule="exact"/>
              <w:ind w:left="100"/>
              <w:rPr>
                <w:sz w:val="20"/>
              </w:rPr>
            </w:pPr>
            <w:r w:rsidRPr="00767715">
              <w:rPr>
                <w:sz w:val="20"/>
                <w:szCs w:val="20"/>
              </w:rPr>
              <w:t>52.52 ± 1.73</w:t>
            </w:r>
          </w:p>
        </w:tc>
      </w:tr>
      <w:tr w:rsidR="00A43496">
        <w:trPr>
          <w:trHeight w:hRule="exact" w:val="245"/>
        </w:trPr>
        <w:tc>
          <w:tcPr>
            <w:tcW w:w="1910" w:type="dxa"/>
          </w:tcPr>
          <w:p w:rsidR="00A43496" w:rsidRPr="00767715" w:rsidRDefault="00A43496">
            <w:pPr>
              <w:pStyle w:val="TableParagraph"/>
              <w:spacing w:line="226" w:lineRule="exact"/>
              <w:rPr>
                <w:sz w:val="20"/>
              </w:rPr>
            </w:pPr>
            <w:r w:rsidRPr="00767715">
              <w:rPr>
                <w:sz w:val="20"/>
              </w:rPr>
              <w:t>More than 56</w:t>
            </w:r>
          </w:p>
        </w:tc>
        <w:tc>
          <w:tcPr>
            <w:tcW w:w="1699" w:type="dxa"/>
          </w:tcPr>
          <w:p w:rsidR="00A43496" w:rsidRPr="00767715" w:rsidRDefault="00A43496">
            <w:pPr>
              <w:pStyle w:val="TableParagraph"/>
              <w:spacing w:line="226" w:lineRule="exact"/>
              <w:ind w:left="100"/>
              <w:rPr>
                <w:sz w:val="20"/>
              </w:rPr>
            </w:pPr>
            <w:r w:rsidRPr="00767715">
              <w:rPr>
                <w:sz w:val="20"/>
              </w:rPr>
              <w:t>29</w:t>
            </w:r>
          </w:p>
        </w:tc>
        <w:tc>
          <w:tcPr>
            <w:tcW w:w="1834" w:type="dxa"/>
          </w:tcPr>
          <w:p w:rsidR="00A43496" w:rsidRPr="00767715" w:rsidRDefault="00A43496">
            <w:pPr>
              <w:pStyle w:val="TableParagraph"/>
              <w:spacing w:line="226" w:lineRule="exact"/>
              <w:ind w:left="100"/>
              <w:rPr>
                <w:sz w:val="20"/>
              </w:rPr>
            </w:pPr>
            <w:r w:rsidRPr="00767715">
              <w:rPr>
                <w:sz w:val="20"/>
                <w:szCs w:val="20"/>
              </w:rPr>
              <w:t>69.10 ± 2.55</w:t>
            </w:r>
          </w:p>
        </w:tc>
        <w:tc>
          <w:tcPr>
            <w:tcW w:w="2304" w:type="dxa"/>
          </w:tcPr>
          <w:p w:rsidR="00A43496" w:rsidRPr="00767715" w:rsidRDefault="00A43496">
            <w:pPr>
              <w:pStyle w:val="TableParagraph"/>
              <w:spacing w:line="226" w:lineRule="exact"/>
              <w:ind w:left="100"/>
              <w:rPr>
                <w:sz w:val="20"/>
              </w:rPr>
            </w:pPr>
            <w:r w:rsidRPr="00767715">
              <w:rPr>
                <w:sz w:val="20"/>
              </w:rPr>
              <w:t>12</w:t>
            </w:r>
          </w:p>
        </w:tc>
        <w:tc>
          <w:tcPr>
            <w:tcW w:w="1834" w:type="dxa"/>
          </w:tcPr>
          <w:p w:rsidR="00A43496" w:rsidRPr="00767715" w:rsidRDefault="00A43496">
            <w:pPr>
              <w:pStyle w:val="TableParagraph"/>
              <w:spacing w:line="226" w:lineRule="exact"/>
              <w:ind w:left="100"/>
              <w:rPr>
                <w:sz w:val="20"/>
              </w:rPr>
            </w:pPr>
            <w:r w:rsidRPr="00767715">
              <w:rPr>
                <w:sz w:val="20"/>
                <w:szCs w:val="20"/>
              </w:rPr>
              <w:t>52.53 ± 1.74</w:t>
            </w:r>
          </w:p>
        </w:tc>
      </w:tr>
    </w:tbl>
    <w:p w:rsidR="00A43496" w:rsidRDefault="00A43496">
      <w:pPr>
        <w:pStyle w:val="BodyText"/>
        <w:spacing w:before="3"/>
        <w:ind w:left="0"/>
        <w:jc w:val="left"/>
        <w:rPr>
          <w:b/>
          <w:sz w:val="12"/>
        </w:rPr>
      </w:pPr>
    </w:p>
    <w:p w:rsidR="00A43496" w:rsidRDefault="00A43496">
      <w:pPr>
        <w:rPr>
          <w:sz w:val="12"/>
        </w:rPr>
        <w:sectPr w:rsidR="00A43496">
          <w:type w:val="continuous"/>
          <w:pgSz w:w="12240" w:h="15840"/>
          <w:pgMar w:top="1020" w:right="1220" w:bottom="920" w:left="1220" w:header="720" w:footer="720" w:gutter="0"/>
          <w:cols w:space="720"/>
        </w:sectPr>
      </w:pPr>
    </w:p>
    <w:p w:rsidR="00A43496" w:rsidRDefault="00A43496" w:rsidP="0016739F">
      <w:pPr>
        <w:pStyle w:val="BodyText"/>
        <w:spacing w:before="75"/>
        <w:ind w:left="220" w:firstLine="427"/>
      </w:pPr>
      <w:r>
        <w:t xml:space="preserve">In addition, the results </w:t>
      </w:r>
      <w:r>
        <w:rPr>
          <w:spacing w:val="-3"/>
        </w:rPr>
        <w:t xml:space="preserve">showed </w:t>
      </w:r>
      <w:r>
        <w:t xml:space="preserve">significant changes </w:t>
      </w:r>
      <w:r w:rsidRPr="00C37AAE">
        <w:t>(P&lt;0.01)</w:t>
      </w:r>
      <w:r>
        <w:t xml:space="preserve"> in levels of MDA between age groups.,  the  age group  more  than  56 years  </w:t>
      </w:r>
      <w:r>
        <w:rPr>
          <w:spacing w:val="-4"/>
        </w:rPr>
        <w:t xml:space="preserve">showed  </w:t>
      </w:r>
      <w:r>
        <w:t xml:space="preserve">a  high  </w:t>
      </w:r>
      <w:r>
        <w:rPr>
          <w:spacing w:val="-3"/>
        </w:rPr>
        <w:t>level</w:t>
      </w:r>
      <w:r>
        <w:rPr>
          <w:spacing w:val="16"/>
        </w:rPr>
        <w:t xml:space="preserve"> </w:t>
      </w:r>
      <w:r>
        <w:t>of</w:t>
      </w:r>
    </w:p>
    <w:p w:rsidR="00A43496" w:rsidRDefault="00A43496" w:rsidP="0016739F">
      <w:pPr>
        <w:pStyle w:val="BodyText"/>
        <w:spacing w:before="75"/>
        <w:ind w:left="220" w:right="235"/>
        <w:jc w:val="left"/>
      </w:pPr>
      <w:r>
        <w:br w:type="column"/>
        <w:t xml:space="preserve">MDA than other age groups. As </w:t>
      </w:r>
      <w:r>
        <w:rPr>
          <w:spacing w:val="-3"/>
        </w:rPr>
        <w:t xml:space="preserve">shown </w:t>
      </w:r>
      <w:r>
        <w:t>in  tables (3).</w:t>
      </w:r>
    </w:p>
    <w:p w:rsidR="00A43496" w:rsidRDefault="00A43496">
      <w:pPr>
        <w:sectPr w:rsidR="00A43496">
          <w:type w:val="continuous"/>
          <w:pgSz w:w="12240" w:h="15840"/>
          <w:pgMar w:top="1020" w:right="1220" w:bottom="920" w:left="1220" w:header="720" w:footer="720" w:gutter="0"/>
          <w:cols w:num="2" w:space="720" w:equalWidth="0">
            <w:col w:w="4691" w:space="200"/>
            <w:col w:w="4909"/>
          </w:cols>
        </w:sectPr>
      </w:pPr>
    </w:p>
    <w:p w:rsidR="00A43496" w:rsidRDefault="00A43496">
      <w:pPr>
        <w:pStyle w:val="BodyText"/>
        <w:spacing w:before="10"/>
        <w:ind w:left="0"/>
        <w:jc w:val="left"/>
        <w:rPr>
          <w:sz w:val="13"/>
        </w:rPr>
      </w:pPr>
    </w:p>
    <w:p w:rsidR="00A43496" w:rsidRPr="007D0181" w:rsidRDefault="00A43496" w:rsidP="0016739F">
      <w:pPr>
        <w:pStyle w:val="Heading1"/>
        <w:spacing w:after="5"/>
        <w:ind w:left="1100"/>
      </w:pPr>
      <w:r w:rsidRPr="007D0181">
        <w:t>Table (3): Effect of age on smoker MDA levels</w:t>
      </w:r>
      <w:r>
        <w:t>,</w:t>
      </w:r>
      <w:r w:rsidRPr="007D0181">
        <w:rPr>
          <w:color w:val="000000"/>
        </w:rPr>
        <w:t xml:space="preserve"> values are mean ± </w:t>
      </w:r>
      <w:r w:rsidRPr="007D0181">
        <w:t>SD</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52"/>
        <w:gridCol w:w="1560"/>
        <w:gridCol w:w="2088"/>
        <w:gridCol w:w="2093"/>
        <w:gridCol w:w="2088"/>
      </w:tblGrid>
      <w:tr w:rsidR="00A43496">
        <w:trPr>
          <w:trHeight w:hRule="exact" w:val="240"/>
        </w:trPr>
        <w:tc>
          <w:tcPr>
            <w:tcW w:w="1752" w:type="dxa"/>
          </w:tcPr>
          <w:p w:rsidR="00A43496" w:rsidRPr="00B81351" w:rsidRDefault="00A43496">
            <w:pPr>
              <w:pStyle w:val="TableParagraph"/>
              <w:rPr>
                <w:sz w:val="20"/>
              </w:rPr>
            </w:pPr>
            <w:r w:rsidRPr="00B81351">
              <w:rPr>
                <w:sz w:val="20"/>
              </w:rPr>
              <w:t>Age groups</w:t>
            </w:r>
          </w:p>
        </w:tc>
        <w:tc>
          <w:tcPr>
            <w:tcW w:w="1560" w:type="dxa"/>
          </w:tcPr>
          <w:p w:rsidR="00A43496" w:rsidRPr="00B81351" w:rsidRDefault="00A43496">
            <w:pPr>
              <w:pStyle w:val="TableParagraph"/>
              <w:rPr>
                <w:sz w:val="20"/>
              </w:rPr>
            </w:pPr>
            <w:r w:rsidRPr="00B81351">
              <w:rPr>
                <w:sz w:val="20"/>
              </w:rPr>
              <w:t>No.</w:t>
            </w:r>
            <w:r>
              <w:rPr>
                <w:sz w:val="20"/>
              </w:rPr>
              <w:t xml:space="preserve"> of</w:t>
            </w:r>
            <w:r w:rsidRPr="00B81351">
              <w:rPr>
                <w:sz w:val="20"/>
              </w:rPr>
              <w:t xml:space="preserve"> smoker</w:t>
            </w:r>
          </w:p>
        </w:tc>
        <w:tc>
          <w:tcPr>
            <w:tcW w:w="2088" w:type="dxa"/>
          </w:tcPr>
          <w:p w:rsidR="00A43496" w:rsidRPr="00B81351" w:rsidRDefault="00A43496">
            <w:pPr>
              <w:pStyle w:val="TableParagraph"/>
              <w:ind w:left="100"/>
              <w:rPr>
                <w:sz w:val="20"/>
              </w:rPr>
            </w:pPr>
            <w:r w:rsidRPr="00B81351">
              <w:rPr>
                <w:sz w:val="20"/>
              </w:rPr>
              <w:t>MDA (nmol/ml)</w:t>
            </w:r>
          </w:p>
        </w:tc>
        <w:tc>
          <w:tcPr>
            <w:tcW w:w="2093" w:type="dxa"/>
          </w:tcPr>
          <w:p w:rsidR="00A43496" w:rsidRPr="00B81351" w:rsidRDefault="00A43496">
            <w:pPr>
              <w:pStyle w:val="TableParagraph"/>
              <w:rPr>
                <w:sz w:val="20"/>
              </w:rPr>
            </w:pPr>
            <w:r w:rsidRPr="00B81351">
              <w:rPr>
                <w:sz w:val="20"/>
              </w:rPr>
              <w:t>No.</w:t>
            </w:r>
            <w:r>
              <w:rPr>
                <w:sz w:val="20"/>
              </w:rPr>
              <w:t xml:space="preserve"> of </w:t>
            </w:r>
            <w:r w:rsidRPr="00B81351">
              <w:rPr>
                <w:sz w:val="20"/>
              </w:rPr>
              <w:t xml:space="preserve"> </w:t>
            </w:r>
            <w:r>
              <w:rPr>
                <w:sz w:val="20"/>
              </w:rPr>
              <w:t>n</w:t>
            </w:r>
            <w:r w:rsidRPr="00B81351">
              <w:rPr>
                <w:sz w:val="20"/>
              </w:rPr>
              <w:t>on smoker</w:t>
            </w:r>
          </w:p>
        </w:tc>
        <w:tc>
          <w:tcPr>
            <w:tcW w:w="2088" w:type="dxa"/>
          </w:tcPr>
          <w:p w:rsidR="00A43496" w:rsidRPr="00B81351" w:rsidRDefault="00A43496">
            <w:pPr>
              <w:pStyle w:val="TableParagraph"/>
              <w:ind w:left="100"/>
              <w:rPr>
                <w:sz w:val="20"/>
              </w:rPr>
            </w:pPr>
            <w:r w:rsidRPr="00B81351">
              <w:rPr>
                <w:sz w:val="20"/>
              </w:rPr>
              <w:t>MDA (nmol/ml)</w:t>
            </w:r>
          </w:p>
        </w:tc>
      </w:tr>
      <w:tr w:rsidR="00A43496">
        <w:trPr>
          <w:trHeight w:hRule="exact" w:val="240"/>
        </w:trPr>
        <w:tc>
          <w:tcPr>
            <w:tcW w:w="1752" w:type="dxa"/>
          </w:tcPr>
          <w:p w:rsidR="00A43496" w:rsidRPr="00B81351" w:rsidRDefault="00A43496">
            <w:pPr>
              <w:pStyle w:val="TableParagraph"/>
              <w:rPr>
                <w:sz w:val="20"/>
              </w:rPr>
            </w:pPr>
            <w:r w:rsidRPr="00B81351">
              <w:rPr>
                <w:sz w:val="20"/>
              </w:rPr>
              <w:t>14-25</w:t>
            </w:r>
          </w:p>
        </w:tc>
        <w:tc>
          <w:tcPr>
            <w:tcW w:w="1560" w:type="dxa"/>
          </w:tcPr>
          <w:p w:rsidR="00A43496" w:rsidRPr="00B81351" w:rsidRDefault="00A43496">
            <w:pPr>
              <w:pStyle w:val="TableParagraph"/>
              <w:rPr>
                <w:sz w:val="20"/>
              </w:rPr>
            </w:pPr>
            <w:r w:rsidRPr="00B81351">
              <w:rPr>
                <w:sz w:val="20"/>
              </w:rPr>
              <w:t>19</w:t>
            </w:r>
          </w:p>
        </w:tc>
        <w:tc>
          <w:tcPr>
            <w:tcW w:w="2088" w:type="dxa"/>
          </w:tcPr>
          <w:p w:rsidR="00A43496" w:rsidRPr="00B81351" w:rsidRDefault="00A43496">
            <w:pPr>
              <w:pStyle w:val="TableParagraph"/>
              <w:ind w:left="100"/>
              <w:rPr>
                <w:sz w:val="20"/>
              </w:rPr>
            </w:pPr>
            <w:r w:rsidRPr="00B81351">
              <w:rPr>
                <w:sz w:val="20"/>
                <w:szCs w:val="20"/>
              </w:rPr>
              <w:t>13.44 ± 0.78</w:t>
            </w:r>
          </w:p>
        </w:tc>
        <w:tc>
          <w:tcPr>
            <w:tcW w:w="2093" w:type="dxa"/>
          </w:tcPr>
          <w:p w:rsidR="00A43496" w:rsidRPr="00B81351" w:rsidRDefault="00A43496">
            <w:pPr>
              <w:pStyle w:val="TableParagraph"/>
              <w:rPr>
                <w:sz w:val="20"/>
              </w:rPr>
            </w:pPr>
            <w:r w:rsidRPr="00B81351">
              <w:rPr>
                <w:sz w:val="20"/>
              </w:rPr>
              <w:t>6</w:t>
            </w:r>
          </w:p>
        </w:tc>
        <w:tc>
          <w:tcPr>
            <w:tcW w:w="2088" w:type="dxa"/>
          </w:tcPr>
          <w:p w:rsidR="00A43496" w:rsidRPr="00B81351" w:rsidRDefault="00A43496">
            <w:pPr>
              <w:pStyle w:val="TableParagraph"/>
              <w:ind w:left="100"/>
              <w:rPr>
                <w:sz w:val="20"/>
              </w:rPr>
            </w:pPr>
            <w:r w:rsidRPr="00B81351">
              <w:rPr>
                <w:sz w:val="20"/>
                <w:szCs w:val="20"/>
              </w:rPr>
              <w:t>7.23 ± 1.32</w:t>
            </w:r>
          </w:p>
        </w:tc>
      </w:tr>
      <w:tr w:rsidR="00A43496">
        <w:trPr>
          <w:trHeight w:hRule="exact" w:val="240"/>
        </w:trPr>
        <w:tc>
          <w:tcPr>
            <w:tcW w:w="1752" w:type="dxa"/>
          </w:tcPr>
          <w:p w:rsidR="00A43496" w:rsidRPr="00B81351" w:rsidRDefault="00A43496">
            <w:pPr>
              <w:pStyle w:val="TableParagraph"/>
              <w:rPr>
                <w:sz w:val="20"/>
              </w:rPr>
            </w:pPr>
            <w:r w:rsidRPr="00B81351">
              <w:rPr>
                <w:sz w:val="20"/>
              </w:rPr>
              <w:t>26-35</w:t>
            </w:r>
          </w:p>
        </w:tc>
        <w:tc>
          <w:tcPr>
            <w:tcW w:w="1560" w:type="dxa"/>
          </w:tcPr>
          <w:p w:rsidR="00A43496" w:rsidRPr="00B81351" w:rsidRDefault="00A43496">
            <w:pPr>
              <w:pStyle w:val="TableParagraph"/>
              <w:rPr>
                <w:sz w:val="20"/>
              </w:rPr>
            </w:pPr>
            <w:r w:rsidRPr="00B81351">
              <w:rPr>
                <w:sz w:val="20"/>
              </w:rPr>
              <w:t>32</w:t>
            </w:r>
          </w:p>
        </w:tc>
        <w:tc>
          <w:tcPr>
            <w:tcW w:w="2088" w:type="dxa"/>
          </w:tcPr>
          <w:p w:rsidR="00A43496" w:rsidRPr="00B81351" w:rsidRDefault="00A43496">
            <w:pPr>
              <w:pStyle w:val="TableParagraph"/>
              <w:ind w:left="100"/>
              <w:rPr>
                <w:sz w:val="20"/>
              </w:rPr>
            </w:pPr>
            <w:r w:rsidRPr="00B81351">
              <w:rPr>
                <w:sz w:val="20"/>
                <w:szCs w:val="20"/>
              </w:rPr>
              <w:t xml:space="preserve">15.25 ± </w:t>
            </w:r>
            <w:r w:rsidRPr="00B81351">
              <w:rPr>
                <w:sz w:val="20"/>
                <w:szCs w:val="20"/>
                <w:lang w:bidi="ar-IQ"/>
              </w:rPr>
              <w:t>1.19</w:t>
            </w:r>
          </w:p>
        </w:tc>
        <w:tc>
          <w:tcPr>
            <w:tcW w:w="2093" w:type="dxa"/>
          </w:tcPr>
          <w:p w:rsidR="00A43496" w:rsidRPr="00B81351" w:rsidRDefault="00A43496">
            <w:pPr>
              <w:pStyle w:val="TableParagraph"/>
              <w:rPr>
                <w:sz w:val="20"/>
              </w:rPr>
            </w:pPr>
            <w:r w:rsidRPr="00B81351">
              <w:rPr>
                <w:sz w:val="20"/>
              </w:rPr>
              <w:t>5</w:t>
            </w:r>
          </w:p>
        </w:tc>
        <w:tc>
          <w:tcPr>
            <w:tcW w:w="2088" w:type="dxa"/>
          </w:tcPr>
          <w:p w:rsidR="00A43496" w:rsidRPr="00B81351" w:rsidRDefault="00A43496">
            <w:pPr>
              <w:pStyle w:val="TableParagraph"/>
              <w:ind w:left="100"/>
              <w:rPr>
                <w:sz w:val="20"/>
              </w:rPr>
            </w:pPr>
            <w:r w:rsidRPr="00B81351">
              <w:rPr>
                <w:sz w:val="20"/>
                <w:szCs w:val="20"/>
              </w:rPr>
              <w:t>9.92 ± 0.83</w:t>
            </w:r>
          </w:p>
        </w:tc>
      </w:tr>
      <w:tr w:rsidR="00A43496">
        <w:trPr>
          <w:trHeight w:hRule="exact" w:val="240"/>
        </w:trPr>
        <w:tc>
          <w:tcPr>
            <w:tcW w:w="1752" w:type="dxa"/>
          </w:tcPr>
          <w:p w:rsidR="00A43496" w:rsidRPr="00B81351" w:rsidRDefault="00A43496">
            <w:pPr>
              <w:pStyle w:val="TableParagraph"/>
              <w:rPr>
                <w:sz w:val="20"/>
              </w:rPr>
            </w:pPr>
            <w:r w:rsidRPr="00B81351">
              <w:rPr>
                <w:sz w:val="20"/>
              </w:rPr>
              <w:t>36-45</w:t>
            </w:r>
          </w:p>
        </w:tc>
        <w:tc>
          <w:tcPr>
            <w:tcW w:w="1560" w:type="dxa"/>
          </w:tcPr>
          <w:p w:rsidR="00A43496" w:rsidRPr="00B81351" w:rsidRDefault="00A43496">
            <w:pPr>
              <w:pStyle w:val="TableParagraph"/>
              <w:rPr>
                <w:sz w:val="20"/>
              </w:rPr>
            </w:pPr>
            <w:r w:rsidRPr="00B81351">
              <w:rPr>
                <w:sz w:val="20"/>
              </w:rPr>
              <w:t>38</w:t>
            </w:r>
          </w:p>
        </w:tc>
        <w:tc>
          <w:tcPr>
            <w:tcW w:w="2088" w:type="dxa"/>
          </w:tcPr>
          <w:p w:rsidR="00A43496" w:rsidRPr="00B81351" w:rsidRDefault="00A43496">
            <w:pPr>
              <w:pStyle w:val="TableParagraph"/>
              <w:ind w:left="100"/>
              <w:rPr>
                <w:sz w:val="20"/>
              </w:rPr>
            </w:pPr>
            <w:r w:rsidRPr="00B81351">
              <w:rPr>
                <w:sz w:val="20"/>
                <w:szCs w:val="20"/>
              </w:rPr>
              <w:t xml:space="preserve">15.98 ± </w:t>
            </w:r>
            <w:r w:rsidRPr="00B81351">
              <w:rPr>
                <w:sz w:val="20"/>
                <w:szCs w:val="20"/>
                <w:lang w:bidi="ar-IQ"/>
              </w:rPr>
              <w:t>0.94</w:t>
            </w:r>
          </w:p>
        </w:tc>
        <w:tc>
          <w:tcPr>
            <w:tcW w:w="2093" w:type="dxa"/>
          </w:tcPr>
          <w:p w:rsidR="00A43496" w:rsidRPr="00B81351" w:rsidRDefault="00A43496">
            <w:pPr>
              <w:pStyle w:val="TableParagraph"/>
              <w:rPr>
                <w:sz w:val="20"/>
              </w:rPr>
            </w:pPr>
            <w:r w:rsidRPr="00B81351">
              <w:rPr>
                <w:sz w:val="20"/>
              </w:rPr>
              <w:t>11</w:t>
            </w:r>
          </w:p>
        </w:tc>
        <w:tc>
          <w:tcPr>
            <w:tcW w:w="2088" w:type="dxa"/>
          </w:tcPr>
          <w:p w:rsidR="00A43496" w:rsidRPr="00B81351" w:rsidRDefault="00A43496">
            <w:pPr>
              <w:pStyle w:val="TableParagraph"/>
              <w:ind w:left="100"/>
              <w:rPr>
                <w:sz w:val="20"/>
              </w:rPr>
            </w:pPr>
            <w:r w:rsidRPr="00B81351">
              <w:rPr>
                <w:sz w:val="20"/>
                <w:szCs w:val="20"/>
              </w:rPr>
              <w:t>11.52 ± 1.26</w:t>
            </w:r>
          </w:p>
        </w:tc>
      </w:tr>
      <w:tr w:rsidR="00A43496">
        <w:trPr>
          <w:trHeight w:hRule="exact" w:val="240"/>
        </w:trPr>
        <w:tc>
          <w:tcPr>
            <w:tcW w:w="1752" w:type="dxa"/>
          </w:tcPr>
          <w:p w:rsidR="00A43496" w:rsidRPr="00B81351" w:rsidRDefault="00A43496">
            <w:pPr>
              <w:pStyle w:val="TableParagraph"/>
              <w:rPr>
                <w:sz w:val="20"/>
              </w:rPr>
            </w:pPr>
            <w:r w:rsidRPr="00B81351">
              <w:rPr>
                <w:sz w:val="20"/>
              </w:rPr>
              <w:t>46-55</w:t>
            </w:r>
          </w:p>
        </w:tc>
        <w:tc>
          <w:tcPr>
            <w:tcW w:w="1560" w:type="dxa"/>
          </w:tcPr>
          <w:p w:rsidR="00A43496" w:rsidRPr="00B81351" w:rsidRDefault="00A43496">
            <w:pPr>
              <w:pStyle w:val="TableParagraph"/>
              <w:rPr>
                <w:sz w:val="20"/>
              </w:rPr>
            </w:pPr>
            <w:r w:rsidRPr="00B81351">
              <w:rPr>
                <w:sz w:val="20"/>
              </w:rPr>
              <w:t>32</w:t>
            </w:r>
          </w:p>
        </w:tc>
        <w:tc>
          <w:tcPr>
            <w:tcW w:w="2088" w:type="dxa"/>
          </w:tcPr>
          <w:p w:rsidR="00A43496" w:rsidRPr="00B81351" w:rsidRDefault="00A43496">
            <w:pPr>
              <w:pStyle w:val="TableParagraph"/>
              <w:ind w:left="100"/>
              <w:rPr>
                <w:sz w:val="20"/>
              </w:rPr>
            </w:pPr>
            <w:r w:rsidRPr="00B81351">
              <w:rPr>
                <w:sz w:val="20"/>
                <w:szCs w:val="20"/>
              </w:rPr>
              <w:t xml:space="preserve">16.62 ± </w:t>
            </w:r>
            <w:r w:rsidRPr="00B81351">
              <w:rPr>
                <w:sz w:val="20"/>
                <w:szCs w:val="20"/>
                <w:lang w:bidi="ar-IQ"/>
              </w:rPr>
              <w:t>1.11</w:t>
            </w:r>
            <w:r w:rsidRPr="00B81351">
              <w:rPr>
                <w:sz w:val="20"/>
                <w:szCs w:val="20"/>
                <w:rtl/>
                <w:lang w:bidi="ar-IQ"/>
              </w:rPr>
              <w:t xml:space="preserve"> </w:t>
            </w:r>
            <w:r w:rsidRPr="00B81351">
              <w:rPr>
                <w:sz w:val="20"/>
                <w:szCs w:val="20"/>
              </w:rPr>
              <w:t xml:space="preserve"> </w:t>
            </w:r>
          </w:p>
        </w:tc>
        <w:tc>
          <w:tcPr>
            <w:tcW w:w="2093" w:type="dxa"/>
          </w:tcPr>
          <w:p w:rsidR="00A43496" w:rsidRPr="00B81351" w:rsidRDefault="00A43496">
            <w:pPr>
              <w:pStyle w:val="TableParagraph"/>
              <w:rPr>
                <w:sz w:val="20"/>
              </w:rPr>
            </w:pPr>
            <w:r w:rsidRPr="00B81351">
              <w:rPr>
                <w:sz w:val="20"/>
              </w:rPr>
              <w:t>16</w:t>
            </w:r>
          </w:p>
        </w:tc>
        <w:tc>
          <w:tcPr>
            <w:tcW w:w="2088" w:type="dxa"/>
          </w:tcPr>
          <w:p w:rsidR="00A43496" w:rsidRPr="00B81351" w:rsidRDefault="00A43496">
            <w:pPr>
              <w:pStyle w:val="TableParagraph"/>
              <w:ind w:left="100"/>
              <w:rPr>
                <w:sz w:val="20"/>
              </w:rPr>
            </w:pPr>
            <w:r w:rsidRPr="00B81351">
              <w:rPr>
                <w:sz w:val="20"/>
                <w:szCs w:val="20"/>
              </w:rPr>
              <w:t>12.76 ± 1.13</w:t>
            </w:r>
          </w:p>
        </w:tc>
      </w:tr>
      <w:tr w:rsidR="00A43496">
        <w:trPr>
          <w:trHeight w:hRule="exact" w:val="240"/>
        </w:trPr>
        <w:tc>
          <w:tcPr>
            <w:tcW w:w="1752" w:type="dxa"/>
          </w:tcPr>
          <w:p w:rsidR="00A43496" w:rsidRPr="00B81351" w:rsidRDefault="00A43496">
            <w:pPr>
              <w:pStyle w:val="TableParagraph"/>
              <w:rPr>
                <w:sz w:val="20"/>
              </w:rPr>
            </w:pPr>
            <w:r w:rsidRPr="00B81351">
              <w:rPr>
                <w:sz w:val="20"/>
              </w:rPr>
              <w:t>More than 56</w:t>
            </w:r>
          </w:p>
        </w:tc>
        <w:tc>
          <w:tcPr>
            <w:tcW w:w="1560" w:type="dxa"/>
          </w:tcPr>
          <w:p w:rsidR="00A43496" w:rsidRPr="00B81351" w:rsidRDefault="00A43496">
            <w:pPr>
              <w:pStyle w:val="TableParagraph"/>
              <w:rPr>
                <w:sz w:val="20"/>
              </w:rPr>
            </w:pPr>
            <w:r w:rsidRPr="00B81351">
              <w:rPr>
                <w:sz w:val="20"/>
              </w:rPr>
              <w:t>29</w:t>
            </w:r>
          </w:p>
        </w:tc>
        <w:tc>
          <w:tcPr>
            <w:tcW w:w="2088" w:type="dxa"/>
          </w:tcPr>
          <w:p w:rsidR="00A43496" w:rsidRPr="00B81351" w:rsidRDefault="00A43496">
            <w:pPr>
              <w:pStyle w:val="TableParagraph"/>
              <w:ind w:left="100"/>
              <w:rPr>
                <w:sz w:val="20"/>
              </w:rPr>
            </w:pPr>
            <w:r w:rsidRPr="00B81351">
              <w:rPr>
                <w:sz w:val="20"/>
                <w:szCs w:val="20"/>
              </w:rPr>
              <w:t>20.70 ± 0.76</w:t>
            </w:r>
          </w:p>
        </w:tc>
        <w:tc>
          <w:tcPr>
            <w:tcW w:w="2093" w:type="dxa"/>
          </w:tcPr>
          <w:p w:rsidR="00A43496" w:rsidRPr="00B81351" w:rsidRDefault="00A43496">
            <w:pPr>
              <w:pStyle w:val="TableParagraph"/>
              <w:rPr>
                <w:sz w:val="20"/>
              </w:rPr>
            </w:pPr>
            <w:r w:rsidRPr="00B81351">
              <w:rPr>
                <w:sz w:val="20"/>
              </w:rPr>
              <w:t>12</w:t>
            </w:r>
          </w:p>
        </w:tc>
        <w:tc>
          <w:tcPr>
            <w:tcW w:w="2088" w:type="dxa"/>
          </w:tcPr>
          <w:p w:rsidR="00A43496" w:rsidRPr="00B81351" w:rsidRDefault="00A43496">
            <w:pPr>
              <w:pStyle w:val="TableParagraph"/>
              <w:ind w:left="100"/>
              <w:rPr>
                <w:sz w:val="20"/>
              </w:rPr>
            </w:pPr>
            <w:r w:rsidRPr="00B81351">
              <w:rPr>
                <w:sz w:val="20"/>
                <w:szCs w:val="20"/>
              </w:rPr>
              <w:t>14.29 ± 0.84</w:t>
            </w:r>
          </w:p>
        </w:tc>
      </w:tr>
    </w:tbl>
    <w:p w:rsidR="00A43496" w:rsidRDefault="00A43496">
      <w:pPr>
        <w:pStyle w:val="BodyText"/>
        <w:spacing w:before="7"/>
        <w:ind w:left="0"/>
        <w:jc w:val="left"/>
        <w:rPr>
          <w:b/>
          <w:sz w:val="12"/>
        </w:rPr>
      </w:pPr>
    </w:p>
    <w:p w:rsidR="00A43496" w:rsidRDefault="00A43496">
      <w:pPr>
        <w:rPr>
          <w:sz w:val="12"/>
        </w:rPr>
        <w:sectPr w:rsidR="00A43496">
          <w:type w:val="continuous"/>
          <w:pgSz w:w="12240" w:h="15840"/>
          <w:pgMar w:top="1020" w:right="1220" w:bottom="920" w:left="1220" w:header="720" w:footer="720" w:gutter="0"/>
          <w:cols w:space="720"/>
        </w:sectPr>
      </w:pPr>
    </w:p>
    <w:p w:rsidR="00A43496" w:rsidRDefault="00A43496" w:rsidP="0016739F">
      <w:pPr>
        <w:pStyle w:val="BodyText"/>
        <w:spacing w:before="76"/>
        <w:ind w:left="220" w:firstLine="427"/>
        <w:jc w:val="left"/>
      </w:pPr>
      <w:r>
        <w:t>While the results showed decrease in levels of GSH between age groups, the smokers with age   of</w:t>
      </w:r>
    </w:p>
    <w:p w:rsidR="00A43496" w:rsidRDefault="00A43496">
      <w:pPr>
        <w:pStyle w:val="BodyText"/>
        <w:spacing w:before="76"/>
        <w:ind w:left="220"/>
        <w:jc w:val="left"/>
      </w:pPr>
      <w:r>
        <w:br w:type="column"/>
        <w:t>more than 56 years showed a lowest level than other age groups, as shown in tables (4).</w:t>
      </w:r>
    </w:p>
    <w:p w:rsidR="00A43496" w:rsidRDefault="00A43496">
      <w:pPr>
        <w:sectPr w:rsidR="00A43496">
          <w:type w:val="continuous"/>
          <w:pgSz w:w="12240" w:h="15840"/>
          <w:pgMar w:top="1020" w:right="1220" w:bottom="920" w:left="1220" w:header="720" w:footer="720" w:gutter="0"/>
          <w:cols w:num="2" w:space="720" w:equalWidth="0">
            <w:col w:w="4689" w:space="202"/>
            <w:col w:w="4909"/>
          </w:cols>
        </w:sectPr>
      </w:pPr>
    </w:p>
    <w:p w:rsidR="00A43496" w:rsidRDefault="00A43496">
      <w:pPr>
        <w:pStyle w:val="BodyText"/>
        <w:spacing w:before="10"/>
        <w:ind w:left="0"/>
        <w:jc w:val="left"/>
        <w:rPr>
          <w:sz w:val="13"/>
        </w:rPr>
      </w:pPr>
    </w:p>
    <w:p w:rsidR="00A43496" w:rsidRPr="000F0244" w:rsidRDefault="00A43496" w:rsidP="0016739F">
      <w:pPr>
        <w:pStyle w:val="Heading1"/>
        <w:spacing w:after="5"/>
        <w:ind w:left="1540"/>
      </w:pPr>
      <w:r w:rsidRPr="000F0244">
        <w:t xml:space="preserve">Table (4): Effect of age on smoker GSH levels </w:t>
      </w:r>
      <w:r>
        <w:t>,</w:t>
      </w:r>
      <w:r w:rsidRPr="000F0244">
        <w:rPr>
          <w:color w:val="000000"/>
        </w:rPr>
        <w:t xml:space="preserve">values are mean ± </w:t>
      </w:r>
      <w:r w:rsidRPr="000F0244">
        <w:t>SD</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29"/>
        <w:gridCol w:w="1622"/>
        <w:gridCol w:w="1978"/>
        <w:gridCol w:w="2174"/>
        <w:gridCol w:w="1978"/>
      </w:tblGrid>
      <w:tr w:rsidR="00A43496">
        <w:trPr>
          <w:trHeight w:hRule="exact" w:val="240"/>
        </w:trPr>
        <w:tc>
          <w:tcPr>
            <w:tcW w:w="1829" w:type="dxa"/>
          </w:tcPr>
          <w:p w:rsidR="00A43496" w:rsidRPr="000F0244" w:rsidRDefault="00A43496">
            <w:pPr>
              <w:pStyle w:val="TableParagraph"/>
              <w:rPr>
                <w:sz w:val="20"/>
              </w:rPr>
            </w:pPr>
            <w:r w:rsidRPr="000F0244">
              <w:rPr>
                <w:sz w:val="20"/>
              </w:rPr>
              <w:t>Age groups</w:t>
            </w:r>
          </w:p>
        </w:tc>
        <w:tc>
          <w:tcPr>
            <w:tcW w:w="1622" w:type="dxa"/>
          </w:tcPr>
          <w:p w:rsidR="00A43496" w:rsidRPr="000F0244" w:rsidRDefault="00A43496">
            <w:pPr>
              <w:pStyle w:val="TableParagraph"/>
              <w:rPr>
                <w:sz w:val="20"/>
              </w:rPr>
            </w:pPr>
            <w:r w:rsidRPr="000F0244">
              <w:rPr>
                <w:sz w:val="20"/>
              </w:rPr>
              <w:t xml:space="preserve">No. </w:t>
            </w:r>
            <w:r>
              <w:rPr>
                <w:sz w:val="20"/>
              </w:rPr>
              <w:t xml:space="preserve">of </w:t>
            </w:r>
            <w:r w:rsidRPr="000F0244">
              <w:rPr>
                <w:sz w:val="20"/>
              </w:rPr>
              <w:t>smoker</w:t>
            </w:r>
          </w:p>
        </w:tc>
        <w:tc>
          <w:tcPr>
            <w:tcW w:w="1978" w:type="dxa"/>
          </w:tcPr>
          <w:p w:rsidR="00A43496" w:rsidRPr="000F0244" w:rsidRDefault="00A43496">
            <w:pPr>
              <w:pStyle w:val="TableParagraph"/>
              <w:rPr>
                <w:sz w:val="20"/>
              </w:rPr>
            </w:pPr>
            <w:r w:rsidRPr="000F0244">
              <w:rPr>
                <w:sz w:val="20"/>
              </w:rPr>
              <w:t>GSH (mM/ml)</w:t>
            </w:r>
          </w:p>
        </w:tc>
        <w:tc>
          <w:tcPr>
            <w:tcW w:w="2174" w:type="dxa"/>
          </w:tcPr>
          <w:p w:rsidR="00A43496" w:rsidRPr="000F0244" w:rsidRDefault="00A43496">
            <w:pPr>
              <w:pStyle w:val="TableParagraph"/>
              <w:ind w:left="100"/>
              <w:rPr>
                <w:sz w:val="20"/>
              </w:rPr>
            </w:pPr>
            <w:r w:rsidRPr="000F0244">
              <w:rPr>
                <w:sz w:val="20"/>
              </w:rPr>
              <w:t xml:space="preserve">No. </w:t>
            </w:r>
            <w:r>
              <w:rPr>
                <w:sz w:val="20"/>
              </w:rPr>
              <w:t xml:space="preserve">of </w:t>
            </w:r>
            <w:r w:rsidRPr="000F0244">
              <w:rPr>
                <w:sz w:val="20"/>
              </w:rPr>
              <w:t>Non smoker</w:t>
            </w:r>
          </w:p>
        </w:tc>
        <w:tc>
          <w:tcPr>
            <w:tcW w:w="1978" w:type="dxa"/>
          </w:tcPr>
          <w:p w:rsidR="00A43496" w:rsidRPr="000F0244" w:rsidRDefault="00A43496">
            <w:pPr>
              <w:pStyle w:val="TableParagraph"/>
              <w:rPr>
                <w:sz w:val="20"/>
              </w:rPr>
            </w:pPr>
            <w:r w:rsidRPr="000F0244">
              <w:rPr>
                <w:sz w:val="20"/>
              </w:rPr>
              <w:t>GSH (mM/ml)</w:t>
            </w:r>
          </w:p>
        </w:tc>
      </w:tr>
      <w:tr w:rsidR="00A43496">
        <w:trPr>
          <w:trHeight w:hRule="exact" w:val="240"/>
        </w:trPr>
        <w:tc>
          <w:tcPr>
            <w:tcW w:w="1829" w:type="dxa"/>
          </w:tcPr>
          <w:p w:rsidR="00A43496" w:rsidRPr="000F0244" w:rsidRDefault="00A43496">
            <w:pPr>
              <w:pStyle w:val="TableParagraph"/>
              <w:rPr>
                <w:sz w:val="20"/>
              </w:rPr>
            </w:pPr>
            <w:r w:rsidRPr="000F0244">
              <w:rPr>
                <w:sz w:val="20"/>
              </w:rPr>
              <w:t>14-25</w:t>
            </w:r>
          </w:p>
        </w:tc>
        <w:tc>
          <w:tcPr>
            <w:tcW w:w="1622" w:type="dxa"/>
          </w:tcPr>
          <w:p w:rsidR="00A43496" w:rsidRPr="000F0244" w:rsidRDefault="00A43496">
            <w:pPr>
              <w:pStyle w:val="TableParagraph"/>
              <w:rPr>
                <w:sz w:val="20"/>
              </w:rPr>
            </w:pPr>
            <w:r w:rsidRPr="000F0244">
              <w:rPr>
                <w:sz w:val="20"/>
              </w:rPr>
              <w:t>19</w:t>
            </w:r>
          </w:p>
        </w:tc>
        <w:tc>
          <w:tcPr>
            <w:tcW w:w="1978" w:type="dxa"/>
          </w:tcPr>
          <w:p w:rsidR="00A43496" w:rsidRPr="000F0244" w:rsidRDefault="00A43496">
            <w:pPr>
              <w:pStyle w:val="TableParagraph"/>
              <w:rPr>
                <w:sz w:val="20"/>
              </w:rPr>
            </w:pPr>
            <w:r w:rsidRPr="000F0244">
              <w:rPr>
                <w:sz w:val="20"/>
                <w:szCs w:val="20"/>
              </w:rPr>
              <w:t xml:space="preserve">10.92 ± </w:t>
            </w:r>
            <w:r w:rsidRPr="000F0244">
              <w:rPr>
                <w:sz w:val="20"/>
                <w:szCs w:val="20"/>
                <w:lang w:bidi="ar-IQ"/>
              </w:rPr>
              <w:t>191</w:t>
            </w:r>
          </w:p>
        </w:tc>
        <w:tc>
          <w:tcPr>
            <w:tcW w:w="2174" w:type="dxa"/>
          </w:tcPr>
          <w:p w:rsidR="00A43496" w:rsidRPr="000F0244" w:rsidRDefault="00A43496">
            <w:pPr>
              <w:pStyle w:val="TableParagraph"/>
              <w:ind w:left="100"/>
              <w:rPr>
                <w:sz w:val="20"/>
              </w:rPr>
            </w:pPr>
            <w:r w:rsidRPr="000F0244">
              <w:rPr>
                <w:sz w:val="20"/>
              </w:rPr>
              <w:t>6</w:t>
            </w:r>
          </w:p>
        </w:tc>
        <w:tc>
          <w:tcPr>
            <w:tcW w:w="1978" w:type="dxa"/>
          </w:tcPr>
          <w:p w:rsidR="00A43496" w:rsidRPr="000F0244" w:rsidRDefault="00A43496">
            <w:pPr>
              <w:pStyle w:val="TableParagraph"/>
              <w:rPr>
                <w:sz w:val="20"/>
              </w:rPr>
            </w:pPr>
            <w:r w:rsidRPr="000F0244">
              <w:rPr>
                <w:sz w:val="20"/>
                <w:szCs w:val="20"/>
              </w:rPr>
              <w:t>15.8±</w:t>
            </w:r>
            <w:r w:rsidRPr="000F0244">
              <w:rPr>
                <w:sz w:val="20"/>
                <w:szCs w:val="20"/>
                <w:lang w:bidi="ar-IQ"/>
              </w:rPr>
              <w:t>2.4</w:t>
            </w:r>
          </w:p>
        </w:tc>
      </w:tr>
      <w:tr w:rsidR="00A43496">
        <w:trPr>
          <w:trHeight w:hRule="exact" w:val="240"/>
        </w:trPr>
        <w:tc>
          <w:tcPr>
            <w:tcW w:w="1829" w:type="dxa"/>
          </w:tcPr>
          <w:p w:rsidR="00A43496" w:rsidRPr="000F0244" w:rsidRDefault="00A43496">
            <w:pPr>
              <w:pStyle w:val="TableParagraph"/>
              <w:rPr>
                <w:sz w:val="20"/>
              </w:rPr>
            </w:pPr>
            <w:r w:rsidRPr="000F0244">
              <w:rPr>
                <w:sz w:val="20"/>
              </w:rPr>
              <w:t>26-35</w:t>
            </w:r>
          </w:p>
        </w:tc>
        <w:tc>
          <w:tcPr>
            <w:tcW w:w="1622" w:type="dxa"/>
          </w:tcPr>
          <w:p w:rsidR="00A43496" w:rsidRPr="000F0244" w:rsidRDefault="00A43496">
            <w:pPr>
              <w:pStyle w:val="TableParagraph"/>
              <w:rPr>
                <w:sz w:val="20"/>
              </w:rPr>
            </w:pPr>
            <w:r w:rsidRPr="000F0244">
              <w:rPr>
                <w:sz w:val="20"/>
              </w:rPr>
              <w:t>32</w:t>
            </w:r>
          </w:p>
        </w:tc>
        <w:tc>
          <w:tcPr>
            <w:tcW w:w="1978" w:type="dxa"/>
          </w:tcPr>
          <w:p w:rsidR="00A43496" w:rsidRPr="000F0244" w:rsidRDefault="00A43496">
            <w:pPr>
              <w:pStyle w:val="TableParagraph"/>
              <w:rPr>
                <w:sz w:val="20"/>
              </w:rPr>
            </w:pPr>
            <w:r w:rsidRPr="000F0244">
              <w:rPr>
                <w:sz w:val="20"/>
                <w:szCs w:val="20"/>
              </w:rPr>
              <w:t>10.57 ± 1.73</w:t>
            </w:r>
          </w:p>
        </w:tc>
        <w:tc>
          <w:tcPr>
            <w:tcW w:w="2174" w:type="dxa"/>
          </w:tcPr>
          <w:p w:rsidR="00A43496" w:rsidRPr="000F0244" w:rsidRDefault="00A43496">
            <w:pPr>
              <w:pStyle w:val="TableParagraph"/>
              <w:ind w:left="100"/>
              <w:rPr>
                <w:sz w:val="20"/>
              </w:rPr>
            </w:pPr>
            <w:r w:rsidRPr="000F0244">
              <w:rPr>
                <w:sz w:val="20"/>
              </w:rPr>
              <w:t>5</w:t>
            </w:r>
          </w:p>
        </w:tc>
        <w:tc>
          <w:tcPr>
            <w:tcW w:w="1978" w:type="dxa"/>
          </w:tcPr>
          <w:p w:rsidR="00A43496" w:rsidRPr="000F0244" w:rsidRDefault="00A43496">
            <w:pPr>
              <w:pStyle w:val="TableParagraph"/>
              <w:rPr>
                <w:sz w:val="20"/>
              </w:rPr>
            </w:pPr>
            <w:r w:rsidRPr="000F0244">
              <w:rPr>
                <w:sz w:val="20"/>
                <w:szCs w:val="20"/>
              </w:rPr>
              <w:t>15.1 ±</w:t>
            </w:r>
            <w:r w:rsidRPr="000F0244">
              <w:rPr>
                <w:sz w:val="20"/>
                <w:szCs w:val="20"/>
                <w:lang w:bidi="ar-IQ"/>
              </w:rPr>
              <w:t>2.2</w:t>
            </w:r>
          </w:p>
        </w:tc>
      </w:tr>
      <w:tr w:rsidR="00A43496">
        <w:trPr>
          <w:trHeight w:hRule="exact" w:val="240"/>
        </w:trPr>
        <w:tc>
          <w:tcPr>
            <w:tcW w:w="1829" w:type="dxa"/>
          </w:tcPr>
          <w:p w:rsidR="00A43496" w:rsidRPr="000F0244" w:rsidRDefault="00A43496">
            <w:pPr>
              <w:pStyle w:val="TableParagraph"/>
              <w:rPr>
                <w:sz w:val="20"/>
              </w:rPr>
            </w:pPr>
            <w:r w:rsidRPr="000F0244">
              <w:rPr>
                <w:sz w:val="20"/>
              </w:rPr>
              <w:t>36-45</w:t>
            </w:r>
          </w:p>
        </w:tc>
        <w:tc>
          <w:tcPr>
            <w:tcW w:w="1622" w:type="dxa"/>
          </w:tcPr>
          <w:p w:rsidR="00A43496" w:rsidRPr="000F0244" w:rsidRDefault="00A43496">
            <w:pPr>
              <w:pStyle w:val="TableParagraph"/>
              <w:rPr>
                <w:sz w:val="20"/>
              </w:rPr>
            </w:pPr>
            <w:r w:rsidRPr="000F0244">
              <w:rPr>
                <w:sz w:val="20"/>
              </w:rPr>
              <w:t>38</w:t>
            </w:r>
          </w:p>
        </w:tc>
        <w:tc>
          <w:tcPr>
            <w:tcW w:w="1978" w:type="dxa"/>
          </w:tcPr>
          <w:p w:rsidR="00A43496" w:rsidRPr="000F0244" w:rsidRDefault="00A43496">
            <w:pPr>
              <w:pStyle w:val="TableParagraph"/>
              <w:rPr>
                <w:sz w:val="20"/>
              </w:rPr>
            </w:pPr>
            <w:r w:rsidRPr="000F0244">
              <w:rPr>
                <w:sz w:val="20"/>
                <w:szCs w:val="20"/>
              </w:rPr>
              <w:t>9.80 ± 1.47</w:t>
            </w:r>
          </w:p>
        </w:tc>
        <w:tc>
          <w:tcPr>
            <w:tcW w:w="2174" w:type="dxa"/>
          </w:tcPr>
          <w:p w:rsidR="00A43496" w:rsidRPr="000F0244" w:rsidRDefault="00A43496">
            <w:pPr>
              <w:pStyle w:val="TableParagraph"/>
              <w:ind w:left="100"/>
              <w:rPr>
                <w:sz w:val="20"/>
              </w:rPr>
            </w:pPr>
            <w:r w:rsidRPr="000F0244">
              <w:rPr>
                <w:sz w:val="20"/>
              </w:rPr>
              <w:t>11</w:t>
            </w:r>
          </w:p>
        </w:tc>
        <w:tc>
          <w:tcPr>
            <w:tcW w:w="1978" w:type="dxa"/>
          </w:tcPr>
          <w:p w:rsidR="00A43496" w:rsidRPr="000F0244" w:rsidRDefault="00A43496">
            <w:pPr>
              <w:pStyle w:val="TableParagraph"/>
              <w:rPr>
                <w:sz w:val="20"/>
              </w:rPr>
            </w:pPr>
            <w:r w:rsidRPr="000F0244">
              <w:rPr>
                <w:sz w:val="20"/>
                <w:szCs w:val="20"/>
              </w:rPr>
              <w:t>13.1±</w:t>
            </w:r>
            <w:r w:rsidRPr="000F0244">
              <w:rPr>
                <w:sz w:val="20"/>
                <w:szCs w:val="20"/>
                <w:lang w:bidi="ar-IQ"/>
              </w:rPr>
              <w:t>2.7</w:t>
            </w:r>
          </w:p>
        </w:tc>
      </w:tr>
      <w:tr w:rsidR="00A43496">
        <w:trPr>
          <w:trHeight w:hRule="exact" w:val="240"/>
        </w:trPr>
        <w:tc>
          <w:tcPr>
            <w:tcW w:w="1829" w:type="dxa"/>
          </w:tcPr>
          <w:p w:rsidR="00A43496" w:rsidRPr="000F0244" w:rsidRDefault="00A43496">
            <w:pPr>
              <w:pStyle w:val="TableParagraph"/>
              <w:rPr>
                <w:sz w:val="20"/>
              </w:rPr>
            </w:pPr>
            <w:r w:rsidRPr="000F0244">
              <w:rPr>
                <w:sz w:val="20"/>
              </w:rPr>
              <w:t>46-55</w:t>
            </w:r>
          </w:p>
        </w:tc>
        <w:tc>
          <w:tcPr>
            <w:tcW w:w="1622" w:type="dxa"/>
          </w:tcPr>
          <w:p w:rsidR="00A43496" w:rsidRPr="000F0244" w:rsidRDefault="00A43496">
            <w:pPr>
              <w:pStyle w:val="TableParagraph"/>
              <w:rPr>
                <w:sz w:val="20"/>
              </w:rPr>
            </w:pPr>
            <w:r w:rsidRPr="000F0244">
              <w:rPr>
                <w:sz w:val="20"/>
              </w:rPr>
              <w:t>32</w:t>
            </w:r>
          </w:p>
        </w:tc>
        <w:tc>
          <w:tcPr>
            <w:tcW w:w="1978" w:type="dxa"/>
          </w:tcPr>
          <w:p w:rsidR="00A43496" w:rsidRPr="000F0244" w:rsidRDefault="00A43496">
            <w:pPr>
              <w:pStyle w:val="TableParagraph"/>
              <w:rPr>
                <w:sz w:val="20"/>
              </w:rPr>
            </w:pPr>
            <w:r w:rsidRPr="000F0244">
              <w:rPr>
                <w:sz w:val="20"/>
                <w:szCs w:val="20"/>
              </w:rPr>
              <w:t xml:space="preserve">8.69 ± </w:t>
            </w:r>
            <w:r w:rsidRPr="000F0244">
              <w:rPr>
                <w:sz w:val="20"/>
                <w:szCs w:val="20"/>
                <w:lang w:bidi="ar-IQ"/>
              </w:rPr>
              <w:t>1.63</w:t>
            </w:r>
          </w:p>
        </w:tc>
        <w:tc>
          <w:tcPr>
            <w:tcW w:w="2174" w:type="dxa"/>
          </w:tcPr>
          <w:p w:rsidR="00A43496" w:rsidRPr="000F0244" w:rsidRDefault="00A43496">
            <w:pPr>
              <w:pStyle w:val="TableParagraph"/>
              <w:ind w:left="100"/>
              <w:rPr>
                <w:sz w:val="20"/>
              </w:rPr>
            </w:pPr>
            <w:r w:rsidRPr="000F0244">
              <w:rPr>
                <w:sz w:val="20"/>
              </w:rPr>
              <w:t>16</w:t>
            </w:r>
          </w:p>
        </w:tc>
        <w:tc>
          <w:tcPr>
            <w:tcW w:w="1978" w:type="dxa"/>
          </w:tcPr>
          <w:p w:rsidR="00A43496" w:rsidRPr="000F0244" w:rsidRDefault="00A43496">
            <w:pPr>
              <w:pStyle w:val="TableParagraph"/>
              <w:rPr>
                <w:sz w:val="20"/>
              </w:rPr>
            </w:pPr>
            <w:r w:rsidRPr="000F0244">
              <w:rPr>
                <w:sz w:val="20"/>
                <w:szCs w:val="20"/>
              </w:rPr>
              <w:t>12.6±2.8</w:t>
            </w:r>
          </w:p>
        </w:tc>
      </w:tr>
      <w:tr w:rsidR="00A43496">
        <w:trPr>
          <w:trHeight w:hRule="exact" w:val="240"/>
        </w:trPr>
        <w:tc>
          <w:tcPr>
            <w:tcW w:w="1829" w:type="dxa"/>
          </w:tcPr>
          <w:p w:rsidR="00A43496" w:rsidRPr="000F0244" w:rsidRDefault="00A43496">
            <w:pPr>
              <w:pStyle w:val="TableParagraph"/>
              <w:rPr>
                <w:sz w:val="20"/>
              </w:rPr>
            </w:pPr>
            <w:r w:rsidRPr="000F0244">
              <w:rPr>
                <w:sz w:val="20"/>
              </w:rPr>
              <w:t>More than 56</w:t>
            </w:r>
          </w:p>
        </w:tc>
        <w:tc>
          <w:tcPr>
            <w:tcW w:w="1622" w:type="dxa"/>
          </w:tcPr>
          <w:p w:rsidR="00A43496" w:rsidRPr="000F0244" w:rsidRDefault="00A43496">
            <w:pPr>
              <w:pStyle w:val="TableParagraph"/>
              <w:rPr>
                <w:sz w:val="20"/>
              </w:rPr>
            </w:pPr>
            <w:r w:rsidRPr="000F0244">
              <w:rPr>
                <w:sz w:val="20"/>
              </w:rPr>
              <w:t>29</w:t>
            </w:r>
          </w:p>
        </w:tc>
        <w:tc>
          <w:tcPr>
            <w:tcW w:w="1978" w:type="dxa"/>
          </w:tcPr>
          <w:p w:rsidR="00A43496" w:rsidRPr="000F0244" w:rsidRDefault="00A43496">
            <w:pPr>
              <w:pStyle w:val="TableParagraph"/>
              <w:rPr>
                <w:sz w:val="20"/>
              </w:rPr>
            </w:pPr>
            <w:r w:rsidRPr="000F0244">
              <w:rPr>
                <w:sz w:val="20"/>
                <w:szCs w:val="20"/>
              </w:rPr>
              <w:t>7.64 ± 1.67</w:t>
            </w:r>
          </w:p>
        </w:tc>
        <w:tc>
          <w:tcPr>
            <w:tcW w:w="2174" w:type="dxa"/>
          </w:tcPr>
          <w:p w:rsidR="00A43496" w:rsidRPr="000F0244" w:rsidRDefault="00A43496">
            <w:pPr>
              <w:pStyle w:val="TableParagraph"/>
              <w:ind w:left="100"/>
              <w:rPr>
                <w:sz w:val="20"/>
              </w:rPr>
            </w:pPr>
            <w:r w:rsidRPr="000F0244">
              <w:rPr>
                <w:sz w:val="20"/>
              </w:rPr>
              <w:t>12</w:t>
            </w:r>
          </w:p>
        </w:tc>
        <w:tc>
          <w:tcPr>
            <w:tcW w:w="1978" w:type="dxa"/>
          </w:tcPr>
          <w:p w:rsidR="00A43496" w:rsidRPr="000F0244" w:rsidRDefault="00A43496">
            <w:pPr>
              <w:pStyle w:val="TableParagraph"/>
              <w:rPr>
                <w:sz w:val="20"/>
              </w:rPr>
            </w:pPr>
            <w:r w:rsidRPr="000F0244">
              <w:rPr>
                <w:sz w:val="20"/>
                <w:szCs w:val="20"/>
              </w:rPr>
              <w:t>12.2±2.1</w:t>
            </w:r>
          </w:p>
        </w:tc>
      </w:tr>
    </w:tbl>
    <w:p w:rsidR="00A43496" w:rsidRDefault="00A43496">
      <w:pPr>
        <w:rPr>
          <w:sz w:val="20"/>
        </w:rPr>
        <w:sectPr w:rsidR="00A43496">
          <w:type w:val="continuous"/>
          <w:pgSz w:w="12240" w:h="15840"/>
          <w:pgMar w:top="1020" w:right="1220" w:bottom="920" w:left="1220" w:header="720" w:footer="720" w:gutter="0"/>
          <w:cols w:space="720"/>
        </w:sectPr>
      </w:pPr>
    </w:p>
    <w:p w:rsidR="00A43496" w:rsidRDefault="00A43496">
      <w:pPr>
        <w:pStyle w:val="BodyText"/>
        <w:spacing w:before="1"/>
        <w:ind w:left="0"/>
        <w:jc w:val="left"/>
        <w:rPr>
          <w:b/>
          <w:sz w:val="28"/>
        </w:rPr>
      </w:pPr>
    </w:p>
    <w:p w:rsidR="00A43496" w:rsidRDefault="00A43496">
      <w:pPr>
        <w:rPr>
          <w:sz w:val="28"/>
        </w:rPr>
        <w:sectPr w:rsidR="00A43496">
          <w:pgSz w:w="12240" w:h="15840"/>
          <w:pgMar w:top="1020" w:right="1220" w:bottom="920" w:left="1220" w:header="740" w:footer="730" w:gutter="0"/>
          <w:cols w:space="720"/>
        </w:sectPr>
      </w:pPr>
    </w:p>
    <w:p w:rsidR="00A43496" w:rsidRDefault="00A43496" w:rsidP="0016739F">
      <w:pPr>
        <w:pStyle w:val="BodyText"/>
        <w:spacing w:before="76"/>
        <w:ind w:left="220" w:firstLine="427"/>
      </w:pPr>
      <w:r>
        <w:t xml:space="preserve">Also, it </w:t>
      </w:r>
      <w:r>
        <w:rPr>
          <w:spacing w:val="-3"/>
        </w:rPr>
        <w:t xml:space="preserve">was observed </w:t>
      </w:r>
      <w:r>
        <w:t xml:space="preserve">significant  changes </w:t>
      </w:r>
      <w:r w:rsidRPr="00C37AAE">
        <w:t>(P&lt;0.01)</w:t>
      </w:r>
      <w:r>
        <w:t xml:space="preserve"> in </w:t>
      </w:r>
      <w:r>
        <w:rPr>
          <w:spacing w:val="-3"/>
        </w:rPr>
        <w:t xml:space="preserve">level </w:t>
      </w:r>
      <w:r>
        <w:t xml:space="preserve">of TNF-α and CD8 association with smoking duration as </w:t>
      </w:r>
      <w:r>
        <w:rPr>
          <w:spacing w:val="-3"/>
        </w:rPr>
        <w:t xml:space="preserve">shown </w:t>
      </w:r>
      <w:r>
        <w:t xml:space="preserve">in table (5), the groups of  more  than  20  </w:t>
      </w:r>
      <w:r>
        <w:rPr>
          <w:spacing w:val="-3"/>
        </w:rPr>
        <w:t xml:space="preserve">year  of  </w:t>
      </w:r>
      <w:r>
        <w:t xml:space="preserve">smoking  </w:t>
      </w:r>
      <w:r>
        <w:rPr>
          <w:spacing w:val="-3"/>
        </w:rPr>
        <w:t xml:space="preserve">showed  </w:t>
      </w:r>
      <w:r>
        <w:t xml:space="preserve">a  </w:t>
      </w:r>
      <w:r>
        <w:rPr>
          <w:spacing w:val="23"/>
        </w:rPr>
        <w:t xml:space="preserve"> </w:t>
      </w:r>
      <w:r>
        <w:t>higher</w:t>
      </w:r>
    </w:p>
    <w:p w:rsidR="00A43496" w:rsidRDefault="00A43496" w:rsidP="0016739F">
      <w:pPr>
        <w:pStyle w:val="BodyText"/>
        <w:spacing w:before="76"/>
        <w:ind w:left="220" w:right="214"/>
      </w:pPr>
      <w:r>
        <w:br w:type="column"/>
        <w:t>levels of TNF-α and CD8 than other smoker groups. On the other hand, all smoker groups showed significant changes when compared with control group.</w:t>
      </w:r>
    </w:p>
    <w:p w:rsidR="00A43496" w:rsidRDefault="00A43496">
      <w:pPr>
        <w:sectPr w:rsidR="00A43496">
          <w:type w:val="continuous"/>
          <w:pgSz w:w="12240" w:h="15840"/>
          <w:pgMar w:top="1020" w:right="1220" w:bottom="920" w:left="1220" w:header="720" w:footer="720" w:gutter="0"/>
          <w:cols w:num="2" w:space="720" w:equalWidth="0">
            <w:col w:w="4691" w:space="200"/>
            <w:col w:w="4909"/>
          </w:cols>
        </w:sectPr>
      </w:pPr>
    </w:p>
    <w:p w:rsidR="00A43496" w:rsidRDefault="00A43496">
      <w:pPr>
        <w:pStyle w:val="BodyText"/>
        <w:spacing w:before="5"/>
        <w:ind w:left="0"/>
        <w:jc w:val="left"/>
        <w:rPr>
          <w:sz w:val="13"/>
        </w:rPr>
      </w:pPr>
    </w:p>
    <w:p w:rsidR="00A43496" w:rsidRPr="00A34FE3" w:rsidRDefault="00A43496" w:rsidP="000F0244">
      <w:pPr>
        <w:pStyle w:val="Heading1"/>
        <w:spacing w:after="5"/>
        <w:ind w:left="110"/>
      </w:pPr>
      <w:r>
        <w:t xml:space="preserve">Table (5): Effect of smoking duration on smoker TNF- </w:t>
      </w:r>
      <w:r>
        <w:rPr>
          <w:b w:val="0"/>
        </w:rPr>
        <w:t xml:space="preserve">α </w:t>
      </w:r>
      <w:r>
        <w:t xml:space="preserve"> and CD8 </w:t>
      </w:r>
      <w:r w:rsidRPr="00A34FE3">
        <w:t>levels</w:t>
      </w:r>
      <w:r>
        <w:t>, v</w:t>
      </w:r>
      <w:r w:rsidRPr="00A34FE3">
        <w:rPr>
          <w:color w:val="000000"/>
        </w:rPr>
        <w:t xml:space="preserve">alues are mean ± </w:t>
      </w:r>
      <w:r w:rsidRPr="00B32473">
        <w:t>SD</w:t>
      </w:r>
      <w:r>
        <w:rPr>
          <w:color w:val="000000"/>
        </w:rPr>
        <w:t>.</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66"/>
        <w:gridCol w:w="859"/>
        <w:gridCol w:w="2462"/>
        <w:gridCol w:w="2093"/>
      </w:tblGrid>
      <w:tr w:rsidR="00A43496">
        <w:trPr>
          <w:trHeight w:hRule="exact" w:val="240"/>
        </w:trPr>
        <w:tc>
          <w:tcPr>
            <w:tcW w:w="4166" w:type="dxa"/>
          </w:tcPr>
          <w:p w:rsidR="00A43496" w:rsidRPr="000F0244" w:rsidRDefault="00A43496">
            <w:pPr>
              <w:pStyle w:val="TableParagraph"/>
              <w:spacing w:line="226" w:lineRule="exact"/>
              <w:rPr>
                <w:sz w:val="20"/>
              </w:rPr>
            </w:pPr>
            <w:r w:rsidRPr="000F0244">
              <w:rPr>
                <w:sz w:val="20"/>
              </w:rPr>
              <w:t>Duration of smoking groups</w:t>
            </w:r>
          </w:p>
        </w:tc>
        <w:tc>
          <w:tcPr>
            <w:tcW w:w="859" w:type="dxa"/>
          </w:tcPr>
          <w:p w:rsidR="00A43496" w:rsidRPr="000F0244" w:rsidRDefault="00A43496">
            <w:pPr>
              <w:pStyle w:val="TableParagraph"/>
              <w:spacing w:line="226" w:lineRule="exact"/>
              <w:rPr>
                <w:sz w:val="20"/>
              </w:rPr>
            </w:pPr>
            <w:r w:rsidRPr="000F0244">
              <w:rPr>
                <w:sz w:val="20"/>
              </w:rPr>
              <w:t>No.</w:t>
            </w:r>
          </w:p>
        </w:tc>
        <w:tc>
          <w:tcPr>
            <w:tcW w:w="2462" w:type="dxa"/>
          </w:tcPr>
          <w:p w:rsidR="00A43496" w:rsidRPr="000F0244" w:rsidRDefault="00A43496">
            <w:pPr>
              <w:pStyle w:val="TableParagraph"/>
              <w:spacing w:line="226" w:lineRule="exact"/>
              <w:ind w:left="100"/>
              <w:rPr>
                <w:sz w:val="20"/>
              </w:rPr>
            </w:pPr>
            <w:r w:rsidRPr="000F0244">
              <w:rPr>
                <w:sz w:val="20"/>
              </w:rPr>
              <w:t>TNF- α (pg/ml)</w:t>
            </w:r>
          </w:p>
        </w:tc>
        <w:tc>
          <w:tcPr>
            <w:tcW w:w="2093" w:type="dxa"/>
          </w:tcPr>
          <w:p w:rsidR="00A43496" w:rsidRPr="000F0244" w:rsidRDefault="00A43496">
            <w:pPr>
              <w:pStyle w:val="TableParagraph"/>
              <w:spacing w:line="226" w:lineRule="exact"/>
              <w:rPr>
                <w:sz w:val="20"/>
              </w:rPr>
            </w:pPr>
            <w:r w:rsidRPr="000F0244">
              <w:rPr>
                <w:sz w:val="20"/>
              </w:rPr>
              <w:t>CD8 (ng/ml)</w:t>
            </w:r>
          </w:p>
        </w:tc>
      </w:tr>
      <w:tr w:rsidR="00A43496">
        <w:trPr>
          <w:trHeight w:hRule="exact" w:val="240"/>
        </w:trPr>
        <w:tc>
          <w:tcPr>
            <w:tcW w:w="4166" w:type="dxa"/>
          </w:tcPr>
          <w:p w:rsidR="00A43496" w:rsidRPr="000F0244" w:rsidRDefault="00A43496">
            <w:pPr>
              <w:pStyle w:val="TableParagraph"/>
              <w:spacing w:line="226" w:lineRule="exact"/>
              <w:rPr>
                <w:sz w:val="20"/>
              </w:rPr>
            </w:pPr>
            <w:r w:rsidRPr="000F0244">
              <w:rPr>
                <w:sz w:val="20"/>
              </w:rPr>
              <w:t>5-10</w:t>
            </w:r>
          </w:p>
        </w:tc>
        <w:tc>
          <w:tcPr>
            <w:tcW w:w="859" w:type="dxa"/>
          </w:tcPr>
          <w:p w:rsidR="00A43496" w:rsidRPr="000F0244" w:rsidRDefault="00A43496">
            <w:pPr>
              <w:pStyle w:val="TableParagraph"/>
              <w:spacing w:line="226" w:lineRule="exact"/>
              <w:rPr>
                <w:sz w:val="20"/>
              </w:rPr>
            </w:pPr>
            <w:r w:rsidRPr="000F0244">
              <w:rPr>
                <w:sz w:val="20"/>
              </w:rPr>
              <w:t>22</w:t>
            </w:r>
          </w:p>
        </w:tc>
        <w:tc>
          <w:tcPr>
            <w:tcW w:w="2462" w:type="dxa"/>
          </w:tcPr>
          <w:p w:rsidR="00A43496" w:rsidRPr="000F0244" w:rsidRDefault="00A43496">
            <w:pPr>
              <w:pStyle w:val="TableParagraph"/>
              <w:spacing w:line="226" w:lineRule="exact"/>
              <w:ind w:left="100"/>
              <w:rPr>
                <w:sz w:val="20"/>
              </w:rPr>
            </w:pPr>
            <w:r w:rsidRPr="000F0244">
              <w:rPr>
                <w:sz w:val="20"/>
                <w:szCs w:val="20"/>
              </w:rPr>
              <w:t>19.50 ± 1.89</w:t>
            </w:r>
          </w:p>
        </w:tc>
        <w:tc>
          <w:tcPr>
            <w:tcW w:w="2093" w:type="dxa"/>
          </w:tcPr>
          <w:p w:rsidR="00A43496" w:rsidRPr="000F0244" w:rsidRDefault="00A43496">
            <w:pPr>
              <w:pStyle w:val="TableParagraph"/>
              <w:spacing w:line="226" w:lineRule="exact"/>
              <w:rPr>
                <w:sz w:val="20"/>
              </w:rPr>
            </w:pPr>
            <w:r w:rsidRPr="000F0244">
              <w:rPr>
                <w:sz w:val="20"/>
                <w:szCs w:val="20"/>
              </w:rPr>
              <w:t>60.60 ± 3.34</w:t>
            </w:r>
          </w:p>
        </w:tc>
      </w:tr>
      <w:tr w:rsidR="00A43496">
        <w:trPr>
          <w:trHeight w:hRule="exact" w:val="240"/>
        </w:trPr>
        <w:tc>
          <w:tcPr>
            <w:tcW w:w="4166" w:type="dxa"/>
          </w:tcPr>
          <w:p w:rsidR="00A43496" w:rsidRPr="000F0244" w:rsidRDefault="00A43496">
            <w:pPr>
              <w:pStyle w:val="TableParagraph"/>
              <w:spacing w:line="226" w:lineRule="exact"/>
              <w:rPr>
                <w:sz w:val="20"/>
              </w:rPr>
            </w:pPr>
            <w:r w:rsidRPr="000F0244">
              <w:rPr>
                <w:sz w:val="20"/>
              </w:rPr>
              <w:t>11-15</w:t>
            </w:r>
          </w:p>
        </w:tc>
        <w:tc>
          <w:tcPr>
            <w:tcW w:w="859" w:type="dxa"/>
          </w:tcPr>
          <w:p w:rsidR="00A43496" w:rsidRPr="000F0244" w:rsidRDefault="00A43496">
            <w:pPr>
              <w:pStyle w:val="TableParagraph"/>
              <w:spacing w:line="226" w:lineRule="exact"/>
              <w:rPr>
                <w:sz w:val="20"/>
              </w:rPr>
            </w:pPr>
            <w:r w:rsidRPr="000F0244">
              <w:rPr>
                <w:sz w:val="20"/>
              </w:rPr>
              <w:t>44</w:t>
            </w:r>
          </w:p>
        </w:tc>
        <w:tc>
          <w:tcPr>
            <w:tcW w:w="2462" w:type="dxa"/>
          </w:tcPr>
          <w:p w:rsidR="00A43496" w:rsidRPr="000F0244" w:rsidRDefault="00A43496">
            <w:pPr>
              <w:pStyle w:val="TableParagraph"/>
              <w:spacing w:line="226" w:lineRule="exact"/>
              <w:ind w:left="100"/>
              <w:rPr>
                <w:sz w:val="20"/>
              </w:rPr>
            </w:pPr>
            <w:r w:rsidRPr="000F0244">
              <w:rPr>
                <w:sz w:val="20"/>
                <w:szCs w:val="20"/>
              </w:rPr>
              <w:t>25.23 ± 2.78</w:t>
            </w:r>
          </w:p>
        </w:tc>
        <w:tc>
          <w:tcPr>
            <w:tcW w:w="2093" w:type="dxa"/>
          </w:tcPr>
          <w:p w:rsidR="00A43496" w:rsidRPr="000F0244" w:rsidRDefault="00A43496">
            <w:pPr>
              <w:pStyle w:val="TableParagraph"/>
              <w:spacing w:line="226" w:lineRule="exact"/>
              <w:rPr>
                <w:sz w:val="20"/>
              </w:rPr>
            </w:pPr>
            <w:r w:rsidRPr="000F0244">
              <w:rPr>
                <w:sz w:val="20"/>
                <w:szCs w:val="20"/>
              </w:rPr>
              <w:t>70.67 ± 2.65</w:t>
            </w:r>
          </w:p>
        </w:tc>
      </w:tr>
      <w:tr w:rsidR="00A43496">
        <w:trPr>
          <w:trHeight w:hRule="exact" w:val="240"/>
        </w:trPr>
        <w:tc>
          <w:tcPr>
            <w:tcW w:w="4166" w:type="dxa"/>
          </w:tcPr>
          <w:p w:rsidR="00A43496" w:rsidRPr="000F0244" w:rsidRDefault="00A43496">
            <w:pPr>
              <w:pStyle w:val="TableParagraph"/>
              <w:spacing w:line="226" w:lineRule="exact"/>
              <w:rPr>
                <w:sz w:val="20"/>
              </w:rPr>
            </w:pPr>
            <w:r w:rsidRPr="000F0244">
              <w:rPr>
                <w:sz w:val="20"/>
              </w:rPr>
              <w:t>16-20</w:t>
            </w:r>
          </w:p>
        </w:tc>
        <w:tc>
          <w:tcPr>
            <w:tcW w:w="859" w:type="dxa"/>
          </w:tcPr>
          <w:p w:rsidR="00A43496" w:rsidRPr="000F0244" w:rsidRDefault="00A43496">
            <w:pPr>
              <w:pStyle w:val="TableParagraph"/>
              <w:spacing w:line="226" w:lineRule="exact"/>
              <w:rPr>
                <w:sz w:val="20"/>
              </w:rPr>
            </w:pPr>
            <w:r w:rsidRPr="000F0244">
              <w:rPr>
                <w:sz w:val="20"/>
              </w:rPr>
              <w:t>46</w:t>
            </w:r>
          </w:p>
        </w:tc>
        <w:tc>
          <w:tcPr>
            <w:tcW w:w="2462" w:type="dxa"/>
          </w:tcPr>
          <w:p w:rsidR="00A43496" w:rsidRPr="000F0244" w:rsidRDefault="00A43496">
            <w:pPr>
              <w:pStyle w:val="TableParagraph"/>
              <w:spacing w:line="226" w:lineRule="exact"/>
              <w:ind w:left="100"/>
              <w:rPr>
                <w:sz w:val="20"/>
              </w:rPr>
            </w:pPr>
            <w:r w:rsidRPr="000F0244">
              <w:rPr>
                <w:sz w:val="20"/>
                <w:szCs w:val="20"/>
              </w:rPr>
              <w:t>32.42 ± 2.24</w:t>
            </w:r>
          </w:p>
        </w:tc>
        <w:tc>
          <w:tcPr>
            <w:tcW w:w="2093" w:type="dxa"/>
          </w:tcPr>
          <w:p w:rsidR="00A43496" w:rsidRPr="000F0244" w:rsidRDefault="00A43496">
            <w:pPr>
              <w:pStyle w:val="TableParagraph"/>
              <w:spacing w:line="226" w:lineRule="exact"/>
              <w:rPr>
                <w:sz w:val="20"/>
              </w:rPr>
            </w:pPr>
            <w:r w:rsidRPr="000F0244">
              <w:rPr>
                <w:sz w:val="20"/>
                <w:szCs w:val="20"/>
              </w:rPr>
              <w:t>80.88 ± 5.58</w:t>
            </w:r>
          </w:p>
        </w:tc>
      </w:tr>
      <w:tr w:rsidR="00A43496">
        <w:trPr>
          <w:trHeight w:hRule="exact" w:val="240"/>
        </w:trPr>
        <w:tc>
          <w:tcPr>
            <w:tcW w:w="4166" w:type="dxa"/>
          </w:tcPr>
          <w:p w:rsidR="00A43496" w:rsidRPr="000F0244" w:rsidRDefault="00A43496">
            <w:pPr>
              <w:pStyle w:val="TableParagraph"/>
              <w:spacing w:line="226" w:lineRule="exact"/>
              <w:rPr>
                <w:sz w:val="20"/>
              </w:rPr>
            </w:pPr>
            <w:r w:rsidRPr="000F0244">
              <w:rPr>
                <w:sz w:val="20"/>
              </w:rPr>
              <w:t>More than 20</w:t>
            </w:r>
          </w:p>
        </w:tc>
        <w:tc>
          <w:tcPr>
            <w:tcW w:w="859" w:type="dxa"/>
          </w:tcPr>
          <w:p w:rsidR="00A43496" w:rsidRPr="000F0244" w:rsidRDefault="00A43496">
            <w:pPr>
              <w:pStyle w:val="TableParagraph"/>
              <w:spacing w:line="226" w:lineRule="exact"/>
              <w:rPr>
                <w:sz w:val="20"/>
              </w:rPr>
            </w:pPr>
            <w:r w:rsidRPr="000F0244">
              <w:rPr>
                <w:sz w:val="20"/>
              </w:rPr>
              <w:t>38</w:t>
            </w:r>
          </w:p>
        </w:tc>
        <w:tc>
          <w:tcPr>
            <w:tcW w:w="2462" w:type="dxa"/>
          </w:tcPr>
          <w:p w:rsidR="00A43496" w:rsidRPr="000F0244" w:rsidRDefault="00A43496">
            <w:pPr>
              <w:pStyle w:val="TableParagraph"/>
              <w:spacing w:line="226" w:lineRule="exact"/>
              <w:ind w:left="100"/>
              <w:rPr>
                <w:sz w:val="20"/>
              </w:rPr>
            </w:pPr>
            <w:r w:rsidRPr="000F0244">
              <w:rPr>
                <w:sz w:val="20"/>
                <w:szCs w:val="20"/>
              </w:rPr>
              <w:t>40.20 ± 2.92</w:t>
            </w:r>
          </w:p>
        </w:tc>
        <w:tc>
          <w:tcPr>
            <w:tcW w:w="2093" w:type="dxa"/>
          </w:tcPr>
          <w:p w:rsidR="00A43496" w:rsidRPr="000F0244" w:rsidRDefault="00A43496">
            <w:pPr>
              <w:pStyle w:val="TableParagraph"/>
              <w:spacing w:line="226" w:lineRule="exact"/>
              <w:rPr>
                <w:sz w:val="20"/>
              </w:rPr>
            </w:pPr>
            <w:r w:rsidRPr="000F0244">
              <w:rPr>
                <w:sz w:val="20"/>
                <w:szCs w:val="20"/>
              </w:rPr>
              <w:t>93.01 ± 2.85</w:t>
            </w:r>
          </w:p>
        </w:tc>
      </w:tr>
    </w:tbl>
    <w:p w:rsidR="00A43496" w:rsidRDefault="00A43496">
      <w:pPr>
        <w:rPr>
          <w:sz w:val="12"/>
        </w:rPr>
        <w:sectPr w:rsidR="00A43496">
          <w:type w:val="continuous"/>
          <w:pgSz w:w="12240" w:h="15840"/>
          <w:pgMar w:top="1020" w:right="1220" w:bottom="920" w:left="1220" w:header="720" w:footer="720" w:gutter="0"/>
          <w:cols w:space="720"/>
        </w:sectPr>
      </w:pPr>
    </w:p>
    <w:p w:rsidR="00A43496" w:rsidRDefault="00A43496" w:rsidP="0016739F">
      <w:pPr>
        <w:pStyle w:val="BodyText"/>
        <w:spacing w:before="75"/>
        <w:ind w:left="220" w:firstLine="427"/>
      </w:pPr>
      <w:r>
        <w:t xml:space="preserve">Also, the results clarified that a significant changes </w:t>
      </w:r>
      <w:r w:rsidRPr="00C37AAE">
        <w:t>(P&lt;0.01)</w:t>
      </w:r>
      <w:r>
        <w:t xml:space="preserve"> in levels of MDA and GSH association with smoking duration as </w:t>
      </w:r>
      <w:r>
        <w:rPr>
          <w:spacing w:val="-3"/>
        </w:rPr>
        <w:t xml:space="preserve">shown </w:t>
      </w:r>
      <w:r>
        <w:t>in table (6),</w:t>
      </w:r>
      <w:r w:rsidRPr="0016739F">
        <w:t xml:space="preserve"> </w:t>
      </w:r>
      <w:r>
        <w:t xml:space="preserve">the group  of  more  than  20  </w:t>
      </w:r>
      <w:r>
        <w:rPr>
          <w:spacing w:val="-4"/>
        </w:rPr>
        <w:t xml:space="preserve">years  </w:t>
      </w:r>
      <w:r>
        <w:rPr>
          <w:spacing w:val="-3"/>
        </w:rPr>
        <w:t xml:space="preserve">of  </w:t>
      </w:r>
      <w:r>
        <w:t xml:space="preserve">smoking  </w:t>
      </w:r>
      <w:r>
        <w:rPr>
          <w:spacing w:val="-3"/>
        </w:rPr>
        <w:t xml:space="preserve">showed  </w:t>
      </w:r>
      <w:r>
        <w:t xml:space="preserve">a </w:t>
      </w:r>
      <w:r>
        <w:rPr>
          <w:spacing w:val="19"/>
        </w:rPr>
        <w:t xml:space="preserve"> </w:t>
      </w:r>
      <w:r>
        <w:t>highest</w:t>
      </w:r>
      <w:r w:rsidRPr="0016739F">
        <w:t xml:space="preserve"> </w:t>
      </w:r>
      <w:r>
        <w:t xml:space="preserve">level of MDA while the group of </w:t>
      </w:r>
    </w:p>
    <w:p w:rsidR="00A43496" w:rsidRDefault="00A43496" w:rsidP="0016739F">
      <w:pPr>
        <w:pStyle w:val="BodyText"/>
        <w:spacing w:before="75"/>
        <w:ind w:left="220" w:right="213"/>
      </w:pPr>
      <w:r>
        <w:br w:type="column"/>
        <w:t xml:space="preserve"> more than 20</w:t>
      </w:r>
      <w:r w:rsidRPr="0016739F">
        <w:rPr>
          <w:spacing w:val="-4"/>
        </w:rPr>
        <w:t xml:space="preserve"> </w:t>
      </w:r>
      <w:r>
        <w:rPr>
          <w:spacing w:val="-4"/>
        </w:rPr>
        <w:t>years</w:t>
      </w:r>
      <w:r>
        <w:t xml:space="preserve"> showed lowest level of GSH among the other smoker groups, moreover, all smoker groups showed significant changes as compared with control group.</w:t>
      </w:r>
    </w:p>
    <w:p w:rsidR="00A43496" w:rsidRDefault="00A43496">
      <w:pPr>
        <w:sectPr w:rsidR="00A43496">
          <w:type w:val="continuous"/>
          <w:pgSz w:w="12240" w:h="15840"/>
          <w:pgMar w:top="1020" w:right="1220" w:bottom="920" w:left="1220" w:header="720" w:footer="720" w:gutter="0"/>
          <w:cols w:num="2" w:space="720" w:equalWidth="0">
            <w:col w:w="4694" w:space="197"/>
            <w:col w:w="4909"/>
          </w:cols>
        </w:sectPr>
      </w:pPr>
    </w:p>
    <w:p w:rsidR="00A43496" w:rsidRDefault="00A43496">
      <w:pPr>
        <w:pStyle w:val="BodyText"/>
        <w:spacing w:before="10"/>
        <w:ind w:left="0"/>
        <w:jc w:val="left"/>
        <w:rPr>
          <w:sz w:val="13"/>
        </w:rPr>
      </w:pPr>
    </w:p>
    <w:p w:rsidR="00A43496" w:rsidRDefault="00A43496" w:rsidP="007D0181">
      <w:pPr>
        <w:pStyle w:val="Heading1"/>
        <w:spacing w:after="5"/>
        <w:ind w:left="110"/>
      </w:pPr>
      <w:r>
        <w:t>Table (6): Effect of smoking duration on smoker MDA and GSH levels,</w:t>
      </w:r>
      <w:r>
        <w:rPr>
          <w:color w:val="000000"/>
        </w:rPr>
        <w:t xml:space="preserve"> v</w:t>
      </w:r>
      <w:r w:rsidRPr="00A34FE3">
        <w:rPr>
          <w:color w:val="000000"/>
        </w:rPr>
        <w:t xml:space="preserve">alues are mean ± </w:t>
      </w:r>
      <w:r w:rsidRPr="00B32473">
        <w:t>SD</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03"/>
        <w:gridCol w:w="826"/>
        <w:gridCol w:w="2491"/>
        <w:gridCol w:w="2261"/>
      </w:tblGrid>
      <w:tr w:rsidR="00A43496">
        <w:trPr>
          <w:trHeight w:hRule="exact" w:val="240"/>
        </w:trPr>
        <w:tc>
          <w:tcPr>
            <w:tcW w:w="4003" w:type="dxa"/>
          </w:tcPr>
          <w:p w:rsidR="00A43496" w:rsidRPr="007D0181" w:rsidRDefault="00A43496">
            <w:pPr>
              <w:pStyle w:val="TableParagraph"/>
              <w:rPr>
                <w:sz w:val="20"/>
              </w:rPr>
            </w:pPr>
            <w:r w:rsidRPr="007D0181">
              <w:rPr>
                <w:sz w:val="20"/>
              </w:rPr>
              <w:t>Duration of smoking groups</w:t>
            </w:r>
          </w:p>
        </w:tc>
        <w:tc>
          <w:tcPr>
            <w:tcW w:w="826" w:type="dxa"/>
          </w:tcPr>
          <w:p w:rsidR="00A43496" w:rsidRPr="007D0181" w:rsidRDefault="00A43496">
            <w:pPr>
              <w:pStyle w:val="TableParagraph"/>
              <w:ind w:left="100"/>
              <w:rPr>
                <w:sz w:val="20"/>
              </w:rPr>
            </w:pPr>
            <w:r w:rsidRPr="007D0181">
              <w:rPr>
                <w:sz w:val="20"/>
              </w:rPr>
              <w:t>No.</w:t>
            </w:r>
          </w:p>
        </w:tc>
        <w:tc>
          <w:tcPr>
            <w:tcW w:w="2491" w:type="dxa"/>
          </w:tcPr>
          <w:p w:rsidR="00A43496" w:rsidRPr="007D0181" w:rsidRDefault="00A43496">
            <w:pPr>
              <w:pStyle w:val="TableParagraph"/>
              <w:ind w:left="100"/>
              <w:rPr>
                <w:sz w:val="20"/>
              </w:rPr>
            </w:pPr>
            <w:r w:rsidRPr="007D0181">
              <w:rPr>
                <w:sz w:val="20"/>
              </w:rPr>
              <w:t>MDA (nmol/ml)</w:t>
            </w:r>
          </w:p>
        </w:tc>
        <w:tc>
          <w:tcPr>
            <w:tcW w:w="2261" w:type="dxa"/>
          </w:tcPr>
          <w:p w:rsidR="00A43496" w:rsidRPr="007D0181" w:rsidRDefault="00A43496">
            <w:pPr>
              <w:pStyle w:val="TableParagraph"/>
              <w:rPr>
                <w:sz w:val="20"/>
              </w:rPr>
            </w:pPr>
            <w:r w:rsidRPr="007D0181">
              <w:rPr>
                <w:sz w:val="20"/>
              </w:rPr>
              <w:t>GSH (mM/ml)</w:t>
            </w:r>
          </w:p>
        </w:tc>
      </w:tr>
      <w:tr w:rsidR="00A43496">
        <w:trPr>
          <w:trHeight w:hRule="exact" w:val="240"/>
        </w:trPr>
        <w:tc>
          <w:tcPr>
            <w:tcW w:w="4003" w:type="dxa"/>
          </w:tcPr>
          <w:p w:rsidR="00A43496" w:rsidRPr="007D0181" w:rsidRDefault="00A43496">
            <w:pPr>
              <w:pStyle w:val="TableParagraph"/>
              <w:rPr>
                <w:sz w:val="20"/>
              </w:rPr>
            </w:pPr>
            <w:r w:rsidRPr="007D0181">
              <w:rPr>
                <w:sz w:val="20"/>
              </w:rPr>
              <w:t>5-10</w:t>
            </w:r>
          </w:p>
        </w:tc>
        <w:tc>
          <w:tcPr>
            <w:tcW w:w="826" w:type="dxa"/>
          </w:tcPr>
          <w:p w:rsidR="00A43496" w:rsidRPr="007D0181" w:rsidRDefault="00A43496">
            <w:pPr>
              <w:pStyle w:val="TableParagraph"/>
              <w:ind w:left="100"/>
              <w:rPr>
                <w:sz w:val="20"/>
              </w:rPr>
            </w:pPr>
            <w:r w:rsidRPr="007D0181">
              <w:rPr>
                <w:sz w:val="20"/>
              </w:rPr>
              <w:t>22</w:t>
            </w:r>
          </w:p>
        </w:tc>
        <w:tc>
          <w:tcPr>
            <w:tcW w:w="2491" w:type="dxa"/>
          </w:tcPr>
          <w:p w:rsidR="00A43496" w:rsidRPr="007D0181" w:rsidRDefault="00A43496">
            <w:pPr>
              <w:pStyle w:val="TableParagraph"/>
              <w:ind w:left="100"/>
              <w:rPr>
                <w:sz w:val="20"/>
              </w:rPr>
            </w:pPr>
            <w:r w:rsidRPr="007D0181">
              <w:rPr>
                <w:sz w:val="20"/>
                <w:szCs w:val="20"/>
              </w:rPr>
              <w:t>13.95 ± 1.50</w:t>
            </w:r>
          </w:p>
        </w:tc>
        <w:tc>
          <w:tcPr>
            <w:tcW w:w="2261" w:type="dxa"/>
          </w:tcPr>
          <w:p w:rsidR="00A43496" w:rsidRPr="007D0181" w:rsidRDefault="00A43496">
            <w:pPr>
              <w:pStyle w:val="TableParagraph"/>
              <w:rPr>
                <w:sz w:val="20"/>
              </w:rPr>
            </w:pPr>
            <w:r w:rsidRPr="007D0181">
              <w:rPr>
                <w:sz w:val="20"/>
                <w:szCs w:val="20"/>
              </w:rPr>
              <w:t>12.33 ± 1.01</w:t>
            </w:r>
            <w:r w:rsidRPr="007D0181">
              <w:rPr>
                <w:sz w:val="20"/>
                <w:szCs w:val="20"/>
                <w:lang w:bidi="ar-IQ"/>
              </w:rPr>
              <w:t xml:space="preserve">  </w:t>
            </w:r>
          </w:p>
        </w:tc>
      </w:tr>
      <w:tr w:rsidR="00A43496">
        <w:trPr>
          <w:trHeight w:hRule="exact" w:val="240"/>
        </w:trPr>
        <w:tc>
          <w:tcPr>
            <w:tcW w:w="4003" w:type="dxa"/>
          </w:tcPr>
          <w:p w:rsidR="00A43496" w:rsidRPr="007D0181" w:rsidRDefault="00A43496">
            <w:pPr>
              <w:pStyle w:val="TableParagraph"/>
              <w:rPr>
                <w:sz w:val="20"/>
              </w:rPr>
            </w:pPr>
            <w:r w:rsidRPr="007D0181">
              <w:rPr>
                <w:sz w:val="20"/>
              </w:rPr>
              <w:t>11-15</w:t>
            </w:r>
          </w:p>
        </w:tc>
        <w:tc>
          <w:tcPr>
            <w:tcW w:w="826" w:type="dxa"/>
          </w:tcPr>
          <w:p w:rsidR="00A43496" w:rsidRPr="007D0181" w:rsidRDefault="00A43496">
            <w:pPr>
              <w:pStyle w:val="TableParagraph"/>
              <w:ind w:left="100"/>
              <w:rPr>
                <w:sz w:val="20"/>
              </w:rPr>
            </w:pPr>
            <w:r w:rsidRPr="007D0181">
              <w:rPr>
                <w:sz w:val="20"/>
              </w:rPr>
              <w:t>44</w:t>
            </w:r>
          </w:p>
        </w:tc>
        <w:tc>
          <w:tcPr>
            <w:tcW w:w="2491" w:type="dxa"/>
          </w:tcPr>
          <w:p w:rsidR="00A43496" w:rsidRPr="007D0181" w:rsidRDefault="00A43496">
            <w:pPr>
              <w:pStyle w:val="TableParagraph"/>
              <w:ind w:left="100"/>
              <w:rPr>
                <w:sz w:val="20"/>
              </w:rPr>
            </w:pPr>
            <w:r w:rsidRPr="007D0181">
              <w:rPr>
                <w:sz w:val="20"/>
                <w:szCs w:val="20"/>
              </w:rPr>
              <w:t xml:space="preserve">15.06 ± </w:t>
            </w:r>
            <w:r w:rsidRPr="007D0181">
              <w:rPr>
                <w:sz w:val="20"/>
                <w:szCs w:val="20"/>
                <w:lang w:bidi="ar-IQ"/>
              </w:rPr>
              <w:t>0.94</w:t>
            </w:r>
          </w:p>
        </w:tc>
        <w:tc>
          <w:tcPr>
            <w:tcW w:w="2261" w:type="dxa"/>
          </w:tcPr>
          <w:p w:rsidR="00A43496" w:rsidRPr="007D0181" w:rsidRDefault="00A43496">
            <w:pPr>
              <w:pStyle w:val="TableParagraph"/>
              <w:rPr>
                <w:sz w:val="20"/>
              </w:rPr>
            </w:pPr>
            <w:r w:rsidRPr="007D0181">
              <w:rPr>
                <w:sz w:val="20"/>
                <w:szCs w:val="20"/>
              </w:rPr>
              <w:t>10.69 ± 0.78</w:t>
            </w:r>
          </w:p>
        </w:tc>
      </w:tr>
      <w:tr w:rsidR="00A43496">
        <w:trPr>
          <w:trHeight w:hRule="exact" w:val="240"/>
        </w:trPr>
        <w:tc>
          <w:tcPr>
            <w:tcW w:w="4003" w:type="dxa"/>
          </w:tcPr>
          <w:p w:rsidR="00A43496" w:rsidRPr="007D0181" w:rsidRDefault="00A43496">
            <w:pPr>
              <w:pStyle w:val="TableParagraph"/>
              <w:rPr>
                <w:sz w:val="20"/>
              </w:rPr>
            </w:pPr>
            <w:r w:rsidRPr="007D0181">
              <w:rPr>
                <w:sz w:val="20"/>
              </w:rPr>
              <w:t>16-20</w:t>
            </w:r>
          </w:p>
        </w:tc>
        <w:tc>
          <w:tcPr>
            <w:tcW w:w="826" w:type="dxa"/>
          </w:tcPr>
          <w:p w:rsidR="00A43496" w:rsidRPr="007D0181" w:rsidRDefault="00A43496">
            <w:pPr>
              <w:pStyle w:val="TableParagraph"/>
              <w:ind w:left="100"/>
              <w:rPr>
                <w:sz w:val="20"/>
              </w:rPr>
            </w:pPr>
            <w:r w:rsidRPr="007D0181">
              <w:rPr>
                <w:sz w:val="20"/>
              </w:rPr>
              <w:t>46</w:t>
            </w:r>
          </w:p>
        </w:tc>
        <w:tc>
          <w:tcPr>
            <w:tcW w:w="2491" w:type="dxa"/>
          </w:tcPr>
          <w:p w:rsidR="00A43496" w:rsidRPr="007D0181" w:rsidRDefault="00A43496">
            <w:pPr>
              <w:pStyle w:val="TableParagraph"/>
              <w:ind w:left="100"/>
              <w:rPr>
                <w:sz w:val="20"/>
              </w:rPr>
            </w:pPr>
            <w:r w:rsidRPr="007D0181">
              <w:rPr>
                <w:sz w:val="20"/>
                <w:szCs w:val="20"/>
              </w:rPr>
              <w:t xml:space="preserve">16.36 ± </w:t>
            </w:r>
            <w:r w:rsidRPr="007D0181">
              <w:rPr>
                <w:sz w:val="20"/>
                <w:szCs w:val="20"/>
                <w:lang w:bidi="ar-IQ"/>
              </w:rPr>
              <w:t>0.77</w:t>
            </w:r>
          </w:p>
        </w:tc>
        <w:tc>
          <w:tcPr>
            <w:tcW w:w="2261" w:type="dxa"/>
          </w:tcPr>
          <w:p w:rsidR="00A43496" w:rsidRPr="007D0181" w:rsidRDefault="00A43496">
            <w:pPr>
              <w:pStyle w:val="TableParagraph"/>
              <w:rPr>
                <w:sz w:val="20"/>
              </w:rPr>
            </w:pPr>
            <w:r w:rsidRPr="007D0181">
              <w:rPr>
                <w:sz w:val="20"/>
                <w:szCs w:val="20"/>
              </w:rPr>
              <w:t>8.94 ± 0.56</w:t>
            </w:r>
          </w:p>
        </w:tc>
      </w:tr>
      <w:tr w:rsidR="00A43496">
        <w:trPr>
          <w:trHeight w:hRule="exact" w:val="240"/>
        </w:trPr>
        <w:tc>
          <w:tcPr>
            <w:tcW w:w="4003" w:type="dxa"/>
          </w:tcPr>
          <w:p w:rsidR="00A43496" w:rsidRPr="007D0181" w:rsidRDefault="00A43496">
            <w:pPr>
              <w:pStyle w:val="TableParagraph"/>
              <w:rPr>
                <w:sz w:val="20"/>
              </w:rPr>
            </w:pPr>
            <w:r w:rsidRPr="007D0181">
              <w:rPr>
                <w:sz w:val="20"/>
              </w:rPr>
              <w:t>More than 20</w:t>
            </w:r>
          </w:p>
        </w:tc>
        <w:tc>
          <w:tcPr>
            <w:tcW w:w="826" w:type="dxa"/>
          </w:tcPr>
          <w:p w:rsidR="00A43496" w:rsidRPr="007D0181" w:rsidRDefault="00A43496">
            <w:pPr>
              <w:pStyle w:val="TableParagraph"/>
              <w:ind w:left="100"/>
              <w:rPr>
                <w:sz w:val="20"/>
              </w:rPr>
            </w:pPr>
            <w:r w:rsidRPr="007D0181">
              <w:rPr>
                <w:sz w:val="20"/>
              </w:rPr>
              <w:t>38</w:t>
            </w:r>
          </w:p>
        </w:tc>
        <w:tc>
          <w:tcPr>
            <w:tcW w:w="2491" w:type="dxa"/>
          </w:tcPr>
          <w:p w:rsidR="00A43496" w:rsidRPr="007D0181" w:rsidRDefault="00A43496">
            <w:pPr>
              <w:pStyle w:val="TableParagraph"/>
              <w:ind w:left="100"/>
              <w:rPr>
                <w:sz w:val="20"/>
              </w:rPr>
            </w:pPr>
            <w:r w:rsidRPr="007D0181">
              <w:rPr>
                <w:sz w:val="20"/>
                <w:szCs w:val="20"/>
              </w:rPr>
              <w:t>20.02 ± 1.43</w:t>
            </w:r>
          </w:p>
        </w:tc>
        <w:tc>
          <w:tcPr>
            <w:tcW w:w="2261" w:type="dxa"/>
          </w:tcPr>
          <w:p w:rsidR="00A43496" w:rsidRPr="007D0181" w:rsidRDefault="00A43496">
            <w:pPr>
              <w:pStyle w:val="TableParagraph"/>
              <w:rPr>
                <w:sz w:val="20"/>
              </w:rPr>
            </w:pPr>
            <w:r w:rsidRPr="007D0181">
              <w:rPr>
                <w:sz w:val="20"/>
                <w:szCs w:val="20"/>
              </w:rPr>
              <w:t xml:space="preserve">6.96 ± </w:t>
            </w:r>
            <w:r w:rsidRPr="007D0181">
              <w:rPr>
                <w:sz w:val="20"/>
                <w:szCs w:val="20"/>
                <w:lang w:bidi="ar-IQ"/>
              </w:rPr>
              <w:t>1.06</w:t>
            </w:r>
          </w:p>
        </w:tc>
      </w:tr>
    </w:tbl>
    <w:p w:rsidR="00A43496" w:rsidRDefault="00A43496">
      <w:pPr>
        <w:rPr>
          <w:sz w:val="12"/>
        </w:rPr>
        <w:sectPr w:rsidR="00A43496">
          <w:type w:val="continuous"/>
          <w:pgSz w:w="12240" w:h="15840"/>
          <w:pgMar w:top="1020" w:right="1220" w:bottom="920" w:left="1220" w:header="720" w:footer="720" w:gutter="0"/>
          <w:cols w:space="720"/>
        </w:sectPr>
      </w:pPr>
    </w:p>
    <w:p w:rsidR="00A43496" w:rsidRDefault="00A43496" w:rsidP="00C6285B">
      <w:pPr>
        <w:pStyle w:val="BodyText"/>
        <w:ind w:left="220" w:firstLine="427"/>
      </w:pPr>
      <w:r>
        <w:t xml:space="preserve">The results </w:t>
      </w:r>
      <w:r>
        <w:rPr>
          <w:spacing w:val="-3"/>
        </w:rPr>
        <w:t xml:space="preserve">of </w:t>
      </w:r>
      <w:r>
        <w:t xml:space="preserve">the present study  showed significant changes </w:t>
      </w:r>
      <w:r w:rsidRPr="00C37AAE">
        <w:t>(P&lt;0.01)</w:t>
      </w:r>
      <w:r>
        <w:t xml:space="preserve"> in </w:t>
      </w:r>
      <w:r>
        <w:rPr>
          <w:spacing w:val="-3"/>
        </w:rPr>
        <w:t xml:space="preserve">level </w:t>
      </w:r>
      <w:r>
        <w:t xml:space="preserve">of TNF-α and CD8 between groups according to pack number consumption  </w:t>
      </w:r>
      <w:r>
        <w:rPr>
          <w:spacing w:val="-3"/>
        </w:rPr>
        <w:t xml:space="preserve">per  </w:t>
      </w:r>
      <w:r>
        <w:t xml:space="preserve">day by smokers,  as shown  in </w:t>
      </w:r>
      <w:r>
        <w:rPr>
          <w:spacing w:val="43"/>
        </w:rPr>
        <w:t xml:space="preserve"> </w:t>
      </w:r>
      <w:r>
        <w:t>table</w:t>
      </w:r>
    </w:p>
    <w:p w:rsidR="00A43496" w:rsidRDefault="00A43496" w:rsidP="00C6285B">
      <w:pPr>
        <w:pStyle w:val="BodyText"/>
        <w:spacing w:before="76"/>
        <w:ind w:left="220" w:right="213"/>
      </w:pPr>
      <w:r>
        <w:br w:type="column"/>
        <w:t>(7,8), the groups of one pack a day showed increase in levels of TNF-α and CD8 as compared with non- smoking persons, otherwise, groups of more than one pack showed a high level of TNF-α and CD8 when compared with one pack groups.</w:t>
      </w:r>
    </w:p>
    <w:p w:rsidR="00A43496" w:rsidRDefault="00A43496">
      <w:pPr>
        <w:sectPr w:rsidR="00A43496">
          <w:type w:val="continuous"/>
          <w:pgSz w:w="12240" w:h="15840"/>
          <w:pgMar w:top="1020" w:right="1220" w:bottom="920" w:left="1220" w:header="720" w:footer="720" w:gutter="0"/>
          <w:cols w:num="2" w:space="720" w:equalWidth="0">
            <w:col w:w="4694" w:space="197"/>
            <w:col w:w="4909"/>
          </w:cols>
        </w:sectPr>
      </w:pPr>
    </w:p>
    <w:p w:rsidR="00A43496" w:rsidRDefault="00A43496">
      <w:pPr>
        <w:pStyle w:val="BodyText"/>
        <w:spacing w:before="1"/>
        <w:ind w:left="0"/>
        <w:jc w:val="left"/>
        <w:rPr>
          <w:sz w:val="13"/>
        </w:rPr>
      </w:pPr>
    </w:p>
    <w:p w:rsidR="00A43496" w:rsidRPr="00935CF9" w:rsidRDefault="00A43496" w:rsidP="007D0181">
      <w:pPr>
        <w:pStyle w:val="Heading1"/>
        <w:spacing w:before="75" w:after="10"/>
        <w:ind w:left="110"/>
      </w:pPr>
      <w:r>
        <w:t xml:space="preserve">Table (7): Effect of pack number on smoker TNF- </w:t>
      </w:r>
      <w:r>
        <w:rPr>
          <w:b w:val="0"/>
        </w:rPr>
        <w:t xml:space="preserve">α </w:t>
      </w:r>
      <w:r>
        <w:t xml:space="preserve">and CD8  </w:t>
      </w:r>
      <w:r w:rsidRPr="00935CF9">
        <w:t>levels</w:t>
      </w:r>
      <w:r>
        <w:t>,</w:t>
      </w:r>
      <w:r>
        <w:rPr>
          <w:color w:val="000000"/>
        </w:rPr>
        <w:t xml:space="preserve"> v</w:t>
      </w:r>
      <w:r w:rsidRPr="00935CF9">
        <w:rPr>
          <w:color w:val="000000"/>
        </w:rPr>
        <w:t xml:space="preserve">alues are mean ± </w:t>
      </w:r>
      <w:r w:rsidRPr="00B32473">
        <w:t>SD</w:t>
      </w:r>
      <w:r>
        <w:t>.</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77"/>
        <w:gridCol w:w="850"/>
        <w:gridCol w:w="2410"/>
        <w:gridCol w:w="2045"/>
      </w:tblGrid>
      <w:tr w:rsidR="00A43496">
        <w:trPr>
          <w:trHeight w:hRule="exact" w:val="240"/>
        </w:trPr>
        <w:tc>
          <w:tcPr>
            <w:tcW w:w="4277" w:type="dxa"/>
          </w:tcPr>
          <w:p w:rsidR="00A43496" w:rsidRPr="005F3528" w:rsidRDefault="00A43496">
            <w:pPr>
              <w:pStyle w:val="TableParagraph"/>
              <w:rPr>
                <w:sz w:val="20"/>
              </w:rPr>
            </w:pPr>
            <w:r w:rsidRPr="005F3528">
              <w:rPr>
                <w:sz w:val="20"/>
              </w:rPr>
              <w:t>Pack number smoking groups</w:t>
            </w:r>
          </w:p>
        </w:tc>
        <w:tc>
          <w:tcPr>
            <w:tcW w:w="850" w:type="dxa"/>
          </w:tcPr>
          <w:p w:rsidR="00A43496" w:rsidRPr="005F3528" w:rsidRDefault="00A43496">
            <w:pPr>
              <w:pStyle w:val="TableParagraph"/>
              <w:ind w:left="100"/>
              <w:rPr>
                <w:sz w:val="20"/>
              </w:rPr>
            </w:pPr>
            <w:r w:rsidRPr="005F3528">
              <w:rPr>
                <w:sz w:val="20"/>
              </w:rPr>
              <w:t>No.</w:t>
            </w:r>
          </w:p>
        </w:tc>
        <w:tc>
          <w:tcPr>
            <w:tcW w:w="2410" w:type="dxa"/>
          </w:tcPr>
          <w:p w:rsidR="00A43496" w:rsidRPr="005F3528" w:rsidRDefault="00A43496">
            <w:pPr>
              <w:pStyle w:val="TableParagraph"/>
              <w:ind w:left="100"/>
              <w:rPr>
                <w:sz w:val="20"/>
              </w:rPr>
            </w:pPr>
            <w:r w:rsidRPr="005F3528">
              <w:rPr>
                <w:sz w:val="20"/>
              </w:rPr>
              <w:t>TNF- α (pg/ml)</w:t>
            </w:r>
          </w:p>
        </w:tc>
        <w:tc>
          <w:tcPr>
            <w:tcW w:w="2045" w:type="dxa"/>
          </w:tcPr>
          <w:p w:rsidR="00A43496" w:rsidRPr="005F3528" w:rsidRDefault="00A43496">
            <w:pPr>
              <w:pStyle w:val="TableParagraph"/>
              <w:ind w:left="100"/>
              <w:rPr>
                <w:sz w:val="20"/>
              </w:rPr>
            </w:pPr>
            <w:r w:rsidRPr="005F3528">
              <w:rPr>
                <w:sz w:val="20"/>
              </w:rPr>
              <w:t>CD8 (ng/ml)</w:t>
            </w:r>
          </w:p>
        </w:tc>
      </w:tr>
      <w:tr w:rsidR="00A43496">
        <w:trPr>
          <w:trHeight w:hRule="exact" w:val="240"/>
        </w:trPr>
        <w:tc>
          <w:tcPr>
            <w:tcW w:w="4277" w:type="dxa"/>
          </w:tcPr>
          <w:p w:rsidR="00A43496" w:rsidRPr="005F3528" w:rsidRDefault="00A43496">
            <w:pPr>
              <w:pStyle w:val="TableParagraph"/>
              <w:rPr>
                <w:sz w:val="20"/>
              </w:rPr>
            </w:pPr>
            <w:r w:rsidRPr="005F3528">
              <w:rPr>
                <w:sz w:val="20"/>
              </w:rPr>
              <w:t>One pack</w:t>
            </w:r>
          </w:p>
        </w:tc>
        <w:tc>
          <w:tcPr>
            <w:tcW w:w="850" w:type="dxa"/>
          </w:tcPr>
          <w:p w:rsidR="00A43496" w:rsidRPr="005F3528" w:rsidRDefault="00A43496">
            <w:pPr>
              <w:pStyle w:val="TableParagraph"/>
              <w:ind w:left="100"/>
              <w:rPr>
                <w:sz w:val="20"/>
              </w:rPr>
            </w:pPr>
            <w:r w:rsidRPr="005F3528">
              <w:rPr>
                <w:sz w:val="20"/>
              </w:rPr>
              <w:t>16</w:t>
            </w:r>
          </w:p>
        </w:tc>
        <w:tc>
          <w:tcPr>
            <w:tcW w:w="2410" w:type="dxa"/>
          </w:tcPr>
          <w:p w:rsidR="00A43496" w:rsidRPr="005F3528" w:rsidRDefault="00A43496">
            <w:pPr>
              <w:pStyle w:val="TableParagraph"/>
              <w:ind w:left="100"/>
              <w:rPr>
                <w:sz w:val="20"/>
              </w:rPr>
            </w:pPr>
            <w:r w:rsidRPr="005F3528">
              <w:rPr>
                <w:sz w:val="20"/>
                <w:szCs w:val="20"/>
              </w:rPr>
              <w:t>18.49 ± 1.57</w:t>
            </w:r>
          </w:p>
        </w:tc>
        <w:tc>
          <w:tcPr>
            <w:tcW w:w="2045" w:type="dxa"/>
          </w:tcPr>
          <w:p w:rsidR="00A43496" w:rsidRPr="005F3528" w:rsidRDefault="00A43496">
            <w:pPr>
              <w:pStyle w:val="TableParagraph"/>
              <w:ind w:left="100"/>
              <w:rPr>
                <w:sz w:val="20"/>
              </w:rPr>
            </w:pPr>
            <w:r w:rsidRPr="005F3528">
              <w:rPr>
                <w:sz w:val="20"/>
                <w:szCs w:val="20"/>
              </w:rPr>
              <w:t>59.67 ± 2.63</w:t>
            </w:r>
          </w:p>
        </w:tc>
      </w:tr>
      <w:tr w:rsidR="00A43496">
        <w:trPr>
          <w:trHeight w:hRule="exact" w:val="240"/>
        </w:trPr>
        <w:tc>
          <w:tcPr>
            <w:tcW w:w="4277" w:type="dxa"/>
          </w:tcPr>
          <w:p w:rsidR="00A43496" w:rsidRPr="005F3528" w:rsidRDefault="00A43496">
            <w:pPr>
              <w:pStyle w:val="TableParagraph"/>
              <w:rPr>
                <w:sz w:val="20"/>
              </w:rPr>
            </w:pPr>
            <w:r w:rsidRPr="005F3528">
              <w:rPr>
                <w:sz w:val="20"/>
              </w:rPr>
              <w:t>More than pack</w:t>
            </w:r>
          </w:p>
        </w:tc>
        <w:tc>
          <w:tcPr>
            <w:tcW w:w="850" w:type="dxa"/>
          </w:tcPr>
          <w:p w:rsidR="00A43496" w:rsidRPr="005F3528" w:rsidRDefault="00A43496">
            <w:pPr>
              <w:pStyle w:val="TableParagraph"/>
              <w:ind w:left="100"/>
              <w:rPr>
                <w:sz w:val="20"/>
              </w:rPr>
            </w:pPr>
            <w:r w:rsidRPr="005F3528">
              <w:rPr>
                <w:sz w:val="20"/>
              </w:rPr>
              <w:t>134</w:t>
            </w:r>
          </w:p>
        </w:tc>
        <w:tc>
          <w:tcPr>
            <w:tcW w:w="2410" w:type="dxa"/>
          </w:tcPr>
          <w:p w:rsidR="00A43496" w:rsidRPr="005F3528" w:rsidRDefault="00A43496">
            <w:pPr>
              <w:pStyle w:val="TableParagraph"/>
              <w:ind w:left="100"/>
              <w:rPr>
                <w:sz w:val="20"/>
              </w:rPr>
            </w:pPr>
            <w:r w:rsidRPr="005F3528">
              <w:rPr>
                <w:sz w:val="20"/>
                <w:szCs w:val="20"/>
              </w:rPr>
              <w:t>31.77 ± 0.69</w:t>
            </w:r>
          </w:p>
        </w:tc>
        <w:tc>
          <w:tcPr>
            <w:tcW w:w="2045" w:type="dxa"/>
          </w:tcPr>
          <w:p w:rsidR="00A43496" w:rsidRPr="005F3528" w:rsidRDefault="00A43496">
            <w:pPr>
              <w:pStyle w:val="TableParagraph"/>
              <w:ind w:left="100"/>
              <w:rPr>
                <w:sz w:val="20"/>
              </w:rPr>
            </w:pPr>
            <w:r w:rsidRPr="005F3528">
              <w:rPr>
                <w:sz w:val="20"/>
                <w:szCs w:val="20"/>
              </w:rPr>
              <w:t>80.05 ± 10.33</w:t>
            </w:r>
          </w:p>
        </w:tc>
      </w:tr>
    </w:tbl>
    <w:p w:rsidR="00A43496" w:rsidRDefault="00A43496">
      <w:pPr>
        <w:rPr>
          <w:sz w:val="12"/>
        </w:rPr>
        <w:sectPr w:rsidR="00A43496">
          <w:type w:val="continuous"/>
          <w:pgSz w:w="12240" w:h="15840"/>
          <w:pgMar w:top="1020" w:right="1220" w:bottom="920" w:left="1220" w:header="720" w:footer="720" w:gutter="0"/>
          <w:cols w:space="720"/>
        </w:sectPr>
      </w:pPr>
    </w:p>
    <w:p w:rsidR="00A43496" w:rsidRDefault="00A43496" w:rsidP="00C6285B">
      <w:pPr>
        <w:pStyle w:val="BodyText"/>
        <w:spacing w:before="76"/>
        <w:ind w:left="220"/>
      </w:pPr>
      <w:r>
        <w:t xml:space="preserve">As well, the results </w:t>
      </w:r>
      <w:r>
        <w:rPr>
          <w:spacing w:val="-3"/>
        </w:rPr>
        <w:t xml:space="preserve">observed </w:t>
      </w:r>
      <w:r>
        <w:t xml:space="preserve">significant changes </w:t>
      </w:r>
      <w:r w:rsidRPr="00C37AAE">
        <w:t>(P&lt;0.01)</w:t>
      </w:r>
      <w:r>
        <w:t xml:space="preserve"> in levels of MDA and GSH association with pack number consumption </w:t>
      </w:r>
      <w:r>
        <w:rPr>
          <w:spacing w:val="-3"/>
        </w:rPr>
        <w:t xml:space="preserve">per </w:t>
      </w:r>
      <w:r>
        <w:t xml:space="preserve">day by smokers as shown  in table (8), the group </w:t>
      </w:r>
      <w:r>
        <w:rPr>
          <w:spacing w:val="-3"/>
        </w:rPr>
        <w:t xml:space="preserve">of </w:t>
      </w:r>
      <w:r>
        <w:t xml:space="preserve">more than one pack a   </w:t>
      </w:r>
      <w:r>
        <w:rPr>
          <w:spacing w:val="38"/>
        </w:rPr>
        <w:t xml:space="preserve"> </w:t>
      </w:r>
    </w:p>
    <w:p w:rsidR="00A43496" w:rsidRDefault="00A43496" w:rsidP="00C6285B">
      <w:pPr>
        <w:pStyle w:val="BodyText"/>
        <w:spacing w:before="76"/>
        <w:ind w:left="220" w:right="218"/>
      </w:pPr>
      <w:r>
        <w:br w:type="column"/>
        <w:t xml:space="preserve">day showed a highest </w:t>
      </w:r>
      <w:r>
        <w:rPr>
          <w:spacing w:val="-3"/>
        </w:rPr>
        <w:t xml:space="preserve">levels </w:t>
      </w:r>
      <w:r>
        <w:t xml:space="preserve">of MDA and low levels of GSH among the other smokers groups, moreover, all smoker groups </w:t>
      </w:r>
      <w:r>
        <w:rPr>
          <w:spacing w:val="-3"/>
        </w:rPr>
        <w:t xml:space="preserve">showed </w:t>
      </w:r>
      <w:r>
        <w:t xml:space="preserve">significant changes </w:t>
      </w:r>
      <w:r w:rsidRPr="00C37AAE">
        <w:t>(P&lt;0.01)</w:t>
      </w:r>
      <w:r>
        <w:t xml:space="preserve"> as compared with control</w:t>
      </w:r>
      <w:r>
        <w:rPr>
          <w:spacing w:val="-9"/>
        </w:rPr>
        <w:t xml:space="preserve"> </w:t>
      </w:r>
      <w:r>
        <w:t>group.</w:t>
      </w:r>
    </w:p>
    <w:p w:rsidR="00A43496" w:rsidRDefault="00A43496">
      <w:pPr>
        <w:sectPr w:rsidR="00A43496">
          <w:type w:val="continuous"/>
          <w:pgSz w:w="12240" w:h="15840"/>
          <w:pgMar w:top="1020" w:right="1220" w:bottom="920" w:left="1220" w:header="720" w:footer="720" w:gutter="0"/>
          <w:cols w:num="2" w:space="720" w:equalWidth="0">
            <w:col w:w="4692" w:space="199"/>
            <w:col w:w="4909"/>
          </w:cols>
        </w:sectPr>
      </w:pPr>
    </w:p>
    <w:p w:rsidR="00A43496" w:rsidRDefault="00A43496">
      <w:pPr>
        <w:pStyle w:val="BodyText"/>
        <w:spacing w:before="10"/>
        <w:ind w:left="0"/>
        <w:jc w:val="left"/>
        <w:rPr>
          <w:sz w:val="13"/>
        </w:rPr>
      </w:pPr>
    </w:p>
    <w:p w:rsidR="00A43496" w:rsidRPr="00935CF9" w:rsidRDefault="00A43496" w:rsidP="00967FDA">
      <w:pPr>
        <w:pStyle w:val="Heading1"/>
        <w:spacing w:after="5"/>
        <w:ind w:left="110"/>
        <w:rPr>
          <w:bCs w:val="0"/>
        </w:rPr>
      </w:pPr>
      <w:r>
        <w:t>Table (8): Effect of pack number on smoker MDA and GSH levels</w:t>
      </w:r>
      <w:r>
        <w:rPr>
          <w:bCs w:val="0"/>
        </w:rPr>
        <w:t xml:space="preserve">, </w:t>
      </w:r>
      <w:r>
        <w:rPr>
          <w:bCs w:val="0"/>
          <w:color w:val="000000"/>
        </w:rPr>
        <w:t>v</w:t>
      </w:r>
      <w:r w:rsidRPr="00935CF9">
        <w:rPr>
          <w:bCs w:val="0"/>
          <w:color w:val="000000"/>
        </w:rPr>
        <w:t xml:space="preserve">alues are mean ± </w:t>
      </w:r>
      <w:r w:rsidRPr="00B32473">
        <w:t>SD</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14"/>
        <w:gridCol w:w="816"/>
        <w:gridCol w:w="2438"/>
        <w:gridCol w:w="2213"/>
      </w:tblGrid>
      <w:tr w:rsidR="00A43496">
        <w:trPr>
          <w:trHeight w:hRule="exact" w:val="240"/>
        </w:trPr>
        <w:tc>
          <w:tcPr>
            <w:tcW w:w="4114" w:type="dxa"/>
          </w:tcPr>
          <w:p w:rsidR="00A43496" w:rsidRPr="00967FDA" w:rsidRDefault="00A43496">
            <w:pPr>
              <w:pStyle w:val="TableParagraph"/>
              <w:rPr>
                <w:sz w:val="20"/>
              </w:rPr>
            </w:pPr>
            <w:r w:rsidRPr="00967FDA">
              <w:rPr>
                <w:sz w:val="20"/>
              </w:rPr>
              <w:t>Pack number smoking groups</w:t>
            </w:r>
          </w:p>
        </w:tc>
        <w:tc>
          <w:tcPr>
            <w:tcW w:w="816" w:type="dxa"/>
          </w:tcPr>
          <w:p w:rsidR="00A43496" w:rsidRPr="00967FDA" w:rsidRDefault="00A43496">
            <w:pPr>
              <w:pStyle w:val="TableParagraph"/>
              <w:ind w:left="100"/>
              <w:rPr>
                <w:sz w:val="20"/>
              </w:rPr>
            </w:pPr>
            <w:r w:rsidRPr="00967FDA">
              <w:rPr>
                <w:sz w:val="20"/>
              </w:rPr>
              <w:t>No.</w:t>
            </w:r>
          </w:p>
        </w:tc>
        <w:tc>
          <w:tcPr>
            <w:tcW w:w="2438" w:type="dxa"/>
          </w:tcPr>
          <w:p w:rsidR="00A43496" w:rsidRPr="00967FDA" w:rsidRDefault="00A43496">
            <w:pPr>
              <w:pStyle w:val="TableParagraph"/>
              <w:ind w:left="100"/>
              <w:rPr>
                <w:sz w:val="20"/>
              </w:rPr>
            </w:pPr>
            <w:r w:rsidRPr="00967FDA">
              <w:rPr>
                <w:sz w:val="20"/>
              </w:rPr>
              <w:t>MDA (nmol/ml)</w:t>
            </w:r>
          </w:p>
        </w:tc>
        <w:tc>
          <w:tcPr>
            <w:tcW w:w="2213" w:type="dxa"/>
          </w:tcPr>
          <w:p w:rsidR="00A43496" w:rsidRPr="00967FDA" w:rsidRDefault="00A43496">
            <w:pPr>
              <w:pStyle w:val="TableParagraph"/>
              <w:ind w:left="100"/>
              <w:rPr>
                <w:sz w:val="20"/>
              </w:rPr>
            </w:pPr>
            <w:r w:rsidRPr="00967FDA">
              <w:rPr>
                <w:sz w:val="20"/>
              </w:rPr>
              <w:t>GSH (mM/ml)</w:t>
            </w:r>
          </w:p>
        </w:tc>
      </w:tr>
      <w:tr w:rsidR="00A43496">
        <w:trPr>
          <w:trHeight w:hRule="exact" w:val="240"/>
        </w:trPr>
        <w:tc>
          <w:tcPr>
            <w:tcW w:w="4114" w:type="dxa"/>
          </w:tcPr>
          <w:p w:rsidR="00A43496" w:rsidRPr="00967FDA" w:rsidRDefault="00A43496">
            <w:pPr>
              <w:pStyle w:val="TableParagraph"/>
              <w:rPr>
                <w:sz w:val="20"/>
              </w:rPr>
            </w:pPr>
            <w:r w:rsidRPr="00967FDA">
              <w:rPr>
                <w:sz w:val="20"/>
              </w:rPr>
              <w:t>One pack</w:t>
            </w:r>
          </w:p>
        </w:tc>
        <w:tc>
          <w:tcPr>
            <w:tcW w:w="816" w:type="dxa"/>
          </w:tcPr>
          <w:p w:rsidR="00A43496" w:rsidRPr="00967FDA" w:rsidRDefault="00A43496">
            <w:pPr>
              <w:pStyle w:val="TableParagraph"/>
              <w:ind w:left="100"/>
              <w:rPr>
                <w:sz w:val="20"/>
              </w:rPr>
            </w:pPr>
            <w:r w:rsidRPr="00967FDA">
              <w:rPr>
                <w:sz w:val="20"/>
              </w:rPr>
              <w:t>16</w:t>
            </w:r>
          </w:p>
        </w:tc>
        <w:tc>
          <w:tcPr>
            <w:tcW w:w="2438" w:type="dxa"/>
          </w:tcPr>
          <w:p w:rsidR="00A43496" w:rsidRPr="00967FDA" w:rsidRDefault="00A43496">
            <w:pPr>
              <w:pStyle w:val="TableParagraph"/>
              <w:ind w:left="100"/>
              <w:rPr>
                <w:sz w:val="20"/>
              </w:rPr>
            </w:pPr>
            <w:r w:rsidRPr="00967FDA">
              <w:rPr>
                <w:sz w:val="20"/>
                <w:szCs w:val="20"/>
              </w:rPr>
              <w:t>13.15 ± 0.58</w:t>
            </w:r>
          </w:p>
        </w:tc>
        <w:tc>
          <w:tcPr>
            <w:tcW w:w="2213" w:type="dxa"/>
          </w:tcPr>
          <w:p w:rsidR="00A43496" w:rsidRPr="00967FDA" w:rsidRDefault="00A43496">
            <w:pPr>
              <w:pStyle w:val="TableParagraph"/>
              <w:ind w:left="100"/>
              <w:rPr>
                <w:sz w:val="20"/>
              </w:rPr>
            </w:pPr>
            <w:r w:rsidRPr="00967FDA">
              <w:rPr>
                <w:sz w:val="20"/>
                <w:szCs w:val="20"/>
              </w:rPr>
              <w:t>12.88 ± 0.77</w:t>
            </w:r>
          </w:p>
        </w:tc>
      </w:tr>
      <w:tr w:rsidR="00A43496">
        <w:trPr>
          <w:trHeight w:hRule="exact" w:val="240"/>
        </w:trPr>
        <w:tc>
          <w:tcPr>
            <w:tcW w:w="4114" w:type="dxa"/>
          </w:tcPr>
          <w:p w:rsidR="00A43496" w:rsidRPr="00967FDA" w:rsidRDefault="00A43496">
            <w:pPr>
              <w:pStyle w:val="TableParagraph"/>
              <w:rPr>
                <w:sz w:val="20"/>
              </w:rPr>
            </w:pPr>
            <w:r w:rsidRPr="00967FDA">
              <w:rPr>
                <w:sz w:val="20"/>
              </w:rPr>
              <w:t>More than pack</w:t>
            </w:r>
          </w:p>
        </w:tc>
        <w:tc>
          <w:tcPr>
            <w:tcW w:w="816" w:type="dxa"/>
          </w:tcPr>
          <w:p w:rsidR="00A43496" w:rsidRPr="00967FDA" w:rsidRDefault="00A43496">
            <w:pPr>
              <w:pStyle w:val="TableParagraph"/>
              <w:ind w:left="100"/>
              <w:rPr>
                <w:sz w:val="20"/>
              </w:rPr>
            </w:pPr>
            <w:r w:rsidRPr="00967FDA">
              <w:rPr>
                <w:sz w:val="20"/>
              </w:rPr>
              <w:t>134</w:t>
            </w:r>
          </w:p>
        </w:tc>
        <w:tc>
          <w:tcPr>
            <w:tcW w:w="2438" w:type="dxa"/>
          </w:tcPr>
          <w:p w:rsidR="00A43496" w:rsidRPr="00967FDA" w:rsidRDefault="00A43496">
            <w:pPr>
              <w:pStyle w:val="TableParagraph"/>
              <w:ind w:left="100"/>
              <w:rPr>
                <w:sz w:val="20"/>
              </w:rPr>
            </w:pPr>
            <w:r w:rsidRPr="00967FDA">
              <w:rPr>
                <w:sz w:val="20"/>
                <w:szCs w:val="20"/>
              </w:rPr>
              <w:t>16.96 ± 2.26</w:t>
            </w:r>
          </w:p>
        </w:tc>
        <w:tc>
          <w:tcPr>
            <w:tcW w:w="2213" w:type="dxa"/>
          </w:tcPr>
          <w:p w:rsidR="00A43496" w:rsidRPr="00967FDA" w:rsidRDefault="00A43496">
            <w:pPr>
              <w:pStyle w:val="TableParagraph"/>
              <w:ind w:left="100"/>
              <w:rPr>
                <w:sz w:val="20"/>
              </w:rPr>
            </w:pPr>
            <w:r w:rsidRPr="00967FDA">
              <w:rPr>
                <w:sz w:val="20"/>
                <w:szCs w:val="20"/>
              </w:rPr>
              <w:t xml:space="preserve">9.05 ± </w:t>
            </w:r>
            <w:r w:rsidRPr="00967FDA">
              <w:rPr>
                <w:sz w:val="20"/>
                <w:szCs w:val="20"/>
                <w:lang w:bidi="ar-IQ"/>
              </w:rPr>
              <w:t>1.71</w:t>
            </w:r>
          </w:p>
        </w:tc>
      </w:tr>
    </w:tbl>
    <w:p w:rsidR="00A43496" w:rsidRDefault="00A43496">
      <w:pPr>
        <w:sectPr w:rsidR="00A43496">
          <w:type w:val="continuous"/>
          <w:pgSz w:w="12240" w:h="15840"/>
          <w:pgMar w:top="1020" w:right="1220" w:bottom="920" w:left="1220" w:header="720" w:footer="720" w:gutter="0"/>
          <w:cols w:space="720"/>
        </w:sectPr>
      </w:pPr>
    </w:p>
    <w:p w:rsidR="00A43496" w:rsidRDefault="00A43496">
      <w:pPr>
        <w:pStyle w:val="BodyText"/>
        <w:spacing w:before="7"/>
        <w:ind w:left="0"/>
        <w:jc w:val="left"/>
        <w:rPr>
          <w:b/>
          <w:sz w:val="19"/>
        </w:rPr>
      </w:pPr>
    </w:p>
    <w:p w:rsidR="00A43496" w:rsidRDefault="00A43496">
      <w:pPr>
        <w:pStyle w:val="BodyText"/>
        <w:spacing w:before="7"/>
        <w:ind w:left="0"/>
        <w:jc w:val="left"/>
        <w:rPr>
          <w:sz w:val="19"/>
        </w:rPr>
      </w:pPr>
      <w:r>
        <w:br w:type="column"/>
      </w:r>
    </w:p>
    <w:p w:rsidR="00A43496" w:rsidRDefault="00A43496">
      <w:pPr>
        <w:pStyle w:val="Heading1"/>
        <w:spacing w:before="1" w:line="228" w:lineRule="exact"/>
        <w:ind w:left="220"/>
      </w:pPr>
      <w:r>
        <w:t>5.Discussion</w:t>
      </w:r>
    </w:p>
    <w:p w:rsidR="00A43496" w:rsidRPr="00CA5D12" w:rsidRDefault="00A43496" w:rsidP="00D96AA0">
      <w:pPr>
        <w:ind w:left="220" w:right="41"/>
        <w:jc w:val="lowKashida"/>
        <w:rPr>
          <w:sz w:val="20"/>
          <w:szCs w:val="20"/>
          <w:shd w:val="clear" w:color="auto" w:fill="FFFFFF"/>
        </w:rPr>
      </w:pPr>
      <w:r w:rsidRPr="00CA5D12">
        <w:rPr>
          <w:sz w:val="20"/>
          <w:szCs w:val="20"/>
        </w:rPr>
        <w:t xml:space="preserve">However, the precise role </w:t>
      </w:r>
      <w:r w:rsidRPr="00CA5D12">
        <w:rPr>
          <w:spacing w:val="-3"/>
          <w:sz w:val="20"/>
          <w:szCs w:val="20"/>
        </w:rPr>
        <w:t xml:space="preserve">of </w:t>
      </w:r>
      <w:r w:rsidRPr="00CA5D12">
        <w:rPr>
          <w:sz w:val="20"/>
          <w:szCs w:val="20"/>
        </w:rPr>
        <w:t xml:space="preserve">CD8 in smoking  and the influence </w:t>
      </w:r>
      <w:r w:rsidRPr="00CA5D12">
        <w:rPr>
          <w:spacing w:val="-3"/>
          <w:sz w:val="20"/>
          <w:szCs w:val="20"/>
        </w:rPr>
        <w:t xml:space="preserve">of </w:t>
      </w:r>
      <w:r w:rsidRPr="00CA5D12">
        <w:rPr>
          <w:sz w:val="20"/>
          <w:szCs w:val="20"/>
        </w:rPr>
        <w:t xml:space="preserve">cigarette smoke </w:t>
      </w:r>
      <w:r w:rsidRPr="00CA5D12">
        <w:rPr>
          <w:spacing w:val="-3"/>
          <w:sz w:val="20"/>
          <w:szCs w:val="20"/>
        </w:rPr>
        <w:t xml:space="preserve">on </w:t>
      </w:r>
      <w:r w:rsidRPr="00CA5D12">
        <w:rPr>
          <w:sz w:val="20"/>
          <w:szCs w:val="20"/>
        </w:rPr>
        <w:t xml:space="preserve">CD8 remains unclear (Botelho </w:t>
      </w:r>
      <w:r w:rsidRPr="00CA5D12">
        <w:rPr>
          <w:i/>
          <w:sz w:val="20"/>
          <w:szCs w:val="20"/>
        </w:rPr>
        <w:t xml:space="preserve">et al., </w:t>
      </w:r>
      <w:r w:rsidRPr="00CA5D12">
        <w:rPr>
          <w:sz w:val="20"/>
          <w:szCs w:val="20"/>
        </w:rPr>
        <w:t>2010).</w:t>
      </w:r>
      <w:r w:rsidRPr="00CA5D12">
        <w:rPr>
          <w:sz w:val="20"/>
          <w:szCs w:val="20"/>
          <w:shd w:val="clear" w:color="auto" w:fill="FFFFFF"/>
        </w:rPr>
        <w:t xml:space="preserve"> but the increasing of CD8 level  may be due to that the exposure to toxic ingredients of cigarette smoking, especially tar, </w:t>
      </w:r>
      <w:r w:rsidRPr="00CA5D12">
        <w:rPr>
          <w:sz w:val="20"/>
          <w:szCs w:val="20"/>
          <w:lang w:bidi="ar-IQ"/>
        </w:rPr>
        <w:t>N-nitrosamines,</w:t>
      </w:r>
      <w:r w:rsidRPr="00CA5D12">
        <w:rPr>
          <w:sz w:val="20"/>
          <w:szCs w:val="20"/>
          <w:shd w:val="clear" w:color="auto" w:fill="FFFFFF"/>
        </w:rPr>
        <w:t xml:space="preserve"> </w:t>
      </w:r>
      <w:r w:rsidRPr="00CA5D12">
        <w:rPr>
          <w:sz w:val="20"/>
          <w:szCs w:val="20"/>
        </w:rPr>
        <w:t>Carbon Monoxide… </w:t>
      </w:r>
      <w:r w:rsidRPr="00CA5D12">
        <w:rPr>
          <w:sz w:val="20"/>
          <w:szCs w:val="20"/>
          <w:shd w:val="clear" w:color="auto" w:fill="FFFFFF"/>
        </w:rPr>
        <w:t>etc,</w:t>
      </w:r>
      <w:r>
        <w:rPr>
          <w:sz w:val="20"/>
          <w:szCs w:val="20"/>
          <w:shd w:val="clear" w:color="auto" w:fill="FFFFFF"/>
        </w:rPr>
        <w:t xml:space="preserve"> which</w:t>
      </w:r>
      <w:r w:rsidRPr="00CA5D12">
        <w:rPr>
          <w:sz w:val="20"/>
          <w:szCs w:val="20"/>
          <w:shd w:val="clear" w:color="auto" w:fill="FFFFFF"/>
        </w:rPr>
        <w:t xml:space="preserve"> can stimulates the immune system,</w:t>
      </w:r>
      <w:r>
        <w:rPr>
          <w:sz w:val="20"/>
          <w:szCs w:val="20"/>
          <w:shd w:val="clear" w:color="auto" w:fill="FFFFFF"/>
        </w:rPr>
        <w:t xml:space="preserve"> in</w:t>
      </w:r>
      <w:r w:rsidRPr="00CA5D12">
        <w:rPr>
          <w:sz w:val="20"/>
          <w:szCs w:val="20"/>
          <w:shd w:val="clear" w:color="auto" w:fill="FFFFFF"/>
        </w:rPr>
        <w:t xml:space="preserve"> addition the  toxins effect  involves in the cells</w:t>
      </w:r>
      <w:r>
        <w:rPr>
          <w:sz w:val="20"/>
          <w:szCs w:val="20"/>
          <w:shd w:val="clear" w:color="auto" w:fill="FFFFFF"/>
        </w:rPr>
        <w:t xml:space="preserve"> of the body</w:t>
      </w:r>
      <w:r w:rsidRPr="00CA5D12">
        <w:rPr>
          <w:sz w:val="20"/>
          <w:szCs w:val="20"/>
          <w:shd w:val="clear" w:color="auto" w:fill="FFFFFF"/>
        </w:rPr>
        <w:t>, which can promote</w:t>
      </w:r>
      <w:r>
        <w:rPr>
          <w:sz w:val="20"/>
          <w:szCs w:val="20"/>
          <w:shd w:val="clear" w:color="auto" w:fill="FFFFFF"/>
        </w:rPr>
        <w:t>s</w:t>
      </w:r>
      <w:r w:rsidRPr="00CA5D12">
        <w:rPr>
          <w:sz w:val="20"/>
          <w:szCs w:val="20"/>
          <w:shd w:val="clear" w:color="auto" w:fill="FFFFFF"/>
        </w:rPr>
        <w:t xml:space="preserve"> cell-mediated immunity such as T-cell including CD8 proliferation</w:t>
      </w:r>
      <w:r>
        <w:rPr>
          <w:sz w:val="20"/>
          <w:szCs w:val="20"/>
          <w:shd w:val="clear" w:color="auto" w:fill="FFFFFF"/>
        </w:rPr>
        <w:t>,</w:t>
      </w:r>
      <w:r w:rsidRPr="00CA5D12">
        <w:rPr>
          <w:sz w:val="20"/>
          <w:szCs w:val="20"/>
        </w:rPr>
        <w:t xml:space="preserve"> </w:t>
      </w:r>
      <w:r>
        <w:rPr>
          <w:sz w:val="20"/>
          <w:szCs w:val="20"/>
        </w:rPr>
        <w:t>a</w:t>
      </w:r>
      <w:r w:rsidRPr="00CA5D12">
        <w:rPr>
          <w:sz w:val="20"/>
          <w:szCs w:val="20"/>
        </w:rPr>
        <w:t xml:space="preserve">lthough some </w:t>
      </w:r>
      <w:r w:rsidRPr="00C6285B">
        <w:rPr>
          <w:i/>
          <w:iCs/>
          <w:sz w:val="20"/>
          <w:szCs w:val="20"/>
        </w:rPr>
        <w:t>in vitro</w:t>
      </w:r>
      <w:r w:rsidRPr="00CA5D12">
        <w:rPr>
          <w:sz w:val="20"/>
          <w:szCs w:val="20"/>
        </w:rPr>
        <w:t xml:space="preserve"> research   ha</w:t>
      </w:r>
      <w:r>
        <w:rPr>
          <w:sz w:val="20"/>
          <w:szCs w:val="20"/>
        </w:rPr>
        <w:t>d</w:t>
      </w:r>
      <w:r w:rsidRPr="00CA5D12">
        <w:rPr>
          <w:sz w:val="20"/>
          <w:szCs w:val="20"/>
        </w:rPr>
        <w:t xml:space="preserve">   indicated   that    soluble   </w:t>
      </w:r>
      <w:r w:rsidRPr="00CA5D12">
        <w:rPr>
          <w:spacing w:val="6"/>
          <w:sz w:val="20"/>
          <w:szCs w:val="20"/>
        </w:rPr>
        <w:t xml:space="preserve"> </w:t>
      </w:r>
      <w:r w:rsidRPr="00CA5D12">
        <w:rPr>
          <w:sz w:val="20"/>
          <w:szCs w:val="20"/>
        </w:rPr>
        <w:t xml:space="preserve">components extracted </w:t>
      </w:r>
      <w:r w:rsidRPr="00CA5D12">
        <w:rPr>
          <w:spacing w:val="-3"/>
          <w:sz w:val="20"/>
          <w:szCs w:val="20"/>
        </w:rPr>
        <w:t xml:space="preserve">from </w:t>
      </w:r>
      <w:r w:rsidRPr="00CA5D12">
        <w:rPr>
          <w:sz w:val="20"/>
          <w:szCs w:val="20"/>
        </w:rPr>
        <w:t xml:space="preserve">cigarette smoke </w:t>
      </w:r>
      <w:r w:rsidRPr="00CA5D12">
        <w:rPr>
          <w:spacing w:val="-3"/>
          <w:sz w:val="20"/>
          <w:szCs w:val="20"/>
        </w:rPr>
        <w:t xml:space="preserve">can </w:t>
      </w:r>
      <w:r w:rsidRPr="00CA5D12">
        <w:rPr>
          <w:sz w:val="20"/>
          <w:szCs w:val="20"/>
        </w:rPr>
        <w:t xml:space="preserve">significantly effect </w:t>
      </w:r>
      <w:r w:rsidRPr="00CA5D12">
        <w:rPr>
          <w:spacing w:val="-3"/>
          <w:sz w:val="20"/>
          <w:szCs w:val="20"/>
        </w:rPr>
        <w:t xml:space="preserve">on </w:t>
      </w:r>
      <w:r w:rsidRPr="00CA5D12">
        <w:rPr>
          <w:sz w:val="20"/>
          <w:szCs w:val="20"/>
        </w:rPr>
        <w:t xml:space="preserve">proliferation and activation </w:t>
      </w:r>
      <w:r w:rsidRPr="00CA5D12">
        <w:rPr>
          <w:spacing w:val="-3"/>
          <w:sz w:val="20"/>
          <w:szCs w:val="20"/>
        </w:rPr>
        <w:t xml:space="preserve">of </w:t>
      </w:r>
      <w:r w:rsidRPr="00CA5D12">
        <w:rPr>
          <w:sz w:val="20"/>
          <w:szCs w:val="20"/>
        </w:rPr>
        <w:t xml:space="preserve">T cells (Arnson </w:t>
      </w:r>
      <w:r w:rsidRPr="00CA5D12">
        <w:rPr>
          <w:i/>
          <w:sz w:val="20"/>
          <w:szCs w:val="20"/>
        </w:rPr>
        <w:t>et  al</w:t>
      </w:r>
      <w:r w:rsidRPr="00CA5D12">
        <w:rPr>
          <w:sz w:val="20"/>
          <w:szCs w:val="20"/>
        </w:rPr>
        <w:t xml:space="preserve">., 2010). Studies have suggested that that CD8 are inversely correlated with pulmonary function and may play a critical role in the smoking related pulmonary inflammation (Farhang </w:t>
      </w:r>
      <w:r w:rsidRPr="00CA5D12">
        <w:rPr>
          <w:i/>
          <w:sz w:val="20"/>
          <w:szCs w:val="20"/>
        </w:rPr>
        <w:t>et al</w:t>
      </w:r>
      <w:r w:rsidRPr="00CA5D12">
        <w:rPr>
          <w:sz w:val="20"/>
          <w:szCs w:val="20"/>
        </w:rPr>
        <w:t xml:space="preserve">., 2013) </w:t>
      </w:r>
      <w:r>
        <w:rPr>
          <w:sz w:val="20"/>
          <w:szCs w:val="20"/>
        </w:rPr>
        <w:t>,</w:t>
      </w:r>
      <w:r w:rsidRPr="00CA5D12">
        <w:rPr>
          <w:sz w:val="20"/>
          <w:szCs w:val="20"/>
        </w:rPr>
        <w:t xml:space="preserve"> </w:t>
      </w:r>
      <w:r>
        <w:rPr>
          <w:spacing w:val="-3"/>
          <w:sz w:val="20"/>
          <w:szCs w:val="20"/>
        </w:rPr>
        <w:t>a</w:t>
      </w:r>
      <w:r w:rsidRPr="00CA5D12">
        <w:rPr>
          <w:spacing w:val="-3"/>
          <w:sz w:val="20"/>
          <w:szCs w:val="20"/>
        </w:rPr>
        <w:t xml:space="preserve">lso, </w:t>
      </w:r>
      <w:r w:rsidRPr="00CA5D12">
        <w:rPr>
          <w:sz w:val="20"/>
          <w:szCs w:val="20"/>
        </w:rPr>
        <w:t xml:space="preserve">the </w:t>
      </w:r>
      <w:r>
        <w:rPr>
          <w:sz w:val="20"/>
          <w:szCs w:val="20"/>
        </w:rPr>
        <w:t>previous</w:t>
      </w:r>
      <w:r w:rsidRPr="00CA5D12">
        <w:rPr>
          <w:sz w:val="20"/>
          <w:szCs w:val="20"/>
        </w:rPr>
        <w:t xml:space="preserve"> findings ha</w:t>
      </w:r>
      <w:r>
        <w:rPr>
          <w:sz w:val="20"/>
          <w:szCs w:val="20"/>
        </w:rPr>
        <w:t>d</w:t>
      </w:r>
      <w:r w:rsidRPr="00CA5D12">
        <w:rPr>
          <w:sz w:val="20"/>
          <w:szCs w:val="20"/>
        </w:rPr>
        <w:t xml:space="preserve"> demonstrated that CD8 display immune regulation functions (Boldison </w:t>
      </w:r>
      <w:r w:rsidRPr="00CA5D12">
        <w:rPr>
          <w:i/>
          <w:sz w:val="20"/>
          <w:szCs w:val="20"/>
        </w:rPr>
        <w:t>et al</w:t>
      </w:r>
      <w:r w:rsidRPr="00CA5D12">
        <w:rPr>
          <w:sz w:val="20"/>
          <w:szCs w:val="20"/>
        </w:rPr>
        <w:t xml:space="preserve">., 2014 and Tamara </w:t>
      </w:r>
      <w:r w:rsidRPr="00CA5D12">
        <w:rPr>
          <w:i/>
          <w:sz w:val="20"/>
          <w:szCs w:val="20"/>
        </w:rPr>
        <w:t>et al</w:t>
      </w:r>
      <w:r w:rsidRPr="00CA5D12">
        <w:rPr>
          <w:sz w:val="20"/>
          <w:szCs w:val="20"/>
        </w:rPr>
        <w:t>.,2016)</w:t>
      </w:r>
      <w:r>
        <w:rPr>
          <w:sz w:val="20"/>
          <w:szCs w:val="20"/>
        </w:rPr>
        <w:t>,</w:t>
      </w:r>
      <w:r w:rsidRPr="00CF0A48">
        <w:t xml:space="preserve"> </w:t>
      </w:r>
      <w:r w:rsidRPr="00CF0A48">
        <w:rPr>
          <w:sz w:val="20"/>
          <w:szCs w:val="20"/>
        </w:rPr>
        <w:t>moreover</w:t>
      </w:r>
      <w:r w:rsidRPr="00CA5D12">
        <w:rPr>
          <w:sz w:val="20"/>
          <w:szCs w:val="20"/>
        </w:rPr>
        <w:t xml:space="preserve">, present study indicated that there </w:t>
      </w:r>
      <w:r w:rsidRPr="00CA5D12">
        <w:rPr>
          <w:spacing w:val="-3"/>
          <w:sz w:val="20"/>
          <w:szCs w:val="20"/>
        </w:rPr>
        <w:t xml:space="preserve">was </w:t>
      </w:r>
      <w:r w:rsidRPr="00CA5D12">
        <w:rPr>
          <w:sz w:val="20"/>
          <w:szCs w:val="20"/>
        </w:rPr>
        <w:t xml:space="preserve">an inverse correlation  between the circulating </w:t>
      </w:r>
      <w:r w:rsidRPr="00CA5D12">
        <w:rPr>
          <w:spacing w:val="-3"/>
          <w:sz w:val="20"/>
          <w:szCs w:val="20"/>
        </w:rPr>
        <w:t xml:space="preserve">CD8 </w:t>
      </w:r>
      <w:r w:rsidRPr="00CA5D12">
        <w:rPr>
          <w:sz w:val="20"/>
          <w:szCs w:val="20"/>
        </w:rPr>
        <w:t xml:space="preserve">and smoking index. It </w:t>
      </w:r>
      <w:r w:rsidRPr="00CA5D12">
        <w:rPr>
          <w:spacing w:val="-3"/>
          <w:sz w:val="20"/>
          <w:szCs w:val="20"/>
        </w:rPr>
        <w:t xml:space="preserve">was </w:t>
      </w:r>
      <w:r w:rsidRPr="00CA5D12">
        <w:rPr>
          <w:sz w:val="20"/>
          <w:szCs w:val="20"/>
        </w:rPr>
        <w:t xml:space="preserve">noticed that the CD8 influenced by smoking in which observed significantly effect in all different cases, influenced </w:t>
      </w:r>
      <w:r w:rsidRPr="00CA5D12">
        <w:rPr>
          <w:spacing w:val="-3"/>
          <w:sz w:val="20"/>
          <w:szCs w:val="20"/>
        </w:rPr>
        <w:t xml:space="preserve">by </w:t>
      </w:r>
      <w:r w:rsidRPr="00CA5D12">
        <w:rPr>
          <w:sz w:val="20"/>
          <w:szCs w:val="20"/>
        </w:rPr>
        <w:t xml:space="preserve">age, number </w:t>
      </w:r>
      <w:r w:rsidRPr="00CA5D12">
        <w:rPr>
          <w:spacing w:val="-3"/>
          <w:sz w:val="20"/>
          <w:szCs w:val="20"/>
        </w:rPr>
        <w:t xml:space="preserve">of </w:t>
      </w:r>
      <w:r w:rsidRPr="00CA5D12">
        <w:rPr>
          <w:sz w:val="20"/>
          <w:szCs w:val="20"/>
        </w:rPr>
        <w:t xml:space="preserve">packs consumption and duration </w:t>
      </w:r>
      <w:r w:rsidRPr="00CA5D12">
        <w:rPr>
          <w:spacing w:val="-3"/>
          <w:sz w:val="20"/>
          <w:szCs w:val="20"/>
        </w:rPr>
        <w:t xml:space="preserve">of </w:t>
      </w:r>
      <w:r w:rsidRPr="00CA5D12">
        <w:rPr>
          <w:sz w:val="20"/>
          <w:szCs w:val="20"/>
        </w:rPr>
        <w:t xml:space="preserve">smoking. </w:t>
      </w:r>
      <w:r>
        <w:rPr>
          <w:sz w:val="20"/>
          <w:szCs w:val="20"/>
        </w:rPr>
        <w:t>L</w:t>
      </w:r>
      <w:r w:rsidRPr="009A6FB6">
        <w:rPr>
          <w:sz w:val="20"/>
          <w:szCs w:val="20"/>
        </w:rPr>
        <w:t>ikewise</w:t>
      </w:r>
      <w:r w:rsidRPr="00CA5D12">
        <w:rPr>
          <w:sz w:val="20"/>
          <w:szCs w:val="20"/>
        </w:rPr>
        <w:t>,</w:t>
      </w:r>
      <w:r>
        <w:rPr>
          <w:sz w:val="20"/>
          <w:szCs w:val="20"/>
        </w:rPr>
        <w:t xml:space="preserve"> current </w:t>
      </w:r>
      <w:r w:rsidRPr="00CA5D12">
        <w:rPr>
          <w:sz w:val="20"/>
          <w:szCs w:val="20"/>
        </w:rPr>
        <w:t xml:space="preserve"> results </w:t>
      </w:r>
      <w:r w:rsidRPr="00CA5D12">
        <w:rPr>
          <w:spacing w:val="-4"/>
          <w:sz w:val="20"/>
          <w:szCs w:val="20"/>
        </w:rPr>
        <w:t xml:space="preserve">showed </w:t>
      </w:r>
      <w:r w:rsidRPr="00CA5D12">
        <w:rPr>
          <w:sz w:val="20"/>
          <w:szCs w:val="20"/>
        </w:rPr>
        <w:t xml:space="preserve">significant changes </w:t>
      </w:r>
      <w:r w:rsidRPr="00C37AAE">
        <w:rPr>
          <w:sz w:val="20"/>
          <w:szCs w:val="20"/>
        </w:rPr>
        <w:t>(P&lt;0.01)</w:t>
      </w:r>
      <w:r>
        <w:rPr>
          <w:sz w:val="20"/>
          <w:szCs w:val="20"/>
        </w:rPr>
        <w:t xml:space="preserve"> </w:t>
      </w:r>
      <w:r w:rsidRPr="00CA5D12">
        <w:rPr>
          <w:sz w:val="20"/>
          <w:szCs w:val="20"/>
        </w:rPr>
        <w:t>in levels of CD8 which appeared very high in</w:t>
      </w:r>
      <w:r w:rsidRPr="00D96AA0">
        <w:rPr>
          <w:sz w:val="20"/>
          <w:szCs w:val="20"/>
        </w:rPr>
        <w:t xml:space="preserve"> </w:t>
      </w:r>
      <w:r w:rsidRPr="00CA5D12">
        <w:rPr>
          <w:sz w:val="20"/>
          <w:szCs w:val="20"/>
        </w:rPr>
        <w:t>younger smokers compare</w:t>
      </w:r>
      <w:r>
        <w:rPr>
          <w:sz w:val="20"/>
          <w:szCs w:val="20"/>
        </w:rPr>
        <w:t>d</w:t>
      </w:r>
      <w:r w:rsidRPr="00CA5D12">
        <w:rPr>
          <w:sz w:val="20"/>
          <w:szCs w:val="20"/>
        </w:rPr>
        <w:t xml:space="preserve"> with aged smokers</w:t>
      </w:r>
      <w:r>
        <w:rPr>
          <w:sz w:val="20"/>
          <w:szCs w:val="20"/>
        </w:rPr>
        <w:t>,</w:t>
      </w:r>
      <w:r w:rsidRPr="00CA5D12">
        <w:rPr>
          <w:sz w:val="20"/>
          <w:szCs w:val="20"/>
        </w:rPr>
        <w:t xml:space="preserve"> furthermore</w:t>
      </w:r>
      <w:r w:rsidRPr="00CA5D12">
        <w:rPr>
          <w:spacing w:val="-3"/>
          <w:sz w:val="20"/>
          <w:szCs w:val="20"/>
        </w:rPr>
        <w:t xml:space="preserve">, </w:t>
      </w:r>
      <w:r w:rsidRPr="00CA5D12">
        <w:rPr>
          <w:sz w:val="20"/>
          <w:szCs w:val="20"/>
        </w:rPr>
        <w:t xml:space="preserve">the results </w:t>
      </w:r>
      <w:r w:rsidRPr="00CA5D12">
        <w:rPr>
          <w:spacing w:val="-3"/>
          <w:sz w:val="20"/>
          <w:szCs w:val="20"/>
        </w:rPr>
        <w:t>showed</w:t>
      </w:r>
      <w:r>
        <w:rPr>
          <w:spacing w:val="-3"/>
          <w:sz w:val="20"/>
          <w:szCs w:val="20"/>
        </w:rPr>
        <w:t xml:space="preserve"> that</w:t>
      </w:r>
      <w:r w:rsidRPr="00CA5D12">
        <w:rPr>
          <w:spacing w:val="-3"/>
          <w:sz w:val="20"/>
          <w:szCs w:val="20"/>
        </w:rPr>
        <w:t xml:space="preserve"> </w:t>
      </w:r>
      <w:r w:rsidRPr="00CA5D12">
        <w:rPr>
          <w:sz w:val="20"/>
          <w:szCs w:val="20"/>
        </w:rPr>
        <w:t xml:space="preserve">the number </w:t>
      </w:r>
      <w:r w:rsidRPr="00CA5D12">
        <w:rPr>
          <w:spacing w:val="-3"/>
          <w:sz w:val="20"/>
          <w:szCs w:val="20"/>
        </w:rPr>
        <w:t xml:space="preserve">of </w:t>
      </w:r>
      <w:r w:rsidRPr="00CA5D12">
        <w:rPr>
          <w:sz w:val="20"/>
          <w:szCs w:val="20"/>
        </w:rPr>
        <w:t>pack</w:t>
      </w:r>
      <w:r>
        <w:rPr>
          <w:sz w:val="20"/>
          <w:szCs w:val="20"/>
        </w:rPr>
        <w:t>s</w:t>
      </w:r>
      <w:r w:rsidRPr="00CA5D12">
        <w:rPr>
          <w:sz w:val="20"/>
          <w:szCs w:val="20"/>
        </w:rPr>
        <w:t xml:space="preserve"> and the smoking duration </w:t>
      </w:r>
      <w:r>
        <w:rPr>
          <w:sz w:val="20"/>
          <w:szCs w:val="20"/>
        </w:rPr>
        <w:t>also</w:t>
      </w:r>
      <w:r w:rsidRPr="00CA5D12">
        <w:rPr>
          <w:sz w:val="20"/>
          <w:szCs w:val="20"/>
        </w:rPr>
        <w:t xml:space="preserve"> </w:t>
      </w:r>
      <w:r w:rsidRPr="00CA5D12">
        <w:rPr>
          <w:spacing w:val="-3"/>
          <w:sz w:val="20"/>
          <w:szCs w:val="20"/>
        </w:rPr>
        <w:t>effect</w:t>
      </w:r>
      <w:r>
        <w:rPr>
          <w:spacing w:val="-3"/>
          <w:sz w:val="20"/>
          <w:szCs w:val="20"/>
        </w:rPr>
        <w:t>ed</w:t>
      </w:r>
      <w:r w:rsidRPr="00CA5D12">
        <w:rPr>
          <w:spacing w:val="-3"/>
          <w:sz w:val="20"/>
          <w:szCs w:val="20"/>
        </w:rPr>
        <w:t xml:space="preserve"> on CD8 </w:t>
      </w:r>
      <w:r w:rsidRPr="00CA5D12">
        <w:rPr>
          <w:sz w:val="20"/>
          <w:szCs w:val="20"/>
        </w:rPr>
        <w:t xml:space="preserve">levels. This results are  in agreement with Finkelstein </w:t>
      </w:r>
      <w:r w:rsidRPr="00CA5D12">
        <w:rPr>
          <w:i/>
          <w:sz w:val="20"/>
          <w:szCs w:val="20"/>
        </w:rPr>
        <w:t>et al</w:t>
      </w:r>
      <w:r w:rsidRPr="00CA5D12">
        <w:rPr>
          <w:sz w:val="20"/>
          <w:szCs w:val="20"/>
        </w:rPr>
        <w:t xml:space="preserve">. (1995) and Moszczynski </w:t>
      </w:r>
      <w:r w:rsidRPr="00CA5D12">
        <w:rPr>
          <w:i/>
          <w:sz w:val="20"/>
          <w:szCs w:val="20"/>
        </w:rPr>
        <w:t>et al</w:t>
      </w:r>
      <w:r w:rsidRPr="00CA5D12">
        <w:rPr>
          <w:sz w:val="20"/>
          <w:szCs w:val="20"/>
        </w:rPr>
        <w:t xml:space="preserve">. (2001) who observed increase levels of CD8 in smoker volunteers compared to nonsmoker. </w:t>
      </w:r>
      <w:r>
        <w:rPr>
          <w:sz w:val="20"/>
          <w:szCs w:val="20"/>
        </w:rPr>
        <w:t>As well</w:t>
      </w:r>
      <w:r w:rsidRPr="00CA5D12">
        <w:rPr>
          <w:sz w:val="20"/>
          <w:szCs w:val="20"/>
        </w:rPr>
        <w:t xml:space="preserve"> it </w:t>
      </w:r>
      <w:r w:rsidRPr="00CA5D12">
        <w:rPr>
          <w:spacing w:val="-3"/>
          <w:sz w:val="20"/>
          <w:szCs w:val="20"/>
        </w:rPr>
        <w:t xml:space="preserve">was </w:t>
      </w:r>
      <w:r w:rsidRPr="00CA5D12">
        <w:rPr>
          <w:sz w:val="20"/>
          <w:szCs w:val="20"/>
        </w:rPr>
        <w:t xml:space="preserve">noticed that the TNF-α influenced by smoking in which </w:t>
      </w:r>
      <w:r w:rsidRPr="00CA5D12">
        <w:rPr>
          <w:spacing w:val="-3"/>
          <w:sz w:val="20"/>
          <w:szCs w:val="20"/>
        </w:rPr>
        <w:t xml:space="preserve">observed </w:t>
      </w:r>
      <w:r w:rsidRPr="00CA5D12">
        <w:rPr>
          <w:sz w:val="20"/>
          <w:szCs w:val="20"/>
        </w:rPr>
        <w:t xml:space="preserve">significantly effect in all various cases, affected by age, number </w:t>
      </w:r>
      <w:r w:rsidRPr="00CA5D12">
        <w:rPr>
          <w:spacing w:val="-3"/>
          <w:sz w:val="20"/>
          <w:szCs w:val="20"/>
        </w:rPr>
        <w:t xml:space="preserve">of </w:t>
      </w:r>
      <w:r w:rsidRPr="00CA5D12">
        <w:rPr>
          <w:sz w:val="20"/>
          <w:szCs w:val="20"/>
        </w:rPr>
        <w:t xml:space="preserve">packs consumption and duration </w:t>
      </w:r>
      <w:r w:rsidRPr="00CA5D12">
        <w:rPr>
          <w:spacing w:val="-3"/>
          <w:sz w:val="20"/>
          <w:szCs w:val="20"/>
        </w:rPr>
        <w:t xml:space="preserve">of </w:t>
      </w:r>
      <w:r w:rsidRPr="00CA5D12">
        <w:rPr>
          <w:sz w:val="20"/>
          <w:szCs w:val="20"/>
        </w:rPr>
        <w:t>smoking</w:t>
      </w:r>
      <w:r>
        <w:rPr>
          <w:sz w:val="20"/>
          <w:szCs w:val="20"/>
        </w:rPr>
        <w:t>.</w:t>
      </w:r>
      <w:r w:rsidRPr="00CA5D12">
        <w:rPr>
          <w:sz w:val="20"/>
          <w:szCs w:val="20"/>
          <w:shd w:val="clear" w:color="auto" w:fill="FFFFFF"/>
        </w:rPr>
        <w:t xml:space="preserve"> Elevated </w:t>
      </w:r>
      <w:r w:rsidRPr="00CA5D12">
        <w:rPr>
          <w:sz w:val="20"/>
          <w:szCs w:val="20"/>
        </w:rPr>
        <w:t>TNF-α</w:t>
      </w:r>
      <w:r w:rsidRPr="00CA5D12">
        <w:rPr>
          <w:sz w:val="20"/>
          <w:szCs w:val="20"/>
          <w:shd w:val="clear" w:color="auto" w:fill="FFFFFF"/>
        </w:rPr>
        <w:t xml:space="preserve"> level  might be due to that the exposure to cigarette smoking toxins, especially tar</w:t>
      </w:r>
      <w:r w:rsidRPr="00CA5D12">
        <w:rPr>
          <w:color w:val="222222"/>
          <w:sz w:val="20"/>
          <w:szCs w:val="20"/>
          <w:shd w:val="clear" w:color="auto" w:fill="FFFFFF"/>
        </w:rPr>
        <w:t xml:space="preserve">, </w:t>
      </w:r>
      <w:r w:rsidRPr="00CA5D12">
        <w:rPr>
          <w:sz w:val="20"/>
          <w:szCs w:val="20"/>
          <w:shd w:val="clear" w:color="auto" w:fill="FFFFFF"/>
        </w:rPr>
        <w:t>Benzene</w:t>
      </w:r>
      <w:r w:rsidRPr="00CA5D12">
        <w:rPr>
          <w:sz w:val="20"/>
          <w:szCs w:val="20"/>
        </w:rPr>
        <w:t>, </w:t>
      </w:r>
      <w:r w:rsidRPr="00CA5D12">
        <w:rPr>
          <w:sz w:val="20"/>
          <w:szCs w:val="20"/>
          <w:shd w:val="clear" w:color="auto" w:fill="FFFFFF"/>
        </w:rPr>
        <w:t>Arsenic</w:t>
      </w:r>
      <w:r w:rsidRPr="00CA5D12">
        <w:rPr>
          <w:sz w:val="20"/>
          <w:szCs w:val="20"/>
        </w:rPr>
        <w:t xml:space="preserve">… </w:t>
      </w:r>
      <w:r w:rsidRPr="00CA5D12">
        <w:rPr>
          <w:sz w:val="20"/>
          <w:szCs w:val="20"/>
          <w:shd w:val="clear" w:color="auto" w:fill="FFFFFF"/>
        </w:rPr>
        <w:t>etc, can stimulate the immune system,  including  proliferation of macrophages and natural killer</w:t>
      </w:r>
      <w:r w:rsidRPr="00CA5D12">
        <w:rPr>
          <w:sz w:val="20"/>
          <w:szCs w:val="20"/>
        </w:rPr>
        <w:t> cells</w:t>
      </w:r>
      <w:r w:rsidRPr="00CA5D12">
        <w:rPr>
          <w:sz w:val="20"/>
          <w:szCs w:val="20"/>
          <w:shd w:val="clear" w:color="auto" w:fill="FFFFFF"/>
        </w:rPr>
        <w:t xml:space="preserve"> which produce </w:t>
      </w:r>
      <w:r w:rsidRPr="00CA5D12">
        <w:rPr>
          <w:sz w:val="20"/>
          <w:szCs w:val="20"/>
        </w:rPr>
        <w:t>TNF-α</w:t>
      </w:r>
      <w:r w:rsidRPr="00CA5D12">
        <w:rPr>
          <w:sz w:val="20"/>
          <w:szCs w:val="20"/>
          <w:shd w:val="clear" w:color="auto" w:fill="FFFFFF"/>
        </w:rPr>
        <w:t>.</w:t>
      </w:r>
    </w:p>
    <w:p w:rsidR="00A43496" w:rsidRPr="00CA5D12" w:rsidRDefault="00A43496" w:rsidP="002067A3">
      <w:pPr>
        <w:pStyle w:val="BodyText"/>
        <w:spacing w:before="76"/>
        <w:ind w:left="160" w:right="151"/>
      </w:pPr>
      <w:r w:rsidRPr="00CA5D12">
        <w:t xml:space="preserve"> </w:t>
      </w:r>
      <w:r w:rsidRPr="00A57D0A">
        <w:t>The present  result</w:t>
      </w:r>
      <w:r w:rsidRPr="00F21DFA">
        <w:rPr>
          <w:sz w:val="28"/>
          <w:szCs w:val="28"/>
        </w:rPr>
        <w:t xml:space="preserve"> </w:t>
      </w:r>
      <w:r w:rsidRPr="00CA5D12">
        <w:t xml:space="preserve">are in agreement with Boström </w:t>
      </w:r>
      <w:r w:rsidRPr="00CA5D12">
        <w:rPr>
          <w:i/>
        </w:rPr>
        <w:t>et al</w:t>
      </w:r>
      <w:r w:rsidRPr="00CA5D12">
        <w:t xml:space="preserve">. (1999) who reported a raise </w:t>
      </w:r>
      <w:r w:rsidRPr="00CA5D12">
        <w:rPr>
          <w:spacing w:val="-3"/>
        </w:rPr>
        <w:t xml:space="preserve">level </w:t>
      </w:r>
      <w:r w:rsidRPr="00CA5D12">
        <w:t xml:space="preserve">of TNF- α in the gingival crevicular fluid </w:t>
      </w:r>
      <w:r w:rsidRPr="00CA5D12">
        <w:rPr>
          <w:spacing w:val="-3"/>
        </w:rPr>
        <w:t xml:space="preserve">of </w:t>
      </w:r>
      <w:r w:rsidRPr="00CA5D12">
        <w:t xml:space="preserve">smoker patients compared to nonsmoker with periodontal disease. Also, the result are consistent with Merghani </w:t>
      </w:r>
      <w:r w:rsidRPr="00CA5D12">
        <w:rPr>
          <w:i/>
        </w:rPr>
        <w:t>et al</w:t>
      </w:r>
      <w:r w:rsidRPr="00CA5D12">
        <w:t xml:space="preserve">. (2012) who indicated that the serum levels of TNF-α were significantly higher in the </w:t>
      </w:r>
      <w:r w:rsidRPr="00CA5D12">
        <w:rPr>
          <w:spacing w:val="-3"/>
        </w:rPr>
        <w:t xml:space="preserve">smoker </w:t>
      </w:r>
      <w:r w:rsidRPr="00CA5D12">
        <w:t xml:space="preserve">group than in the nonsmoker group. The levels </w:t>
      </w:r>
      <w:r w:rsidRPr="00CA5D12">
        <w:rPr>
          <w:spacing w:val="-3"/>
        </w:rPr>
        <w:t xml:space="preserve">of </w:t>
      </w:r>
      <w:r w:rsidRPr="00CA5D12">
        <w:t xml:space="preserve">TNF- α were also significantly higher in </w:t>
      </w:r>
      <w:r w:rsidRPr="00CA5D12">
        <w:rPr>
          <w:spacing w:val="-3"/>
        </w:rPr>
        <w:t xml:space="preserve">smoker of </w:t>
      </w:r>
      <w:r w:rsidRPr="00CA5D12">
        <w:t xml:space="preserve">more one pack per day than one pack, that is in agreement with the study of Petrescu </w:t>
      </w:r>
      <w:r w:rsidRPr="00CA5D12">
        <w:rPr>
          <w:i/>
        </w:rPr>
        <w:t>et al</w:t>
      </w:r>
      <w:r w:rsidRPr="00CA5D12">
        <w:t xml:space="preserve">., (2010) </w:t>
      </w:r>
      <w:r w:rsidRPr="00CA5D12">
        <w:rPr>
          <w:spacing w:val="-3"/>
        </w:rPr>
        <w:t xml:space="preserve">who </w:t>
      </w:r>
      <w:r w:rsidRPr="00CA5D12">
        <w:t xml:space="preserve">referred that the marked increase </w:t>
      </w:r>
      <w:r w:rsidRPr="00CA5D12">
        <w:rPr>
          <w:spacing w:val="-3"/>
        </w:rPr>
        <w:t xml:space="preserve">of </w:t>
      </w:r>
      <w:r w:rsidRPr="00CA5D12">
        <w:t xml:space="preserve">TNF- α system activation with an increase in the number </w:t>
      </w:r>
      <w:r w:rsidRPr="00CA5D12">
        <w:rPr>
          <w:spacing w:val="-3"/>
        </w:rPr>
        <w:t xml:space="preserve">of </w:t>
      </w:r>
      <w:r w:rsidRPr="00CA5D12">
        <w:t>cigarettes smoked per day.</w:t>
      </w:r>
    </w:p>
    <w:p w:rsidR="00A43496" w:rsidRPr="00CA5D12" w:rsidRDefault="00A43496" w:rsidP="00D96AA0">
      <w:pPr>
        <w:pStyle w:val="BodyText"/>
        <w:spacing w:before="76"/>
        <w:ind w:left="160" w:right="148"/>
      </w:pPr>
      <w:r w:rsidRPr="00CA5D12">
        <w:t>MDA has been recognized as an important lipid peroxidation indicator, since subjects affected by several diseases have</w:t>
      </w:r>
      <w:r>
        <w:t xml:space="preserve"> an</w:t>
      </w:r>
      <w:r w:rsidRPr="00CA5D12">
        <w:t xml:space="preserve"> increase </w:t>
      </w:r>
      <w:r>
        <w:t xml:space="preserve"> of </w:t>
      </w:r>
      <w:r w:rsidRPr="00CA5D12">
        <w:t xml:space="preserve">MDA levels    (Ho </w:t>
      </w:r>
      <w:r w:rsidRPr="00CA5D12">
        <w:rPr>
          <w:i/>
        </w:rPr>
        <w:t>et al</w:t>
      </w:r>
      <w:r w:rsidRPr="00CA5D12">
        <w:t xml:space="preserve">.,2013). The involvement of lipid peroxidation in cancer </w:t>
      </w:r>
      <w:r>
        <w:t xml:space="preserve"> which</w:t>
      </w:r>
      <w:r w:rsidRPr="00CA5D12">
        <w:t xml:space="preserve"> results from the accumulation of the multiple mutations in genes (Talarowska </w:t>
      </w:r>
      <w:r w:rsidRPr="00CA5D12">
        <w:rPr>
          <w:i/>
        </w:rPr>
        <w:t>et al</w:t>
      </w:r>
      <w:r w:rsidRPr="00CA5D12">
        <w:t xml:space="preserve">., 2014). These genetic changes are a consequence of instability of DNA replication which result from exposure to </w:t>
      </w:r>
      <w:r>
        <w:t>toxins</w:t>
      </w:r>
      <w:r w:rsidRPr="00CA5D12">
        <w:t xml:space="preserve"> and reactive oxygen species (Chu </w:t>
      </w:r>
      <w:r w:rsidRPr="00CA5D12">
        <w:rPr>
          <w:i/>
        </w:rPr>
        <w:t>et al</w:t>
      </w:r>
      <w:r w:rsidRPr="00CA5D12">
        <w:t xml:space="preserve">., 2013), thus, MDA can be used as one of the markers for diagnosis </w:t>
      </w:r>
      <w:r>
        <w:t>cancers</w:t>
      </w:r>
      <w:r w:rsidRPr="00CA5D12">
        <w:t xml:space="preserve"> (Giera </w:t>
      </w:r>
      <w:r w:rsidRPr="00CA5D12">
        <w:rPr>
          <w:i/>
        </w:rPr>
        <w:t>et al</w:t>
      </w:r>
      <w:r w:rsidRPr="00CA5D12">
        <w:t>., 2012). In the present study, MDA level</w:t>
      </w:r>
      <w:r>
        <w:t>s</w:t>
      </w:r>
      <w:r w:rsidRPr="00CA5D12">
        <w:t xml:space="preserve"> w</w:t>
      </w:r>
      <w:r>
        <w:t>ere</w:t>
      </w:r>
      <w:r w:rsidRPr="00CA5D12">
        <w:t xml:space="preserve"> increased  among smoker subjects compare</w:t>
      </w:r>
      <w:r>
        <w:t>d</w:t>
      </w:r>
      <w:r w:rsidRPr="00CA5D12">
        <w:t xml:space="preserve"> with non-smoker, moreover the study showed variation the levels of MDA  among the groups </w:t>
      </w:r>
      <w:r w:rsidRPr="00CA5D12">
        <w:rPr>
          <w:spacing w:val="-3"/>
        </w:rPr>
        <w:t xml:space="preserve">of </w:t>
      </w:r>
      <w:r w:rsidRPr="00CA5D12">
        <w:t xml:space="preserve">the pack per day, duration </w:t>
      </w:r>
      <w:r w:rsidRPr="00CA5D12">
        <w:rPr>
          <w:spacing w:val="-3"/>
        </w:rPr>
        <w:t xml:space="preserve">of  </w:t>
      </w:r>
      <w:r w:rsidRPr="00CA5D12">
        <w:t xml:space="preserve">smoking and the age. Many studies reported that the smoking lead to increase the MDA </w:t>
      </w:r>
      <w:r w:rsidRPr="00CA5D12">
        <w:rPr>
          <w:spacing w:val="-3"/>
        </w:rPr>
        <w:t xml:space="preserve">level </w:t>
      </w:r>
      <w:r w:rsidRPr="00CA5D12">
        <w:t xml:space="preserve">in  smokers compared with non-smokers (Nia and Bambang, 2011 ; Kahnamoei </w:t>
      </w:r>
      <w:r w:rsidRPr="00CA5D12">
        <w:rPr>
          <w:i/>
        </w:rPr>
        <w:t>et al</w:t>
      </w:r>
      <w:r w:rsidRPr="00CA5D12">
        <w:t xml:space="preserve">., 2014). </w:t>
      </w:r>
      <w:r w:rsidRPr="00CA5D12">
        <w:rPr>
          <w:spacing w:val="-3"/>
        </w:rPr>
        <w:t xml:space="preserve">So, </w:t>
      </w:r>
      <w:r w:rsidRPr="00CA5D12">
        <w:t xml:space="preserve">study carried out by Jaggi and Abhay (2015) </w:t>
      </w:r>
      <w:r w:rsidRPr="00CA5D12">
        <w:rPr>
          <w:spacing w:val="-3"/>
        </w:rPr>
        <w:t xml:space="preserve">showed </w:t>
      </w:r>
      <w:r w:rsidRPr="00CA5D12">
        <w:t xml:space="preserve">the effect of smoking </w:t>
      </w:r>
      <w:r w:rsidRPr="00CA5D12">
        <w:rPr>
          <w:spacing w:val="-5"/>
        </w:rPr>
        <w:t xml:space="preserve">on </w:t>
      </w:r>
      <w:r w:rsidRPr="00CA5D12">
        <w:t xml:space="preserve">the MDA </w:t>
      </w:r>
      <w:r w:rsidRPr="00CA5D12">
        <w:rPr>
          <w:spacing w:val="-3"/>
        </w:rPr>
        <w:t>level</w:t>
      </w:r>
      <w:r>
        <w:rPr>
          <w:spacing w:val="-3"/>
        </w:rPr>
        <w:t>s</w:t>
      </w:r>
      <w:r w:rsidRPr="00CA5D12">
        <w:rPr>
          <w:spacing w:val="-3"/>
        </w:rPr>
        <w:t xml:space="preserve"> </w:t>
      </w:r>
      <w:r w:rsidRPr="00CA5D12">
        <w:t xml:space="preserve">and the relation between the number </w:t>
      </w:r>
      <w:r w:rsidRPr="00CA5D12">
        <w:rPr>
          <w:spacing w:val="-3"/>
        </w:rPr>
        <w:t xml:space="preserve">of </w:t>
      </w:r>
      <w:r w:rsidRPr="00CA5D12">
        <w:t>cigarette and the MDA level</w:t>
      </w:r>
      <w:r>
        <w:t>s</w:t>
      </w:r>
      <w:r w:rsidRPr="00CA5D12">
        <w:t>, they found that the smoking lead</w:t>
      </w:r>
      <w:r>
        <w:t>s</w:t>
      </w:r>
      <w:r w:rsidRPr="00CA5D12">
        <w:t xml:space="preserve"> to increase the MDA </w:t>
      </w:r>
      <w:r w:rsidRPr="00CA5D12">
        <w:rPr>
          <w:spacing w:val="-3"/>
        </w:rPr>
        <w:t>level</w:t>
      </w:r>
      <w:r>
        <w:rPr>
          <w:spacing w:val="-3"/>
        </w:rPr>
        <w:t>s</w:t>
      </w:r>
      <w:r w:rsidRPr="00CA5D12">
        <w:rPr>
          <w:spacing w:val="-3"/>
        </w:rPr>
        <w:t xml:space="preserve"> </w:t>
      </w:r>
      <w:r w:rsidRPr="00CA5D12">
        <w:t xml:space="preserve">and there </w:t>
      </w:r>
      <w:r w:rsidRPr="00CA5D12">
        <w:rPr>
          <w:spacing w:val="-3"/>
        </w:rPr>
        <w:t xml:space="preserve">was </w:t>
      </w:r>
      <w:r w:rsidRPr="00CA5D12">
        <w:t xml:space="preserve">a relation between the number </w:t>
      </w:r>
      <w:r w:rsidRPr="00CA5D12">
        <w:rPr>
          <w:spacing w:val="-3"/>
        </w:rPr>
        <w:t xml:space="preserve">of </w:t>
      </w:r>
      <w:r w:rsidRPr="00CA5D12">
        <w:t xml:space="preserve">cigarette </w:t>
      </w:r>
      <w:r w:rsidRPr="00CA5D12">
        <w:rPr>
          <w:spacing w:val="-2"/>
        </w:rPr>
        <w:t xml:space="preserve">per </w:t>
      </w:r>
      <w:r w:rsidRPr="00CA5D12">
        <w:t>day and MDA</w:t>
      </w:r>
      <w:r w:rsidRPr="00CA5D12">
        <w:rPr>
          <w:spacing w:val="-5"/>
        </w:rPr>
        <w:t xml:space="preserve"> </w:t>
      </w:r>
      <w:r w:rsidRPr="00CA5D12">
        <w:t>level</w:t>
      </w:r>
      <w:r>
        <w:t>s</w:t>
      </w:r>
      <w:r w:rsidRPr="00CA5D12">
        <w:t>.</w:t>
      </w:r>
    </w:p>
    <w:p w:rsidR="00A43496" w:rsidRPr="00CA5D12" w:rsidRDefault="00A43496" w:rsidP="00CF0A48">
      <w:pPr>
        <w:pStyle w:val="BodyText"/>
        <w:ind w:left="160" w:right="149" w:firstLine="427"/>
      </w:pPr>
      <w:r>
        <w:t>M</w:t>
      </w:r>
      <w:r w:rsidRPr="00CF0A48">
        <w:t>oreover</w:t>
      </w:r>
      <w:r w:rsidRPr="00CA5D12">
        <w:t xml:space="preserve">, GSH is fundamentally involved with many metabolic and biochemical mechanisms </w:t>
      </w:r>
      <w:r w:rsidRPr="00CA5D12">
        <w:rPr>
          <w:spacing w:val="-3"/>
        </w:rPr>
        <w:t xml:space="preserve">such </w:t>
      </w:r>
      <w:r w:rsidRPr="00CA5D12">
        <w:t xml:space="preserve">as protein and prostaglandin synthesis, DNA synthesis and repair, maintenance </w:t>
      </w:r>
      <w:r w:rsidRPr="00CA5D12">
        <w:rPr>
          <w:spacing w:val="-3"/>
        </w:rPr>
        <w:t xml:space="preserve">of </w:t>
      </w:r>
      <w:r w:rsidRPr="00CA5D12">
        <w:t xml:space="preserve">disulfide bonds in proteins, enzyme activation and amino acid transport  across cell membranes (Kamerbeek </w:t>
      </w:r>
      <w:r w:rsidRPr="00CA5D12">
        <w:rPr>
          <w:i/>
        </w:rPr>
        <w:t>et al</w:t>
      </w:r>
      <w:r w:rsidRPr="00CA5D12">
        <w:t>., 2007)</w:t>
      </w:r>
      <w:r>
        <w:t>,</w:t>
      </w:r>
      <w:r w:rsidRPr="00CA5D12">
        <w:t xml:space="preserve"> </w:t>
      </w:r>
      <w:r>
        <w:rPr>
          <w:spacing w:val="-3"/>
        </w:rPr>
        <w:t>a</w:t>
      </w:r>
      <w:r w:rsidRPr="00CA5D12">
        <w:rPr>
          <w:spacing w:val="-3"/>
        </w:rPr>
        <w:t xml:space="preserve">lso, </w:t>
      </w:r>
      <w:r w:rsidRPr="00CA5D12">
        <w:t xml:space="preserve">it plays an important role in a multitude </w:t>
      </w:r>
      <w:r w:rsidRPr="00CA5D12">
        <w:rPr>
          <w:spacing w:val="-3"/>
        </w:rPr>
        <w:t xml:space="preserve">of </w:t>
      </w:r>
      <w:r w:rsidRPr="00CA5D12">
        <w:t xml:space="preserve">cellular processes, including cell differentiation, proliferation, and apoptosis (Bohanes </w:t>
      </w:r>
      <w:r w:rsidRPr="00CA5D12">
        <w:rPr>
          <w:i/>
        </w:rPr>
        <w:t>et al</w:t>
      </w:r>
      <w:r w:rsidRPr="00CA5D12">
        <w:t xml:space="preserve">.,2013). </w:t>
      </w:r>
      <w:r w:rsidRPr="00CA5D12">
        <w:rPr>
          <w:spacing w:val="-3"/>
        </w:rPr>
        <w:t xml:space="preserve">Low </w:t>
      </w:r>
      <w:r w:rsidRPr="00CA5D12">
        <w:t xml:space="preserve">levels of GSH </w:t>
      </w:r>
      <w:r w:rsidRPr="00CA5D12">
        <w:rPr>
          <w:spacing w:val="-3"/>
        </w:rPr>
        <w:t xml:space="preserve">or </w:t>
      </w:r>
      <w:r w:rsidRPr="00CA5D12">
        <w:t xml:space="preserve">deficiency to </w:t>
      </w:r>
      <w:r w:rsidRPr="00CA5D12">
        <w:rPr>
          <w:spacing w:val="-3"/>
        </w:rPr>
        <w:t xml:space="preserve">be </w:t>
      </w:r>
      <w:r w:rsidRPr="00CA5D12">
        <w:t xml:space="preserve">contribute to oxidative stress which </w:t>
      </w:r>
      <w:r w:rsidRPr="00CA5D12">
        <w:rPr>
          <w:spacing w:val="-3"/>
        </w:rPr>
        <w:t xml:space="preserve">involved </w:t>
      </w:r>
      <w:r w:rsidRPr="00CA5D12">
        <w:t xml:space="preserve">in diseases such as  cancer,  Parkinson’s disease, and Alzheimer’s disease </w:t>
      </w:r>
      <w:r w:rsidRPr="00CA5D12">
        <w:rPr>
          <w:spacing w:val="-3"/>
        </w:rPr>
        <w:t xml:space="preserve">liver </w:t>
      </w:r>
      <w:r w:rsidRPr="00CA5D12">
        <w:t xml:space="preserve">disease, diabetes, anemia and heart attack (Zenger, 2004). </w:t>
      </w:r>
      <w:r w:rsidRPr="00CA5D12">
        <w:rPr>
          <w:spacing w:val="-3"/>
        </w:rPr>
        <w:t xml:space="preserve">In </w:t>
      </w:r>
      <w:r w:rsidRPr="00CA5D12">
        <w:t xml:space="preserve">addition, imbalances in GSH levels </w:t>
      </w:r>
      <w:r w:rsidRPr="00CA5D12">
        <w:rPr>
          <w:spacing w:val="-2"/>
        </w:rPr>
        <w:t xml:space="preserve">affect </w:t>
      </w:r>
      <w:r w:rsidRPr="00CA5D12">
        <w:t xml:space="preserve">immune system function, and are thought to play a  role in the aging process (Mandal </w:t>
      </w:r>
      <w:r w:rsidRPr="00CA5D12">
        <w:rPr>
          <w:i/>
        </w:rPr>
        <w:t>et al</w:t>
      </w:r>
      <w:r w:rsidRPr="00CA5D12">
        <w:rPr>
          <w:i/>
          <w:spacing w:val="-13"/>
        </w:rPr>
        <w:t xml:space="preserve">., </w:t>
      </w:r>
      <w:r w:rsidRPr="00CA5D12">
        <w:t>2015).</w:t>
      </w:r>
    </w:p>
    <w:p w:rsidR="00A43496" w:rsidRDefault="00A43496" w:rsidP="00CF0A48">
      <w:pPr>
        <w:pStyle w:val="BodyText"/>
        <w:ind w:left="160" w:right="148" w:firstLine="427"/>
      </w:pPr>
      <w:r w:rsidRPr="00CA5D12">
        <w:t>In the present study the GSH level was decrease among smoker subjects compared with non-smoker, the results also showed changes among the groups of the</w:t>
      </w:r>
      <w:r w:rsidRPr="00CF0A48">
        <w:t xml:space="preserve"> </w:t>
      </w:r>
      <w:r w:rsidRPr="00CA5D12">
        <w:t>consumption</w:t>
      </w:r>
      <w:r>
        <w:t xml:space="preserve"> of</w:t>
      </w:r>
      <w:r w:rsidRPr="00CA5D12">
        <w:t xml:space="preserve"> pack</w:t>
      </w:r>
      <w:r>
        <w:t>s</w:t>
      </w:r>
      <w:r w:rsidRPr="00CA5D12">
        <w:t xml:space="preserve"> per day, duration of smoking and the age which lead to decrease the GSH level</w:t>
      </w:r>
      <w:r>
        <w:t>s</w:t>
      </w:r>
      <w:r w:rsidRPr="00CA5D12">
        <w:t xml:space="preserve">. Study of Mahapatra </w:t>
      </w:r>
      <w:r w:rsidRPr="00CA5D12">
        <w:rPr>
          <w:i/>
        </w:rPr>
        <w:t>et al</w:t>
      </w:r>
      <w:r w:rsidRPr="00CA5D12">
        <w:t>. (2008) observed that the  smoking lead</w:t>
      </w:r>
      <w:r>
        <w:t>s</w:t>
      </w:r>
      <w:r w:rsidRPr="00CA5D12">
        <w:t xml:space="preserve"> to decrease GSH level</w:t>
      </w:r>
      <w:r>
        <w:t>s</w:t>
      </w:r>
      <w:r w:rsidRPr="00CA5D12">
        <w:t xml:space="preserve"> in smokers compare</w:t>
      </w:r>
      <w:r>
        <w:t>d</w:t>
      </w:r>
      <w:r w:rsidRPr="00CA5D12">
        <w:t xml:space="preserve"> with non-smokers, and the study carried out by Diken </w:t>
      </w:r>
      <w:r w:rsidRPr="00CA5D12">
        <w:rPr>
          <w:i/>
        </w:rPr>
        <w:t>et al</w:t>
      </w:r>
      <w:r w:rsidRPr="00CA5D12">
        <w:t>. (2001) showed that the long smoking duration lead</w:t>
      </w:r>
      <w:r>
        <w:t>s</w:t>
      </w:r>
      <w:r w:rsidRPr="00CA5D12">
        <w:t xml:space="preserve"> to decrease the GSH level</w:t>
      </w:r>
      <w:r>
        <w:t>s</w:t>
      </w:r>
      <w:r w:rsidRPr="00CA5D12">
        <w:t xml:space="preserve"> more then short smoking duration and</w:t>
      </w:r>
      <w:r>
        <w:t xml:space="preserve"> in the two groups of smoker the GSH levels were decreased compared with non-smokers. In addition, Arvind and Suchetha (2013) referred that the chronic smoking leads to decrease the GSH level in smokers compared with non-smokers, and the deleterious effects of smoking in oxidative stress and subsequently in carcinogenesis. In concluded, the age with the pack number and smoking duration increased the risks of smoking by elevate the levels of TNF-α, CD8 and MDA, which were noticed significantly higher </w:t>
      </w:r>
      <w:r w:rsidRPr="00C37AAE">
        <w:t>(P&lt;0.01)</w:t>
      </w:r>
      <w:r>
        <w:t xml:space="preserve"> and decreased in GSH activities which were significantly lower </w:t>
      </w:r>
      <w:r w:rsidRPr="00C37AAE">
        <w:t>(P&lt;0.01)</w:t>
      </w:r>
      <w:r>
        <w:t xml:space="preserve"> in smokers than in nonsmokers.</w:t>
      </w:r>
    </w:p>
    <w:p w:rsidR="00A43496" w:rsidRDefault="00A43496" w:rsidP="005D7D58">
      <w:pPr>
        <w:pStyle w:val="BodyText"/>
        <w:ind w:left="160" w:firstLine="427"/>
      </w:pPr>
    </w:p>
    <w:p w:rsidR="00A43496" w:rsidRDefault="00A43496" w:rsidP="005D7D58">
      <w:pPr>
        <w:pStyle w:val="Heading1"/>
        <w:spacing w:before="1" w:line="228" w:lineRule="exact"/>
        <w:jc w:val="both"/>
      </w:pPr>
      <w:r>
        <w:t>6.Reference</w:t>
      </w:r>
    </w:p>
    <w:p w:rsidR="00A43496" w:rsidRDefault="00A43496" w:rsidP="00EB3B4A">
      <w:pPr>
        <w:pStyle w:val="ListParagraph"/>
        <w:numPr>
          <w:ilvl w:val="0"/>
          <w:numId w:val="4"/>
        </w:numPr>
        <w:tabs>
          <w:tab w:val="left" w:pos="583"/>
        </w:tabs>
        <w:ind w:right="151"/>
        <w:jc w:val="left"/>
        <w:rPr>
          <w:sz w:val="20"/>
        </w:rPr>
      </w:pPr>
      <w:r>
        <w:rPr>
          <w:sz w:val="20"/>
        </w:rPr>
        <w:t xml:space="preserve">Costenbader, K.H. and Karlson, E.W. (2006). Cigarette   smoking   and   autoimmune  </w:t>
      </w:r>
      <w:r>
        <w:rPr>
          <w:spacing w:val="8"/>
          <w:sz w:val="20"/>
        </w:rPr>
        <w:t xml:space="preserve"> </w:t>
      </w:r>
      <w:r>
        <w:rPr>
          <w:sz w:val="20"/>
        </w:rPr>
        <w:t>disease:</w:t>
      </w:r>
    </w:p>
    <w:p w:rsidR="00A43496" w:rsidRDefault="00A43496" w:rsidP="00EB3B4A">
      <w:pPr>
        <w:pStyle w:val="BodyText"/>
        <w:spacing w:before="76"/>
        <w:ind w:left="330" w:right="7"/>
        <w:jc w:val="left"/>
      </w:pPr>
      <w:r>
        <w:t xml:space="preserve">what can we learn from epidemiology? </w:t>
      </w:r>
      <w:r>
        <w:rPr>
          <w:i/>
        </w:rPr>
        <w:t>Lupus</w:t>
      </w:r>
      <w:r>
        <w:t>; 15:737-45.</w:t>
      </w:r>
    </w:p>
    <w:p w:rsidR="00A43496" w:rsidRDefault="00A43496" w:rsidP="00EB3B4A">
      <w:pPr>
        <w:pStyle w:val="ListParagraph"/>
        <w:numPr>
          <w:ilvl w:val="0"/>
          <w:numId w:val="4"/>
        </w:numPr>
        <w:tabs>
          <w:tab w:val="left" w:pos="583"/>
        </w:tabs>
        <w:ind w:right="0"/>
        <w:rPr>
          <w:sz w:val="20"/>
        </w:rPr>
      </w:pPr>
      <w:r>
        <w:rPr>
          <w:sz w:val="20"/>
        </w:rPr>
        <w:t xml:space="preserve">Anonymous.(2014). The health consequences of smoking—50 years </w:t>
      </w:r>
      <w:r>
        <w:rPr>
          <w:spacing w:val="-3"/>
          <w:sz w:val="20"/>
        </w:rPr>
        <w:t xml:space="preserve">of </w:t>
      </w:r>
      <w:r>
        <w:rPr>
          <w:sz w:val="20"/>
        </w:rPr>
        <w:t xml:space="preserve">progress: a report </w:t>
      </w:r>
      <w:r>
        <w:rPr>
          <w:spacing w:val="-3"/>
          <w:sz w:val="20"/>
        </w:rPr>
        <w:t xml:space="preserve">of </w:t>
      </w:r>
      <w:r>
        <w:rPr>
          <w:sz w:val="20"/>
        </w:rPr>
        <w:t xml:space="preserve">the surgeon general. U.S. Department </w:t>
      </w:r>
      <w:r>
        <w:rPr>
          <w:spacing w:val="-3"/>
          <w:sz w:val="20"/>
        </w:rPr>
        <w:t xml:space="preserve">of </w:t>
      </w:r>
      <w:r>
        <w:rPr>
          <w:sz w:val="20"/>
        </w:rPr>
        <w:t xml:space="preserve">Health and Human Services, Centers </w:t>
      </w:r>
      <w:r>
        <w:rPr>
          <w:spacing w:val="-4"/>
          <w:sz w:val="20"/>
        </w:rPr>
        <w:t xml:space="preserve">for </w:t>
      </w:r>
      <w:r>
        <w:rPr>
          <w:sz w:val="20"/>
        </w:rPr>
        <w:t xml:space="preserve">Disease  Control and Prevention, National Center </w:t>
      </w:r>
      <w:r>
        <w:rPr>
          <w:spacing w:val="-4"/>
          <w:sz w:val="20"/>
        </w:rPr>
        <w:t xml:space="preserve">for </w:t>
      </w:r>
      <w:r>
        <w:rPr>
          <w:sz w:val="20"/>
        </w:rPr>
        <w:t xml:space="preserve">Chronic Disease Prevention and </w:t>
      </w:r>
      <w:r>
        <w:rPr>
          <w:spacing w:val="-2"/>
          <w:sz w:val="20"/>
        </w:rPr>
        <w:t>Health</w:t>
      </w:r>
      <w:r>
        <w:rPr>
          <w:spacing w:val="46"/>
          <w:sz w:val="20"/>
        </w:rPr>
        <w:t xml:space="preserve"> </w:t>
      </w:r>
      <w:r>
        <w:rPr>
          <w:sz w:val="20"/>
        </w:rPr>
        <w:t xml:space="preserve">Promotion,  Office </w:t>
      </w:r>
      <w:r>
        <w:rPr>
          <w:spacing w:val="-3"/>
          <w:sz w:val="20"/>
        </w:rPr>
        <w:t xml:space="preserve">on </w:t>
      </w:r>
      <w:r>
        <w:rPr>
          <w:sz w:val="20"/>
        </w:rPr>
        <w:t>Smoking and Health, Atlanta,</w:t>
      </w:r>
      <w:r>
        <w:rPr>
          <w:spacing w:val="8"/>
          <w:sz w:val="20"/>
        </w:rPr>
        <w:t xml:space="preserve"> </w:t>
      </w:r>
      <w:r>
        <w:rPr>
          <w:spacing w:val="-3"/>
          <w:sz w:val="20"/>
        </w:rPr>
        <w:t>GA.</w:t>
      </w:r>
    </w:p>
    <w:p w:rsidR="00A43496" w:rsidRDefault="00A43496" w:rsidP="00EB3B4A">
      <w:pPr>
        <w:pStyle w:val="ListParagraph"/>
        <w:numPr>
          <w:ilvl w:val="0"/>
          <w:numId w:val="4"/>
        </w:numPr>
        <w:tabs>
          <w:tab w:val="left" w:pos="583"/>
        </w:tabs>
        <w:ind w:right="2"/>
        <w:rPr>
          <w:sz w:val="20"/>
        </w:rPr>
      </w:pPr>
      <w:r>
        <w:rPr>
          <w:sz w:val="20"/>
        </w:rPr>
        <w:t xml:space="preserve">Borgerding, M. and Klus, </w:t>
      </w:r>
      <w:r>
        <w:rPr>
          <w:spacing w:val="-4"/>
          <w:sz w:val="20"/>
        </w:rPr>
        <w:t xml:space="preserve">H. </w:t>
      </w:r>
      <w:r>
        <w:rPr>
          <w:sz w:val="20"/>
        </w:rPr>
        <w:t xml:space="preserve">(2005). Analysis of complex mixtures--cigarette smoke. </w:t>
      </w:r>
      <w:r>
        <w:rPr>
          <w:i/>
          <w:sz w:val="20"/>
        </w:rPr>
        <w:t>Exp Toxicol Pathol</w:t>
      </w:r>
      <w:r>
        <w:rPr>
          <w:sz w:val="20"/>
        </w:rPr>
        <w:t>. 57 (1): p.</w:t>
      </w:r>
      <w:r>
        <w:rPr>
          <w:spacing w:val="-1"/>
          <w:sz w:val="20"/>
        </w:rPr>
        <w:t xml:space="preserve"> </w:t>
      </w:r>
      <w:r>
        <w:rPr>
          <w:sz w:val="20"/>
        </w:rPr>
        <w:t>43-73.</w:t>
      </w:r>
    </w:p>
    <w:p w:rsidR="00A43496" w:rsidRDefault="00A43496" w:rsidP="00EB3B4A">
      <w:pPr>
        <w:pStyle w:val="ListParagraph"/>
        <w:tabs>
          <w:tab w:val="num" w:pos="550"/>
          <w:tab w:val="left" w:pos="583"/>
        </w:tabs>
        <w:ind w:left="159" w:right="2" w:firstLine="80"/>
        <w:rPr>
          <w:sz w:val="20"/>
        </w:rPr>
      </w:pPr>
    </w:p>
    <w:p w:rsidR="00A43496" w:rsidRDefault="00A43496" w:rsidP="00EB3B4A">
      <w:pPr>
        <w:pStyle w:val="ListParagraph"/>
        <w:numPr>
          <w:ilvl w:val="0"/>
          <w:numId w:val="4"/>
        </w:numPr>
        <w:tabs>
          <w:tab w:val="left" w:pos="583"/>
        </w:tabs>
        <w:rPr>
          <w:sz w:val="20"/>
        </w:rPr>
      </w:pPr>
      <w:r>
        <w:rPr>
          <w:sz w:val="20"/>
        </w:rPr>
        <w:t xml:space="preserve">Glader, P., Moller, S., Lilja,J., Wieslander, E., Lofdahl, CG and </w:t>
      </w:r>
      <w:r>
        <w:rPr>
          <w:spacing w:val="-4"/>
          <w:sz w:val="20"/>
        </w:rPr>
        <w:t xml:space="preserve">von </w:t>
      </w:r>
      <w:r>
        <w:rPr>
          <w:sz w:val="20"/>
        </w:rPr>
        <w:t xml:space="preserve">Wachenfeldt, </w:t>
      </w:r>
      <w:r>
        <w:rPr>
          <w:spacing w:val="-4"/>
          <w:sz w:val="20"/>
        </w:rPr>
        <w:t xml:space="preserve">K. </w:t>
      </w:r>
      <w:r>
        <w:rPr>
          <w:sz w:val="20"/>
        </w:rPr>
        <w:t xml:space="preserve">(2006). Cigarette smoke extract modulates respiratory defence mechanisms through </w:t>
      </w:r>
      <w:r>
        <w:rPr>
          <w:spacing w:val="-3"/>
          <w:sz w:val="20"/>
        </w:rPr>
        <w:t xml:space="preserve">effects on </w:t>
      </w:r>
      <w:r>
        <w:rPr>
          <w:sz w:val="20"/>
        </w:rPr>
        <w:t xml:space="preserve">T-cells and airway epithelial cells. </w:t>
      </w:r>
      <w:r>
        <w:rPr>
          <w:i/>
          <w:sz w:val="20"/>
        </w:rPr>
        <w:t xml:space="preserve">Respir Med </w:t>
      </w:r>
      <w:r>
        <w:rPr>
          <w:sz w:val="20"/>
        </w:rPr>
        <w:t>100: 818–827.</w:t>
      </w:r>
    </w:p>
    <w:p w:rsidR="00A43496" w:rsidRDefault="00A43496" w:rsidP="00EB3B4A">
      <w:pPr>
        <w:pStyle w:val="ListParagraph"/>
        <w:numPr>
          <w:ilvl w:val="0"/>
          <w:numId w:val="4"/>
        </w:numPr>
        <w:tabs>
          <w:tab w:val="left" w:pos="583"/>
        </w:tabs>
        <w:rPr>
          <w:sz w:val="20"/>
        </w:rPr>
      </w:pPr>
      <w:r>
        <w:rPr>
          <w:sz w:val="20"/>
        </w:rPr>
        <w:t xml:space="preserve">Cedergren, J., Forslund, T., Sundqvist, T. and Skogh, T. (2007). Intracellular oxidative activation in synovial fluid neutrophils from patients with rheumatoid arthritis but not from other arthritis patients. </w:t>
      </w:r>
      <w:r>
        <w:rPr>
          <w:i/>
          <w:sz w:val="20"/>
        </w:rPr>
        <w:t>J</w:t>
      </w:r>
      <w:r>
        <w:rPr>
          <w:i/>
          <w:spacing w:val="-9"/>
          <w:sz w:val="20"/>
        </w:rPr>
        <w:t xml:space="preserve"> </w:t>
      </w:r>
      <w:r>
        <w:rPr>
          <w:i/>
          <w:sz w:val="20"/>
        </w:rPr>
        <w:t>Rheumatol</w:t>
      </w:r>
      <w:r>
        <w:rPr>
          <w:sz w:val="20"/>
        </w:rPr>
        <w:t>;34:2162-70.</w:t>
      </w:r>
    </w:p>
    <w:p w:rsidR="00A43496" w:rsidRDefault="00A43496" w:rsidP="00EB3B4A">
      <w:pPr>
        <w:pStyle w:val="ListParagraph"/>
        <w:numPr>
          <w:ilvl w:val="0"/>
          <w:numId w:val="4"/>
        </w:numPr>
        <w:tabs>
          <w:tab w:val="left" w:pos="583"/>
          <w:tab w:val="left" w:pos="1095"/>
          <w:tab w:val="left" w:pos="2300"/>
          <w:tab w:val="left" w:pos="2675"/>
          <w:tab w:val="left" w:pos="3467"/>
        </w:tabs>
        <w:jc w:val="left"/>
        <w:rPr>
          <w:sz w:val="20"/>
        </w:rPr>
      </w:pPr>
      <w:r>
        <w:rPr>
          <w:sz w:val="20"/>
        </w:rPr>
        <w:t>Valko, M., Leibfritz, D., Moncola, J., Cronin, M T., Mazur, M,. and Telser, J.(2007). Free radicals and</w:t>
      </w:r>
      <w:r>
        <w:rPr>
          <w:sz w:val="20"/>
        </w:rPr>
        <w:tab/>
        <w:t>antioxidants</w:t>
      </w:r>
      <w:r>
        <w:rPr>
          <w:sz w:val="20"/>
        </w:rPr>
        <w:tab/>
        <w:t>in</w:t>
      </w:r>
      <w:r>
        <w:rPr>
          <w:sz w:val="20"/>
        </w:rPr>
        <w:tab/>
        <w:t>normal</w:t>
      </w:r>
      <w:r>
        <w:rPr>
          <w:sz w:val="20"/>
        </w:rPr>
        <w:tab/>
      </w:r>
      <w:r>
        <w:rPr>
          <w:spacing w:val="-1"/>
          <w:sz w:val="20"/>
        </w:rPr>
        <w:t xml:space="preserve">physiological </w:t>
      </w:r>
      <w:r>
        <w:rPr>
          <w:sz w:val="20"/>
        </w:rPr>
        <w:t xml:space="preserve">functions and human disease. </w:t>
      </w:r>
      <w:r>
        <w:rPr>
          <w:i/>
          <w:sz w:val="20"/>
        </w:rPr>
        <w:t>Int J Biochem Cell Biol</w:t>
      </w:r>
      <w:r>
        <w:rPr>
          <w:sz w:val="20"/>
        </w:rPr>
        <w:t>;39:44-84.</w:t>
      </w:r>
    </w:p>
    <w:p w:rsidR="00A43496" w:rsidRDefault="00A43496" w:rsidP="00EB3B4A">
      <w:pPr>
        <w:pStyle w:val="ListParagraph"/>
        <w:numPr>
          <w:ilvl w:val="0"/>
          <w:numId w:val="4"/>
        </w:numPr>
        <w:tabs>
          <w:tab w:val="left" w:pos="583"/>
        </w:tabs>
        <w:rPr>
          <w:sz w:val="20"/>
        </w:rPr>
      </w:pPr>
      <w:r>
        <w:rPr>
          <w:sz w:val="20"/>
        </w:rPr>
        <w:t xml:space="preserve">Surapaneni, </w:t>
      </w:r>
      <w:r>
        <w:rPr>
          <w:spacing w:val="-3"/>
          <w:sz w:val="20"/>
        </w:rPr>
        <w:t xml:space="preserve">K.M. </w:t>
      </w:r>
      <w:r>
        <w:rPr>
          <w:sz w:val="20"/>
        </w:rPr>
        <w:t xml:space="preserve">and Venkataramana,  </w:t>
      </w:r>
      <w:r>
        <w:rPr>
          <w:spacing w:val="-4"/>
          <w:sz w:val="20"/>
        </w:rPr>
        <w:t xml:space="preserve">G. </w:t>
      </w:r>
      <w:r>
        <w:rPr>
          <w:sz w:val="20"/>
        </w:rPr>
        <w:t xml:space="preserve">(2007). Status </w:t>
      </w:r>
      <w:r>
        <w:rPr>
          <w:spacing w:val="-3"/>
          <w:sz w:val="20"/>
        </w:rPr>
        <w:t xml:space="preserve">of </w:t>
      </w:r>
      <w:r>
        <w:rPr>
          <w:sz w:val="20"/>
        </w:rPr>
        <w:t xml:space="preserve">lipid peroxidation, glutathione, ascorbic acid, vitamin E and  antioxidant enzymes in patients with osteoarthritis. </w:t>
      </w:r>
      <w:r>
        <w:rPr>
          <w:i/>
          <w:sz w:val="20"/>
        </w:rPr>
        <w:t>Indian J. med. sci</w:t>
      </w:r>
      <w:r>
        <w:rPr>
          <w:sz w:val="20"/>
        </w:rPr>
        <w:t>. 61:9-</w:t>
      </w:r>
      <w:r>
        <w:rPr>
          <w:spacing w:val="-1"/>
          <w:sz w:val="20"/>
        </w:rPr>
        <w:t xml:space="preserve"> </w:t>
      </w:r>
      <w:r>
        <w:rPr>
          <w:sz w:val="20"/>
        </w:rPr>
        <w:t>14.</w:t>
      </w:r>
    </w:p>
    <w:p w:rsidR="00A43496" w:rsidRDefault="00A43496" w:rsidP="00EB3B4A">
      <w:pPr>
        <w:pStyle w:val="ListParagraph"/>
        <w:numPr>
          <w:ilvl w:val="0"/>
          <w:numId w:val="4"/>
        </w:numPr>
        <w:tabs>
          <w:tab w:val="left" w:pos="583"/>
        </w:tabs>
        <w:rPr>
          <w:sz w:val="20"/>
        </w:rPr>
      </w:pPr>
      <w:r>
        <w:rPr>
          <w:sz w:val="20"/>
        </w:rPr>
        <w:t xml:space="preserve">Mahapatra, </w:t>
      </w:r>
      <w:r>
        <w:rPr>
          <w:spacing w:val="-4"/>
          <w:sz w:val="20"/>
        </w:rPr>
        <w:t xml:space="preserve">S. </w:t>
      </w:r>
      <w:r>
        <w:rPr>
          <w:sz w:val="20"/>
        </w:rPr>
        <w:t xml:space="preserve">K., Subhasis D., Sankar </w:t>
      </w:r>
      <w:r>
        <w:rPr>
          <w:spacing w:val="-4"/>
          <w:sz w:val="20"/>
        </w:rPr>
        <w:t xml:space="preserve">K. </w:t>
      </w:r>
      <w:r>
        <w:rPr>
          <w:sz w:val="20"/>
        </w:rPr>
        <w:t xml:space="preserve">D. and Somenath </w:t>
      </w:r>
      <w:r>
        <w:rPr>
          <w:spacing w:val="-3"/>
          <w:sz w:val="20"/>
        </w:rPr>
        <w:t xml:space="preserve">R. </w:t>
      </w:r>
      <w:r>
        <w:rPr>
          <w:sz w:val="20"/>
        </w:rPr>
        <w:t xml:space="preserve">(2008). Smoking induced oxidative stress in serum and neutrophil </w:t>
      </w:r>
      <w:r>
        <w:rPr>
          <w:spacing w:val="-3"/>
          <w:sz w:val="20"/>
        </w:rPr>
        <w:t xml:space="preserve">of </w:t>
      </w:r>
      <w:r>
        <w:rPr>
          <w:sz w:val="20"/>
        </w:rPr>
        <w:t xml:space="preserve">the university students. </w:t>
      </w:r>
      <w:r>
        <w:rPr>
          <w:i/>
          <w:sz w:val="20"/>
        </w:rPr>
        <w:t>J. Med. Sci.</w:t>
      </w:r>
      <w:r>
        <w:rPr>
          <w:i/>
          <w:spacing w:val="-5"/>
          <w:sz w:val="20"/>
        </w:rPr>
        <w:t xml:space="preserve"> </w:t>
      </w:r>
      <w:r>
        <w:rPr>
          <w:sz w:val="20"/>
        </w:rPr>
        <w:t>1(1):20-31.</w:t>
      </w:r>
    </w:p>
    <w:p w:rsidR="00A43496" w:rsidRDefault="00A43496" w:rsidP="00EB3B4A">
      <w:pPr>
        <w:pStyle w:val="ListParagraph"/>
        <w:numPr>
          <w:ilvl w:val="0"/>
          <w:numId w:val="4"/>
        </w:numPr>
        <w:tabs>
          <w:tab w:val="left" w:pos="583"/>
        </w:tabs>
        <w:rPr>
          <w:sz w:val="20"/>
        </w:rPr>
      </w:pPr>
      <w:r>
        <w:rPr>
          <w:sz w:val="20"/>
        </w:rPr>
        <w:t xml:space="preserve">Pegram HJ,Purdon </w:t>
      </w:r>
      <w:r>
        <w:rPr>
          <w:spacing w:val="-2"/>
          <w:sz w:val="20"/>
        </w:rPr>
        <w:t xml:space="preserve">TJ,van </w:t>
      </w:r>
      <w:r>
        <w:rPr>
          <w:spacing w:val="-3"/>
          <w:sz w:val="20"/>
        </w:rPr>
        <w:t xml:space="preserve">Leeuwen </w:t>
      </w:r>
      <w:r>
        <w:rPr>
          <w:sz w:val="20"/>
        </w:rPr>
        <w:t xml:space="preserve">DG,Curran KJ, Giralt SA, </w:t>
      </w:r>
      <w:r>
        <w:rPr>
          <w:spacing w:val="-3"/>
          <w:sz w:val="20"/>
        </w:rPr>
        <w:t xml:space="preserve">Barker </w:t>
      </w:r>
      <w:r>
        <w:rPr>
          <w:sz w:val="20"/>
        </w:rPr>
        <w:t xml:space="preserve">JN, Brentjens </w:t>
      </w:r>
      <w:r>
        <w:rPr>
          <w:spacing w:val="-3"/>
          <w:sz w:val="20"/>
        </w:rPr>
        <w:t xml:space="preserve">RJ </w:t>
      </w:r>
      <w:r>
        <w:rPr>
          <w:sz w:val="20"/>
        </w:rPr>
        <w:t xml:space="preserve">(2015). IL-12-secreting CD19-targeted cord </w:t>
      </w:r>
      <w:r>
        <w:rPr>
          <w:spacing w:val="-3"/>
          <w:sz w:val="20"/>
        </w:rPr>
        <w:t xml:space="preserve">blood- </w:t>
      </w:r>
      <w:r>
        <w:rPr>
          <w:sz w:val="20"/>
        </w:rPr>
        <w:t xml:space="preserve">derived T cells </w:t>
      </w:r>
      <w:r>
        <w:rPr>
          <w:spacing w:val="-4"/>
          <w:sz w:val="20"/>
        </w:rPr>
        <w:t xml:space="preserve">for </w:t>
      </w:r>
      <w:r>
        <w:rPr>
          <w:sz w:val="20"/>
        </w:rPr>
        <w:t xml:space="preserve">the Leukemia </w:t>
      </w:r>
      <w:r>
        <w:rPr>
          <w:i/>
          <w:sz w:val="20"/>
        </w:rPr>
        <w:t xml:space="preserve">J. Inf. </w:t>
      </w:r>
      <w:r>
        <w:rPr>
          <w:sz w:val="20"/>
        </w:rPr>
        <w:t>Dis (29:415).</w:t>
      </w:r>
    </w:p>
    <w:p w:rsidR="00A43496" w:rsidRDefault="00A43496" w:rsidP="00EB3B4A">
      <w:pPr>
        <w:pStyle w:val="ListParagraph"/>
        <w:numPr>
          <w:ilvl w:val="0"/>
          <w:numId w:val="4"/>
        </w:numPr>
        <w:tabs>
          <w:tab w:val="left" w:pos="583"/>
        </w:tabs>
        <w:rPr>
          <w:sz w:val="20"/>
        </w:rPr>
      </w:pPr>
      <w:r>
        <w:rPr>
          <w:sz w:val="20"/>
        </w:rPr>
        <w:t xml:space="preserve">Aukrust, </w:t>
      </w:r>
      <w:r>
        <w:rPr>
          <w:spacing w:val="-4"/>
          <w:sz w:val="20"/>
        </w:rPr>
        <w:t xml:space="preserve">P. </w:t>
      </w:r>
      <w:r>
        <w:rPr>
          <w:sz w:val="20"/>
        </w:rPr>
        <w:t xml:space="preserve">(1994). Serum levels of tumor necrosis factor-α (TNF-α) and soluble TNF receptors in human immunodeficiency virus </w:t>
      </w:r>
      <w:r>
        <w:rPr>
          <w:spacing w:val="-3"/>
          <w:sz w:val="20"/>
        </w:rPr>
        <w:t xml:space="preserve">type </w:t>
      </w:r>
      <w:r>
        <w:rPr>
          <w:sz w:val="20"/>
        </w:rPr>
        <w:t xml:space="preserve">1 infection-correlations to clinical immunologic, and virologic parameters. </w:t>
      </w:r>
      <w:r>
        <w:rPr>
          <w:i/>
          <w:sz w:val="20"/>
        </w:rPr>
        <w:t xml:space="preserve">J. </w:t>
      </w:r>
      <w:r>
        <w:rPr>
          <w:i/>
          <w:spacing w:val="-3"/>
          <w:sz w:val="20"/>
        </w:rPr>
        <w:t xml:space="preserve">Inf. </w:t>
      </w:r>
      <w:r>
        <w:rPr>
          <w:sz w:val="20"/>
        </w:rPr>
        <w:t>Dis. 169:420- 424.</w:t>
      </w:r>
    </w:p>
    <w:p w:rsidR="00A43496" w:rsidRDefault="00A43496" w:rsidP="00EB3B4A">
      <w:pPr>
        <w:pStyle w:val="ListParagraph"/>
        <w:numPr>
          <w:ilvl w:val="0"/>
          <w:numId w:val="4"/>
        </w:numPr>
        <w:tabs>
          <w:tab w:val="left" w:pos="583"/>
        </w:tabs>
        <w:ind w:right="2"/>
        <w:rPr>
          <w:i/>
          <w:sz w:val="20"/>
        </w:rPr>
      </w:pPr>
      <w:r>
        <w:rPr>
          <w:sz w:val="20"/>
        </w:rPr>
        <w:t>Qiao YF (2016)</w:t>
      </w:r>
      <w:r>
        <w:rPr>
          <w:i/>
          <w:sz w:val="20"/>
        </w:rPr>
        <w:t xml:space="preserve">. </w:t>
      </w:r>
      <w:r>
        <w:rPr>
          <w:sz w:val="20"/>
        </w:rPr>
        <w:t xml:space="preserve">Melatonin attenuates hypertension-induced renal injury partially through inhibiting oxidative stress in rats. </w:t>
      </w:r>
      <w:r>
        <w:rPr>
          <w:i/>
          <w:sz w:val="20"/>
        </w:rPr>
        <w:t>Mol Med Rep</w:t>
      </w:r>
      <w:r>
        <w:rPr>
          <w:i/>
          <w:spacing w:val="-1"/>
          <w:sz w:val="20"/>
        </w:rPr>
        <w:t xml:space="preserve"> </w:t>
      </w:r>
      <w:r>
        <w:rPr>
          <w:b/>
          <w:i/>
          <w:sz w:val="20"/>
        </w:rPr>
        <w:t>13</w:t>
      </w:r>
      <w:r>
        <w:rPr>
          <w:i/>
          <w:sz w:val="20"/>
        </w:rPr>
        <w:t>:21-6.</w:t>
      </w:r>
    </w:p>
    <w:p w:rsidR="00A43496" w:rsidRDefault="00A43496" w:rsidP="00EB3B4A">
      <w:pPr>
        <w:pStyle w:val="ListParagraph"/>
        <w:numPr>
          <w:ilvl w:val="0"/>
          <w:numId w:val="4"/>
        </w:numPr>
        <w:tabs>
          <w:tab w:val="left" w:pos="583"/>
        </w:tabs>
        <w:rPr>
          <w:sz w:val="20"/>
        </w:rPr>
      </w:pPr>
      <w:r>
        <w:rPr>
          <w:sz w:val="20"/>
        </w:rPr>
        <w:t>Anderson, M.(1996). Glutathione in Free radicals, A Practical Approach. Oxford University Press, New</w:t>
      </w:r>
      <w:r>
        <w:rPr>
          <w:spacing w:val="-8"/>
          <w:sz w:val="20"/>
        </w:rPr>
        <w:t xml:space="preserve"> </w:t>
      </w:r>
      <w:r>
        <w:rPr>
          <w:sz w:val="20"/>
        </w:rPr>
        <w:t>York.</w:t>
      </w:r>
    </w:p>
    <w:p w:rsidR="00A43496" w:rsidRPr="005F3528" w:rsidRDefault="00A43496" w:rsidP="00EB3B4A">
      <w:pPr>
        <w:pStyle w:val="ListParagraph"/>
        <w:numPr>
          <w:ilvl w:val="0"/>
          <w:numId w:val="4"/>
        </w:numPr>
        <w:tabs>
          <w:tab w:val="left" w:pos="583"/>
        </w:tabs>
        <w:rPr>
          <w:sz w:val="20"/>
        </w:rPr>
      </w:pPr>
      <w:r w:rsidRPr="005F3528">
        <w:rPr>
          <w:sz w:val="20"/>
          <w:szCs w:val="20"/>
        </w:rPr>
        <w:t>SAS. 2012. Statistical Analysis System, User's   Guide.     Statistical.  Version 9.1</w:t>
      </w:r>
      <w:r w:rsidRPr="005F3528">
        <w:rPr>
          <w:sz w:val="20"/>
          <w:szCs w:val="20"/>
          <w:vertAlign w:val="superscript"/>
        </w:rPr>
        <w:t>th</w:t>
      </w:r>
      <w:r w:rsidRPr="005F3528">
        <w:rPr>
          <w:sz w:val="20"/>
          <w:szCs w:val="20"/>
        </w:rPr>
        <w:t xml:space="preserve"> ed. SAS. Inst. Inc. Cary. N.C. USA</w:t>
      </w:r>
    </w:p>
    <w:p w:rsidR="00A43496" w:rsidRDefault="00A43496" w:rsidP="00EB3B4A">
      <w:pPr>
        <w:pStyle w:val="BodyText"/>
        <w:numPr>
          <w:ilvl w:val="0"/>
          <w:numId w:val="4"/>
        </w:numPr>
        <w:ind w:right="145"/>
      </w:pPr>
      <w:r>
        <w:t xml:space="preserve">Botelho, F.M., Gaschler, G. J, Kianpour, S., Zavitz, </w:t>
      </w:r>
      <w:r>
        <w:rPr>
          <w:spacing w:val="-3"/>
        </w:rPr>
        <w:t xml:space="preserve">C. </w:t>
      </w:r>
      <w:r>
        <w:t xml:space="preserve">C., Trimble, N. </w:t>
      </w:r>
      <w:r>
        <w:rPr>
          <w:spacing w:val="-3"/>
        </w:rPr>
        <w:t xml:space="preserve">J., </w:t>
      </w:r>
      <w:r>
        <w:t>Nikota,J. K.,</w:t>
      </w:r>
      <w:r>
        <w:rPr>
          <w:spacing w:val="33"/>
        </w:rPr>
        <w:t xml:space="preserve"> </w:t>
      </w:r>
      <w:r>
        <w:t>Bauer,</w:t>
      </w:r>
      <w:r w:rsidRPr="005D7D58">
        <w:t xml:space="preserve"> </w:t>
      </w:r>
      <w:r>
        <w:t xml:space="preserve">C. M.and Stämpfli, M. R. (2010). Innate immune processes are sufficient for driving cigarette smoke-induced inflammation in mice. </w:t>
      </w:r>
      <w:r>
        <w:rPr>
          <w:i/>
        </w:rPr>
        <w:t>Am. J. Respir. Cell Mol. Biol</w:t>
      </w:r>
      <w:r>
        <w:t>.,. 42:394- 403.</w:t>
      </w:r>
    </w:p>
    <w:p w:rsidR="00A43496" w:rsidRDefault="00A43496" w:rsidP="00EB3B4A">
      <w:pPr>
        <w:pStyle w:val="ListParagraph"/>
        <w:tabs>
          <w:tab w:val="num" w:pos="550"/>
          <w:tab w:val="left" w:pos="583"/>
        </w:tabs>
        <w:ind w:left="159" w:right="149" w:firstLine="80"/>
        <w:rPr>
          <w:sz w:val="20"/>
        </w:rPr>
      </w:pPr>
    </w:p>
    <w:p w:rsidR="00A43496" w:rsidRDefault="00A43496" w:rsidP="00EB3B4A">
      <w:pPr>
        <w:pStyle w:val="ListParagraph"/>
        <w:numPr>
          <w:ilvl w:val="0"/>
          <w:numId w:val="4"/>
        </w:numPr>
        <w:tabs>
          <w:tab w:val="left" w:pos="583"/>
        </w:tabs>
        <w:ind w:right="149"/>
        <w:rPr>
          <w:sz w:val="20"/>
        </w:rPr>
      </w:pPr>
      <w:r>
        <w:rPr>
          <w:sz w:val="20"/>
        </w:rPr>
        <w:t xml:space="preserve">Arnson, Y., Shoenfeld, </w:t>
      </w:r>
      <w:r>
        <w:rPr>
          <w:spacing w:val="-4"/>
          <w:sz w:val="20"/>
        </w:rPr>
        <w:t xml:space="preserve">Y. </w:t>
      </w:r>
      <w:r>
        <w:rPr>
          <w:sz w:val="20"/>
        </w:rPr>
        <w:t xml:space="preserve">and Amital, H.(2010). Effects of tobacco smoke </w:t>
      </w:r>
      <w:r>
        <w:rPr>
          <w:spacing w:val="-3"/>
          <w:sz w:val="20"/>
        </w:rPr>
        <w:t xml:space="preserve">on </w:t>
      </w:r>
      <w:r>
        <w:rPr>
          <w:sz w:val="20"/>
        </w:rPr>
        <w:t xml:space="preserve">immunity, inflammation and autoimmunity. </w:t>
      </w:r>
      <w:r>
        <w:rPr>
          <w:i/>
          <w:sz w:val="20"/>
        </w:rPr>
        <w:t xml:space="preserve">J. Autoimm, </w:t>
      </w:r>
      <w:r>
        <w:rPr>
          <w:sz w:val="20"/>
        </w:rPr>
        <w:t>34: 258-265.</w:t>
      </w:r>
    </w:p>
    <w:p w:rsidR="00A43496" w:rsidRDefault="00A43496" w:rsidP="00EB3B4A">
      <w:pPr>
        <w:pStyle w:val="ListParagraph"/>
        <w:numPr>
          <w:ilvl w:val="0"/>
          <w:numId w:val="4"/>
        </w:numPr>
        <w:tabs>
          <w:tab w:val="left" w:pos="583"/>
        </w:tabs>
        <w:ind w:right="148"/>
        <w:rPr>
          <w:sz w:val="20"/>
        </w:rPr>
      </w:pPr>
      <w:r>
        <w:rPr>
          <w:sz w:val="20"/>
        </w:rPr>
        <w:t xml:space="preserve">Farhang, A., Aula, Fikry, </w:t>
      </w:r>
      <w:r>
        <w:rPr>
          <w:spacing w:val="-4"/>
          <w:sz w:val="20"/>
        </w:rPr>
        <w:t xml:space="preserve">A. </w:t>
      </w:r>
      <w:r>
        <w:rPr>
          <w:sz w:val="20"/>
        </w:rPr>
        <w:t xml:space="preserve">and Qadir,.(2013) Effects of Cigarette Smoking </w:t>
      </w:r>
      <w:r>
        <w:rPr>
          <w:spacing w:val="-3"/>
          <w:sz w:val="20"/>
        </w:rPr>
        <w:t xml:space="preserve">on </w:t>
      </w:r>
      <w:r>
        <w:rPr>
          <w:sz w:val="20"/>
        </w:rPr>
        <w:t xml:space="preserve">Some Immunological and Hematological Parameters in Male Smokers in Erbil </w:t>
      </w:r>
      <w:r>
        <w:rPr>
          <w:spacing w:val="-3"/>
          <w:sz w:val="20"/>
        </w:rPr>
        <w:t xml:space="preserve">City. </w:t>
      </w:r>
      <w:r>
        <w:rPr>
          <w:sz w:val="20"/>
        </w:rPr>
        <w:t xml:space="preserve">Jordan </w:t>
      </w:r>
      <w:r>
        <w:rPr>
          <w:i/>
          <w:sz w:val="20"/>
        </w:rPr>
        <w:t xml:space="preserve">Journal </w:t>
      </w:r>
      <w:r>
        <w:rPr>
          <w:i/>
          <w:spacing w:val="-3"/>
          <w:sz w:val="20"/>
        </w:rPr>
        <w:t xml:space="preserve">of </w:t>
      </w:r>
      <w:r>
        <w:rPr>
          <w:i/>
          <w:sz w:val="20"/>
        </w:rPr>
        <w:t xml:space="preserve">Biological Sciences </w:t>
      </w:r>
      <w:r>
        <w:rPr>
          <w:sz w:val="20"/>
        </w:rPr>
        <w:t>6 (2): 159 –</w:t>
      </w:r>
      <w:r>
        <w:rPr>
          <w:spacing w:val="-2"/>
          <w:sz w:val="20"/>
        </w:rPr>
        <w:t xml:space="preserve"> </w:t>
      </w:r>
      <w:r>
        <w:rPr>
          <w:sz w:val="20"/>
        </w:rPr>
        <w:t>166.</w:t>
      </w:r>
    </w:p>
    <w:p w:rsidR="00A43496" w:rsidRDefault="00A43496" w:rsidP="00EB3B4A">
      <w:pPr>
        <w:pStyle w:val="ListParagraph"/>
        <w:numPr>
          <w:ilvl w:val="0"/>
          <w:numId w:val="4"/>
        </w:numPr>
        <w:tabs>
          <w:tab w:val="left" w:pos="583"/>
        </w:tabs>
        <w:spacing w:before="3" w:line="230" w:lineRule="exact"/>
        <w:ind w:right="148"/>
        <w:rPr>
          <w:i/>
          <w:sz w:val="20"/>
        </w:rPr>
      </w:pPr>
      <w:r>
        <w:rPr>
          <w:sz w:val="20"/>
        </w:rPr>
        <w:t xml:space="preserve">Tamara H Ramwadhdoebe, Janine Hähnlein, </w:t>
      </w:r>
      <w:r>
        <w:rPr>
          <w:spacing w:val="-3"/>
          <w:sz w:val="20"/>
        </w:rPr>
        <w:t xml:space="preserve">Bo </w:t>
      </w:r>
      <w:r>
        <w:rPr>
          <w:sz w:val="20"/>
        </w:rPr>
        <w:t xml:space="preserve">J van Kuijk, Ivy Y Choi, Leonard J </w:t>
      </w:r>
      <w:r>
        <w:rPr>
          <w:spacing w:val="-3"/>
          <w:sz w:val="20"/>
        </w:rPr>
        <w:t xml:space="preserve">van </w:t>
      </w:r>
      <w:r>
        <w:rPr>
          <w:sz w:val="20"/>
        </w:rPr>
        <w:t xml:space="preserve">Boven, Danielle M Gerlag, Paul P Tak and </w:t>
      </w:r>
      <w:r>
        <w:rPr>
          <w:spacing w:val="-3"/>
          <w:sz w:val="20"/>
        </w:rPr>
        <w:t xml:space="preserve">Lisa </w:t>
      </w:r>
      <w:r>
        <w:rPr>
          <w:sz w:val="20"/>
        </w:rPr>
        <w:t xml:space="preserve">G </w:t>
      </w:r>
      <w:r>
        <w:rPr>
          <w:spacing w:val="-3"/>
          <w:sz w:val="20"/>
        </w:rPr>
        <w:t xml:space="preserve">van </w:t>
      </w:r>
      <w:r>
        <w:rPr>
          <w:sz w:val="20"/>
        </w:rPr>
        <w:t>Baarsen (2016) Human  lymph-node  CD8</w:t>
      </w:r>
      <w:r>
        <w:rPr>
          <w:position w:val="9"/>
          <w:sz w:val="13"/>
        </w:rPr>
        <w:t xml:space="preserve">+ </w:t>
      </w:r>
      <w:r>
        <w:rPr>
          <w:sz w:val="20"/>
        </w:rPr>
        <w:t xml:space="preserve">T cells display an altered phenotype during systemic autoimmunity </w:t>
      </w:r>
      <w:r>
        <w:rPr>
          <w:i/>
          <w:sz w:val="20"/>
        </w:rPr>
        <w:t xml:space="preserve">Clinical &amp; Translational Immunology </w:t>
      </w:r>
      <w:r>
        <w:rPr>
          <w:i/>
          <w:spacing w:val="-3"/>
          <w:sz w:val="20"/>
        </w:rPr>
        <w:t>5,</w:t>
      </w:r>
      <w:r>
        <w:rPr>
          <w:i/>
          <w:spacing w:val="4"/>
          <w:sz w:val="20"/>
        </w:rPr>
        <w:t xml:space="preserve"> </w:t>
      </w:r>
      <w:r>
        <w:rPr>
          <w:i/>
          <w:sz w:val="20"/>
        </w:rPr>
        <w:t>e67.</w:t>
      </w:r>
    </w:p>
    <w:p w:rsidR="00A43496" w:rsidRDefault="00A43496" w:rsidP="00EB3B4A">
      <w:pPr>
        <w:pStyle w:val="ListParagraph"/>
        <w:numPr>
          <w:ilvl w:val="0"/>
          <w:numId w:val="4"/>
        </w:numPr>
        <w:tabs>
          <w:tab w:val="left" w:pos="583"/>
        </w:tabs>
        <w:ind w:right="145"/>
        <w:rPr>
          <w:sz w:val="20"/>
        </w:rPr>
      </w:pPr>
      <w:r>
        <w:rPr>
          <w:sz w:val="20"/>
        </w:rPr>
        <w:t xml:space="preserve">Boldison J, Chu CJ, Copland </w:t>
      </w:r>
      <w:r>
        <w:rPr>
          <w:spacing w:val="-3"/>
          <w:sz w:val="20"/>
        </w:rPr>
        <w:t xml:space="preserve">DA, </w:t>
      </w:r>
      <w:r>
        <w:rPr>
          <w:sz w:val="20"/>
        </w:rPr>
        <w:t xml:space="preserve">Lait PJ, Khera TK, Dick AD (2014). Tissue-resident exhausted effector memory CD8+ T cells accumulate in the retina during chronic experimental autoimmune uveoretinitis. </w:t>
      </w:r>
      <w:r>
        <w:rPr>
          <w:i/>
          <w:sz w:val="20"/>
        </w:rPr>
        <w:t xml:space="preserve">J Immunol </w:t>
      </w:r>
      <w:r>
        <w:rPr>
          <w:sz w:val="20"/>
        </w:rPr>
        <w:t>;192:</w:t>
      </w:r>
      <w:r>
        <w:rPr>
          <w:spacing w:val="-10"/>
          <w:sz w:val="20"/>
        </w:rPr>
        <w:t xml:space="preserve"> </w:t>
      </w:r>
      <w:r>
        <w:rPr>
          <w:sz w:val="20"/>
        </w:rPr>
        <w:t>4541–4550.</w:t>
      </w:r>
    </w:p>
    <w:p w:rsidR="00A43496" w:rsidRDefault="00A43496" w:rsidP="00EB3B4A">
      <w:pPr>
        <w:pStyle w:val="ListParagraph"/>
        <w:numPr>
          <w:ilvl w:val="0"/>
          <w:numId w:val="4"/>
        </w:numPr>
        <w:tabs>
          <w:tab w:val="left" w:pos="583"/>
        </w:tabs>
        <w:ind w:right="145"/>
        <w:rPr>
          <w:sz w:val="20"/>
        </w:rPr>
      </w:pPr>
      <w:r>
        <w:rPr>
          <w:sz w:val="20"/>
        </w:rPr>
        <w:t xml:space="preserve">Moszczynski, P., Zabinski, Z., Moszczynski, P. Jr., Rutowski, J., Slowinski, S.and Tabarowski, Z.(2001). Immunological findings in cigarette smokers. </w:t>
      </w:r>
      <w:r>
        <w:rPr>
          <w:i/>
          <w:sz w:val="20"/>
        </w:rPr>
        <w:t xml:space="preserve">Toxicol Lett; </w:t>
      </w:r>
      <w:r>
        <w:rPr>
          <w:sz w:val="20"/>
        </w:rPr>
        <w:t>118(3):</w:t>
      </w:r>
      <w:r>
        <w:rPr>
          <w:spacing w:val="-7"/>
          <w:sz w:val="20"/>
        </w:rPr>
        <w:t xml:space="preserve"> </w:t>
      </w:r>
      <w:r>
        <w:rPr>
          <w:sz w:val="20"/>
        </w:rPr>
        <w:t>121−7.</w:t>
      </w:r>
    </w:p>
    <w:p w:rsidR="00A43496" w:rsidRDefault="00A43496" w:rsidP="00EB3B4A">
      <w:pPr>
        <w:pStyle w:val="ListParagraph"/>
        <w:numPr>
          <w:ilvl w:val="0"/>
          <w:numId w:val="4"/>
        </w:numPr>
        <w:tabs>
          <w:tab w:val="left" w:pos="583"/>
        </w:tabs>
        <w:ind w:right="148"/>
        <w:rPr>
          <w:sz w:val="20"/>
        </w:rPr>
      </w:pPr>
      <w:r>
        <w:rPr>
          <w:sz w:val="20"/>
        </w:rPr>
        <w:t xml:space="preserve">Boström, L., Linder, L.E. and Bergström, J. (1999). Smoking and crevicular fluid levels of IL-6 and TNF-α in periodontal disease. </w:t>
      </w:r>
      <w:r>
        <w:rPr>
          <w:i/>
          <w:sz w:val="20"/>
        </w:rPr>
        <w:t>J Clin Periodontol</w:t>
      </w:r>
      <w:r>
        <w:rPr>
          <w:sz w:val="20"/>
        </w:rPr>
        <w:t xml:space="preserve">.;26:352–357. </w:t>
      </w:r>
    </w:p>
    <w:p w:rsidR="00A43496" w:rsidRDefault="00A43496" w:rsidP="00EB3B4A">
      <w:pPr>
        <w:pStyle w:val="ListParagraph"/>
        <w:numPr>
          <w:ilvl w:val="0"/>
          <w:numId w:val="4"/>
        </w:numPr>
        <w:tabs>
          <w:tab w:val="left" w:pos="583"/>
        </w:tabs>
        <w:ind w:right="148"/>
        <w:rPr>
          <w:sz w:val="20"/>
        </w:rPr>
      </w:pPr>
      <w:r>
        <w:rPr>
          <w:sz w:val="20"/>
        </w:rPr>
        <w:t>Merghani,, A.,</w:t>
      </w:r>
      <w:r w:rsidRPr="00EB3B4A">
        <w:rPr>
          <w:sz w:val="20"/>
        </w:rPr>
        <w:t xml:space="preserve"> </w:t>
      </w:r>
      <w:r>
        <w:rPr>
          <w:sz w:val="20"/>
        </w:rPr>
        <w:t>Alawad,</w:t>
      </w:r>
      <w:r w:rsidRPr="00EB3B4A">
        <w:rPr>
          <w:sz w:val="20"/>
        </w:rPr>
        <w:t xml:space="preserve"> </w:t>
      </w:r>
      <w:r>
        <w:rPr>
          <w:sz w:val="20"/>
        </w:rPr>
        <w:t>A.</w:t>
      </w:r>
      <w:r w:rsidRPr="00EB3B4A">
        <w:rPr>
          <w:sz w:val="20"/>
        </w:rPr>
        <w:t xml:space="preserve"> </w:t>
      </w:r>
      <w:r>
        <w:rPr>
          <w:sz w:val="20"/>
        </w:rPr>
        <w:t xml:space="preserve">and </w:t>
      </w:r>
      <w:r>
        <w:rPr>
          <w:spacing w:val="-3"/>
          <w:sz w:val="20"/>
        </w:rPr>
        <w:t>Saeed,</w:t>
      </w:r>
      <w:r w:rsidRPr="00EB3B4A">
        <w:rPr>
          <w:sz w:val="20"/>
        </w:rPr>
        <w:t xml:space="preserve"> </w:t>
      </w:r>
      <w:r>
        <w:rPr>
          <w:sz w:val="20"/>
        </w:rPr>
        <w:t xml:space="preserve">T.H.  (2012). Changes in plasma IL4, TNFá and CRP in response to regular passive smoking at home among healthy school children in Khartoum, Sudan. </w:t>
      </w:r>
      <w:r>
        <w:rPr>
          <w:i/>
          <w:sz w:val="20"/>
        </w:rPr>
        <w:t>J. Health Sci.</w:t>
      </w:r>
      <w:r>
        <w:rPr>
          <w:sz w:val="20"/>
        </w:rPr>
        <w:t>; 12(1): 41– 47.</w:t>
      </w:r>
    </w:p>
    <w:p w:rsidR="00A43496" w:rsidRDefault="00A43496" w:rsidP="00EB3B4A">
      <w:pPr>
        <w:pStyle w:val="ListParagraph"/>
        <w:numPr>
          <w:ilvl w:val="0"/>
          <w:numId w:val="4"/>
        </w:numPr>
        <w:tabs>
          <w:tab w:val="left" w:pos="583"/>
        </w:tabs>
        <w:ind w:right="146"/>
        <w:rPr>
          <w:sz w:val="20"/>
        </w:rPr>
      </w:pPr>
      <w:r>
        <w:rPr>
          <w:sz w:val="20"/>
        </w:rPr>
        <w:t xml:space="preserve">Petrescu, F., Voican, S.C. and Silosi, </w:t>
      </w:r>
      <w:r>
        <w:rPr>
          <w:spacing w:val="-3"/>
          <w:sz w:val="20"/>
        </w:rPr>
        <w:t xml:space="preserve">I. </w:t>
      </w:r>
      <w:r>
        <w:rPr>
          <w:sz w:val="20"/>
        </w:rPr>
        <w:t xml:space="preserve">(2010). Tumor necrosis factor-alpha </w:t>
      </w:r>
      <w:r>
        <w:rPr>
          <w:spacing w:val="-3"/>
          <w:sz w:val="20"/>
        </w:rPr>
        <w:t xml:space="preserve">serum </w:t>
      </w:r>
      <w:r>
        <w:rPr>
          <w:sz w:val="20"/>
        </w:rPr>
        <w:t xml:space="preserve">levels in healthy smokers and nonsmokers. </w:t>
      </w:r>
      <w:r>
        <w:rPr>
          <w:i/>
          <w:sz w:val="20"/>
        </w:rPr>
        <w:t xml:space="preserve">Int J Chron Obstruct Pulmon Dis </w:t>
      </w:r>
      <w:r>
        <w:rPr>
          <w:sz w:val="20"/>
        </w:rPr>
        <w:t>9;5:217-222.</w:t>
      </w:r>
    </w:p>
    <w:p w:rsidR="00A43496" w:rsidRDefault="00A43496" w:rsidP="00EB3B4A">
      <w:pPr>
        <w:pStyle w:val="ListParagraph"/>
        <w:numPr>
          <w:ilvl w:val="0"/>
          <w:numId w:val="4"/>
        </w:numPr>
        <w:tabs>
          <w:tab w:val="left" w:pos="583"/>
        </w:tabs>
        <w:spacing w:before="2" w:line="237" w:lineRule="auto"/>
        <w:ind w:right="150"/>
        <w:rPr>
          <w:sz w:val="20"/>
        </w:rPr>
      </w:pPr>
      <w:r>
        <w:rPr>
          <w:sz w:val="20"/>
        </w:rPr>
        <w:t xml:space="preserve">Ho E, Karimi Galougahi </w:t>
      </w:r>
      <w:r>
        <w:rPr>
          <w:spacing w:val="-4"/>
          <w:sz w:val="20"/>
        </w:rPr>
        <w:t xml:space="preserve">K, </w:t>
      </w:r>
      <w:r>
        <w:rPr>
          <w:spacing w:val="-3"/>
          <w:sz w:val="20"/>
        </w:rPr>
        <w:t xml:space="preserve">Liu </w:t>
      </w:r>
      <w:r>
        <w:rPr>
          <w:sz w:val="20"/>
        </w:rPr>
        <w:t xml:space="preserve">CC, Bhindi </w:t>
      </w:r>
      <w:r>
        <w:rPr>
          <w:spacing w:val="-3"/>
          <w:sz w:val="20"/>
        </w:rPr>
        <w:t xml:space="preserve">R, </w:t>
      </w:r>
      <w:r>
        <w:rPr>
          <w:sz w:val="20"/>
        </w:rPr>
        <w:t xml:space="preserve">Figtree GA(2013). Biological markers </w:t>
      </w:r>
      <w:r>
        <w:rPr>
          <w:spacing w:val="-3"/>
          <w:sz w:val="20"/>
        </w:rPr>
        <w:t xml:space="preserve">of </w:t>
      </w:r>
      <w:r>
        <w:rPr>
          <w:sz w:val="20"/>
        </w:rPr>
        <w:t xml:space="preserve">oxidative stress: Applications to cardiovascular research and practice. </w:t>
      </w:r>
      <w:r>
        <w:rPr>
          <w:spacing w:val="-3"/>
          <w:sz w:val="20"/>
        </w:rPr>
        <w:t xml:space="preserve">Redox </w:t>
      </w:r>
      <w:r>
        <w:rPr>
          <w:sz w:val="20"/>
        </w:rPr>
        <w:t>Biol.;1:483–91.</w:t>
      </w:r>
    </w:p>
    <w:p w:rsidR="00A43496" w:rsidRDefault="00A43496" w:rsidP="00EB3B4A">
      <w:pPr>
        <w:pStyle w:val="BodyText"/>
        <w:numPr>
          <w:ilvl w:val="0"/>
          <w:numId w:val="4"/>
        </w:numPr>
        <w:spacing w:before="76"/>
        <w:ind w:right="2"/>
      </w:pPr>
      <w:r>
        <w:t xml:space="preserve">Talarowska M, Bobinska </w:t>
      </w:r>
      <w:r>
        <w:rPr>
          <w:spacing w:val="-4"/>
        </w:rPr>
        <w:t xml:space="preserve">K, </w:t>
      </w:r>
      <w:r>
        <w:t xml:space="preserve">Zajaczkowska M, Su KP, Maes M, Galecki P.(2014) Impact </w:t>
      </w:r>
      <w:r>
        <w:rPr>
          <w:spacing w:val="-3"/>
        </w:rPr>
        <w:t xml:space="preserve">of </w:t>
      </w:r>
      <w:r>
        <w:t>oxidative/nitrosative stress and inflammation</w:t>
      </w:r>
      <w:r w:rsidRPr="005D7D58">
        <w:rPr>
          <w:spacing w:val="-3"/>
        </w:rPr>
        <w:t xml:space="preserve"> </w:t>
      </w:r>
      <w:r>
        <w:rPr>
          <w:spacing w:val="-3"/>
        </w:rPr>
        <w:t>on</w:t>
      </w:r>
      <w:r w:rsidRPr="005D7D58">
        <w:t xml:space="preserve"> </w:t>
      </w:r>
      <w:r>
        <w:t xml:space="preserve">cognitive functions in patients with recurrent depressive disorders. </w:t>
      </w:r>
      <w:r>
        <w:rPr>
          <w:i/>
        </w:rPr>
        <w:t>Med Sci Monit</w:t>
      </w:r>
      <w:r>
        <w:t>. 20:110–5.</w:t>
      </w:r>
    </w:p>
    <w:p w:rsidR="00A43496" w:rsidRDefault="00A43496" w:rsidP="00EB3B4A">
      <w:pPr>
        <w:pStyle w:val="ListParagraph"/>
        <w:tabs>
          <w:tab w:val="num" w:pos="550"/>
          <w:tab w:val="left" w:pos="583"/>
        </w:tabs>
        <w:spacing w:before="2" w:line="237" w:lineRule="auto"/>
        <w:ind w:left="0" w:right="150" w:firstLine="80"/>
        <w:rPr>
          <w:sz w:val="20"/>
        </w:rPr>
      </w:pPr>
    </w:p>
    <w:p w:rsidR="00A43496" w:rsidRDefault="00A43496" w:rsidP="00EB3B4A">
      <w:pPr>
        <w:pStyle w:val="ListParagraph"/>
        <w:numPr>
          <w:ilvl w:val="0"/>
          <w:numId w:val="4"/>
        </w:numPr>
        <w:tabs>
          <w:tab w:val="left" w:pos="583"/>
        </w:tabs>
        <w:rPr>
          <w:sz w:val="20"/>
        </w:rPr>
      </w:pPr>
      <w:r>
        <w:rPr>
          <w:sz w:val="20"/>
        </w:rPr>
        <w:t xml:space="preserve">Chu Y, Liu CY, Wu </w:t>
      </w:r>
      <w:r>
        <w:rPr>
          <w:spacing w:val="-3"/>
          <w:sz w:val="20"/>
        </w:rPr>
        <w:t xml:space="preserve">YC, Hsieh MJ, Chen </w:t>
      </w:r>
      <w:r>
        <w:rPr>
          <w:sz w:val="20"/>
        </w:rPr>
        <w:t xml:space="preserve">TP, Chao YK, (2013). Comparison </w:t>
      </w:r>
      <w:r>
        <w:rPr>
          <w:spacing w:val="-3"/>
          <w:sz w:val="20"/>
        </w:rPr>
        <w:t xml:space="preserve">of </w:t>
      </w:r>
      <w:r>
        <w:rPr>
          <w:sz w:val="20"/>
        </w:rPr>
        <w:t xml:space="preserve">hemodynamic and inflammatory changes between transoral and transthoracic thoracoscopic surgery. </w:t>
      </w:r>
      <w:r>
        <w:rPr>
          <w:i/>
          <w:sz w:val="20"/>
        </w:rPr>
        <w:t>PLoS One</w:t>
      </w:r>
      <w:r>
        <w:rPr>
          <w:sz w:val="20"/>
        </w:rPr>
        <w:t>; 8:e50338.</w:t>
      </w:r>
    </w:p>
    <w:p w:rsidR="00A43496" w:rsidRDefault="00A43496" w:rsidP="00EB3B4A">
      <w:pPr>
        <w:pStyle w:val="ListParagraph"/>
        <w:numPr>
          <w:ilvl w:val="0"/>
          <w:numId w:val="4"/>
        </w:numPr>
        <w:tabs>
          <w:tab w:val="left" w:pos="583"/>
        </w:tabs>
        <w:rPr>
          <w:sz w:val="20"/>
        </w:rPr>
      </w:pPr>
      <w:r>
        <w:rPr>
          <w:sz w:val="20"/>
        </w:rPr>
        <w:t xml:space="preserve">Giera </w:t>
      </w:r>
      <w:r>
        <w:rPr>
          <w:spacing w:val="-4"/>
          <w:sz w:val="20"/>
        </w:rPr>
        <w:t xml:space="preserve">M, </w:t>
      </w:r>
      <w:r>
        <w:rPr>
          <w:sz w:val="20"/>
        </w:rPr>
        <w:t xml:space="preserve">Lingeman </w:t>
      </w:r>
      <w:r>
        <w:rPr>
          <w:spacing w:val="-4"/>
          <w:sz w:val="20"/>
        </w:rPr>
        <w:t xml:space="preserve">H, </w:t>
      </w:r>
      <w:r>
        <w:rPr>
          <w:spacing w:val="-3"/>
          <w:sz w:val="20"/>
        </w:rPr>
        <w:t xml:space="preserve">Niessen </w:t>
      </w:r>
      <w:r>
        <w:rPr>
          <w:sz w:val="20"/>
        </w:rPr>
        <w:t xml:space="preserve">WM. (2012) Recent Advancements in the LC- and GC-based analysis of malondialdehyde (MDA): A brief overview. </w:t>
      </w:r>
      <w:r>
        <w:rPr>
          <w:i/>
          <w:sz w:val="20"/>
        </w:rPr>
        <w:t>Chromatographia</w:t>
      </w:r>
      <w:r>
        <w:rPr>
          <w:sz w:val="20"/>
        </w:rPr>
        <w:t>.</w:t>
      </w:r>
      <w:r>
        <w:rPr>
          <w:spacing w:val="-4"/>
          <w:sz w:val="20"/>
        </w:rPr>
        <w:t xml:space="preserve"> </w:t>
      </w:r>
      <w:r>
        <w:rPr>
          <w:sz w:val="20"/>
        </w:rPr>
        <w:t>;75:433–40.</w:t>
      </w:r>
    </w:p>
    <w:p w:rsidR="00A43496" w:rsidRDefault="00A43496" w:rsidP="00EB3B4A">
      <w:pPr>
        <w:pStyle w:val="ListParagraph"/>
        <w:numPr>
          <w:ilvl w:val="0"/>
          <w:numId w:val="4"/>
        </w:numPr>
        <w:tabs>
          <w:tab w:val="left" w:pos="583"/>
        </w:tabs>
        <w:rPr>
          <w:sz w:val="20"/>
        </w:rPr>
      </w:pPr>
      <w:r>
        <w:rPr>
          <w:sz w:val="20"/>
        </w:rPr>
        <w:t xml:space="preserve">Nia </w:t>
      </w:r>
      <w:r>
        <w:rPr>
          <w:spacing w:val="-3"/>
          <w:sz w:val="20"/>
        </w:rPr>
        <w:t xml:space="preserve">Kania </w:t>
      </w:r>
      <w:r>
        <w:rPr>
          <w:sz w:val="20"/>
        </w:rPr>
        <w:t xml:space="preserve">and Bambang </w:t>
      </w:r>
      <w:r>
        <w:rPr>
          <w:spacing w:val="-3"/>
          <w:sz w:val="20"/>
        </w:rPr>
        <w:t xml:space="preserve">Setiawan HMS </w:t>
      </w:r>
      <w:r>
        <w:rPr>
          <w:sz w:val="20"/>
        </w:rPr>
        <w:t>(2011). Chandra Kusuma Oxydative stress in rats caused by coal dustplus cigarette smoke. Univ Med 30: 80-87.</w:t>
      </w:r>
    </w:p>
    <w:p w:rsidR="00A43496" w:rsidRDefault="00A43496" w:rsidP="00EB3B4A">
      <w:pPr>
        <w:pStyle w:val="ListParagraph"/>
        <w:numPr>
          <w:ilvl w:val="0"/>
          <w:numId w:val="4"/>
        </w:numPr>
        <w:tabs>
          <w:tab w:val="left" w:pos="583"/>
        </w:tabs>
        <w:ind w:right="0"/>
        <w:jc w:val="left"/>
        <w:rPr>
          <w:sz w:val="20"/>
        </w:rPr>
      </w:pPr>
      <w:r>
        <w:rPr>
          <w:sz w:val="20"/>
        </w:rPr>
        <w:t xml:space="preserve">Kahnamoei,  </w:t>
      </w:r>
      <w:r>
        <w:rPr>
          <w:spacing w:val="-3"/>
          <w:sz w:val="20"/>
        </w:rPr>
        <w:t xml:space="preserve">R.  </w:t>
      </w:r>
      <w:r>
        <w:rPr>
          <w:sz w:val="20"/>
        </w:rPr>
        <w:t xml:space="preserve">J.,  Maleki,  F.  and </w:t>
      </w:r>
      <w:r>
        <w:rPr>
          <w:spacing w:val="13"/>
          <w:sz w:val="20"/>
        </w:rPr>
        <w:t xml:space="preserve"> </w:t>
      </w:r>
      <w:r>
        <w:rPr>
          <w:sz w:val="20"/>
        </w:rPr>
        <w:t>Nasirzadeh,</w:t>
      </w:r>
    </w:p>
    <w:p w:rsidR="00A43496" w:rsidRDefault="00A43496" w:rsidP="00CA5D12">
      <w:pPr>
        <w:pStyle w:val="BodyText"/>
        <w:spacing w:before="2" w:line="237" w:lineRule="auto"/>
        <w:ind w:left="330" w:right="3"/>
      </w:pPr>
      <w:r>
        <w:t xml:space="preserve">M.R. (2014). The effects of cigarette smoking on plasma MDA and TAC in university students. </w:t>
      </w:r>
      <w:r>
        <w:rPr>
          <w:i/>
        </w:rPr>
        <w:t>J. Fund. App. Life Scien</w:t>
      </w:r>
      <w:r>
        <w:t>. 4(3): 329-333.</w:t>
      </w:r>
    </w:p>
    <w:p w:rsidR="00A43496" w:rsidRDefault="00A43496" w:rsidP="00EB3B4A">
      <w:pPr>
        <w:pStyle w:val="ListParagraph"/>
        <w:numPr>
          <w:ilvl w:val="0"/>
          <w:numId w:val="4"/>
        </w:numPr>
        <w:tabs>
          <w:tab w:val="left" w:pos="583"/>
        </w:tabs>
        <w:spacing w:before="1"/>
        <w:ind w:right="0"/>
        <w:rPr>
          <w:sz w:val="20"/>
        </w:rPr>
      </w:pPr>
      <w:r>
        <w:rPr>
          <w:sz w:val="20"/>
        </w:rPr>
        <w:t xml:space="preserve">Jaggi, S. and Abhay S. Y. (2015). Increased serum malondialdehyde levels among cigarette smokers. </w:t>
      </w:r>
      <w:r>
        <w:rPr>
          <w:i/>
          <w:sz w:val="20"/>
        </w:rPr>
        <w:t>J. Pharma Innova</w:t>
      </w:r>
      <w:r>
        <w:rPr>
          <w:sz w:val="20"/>
        </w:rPr>
        <w:t>. 4(4):</w:t>
      </w:r>
      <w:r>
        <w:rPr>
          <w:spacing w:val="-7"/>
          <w:sz w:val="20"/>
        </w:rPr>
        <w:t xml:space="preserve"> </w:t>
      </w:r>
      <w:r>
        <w:rPr>
          <w:sz w:val="20"/>
        </w:rPr>
        <w:t>94-96.</w:t>
      </w:r>
    </w:p>
    <w:p w:rsidR="00A43496" w:rsidRDefault="00A43496" w:rsidP="00EB3B4A">
      <w:pPr>
        <w:pStyle w:val="ListParagraph"/>
        <w:numPr>
          <w:ilvl w:val="0"/>
          <w:numId w:val="4"/>
        </w:numPr>
        <w:tabs>
          <w:tab w:val="left" w:pos="583"/>
          <w:tab w:val="left" w:pos="2742"/>
          <w:tab w:val="left" w:pos="4379"/>
        </w:tabs>
        <w:spacing w:before="76"/>
        <w:ind w:right="150"/>
        <w:rPr>
          <w:sz w:val="20"/>
        </w:rPr>
      </w:pPr>
      <w:r>
        <w:rPr>
          <w:sz w:val="20"/>
        </w:rPr>
        <w:t xml:space="preserve">Kamerbeek, N.M., </w:t>
      </w:r>
      <w:r>
        <w:rPr>
          <w:spacing w:val="-3"/>
          <w:sz w:val="20"/>
        </w:rPr>
        <w:t xml:space="preserve">van </w:t>
      </w:r>
      <w:r>
        <w:rPr>
          <w:sz w:val="20"/>
        </w:rPr>
        <w:t xml:space="preserve">Zwieten, </w:t>
      </w:r>
      <w:r>
        <w:rPr>
          <w:spacing w:val="-3"/>
          <w:sz w:val="20"/>
        </w:rPr>
        <w:t xml:space="preserve">R., </w:t>
      </w:r>
      <w:r>
        <w:rPr>
          <w:sz w:val="20"/>
        </w:rPr>
        <w:t xml:space="preserve">de Boer, M., Morren, G., Vuil,H., Bannink, N., Lincke, C., Dolman, K., Becker, M. K.,Schirmer, R.H., Gromer, S. and Roos, D. (2007). Molecular basis of glutathione reductase deficiency in human blood cells Blood, </w:t>
      </w:r>
      <w:r>
        <w:rPr>
          <w:i/>
          <w:sz w:val="20"/>
        </w:rPr>
        <w:t xml:space="preserve">J. Med. Sci. </w:t>
      </w:r>
      <w:r>
        <w:rPr>
          <w:sz w:val="20"/>
        </w:rPr>
        <w:t>109, pp. 3560– 3566.</w:t>
      </w:r>
    </w:p>
    <w:p w:rsidR="00A43496" w:rsidRDefault="00A43496" w:rsidP="00EB3B4A">
      <w:pPr>
        <w:pStyle w:val="ListParagraph"/>
        <w:numPr>
          <w:ilvl w:val="0"/>
          <w:numId w:val="4"/>
        </w:numPr>
        <w:tabs>
          <w:tab w:val="left" w:pos="583"/>
          <w:tab w:val="left" w:pos="2742"/>
          <w:tab w:val="left" w:pos="4379"/>
        </w:tabs>
        <w:spacing w:before="76"/>
        <w:ind w:right="150"/>
        <w:rPr>
          <w:sz w:val="20"/>
        </w:rPr>
      </w:pPr>
      <w:r w:rsidRPr="005D7D58">
        <w:rPr>
          <w:sz w:val="20"/>
        </w:rPr>
        <w:t xml:space="preserve"> </w:t>
      </w:r>
      <w:r>
        <w:rPr>
          <w:sz w:val="20"/>
        </w:rPr>
        <w:t xml:space="preserve">Bohanes T, Szkorupa </w:t>
      </w:r>
      <w:r>
        <w:rPr>
          <w:spacing w:val="-4"/>
          <w:sz w:val="20"/>
        </w:rPr>
        <w:t xml:space="preserve">M, </w:t>
      </w:r>
      <w:r>
        <w:rPr>
          <w:sz w:val="20"/>
        </w:rPr>
        <w:t xml:space="preserve">Klein J, Neoral </w:t>
      </w:r>
      <w:r>
        <w:rPr>
          <w:spacing w:val="-3"/>
          <w:sz w:val="20"/>
        </w:rPr>
        <w:t xml:space="preserve">C, </w:t>
      </w:r>
      <w:r>
        <w:rPr>
          <w:sz w:val="20"/>
        </w:rPr>
        <w:t>Zapletalová J, Chudácek J(2013). Videothoracoscopic</w:t>
      </w:r>
      <w:r>
        <w:rPr>
          <w:sz w:val="20"/>
        </w:rPr>
        <w:tab/>
        <w:t>identification</w:t>
      </w:r>
      <w:r>
        <w:rPr>
          <w:sz w:val="20"/>
        </w:rPr>
        <w:tab/>
      </w:r>
      <w:r>
        <w:rPr>
          <w:spacing w:val="-3"/>
          <w:sz w:val="20"/>
        </w:rPr>
        <w:t xml:space="preserve">of </w:t>
      </w:r>
      <w:r>
        <w:rPr>
          <w:sz w:val="20"/>
        </w:rPr>
        <w:t xml:space="preserve">chondromatous hamartoma </w:t>
      </w:r>
      <w:r>
        <w:rPr>
          <w:spacing w:val="-3"/>
          <w:sz w:val="20"/>
        </w:rPr>
        <w:t xml:space="preserve">of </w:t>
      </w:r>
      <w:r>
        <w:rPr>
          <w:sz w:val="20"/>
        </w:rPr>
        <w:t xml:space="preserve">the lung. </w:t>
      </w:r>
      <w:r>
        <w:rPr>
          <w:i/>
          <w:sz w:val="20"/>
        </w:rPr>
        <w:t>Wideochir Inne Tech Maloinwazyjne</w:t>
      </w:r>
      <w:r>
        <w:rPr>
          <w:sz w:val="20"/>
        </w:rPr>
        <w:t>.</w:t>
      </w:r>
      <w:r>
        <w:rPr>
          <w:spacing w:val="-5"/>
          <w:sz w:val="20"/>
        </w:rPr>
        <w:t xml:space="preserve"> </w:t>
      </w:r>
      <w:r>
        <w:rPr>
          <w:sz w:val="20"/>
        </w:rPr>
        <w:t>;8:152–7.</w:t>
      </w:r>
    </w:p>
    <w:p w:rsidR="00A43496" w:rsidRDefault="00A43496" w:rsidP="00EB3B4A">
      <w:pPr>
        <w:pStyle w:val="ListParagraph"/>
        <w:numPr>
          <w:ilvl w:val="0"/>
          <w:numId w:val="4"/>
        </w:numPr>
        <w:tabs>
          <w:tab w:val="left" w:pos="583"/>
        </w:tabs>
        <w:ind w:right="148"/>
        <w:rPr>
          <w:sz w:val="20"/>
        </w:rPr>
      </w:pPr>
      <w:r>
        <w:rPr>
          <w:sz w:val="20"/>
        </w:rPr>
        <w:t xml:space="preserve">Zenger, F., S. Russmann, E.  Junker,  </w:t>
      </w:r>
      <w:r>
        <w:rPr>
          <w:spacing w:val="-3"/>
          <w:sz w:val="20"/>
        </w:rPr>
        <w:t xml:space="preserve">C. </w:t>
      </w:r>
      <w:r>
        <w:rPr>
          <w:sz w:val="20"/>
        </w:rPr>
        <w:t xml:space="preserve">Wuthrich, M. </w:t>
      </w:r>
      <w:r>
        <w:rPr>
          <w:spacing w:val="-4"/>
          <w:sz w:val="20"/>
        </w:rPr>
        <w:t xml:space="preserve">H. </w:t>
      </w:r>
      <w:r>
        <w:rPr>
          <w:sz w:val="20"/>
        </w:rPr>
        <w:t xml:space="preserve">Bui, and </w:t>
      </w:r>
      <w:r>
        <w:rPr>
          <w:spacing w:val="-3"/>
          <w:sz w:val="20"/>
        </w:rPr>
        <w:t xml:space="preserve">B. </w:t>
      </w:r>
      <w:r>
        <w:rPr>
          <w:sz w:val="20"/>
        </w:rPr>
        <w:t>H</w:t>
      </w:r>
      <w:r>
        <w:rPr>
          <w:i/>
          <w:sz w:val="20"/>
        </w:rPr>
        <w:t>.</w:t>
      </w:r>
      <w:r>
        <w:rPr>
          <w:sz w:val="20"/>
        </w:rPr>
        <w:t xml:space="preserve">(2004). Lauterburg. "Decreased glutathione in patients with anorexia nervosa. Risk factor </w:t>
      </w:r>
      <w:r>
        <w:rPr>
          <w:spacing w:val="-4"/>
          <w:sz w:val="20"/>
        </w:rPr>
        <w:t xml:space="preserve">for </w:t>
      </w:r>
      <w:r>
        <w:rPr>
          <w:sz w:val="20"/>
        </w:rPr>
        <w:t xml:space="preserve">toxic liver injury?" </w:t>
      </w:r>
      <w:r>
        <w:rPr>
          <w:i/>
          <w:sz w:val="20"/>
        </w:rPr>
        <w:t>Eur J Clin Nutr</w:t>
      </w:r>
      <w:r>
        <w:rPr>
          <w:sz w:val="20"/>
        </w:rPr>
        <w:t>:</w:t>
      </w:r>
      <w:r>
        <w:rPr>
          <w:spacing w:val="-7"/>
          <w:sz w:val="20"/>
        </w:rPr>
        <w:t xml:space="preserve"> </w:t>
      </w:r>
      <w:r>
        <w:rPr>
          <w:sz w:val="20"/>
        </w:rPr>
        <w:t>238–43.</w:t>
      </w:r>
    </w:p>
    <w:p w:rsidR="00A43496" w:rsidRDefault="00A43496" w:rsidP="00EB3B4A">
      <w:pPr>
        <w:pStyle w:val="ListParagraph"/>
        <w:numPr>
          <w:ilvl w:val="0"/>
          <w:numId w:val="4"/>
        </w:numPr>
        <w:tabs>
          <w:tab w:val="left" w:pos="583"/>
        </w:tabs>
        <w:ind w:right="145"/>
        <w:rPr>
          <w:sz w:val="20"/>
        </w:rPr>
      </w:pPr>
      <w:r>
        <w:rPr>
          <w:sz w:val="20"/>
        </w:rPr>
        <w:t xml:space="preserve">Mandal, P. K., Saharan, </w:t>
      </w:r>
      <w:r>
        <w:rPr>
          <w:spacing w:val="-3"/>
          <w:sz w:val="20"/>
        </w:rPr>
        <w:t xml:space="preserve">S., </w:t>
      </w:r>
      <w:r>
        <w:rPr>
          <w:sz w:val="20"/>
        </w:rPr>
        <w:t xml:space="preserve">Tripathi, M. &amp; Murari, G. (2015). Brain glutathione levels—a novel biomarker </w:t>
      </w:r>
      <w:r>
        <w:rPr>
          <w:spacing w:val="-4"/>
          <w:sz w:val="20"/>
        </w:rPr>
        <w:t xml:space="preserve">for </w:t>
      </w:r>
      <w:r>
        <w:rPr>
          <w:sz w:val="20"/>
        </w:rPr>
        <w:t xml:space="preserve">mild cognitive impairment and Alzheimer’s disease. </w:t>
      </w:r>
      <w:r>
        <w:rPr>
          <w:i/>
          <w:sz w:val="20"/>
        </w:rPr>
        <w:t xml:space="preserve">Biol. Psychiatry </w:t>
      </w:r>
      <w:r>
        <w:rPr>
          <w:b/>
          <w:sz w:val="20"/>
        </w:rPr>
        <w:t>78</w:t>
      </w:r>
      <w:r>
        <w:rPr>
          <w:sz w:val="20"/>
        </w:rPr>
        <w:t>: 702–710.</w:t>
      </w:r>
    </w:p>
    <w:p w:rsidR="00A43496" w:rsidRDefault="00A43496" w:rsidP="00EB3B4A">
      <w:pPr>
        <w:pStyle w:val="ListParagraph"/>
        <w:numPr>
          <w:ilvl w:val="0"/>
          <w:numId w:val="4"/>
        </w:numPr>
        <w:tabs>
          <w:tab w:val="left" w:pos="583"/>
        </w:tabs>
        <w:spacing w:before="2" w:line="237" w:lineRule="auto"/>
        <w:ind w:right="148"/>
        <w:rPr>
          <w:sz w:val="20"/>
        </w:rPr>
      </w:pPr>
      <w:r>
        <w:rPr>
          <w:sz w:val="20"/>
        </w:rPr>
        <w:t xml:space="preserve">Mahapatra, </w:t>
      </w:r>
      <w:r>
        <w:rPr>
          <w:spacing w:val="-4"/>
          <w:sz w:val="20"/>
        </w:rPr>
        <w:t xml:space="preserve">S. </w:t>
      </w:r>
      <w:r>
        <w:rPr>
          <w:sz w:val="20"/>
        </w:rPr>
        <w:t xml:space="preserve">K., Subhasis D., Sankar </w:t>
      </w:r>
      <w:r>
        <w:rPr>
          <w:spacing w:val="-4"/>
          <w:sz w:val="20"/>
        </w:rPr>
        <w:t xml:space="preserve">K. </w:t>
      </w:r>
      <w:r>
        <w:rPr>
          <w:sz w:val="20"/>
        </w:rPr>
        <w:t xml:space="preserve">D. and Somenath </w:t>
      </w:r>
      <w:r>
        <w:rPr>
          <w:spacing w:val="-3"/>
          <w:sz w:val="20"/>
        </w:rPr>
        <w:t xml:space="preserve">R. </w:t>
      </w:r>
      <w:r>
        <w:rPr>
          <w:sz w:val="20"/>
        </w:rPr>
        <w:t>(2008). Smoking induced</w:t>
      </w:r>
      <w:r w:rsidRPr="005D7D58">
        <w:rPr>
          <w:sz w:val="20"/>
        </w:rPr>
        <w:t xml:space="preserve"> </w:t>
      </w:r>
      <w:r>
        <w:rPr>
          <w:sz w:val="20"/>
        </w:rPr>
        <w:t xml:space="preserve">oxidative stress in serum and neutrophil </w:t>
      </w:r>
      <w:r>
        <w:rPr>
          <w:spacing w:val="-3"/>
          <w:sz w:val="20"/>
        </w:rPr>
        <w:t xml:space="preserve">of </w:t>
      </w:r>
      <w:r>
        <w:rPr>
          <w:sz w:val="20"/>
        </w:rPr>
        <w:t xml:space="preserve">the university students. </w:t>
      </w:r>
      <w:r>
        <w:rPr>
          <w:i/>
          <w:sz w:val="20"/>
        </w:rPr>
        <w:t>J. Med. Sci.</w:t>
      </w:r>
      <w:r>
        <w:rPr>
          <w:i/>
          <w:spacing w:val="-4"/>
          <w:sz w:val="20"/>
        </w:rPr>
        <w:t xml:space="preserve"> </w:t>
      </w:r>
      <w:r>
        <w:rPr>
          <w:sz w:val="20"/>
        </w:rPr>
        <w:t>1(1):20-31.</w:t>
      </w:r>
    </w:p>
    <w:p w:rsidR="00A43496" w:rsidRDefault="00A43496" w:rsidP="00EB3B4A">
      <w:pPr>
        <w:pStyle w:val="ListParagraph"/>
        <w:numPr>
          <w:ilvl w:val="0"/>
          <w:numId w:val="4"/>
        </w:numPr>
        <w:tabs>
          <w:tab w:val="left" w:pos="583"/>
        </w:tabs>
        <w:spacing w:before="1"/>
        <w:ind w:right="146"/>
        <w:rPr>
          <w:sz w:val="20"/>
        </w:rPr>
      </w:pPr>
      <w:r>
        <w:rPr>
          <w:sz w:val="20"/>
        </w:rPr>
        <w:t xml:space="preserve">DiKEN, </w:t>
      </w:r>
      <w:r>
        <w:rPr>
          <w:spacing w:val="-3"/>
          <w:sz w:val="20"/>
        </w:rPr>
        <w:t xml:space="preserve">H., </w:t>
      </w:r>
      <w:r>
        <w:rPr>
          <w:sz w:val="20"/>
        </w:rPr>
        <w:t xml:space="preserve">Mustafa, K., Cemil, T., Basra, D., Yüksel, </w:t>
      </w:r>
      <w:r>
        <w:rPr>
          <w:spacing w:val="-3"/>
          <w:sz w:val="20"/>
        </w:rPr>
        <w:t xml:space="preserve">B. </w:t>
      </w:r>
      <w:r>
        <w:rPr>
          <w:sz w:val="20"/>
        </w:rPr>
        <w:t xml:space="preserve">and Abdurrahman, F. (2001). </w:t>
      </w:r>
      <w:r>
        <w:rPr>
          <w:spacing w:val="-3"/>
          <w:sz w:val="20"/>
        </w:rPr>
        <w:t xml:space="preserve">Effects </w:t>
      </w:r>
      <w:r>
        <w:rPr>
          <w:sz w:val="20"/>
        </w:rPr>
        <w:t xml:space="preserve">of cigarette smoking </w:t>
      </w:r>
      <w:r>
        <w:rPr>
          <w:spacing w:val="-3"/>
          <w:sz w:val="20"/>
        </w:rPr>
        <w:t xml:space="preserve">on blood </w:t>
      </w:r>
      <w:r>
        <w:rPr>
          <w:sz w:val="20"/>
        </w:rPr>
        <w:t xml:space="preserve">antioxidant status in short-term and long-term smokers. </w:t>
      </w:r>
      <w:r>
        <w:rPr>
          <w:i/>
          <w:sz w:val="20"/>
        </w:rPr>
        <w:t>J.  Med. Sci</w:t>
      </w:r>
      <w:r>
        <w:rPr>
          <w:sz w:val="20"/>
        </w:rPr>
        <w:t>. 31:</w:t>
      </w:r>
      <w:r>
        <w:rPr>
          <w:spacing w:val="1"/>
          <w:sz w:val="20"/>
        </w:rPr>
        <w:t xml:space="preserve"> </w:t>
      </w:r>
      <w:r>
        <w:rPr>
          <w:sz w:val="20"/>
        </w:rPr>
        <w:t>553-557.</w:t>
      </w:r>
    </w:p>
    <w:p w:rsidR="00A43496" w:rsidRDefault="00A43496" w:rsidP="00EB3B4A">
      <w:pPr>
        <w:pStyle w:val="ListParagraph"/>
        <w:numPr>
          <w:ilvl w:val="0"/>
          <w:numId w:val="4"/>
        </w:numPr>
        <w:tabs>
          <w:tab w:val="left" w:pos="588"/>
        </w:tabs>
        <w:spacing w:before="3" w:line="237" w:lineRule="auto"/>
        <w:ind w:right="145"/>
        <w:rPr>
          <w:rFonts w:ascii="Calibri"/>
          <w:sz w:val="20"/>
        </w:rPr>
      </w:pPr>
      <w:r>
        <w:rPr>
          <w:sz w:val="20"/>
        </w:rPr>
        <w:t xml:space="preserve">Arvind, </w:t>
      </w:r>
      <w:r>
        <w:rPr>
          <w:spacing w:val="-3"/>
          <w:sz w:val="20"/>
        </w:rPr>
        <w:t xml:space="preserve">R. </w:t>
      </w:r>
      <w:r>
        <w:rPr>
          <w:spacing w:val="-4"/>
          <w:sz w:val="20"/>
        </w:rPr>
        <w:t xml:space="preserve">H. </w:t>
      </w:r>
      <w:r>
        <w:rPr>
          <w:sz w:val="20"/>
        </w:rPr>
        <w:t xml:space="preserve">and Suchetha, </w:t>
      </w:r>
      <w:r>
        <w:rPr>
          <w:spacing w:val="-4"/>
          <w:sz w:val="20"/>
        </w:rPr>
        <w:t xml:space="preserve">K. </w:t>
      </w:r>
      <w:r>
        <w:rPr>
          <w:sz w:val="20"/>
        </w:rPr>
        <w:t xml:space="preserve">(2013). Altered </w:t>
      </w:r>
      <w:r>
        <w:rPr>
          <w:spacing w:val="-2"/>
          <w:sz w:val="20"/>
        </w:rPr>
        <w:t xml:space="preserve">Levels </w:t>
      </w:r>
      <w:r>
        <w:rPr>
          <w:sz w:val="20"/>
        </w:rPr>
        <w:t>of Ceruloplasmin, Glutathione, Beta-</w:t>
      </w:r>
      <w:r w:rsidRPr="005D7D58">
        <w:rPr>
          <w:sz w:val="20"/>
        </w:rPr>
        <w:t xml:space="preserve"> </w:t>
      </w:r>
      <w:r>
        <w:rPr>
          <w:sz w:val="20"/>
        </w:rPr>
        <w:t xml:space="preserve">Carotene in the </w:t>
      </w:r>
      <w:r>
        <w:rPr>
          <w:spacing w:val="-3"/>
          <w:sz w:val="20"/>
        </w:rPr>
        <w:t xml:space="preserve">Serum of </w:t>
      </w:r>
      <w:r>
        <w:rPr>
          <w:sz w:val="20"/>
        </w:rPr>
        <w:t xml:space="preserve">Chronic Cigarette Smokers </w:t>
      </w:r>
      <w:r>
        <w:rPr>
          <w:spacing w:val="-3"/>
          <w:sz w:val="20"/>
        </w:rPr>
        <w:t xml:space="preserve">In </w:t>
      </w:r>
      <w:r>
        <w:rPr>
          <w:sz w:val="20"/>
        </w:rPr>
        <w:t xml:space="preserve">Comparison </w:t>
      </w:r>
      <w:r>
        <w:rPr>
          <w:spacing w:val="-3"/>
          <w:sz w:val="20"/>
        </w:rPr>
        <w:t xml:space="preserve">With </w:t>
      </w:r>
      <w:r>
        <w:rPr>
          <w:sz w:val="20"/>
        </w:rPr>
        <w:t xml:space="preserve">Non-Smokers. </w:t>
      </w:r>
      <w:r>
        <w:rPr>
          <w:i/>
          <w:sz w:val="20"/>
        </w:rPr>
        <w:t xml:space="preserve">J. PBCS. </w:t>
      </w:r>
      <w:r>
        <w:rPr>
          <w:sz w:val="20"/>
        </w:rPr>
        <w:t>4(3):</w:t>
      </w:r>
      <w:r>
        <w:rPr>
          <w:spacing w:val="-3"/>
          <w:sz w:val="20"/>
        </w:rPr>
        <w:t xml:space="preserve"> </w:t>
      </w:r>
      <w:r>
        <w:rPr>
          <w:sz w:val="20"/>
        </w:rPr>
        <w:t>15-21.</w:t>
      </w:r>
    </w:p>
    <w:p w:rsidR="00A43496" w:rsidRPr="00935CF9" w:rsidRDefault="00A43496" w:rsidP="00935CF9">
      <w:pPr>
        <w:pStyle w:val="Heading1"/>
        <w:keepNext/>
        <w:numPr>
          <w:ilvl w:val="0"/>
          <w:numId w:val="4"/>
        </w:numPr>
        <w:shd w:val="clear" w:color="auto" w:fill="FFFFFF"/>
        <w:spacing w:before="0" w:after="101"/>
        <w:jc w:val="lowKashida"/>
        <w:textAlignment w:val="baseline"/>
        <w:rPr>
          <w:b w:val="0"/>
          <w:bCs w:val="0"/>
          <w:color w:val="000000"/>
          <w:lang w:val="de-DE"/>
        </w:rPr>
        <w:sectPr w:rsidR="00A43496" w:rsidRPr="00935CF9">
          <w:type w:val="continuous"/>
          <w:pgSz w:w="12240" w:h="15840"/>
          <w:pgMar w:top="1020" w:right="1280" w:bottom="920" w:left="1280" w:header="720" w:footer="720" w:gutter="0"/>
          <w:cols w:num="2" w:space="720" w:equalWidth="0">
            <w:col w:w="4551" w:space="432"/>
            <w:col w:w="4697"/>
          </w:cols>
        </w:sectPr>
      </w:pPr>
      <w:r w:rsidRPr="00935CF9">
        <w:rPr>
          <w:b w:val="0"/>
          <w:bCs w:val="0"/>
          <w:shd w:val="clear" w:color="auto" w:fill="FFFFFF"/>
        </w:rPr>
        <w:t>Finkelstein R, Fraser RS, Ghezzo H, Cosio MG (1995). Alveolar inflammation and its relation to emphysema in smokers.</w:t>
      </w:r>
      <w:r w:rsidRPr="00935CF9">
        <w:rPr>
          <w:b w:val="0"/>
          <w:bCs w:val="0"/>
        </w:rPr>
        <w:t> </w:t>
      </w:r>
      <w:r w:rsidRPr="00935CF9">
        <w:rPr>
          <w:b w:val="0"/>
          <w:bCs w:val="0"/>
          <w:i/>
          <w:iCs/>
        </w:rPr>
        <w:t>Am J Respir Crit Care Med</w:t>
      </w:r>
      <w:r w:rsidRPr="00935CF9">
        <w:rPr>
          <w:b w:val="0"/>
          <w:bCs w:val="0"/>
        </w:rPr>
        <w:t>. </w:t>
      </w:r>
      <w:r w:rsidRPr="00935CF9">
        <w:rPr>
          <w:b w:val="0"/>
          <w:bCs w:val="0"/>
          <w:shd w:val="clear" w:color="auto" w:fill="FFFFFF"/>
        </w:rPr>
        <w:t>;</w:t>
      </w:r>
      <w:r w:rsidRPr="00935CF9">
        <w:rPr>
          <w:b w:val="0"/>
          <w:bCs w:val="0"/>
        </w:rPr>
        <w:t>152(9)</w:t>
      </w:r>
      <w:r w:rsidRPr="00935CF9">
        <w:rPr>
          <w:b w:val="0"/>
          <w:bCs w:val="0"/>
          <w:shd w:val="clear" w:color="auto" w:fill="FFFFFF"/>
        </w:rPr>
        <w:t>:1666–72</w:t>
      </w:r>
    </w:p>
    <w:p w:rsidR="00A43496" w:rsidRPr="00935CF9" w:rsidRDefault="00A43496" w:rsidP="00935CF9">
      <w:pPr>
        <w:pStyle w:val="BodyText"/>
        <w:spacing w:before="1"/>
        <w:ind w:left="0"/>
        <w:jc w:val="left"/>
      </w:pPr>
    </w:p>
    <w:sectPr w:rsidR="00A43496" w:rsidRPr="00935CF9" w:rsidSect="00DD32DC">
      <w:type w:val="continuous"/>
      <w:pgSz w:w="12240" w:h="15840"/>
      <w:pgMar w:top="1020" w:right="1280" w:bottom="920" w:left="12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496" w:rsidRDefault="00A43496" w:rsidP="00DD32DC">
      <w:r>
        <w:separator/>
      </w:r>
    </w:p>
  </w:endnote>
  <w:endnote w:type="continuationSeparator" w:id="0">
    <w:p w:rsidR="00A43496" w:rsidRDefault="00A43496" w:rsidP="00DD3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96" w:rsidRDefault="00A43496">
    <w:pPr>
      <w:pStyle w:val="BodyText"/>
      <w:spacing w:line="14" w:lineRule="auto"/>
      <w:ind w:left="0"/>
      <w:jc w:val="left"/>
    </w:pPr>
    <w:r>
      <w:rPr>
        <w:noProof/>
      </w:rPr>
      <w:pict>
        <v:shapetype id="_x0000_t202" coordsize="21600,21600" o:spt="202" path="m,l,21600r21600,l21600,xe">
          <v:stroke joinstyle="miter"/>
          <v:path gradientshapeok="t" o:connecttype="rect"/>
        </v:shapetype>
        <v:shape id="_x0000_s2053" type="#_x0000_t202" style="position:absolute;margin-left:298.95pt;margin-top:744.5pt;width:14.1pt;height:12.1pt;z-index:-251660800;mso-position-horizontal-relative:page;mso-position-vertical-relative:page" filled="f" stroked="f">
          <v:textbox inset="0,0,0,0">
            <w:txbxContent>
              <w:p w:rsidR="00A43496" w:rsidRDefault="00A43496">
                <w:pPr>
                  <w:pStyle w:val="BodyText"/>
                  <w:spacing w:line="225" w:lineRule="exact"/>
                  <w:ind w:left="40"/>
                  <w:jc w:val="left"/>
                </w:pPr>
                <w:fldSimple w:instr=" PAGE ">
                  <w:r>
                    <w:rPr>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496" w:rsidRDefault="00A43496" w:rsidP="00DD32DC">
      <w:r>
        <w:separator/>
      </w:r>
    </w:p>
  </w:footnote>
  <w:footnote w:type="continuationSeparator" w:id="0">
    <w:p w:rsidR="00A43496" w:rsidRDefault="00A43496" w:rsidP="00DD3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96" w:rsidRDefault="00A43496" w:rsidP="00935CF9">
    <w:pPr>
      <w:pStyle w:val="BodyText"/>
      <w:spacing w:line="14" w:lineRule="auto"/>
      <w:ind w:left="0"/>
      <w:jc w:val="left"/>
    </w:pPr>
    <w:r>
      <w:rPr>
        <w:noProof/>
      </w:rPr>
      <w:pict>
        <v:line id="_x0000_s2049" style="position:absolute;z-index:-251659776;mso-position-horizontal-relative:page;mso-position-vertical-relative:page" from="70.55pt,49.45pt" to="541.45pt,49.45pt" strokeweight="1.44pt">
          <w10:wrap anchorx="page" anchory="page"/>
        </v:line>
      </w:pict>
    </w:r>
    <w:r>
      <w:rPr>
        <w:noProof/>
      </w:rPr>
      <w:pict>
        <v:line id="_x0000_s2050" style="position:absolute;z-index:-251658752;mso-position-horizontal-relative:page;mso-position-vertical-relative:page" from="70.55pt,51.25pt" to="541.45pt,51.25pt" strokeweight=".72pt">
          <w10:wrap anchorx="page" anchory="page"/>
        </v:line>
      </w:pict>
    </w:r>
    <w:r>
      <w:rPr>
        <w:noProof/>
      </w:rPr>
      <w:pict>
        <v:shapetype id="_x0000_t202" coordsize="21600,21600" o:spt="202" path="m,l,21600r21600,l21600,xe">
          <v:stroke joinstyle="miter"/>
          <v:path gradientshapeok="t" o:connecttype="rect"/>
        </v:shapetype>
        <v:shape id="_x0000_s2051" type="#_x0000_t202" style="position:absolute;margin-left:113.5pt;margin-top:36pt;width:151.55pt;height:12.1pt;z-index:-251657728;mso-position-horizontal-relative:page;mso-position-vertical-relative:page" filled="f" stroked="f">
          <v:textbox inset="0,0,0,0">
            <w:txbxContent>
              <w:p w:rsidR="00A43496" w:rsidRDefault="00A43496" w:rsidP="00935CF9">
                <w:pPr>
                  <w:pStyle w:val="BodyText"/>
                  <w:spacing w:line="225" w:lineRule="exact"/>
                  <w:ind w:left="20"/>
                  <w:jc w:val="left"/>
                </w:pPr>
                <w:smartTag w:uri="urn:schemas-microsoft-com:office:smarttags" w:element="State">
                  <w:smartTag w:uri="urn:schemas-microsoft-com:office:smarttags" w:element="place">
                    <w:r>
                      <w:t>New York</w:t>
                    </w:r>
                  </w:smartTag>
                </w:smartTag>
                <w:r>
                  <w:t xml:space="preserve"> Science Journal 2016;9(7)</w:t>
                </w:r>
              </w:p>
            </w:txbxContent>
          </v:textbox>
          <w10:wrap anchorx="page" anchory="page"/>
        </v:shape>
      </w:pict>
    </w:r>
    <w:r>
      <w:rPr>
        <w:noProof/>
      </w:rPr>
      <w:pict>
        <v:shape id="_x0000_s2052" type="#_x0000_t202" style="position:absolute;margin-left:344.1pt;margin-top:36pt;width:147pt;height:12.1pt;z-index:-251656704;mso-position-horizontal-relative:page;mso-position-vertical-relative:page" filled="f" stroked="f">
          <v:textbox inset="0,0,0,0">
            <w:txbxContent>
              <w:p w:rsidR="00A43496" w:rsidRDefault="00A43496" w:rsidP="00935CF9">
                <w:pPr>
                  <w:pStyle w:val="BodyText"/>
                  <w:spacing w:line="225" w:lineRule="exact"/>
                  <w:ind w:left="20"/>
                  <w:jc w:val="left"/>
                </w:pPr>
                <w:hyperlink r:id="rId1">
                  <w:r>
                    <w:rPr>
                      <w:color w:val="0000FF"/>
                      <w:u w:val="single" w:color="0000FF"/>
                    </w:rPr>
                    <w:t>http://www.sciencepub.net/newyork</w:t>
                  </w:r>
                </w:hyperlink>
              </w:p>
            </w:txbxContent>
          </v:textbox>
          <w10:wrap anchorx="page" anchory="page"/>
        </v:shape>
      </w:pict>
    </w:r>
  </w:p>
  <w:p w:rsidR="00A43496" w:rsidRDefault="00A434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75639"/>
    <w:multiLevelType w:val="hybridMultilevel"/>
    <w:tmpl w:val="DF5687EC"/>
    <w:lvl w:ilvl="0" w:tplc="13562988">
      <w:start w:val="1"/>
      <w:numFmt w:val="decimal"/>
      <w:lvlText w:val="%1."/>
      <w:lvlJc w:val="left"/>
      <w:pPr>
        <w:tabs>
          <w:tab w:val="num" w:pos="360"/>
        </w:tabs>
        <w:ind w:left="360" w:hanging="360"/>
      </w:pPr>
      <w:rPr>
        <w:rFonts w:cs="Times New Roman" w:hint="default"/>
        <w:i w:val="0"/>
        <w:i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2474617"/>
    <w:multiLevelType w:val="hybridMultilevel"/>
    <w:tmpl w:val="623C23A2"/>
    <w:lvl w:ilvl="0" w:tplc="F430642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20C2381"/>
    <w:multiLevelType w:val="hybridMultilevel"/>
    <w:tmpl w:val="FFFFFFFF"/>
    <w:lvl w:ilvl="0" w:tplc="845E7600">
      <w:start w:val="1"/>
      <w:numFmt w:val="decimal"/>
      <w:lvlText w:val="%1."/>
      <w:lvlJc w:val="left"/>
      <w:pPr>
        <w:ind w:left="582" w:hanging="423"/>
      </w:pPr>
      <w:rPr>
        <w:rFonts w:cs="Times New Roman" w:hint="default"/>
        <w:w w:val="100"/>
      </w:rPr>
    </w:lvl>
    <w:lvl w:ilvl="1" w:tplc="38F45CF6">
      <w:numFmt w:val="bullet"/>
      <w:lvlText w:val="•"/>
      <w:lvlJc w:val="left"/>
      <w:pPr>
        <w:ind w:left="991" w:hanging="423"/>
      </w:pPr>
      <w:rPr>
        <w:rFonts w:hint="default"/>
      </w:rPr>
    </w:lvl>
    <w:lvl w:ilvl="2" w:tplc="B4A6D798">
      <w:numFmt w:val="bullet"/>
      <w:lvlText w:val="•"/>
      <w:lvlJc w:val="left"/>
      <w:pPr>
        <w:ind w:left="1403" w:hanging="423"/>
      </w:pPr>
      <w:rPr>
        <w:rFonts w:hint="default"/>
      </w:rPr>
    </w:lvl>
    <w:lvl w:ilvl="3" w:tplc="84FAE3C4">
      <w:numFmt w:val="bullet"/>
      <w:lvlText w:val="•"/>
      <w:lvlJc w:val="left"/>
      <w:pPr>
        <w:ind w:left="1815" w:hanging="423"/>
      </w:pPr>
      <w:rPr>
        <w:rFonts w:hint="default"/>
      </w:rPr>
    </w:lvl>
    <w:lvl w:ilvl="4" w:tplc="7CCE9168">
      <w:numFmt w:val="bullet"/>
      <w:lvlText w:val="•"/>
      <w:lvlJc w:val="left"/>
      <w:pPr>
        <w:ind w:left="2227" w:hanging="423"/>
      </w:pPr>
      <w:rPr>
        <w:rFonts w:hint="default"/>
      </w:rPr>
    </w:lvl>
    <w:lvl w:ilvl="5" w:tplc="E26CE3D6">
      <w:numFmt w:val="bullet"/>
      <w:lvlText w:val="•"/>
      <w:lvlJc w:val="left"/>
      <w:pPr>
        <w:ind w:left="2638" w:hanging="423"/>
      </w:pPr>
      <w:rPr>
        <w:rFonts w:hint="default"/>
      </w:rPr>
    </w:lvl>
    <w:lvl w:ilvl="6" w:tplc="0C0A5886">
      <w:numFmt w:val="bullet"/>
      <w:lvlText w:val="•"/>
      <w:lvlJc w:val="left"/>
      <w:pPr>
        <w:ind w:left="3050" w:hanging="423"/>
      </w:pPr>
      <w:rPr>
        <w:rFonts w:hint="default"/>
      </w:rPr>
    </w:lvl>
    <w:lvl w:ilvl="7" w:tplc="9FAC34EE">
      <w:numFmt w:val="bullet"/>
      <w:lvlText w:val="•"/>
      <w:lvlJc w:val="left"/>
      <w:pPr>
        <w:ind w:left="3462" w:hanging="423"/>
      </w:pPr>
      <w:rPr>
        <w:rFonts w:hint="default"/>
      </w:rPr>
    </w:lvl>
    <w:lvl w:ilvl="8" w:tplc="FF261876">
      <w:numFmt w:val="bullet"/>
      <w:lvlText w:val="•"/>
      <w:lvlJc w:val="left"/>
      <w:pPr>
        <w:ind w:left="3874" w:hanging="423"/>
      </w:pPr>
      <w:rPr>
        <w:rFonts w:hint="default"/>
      </w:rPr>
    </w:lvl>
  </w:abstractNum>
  <w:abstractNum w:abstractNumId="3">
    <w:nsid w:val="6DBA52D8"/>
    <w:multiLevelType w:val="hybridMultilevel"/>
    <w:tmpl w:val="FFFFFFFF"/>
    <w:lvl w:ilvl="0" w:tplc="FAB48032">
      <w:start w:val="1"/>
      <w:numFmt w:val="decimal"/>
      <w:lvlText w:val="%1."/>
      <w:lvlJc w:val="left"/>
      <w:pPr>
        <w:ind w:left="160" w:hanging="154"/>
      </w:pPr>
      <w:rPr>
        <w:rFonts w:ascii="Times New Roman" w:eastAsia="Times New Roman" w:hAnsi="Times New Roman" w:cs="Times New Roman" w:hint="default"/>
        <w:b/>
        <w:bCs/>
        <w:w w:val="100"/>
        <w:sz w:val="20"/>
        <w:szCs w:val="20"/>
      </w:rPr>
    </w:lvl>
    <w:lvl w:ilvl="1" w:tplc="9FD054C4">
      <w:numFmt w:val="bullet"/>
      <w:lvlText w:val="•"/>
      <w:lvlJc w:val="left"/>
      <w:pPr>
        <w:ind w:left="598" w:hanging="154"/>
      </w:pPr>
      <w:rPr>
        <w:rFonts w:hint="default"/>
      </w:rPr>
    </w:lvl>
    <w:lvl w:ilvl="2" w:tplc="646C0D54">
      <w:numFmt w:val="bullet"/>
      <w:lvlText w:val="•"/>
      <w:lvlJc w:val="left"/>
      <w:pPr>
        <w:ind w:left="1037" w:hanging="154"/>
      </w:pPr>
      <w:rPr>
        <w:rFonts w:hint="default"/>
      </w:rPr>
    </w:lvl>
    <w:lvl w:ilvl="3" w:tplc="AE268956">
      <w:numFmt w:val="bullet"/>
      <w:lvlText w:val="•"/>
      <w:lvlJc w:val="left"/>
      <w:pPr>
        <w:ind w:left="1476" w:hanging="154"/>
      </w:pPr>
      <w:rPr>
        <w:rFonts w:hint="default"/>
      </w:rPr>
    </w:lvl>
    <w:lvl w:ilvl="4" w:tplc="1688D3D0">
      <w:numFmt w:val="bullet"/>
      <w:lvlText w:val="•"/>
      <w:lvlJc w:val="left"/>
      <w:pPr>
        <w:ind w:left="1915" w:hanging="154"/>
      </w:pPr>
      <w:rPr>
        <w:rFonts w:hint="default"/>
      </w:rPr>
    </w:lvl>
    <w:lvl w:ilvl="5" w:tplc="83A03354">
      <w:numFmt w:val="bullet"/>
      <w:lvlText w:val="•"/>
      <w:lvlJc w:val="left"/>
      <w:pPr>
        <w:ind w:left="2354" w:hanging="154"/>
      </w:pPr>
      <w:rPr>
        <w:rFonts w:hint="default"/>
      </w:rPr>
    </w:lvl>
    <w:lvl w:ilvl="6" w:tplc="6616C7B8">
      <w:numFmt w:val="bullet"/>
      <w:lvlText w:val="•"/>
      <w:lvlJc w:val="left"/>
      <w:pPr>
        <w:ind w:left="2793" w:hanging="154"/>
      </w:pPr>
      <w:rPr>
        <w:rFonts w:hint="default"/>
      </w:rPr>
    </w:lvl>
    <w:lvl w:ilvl="7" w:tplc="7C2ADE6C">
      <w:numFmt w:val="bullet"/>
      <w:lvlText w:val="•"/>
      <w:lvlJc w:val="left"/>
      <w:pPr>
        <w:ind w:left="3232" w:hanging="154"/>
      </w:pPr>
      <w:rPr>
        <w:rFonts w:hint="default"/>
      </w:rPr>
    </w:lvl>
    <w:lvl w:ilvl="8" w:tplc="58F4EA08">
      <w:numFmt w:val="bullet"/>
      <w:lvlText w:val="•"/>
      <w:lvlJc w:val="left"/>
      <w:pPr>
        <w:ind w:left="3671" w:hanging="154"/>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32DC"/>
    <w:rsid w:val="000224A2"/>
    <w:rsid w:val="0004550B"/>
    <w:rsid w:val="000564A7"/>
    <w:rsid w:val="00056DAE"/>
    <w:rsid w:val="00096C40"/>
    <w:rsid w:val="000A7FA4"/>
    <w:rsid w:val="000B3404"/>
    <w:rsid w:val="000B5343"/>
    <w:rsid w:val="000C67D5"/>
    <w:rsid w:val="000C76EE"/>
    <w:rsid w:val="000D482E"/>
    <w:rsid w:val="000F0244"/>
    <w:rsid w:val="00101944"/>
    <w:rsid w:val="0016739F"/>
    <w:rsid w:val="001C2DC8"/>
    <w:rsid w:val="001D677E"/>
    <w:rsid w:val="00200691"/>
    <w:rsid w:val="002061E4"/>
    <w:rsid w:val="002067A3"/>
    <w:rsid w:val="002303FC"/>
    <w:rsid w:val="0024304C"/>
    <w:rsid w:val="00247329"/>
    <w:rsid w:val="002D6375"/>
    <w:rsid w:val="00304D33"/>
    <w:rsid w:val="0037416E"/>
    <w:rsid w:val="003E54EA"/>
    <w:rsid w:val="00425D3E"/>
    <w:rsid w:val="0043123C"/>
    <w:rsid w:val="004468F9"/>
    <w:rsid w:val="0049341B"/>
    <w:rsid w:val="004F15CD"/>
    <w:rsid w:val="00533F31"/>
    <w:rsid w:val="00544A3B"/>
    <w:rsid w:val="00556554"/>
    <w:rsid w:val="00594283"/>
    <w:rsid w:val="005D7D58"/>
    <w:rsid w:val="005E0CAF"/>
    <w:rsid w:val="005E17D6"/>
    <w:rsid w:val="005F3528"/>
    <w:rsid w:val="00656077"/>
    <w:rsid w:val="006937F5"/>
    <w:rsid w:val="006F3D44"/>
    <w:rsid w:val="00722723"/>
    <w:rsid w:val="00764E08"/>
    <w:rsid w:val="00767715"/>
    <w:rsid w:val="007A665B"/>
    <w:rsid w:val="007B169B"/>
    <w:rsid w:val="007D0181"/>
    <w:rsid w:val="007F0D2B"/>
    <w:rsid w:val="008011CE"/>
    <w:rsid w:val="008227EB"/>
    <w:rsid w:val="008504D2"/>
    <w:rsid w:val="008571DF"/>
    <w:rsid w:val="008947DF"/>
    <w:rsid w:val="008A203A"/>
    <w:rsid w:val="008B5728"/>
    <w:rsid w:val="008C6DA8"/>
    <w:rsid w:val="008D6BA7"/>
    <w:rsid w:val="008E3F6C"/>
    <w:rsid w:val="009338FE"/>
    <w:rsid w:val="00935CF9"/>
    <w:rsid w:val="0095749A"/>
    <w:rsid w:val="00967FDA"/>
    <w:rsid w:val="009A6FB6"/>
    <w:rsid w:val="009B758D"/>
    <w:rsid w:val="009C3C4F"/>
    <w:rsid w:val="009E1831"/>
    <w:rsid w:val="009F4F44"/>
    <w:rsid w:val="00A16888"/>
    <w:rsid w:val="00A34FE3"/>
    <w:rsid w:val="00A43496"/>
    <w:rsid w:val="00A5387A"/>
    <w:rsid w:val="00A57D0A"/>
    <w:rsid w:val="00A71BE5"/>
    <w:rsid w:val="00AD5523"/>
    <w:rsid w:val="00AF638B"/>
    <w:rsid w:val="00B32473"/>
    <w:rsid w:val="00B81351"/>
    <w:rsid w:val="00B96EE3"/>
    <w:rsid w:val="00BA35EA"/>
    <w:rsid w:val="00C37AAE"/>
    <w:rsid w:val="00C44E0B"/>
    <w:rsid w:val="00C6285B"/>
    <w:rsid w:val="00C91BEB"/>
    <w:rsid w:val="00C9331A"/>
    <w:rsid w:val="00CA5D12"/>
    <w:rsid w:val="00CB6AEA"/>
    <w:rsid w:val="00CE5F99"/>
    <w:rsid w:val="00CF0A48"/>
    <w:rsid w:val="00D243EC"/>
    <w:rsid w:val="00D47909"/>
    <w:rsid w:val="00D75415"/>
    <w:rsid w:val="00D96AA0"/>
    <w:rsid w:val="00DA1B3C"/>
    <w:rsid w:val="00DC2DA8"/>
    <w:rsid w:val="00DD32DC"/>
    <w:rsid w:val="00DF2481"/>
    <w:rsid w:val="00E06F59"/>
    <w:rsid w:val="00E94F7F"/>
    <w:rsid w:val="00E96736"/>
    <w:rsid w:val="00EB3B4A"/>
    <w:rsid w:val="00EE0DD2"/>
    <w:rsid w:val="00F21DFA"/>
    <w:rsid w:val="00F57285"/>
    <w:rsid w:val="00F575E2"/>
    <w:rsid w:val="00F71D0F"/>
    <w:rsid w:val="00F81DE6"/>
    <w:rsid w:val="00FA5E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2DC"/>
    <w:pPr>
      <w:widowControl w:val="0"/>
    </w:pPr>
    <w:rPr>
      <w:rFonts w:ascii="Times New Roman" w:eastAsia="Times New Roman" w:hAnsi="Times New Roman" w:cs="Times New Roman"/>
    </w:rPr>
  </w:style>
  <w:style w:type="paragraph" w:styleId="Heading1">
    <w:name w:val="heading 1"/>
    <w:basedOn w:val="Normal"/>
    <w:link w:val="Heading1Char"/>
    <w:uiPriority w:val="99"/>
    <w:qFormat/>
    <w:rsid w:val="00DD32DC"/>
    <w:pPr>
      <w:spacing w:before="76"/>
      <w:ind w:left="160"/>
      <w:outlineLvl w:val="0"/>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0CAF"/>
    <w:rPr>
      <w:rFonts w:ascii="Cambria" w:hAnsi="Cambria" w:cs="Times New Roman"/>
      <w:b/>
      <w:bCs/>
      <w:kern w:val="32"/>
      <w:sz w:val="32"/>
      <w:szCs w:val="32"/>
    </w:rPr>
  </w:style>
  <w:style w:type="paragraph" w:styleId="BodyText">
    <w:name w:val="Body Text"/>
    <w:basedOn w:val="Normal"/>
    <w:link w:val="BodyTextChar"/>
    <w:uiPriority w:val="99"/>
    <w:rsid w:val="00DD32DC"/>
    <w:pPr>
      <w:ind w:left="582"/>
      <w:jc w:val="both"/>
    </w:pPr>
    <w:rPr>
      <w:sz w:val="20"/>
      <w:szCs w:val="20"/>
    </w:rPr>
  </w:style>
  <w:style w:type="character" w:customStyle="1" w:styleId="BodyTextChar">
    <w:name w:val="Body Text Char"/>
    <w:basedOn w:val="DefaultParagraphFont"/>
    <w:link w:val="BodyText"/>
    <w:uiPriority w:val="99"/>
    <w:semiHidden/>
    <w:locked/>
    <w:rsid w:val="005E0CAF"/>
    <w:rPr>
      <w:rFonts w:ascii="Times New Roman" w:hAnsi="Times New Roman" w:cs="Times New Roman"/>
    </w:rPr>
  </w:style>
  <w:style w:type="paragraph" w:styleId="ListParagraph">
    <w:name w:val="List Paragraph"/>
    <w:basedOn w:val="Normal"/>
    <w:uiPriority w:val="99"/>
    <w:qFormat/>
    <w:rsid w:val="00DD32DC"/>
    <w:pPr>
      <w:ind w:left="582" w:right="1" w:hanging="422"/>
      <w:jc w:val="both"/>
    </w:pPr>
  </w:style>
  <w:style w:type="paragraph" w:customStyle="1" w:styleId="TableParagraph">
    <w:name w:val="Table Paragraph"/>
    <w:basedOn w:val="Normal"/>
    <w:uiPriority w:val="99"/>
    <w:rsid w:val="00DD32DC"/>
    <w:pPr>
      <w:spacing w:line="221" w:lineRule="exact"/>
      <w:ind w:left="105"/>
    </w:pPr>
  </w:style>
  <w:style w:type="paragraph" w:styleId="Header">
    <w:name w:val="header"/>
    <w:basedOn w:val="Normal"/>
    <w:link w:val="HeaderChar"/>
    <w:uiPriority w:val="99"/>
    <w:rsid w:val="00935CF9"/>
    <w:pPr>
      <w:tabs>
        <w:tab w:val="center" w:pos="4153"/>
        <w:tab w:val="right" w:pos="8306"/>
      </w:tabs>
    </w:pPr>
  </w:style>
  <w:style w:type="character" w:customStyle="1" w:styleId="HeaderChar">
    <w:name w:val="Header Char"/>
    <w:basedOn w:val="DefaultParagraphFont"/>
    <w:link w:val="Header"/>
    <w:uiPriority w:val="99"/>
    <w:semiHidden/>
    <w:locked/>
    <w:rsid w:val="008B5728"/>
    <w:rPr>
      <w:rFonts w:ascii="Times New Roman" w:hAnsi="Times New Roman" w:cs="Times New Roman"/>
    </w:rPr>
  </w:style>
  <w:style w:type="paragraph" w:styleId="Footer">
    <w:name w:val="footer"/>
    <w:basedOn w:val="Normal"/>
    <w:link w:val="FooterChar"/>
    <w:uiPriority w:val="99"/>
    <w:rsid w:val="00935CF9"/>
    <w:pPr>
      <w:tabs>
        <w:tab w:val="center" w:pos="4153"/>
        <w:tab w:val="right" w:pos="8306"/>
      </w:tabs>
    </w:pPr>
  </w:style>
  <w:style w:type="character" w:customStyle="1" w:styleId="FooterChar">
    <w:name w:val="Footer Char"/>
    <w:basedOn w:val="DefaultParagraphFont"/>
    <w:link w:val="Footer"/>
    <w:uiPriority w:val="99"/>
    <w:semiHidden/>
    <w:locked/>
    <w:rsid w:val="008B5728"/>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3" Type="http://schemas.openxmlformats.org/officeDocument/2006/relationships/settings" Target="settings.xml"/><Relationship Id="rId7" Type="http://schemas.openxmlformats.org/officeDocument/2006/relationships/hyperlink" Target="mailto:bbushra88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1170</TotalTime>
  <Pages>6</Pages>
  <Words>3570</Words>
  <Characters>20351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ahmed</cp:lastModifiedBy>
  <cp:revision>11</cp:revision>
  <dcterms:created xsi:type="dcterms:W3CDTF">2016-08-21T18:49:00Z</dcterms:created>
  <dcterms:modified xsi:type="dcterms:W3CDTF">2016-08-31T21:01:00Z</dcterms:modified>
</cp:coreProperties>
</file>