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B2" w:rsidRPr="007045BC" w:rsidRDefault="00F133B2" w:rsidP="007045BC">
      <w:pPr>
        <w:autoSpaceDE w:val="0"/>
        <w:autoSpaceDN w:val="0"/>
        <w:adjustRightInd w:val="0"/>
        <w:snapToGrid w:val="0"/>
        <w:jc w:val="center"/>
        <w:rPr>
          <w:b/>
          <w:sz w:val="20"/>
          <w:szCs w:val="20"/>
        </w:rPr>
      </w:pPr>
      <w:r w:rsidRPr="007045BC">
        <w:rPr>
          <w:b/>
          <w:sz w:val="20"/>
          <w:szCs w:val="20"/>
        </w:rPr>
        <w:t>Potassium ferrate (K</w:t>
      </w:r>
      <w:r w:rsidRPr="007045BC">
        <w:rPr>
          <w:b/>
          <w:sz w:val="20"/>
          <w:szCs w:val="20"/>
          <w:vertAlign w:val="subscript"/>
        </w:rPr>
        <w:t>2</w:t>
      </w:r>
      <w:r w:rsidRPr="007045BC">
        <w:rPr>
          <w:b/>
          <w:sz w:val="20"/>
          <w:szCs w:val="20"/>
        </w:rPr>
        <w:t>FeO</w:t>
      </w:r>
      <w:r w:rsidRPr="007045BC">
        <w:rPr>
          <w:b/>
          <w:sz w:val="20"/>
          <w:szCs w:val="20"/>
          <w:vertAlign w:val="subscript"/>
        </w:rPr>
        <w:t>4</w:t>
      </w:r>
      <w:r w:rsidRPr="007045BC">
        <w:rPr>
          <w:b/>
          <w:sz w:val="20"/>
          <w:szCs w:val="20"/>
        </w:rPr>
        <w:t xml:space="preserve">) oxidation of Landfill </w:t>
      </w:r>
      <w:proofErr w:type="spellStart"/>
      <w:r w:rsidRPr="007045BC">
        <w:rPr>
          <w:b/>
          <w:sz w:val="20"/>
          <w:szCs w:val="20"/>
        </w:rPr>
        <w:t>Leachate</w:t>
      </w:r>
      <w:proofErr w:type="spellEnd"/>
      <w:r w:rsidRPr="007045BC">
        <w:rPr>
          <w:b/>
          <w:sz w:val="20"/>
          <w:szCs w:val="20"/>
        </w:rPr>
        <w:t xml:space="preserve"> and Sewage: Removal of COD and BOD</w:t>
      </w:r>
    </w:p>
    <w:p w:rsidR="00480715" w:rsidRPr="007045BC" w:rsidRDefault="00480715" w:rsidP="007045BC">
      <w:pPr>
        <w:snapToGrid w:val="0"/>
        <w:jc w:val="center"/>
        <w:rPr>
          <w:sz w:val="20"/>
          <w:szCs w:val="20"/>
          <w:lang w:eastAsia="zh-CN"/>
        </w:rPr>
      </w:pPr>
    </w:p>
    <w:p w:rsidR="00F133B2" w:rsidRPr="007045BC" w:rsidRDefault="00F133B2" w:rsidP="007045BC">
      <w:pPr>
        <w:autoSpaceDE w:val="0"/>
        <w:autoSpaceDN w:val="0"/>
        <w:adjustRightInd w:val="0"/>
        <w:snapToGrid w:val="0"/>
        <w:jc w:val="center"/>
        <w:rPr>
          <w:sz w:val="20"/>
          <w:szCs w:val="20"/>
          <w:lang w:eastAsia="zh-CN"/>
        </w:rPr>
      </w:pPr>
      <w:proofErr w:type="spellStart"/>
      <w:r w:rsidRPr="007045BC">
        <w:rPr>
          <w:sz w:val="20"/>
          <w:szCs w:val="20"/>
        </w:rPr>
        <w:t>Osu</w:t>
      </w:r>
      <w:proofErr w:type="spellEnd"/>
      <w:r w:rsidRPr="007045BC">
        <w:rPr>
          <w:sz w:val="20"/>
          <w:szCs w:val="20"/>
        </w:rPr>
        <w:t xml:space="preserve">, Charles I*. and </w:t>
      </w:r>
      <w:proofErr w:type="spellStart"/>
      <w:r w:rsidRPr="007045BC">
        <w:rPr>
          <w:sz w:val="20"/>
          <w:szCs w:val="20"/>
        </w:rPr>
        <w:t>Chukwu</w:t>
      </w:r>
      <w:proofErr w:type="spellEnd"/>
      <w:r w:rsidRPr="007045BC">
        <w:rPr>
          <w:sz w:val="20"/>
          <w:szCs w:val="20"/>
        </w:rPr>
        <w:t xml:space="preserve"> </w:t>
      </w:r>
      <w:proofErr w:type="spellStart"/>
      <w:r w:rsidRPr="007045BC">
        <w:rPr>
          <w:sz w:val="20"/>
          <w:szCs w:val="20"/>
        </w:rPr>
        <w:t>Uche</w:t>
      </w:r>
      <w:proofErr w:type="spellEnd"/>
      <w:r w:rsidRPr="007045BC">
        <w:rPr>
          <w:sz w:val="20"/>
          <w:szCs w:val="20"/>
        </w:rPr>
        <w:t xml:space="preserve"> J.</w:t>
      </w:r>
    </w:p>
    <w:p w:rsidR="007045BC" w:rsidRPr="007045BC" w:rsidRDefault="007045BC" w:rsidP="007045BC">
      <w:pPr>
        <w:autoSpaceDE w:val="0"/>
        <w:autoSpaceDN w:val="0"/>
        <w:adjustRightInd w:val="0"/>
        <w:snapToGrid w:val="0"/>
        <w:jc w:val="center"/>
        <w:rPr>
          <w:sz w:val="20"/>
          <w:szCs w:val="20"/>
          <w:lang w:eastAsia="zh-CN"/>
        </w:rPr>
      </w:pPr>
    </w:p>
    <w:p w:rsidR="00F133B2" w:rsidRPr="007045BC" w:rsidRDefault="00F133B2" w:rsidP="007045BC">
      <w:pPr>
        <w:autoSpaceDE w:val="0"/>
        <w:autoSpaceDN w:val="0"/>
        <w:adjustRightInd w:val="0"/>
        <w:snapToGrid w:val="0"/>
        <w:jc w:val="center"/>
        <w:rPr>
          <w:sz w:val="20"/>
          <w:szCs w:val="20"/>
        </w:rPr>
      </w:pPr>
      <w:r w:rsidRPr="007045BC">
        <w:rPr>
          <w:sz w:val="20"/>
          <w:szCs w:val="20"/>
        </w:rPr>
        <w:t>*Department of Pure and Industrial Chemistry, University of Port Harcourt, P.M.B 5323.</w:t>
      </w:r>
    </w:p>
    <w:p w:rsidR="00F133B2" w:rsidRPr="007045BC" w:rsidRDefault="00003A29" w:rsidP="007045BC">
      <w:pPr>
        <w:autoSpaceDE w:val="0"/>
        <w:autoSpaceDN w:val="0"/>
        <w:adjustRightInd w:val="0"/>
        <w:snapToGrid w:val="0"/>
        <w:jc w:val="center"/>
        <w:rPr>
          <w:sz w:val="20"/>
          <w:szCs w:val="20"/>
        </w:rPr>
      </w:pPr>
      <w:hyperlink r:id="rId8" w:history="1">
        <w:r w:rsidR="00F133B2" w:rsidRPr="007045BC">
          <w:rPr>
            <w:rStyle w:val="Hyperlink"/>
            <w:sz w:val="20"/>
            <w:szCs w:val="20"/>
          </w:rPr>
          <w:t>charsike@yahoo.com</w:t>
        </w:r>
      </w:hyperlink>
      <w:r w:rsidR="00F133B2" w:rsidRPr="007045BC">
        <w:rPr>
          <w:sz w:val="20"/>
          <w:szCs w:val="20"/>
        </w:rPr>
        <w:t>, +2348037783246</w:t>
      </w:r>
    </w:p>
    <w:p w:rsidR="00F133B2" w:rsidRPr="007045BC" w:rsidRDefault="00F133B2" w:rsidP="007045BC">
      <w:pPr>
        <w:autoSpaceDE w:val="0"/>
        <w:autoSpaceDN w:val="0"/>
        <w:adjustRightInd w:val="0"/>
        <w:snapToGrid w:val="0"/>
        <w:jc w:val="center"/>
        <w:rPr>
          <w:sz w:val="20"/>
          <w:szCs w:val="20"/>
        </w:rPr>
      </w:pPr>
      <w:r w:rsidRPr="007045BC">
        <w:rPr>
          <w:sz w:val="20"/>
          <w:szCs w:val="20"/>
        </w:rPr>
        <w:t>*Corresponding author</w:t>
      </w:r>
    </w:p>
    <w:p w:rsidR="001817C7" w:rsidRPr="007045BC" w:rsidRDefault="001817C7" w:rsidP="007045BC">
      <w:pPr>
        <w:snapToGrid w:val="0"/>
        <w:jc w:val="center"/>
        <w:rPr>
          <w:sz w:val="20"/>
          <w:szCs w:val="20"/>
        </w:rPr>
      </w:pPr>
    </w:p>
    <w:p w:rsidR="00F133B2" w:rsidRPr="007045BC" w:rsidRDefault="00471E57" w:rsidP="007045BC">
      <w:pPr>
        <w:autoSpaceDE w:val="0"/>
        <w:autoSpaceDN w:val="0"/>
        <w:adjustRightInd w:val="0"/>
        <w:snapToGrid w:val="0"/>
        <w:jc w:val="both"/>
        <w:rPr>
          <w:sz w:val="20"/>
          <w:szCs w:val="20"/>
        </w:rPr>
      </w:pPr>
      <w:r w:rsidRPr="007045BC">
        <w:rPr>
          <w:b/>
          <w:sz w:val="20"/>
          <w:szCs w:val="20"/>
        </w:rPr>
        <w:t xml:space="preserve">Abstract: </w:t>
      </w:r>
      <w:r w:rsidR="00F133B2" w:rsidRPr="007045BC">
        <w:rPr>
          <w:sz w:val="20"/>
          <w:szCs w:val="20"/>
        </w:rPr>
        <w:t xml:space="preserve">Oxidation of landfill </w:t>
      </w:r>
      <w:proofErr w:type="spellStart"/>
      <w:r w:rsidR="00F133B2" w:rsidRPr="007045BC">
        <w:rPr>
          <w:sz w:val="20"/>
          <w:szCs w:val="20"/>
        </w:rPr>
        <w:t>leachate</w:t>
      </w:r>
      <w:proofErr w:type="spellEnd"/>
      <w:r w:rsidR="00F133B2" w:rsidRPr="007045BC">
        <w:rPr>
          <w:sz w:val="20"/>
          <w:szCs w:val="20"/>
        </w:rPr>
        <w:t xml:space="preserve"> and sewage from different locations using potassium ferrate and percentage removal of Chemical oxygen demand (COD) and Biochemical oxygen demand (BOD) using K</w:t>
      </w:r>
      <w:r w:rsidR="00F133B2" w:rsidRPr="007045BC">
        <w:rPr>
          <w:sz w:val="20"/>
          <w:szCs w:val="20"/>
          <w:vertAlign w:val="subscript"/>
        </w:rPr>
        <w:t>2</w:t>
      </w:r>
      <w:r w:rsidR="00F133B2" w:rsidRPr="007045BC">
        <w:rPr>
          <w:sz w:val="20"/>
          <w:szCs w:val="20"/>
        </w:rPr>
        <w:t>FeO</w:t>
      </w:r>
      <w:r w:rsidR="00F133B2" w:rsidRPr="007045BC">
        <w:rPr>
          <w:sz w:val="20"/>
          <w:szCs w:val="20"/>
          <w:vertAlign w:val="subscript"/>
        </w:rPr>
        <w:t xml:space="preserve">4 </w:t>
      </w:r>
      <w:r w:rsidR="00F133B2" w:rsidRPr="007045BC">
        <w:rPr>
          <w:sz w:val="20"/>
          <w:szCs w:val="20"/>
        </w:rPr>
        <w:t>at 298 K for 30 minutes</w:t>
      </w:r>
      <w:r w:rsidR="00F133B2" w:rsidRPr="007045BC">
        <w:rPr>
          <w:sz w:val="20"/>
          <w:szCs w:val="20"/>
          <w:vertAlign w:val="subscript"/>
        </w:rPr>
        <w:t xml:space="preserve"> </w:t>
      </w:r>
      <w:r w:rsidR="00F133B2" w:rsidRPr="007045BC">
        <w:rPr>
          <w:sz w:val="20"/>
          <w:szCs w:val="20"/>
        </w:rPr>
        <w:t xml:space="preserve">were investigated. Ferrate oxidized the landfill </w:t>
      </w:r>
      <w:proofErr w:type="spellStart"/>
      <w:r w:rsidR="00F133B2" w:rsidRPr="007045BC">
        <w:rPr>
          <w:sz w:val="20"/>
          <w:szCs w:val="20"/>
        </w:rPr>
        <w:t>leachate</w:t>
      </w:r>
      <w:proofErr w:type="spellEnd"/>
      <w:r w:rsidR="00F133B2" w:rsidRPr="007045BC">
        <w:rPr>
          <w:sz w:val="20"/>
          <w:szCs w:val="20"/>
        </w:rPr>
        <w:t xml:space="preserve"> and sewage and was effective within 30minutes at 298 K temperature. The percentage COD reduction after treatment ranged from 61.70 to 70.00 % and 61.00 to 68.70 % for landfill </w:t>
      </w:r>
      <w:proofErr w:type="spellStart"/>
      <w:r w:rsidR="00F133B2" w:rsidRPr="007045BC">
        <w:rPr>
          <w:sz w:val="20"/>
          <w:szCs w:val="20"/>
        </w:rPr>
        <w:t>leachate</w:t>
      </w:r>
      <w:proofErr w:type="spellEnd"/>
      <w:r w:rsidR="00F133B2" w:rsidRPr="007045BC">
        <w:rPr>
          <w:sz w:val="20"/>
          <w:szCs w:val="20"/>
        </w:rPr>
        <w:t xml:space="preserve"> and sewage respectively. The concentration of BOD reduced with the range of 42.60 to 53.56 %, and 48.30 to 60.30 % for landfill </w:t>
      </w:r>
      <w:proofErr w:type="spellStart"/>
      <w:r w:rsidR="00F133B2" w:rsidRPr="007045BC">
        <w:rPr>
          <w:sz w:val="20"/>
          <w:szCs w:val="20"/>
        </w:rPr>
        <w:t>leachate</w:t>
      </w:r>
      <w:proofErr w:type="spellEnd"/>
      <w:r w:rsidR="00F133B2" w:rsidRPr="007045BC">
        <w:rPr>
          <w:sz w:val="20"/>
          <w:szCs w:val="20"/>
        </w:rPr>
        <w:t xml:space="preserve"> and sewage respectively. The results obtained for landfill </w:t>
      </w:r>
      <w:proofErr w:type="spellStart"/>
      <w:r w:rsidR="00F133B2" w:rsidRPr="007045BC">
        <w:rPr>
          <w:sz w:val="20"/>
          <w:szCs w:val="20"/>
        </w:rPr>
        <w:t>leachate</w:t>
      </w:r>
      <w:proofErr w:type="spellEnd"/>
      <w:r w:rsidR="00F133B2" w:rsidRPr="007045BC">
        <w:rPr>
          <w:sz w:val="20"/>
          <w:szCs w:val="20"/>
        </w:rPr>
        <w:t xml:space="preserve"> ranged from 13400 ± 0.80 to 20420.13 ± 0.60 MgL</w:t>
      </w:r>
      <w:r w:rsidR="00F133B2" w:rsidRPr="007045BC">
        <w:rPr>
          <w:sz w:val="20"/>
          <w:szCs w:val="20"/>
          <w:vertAlign w:val="superscript"/>
        </w:rPr>
        <w:t>-1</w:t>
      </w:r>
      <w:r w:rsidR="00F133B2" w:rsidRPr="007045BC">
        <w:rPr>
          <w:sz w:val="20"/>
          <w:szCs w:val="20"/>
        </w:rPr>
        <w:t>, BOD; 16930 ± 2.00 to 33400 ± 0.20MgL</w:t>
      </w:r>
      <w:r w:rsidR="00F133B2" w:rsidRPr="007045BC">
        <w:rPr>
          <w:sz w:val="20"/>
          <w:szCs w:val="20"/>
          <w:vertAlign w:val="superscript"/>
        </w:rPr>
        <w:t>-1</w:t>
      </w:r>
      <w:r w:rsidR="00F133B2" w:rsidRPr="007045BC">
        <w:rPr>
          <w:sz w:val="20"/>
          <w:szCs w:val="20"/>
        </w:rPr>
        <w:t xml:space="preserve"> COD; 1.03 ± 0.05 to 2.50 ± 0.50 MgL</w:t>
      </w:r>
      <w:r w:rsidR="00F133B2" w:rsidRPr="007045BC">
        <w:rPr>
          <w:sz w:val="20"/>
          <w:szCs w:val="20"/>
          <w:vertAlign w:val="superscript"/>
        </w:rPr>
        <w:t>-1</w:t>
      </w:r>
      <w:r w:rsidR="00F133B2" w:rsidRPr="007045BC">
        <w:rPr>
          <w:sz w:val="20"/>
          <w:szCs w:val="20"/>
        </w:rPr>
        <w:t>, DO; 6450 ± 1.30 MgL</w:t>
      </w:r>
      <w:r w:rsidR="00F133B2" w:rsidRPr="007045BC">
        <w:rPr>
          <w:sz w:val="20"/>
          <w:szCs w:val="20"/>
          <w:vertAlign w:val="superscript"/>
        </w:rPr>
        <w:t>-1</w:t>
      </w:r>
      <w:r w:rsidR="00F133B2" w:rsidRPr="007045BC">
        <w:rPr>
          <w:sz w:val="20"/>
          <w:szCs w:val="20"/>
        </w:rPr>
        <w:t>, TDS; 693.40 ± 0.20, TSS; 1634.00 ± 1.10 to 3140.15 ± 3.40 µsCm</w:t>
      </w:r>
      <w:r w:rsidR="00F133B2" w:rsidRPr="007045BC">
        <w:rPr>
          <w:sz w:val="20"/>
          <w:szCs w:val="20"/>
          <w:vertAlign w:val="superscript"/>
        </w:rPr>
        <w:t>-1</w:t>
      </w:r>
      <w:r w:rsidR="00F133B2" w:rsidRPr="007045BC">
        <w:rPr>
          <w:sz w:val="20"/>
          <w:szCs w:val="20"/>
        </w:rPr>
        <w:t>, EC and 6.80 to 8.60, pH  . The concentration for sewage ranged from 113.30 ± 0.30 to 310.60 MgL</w:t>
      </w:r>
      <w:r w:rsidR="00F133B2" w:rsidRPr="007045BC">
        <w:rPr>
          <w:sz w:val="20"/>
          <w:szCs w:val="20"/>
          <w:vertAlign w:val="superscript"/>
        </w:rPr>
        <w:t>-1</w:t>
      </w:r>
      <w:r w:rsidR="00F133B2" w:rsidRPr="007045BC">
        <w:rPr>
          <w:sz w:val="20"/>
          <w:szCs w:val="20"/>
        </w:rPr>
        <w:t>, BOD; 840.30 ± 0.60 to 7540.70 ± 1.80 MgL</w:t>
      </w:r>
      <w:r w:rsidR="00F133B2" w:rsidRPr="007045BC">
        <w:rPr>
          <w:sz w:val="20"/>
          <w:szCs w:val="20"/>
          <w:vertAlign w:val="superscript"/>
        </w:rPr>
        <w:t>-1</w:t>
      </w:r>
      <w:r w:rsidR="00F133B2" w:rsidRPr="007045BC">
        <w:rPr>
          <w:sz w:val="20"/>
          <w:szCs w:val="20"/>
        </w:rPr>
        <w:t>, COD; 0.06 ± 0.30 to 0.10 ± 0.00 MgL</w:t>
      </w:r>
      <w:r w:rsidR="00F133B2" w:rsidRPr="007045BC">
        <w:rPr>
          <w:sz w:val="20"/>
          <w:szCs w:val="20"/>
          <w:vertAlign w:val="superscript"/>
        </w:rPr>
        <w:t>-1</w:t>
      </w:r>
      <w:r w:rsidR="00F133B2" w:rsidRPr="007045BC">
        <w:rPr>
          <w:sz w:val="20"/>
          <w:szCs w:val="20"/>
        </w:rPr>
        <w:t>, DO; 959.00 ± 1.40 to 1070.60 ± 1.20 MgL</w:t>
      </w:r>
      <w:r w:rsidR="00F133B2" w:rsidRPr="007045BC">
        <w:rPr>
          <w:sz w:val="20"/>
          <w:szCs w:val="20"/>
          <w:vertAlign w:val="superscript"/>
        </w:rPr>
        <w:t>-1</w:t>
      </w:r>
      <w:r w:rsidR="00F133B2" w:rsidRPr="007045BC">
        <w:rPr>
          <w:sz w:val="20"/>
          <w:szCs w:val="20"/>
        </w:rPr>
        <w:t>, TDS; 14560 ± 1.60 to 21000 ± 1.80 MgL</w:t>
      </w:r>
      <w:r w:rsidR="00F133B2" w:rsidRPr="007045BC">
        <w:rPr>
          <w:sz w:val="20"/>
          <w:szCs w:val="20"/>
          <w:vertAlign w:val="superscript"/>
        </w:rPr>
        <w:t>-1</w:t>
      </w:r>
      <w:r w:rsidR="00F133B2" w:rsidRPr="007045BC">
        <w:rPr>
          <w:sz w:val="20"/>
          <w:szCs w:val="20"/>
        </w:rPr>
        <w:t>, TSS; 970.60 ± 0.70 to 1600.80 ± 0.90 µsCm</w:t>
      </w:r>
      <w:r w:rsidR="00F133B2" w:rsidRPr="007045BC">
        <w:rPr>
          <w:sz w:val="20"/>
          <w:szCs w:val="20"/>
          <w:vertAlign w:val="superscript"/>
        </w:rPr>
        <w:t>-1</w:t>
      </w:r>
      <w:r w:rsidR="00F133B2" w:rsidRPr="007045BC">
        <w:rPr>
          <w:sz w:val="20"/>
          <w:szCs w:val="20"/>
        </w:rPr>
        <w:t>, EC and 6.60 to 8.70, pH.</w:t>
      </w:r>
    </w:p>
    <w:p w:rsidR="007045BC" w:rsidRPr="007045BC" w:rsidRDefault="007045BC" w:rsidP="007045BC">
      <w:pPr>
        <w:snapToGrid w:val="0"/>
        <w:jc w:val="both"/>
        <w:rPr>
          <w:sz w:val="20"/>
          <w:szCs w:val="20"/>
        </w:rPr>
      </w:pPr>
      <w:r w:rsidRPr="007045BC">
        <w:rPr>
          <w:bCs/>
          <w:sz w:val="20"/>
          <w:szCs w:val="20"/>
        </w:rPr>
        <w:t>[</w:t>
      </w:r>
      <w:proofErr w:type="spellStart"/>
      <w:r w:rsidRPr="007045BC">
        <w:rPr>
          <w:sz w:val="20"/>
          <w:szCs w:val="20"/>
        </w:rPr>
        <w:t>Osu</w:t>
      </w:r>
      <w:proofErr w:type="spellEnd"/>
      <w:r w:rsidRPr="007045BC">
        <w:rPr>
          <w:sz w:val="20"/>
          <w:szCs w:val="20"/>
        </w:rPr>
        <w:t xml:space="preserve">, Charles I. and </w:t>
      </w:r>
      <w:proofErr w:type="spellStart"/>
      <w:r w:rsidRPr="007045BC">
        <w:rPr>
          <w:sz w:val="20"/>
          <w:szCs w:val="20"/>
        </w:rPr>
        <w:t>Chukwu</w:t>
      </w:r>
      <w:proofErr w:type="spellEnd"/>
      <w:r w:rsidRPr="007045BC">
        <w:rPr>
          <w:sz w:val="20"/>
          <w:szCs w:val="20"/>
        </w:rPr>
        <w:t xml:space="preserve"> </w:t>
      </w:r>
      <w:proofErr w:type="spellStart"/>
      <w:r w:rsidRPr="007045BC">
        <w:rPr>
          <w:sz w:val="20"/>
          <w:szCs w:val="20"/>
        </w:rPr>
        <w:t>Uche</w:t>
      </w:r>
      <w:proofErr w:type="spellEnd"/>
      <w:r w:rsidRPr="007045BC">
        <w:rPr>
          <w:sz w:val="20"/>
          <w:szCs w:val="20"/>
        </w:rPr>
        <w:t xml:space="preserve"> J.</w:t>
      </w:r>
      <w:r w:rsidRPr="007045BC">
        <w:rPr>
          <w:rFonts w:eastAsiaTheme="minorEastAsia" w:hint="eastAsia"/>
          <w:b/>
          <w:bCs/>
          <w:sz w:val="20"/>
          <w:szCs w:val="20"/>
          <w:lang w:bidi="fa-IR"/>
        </w:rPr>
        <w:t xml:space="preserve"> </w:t>
      </w:r>
      <w:r w:rsidRPr="007045BC">
        <w:rPr>
          <w:b/>
          <w:sz w:val="20"/>
          <w:szCs w:val="20"/>
        </w:rPr>
        <w:t>Potassium ferrate (K</w:t>
      </w:r>
      <w:r w:rsidRPr="007045BC">
        <w:rPr>
          <w:b/>
          <w:sz w:val="20"/>
          <w:szCs w:val="20"/>
          <w:vertAlign w:val="subscript"/>
        </w:rPr>
        <w:t>2</w:t>
      </w:r>
      <w:r w:rsidRPr="007045BC">
        <w:rPr>
          <w:b/>
          <w:sz w:val="20"/>
          <w:szCs w:val="20"/>
        </w:rPr>
        <w:t>FeO</w:t>
      </w:r>
      <w:r w:rsidRPr="007045BC">
        <w:rPr>
          <w:b/>
          <w:sz w:val="20"/>
          <w:szCs w:val="20"/>
          <w:vertAlign w:val="subscript"/>
        </w:rPr>
        <w:t>4</w:t>
      </w:r>
      <w:r w:rsidRPr="007045BC">
        <w:rPr>
          <w:b/>
          <w:sz w:val="20"/>
          <w:szCs w:val="20"/>
        </w:rPr>
        <w:t xml:space="preserve">) oxidation of Landfill </w:t>
      </w:r>
      <w:proofErr w:type="spellStart"/>
      <w:r w:rsidRPr="007045BC">
        <w:rPr>
          <w:b/>
          <w:sz w:val="20"/>
          <w:szCs w:val="20"/>
        </w:rPr>
        <w:t>Leachate</w:t>
      </w:r>
      <w:proofErr w:type="spellEnd"/>
      <w:r w:rsidRPr="007045BC">
        <w:rPr>
          <w:b/>
          <w:sz w:val="20"/>
          <w:szCs w:val="20"/>
        </w:rPr>
        <w:t xml:space="preserve"> and Sewage: Removal of COD and BOD</w:t>
      </w:r>
      <w:r w:rsidRPr="007045BC">
        <w:rPr>
          <w:rFonts w:eastAsia="Times New Roman"/>
          <w:b/>
          <w:bCs/>
          <w:sz w:val="20"/>
          <w:szCs w:val="20"/>
          <w:lang w:bidi="fa-IR"/>
        </w:rPr>
        <w:t>.</w:t>
      </w:r>
      <w:r w:rsidRPr="007045BC">
        <w:rPr>
          <w:bCs/>
          <w:i/>
          <w:sz w:val="20"/>
          <w:szCs w:val="20"/>
        </w:rPr>
        <w:t xml:space="preserve"> N Y </w:t>
      </w:r>
      <w:proofErr w:type="spellStart"/>
      <w:r w:rsidRPr="007045BC">
        <w:rPr>
          <w:bCs/>
          <w:i/>
          <w:sz w:val="20"/>
          <w:szCs w:val="20"/>
        </w:rPr>
        <w:t>Sci</w:t>
      </w:r>
      <w:proofErr w:type="spellEnd"/>
      <w:r w:rsidRPr="007045BC">
        <w:rPr>
          <w:bCs/>
          <w:i/>
          <w:sz w:val="20"/>
          <w:szCs w:val="20"/>
        </w:rPr>
        <w:t xml:space="preserve"> J</w:t>
      </w:r>
      <w:r w:rsidRPr="007045BC">
        <w:rPr>
          <w:bCs/>
          <w:sz w:val="20"/>
          <w:szCs w:val="20"/>
        </w:rPr>
        <w:t xml:space="preserve"> </w:t>
      </w:r>
      <w:r w:rsidRPr="007045BC">
        <w:rPr>
          <w:sz w:val="20"/>
          <w:szCs w:val="20"/>
        </w:rPr>
        <w:t>201</w:t>
      </w:r>
      <w:r w:rsidRPr="007045BC">
        <w:rPr>
          <w:rFonts w:hint="eastAsia"/>
          <w:sz w:val="20"/>
          <w:szCs w:val="20"/>
        </w:rPr>
        <w:t>6</w:t>
      </w:r>
      <w:r w:rsidRPr="007045BC">
        <w:rPr>
          <w:sz w:val="20"/>
          <w:szCs w:val="20"/>
        </w:rPr>
        <w:t>;</w:t>
      </w:r>
      <w:r w:rsidRPr="007045BC">
        <w:rPr>
          <w:rFonts w:hint="eastAsia"/>
          <w:sz w:val="20"/>
          <w:szCs w:val="20"/>
        </w:rPr>
        <w:t>9</w:t>
      </w:r>
      <w:r w:rsidRPr="007045BC">
        <w:rPr>
          <w:sz w:val="20"/>
          <w:szCs w:val="20"/>
        </w:rPr>
        <w:t>(</w:t>
      </w:r>
      <w:r w:rsidRPr="007045BC">
        <w:rPr>
          <w:rFonts w:hint="eastAsia"/>
          <w:sz w:val="20"/>
          <w:szCs w:val="20"/>
        </w:rPr>
        <w:t>8</w:t>
      </w:r>
      <w:r w:rsidRPr="007045BC">
        <w:rPr>
          <w:sz w:val="20"/>
          <w:szCs w:val="20"/>
        </w:rPr>
        <w:t>):</w:t>
      </w:r>
      <w:r w:rsidR="0031399D">
        <w:rPr>
          <w:noProof/>
          <w:color w:val="000000"/>
          <w:sz w:val="20"/>
          <w:szCs w:val="20"/>
        </w:rPr>
        <w:t>8</w:t>
      </w:r>
      <w:r w:rsidRPr="007045BC">
        <w:rPr>
          <w:color w:val="000000"/>
          <w:sz w:val="20"/>
          <w:szCs w:val="20"/>
        </w:rPr>
        <w:t>-</w:t>
      </w:r>
      <w:r w:rsidR="0031399D">
        <w:rPr>
          <w:noProof/>
          <w:color w:val="000000"/>
          <w:sz w:val="20"/>
          <w:szCs w:val="20"/>
        </w:rPr>
        <w:t>11</w:t>
      </w:r>
      <w:r w:rsidRPr="007045BC">
        <w:rPr>
          <w:sz w:val="20"/>
          <w:szCs w:val="20"/>
        </w:rPr>
        <w:t xml:space="preserve">]. </w:t>
      </w:r>
      <w:r w:rsidRPr="007045BC">
        <w:rPr>
          <w:iCs/>
          <w:color w:val="000000"/>
          <w:sz w:val="20"/>
          <w:szCs w:val="20"/>
        </w:rPr>
        <w:t>ISSN 1554-0200 (print); ISSN 2375-723X (online)</w:t>
      </w:r>
      <w:r w:rsidRPr="007045BC">
        <w:rPr>
          <w:sz w:val="20"/>
          <w:szCs w:val="20"/>
        </w:rPr>
        <w:t xml:space="preserve">. </w:t>
      </w:r>
      <w:hyperlink r:id="rId9" w:history="1">
        <w:r w:rsidRPr="007045BC">
          <w:rPr>
            <w:rStyle w:val="Hyperlink"/>
            <w:sz w:val="20"/>
            <w:szCs w:val="20"/>
          </w:rPr>
          <w:t>http://www.sciencepub.net/newyork</w:t>
        </w:r>
      </w:hyperlink>
      <w:r w:rsidRPr="007045BC">
        <w:rPr>
          <w:sz w:val="20"/>
          <w:szCs w:val="20"/>
        </w:rPr>
        <w:t xml:space="preserve">. </w:t>
      </w:r>
      <w:r w:rsidRPr="007045BC">
        <w:rPr>
          <w:rFonts w:hint="eastAsia"/>
          <w:sz w:val="20"/>
          <w:szCs w:val="20"/>
          <w:lang w:eastAsia="zh-CN"/>
        </w:rPr>
        <w:t>3</w:t>
      </w:r>
      <w:r w:rsidRPr="007045BC">
        <w:rPr>
          <w:rFonts w:hint="eastAsia"/>
          <w:sz w:val="20"/>
          <w:szCs w:val="20"/>
        </w:rPr>
        <w:t xml:space="preserve">. </w:t>
      </w:r>
      <w:r w:rsidRPr="007045BC">
        <w:rPr>
          <w:color w:val="000000"/>
          <w:sz w:val="20"/>
          <w:szCs w:val="20"/>
          <w:shd w:val="clear" w:color="auto" w:fill="FFFFFF"/>
        </w:rPr>
        <w:t>doi:</w:t>
      </w:r>
      <w:hyperlink r:id="rId10" w:history="1">
        <w:r w:rsidRPr="007045BC">
          <w:rPr>
            <w:rStyle w:val="Hyperlink"/>
            <w:sz w:val="20"/>
            <w:szCs w:val="20"/>
            <w:shd w:val="clear" w:color="auto" w:fill="FFFFFF"/>
          </w:rPr>
          <w:t>10.7537/mars</w:t>
        </w:r>
        <w:r w:rsidRPr="007045BC">
          <w:rPr>
            <w:rStyle w:val="Hyperlink"/>
            <w:rFonts w:hint="eastAsia"/>
            <w:sz w:val="20"/>
            <w:szCs w:val="20"/>
            <w:shd w:val="clear" w:color="auto" w:fill="FFFFFF"/>
          </w:rPr>
          <w:t>nys0908</w:t>
        </w:r>
        <w:r w:rsidRPr="007045BC">
          <w:rPr>
            <w:rStyle w:val="Hyperlink"/>
            <w:sz w:val="20"/>
            <w:szCs w:val="20"/>
            <w:shd w:val="clear" w:color="auto" w:fill="FFFFFF"/>
          </w:rPr>
          <w:t>1</w:t>
        </w:r>
        <w:r w:rsidRPr="007045BC">
          <w:rPr>
            <w:rStyle w:val="Hyperlink"/>
            <w:rFonts w:hint="eastAsia"/>
            <w:sz w:val="20"/>
            <w:szCs w:val="20"/>
            <w:shd w:val="clear" w:color="auto" w:fill="FFFFFF"/>
          </w:rPr>
          <w:t>6.</w:t>
        </w:r>
        <w:r w:rsidRPr="007045BC">
          <w:rPr>
            <w:rStyle w:val="Hyperlink"/>
            <w:sz w:val="20"/>
            <w:szCs w:val="20"/>
            <w:shd w:val="clear" w:color="auto" w:fill="FFFFFF"/>
          </w:rPr>
          <w:t>0</w:t>
        </w:r>
        <w:r w:rsidRPr="007045BC">
          <w:rPr>
            <w:rStyle w:val="Hyperlink"/>
            <w:rFonts w:hint="eastAsia"/>
            <w:sz w:val="20"/>
            <w:szCs w:val="20"/>
            <w:shd w:val="clear" w:color="auto" w:fill="FFFFFF"/>
            <w:lang w:eastAsia="zh-CN"/>
          </w:rPr>
          <w:t>3</w:t>
        </w:r>
      </w:hyperlink>
      <w:r w:rsidRPr="007045BC">
        <w:rPr>
          <w:color w:val="000000"/>
          <w:sz w:val="20"/>
          <w:szCs w:val="20"/>
          <w:shd w:val="clear" w:color="auto" w:fill="FFFFFF"/>
        </w:rPr>
        <w:t>.</w:t>
      </w:r>
    </w:p>
    <w:p w:rsidR="00EE5D78" w:rsidRPr="007045BC" w:rsidRDefault="00EE5D78" w:rsidP="007045BC">
      <w:pPr>
        <w:autoSpaceDE w:val="0"/>
        <w:autoSpaceDN w:val="0"/>
        <w:adjustRightInd w:val="0"/>
        <w:snapToGrid w:val="0"/>
        <w:jc w:val="both"/>
        <w:rPr>
          <w:sz w:val="20"/>
          <w:szCs w:val="20"/>
        </w:rPr>
      </w:pPr>
    </w:p>
    <w:p w:rsidR="001817C7" w:rsidRPr="007045BC" w:rsidRDefault="001817C7" w:rsidP="007045BC">
      <w:pPr>
        <w:snapToGrid w:val="0"/>
        <w:jc w:val="both"/>
        <w:rPr>
          <w:sz w:val="20"/>
          <w:szCs w:val="20"/>
        </w:rPr>
      </w:pPr>
      <w:r w:rsidRPr="007045BC">
        <w:rPr>
          <w:b/>
          <w:sz w:val="20"/>
          <w:szCs w:val="20"/>
        </w:rPr>
        <w:t>Keywords:</w:t>
      </w:r>
      <w:r w:rsidR="00F133B2" w:rsidRPr="007045BC">
        <w:rPr>
          <w:sz w:val="20"/>
          <w:szCs w:val="20"/>
        </w:rPr>
        <w:t xml:space="preserve"> </w:t>
      </w:r>
      <w:proofErr w:type="spellStart"/>
      <w:r w:rsidR="00F133B2" w:rsidRPr="007045BC">
        <w:rPr>
          <w:sz w:val="20"/>
          <w:szCs w:val="20"/>
        </w:rPr>
        <w:t>Leachate</w:t>
      </w:r>
      <w:proofErr w:type="spellEnd"/>
      <w:r w:rsidR="00F133B2" w:rsidRPr="007045BC">
        <w:rPr>
          <w:sz w:val="20"/>
          <w:szCs w:val="20"/>
        </w:rPr>
        <w:t>, Sewage, Ferrate, Oxidation, COD, BOD.</w:t>
      </w:r>
    </w:p>
    <w:p w:rsidR="007045BC" w:rsidRPr="007045BC" w:rsidRDefault="007045BC" w:rsidP="007045BC">
      <w:pPr>
        <w:snapToGrid w:val="0"/>
        <w:jc w:val="both"/>
        <w:rPr>
          <w:b/>
          <w:sz w:val="20"/>
          <w:szCs w:val="20"/>
        </w:rPr>
      </w:pPr>
    </w:p>
    <w:p w:rsidR="007045BC" w:rsidRPr="007045BC" w:rsidRDefault="007045BC" w:rsidP="007045BC">
      <w:pPr>
        <w:snapToGrid w:val="0"/>
        <w:jc w:val="both"/>
        <w:rPr>
          <w:b/>
          <w:sz w:val="20"/>
          <w:szCs w:val="20"/>
        </w:rPr>
        <w:sectPr w:rsidR="007045BC" w:rsidRPr="007045BC" w:rsidSect="0031399D">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8"/>
          <w:cols w:space="720"/>
          <w:docGrid w:linePitch="360"/>
        </w:sectPr>
      </w:pPr>
    </w:p>
    <w:p w:rsidR="00471E57" w:rsidRPr="007045BC" w:rsidRDefault="00471E57" w:rsidP="007045BC">
      <w:pPr>
        <w:snapToGrid w:val="0"/>
        <w:jc w:val="both"/>
        <w:rPr>
          <w:b/>
          <w:sz w:val="20"/>
          <w:szCs w:val="20"/>
        </w:rPr>
      </w:pPr>
      <w:r w:rsidRPr="007045BC">
        <w:rPr>
          <w:b/>
          <w:sz w:val="20"/>
          <w:szCs w:val="20"/>
        </w:rPr>
        <w:lastRenderedPageBreak/>
        <w:t>1. Introduction</w:t>
      </w:r>
    </w:p>
    <w:p w:rsidR="00F133B2" w:rsidRPr="007045BC" w:rsidRDefault="00F133B2" w:rsidP="007045BC">
      <w:pPr>
        <w:snapToGrid w:val="0"/>
        <w:ind w:firstLine="425"/>
        <w:jc w:val="both"/>
        <w:rPr>
          <w:sz w:val="20"/>
          <w:szCs w:val="20"/>
        </w:rPr>
      </w:pPr>
      <w:r w:rsidRPr="007045BC">
        <w:rPr>
          <w:sz w:val="20"/>
          <w:szCs w:val="20"/>
        </w:rPr>
        <w:t>Potassium ferrate K</w:t>
      </w:r>
      <w:r w:rsidRPr="007045BC">
        <w:rPr>
          <w:sz w:val="20"/>
          <w:szCs w:val="20"/>
          <w:vertAlign w:val="subscript"/>
        </w:rPr>
        <w:t>2</w:t>
      </w:r>
      <w:r w:rsidRPr="007045BC">
        <w:rPr>
          <w:sz w:val="20"/>
          <w:szCs w:val="20"/>
        </w:rPr>
        <w:t>FeO</w:t>
      </w:r>
      <w:r w:rsidRPr="007045BC">
        <w:rPr>
          <w:sz w:val="20"/>
          <w:szCs w:val="20"/>
          <w:vertAlign w:val="subscript"/>
        </w:rPr>
        <w:t>4</w:t>
      </w:r>
      <w:r w:rsidRPr="007045BC">
        <w:rPr>
          <w:sz w:val="20"/>
          <w:szCs w:val="20"/>
        </w:rPr>
        <w:t xml:space="preserve"> is most common and relatively easily synthesized ferrate salt moreover, the stability of this compound is fairly good under certain specified conditions. It is black-purple in color and remains stable in mixture excluded air exposure for longer period. In aqueous solution, the Fe</w:t>
      </w:r>
      <w:r w:rsidRPr="007045BC">
        <w:rPr>
          <w:sz w:val="20"/>
          <w:szCs w:val="20"/>
          <w:vertAlign w:val="superscript"/>
        </w:rPr>
        <w:t>iv</w:t>
      </w:r>
      <w:r w:rsidRPr="007045BC">
        <w:rPr>
          <w:sz w:val="20"/>
          <w:szCs w:val="20"/>
        </w:rPr>
        <w:t>O</w:t>
      </w:r>
      <w:r w:rsidRPr="007045BC">
        <w:rPr>
          <w:sz w:val="20"/>
          <w:szCs w:val="20"/>
          <w:vertAlign w:val="subscript"/>
        </w:rPr>
        <w:t>4</w:t>
      </w:r>
      <w:r w:rsidRPr="007045BC">
        <w:rPr>
          <w:sz w:val="20"/>
          <w:szCs w:val="20"/>
          <w:vertAlign w:val="superscript"/>
        </w:rPr>
        <w:t xml:space="preserve">2- </w:t>
      </w:r>
      <w:r w:rsidRPr="007045BC">
        <w:rPr>
          <w:sz w:val="20"/>
          <w:szCs w:val="20"/>
        </w:rPr>
        <w:t xml:space="preserve">is </w:t>
      </w:r>
      <w:proofErr w:type="spellStart"/>
      <w:r w:rsidRPr="007045BC">
        <w:rPr>
          <w:sz w:val="20"/>
          <w:szCs w:val="20"/>
        </w:rPr>
        <w:t>monomeric</w:t>
      </w:r>
      <w:proofErr w:type="spellEnd"/>
      <w:r w:rsidRPr="007045BC">
        <w:rPr>
          <w:sz w:val="20"/>
          <w:szCs w:val="20"/>
        </w:rPr>
        <w:t xml:space="preserve"> with a high degree of four covalent character equivalent oxygen atoms [</w:t>
      </w:r>
      <w:proofErr w:type="spellStart"/>
      <w:r w:rsidRPr="007045BC">
        <w:rPr>
          <w:rFonts w:eastAsia="NimbusSanL-Regu-Identity-H"/>
          <w:sz w:val="20"/>
          <w:szCs w:val="20"/>
        </w:rPr>
        <w:t>Diwakar</w:t>
      </w:r>
      <w:proofErr w:type="spellEnd"/>
      <w:r w:rsidRPr="007045BC">
        <w:rPr>
          <w:rFonts w:eastAsia="NimbusSanL-Regu-Identity-H"/>
          <w:sz w:val="20"/>
          <w:szCs w:val="20"/>
        </w:rPr>
        <w:t xml:space="preserve"> and Lee 2011</w:t>
      </w:r>
      <w:r w:rsidRPr="007045BC">
        <w:rPr>
          <w:sz w:val="20"/>
          <w:szCs w:val="20"/>
        </w:rPr>
        <w:t>]. Ferrate oxidizes organic compounds and reduces to ferric which, in turn, leads to precipitation as ferric oxide/hydroxide promoting physical removal of organic compounds [</w:t>
      </w:r>
      <w:r w:rsidRPr="007045BC">
        <w:rPr>
          <w:color w:val="000000"/>
          <w:sz w:val="20"/>
          <w:szCs w:val="20"/>
        </w:rPr>
        <w:t>Graham et al., 2004</w:t>
      </w:r>
      <w:r w:rsidRPr="007045BC">
        <w:rPr>
          <w:sz w:val="20"/>
          <w:szCs w:val="20"/>
        </w:rPr>
        <w:t>].</w:t>
      </w:r>
    </w:p>
    <w:p w:rsidR="00F133B2" w:rsidRPr="007045BC" w:rsidRDefault="00F133B2" w:rsidP="007045BC">
      <w:pPr>
        <w:snapToGrid w:val="0"/>
        <w:ind w:firstLine="425"/>
        <w:jc w:val="both"/>
        <w:rPr>
          <w:sz w:val="20"/>
          <w:szCs w:val="20"/>
        </w:rPr>
      </w:pPr>
      <w:r w:rsidRPr="007045BC">
        <w:rPr>
          <w:sz w:val="20"/>
          <w:szCs w:val="20"/>
        </w:rPr>
        <w:t>Potassium ferrate is insoluble in commonly used organic solvents and can be suspended in benzene, ether, chloroform etc. without having rapid decomposition of compound [</w:t>
      </w:r>
      <w:proofErr w:type="spellStart"/>
      <w:r w:rsidRPr="007045BC">
        <w:rPr>
          <w:rFonts w:eastAsia="NimbusSanL-Regu-Identity-H"/>
          <w:sz w:val="20"/>
          <w:szCs w:val="20"/>
        </w:rPr>
        <w:t>Diwakar</w:t>
      </w:r>
      <w:proofErr w:type="spellEnd"/>
      <w:r w:rsidRPr="007045BC">
        <w:rPr>
          <w:rFonts w:eastAsia="NimbusSanL-Regu-Identity-H"/>
          <w:sz w:val="20"/>
          <w:szCs w:val="20"/>
        </w:rPr>
        <w:t xml:space="preserve"> and Lee, 2011</w:t>
      </w:r>
      <w:r w:rsidRPr="007045BC">
        <w:rPr>
          <w:sz w:val="20"/>
          <w:szCs w:val="20"/>
        </w:rPr>
        <w:t xml:space="preserve">]. </w:t>
      </w:r>
      <w:proofErr w:type="spellStart"/>
      <w:r w:rsidRPr="007045BC">
        <w:rPr>
          <w:sz w:val="20"/>
          <w:szCs w:val="20"/>
        </w:rPr>
        <w:t>Leachate</w:t>
      </w:r>
      <w:proofErr w:type="spellEnd"/>
      <w:r w:rsidRPr="007045BC">
        <w:rPr>
          <w:sz w:val="20"/>
          <w:szCs w:val="20"/>
        </w:rPr>
        <w:t xml:space="preserve"> is one of the main problems in the landfill sites due to its considerable amounts of organic matter, ammonia and total </w:t>
      </w:r>
      <w:proofErr w:type="spellStart"/>
      <w:r w:rsidRPr="007045BC">
        <w:rPr>
          <w:sz w:val="20"/>
          <w:szCs w:val="20"/>
        </w:rPr>
        <w:t>Kjeldahl</w:t>
      </w:r>
      <w:proofErr w:type="spellEnd"/>
      <w:r w:rsidRPr="007045BC">
        <w:rPr>
          <w:sz w:val="20"/>
          <w:szCs w:val="20"/>
        </w:rPr>
        <w:t xml:space="preserve"> nitrogen (TKN), heavy metals, chlorinated organic compounds and inorganic salts [</w:t>
      </w:r>
      <w:proofErr w:type="spellStart"/>
      <w:r w:rsidRPr="007045BC">
        <w:rPr>
          <w:bCs/>
          <w:sz w:val="20"/>
          <w:szCs w:val="20"/>
        </w:rPr>
        <w:t>Aygun</w:t>
      </w:r>
      <w:proofErr w:type="spellEnd"/>
      <w:r w:rsidRPr="007045BC">
        <w:rPr>
          <w:bCs/>
          <w:sz w:val="20"/>
          <w:szCs w:val="20"/>
        </w:rPr>
        <w:t xml:space="preserve"> et al., 2012</w:t>
      </w:r>
      <w:r w:rsidRPr="007045BC">
        <w:rPr>
          <w:sz w:val="20"/>
          <w:szCs w:val="20"/>
        </w:rPr>
        <w:t xml:space="preserve">]. </w:t>
      </w:r>
      <w:proofErr w:type="spellStart"/>
      <w:r w:rsidRPr="007045BC">
        <w:rPr>
          <w:sz w:val="20"/>
          <w:szCs w:val="20"/>
        </w:rPr>
        <w:t>Leachate</w:t>
      </w:r>
      <w:proofErr w:type="spellEnd"/>
      <w:r w:rsidRPr="007045BC">
        <w:rPr>
          <w:sz w:val="20"/>
          <w:szCs w:val="20"/>
        </w:rPr>
        <w:t xml:space="preserve"> is heavily polluted waste water with a composition of complexes containing four groups of pollutants; dissolved organic matter, inorganic macro-compounds, heavy metals and </w:t>
      </w:r>
      <w:proofErr w:type="spellStart"/>
      <w:r w:rsidRPr="007045BC">
        <w:rPr>
          <w:sz w:val="20"/>
          <w:szCs w:val="20"/>
        </w:rPr>
        <w:t>xenobiotic</w:t>
      </w:r>
      <w:proofErr w:type="spellEnd"/>
      <w:r w:rsidRPr="007045BC">
        <w:rPr>
          <w:sz w:val="20"/>
          <w:szCs w:val="20"/>
        </w:rPr>
        <w:t xml:space="preserve"> organic compounds [</w:t>
      </w:r>
      <w:proofErr w:type="spellStart"/>
      <w:r w:rsidRPr="007045BC">
        <w:rPr>
          <w:sz w:val="20"/>
          <w:szCs w:val="20"/>
        </w:rPr>
        <w:t>Filho</w:t>
      </w:r>
      <w:proofErr w:type="spellEnd"/>
      <w:r w:rsidRPr="007045BC">
        <w:rPr>
          <w:sz w:val="20"/>
          <w:szCs w:val="20"/>
        </w:rPr>
        <w:t xml:space="preserve"> et al., 2012, </w:t>
      </w:r>
      <w:proofErr w:type="spellStart"/>
      <w:r w:rsidRPr="007045BC">
        <w:rPr>
          <w:sz w:val="20"/>
          <w:szCs w:val="20"/>
        </w:rPr>
        <w:t>Kjeldsen</w:t>
      </w:r>
      <w:proofErr w:type="spellEnd"/>
      <w:r w:rsidRPr="007045BC">
        <w:rPr>
          <w:sz w:val="20"/>
          <w:szCs w:val="20"/>
        </w:rPr>
        <w:t xml:space="preserve"> et al., 2002].</w:t>
      </w:r>
    </w:p>
    <w:p w:rsidR="00F133B2" w:rsidRPr="007045BC" w:rsidRDefault="00F133B2" w:rsidP="007045BC">
      <w:pPr>
        <w:snapToGrid w:val="0"/>
        <w:ind w:firstLine="425"/>
        <w:jc w:val="both"/>
        <w:rPr>
          <w:sz w:val="20"/>
          <w:szCs w:val="20"/>
        </w:rPr>
      </w:pPr>
      <w:r w:rsidRPr="007045BC">
        <w:rPr>
          <w:sz w:val="20"/>
          <w:szCs w:val="20"/>
        </w:rPr>
        <w:t xml:space="preserve">The composition of landfill </w:t>
      </w:r>
      <w:proofErr w:type="spellStart"/>
      <w:r w:rsidRPr="007045BC">
        <w:rPr>
          <w:sz w:val="20"/>
          <w:szCs w:val="20"/>
        </w:rPr>
        <w:t>leachates</w:t>
      </w:r>
      <w:proofErr w:type="spellEnd"/>
      <w:r w:rsidRPr="007045BC">
        <w:rPr>
          <w:sz w:val="20"/>
          <w:szCs w:val="20"/>
        </w:rPr>
        <w:t xml:space="preserve"> varies depending on the nature of the deposited wastes, on soil characteristics, rainfall patterns and on the “age” </w:t>
      </w:r>
      <w:r w:rsidRPr="007045BC">
        <w:rPr>
          <w:sz w:val="20"/>
          <w:szCs w:val="20"/>
        </w:rPr>
        <w:lastRenderedPageBreak/>
        <w:t xml:space="preserve">of the landfill usually in “young landfill </w:t>
      </w:r>
      <w:proofErr w:type="spellStart"/>
      <w:r w:rsidRPr="007045BC">
        <w:rPr>
          <w:sz w:val="20"/>
          <w:szCs w:val="20"/>
        </w:rPr>
        <w:t>leachates</w:t>
      </w:r>
      <w:proofErr w:type="spellEnd"/>
      <w:r w:rsidRPr="007045BC">
        <w:rPr>
          <w:sz w:val="20"/>
          <w:szCs w:val="20"/>
        </w:rPr>
        <w:t>” the dissolved organic matter is mostly made up of volatile fatty acid (i.e. a high BOD/COD ratio) that decrease with increasing landfill age as a result of the anaerobic decomposition that takes place in the landfill site [</w:t>
      </w:r>
      <w:proofErr w:type="spellStart"/>
      <w:r w:rsidRPr="007045BC">
        <w:rPr>
          <w:sz w:val="20"/>
          <w:szCs w:val="20"/>
        </w:rPr>
        <w:t>Mashal</w:t>
      </w:r>
      <w:proofErr w:type="spellEnd"/>
      <w:r w:rsidRPr="007045BC">
        <w:rPr>
          <w:sz w:val="20"/>
          <w:szCs w:val="20"/>
        </w:rPr>
        <w:t xml:space="preserve"> et al., 2012].</w:t>
      </w:r>
    </w:p>
    <w:p w:rsidR="00F133B2" w:rsidRPr="007045BC" w:rsidRDefault="00F133B2" w:rsidP="007045BC">
      <w:pPr>
        <w:snapToGrid w:val="0"/>
        <w:ind w:firstLine="425"/>
        <w:jc w:val="both"/>
        <w:rPr>
          <w:sz w:val="20"/>
          <w:szCs w:val="20"/>
        </w:rPr>
      </w:pPr>
      <w:r w:rsidRPr="007045BC">
        <w:rPr>
          <w:sz w:val="20"/>
          <w:szCs w:val="20"/>
        </w:rPr>
        <w:t>Potassium ferrate has high oxidation capacity, it also possesses the coagulation function, and it is reduced to form ferric ions or ferric hydroxide in the oxidation of other contaminants. Potassium ferrate (VI) as a chemical reagent for water and wastewater treatment has been well reviewed by the authors [Jiang et al., 2005, Jiang and Lloyd 2002].</w:t>
      </w:r>
    </w:p>
    <w:p w:rsidR="00F133B2" w:rsidRPr="007045BC" w:rsidRDefault="00F133B2" w:rsidP="007045BC">
      <w:pPr>
        <w:snapToGrid w:val="0"/>
        <w:ind w:firstLine="425"/>
        <w:jc w:val="both"/>
        <w:rPr>
          <w:sz w:val="20"/>
          <w:szCs w:val="20"/>
        </w:rPr>
      </w:pPr>
      <w:r w:rsidRPr="007045BC">
        <w:rPr>
          <w:sz w:val="20"/>
          <w:szCs w:val="20"/>
        </w:rPr>
        <w:t>Potassium ferrate (K</w:t>
      </w:r>
      <w:r w:rsidRPr="007045BC">
        <w:rPr>
          <w:sz w:val="20"/>
          <w:szCs w:val="20"/>
          <w:vertAlign w:val="subscript"/>
        </w:rPr>
        <w:t>2</w:t>
      </w:r>
      <w:r w:rsidRPr="007045BC">
        <w:rPr>
          <w:sz w:val="20"/>
          <w:szCs w:val="20"/>
        </w:rPr>
        <w:t>FeO</w:t>
      </w:r>
      <w:r w:rsidRPr="007045BC">
        <w:rPr>
          <w:sz w:val="20"/>
          <w:szCs w:val="20"/>
          <w:vertAlign w:val="subscript"/>
        </w:rPr>
        <w:t>4</w:t>
      </w:r>
      <w:r w:rsidRPr="007045BC">
        <w:rPr>
          <w:sz w:val="20"/>
          <w:szCs w:val="20"/>
        </w:rPr>
        <w:t>) is the best known member among the family of iron (IV) derivatives. It is made and purified more easily, and it is also used in making other ferrates. It is both more stable and more readily made [</w:t>
      </w:r>
      <w:proofErr w:type="spellStart"/>
      <w:r w:rsidRPr="007045BC">
        <w:rPr>
          <w:sz w:val="20"/>
          <w:szCs w:val="20"/>
        </w:rPr>
        <w:t>Delaude</w:t>
      </w:r>
      <w:proofErr w:type="spellEnd"/>
      <w:r w:rsidRPr="007045BC">
        <w:rPr>
          <w:sz w:val="20"/>
          <w:szCs w:val="20"/>
        </w:rPr>
        <w:t xml:space="preserve"> and Laszlo 1996]. The ferrate </w:t>
      </w:r>
      <w:proofErr w:type="spellStart"/>
      <w:r w:rsidRPr="007045BC">
        <w:rPr>
          <w:sz w:val="20"/>
          <w:szCs w:val="20"/>
        </w:rPr>
        <w:t>dianion</w:t>
      </w:r>
      <w:proofErr w:type="spellEnd"/>
      <w:r w:rsidRPr="007045BC">
        <w:rPr>
          <w:sz w:val="20"/>
          <w:szCs w:val="20"/>
        </w:rPr>
        <w:t xml:space="preserve"> FeO</w:t>
      </w:r>
      <w:r w:rsidRPr="007045BC">
        <w:rPr>
          <w:sz w:val="20"/>
          <w:szCs w:val="20"/>
          <w:vertAlign w:val="subscript"/>
        </w:rPr>
        <w:t>4</w:t>
      </w:r>
      <w:r w:rsidRPr="007045BC">
        <w:rPr>
          <w:sz w:val="20"/>
          <w:szCs w:val="20"/>
          <w:vertAlign w:val="superscript"/>
        </w:rPr>
        <w:t>2-</w:t>
      </w:r>
      <w:r w:rsidRPr="007045BC">
        <w:rPr>
          <w:sz w:val="20"/>
          <w:szCs w:val="20"/>
        </w:rPr>
        <w:t xml:space="preserve"> has a tetrahedral structure slightly distorted in the crystal state [</w:t>
      </w:r>
      <w:proofErr w:type="spellStart"/>
      <w:r w:rsidRPr="007045BC">
        <w:rPr>
          <w:sz w:val="20"/>
          <w:szCs w:val="20"/>
        </w:rPr>
        <w:t>Delaude</w:t>
      </w:r>
      <w:proofErr w:type="spellEnd"/>
      <w:r w:rsidRPr="007045BC">
        <w:rPr>
          <w:sz w:val="20"/>
          <w:szCs w:val="20"/>
        </w:rPr>
        <w:t xml:space="preserve"> and Laszlo 1996]. The ion remains </w:t>
      </w:r>
      <w:proofErr w:type="spellStart"/>
      <w:r w:rsidRPr="007045BC">
        <w:rPr>
          <w:sz w:val="20"/>
          <w:szCs w:val="20"/>
        </w:rPr>
        <w:t>monomeric</w:t>
      </w:r>
      <w:proofErr w:type="spellEnd"/>
      <w:r w:rsidRPr="007045BC">
        <w:rPr>
          <w:sz w:val="20"/>
          <w:szCs w:val="20"/>
        </w:rPr>
        <w:t xml:space="preserve"> in aqueous solution and its four oxygen atoms become equivalent and exchange slowly with the solvent [</w:t>
      </w:r>
      <w:proofErr w:type="spellStart"/>
      <w:r w:rsidRPr="007045BC">
        <w:rPr>
          <w:sz w:val="20"/>
          <w:szCs w:val="20"/>
        </w:rPr>
        <w:t>Delaude</w:t>
      </w:r>
      <w:proofErr w:type="spellEnd"/>
      <w:r w:rsidRPr="007045BC">
        <w:rPr>
          <w:sz w:val="20"/>
          <w:szCs w:val="20"/>
        </w:rPr>
        <w:t xml:space="preserve"> and Laszlo 1996].</w:t>
      </w:r>
    </w:p>
    <w:p w:rsidR="00F133B2" w:rsidRPr="007045BC" w:rsidRDefault="00F133B2" w:rsidP="007045BC">
      <w:pPr>
        <w:snapToGrid w:val="0"/>
        <w:ind w:firstLine="425"/>
        <w:jc w:val="both"/>
        <w:rPr>
          <w:sz w:val="20"/>
          <w:szCs w:val="20"/>
        </w:rPr>
      </w:pPr>
      <w:r w:rsidRPr="007045BC">
        <w:rPr>
          <w:sz w:val="20"/>
          <w:szCs w:val="20"/>
        </w:rPr>
        <w:t>This study investigates the performance of K</w:t>
      </w:r>
      <w:r w:rsidRPr="007045BC">
        <w:rPr>
          <w:sz w:val="20"/>
          <w:szCs w:val="20"/>
          <w:vertAlign w:val="subscript"/>
        </w:rPr>
        <w:t>2</w:t>
      </w:r>
      <w:r w:rsidRPr="007045BC">
        <w:rPr>
          <w:sz w:val="20"/>
          <w:szCs w:val="20"/>
        </w:rPr>
        <w:t>FeO</w:t>
      </w:r>
      <w:r w:rsidRPr="007045BC">
        <w:rPr>
          <w:sz w:val="20"/>
          <w:szCs w:val="20"/>
          <w:vertAlign w:val="subscript"/>
        </w:rPr>
        <w:t xml:space="preserve">4 </w:t>
      </w:r>
      <w:r w:rsidRPr="007045BC">
        <w:rPr>
          <w:sz w:val="20"/>
          <w:szCs w:val="20"/>
        </w:rPr>
        <w:t xml:space="preserve">for the removal of COD and BOD by the oxidation of landfill </w:t>
      </w:r>
      <w:proofErr w:type="spellStart"/>
      <w:r w:rsidRPr="007045BC">
        <w:rPr>
          <w:sz w:val="20"/>
          <w:szCs w:val="20"/>
        </w:rPr>
        <w:t>leachate</w:t>
      </w:r>
      <w:proofErr w:type="spellEnd"/>
      <w:r w:rsidRPr="007045BC">
        <w:rPr>
          <w:sz w:val="20"/>
          <w:szCs w:val="20"/>
        </w:rPr>
        <w:t xml:space="preserve"> and sewage. The physical and chemical properties of sewage and landfill </w:t>
      </w:r>
      <w:proofErr w:type="spellStart"/>
      <w:r w:rsidRPr="007045BC">
        <w:rPr>
          <w:sz w:val="20"/>
          <w:szCs w:val="20"/>
        </w:rPr>
        <w:t>leachate</w:t>
      </w:r>
      <w:proofErr w:type="spellEnd"/>
      <w:r w:rsidRPr="007045BC">
        <w:rPr>
          <w:sz w:val="20"/>
          <w:szCs w:val="20"/>
        </w:rPr>
        <w:t xml:space="preserve"> were also investigated.</w:t>
      </w:r>
    </w:p>
    <w:p w:rsidR="00EB51F4" w:rsidRPr="007045BC" w:rsidRDefault="00EB51F4" w:rsidP="007045BC">
      <w:pPr>
        <w:snapToGrid w:val="0"/>
        <w:jc w:val="both"/>
        <w:rPr>
          <w:b/>
          <w:sz w:val="20"/>
          <w:szCs w:val="20"/>
        </w:rPr>
      </w:pPr>
    </w:p>
    <w:p w:rsidR="00471E57" w:rsidRPr="007045BC" w:rsidRDefault="00471E57" w:rsidP="007045BC">
      <w:pPr>
        <w:snapToGrid w:val="0"/>
        <w:jc w:val="both"/>
        <w:rPr>
          <w:b/>
          <w:sz w:val="20"/>
          <w:szCs w:val="20"/>
        </w:rPr>
      </w:pPr>
      <w:r w:rsidRPr="007045BC">
        <w:rPr>
          <w:b/>
          <w:sz w:val="20"/>
          <w:szCs w:val="20"/>
        </w:rPr>
        <w:lastRenderedPageBreak/>
        <w:t>2. Material and Methods</w:t>
      </w:r>
    </w:p>
    <w:p w:rsidR="00F133B2" w:rsidRPr="007045BC" w:rsidRDefault="00F133B2" w:rsidP="007045BC">
      <w:pPr>
        <w:autoSpaceDE w:val="0"/>
        <w:autoSpaceDN w:val="0"/>
        <w:adjustRightInd w:val="0"/>
        <w:snapToGrid w:val="0"/>
        <w:jc w:val="both"/>
        <w:rPr>
          <w:b/>
          <w:bCs/>
          <w:sz w:val="20"/>
          <w:szCs w:val="20"/>
        </w:rPr>
      </w:pPr>
      <w:r w:rsidRPr="007045BC">
        <w:rPr>
          <w:b/>
          <w:bCs/>
          <w:sz w:val="20"/>
          <w:szCs w:val="20"/>
        </w:rPr>
        <w:t>Sample collection and preparation</w:t>
      </w:r>
    </w:p>
    <w:p w:rsidR="00F133B2" w:rsidRPr="007045BC" w:rsidRDefault="00F133B2" w:rsidP="007045BC">
      <w:pPr>
        <w:autoSpaceDE w:val="0"/>
        <w:autoSpaceDN w:val="0"/>
        <w:adjustRightInd w:val="0"/>
        <w:snapToGrid w:val="0"/>
        <w:ind w:firstLine="425"/>
        <w:jc w:val="both"/>
        <w:rPr>
          <w:sz w:val="20"/>
          <w:szCs w:val="20"/>
        </w:rPr>
      </w:pPr>
      <w:r w:rsidRPr="007045BC">
        <w:rPr>
          <w:sz w:val="20"/>
          <w:szCs w:val="20"/>
        </w:rPr>
        <w:t xml:space="preserve">The </w:t>
      </w:r>
      <w:proofErr w:type="spellStart"/>
      <w:r w:rsidRPr="007045BC">
        <w:rPr>
          <w:sz w:val="20"/>
          <w:szCs w:val="20"/>
        </w:rPr>
        <w:t>leachate</w:t>
      </w:r>
      <w:proofErr w:type="spellEnd"/>
      <w:r w:rsidRPr="007045BC">
        <w:rPr>
          <w:sz w:val="20"/>
          <w:szCs w:val="20"/>
        </w:rPr>
        <w:t xml:space="preserve"> samples were collected from three different locations and were labeled LFLA, LFLB and LFLC which represent </w:t>
      </w:r>
      <w:proofErr w:type="spellStart"/>
      <w:r w:rsidRPr="007045BC">
        <w:rPr>
          <w:sz w:val="20"/>
          <w:szCs w:val="20"/>
        </w:rPr>
        <w:t>Obehe</w:t>
      </w:r>
      <w:proofErr w:type="spellEnd"/>
      <w:r w:rsidRPr="007045BC">
        <w:rPr>
          <w:sz w:val="20"/>
          <w:szCs w:val="20"/>
        </w:rPr>
        <w:t xml:space="preserve"> Landfill site (</w:t>
      </w:r>
      <w:proofErr w:type="spellStart"/>
      <w:r w:rsidRPr="007045BC">
        <w:rPr>
          <w:sz w:val="20"/>
          <w:szCs w:val="20"/>
        </w:rPr>
        <w:t>Abia</w:t>
      </w:r>
      <w:proofErr w:type="spellEnd"/>
      <w:r w:rsidRPr="007045BC">
        <w:rPr>
          <w:sz w:val="20"/>
          <w:szCs w:val="20"/>
        </w:rPr>
        <w:t xml:space="preserve">, Nigeria), Oba landfill (Onitsha, Nigeria) and </w:t>
      </w:r>
      <w:proofErr w:type="spellStart"/>
      <w:r w:rsidRPr="007045BC">
        <w:rPr>
          <w:sz w:val="20"/>
          <w:szCs w:val="20"/>
        </w:rPr>
        <w:t>Asaba</w:t>
      </w:r>
      <w:proofErr w:type="spellEnd"/>
      <w:r w:rsidRPr="007045BC">
        <w:rPr>
          <w:sz w:val="20"/>
          <w:szCs w:val="20"/>
        </w:rPr>
        <w:t xml:space="preserve"> landfill (Delta, Nigeria) respectively. Sewage samples were also collected from septic tanks in three locations, labeled SWA, SWB and SWC which represent Port Harcourt, </w:t>
      </w:r>
      <w:proofErr w:type="spellStart"/>
      <w:r w:rsidRPr="007045BC">
        <w:rPr>
          <w:sz w:val="20"/>
          <w:szCs w:val="20"/>
        </w:rPr>
        <w:t>Aba</w:t>
      </w:r>
      <w:proofErr w:type="spellEnd"/>
      <w:r w:rsidRPr="007045BC">
        <w:rPr>
          <w:sz w:val="20"/>
          <w:szCs w:val="20"/>
        </w:rPr>
        <w:t xml:space="preserve"> and Onitsha respectively.</w:t>
      </w:r>
    </w:p>
    <w:p w:rsidR="00F133B2" w:rsidRPr="007045BC" w:rsidRDefault="00F133B2" w:rsidP="007045BC">
      <w:pPr>
        <w:autoSpaceDE w:val="0"/>
        <w:autoSpaceDN w:val="0"/>
        <w:adjustRightInd w:val="0"/>
        <w:snapToGrid w:val="0"/>
        <w:jc w:val="both"/>
        <w:rPr>
          <w:b/>
          <w:i/>
          <w:iCs/>
          <w:sz w:val="20"/>
          <w:szCs w:val="20"/>
        </w:rPr>
      </w:pPr>
      <w:r w:rsidRPr="007045BC">
        <w:rPr>
          <w:b/>
          <w:i/>
          <w:iCs/>
          <w:sz w:val="20"/>
          <w:szCs w:val="20"/>
        </w:rPr>
        <w:lastRenderedPageBreak/>
        <w:t>Sample analyses:</w:t>
      </w:r>
    </w:p>
    <w:p w:rsidR="00F133B2" w:rsidRPr="007045BC" w:rsidRDefault="00F133B2" w:rsidP="007045BC">
      <w:pPr>
        <w:autoSpaceDE w:val="0"/>
        <w:autoSpaceDN w:val="0"/>
        <w:adjustRightInd w:val="0"/>
        <w:snapToGrid w:val="0"/>
        <w:ind w:firstLine="425"/>
        <w:jc w:val="both"/>
        <w:rPr>
          <w:sz w:val="20"/>
          <w:szCs w:val="20"/>
        </w:rPr>
      </w:pPr>
      <w:r w:rsidRPr="007045BC">
        <w:rPr>
          <w:sz w:val="20"/>
          <w:szCs w:val="20"/>
        </w:rPr>
        <w:t xml:space="preserve">The samples were taken to the laboratory in sealed plastic bottle, stored at -4 </w:t>
      </w:r>
      <w:r w:rsidRPr="007045BC">
        <w:rPr>
          <w:sz w:val="20"/>
          <w:szCs w:val="20"/>
          <w:vertAlign w:val="superscript"/>
        </w:rPr>
        <w:t>O</w:t>
      </w:r>
      <w:r w:rsidRPr="007045BC">
        <w:rPr>
          <w:sz w:val="20"/>
          <w:szCs w:val="20"/>
        </w:rPr>
        <w:t>C before analyses. The initial pH of the sample was determined by a pH meter, the COD and BOD were determined at 298 K for 30 minutes following standard methods for the examination of water and wastewater [APHA-AWWA, 1989].</w:t>
      </w:r>
    </w:p>
    <w:p w:rsidR="007045BC" w:rsidRDefault="007045BC" w:rsidP="007045BC">
      <w:pPr>
        <w:snapToGrid w:val="0"/>
        <w:jc w:val="both"/>
        <w:rPr>
          <w:b/>
          <w:sz w:val="20"/>
          <w:szCs w:val="20"/>
        </w:rPr>
      </w:pPr>
    </w:p>
    <w:p w:rsidR="00617188" w:rsidRDefault="00617188" w:rsidP="007045BC">
      <w:pPr>
        <w:snapToGrid w:val="0"/>
        <w:jc w:val="both"/>
        <w:rPr>
          <w:b/>
          <w:sz w:val="20"/>
          <w:szCs w:val="20"/>
        </w:rPr>
      </w:pPr>
      <w:r w:rsidRPr="007045BC">
        <w:rPr>
          <w:b/>
          <w:sz w:val="20"/>
          <w:szCs w:val="20"/>
        </w:rPr>
        <w:t>3. Results</w:t>
      </w:r>
      <w:r>
        <w:rPr>
          <w:b/>
          <w:sz w:val="20"/>
          <w:szCs w:val="20"/>
        </w:rPr>
        <w:t xml:space="preserve"> </w:t>
      </w:r>
    </w:p>
    <w:p w:rsidR="00617188" w:rsidRPr="007045BC" w:rsidRDefault="00617188" w:rsidP="007045BC">
      <w:pPr>
        <w:snapToGrid w:val="0"/>
        <w:jc w:val="both"/>
        <w:rPr>
          <w:b/>
          <w:sz w:val="20"/>
          <w:szCs w:val="20"/>
        </w:rPr>
        <w:sectPr w:rsidR="00617188" w:rsidRPr="007045BC" w:rsidSect="007045BC">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F764BB" w:rsidRPr="007045BC" w:rsidRDefault="00F764BB" w:rsidP="007045BC">
      <w:pPr>
        <w:snapToGrid w:val="0"/>
        <w:jc w:val="both"/>
        <w:rPr>
          <w:b/>
          <w:sz w:val="20"/>
          <w:szCs w:val="20"/>
        </w:rPr>
      </w:pPr>
    </w:p>
    <w:p w:rsidR="00F764BB" w:rsidRPr="007045BC" w:rsidRDefault="00F764BB" w:rsidP="007045BC">
      <w:pPr>
        <w:autoSpaceDE w:val="0"/>
        <w:autoSpaceDN w:val="0"/>
        <w:adjustRightInd w:val="0"/>
        <w:snapToGrid w:val="0"/>
        <w:jc w:val="center"/>
        <w:rPr>
          <w:sz w:val="20"/>
          <w:szCs w:val="20"/>
        </w:rPr>
      </w:pPr>
      <w:r w:rsidRPr="007045BC">
        <w:rPr>
          <w:sz w:val="20"/>
          <w:szCs w:val="20"/>
        </w:rPr>
        <w:t xml:space="preserve">Table 1: Physiochemical Properties of Landfill </w:t>
      </w:r>
      <w:proofErr w:type="spellStart"/>
      <w:r w:rsidRPr="007045BC">
        <w:rPr>
          <w:sz w:val="20"/>
          <w:szCs w:val="20"/>
        </w:rPr>
        <w:t>Leachate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2886"/>
        <w:gridCol w:w="2695"/>
        <w:gridCol w:w="2045"/>
      </w:tblGrid>
      <w:tr w:rsidR="00FF1178" w:rsidRPr="007045BC" w:rsidTr="00617188">
        <w:trPr>
          <w:jc w:val="center"/>
        </w:trPr>
        <w:tc>
          <w:tcPr>
            <w:tcW w:w="1018" w:type="pct"/>
            <w:vMerge w:val="restar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PARAMETERS</w:t>
            </w:r>
          </w:p>
        </w:tc>
        <w:tc>
          <w:tcPr>
            <w:tcW w:w="3982" w:type="pct"/>
            <w:gridSpan w:val="3"/>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SAMPLES</w:t>
            </w:r>
          </w:p>
        </w:tc>
      </w:tr>
      <w:tr w:rsidR="00FF1178" w:rsidRPr="007045BC" w:rsidTr="00617188">
        <w:trPr>
          <w:jc w:val="center"/>
        </w:trPr>
        <w:tc>
          <w:tcPr>
            <w:tcW w:w="1018" w:type="pct"/>
            <w:vMerge/>
            <w:vAlign w:val="center"/>
          </w:tcPr>
          <w:p w:rsidR="00FF1178" w:rsidRPr="007045BC" w:rsidRDefault="00FF1178" w:rsidP="007045BC">
            <w:pPr>
              <w:pStyle w:val="NoSpacing"/>
              <w:snapToGrid w:val="0"/>
              <w:jc w:val="both"/>
              <w:rPr>
                <w:rFonts w:ascii="Times New Roman" w:hAnsi="Times New Roman"/>
                <w:color w:val="000000"/>
                <w:sz w:val="20"/>
                <w:szCs w:val="20"/>
              </w:rPr>
            </w:pP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LFLA</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LFLB</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LFLC</w:t>
            </w:r>
          </w:p>
        </w:tc>
      </w:tr>
      <w:tr w:rsidR="00FF1178" w:rsidRPr="007045BC" w:rsidTr="00617188">
        <w:trPr>
          <w:jc w:val="center"/>
        </w:trPr>
        <w:tc>
          <w:tcPr>
            <w:tcW w:w="101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BOD (MgL-1)</w:t>
            </w: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20420.13 ± 0.60</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17700 ± 0.60</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13400 ± 0.80</w:t>
            </w:r>
          </w:p>
        </w:tc>
      </w:tr>
      <w:tr w:rsidR="00FF1178" w:rsidRPr="007045BC" w:rsidTr="00617188">
        <w:trPr>
          <w:jc w:val="center"/>
        </w:trPr>
        <w:tc>
          <w:tcPr>
            <w:tcW w:w="101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COD (MgL-1)</w:t>
            </w: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33400 ± 0.20</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28031 ± 2.60</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16930 ± 2.00</w:t>
            </w:r>
          </w:p>
        </w:tc>
      </w:tr>
      <w:tr w:rsidR="00FF1178" w:rsidRPr="007045BC" w:rsidTr="00617188">
        <w:trPr>
          <w:jc w:val="center"/>
        </w:trPr>
        <w:tc>
          <w:tcPr>
            <w:tcW w:w="101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DO (MgL-1)</w:t>
            </w: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1.03 ± 0.05</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1.80 ± 0.01</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2.50 ± 0.50</w:t>
            </w:r>
          </w:p>
        </w:tc>
      </w:tr>
      <w:tr w:rsidR="00FF1178" w:rsidRPr="007045BC" w:rsidTr="00617188">
        <w:trPr>
          <w:jc w:val="center"/>
        </w:trPr>
        <w:tc>
          <w:tcPr>
            <w:tcW w:w="101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TDS (MgL-1)</w:t>
            </w: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16340 ± 2.20</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9340.40 ± 1.50</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6450 ± 1.30</w:t>
            </w:r>
          </w:p>
        </w:tc>
      </w:tr>
      <w:tr w:rsidR="00FF1178" w:rsidRPr="007045BC" w:rsidTr="00617188">
        <w:trPr>
          <w:jc w:val="center"/>
        </w:trPr>
        <w:tc>
          <w:tcPr>
            <w:tcW w:w="101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TSS  (MgL-1)</w:t>
            </w: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693.40 ± 0.20</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1430.70 ± 1.30</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1780.20 ± 2.30</w:t>
            </w:r>
          </w:p>
        </w:tc>
      </w:tr>
      <w:tr w:rsidR="00FF1178" w:rsidRPr="007045BC" w:rsidTr="00617188">
        <w:trPr>
          <w:jc w:val="center"/>
        </w:trPr>
        <w:tc>
          <w:tcPr>
            <w:tcW w:w="101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EC(µSCM-1)</w:t>
            </w: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3140.15 ± 3.40</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1634.00 ± 1.10</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2130.00 ± 1.80</w:t>
            </w:r>
          </w:p>
        </w:tc>
      </w:tr>
      <w:tr w:rsidR="00FF1178" w:rsidRPr="007045BC" w:rsidTr="00617188">
        <w:trPr>
          <w:jc w:val="center"/>
        </w:trPr>
        <w:tc>
          <w:tcPr>
            <w:tcW w:w="101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pH</w:t>
            </w:r>
          </w:p>
        </w:tc>
        <w:tc>
          <w:tcPr>
            <w:tcW w:w="15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6.80</w:t>
            </w:r>
          </w:p>
        </w:tc>
        <w:tc>
          <w:tcPr>
            <w:tcW w:w="1407"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7.40</w:t>
            </w:r>
          </w:p>
        </w:tc>
        <w:tc>
          <w:tcPr>
            <w:tcW w:w="1068" w:type="pct"/>
            <w:vAlign w:val="center"/>
          </w:tcPr>
          <w:p w:rsidR="00FF1178" w:rsidRPr="007045BC" w:rsidRDefault="00FF1178" w:rsidP="007045BC">
            <w:pPr>
              <w:pStyle w:val="NoSpacing"/>
              <w:snapToGrid w:val="0"/>
              <w:jc w:val="both"/>
              <w:rPr>
                <w:rFonts w:ascii="Times New Roman" w:hAnsi="Times New Roman"/>
                <w:color w:val="000000"/>
                <w:sz w:val="20"/>
                <w:szCs w:val="20"/>
              </w:rPr>
            </w:pPr>
            <w:r w:rsidRPr="007045BC">
              <w:rPr>
                <w:rFonts w:ascii="Times New Roman" w:hAnsi="Times New Roman"/>
                <w:color w:val="000000"/>
                <w:sz w:val="20"/>
                <w:szCs w:val="20"/>
              </w:rPr>
              <w:t>8.60</w:t>
            </w:r>
          </w:p>
        </w:tc>
      </w:tr>
    </w:tbl>
    <w:p w:rsidR="00FF1178" w:rsidRPr="007045BC" w:rsidRDefault="00FF1178" w:rsidP="007045BC">
      <w:pPr>
        <w:autoSpaceDE w:val="0"/>
        <w:autoSpaceDN w:val="0"/>
        <w:adjustRightInd w:val="0"/>
        <w:snapToGrid w:val="0"/>
        <w:jc w:val="center"/>
        <w:rPr>
          <w:sz w:val="20"/>
          <w:szCs w:val="20"/>
        </w:rPr>
      </w:pPr>
    </w:p>
    <w:p w:rsidR="00FF1178" w:rsidRPr="007045BC" w:rsidRDefault="00FF1178" w:rsidP="007045BC">
      <w:pPr>
        <w:autoSpaceDE w:val="0"/>
        <w:autoSpaceDN w:val="0"/>
        <w:adjustRightInd w:val="0"/>
        <w:snapToGrid w:val="0"/>
        <w:jc w:val="center"/>
        <w:rPr>
          <w:sz w:val="20"/>
          <w:szCs w:val="20"/>
        </w:rPr>
      </w:pPr>
      <w:r w:rsidRPr="007045BC">
        <w:rPr>
          <w:sz w:val="20"/>
          <w:szCs w:val="20"/>
        </w:rPr>
        <w:t>Table 2. Physiochemical Properties of Sewage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308"/>
        <w:gridCol w:w="2471"/>
        <w:gridCol w:w="2308"/>
      </w:tblGrid>
      <w:tr w:rsidR="00FF1178" w:rsidRPr="007045BC" w:rsidTr="00617188">
        <w:trPr>
          <w:jc w:val="center"/>
        </w:trPr>
        <w:tc>
          <w:tcPr>
            <w:tcW w:w="1300" w:type="pct"/>
            <w:vMerge w:val="restar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PARAMETERS</w:t>
            </w:r>
          </w:p>
        </w:tc>
        <w:tc>
          <w:tcPr>
            <w:tcW w:w="3700" w:type="pct"/>
            <w:gridSpan w:val="3"/>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SAMPLES</w:t>
            </w:r>
          </w:p>
        </w:tc>
      </w:tr>
      <w:tr w:rsidR="00FF1178" w:rsidRPr="007045BC" w:rsidTr="00617188">
        <w:trPr>
          <w:jc w:val="center"/>
        </w:trPr>
        <w:tc>
          <w:tcPr>
            <w:tcW w:w="1300" w:type="pct"/>
            <w:vMerge/>
            <w:shd w:val="clear" w:color="auto" w:fill="auto"/>
            <w:vAlign w:val="center"/>
          </w:tcPr>
          <w:p w:rsidR="00FF1178" w:rsidRPr="007045BC" w:rsidRDefault="00FF1178" w:rsidP="007045BC">
            <w:pPr>
              <w:snapToGrid w:val="0"/>
              <w:jc w:val="both"/>
              <w:rPr>
                <w:rFonts w:eastAsia="Calibri"/>
                <w:color w:val="000000"/>
                <w:sz w:val="20"/>
                <w:szCs w:val="20"/>
              </w:rPr>
            </w:pP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SWA</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SWB</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SWC</w:t>
            </w:r>
          </w:p>
        </w:tc>
      </w:tr>
      <w:tr w:rsidR="00FF1178" w:rsidRPr="007045BC" w:rsidTr="00617188">
        <w:trPr>
          <w:jc w:val="center"/>
        </w:trPr>
        <w:tc>
          <w:tcPr>
            <w:tcW w:w="130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BOD (MgL</w:t>
            </w:r>
            <w:r w:rsidRPr="007045BC">
              <w:rPr>
                <w:rFonts w:eastAsia="Calibri"/>
                <w:color w:val="000000"/>
                <w:sz w:val="20"/>
                <w:szCs w:val="20"/>
                <w:vertAlign w:val="superscript"/>
              </w:rPr>
              <w:t>-1</w:t>
            </w:r>
            <w:r w:rsidRPr="007045BC">
              <w:rPr>
                <w:rFonts w:eastAsia="Calibri"/>
                <w:color w:val="000000"/>
                <w:sz w:val="20"/>
                <w:szCs w:val="20"/>
              </w:rPr>
              <w:t>)</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310.60 ± 0.10</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260.10 ± 0.30</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113.30 ± 0.30</w:t>
            </w:r>
          </w:p>
        </w:tc>
      </w:tr>
      <w:tr w:rsidR="00FF1178" w:rsidRPr="007045BC" w:rsidTr="00617188">
        <w:trPr>
          <w:jc w:val="center"/>
        </w:trPr>
        <w:tc>
          <w:tcPr>
            <w:tcW w:w="130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COD (MgL</w:t>
            </w:r>
            <w:r w:rsidRPr="007045BC">
              <w:rPr>
                <w:rFonts w:eastAsia="Calibri"/>
                <w:color w:val="000000"/>
                <w:sz w:val="20"/>
                <w:szCs w:val="20"/>
                <w:vertAlign w:val="superscript"/>
              </w:rPr>
              <w:t>-1</w:t>
            </w:r>
            <w:r w:rsidRPr="007045BC">
              <w:rPr>
                <w:rFonts w:eastAsia="Calibri"/>
                <w:color w:val="000000"/>
                <w:sz w:val="20"/>
                <w:szCs w:val="20"/>
              </w:rPr>
              <w:t>)</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840.30 ± 0.60</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1094.40 ± 1.40</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7540.70 ± 1.80</w:t>
            </w:r>
          </w:p>
        </w:tc>
      </w:tr>
      <w:tr w:rsidR="00FF1178" w:rsidRPr="007045BC" w:rsidTr="00617188">
        <w:trPr>
          <w:jc w:val="center"/>
        </w:trPr>
        <w:tc>
          <w:tcPr>
            <w:tcW w:w="130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DO (MgL</w:t>
            </w:r>
            <w:r w:rsidRPr="007045BC">
              <w:rPr>
                <w:rFonts w:eastAsia="Calibri"/>
                <w:color w:val="000000"/>
                <w:sz w:val="20"/>
                <w:szCs w:val="20"/>
                <w:vertAlign w:val="superscript"/>
              </w:rPr>
              <w:t>-1</w:t>
            </w:r>
            <w:r w:rsidRPr="007045BC">
              <w:rPr>
                <w:rFonts w:eastAsia="Calibri"/>
                <w:color w:val="000000"/>
                <w:sz w:val="20"/>
                <w:szCs w:val="20"/>
              </w:rPr>
              <w:t>)</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0.06 ± 0.30</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0.10 ± 0.00</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NIL</w:t>
            </w:r>
          </w:p>
        </w:tc>
      </w:tr>
      <w:tr w:rsidR="00FF1178" w:rsidRPr="007045BC" w:rsidTr="00617188">
        <w:trPr>
          <w:jc w:val="center"/>
        </w:trPr>
        <w:tc>
          <w:tcPr>
            <w:tcW w:w="130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TDS (MgL</w:t>
            </w:r>
            <w:r w:rsidRPr="007045BC">
              <w:rPr>
                <w:rFonts w:eastAsia="Calibri"/>
                <w:color w:val="000000"/>
                <w:sz w:val="20"/>
                <w:szCs w:val="20"/>
                <w:vertAlign w:val="superscript"/>
              </w:rPr>
              <w:t>-1</w:t>
            </w:r>
            <w:r w:rsidRPr="007045BC">
              <w:rPr>
                <w:rFonts w:eastAsia="Calibri"/>
                <w:color w:val="000000"/>
                <w:sz w:val="20"/>
                <w:szCs w:val="20"/>
              </w:rPr>
              <w:t>)</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1070.60 ± 1.20</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959.00 ± 1.40</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1120.70 ±</w:t>
            </w:r>
          </w:p>
        </w:tc>
      </w:tr>
      <w:tr w:rsidR="00FF1178" w:rsidRPr="007045BC" w:rsidTr="00617188">
        <w:trPr>
          <w:jc w:val="center"/>
        </w:trPr>
        <w:tc>
          <w:tcPr>
            <w:tcW w:w="130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TSS  (MgL</w:t>
            </w:r>
            <w:r w:rsidRPr="007045BC">
              <w:rPr>
                <w:rFonts w:eastAsia="Calibri"/>
                <w:color w:val="000000"/>
                <w:sz w:val="20"/>
                <w:szCs w:val="20"/>
                <w:vertAlign w:val="superscript"/>
              </w:rPr>
              <w:t>-1</w:t>
            </w:r>
            <w:r w:rsidRPr="007045BC">
              <w:rPr>
                <w:rFonts w:eastAsia="Calibri"/>
                <w:color w:val="000000"/>
                <w:sz w:val="20"/>
                <w:szCs w:val="20"/>
              </w:rPr>
              <w:t>)</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14560 ± 1.60</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18800.50 ± 0.70</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21000 ± 1.80</w:t>
            </w:r>
          </w:p>
        </w:tc>
      </w:tr>
      <w:tr w:rsidR="00FF1178" w:rsidRPr="007045BC" w:rsidTr="00617188">
        <w:trPr>
          <w:jc w:val="center"/>
        </w:trPr>
        <w:tc>
          <w:tcPr>
            <w:tcW w:w="130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EC(µSCM</w:t>
            </w:r>
            <w:r w:rsidRPr="007045BC">
              <w:rPr>
                <w:rFonts w:eastAsia="Calibri"/>
                <w:color w:val="000000"/>
                <w:sz w:val="20"/>
                <w:szCs w:val="20"/>
                <w:vertAlign w:val="superscript"/>
              </w:rPr>
              <w:t>-1</w:t>
            </w:r>
            <w:r w:rsidRPr="007045BC">
              <w:rPr>
                <w:rFonts w:eastAsia="Calibri"/>
                <w:color w:val="000000"/>
                <w:sz w:val="20"/>
                <w:szCs w:val="20"/>
              </w:rPr>
              <w:t>)</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970.60 ± 0.70</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1279.00 ± 2.40</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1600.80 ± 0.90</w:t>
            </w:r>
          </w:p>
        </w:tc>
      </w:tr>
      <w:tr w:rsidR="00FF1178" w:rsidRPr="007045BC" w:rsidTr="00617188">
        <w:trPr>
          <w:jc w:val="center"/>
        </w:trPr>
        <w:tc>
          <w:tcPr>
            <w:tcW w:w="130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pH</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8.70</w:t>
            </w:r>
          </w:p>
        </w:tc>
        <w:tc>
          <w:tcPr>
            <w:tcW w:w="1290"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7.50</w:t>
            </w:r>
          </w:p>
        </w:tc>
        <w:tc>
          <w:tcPr>
            <w:tcW w:w="120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6.60</w:t>
            </w:r>
          </w:p>
        </w:tc>
      </w:tr>
    </w:tbl>
    <w:p w:rsidR="00EE5D78" w:rsidRPr="007045BC" w:rsidRDefault="00EE5D78" w:rsidP="007045BC">
      <w:pPr>
        <w:autoSpaceDE w:val="0"/>
        <w:autoSpaceDN w:val="0"/>
        <w:adjustRightInd w:val="0"/>
        <w:snapToGrid w:val="0"/>
        <w:jc w:val="center"/>
        <w:rPr>
          <w:sz w:val="20"/>
          <w:szCs w:val="20"/>
        </w:rPr>
      </w:pPr>
    </w:p>
    <w:p w:rsidR="00FF1178" w:rsidRPr="007045BC" w:rsidRDefault="00FF1178" w:rsidP="007045BC">
      <w:pPr>
        <w:autoSpaceDE w:val="0"/>
        <w:autoSpaceDN w:val="0"/>
        <w:adjustRightInd w:val="0"/>
        <w:snapToGrid w:val="0"/>
        <w:jc w:val="center"/>
        <w:rPr>
          <w:sz w:val="20"/>
          <w:szCs w:val="20"/>
        </w:rPr>
      </w:pPr>
      <w:r w:rsidRPr="007045BC">
        <w:rPr>
          <w:sz w:val="20"/>
          <w:szCs w:val="20"/>
        </w:rPr>
        <w:t>Table 3. Percentage Removal of COD by K</w:t>
      </w:r>
      <w:r w:rsidRPr="007045BC">
        <w:rPr>
          <w:sz w:val="20"/>
          <w:szCs w:val="20"/>
          <w:vertAlign w:val="subscript"/>
        </w:rPr>
        <w:t>2</w:t>
      </w:r>
      <w:r w:rsidRPr="007045BC">
        <w:rPr>
          <w:sz w:val="20"/>
          <w:szCs w:val="20"/>
        </w:rPr>
        <w:t>FeO</w:t>
      </w:r>
      <w:r w:rsidRPr="007045BC">
        <w:rPr>
          <w:sz w:val="20"/>
          <w:szCs w:val="20"/>
          <w:vertAlign w:val="subscript"/>
        </w:rPr>
        <w:t>4</w:t>
      </w:r>
      <w:r w:rsidRPr="007045BC">
        <w:rPr>
          <w:sz w:val="20"/>
          <w:szCs w:val="20"/>
        </w:rPr>
        <w:t xml:space="preserve"> at 298 K for 30 minutes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2137"/>
        <w:gridCol w:w="2384"/>
        <w:gridCol w:w="2848"/>
      </w:tblGrid>
      <w:tr w:rsidR="00FF1178" w:rsidRPr="007045BC" w:rsidTr="00617188">
        <w:trPr>
          <w:jc w:val="center"/>
        </w:trPr>
        <w:tc>
          <w:tcPr>
            <w:tcW w:w="115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Samples</w:t>
            </w:r>
          </w:p>
        </w:tc>
        <w:tc>
          <w:tcPr>
            <w:tcW w:w="1116"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Co</w:t>
            </w:r>
          </w:p>
        </w:tc>
        <w:tc>
          <w:tcPr>
            <w:tcW w:w="124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Ct</w:t>
            </w:r>
          </w:p>
        </w:tc>
        <w:tc>
          <w:tcPr>
            <w:tcW w:w="1488"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 Removal</w:t>
            </w:r>
          </w:p>
        </w:tc>
      </w:tr>
      <w:tr w:rsidR="00FF1178" w:rsidRPr="007045BC" w:rsidTr="00617188">
        <w:trPr>
          <w:jc w:val="center"/>
        </w:trPr>
        <w:tc>
          <w:tcPr>
            <w:tcW w:w="115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LFLA</w:t>
            </w:r>
          </w:p>
        </w:tc>
        <w:tc>
          <w:tcPr>
            <w:tcW w:w="1116"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33400</w:t>
            </w:r>
          </w:p>
        </w:tc>
        <w:tc>
          <w:tcPr>
            <w:tcW w:w="124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12792.20</w:t>
            </w:r>
          </w:p>
        </w:tc>
        <w:tc>
          <w:tcPr>
            <w:tcW w:w="1488"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61.70</w:t>
            </w:r>
          </w:p>
        </w:tc>
      </w:tr>
      <w:tr w:rsidR="00FF1178" w:rsidRPr="007045BC" w:rsidTr="00617188">
        <w:trPr>
          <w:jc w:val="center"/>
        </w:trPr>
        <w:tc>
          <w:tcPr>
            <w:tcW w:w="115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LFLB</w:t>
            </w:r>
          </w:p>
        </w:tc>
        <w:tc>
          <w:tcPr>
            <w:tcW w:w="1116"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28031</w:t>
            </w:r>
          </w:p>
        </w:tc>
        <w:tc>
          <w:tcPr>
            <w:tcW w:w="124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9979</w:t>
            </w:r>
          </w:p>
        </w:tc>
        <w:tc>
          <w:tcPr>
            <w:tcW w:w="1488"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64.40</w:t>
            </w:r>
          </w:p>
        </w:tc>
      </w:tr>
      <w:tr w:rsidR="00FF1178" w:rsidRPr="007045BC" w:rsidTr="00617188">
        <w:trPr>
          <w:jc w:val="center"/>
        </w:trPr>
        <w:tc>
          <w:tcPr>
            <w:tcW w:w="115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LFLC</w:t>
            </w:r>
          </w:p>
        </w:tc>
        <w:tc>
          <w:tcPr>
            <w:tcW w:w="1116"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16930</w:t>
            </w:r>
          </w:p>
        </w:tc>
        <w:tc>
          <w:tcPr>
            <w:tcW w:w="124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5079</w:t>
            </w:r>
          </w:p>
        </w:tc>
        <w:tc>
          <w:tcPr>
            <w:tcW w:w="1488"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70.00</w:t>
            </w:r>
          </w:p>
        </w:tc>
      </w:tr>
      <w:tr w:rsidR="00FF1178" w:rsidRPr="007045BC" w:rsidTr="00617188">
        <w:trPr>
          <w:jc w:val="center"/>
        </w:trPr>
        <w:tc>
          <w:tcPr>
            <w:tcW w:w="115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SWA</w:t>
            </w:r>
          </w:p>
        </w:tc>
        <w:tc>
          <w:tcPr>
            <w:tcW w:w="1116"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840.30</w:t>
            </w:r>
          </w:p>
        </w:tc>
        <w:tc>
          <w:tcPr>
            <w:tcW w:w="124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307.55</w:t>
            </w:r>
          </w:p>
        </w:tc>
        <w:tc>
          <w:tcPr>
            <w:tcW w:w="1488"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63.40</w:t>
            </w:r>
          </w:p>
        </w:tc>
      </w:tr>
      <w:tr w:rsidR="00FF1178" w:rsidRPr="007045BC" w:rsidTr="00617188">
        <w:trPr>
          <w:jc w:val="center"/>
        </w:trPr>
        <w:tc>
          <w:tcPr>
            <w:tcW w:w="115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SWB</w:t>
            </w:r>
          </w:p>
        </w:tc>
        <w:tc>
          <w:tcPr>
            <w:tcW w:w="1116"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1094.40</w:t>
            </w:r>
          </w:p>
        </w:tc>
        <w:tc>
          <w:tcPr>
            <w:tcW w:w="124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342.50</w:t>
            </w:r>
          </w:p>
        </w:tc>
        <w:tc>
          <w:tcPr>
            <w:tcW w:w="1488"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68.70</w:t>
            </w:r>
          </w:p>
        </w:tc>
      </w:tr>
      <w:tr w:rsidR="00FF1178" w:rsidRPr="007045BC" w:rsidTr="00617188">
        <w:trPr>
          <w:jc w:val="center"/>
        </w:trPr>
        <w:tc>
          <w:tcPr>
            <w:tcW w:w="115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SWC</w:t>
            </w:r>
          </w:p>
        </w:tc>
        <w:tc>
          <w:tcPr>
            <w:tcW w:w="1116"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7540.70</w:t>
            </w:r>
          </w:p>
        </w:tc>
        <w:tc>
          <w:tcPr>
            <w:tcW w:w="1245"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2940.87</w:t>
            </w:r>
          </w:p>
        </w:tc>
        <w:tc>
          <w:tcPr>
            <w:tcW w:w="1488"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61.00</w:t>
            </w:r>
          </w:p>
        </w:tc>
      </w:tr>
    </w:tbl>
    <w:p w:rsidR="00FF1178" w:rsidRPr="007045BC" w:rsidRDefault="00FF1178" w:rsidP="007045BC">
      <w:pPr>
        <w:snapToGrid w:val="0"/>
        <w:jc w:val="both"/>
        <w:rPr>
          <w:sz w:val="20"/>
          <w:szCs w:val="20"/>
        </w:rPr>
      </w:pPr>
      <w:r w:rsidRPr="007045BC">
        <w:rPr>
          <w:sz w:val="20"/>
          <w:szCs w:val="20"/>
        </w:rPr>
        <w:t>C</w:t>
      </w:r>
      <w:r w:rsidRPr="007045BC">
        <w:rPr>
          <w:sz w:val="20"/>
          <w:szCs w:val="20"/>
          <w:vertAlign w:val="subscript"/>
        </w:rPr>
        <w:t>o</w:t>
      </w:r>
      <w:r w:rsidRPr="007045BC">
        <w:rPr>
          <w:sz w:val="20"/>
          <w:szCs w:val="20"/>
        </w:rPr>
        <w:t>= Initial concentration, C</w:t>
      </w:r>
      <w:r w:rsidRPr="007045BC">
        <w:rPr>
          <w:sz w:val="20"/>
          <w:szCs w:val="20"/>
          <w:vertAlign w:val="subscript"/>
        </w:rPr>
        <w:t xml:space="preserve">t </w:t>
      </w:r>
      <w:r w:rsidRPr="007045BC">
        <w:rPr>
          <w:sz w:val="20"/>
          <w:szCs w:val="20"/>
        </w:rPr>
        <w:t>= Concentration at 30 minutes</w:t>
      </w:r>
    </w:p>
    <w:p w:rsidR="00FF1178" w:rsidRPr="007045BC" w:rsidRDefault="00FF1178" w:rsidP="007045BC">
      <w:pPr>
        <w:autoSpaceDE w:val="0"/>
        <w:autoSpaceDN w:val="0"/>
        <w:adjustRightInd w:val="0"/>
        <w:snapToGrid w:val="0"/>
        <w:ind w:firstLine="425"/>
        <w:jc w:val="both"/>
        <w:rPr>
          <w:sz w:val="20"/>
          <w:szCs w:val="20"/>
        </w:rPr>
      </w:pPr>
    </w:p>
    <w:p w:rsidR="00FF1178" w:rsidRPr="007045BC" w:rsidRDefault="00FF1178" w:rsidP="007045BC">
      <w:pPr>
        <w:autoSpaceDE w:val="0"/>
        <w:autoSpaceDN w:val="0"/>
        <w:adjustRightInd w:val="0"/>
        <w:snapToGrid w:val="0"/>
        <w:jc w:val="center"/>
        <w:rPr>
          <w:sz w:val="20"/>
          <w:szCs w:val="20"/>
        </w:rPr>
      </w:pPr>
      <w:r w:rsidRPr="007045BC">
        <w:rPr>
          <w:sz w:val="20"/>
          <w:szCs w:val="20"/>
        </w:rPr>
        <w:t>Table 4. Percentage Removal of BOD by K</w:t>
      </w:r>
      <w:r w:rsidRPr="007045BC">
        <w:rPr>
          <w:sz w:val="20"/>
          <w:szCs w:val="20"/>
          <w:vertAlign w:val="subscript"/>
        </w:rPr>
        <w:t>2</w:t>
      </w:r>
      <w:r w:rsidRPr="007045BC">
        <w:rPr>
          <w:sz w:val="20"/>
          <w:szCs w:val="20"/>
        </w:rPr>
        <w:t>FeO</w:t>
      </w:r>
      <w:r w:rsidRPr="007045BC">
        <w:rPr>
          <w:sz w:val="20"/>
          <w:szCs w:val="20"/>
          <w:vertAlign w:val="subscript"/>
        </w:rPr>
        <w:t>4</w:t>
      </w:r>
      <w:r w:rsidRPr="007045BC">
        <w:rPr>
          <w:sz w:val="20"/>
          <w:szCs w:val="20"/>
        </w:rPr>
        <w:t xml:space="preserve"> at 298 K for 30 minutes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940"/>
        <w:gridCol w:w="2446"/>
        <w:gridCol w:w="2925"/>
      </w:tblGrid>
      <w:tr w:rsidR="00FF1178" w:rsidRPr="007045BC" w:rsidTr="00617188">
        <w:trPr>
          <w:jc w:val="center"/>
        </w:trPr>
        <w:tc>
          <w:tcPr>
            <w:tcW w:w="118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Samples</w:t>
            </w:r>
          </w:p>
        </w:tc>
        <w:tc>
          <w:tcPr>
            <w:tcW w:w="1013"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Co</w:t>
            </w:r>
          </w:p>
        </w:tc>
        <w:tc>
          <w:tcPr>
            <w:tcW w:w="127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Ct</w:t>
            </w:r>
          </w:p>
        </w:tc>
        <w:tc>
          <w:tcPr>
            <w:tcW w:w="152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 Removal</w:t>
            </w:r>
          </w:p>
        </w:tc>
      </w:tr>
      <w:tr w:rsidR="00FF1178" w:rsidRPr="007045BC" w:rsidTr="00617188">
        <w:trPr>
          <w:jc w:val="center"/>
        </w:trPr>
        <w:tc>
          <w:tcPr>
            <w:tcW w:w="118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LFLA</w:t>
            </w:r>
          </w:p>
        </w:tc>
        <w:tc>
          <w:tcPr>
            <w:tcW w:w="1013"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20420</w:t>
            </w:r>
          </w:p>
        </w:tc>
        <w:tc>
          <w:tcPr>
            <w:tcW w:w="127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11721.08</w:t>
            </w:r>
          </w:p>
        </w:tc>
        <w:tc>
          <w:tcPr>
            <w:tcW w:w="152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42.60</w:t>
            </w:r>
          </w:p>
        </w:tc>
      </w:tr>
      <w:tr w:rsidR="00FF1178" w:rsidRPr="007045BC" w:rsidTr="00617188">
        <w:trPr>
          <w:jc w:val="center"/>
        </w:trPr>
        <w:tc>
          <w:tcPr>
            <w:tcW w:w="118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LFLB</w:t>
            </w:r>
          </w:p>
        </w:tc>
        <w:tc>
          <w:tcPr>
            <w:tcW w:w="1013"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17700</w:t>
            </w:r>
          </w:p>
        </w:tc>
        <w:tc>
          <w:tcPr>
            <w:tcW w:w="127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8796.90</w:t>
            </w:r>
          </w:p>
        </w:tc>
        <w:tc>
          <w:tcPr>
            <w:tcW w:w="152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50.30</w:t>
            </w:r>
          </w:p>
        </w:tc>
      </w:tr>
      <w:tr w:rsidR="00FF1178" w:rsidRPr="007045BC" w:rsidTr="00617188">
        <w:trPr>
          <w:jc w:val="center"/>
        </w:trPr>
        <w:tc>
          <w:tcPr>
            <w:tcW w:w="118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LFLC</w:t>
            </w:r>
          </w:p>
        </w:tc>
        <w:tc>
          <w:tcPr>
            <w:tcW w:w="1013"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13400</w:t>
            </w:r>
          </w:p>
        </w:tc>
        <w:tc>
          <w:tcPr>
            <w:tcW w:w="127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6231</w:t>
            </w:r>
          </w:p>
        </w:tc>
        <w:tc>
          <w:tcPr>
            <w:tcW w:w="152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53.50</w:t>
            </w:r>
          </w:p>
        </w:tc>
      </w:tr>
      <w:tr w:rsidR="00FF1178" w:rsidRPr="007045BC" w:rsidTr="00617188">
        <w:trPr>
          <w:jc w:val="center"/>
        </w:trPr>
        <w:tc>
          <w:tcPr>
            <w:tcW w:w="118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SWA</w:t>
            </w:r>
          </w:p>
        </w:tc>
        <w:tc>
          <w:tcPr>
            <w:tcW w:w="1013"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310.60</w:t>
            </w:r>
          </w:p>
        </w:tc>
        <w:tc>
          <w:tcPr>
            <w:tcW w:w="127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160.20</w:t>
            </w:r>
          </w:p>
        </w:tc>
        <w:tc>
          <w:tcPr>
            <w:tcW w:w="152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48.30</w:t>
            </w:r>
          </w:p>
        </w:tc>
      </w:tr>
      <w:tr w:rsidR="00FF1178" w:rsidRPr="007045BC" w:rsidTr="00617188">
        <w:trPr>
          <w:jc w:val="center"/>
        </w:trPr>
        <w:tc>
          <w:tcPr>
            <w:tcW w:w="118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SWB</w:t>
            </w:r>
          </w:p>
        </w:tc>
        <w:tc>
          <w:tcPr>
            <w:tcW w:w="1013"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260.10</w:t>
            </w:r>
          </w:p>
        </w:tc>
        <w:tc>
          <w:tcPr>
            <w:tcW w:w="127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109.50</w:t>
            </w:r>
          </w:p>
        </w:tc>
        <w:tc>
          <w:tcPr>
            <w:tcW w:w="152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57.90</w:t>
            </w:r>
          </w:p>
        </w:tc>
      </w:tr>
      <w:tr w:rsidR="00FF1178" w:rsidRPr="007045BC" w:rsidTr="00617188">
        <w:trPr>
          <w:jc w:val="center"/>
        </w:trPr>
        <w:tc>
          <w:tcPr>
            <w:tcW w:w="1182"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SWC</w:t>
            </w:r>
          </w:p>
        </w:tc>
        <w:tc>
          <w:tcPr>
            <w:tcW w:w="1013"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113.30</w:t>
            </w:r>
          </w:p>
        </w:tc>
        <w:tc>
          <w:tcPr>
            <w:tcW w:w="127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44.98</w:t>
            </w:r>
          </w:p>
        </w:tc>
        <w:tc>
          <w:tcPr>
            <w:tcW w:w="1527" w:type="pct"/>
            <w:shd w:val="clear" w:color="auto" w:fill="auto"/>
            <w:vAlign w:val="center"/>
          </w:tcPr>
          <w:p w:rsidR="00FF1178" w:rsidRPr="007045BC" w:rsidRDefault="00FF1178" w:rsidP="007045BC">
            <w:pPr>
              <w:snapToGrid w:val="0"/>
              <w:jc w:val="both"/>
              <w:rPr>
                <w:rFonts w:eastAsia="Calibri"/>
                <w:color w:val="000000"/>
                <w:sz w:val="20"/>
                <w:szCs w:val="20"/>
              </w:rPr>
            </w:pPr>
            <w:r w:rsidRPr="007045BC">
              <w:rPr>
                <w:rFonts w:eastAsia="Calibri"/>
                <w:color w:val="000000"/>
                <w:sz w:val="20"/>
                <w:szCs w:val="20"/>
              </w:rPr>
              <w:t>60.30</w:t>
            </w:r>
          </w:p>
        </w:tc>
      </w:tr>
    </w:tbl>
    <w:p w:rsidR="007045BC" w:rsidRPr="007045BC" w:rsidRDefault="00FF1178" w:rsidP="007045BC">
      <w:pPr>
        <w:snapToGrid w:val="0"/>
        <w:jc w:val="both"/>
        <w:rPr>
          <w:sz w:val="20"/>
          <w:szCs w:val="20"/>
        </w:rPr>
      </w:pPr>
      <w:r w:rsidRPr="007045BC">
        <w:rPr>
          <w:sz w:val="20"/>
          <w:szCs w:val="20"/>
        </w:rPr>
        <w:t>C</w:t>
      </w:r>
      <w:r w:rsidRPr="007045BC">
        <w:rPr>
          <w:sz w:val="20"/>
          <w:szCs w:val="20"/>
          <w:vertAlign w:val="subscript"/>
        </w:rPr>
        <w:t>o</w:t>
      </w:r>
      <w:r w:rsidRPr="007045BC">
        <w:rPr>
          <w:sz w:val="20"/>
          <w:szCs w:val="20"/>
        </w:rPr>
        <w:t>= Initial concentration, C</w:t>
      </w:r>
      <w:r w:rsidRPr="007045BC">
        <w:rPr>
          <w:sz w:val="20"/>
          <w:szCs w:val="20"/>
          <w:vertAlign w:val="subscript"/>
        </w:rPr>
        <w:t xml:space="preserve">t </w:t>
      </w:r>
      <w:r w:rsidRPr="007045BC">
        <w:rPr>
          <w:sz w:val="20"/>
          <w:szCs w:val="20"/>
        </w:rPr>
        <w:t>= Concentration at 30 minutes</w:t>
      </w:r>
    </w:p>
    <w:p w:rsidR="007045BC" w:rsidRDefault="007045BC" w:rsidP="007045BC">
      <w:pPr>
        <w:snapToGrid w:val="0"/>
        <w:ind w:firstLine="425"/>
        <w:jc w:val="both"/>
        <w:rPr>
          <w:sz w:val="20"/>
          <w:szCs w:val="20"/>
        </w:rPr>
      </w:pPr>
    </w:p>
    <w:p w:rsidR="00617188" w:rsidRPr="007045BC" w:rsidRDefault="00617188" w:rsidP="007045BC">
      <w:pPr>
        <w:snapToGrid w:val="0"/>
        <w:ind w:firstLine="425"/>
        <w:jc w:val="both"/>
        <w:rPr>
          <w:sz w:val="20"/>
          <w:szCs w:val="20"/>
        </w:rPr>
      </w:pPr>
    </w:p>
    <w:p w:rsidR="007045BC" w:rsidRPr="007045BC" w:rsidRDefault="007045BC" w:rsidP="007045BC">
      <w:pPr>
        <w:snapToGrid w:val="0"/>
        <w:jc w:val="both"/>
        <w:rPr>
          <w:b/>
          <w:sz w:val="20"/>
          <w:szCs w:val="20"/>
        </w:rPr>
        <w:sectPr w:rsidR="007045BC" w:rsidRPr="007045BC" w:rsidSect="00850ED6">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576"/>
          <w:docGrid w:linePitch="360"/>
        </w:sectPr>
      </w:pPr>
    </w:p>
    <w:p w:rsidR="007045BC" w:rsidRPr="007045BC" w:rsidRDefault="007045BC" w:rsidP="007045BC">
      <w:pPr>
        <w:snapToGrid w:val="0"/>
        <w:jc w:val="both"/>
        <w:rPr>
          <w:b/>
          <w:sz w:val="20"/>
          <w:szCs w:val="20"/>
        </w:rPr>
      </w:pPr>
      <w:r w:rsidRPr="007045BC">
        <w:rPr>
          <w:b/>
          <w:sz w:val="20"/>
          <w:szCs w:val="20"/>
        </w:rPr>
        <w:lastRenderedPageBreak/>
        <w:t>4. Discussions</w:t>
      </w:r>
    </w:p>
    <w:p w:rsidR="00FF1178" w:rsidRPr="007045BC" w:rsidRDefault="00FF1178" w:rsidP="007045BC">
      <w:pPr>
        <w:tabs>
          <w:tab w:val="left" w:pos="1080"/>
        </w:tabs>
        <w:snapToGrid w:val="0"/>
        <w:ind w:firstLine="425"/>
        <w:jc w:val="both"/>
        <w:rPr>
          <w:sz w:val="20"/>
          <w:szCs w:val="20"/>
        </w:rPr>
      </w:pPr>
      <w:r w:rsidRPr="007045BC">
        <w:rPr>
          <w:sz w:val="20"/>
          <w:szCs w:val="20"/>
        </w:rPr>
        <w:t xml:space="preserve">The concentration levels of COD, BOD, TSS, TDS, DO and electrical conductivity of selected landfill </w:t>
      </w:r>
      <w:proofErr w:type="spellStart"/>
      <w:r w:rsidRPr="007045BC">
        <w:rPr>
          <w:sz w:val="20"/>
          <w:szCs w:val="20"/>
        </w:rPr>
        <w:t>leachate</w:t>
      </w:r>
      <w:proofErr w:type="spellEnd"/>
      <w:r w:rsidRPr="007045BC">
        <w:rPr>
          <w:sz w:val="20"/>
          <w:szCs w:val="20"/>
        </w:rPr>
        <w:t xml:space="preserve"> and sewage were presented in table 1. The results obtained for landfill </w:t>
      </w:r>
      <w:proofErr w:type="spellStart"/>
      <w:r w:rsidRPr="007045BC">
        <w:rPr>
          <w:sz w:val="20"/>
          <w:szCs w:val="20"/>
        </w:rPr>
        <w:t>leachate</w:t>
      </w:r>
      <w:proofErr w:type="spellEnd"/>
      <w:r w:rsidRPr="007045BC">
        <w:rPr>
          <w:sz w:val="20"/>
          <w:szCs w:val="20"/>
        </w:rPr>
        <w:t xml:space="preserve"> ranged from 13400 ± 0.80 to 20420.13 ± 0.60 MgL</w:t>
      </w:r>
      <w:r w:rsidRPr="007045BC">
        <w:rPr>
          <w:sz w:val="20"/>
          <w:szCs w:val="20"/>
          <w:vertAlign w:val="superscript"/>
        </w:rPr>
        <w:t>-1</w:t>
      </w:r>
      <w:r w:rsidRPr="007045BC">
        <w:rPr>
          <w:sz w:val="20"/>
          <w:szCs w:val="20"/>
        </w:rPr>
        <w:t>, BOD; 16930 ± 2.00 to 33400 ± 0.20MgL</w:t>
      </w:r>
      <w:r w:rsidRPr="007045BC">
        <w:rPr>
          <w:sz w:val="20"/>
          <w:szCs w:val="20"/>
          <w:vertAlign w:val="superscript"/>
        </w:rPr>
        <w:t>-1</w:t>
      </w:r>
      <w:r w:rsidRPr="007045BC">
        <w:rPr>
          <w:sz w:val="20"/>
          <w:szCs w:val="20"/>
        </w:rPr>
        <w:t xml:space="preserve"> COD; 1.03 ± 0.05 to 2.50 ± 0.50 MgL</w:t>
      </w:r>
      <w:r w:rsidRPr="007045BC">
        <w:rPr>
          <w:sz w:val="20"/>
          <w:szCs w:val="20"/>
          <w:vertAlign w:val="superscript"/>
        </w:rPr>
        <w:t>-1</w:t>
      </w:r>
      <w:r w:rsidRPr="007045BC">
        <w:rPr>
          <w:sz w:val="20"/>
          <w:szCs w:val="20"/>
        </w:rPr>
        <w:t>, DO; 6450 ± 1.30 MgL</w:t>
      </w:r>
      <w:r w:rsidRPr="007045BC">
        <w:rPr>
          <w:sz w:val="20"/>
          <w:szCs w:val="20"/>
          <w:vertAlign w:val="superscript"/>
        </w:rPr>
        <w:t>-1</w:t>
      </w:r>
      <w:r w:rsidRPr="007045BC">
        <w:rPr>
          <w:sz w:val="20"/>
          <w:szCs w:val="20"/>
        </w:rPr>
        <w:t>, TDS; 693.40 ± 0.20, TSS; 1634.00 ± 1.10 to 3140.15 ± 3.40 µsCm</w:t>
      </w:r>
      <w:r w:rsidRPr="007045BC">
        <w:rPr>
          <w:sz w:val="20"/>
          <w:szCs w:val="20"/>
          <w:vertAlign w:val="superscript"/>
        </w:rPr>
        <w:t>-1</w:t>
      </w:r>
      <w:r w:rsidRPr="007045BC">
        <w:rPr>
          <w:sz w:val="20"/>
          <w:szCs w:val="20"/>
        </w:rPr>
        <w:t>, EC and 6.80 to 8.60, pH  . The concentration for sewage ranged from 113.30 ± 0.30 to 310.60 MgL</w:t>
      </w:r>
      <w:r w:rsidRPr="007045BC">
        <w:rPr>
          <w:sz w:val="20"/>
          <w:szCs w:val="20"/>
          <w:vertAlign w:val="superscript"/>
        </w:rPr>
        <w:t>-1</w:t>
      </w:r>
      <w:r w:rsidRPr="007045BC">
        <w:rPr>
          <w:sz w:val="20"/>
          <w:szCs w:val="20"/>
        </w:rPr>
        <w:t>, BOD; 840.30 ± 0.60 to 7540.70 ± 1.80 MgL</w:t>
      </w:r>
      <w:r w:rsidRPr="007045BC">
        <w:rPr>
          <w:sz w:val="20"/>
          <w:szCs w:val="20"/>
          <w:vertAlign w:val="superscript"/>
        </w:rPr>
        <w:t>-1</w:t>
      </w:r>
      <w:r w:rsidRPr="007045BC">
        <w:rPr>
          <w:sz w:val="20"/>
          <w:szCs w:val="20"/>
        </w:rPr>
        <w:t>, COD; 0.06 ± 0.30 to 0.10 ± 0.00 MgL</w:t>
      </w:r>
      <w:r w:rsidRPr="007045BC">
        <w:rPr>
          <w:sz w:val="20"/>
          <w:szCs w:val="20"/>
          <w:vertAlign w:val="superscript"/>
        </w:rPr>
        <w:t>-1</w:t>
      </w:r>
      <w:r w:rsidRPr="007045BC">
        <w:rPr>
          <w:sz w:val="20"/>
          <w:szCs w:val="20"/>
        </w:rPr>
        <w:t>, DO; 959.00 ± 1.40 to 1070.60 ± 1.20 MgL</w:t>
      </w:r>
      <w:r w:rsidRPr="007045BC">
        <w:rPr>
          <w:sz w:val="20"/>
          <w:szCs w:val="20"/>
          <w:vertAlign w:val="superscript"/>
        </w:rPr>
        <w:t>-1</w:t>
      </w:r>
      <w:r w:rsidRPr="007045BC">
        <w:rPr>
          <w:sz w:val="20"/>
          <w:szCs w:val="20"/>
        </w:rPr>
        <w:t>, TDS; 14560 ± 1.60 to 21000 ± 1.80 MgL</w:t>
      </w:r>
      <w:r w:rsidRPr="007045BC">
        <w:rPr>
          <w:sz w:val="20"/>
          <w:szCs w:val="20"/>
          <w:vertAlign w:val="superscript"/>
        </w:rPr>
        <w:t>-1</w:t>
      </w:r>
      <w:r w:rsidRPr="007045BC">
        <w:rPr>
          <w:sz w:val="20"/>
          <w:szCs w:val="20"/>
        </w:rPr>
        <w:t>, TSS; 970.60 ± 0.70 to 1600.80 ± 0.90 µsCm</w:t>
      </w:r>
      <w:r w:rsidRPr="007045BC">
        <w:rPr>
          <w:sz w:val="20"/>
          <w:szCs w:val="20"/>
          <w:vertAlign w:val="superscript"/>
        </w:rPr>
        <w:t>-1</w:t>
      </w:r>
      <w:r w:rsidRPr="007045BC">
        <w:rPr>
          <w:sz w:val="20"/>
          <w:szCs w:val="20"/>
        </w:rPr>
        <w:t>, EC and 6.60 to 8.70, pH.</w:t>
      </w:r>
    </w:p>
    <w:p w:rsidR="00FF1178" w:rsidRPr="007045BC" w:rsidRDefault="00FF1178" w:rsidP="007045BC">
      <w:pPr>
        <w:tabs>
          <w:tab w:val="left" w:pos="1080"/>
        </w:tabs>
        <w:snapToGrid w:val="0"/>
        <w:ind w:firstLine="425"/>
        <w:jc w:val="both"/>
        <w:rPr>
          <w:sz w:val="20"/>
          <w:szCs w:val="20"/>
        </w:rPr>
      </w:pPr>
      <w:r w:rsidRPr="007045BC">
        <w:rPr>
          <w:sz w:val="20"/>
          <w:szCs w:val="20"/>
        </w:rPr>
        <w:t xml:space="preserve">The results presented in table 3 and 4 demonstrated the performance of potassium ferrate (VI) in reducing/removal the concentration of BOD and COD in landfill and sewage from selected locations. The COD reduction after treatment ranged from 61.70 to 70.00 % and 61.00 to 68.70 % for landfill </w:t>
      </w:r>
      <w:proofErr w:type="spellStart"/>
      <w:r w:rsidRPr="007045BC">
        <w:rPr>
          <w:sz w:val="20"/>
          <w:szCs w:val="20"/>
        </w:rPr>
        <w:t>leachate</w:t>
      </w:r>
      <w:proofErr w:type="spellEnd"/>
      <w:r w:rsidRPr="007045BC">
        <w:rPr>
          <w:sz w:val="20"/>
          <w:szCs w:val="20"/>
        </w:rPr>
        <w:t xml:space="preserve"> and sewage respectively. The concentration of BOD reduced with the range of 42.60 to 53.56 %, and 48.30 to 60.30 % for landfill </w:t>
      </w:r>
      <w:proofErr w:type="spellStart"/>
      <w:r w:rsidRPr="007045BC">
        <w:rPr>
          <w:sz w:val="20"/>
          <w:szCs w:val="20"/>
        </w:rPr>
        <w:t>leachate</w:t>
      </w:r>
      <w:proofErr w:type="spellEnd"/>
      <w:r w:rsidRPr="007045BC">
        <w:rPr>
          <w:sz w:val="20"/>
          <w:szCs w:val="20"/>
        </w:rPr>
        <w:t xml:space="preserve"> and sewage respectively. The percentage reduction COD with potassium ferrate was greater than reduction of BOD. The results obtained in this study is similar to results obtained by </w:t>
      </w:r>
      <w:proofErr w:type="spellStart"/>
      <w:r w:rsidRPr="007045BC">
        <w:rPr>
          <w:bCs/>
          <w:sz w:val="20"/>
          <w:szCs w:val="20"/>
        </w:rPr>
        <w:t>Aygun</w:t>
      </w:r>
      <w:proofErr w:type="spellEnd"/>
      <w:r w:rsidRPr="007045BC">
        <w:rPr>
          <w:sz w:val="20"/>
          <w:szCs w:val="20"/>
        </w:rPr>
        <w:t xml:space="preserve"> ,</w:t>
      </w:r>
      <w:r w:rsidRPr="007045BC">
        <w:rPr>
          <w:bCs/>
          <w:sz w:val="20"/>
          <w:szCs w:val="20"/>
        </w:rPr>
        <w:t xml:space="preserve"> </w:t>
      </w:r>
      <w:proofErr w:type="spellStart"/>
      <w:r w:rsidRPr="007045BC">
        <w:rPr>
          <w:bCs/>
          <w:sz w:val="20"/>
          <w:szCs w:val="20"/>
        </w:rPr>
        <w:t>Shrirang</w:t>
      </w:r>
      <w:proofErr w:type="spellEnd"/>
      <w:r w:rsidRPr="007045BC">
        <w:rPr>
          <w:bCs/>
          <w:sz w:val="20"/>
          <w:szCs w:val="20"/>
        </w:rPr>
        <w:t xml:space="preserve">, </w:t>
      </w:r>
      <w:proofErr w:type="spellStart"/>
      <w:r w:rsidRPr="007045BC">
        <w:rPr>
          <w:bCs/>
          <w:sz w:val="20"/>
          <w:szCs w:val="20"/>
        </w:rPr>
        <w:t>Chatterjee</w:t>
      </w:r>
      <w:proofErr w:type="spellEnd"/>
      <w:r w:rsidRPr="007045BC">
        <w:rPr>
          <w:sz w:val="20"/>
          <w:szCs w:val="20"/>
        </w:rPr>
        <w:t xml:space="preserve">, </w:t>
      </w:r>
      <w:proofErr w:type="spellStart"/>
      <w:r w:rsidRPr="007045BC">
        <w:rPr>
          <w:bCs/>
          <w:sz w:val="20"/>
          <w:szCs w:val="20"/>
        </w:rPr>
        <w:t>Shrirang</w:t>
      </w:r>
      <w:proofErr w:type="spellEnd"/>
      <w:r w:rsidRPr="007045BC">
        <w:rPr>
          <w:sz w:val="20"/>
          <w:szCs w:val="20"/>
        </w:rPr>
        <w:t xml:space="preserve">, </w:t>
      </w:r>
      <w:proofErr w:type="spellStart"/>
      <w:r w:rsidRPr="007045BC">
        <w:rPr>
          <w:bCs/>
          <w:sz w:val="20"/>
          <w:szCs w:val="20"/>
        </w:rPr>
        <w:t>Saleem</w:t>
      </w:r>
      <w:proofErr w:type="spellEnd"/>
      <w:r w:rsidRPr="007045BC">
        <w:rPr>
          <w:bCs/>
          <w:sz w:val="20"/>
          <w:szCs w:val="20"/>
        </w:rPr>
        <w:t xml:space="preserve"> [</w:t>
      </w:r>
      <w:proofErr w:type="spellStart"/>
      <w:r w:rsidRPr="007045BC">
        <w:rPr>
          <w:bCs/>
          <w:sz w:val="20"/>
          <w:szCs w:val="20"/>
        </w:rPr>
        <w:t>Aygun</w:t>
      </w:r>
      <w:proofErr w:type="spellEnd"/>
      <w:r w:rsidRPr="007045BC">
        <w:rPr>
          <w:bCs/>
          <w:sz w:val="20"/>
          <w:szCs w:val="20"/>
        </w:rPr>
        <w:t xml:space="preserve"> et al.,2004,</w:t>
      </w:r>
      <w:r w:rsidRPr="007045BC">
        <w:rPr>
          <w:sz w:val="20"/>
          <w:szCs w:val="20"/>
        </w:rPr>
        <w:t xml:space="preserve"> </w:t>
      </w:r>
      <w:proofErr w:type="spellStart"/>
      <w:r w:rsidRPr="007045BC">
        <w:rPr>
          <w:sz w:val="20"/>
          <w:szCs w:val="20"/>
        </w:rPr>
        <w:t>Barbusiński</w:t>
      </w:r>
      <w:proofErr w:type="spellEnd"/>
      <w:r w:rsidRPr="007045BC">
        <w:rPr>
          <w:sz w:val="20"/>
          <w:szCs w:val="20"/>
        </w:rPr>
        <w:t xml:space="preserve"> and </w:t>
      </w:r>
      <w:proofErr w:type="spellStart"/>
      <w:r w:rsidRPr="007045BC">
        <w:rPr>
          <w:sz w:val="20"/>
          <w:szCs w:val="20"/>
        </w:rPr>
        <w:t>Pieczykolan</w:t>
      </w:r>
      <w:proofErr w:type="spellEnd"/>
      <w:r w:rsidRPr="007045BC">
        <w:rPr>
          <w:bCs/>
          <w:sz w:val="20"/>
          <w:szCs w:val="20"/>
        </w:rPr>
        <w:t xml:space="preserve">, </w:t>
      </w:r>
      <w:proofErr w:type="spellStart"/>
      <w:r w:rsidRPr="007045BC">
        <w:rPr>
          <w:bCs/>
          <w:sz w:val="20"/>
          <w:szCs w:val="20"/>
        </w:rPr>
        <w:t>Shrirang</w:t>
      </w:r>
      <w:proofErr w:type="spellEnd"/>
      <w:r w:rsidRPr="007045BC">
        <w:rPr>
          <w:bCs/>
          <w:sz w:val="20"/>
          <w:szCs w:val="20"/>
        </w:rPr>
        <w:t xml:space="preserve"> and </w:t>
      </w:r>
      <w:proofErr w:type="spellStart"/>
      <w:r w:rsidRPr="007045BC">
        <w:rPr>
          <w:bCs/>
          <w:sz w:val="20"/>
          <w:szCs w:val="20"/>
        </w:rPr>
        <w:t>Kaustavo</w:t>
      </w:r>
      <w:proofErr w:type="spellEnd"/>
      <w:r w:rsidRPr="007045BC">
        <w:rPr>
          <w:bCs/>
          <w:sz w:val="20"/>
          <w:szCs w:val="20"/>
        </w:rPr>
        <w:t xml:space="preserve">, 2004, </w:t>
      </w:r>
      <w:proofErr w:type="spellStart"/>
      <w:r w:rsidRPr="007045BC">
        <w:rPr>
          <w:bCs/>
          <w:sz w:val="20"/>
          <w:szCs w:val="20"/>
        </w:rPr>
        <w:t>Saleem</w:t>
      </w:r>
      <w:proofErr w:type="spellEnd"/>
      <w:r w:rsidRPr="007045BC">
        <w:rPr>
          <w:bCs/>
          <w:sz w:val="20"/>
          <w:szCs w:val="20"/>
        </w:rPr>
        <w:t>, 2007]</w:t>
      </w:r>
      <w:r w:rsidRPr="007045BC">
        <w:rPr>
          <w:sz w:val="20"/>
          <w:szCs w:val="20"/>
        </w:rPr>
        <w:t>.</w:t>
      </w:r>
    </w:p>
    <w:p w:rsidR="00FF1178" w:rsidRPr="007045BC" w:rsidRDefault="00FF1178" w:rsidP="007045BC">
      <w:pPr>
        <w:tabs>
          <w:tab w:val="left" w:pos="1080"/>
        </w:tabs>
        <w:snapToGrid w:val="0"/>
        <w:jc w:val="both"/>
        <w:rPr>
          <w:sz w:val="20"/>
          <w:szCs w:val="20"/>
        </w:rPr>
      </w:pPr>
    </w:p>
    <w:p w:rsidR="00FF1178" w:rsidRPr="007045BC" w:rsidRDefault="00FF1178" w:rsidP="007045BC">
      <w:pPr>
        <w:snapToGrid w:val="0"/>
        <w:jc w:val="both"/>
        <w:rPr>
          <w:b/>
          <w:sz w:val="20"/>
          <w:szCs w:val="20"/>
        </w:rPr>
      </w:pPr>
      <w:r w:rsidRPr="007045BC">
        <w:rPr>
          <w:b/>
          <w:sz w:val="20"/>
          <w:szCs w:val="20"/>
        </w:rPr>
        <w:t>Conclusion</w:t>
      </w:r>
    </w:p>
    <w:p w:rsidR="00FF1178" w:rsidRPr="007045BC" w:rsidRDefault="00FF1178" w:rsidP="007045BC">
      <w:pPr>
        <w:autoSpaceDE w:val="0"/>
        <w:autoSpaceDN w:val="0"/>
        <w:adjustRightInd w:val="0"/>
        <w:snapToGrid w:val="0"/>
        <w:ind w:firstLine="425"/>
        <w:jc w:val="both"/>
        <w:rPr>
          <w:sz w:val="20"/>
          <w:szCs w:val="20"/>
        </w:rPr>
      </w:pPr>
      <w:r w:rsidRPr="007045BC">
        <w:rPr>
          <w:sz w:val="20"/>
          <w:szCs w:val="20"/>
        </w:rPr>
        <w:t>This study reveals the effect of K</w:t>
      </w:r>
      <w:r w:rsidRPr="007045BC">
        <w:rPr>
          <w:sz w:val="20"/>
          <w:szCs w:val="20"/>
          <w:vertAlign w:val="subscript"/>
        </w:rPr>
        <w:t>2</w:t>
      </w:r>
      <w:r w:rsidRPr="007045BC">
        <w:rPr>
          <w:sz w:val="20"/>
          <w:szCs w:val="20"/>
        </w:rPr>
        <w:t>FeO</w:t>
      </w:r>
      <w:r w:rsidRPr="007045BC">
        <w:rPr>
          <w:sz w:val="20"/>
          <w:szCs w:val="20"/>
          <w:vertAlign w:val="subscript"/>
        </w:rPr>
        <w:t>4</w:t>
      </w:r>
      <w:r w:rsidRPr="007045BC">
        <w:rPr>
          <w:sz w:val="20"/>
          <w:szCs w:val="20"/>
        </w:rPr>
        <w:t xml:space="preserve"> in chemical oxygen demand (COD) and biochemical oxygen demand (BOD) load reduction of landfill </w:t>
      </w:r>
      <w:proofErr w:type="spellStart"/>
      <w:r w:rsidRPr="007045BC">
        <w:rPr>
          <w:sz w:val="20"/>
          <w:szCs w:val="20"/>
        </w:rPr>
        <w:t>leachate</w:t>
      </w:r>
      <w:proofErr w:type="spellEnd"/>
      <w:r w:rsidRPr="007045BC">
        <w:rPr>
          <w:sz w:val="20"/>
          <w:szCs w:val="20"/>
        </w:rPr>
        <w:t xml:space="preserve"> and sewage. The physiochemical properties were determined and percentage removal of COD and BOD were calculated. It was observed the technique was a fast and efficient procedure and about 60 to 70 percent removal efficiency was obtained in 30mins for total COD removal and 40 to 70 percent removal was achieved in 30 min of reaction for removal of BOD.</w:t>
      </w:r>
    </w:p>
    <w:p w:rsidR="007045BC" w:rsidRPr="007045BC" w:rsidRDefault="007045BC" w:rsidP="007045BC">
      <w:pPr>
        <w:snapToGrid w:val="0"/>
        <w:jc w:val="both"/>
        <w:rPr>
          <w:b/>
          <w:sz w:val="20"/>
          <w:szCs w:val="20"/>
        </w:rPr>
      </w:pPr>
    </w:p>
    <w:p w:rsidR="00FF1178" w:rsidRPr="007045BC" w:rsidRDefault="00FF1178" w:rsidP="007045BC">
      <w:pPr>
        <w:snapToGrid w:val="0"/>
        <w:jc w:val="both"/>
        <w:rPr>
          <w:b/>
          <w:sz w:val="20"/>
          <w:szCs w:val="20"/>
        </w:rPr>
      </w:pPr>
      <w:r w:rsidRPr="007045BC">
        <w:rPr>
          <w:b/>
          <w:sz w:val="20"/>
          <w:szCs w:val="20"/>
        </w:rPr>
        <w:t>Corresponding Author:</w:t>
      </w:r>
    </w:p>
    <w:p w:rsidR="00FF1178" w:rsidRPr="007045BC" w:rsidRDefault="00FF1178" w:rsidP="007045BC">
      <w:pPr>
        <w:snapToGrid w:val="0"/>
        <w:jc w:val="both"/>
        <w:rPr>
          <w:sz w:val="20"/>
          <w:szCs w:val="20"/>
        </w:rPr>
      </w:pPr>
      <w:r w:rsidRPr="007045BC">
        <w:rPr>
          <w:sz w:val="20"/>
          <w:szCs w:val="20"/>
        </w:rPr>
        <w:t xml:space="preserve">Dr. Charles I. </w:t>
      </w:r>
      <w:proofErr w:type="spellStart"/>
      <w:r w:rsidRPr="007045BC">
        <w:rPr>
          <w:sz w:val="20"/>
          <w:szCs w:val="20"/>
        </w:rPr>
        <w:t>Osu</w:t>
      </w:r>
      <w:proofErr w:type="spellEnd"/>
    </w:p>
    <w:p w:rsidR="00FF1178" w:rsidRPr="007045BC" w:rsidRDefault="00FF1178" w:rsidP="007045BC">
      <w:pPr>
        <w:autoSpaceDE w:val="0"/>
        <w:autoSpaceDN w:val="0"/>
        <w:adjustRightInd w:val="0"/>
        <w:snapToGrid w:val="0"/>
        <w:jc w:val="both"/>
        <w:rPr>
          <w:sz w:val="20"/>
          <w:szCs w:val="20"/>
        </w:rPr>
      </w:pPr>
      <w:r w:rsidRPr="007045BC">
        <w:rPr>
          <w:sz w:val="20"/>
          <w:szCs w:val="20"/>
        </w:rPr>
        <w:t>Department of Pure and Industrial Chemistry,</w:t>
      </w:r>
    </w:p>
    <w:p w:rsidR="00FF1178" w:rsidRPr="007045BC" w:rsidRDefault="00FF1178" w:rsidP="007045BC">
      <w:pPr>
        <w:snapToGrid w:val="0"/>
        <w:jc w:val="both"/>
        <w:rPr>
          <w:sz w:val="20"/>
          <w:szCs w:val="20"/>
        </w:rPr>
      </w:pPr>
      <w:r w:rsidRPr="007045BC">
        <w:rPr>
          <w:sz w:val="20"/>
          <w:szCs w:val="20"/>
        </w:rPr>
        <w:t>Faculty of Science,</w:t>
      </w:r>
    </w:p>
    <w:p w:rsidR="00FF1178" w:rsidRPr="007045BC" w:rsidRDefault="00FF1178" w:rsidP="007045BC">
      <w:pPr>
        <w:snapToGrid w:val="0"/>
        <w:jc w:val="both"/>
        <w:rPr>
          <w:sz w:val="20"/>
          <w:szCs w:val="20"/>
        </w:rPr>
      </w:pPr>
      <w:r w:rsidRPr="007045BC">
        <w:rPr>
          <w:sz w:val="20"/>
          <w:szCs w:val="20"/>
        </w:rPr>
        <w:t>University of Port Harcourt,</w:t>
      </w:r>
    </w:p>
    <w:p w:rsidR="00FF1178" w:rsidRPr="007045BC" w:rsidRDefault="00FF1178" w:rsidP="007045BC">
      <w:pPr>
        <w:snapToGrid w:val="0"/>
        <w:jc w:val="both"/>
        <w:rPr>
          <w:sz w:val="20"/>
          <w:szCs w:val="20"/>
        </w:rPr>
      </w:pPr>
      <w:r w:rsidRPr="007045BC">
        <w:rPr>
          <w:sz w:val="20"/>
          <w:szCs w:val="20"/>
        </w:rPr>
        <w:t>P.M.B 5323 Port Harcourt, Nigeria</w:t>
      </w:r>
    </w:p>
    <w:p w:rsidR="00FF1178" w:rsidRPr="007045BC" w:rsidRDefault="00FF1178" w:rsidP="007045BC">
      <w:pPr>
        <w:snapToGrid w:val="0"/>
        <w:jc w:val="both"/>
        <w:rPr>
          <w:sz w:val="20"/>
          <w:szCs w:val="20"/>
          <w:lang w:eastAsia="zh-CN"/>
        </w:rPr>
      </w:pPr>
      <w:r w:rsidRPr="007045BC">
        <w:rPr>
          <w:rFonts w:hint="eastAsia"/>
          <w:sz w:val="20"/>
          <w:szCs w:val="20"/>
          <w:lang w:eastAsia="zh-CN"/>
        </w:rPr>
        <w:t xml:space="preserve">Telephone: </w:t>
      </w:r>
      <w:r w:rsidRPr="007045BC">
        <w:rPr>
          <w:sz w:val="20"/>
          <w:szCs w:val="20"/>
          <w:lang w:eastAsia="zh-CN"/>
        </w:rPr>
        <w:t>234 803 3778 3246</w:t>
      </w:r>
    </w:p>
    <w:p w:rsidR="00FF1178" w:rsidRPr="007045BC" w:rsidRDefault="00FF1178" w:rsidP="007045BC">
      <w:pPr>
        <w:snapToGrid w:val="0"/>
        <w:jc w:val="both"/>
        <w:rPr>
          <w:b/>
          <w:sz w:val="20"/>
          <w:szCs w:val="20"/>
        </w:rPr>
      </w:pPr>
      <w:r w:rsidRPr="007045BC">
        <w:rPr>
          <w:sz w:val="20"/>
          <w:szCs w:val="20"/>
        </w:rPr>
        <w:t xml:space="preserve">E-mail: </w:t>
      </w:r>
      <w:hyperlink r:id="rId20" w:history="1">
        <w:r w:rsidRPr="007045BC">
          <w:rPr>
            <w:rStyle w:val="Hyperlink"/>
            <w:sz w:val="20"/>
            <w:szCs w:val="20"/>
          </w:rPr>
          <w:t>charsike@yahoo.com</w:t>
        </w:r>
      </w:hyperlink>
    </w:p>
    <w:p w:rsidR="00471E57" w:rsidRDefault="00471E57" w:rsidP="007045BC">
      <w:pPr>
        <w:snapToGrid w:val="0"/>
        <w:jc w:val="both"/>
        <w:rPr>
          <w:sz w:val="20"/>
          <w:szCs w:val="20"/>
        </w:rPr>
      </w:pPr>
    </w:p>
    <w:p w:rsidR="00617188" w:rsidRPr="007045BC" w:rsidRDefault="00617188" w:rsidP="007045BC">
      <w:pPr>
        <w:snapToGrid w:val="0"/>
        <w:jc w:val="both"/>
        <w:rPr>
          <w:sz w:val="20"/>
          <w:szCs w:val="20"/>
        </w:rPr>
      </w:pPr>
    </w:p>
    <w:p w:rsidR="00471E57" w:rsidRPr="007045BC" w:rsidRDefault="00471E57" w:rsidP="007045BC">
      <w:pPr>
        <w:snapToGrid w:val="0"/>
        <w:jc w:val="both"/>
        <w:rPr>
          <w:b/>
          <w:sz w:val="20"/>
          <w:szCs w:val="20"/>
        </w:rPr>
      </w:pPr>
      <w:r w:rsidRPr="007045BC">
        <w:rPr>
          <w:b/>
          <w:sz w:val="20"/>
          <w:szCs w:val="20"/>
        </w:rPr>
        <w:lastRenderedPageBreak/>
        <w:t>References</w:t>
      </w:r>
    </w:p>
    <w:p w:rsidR="007045BC"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eastAsia="NimbusSanL-Regu-Identity-H" w:hAnsi="Times New Roman"/>
          <w:sz w:val="20"/>
          <w:szCs w:val="20"/>
        </w:rPr>
      </w:pPr>
      <w:proofErr w:type="spellStart"/>
      <w:r w:rsidRPr="007045BC">
        <w:rPr>
          <w:rFonts w:ascii="Times New Roman" w:eastAsia="NimbusSanL-Regu-Identity-H" w:hAnsi="Times New Roman"/>
          <w:sz w:val="20"/>
          <w:szCs w:val="20"/>
        </w:rPr>
        <w:t>Diwakar</w:t>
      </w:r>
      <w:proofErr w:type="spellEnd"/>
      <w:r w:rsidRPr="007045BC">
        <w:rPr>
          <w:rFonts w:ascii="Times New Roman" w:eastAsia="NimbusSanL-Regu-Identity-H" w:hAnsi="Times New Roman"/>
          <w:sz w:val="20"/>
          <w:szCs w:val="20"/>
        </w:rPr>
        <w:t xml:space="preserve"> </w:t>
      </w:r>
      <w:proofErr w:type="spellStart"/>
      <w:r w:rsidRPr="007045BC">
        <w:rPr>
          <w:rFonts w:ascii="Times New Roman" w:eastAsia="NimbusSanL-Regu-Identity-H" w:hAnsi="Times New Roman"/>
          <w:sz w:val="20"/>
          <w:szCs w:val="20"/>
        </w:rPr>
        <w:t>Tiwari</w:t>
      </w:r>
      <w:proofErr w:type="spellEnd"/>
      <w:r w:rsidRPr="007045BC">
        <w:rPr>
          <w:rFonts w:ascii="Times New Roman" w:eastAsia="NimbusSanL-Regu-Identity-H" w:hAnsi="Times New Roman"/>
          <w:sz w:val="20"/>
          <w:szCs w:val="20"/>
        </w:rPr>
        <w:t xml:space="preserve"> and </w:t>
      </w:r>
      <w:proofErr w:type="spellStart"/>
      <w:r w:rsidRPr="007045BC">
        <w:rPr>
          <w:rFonts w:ascii="Times New Roman" w:eastAsia="NimbusSanL-Regu-Identity-H" w:hAnsi="Times New Roman"/>
          <w:sz w:val="20"/>
          <w:szCs w:val="20"/>
        </w:rPr>
        <w:t>Seung-Mok</w:t>
      </w:r>
      <w:proofErr w:type="spellEnd"/>
      <w:r w:rsidRPr="007045BC">
        <w:rPr>
          <w:rFonts w:ascii="Times New Roman" w:eastAsia="NimbusSanL-Regu-Identity-H" w:hAnsi="Times New Roman"/>
          <w:sz w:val="20"/>
          <w:szCs w:val="20"/>
        </w:rPr>
        <w:t xml:space="preserve"> Lee (2011). Ferrate</w:t>
      </w:r>
      <w:r w:rsidR="00617188">
        <w:rPr>
          <w:rFonts w:ascii="Times New Roman" w:eastAsia="NimbusSanL-Regu-Identity-H" w:hAnsi="Times New Roman"/>
          <w:sz w:val="20"/>
          <w:szCs w:val="20"/>
        </w:rPr>
        <w:t xml:space="preserve"> </w:t>
      </w:r>
      <w:r w:rsidRPr="007045BC">
        <w:rPr>
          <w:rFonts w:ascii="Times New Roman" w:eastAsia="NimbusSanL-Regu-Identity-H" w:hAnsi="Times New Roman"/>
          <w:sz w:val="20"/>
          <w:szCs w:val="20"/>
        </w:rPr>
        <w:t xml:space="preserve">(VI) in the Treatment of Wastewaters: A New Generation Green Chemical, Waste Water - Treatment and Reutilization, Prof. Fernando </w:t>
      </w:r>
      <w:proofErr w:type="spellStart"/>
      <w:r w:rsidRPr="007045BC">
        <w:rPr>
          <w:rFonts w:ascii="Times New Roman" w:eastAsia="NimbusSanL-Regu-Identity-H" w:hAnsi="Times New Roman"/>
          <w:sz w:val="20"/>
          <w:szCs w:val="20"/>
        </w:rPr>
        <w:t>SebastiÃ¡n</w:t>
      </w:r>
      <w:proofErr w:type="spellEnd"/>
      <w:r w:rsidRPr="007045BC">
        <w:rPr>
          <w:rFonts w:ascii="Times New Roman" w:eastAsia="NimbusSanL-Regu-Identity-H" w:hAnsi="Times New Roman"/>
          <w:sz w:val="20"/>
          <w:szCs w:val="20"/>
        </w:rPr>
        <w:t xml:space="preserve"> </w:t>
      </w:r>
      <w:proofErr w:type="spellStart"/>
      <w:r w:rsidRPr="007045BC">
        <w:rPr>
          <w:rFonts w:ascii="Times New Roman" w:eastAsia="NimbusSanL-Regu-Identity-H" w:hAnsi="Times New Roman"/>
          <w:sz w:val="20"/>
          <w:szCs w:val="20"/>
        </w:rPr>
        <w:t>GarcÃa</w:t>
      </w:r>
      <w:proofErr w:type="spellEnd"/>
      <w:r w:rsidRPr="007045BC">
        <w:rPr>
          <w:rFonts w:ascii="Times New Roman" w:eastAsia="NimbusSanL-Regu-Identity-H" w:hAnsi="Times New Roman"/>
          <w:sz w:val="20"/>
          <w:szCs w:val="20"/>
        </w:rPr>
        <w:t xml:space="preserve"> </w:t>
      </w:r>
      <w:proofErr w:type="spellStart"/>
      <w:r w:rsidRPr="007045BC">
        <w:rPr>
          <w:rFonts w:ascii="Times New Roman" w:eastAsia="NimbusSanL-Regu-Identity-H" w:hAnsi="Times New Roman"/>
          <w:sz w:val="20"/>
          <w:szCs w:val="20"/>
        </w:rPr>
        <w:t>Einschlag</w:t>
      </w:r>
      <w:proofErr w:type="spellEnd"/>
      <w:r w:rsidRPr="007045BC">
        <w:rPr>
          <w:rFonts w:ascii="Times New Roman" w:eastAsia="NimbusSanL-Regu-Identity-H" w:hAnsi="Times New Roman"/>
          <w:sz w:val="20"/>
          <w:szCs w:val="20"/>
        </w:rPr>
        <w:t xml:space="preserve"> (Ed.), ISBN: 978-953-307-249-4, </w:t>
      </w:r>
      <w:proofErr w:type="spellStart"/>
      <w:r w:rsidRPr="007045BC">
        <w:rPr>
          <w:rFonts w:ascii="Times New Roman" w:eastAsia="NimbusSanL-Regu-Identity-H" w:hAnsi="Times New Roman"/>
          <w:sz w:val="20"/>
          <w:szCs w:val="20"/>
        </w:rPr>
        <w:t>InTech</w:t>
      </w:r>
      <w:proofErr w:type="spellEnd"/>
      <w:r w:rsidRPr="007045BC">
        <w:rPr>
          <w:rFonts w:ascii="Times New Roman" w:eastAsia="NimbusSanL-Regu-Identity-H" w:hAnsi="Times New Roman"/>
          <w:sz w:val="20"/>
          <w:szCs w:val="20"/>
        </w:rPr>
        <w:t xml:space="preserve">, Available from: </w:t>
      </w:r>
      <w:hyperlink r:id="rId21" w:history="1">
        <w:r w:rsidRPr="007045BC">
          <w:rPr>
            <w:rStyle w:val="Hyperlink"/>
            <w:rFonts w:ascii="Times New Roman" w:eastAsia="NimbusSanL-Regu-Identity-H" w:hAnsi="Times New Roman"/>
            <w:sz w:val="20"/>
            <w:szCs w:val="20"/>
          </w:rPr>
          <w:t>http://www.intechopen.com/books/waste-watertreatment-and-reutilization/ferrate-vi-in-the-treatment-of-wastewaters-a-new-generation-green-chemical</w:t>
        </w:r>
      </w:hyperlink>
      <w:r w:rsidRPr="007045BC">
        <w:rPr>
          <w:rFonts w:ascii="Times New Roman" w:eastAsia="NimbusSanL-Regu-Identity-H" w:hAnsi="Times New Roman"/>
          <w:sz w:val="20"/>
          <w:szCs w:val="20"/>
        </w:rPr>
        <w:t>. 241 – 276.</w:t>
      </w:r>
    </w:p>
    <w:p w:rsidR="007045BC"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7045BC">
        <w:rPr>
          <w:rFonts w:ascii="Times New Roman" w:hAnsi="Times New Roman"/>
          <w:color w:val="000000"/>
          <w:sz w:val="20"/>
          <w:szCs w:val="20"/>
        </w:rPr>
        <w:t xml:space="preserve">Graham, N., Jiang, C., Li, X., Jiang, J., and Ma, J. (2004) “The influence of pH on the degradation of phenol and </w:t>
      </w:r>
      <w:proofErr w:type="spellStart"/>
      <w:r w:rsidRPr="007045BC">
        <w:rPr>
          <w:rFonts w:ascii="Times New Roman" w:hAnsi="Times New Roman"/>
          <w:color w:val="000000"/>
          <w:sz w:val="20"/>
          <w:szCs w:val="20"/>
        </w:rPr>
        <w:t>chlorophenols</w:t>
      </w:r>
      <w:proofErr w:type="spellEnd"/>
      <w:r w:rsidRPr="007045BC">
        <w:rPr>
          <w:rFonts w:ascii="Times New Roman" w:hAnsi="Times New Roman"/>
          <w:color w:val="000000"/>
          <w:sz w:val="20"/>
          <w:szCs w:val="20"/>
        </w:rPr>
        <w:t xml:space="preserve"> by potassium ferrate.” Chemosphere, 56(10) 949-956.</w:t>
      </w:r>
    </w:p>
    <w:p w:rsidR="00FF1178"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7045BC">
        <w:rPr>
          <w:rFonts w:ascii="Times New Roman" w:hAnsi="Times New Roman"/>
          <w:bCs/>
          <w:sz w:val="20"/>
          <w:szCs w:val="20"/>
        </w:rPr>
        <w:t>Aygun</w:t>
      </w:r>
      <w:proofErr w:type="spellEnd"/>
      <w:r w:rsidRPr="007045BC">
        <w:rPr>
          <w:rFonts w:ascii="Times New Roman" w:hAnsi="Times New Roman"/>
          <w:bCs/>
          <w:sz w:val="20"/>
          <w:szCs w:val="20"/>
        </w:rPr>
        <w:t xml:space="preserve">, A., </w:t>
      </w:r>
      <w:proofErr w:type="spellStart"/>
      <w:r w:rsidRPr="007045BC">
        <w:rPr>
          <w:rFonts w:ascii="Times New Roman" w:hAnsi="Times New Roman"/>
          <w:bCs/>
          <w:sz w:val="20"/>
          <w:szCs w:val="20"/>
        </w:rPr>
        <w:t>Yilmaz</w:t>
      </w:r>
      <w:proofErr w:type="spellEnd"/>
      <w:r w:rsidRPr="007045BC">
        <w:rPr>
          <w:rFonts w:ascii="Times New Roman" w:hAnsi="Times New Roman"/>
          <w:bCs/>
          <w:sz w:val="20"/>
          <w:szCs w:val="20"/>
        </w:rPr>
        <w:t xml:space="preserve">, T., </w:t>
      </w:r>
      <w:proofErr w:type="spellStart"/>
      <w:r w:rsidRPr="007045BC">
        <w:rPr>
          <w:rFonts w:ascii="Times New Roman" w:hAnsi="Times New Roman"/>
          <w:bCs/>
          <w:sz w:val="20"/>
          <w:szCs w:val="20"/>
        </w:rPr>
        <w:t>Nas</w:t>
      </w:r>
      <w:proofErr w:type="spellEnd"/>
      <w:r w:rsidRPr="007045BC">
        <w:rPr>
          <w:rFonts w:ascii="Times New Roman" w:hAnsi="Times New Roman"/>
          <w:bCs/>
          <w:sz w:val="20"/>
          <w:szCs w:val="20"/>
        </w:rPr>
        <w:t xml:space="preserve">, B, </w:t>
      </w:r>
      <w:proofErr w:type="spellStart"/>
      <w:r w:rsidRPr="007045BC">
        <w:rPr>
          <w:rFonts w:ascii="Times New Roman" w:hAnsi="Times New Roman"/>
          <w:bCs/>
          <w:sz w:val="20"/>
          <w:szCs w:val="20"/>
        </w:rPr>
        <w:t>Berktay</w:t>
      </w:r>
      <w:proofErr w:type="spellEnd"/>
      <w:r w:rsidRPr="007045BC">
        <w:rPr>
          <w:rFonts w:ascii="Times New Roman" w:hAnsi="Times New Roman"/>
          <w:bCs/>
          <w:sz w:val="20"/>
          <w:szCs w:val="20"/>
        </w:rPr>
        <w:t xml:space="preserve">, A. (2012).Effect Of Temperature on Fenton Oxidation of Young Landfill </w:t>
      </w:r>
      <w:proofErr w:type="spellStart"/>
      <w:r w:rsidRPr="007045BC">
        <w:rPr>
          <w:rFonts w:ascii="Times New Roman" w:hAnsi="Times New Roman"/>
          <w:bCs/>
          <w:sz w:val="20"/>
          <w:szCs w:val="20"/>
        </w:rPr>
        <w:t>Leachate</w:t>
      </w:r>
      <w:proofErr w:type="spellEnd"/>
      <w:r w:rsidRPr="007045BC">
        <w:rPr>
          <w:rFonts w:ascii="Times New Roman" w:hAnsi="Times New Roman"/>
          <w:bCs/>
          <w:sz w:val="20"/>
          <w:szCs w:val="20"/>
        </w:rPr>
        <w:t>: Kinetic Assessment And Sludge Properties</w:t>
      </w:r>
      <w:r w:rsidRPr="007045BC">
        <w:rPr>
          <w:rFonts w:ascii="Times New Roman" w:hAnsi="Times New Roman"/>
          <w:sz w:val="20"/>
          <w:szCs w:val="20"/>
        </w:rPr>
        <w:t xml:space="preserve">. Global Nest Journal, </w:t>
      </w:r>
      <w:proofErr w:type="spellStart"/>
      <w:r w:rsidRPr="007045BC">
        <w:rPr>
          <w:rFonts w:ascii="Times New Roman" w:hAnsi="Times New Roman"/>
          <w:sz w:val="20"/>
          <w:szCs w:val="20"/>
        </w:rPr>
        <w:t>Vol</w:t>
      </w:r>
      <w:proofErr w:type="spellEnd"/>
      <w:r w:rsidRPr="007045BC">
        <w:rPr>
          <w:rFonts w:ascii="Times New Roman" w:hAnsi="Times New Roman"/>
          <w:sz w:val="20"/>
          <w:szCs w:val="20"/>
        </w:rPr>
        <w:t xml:space="preserve"> 14, No 4, Pp 487-495.</w:t>
      </w:r>
    </w:p>
    <w:p w:rsidR="007045BC"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7045BC">
        <w:rPr>
          <w:rFonts w:ascii="Times New Roman" w:hAnsi="Times New Roman"/>
          <w:sz w:val="20"/>
          <w:szCs w:val="20"/>
        </w:rPr>
        <w:t>Filho</w:t>
      </w:r>
      <w:proofErr w:type="spellEnd"/>
      <w:r w:rsidRPr="007045BC">
        <w:rPr>
          <w:rFonts w:ascii="Times New Roman" w:hAnsi="Times New Roman"/>
          <w:sz w:val="20"/>
          <w:szCs w:val="20"/>
        </w:rPr>
        <w:t xml:space="preserve">, G. M. R. ; M. M. L. Duarte; A. D. Silva; J. F. L. </w:t>
      </w:r>
      <w:proofErr w:type="spellStart"/>
      <w:r w:rsidRPr="007045BC">
        <w:rPr>
          <w:rFonts w:ascii="Times New Roman" w:hAnsi="Times New Roman"/>
          <w:sz w:val="20"/>
          <w:szCs w:val="20"/>
        </w:rPr>
        <w:t>Neto</w:t>
      </w:r>
      <w:proofErr w:type="spellEnd"/>
      <w:r w:rsidRPr="007045BC">
        <w:rPr>
          <w:rFonts w:ascii="Times New Roman" w:hAnsi="Times New Roman"/>
          <w:sz w:val="20"/>
          <w:szCs w:val="20"/>
        </w:rPr>
        <w:t xml:space="preserve">; D. A. Lima; M. </w:t>
      </w:r>
      <w:proofErr w:type="spellStart"/>
      <w:r w:rsidRPr="007045BC">
        <w:rPr>
          <w:rFonts w:ascii="Times New Roman" w:hAnsi="Times New Roman"/>
          <w:sz w:val="20"/>
          <w:szCs w:val="20"/>
        </w:rPr>
        <w:t>Benachour</w:t>
      </w:r>
      <w:proofErr w:type="spellEnd"/>
      <w:r w:rsidRPr="007045BC">
        <w:rPr>
          <w:rFonts w:ascii="Times New Roman" w:hAnsi="Times New Roman"/>
          <w:sz w:val="20"/>
          <w:szCs w:val="20"/>
        </w:rPr>
        <w:t xml:space="preserve">; G. L. Silva3; A. M. R. </w:t>
      </w:r>
      <w:proofErr w:type="spellStart"/>
      <w:r w:rsidRPr="007045BC">
        <w:rPr>
          <w:rFonts w:ascii="Times New Roman" w:hAnsi="Times New Roman"/>
          <w:sz w:val="20"/>
          <w:szCs w:val="20"/>
        </w:rPr>
        <w:t>Bastos</w:t>
      </w:r>
      <w:proofErr w:type="spellEnd"/>
      <w:r w:rsidRPr="007045BC">
        <w:rPr>
          <w:rFonts w:ascii="Times New Roman" w:hAnsi="Times New Roman"/>
          <w:sz w:val="20"/>
          <w:szCs w:val="20"/>
        </w:rPr>
        <w:t xml:space="preserve">; V. L. Silva. (2012). Development of Advanced Oxidation Processes for Landfill </w:t>
      </w:r>
      <w:proofErr w:type="spellStart"/>
      <w:r w:rsidRPr="007045BC">
        <w:rPr>
          <w:rFonts w:ascii="Times New Roman" w:hAnsi="Times New Roman"/>
          <w:sz w:val="20"/>
          <w:szCs w:val="20"/>
        </w:rPr>
        <w:t>Leachate</w:t>
      </w:r>
      <w:proofErr w:type="spellEnd"/>
      <w:r w:rsidRPr="007045BC">
        <w:rPr>
          <w:rFonts w:ascii="Times New Roman" w:hAnsi="Times New Roman"/>
          <w:sz w:val="20"/>
          <w:szCs w:val="20"/>
        </w:rPr>
        <w:t xml:space="preserve"> Treatment in </w:t>
      </w:r>
      <w:proofErr w:type="spellStart"/>
      <w:r w:rsidRPr="007045BC">
        <w:rPr>
          <w:rFonts w:ascii="Times New Roman" w:hAnsi="Times New Roman"/>
          <w:sz w:val="20"/>
          <w:szCs w:val="20"/>
        </w:rPr>
        <w:t>Muribeca</w:t>
      </w:r>
      <w:proofErr w:type="spellEnd"/>
      <w:r w:rsidRPr="007045BC">
        <w:rPr>
          <w:rFonts w:ascii="Times New Roman" w:hAnsi="Times New Roman"/>
          <w:sz w:val="20"/>
          <w:szCs w:val="20"/>
        </w:rPr>
        <w:t xml:space="preserve"> (</w:t>
      </w:r>
      <w:proofErr w:type="spellStart"/>
      <w:r w:rsidRPr="007045BC">
        <w:rPr>
          <w:rFonts w:ascii="Times New Roman" w:hAnsi="Times New Roman"/>
          <w:sz w:val="20"/>
          <w:szCs w:val="20"/>
        </w:rPr>
        <w:t>Pe</w:t>
      </w:r>
      <w:proofErr w:type="spellEnd"/>
      <w:r w:rsidRPr="007045BC">
        <w:rPr>
          <w:rFonts w:ascii="Times New Roman" w:hAnsi="Times New Roman"/>
          <w:sz w:val="20"/>
          <w:szCs w:val="20"/>
        </w:rPr>
        <w:t xml:space="preserve">-Brazil). </w:t>
      </w:r>
      <w:r w:rsidRPr="007045BC">
        <w:rPr>
          <w:rFonts w:ascii="Times New Roman" w:hAnsi="Times New Roman"/>
          <w:bCs/>
          <w:sz w:val="20"/>
          <w:szCs w:val="20"/>
        </w:rPr>
        <w:t>SCIENTIA PLENA VOL. 8, NUM. 7, 1-11.</w:t>
      </w:r>
    </w:p>
    <w:p w:rsidR="007045BC"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i/>
          <w:iCs/>
          <w:sz w:val="20"/>
          <w:szCs w:val="20"/>
        </w:rPr>
      </w:pPr>
      <w:proofErr w:type="spellStart"/>
      <w:r w:rsidRPr="007045BC">
        <w:rPr>
          <w:rFonts w:ascii="Times New Roman" w:hAnsi="Times New Roman"/>
          <w:sz w:val="20"/>
          <w:szCs w:val="20"/>
        </w:rPr>
        <w:t>Kjeldsen</w:t>
      </w:r>
      <w:proofErr w:type="spellEnd"/>
      <w:r w:rsidRPr="007045BC">
        <w:rPr>
          <w:rFonts w:ascii="Times New Roman" w:hAnsi="Times New Roman"/>
          <w:sz w:val="20"/>
          <w:szCs w:val="20"/>
        </w:rPr>
        <w:t xml:space="preserve"> P., </w:t>
      </w:r>
      <w:proofErr w:type="spellStart"/>
      <w:r w:rsidRPr="007045BC">
        <w:rPr>
          <w:rFonts w:ascii="Times New Roman" w:hAnsi="Times New Roman"/>
          <w:sz w:val="20"/>
          <w:szCs w:val="20"/>
        </w:rPr>
        <w:t>Barlaz</w:t>
      </w:r>
      <w:proofErr w:type="spellEnd"/>
      <w:r w:rsidRPr="007045BC">
        <w:rPr>
          <w:rFonts w:ascii="Times New Roman" w:hAnsi="Times New Roman"/>
          <w:sz w:val="20"/>
          <w:szCs w:val="20"/>
        </w:rPr>
        <w:t xml:space="preserve"> M. A., </w:t>
      </w:r>
      <w:proofErr w:type="spellStart"/>
      <w:r w:rsidRPr="007045BC">
        <w:rPr>
          <w:rFonts w:ascii="Times New Roman" w:hAnsi="Times New Roman"/>
          <w:sz w:val="20"/>
          <w:szCs w:val="20"/>
        </w:rPr>
        <w:t>Rooker</w:t>
      </w:r>
      <w:proofErr w:type="spellEnd"/>
      <w:r w:rsidRPr="007045BC">
        <w:rPr>
          <w:rFonts w:ascii="Times New Roman" w:hAnsi="Times New Roman"/>
          <w:sz w:val="20"/>
          <w:szCs w:val="20"/>
        </w:rPr>
        <w:t xml:space="preserve"> A. P., </w:t>
      </w:r>
      <w:proofErr w:type="spellStart"/>
      <w:r w:rsidRPr="007045BC">
        <w:rPr>
          <w:rFonts w:ascii="Times New Roman" w:hAnsi="Times New Roman"/>
          <w:sz w:val="20"/>
          <w:szCs w:val="20"/>
        </w:rPr>
        <w:t>Baun</w:t>
      </w:r>
      <w:proofErr w:type="spellEnd"/>
      <w:r w:rsidRPr="007045BC">
        <w:rPr>
          <w:rFonts w:ascii="Times New Roman" w:hAnsi="Times New Roman"/>
          <w:sz w:val="20"/>
          <w:szCs w:val="20"/>
        </w:rPr>
        <w:t xml:space="preserve"> A., </w:t>
      </w:r>
      <w:proofErr w:type="spellStart"/>
      <w:r w:rsidRPr="007045BC">
        <w:rPr>
          <w:rFonts w:ascii="Times New Roman" w:hAnsi="Times New Roman"/>
          <w:sz w:val="20"/>
          <w:szCs w:val="20"/>
        </w:rPr>
        <w:t>Ledin</w:t>
      </w:r>
      <w:proofErr w:type="spellEnd"/>
      <w:r w:rsidRPr="007045BC">
        <w:rPr>
          <w:rFonts w:ascii="Times New Roman" w:hAnsi="Times New Roman"/>
          <w:sz w:val="20"/>
          <w:szCs w:val="20"/>
        </w:rPr>
        <w:t xml:space="preserve"> A., Christensen T. H. </w:t>
      </w:r>
      <w:r w:rsidRPr="007045BC">
        <w:rPr>
          <w:rFonts w:ascii="Times New Roman" w:hAnsi="Times New Roman"/>
          <w:i/>
          <w:iCs/>
          <w:sz w:val="20"/>
          <w:szCs w:val="20"/>
        </w:rPr>
        <w:t xml:space="preserve">Present and </w:t>
      </w:r>
      <w:proofErr w:type="spellStart"/>
      <w:r w:rsidRPr="007045BC">
        <w:rPr>
          <w:rFonts w:ascii="Times New Roman" w:hAnsi="Times New Roman"/>
          <w:i/>
          <w:iCs/>
          <w:sz w:val="20"/>
          <w:szCs w:val="20"/>
        </w:rPr>
        <w:t>longterm</w:t>
      </w:r>
      <w:proofErr w:type="spellEnd"/>
      <w:r w:rsidRPr="007045BC">
        <w:rPr>
          <w:rFonts w:ascii="Times New Roman" w:hAnsi="Times New Roman"/>
          <w:i/>
          <w:iCs/>
          <w:sz w:val="20"/>
          <w:szCs w:val="20"/>
        </w:rPr>
        <w:t xml:space="preserve"> composition of MSW landfill </w:t>
      </w:r>
      <w:proofErr w:type="spellStart"/>
      <w:r w:rsidRPr="007045BC">
        <w:rPr>
          <w:rFonts w:ascii="Times New Roman" w:hAnsi="Times New Roman"/>
          <w:i/>
          <w:iCs/>
          <w:sz w:val="20"/>
          <w:szCs w:val="20"/>
        </w:rPr>
        <w:t>leachate</w:t>
      </w:r>
      <w:proofErr w:type="spellEnd"/>
      <w:r w:rsidRPr="007045BC">
        <w:rPr>
          <w:rFonts w:ascii="Times New Roman" w:hAnsi="Times New Roman"/>
          <w:i/>
          <w:iCs/>
          <w:sz w:val="20"/>
          <w:szCs w:val="20"/>
        </w:rPr>
        <w:t xml:space="preserve">, a review, </w:t>
      </w:r>
      <w:proofErr w:type="spellStart"/>
      <w:r w:rsidRPr="007045BC">
        <w:rPr>
          <w:rFonts w:ascii="Times New Roman" w:hAnsi="Times New Roman"/>
          <w:sz w:val="20"/>
          <w:szCs w:val="20"/>
        </w:rPr>
        <w:t>Crit</w:t>
      </w:r>
      <w:proofErr w:type="spellEnd"/>
      <w:r w:rsidRPr="007045BC">
        <w:rPr>
          <w:rFonts w:ascii="Times New Roman" w:hAnsi="Times New Roman"/>
          <w:sz w:val="20"/>
          <w:szCs w:val="20"/>
        </w:rPr>
        <w:t xml:space="preserve"> Rev Environ </w:t>
      </w:r>
      <w:proofErr w:type="spellStart"/>
      <w:r w:rsidRPr="007045BC">
        <w:rPr>
          <w:rFonts w:ascii="Times New Roman" w:hAnsi="Times New Roman"/>
          <w:sz w:val="20"/>
          <w:szCs w:val="20"/>
        </w:rPr>
        <w:t>Sci</w:t>
      </w:r>
      <w:proofErr w:type="spellEnd"/>
      <w:r w:rsidRPr="007045BC">
        <w:rPr>
          <w:rFonts w:ascii="Times New Roman" w:hAnsi="Times New Roman"/>
          <w:sz w:val="20"/>
          <w:szCs w:val="20"/>
        </w:rPr>
        <w:t xml:space="preserve"> Technol., n. 32 v. 4 p.297–336, 2002.</w:t>
      </w:r>
    </w:p>
    <w:p w:rsidR="007045BC" w:rsidRPr="007045BC" w:rsidRDefault="00FF1178" w:rsidP="007045BC">
      <w:pPr>
        <w:pStyle w:val="Default"/>
        <w:numPr>
          <w:ilvl w:val="0"/>
          <w:numId w:val="5"/>
        </w:numPr>
        <w:snapToGrid w:val="0"/>
        <w:ind w:left="425" w:hanging="425"/>
        <w:jc w:val="both"/>
        <w:rPr>
          <w:color w:val="auto"/>
          <w:sz w:val="20"/>
          <w:szCs w:val="20"/>
        </w:rPr>
      </w:pPr>
      <w:r w:rsidRPr="007045BC">
        <w:rPr>
          <w:bCs/>
          <w:color w:val="auto"/>
          <w:sz w:val="20"/>
          <w:szCs w:val="20"/>
        </w:rPr>
        <w:t xml:space="preserve">Ahmad </w:t>
      </w:r>
      <w:proofErr w:type="spellStart"/>
      <w:r w:rsidRPr="007045BC">
        <w:rPr>
          <w:bCs/>
          <w:color w:val="auto"/>
          <w:sz w:val="20"/>
          <w:szCs w:val="20"/>
        </w:rPr>
        <w:t>Mashal</w:t>
      </w:r>
      <w:proofErr w:type="spellEnd"/>
      <w:r w:rsidRPr="007045BC">
        <w:rPr>
          <w:bCs/>
          <w:color w:val="auto"/>
          <w:sz w:val="20"/>
          <w:szCs w:val="20"/>
        </w:rPr>
        <w:t xml:space="preserve">, </w:t>
      </w:r>
      <w:proofErr w:type="spellStart"/>
      <w:r w:rsidRPr="007045BC">
        <w:rPr>
          <w:bCs/>
          <w:color w:val="auto"/>
          <w:sz w:val="20"/>
          <w:szCs w:val="20"/>
        </w:rPr>
        <w:t>Jehad</w:t>
      </w:r>
      <w:proofErr w:type="spellEnd"/>
      <w:r w:rsidRPr="007045BC">
        <w:rPr>
          <w:bCs/>
          <w:color w:val="auto"/>
          <w:sz w:val="20"/>
          <w:szCs w:val="20"/>
        </w:rPr>
        <w:t xml:space="preserve"> Abu-</w:t>
      </w:r>
      <w:proofErr w:type="spellStart"/>
      <w:r w:rsidRPr="007045BC">
        <w:rPr>
          <w:bCs/>
          <w:color w:val="auto"/>
          <w:sz w:val="20"/>
          <w:szCs w:val="20"/>
        </w:rPr>
        <w:t>Daherieh</w:t>
      </w:r>
      <w:proofErr w:type="spellEnd"/>
      <w:r w:rsidRPr="007045BC">
        <w:rPr>
          <w:bCs/>
          <w:color w:val="auto"/>
          <w:sz w:val="20"/>
          <w:szCs w:val="20"/>
        </w:rPr>
        <w:t xml:space="preserve">, Mohammad Ahmad, </w:t>
      </w:r>
      <w:proofErr w:type="spellStart"/>
      <w:r w:rsidRPr="007045BC">
        <w:rPr>
          <w:bCs/>
          <w:color w:val="auto"/>
          <w:sz w:val="20"/>
          <w:szCs w:val="20"/>
        </w:rPr>
        <w:t>Farid</w:t>
      </w:r>
      <w:proofErr w:type="spellEnd"/>
      <w:r w:rsidRPr="007045BC">
        <w:rPr>
          <w:bCs/>
          <w:color w:val="auto"/>
          <w:sz w:val="20"/>
          <w:szCs w:val="20"/>
        </w:rPr>
        <w:t xml:space="preserve"> </w:t>
      </w:r>
      <w:proofErr w:type="spellStart"/>
      <w:r w:rsidRPr="007045BC">
        <w:rPr>
          <w:bCs/>
          <w:color w:val="auto"/>
          <w:sz w:val="20"/>
          <w:szCs w:val="20"/>
        </w:rPr>
        <w:t>Aiouache</w:t>
      </w:r>
      <w:proofErr w:type="spellEnd"/>
      <w:r w:rsidRPr="007045BC">
        <w:rPr>
          <w:bCs/>
          <w:color w:val="auto"/>
          <w:sz w:val="20"/>
          <w:szCs w:val="20"/>
        </w:rPr>
        <w:t xml:space="preserve"> and David Rooney (2012). Fenton's catalytic oxidation process to treat landfill </w:t>
      </w:r>
      <w:proofErr w:type="spellStart"/>
      <w:r w:rsidRPr="007045BC">
        <w:rPr>
          <w:bCs/>
          <w:color w:val="auto"/>
          <w:sz w:val="20"/>
          <w:szCs w:val="20"/>
        </w:rPr>
        <w:t>leachate</w:t>
      </w:r>
      <w:proofErr w:type="spellEnd"/>
      <w:r w:rsidR="007045BC" w:rsidRPr="007045BC">
        <w:rPr>
          <w:rFonts w:eastAsiaTheme="minorEastAsia" w:hint="eastAsia"/>
          <w:bCs/>
          <w:color w:val="auto"/>
          <w:sz w:val="20"/>
          <w:szCs w:val="20"/>
          <w:lang w:eastAsia="zh-CN"/>
        </w:rPr>
        <w:t xml:space="preserve"> </w:t>
      </w:r>
      <w:r w:rsidRPr="007045BC">
        <w:rPr>
          <w:color w:val="auto"/>
          <w:sz w:val="20"/>
          <w:szCs w:val="20"/>
        </w:rPr>
        <w:t>The Sixth Jordan International Chemical Engineering Conference.</w:t>
      </w:r>
    </w:p>
    <w:p w:rsidR="007045BC" w:rsidRPr="007045BC" w:rsidRDefault="00FF1178" w:rsidP="007045BC">
      <w:pPr>
        <w:pStyle w:val="ListParagraph"/>
        <w:numPr>
          <w:ilvl w:val="0"/>
          <w:numId w:val="5"/>
        </w:numPr>
        <w:snapToGrid w:val="0"/>
        <w:spacing w:after="0" w:line="240" w:lineRule="auto"/>
        <w:ind w:left="425" w:hanging="425"/>
        <w:jc w:val="both"/>
        <w:rPr>
          <w:rFonts w:ascii="Times New Roman" w:hAnsi="Times New Roman"/>
          <w:b/>
          <w:sz w:val="20"/>
          <w:szCs w:val="20"/>
        </w:rPr>
      </w:pPr>
      <w:proofErr w:type="spellStart"/>
      <w:r w:rsidRPr="007045BC">
        <w:rPr>
          <w:rFonts w:ascii="Times New Roman" w:hAnsi="Times New Roman"/>
          <w:sz w:val="20"/>
          <w:szCs w:val="20"/>
        </w:rPr>
        <w:t>Jia-Qran</w:t>
      </w:r>
      <w:proofErr w:type="spellEnd"/>
      <w:r w:rsidRPr="007045BC">
        <w:rPr>
          <w:rFonts w:ascii="Times New Roman" w:hAnsi="Times New Roman"/>
          <w:sz w:val="20"/>
          <w:szCs w:val="20"/>
        </w:rPr>
        <w:t xml:space="preserve"> Jiang, S. Wang, A. </w:t>
      </w:r>
      <w:proofErr w:type="spellStart"/>
      <w:r w:rsidRPr="007045BC">
        <w:rPr>
          <w:rFonts w:ascii="Times New Roman" w:hAnsi="Times New Roman"/>
          <w:sz w:val="20"/>
          <w:szCs w:val="20"/>
        </w:rPr>
        <w:t>Panagoulopoulos</w:t>
      </w:r>
      <w:proofErr w:type="spellEnd"/>
      <w:r w:rsidRPr="007045BC">
        <w:rPr>
          <w:rFonts w:ascii="Times New Roman" w:hAnsi="Times New Roman"/>
          <w:sz w:val="20"/>
          <w:szCs w:val="20"/>
        </w:rPr>
        <w:t xml:space="preserve"> (2005). Comparative performance of potassium ferrate (VI) in drinking water and sewage treatment. Proceedings of the 9</w:t>
      </w:r>
      <w:r w:rsidRPr="007045BC">
        <w:rPr>
          <w:rFonts w:ascii="Times New Roman" w:hAnsi="Times New Roman"/>
          <w:sz w:val="20"/>
          <w:szCs w:val="20"/>
          <w:vertAlign w:val="superscript"/>
        </w:rPr>
        <w:t>th</w:t>
      </w:r>
      <w:r w:rsidRPr="007045BC">
        <w:rPr>
          <w:rFonts w:ascii="Times New Roman" w:hAnsi="Times New Roman"/>
          <w:sz w:val="20"/>
          <w:szCs w:val="20"/>
        </w:rPr>
        <w:t xml:space="preserve"> international conference on Environmental Science and Technology, Rhodes Island, Greece 1 – 3 September. A620 – 625.</w:t>
      </w:r>
    </w:p>
    <w:p w:rsidR="007045BC"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7045BC">
        <w:rPr>
          <w:rFonts w:ascii="Times New Roman" w:hAnsi="Times New Roman"/>
          <w:sz w:val="20"/>
          <w:szCs w:val="20"/>
        </w:rPr>
        <w:t>Jiang, J.Q., Lloyd, B. (2002). Progress in the development and use of ferrate (VI) salt as an oxidant and coagulant for water. Research, 36, 1397 – 1408.</w:t>
      </w:r>
    </w:p>
    <w:p w:rsidR="007045BC"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7045BC">
        <w:rPr>
          <w:rFonts w:ascii="Times New Roman" w:hAnsi="Times New Roman"/>
          <w:sz w:val="20"/>
          <w:szCs w:val="20"/>
        </w:rPr>
        <w:t xml:space="preserve">Lionel </w:t>
      </w:r>
      <w:proofErr w:type="spellStart"/>
      <w:r w:rsidRPr="007045BC">
        <w:rPr>
          <w:rFonts w:ascii="Times New Roman" w:hAnsi="Times New Roman"/>
          <w:sz w:val="20"/>
          <w:szCs w:val="20"/>
        </w:rPr>
        <w:t>Delaude</w:t>
      </w:r>
      <w:proofErr w:type="spellEnd"/>
      <w:r w:rsidRPr="007045BC">
        <w:rPr>
          <w:rFonts w:ascii="Times New Roman" w:hAnsi="Times New Roman"/>
          <w:sz w:val="20"/>
          <w:szCs w:val="20"/>
        </w:rPr>
        <w:t xml:space="preserve"> and Pierre Laszlo (1996). A Novel Oxidizing Reagent Based on Potassium Ferrate(VI). J. Org. Chem. 1996, 61, 6360-6370</w:t>
      </w:r>
    </w:p>
    <w:p w:rsidR="007045BC" w:rsidRPr="007045BC" w:rsidRDefault="00FF1178" w:rsidP="007045BC">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7045BC">
        <w:rPr>
          <w:rFonts w:ascii="Times New Roman" w:hAnsi="Times New Roman"/>
          <w:bCs/>
          <w:sz w:val="20"/>
          <w:szCs w:val="20"/>
        </w:rPr>
        <w:t xml:space="preserve">APHA-AWWA-WPCP. (1989). </w:t>
      </w:r>
      <w:r w:rsidRPr="007045BC">
        <w:rPr>
          <w:rFonts w:ascii="Times New Roman" w:hAnsi="Times New Roman"/>
          <w:sz w:val="20"/>
          <w:szCs w:val="20"/>
        </w:rPr>
        <w:t xml:space="preserve">Standard methods for the examination of water and </w:t>
      </w:r>
      <w:r w:rsidRPr="007045BC">
        <w:rPr>
          <w:rFonts w:ascii="Times New Roman" w:hAnsi="Times New Roman"/>
          <w:sz w:val="20"/>
          <w:szCs w:val="20"/>
        </w:rPr>
        <w:lastRenderedPageBreak/>
        <w:t xml:space="preserve">wastewater, 27th </w:t>
      </w:r>
      <w:proofErr w:type="spellStart"/>
      <w:r w:rsidRPr="007045BC">
        <w:rPr>
          <w:rFonts w:ascii="Times New Roman" w:hAnsi="Times New Roman"/>
          <w:sz w:val="20"/>
          <w:szCs w:val="20"/>
        </w:rPr>
        <w:t>ed</w:t>
      </w:r>
      <w:proofErr w:type="spellEnd"/>
      <w:r w:rsidRPr="007045BC">
        <w:rPr>
          <w:rFonts w:ascii="Times New Roman" w:hAnsi="Times New Roman"/>
          <w:sz w:val="20"/>
          <w:szCs w:val="20"/>
        </w:rPr>
        <w:t>, American Public Health Association, Washington DC .Pp - 71.</w:t>
      </w:r>
    </w:p>
    <w:p w:rsidR="007045BC" w:rsidRPr="007045BC" w:rsidRDefault="00FF1178" w:rsidP="007045BC">
      <w:pPr>
        <w:pStyle w:val="ListParagraph"/>
        <w:numPr>
          <w:ilvl w:val="0"/>
          <w:numId w:val="5"/>
        </w:numPr>
        <w:snapToGrid w:val="0"/>
        <w:spacing w:after="0" w:line="240" w:lineRule="auto"/>
        <w:ind w:left="425" w:hanging="425"/>
        <w:jc w:val="both"/>
        <w:rPr>
          <w:rFonts w:ascii="Times New Roman" w:hAnsi="Times New Roman"/>
          <w:b/>
          <w:sz w:val="20"/>
          <w:szCs w:val="20"/>
        </w:rPr>
      </w:pPr>
      <w:r w:rsidRPr="007045BC">
        <w:rPr>
          <w:rFonts w:ascii="Times New Roman" w:hAnsi="Times New Roman"/>
          <w:sz w:val="20"/>
          <w:szCs w:val="20"/>
        </w:rPr>
        <w:t xml:space="preserve">Krzysztof </w:t>
      </w:r>
      <w:proofErr w:type="spellStart"/>
      <w:r w:rsidRPr="007045BC">
        <w:rPr>
          <w:rFonts w:ascii="Times New Roman" w:hAnsi="Times New Roman"/>
          <w:sz w:val="20"/>
          <w:szCs w:val="20"/>
        </w:rPr>
        <w:t>Barbusiński</w:t>
      </w:r>
      <w:proofErr w:type="spellEnd"/>
      <w:r w:rsidRPr="007045BC">
        <w:rPr>
          <w:rFonts w:ascii="Times New Roman" w:hAnsi="Times New Roman"/>
          <w:sz w:val="20"/>
          <w:szCs w:val="20"/>
        </w:rPr>
        <w:t xml:space="preserve"> A, Barbara </w:t>
      </w:r>
      <w:proofErr w:type="spellStart"/>
      <w:r w:rsidRPr="007045BC">
        <w:rPr>
          <w:rFonts w:ascii="Times New Roman" w:hAnsi="Times New Roman"/>
          <w:sz w:val="20"/>
          <w:szCs w:val="20"/>
        </w:rPr>
        <w:t>Pieczykolan</w:t>
      </w:r>
      <w:proofErr w:type="spellEnd"/>
      <w:r w:rsidRPr="007045BC">
        <w:rPr>
          <w:rFonts w:ascii="Times New Roman" w:hAnsi="Times New Roman"/>
          <w:sz w:val="20"/>
          <w:szCs w:val="20"/>
        </w:rPr>
        <w:t xml:space="preserve"> (2010). Cod Removal From Landfill </w:t>
      </w:r>
      <w:proofErr w:type="spellStart"/>
      <w:r w:rsidRPr="007045BC">
        <w:rPr>
          <w:rFonts w:ascii="Times New Roman" w:hAnsi="Times New Roman"/>
          <w:sz w:val="20"/>
          <w:szCs w:val="20"/>
        </w:rPr>
        <w:t>Leachate</w:t>
      </w:r>
      <w:proofErr w:type="spellEnd"/>
      <w:r w:rsidRPr="007045BC">
        <w:rPr>
          <w:rFonts w:ascii="Times New Roman" w:hAnsi="Times New Roman"/>
          <w:sz w:val="20"/>
          <w:szCs w:val="20"/>
        </w:rPr>
        <w:t xml:space="preserve"> Using</w:t>
      </w:r>
      <w:r w:rsidR="007045BC">
        <w:rPr>
          <w:rFonts w:ascii="Times New Roman" w:hAnsi="Times New Roman"/>
          <w:sz w:val="20"/>
          <w:szCs w:val="20"/>
        </w:rPr>
        <w:t xml:space="preserve"> </w:t>
      </w:r>
      <w:r w:rsidRPr="007045BC">
        <w:rPr>
          <w:rFonts w:ascii="Times New Roman" w:hAnsi="Times New Roman"/>
          <w:sz w:val="20"/>
          <w:szCs w:val="20"/>
        </w:rPr>
        <w:t>Fenton</w:t>
      </w:r>
      <w:r w:rsidR="007045BC">
        <w:rPr>
          <w:rFonts w:ascii="Times New Roman" w:hAnsi="Times New Roman"/>
          <w:sz w:val="20"/>
          <w:szCs w:val="20"/>
        </w:rPr>
        <w:t xml:space="preserve"> </w:t>
      </w:r>
      <w:r w:rsidRPr="007045BC">
        <w:rPr>
          <w:rFonts w:ascii="Times New Roman" w:hAnsi="Times New Roman"/>
          <w:sz w:val="20"/>
          <w:szCs w:val="20"/>
        </w:rPr>
        <w:t>Oxidation</w:t>
      </w:r>
      <w:r w:rsidR="007045BC">
        <w:rPr>
          <w:rFonts w:ascii="Times New Roman" w:hAnsi="Times New Roman"/>
          <w:sz w:val="20"/>
          <w:szCs w:val="20"/>
        </w:rPr>
        <w:t xml:space="preserve"> </w:t>
      </w:r>
      <w:r w:rsidRPr="007045BC">
        <w:rPr>
          <w:rFonts w:ascii="Times New Roman" w:hAnsi="Times New Roman"/>
          <w:sz w:val="20"/>
          <w:szCs w:val="20"/>
        </w:rPr>
        <w:t>And</w:t>
      </w:r>
      <w:r w:rsidR="007045BC">
        <w:rPr>
          <w:rFonts w:ascii="Times New Roman" w:hAnsi="Times New Roman"/>
          <w:sz w:val="20"/>
          <w:szCs w:val="20"/>
        </w:rPr>
        <w:t xml:space="preserve"> </w:t>
      </w:r>
      <w:r w:rsidRPr="007045BC">
        <w:rPr>
          <w:rFonts w:ascii="Times New Roman" w:hAnsi="Times New Roman"/>
          <w:sz w:val="20"/>
          <w:szCs w:val="20"/>
        </w:rPr>
        <w:t>Coagulation.</w:t>
      </w:r>
      <w:r w:rsidR="007045BC">
        <w:rPr>
          <w:rFonts w:ascii="Times New Roman" w:hAnsi="Times New Roman"/>
          <w:sz w:val="20"/>
          <w:szCs w:val="20"/>
        </w:rPr>
        <w:t xml:space="preserve"> </w:t>
      </w:r>
      <w:r w:rsidRPr="007045BC">
        <w:rPr>
          <w:rFonts w:ascii="Times New Roman" w:hAnsi="Times New Roman"/>
          <w:sz w:val="20"/>
          <w:szCs w:val="20"/>
        </w:rPr>
        <w:t>Arch</w:t>
      </w:r>
      <w:r w:rsidR="007045BC">
        <w:rPr>
          <w:rFonts w:ascii="Times New Roman" w:hAnsi="Times New Roman"/>
          <w:sz w:val="20"/>
          <w:szCs w:val="20"/>
        </w:rPr>
        <w:t xml:space="preserve"> </w:t>
      </w:r>
      <w:proofErr w:type="spellStart"/>
      <w:r w:rsidRPr="007045BC">
        <w:rPr>
          <w:rFonts w:ascii="Times New Roman" w:hAnsi="Times New Roman"/>
          <w:sz w:val="20"/>
          <w:szCs w:val="20"/>
        </w:rPr>
        <w:t>i</w:t>
      </w:r>
      <w:proofErr w:type="spellEnd"/>
      <w:r w:rsidR="007045BC">
        <w:rPr>
          <w:rFonts w:ascii="Times New Roman" w:hAnsi="Times New Roman"/>
          <w:sz w:val="20"/>
          <w:szCs w:val="20"/>
        </w:rPr>
        <w:t xml:space="preserve"> </w:t>
      </w:r>
      <w:proofErr w:type="spellStart"/>
      <w:r w:rsidRPr="007045BC">
        <w:rPr>
          <w:rFonts w:ascii="Times New Roman" w:hAnsi="Times New Roman"/>
          <w:sz w:val="20"/>
          <w:szCs w:val="20"/>
        </w:rPr>
        <w:t>tecture</w:t>
      </w:r>
      <w:proofErr w:type="spellEnd"/>
      <w:r w:rsidR="007045BC">
        <w:rPr>
          <w:rFonts w:ascii="Times New Roman" w:hAnsi="Times New Roman"/>
          <w:sz w:val="20"/>
          <w:szCs w:val="20"/>
        </w:rPr>
        <w:t xml:space="preserve"> </w:t>
      </w:r>
      <w:r w:rsidRPr="007045BC">
        <w:rPr>
          <w:rFonts w:ascii="Times New Roman" w:hAnsi="Times New Roman"/>
          <w:sz w:val="20"/>
          <w:szCs w:val="20"/>
        </w:rPr>
        <w:t>Civil</w:t>
      </w:r>
      <w:r w:rsidR="007045BC">
        <w:rPr>
          <w:rFonts w:ascii="Times New Roman" w:eastAsiaTheme="minorEastAsia" w:hAnsi="Times New Roman" w:hint="eastAsia"/>
          <w:sz w:val="20"/>
          <w:szCs w:val="20"/>
          <w:lang w:eastAsia="zh-CN"/>
        </w:rPr>
        <w:t xml:space="preserve"> </w:t>
      </w:r>
      <w:r w:rsidRPr="007045BC">
        <w:rPr>
          <w:rFonts w:ascii="Times New Roman" w:hAnsi="Times New Roman"/>
          <w:sz w:val="20"/>
          <w:szCs w:val="20"/>
        </w:rPr>
        <w:t>Engineering</w:t>
      </w:r>
      <w:r w:rsidR="007045BC">
        <w:rPr>
          <w:rFonts w:ascii="Times New Roman" w:hAnsi="Times New Roman"/>
          <w:sz w:val="20"/>
          <w:szCs w:val="20"/>
        </w:rPr>
        <w:t xml:space="preserve"> </w:t>
      </w:r>
      <w:r w:rsidRPr="007045BC">
        <w:rPr>
          <w:rFonts w:ascii="Times New Roman" w:hAnsi="Times New Roman"/>
          <w:sz w:val="20"/>
          <w:szCs w:val="20"/>
        </w:rPr>
        <w:t>Environment,</w:t>
      </w:r>
      <w:r w:rsidR="007045BC">
        <w:rPr>
          <w:rFonts w:ascii="Times New Roman" w:hAnsi="Times New Roman"/>
          <w:sz w:val="20"/>
          <w:szCs w:val="20"/>
        </w:rPr>
        <w:t xml:space="preserve"> </w:t>
      </w:r>
      <w:r w:rsidRPr="007045BC">
        <w:rPr>
          <w:rFonts w:ascii="Times New Roman" w:hAnsi="Times New Roman"/>
          <w:sz w:val="20"/>
          <w:szCs w:val="20"/>
        </w:rPr>
        <w:t>93</w:t>
      </w:r>
      <w:r w:rsidR="007045BC">
        <w:rPr>
          <w:rFonts w:ascii="Times New Roman" w:hAnsi="Times New Roman"/>
          <w:sz w:val="20"/>
          <w:szCs w:val="20"/>
        </w:rPr>
        <w:t xml:space="preserve"> </w:t>
      </w:r>
      <w:r w:rsidRPr="007045BC">
        <w:rPr>
          <w:rFonts w:ascii="Times New Roman" w:hAnsi="Times New Roman"/>
          <w:sz w:val="20"/>
          <w:szCs w:val="20"/>
        </w:rPr>
        <w:t>–</w:t>
      </w:r>
      <w:r w:rsidR="007045BC">
        <w:rPr>
          <w:rFonts w:ascii="Times New Roman" w:hAnsi="Times New Roman"/>
          <w:sz w:val="20"/>
          <w:szCs w:val="20"/>
        </w:rPr>
        <w:t xml:space="preserve"> </w:t>
      </w:r>
      <w:r w:rsidRPr="007045BC">
        <w:rPr>
          <w:rFonts w:ascii="Times New Roman" w:hAnsi="Times New Roman"/>
          <w:sz w:val="20"/>
          <w:szCs w:val="20"/>
        </w:rPr>
        <w:t>100.</w:t>
      </w:r>
    </w:p>
    <w:p w:rsidR="007045BC" w:rsidRPr="007045BC" w:rsidRDefault="00FF1178" w:rsidP="007045BC">
      <w:pPr>
        <w:pStyle w:val="ListParagraph"/>
        <w:numPr>
          <w:ilvl w:val="0"/>
          <w:numId w:val="5"/>
        </w:numPr>
        <w:snapToGrid w:val="0"/>
        <w:spacing w:after="0" w:line="240" w:lineRule="auto"/>
        <w:ind w:left="425" w:hanging="425"/>
        <w:jc w:val="both"/>
        <w:rPr>
          <w:rFonts w:ascii="Times New Roman" w:hAnsi="Times New Roman"/>
          <w:b/>
          <w:sz w:val="20"/>
          <w:szCs w:val="20"/>
        </w:rPr>
      </w:pPr>
      <w:proofErr w:type="spellStart"/>
      <w:r w:rsidRPr="007045BC">
        <w:rPr>
          <w:rFonts w:ascii="Times New Roman" w:hAnsi="Times New Roman"/>
          <w:bCs/>
          <w:sz w:val="20"/>
          <w:szCs w:val="20"/>
        </w:rPr>
        <w:lastRenderedPageBreak/>
        <w:t>Shrirang</w:t>
      </w:r>
      <w:proofErr w:type="spellEnd"/>
      <w:r w:rsidRPr="007045BC">
        <w:rPr>
          <w:rFonts w:ascii="Times New Roman" w:hAnsi="Times New Roman"/>
          <w:bCs/>
          <w:sz w:val="20"/>
          <w:szCs w:val="20"/>
        </w:rPr>
        <w:t xml:space="preserve"> </w:t>
      </w:r>
      <w:proofErr w:type="spellStart"/>
      <w:r w:rsidRPr="007045BC">
        <w:rPr>
          <w:rFonts w:ascii="Times New Roman" w:hAnsi="Times New Roman"/>
          <w:bCs/>
          <w:sz w:val="20"/>
          <w:szCs w:val="20"/>
        </w:rPr>
        <w:t>Vrushali</w:t>
      </w:r>
      <w:proofErr w:type="spellEnd"/>
      <w:r w:rsidRPr="007045BC">
        <w:rPr>
          <w:rFonts w:ascii="Times New Roman" w:hAnsi="Times New Roman"/>
          <w:bCs/>
          <w:sz w:val="20"/>
          <w:szCs w:val="20"/>
        </w:rPr>
        <w:t xml:space="preserve"> And </w:t>
      </w:r>
      <w:proofErr w:type="spellStart"/>
      <w:r w:rsidRPr="007045BC">
        <w:rPr>
          <w:rFonts w:ascii="Times New Roman" w:hAnsi="Times New Roman"/>
          <w:bCs/>
          <w:sz w:val="20"/>
          <w:szCs w:val="20"/>
        </w:rPr>
        <w:t>Chatterjee</w:t>
      </w:r>
      <w:proofErr w:type="spellEnd"/>
      <w:r w:rsidRPr="007045BC">
        <w:rPr>
          <w:rFonts w:ascii="Times New Roman" w:hAnsi="Times New Roman"/>
          <w:bCs/>
          <w:sz w:val="20"/>
          <w:szCs w:val="20"/>
        </w:rPr>
        <w:t xml:space="preserve"> </w:t>
      </w:r>
      <w:proofErr w:type="spellStart"/>
      <w:r w:rsidRPr="007045BC">
        <w:rPr>
          <w:rFonts w:ascii="Times New Roman" w:hAnsi="Times New Roman"/>
          <w:bCs/>
          <w:sz w:val="20"/>
          <w:szCs w:val="20"/>
        </w:rPr>
        <w:t>Kaustav</w:t>
      </w:r>
      <w:proofErr w:type="spellEnd"/>
      <w:r w:rsidRPr="007045BC">
        <w:rPr>
          <w:rFonts w:ascii="Times New Roman" w:hAnsi="Times New Roman"/>
          <w:bCs/>
          <w:sz w:val="20"/>
          <w:szCs w:val="20"/>
        </w:rPr>
        <w:t xml:space="preserve"> (2014). Sewage Treatment And Reuse - A Step Towards Water Conservation . International Science Journal </w:t>
      </w:r>
      <w:r w:rsidRPr="007045BC">
        <w:rPr>
          <w:rFonts w:ascii="Times New Roman" w:hAnsi="Times New Roman"/>
          <w:sz w:val="20"/>
          <w:szCs w:val="20"/>
        </w:rPr>
        <w:t>Volume- 1 Issue-.2, 15 – 22.</w:t>
      </w:r>
    </w:p>
    <w:p w:rsidR="007045BC" w:rsidRPr="00617188" w:rsidRDefault="00FF1178" w:rsidP="007045BC">
      <w:pPr>
        <w:pStyle w:val="ListParagraph"/>
        <w:numPr>
          <w:ilvl w:val="0"/>
          <w:numId w:val="5"/>
        </w:numPr>
        <w:snapToGrid w:val="0"/>
        <w:spacing w:after="0" w:line="240" w:lineRule="auto"/>
        <w:ind w:left="425" w:hanging="425"/>
        <w:jc w:val="both"/>
        <w:rPr>
          <w:sz w:val="20"/>
          <w:szCs w:val="20"/>
        </w:rPr>
      </w:pPr>
      <w:proofErr w:type="spellStart"/>
      <w:r w:rsidRPr="00617188">
        <w:rPr>
          <w:rFonts w:ascii="Times New Roman" w:hAnsi="Times New Roman"/>
          <w:bCs/>
          <w:sz w:val="20"/>
          <w:szCs w:val="20"/>
        </w:rPr>
        <w:t>Saleem</w:t>
      </w:r>
      <w:proofErr w:type="spellEnd"/>
      <w:r w:rsidRPr="00617188">
        <w:rPr>
          <w:rFonts w:ascii="Times New Roman" w:hAnsi="Times New Roman"/>
          <w:bCs/>
          <w:sz w:val="20"/>
          <w:szCs w:val="20"/>
        </w:rPr>
        <w:t xml:space="preserve"> Muhammad (2007). </w:t>
      </w:r>
      <w:r w:rsidRPr="00617188">
        <w:rPr>
          <w:rFonts w:ascii="Times New Roman" w:hAnsi="Times New Roman"/>
          <w:sz w:val="20"/>
          <w:szCs w:val="20"/>
        </w:rPr>
        <w:t xml:space="preserve">Pharmaceutical Wastewater Treatment: A Physicochemical Study. </w:t>
      </w:r>
      <w:proofErr w:type="spellStart"/>
      <w:r w:rsidRPr="00617188">
        <w:rPr>
          <w:rFonts w:ascii="Times New Roman" w:hAnsi="Times New Roman"/>
          <w:sz w:val="20"/>
          <w:szCs w:val="20"/>
        </w:rPr>
        <w:t>Bahauddin</w:t>
      </w:r>
      <w:proofErr w:type="spellEnd"/>
      <w:r w:rsidRPr="00617188">
        <w:rPr>
          <w:rFonts w:ascii="Times New Roman" w:hAnsi="Times New Roman"/>
          <w:sz w:val="20"/>
          <w:szCs w:val="20"/>
        </w:rPr>
        <w:t xml:space="preserve"> </w:t>
      </w:r>
      <w:proofErr w:type="spellStart"/>
      <w:r w:rsidRPr="00617188">
        <w:rPr>
          <w:rFonts w:ascii="Times New Roman" w:hAnsi="Times New Roman"/>
          <w:sz w:val="20"/>
          <w:szCs w:val="20"/>
        </w:rPr>
        <w:t>Zakariya</w:t>
      </w:r>
      <w:proofErr w:type="spellEnd"/>
      <w:r w:rsidRPr="00617188">
        <w:rPr>
          <w:rFonts w:ascii="Times New Roman" w:hAnsi="Times New Roman"/>
          <w:sz w:val="20"/>
          <w:szCs w:val="20"/>
        </w:rPr>
        <w:t xml:space="preserve"> University, Multan, Pakistan. </w:t>
      </w:r>
      <w:r w:rsidRPr="00617188">
        <w:rPr>
          <w:rFonts w:ascii="Times New Roman" w:hAnsi="Times New Roman"/>
          <w:i/>
          <w:iCs/>
          <w:sz w:val="20"/>
          <w:szCs w:val="20"/>
        </w:rPr>
        <w:t xml:space="preserve">J. Sci. </w:t>
      </w:r>
      <w:r w:rsidRPr="00617188">
        <w:rPr>
          <w:rFonts w:ascii="Times New Roman" w:hAnsi="Times New Roman"/>
          <w:sz w:val="20"/>
          <w:szCs w:val="20"/>
        </w:rPr>
        <w:t>18(2):125-134.</w:t>
      </w:r>
      <w:r w:rsidR="00617188" w:rsidRPr="00617188">
        <w:rPr>
          <w:rFonts w:ascii="Times New Roman" w:hAnsi="Times New Roman"/>
          <w:sz w:val="20"/>
          <w:szCs w:val="20"/>
        </w:rPr>
        <w:t xml:space="preserve"> </w:t>
      </w:r>
    </w:p>
    <w:p w:rsidR="007045BC" w:rsidRPr="007045BC" w:rsidRDefault="007045BC" w:rsidP="007045BC">
      <w:pPr>
        <w:snapToGrid w:val="0"/>
        <w:ind w:left="425" w:hanging="425"/>
        <w:jc w:val="both"/>
        <w:rPr>
          <w:sz w:val="20"/>
          <w:szCs w:val="20"/>
        </w:rPr>
        <w:sectPr w:rsidR="007045BC" w:rsidRPr="007045BC" w:rsidSect="007045BC">
          <w:footnotePr>
            <w:pos w:val="beneathText"/>
          </w:footnotePr>
          <w:type w:val="continuous"/>
          <w:pgSz w:w="12240" w:h="15840" w:code="1"/>
          <w:pgMar w:top="1440" w:right="1440" w:bottom="1440" w:left="1440" w:header="720" w:footer="720" w:gutter="0"/>
          <w:cols w:num="2" w:space="600"/>
          <w:docGrid w:linePitch="360"/>
        </w:sectPr>
      </w:pPr>
    </w:p>
    <w:p w:rsidR="007045BC" w:rsidRPr="007045BC" w:rsidRDefault="007045BC" w:rsidP="007045BC">
      <w:pPr>
        <w:snapToGrid w:val="0"/>
        <w:ind w:left="425" w:hanging="425"/>
        <w:jc w:val="both"/>
        <w:rPr>
          <w:sz w:val="20"/>
          <w:szCs w:val="20"/>
          <w:lang w:eastAsia="zh-CN"/>
        </w:rPr>
      </w:pPr>
    </w:p>
    <w:p w:rsidR="007045BC" w:rsidRPr="007045BC" w:rsidRDefault="007045BC" w:rsidP="007045BC">
      <w:pPr>
        <w:snapToGrid w:val="0"/>
        <w:ind w:left="425" w:hanging="425"/>
        <w:jc w:val="both"/>
        <w:rPr>
          <w:sz w:val="20"/>
          <w:szCs w:val="20"/>
          <w:lang w:eastAsia="zh-CN"/>
        </w:rPr>
      </w:pPr>
    </w:p>
    <w:p w:rsidR="007045BC" w:rsidRPr="007045BC" w:rsidRDefault="007045BC" w:rsidP="007045BC">
      <w:pPr>
        <w:snapToGrid w:val="0"/>
        <w:ind w:left="425" w:hanging="425"/>
        <w:jc w:val="both"/>
        <w:rPr>
          <w:sz w:val="20"/>
          <w:szCs w:val="20"/>
        </w:rPr>
      </w:pPr>
    </w:p>
    <w:p w:rsidR="004D0467" w:rsidRPr="007045BC" w:rsidRDefault="007045BC" w:rsidP="007045BC">
      <w:pPr>
        <w:snapToGrid w:val="0"/>
        <w:ind w:left="425" w:hanging="425"/>
        <w:jc w:val="both"/>
        <w:rPr>
          <w:sz w:val="20"/>
          <w:szCs w:val="20"/>
        </w:rPr>
      </w:pPr>
      <w:r w:rsidRPr="007045BC">
        <w:rPr>
          <w:sz w:val="20"/>
          <w:szCs w:val="20"/>
        </w:rPr>
        <w:t>8/5/2016</w:t>
      </w:r>
    </w:p>
    <w:sectPr w:rsidR="004D0467" w:rsidRPr="007045BC" w:rsidSect="00850ED6">
      <w:footnotePr>
        <w:pos w:val="beneathText"/>
      </w:footnotePr>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1ED" w:rsidRDefault="001D11ED">
      <w:r>
        <w:separator/>
      </w:r>
    </w:p>
  </w:endnote>
  <w:endnote w:type="continuationSeparator" w:id="0">
    <w:p w:rsidR="001D11ED" w:rsidRDefault="001D1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imbusSanL-Regu-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BC" w:rsidRDefault="00003A29" w:rsidP="00B3167C">
    <w:pPr>
      <w:pStyle w:val="Footer"/>
      <w:framePr w:wrap="around" w:vAnchor="text" w:hAnchor="margin" w:xAlign="center" w:y="1"/>
      <w:rPr>
        <w:rStyle w:val="PageNumber"/>
      </w:rPr>
    </w:pPr>
    <w:r>
      <w:rPr>
        <w:rStyle w:val="PageNumber"/>
      </w:rPr>
      <w:fldChar w:fldCharType="begin"/>
    </w:r>
    <w:r w:rsidR="007045BC">
      <w:rPr>
        <w:rStyle w:val="PageNumber"/>
      </w:rPr>
      <w:instrText xml:space="preserve">PAGE  </w:instrText>
    </w:r>
    <w:r>
      <w:rPr>
        <w:rStyle w:val="PageNumber"/>
      </w:rPr>
      <w:fldChar w:fldCharType="end"/>
    </w:r>
  </w:p>
  <w:p w:rsidR="007045BC" w:rsidRDefault="007045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BC" w:rsidRPr="007045BC" w:rsidRDefault="00003A29" w:rsidP="007045BC">
    <w:pPr>
      <w:jc w:val="center"/>
      <w:rPr>
        <w:sz w:val="20"/>
      </w:rPr>
    </w:pPr>
    <w:r w:rsidRPr="007045BC">
      <w:rPr>
        <w:sz w:val="20"/>
      </w:rPr>
      <w:fldChar w:fldCharType="begin"/>
    </w:r>
    <w:r w:rsidR="007045BC" w:rsidRPr="007045BC">
      <w:rPr>
        <w:sz w:val="20"/>
      </w:rPr>
      <w:instrText xml:space="preserve"> page </w:instrText>
    </w:r>
    <w:r w:rsidRPr="007045BC">
      <w:rPr>
        <w:sz w:val="20"/>
      </w:rPr>
      <w:fldChar w:fldCharType="separate"/>
    </w:r>
    <w:r w:rsidR="00617188">
      <w:rPr>
        <w:noProof/>
        <w:sz w:val="20"/>
      </w:rPr>
      <w:t>8</w:t>
    </w:r>
    <w:r w:rsidRPr="007045B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BC" w:rsidRDefault="00003A29" w:rsidP="00B3167C">
    <w:pPr>
      <w:pStyle w:val="Footer"/>
      <w:framePr w:wrap="around" w:vAnchor="text" w:hAnchor="margin" w:xAlign="center" w:y="1"/>
      <w:rPr>
        <w:rStyle w:val="PageNumber"/>
      </w:rPr>
    </w:pPr>
    <w:r>
      <w:rPr>
        <w:rStyle w:val="PageNumber"/>
      </w:rPr>
      <w:fldChar w:fldCharType="begin"/>
    </w:r>
    <w:r w:rsidR="007045BC">
      <w:rPr>
        <w:rStyle w:val="PageNumber"/>
      </w:rPr>
      <w:instrText xml:space="preserve">PAGE  </w:instrText>
    </w:r>
    <w:r>
      <w:rPr>
        <w:rStyle w:val="PageNumber"/>
      </w:rPr>
      <w:fldChar w:fldCharType="end"/>
    </w:r>
  </w:p>
  <w:p w:rsidR="007045BC" w:rsidRDefault="007045B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BC" w:rsidRPr="007045BC" w:rsidRDefault="00003A29" w:rsidP="007045BC">
    <w:pPr>
      <w:jc w:val="center"/>
      <w:rPr>
        <w:sz w:val="20"/>
      </w:rPr>
    </w:pPr>
    <w:r w:rsidRPr="007045BC">
      <w:rPr>
        <w:sz w:val="20"/>
      </w:rPr>
      <w:fldChar w:fldCharType="begin"/>
    </w:r>
    <w:r w:rsidR="007045BC" w:rsidRPr="007045BC">
      <w:rPr>
        <w:sz w:val="20"/>
      </w:rPr>
      <w:instrText xml:space="preserve"> page </w:instrText>
    </w:r>
    <w:r w:rsidRPr="007045BC">
      <w:rPr>
        <w:sz w:val="20"/>
      </w:rPr>
      <w:fldChar w:fldCharType="separate"/>
    </w:r>
    <w:r w:rsidR="00617188">
      <w:rPr>
        <w:noProof/>
        <w:sz w:val="20"/>
      </w:rPr>
      <w:t>9</w:t>
    </w:r>
    <w:r w:rsidRPr="007045B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03A2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045BC" w:rsidRDefault="00003A29" w:rsidP="007045BC">
    <w:pPr>
      <w:jc w:val="center"/>
      <w:rPr>
        <w:sz w:val="20"/>
      </w:rPr>
    </w:pPr>
    <w:r w:rsidRPr="007045BC">
      <w:rPr>
        <w:sz w:val="20"/>
      </w:rPr>
      <w:fldChar w:fldCharType="begin"/>
    </w:r>
    <w:r w:rsidR="007045BC" w:rsidRPr="007045BC">
      <w:rPr>
        <w:sz w:val="20"/>
      </w:rPr>
      <w:instrText xml:space="preserve"> page </w:instrText>
    </w:r>
    <w:r w:rsidRPr="007045BC">
      <w:rPr>
        <w:sz w:val="20"/>
      </w:rPr>
      <w:fldChar w:fldCharType="separate"/>
    </w:r>
    <w:r w:rsidR="00617188">
      <w:rPr>
        <w:noProof/>
        <w:sz w:val="20"/>
      </w:rPr>
      <w:t>10</w:t>
    </w:r>
    <w:r w:rsidRPr="007045B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1ED" w:rsidRDefault="001D11ED">
      <w:r>
        <w:separator/>
      </w:r>
    </w:p>
  </w:footnote>
  <w:footnote w:type="continuationSeparator" w:id="0">
    <w:p w:rsidR="001D11ED" w:rsidRDefault="001D1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BC" w:rsidRPr="007045BC" w:rsidRDefault="007045BC" w:rsidP="007045BC">
    <w:pPr>
      <w:pBdr>
        <w:bottom w:val="thinThickMediumGap" w:sz="12" w:space="1" w:color="auto"/>
      </w:pBdr>
      <w:tabs>
        <w:tab w:val="left" w:pos="851"/>
        <w:tab w:val="right" w:pos="8364"/>
      </w:tabs>
      <w:adjustRightInd w:val="0"/>
      <w:snapToGrid w:val="0"/>
      <w:jc w:val="both"/>
      <w:rPr>
        <w:iCs/>
        <w:sz w:val="20"/>
        <w:szCs w:val="20"/>
      </w:rPr>
    </w:pPr>
    <w:r w:rsidRPr="007045BC">
      <w:rPr>
        <w:rFonts w:hint="eastAsia"/>
        <w:sz w:val="20"/>
        <w:szCs w:val="20"/>
      </w:rPr>
      <w:tab/>
    </w:r>
    <w:r w:rsidRPr="007045BC">
      <w:rPr>
        <w:sz w:val="20"/>
        <w:szCs w:val="20"/>
      </w:rPr>
      <w:t>New York Science Journal 201</w:t>
    </w:r>
    <w:r w:rsidRPr="007045BC">
      <w:rPr>
        <w:rFonts w:hint="eastAsia"/>
        <w:sz w:val="20"/>
        <w:szCs w:val="20"/>
      </w:rPr>
      <w:t>6</w:t>
    </w:r>
    <w:r w:rsidRPr="007045BC">
      <w:rPr>
        <w:sz w:val="20"/>
        <w:szCs w:val="20"/>
      </w:rPr>
      <w:t>;</w:t>
    </w:r>
    <w:r w:rsidRPr="007045BC">
      <w:rPr>
        <w:rFonts w:hint="eastAsia"/>
        <w:sz w:val="20"/>
        <w:szCs w:val="20"/>
      </w:rPr>
      <w:t>9</w:t>
    </w:r>
    <w:r w:rsidRPr="007045BC">
      <w:rPr>
        <w:sz w:val="20"/>
        <w:szCs w:val="20"/>
      </w:rPr>
      <w:t>(</w:t>
    </w:r>
    <w:r w:rsidRPr="007045BC">
      <w:rPr>
        <w:rFonts w:hint="eastAsia"/>
        <w:sz w:val="20"/>
        <w:szCs w:val="20"/>
      </w:rPr>
      <w:t>8</w:t>
    </w:r>
    <w:r w:rsidRPr="007045BC">
      <w:rPr>
        <w:sz w:val="20"/>
        <w:szCs w:val="20"/>
      </w:rPr>
      <w:t>)</w:t>
    </w:r>
    <w:r w:rsidRPr="007045BC">
      <w:rPr>
        <w:iCs/>
        <w:sz w:val="20"/>
        <w:szCs w:val="20"/>
      </w:rPr>
      <w:t xml:space="preserve">     </w:t>
    </w:r>
    <w:r w:rsidRPr="007045BC">
      <w:rPr>
        <w:rFonts w:hint="eastAsia"/>
        <w:iCs/>
        <w:sz w:val="20"/>
        <w:szCs w:val="20"/>
      </w:rPr>
      <w:tab/>
    </w:r>
    <w:r w:rsidRPr="007045BC">
      <w:rPr>
        <w:iCs/>
        <w:sz w:val="20"/>
        <w:szCs w:val="20"/>
      </w:rPr>
      <w:t xml:space="preserve"> </w:t>
    </w:r>
    <w:r w:rsidRPr="007045BC">
      <w:rPr>
        <w:rFonts w:hint="eastAsia"/>
        <w:iCs/>
        <w:sz w:val="20"/>
        <w:szCs w:val="20"/>
      </w:rPr>
      <w:t xml:space="preserve"> </w:t>
    </w:r>
    <w:r w:rsidRPr="007045BC">
      <w:rPr>
        <w:iCs/>
        <w:sz w:val="20"/>
        <w:szCs w:val="20"/>
      </w:rPr>
      <w:t xml:space="preserve">   </w:t>
    </w:r>
    <w:hyperlink r:id="rId1" w:history="1">
      <w:r w:rsidRPr="007045BC">
        <w:rPr>
          <w:rStyle w:val="Hyperlink"/>
          <w:sz w:val="20"/>
          <w:szCs w:val="20"/>
        </w:rPr>
        <w:t>http://www.sciencepub.net/newyork</w:t>
      </w:r>
    </w:hyperlink>
  </w:p>
  <w:p w:rsidR="007045BC" w:rsidRPr="007045BC" w:rsidRDefault="007045BC" w:rsidP="007045BC">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BC" w:rsidRPr="007045BC" w:rsidRDefault="007045BC" w:rsidP="007045BC">
    <w:pPr>
      <w:pBdr>
        <w:bottom w:val="thinThickMediumGap" w:sz="12" w:space="1" w:color="auto"/>
      </w:pBdr>
      <w:tabs>
        <w:tab w:val="left" w:pos="851"/>
        <w:tab w:val="right" w:pos="8364"/>
      </w:tabs>
      <w:adjustRightInd w:val="0"/>
      <w:snapToGrid w:val="0"/>
      <w:jc w:val="both"/>
      <w:rPr>
        <w:iCs/>
        <w:sz w:val="20"/>
        <w:szCs w:val="20"/>
      </w:rPr>
    </w:pPr>
    <w:r w:rsidRPr="007045BC">
      <w:rPr>
        <w:rFonts w:hint="eastAsia"/>
        <w:sz w:val="20"/>
        <w:szCs w:val="20"/>
      </w:rPr>
      <w:tab/>
    </w:r>
    <w:r w:rsidRPr="007045BC">
      <w:rPr>
        <w:sz w:val="20"/>
        <w:szCs w:val="20"/>
      </w:rPr>
      <w:t>New York Science Journal 201</w:t>
    </w:r>
    <w:r w:rsidRPr="007045BC">
      <w:rPr>
        <w:rFonts w:hint="eastAsia"/>
        <w:sz w:val="20"/>
        <w:szCs w:val="20"/>
      </w:rPr>
      <w:t>6</w:t>
    </w:r>
    <w:r w:rsidRPr="007045BC">
      <w:rPr>
        <w:sz w:val="20"/>
        <w:szCs w:val="20"/>
      </w:rPr>
      <w:t>;</w:t>
    </w:r>
    <w:r w:rsidRPr="007045BC">
      <w:rPr>
        <w:rFonts w:hint="eastAsia"/>
        <w:sz w:val="20"/>
        <w:szCs w:val="20"/>
      </w:rPr>
      <w:t>9</w:t>
    </w:r>
    <w:r w:rsidRPr="007045BC">
      <w:rPr>
        <w:sz w:val="20"/>
        <w:szCs w:val="20"/>
      </w:rPr>
      <w:t>(</w:t>
    </w:r>
    <w:r w:rsidRPr="007045BC">
      <w:rPr>
        <w:rFonts w:hint="eastAsia"/>
        <w:sz w:val="20"/>
        <w:szCs w:val="20"/>
      </w:rPr>
      <w:t>8</w:t>
    </w:r>
    <w:r w:rsidRPr="007045BC">
      <w:rPr>
        <w:sz w:val="20"/>
        <w:szCs w:val="20"/>
      </w:rPr>
      <w:t>)</w:t>
    </w:r>
    <w:r w:rsidRPr="007045BC">
      <w:rPr>
        <w:iCs/>
        <w:sz w:val="20"/>
        <w:szCs w:val="20"/>
      </w:rPr>
      <w:t xml:space="preserve">     </w:t>
    </w:r>
    <w:r w:rsidRPr="007045BC">
      <w:rPr>
        <w:rFonts w:hint="eastAsia"/>
        <w:iCs/>
        <w:sz w:val="20"/>
        <w:szCs w:val="20"/>
      </w:rPr>
      <w:tab/>
    </w:r>
    <w:r w:rsidRPr="007045BC">
      <w:rPr>
        <w:iCs/>
        <w:sz w:val="20"/>
        <w:szCs w:val="20"/>
      </w:rPr>
      <w:t xml:space="preserve"> </w:t>
    </w:r>
    <w:r w:rsidRPr="007045BC">
      <w:rPr>
        <w:rFonts w:hint="eastAsia"/>
        <w:iCs/>
        <w:sz w:val="20"/>
        <w:szCs w:val="20"/>
      </w:rPr>
      <w:t xml:space="preserve"> </w:t>
    </w:r>
    <w:r w:rsidRPr="007045BC">
      <w:rPr>
        <w:iCs/>
        <w:sz w:val="20"/>
        <w:szCs w:val="20"/>
      </w:rPr>
      <w:t xml:space="preserve">   </w:t>
    </w:r>
    <w:hyperlink r:id="rId1" w:history="1">
      <w:r w:rsidRPr="007045BC">
        <w:rPr>
          <w:rStyle w:val="Hyperlink"/>
          <w:sz w:val="20"/>
          <w:szCs w:val="20"/>
        </w:rPr>
        <w:t>http://www.sciencepub.net/newyork</w:t>
      </w:r>
    </w:hyperlink>
  </w:p>
  <w:p w:rsidR="007045BC" w:rsidRPr="007045BC" w:rsidRDefault="007045BC" w:rsidP="007045BC">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BC" w:rsidRPr="007045BC" w:rsidRDefault="007045BC" w:rsidP="007045BC">
    <w:pPr>
      <w:pBdr>
        <w:bottom w:val="thinThickMediumGap" w:sz="12" w:space="1" w:color="auto"/>
      </w:pBdr>
      <w:tabs>
        <w:tab w:val="left" w:pos="851"/>
        <w:tab w:val="right" w:pos="8364"/>
      </w:tabs>
      <w:adjustRightInd w:val="0"/>
      <w:snapToGrid w:val="0"/>
      <w:jc w:val="both"/>
      <w:rPr>
        <w:iCs/>
        <w:sz w:val="20"/>
        <w:szCs w:val="20"/>
      </w:rPr>
    </w:pPr>
    <w:r w:rsidRPr="007045BC">
      <w:rPr>
        <w:rFonts w:hint="eastAsia"/>
        <w:sz w:val="20"/>
        <w:szCs w:val="20"/>
      </w:rPr>
      <w:tab/>
    </w:r>
    <w:r w:rsidRPr="007045BC">
      <w:rPr>
        <w:sz w:val="20"/>
        <w:szCs w:val="20"/>
      </w:rPr>
      <w:t>New York Science Journal 201</w:t>
    </w:r>
    <w:r w:rsidRPr="007045BC">
      <w:rPr>
        <w:rFonts w:hint="eastAsia"/>
        <w:sz w:val="20"/>
        <w:szCs w:val="20"/>
      </w:rPr>
      <w:t>6</w:t>
    </w:r>
    <w:r w:rsidRPr="007045BC">
      <w:rPr>
        <w:sz w:val="20"/>
        <w:szCs w:val="20"/>
      </w:rPr>
      <w:t>;</w:t>
    </w:r>
    <w:r w:rsidRPr="007045BC">
      <w:rPr>
        <w:rFonts w:hint="eastAsia"/>
        <w:sz w:val="20"/>
        <w:szCs w:val="20"/>
      </w:rPr>
      <w:t>9</w:t>
    </w:r>
    <w:r w:rsidRPr="007045BC">
      <w:rPr>
        <w:sz w:val="20"/>
        <w:szCs w:val="20"/>
      </w:rPr>
      <w:t>(</w:t>
    </w:r>
    <w:r w:rsidRPr="007045BC">
      <w:rPr>
        <w:rFonts w:hint="eastAsia"/>
        <w:sz w:val="20"/>
        <w:szCs w:val="20"/>
      </w:rPr>
      <w:t>8</w:t>
    </w:r>
    <w:r w:rsidRPr="007045BC">
      <w:rPr>
        <w:sz w:val="20"/>
        <w:szCs w:val="20"/>
      </w:rPr>
      <w:t>)</w:t>
    </w:r>
    <w:r w:rsidRPr="007045BC">
      <w:rPr>
        <w:iCs/>
        <w:sz w:val="20"/>
        <w:szCs w:val="20"/>
      </w:rPr>
      <w:t xml:space="preserve">     </w:t>
    </w:r>
    <w:r w:rsidRPr="007045BC">
      <w:rPr>
        <w:rFonts w:hint="eastAsia"/>
        <w:iCs/>
        <w:sz w:val="20"/>
        <w:szCs w:val="20"/>
      </w:rPr>
      <w:tab/>
    </w:r>
    <w:r w:rsidRPr="007045BC">
      <w:rPr>
        <w:iCs/>
        <w:sz w:val="20"/>
        <w:szCs w:val="20"/>
      </w:rPr>
      <w:t xml:space="preserve"> </w:t>
    </w:r>
    <w:r w:rsidRPr="007045BC">
      <w:rPr>
        <w:rFonts w:hint="eastAsia"/>
        <w:iCs/>
        <w:sz w:val="20"/>
        <w:szCs w:val="20"/>
      </w:rPr>
      <w:t xml:space="preserve"> </w:t>
    </w:r>
    <w:r w:rsidRPr="007045BC">
      <w:rPr>
        <w:iCs/>
        <w:sz w:val="20"/>
        <w:szCs w:val="20"/>
      </w:rPr>
      <w:t xml:space="preserve">   </w:t>
    </w:r>
    <w:hyperlink r:id="rId1" w:history="1">
      <w:r w:rsidRPr="007045BC">
        <w:rPr>
          <w:rStyle w:val="Hyperlink"/>
          <w:sz w:val="20"/>
          <w:szCs w:val="20"/>
        </w:rPr>
        <w:t>http://www.sciencepub.net/newyork</w:t>
      </w:r>
    </w:hyperlink>
  </w:p>
  <w:p w:rsidR="007045BC" w:rsidRPr="007045BC" w:rsidRDefault="007045BC" w:rsidP="007045BC">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7BD5125"/>
    <w:multiLevelType w:val="hybridMultilevel"/>
    <w:tmpl w:val="659CA03C"/>
    <w:lvl w:ilvl="0" w:tplc="A88CB6AA">
      <w:start w:val="1"/>
      <w:numFmt w:val="decimal"/>
      <w:lvlText w:val="%1."/>
      <w:lvlJc w:val="left"/>
      <w:pPr>
        <w:ind w:left="720" w:hanging="360"/>
      </w:pPr>
      <w:rPr>
        <w:rFonts w:ascii="Times New Roman" w:hAnsi="Times New Roman" w:cs="Times New Roman" w:hint="default"/>
        <w:b w:val="0"/>
        <w:i w:val="0"/>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3A29"/>
    <w:rsid w:val="00005C8E"/>
    <w:rsid w:val="000075A2"/>
    <w:rsid w:val="00012408"/>
    <w:rsid w:val="0006091F"/>
    <w:rsid w:val="00080CE9"/>
    <w:rsid w:val="000827B7"/>
    <w:rsid w:val="000844D7"/>
    <w:rsid w:val="00086790"/>
    <w:rsid w:val="00090A06"/>
    <w:rsid w:val="00091605"/>
    <w:rsid w:val="000A0250"/>
    <w:rsid w:val="000D7F35"/>
    <w:rsid w:val="001817C7"/>
    <w:rsid w:val="00183764"/>
    <w:rsid w:val="001964D0"/>
    <w:rsid w:val="001B41B8"/>
    <w:rsid w:val="001B650D"/>
    <w:rsid w:val="001C3D42"/>
    <w:rsid w:val="001D11ED"/>
    <w:rsid w:val="00205E97"/>
    <w:rsid w:val="00216BBC"/>
    <w:rsid w:val="00245C21"/>
    <w:rsid w:val="002721F1"/>
    <w:rsid w:val="00282FA1"/>
    <w:rsid w:val="002D3558"/>
    <w:rsid w:val="002D589A"/>
    <w:rsid w:val="002F20CD"/>
    <w:rsid w:val="002F49EF"/>
    <w:rsid w:val="0031399D"/>
    <w:rsid w:val="00314F95"/>
    <w:rsid w:val="00322FAB"/>
    <w:rsid w:val="00345581"/>
    <w:rsid w:val="0034702D"/>
    <w:rsid w:val="003679A0"/>
    <w:rsid w:val="003709EB"/>
    <w:rsid w:val="00394B65"/>
    <w:rsid w:val="003A785E"/>
    <w:rsid w:val="003B55FF"/>
    <w:rsid w:val="003B651F"/>
    <w:rsid w:val="003C0116"/>
    <w:rsid w:val="003C4C28"/>
    <w:rsid w:val="00425787"/>
    <w:rsid w:val="0043645D"/>
    <w:rsid w:val="00454A59"/>
    <w:rsid w:val="00456753"/>
    <w:rsid w:val="00471E57"/>
    <w:rsid w:val="00480715"/>
    <w:rsid w:val="0049143E"/>
    <w:rsid w:val="004C7E2A"/>
    <w:rsid w:val="004D01D3"/>
    <w:rsid w:val="004D0467"/>
    <w:rsid w:val="004F4AFB"/>
    <w:rsid w:val="00520D1A"/>
    <w:rsid w:val="0052512B"/>
    <w:rsid w:val="00536496"/>
    <w:rsid w:val="00553F9B"/>
    <w:rsid w:val="00593132"/>
    <w:rsid w:val="005A21B0"/>
    <w:rsid w:val="005A5E42"/>
    <w:rsid w:val="005C1947"/>
    <w:rsid w:val="005C2F35"/>
    <w:rsid w:val="005C4594"/>
    <w:rsid w:val="005D1DA6"/>
    <w:rsid w:val="005E0E78"/>
    <w:rsid w:val="005F5E04"/>
    <w:rsid w:val="00617188"/>
    <w:rsid w:val="00623DB2"/>
    <w:rsid w:val="0065209A"/>
    <w:rsid w:val="00657995"/>
    <w:rsid w:val="00663100"/>
    <w:rsid w:val="006B5399"/>
    <w:rsid w:val="006D5C2E"/>
    <w:rsid w:val="006E6ACB"/>
    <w:rsid w:val="006E7156"/>
    <w:rsid w:val="006F1706"/>
    <w:rsid w:val="007045BC"/>
    <w:rsid w:val="00744442"/>
    <w:rsid w:val="007725E7"/>
    <w:rsid w:val="0078507E"/>
    <w:rsid w:val="007D3D09"/>
    <w:rsid w:val="007D746F"/>
    <w:rsid w:val="007F763B"/>
    <w:rsid w:val="00814FA7"/>
    <w:rsid w:val="008233D0"/>
    <w:rsid w:val="008401E8"/>
    <w:rsid w:val="0085007D"/>
    <w:rsid w:val="00850ED6"/>
    <w:rsid w:val="00875C08"/>
    <w:rsid w:val="00890F68"/>
    <w:rsid w:val="008A20AC"/>
    <w:rsid w:val="008A67B6"/>
    <w:rsid w:val="0091208A"/>
    <w:rsid w:val="00914558"/>
    <w:rsid w:val="00935CF7"/>
    <w:rsid w:val="0094140D"/>
    <w:rsid w:val="009459B3"/>
    <w:rsid w:val="00952EB8"/>
    <w:rsid w:val="00997A8E"/>
    <w:rsid w:val="009A3681"/>
    <w:rsid w:val="00A1557F"/>
    <w:rsid w:val="00A3476D"/>
    <w:rsid w:val="00B3167C"/>
    <w:rsid w:val="00B36B45"/>
    <w:rsid w:val="00B43588"/>
    <w:rsid w:val="00B60E8D"/>
    <w:rsid w:val="00B80C0E"/>
    <w:rsid w:val="00B918AE"/>
    <w:rsid w:val="00B94E19"/>
    <w:rsid w:val="00BD2A8D"/>
    <w:rsid w:val="00BF6579"/>
    <w:rsid w:val="00C0761F"/>
    <w:rsid w:val="00C101C9"/>
    <w:rsid w:val="00C44596"/>
    <w:rsid w:val="00C60D61"/>
    <w:rsid w:val="00C92003"/>
    <w:rsid w:val="00CC4387"/>
    <w:rsid w:val="00CD6F65"/>
    <w:rsid w:val="00CE7B2F"/>
    <w:rsid w:val="00CF24FB"/>
    <w:rsid w:val="00CF6616"/>
    <w:rsid w:val="00D04C27"/>
    <w:rsid w:val="00D13147"/>
    <w:rsid w:val="00D26F2E"/>
    <w:rsid w:val="00D3777A"/>
    <w:rsid w:val="00D56002"/>
    <w:rsid w:val="00D8083C"/>
    <w:rsid w:val="00DC62B6"/>
    <w:rsid w:val="00DF6507"/>
    <w:rsid w:val="00DF7353"/>
    <w:rsid w:val="00E015B9"/>
    <w:rsid w:val="00E34501"/>
    <w:rsid w:val="00E34DBD"/>
    <w:rsid w:val="00E52EA0"/>
    <w:rsid w:val="00E57761"/>
    <w:rsid w:val="00E617EB"/>
    <w:rsid w:val="00E73E1D"/>
    <w:rsid w:val="00EA2D66"/>
    <w:rsid w:val="00EB51F4"/>
    <w:rsid w:val="00EC565A"/>
    <w:rsid w:val="00EC5C53"/>
    <w:rsid w:val="00ED0B0D"/>
    <w:rsid w:val="00ED4441"/>
    <w:rsid w:val="00ED4A29"/>
    <w:rsid w:val="00ED4ED9"/>
    <w:rsid w:val="00EE1CEE"/>
    <w:rsid w:val="00EE1F4B"/>
    <w:rsid w:val="00EE5D78"/>
    <w:rsid w:val="00F03305"/>
    <w:rsid w:val="00F133B2"/>
    <w:rsid w:val="00F2228B"/>
    <w:rsid w:val="00F62573"/>
    <w:rsid w:val="00F7508B"/>
    <w:rsid w:val="00F764BB"/>
    <w:rsid w:val="00F83A62"/>
    <w:rsid w:val="00FA6D77"/>
    <w:rsid w:val="00FB5B6A"/>
    <w:rsid w:val="00FC4906"/>
    <w:rsid w:val="00FF1178"/>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3709EB"/>
    <w:pPr>
      <w:keepNext/>
      <w:tabs>
        <w:tab w:val="num" w:pos="0"/>
      </w:tabs>
      <w:outlineLvl w:val="0"/>
    </w:pPr>
    <w:rPr>
      <w:b/>
      <w:bCs/>
      <w:sz w:val="32"/>
    </w:rPr>
  </w:style>
  <w:style w:type="paragraph" w:styleId="Heading2">
    <w:name w:val="heading 2"/>
    <w:basedOn w:val="Normal"/>
    <w:next w:val="Normal"/>
    <w:qFormat/>
    <w:rsid w:val="003709EB"/>
    <w:pPr>
      <w:keepNext/>
      <w:tabs>
        <w:tab w:val="num" w:pos="0"/>
      </w:tabs>
      <w:jc w:val="both"/>
      <w:outlineLvl w:val="1"/>
    </w:pPr>
    <w:rPr>
      <w:b/>
      <w:sz w:val="28"/>
    </w:rPr>
  </w:style>
  <w:style w:type="paragraph" w:styleId="Heading3">
    <w:name w:val="heading 3"/>
    <w:basedOn w:val="Normal"/>
    <w:next w:val="Normal"/>
    <w:qFormat/>
    <w:rsid w:val="003709EB"/>
    <w:pPr>
      <w:keepNext/>
      <w:tabs>
        <w:tab w:val="num" w:pos="0"/>
      </w:tabs>
      <w:spacing w:line="360" w:lineRule="auto"/>
      <w:jc w:val="both"/>
      <w:outlineLvl w:val="2"/>
    </w:pPr>
    <w:rPr>
      <w:b/>
      <w:bCs/>
    </w:rPr>
  </w:style>
  <w:style w:type="paragraph" w:styleId="Heading6">
    <w:name w:val="heading 6"/>
    <w:basedOn w:val="Normal"/>
    <w:next w:val="Normal"/>
    <w:qFormat/>
    <w:rsid w:val="003709E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709EB"/>
  </w:style>
  <w:style w:type="character" w:customStyle="1" w:styleId="WW-Absatz-Standardschriftart">
    <w:name w:val="WW-Absatz-Standardschriftart"/>
    <w:rsid w:val="003709EB"/>
  </w:style>
  <w:style w:type="character" w:customStyle="1" w:styleId="WW-Absatz-Standardschriftart1">
    <w:name w:val="WW-Absatz-Standardschriftart1"/>
    <w:rsid w:val="003709EB"/>
  </w:style>
  <w:style w:type="character" w:customStyle="1" w:styleId="WW-Absatz-Standardschriftart11">
    <w:name w:val="WW-Absatz-Standardschriftart11"/>
    <w:rsid w:val="003709EB"/>
  </w:style>
  <w:style w:type="character" w:customStyle="1" w:styleId="WW-Absatz-Standardschriftart111">
    <w:name w:val="WW-Absatz-Standardschriftart111"/>
    <w:rsid w:val="003709EB"/>
  </w:style>
  <w:style w:type="character" w:customStyle="1" w:styleId="WW-Absatz-Standardschriftart1111">
    <w:name w:val="WW-Absatz-Standardschriftart1111"/>
    <w:rsid w:val="003709EB"/>
  </w:style>
  <w:style w:type="character" w:customStyle="1" w:styleId="WW-Absatz-Standardschriftart11111">
    <w:name w:val="WW-Absatz-Standardschriftart11111"/>
    <w:rsid w:val="003709EB"/>
  </w:style>
  <w:style w:type="character" w:customStyle="1" w:styleId="WW-Absatz-Standardschriftart111111">
    <w:name w:val="WW-Absatz-Standardschriftart111111"/>
    <w:rsid w:val="003709EB"/>
  </w:style>
  <w:style w:type="character" w:customStyle="1" w:styleId="WW-Absatz-Standardschriftart1111111">
    <w:name w:val="WW-Absatz-Standardschriftart1111111"/>
    <w:rsid w:val="003709EB"/>
  </w:style>
  <w:style w:type="character" w:customStyle="1" w:styleId="WW-Absatz-Standardschriftart11111111">
    <w:name w:val="WW-Absatz-Standardschriftart11111111"/>
    <w:rsid w:val="003709EB"/>
  </w:style>
  <w:style w:type="character" w:customStyle="1" w:styleId="WW-Absatz-Standardschriftart111111111">
    <w:name w:val="WW-Absatz-Standardschriftart111111111"/>
    <w:rsid w:val="003709EB"/>
  </w:style>
  <w:style w:type="character" w:customStyle="1" w:styleId="WW-Absatz-Standardschriftart1111111111">
    <w:name w:val="WW-Absatz-Standardschriftart1111111111"/>
    <w:rsid w:val="003709EB"/>
  </w:style>
  <w:style w:type="character" w:customStyle="1" w:styleId="WW-Absatz-Standardschriftart11111111111">
    <w:name w:val="WW-Absatz-Standardschriftart11111111111"/>
    <w:rsid w:val="003709EB"/>
  </w:style>
  <w:style w:type="character" w:customStyle="1" w:styleId="WW-Absatz-Standardschriftart111111111111">
    <w:name w:val="WW-Absatz-Standardschriftart111111111111"/>
    <w:rsid w:val="003709EB"/>
  </w:style>
  <w:style w:type="character" w:customStyle="1" w:styleId="WW-Absatz-Standardschriftart1111111111111">
    <w:name w:val="WW-Absatz-Standardschriftart1111111111111"/>
    <w:rsid w:val="003709EB"/>
  </w:style>
  <w:style w:type="character" w:customStyle="1" w:styleId="WW-Absatz-Standardschriftart11111111111111">
    <w:name w:val="WW-Absatz-Standardschriftart11111111111111"/>
    <w:rsid w:val="003709EB"/>
  </w:style>
  <w:style w:type="character" w:customStyle="1" w:styleId="WW-Absatz-Standardschriftart111111111111111">
    <w:name w:val="WW-Absatz-Standardschriftart111111111111111"/>
    <w:rsid w:val="003709EB"/>
  </w:style>
  <w:style w:type="character" w:customStyle="1" w:styleId="WW-Absatz-Standardschriftart1111111111111111">
    <w:name w:val="WW-Absatz-Standardschriftart1111111111111111"/>
    <w:rsid w:val="003709EB"/>
  </w:style>
  <w:style w:type="character" w:customStyle="1" w:styleId="WW8Num1z0">
    <w:name w:val="WW8Num1z0"/>
    <w:rsid w:val="003709EB"/>
    <w:rPr>
      <w:rFonts w:ascii="Symbol" w:eastAsia="Times New Roman" w:hAnsi="Symbol" w:cs="Times New Roman"/>
    </w:rPr>
  </w:style>
  <w:style w:type="character" w:customStyle="1" w:styleId="WW8Num1z1">
    <w:name w:val="WW8Num1z1"/>
    <w:rsid w:val="003709EB"/>
    <w:rPr>
      <w:rFonts w:ascii="Courier New" w:hAnsi="Courier New" w:cs="Courier New"/>
    </w:rPr>
  </w:style>
  <w:style w:type="character" w:customStyle="1" w:styleId="WW8Num1z2">
    <w:name w:val="WW8Num1z2"/>
    <w:rsid w:val="003709EB"/>
    <w:rPr>
      <w:rFonts w:ascii="Wingdings" w:hAnsi="Wingdings"/>
    </w:rPr>
  </w:style>
  <w:style w:type="character" w:customStyle="1" w:styleId="WW8Num1z3">
    <w:name w:val="WW8Num1z3"/>
    <w:rsid w:val="003709EB"/>
    <w:rPr>
      <w:rFonts w:ascii="Symbol" w:hAnsi="Symbol"/>
    </w:rPr>
  </w:style>
  <w:style w:type="character" w:styleId="PageNumber">
    <w:name w:val="page number"/>
    <w:basedOn w:val="DefaultParagraphFont"/>
    <w:rsid w:val="003709EB"/>
  </w:style>
  <w:style w:type="character" w:styleId="Hyperlink">
    <w:name w:val="Hyperlink"/>
    <w:rsid w:val="003709EB"/>
    <w:rPr>
      <w:color w:val="0000FF"/>
      <w:u w:val="single"/>
    </w:rPr>
  </w:style>
  <w:style w:type="character" w:styleId="FollowedHyperlink">
    <w:name w:val="FollowedHyperlink"/>
    <w:rsid w:val="003709EB"/>
    <w:rPr>
      <w:color w:val="800080"/>
      <w:u w:val="single"/>
    </w:rPr>
  </w:style>
  <w:style w:type="character" w:customStyle="1" w:styleId="NumberingSymbols">
    <w:name w:val="Numbering Symbols"/>
    <w:rsid w:val="003709EB"/>
  </w:style>
  <w:style w:type="paragraph" w:customStyle="1" w:styleId="Heading">
    <w:name w:val="Heading"/>
    <w:basedOn w:val="Normal"/>
    <w:next w:val="BodyText"/>
    <w:rsid w:val="003709EB"/>
    <w:pPr>
      <w:keepNext/>
      <w:spacing w:before="240" w:after="120"/>
    </w:pPr>
    <w:rPr>
      <w:rFonts w:ascii="Nimbus Sans L" w:eastAsia="DejaVu Sans" w:hAnsi="Nimbus Sans L" w:cs="DejaVu Sans"/>
      <w:sz w:val="28"/>
      <w:szCs w:val="28"/>
    </w:rPr>
  </w:style>
  <w:style w:type="paragraph" w:styleId="BodyText">
    <w:name w:val="Body Text"/>
    <w:basedOn w:val="Normal"/>
    <w:rsid w:val="003709EB"/>
    <w:pPr>
      <w:spacing w:line="360" w:lineRule="auto"/>
    </w:pPr>
  </w:style>
  <w:style w:type="paragraph" w:styleId="List">
    <w:name w:val="List"/>
    <w:basedOn w:val="BodyText"/>
    <w:rsid w:val="003709EB"/>
  </w:style>
  <w:style w:type="paragraph" w:styleId="Caption">
    <w:name w:val="caption"/>
    <w:basedOn w:val="Normal"/>
    <w:qFormat/>
    <w:rsid w:val="003709EB"/>
    <w:pPr>
      <w:suppressLineNumbers/>
      <w:spacing w:before="120" w:after="120"/>
    </w:pPr>
    <w:rPr>
      <w:i/>
      <w:iCs/>
    </w:rPr>
  </w:style>
  <w:style w:type="paragraph" w:customStyle="1" w:styleId="Index">
    <w:name w:val="Index"/>
    <w:basedOn w:val="Normal"/>
    <w:rsid w:val="003709EB"/>
    <w:pPr>
      <w:suppressLineNumbers/>
    </w:pPr>
  </w:style>
  <w:style w:type="paragraph" w:styleId="Header">
    <w:name w:val="header"/>
    <w:basedOn w:val="Normal"/>
    <w:next w:val="Heading1"/>
    <w:rsid w:val="003709EB"/>
    <w:pPr>
      <w:tabs>
        <w:tab w:val="center" w:pos="4320"/>
        <w:tab w:val="right" w:pos="8640"/>
      </w:tabs>
    </w:pPr>
  </w:style>
  <w:style w:type="paragraph" w:styleId="BodyTextIndent3">
    <w:name w:val="Body Text Indent 3"/>
    <w:basedOn w:val="Normal"/>
    <w:rsid w:val="003709EB"/>
    <w:pPr>
      <w:spacing w:line="360" w:lineRule="auto"/>
      <w:ind w:firstLine="720"/>
      <w:jc w:val="both"/>
    </w:pPr>
    <w:rPr>
      <w:b/>
      <w:bCs/>
    </w:rPr>
  </w:style>
  <w:style w:type="paragraph" w:styleId="BodyTextIndent">
    <w:name w:val="Body Text Indent"/>
    <w:basedOn w:val="Normal"/>
    <w:rsid w:val="003709EB"/>
    <w:pPr>
      <w:ind w:left="540" w:hanging="720"/>
      <w:jc w:val="both"/>
    </w:pPr>
  </w:style>
  <w:style w:type="paragraph" w:styleId="BodyTextIndent2">
    <w:name w:val="Body Text Indent 2"/>
    <w:basedOn w:val="Normal"/>
    <w:rsid w:val="003709EB"/>
    <w:pPr>
      <w:spacing w:line="360" w:lineRule="auto"/>
      <w:ind w:firstLine="720"/>
      <w:jc w:val="both"/>
    </w:pPr>
  </w:style>
  <w:style w:type="paragraph" w:styleId="BodyText2">
    <w:name w:val="Body Text 2"/>
    <w:basedOn w:val="Normal"/>
    <w:rsid w:val="003709EB"/>
    <w:pPr>
      <w:spacing w:line="360" w:lineRule="auto"/>
      <w:jc w:val="both"/>
    </w:pPr>
  </w:style>
  <w:style w:type="paragraph" w:styleId="Footer">
    <w:name w:val="footer"/>
    <w:basedOn w:val="Normal"/>
    <w:rsid w:val="003709EB"/>
    <w:pPr>
      <w:tabs>
        <w:tab w:val="center" w:pos="4320"/>
        <w:tab w:val="right" w:pos="8640"/>
      </w:tabs>
    </w:pPr>
    <w:rPr>
      <w:sz w:val="32"/>
    </w:rPr>
  </w:style>
  <w:style w:type="paragraph" w:customStyle="1" w:styleId="TableContents">
    <w:name w:val="Table Contents"/>
    <w:basedOn w:val="Normal"/>
    <w:rsid w:val="003709EB"/>
    <w:pPr>
      <w:suppressLineNumbers/>
    </w:pPr>
  </w:style>
  <w:style w:type="paragraph" w:customStyle="1" w:styleId="TableHeading">
    <w:name w:val="Table Heading"/>
    <w:basedOn w:val="TableContents"/>
    <w:rsid w:val="003709EB"/>
    <w:pPr>
      <w:jc w:val="center"/>
    </w:pPr>
    <w:rPr>
      <w:b/>
      <w:bCs/>
    </w:rPr>
  </w:style>
  <w:style w:type="paragraph" w:customStyle="1" w:styleId="Framecontents">
    <w:name w:val="Frame contents"/>
    <w:basedOn w:val="BodyText"/>
    <w:rsid w:val="003709EB"/>
  </w:style>
  <w:style w:type="paragraph" w:customStyle="1" w:styleId="Text">
    <w:name w:val="Text"/>
    <w:basedOn w:val="Normal"/>
    <w:rsid w:val="003709EB"/>
    <w:pPr>
      <w:autoSpaceDE w:val="0"/>
      <w:spacing w:line="252" w:lineRule="auto"/>
      <w:ind w:firstLine="202"/>
    </w:pPr>
    <w:rPr>
      <w:rFonts w:eastAsia="PMingLiU"/>
      <w:kern w:val="1"/>
      <w:sz w:val="20"/>
      <w:szCs w:val="20"/>
    </w:rPr>
  </w:style>
  <w:style w:type="table" w:customStyle="1" w:styleId="1">
    <w:name w:val="浅色底纹1"/>
    <w:basedOn w:val="TableNormal"/>
    <w:uiPriority w:val="60"/>
    <w:rsid w:val="00B43588"/>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F764BB"/>
    <w:rPr>
      <w:rFonts w:ascii="Calibri" w:eastAsia="Calibri" w:hAnsi="Calibri"/>
      <w:sz w:val="22"/>
      <w:szCs w:val="22"/>
      <w:lang w:eastAsia="en-US"/>
    </w:rPr>
  </w:style>
  <w:style w:type="table" w:styleId="TableGrid">
    <w:name w:val="Table Grid"/>
    <w:basedOn w:val="TableNormal"/>
    <w:uiPriority w:val="59"/>
    <w:rsid w:val="00FF117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1178"/>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FF1178"/>
    <w:pPr>
      <w:suppressAutoHyphens w:val="0"/>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E0E78"/>
    <w:rPr>
      <w:rFonts w:ascii="Tahoma" w:hAnsi="Tahoma" w:cs="Tahoma"/>
      <w:sz w:val="16"/>
      <w:szCs w:val="16"/>
    </w:rPr>
  </w:style>
  <w:style w:type="character" w:customStyle="1" w:styleId="BalloonTextChar">
    <w:name w:val="Balloon Text Char"/>
    <w:basedOn w:val="DefaultParagraphFont"/>
    <w:link w:val="BalloonText"/>
    <w:uiPriority w:val="99"/>
    <w:semiHidden/>
    <w:rsid w:val="005E0E7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sike@yahoo.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intechopen.com/books/waste-watertreatment-and-reutilization/ferrate-vi-in-the-treatment-of-wastewaters-a-new-generation-green-chemica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harsike@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dx.doi.org/10.7537/marsnys090816.03"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944AB4-8F91-4B61-978D-B78F96EC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12325</CharactersWithSpaces>
  <SharedDoc>false</SharedDoc>
  <HLinks>
    <vt:vector size="36" baseType="variant">
      <vt:variant>
        <vt:i4>1835010</vt:i4>
      </vt:variant>
      <vt:variant>
        <vt:i4>6</vt:i4>
      </vt:variant>
      <vt:variant>
        <vt:i4>0</vt:i4>
      </vt:variant>
      <vt:variant>
        <vt:i4>5</vt:i4>
      </vt:variant>
      <vt:variant>
        <vt:lpwstr>http://www.intechopen.com/books/waste-watertreatment-and-reutilization/ferrate-vi-in-the-treatment-of-wastewaters-a-new-generation-green-chemical</vt:lpwstr>
      </vt:variant>
      <vt:variant>
        <vt:lpwstr/>
      </vt:variant>
      <vt:variant>
        <vt:i4>7798849</vt:i4>
      </vt:variant>
      <vt:variant>
        <vt:i4>3</vt:i4>
      </vt:variant>
      <vt:variant>
        <vt:i4>0</vt:i4>
      </vt:variant>
      <vt:variant>
        <vt:i4>5</vt:i4>
      </vt:variant>
      <vt:variant>
        <vt:lpwstr>mailto:charsike@yahoo.com</vt:lpwstr>
      </vt:variant>
      <vt:variant>
        <vt:lpwstr/>
      </vt:variant>
      <vt:variant>
        <vt:i4>7798849</vt:i4>
      </vt:variant>
      <vt:variant>
        <vt:i4>0</vt:i4>
      </vt:variant>
      <vt:variant>
        <vt:i4>0</vt:i4>
      </vt:variant>
      <vt:variant>
        <vt:i4>5</vt:i4>
      </vt:variant>
      <vt:variant>
        <vt:lpwstr>mailto:charsike@yahoo.com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2016-08-06T16:37:00Z</cp:lastPrinted>
  <dcterms:created xsi:type="dcterms:W3CDTF">2016-08-06T13:19:00Z</dcterms:created>
  <dcterms:modified xsi:type="dcterms:W3CDTF">2016-08-06T16:42:00Z</dcterms:modified>
</cp:coreProperties>
</file>