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18" w:rsidRPr="009A1FB0" w:rsidRDefault="00937B18" w:rsidP="006D3B19">
      <w:pPr>
        <w:bidi w:val="0"/>
        <w:snapToGrid w:val="0"/>
        <w:spacing w:after="0" w:line="240" w:lineRule="auto"/>
        <w:jc w:val="center"/>
        <w:rPr>
          <w:rFonts w:ascii="Times New Roman" w:hAnsi="Times New Roman" w:cs="Times New Roman"/>
          <w:b/>
          <w:sz w:val="20"/>
          <w:szCs w:val="20"/>
          <w:lang w:bidi="ar-EG"/>
        </w:rPr>
      </w:pPr>
      <w:r w:rsidRPr="009A1FB0">
        <w:rPr>
          <w:rFonts w:ascii="Times New Roman" w:hAnsi="Times New Roman" w:cs="Times New Roman"/>
          <w:b/>
          <w:sz w:val="20"/>
          <w:szCs w:val="20"/>
          <w:lang w:bidi="ar-EG"/>
        </w:rPr>
        <w:t xml:space="preserve">Assessment of </w:t>
      </w:r>
      <w:r w:rsidRPr="009A1FB0">
        <w:rPr>
          <w:rFonts w:ascii="Times New Roman" w:hAnsi="Times New Roman" w:cs="Times New Roman"/>
          <w:b/>
          <w:sz w:val="20"/>
          <w:szCs w:val="20"/>
        </w:rPr>
        <w:t xml:space="preserve">CD163 as a Predictor of Esophageal Varices in Patients with </w:t>
      </w:r>
      <w:r w:rsidRPr="009A1FB0">
        <w:rPr>
          <w:rFonts w:ascii="Times New Roman" w:hAnsi="Times New Roman" w:cs="Times New Roman"/>
          <w:b/>
          <w:sz w:val="20"/>
          <w:szCs w:val="20"/>
          <w:lang w:bidi="ar-EG"/>
        </w:rPr>
        <w:t>Liver</w:t>
      </w:r>
      <w:r w:rsidRPr="009A1FB0">
        <w:rPr>
          <w:rFonts w:ascii="Times New Roman" w:hAnsi="Times New Roman" w:cs="Times New Roman"/>
          <w:b/>
          <w:sz w:val="20"/>
          <w:szCs w:val="20"/>
        </w:rPr>
        <w:t xml:space="preserve"> Cirrhosis</w:t>
      </w:r>
    </w:p>
    <w:p w:rsidR="00B90FE5" w:rsidRPr="009A1FB0" w:rsidRDefault="00B90FE5" w:rsidP="006D3B19">
      <w:pPr>
        <w:bidi w:val="0"/>
        <w:snapToGrid w:val="0"/>
        <w:spacing w:after="0" w:line="240" w:lineRule="auto"/>
        <w:jc w:val="center"/>
        <w:rPr>
          <w:rFonts w:ascii="Times New Roman" w:hAnsi="Times New Roman" w:cs="Times New Roman"/>
          <w:b/>
          <w:bCs/>
          <w:sz w:val="20"/>
          <w:szCs w:val="20"/>
        </w:rPr>
      </w:pPr>
    </w:p>
    <w:p w:rsidR="00B90FE5" w:rsidRPr="009A1FB0" w:rsidRDefault="00937B18" w:rsidP="006D3B19">
      <w:pPr>
        <w:autoSpaceDE w:val="0"/>
        <w:autoSpaceDN w:val="0"/>
        <w:bidi w:val="0"/>
        <w:adjustRightInd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sz w:val="20"/>
          <w:szCs w:val="20"/>
        </w:rPr>
        <w:t>Adel Awad Mostafa</w:t>
      </w:r>
      <w:r w:rsidR="00B90FE5" w:rsidRPr="009A1FB0">
        <w:rPr>
          <w:rFonts w:ascii="Times New Roman" w:hAnsi="Times New Roman" w:cs="Times New Roman"/>
          <w:sz w:val="20"/>
          <w:szCs w:val="20"/>
          <w:vertAlign w:val="superscript"/>
        </w:rPr>
        <w:t>1</w:t>
      </w:r>
      <w:r w:rsidR="00B90FE5" w:rsidRPr="009A1FB0">
        <w:rPr>
          <w:rFonts w:ascii="Times New Roman" w:hAnsi="Times New Roman" w:cs="Times New Roman"/>
          <w:sz w:val="20"/>
          <w:szCs w:val="20"/>
        </w:rPr>
        <w:t>, Mohammed El-Sayed El-Shewi</w:t>
      </w:r>
      <w:r w:rsidR="00B90FE5" w:rsidRPr="009A1FB0">
        <w:rPr>
          <w:rFonts w:ascii="Times New Roman" w:hAnsi="Times New Roman" w:cs="Times New Roman"/>
          <w:sz w:val="20"/>
          <w:szCs w:val="20"/>
          <w:vertAlign w:val="superscript"/>
        </w:rPr>
        <w:t>2</w:t>
      </w:r>
      <w:r w:rsidR="00B90FE5" w:rsidRPr="009A1FB0">
        <w:rPr>
          <w:rFonts w:ascii="Times New Roman" w:hAnsi="Times New Roman" w:cs="Times New Roman"/>
          <w:sz w:val="20"/>
          <w:szCs w:val="20"/>
        </w:rPr>
        <w:t>, Ahmed Mostafa Amin</w:t>
      </w:r>
      <w:r w:rsidR="00B90FE5" w:rsidRPr="009A1FB0">
        <w:rPr>
          <w:rFonts w:ascii="Times New Roman" w:hAnsi="Times New Roman" w:cs="Times New Roman"/>
          <w:sz w:val="20"/>
          <w:szCs w:val="20"/>
          <w:vertAlign w:val="superscript"/>
        </w:rPr>
        <w:t>3</w:t>
      </w:r>
      <w:r w:rsidR="00B90FE5" w:rsidRPr="009A1FB0">
        <w:rPr>
          <w:rFonts w:ascii="Times New Roman" w:hAnsi="Times New Roman" w:cs="Times New Roman"/>
          <w:sz w:val="20"/>
          <w:szCs w:val="20"/>
        </w:rPr>
        <w:t xml:space="preserve"> and </w:t>
      </w:r>
      <w:bookmarkStart w:id="0" w:name="_GoBack"/>
      <w:r w:rsidR="00B90FE5" w:rsidRPr="009A1FB0">
        <w:rPr>
          <w:rFonts w:ascii="Times New Roman" w:hAnsi="Times New Roman" w:cs="Times New Roman"/>
          <w:sz w:val="20"/>
          <w:szCs w:val="20"/>
        </w:rPr>
        <w:t>Shaban Hassan Abdel Aziz Alibiary</w:t>
      </w:r>
      <w:r w:rsidR="00B90FE5" w:rsidRPr="009A1FB0">
        <w:rPr>
          <w:rFonts w:ascii="Times New Roman" w:hAnsi="Times New Roman" w:cs="Times New Roman"/>
          <w:sz w:val="20"/>
          <w:szCs w:val="20"/>
          <w:vertAlign w:val="superscript"/>
        </w:rPr>
        <w:t>4</w:t>
      </w:r>
    </w:p>
    <w:bookmarkEnd w:id="0"/>
    <w:p w:rsidR="00B90FE5" w:rsidRPr="009A1FB0" w:rsidRDefault="00B90FE5" w:rsidP="006D3B19">
      <w:pPr>
        <w:autoSpaceDE w:val="0"/>
        <w:autoSpaceDN w:val="0"/>
        <w:bidi w:val="0"/>
        <w:adjustRightInd w:val="0"/>
        <w:snapToGrid w:val="0"/>
        <w:spacing w:after="0" w:line="240" w:lineRule="auto"/>
        <w:jc w:val="center"/>
        <w:rPr>
          <w:rFonts w:ascii="Times New Roman" w:hAnsi="Times New Roman" w:cs="Times New Roman"/>
          <w:b/>
          <w:bCs/>
          <w:sz w:val="20"/>
          <w:szCs w:val="20"/>
          <w:vertAlign w:val="superscript"/>
        </w:rPr>
      </w:pPr>
    </w:p>
    <w:p w:rsidR="00937B18" w:rsidRPr="009A1FB0" w:rsidRDefault="00937B18" w:rsidP="006D3B19">
      <w:pPr>
        <w:pStyle w:val="Heading4"/>
        <w:keepNext w:val="0"/>
        <w:keepLines w:val="0"/>
        <w:shd w:val="clear" w:color="auto" w:fill="FFFFFF"/>
        <w:bidi w:val="0"/>
        <w:snapToGrid w:val="0"/>
        <w:spacing w:before="0" w:line="240" w:lineRule="auto"/>
        <w:jc w:val="center"/>
        <w:textAlignment w:val="top"/>
        <w:rPr>
          <w:rFonts w:ascii="Times New Roman" w:hAnsi="Times New Roman"/>
          <w:b w:val="0"/>
          <w:bCs w:val="0"/>
          <w:i w:val="0"/>
          <w:iCs w:val="0"/>
          <w:color w:val="FF0000"/>
          <w:sz w:val="20"/>
          <w:szCs w:val="20"/>
        </w:rPr>
      </w:pPr>
      <w:r w:rsidRPr="009A1FB0">
        <w:rPr>
          <w:rFonts w:ascii="Times New Roman" w:hAnsi="Times New Roman"/>
          <w:b w:val="0"/>
          <w:bCs w:val="0"/>
          <w:i w:val="0"/>
          <w:iCs w:val="0"/>
          <w:color w:val="auto"/>
          <w:sz w:val="20"/>
          <w:szCs w:val="20"/>
        </w:rPr>
        <w:t xml:space="preserve">Prof of Hepatology, Gastroenterology and Infectious Diseases Department, </w:t>
      </w:r>
      <w:r w:rsidRPr="009A1FB0">
        <w:rPr>
          <w:rFonts w:ascii="Times New Roman" w:hAnsi="Times New Roman"/>
          <w:b w:val="0"/>
          <w:bCs w:val="0"/>
          <w:i w:val="0"/>
          <w:iCs w:val="0"/>
          <w:color w:val="auto"/>
          <w:sz w:val="20"/>
          <w:szCs w:val="20"/>
          <w:lang w:val="en-GB" w:bidi="ar-EG"/>
        </w:rPr>
        <w:t>Faculty of Medicine,</w:t>
      </w:r>
      <w:r w:rsidR="00D77FA2" w:rsidRPr="009A1FB0">
        <w:rPr>
          <w:rFonts w:ascii="Times New Roman" w:hAnsi="Times New Roman"/>
          <w:b w:val="0"/>
          <w:bCs w:val="0"/>
          <w:i w:val="0"/>
          <w:iCs w:val="0"/>
          <w:color w:val="auto"/>
          <w:sz w:val="20"/>
          <w:szCs w:val="20"/>
          <w:lang w:val="en-GB" w:bidi="ar-EG"/>
        </w:rPr>
        <w:t xml:space="preserve"> </w:t>
      </w:r>
      <w:r w:rsidRPr="009A1FB0">
        <w:rPr>
          <w:rFonts w:ascii="Times New Roman" w:hAnsi="Times New Roman"/>
          <w:b w:val="0"/>
          <w:bCs w:val="0"/>
          <w:i w:val="0"/>
          <w:iCs w:val="0"/>
          <w:color w:val="auto"/>
          <w:sz w:val="20"/>
          <w:szCs w:val="20"/>
        </w:rPr>
        <w:t>Benha University - Egypt</w:t>
      </w:r>
    </w:p>
    <w:p w:rsidR="00937B18" w:rsidRPr="009A1FB0" w:rsidRDefault="00937B18" w:rsidP="006D3B19">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9A1FB0">
        <w:rPr>
          <w:rFonts w:ascii="Times New Roman" w:hAnsi="Times New Roman" w:cs="Times New Roman"/>
          <w:sz w:val="20"/>
          <w:szCs w:val="20"/>
        </w:rPr>
        <w:t xml:space="preserve">Lecturer of Hepatology, Gastroenterology and Infectious Diseases Department, </w:t>
      </w:r>
      <w:r w:rsidRPr="009A1FB0">
        <w:rPr>
          <w:rFonts w:ascii="Times New Roman" w:hAnsi="Times New Roman" w:cs="Times New Roman"/>
          <w:sz w:val="20"/>
          <w:szCs w:val="20"/>
          <w:lang w:val="en-GB" w:bidi="ar-EG"/>
        </w:rPr>
        <w:t>Faculty of Medicine,</w:t>
      </w:r>
      <w:r w:rsidR="00D77FA2" w:rsidRPr="009A1FB0">
        <w:rPr>
          <w:rFonts w:ascii="Times New Roman" w:hAnsi="Times New Roman" w:cs="Times New Roman"/>
          <w:sz w:val="20"/>
          <w:szCs w:val="20"/>
          <w:lang w:val="en-GB" w:bidi="ar-EG"/>
        </w:rPr>
        <w:t xml:space="preserve"> </w:t>
      </w:r>
      <w:r w:rsidRPr="009A1FB0">
        <w:rPr>
          <w:rFonts w:ascii="Times New Roman" w:hAnsi="Times New Roman" w:cs="Times New Roman"/>
          <w:sz w:val="20"/>
          <w:szCs w:val="20"/>
        </w:rPr>
        <w:t>Benha University- Egypt</w:t>
      </w:r>
    </w:p>
    <w:p w:rsidR="00937B18" w:rsidRPr="009A1FB0" w:rsidRDefault="00937B18" w:rsidP="006D3B19">
      <w:pPr>
        <w:pStyle w:val="Heading4"/>
        <w:keepNext w:val="0"/>
        <w:keepLines w:val="0"/>
        <w:shd w:val="clear" w:color="auto" w:fill="FFFFFF"/>
        <w:bidi w:val="0"/>
        <w:snapToGrid w:val="0"/>
        <w:spacing w:before="0" w:line="240" w:lineRule="auto"/>
        <w:jc w:val="center"/>
        <w:textAlignment w:val="top"/>
        <w:rPr>
          <w:rFonts w:ascii="Times New Roman" w:hAnsi="Times New Roman"/>
          <w:b w:val="0"/>
          <w:bCs w:val="0"/>
          <w:i w:val="0"/>
          <w:iCs w:val="0"/>
          <w:color w:val="auto"/>
          <w:sz w:val="20"/>
          <w:szCs w:val="20"/>
        </w:rPr>
      </w:pPr>
      <w:r w:rsidRPr="009A1FB0">
        <w:rPr>
          <w:rFonts w:ascii="Times New Roman" w:hAnsi="Times New Roman"/>
          <w:b w:val="0"/>
          <w:bCs w:val="0"/>
          <w:i w:val="0"/>
          <w:iCs w:val="0"/>
          <w:color w:val="auto"/>
          <w:sz w:val="20"/>
          <w:szCs w:val="20"/>
          <w:lang w:bidi="ar-EG"/>
        </w:rPr>
        <w:t xml:space="preserve">Medical Microbiology and immunology Department, </w:t>
      </w:r>
      <w:r w:rsidRPr="009A1FB0">
        <w:rPr>
          <w:rFonts w:ascii="Times New Roman" w:hAnsi="Times New Roman"/>
          <w:b w:val="0"/>
          <w:bCs w:val="0"/>
          <w:i w:val="0"/>
          <w:iCs w:val="0"/>
          <w:color w:val="auto"/>
          <w:sz w:val="20"/>
          <w:szCs w:val="20"/>
        </w:rPr>
        <w:t xml:space="preserve">faculty of </w:t>
      </w:r>
      <w:r w:rsidR="00B90FE5" w:rsidRPr="009A1FB0">
        <w:rPr>
          <w:rFonts w:ascii="Times New Roman" w:hAnsi="Times New Roman"/>
          <w:b w:val="0"/>
          <w:bCs w:val="0"/>
          <w:i w:val="0"/>
          <w:iCs w:val="0"/>
          <w:color w:val="auto"/>
          <w:sz w:val="20"/>
          <w:szCs w:val="20"/>
        </w:rPr>
        <w:t>medicine, Tanta</w:t>
      </w:r>
      <w:r w:rsidRPr="009A1FB0">
        <w:rPr>
          <w:rFonts w:ascii="Times New Roman" w:hAnsi="Times New Roman"/>
          <w:b w:val="0"/>
          <w:bCs w:val="0"/>
          <w:i w:val="0"/>
          <w:iCs w:val="0"/>
          <w:color w:val="auto"/>
          <w:sz w:val="20"/>
          <w:szCs w:val="20"/>
        </w:rPr>
        <w:t xml:space="preserve"> University -</w:t>
      </w:r>
      <w:r w:rsidRPr="009A1FB0">
        <w:rPr>
          <w:rFonts w:ascii="Times New Roman" w:hAnsi="Times New Roman"/>
          <w:b w:val="0"/>
          <w:bCs w:val="0"/>
          <w:i w:val="0"/>
          <w:iCs w:val="0"/>
          <w:color w:val="auto"/>
          <w:sz w:val="20"/>
          <w:szCs w:val="20"/>
          <w:lang w:bidi="ar-EG"/>
        </w:rPr>
        <w:t xml:space="preserve"> Egypt</w:t>
      </w:r>
      <w:r w:rsidRPr="009A1FB0">
        <w:rPr>
          <w:rFonts w:ascii="Times New Roman" w:hAnsi="Times New Roman"/>
          <w:b w:val="0"/>
          <w:bCs w:val="0"/>
          <w:i w:val="0"/>
          <w:iCs w:val="0"/>
          <w:color w:val="auto"/>
          <w:sz w:val="20"/>
          <w:szCs w:val="20"/>
        </w:rPr>
        <w:t>.</w:t>
      </w:r>
      <w:r w:rsidR="00D77FA2" w:rsidRPr="009A1FB0">
        <w:rPr>
          <w:rFonts w:ascii="Times New Roman" w:hAnsi="Times New Roman"/>
          <w:b w:val="0"/>
          <w:bCs w:val="0"/>
          <w:i w:val="0"/>
          <w:iCs w:val="0"/>
          <w:color w:val="auto"/>
          <w:sz w:val="20"/>
          <w:szCs w:val="20"/>
        </w:rPr>
        <w:t xml:space="preserve"> </w:t>
      </w:r>
      <w:r w:rsidRPr="009A1FB0">
        <w:rPr>
          <w:rFonts w:ascii="Times New Roman" w:hAnsi="Times New Roman"/>
          <w:b w:val="0"/>
          <w:bCs w:val="0"/>
          <w:i w:val="0"/>
          <w:iCs w:val="0"/>
          <w:color w:val="auto"/>
          <w:sz w:val="20"/>
          <w:szCs w:val="20"/>
        </w:rPr>
        <w:t>Hepatology, Gastroenterology and Infectious Diseases Department</w:t>
      </w:r>
      <w:r w:rsidRPr="009A1FB0">
        <w:rPr>
          <w:rFonts w:ascii="Times New Roman" w:hAnsi="Times New Roman"/>
          <w:b w:val="0"/>
          <w:bCs w:val="0"/>
          <w:i w:val="0"/>
          <w:iCs w:val="0"/>
          <w:color w:val="auto"/>
          <w:sz w:val="20"/>
          <w:szCs w:val="20"/>
          <w:lang w:bidi="ar-EG"/>
        </w:rPr>
        <w:t xml:space="preserve">, </w:t>
      </w:r>
      <w:r w:rsidRPr="009A1FB0">
        <w:rPr>
          <w:rFonts w:ascii="Times New Roman" w:hAnsi="Times New Roman"/>
          <w:b w:val="0"/>
          <w:bCs w:val="0"/>
          <w:i w:val="0"/>
          <w:iCs w:val="0"/>
          <w:color w:val="auto"/>
          <w:sz w:val="20"/>
          <w:szCs w:val="20"/>
        </w:rPr>
        <w:t>kafr-Elsheikh Liver research center,</w:t>
      </w:r>
      <w:r w:rsidR="00D77FA2" w:rsidRPr="009A1FB0">
        <w:rPr>
          <w:rFonts w:ascii="Times New Roman" w:hAnsi="Times New Roman"/>
          <w:b w:val="0"/>
          <w:bCs w:val="0"/>
          <w:i w:val="0"/>
          <w:iCs w:val="0"/>
          <w:color w:val="auto"/>
          <w:sz w:val="20"/>
          <w:szCs w:val="20"/>
        </w:rPr>
        <w:t xml:space="preserve"> </w:t>
      </w:r>
      <w:r w:rsidRPr="009A1FB0">
        <w:rPr>
          <w:rFonts w:ascii="Times New Roman" w:hAnsi="Times New Roman"/>
          <w:b w:val="0"/>
          <w:bCs w:val="0"/>
          <w:i w:val="0"/>
          <w:iCs w:val="0"/>
          <w:color w:val="auto"/>
          <w:sz w:val="20"/>
          <w:szCs w:val="20"/>
        </w:rPr>
        <w:t>Kafr-Elsheikh-Egypt.</w:t>
      </w:r>
    </w:p>
    <w:p w:rsidR="00937B18" w:rsidRPr="009A1FB0" w:rsidRDefault="00664CB0" w:rsidP="006D3B19">
      <w:pPr>
        <w:autoSpaceDE w:val="0"/>
        <w:autoSpaceDN w:val="0"/>
        <w:bidi w:val="0"/>
        <w:adjustRightInd w:val="0"/>
        <w:snapToGrid w:val="0"/>
        <w:spacing w:after="0" w:line="240" w:lineRule="auto"/>
        <w:jc w:val="center"/>
        <w:rPr>
          <w:rFonts w:ascii="Times New Roman" w:hAnsi="Times New Roman" w:cs="Times New Roman"/>
          <w:b/>
          <w:bCs/>
          <w:i/>
          <w:iCs/>
          <w:sz w:val="20"/>
          <w:szCs w:val="20"/>
          <w:lang w:bidi="ar-EG"/>
        </w:rPr>
      </w:pPr>
      <w:hyperlink r:id="rId8" w:history="1">
        <w:r w:rsidR="00B90FE5" w:rsidRPr="009A1FB0">
          <w:rPr>
            <w:rStyle w:val="Hyperlink"/>
            <w:rFonts w:ascii="Times New Roman" w:hAnsi="Times New Roman"/>
            <w:sz w:val="20"/>
            <w:szCs w:val="20"/>
            <w:bdr w:val="none" w:sz="0" w:space="0" w:color="auto" w:frame="1"/>
          </w:rPr>
          <w:t>mohammed.elshewi@fmed.bu.edu.eg</w:t>
        </w:r>
      </w:hyperlink>
      <w:r w:rsidR="009E1A38" w:rsidRPr="009A1FB0">
        <w:rPr>
          <w:rFonts w:ascii="Times New Roman" w:hAnsi="Times New Roman" w:cs="Times New Roman"/>
          <w:sz w:val="20"/>
          <w:szCs w:val="20"/>
        </w:rPr>
        <w:t xml:space="preserve"> </w:t>
      </w:r>
      <w:hyperlink r:id="rId9" w:history="1">
        <w:r w:rsidR="00B90FE5" w:rsidRPr="009A1FB0">
          <w:rPr>
            <w:rStyle w:val="Hyperlink"/>
            <w:rFonts w:ascii="Times New Roman" w:hAnsi="Times New Roman"/>
            <w:sz w:val="20"/>
            <w:szCs w:val="20"/>
          </w:rPr>
          <w:t>Ahmedmicro@yahoo.com</w:t>
        </w:r>
      </w:hyperlink>
      <w:r w:rsidR="003848E3" w:rsidRPr="009A1FB0">
        <w:rPr>
          <w:rFonts w:ascii="Times New Roman" w:hAnsi="Times New Roman" w:cs="Times New Roman"/>
          <w:sz w:val="20"/>
          <w:szCs w:val="20"/>
        </w:rPr>
        <w:t xml:space="preserve"> </w:t>
      </w:r>
      <w:hyperlink r:id="rId10" w:history="1">
        <w:r w:rsidR="00B90FE5" w:rsidRPr="009A1FB0">
          <w:rPr>
            <w:rStyle w:val="Hyperlink"/>
            <w:rFonts w:ascii="Times New Roman" w:hAnsi="Times New Roman"/>
            <w:sz w:val="20"/>
            <w:szCs w:val="20"/>
          </w:rPr>
          <w:t>shabanalibiary@yahoo.com</w:t>
        </w:r>
      </w:hyperlink>
    </w:p>
    <w:p w:rsidR="00937B18" w:rsidRPr="009A1FB0" w:rsidRDefault="00937B18" w:rsidP="006D3B19">
      <w:pPr>
        <w:bidi w:val="0"/>
        <w:snapToGrid w:val="0"/>
        <w:spacing w:after="0" w:line="240" w:lineRule="auto"/>
        <w:jc w:val="center"/>
        <w:rPr>
          <w:rFonts w:ascii="Times New Roman" w:hAnsi="Times New Roman" w:cs="Times New Roman"/>
          <w:b/>
          <w:bCs/>
          <w:sz w:val="20"/>
          <w:szCs w:val="20"/>
        </w:rPr>
      </w:pPr>
    </w:p>
    <w:p w:rsidR="00937B18" w:rsidRPr="009A1FB0" w:rsidRDefault="00937B18" w:rsidP="006D3B19">
      <w:pPr>
        <w:bidi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b/>
          <w:bCs/>
          <w:sz w:val="20"/>
          <w:szCs w:val="20"/>
        </w:rPr>
        <w:t>Abstract</w:t>
      </w:r>
      <w:r w:rsidR="00B90FE5" w:rsidRPr="009A1FB0">
        <w:rPr>
          <w:rFonts w:ascii="Times New Roman" w:hAnsi="Times New Roman" w:cs="Times New Roman"/>
          <w:b/>
          <w:bCs/>
          <w:sz w:val="20"/>
          <w:szCs w:val="20"/>
        </w:rPr>
        <w:t xml:space="preserve">: </w:t>
      </w:r>
      <w:r w:rsidRPr="009A1FB0">
        <w:rPr>
          <w:rFonts w:ascii="Times New Roman" w:hAnsi="Times New Roman" w:cs="Times New Roman"/>
          <w:b/>
          <w:bCs/>
          <w:sz w:val="20"/>
          <w:szCs w:val="20"/>
        </w:rPr>
        <w:t>Introduction and study aim</w:t>
      </w:r>
      <w:r w:rsidRPr="009A1FB0">
        <w:rPr>
          <w:rFonts w:ascii="Times New Roman" w:hAnsi="Times New Roman" w:cs="Times New Roman"/>
          <w:b/>
          <w:bCs/>
          <w:i/>
          <w:iCs/>
          <w:sz w:val="20"/>
          <w:szCs w:val="20"/>
        </w:rPr>
        <w:t>:</w:t>
      </w:r>
      <w:r w:rsidRPr="009A1FB0">
        <w:rPr>
          <w:rFonts w:ascii="Times New Roman" w:hAnsi="Times New Roman" w:cs="Times New Roman"/>
          <w:sz w:val="20"/>
          <w:szCs w:val="20"/>
        </w:rPr>
        <w:t xml:space="preserve"> Portal </w:t>
      </w:r>
      <w:r w:rsidRPr="009A1FB0">
        <w:rPr>
          <w:rStyle w:val="Emphasis"/>
          <w:rFonts w:ascii="Times New Roman" w:hAnsi="Times New Roman"/>
          <w:i w:val="0"/>
          <w:iCs w:val="0"/>
          <w:sz w:val="20"/>
          <w:szCs w:val="20"/>
        </w:rPr>
        <w:t>hypertension is one of the most important complications of liver cirrhosis.</w:t>
      </w:r>
      <w:r w:rsidRPr="009A1FB0">
        <w:rPr>
          <w:rFonts w:ascii="Times New Roman" w:hAnsi="Times New Roman" w:cs="Times New Roman"/>
          <w:sz w:val="20"/>
          <w:szCs w:val="20"/>
        </w:rPr>
        <w:t xml:space="preserve"> Endoscopic screening of all patients with liver cirrhosis would result in a large number of unnecessary additional burdens to endoscopic units</w:t>
      </w:r>
      <w:r w:rsidRPr="009A1FB0">
        <w:rPr>
          <w:rFonts w:ascii="Times New Roman" w:hAnsi="Times New Roman" w:cs="Times New Roman"/>
          <w:sz w:val="20"/>
          <w:szCs w:val="20"/>
          <w:lang w:bidi="ar-EG"/>
        </w:rPr>
        <w:t>.</w:t>
      </w:r>
      <w:r w:rsidRPr="009A1FB0">
        <w:rPr>
          <w:rFonts w:ascii="Times New Roman" w:hAnsi="Times New Roman" w:cs="Times New Roman"/>
          <w:sz w:val="20"/>
          <w:szCs w:val="20"/>
        </w:rPr>
        <w:t xml:space="preserve"> Activation of Kupffer cells is involved in the pathogenesis of portal hypertension. Soluble (s) CD163 is a macrophage scavenger receptor and a specific marker for macrophage activation in portal hypertension. This study was designed to assess soluble plasma (s) CD163 as noninvasive parameter for detection of esophageal varices in Child A compensated cirrhotic hepatitis C patients.</w:t>
      </w:r>
      <w:r w:rsidR="00DA4A9E" w:rsidRPr="009A1FB0">
        <w:rPr>
          <w:rFonts w:ascii="Times New Roman" w:hAnsi="Times New Roman" w:cs="Times New Roman"/>
          <w:sz w:val="20"/>
          <w:szCs w:val="20"/>
        </w:rPr>
        <w:t xml:space="preserve"> </w:t>
      </w:r>
      <w:r w:rsidRPr="009A1FB0">
        <w:rPr>
          <w:rFonts w:ascii="Times New Roman" w:hAnsi="Times New Roman" w:cs="Times New Roman"/>
          <w:b/>
          <w:bCs/>
          <w:sz w:val="20"/>
          <w:szCs w:val="20"/>
        </w:rPr>
        <w:t>Patients and Methods</w:t>
      </w:r>
      <w:r w:rsidRPr="009A1FB0">
        <w:rPr>
          <w:rFonts w:ascii="Times New Roman" w:hAnsi="Times New Roman" w:cs="Times New Roman"/>
          <w:sz w:val="20"/>
          <w:szCs w:val="20"/>
        </w:rPr>
        <w:t>: This study included 86 subjects among of them 70 (Child A) post hepatitis C compensated cirrhotic patients in whom fibroscan were above 13 Kps (F4) and 16 healthy individuals as a control group who were enrolled in Hepatology Department and outpatient clinic at kafr</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 xml:space="preserve">Elsheikh liver research </w:t>
      </w:r>
      <w:r w:rsidR="00526F03" w:rsidRPr="009A1FB0">
        <w:rPr>
          <w:rFonts w:ascii="Times New Roman" w:hAnsi="Times New Roman" w:cs="Times New Roman"/>
          <w:sz w:val="20"/>
          <w:szCs w:val="20"/>
        </w:rPr>
        <w:t xml:space="preserve">center </w:t>
      </w:r>
      <w:r w:rsidRPr="009A1FB0">
        <w:rPr>
          <w:rFonts w:ascii="Times New Roman" w:hAnsi="Times New Roman" w:cs="Times New Roman"/>
          <w:sz w:val="20"/>
          <w:szCs w:val="20"/>
        </w:rPr>
        <w:t>at the period from June 2014 to June 2015. Upper gastrointestinal endoscopy was done to detect esophageal varices (EVs) and simultaneously serum soluble (s) CD163 measurement by ELISA was assessed in all individuals.</w:t>
      </w:r>
      <w:r w:rsidR="00DA4A9E" w:rsidRPr="009A1FB0">
        <w:rPr>
          <w:rFonts w:ascii="Times New Roman" w:hAnsi="Times New Roman" w:cs="Times New Roman"/>
          <w:sz w:val="20"/>
          <w:szCs w:val="20"/>
        </w:rPr>
        <w:t xml:space="preserve"> </w:t>
      </w:r>
      <w:r w:rsidRPr="009A1FB0">
        <w:rPr>
          <w:rFonts w:ascii="Times New Roman" w:hAnsi="Times New Roman" w:cs="Times New Roman"/>
          <w:b/>
          <w:bCs/>
          <w:sz w:val="20"/>
          <w:szCs w:val="20"/>
        </w:rPr>
        <w:t>Results</w:t>
      </w:r>
      <w:r w:rsidRPr="009A1FB0">
        <w:rPr>
          <w:rFonts w:ascii="Times New Roman" w:hAnsi="Times New Roman" w:cs="Times New Roman"/>
          <w:sz w:val="20"/>
          <w:szCs w:val="20"/>
        </w:rPr>
        <w:t xml:space="preserve">: There was increase in soluble (s) CD163 in cirrhotic patients with and without esophageal varices, fairly three times more than </w:t>
      </w:r>
      <w:r w:rsidR="00090443" w:rsidRPr="009A1FB0">
        <w:rPr>
          <w:rFonts w:ascii="Times New Roman" w:hAnsi="Times New Roman" w:cs="Times New Roman"/>
          <w:sz w:val="20"/>
          <w:szCs w:val="20"/>
        </w:rPr>
        <w:t>control groups (10.46±1.73and 5.47</w:t>
      </w:r>
      <w:r w:rsidR="004D6A91" w:rsidRPr="009A1FB0">
        <w:rPr>
          <w:rFonts w:ascii="Times New Roman" w:hAnsi="Times New Roman" w:cs="Times New Roman"/>
          <w:sz w:val="20"/>
          <w:szCs w:val="20"/>
        </w:rPr>
        <w:t>±0.72 Vs 2.85</w:t>
      </w:r>
      <w:r w:rsidRPr="009A1FB0">
        <w:rPr>
          <w:rFonts w:ascii="Times New Roman" w:hAnsi="Times New Roman" w:cs="Times New Roman"/>
          <w:sz w:val="20"/>
          <w:szCs w:val="20"/>
        </w:rPr>
        <w:t>±0.33 mg/L) (P value=0.001). In addition, (s) CD163 is nearly doubled in patients wit</w:t>
      </w:r>
      <w:r w:rsidR="004D6A91" w:rsidRPr="009A1FB0">
        <w:rPr>
          <w:rFonts w:ascii="Times New Roman" w:hAnsi="Times New Roman" w:cs="Times New Roman"/>
          <w:sz w:val="20"/>
          <w:szCs w:val="20"/>
        </w:rPr>
        <w:t>h esophageal varices (mean=10.46±1.</w:t>
      </w:r>
      <w:r w:rsidRPr="009A1FB0">
        <w:rPr>
          <w:rFonts w:ascii="Times New Roman" w:hAnsi="Times New Roman" w:cs="Times New Roman"/>
          <w:sz w:val="20"/>
          <w:szCs w:val="20"/>
        </w:rPr>
        <w:t>7</w:t>
      </w:r>
      <w:r w:rsidR="004D6A91" w:rsidRPr="009A1FB0">
        <w:rPr>
          <w:rFonts w:ascii="Times New Roman" w:hAnsi="Times New Roman" w:cs="Times New Roman"/>
          <w:sz w:val="20"/>
          <w:szCs w:val="20"/>
        </w:rPr>
        <w:t>3</w:t>
      </w:r>
      <w:r w:rsidRPr="009A1FB0">
        <w:rPr>
          <w:rFonts w:ascii="Times New Roman" w:hAnsi="Times New Roman" w:cs="Times New Roman"/>
          <w:sz w:val="20"/>
          <w:szCs w:val="20"/>
        </w:rPr>
        <w:t>mg/L) than pat</w:t>
      </w:r>
      <w:r w:rsidR="004D6A91" w:rsidRPr="009A1FB0">
        <w:rPr>
          <w:rFonts w:ascii="Times New Roman" w:hAnsi="Times New Roman" w:cs="Times New Roman"/>
          <w:sz w:val="20"/>
          <w:szCs w:val="20"/>
        </w:rPr>
        <w:t>ients without varices (mean=5.47</w:t>
      </w:r>
      <w:r w:rsidRPr="009A1FB0">
        <w:rPr>
          <w:rFonts w:ascii="Times New Roman" w:hAnsi="Times New Roman" w:cs="Times New Roman"/>
          <w:sz w:val="20"/>
          <w:szCs w:val="20"/>
        </w:rPr>
        <w:t>±0.72mg/L) (p value=0.001). By multivariate analysis of all studied parameters in cirrhotic patients, presence of EVs was</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associated with a low platelet count ( p=0.02), high body mass index ( p=0.029 ), low hemoglobin (p =0.001), low albumin (p=0.001), increased PV diameter (p =0.002 ),</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increased spleen size (p=0.001), high Child A score (in A6 than A5) (p =0.001 ),</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 FIB4 score (p =0.003), high Fibroscan results in (KPs) (p=0.001 ), high serum (S) CD163 level (p =0.001).</w:t>
      </w:r>
      <w:r w:rsidR="00DA4A9E" w:rsidRPr="009A1FB0">
        <w:rPr>
          <w:rFonts w:ascii="Times New Roman" w:hAnsi="Times New Roman" w:cs="Times New Roman"/>
          <w:sz w:val="20"/>
          <w:szCs w:val="20"/>
        </w:rPr>
        <w:t xml:space="preserve"> </w:t>
      </w:r>
      <w:r w:rsidRPr="009A1FB0">
        <w:rPr>
          <w:rFonts w:ascii="Times New Roman" w:hAnsi="Times New Roman" w:cs="Times New Roman"/>
          <w:b/>
          <w:bCs/>
          <w:sz w:val="20"/>
          <w:szCs w:val="20"/>
        </w:rPr>
        <w:t>Conclusion:</w:t>
      </w:r>
      <w:r w:rsidRPr="009A1FB0">
        <w:rPr>
          <w:rFonts w:ascii="Times New Roman" w:hAnsi="Times New Roman" w:cs="Times New Roman"/>
          <w:sz w:val="20"/>
          <w:szCs w:val="20"/>
        </w:rPr>
        <w:t xml:space="preserve"> (s) CD163 as serum marker of portal hypertension could potentially predict the presence of esophageal varices in Child A compensated cirrhotic hepatitis C patients.</w:t>
      </w:r>
    </w:p>
    <w:p w:rsidR="006D3B19" w:rsidRPr="009A1FB0" w:rsidRDefault="00B740DB" w:rsidP="006D3B19">
      <w:pPr>
        <w:bidi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sz w:val="20"/>
          <w:szCs w:val="20"/>
        </w:rPr>
        <w:t>[</w:t>
      </w:r>
      <w:r w:rsidR="00AF4CF1" w:rsidRPr="009A1FB0">
        <w:rPr>
          <w:rFonts w:ascii="Times New Roman" w:hAnsi="Times New Roman" w:cs="Times New Roman"/>
          <w:sz w:val="20"/>
          <w:szCs w:val="20"/>
        </w:rPr>
        <w:t>Adel Awad Mostafa, Mohammed El-Sayed El-Shewi, Ahmed Mostafa Amin and</w:t>
      </w:r>
      <w:r w:rsidR="00DA4A9E" w:rsidRPr="009A1FB0">
        <w:rPr>
          <w:rFonts w:ascii="Times New Roman" w:hAnsi="Times New Roman" w:cs="Times New Roman"/>
          <w:sz w:val="20"/>
          <w:szCs w:val="20"/>
        </w:rPr>
        <w:t xml:space="preserve"> </w:t>
      </w:r>
      <w:r w:rsidR="00AF4CF1" w:rsidRPr="009A1FB0">
        <w:rPr>
          <w:rFonts w:ascii="Times New Roman" w:hAnsi="Times New Roman" w:cs="Times New Roman"/>
          <w:sz w:val="20"/>
          <w:szCs w:val="20"/>
        </w:rPr>
        <w:t>Shaban Hassan Abdel Aziz Alibiary</w:t>
      </w:r>
      <w:r w:rsidR="006D3B19" w:rsidRPr="009A1FB0">
        <w:rPr>
          <w:rFonts w:ascii="Times New Roman" w:hAnsi="Times New Roman" w:cs="Times New Roman" w:hint="eastAsia"/>
          <w:sz w:val="20"/>
          <w:szCs w:val="20"/>
          <w:lang w:eastAsia="zh-CN"/>
        </w:rPr>
        <w:t>.</w:t>
      </w:r>
      <w:r w:rsidRPr="009A1FB0">
        <w:rPr>
          <w:rFonts w:ascii="Times New Roman" w:hAnsi="Times New Roman" w:cs="Times New Roman" w:hint="cs"/>
          <w:sz w:val="20"/>
          <w:szCs w:val="20"/>
        </w:rPr>
        <w:t xml:space="preserve"> </w:t>
      </w:r>
      <w:r w:rsidR="00AF4CF1" w:rsidRPr="009A1FB0">
        <w:rPr>
          <w:rFonts w:ascii="Times New Roman" w:hAnsi="Times New Roman" w:cs="Times New Roman"/>
          <w:b/>
          <w:sz w:val="20"/>
          <w:szCs w:val="20"/>
          <w:lang w:bidi="ar-EG"/>
        </w:rPr>
        <w:t xml:space="preserve">Assessment of </w:t>
      </w:r>
      <w:r w:rsidR="00AF4CF1" w:rsidRPr="009A1FB0">
        <w:rPr>
          <w:rFonts w:ascii="Times New Roman" w:hAnsi="Times New Roman" w:cs="Times New Roman"/>
          <w:b/>
          <w:sz w:val="20"/>
          <w:szCs w:val="20"/>
        </w:rPr>
        <w:t xml:space="preserve">CD163 as a Predictor of Esophageal Varices in Patients with </w:t>
      </w:r>
      <w:r w:rsidR="00AF4CF1" w:rsidRPr="009A1FB0">
        <w:rPr>
          <w:rFonts w:ascii="Times New Roman" w:hAnsi="Times New Roman" w:cs="Times New Roman"/>
          <w:b/>
          <w:sz w:val="20"/>
          <w:szCs w:val="20"/>
          <w:lang w:bidi="ar-EG"/>
        </w:rPr>
        <w:t>Liver</w:t>
      </w:r>
      <w:r w:rsidR="00AF4CF1" w:rsidRPr="009A1FB0">
        <w:rPr>
          <w:rFonts w:ascii="Times New Roman" w:hAnsi="Times New Roman" w:cs="Times New Roman"/>
          <w:b/>
          <w:sz w:val="20"/>
          <w:szCs w:val="20"/>
        </w:rPr>
        <w:t xml:space="preserve"> Cirrhosis</w:t>
      </w:r>
      <w:r w:rsidR="006D3B19" w:rsidRPr="009A1FB0">
        <w:rPr>
          <w:rFonts w:ascii="Times New Roman" w:eastAsia="Times New Roman" w:hAnsi="Times New Roman" w:cs="Times New Roman"/>
          <w:b/>
          <w:bCs/>
          <w:sz w:val="20"/>
          <w:szCs w:val="20"/>
          <w:lang w:bidi="fa-IR"/>
        </w:rPr>
        <w:t>.</w:t>
      </w:r>
      <w:r w:rsidR="006D3B19" w:rsidRPr="009A1FB0">
        <w:rPr>
          <w:rFonts w:ascii="Times New Roman" w:hAnsi="Times New Roman" w:cs="Times New Roman"/>
          <w:bCs/>
          <w:i/>
          <w:sz w:val="20"/>
          <w:szCs w:val="20"/>
        </w:rPr>
        <w:t xml:space="preserve"> N Y Sci J</w:t>
      </w:r>
      <w:r w:rsidR="006D3B19" w:rsidRPr="009A1FB0">
        <w:rPr>
          <w:rFonts w:ascii="Times New Roman" w:hAnsi="Times New Roman" w:cs="Times New Roman"/>
          <w:bCs/>
          <w:sz w:val="20"/>
          <w:szCs w:val="20"/>
        </w:rPr>
        <w:t xml:space="preserve"> </w:t>
      </w:r>
      <w:r w:rsidR="006D3B19" w:rsidRPr="009A1FB0">
        <w:rPr>
          <w:rFonts w:ascii="Times New Roman" w:hAnsi="Times New Roman" w:cs="Times New Roman"/>
          <w:sz w:val="20"/>
          <w:szCs w:val="20"/>
        </w:rPr>
        <w:t>201</w:t>
      </w:r>
      <w:r w:rsidR="006D3B19" w:rsidRPr="009A1FB0">
        <w:rPr>
          <w:rFonts w:ascii="Times New Roman" w:hAnsi="Times New Roman" w:cs="Times New Roman" w:hint="eastAsia"/>
          <w:sz w:val="20"/>
          <w:szCs w:val="20"/>
        </w:rPr>
        <w:t>6</w:t>
      </w:r>
      <w:r w:rsidR="006D3B19" w:rsidRPr="009A1FB0">
        <w:rPr>
          <w:rFonts w:ascii="Times New Roman" w:hAnsi="Times New Roman" w:cs="Times New Roman"/>
          <w:sz w:val="20"/>
          <w:szCs w:val="20"/>
        </w:rPr>
        <w:t>;</w:t>
      </w:r>
      <w:r w:rsidR="006D3B19" w:rsidRPr="009A1FB0">
        <w:rPr>
          <w:rFonts w:ascii="Times New Roman" w:hAnsi="Times New Roman" w:cs="Times New Roman" w:hint="eastAsia"/>
          <w:sz w:val="20"/>
          <w:szCs w:val="20"/>
        </w:rPr>
        <w:t>9</w:t>
      </w:r>
      <w:r w:rsidR="006D3B19" w:rsidRPr="009A1FB0">
        <w:rPr>
          <w:rFonts w:ascii="Times New Roman" w:hAnsi="Times New Roman" w:cs="Times New Roman"/>
          <w:sz w:val="20"/>
          <w:szCs w:val="20"/>
        </w:rPr>
        <w:t>(</w:t>
      </w:r>
      <w:r w:rsidR="006D3B19" w:rsidRPr="009A1FB0">
        <w:rPr>
          <w:rFonts w:ascii="Times New Roman" w:hAnsi="Times New Roman" w:cs="Times New Roman" w:hint="eastAsia"/>
          <w:sz w:val="20"/>
          <w:szCs w:val="20"/>
        </w:rPr>
        <w:t>10</w:t>
      </w:r>
      <w:r w:rsidR="006D3B19" w:rsidRPr="009A1FB0">
        <w:rPr>
          <w:rFonts w:ascii="Times New Roman" w:hAnsi="Times New Roman" w:cs="Times New Roman"/>
          <w:sz w:val="20"/>
          <w:szCs w:val="20"/>
        </w:rPr>
        <w:t>):</w:t>
      </w:r>
      <w:r w:rsidR="00E910FC" w:rsidRPr="009A1FB0">
        <w:rPr>
          <w:rFonts w:ascii="Times New Roman" w:hAnsi="Times New Roman" w:cs="Times New Roman"/>
          <w:noProof/>
          <w:color w:val="000000"/>
          <w:sz w:val="20"/>
          <w:szCs w:val="20"/>
        </w:rPr>
        <w:t>37</w:t>
      </w:r>
      <w:r w:rsidR="006D3B19" w:rsidRPr="009A1FB0">
        <w:rPr>
          <w:rFonts w:ascii="Times New Roman" w:hAnsi="Times New Roman" w:cs="Times New Roman"/>
          <w:color w:val="000000"/>
          <w:sz w:val="20"/>
          <w:szCs w:val="20"/>
        </w:rPr>
        <w:t>-</w:t>
      </w:r>
      <w:r w:rsidR="00E910FC" w:rsidRPr="009A1FB0">
        <w:rPr>
          <w:rFonts w:ascii="Times New Roman" w:hAnsi="Times New Roman" w:cs="Times New Roman"/>
          <w:noProof/>
          <w:color w:val="000000"/>
          <w:sz w:val="20"/>
          <w:szCs w:val="20"/>
        </w:rPr>
        <w:t>47</w:t>
      </w:r>
      <w:r w:rsidR="006D3B19" w:rsidRPr="009A1FB0">
        <w:rPr>
          <w:rFonts w:ascii="Times New Roman" w:hAnsi="Times New Roman" w:cs="Times New Roman"/>
          <w:sz w:val="20"/>
          <w:szCs w:val="20"/>
        </w:rPr>
        <w:t xml:space="preserve">]. </w:t>
      </w:r>
      <w:r w:rsidR="006D3B19" w:rsidRPr="009A1FB0">
        <w:rPr>
          <w:rFonts w:ascii="Times New Roman" w:hAnsi="Times New Roman" w:cs="Times New Roman"/>
          <w:iCs/>
          <w:color w:val="000000"/>
          <w:sz w:val="20"/>
          <w:szCs w:val="20"/>
        </w:rPr>
        <w:t>ISSN 1554-0200 (print); ISSN 2375-723X (online)</w:t>
      </w:r>
      <w:r w:rsidR="006D3B19" w:rsidRPr="009A1FB0">
        <w:rPr>
          <w:rFonts w:ascii="Times New Roman" w:hAnsi="Times New Roman" w:cs="Times New Roman"/>
          <w:sz w:val="20"/>
          <w:szCs w:val="20"/>
        </w:rPr>
        <w:t xml:space="preserve">. </w:t>
      </w:r>
      <w:hyperlink r:id="rId11" w:history="1">
        <w:r w:rsidR="006D3B19" w:rsidRPr="009A1FB0">
          <w:rPr>
            <w:rStyle w:val="Hyperlink"/>
            <w:rFonts w:ascii="Times New Roman" w:hAnsi="Times New Roman"/>
            <w:sz w:val="20"/>
            <w:szCs w:val="20"/>
          </w:rPr>
          <w:t>http://www.sciencepub.net/newyork</w:t>
        </w:r>
      </w:hyperlink>
      <w:r w:rsidR="006D3B19" w:rsidRPr="009A1FB0">
        <w:rPr>
          <w:rFonts w:ascii="Times New Roman" w:hAnsi="Times New Roman" w:cs="Times New Roman"/>
          <w:sz w:val="20"/>
          <w:szCs w:val="20"/>
        </w:rPr>
        <w:t xml:space="preserve">. </w:t>
      </w:r>
      <w:r w:rsidR="006D3B19" w:rsidRPr="009A1FB0">
        <w:rPr>
          <w:rFonts w:ascii="Times New Roman" w:hAnsi="Times New Roman" w:cs="Times New Roman" w:hint="eastAsia"/>
          <w:sz w:val="20"/>
          <w:szCs w:val="20"/>
          <w:lang w:eastAsia="zh-CN"/>
        </w:rPr>
        <w:t>8</w:t>
      </w:r>
      <w:r w:rsidR="006D3B19" w:rsidRPr="009A1FB0">
        <w:rPr>
          <w:rFonts w:ascii="Times New Roman" w:hAnsi="Times New Roman" w:cs="Times New Roman" w:hint="eastAsia"/>
          <w:sz w:val="20"/>
          <w:szCs w:val="20"/>
        </w:rPr>
        <w:t xml:space="preserve">. </w:t>
      </w:r>
      <w:r w:rsidR="006D3B19" w:rsidRPr="009A1FB0">
        <w:rPr>
          <w:rFonts w:ascii="Times New Roman" w:hAnsi="Times New Roman" w:cs="Times New Roman"/>
          <w:color w:val="000000"/>
          <w:sz w:val="20"/>
          <w:szCs w:val="20"/>
          <w:shd w:val="clear" w:color="auto" w:fill="FFFFFF"/>
        </w:rPr>
        <w:t>doi:</w:t>
      </w:r>
      <w:hyperlink r:id="rId12" w:history="1">
        <w:r w:rsidR="006D3B19" w:rsidRPr="009A1FB0">
          <w:rPr>
            <w:rStyle w:val="Hyperlink"/>
            <w:rFonts w:ascii="Times New Roman" w:hAnsi="Times New Roman"/>
            <w:sz w:val="20"/>
            <w:szCs w:val="20"/>
            <w:shd w:val="clear" w:color="auto" w:fill="FFFFFF"/>
          </w:rPr>
          <w:t>10.7537/mars</w:t>
        </w:r>
        <w:r w:rsidR="006D3B19" w:rsidRPr="009A1FB0">
          <w:rPr>
            <w:rStyle w:val="Hyperlink"/>
            <w:rFonts w:ascii="Times New Roman" w:hAnsi="Times New Roman" w:hint="eastAsia"/>
            <w:sz w:val="20"/>
            <w:szCs w:val="20"/>
            <w:shd w:val="clear" w:color="auto" w:fill="FFFFFF"/>
          </w:rPr>
          <w:t>nys0910</w:t>
        </w:r>
        <w:r w:rsidR="006D3B19" w:rsidRPr="009A1FB0">
          <w:rPr>
            <w:rStyle w:val="Hyperlink"/>
            <w:rFonts w:ascii="Times New Roman" w:hAnsi="Times New Roman"/>
            <w:sz w:val="20"/>
            <w:szCs w:val="20"/>
            <w:shd w:val="clear" w:color="auto" w:fill="FFFFFF"/>
          </w:rPr>
          <w:t>1</w:t>
        </w:r>
        <w:r w:rsidR="006D3B19" w:rsidRPr="009A1FB0">
          <w:rPr>
            <w:rStyle w:val="Hyperlink"/>
            <w:rFonts w:ascii="Times New Roman" w:hAnsi="Times New Roman" w:hint="eastAsia"/>
            <w:sz w:val="20"/>
            <w:szCs w:val="20"/>
            <w:shd w:val="clear" w:color="auto" w:fill="FFFFFF"/>
          </w:rPr>
          <w:t>6.</w:t>
        </w:r>
        <w:r w:rsidR="006D3B19" w:rsidRPr="009A1FB0">
          <w:rPr>
            <w:rStyle w:val="Hyperlink"/>
            <w:rFonts w:ascii="Times New Roman" w:hAnsi="Times New Roman"/>
            <w:sz w:val="20"/>
            <w:szCs w:val="20"/>
            <w:shd w:val="clear" w:color="auto" w:fill="FFFFFF"/>
          </w:rPr>
          <w:t>0</w:t>
        </w:r>
        <w:r w:rsidR="006D3B19" w:rsidRPr="009A1FB0">
          <w:rPr>
            <w:rStyle w:val="Hyperlink"/>
            <w:rFonts w:ascii="Times New Roman" w:hAnsi="Times New Roman" w:hint="eastAsia"/>
            <w:sz w:val="20"/>
            <w:szCs w:val="20"/>
            <w:shd w:val="clear" w:color="auto" w:fill="FFFFFF"/>
            <w:lang w:eastAsia="zh-CN"/>
          </w:rPr>
          <w:t>8</w:t>
        </w:r>
      </w:hyperlink>
      <w:r w:rsidR="006D3B19" w:rsidRPr="009A1FB0">
        <w:rPr>
          <w:rFonts w:ascii="Times New Roman" w:hAnsi="Times New Roman" w:cs="Times New Roman"/>
          <w:color w:val="000000"/>
          <w:sz w:val="20"/>
          <w:szCs w:val="20"/>
          <w:shd w:val="clear" w:color="auto" w:fill="FFFFFF"/>
        </w:rPr>
        <w:t>.</w:t>
      </w:r>
    </w:p>
    <w:p w:rsidR="00B740DB" w:rsidRPr="009A1FB0" w:rsidRDefault="00B740DB" w:rsidP="006D3B19">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937B18" w:rsidRPr="009A1FB0" w:rsidRDefault="00937B18" w:rsidP="006D3B19">
      <w:pPr>
        <w:bidi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b/>
          <w:bCs/>
          <w:sz w:val="20"/>
          <w:szCs w:val="20"/>
        </w:rPr>
        <w:t>Key words:</w:t>
      </w:r>
      <w:r w:rsidRPr="009A1FB0">
        <w:rPr>
          <w:rFonts w:ascii="Times New Roman" w:hAnsi="Times New Roman" w:cs="Times New Roman"/>
          <w:sz w:val="20"/>
          <w:szCs w:val="20"/>
        </w:rPr>
        <w:t xml:space="preserve"> compensated liver cirrhosis, esophageal varices, serum soluble (s) CD 163.</w:t>
      </w:r>
    </w:p>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sz w:val="20"/>
          <w:szCs w:val="20"/>
        </w:rPr>
        <w:sectPr w:rsidR="006D3B19" w:rsidRPr="009A1FB0" w:rsidSect="00E910FC">
          <w:headerReference w:type="default" r:id="rId13"/>
          <w:footerReference w:type="default" r:id="rId14"/>
          <w:type w:val="continuous"/>
          <w:pgSz w:w="12242" w:h="15842" w:code="1"/>
          <w:pgMar w:top="1440" w:right="1440" w:bottom="1440" w:left="1440" w:header="720" w:footer="720" w:gutter="0"/>
          <w:pgNumType w:start="37"/>
          <w:cols w:space="708"/>
          <w:bidi/>
          <w:docGrid w:linePitch="360"/>
        </w:sectPr>
      </w:pPr>
    </w:p>
    <w:p w:rsidR="00937B18" w:rsidRPr="009A1FB0" w:rsidRDefault="00AF4CF1" w:rsidP="006D3B19">
      <w:pPr>
        <w:autoSpaceDE w:val="0"/>
        <w:autoSpaceDN w:val="0"/>
        <w:bidi w:val="0"/>
        <w:adjustRightInd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b/>
          <w:bCs/>
          <w:sz w:val="20"/>
          <w:szCs w:val="20"/>
        </w:rPr>
        <w:lastRenderedPageBreak/>
        <w:t xml:space="preserve">1. </w:t>
      </w:r>
      <w:r w:rsidR="00937B18" w:rsidRPr="009A1FB0">
        <w:rPr>
          <w:rFonts w:ascii="Times New Roman" w:hAnsi="Times New Roman" w:cs="Times New Roman"/>
          <w:b/>
          <w:bCs/>
          <w:sz w:val="20"/>
          <w:szCs w:val="20"/>
        </w:rPr>
        <w:t>Introduction</w:t>
      </w:r>
    </w:p>
    <w:p w:rsidR="00937B18" w:rsidRPr="009A1FB0" w:rsidRDefault="00AF4CF1" w:rsidP="006D3B19">
      <w:pPr>
        <w:autoSpaceDE w:val="0"/>
        <w:autoSpaceDN w:val="0"/>
        <w:bidi w:val="0"/>
        <w:adjustRightInd w:val="0"/>
        <w:snapToGrid w:val="0"/>
        <w:spacing w:after="0" w:line="240" w:lineRule="auto"/>
        <w:ind w:firstLine="425"/>
        <w:jc w:val="both"/>
        <w:rPr>
          <w:rFonts w:ascii="Times New Roman" w:hAnsi="Times New Roman" w:cs="Times New Roman"/>
          <w:color w:val="131413"/>
          <w:sz w:val="20"/>
          <w:szCs w:val="20"/>
        </w:rPr>
      </w:pPr>
      <w:r w:rsidRPr="009A1FB0">
        <w:rPr>
          <w:rStyle w:val="Emphasis"/>
          <w:rFonts w:ascii="Times New Roman" w:hAnsi="Times New Roman"/>
          <w:i w:val="0"/>
          <w:iCs w:val="0"/>
          <w:sz w:val="20"/>
          <w:szCs w:val="20"/>
          <w:lang w:bidi="ar-EG"/>
        </w:rPr>
        <w:t>Complications</w:t>
      </w:r>
      <w:r w:rsidR="00937B18" w:rsidRPr="009A1FB0">
        <w:rPr>
          <w:rStyle w:val="Emphasis"/>
          <w:rFonts w:ascii="Times New Roman" w:hAnsi="Times New Roman"/>
          <w:i w:val="0"/>
          <w:iCs w:val="0"/>
          <w:sz w:val="20"/>
          <w:szCs w:val="20"/>
          <w:lang w:bidi="ar-EG"/>
        </w:rPr>
        <w:t xml:space="preserve"> of liver cirrhosis, is associated with development of a hyperdynamic circulation and complications such as </w:t>
      </w:r>
      <w:r w:rsidR="005B6923" w:rsidRPr="009A1FB0">
        <w:rPr>
          <w:rStyle w:val="Emphasis"/>
          <w:rFonts w:ascii="Times New Roman" w:hAnsi="Times New Roman"/>
          <w:i w:val="0"/>
          <w:iCs w:val="0"/>
          <w:sz w:val="20"/>
          <w:szCs w:val="20"/>
          <w:lang w:bidi="ar-EG"/>
        </w:rPr>
        <w:t xml:space="preserve">Portal hypertension, which is considered as one of the most important </w:t>
      </w:r>
      <w:r w:rsidR="00937B18" w:rsidRPr="009A1FB0">
        <w:rPr>
          <w:rStyle w:val="Emphasis"/>
          <w:rFonts w:ascii="Times New Roman" w:hAnsi="Times New Roman"/>
          <w:i w:val="0"/>
          <w:iCs w:val="0"/>
          <w:sz w:val="20"/>
          <w:szCs w:val="20"/>
          <w:lang w:bidi="ar-EG"/>
        </w:rPr>
        <w:t xml:space="preserve">ascites, hepatic encephalopathy and esophageal varices </w:t>
      </w:r>
      <w:r w:rsidR="00937B18" w:rsidRPr="009A1FB0">
        <w:rPr>
          <w:rStyle w:val="Emphasis"/>
          <w:rFonts w:ascii="Times New Roman" w:hAnsi="Times New Roman"/>
          <w:b/>
          <w:bCs/>
          <w:i w:val="0"/>
          <w:iCs w:val="0"/>
          <w:sz w:val="20"/>
          <w:szCs w:val="20"/>
          <w:lang w:bidi="ar-EG"/>
        </w:rPr>
        <w:t>[1]</w:t>
      </w:r>
      <w:r w:rsidR="003F277C" w:rsidRPr="009A1FB0">
        <w:rPr>
          <w:rStyle w:val="Emphasis"/>
          <w:rFonts w:ascii="Times New Roman" w:hAnsi="Times New Roman"/>
          <w:b/>
          <w:bCs/>
          <w:i w:val="0"/>
          <w:iCs w:val="0"/>
          <w:sz w:val="20"/>
          <w:szCs w:val="20"/>
          <w:lang w:bidi="ar-EG"/>
        </w:rPr>
        <w:t xml:space="preserve">. </w:t>
      </w:r>
      <w:r w:rsidR="003F277C" w:rsidRPr="009A1FB0">
        <w:rPr>
          <w:rFonts w:ascii="Times New Roman" w:hAnsi="Times New Roman" w:cs="Times New Roman"/>
          <w:sz w:val="20"/>
          <w:szCs w:val="20"/>
        </w:rPr>
        <w:t>E</w:t>
      </w:r>
      <w:r w:rsidR="00937B18" w:rsidRPr="009A1FB0">
        <w:rPr>
          <w:rFonts w:ascii="Times New Roman" w:hAnsi="Times New Roman" w:cs="Times New Roman"/>
          <w:sz w:val="20"/>
          <w:szCs w:val="20"/>
        </w:rPr>
        <w:t xml:space="preserve">stimated prevalence of esophageal varices is approximately 50% of liver cirrhosis. The risk of bleeding from varices is 25%-35% with majority of the initial bleeding occurring within 1 year from variceal detection </w:t>
      </w:r>
      <w:r w:rsidR="00937B18" w:rsidRPr="009A1FB0">
        <w:rPr>
          <w:rFonts w:ascii="Times New Roman" w:hAnsi="Times New Roman" w:cs="Times New Roman"/>
          <w:b/>
          <w:bCs/>
          <w:sz w:val="20"/>
          <w:szCs w:val="20"/>
        </w:rPr>
        <w:t>[2].</w:t>
      </w:r>
      <w:r w:rsidR="00937B18" w:rsidRPr="009A1FB0">
        <w:rPr>
          <w:rFonts w:ascii="Times New Roman" w:hAnsi="Times New Roman" w:cs="Times New Roman"/>
          <w:sz w:val="20"/>
          <w:szCs w:val="20"/>
        </w:rPr>
        <w:t xml:space="preserve"> The prevalence of esophageal varices among cirrhotic patients is variable, ranging from 24% to 80% </w:t>
      </w:r>
      <w:r w:rsidR="00937B18" w:rsidRPr="009A1FB0">
        <w:rPr>
          <w:rFonts w:ascii="Times New Roman" w:hAnsi="Times New Roman" w:cs="Times New Roman"/>
          <w:b/>
          <w:bCs/>
          <w:sz w:val="20"/>
          <w:szCs w:val="20"/>
        </w:rPr>
        <w:t>[3].</w:t>
      </w:r>
      <w:r w:rsidR="00937B18" w:rsidRPr="009A1FB0">
        <w:rPr>
          <w:rFonts w:ascii="Times New Roman" w:hAnsi="Times New Roman" w:cs="Times New Roman"/>
          <w:sz w:val="20"/>
          <w:szCs w:val="20"/>
        </w:rPr>
        <w:t xml:space="preserve"> Esophagogastroduodenoscopy (EGD) remains the gold standard for diagnosis and grading of EV and for the evaluation of the risk of bleeding but it has a series of disadvantages that </w:t>
      </w:r>
      <w:r w:rsidR="00937B18" w:rsidRPr="009A1FB0">
        <w:rPr>
          <w:rFonts w:ascii="Times New Roman" w:hAnsi="Times New Roman" w:cs="Times New Roman"/>
          <w:sz w:val="20"/>
          <w:szCs w:val="20"/>
        </w:rPr>
        <w:lastRenderedPageBreak/>
        <w:t xml:space="preserve">makes long-term surveillance problematic: it is unpleasant for the patient and requires both complex logistics and qualified medical staff. Therefore, there is a strong need for another, less invasive set of investigations that have the ability to select patients with a higher risk of bleeding who will benefit from a therapeutic EGD, from those with low risk, who will not benefit at all </w:t>
      </w:r>
      <w:r w:rsidR="00937B18" w:rsidRPr="009A1FB0">
        <w:rPr>
          <w:rFonts w:ascii="Times New Roman" w:hAnsi="Times New Roman" w:cs="Times New Roman"/>
          <w:b/>
          <w:bCs/>
          <w:sz w:val="20"/>
          <w:szCs w:val="20"/>
        </w:rPr>
        <w:t>[4].</w:t>
      </w:r>
      <w:r w:rsidR="00937B18" w:rsidRPr="009A1FB0">
        <w:rPr>
          <w:rFonts w:ascii="Times New Roman" w:hAnsi="Times New Roman" w:cs="Times New Roman"/>
          <w:sz w:val="20"/>
          <w:szCs w:val="20"/>
        </w:rPr>
        <w:t xml:space="preserve"> Several studies have evaluated the noninvasive markers of esophageal varices in patients with cirrhosis, such as the platelet count, FibroTest, spleen size, portal vein diameter, transient elastography of the liver, and more recently, transient elastography of the spleen </w:t>
      </w:r>
      <w:r w:rsidR="00937B18" w:rsidRPr="009A1FB0">
        <w:rPr>
          <w:rFonts w:ascii="Times New Roman" w:hAnsi="Times New Roman" w:cs="Times New Roman"/>
          <w:b/>
          <w:bCs/>
          <w:sz w:val="20"/>
          <w:szCs w:val="20"/>
        </w:rPr>
        <w:t>[5].</w:t>
      </w:r>
      <w:r w:rsidR="003F277C" w:rsidRPr="009A1FB0">
        <w:rPr>
          <w:rFonts w:ascii="Times New Roman" w:hAnsi="Times New Roman" w:cs="Times New Roman"/>
          <w:sz w:val="20"/>
          <w:szCs w:val="20"/>
        </w:rPr>
        <w:t xml:space="preserve"> </w:t>
      </w:r>
      <w:r w:rsidR="00937B18" w:rsidRPr="009A1FB0">
        <w:rPr>
          <w:rFonts w:ascii="Times New Roman" w:hAnsi="Times New Roman" w:cs="Times New Roman"/>
          <w:sz w:val="20"/>
          <w:szCs w:val="20"/>
        </w:rPr>
        <w:t xml:space="preserve">Circulating soluble CD163, originating from activated Kupffer cells is increased in cirrhosis with increasing hepatic venous pressure gradient (HVPG), and it is an independent </w:t>
      </w:r>
      <w:r w:rsidR="00937B18" w:rsidRPr="009A1FB0">
        <w:rPr>
          <w:rFonts w:ascii="Times New Roman" w:hAnsi="Times New Roman" w:cs="Times New Roman"/>
          <w:sz w:val="20"/>
          <w:szCs w:val="20"/>
        </w:rPr>
        <w:lastRenderedPageBreak/>
        <w:t xml:space="preserve">predictor for HVPG. These findings support a primary role of macrophage activation in portal hypertension, and may indicate a target for biological intervention </w:t>
      </w:r>
      <w:r w:rsidR="00937B18" w:rsidRPr="009A1FB0">
        <w:rPr>
          <w:rFonts w:ascii="Times New Roman" w:hAnsi="Times New Roman" w:cs="Times New Roman"/>
          <w:b/>
          <w:bCs/>
          <w:sz w:val="20"/>
          <w:szCs w:val="20"/>
        </w:rPr>
        <w:t>[6].</w:t>
      </w:r>
      <w:r w:rsidR="00937B18" w:rsidRPr="009A1FB0">
        <w:rPr>
          <w:rFonts w:ascii="Times New Roman" w:hAnsi="Times New Roman" w:cs="Times New Roman"/>
          <w:sz w:val="20"/>
          <w:szCs w:val="20"/>
        </w:rPr>
        <w:t xml:space="preserve"> Also, </w:t>
      </w:r>
      <w:r w:rsidR="00937B18" w:rsidRPr="009A1FB0">
        <w:rPr>
          <w:rFonts w:ascii="Times New Roman" w:hAnsi="Times New Roman" w:cs="Times New Roman"/>
          <w:color w:val="000000"/>
          <w:sz w:val="20"/>
          <w:szCs w:val="20"/>
        </w:rPr>
        <w:t>Kupffer cells </w:t>
      </w:r>
      <w:r w:rsidR="00937B18" w:rsidRPr="009A1FB0">
        <w:rPr>
          <w:rFonts w:ascii="Times New Roman" w:hAnsi="Times New Roman" w:cs="Times New Roman"/>
          <w:color w:val="000000"/>
          <w:sz w:val="20"/>
          <w:szCs w:val="20"/>
          <w:shd w:val="clear" w:color="auto" w:fill="FFFFFF"/>
        </w:rPr>
        <w:t>were</w:t>
      </w:r>
      <w:r w:rsidR="00937B18" w:rsidRPr="009A1FB0">
        <w:rPr>
          <w:rFonts w:ascii="Times New Roman" w:hAnsi="Times New Roman" w:cs="Times New Roman"/>
          <w:color w:val="000000"/>
          <w:sz w:val="20"/>
          <w:szCs w:val="20"/>
        </w:rPr>
        <w:t> activated </w:t>
      </w:r>
      <w:r w:rsidR="00937B18" w:rsidRPr="009A1FB0">
        <w:rPr>
          <w:rFonts w:ascii="Times New Roman" w:hAnsi="Times New Roman" w:cs="Times New Roman"/>
          <w:color w:val="000000"/>
          <w:sz w:val="20"/>
          <w:szCs w:val="20"/>
          <w:shd w:val="clear" w:color="auto" w:fill="FFFFFF"/>
        </w:rPr>
        <w:t>in patients with liver cirrhosis in parallel with their</w:t>
      </w:r>
      <w:r w:rsidR="00937B18" w:rsidRPr="009A1FB0">
        <w:rPr>
          <w:rFonts w:ascii="Times New Roman" w:hAnsi="Times New Roman" w:cs="Times New Roman"/>
          <w:color w:val="000000"/>
          <w:sz w:val="20"/>
          <w:szCs w:val="20"/>
        </w:rPr>
        <w:t> portal hypertension</w:t>
      </w:r>
      <w:r w:rsidR="00937B18" w:rsidRPr="009A1FB0">
        <w:rPr>
          <w:rFonts w:ascii="Times New Roman" w:hAnsi="Times New Roman" w:cs="Times New Roman"/>
          <w:color w:val="000000"/>
          <w:sz w:val="20"/>
          <w:szCs w:val="20"/>
          <w:shd w:val="clear" w:color="auto" w:fill="FFFFFF"/>
        </w:rPr>
        <w:t xml:space="preserve"> and suggest that</w:t>
      </w:r>
      <w:r w:rsidR="00937B18" w:rsidRPr="009A1FB0">
        <w:rPr>
          <w:rFonts w:ascii="Times New Roman" w:hAnsi="Times New Roman" w:cs="Times New Roman"/>
          <w:color w:val="000000"/>
          <w:sz w:val="20"/>
          <w:szCs w:val="20"/>
        </w:rPr>
        <w:t> Kupffer </w:t>
      </w:r>
      <w:r w:rsidR="00937B18" w:rsidRPr="009A1FB0">
        <w:rPr>
          <w:rFonts w:ascii="Times New Roman" w:hAnsi="Times New Roman" w:cs="Times New Roman"/>
          <w:color w:val="000000"/>
          <w:sz w:val="20"/>
          <w:szCs w:val="20"/>
          <w:shd w:val="clear" w:color="auto" w:fill="FFFFFF"/>
        </w:rPr>
        <w:t>cell activation is a constitutive event that may play a pathogenic role for</w:t>
      </w:r>
      <w:r w:rsidR="00DA4A9E" w:rsidRPr="009A1FB0">
        <w:rPr>
          <w:rFonts w:ascii="Times New Roman" w:hAnsi="Times New Roman" w:cs="Times New Roman"/>
          <w:color w:val="000000"/>
          <w:sz w:val="20"/>
          <w:szCs w:val="20"/>
        </w:rPr>
        <w:t xml:space="preserve"> </w:t>
      </w:r>
      <w:r w:rsidR="00937B18" w:rsidRPr="009A1FB0">
        <w:rPr>
          <w:rFonts w:ascii="Times New Roman" w:hAnsi="Times New Roman" w:cs="Times New Roman"/>
          <w:color w:val="000000"/>
          <w:sz w:val="20"/>
          <w:szCs w:val="20"/>
        </w:rPr>
        <w:t>portal hypertension</w:t>
      </w:r>
      <w:r w:rsidR="00937B18" w:rsidRPr="009A1FB0">
        <w:rPr>
          <w:rFonts w:ascii="Times New Roman" w:hAnsi="Times New Roman" w:cs="Times New Roman"/>
          <w:b/>
          <w:bCs/>
          <w:color w:val="000000"/>
          <w:sz w:val="20"/>
          <w:szCs w:val="20"/>
          <w:shd w:val="clear" w:color="auto" w:fill="FFFFFF"/>
        </w:rPr>
        <w:t>[7]</w:t>
      </w:r>
      <w:r w:rsidR="003F277C" w:rsidRPr="009A1FB0">
        <w:rPr>
          <w:rFonts w:ascii="Times New Roman" w:hAnsi="Times New Roman" w:cs="Times New Roman"/>
          <w:b/>
          <w:bCs/>
          <w:color w:val="000000"/>
          <w:sz w:val="20"/>
          <w:szCs w:val="20"/>
          <w:shd w:val="clear" w:color="auto" w:fill="FFFFFF"/>
        </w:rPr>
        <w:t xml:space="preserve">. </w:t>
      </w:r>
      <w:r w:rsidR="003F277C" w:rsidRPr="009A1FB0">
        <w:rPr>
          <w:rFonts w:ascii="Times New Roman" w:hAnsi="Times New Roman" w:cs="Times New Roman"/>
          <w:sz w:val="20"/>
          <w:szCs w:val="20"/>
        </w:rPr>
        <w:t>Y</w:t>
      </w:r>
      <w:r w:rsidR="00937B18" w:rsidRPr="009A1FB0">
        <w:rPr>
          <w:rFonts w:ascii="Times New Roman" w:hAnsi="Times New Roman" w:cs="Times New Roman"/>
          <w:sz w:val="20"/>
          <w:szCs w:val="20"/>
        </w:rPr>
        <w:t xml:space="preserve">ang and his colleagues identify a high Serum CD163 level as a new independent predictor of the presence of esophageal varices </w:t>
      </w:r>
      <w:r w:rsidR="00937B18" w:rsidRPr="009A1FB0">
        <w:rPr>
          <w:rFonts w:ascii="Times New Roman" w:hAnsi="Times New Roman" w:cs="Times New Roman"/>
          <w:b/>
          <w:bCs/>
          <w:sz w:val="20"/>
          <w:szCs w:val="20"/>
        </w:rPr>
        <w:t>[8],</w:t>
      </w:r>
      <w:r w:rsidR="00937B18" w:rsidRPr="009A1FB0">
        <w:rPr>
          <w:rFonts w:ascii="Times New Roman" w:hAnsi="Times New Roman" w:cs="Times New Roman"/>
          <w:sz w:val="20"/>
          <w:szCs w:val="20"/>
        </w:rPr>
        <w:t xml:space="preserve"> and another</w:t>
      </w:r>
      <w:r w:rsidR="00937B18" w:rsidRPr="009A1FB0">
        <w:rPr>
          <w:rFonts w:ascii="Times New Roman" w:hAnsi="Times New Roman" w:cs="Times New Roman"/>
          <w:color w:val="131413"/>
          <w:sz w:val="20"/>
          <w:szCs w:val="20"/>
        </w:rPr>
        <w:t xml:space="preserve"> study demonstrated that sCD163 is an independent predictor of variceal bleed and death in cirrhotic patients </w:t>
      </w:r>
      <w:r w:rsidR="00937B18" w:rsidRPr="009A1FB0">
        <w:rPr>
          <w:rFonts w:ascii="Times New Roman" w:hAnsi="Times New Roman" w:cs="Times New Roman"/>
          <w:b/>
          <w:bCs/>
          <w:sz w:val="20"/>
          <w:szCs w:val="20"/>
        </w:rPr>
        <w:t>[9].</w:t>
      </w:r>
    </w:p>
    <w:p w:rsidR="00937B18" w:rsidRPr="009A1FB0" w:rsidRDefault="00937B18" w:rsidP="006D3B19">
      <w:pPr>
        <w:bidi w:val="0"/>
        <w:snapToGrid w:val="0"/>
        <w:spacing w:after="0" w:line="240" w:lineRule="auto"/>
        <w:jc w:val="both"/>
        <w:rPr>
          <w:rFonts w:ascii="Times New Roman" w:hAnsi="Times New Roman" w:cs="Times New Roman"/>
          <w:i/>
          <w:iCs/>
          <w:sz w:val="20"/>
          <w:szCs w:val="20"/>
        </w:rPr>
      </w:pPr>
    </w:p>
    <w:p w:rsidR="00937B18" w:rsidRPr="009A1FB0" w:rsidRDefault="00AF4CF1" w:rsidP="006D3B19">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9A1FB0">
        <w:rPr>
          <w:rFonts w:ascii="Times New Roman" w:hAnsi="Times New Roman" w:cs="Times New Roman"/>
          <w:b/>
          <w:bCs/>
          <w:sz w:val="20"/>
          <w:szCs w:val="20"/>
          <w:lang w:bidi="ar-EG"/>
        </w:rPr>
        <w:t xml:space="preserve">2. </w:t>
      </w:r>
      <w:r w:rsidR="00937B18" w:rsidRPr="009A1FB0">
        <w:rPr>
          <w:rFonts w:ascii="Times New Roman" w:hAnsi="Times New Roman" w:cs="Times New Roman"/>
          <w:b/>
          <w:bCs/>
          <w:sz w:val="20"/>
          <w:szCs w:val="20"/>
          <w:lang w:bidi="ar-EG"/>
        </w:rPr>
        <w:t>Patients and Methods:</w:t>
      </w:r>
    </w:p>
    <w:p w:rsidR="00AF4CF1" w:rsidRPr="009A1FB0" w:rsidRDefault="00937B18"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rPr>
        <w:t>After an Informed written consent and approval of Benha faculty of medicine ethical committee of research, 70 compensated cirrhotic Child A post hepatitis C patients and 16 age and sex-matched unrelated healthy subjects as normal control group were randomly selected from Hepatology Department and outpatient clinic at kafrElsheikh liver research</w:t>
      </w:r>
      <w:r w:rsidR="00D716CE" w:rsidRPr="009A1FB0">
        <w:rPr>
          <w:rFonts w:ascii="Times New Roman" w:hAnsi="Times New Roman" w:cs="Times New Roman"/>
          <w:sz w:val="20"/>
          <w:szCs w:val="20"/>
        </w:rPr>
        <w:t xml:space="preserve"> center</w:t>
      </w:r>
      <w:r w:rsidRPr="009A1FB0">
        <w:rPr>
          <w:rFonts w:ascii="Times New Roman" w:hAnsi="Times New Roman" w:cs="Times New Roman"/>
          <w:sz w:val="20"/>
          <w:szCs w:val="20"/>
        </w:rPr>
        <w:t xml:space="preserve"> at the period from June 2014 to June 2015. Cirrhosis based on </w:t>
      </w:r>
      <w:r w:rsidRPr="009A1FB0">
        <w:rPr>
          <w:rFonts w:ascii="Times New Roman" w:hAnsi="Times New Roman" w:cs="Times New Roman"/>
          <w:color w:val="131413"/>
          <w:sz w:val="20"/>
          <w:szCs w:val="20"/>
        </w:rPr>
        <w:t>Transient elastography (</w:t>
      </w:r>
      <w:r w:rsidRPr="009A1FB0">
        <w:rPr>
          <w:rFonts w:ascii="Times New Roman" w:hAnsi="Times New Roman" w:cs="Times New Roman"/>
          <w:sz w:val="20"/>
          <w:szCs w:val="20"/>
        </w:rPr>
        <w:t>Fibroscan) above 13 kpa (F4) ± liver biopsy when available.</w:t>
      </w:r>
    </w:p>
    <w:p w:rsidR="00AF4CF1"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131413"/>
          <w:sz w:val="20"/>
          <w:szCs w:val="20"/>
        </w:rPr>
      </w:pPr>
      <w:r w:rsidRPr="009A1FB0">
        <w:rPr>
          <w:rFonts w:ascii="Times New Roman" w:hAnsi="Times New Roman" w:cs="Times New Roman"/>
          <w:b/>
          <w:bCs/>
          <w:color w:val="131413"/>
          <w:sz w:val="20"/>
          <w:szCs w:val="20"/>
        </w:rPr>
        <w:t>Inclusion criteria:</w:t>
      </w:r>
    </w:p>
    <w:p w:rsidR="00937B18" w:rsidRPr="009A1FB0" w:rsidRDefault="00937B18" w:rsidP="006D3B19">
      <w:pPr>
        <w:autoSpaceDE w:val="0"/>
        <w:autoSpaceDN w:val="0"/>
        <w:bidi w:val="0"/>
        <w:adjustRightInd w:val="0"/>
        <w:snapToGrid w:val="0"/>
        <w:spacing w:after="0" w:line="240" w:lineRule="auto"/>
        <w:ind w:firstLine="425"/>
        <w:jc w:val="both"/>
        <w:rPr>
          <w:rFonts w:ascii="Times New Roman" w:hAnsi="Times New Roman" w:cs="Times New Roman"/>
          <w:color w:val="131413"/>
          <w:sz w:val="20"/>
          <w:szCs w:val="20"/>
        </w:rPr>
      </w:pPr>
      <w:r w:rsidRPr="009A1FB0">
        <w:rPr>
          <w:rFonts w:ascii="Times New Roman" w:hAnsi="Times New Roman" w:cs="Times New Roman"/>
          <w:color w:val="131413"/>
          <w:sz w:val="20"/>
          <w:szCs w:val="20"/>
        </w:rPr>
        <w:t xml:space="preserve">Patients older than 18 years of age chronically infected with HCV [HCV-RNA detectable by polymerase chain reaction (PCR) in blood </w:t>
      </w:r>
      <w:r w:rsidRPr="009A1FB0">
        <w:rPr>
          <w:rFonts w:ascii="Times New Roman" w:eastAsia="AdvTT3713a231+22" w:hAnsi="Times New Roman" w:cs="Times New Roman"/>
          <w:color w:val="131413"/>
          <w:sz w:val="20"/>
          <w:szCs w:val="20"/>
        </w:rPr>
        <w:t>≥</w:t>
      </w:r>
      <w:r w:rsidRPr="009A1FB0">
        <w:rPr>
          <w:rFonts w:ascii="Times New Roman" w:hAnsi="Times New Roman" w:cs="Times New Roman"/>
          <w:color w:val="131413"/>
          <w:sz w:val="20"/>
          <w:szCs w:val="20"/>
        </w:rPr>
        <w:t xml:space="preserve">6 months] and cirrhosis (liver stiffness measurement </w:t>
      </w:r>
      <w:r w:rsidRPr="009A1FB0">
        <w:rPr>
          <w:rFonts w:ascii="Times New Roman" w:eastAsia="AdvTT3713a231+22" w:hAnsi="Times New Roman" w:cs="Times New Roman"/>
          <w:color w:val="131413"/>
          <w:sz w:val="20"/>
          <w:szCs w:val="20"/>
        </w:rPr>
        <w:t>≥</w:t>
      </w:r>
      <w:r w:rsidRPr="009A1FB0">
        <w:rPr>
          <w:rFonts w:ascii="Times New Roman" w:hAnsi="Times New Roman" w:cs="Times New Roman"/>
          <w:color w:val="131413"/>
          <w:sz w:val="20"/>
          <w:szCs w:val="20"/>
        </w:rPr>
        <w:t>13</w:t>
      </w:r>
      <w:r w:rsidR="00894510" w:rsidRPr="009A1FB0">
        <w:rPr>
          <w:rFonts w:ascii="Times New Roman" w:hAnsi="Times New Roman" w:cs="Times New Roman"/>
          <w:color w:val="131413"/>
          <w:sz w:val="20"/>
          <w:szCs w:val="20"/>
        </w:rPr>
        <w:t>KP</w:t>
      </w:r>
      <w:r w:rsidRPr="009A1FB0">
        <w:rPr>
          <w:rFonts w:ascii="Times New Roman" w:hAnsi="Times New Roman" w:cs="Times New Roman"/>
          <w:color w:val="131413"/>
          <w:sz w:val="20"/>
          <w:szCs w:val="20"/>
        </w:rPr>
        <w:t xml:space="preserve">a) </w:t>
      </w:r>
      <w:r w:rsidRPr="009A1FB0">
        <w:rPr>
          <w:rFonts w:ascii="Times New Roman" w:hAnsi="Times New Roman" w:cs="Times New Roman"/>
          <w:sz w:val="20"/>
          <w:szCs w:val="20"/>
        </w:rPr>
        <w:t>that enrolled in the National Committee for Control of Viral Hepatitis (NCCVH) for preparation of antiviral therapy</w:t>
      </w:r>
      <w:r w:rsidRPr="009A1FB0">
        <w:rPr>
          <w:rFonts w:ascii="Times New Roman" w:hAnsi="Times New Roman" w:cs="Times New Roman"/>
          <w:color w:val="131413"/>
          <w:sz w:val="20"/>
          <w:szCs w:val="20"/>
        </w:rPr>
        <w:t>. Only compensated cirrhotic Child –Pugh A patients were included.</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131413"/>
          <w:sz w:val="20"/>
          <w:szCs w:val="20"/>
        </w:rPr>
      </w:pPr>
      <w:r w:rsidRPr="009A1FB0">
        <w:rPr>
          <w:rFonts w:ascii="Times New Roman" w:hAnsi="Times New Roman" w:cs="Times New Roman"/>
          <w:b/>
          <w:bCs/>
          <w:color w:val="131413"/>
          <w:sz w:val="20"/>
          <w:szCs w:val="20"/>
        </w:rPr>
        <w:t>Exclusion criteria:</w:t>
      </w:r>
    </w:p>
    <w:p w:rsidR="00937B18" w:rsidRPr="009A1FB0" w:rsidRDefault="00937B18" w:rsidP="006D3B19">
      <w:pPr>
        <w:autoSpaceDE w:val="0"/>
        <w:autoSpaceDN w:val="0"/>
        <w:bidi w:val="0"/>
        <w:adjustRightInd w:val="0"/>
        <w:snapToGrid w:val="0"/>
        <w:spacing w:after="0" w:line="240" w:lineRule="auto"/>
        <w:ind w:firstLine="425"/>
        <w:jc w:val="both"/>
        <w:rPr>
          <w:rFonts w:ascii="Times New Roman" w:hAnsi="Times New Roman" w:cs="Times New Roman"/>
          <w:color w:val="131413"/>
          <w:sz w:val="20"/>
          <w:szCs w:val="20"/>
        </w:rPr>
      </w:pPr>
      <w:r w:rsidRPr="009A1FB0">
        <w:rPr>
          <w:rFonts w:ascii="Times New Roman" w:hAnsi="Times New Roman" w:cs="Times New Roman"/>
          <w:sz w:val="20"/>
          <w:szCs w:val="20"/>
        </w:rPr>
        <w:t>Patients with advanced cirrhosis (Child-Pugh classes B and C), other causes of liver disease, hepatocellular carcinoma, portal</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 xml:space="preserve">vein thrombosis, previous or current treatment beta-blockers, diuretics, or other vasoactive drugs, parenteral drug addiction or alcohol abuse in the last year. Because of soluble CD163 is increased with activation of macrophages, which is a characteristic of tissues responding to inflammation and infectious diseases </w:t>
      </w:r>
      <w:r w:rsidRPr="009A1FB0">
        <w:rPr>
          <w:rFonts w:ascii="Times New Roman" w:hAnsi="Times New Roman" w:cs="Times New Roman"/>
          <w:b/>
          <w:bCs/>
          <w:sz w:val="20"/>
          <w:szCs w:val="20"/>
        </w:rPr>
        <w:t>[10].</w:t>
      </w:r>
      <w:r w:rsidRPr="009A1FB0">
        <w:rPr>
          <w:rFonts w:ascii="Times New Roman" w:hAnsi="Times New Roman" w:cs="Times New Roman"/>
          <w:sz w:val="20"/>
          <w:szCs w:val="20"/>
        </w:rPr>
        <w:t xml:space="preserve"> All patients with current infectious and/or chronic diseases (renal, respiratory, rheumatic diseases) were also excluded</w:t>
      </w:r>
      <w:r w:rsidR="003F277C" w:rsidRPr="009A1FB0">
        <w:rPr>
          <w:rFonts w:ascii="Times New Roman" w:hAnsi="Times New Roman" w:cs="Times New Roman"/>
          <w:sz w:val="20"/>
          <w:szCs w:val="20"/>
        </w:rPr>
        <w:t>. A</w:t>
      </w:r>
      <w:r w:rsidRPr="009A1FB0">
        <w:rPr>
          <w:rFonts w:ascii="Times New Roman" w:hAnsi="Times New Roman" w:cs="Times New Roman"/>
          <w:sz w:val="20"/>
          <w:szCs w:val="20"/>
        </w:rPr>
        <w:t>ll cases were assessed by history taking, through clinical examination and laboratory investigations. After an overnight fast all patients underwent an ultrasound</w:t>
      </w:r>
      <w:r w:rsidR="003F277C" w:rsidRPr="009A1FB0">
        <w:rPr>
          <w:rFonts w:ascii="Times New Roman" w:hAnsi="Times New Roman" w:cs="Times New Roman"/>
          <w:sz w:val="20"/>
          <w:szCs w:val="20"/>
        </w:rPr>
        <w:t xml:space="preserve"> </w:t>
      </w:r>
      <w:r w:rsidRPr="009A1FB0">
        <w:rPr>
          <w:rFonts w:ascii="Times New Roman" w:hAnsi="Times New Roman" w:cs="Times New Roman"/>
          <w:color w:val="231F20"/>
          <w:sz w:val="20"/>
          <w:szCs w:val="20"/>
        </w:rPr>
        <w:t>examination</w:t>
      </w:r>
      <w:r w:rsidR="00DA4A9E" w:rsidRPr="009A1FB0">
        <w:rPr>
          <w:rFonts w:ascii="Times New Roman" w:hAnsi="Times New Roman" w:cs="Times New Roman"/>
          <w:color w:val="231F20"/>
          <w:sz w:val="20"/>
          <w:szCs w:val="20"/>
        </w:rPr>
        <w:t xml:space="preserve"> </w:t>
      </w:r>
      <w:r w:rsidRPr="009A1FB0">
        <w:rPr>
          <w:rFonts w:ascii="Times New Roman" w:hAnsi="Times New Roman" w:cs="Times New Roman"/>
          <w:color w:val="231F20"/>
          <w:sz w:val="20"/>
          <w:szCs w:val="20"/>
        </w:rPr>
        <w:t xml:space="preserve">with </w:t>
      </w:r>
      <w:r w:rsidRPr="009A1FB0">
        <w:rPr>
          <w:rFonts w:ascii="Times New Roman" w:hAnsi="Times New Roman" w:cs="Times New Roman"/>
          <w:sz w:val="20"/>
          <w:szCs w:val="20"/>
        </w:rPr>
        <w:t>single viewer operator</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in supine</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 xml:space="preserve">position using device Toshiba, Aplio with convex probe 3,5 MHz to detect the presence of liver cirrhosis (irregular surface, coarse texture, attenuated hepatic veins, relative enlargement of caudate lobe </w:t>
      </w:r>
      <w:r w:rsidRPr="009A1FB0">
        <w:rPr>
          <w:rFonts w:ascii="Times New Roman" w:hAnsi="Times New Roman" w:cs="Times New Roman"/>
          <w:b/>
          <w:bCs/>
          <w:i/>
          <w:iCs/>
          <w:sz w:val="20"/>
          <w:szCs w:val="20"/>
        </w:rPr>
        <w:t>[11]</w:t>
      </w:r>
      <w:r w:rsidRPr="009A1FB0">
        <w:rPr>
          <w:rFonts w:ascii="Times New Roman" w:hAnsi="Times New Roman" w:cs="Times New Roman"/>
          <w:b/>
          <w:bCs/>
          <w:sz w:val="20"/>
          <w:szCs w:val="20"/>
        </w:rPr>
        <w:t>,</w:t>
      </w:r>
      <w:r w:rsidRPr="009A1FB0">
        <w:rPr>
          <w:rFonts w:ascii="Times New Roman" w:hAnsi="Times New Roman" w:cs="Times New Roman"/>
          <w:sz w:val="20"/>
          <w:szCs w:val="20"/>
        </w:rPr>
        <w:t xml:space="preserve"> signs of portal hypertension (presence of </w:t>
      </w:r>
      <w:r w:rsidRPr="009A1FB0">
        <w:rPr>
          <w:rFonts w:ascii="Times New Roman" w:hAnsi="Times New Roman" w:cs="Times New Roman"/>
          <w:sz w:val="20"/>
          <w:szCs w:val="20"/>
        </w:rPr>
        <w:lastRenderedPageBreak/>
        <w:t>abdominal collaterals or</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splenomegaly) and portal vein diameter.</w:t>
      </w:r>
    </w:p>
    <w:p w:rsidR="00937B18" w:rsidRPr="009A1FB0" w:rsidRDefault="00937B18"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rPr>
        <w:t>Upper gastrointestinal (GIT) endoscopy was done by the same endoscopist using Olympus GIF Q -180</w:t>
      </w:r>
      <w:r w:rsidRPr="009A1FB0">
        <w:rPr>
          <w:rFonts w:ascii="Times New Roman" w:hAnsi="Times New Roman" w:cs="Times New Roman"/>
          <w:sz w:val="20"/>
          <w:szCs w:val="20"/>
          <w:lang w:bidi="ar-EG"/>
        </w:rPr>
        <w:t xml:space="preserve"> gastroscopy after fasting for at least 6 hours in left lateral position with sedation by midazolum 5mg ampoule with examining esophagus for varices occurrence, size and risk signs of bleeding (red wale sign &amp; cherry red spots) and duodenum till second part and stomach for portal hypertensive gastropathy and fundal varices. </w:t>
      </w:r>
      <w:r w:rsidRPr="009A1FB0">
        <w:rPr>
          <w:rFonts w:ascii="Times New Roman" w:hAnsi="Times New Roman" w:cs="Times New Roman"/>
          <w:sz w:val="20"/>
          <w:szCs w:val="20"/>
        </w:rPr>
        <w:t>Esophageal varices were graded according to</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their</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 xml:space="preserve">size classification and according to Italian grading of esophageal varices as follows: grade1: Small, less than one third of the radius of the esophagus, grade 2: medium, one third to two thirds of the radius of the esophagus and grade 3: large, greater than two thirds of the radius of the esophagus </w:t>
      </w:r>
      <w:r w:rsidRPr="009A1FB0">
        <w:rPr>
          <w:rFonts w:ascii="Times New Roman" w:hAnsi="Times New Roman" w:cs="Times New Roman"/>
          <w:b/>
          <w:bCs/>
          <w:sz w:val="20"/>
          <w:szCs w:val="20"/>
        </w:rPr>
        <w:t>[12]</w:t>
      </w:r>
      <w:r w:rsidR="003F277C" w:rsidRPr="009A1FB0">
        <w:rPr>
          <w:rFonts w:ascii="Times New Roman" w:hAnsi="Times New Roman" w:cs="Times New Roman"/>
          <w:b/>
          <w:bCs/>
          <w:sz w:val="20"/>
          <w:szCs w:val="20"/>
        </w:rPr>
        <w:t xml:space="preserve">. </w:t>
      </w:r>
      <w:r w:rsidR="003F277C" w:rsidRPr="009A1FB0">
        <w:rPr>
          <w:rFonts w:ascii="Times New Roman" w:hAnsi="Times New Roman" w:cs="Times New Roman"/>
          <w:sz w:val="20"/>
          <w:szCs w:val="20"/>
        </w:rPr>
        <w:t>N</w:t>
      </w:r>
      <w:r w:rsidRPr="009A1FB0">
        <w:rPr>
          <w:rFonts w:ascii="Times New Roman" w:hAnsi="Times New Roman" w:cs="Times New Roman"/>
          <w:sz w:val="20"/>
          <w:szCs w:val="20"/>
        </w:rPr>
        <w:t>.B. Control group had performed upper gastrointestinal endoscopy for diagnostic purposes (e.g. epigastric pain).</w:t>
      </w:r>
    </w:p>
    <w:p w:rsidR="00937B18" w:rsidRPr="009A1FB0" w:rsidRDefault="00937B18" w:rsidP="006D3B19">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9A1FB0">
        <w:rPr>
          <w:rFonts w:ascii="Times New Roman" w:hAnsi="Times New Roman" w:cs="Times New Roman"/>
          <w:sz w:val="20"/>
          <w:szCs w:val="20"/>
          <w:lang w:bidi="ar-EG"/>
        </w:rPr>
        <w:t>A single operator examination procedure using FibroScan® (FS) (Echosens, Paris, France)</w:t>
      </w:r>
      <w:r w:rsidRPr="009A1FB0">
        <w:rPr>
          <w:rFonts w:ascii="Times New Roman" w:hAnsi="Times New Roman" w:cs="Times New Roman"/>
          <w:sz w:val="20"/>
          <w:szCs w:val="20"/>
        </w:rPr>
        <w:t>with a medium probe and software version 1.30 for</w:t>
      </w:r>
      <w:r w:rsidRPr="009A1FB0">
        <w:rPr>
          <w:rFonts w:ascii="Times New Roman" w:hAnsi="Times New Roman" w:cs="Times New Roman"/>
          <w:sz w:val="20"/>
          <w:szCs w:val="20"/>
          <w:lang w:bidi="ar-EG"/>
        </w:rPr>
        <w:t xml:space="preserve"> liver stiffness (LS) measurements are performed on the right lobe of the liver in intercostal position</w:t>
      </w:r>
      <w:r w:rsidR="00DA4A9E" w:rsidRPr="009A1FB0">
        <w:rPr>
          <w:rFonts w:ascii="Times New Roman" w:hAnsi="Times New Roman" w:cs="Times New Roman"/>
          <w:sz w:val="20"/>
          <w:szCs w:val="20"/>
          <w:lang w:bidi="ar-EG"/>
        </w:rPr>
        <w:t xml:space="preserve"> </w:t>
      </w:r>
      <w:r w:rsidRPr="009A1FB0">
        <w:rPr>
          <w:rFonts w:ascii="Times New Roman" w:hAnsi="Times New Roman" w:cs="Times New Roman"/>
          <w:sz w:val="20"/>
          <w:szCs w:val="20"/>
          <w:lang w:bidi="ar-EG"/>
        </w:rPr>
        <w:t>which prevents direct compression of the liver that would eventually affect LS values. The standard examination was done using the M probe while the XL probe was used in patients with technical difficulties (e.g. obese patients)</w:t>
      </w:r>
      <w:r w:rsidRPr="009A1FB0">
        <w:rPr>
          <w:rFonts w:ascii="Times New Roman" w:hAnsi="Times New Roman" w:cs="Times New Roman"/>
          <w:b/>
          <w:bCs/>
          <w:sz w:val="20"/>
          <w:szCs w:val="20"/>
          <w:lang w:bidi="ar-EG"/>
        </w:rPr>
        <w:t>[13]</w:t>
      </w:r>
      <w:r w:rsidR="00DA4A9E" w:rsidRPr="009A1FB0">
        <w:rPr>
          <w:rFonts w:ascii="Times New Roman" w:hAnsi="Times New Roman" w:cs="Times New Roman"/>
          <w:b/>
          <w:bCs/>
          <w:sz w:val="20"/>
          <w:szCs w:val="20"/>
          <w:lang w:bidi="ar-EG"/>
        </w:rPr>
        <w:t>.</w:t>
      </w: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eastAsia="zh-CN" w:bidi="ar-EG"/>
        </w:rPr>
      </w:pPr>
      <w:r w:rsidRPr="009A1FB0">
        <w:rPr>
          <w:rFonts w:ascii="Times New Roman" w:hAnsi="Times New Roman" w:cs="Times New Roman"/>
          <w:sz w:val="20"/>
          <w:szCs w:val="20"/>
          <w:lang w:bidi="ar-EG"/>
        </w:rPr>
        <w:t>Measurement of liver stiffness (LS) by transient elastography (TE) has moderate accuracy in diagnosis and staging of fibrosis. The following table shows the relation between Fibroscan reading in K Pascal and the stage of fibrosis</w:t>
      </w:r>
      <w:r w:rsidR="003F277C" w:rsidRPr="009A1FB0">
        <w:rPr>
          <w:rFonts w:ascii="Times New Roman" w:hAnsi="Times New Roman" w:cs="Times New Roman" w:hint="eastAsia"/>
          <w:sz w:val="20"/>
          <w:szCs w:val="20"/>
          <w:lang w:eastAsia="zh-CN" w:bidi="ar-EG"/>
        </w:rPr>
        <w:t>.</w:t>
      </w:r>
    </w:p>
    <w:p w:rsidR="00AF4CF1" w:rsidRPr="009A1FB0" w:rsidRDefault="00AF4CF1" w:rsidP="006D3B19">
      <w:pPr>
        <w:bidi w:val="0"/>
        <w:snapToGrid w:val="0"/>
        <w:spacing w:after="0" w:line="240" w:lineRule="auto"/>
        <w:jc w:val="center"/>
        <w:rPr>
          <w:rFonts w:ascii="Times New Roman" w:hAnsi="Times New Roman" w:cs="Times New Roman"/>
          <w:b/>
          <w:bCs/>
          <w:sz w:val="20"/>
          <w:szCs w:val="20"/>
          <w:lang w:bidi="ar-EG"/>
        </w:rPr>
      </w:pPr>
    </w:p>
    <w:p w:rsidR="00937B18" w:rsidRPr="009A1FB0" w:rsidRDefault="00937B18" w:rsidP="006D3B19">
      <w:pPr>
        <w:bidi w:val="0"/>
        <w:snapToGrid w:val="0"/>
        <w:spacing w:after="0" w:line="240" w:lineRule="auto"/>
        <w:jc w:val="both"/>
        <w:rPr>
          <w:rFonts w:ascii="Times New Roman" w:hAnsi="Times New Roman" w:cs="Times New Roman"/>
          <w:sz w:val="20"/>
          <w:szCs w:val="20"/>
          <w:lang w:bidi="ar-EG"/>
        </w:rPr>
      </w:pPr>
      <w:r w:rsidRPr="009A1FB0">
        <w:rPr>
          <w:rFonts w:ascii="Times New Roman" w:hAnsi="Times New Roman" w:cs="Times New Roman"/>
          <w:b/>
          <w:bCs/>
          <w:sz w:val="20"/>
          <w:szCs w:val="20"/>
          <w:lang w:bidi="ar-EG"/>
        </w:rPr>
        <w:t>Table (1):</w:t>
      </w:r>
      <w:r w:rsidRPr="009A1FB0">
        <w:rPr>
          <w:rFonts w:ascii="Times New Roman" w:hAnsi="Times New Roman" w:cs="Times New Roman"/>
          <w:sz w:val="20"/>
          <w:szCs w:val="20"/>
          <w:lang w:bidi="ar-EG"/>
        </w:rPr>
        <w:t xml:space="preserve"> Relation between Fibroscan reading in K Pascal and the stage of fibrosis showing cutoff levels for HCV patients</w:t>
      </w:r>
      <w:r w:rsidR="00CB1216" w:rsidRPr="009A1FB0">
        <w:rPr>
          <w:rFonts w:ascii="Times New Roman" w:hAnsi="Times New Roman" w:cs="Times New Roman"/>
          <w:sz w:val="20"/>
          <w:szCs w:val="20"/>
          <w:lang w:bidi="ar-EG"/>
        </w:rPr>
        <w:t>[</w:t>
      </w:r>
      <w:r w:rsidR="00226BED" w:rsidRPr="009A1FB0">
        <w:rPr>
          <w:rFonts w:ascii="Times New Roman" w:hAnsi="Times New Roman" w:cs="Times New Roman"/>
          <w:b/>
          <w:bCs/>
          <w:sz w:val="20"/>
          <w:szCs w:val="20"/>
          <w:lang w:bidi="ar-EG"/>
        </w:rPr>
        <w:t>14</w:t>
      </w:r>
      <w:r w:rsidR="00CB1216" w:rsidRPr="009A1FB0">
        <w:rPr>
          <w:rFonts w:ascii="Times New Roman" w:hAnsi="Times New Roman" w:cs="Times New Roman"/>
          <w:b/>
          <w:bCs/>
          <w:sz w:val="20"/>
          <w:szCs w:val="20"/>
          <w:lang w:bidi="ar-EG"/>
        </w:rPr>
        <w:t>]</w:t>
      </w:r>
    </w:p>
    <w:tbl>
      <w:tblPr>
        <w:bidiVisual/>
        <w:tblW w:w="4503" w:type="dxa"/>
        <w:jc w:val="center"/>
        <w:tblInd w:w="45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tblPr>
      <w:tblGrid>
        <w:gridCol w:w="2187"/>
        <w:gridCol w:w="2316"/>
      </w:tblGrid>
      <w:tr w:rsidR="00937B18" w:rsidRPr="009A1FB0" w:rsidTr="00DA4A9E">
        <w:trPr>
          <w:jc w:val="center"/>
        </w:trPr>
        <w:tc>
          <w:tcPr>
            <w:tcW w:w="2187" w:type="dxa"/>
            <w:tcBorders>
              <w:top w:val="single" w:sz="18" w:space="0" w:color="auto"/>
            </w:tcBorders>
            <w:shd w:val="clear" w:color="auto" w:fill="E6E6E6"/>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Fibroscan score (kpa)</w:t>
            </w:r>
          </w:p>
        </w:tc>
        <w:tc>
          <w:tcPr>
            <w:tcW w:w="2316" w:type="dxa"/>
            <w:tcBorders>
              <w:top w:val="single" w:sz="18" w:space="0" w:color="auto"/>
            </w:tcBorders>
            <w:shd w:val="clear" w:color="auto" w:fill="E6E6E6"/>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Fibrosis stage (Metavir)</w:t>
            </w:r>
          </w:p>
        </w:tc>
      </w:tr>
      <w:tr w:rsidR="00937B18" w:rsidRPr="009A1FB0" w:rsidTr="00DA4A9E">
        <w:trPr>
          <w:jc w:val="center"/>
        </w:trPr>
        <w:tc>
          <w:tcPr>
            <w:tcW w:w="2187"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0 till 5.4</w:t>
            </w:r>
          </w:p>
        </w:tc>
        <w:tc>
          <w:tcPr>
            <w:tcW w:w="2316"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F0</w:t>
            </w:r>
          </w:p>
        </w:tc>
      </w:tr>
      <w:tr w:rsidR="00937B18" w:rsidRPr="009A1FB0" w:rsidTr="00DA4A9E">
        <w:trPr>
          <w:jc w:val="center"/>
        </w:trPr>
        <w:tc>
          <w:tcPr>
            <w:tcW w:w="2187"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5.5 till 5.9</w:t>
            </w:r>
          </w:p>
        </w:tc>
        <w:tc>
          <w:tcPr>
            <w:tcW w:w="2316"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F0-F1</w:t>
            </w:r>
          </w:p>
        </w:tc>
      </w:tr>
      <w:tr w:rsidR="00937B18" w:rsidRPr="009A1FB0" w:rsidTr="00DA4A9E">
        <w:trPr>
          <w:jc w:val="center"/>
        </w:trPr>
        <w:tc>
          <w:tcPr>
            <w:tcW w:w="2187"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6 till 6.9</w:t>
            </w:r>
          </w:p>
        </w:tc>
        <w:tc>
          <w:tcPr>
            <w:tcW w:w="2316"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F1</w:t>
            </w:r>
          </w:p>
        </w:tc>
      </w:tr>
      <w:tr w:rsidR="00937B18" w:rsidRPr="009A1FB0" w:rsidTr="00DA4A9E">
        <w:trPr>
          <w:jc w:val="center"/>
        </w:trPr>
        <w:tc>
          <w:tcPr>
            <w:tcW w:w="2187"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7 till 8.7</w:t>
            </w:r>
          </w:p>
        </w:tc>
        <w:tc>
          <w:tcPr>
            <w:tcW w:w="2316"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F1-F2</w:t>
            </w:r>
          </w:p>
        </w:tc>
      </w:tr>
      <w:tr w:rsidR="00937B18" w:rsidRPr="009A1FB0" w:rsidTr="00DA4A9E">
        <w:trPr>
          <w:jc w:val="center"/>
        </w:trPr>
        <w:tc>
          <w:tcPr>
            <w:tcW w:w="2187"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8.8 till 9.4</w:t>
            </w:r>
          </w:p>
        </w:tc>
        <w:tc>
          <w:tcPr>
            <w:tcW w:w="2316"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F2</w:t>
            </w:r>
          </w:p>
        </w:tc>
      </w:tr>
      <w:tr w:rsidR="00937B18" w:rsidRPr="009A1FB0" w:rsidTr="00DA4A9E">
        <w:trPr>
          <w:jc w:val="center"/>
        </w:trPr>
        <w:tc>
          <w:tcPr>
            <w:tcW w:w="2187"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9.5 till 12.4</w:t>
            </w:r>
          </w:p>
        </w:tc>
        <w:tc>
          <w:tcPr>
            <w:tcW w:w="2316"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F3</w:t>
            </w:r>
          </w:p>
        </w:tc>
      </w:tr>
      <w:tr w:rsidR="00937B18" w:rsidRPr="009A1FB0" w:rsidTr="00DA4A9E">
        <w:trPr>
          <w:jc w:val="center"/>
        </w:trPr>
        <w:tc>
          <w:tcPr>
            <w:tcW w:w="2187"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12.5 till 14.4</w:t>
            </w:r>
          </w:p>
        </w:tc>
        <w:tc>
          <w:tcPr>
            <w:tcW w:w="2316" w:type="dxa"/>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F3-F4</w:t>
            </w:r>
          </w:p>
        </w:tc>
      </w:tr>
      <w:tr w:rsidR="00937B18" w:rsidRPr="009A1FB0" w:rsidTr="00DA4A9E">
        <w:trPr>
          <w:jc w:val="center"/>
        </w:trPr>
        <w:tc>
          <w:tcPr>
            <w:tcW w:w="2187" w:type="dxa"/>
            <w:tcBorders>
              <w:bottom w:val="single" w:sz="18" w:space="0" w:color="auto"/>
            </w:tcBorders>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≥14.5</w:t>
            </w:r>
          </w:p>
        </w:tc>
        <w:tc>
          <w:tcPr>
            <w:tcW w:w="2316" w:type="dxa"/>
            <w:tcBorders>
              <w:bottom w:val="single" w:sz="18" w:space="0" w:color="auto"/>
            </w:tcBorders>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F4</w:t>
            </w:r>
          </w:p>
        </w:tc>
      </w:tr>
    </w:tbl>
    <w:p w:rsidR="00AF4CF1" w:rsidRPr="009A1FB0" w:rsidRDefault="00937B18" w:rsidP="006D3B19">
      <w:pPr>
        <w:bidi w:val="0"/>
        <w:snapToGrid w:val="0"/>
        <w:spacing w:after="0" w:line="240" w:lineRule="auto"/>
        <w:jc w:val="both"/>
        <w:rPr>
          <w:rFonts w:ascii="Times New Roman" w:hAnsi="Times New Roman" w:cs="Times New Roman"/>
          <w:color w:val="FF0000"/>
          <w:sz w:val="20"/>
          <w:szCs w:val="20"/>
          <w:lang w:bidi="ar-EG"/>
        </w:rPr>
      </w:pPr>
      <w:r w:rsidRPr="009A1FB0">
        <w:rPr>
          <w:rFonts w:ascii="Times New Roman" w:hAnsi="Times New Roman" w:cs="Times New Roman"/>
          <w:sz w:val="20"/>
          <w:szCs w:val="20"/>
          <w:lang w:bidi="ar-EG"/>
        </w:rPr>
        <w:t>FIB4 calculated for all cases as follows = [age (years) x AST (IU/L)]/ platelet count (10</w:t>
      </w:r>
      <w:r w:rsidRPr="009A1FB0">
        <w:rPr>
          <w:rFonts w:ascii="Times New Roman" w:hAnsi="Times New Roman" w:cs="Times New Roman"/>
          <w:sz w:val="20"/>
          <w:szCs w:val="20"/>
          <w:vertAlign w:val="superscript"/>
          <w:lang w:bidi="ar-EG"/>
        </w:rPr>
        <w:t>9</w:t>
      </w:r>
      <w:r w:rsidRPr="009A1FB0">
        <w:rPr>
          <w:rFonts w:ascii="Times New Roman" w:hAnsi="Times New Roman" w:cs="Times New Roman"/>
          <w:sz w:val="20"/>
          <w:szCs w:val="20"/>
          <w:lang w:bidi="ar-EG"/>
        </w:rPr>
        <w:t>/L) x ALT (IU/L)1/2</w:t>
      </w:r>
      <w:r w:rsidRPr="009A1FB0">
        <w:rPr>
          <w:rFonts w:ascii="Times New Roman" w:hAnsi="Times New Roman" w:cs="Times New Roman"/>
          <w:b/>
          <w:bCs/>
          <w:i/>
          <w:iCs/>
          <w:sz w:val="20"/>
          <w:szCs w:val="20"/>
          <w:lang w:bidi="ar-EG"/>
        </w:rPr>
        <w:t>]</w:t>
      </w:r>
      <w:r w:rsidR="007F30E6" w:rsidRPr="009A1FB0">
        <w:rPr>
          <w:rFonts w:ascii="Times New Roman" w:hAnsi="Times New Roman" w:cs="Times New Roman"/>
          <w:b/>
          <w:bCs/>
          <w:sz w:val="20"/>
          <w:szCs w:val="20"/>
          <w:lang w:bidi="ar-EG"/>
        </w:rPr>
        <w:t>[15</w:t>
      </w:r>
      <w:r w:rsidRPr="009A1FB0">
        <w:rPr>
          <w:rFonts w:ascii="Times New Roman" w:hAnsi="Times New Roman" w:cs="Times New Roman"/>
          <w:b/>
          <w:bCs/>
          <w:sz w:val="20"/>
          <w:szCs w:val="20"/>
          <w:lang w:bidi="ar-EG"/>
        </w:rPr>
        <w:t>]</w:t>
      </w:r>
    </w:p>
    <w:p w:rsidR="00937B18" w:rsidRPr="009A1FB0" w:rsidRDefault="00937B18" w:rsidP="006D3B19">
      <w:pPr>
        <w:pStyle w:val="ListParagraph"/>
        <w:bidi w:val="0"/>
        <w:snapToGrid w:val="0"/>
        <w:spacing w:after="0" w:line="240" w:lineRule="auto"/>
        <w:ind w:left="0" w:firstLine="425"/>
        <w:jc w:val="both"/>
        <w:rPr>
          <w:rFonts w:ascii="Times New Roman" w:hAnsi="Times New Roman" w:cs="Times New Roman"/>
          <w:color w:val="FF0000"/>
          <w:sz w:val="20"/>
          <w:szCs w:val="20"/>
          <w:lang w:bidi="ar-EG"/>
        </w:rPr>
      </w:pPr>
    </w:p>
    <w:p w:rsidR="00937B18" w:rsidRPr="009A1FB0" w:rsidRDefault="00937B18" w:rsidP="006D3B19">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9A1FB0">
        <w:rPr>
          <w:rFonts w:ascii="Times New Roman" w:hAnsi="Times New Roman" w:cs="Times New Roman"/>
          <w:color w:val="131413"/>
          <w:sz w:val="20"/>
          <w:szCs w:val="20"/>
        </w:rPr>
        <w:t xml:space="preserve">Blood samples were drawn from patients on the same day </w:t>
      </w:r>
      <w:r w:rsidRPr="009A1FB0">
        <w:rPr>
          <w:rFonts w:ascii="Times New Roman" w:hAnsi="Times New Roman" w:cs="Times New Roman"/>
          <w:sz w:val="20"/>
          <w:szCs w:val="20"/>
        </w:rPr>
        <w:t>upper GIT screening for varices</w:t>
      </w:r>
      <w:r w:rsidRPr="009A1FB0">
        <w:rPr>
          <w:rFonts w:ascii="Times New Roman" w:hAnsi="Times New Roman" w:cs="Times New Roman"/>
          <w:color w:val="131413"/>
          <w:sz w:val="20"/>
          <w:szCs w:val="20"/>
        </w:rPr>
        <w:t xml:space="preserve"> was carried out. Blood from one 9 ml EDTA-coated tube was </w:t>
      </w:r>
      <w:r w:rsidRPr="009A1FB0">
        <w:rPr>
          <w:rFonts w:ascii="Times New Roman" w:hAnsi="Times New Roman" w:cs="Times New Roman"/>
          <w:color w:val="131413"/>
          <w:sz w:val="20"/>
          <w:szCs w:val="20"/>
        </w:rPr>
        <w:lastRenderedPageBreak/>
        <w:t xml:space="preserve">separated by centrifugation and plasma was stored at </w:t>
      </w:r>
      <w:r w:rsidRPr="009A1FB0">
        <w:rPr>
          <w:rFonts w:ascii="Times New Roman" w:eastAsia="AdvTT3713a231+22" w:hAnsi="Times New Roman" w:cs="Times New Roman"/>
          <w:color w:val="131413"/>
          <w:sz w:val="20"/>
          <w:szCs w:val="20"/>
        </w:rPr>
        <w:t>−</w:t>
      </w:r>
      <w:r w:rsidRPr="009A1FB0">
        <w:rPr>
          <w:rFonts w:ascii="Times New Roman" w:hAnsi="Times New Roman" w:cs="Times New Roman"/>
          <w:color w:val="131413"/>
          <w:sz w:val="20"/>
          <w:szCs w:val="20"/>
        </w:rPr>
        <w:t xml:space="preserve">80 °C. Serum sCD163 was analyzed in duplicate samples of frozen serum by the use of in-house sandwich enzyme-linked immunosorbent assays </w:t>
      </w:r>
      <w:r w:rsidRPr="009A1FB0">
        <w:rPr>
          <w:rFonts w:ascii="Times New Roman" w:hAnsi="Times New Roman" w:cs="Times New Roman"/>
          <w:sz w:val="20"/>
          <w:szCs w:val="20"/>
        </w:rPr>
        <w:t>using a STAT-FAX 2100 ELISA-analyzer (Gama trade, USA). Control samples and serum standards with concentrations that ranged from trace amounts to purified CD163 were included in each run.</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The limit of detection (lowest calibrator) was 2.5mg/L. Soluble CD163 is resistant to freezing at -80 C for 16 months</w:t>
      </w:r>
      <w:r w:rsidR="002D777A" w:rsidRPr="009A1FB0">
        <w:rPr>
          <w:rFonts w:ascii="Times New Roman" w:hAnsi="Times New Roman" w:cs="Times New Roman"/>
          <w:b/>
          <w:bCs/>
          <w:sz w:val="20"/>
          <w:szCs w:val="20"/>
        </w:rPr>
        <w:t>[8]</w:t>
      </w:r>
      <w:r w:rsidR="00DA4A9E" w:rsidRPr="009A1FB0">
        <w:rPr>
          <w:rFonts w:ascii="Times New Roman" w:hAnsi="Times New Roman" w:cs="Times New Roman"/>
          <w:b/>
          <w:bCs/>
          <w:sz w:val="20"/>
          <w:szCs w:val="20"/>
        </w:rPr>
        <w:t>.</w:t>
      </w:r>
    </w:p>
    <w:p w:rsidR="00AF4CF1" w:rsidRPr="009A1FB0" w:rsidRDefault="00937B18" w:rsidP="006D3B19">
      <w:pPr>
        <w:bidi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b/>
          <w:bCs/>
          <w:sz w:val="20"/>
          <w:szCs w:val="20"/>
        </w:rPr>
        <w:t>Statistical analysis:</w:t>
      </w: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rPr>
        <w:t>Statistical presentation and analysis of the present study was conducted by SPSS V.16</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lastRenderedPageBreak/>
        <w:t>Categorical data were presented as number and percentages while quantitative data were expressed as mean ± standard deviation or median, range and IQR. Chi square test (X2), Fisher's exact test, “Z” test, Spearman’s correlation coefficient (rho), student “t” test, Man Whitney U test, ROC curve, ANOVA and Krauskal Wallis test were used as tests of significance</w:t>
      </w:r>
      <w:r w:rsidRPr="009A1FB0">
        <w:rPr>
          <w:rFonts w:ascii="Times New Roman" w:hAnsi="Times New Roman" w:cs="Times New Roman"/>
          <w:color w:val="FF0000"/>
          <w:sz w:val="20"/>
          <w:szCs w:val="20"/>
        </w:rPr>
        <w:t>.</w:t>
      </w:r>
    </w:p>
    <w:p w:rsidR="00937B18" w:rsidRPr="009A1FB0" w:rsidRDefault="00937B18" w:rsidP="006D3B19">
      <w:pPr>
        <w:bidi w:val="0"/>
        <w:snapToGrid w:val="0"/>
        <w:spacing w:after="0" w:line="240" w:lineRule="auto"/>
        <w:jc w:val="both"/>
        <w:rPr>
          <w:rFonts w:ascii="Times New Roman" w:hAnsi="Times New Roman" w:cs="Times New Roman"/>
          <w:color w:val="FF0000"/>
          <w:sz w:val="20"/>
          <w:szCs w:val="20"/>
        </w:rPr>
      </w:pPr>
    </w:p>
    <w:p w:rsidR="00937B18" w:rsidRPr="009A1FB0" w:rsidRDefault="00AF4CF1" w:rsidP="006D3B1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A1FB0">
        <w:rPr>
          <w:rFonts w:ascii="Times New Roman" w:hAnsi="Times New Roman" w:cs="Times New Roman"/>
          <w:b/>
          <w:bCs/>
          <w:sz w:val="20"/>
          <w:szCs w:val="20"/>
        </w:rPr>
        <w:t xml:space="preserve">3. </w:t>
      </w:r>
      <w:r w:rsidR="00937B18" w:rsidRPr="009A1FB0">
        <w:rPr>
          <w:rFonts w:ascii="Times New Roman" w:hAnsi="Times New Roman" w:cs="Times New Roman"/>
          <w:b/>
          <w:bCs/>
          <w:sz w:val="20"/>
          <w:szCs w:val="20"/>
        </w:rPr>
        <w:t>Results</w:t>
      </w: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rPr>
        <w:t>Study was conducted on 86 cases among of them 70 compensated cirrhotic patients (Child A) post-hepatitis C and 16 healthy subjects as control group.</w:t>
      </w:r>
    </w:p>
    <w:p w:rsidR="006D3B19" w:rsidRPr="009A1FB0" w:rsidRDefault="006D3B19" w:rsidP="006D3B19">
      <w:pPr>
        <w:bidi w:val="0"/>
        <w:snapToGrid w:val="0"/>
        <w:spacing w:after="0" w:line="240" w:lineRule="auto"/>
        <w:jc w:val="both"/>
        <w:rPr>
          <w:rFonts w:ascii="Times New Roman" w:hAnsi="Times New Roman" w:cs="Times New Roman"/>
          <w:b/>
          <w:bCs/>
          <w:sz w:val="20"/>
          <w:szCs w:val="20"/>
        </w:rPr>
        <w:sectPr w:rsidR="006D3B19" w:rsidRPr="009A1FB0" w:rsidSect="006D3B19">
          <w:headerReference w:type="default" r:id="rId15"/>
          <w:footerReference w:type="default" r:id="rId16"/>
          <w:type w:val="continuous"/>
          <w:pgSz w:w="12242" w:h="15842" w:code="1"/>
          <w:pgMar w:top="1440" w:right="1440" w:bottom="1440" w:left="1440" w:header="720" w:footer="720" w:gutter="0"/>
          <w:cols w:num="2" w:space="550"/>
          <w:docGrid w:linePitch="360"/>
        </w:sectPr>
      </w:pPr>
    </w:p>
    <w:p w:rsidR="00AF4CF1" w:rsidRPr="009A1FB0" w:rsidRDefault="00AF4CF1" w:rsidP="006D3B19">
      <w:pPr>
        <w:bidi w:val="0"/>
        <w:snapToGrid w:val="0"/>
        <w:spacing w:after="0" w:line="240" w:lineRule="auto"/>
        <w:jc w:val="center"/>
        <w:rPr>
          <w:rFonts w:ascii="Times New Roman" w:hAnsi="Times New Roman" w:cs="Times New Roman"/>
          <w:b/>
          <w:bCs/>
          <w:sz w:val="20"/>
          <w:szCs w:val="20"/>
        </w:rPr>
      </w:pPr>
    </w:p>
    <w:p w:rsidR="00937B18" w:rsidRPr="009A1FB0" w:rsidRDefault="00937B18" w:rsidP="006D3B19">
      <w:pPr>
        <w:bidi w:val="0"/>
        <w:snapToGrid w:val="0"/>
        <w:spacing w:after="0" w:line="240" w:lineRule="auto"/>
        <w:jc w:val="center"/>
        <w:rPr>
          <w:rFonts w:ascii="Times New Roman" w:hAnsi="Times New Roman" w:cs="Times New Roman"/>
          <w:b/>
          <w:bCs/>
          <w:sz w:val="20"/>
          <w:szCs w:val="20"/>
        </w:rPr>
      </w:pPr>
      <w:r w:rsidRPr="009A1FB0">
        <w:rPr>
          <w:rFonts w:ascii="Times New Roman" w:hAnsi="Times New Roman" w:cs="Times New Roman"/>
          <w:b/>
          <w:bCs/>
          <w:sz w:val="20"/>
          <w:szCs w:val="20"/>
        </w:rPr>
        <w:t>Table (2):</w:t>
      </w:r>
      <w:r w:rsidR="003F277C" w:rsidRPr="009A1FB0">
        <w:rPr>
          <w:rFonts w:ascii="Times New Roman" w:hAnsi="Times New Roman" w:cs="Times New Roman"/>
          <w:b/>
          <w:bCs/>
          <w:sz w:val="20"/>
          <w:szCs w:val="20"/>
        </w:rPr>
        <w:t xml:space="preserve"> </w:t>
      </w:r>
      <w:r w:rsidRPr="009A1FB0">
        <w:rPr>
          <w:rFonts w:ascii="Times New Roman" w:hAnsi="Times New Roman" w:cs="Times New Roman"/>
          <w:sz w:val="20"/>
          <w:szCs w:val="20"/>
        </w:rPr>
        <w:t>Basic characteristics of the studied groups.</w:t>
      </w:r>
    </w:p>
    <w:tbl>
      <w:tblPr>
        <w:tblW w:w="5000" w:type="pct"/>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000000"/>
          <w:insideV w:val="single" w:sz="12" w:space="0" w:color="000000"/>
        </w:tblBorders>
        <w:tblLook w:val="00A0"/>
      </w:tblPr>
      <w:tblGrid>
        <w:gridCol w:w="2049"/>
        <w:gridCol w:w="580"/>
        <w:gridCol w:w="580"/>
        <w:gridCol w:w="3940"/>
        <w:gridCol w:w="1213"/>
        <w:gridCol w:w="1216"/>
      </w:tblGrid>
      <w:tr w:rsidR="00937B18" w:rsidRPr="009A1FB0" w:rsidTr="00DA4A9E">
        <w:trPr>
          <w:jc w:val="center"/>
        </w:trPr>
        <w:tc>
          <w:tcPr>
            <w:tcW w:w="1372" w:type="pct"/>
            <w:gridSpan w:val="2"/>
            <w:tcBorders>
              <w:top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p>
        </w:tc>
        <w:tc>
          <w:tcPr>
            <w:tcW w:w="2360" w:type="pct"/>
            <w:gridSpan w:val="2"/>
            <w:tcBorders>
              <w:top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Variable</w:t>
            </w:r>
          </w:p>
        </w:tc>
        <w:tc>
          <w:tcPr>
            <w:tcW w:w="633" w:type="pct"/>
            <w:tcBorders>
              <w:top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No (N=86)</w:t>
            </w:r>
          </w:p>
        </w:tc>
        <w:tc>
          <w:tcPr>
            <w:tcW w:w="635" w:type="pct"/>
            <w:tcBorders>
              <w:top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w:t>
            </w:r>
          </w:p>
        </w:tc>
      </w:tr>
      <w:tr w:rsidR="00937B18" w:rsidRPr="009A1FB0" w:rsidTr="00DA4A9E">
        <w:trPr>
          <w:jc w:val="center"/>
        </w:trPr>
        <w:tc>
          <w:tcPr>
            <w:tcW w:w="1069" w:type="pct"/>
            <w:vMerge w:val="restart"/>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The studied groups</w:t>
            </w:r>
          </w:p>
        </w:tc>
        <w:tc>
          <w:tcPr>
            <w:tcW w:w="606" w:type="pct"/>
            <w:gridSpan w:val="2"/>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Group (A)</w:t>
            </w:r>
          </w:p>
        </w:tc>
        <w:tc>
          <w:tcPr>
            <w:tcW w:w="2057" w:type="pct"/>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Cirrhotic without esophagealvarices(EVs)</w:t>
            </w:r>
          </w:p>
        </w:tc>
        <w:tc>
          <w:tcPr>
            <w:tcW w:w="633"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w:t>
            </w:r>
          </w:p>
        </w:tc>
        <w:tc>
          <w:tcPr>
            <w:tcW w:w="63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36.0</w:t>
            </w:r>
          </w:p>
        </w:tc>
      </w:tr>
      <w:tr w:rsidR="00937B18" w:rsidRPr="009A1FB0" w:rsidTr="00DA4A9E">
        <w:trPr>
          <w:jc w:val="center"/>
        </w:trPr>
        <w:tc>
          <w:tcPr>
            <w:tcW w:w="1069" w:type="pct"/>
            <w:vMerge/>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p>
        </w:tc>
        <w:tc>
          <w:tcPr>
            <w:tcW w:w="606" w:type="pct"/>
            <w:gridSpan w:val="2"/>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Group (B)</w:t>
            </w:r>
          </w:p>
        </w:tc>
        <w:tc>
          <w:tcPr>
            <w:tcW w:w="2057" w:type="pct"/>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Cirrhotic with esophagealvarices(EVs)</w:t>
            </w:r>
          </w:p>
        </w:tc>
        <w:tc>
          <w:tcPr>
            <w:tcW w:w="633"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w:t>
            </w:r>
          </w:p>
        </w:tc>
        <w:tc>
          <w:tcPr>
            <w:tcW w:w="63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45.3</w:t>
            </w:r>
          </w:p>
        </w:tc>
      </w:tr>
      <w:tr w:rsidR="00937B18" w:rsidRPr="009A1FB0" w:rsidTr="00DA4A9E">
        <w:trPr>
          <w:jc w:val="center"/>
        </w:trPr>
        <w:tc>
          <w:tcPr>
            <w:tcW w:w="1069" w:type="pct"/>
            <w:vMerge/>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p>
        </w:tc>
        <w:tc>
          <w:tcPr>
            <w:tcW w:w="606" w:type="pct"/>
            <w:gridSpan w:val="2"/>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Group (C)</w:t>
            </w:r>
          </w:p>
        </w:tc>
        <w:tc>
          <w:tcPr>
            <w:tcW w:w="2057" w:type="pct"/>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Controls</w:t>
            </w:r>
          </w:p>
        </w:tc>
        <w:tc>
          <w:tcPr>
            <w:tcW w:w="633"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16</w:t>
            </w:r>
          </w:p>
        </w:tc>
        <w:tc>
          <w:tcPr>
            <w:tcW w:w="63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18.6</w:t>
            </w:r>
          </w:p>
        </w:tc>
      </w:tr>
      <w:tr w:rsidR="00937B18" w:rsidRPr="009A1FB0" w:rsidTr="00DA4A9E">
        <w:trPr>
          <w:jc w:val="center"/>
        </w:trPr>
        <w:tc>
          <w:tcPr>
            <w:tcW w:w="1069" w:type="pct"/>
            <w:vMerge w:val="restart"/>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Gender</w:t>
            </w:r>
          </w:p>
        </w:tc>
        <w:tc>
          <w:tcPr>
            <w:tcW w:w="606" w:type="pct"/>
            <w:gridSpan w:val="2"/>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p>
        </w:tc>
        <w:tc>
          <w:tcPr>
            <w:tcW w:w="2057" w:type="pct"/>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Male</w:t>
            </w:r>
          </w:p>
        </w:tc>
        <w:tc>
          <w:tcPr>
            <w:tcW w:w="633"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52</w:t>
            </w:r>
          </w:p>
        </w:tc>
        <w:tc>
          <w:tcPr>
            <w:tcW w:w="63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60.5</w:t>
            </w:r>
          </w:p>
        </w:tc>
      </w:tr>
      <w:tr w:rsidR="00937B18" w:rsidRPr="009A1FB0" w:rsidTr="00DA4A9E">
        <w:trPr>
          <w:jc w:val="center"/>
        </w:trPr>
        <w:tc>
          <w:tcPr>
            <w:tcW w:w="1069" w:type="pct"/>
            <w:vMerge/>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p>
        </w:tc>
        <w:tc>
          <w:tcPr>
            <w:tcW w:w="606" w:type="pct"/>
            <w:gridSpan w:val="2"/>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p>
        </w:tc>
        <w:tc>
          <w:tcPr>
            <w:tcW w:w="2057" w:type="pct"/>
            <w:vAlign w:val="center"/>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lang w:bidi="ar-EG"/>
              </w:rPr>
              <w:t>Female</w:t>
            </w:r>
          </w:p>
        </w:tc>
        <w:tc>
          <w:tcPr>
            <w:tcW w:w="633"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34</w:t>
            </w:r>
          </w:p>
        </w:tc>
        <w:tc>
          <w:tcPr>
            <w:tcW w:w="63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39.5</w:t>
            </w:r>
          </w:p>
        </w:tc>
      </w:tr>
      <w:tr w:rsidR="00937B18" w:rsidRPr="009A1FB0" w:rsidTr="00DA4A9E">
        <w:trPr>
          <w:jc w:val="center"/>
        </w:trPr>
        <w:tc>
          <w:tcPr>
            <w:tcW w:w="1069" w:type="pct"/>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p>
        </w:tc>
        <w:tc>
          <w:tcPr>
            <w:tcW w:w="606" w:type="pct"/>
            <w:gridSpan w:val="2"/>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2057"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 ±SD</w:t>
            </w:r>
          </w:p>
        </w:tc>
        <w:tc>
          <w:tcPr>
            <w:tcW w:w="633"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Minimum</w:t>
            </w:r>
          </w:p>
        </w:tc>
        <w:tc>
          <w:tcPr>
            <w:tcW w:w="63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Maximum</w:t>
            </w:r>
          </w:p>
        </w:tc>
      </w:tr>
      <w:tr w:rsidR="00937B18" w:rsidRPr="009A1FB0" w:rsidTr="00DA4A9E">
        <w:trPr>
          <w:jc w:val="center"/>
        </w:trPr>
        <w:tc>
          <w:tcPr>
            <w:tcW w:w="1069" w:type="pct"/>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Age (years)</w:t>
            </w:r>
          </w:p>
        </w:tc>
        <w:tc>
          <w:tcPr>
            <w:tcW w:w="606" w:type="pct"/>
            <w:gridSpan w:val="2"/>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2057"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52.1±8.75</w:t>
            </w:r>
          </w:p>
        </w:tc>
        <w:tc>
          <w:tcPr>
            <w:tcW w:w="633"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29</w:t>
            </w:r>
          </w:p>
        </w:tc>
        <w:tc>
          <w:tcPr>
            <w:tcW w:w="63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65</w:t>
            </w:r>
          </w:p>
        </w:tc>
      </w:tr>
      <w:tr w:rsidR="00937B18" w:rsidRPr="009A1FB0" w:rsidTr="00DA4A9E">
        <w:trPr>
          <w:jc w:val="center"/>
        </w:trPr>
        <w:tc>
          <w:tcPr>
            <w:tcW w:w="1069" w:type="pct"/>
            <w:tcBorders>
              <w:bottom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BMI</w:t>
            </w:r>
            <w:r w:rsidR="003F277C" w:rsidRPr="009A1FB0">
              <w:rPr>
                <w:rFonts w:ascii="Times New Roman" w:hAnsi="Times New Roman" w:cs="Times New Roman"/>
                <w:b/>
                <w:bCs/>
                <w:color w:val="000000"/>
                <w:sz w:val="20"/>
                <w:szCs w:val="20"/>
                <w:lang w:bidi="ar-EG"/>
              </w:rPr>
              <w:t xml:space="preserve"> </w:t>
            </w:r>
            <w:r w:rsidRPr="009A1FB0">
              <w:rPr>
                <w:rFonts w:ascii="Times New Roman" w:hAnsi="Times New Roman" w:cs="Times New Roman"/>
                <w:b/>
                <w:bCs/>
                <w:color w:val="000000"/>
                <w:sz w:val="20"/>
                <w:szCs w:val="20"/>
                <w:lang w:bidi="ar-EG"/>
              </w:rPr>
              <w:t>(kg/m</w:t>
            </w:r>
            <w:r w:rsidRPr="009A1FB0">
              <w:rPr>
                <w:rFonts w:ascii="Times New Roman" w:hAnsi="Times New Roman" w:cs="Times New Roman"/>
                <w:b/>
                <w:bCs/>
                <w:color w:val="000000"/>
                <w:sz w:val="20"/>
                <w:szCs w:val="20"/>
                <w:vertAlign w:val="superscript"/>
                <w:lang w:bidi="ar-EG"/>
              </w:rPr>
              <w:t>2</w:t>
            </w:r>
            <w:r w:rsidRPr="009A1FB0">
              <w:rPr>
                <w:rFonts w:ascii="Times New Roman" w:hAnsi="Times New Roman" w:cs="Times New Roman"/>
                <w:b/>
                <w:bCs/>
                <w:color w:val="000000"/>
                <w:sz w:val="20"/>
                <w:szCs w:val="20"/>
                <w:lang w:bidi="ar-EG"/>
              </w:rPr>
              <w:t>)</w:t>
            </w:r>
          </w:p>
        </w:tc>
        <w:tc>
          <w:tcPr>
            <w:tcW w:w="606" w:type="pct"/>
            <w:gridSpan w:val="2"/>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2057"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26.8±2.1</w:t>
            </w:r>
          </w:p>
        </w:tc>
        <w:tc>
          <w:tcPr>
            <w:tcW w:w="633"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22</w:t>
            </w:r>
          </w:p>
        </w:tc>
        <w:tc>
          <w:tcPr>
            <w:tcW w:w="635"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34</w:t>
            </w:r>
          </w:p>
        </w:tc>
      </w:tr>
    </w:tbl>
    <w:p w:rsidR="00937B18" w:rsidRPr="009A1FB0" w:rsidRDefault="00937B18" w:rsidP="006D3B19">
      <w:pPr>
        <w:bidi w:val="0"/>
        <w:snapToGrid w:val="0"/>
        <w:spacing w:after="0" w:line="240" w:lineRule="auto"/>
        <w:jc w:val="center"/>
        <w:rPr>
          <w:rFonts w:ascii="Times New Roman" w:hAnsi="Times New Roman" w:cs="Times New Roman"/>
          <w:b/>
          <w:bCs/>
          <w:sz w:val="20"/>
          <w:szCs w:val="20"/>
        </w:rPr>
      </w:pPr>
    </w:p>
    <w:p w:rsidR="00937B18" w:rsidRPr="009A1FB0" w:rsidRDefault="00937B18" w:rsidP="006D3B19">
      <w:pPr>
        <w:bidi w:val="0"/>
        <w:snapToGrid w:val="0"/>
        <w:spacing w:after="0" w:line="240" w:lineRule="auto"/>
        <w:jc w:val="center"/>
        <w:rPr>
          <w:rFonts w:ascii="Times New Roman" w:hAnsi="Times New Roman" w:cs="Times New Roman"/>
          <w:b/>
          <w:bCs/>
          <w:sz w:val="20"/>
          <w:szCs w:val="20"/>
        </w:rPr>
      </w:pPr>
      <w:r w:rsidRPr="009A1FB0">
        <w:rPr>
          <w:rFonts w:ascii="Times New Roman" w:hAnsi="Times New Roman" w:cs="Times New Roman"/>
          <w:b/>
          <w:bCs/>
          <w:sz w:val="20"/>
          <w:szCs w:val="20"/>
        </w:rPr>
        <w:t>Table (3</w:t>
      </w:r>
      <w:r w:rsidRPr="009A1FB0">
        <w:rPr>
          <w:rFonts w:ascii="Times New Roman" w:hAnsi="Times New Roman" w:cs="Times New Roman"/>
          <w:sz w:val="20"/>
          <w:szCs w:val="20"/>
        </w:rPr>
        <w:t>): Comparing the studied groups regarding gender</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748"/>
        <w:gridCol w:w="1496"/>
        <w:gridCol w:w="2167"/>
        <w:gridCol w:w="1875"/>
        <w:gridCol w:w="865"/>
        <w:gridCol w:w="780"/>
        <w:gridCol w:w="1491"/>
      </w:tblGrid>
      <w:tr w:rsidR="00937B18" w:rsidRPr="009A1FB0" w:rsidTr="00DA4A9E">
        <w:trPr>
          <w:cantSplit/>
          <w:jc w:val="center"/>
        </w:trPr>
        <w:tc>
          <w:tcPr>
            <w:tcW w:w="1190" w:type="pct"/>
            <w:gridSpan w:val="2"/>
            <w:vMerge w:val="restar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Sex</w:t>
            </w:r>
          </w:p>
        </w:tc>
        <w:tc>
          <w:tcPr>
            <w:tcW w:w="2604" w:type="pct"/>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Group</w:t>
            </w:r>
          </w:p>
        </w:tc>
        <w:tc>
          <w:tcPr>
            <w:tcW w:w="414"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Total</w:t>
            </w:r>
          </w:p>
        </w:tc>
        <w:tc>
          <w:tcPr>
            <w:tcW w:w="792" w:type="pct"/>
            <w:vMerge w:val="restart"/>
            <w:tcBorders>
              <w:top w:val="single" w:sz="16" w:space="0" w:color="000000"/>
              <w:right w:val="single" w:sz="16" w:space="0" w:color="000000"/>
            </w:tcBorders>
            <w:shd w:val="clear" w:color="auto" w:fill="FFFFFF"/>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X</w:t>
            </w:r>
            <w:r w:rsidRPr="009A1FB0">
              <w:rPr>
                <w:rFonts w:ascii="Times New Roman" w:hAnsi="Times New Roman" w:cs="Times New Roman"/>
                <w:b/>
                <w:bCs/>
                <w:color w:val="000000"/>
                <w:sz w:val="20"/>
                <w:szCs w:val="20"/>
                <w:vertAlign w:val="superscript"/>
              </w:rPr>
              <w:t>2</w:t>
            </w:r>
            <w:r w:rsidRPr="009A1FB0">
              <w:rPr>
                <w:rFonts w:ascii="Times New Roman" w:hAnsi="Times New Roman" w:cs="Times New Roman"/>
                <w:b/>
                <w:bCs/>
                <w:color w:val="000000"/>
                <w:sz w:val="20"/>
                <w:szCs w:val="20"/>
              </w:rPr>
              <w:t>=0.12</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b/>
                <w:bCs/>
                <w:color w:val="000000"/>
                <w:sz w:val="20"/>
                <w:szCs w:val="20"/>
              </w:rPr>
              <w:t>&amp;</w:t>
            </w:r>
            <w:r w:rsidR="003F277C" w:rsidRPr="009A1FB0">
              <w:rPr>
                <w:rFonts w:ascii="Times New Roman" w:hAnsi="Times New Roman" w:cs="Times New Roman"/>
                <w:b/>
                <w:bCs/>
                <w:color w:val="000000"/>
                <w:sz w:val="20"/>
                <w:szCs w:val="20"/>
              </w:rPr>
              <w:t xml:space="preserve"> </w:t>
            </w:r>
            <w:r w:rsidRPr="009A1FB0">
              <w:rPr>
                <w:rFonts w:ascii="Times New Roman" w:hAnsi="Times New Roman" w:cs="Times New Roman"/>
                <w:b/>
                <w:bCs/>
                <w:color w:val="000000"/>
                <w:sz w:val="20"/>
                <w:szCs w:val="20"/>
              </w:rPr>
              <w:t>P=0.94 (NS)</w:t>
            </w:r>
          </w:p>
        </w:tc>
      </w:tr>
      <w:tr w:rsidR="00937B18" w:rsidRPr="009A1FB0" w:rsidTr="00DA4A9E">
        <w:trPr>
          <w:cantSplit/>
          <w:jc w:val="center"/>
        </w:trPr>
        <w:tc>
          <w:tcPr>
            <w:tcW w:w="1190" w:type="pct"/>
            <w:gridSpan w:val="2"/>
            <w:vMerge/>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150" w:type="pct"/>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Cirrhotic without OVS</w:t>
            </w:r>
          </w:p>
        </w:tc>
        <w:tc>
          <w:tcPr>
            <w:tcW w:w="995" w:type="pct"/>
            <w:tcBorders>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Cirrhotic with OVS</w:t>
            </w:r>
          </w:p>
        </w:tc>
        <w:tc>
          <w:tcPr>
            <w:tcW w:w="458" w:type="pct"/>
            <w:tcBorders>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Controls</w:t>
            </w:r>
          </w:p>
        </w:tc>
        <w:tc>
          <w:tcPr>
            <w:tcW w:w="414"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92" w:type="pct"/>
            <w:vMerge/>
            <w:tcBorders>
              <w:right w:val="single" w:sz="16" w:space="0" w:color="000000"/>
            </w:tcBorders>
            <w:shd w:val="clear" w:color="auto" w:fill="FFFFFF"/>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DA4A9E">
        <w:trPr>
          <w:cantSplit/>
          <w:jc w:val="center"/>
        </w:trPr>
        <w:tc>
          <w:tcPr>
            <w:tcW w:w="397" w:type="pct"/>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Male</w:t>
            </w:r>
          </w:p>
        </w:tc>
        <w:tc>
          <w:tcPr>
            <w:tcW w:w="79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Count</w:t>
            </w:r>
          </w:p>
        </w:tc>
        <w:tc>
          <w:tcPr>
            <w:tcW w:w="1150"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18</w:t>
            </w:r>
          </w:p>
        </w:tc>
        <w:tc>
          <w:tcPr>
            <w:tcW w:w="995" w:type="pct"/>
            <w:tcBorders>
              <w:top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24</w:t>
            </w:r>
          </w:p>
        </w:tc>
        <w:tc>
          <w:tcPr>
            <w:tcW w:w="458" w:type="pct"/>
            <w:tcBorders>
              <w:top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w:t>
            </w:r>
          </w:p>
        </w:tc>
        <w:tc>
          <w:tcPr>
            <w:tcW w:w="414"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52</w:t>
            </w:r>
          </w:p>
        </w:tc>
        <w:tc>
          <w:tcPr>
            <w:tcW w:w="792" w:type="pct"/>
            <w:vMerge/>
            <w:tcBorders>
              <w:right w:val="single" w:sz="16" w:space="0" w:color="000000"/>
            </w:tcBorders>
            <w:shd w:val="clear" w:color="auto" w:fill="FFFFFF"/>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DA4A9E">
        <w:trPr>
          <w:cantSplit/>
          <w:jc w:val="center"/>
        </w:trPr>
        <w:tc>
          <w:tcPr>
            <w:tcW w:w="397" w:type="pct"/>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94" w:type="pct"/>
            <w:tcBorders>
              <w:top w:val="nil"/>
              <w:left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 within group</w:t>
            </w:r>
          </w:p>
        </w:tc>
        <w:tc>
          <w:tcPr>
            <w:tcW w:w="1150" w:type="pct"/>
            <w:tcBorders>
              <w:top w:val="nil"/>
              <w:lef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58.1%</w:t>
            </w:r>
          </w:p>
        </w:tc>
        <w:tc>
          <w:tcPr>
            <w:tcW w:w="995" w:type="pct"/>
            <w:tcBorders>
              <w:top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61.5%</w:t>
            </w:r>
          </w:p>
        </w:tc>
        <w:tc>
          <w:tcPr>
            <w:tcW w:w="458" w:type="pct"/>
            <w:tcBorders>
              <w:top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62.5%</w:t>
            </w:r>
          </w:p>
        </w:tc>
        <w:tc>
          <w:tcPr>
            <w:tcW w:w="414" w:type="pct"/>
            <w:tcBorders>
              <w:top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60.5%</w:t>
            </w:r>
          </w:p>
        </w:tc>
        <w:tc>
          <w:tcPr>
            <w:tcW w:w="792" w:type="pct"/>
            <w:vMerge/>
            <w:tcBorders>
              <w:right w:val="single" w:sz="16" w:space="0" w:color="000000"/>
            </w:tcBorders>
            <w:shd w:val="clear" w:color="auto" w:fill="FFFFFF"/>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DA4A9E">
        <w:trPr>
          <w:cantSplit/>
          <w:jc w:val="center"/>
        </w:trPr>
        <w:tc>
          <w:tcPr>
            <w:tcW w:w="397" w:type="pct"/>
            <w:vMerge w:val="restart"/>
            <w:tcBorders>
              <w:left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Female</w:t>
            </w:r>
          </w:p>
        </w:tc>
        <w:tc>
          <w:tcPr>
            <w:tcW w:w="794" w:type="pct"/>
            <w:tcBorders>
              <w:left w:val="nil"/>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Count</w:t>
            </w:r>
          </w:p>
        </w:tc>
        <w:tc>
          <w:tcPr>
            <w:tcW w:w="1150" w:type="pct"/>
            <w:tcBorders>
              <w:left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13</w:t>
            </w:r>
          </w:p>
        </w:tc>
        <w:tc>
          <w:tcPr>
            <w:tcW w:w="995" w:type="pct"/>
            <w:tcBorders>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15</w:t>
            </w:r>
          </w:p>
        </w:tc>
        <w:tc>
          <w:tcPr>
            <w:tcW w:w="458" w:type="pct"/>
            <w:tcBorders>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w:t>
            </w:r>
          </w:p>
        </w:tc>
        <w:tc>
          <w:tcPr>
            <w:tcW w:w="414" w:type="pct"/>
            <w:tcBorders>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34</w:t>
            </w:r>
          </w:p>
        </w:tc>
        <w:tc>
          <w:tcPr>
            <w:tcW w:w="792" w:type="pct"/>
            <w:vMerge/>
            <w:tcBorders>
              <w:right w:val="single" w:sz="16" w:space="0" w:color="000000"/>
            </w:tcBorders>
            <w:shd w:val="clear" w:color="auto" w:fill="FFFFFF"/>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DA4A9E">
        <w:trPr>
          <w:cantSplit/>
          <w:jc w:val="center"/>
        </w:trPr>
        <w:tc>
          <w:tcPr>
            <w:tcW w:w="397" w:type="pct"/>
            <w:vMerge/>
            <w:tcBorders>
              <w:left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94" w:type="pct"/>
            <w:tcBorders>
              <w:top w:val="nil"/>
              <w:left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 within group</w:t>
            </w:r>
          </w:p>
        </w:tc>
        <w:tc>
          <w:tcPr>
            <w:tcW w:w="1150" w:type="pct"/>
            <w:tcBorders>
              <w:top w:val="nil"/>
              <w:lef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41.9%</w:t>
            </w:r>
          </w:p>
        </w:tc>
        <w:tc>
          <w:tcPr>
            <w:tcW w:w="995" w:type="pct"/>
            <w:tcBorders>
              <w:top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38.5%</w:t>
            </w:r>
          </w:p>
        </w:tc>
        <w:tc>
          <w:tcPr>
            <w:tcW w:w="458" w:type="pct"/>
            <w:tcBorders>
              <w:top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37.5%</w:t>
            </w:r>
          </w:p>
        </w:tc>
        <w:tc>
          <w:tcPr>
            <w:tcW w:w="414" w:type="pct"/>
            <w:tcBorders>
              <w:top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39.5%</w:t>
            </w:r>
          </w:p>
        </w:tc>
        <w:tc>
          <w:tcPr>
            <w:tcW w:w="792" w:type="pct"/>
            <w:vMerge/>
            <w:tcBorders>
              <w:right w:val="single" w:sz="16" w:space="0" w:color="000000"/>
            </w:tcBorders>
            <w:shd w:val="clear" w:color="auto" w:fill="FFFFFF"/>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DA4A9E">
        <w:trPr>
          <w:cantSplit/>
          <w:jc w:val="center"/>
        </w:trPr>
        <w:tc>
          <w:tcPr>
            <w:tcW w:w="397" w:type="pct"/>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Total</w:t>
            </w:r>
          </w:p>
        </w:tc>
        <w:tc>
          <w:tcPr>
            <w:tcW w:w="794" w:type="pct"/>
            <w:tcBorders>
              <w:left w:val="nil"/>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Count</w:t>
            </w:r>
          </w:p>
        </w:tc>
        <w:tc>
          <w:tcPr>
            <w:tcW w:w="1150" w:type="pct"/>
            <w:tcBorders>
              <w:left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w:t>
            </w:r>
          </w:p>
        </w:tc>
        <w:tc>
          <w:tcPr>
            <w:tcW w:w="995" w:type="pct"/>
            <w:tcBorders>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w:t>
            </w:r>
          </w:p>
        </w:tc>
        <w:tc>
          <w:tcPr>
            <w:tcW w:w="458" w:type="pct"/>
            <w:tcBorders>
              <w:bottom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16</w:t>
            </w:r>
          </w:p>
        </w:tc>
        <w:tc>
          <w:tcPr>
            <w:tcW w:w="414" w:type="pct"/>
            <w:tcBorders>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86</w:t>
            </w:r>
          </w:p>
        </w:tc>
        <w:tc>
          <w:tcPr>
            <w:tcW w:w="792" w:type="pct"/>
            <w:vMerge/>
            <w:tcBorders>
              <w:bottom w:val="nil"/>
              <w:right w:val="single" w:sz="16" w:space="0" w:color="000000"/>
            </w:tcBorders>
            <w:shd w:val="clear" w:color="auto" w:fill="FFFFFF"/>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DA4A9E">
        <w:trPr>
          <w:cantSplit/>
          <w:jc w:val="center"/>
        </w:trPr>
        <w:tc>
          <w:tcPr>
            <w:tcW w:w="397" w:type="pct"/>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9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 within group</w:t>
            </w:r>
          </w:p>
        </w:tc>
        <w:tc>
          <w:tcPr>
            <w:tcW w:w="1150"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995" w:type="pct"/>
            <w:tcBorders>
              <w:top w:val="nil"/>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458" w:type="pct"/>
            <w:tcBorders>
              <w:top w:val="nil"/>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414"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792" w:type="pct"/>
            <w:tcBorders>
              <w:top w:val="nil"/>
              <w:bottom w:val="single" w:sz="16" w:space="0" w:color="000000"/>
              <w:right w:val="single" w:sz="16" w:space="0" w:color="000000"/>
            </w:tcBorders>
            <w:shd w:val="clear" w:color="auto" w:fill="FFFFFF"/>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bl>
    <w:p w:rsidR="006D3B19" w:rsidRPr="009A1FB0" w:rsidRDefault="006D3B19" w:rsidP="006D3B19">
      <w:pPr>
        <w:autoSpaceDE w:val="0"/>
        <w:autoSpaceDN w:val="0"/>
        <w:bidi w:val="0"/>
        <w:adjustRightInd w:val="0"/>
        <w:snapToGrid w:val="0"/>
        <w:spacing w:after="0" w:line="240" w:lineRule="auto"/>
        <w:ind w:firstLine="425"/>
        <w:jc w:val="both"/>
        <w:rPr>
          <w:rFonts w:ascii="Times New Roman" w:hAnsi="Times New Roman" w:cs="Times New Roman"/>
          <w:b/>
          <w:bCs/>
          <w:sz w:val="20"/>
          <w:szCs w:val="20"/>
          <w:highlight w:val="green"/>
        </w:rPr>
      </w:pPr>
    </w:p>
    <w:p w:rsidR="00937B18" w:rsidRPr="009A1FB0" w:rsidRDefault="00937B18"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lang w:bidi="ar-EG"/>
        </w:rPr>
        <w:t>This table shows that there was no statistically significant relation between sex and esophageal varices presence.</w:t>
      </w:r>
    </w:p>
    <w:p w:rsidR="00937B18" w:rsidRPr="009A1FB0" w:rsidRDefault="00937B18" w:rsidP="006D3B19">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b/>
          <w:bCs/>
          <w:sz w:val="20"/>
          <w:szCs w:val="20"/>
        </w:rPr>
        <w:t>Table (4):</w:t>
      </w:r>
      <w:r w:rsidRPr="009A1FB0">
        <w:rPr>
          <w:rFonts w:ascii="Times New Roman" w:hAnsi="Times New Roman" w:cs="Times New Roman"/>
          <w:sz w:val="20"/>
          <w:szCs w:val="20"/>
        </w:rPr>
        <w:t xml:space="preserve"> Comparison between the studied </w:t>
      </w:r>
      <w:r w:rsidR="007B5DBF" w:rsidRPr="009A1FB0">
        <w:rPr>
          <w:rFonts w:ascii="Times New Roman" w:hAnsi="Times New Roman" w:cs="Times New Roman"/>
          <w:sz w:val="20"/>
          <w:szCs w:val="20"/>
        </w:rPr>
        <w:t>groups with</w:t>
      </w:r>
      <w:r w:rsidRPr="009A1FB0">
        <w:rPr>
          <w:rFonts w:ascii="Times New Roman" w:hAnsi="Times New Roman" w:cs="Times New Roman"/>
          <w:sz w:val="20"/>
          <w:szCs w:val="20"/>
        </w:rPr>
        <w:t xml:space="preserve"> and without varices and control group regarding their Age and body mass index.</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1090"/>
        <w:gridCol w:w="1274"/>
        <w:gridCol w:w="1142"/>
        <w:gridCol w:w="1107"/>
        <w:gridCol w:w="992"/>
        <w:gridCol w:w="864"/>
        <w:gridCol w:w="776"/>
        <w:gridCol w:w="1078"/>
        <w:gridCol w:w="1255"/>
      </w:tblGrid>
      <w:tr w:rsidR="00937B18" w:rsidRPr="009A1FB0" w:rsidTr="00DA4A9E">
        <w:trPr>
          <w:jc w:val="center"/>
        </w:trPr>
        <w:tc>
          <w:tcPr>
            <w:tcW w:w="569" w:type="pct"/>
            <w:vMerge w:val="restart"/>
            <w:tcBorders>
              <w:top w:val="thinThickSmallGap" w:sz="12" w:space="0" w:color="auto"/>
              <w:lef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Variable</w:t>
            </w:r>
          </w:p>
        </w:tc>
        <w:tc>
          <w:tcPr>
            <w:tcW w:w="1261" w:type="pct"/>
            <w:gridSpan w:val="2"/>
            <w:tcBorders>
              <w:top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bookmarkStart w:id="1" w:name="OLE_LINK3"/>
            <w:bookmarkStart w:id="2" w:name="OLE_LINK4"/>
            <w:r w:rsidRPr="009A1FB0">
              <w:rPr>
                <w:rFonts w:ascii="Times New Roman" w:hAnsi="Times New Roman" w:cs="Times New Roman"/>
                <w:b/>
                <w:bCs/>
                <w:color w:val="000000"/>
                <w:sz w:val="20"/>
                <w:szCs w:val="20"/>
              </w:rPr>
              <w:t>Cirrhotic without EVs</w:t>
            </w:r>
          </w:p>
          <w:bookmarkEnd w:id="1"/>
          <w:bookmarkEnd w:id="2"/>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(N=31)</w:t>
            </w:r>
          </w:p>
        </w:tc>
        <w:tc>
          <w:tcPr>
            <w:tcW w:w="1096" w:type="pct"/>
            <w:gridSpan w:val="2"/>
            <w:tcBorders>
              <w:top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(N=39)</w:t>
            </w:r>
          </w:p>
        </w:tc>
        <w:tc>
          <w:tcPr>
            <w:tcW w:w="856" w:type="pct"/>
            <w:gridSpan w:val="2"/>
            <w:tcBorders>
              <w:top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bookmarkStart w:id="3" w:name="OLE_LINK5"/>
            <w:r w:rsidRPr="009A1FB0">
              <w:rPr>
                <w:rFonts w:ascii="Times New Roman" w:hAnsi="Times New Roman" w:cs="Times New Roman"/>
                <w:b/>
                <w:bCs/>
                <w:color w:val="000000"/>
                <w:sz w:val="20"/>
                <w:szCs w:val="20"/>
              </w:rPr>
              <w:t>Control group</w:t>
            </w:r>
          </w:p>
          <w:bookmarkEnd w:id="3"/>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(N=16)</w:t>
            </w:r>
          </w:p>
        </w:tc>
        <w:tc>
          <w:tcPr>
            <w:tcW w:w="563" w:type="pct"/>
            <w:vMerge w:val="restart"/>
            <w:tcBorders>
              <w:top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ANOVA</w:t>
            </w:r>
          </w:p>
        </w:tc>
        <w:tc>
          <w:tcPr>
            <w:tcW w:w="655" w:type="pct"/>
            <w:vMerge w:val="restart"/>
            <w:tcBorders>
              <w:top w:val="thinThickSmallGap" w:sz="12" w:space="0" w:color="auto"/>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937B18" w:rsidRPr="009A1FB0" w:rsidTr="00DA4A9E">
        <w:trPr>
          <w:jc w:val="center"/>
        </w:trPr>
        <w:tc>
          <w:tcPr>
            <w:tcW w:w="569" w:type="pct"/>
            <w:vMerge/>
            <w:tcBorders>
              <w:lef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66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596"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578"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518"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451"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40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563" w:type="pct"/>
            <w:vMerge/>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655" w:type="pct"/>
            <w:vMerge/>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r>
      <w:tr w:rsidR="00937B18" w:rsidRPr="009A1FB0" w:rsidTr="00DA4A9E">
        <w:trPr>
          <w:jc w:val="center"/>
        </w:trPr>
        <w:tc>
          <w:tcPr>
            <w:tcW w:w="569" w:type="pct"/>
            <w:tcBorders>
              <w:lef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Age (ys)</w:t>
            </w:r>
          </w:p>
        </w:tc>
        <w:tc>
          <w:tcPr>
            <w:tcW w:w="66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54.9</w:t>
            </w:r>
          </w:p>
        </w:tc>
        <w:tc>
          <w:tcPr>
            <w:tcW w:w="596"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6.64</w:t>
            </w:r>
          </w:p>
        </w:tc>
        <w:tc>
          <w:tcPr>
            <w:tcW w:w="578"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50.7</w:t>
            </w:r>
          </w:p>
        </w:tc>
        <w:tc>
          <w:tcPr>
            <w:tcW w:w="518"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7.28</w:t>
            </w:r>
          </w:p>
        </w:tc>
        <w:tc>
          <w:tcPr>
            <w:tcW w:w="451"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50.2</w:t>
            </w:r>
          </w:p>
        </w:tc>
        <w:tc>
          <w:tcPr>
            <w:tcW w:w="405"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13.6</w:t>
            </w:r>
          </w:p>
        </w:tc>
        <w:tc>
          <w:tcPr>
            <w:tcW w:w="563" w:type="pct"/>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2.53</w:t>
            </w:r>
          </w:p>
        </w:tc>
        <w:tc>
          <w:tcPr>
            <w:tcW w:w="655" w:type="pct"/>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0.086 (NS)</w:t>
            </w:r>
          </w:p>
        </w:tc>
      </w:tr>
      <w:tr w:rsidR="00937B18" w:rsidRPr="009A1FB0" w:rsidTr="00DA4A9E">
        <w:trPr>
          <w:jc w:val="center"/>
        </w:trPr>
        <w:tc>
          <w:tcPr>
            <w:tcW w:w="569" w:type="pct"/>
            <w:tcBorders>
              <w:left w:val="thinThickSmallGap" w:sz="12" w:space="0" w:color="auto"/>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BMI</w:t>
            </w:r>
          </w:p>
        </w:tc>
        <w:tc>
          <w:tcPr>
            <w:tcW w:w="665"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26.1</w:t>
            </w:r>
          </w:p>
        </w:tc>
        <w:tc>
          <w:tcPr>
            <w:tcW w:w="596"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2.21</w:t>
            </w:r>
          </w:p>
        </w:tc>
        <w:tc>
          <w:tcPr>
            <w:tcW w:w="578"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27.5‡</w:t>
            </w:r>
          </w:p>
        </w:tc>
        <w:tc>
          <w:tcPr>
            <w:tcW w:w="518"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2.19</w:t>
            </w:r>
          </w:p>
        </w:tc>
        <w:tc>
          <w:tcPr>
            <w:tcW w:w="451"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26.5</w:t>
            </w:r>
          </w:p>
        </w:tc>
        <w:tc>
          <w:tcPr>
            <w:tcW w:w="405"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1.26</w:t>
            </w:r>
          </w:p>
        </w:tc>
        <w:tc>
          <w:tcPr>
            <w:tcW w:w="563" w:type="pct"/>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3.71</w:t>
            </w:r>
          </w:p>
        </w:tc>
        <w:tc>
          <w:tcPr>
            <w:tcW w:w="655" w:type="pct"/>
            <w:tcBorders>
              <w:bottom w:val="thinThickSmallGap" w:sz="12" w:space="0" w:color="auto"/>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0.029 (S)</w:t>
            </w:r>
          </w:p>
        </w:tc>
      </w:tr>
    </w:tbl>
    <w:p w:rsidR="006D3B19" w:rsidRPr="009A1FB0" w:rsidRDefault="006D3B19" w:rsidP="006D3B19">
      <w:pPr>
        <w:bidi w:val="0"/>
        <w:snapToGrid w:val="0"/>
        <w:spacing w:after="0" w:line="240" w:lineRule="auto"/>
        <w:ind w:firstLine="425"/>
        <w:jc w:val="both"/>
        <w:rPr>
          <w:rFonts w:ascii="Times New Roman" w:hAnsi="Times New Roman" w:cs="Times New Roman"/>
          <w:sz w:val="20"/>
          <w:szCs w:val="20"/>
          <w:lang w:bidi="ar-EG"/>
        </w:rPr>
      </w:pPr>
    </w:p>
    <w:p w:rsidR="006D3B19" w:rsidRPr="009A1FB0" w:rsidRDefault="006D3B19" w:rsidP="006D3B19">
      <w:pPr>
        <w:bidi w:val="0"/>
        <w:snapToGrid w:val="0"/>
        <w:spacing w:after="0" w:line="240" w:lineRule="auto"/>
        <w:ind w:firstLine="425"/>
        <w:jc w:val="both"/>
        <w:rPr>
          <w:rFonts w:ascii="Times New Roman" w:hAnsi="Times New Roman" w:cs="Times New Roman"/>
          <w:sz w:val="20"/>
          <w:szCs w:val="20"/>
          <w:lang w:bidi="ar-EG"/>
        </w:rPr>
        <w:sectPr w:rsidR="006D3B19" w:rsidRPr="009A1FB0" w:rsidSect="004721E2">
          <w:headerReference w:type="default" r:id="rId17"/>
          <w:footerReference w:type="default" r:id="rId18"/>
          <w:type w:val="continuous"/>
          <w:pgSz w:w="12242" w:h="15842" w:code="1"/>
          <w:pgMar w:top="1440" w:right="1440" w:bottom="1440" w:left="1440" w:header="720" w:footer="720" w:gutter="0"/>
          <w:cols w:space="708"/>
          <w:bidi/>
          <w:docGrid w:linePitch="360"/>
        </w:sectPr>
      </w:pP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lang w:bidi="ar-EG"/>
        </w:rPr>
        <w:lastRenderedPageBreak/>
        <w:t xml:space="preserve">This table shows that there was NO statistically significant relation between Age and esophageal varices presence. This table shows that there was </w:t>
      </w:r>
      <w:r w:rsidRPr="009A1FB0">
        <w:rPr>
          <w:rFonts w:ascii="Times New Roman" w:hAnsi="Times New Roman" w:cs="Times New Roman"/>
          <w:sz w:val="20"/>
          <w:szCs w:val="20"/>
          <w:lang w:bidi="ar-EG"/>
        </w:rPr>
        <w:lastRenderedPageBreak/>
        <w:t>statistically significant relation between increased BMI and esophageal varices presence.</w:t>
      </w:r>
    </w:p>
    <w:p w:rsidR="006D3B19" w:rsidRPr="009A1FB0" w:rsidRDefault="006D3B19" w:rsidP="006D3B19">
      <w:pPr>
        <w:bidi w:val="0"/>
        <w:snapToGrid w:val="0"/>
        <w:spacing w:after="0" w:line="240" w:lineRule="auto"/>
        <w:jc w:val="both"/>
        <w:rPr>
          <w:rFonts w:ascii="Times New Roman" w:hAnsi="Times New Roman" w:cs="Times New Roman"/>
          <w:b/>
          <w:bCs/>
          <w:sz w:val="20"/>
          <w:szCs w:val="20"/>
        </w:rPr>
      </w:pPr>
    </w:p>
    <w:p w:rsidR="006D3B19" w:rsidRPr="009A1FB0" w:rsidRDefault="006D3B19" w:rsidP="006D3B19">
      <w:pPr>
        <w:bidi w:val="0"/>
        <w:snapToGrid w:val="0"/>
        <w:spacing w:after="0" w:line="240" w:lineRule="auto"/>
        <w:jc w:val="both"/>
        <w:rPr>
          <w:rFonts w:ascii="Times New Roman" w:hAnsi="Times New Roman" w:cs="Times New Roman"/>
          <w:b/>
          <w:bCs/>
          <w:sz w:val="20"/>
          <w:szCs w:val="20"/>
        </w:rPr>
        <w:sectPr w:rsidR="006D3B19" w:rsidRPr="009A1FB0" w:rsidSect="006D3B19">
          <w:headerReference w:type="default" r:id="rId19"/>
          <w:footerReference w:type="default" r:id="rId20"/>
          <w:type w:val="continuous"/>
          <w:pgSz w:w="12242" w:h="15842" w:code="1"/>
          <w:pgMar w:top="1440" w:right="1440" w:bottom="1440" w:left="1440" w:header="720" w:footer="720" w:gutter="0"/>
          <w:cols w:num="2" w:space="550"/>
          <w:docGrid w:linePitch="360"/>
        </w:sectPr>
      </w:pPr>
    </w:p>
    <w:p w:rsidR="00937B18" w:rsidRPr="009A1FB0" w:rsidRDefault="00937B18" w:rsidP="006D3B19">
      <w:pPr>
        <w:bidi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b/>
          <w:bCs/>
          <w:sz w:val="20"/>
          <w:szCs w:val="20"/>
        </w:rPr>
        <w:lastRenderedPageBreak/>
        <w:t>Table (5</w:t>
      </w:r>
      <w:r w:rsidRPr="009A1FB0">
        <w:rPr>
          <w:rFonts w:ascii="Times New Roman" w:hAnsi="Times New Roman" w:cs="Times New Roman"/>
          <w:sz w:val="20"/>
          <w:szCs w:val="20"/>
        </w:rPr>
        <w:t>): Comparison between patients with and without varices</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regarding to fasting blood glucose, CBC and serum creatinine.</w:t>
      </w:r>
    </w:p>
    <w:tbl>
      <w:tblPr>
        <w:tblW w:w="9286" w:type="dxa"/>
        <w:jc w:val="center"/>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1774"/>
        <w:gridCol w:w="1195"/>
        <w:gridCol w:w="1356"/>
        <w:gridCol w:w="812"/>
        <w:gridCol w:w="1085"/>
        <w:gridCol w:w="1305"/>
        <w:gridCol w:w="1759"/>
      </w:tblGrid>
      <w:tr w:rsidR="00937B18" w:rsidRPr="009A1FB0" w:rsidTr="006D3B19">
        <w:trPr>
          <w:trHeight w:val="357"/>
          <w:jc w:val="center"/>
        </w:trPr>
        <w:tc>
          <w:tcPr>
            <w:tcW w:w="1774" w:type="dxa"/>
            <w:vMerge w:val="restart"/>
            <w:tcBorders>
              <w:top w:val="thinThickSmallGap" w:sz="12" w:space="0" w:color="auto"/>
              <w:lef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Variable</w:t>
            </w:r>
          </w:p>
        </w:tc>
        <w:tc>
          <w:tcPr>
            <w:tcW w:w="2551" w:type="dxa"/>
            <w:gridSpan w:val="2"/>
            <w:tcBorders>
              <w:top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Cirrhotic without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(N=31)</w:t>
            </w:r>
          </w:p>
        </w:tc>
        <w:tc>
          <w:tcPr>
            <w:tcW w:w="1897" w:type="dxa"/>
            <w:gridSpan w:val="2"/>
            <w:tcBorders>
              <w:top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Cirrhotic with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(N=39)</w:t>
            </w:r>
          </w:p>
        </w:tc>
        <w:tc>
          <w:tcPr>
            <w:tcW w:w="1305" w:type="dxa"/>
            <w:vMerge w:val="restart"/>
            <w:tcBorders>
              <w:top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St.'t"</w:t>
            </w:r>
          </w:p>
        </w:tc>
        <w:tc>
          <w:tcPr>
            <w:tcW w:w="1759" w:type="dxa"/>
            <w:vMerge w:val="restart"/>
            <w:tcBorders>
              <w:top w:val="thinThickSmallGap" w:sz="12" w:space="0" w:color="auto"/>
              <w:right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937B18" w:rsidRPr="009A1FB0" w:rsidTr="006D3B19">
        <w:trPr>
          <w:trHeight w:val="111"/>
          <w:jc w:val="center"/>
        </w:trPr>
        <w:tc>
          <w:tcPr>
            <w:tcW w:w="1774" w:type="dxa"/>
            <w:vMerge/>
            <w:tcBorders>
              <w:lef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195"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Mean</w:t>
            </w:r>
          </w:p>
        </w:tc>
        <w:tc>
          <w:tcPr>
            <w:tcW w:w="1356"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 SD</w:t>
            </w:r>
          </w:p>
        </w:tc>
        <w:tc>
          <w:tcPr>
            <w:tcW w:w="812"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Mean</w:t>
            </w:r>
          </w:p>
        </w:tc>
        <w:tc>
          <w:tcPr>
            <w:tcW w:w="1085"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305" w:type="dxa"/>
            <w:vMerge/>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759" w:type="dxa"/>
            <w:vMerge/>
            <w:tcBorders>
              <w:right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6D3B19">
        <w:trPr>
          <w:trHeight w:val="175"/>
          <w:jc w:val="center"/>
        </w:trPr>
        <w:tc>
          <w:tcPr>
            <w:tcW w:w="1774" w:type="dxa"/>
            <w:tcBorders>
              <w:left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FBS (mg/dl)</w:t>
            </w:r>
          </w:p>
        </w:tc>
        <w:tc>
          <w:tcPr>
            <w:tcW w:w="119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102.1</w:t>
            </w:r>
          </w:p>
        </w:tc>
        <w:tc>
          <w:tcPr>
            <w:tcW w:w="135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36.3</w:t>
            </w:r>
          </w:p>
        </w:tc>
        <w:tc>
          <w:tcPr>
            <w:tcW w:w="81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98.3</w:t>
            </w:r>
          </w:p>
        </w:tc>
        <w:tc>
          <w:tcPr>
            <w:tcW w:w="10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7.9</w:t>
            </w:r>
          </w:p>
        </w:tc>
        <w:tc>
          <w:tcPr>
            <w:tcW w:w="1305"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0.63</w:t>
            </w:r>
          </w:p>
        </w:tc>
        <w:tc>
          <w:tcPr>
            <w:tcW w:w="1759" w:type="dxa"/>
            <w:tcBorders>
              <w:right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0.53 (NS)</w:t>
            </w:r>
          </w:p>
        </w:tc>
      </w:tr>
      <w:tr w:rsidR="00937B18" w:rsidRPr="009A1FB0" w:rsidTr="006D3B19">
        <w:trPr>
          <w:trHeight w:val="175"/>
          <w:jc w:val="center"/>
        </w:trPr>
        <w:tc>
          <w:tcPr>
            <w:tcW w:w="1774" w:type="dxa"/>
            <w:tcBorders>
              <w:left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Hb% (gm/dl)</w:t>
            </w:r>
          </w:p>
        </w:tc>
        <w:tc>
          <w:tcPr>
            <w:tcW w:w="119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13.3</w:t>
            </w:r>
          </w:p>
        </w:tc>
        <w:tc>
          <w:tcPr>
            <w:tcW w:w="135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1.82</w:t>
            </w:r>
          </w:p>
        </w:tc>
        <w:tc>
          <w:tcPr>
            <w:tcW w:w="81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11.4</w:t>
            </w:r>
          </w:p>
        </w:tc>
        <w:tc>
          <w:tcPr>
            <w:tcW w:w="10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0.56</w:t>
            </w:r>
          </w:p>
        </w:tc>
        <w:tc>
          <w:tcPr>
            <w:tcW w:w="1305"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6.56</w:t>
            </w:r>
          </w:p>
        </w:tc>
        <w:tc>
          <w:tcPr>
            <w:tcW w:w="1759" w:type="dxa"/>
            <w:tcBorders>
              <w:right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 (HS)</w:t>
            </w:r>
          </w:p>
        </w:tc>
      </w:tr>
      <w:tr w:rsidR="00937B18" w:rsidRPr="009A1FB0" w:rsidTr="006D3B19">
        <w:trPr>
          <w:trHeight w:val="182"/>
          <w:jc w:val="center"/>
        </w:trPr>
        <w:tc>
          <w:tcPr>
            <w:tcW w:w="1774" w:type="dxa"/>
            <w:tcBorders>
              <w:left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 xml:space="preserve">WBCs ( </w:t>
            </w:r>
            <w:r w:rsidRPr="009A1FB0">
              <w:rPr>
                <w:rFonts w:ascii="Times New Roman" w:hAnsi="Times New Roman" w:cs="Times New Roman"/>
                <w:b/>
                <w:bCs/>
                <w:color w:val="000000"/>
                <w:sz w:val="20"/>
                <w:szCs w:val="20"/>
              </w:rPr>
              <w:t>/mm</w:t>
            </w:r>
            <w:r w:rsidRPr="009A1FB0">
              <w:rPr>
                <w:rFonts w:ascii="Times New Roman" w:hAnsi="Times New Roman" w:cs="Times New Roman"/>
                <w:b/>
                <w:bCs/>
                <w:color w:val="000000"/>
                <w:sz w:val="20"/>
                <w:szCs w:val="20"/>
                <w:vertAlign w:val="superscript"/>
              </w:rPr>
              <w:t>3</w:t>
            </w:r>
            <w:r w:rsidRPr="009A1FB0">
              <w:rPr>
                <w:rFonts w:ascii="Times New Roman" w:hAnsi="Times New Roman" w:cs="Times New Roman"/>
                <w:b/>
                <w:bCs/>
                <w:color w:val="000000"/>
                <w:sz w:val="20"/>
                <w:szCs w:val="20"/>
                <w:lang w:bidi="ar-EG"/>
              </w:rPr>
              <w:t>)</w:t>
            </w:r>
          </w:p>
        </w:tc>
        <w:tc>
          <w:tcPr>
            <w:tcW w:w="119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5.3</w:t>
            </w:r>
          </w:p>
        </w:tc>
        <w:tc>
          <w:tcPr>
            <w:tcW w:w="135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2.47</w:t>
            </w:r>
          </w:p>
        </w:tc>
        <w:tc>
          <w:tcPr>
            <w:tcW w:w="81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bookmarkStart w:id="4" w:name="OLE_LINK1"/>
            <w:r w:rsidRPr="009A1FB0">
              <w:rPr>
                <w:rFonts w:ascii="Times New Roman" w:hAnsi="Times New Roman" w:cs="Times New Roman"/>
                <w:color w:val="000000"/>
                <w:sz w:val="20"/>
                <w:szCs w:val="20"/>
              </w:rPr>
              <w:t>4.</w:t>
            </w:r>
            <w:bookmarkEnd w:id="4"/>
            <w:r w:rsidRPr="009A1FB0">
              <w:rPr>
                <w:rFonts w:ascii="Times New Roman" w:hAnsi="Times New Roman" w:cs="Times New Roman"/>
                <w:color w:val="000000"/>
                <w:sz w:val="20"/>
                <w:szCs w:val="20"/>
              </w:rPr>
              <w:t>95</w:t>
            </w:r>
          </w:p>
        </w:tc>
        <w:tc>
          <w:tcPr>
            <w:tcW w:w="10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1.47</w:t>
            </w:r>
          </w:p>
        </w:tc>
        <w:tc>
          <w:tcPr>
            <w:tcW w:w="1305"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0.74</w:t>
            </w:r>
          </w:p>
        </w:tc>
        <w:tc>
          <w:tcPr>
            <w:tcW w:w="1759" w:type="dxa"/>
            <w:tcBorders>
              <w:right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0.46 (NS)</w:t>
            </w:r>
          </w:p>
        </w:tc>
      </w:tr>
      <w:tr w:rsidR="00937B18" w:rsidRPr="009A1FB0" w:rsidTr="006D3B19">
        <w:trPr>
          <w:trHeight w:val="175"/>
          <w:jc w:val="center"/>
        </w:trPr>
        <w:tc>
          <w:tcPr>
            <w:tcW w:w="1774" w:type="dxa"/>
            <w:tcBorders>
              <w:left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 xml:space="preserve">PLTs ( </w:t>
            </w:r>
            <w:r w:rsidRPr="009A1FB0">
              <w:rPr>
                <w:rFonts w:ascii="Times New Roman" w:hAnsi="Times New Roman" w:cs="Times New Roman"/>
                <w:b/>
                <w:bCs/>
                <w:color w:val="000000"/>
                <w:sz w:val="20"/>
                <w:szCs w:val="20"/>
              </w:rPr>
              <w:t>/mm</w:t>
            </w:r>
            <w:r w:rsidRPr="009A1FB0">
              <w:rPr>
                <w:rFonts w:ascii="Times New Roman" w:hAnsi="Times New Roman" w:cs="Times New Roman"/>
                <w:b/>
                <w:bCs/>
                <w:color w:val="000000"/>
                <w:sz w:val="20"/>
                <w:szCs w:val="20"/>
                <w:vertAlign w:val="superscript"/>
              </w:rPr>
              <w:t>3</w:t>
            </w:r>
            <w:r w:rsidRPr="009A1FB0">
              <w:rPr>
                <w:rFonts w:ascii="Times New Roman" w:hAnsi="Times New Roman" w:cs="Times New Roman"/>
                <w:b/>
                <w:bCs/>
                <w:color w:val="000000"/>
                <w:sz w:val="20"/>
                <w:szCs w:val="20"/>
                <w:lang w:bidi="ar-EG"/>
              </w:rPr>
              <w:t>)</w:t>
            </w:r>
          </w:p>
        </w:tc>
        <w:tc>
          <w:tcPr>
            <w:tcW w:w="119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bookmarkStart w:id="5" w:name="OLE_LINK8"/>
            <w:r w:rsidRPr="009A1FB0">
              <w:rPr>
                <w:rFonts w:ascii="Times New Roman" w:hAnsi="Times New Roman" w:cs="Times New Roman"/>
                <w:color w:val="000000"/>
                <w:sz w:val="20"/>
                <w:szCs w:val="20"/>
              </w:rPr>
              <w:t>106.7</w:t>
            </w:r>
            <w:bookmarkEnd w:id="5"/>
          </w:p>
        </w:tc>
        <w:tc>
          <w:tcPr>
            <w:tcW w:w="135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34.4</w:t>
            </w:r>
          </w:p>
        </w:tc>
        <w:tc>
          <w:tcPr>
            <w:tcW w:w="81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90.02</w:t>
            </w:r>
          </w:p>
        </w:tc>
        <w:tc>
          <w:tcPr>
            <w:tcW w:w="10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24.48</w:t>
            </w:r>
          </w:p>
        </w:tc>
        <w:tc>
          <w:tcPr>
            <w:tcW w:w="1305"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2.37</w:t>
            </w:r>
          </w:p>
        </w:tc>
        <w:tc>
          <w:tcPr>
            <w:tcW w:w="1759" w:type="dxa"/>
            <w:tcBorders>
              <w:right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0.02 (S)</w:t>
            </w:r>
          </w:p>
        </w:tc>
      </w:tr>
      <w:tr w:rsidR="00937B18" w:rsidRPr="009A1FB0" w:rsidTr="006D3B19">
        <w:trPr>
          <w:trHeight w:val="357"/>
          <w:jc w:val="center"/>
        </w:trPr>
        <w:tc>
          <w:tcPr>
            <w:tcW w:w="1774" w:type="dxa"/>
            <w:tcBorders>
              <w:left w:val="thinThickSmallGap" w:sz="12" w:space="0" w:color="auto"/>
              <w:bottom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Creatinine</w:t>
            </w:r>
          </w:p>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(mg/dl)</w:t>
            </w:r>
          </w:p>
        </w:tc>
        <w:tc>
          <w:tcPr>
            <w:tcW w:w="1195"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0.83</w:t>
            </w:r>
          </w:p>
        </w:tc>
        <w:tc>
          <w:tcPr>
            <w:tcW w:w="1356"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0.13</w:t>
            </w:r>
          </w:p>
        </w:tc>
        <w:tc>
          <w:tcPr>
            <w:tcW w:w="812"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0.84</w:t>
            </w:r>
          </w:p>
        </w:tc>
        <w:tc>
          <w:tcPr>
            <w:tcW w:w="1085"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0.14</w:t>
            </w:r>
          </w:p>
        </w:tc>
        <w:tc>
          <w:tcPr>
            <w:tcW w:w="1305" w:type="dxa"/>
            <w:tcBorders>
              <w:bottom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0.32</w:t>
            </w:r>
          </w:p>
        </w:tc>
        <w:tc>
          <w:tcPr>
            <w:tcW w:w="1759" w:type="dxa"/>
            <w:tcBorders>
              <w:bottom w:val="thinThickSmallGap" w:sz="12" w:space="0" w:color="auto"/>
              <w:right w:val="thinThickSmallGap" w:sz="12"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0.75 (NS)</w:t>
            </w:r>
          </w:p>
        </w:tc>
      </w:tr>
    </w:tbl>
    <w:p w:rsidR="006D3B19" w:rsidRPr="009A1FB0" w:rsidRDefault="006D3B19" w:rsidP="006D3B19">
      <w:pPr>
        <w:bidi w:val="0"/>
        <w:snapToGrid w:val="0"/>
        <w:spacing w:after="0" w:line="240" w:lineRule="auto"/>
        <w:ind w:firstLine="425"/>
        <w:jc w:val="both"/>
        <w:rPr>
          <w:rFonts w:ascii="Times New Roman" w:hAnsi="Times New Roman" w:cs="Times New Roman"/>
          <w:sz w:val="20"/>
          <w:szCs w:val="20"/>
          <w:lang w:bidi="ar-EG"/>
        </w:rPr>
      </w:pPr>
    </w:p>
    <w:p w:rsidR="006D3B19" w:rsidRPr="009A1FB0" w:rsidRDefault="006D3B19" w:rsidP="006D3B19">
      <w:pPr>
        <w:bidi w:val="0"/>
        <w:snapToGrid w:val="0"/>
        <w:spacing w:after="0" w:line="240" w:lineRule="auto"/>
        <w:ind w:firstLine="425"/>
        <w:jc w:val="both"/>
        <w:rPr>
          <w:rFonts w:ascii="Times New Roman" w:hAnsi="Times New Roman" w:cs="Times New Roman"/>
          <w:sz w:val="20"/>
          <w:szCs w:val="20"/>
          <w:lang w:bidi="ar-EG"/>
        </w:rPr>
        <w:sectPr w:rsidR="006D3B19" w:rsidRPr="009A1FB0" w:rsidSect="004721E2">
          <w:headerReference w:type="default" r:id="rId21"/>
          <w:footerReference w:type="default" r:id="rId22"/>
          <w:type w:val="continuous"/>
          <w:pgSz w:w="12242" w:h="15842" w:code="1"/>
          <w:pgMar w:top="1440" w:right="1440" w:bottom="1440" w:left="1440" w:header="720" w:footer="720" w:gutter="0"/>
          <w:cols w:space="708"/>
          <w:bidi/>
          <w:docGrid w:linePitch="360"/>
        </w:sectPr>
      </w:pP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lang w:bidi="ar-EG"/>
        </w:rPr>
        <w:lastRenderedPageBreak/>
        <w:t xml:space="preserve">This table shows that there was high statistically significant relation between Hb % and esophageal varices presence. There was inverse relation between </w:t>
      </w:r>
      <w:r w:rsidRPr="009A1FB0">
        <w:rPr>
          <w:rFonts w:ascii="Times New Roman" w:hAnsi="Times New Roman" w:cs="Times New Roman"/>
          <w:sz w:val="20"/>
          <w:szCs w:val="20"/>
          <w:lang w:bidi="ar-EG"/>
        </w:rPr>
        <w:lastRenderedPageBreak/>
        <w:t>platelets count and presence of esophageal varices</w:t>
      </w:r>
      <w:r w:rsidR="003F277C" w:rsidRPr="009A1FB0">
        <w:rPr>
          <w:rFonts w:ascii="Times New Roman" w:hAnsi="Times New Roman" w:cs="Times New Roman"/>
          <w:sz w:val="20"/>
          <w:szCs w:val="20"/>
          <w:lang w:bidi="ar-EG"/>
        </w:rPr>
        <w:t>, a</w:t>
      </w:r>
      <w:r w:rsidRPr="009A1FB0">
        <w:rPr>
          <w:rFonts w:ascii="Times New Roman" w:hAnsi="Times New Roman" w:cs="Times New Roman"/>
          <w:sz w:val="20"/>
          <w:szCs w:val="20"/>
          <w:lang w:bidi="ar-EG"/>
        </w:rPr>
        <w:t>lso there was statistically significant relation between low platelets count and esophageal varices presence.</w:t>
      </w:r>
    </w:p>
    <w:p w:rsidR="006D3B19" w:rsidRPr="009A1FB0" w:rsidRDefault="006D3B19"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6D3B19" w:rsidRPr="009A1FB0" w:rsidSect="006D3B19">
          <w:headerReference w:type="default" r:id="rId23"/>
          <w:footerReference w:type="default" r:id="rId24"/>
          <w:type w:val="continuous"/>
          <w:pgSz w:w="12242" w:h="15842" w:code="1"/>
          <w:pgMar w:top="1440" w:right="1440" w:bottom="1440" w:left="1440" w:header="720" w:footer="720" w:gutter="0"/>
          <w:cols w:num="2" w:space="550"/>
          <w:docGrid w:linePitch="360"/>
        </w:sectPr>
      </w:pPr>
    </w:p>
    <w:p w:rsidR="00937B18" w:rsidRPr="009A1FB0" w:rsidRDefault="00937B18" w:rsidP="006D3B19">
      <w:pPr>
        <w:autoSpaceDE w:val="0"/>
        <w:autoSpaceDN w:val="0"/>
        <w:bidi w:val="0"/>
        <w:adjustRightInd w:val="0"/>
        <w:snapToGrid w:val="0"/>
        <w:spacing w:after="0" w:line="240" w:lineRule="auto"/>
        <w:jc w:val="center"/>
        <w:rPr>
          <w:rFonts w:ascii="Times New Roman" w:hAnsi="Times New Roman" w:cs="Times New Roman"/>
          <w:sz w:val="20"/>
          <w:szCs w:val="20"/>
        </w:rPr>
      </w:pPr>
    </w:p>
    <w:p w:rsidR="00937B18" w:rsidRPr="009A1FB0" w:rsidRDefault="00937B18" w:rsidP="006D3B19">
      <w:pPr>
        <w:autoSpaceDE w:val="0"/>
        <w:autoSpaceDN w:val="0"/>
        <w:bidi w:val="0"/>
        <w:adjustRightInd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b/>
          <w:bCs/>
          <w:sz w:val="20"/>
          <w:szCs w:val="20"/>
        </w:rPr>
        <w:t>Table (6</w:t>
      </w:r>
      <w:r w:rsidRPr="009A1FB0">
        <w:rPr>
          <w:rFonts w:ascii="Times New Roman" w:hAnsi="Times New Roman" w:cs="Times New Roman"/>
          <w:sz w:val="20"/>
          <w:szCs w:val="20"/>
        </w:rPr>
        <w:t>): Comparison between patients with and without varices</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regarding their liver function tests.</w:t>
      </w:r>
    </w:p>
    <w:tbl>
      <w:tblPr>
        <w:tblW w:w="9428" w:type="dxa"/>
        <w:jc w:val="center"/>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018"/>
        <w:gridCol w:w="992"/>
        <w:gridCol w:w="1276"/>
        <w:gridCol w:w="850"/>
        <w:gridCol w:w="1037"/>
        <w:gridCol w:w="1385"/>
        <w:gridCol w:w="1870"/>
      </w:tblGrid>
      <w:tr w:rsidR="00937B18" w:rsidRPr="009A1FB0" w:rsidTr="00DA4A9E">
        <w:trPr>
          <w:trHeight w:val="487"/>
          <w:jc w:val="center"/>
        </w:trPr>
        <w:tc>
          <w:tcPr>
            <w:tcW w:w="2018" w:type="dxa"/>
            <w:vMerge w:val="restart"/>
            <w:tcBorders>
              <w:top w:val="thinThickSmallGap" w:sz="12" w:space="0" w:color="auto"/>
              <w:lef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Variable</w:t>
            </w:r>
          </w:p>
        </w:tc>
        <w:tc>
          <w:tcPr>
            <w:tcW w:w="2268" w:type="dxa"/>
            <w:gridSpan w:val="2"/>
            <w:tcBorders>
              <w:top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without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(N=31)</w:t>
            </w:r>
          </w:p>
        </w:tc>
        <w:tc>
          <w:tcPr>
            <w:tcW w:w="1887" w:type="dxa"/>
            <w:gridSpan w:val="2"/>
            <w:tcBorders>
              <w:top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(N=39)</w:t>
            </w:r>
          </w:p>
        </w:tc>
        <w:tc>
          <w:tcPr>
            <w:tcW w:w="1385" w:type="dxa"/>
            <w:vMerge w:val="restart"/>
            <w:tcBorders>
              <w:top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St."t"</w:t>
            </w:r>
          </w:p>
        </w:tc>
        <w:tc>
          <w:tcPr>
            <w:tcW w:w="1870" w:type="dxa"/>
            <w:vMerge w:val="restart"/>
            <w:tcBorders>
              <w:top w:val="thinThickSmallGap" w:sz="12" w:space="0" w:color="auto"/>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937B18" w:rsidRPr="009A1FB0" w:rsidTr="00DA4A9E">
        <w:trPr>
          <w:trHeight w:val="102"/>
          <w:jc w:val="center"/>
        </w:trPr>
        <w:tc>
          <w:tcPr>
            <w:tcW w:w="2018" w:type="dxa"/>
            <w:vMerge/>
            <w:tcBorders>
              <w:lef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99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127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850"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1037"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1385" w:type="dxa"/>
            <w:vMerge/>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870" w:type="dxa"/>
            <w:vMerge/>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DA4A9E">
        <w:trPr>
          <w:trHeight w:val="319"/>
          <w:jc w:val="center"/>
        </w:trPr>
        <w:tc>
          <w:tcPr>
            <w:tcW w:w="2018" w:type="dxa"/>
            <w:tcBorders>
              <w:left w:val="thinThickSmallGap" w:sz="12" w:space="0" w:color="auto"/>
            </w:tcBorders>
            <w:vAlign w:val="center"/>
          </w:tcPr>
          <w:p w:rsidR="00937B18" w:rsidRPr="009A1FB0" w:rsidRDefault="00937B18" w:rsidP="00DA4A9E">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T. bilirubin</w:t>
            </w:r>
            <w:r w:rsidR="00DA4A9E" w:rsidRPr="009A1FB0">
              <w:rPr>
                <w:rFonts w:ascii="Times New Roman" w:hAnsi="Times New Roman" w:cs="Times New Roman"/>
                <w:b/>
                <w:bCs/>
                <w:color w:val="000000"/>
                <w:sz w:val="20"/>
                <w:szCs w:val="20"/>
                <w:lang w:bidi="ar-EG"/>
              </w:rPr>
              <w:t xml:space="preserve"> </w:t>
            </w:r>
            <w:r w:rsidRPr="009A1FB0">
              <w:rPr>
                <w:rFonts w:ascii="Times New Roman" w:hAnsi="Times New Roman" w:cs="Times New Roman"/>
                <w:b/>
                <w:bCs/>
                <w:color w:val="000000"/>
                <w:sz w:val="20"/>
                <w:szCs w:val="20"/>
                <w:lang w:bidi="ar-EG"/>
              </w:rPr>
              <w:t>(mg/dl)</w:t>
            </w:r>
          </w:p>
        </w:tc>
        <w:tc>
          <w:tcPr>
            <w:tcW w:w="99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0.90</w:t>
            </w:r>
          </w:p>
        </w:tc>
        <w:tc>
          <w:tcPr>
            <w:tcW w:w="127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0.38</w:t>
            </w:r>
          </w:p>
        </w:tc>
        <w:tc>
          <w:tcPr>
            <w:tcW w:w="850"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1.21</w:t>
            </w:r>
          </w:p>
        </w:tc>
        <w:tc>
          <w:tcPr>
            <w:tcW w:w="1037"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1.49</w:t>
            </w:r>
          </w:p>
        </w:tc>
        <w:tc>
          <w:tcPr>
            <w:tcW w:w="13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1.11</w:t>
            </w:r>
          </w:p>
        </w:tc>
        <w:tc>
          <w:tcPr>
            <w:tcW w:w="1870" w:type="dxa"/>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0.27 (NS)</w:t>
            </w:r>
          </w:p>
        </w:tc>
      </w:tr>
      <w:tr w:rsidR="00937B18" w:rsidRPr="009A1FB0" w:rsidTr="00DA4A9E">
        <w:trPr>
          <w:trHeight w:val="167"/>
          <w:jc w:val="center"/>
        </w:trPr>
        <w:tc>
          <w:tcPr>
            <w:tcW w:w="2018" w:type="dxa"/>
            <w:tcBorders>
              <w:left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AST(IU/L)</w:t>
            </w:r>
          </w:p>
        </w:tc>
        <w:tc>
          <w:tcPr>
            <w:tcW w:w="99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72.1</w:t>
            </w:r>
          </w:p>
        </w:tc>
        <w:tc>
          <w:tcPr>
            <w:tcW w:w="127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27.55</w:t>
            </w:r>
          </w:p>
        </w:tc>
        <w:tc>
          <w:tcPr>
            <w:tcW w:w="850"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71.8</w:t>
            </w:r>
          </w:p>
        </w:tc>
        <w:tc>
          <w:tcPr>
            <w:tcW w:w="1037"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26.64</w:t>
            </w:r>
          </w:p>
        </w:tc>
        <w:tc>
          <w:tcPr>
            <w:tcW w:w="13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0.05</w:t>
            </w:r>
          </w:p>
        </w:tc>
        <w:tc>
          <w:tcPr>
            <w:tcW w:w="1870" w:type="dxa"/>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0.95 ( NS)</w:t>
            </w:r>
          </w:p>
        </w:tc>
      </w:tr>
      <w:tr w:rsidR="00937B18" w:rsidRPr="009A1FB0" w:rsidTr="00DA4A9E">
        <w:trPr>
          <w:trHeight w:val="160"/>
          <w:jc w:val="center"/>
        </w:trPr>
        <w:tc>
          <w:tcPr>
            <w:tcW w:w="2018" w:type="dxa"/>
            <w:tcBorders>
              <w:left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ALT(IU/L)</w:t>
            </w:r>
          </w:p>
        </w:tc>
        <w:tc>
          <w:tcPr>
            <w:tcW w:w="99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57.1</w:t>
            </w:r>
          </w:p>
        </w:tc>
        <w:tc>
          <w:tcPr>
            <w:tcW w:w="127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27.20</w:t>
            </w:r>
          </w:p>
        </w:tc>
        <w:tc>
          <w:tcPr>
            <w:tcW w:w="850"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54.2</w:t>
            </w:r>
          </w:p>
        </w:tc>
        <w:tc>
          <w:tcPr>
            <w:tcW w:w="1037"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25.13</w:t>
            </w:r>
          </w:p>
        </w:tc>
        <w:tc>
          <w:tcPr>
            <w:tcW w:w="13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0.46</w:t>
            </w:r>
          </w:p>
        </w:tc>
        <w:tc>
          <w:tcPr>
            <w:tcW w:w="1870" w:type="dxa"/>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0.64 (NS)</w:t>
            </w:r>
          </w:p>
        </w:tc>
      </w:tr>
      <w:tr w:rsidR="00937B18" w:rsidRPr="009A1FB0" w:rsidTr="00DA4A9E">
        <w:trPr>
          <w:trHeight w:val="181"/>
          <w:jc w:val="center"/>
        </w:trPr>
        <w:tc>
          <w:tcPr>
            <w:tcW w:w="2018" w:type="dxa"/>
            <w:tcBorders>
              <w:left w:val="thinThickSmallGap" w:sz="12" w:space="0" w:color="auto"/>
            </w:tcBorders>
            <w:vAlign w:val="center"/>
          </w:tcPr>
          <w:p w:rsidR="00937B18" w:rsidRPr="009A1FB0" w:rsidRDefault="00937B18" w:rsidP="00DA4A9E">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Albumin</w:t>
            </w:r>
            <w:r w:rsidR="00DA4A9E" w:rsidRPr="009A1FB0">
              <w:rPr>
                <w:rFonts w:ascii="Times New Roman" w:hAnsi="Times New Roman" w:cs="Times New Roman"/>
                <w:b/>
                <w:bCs/>
                <w:color w:val="000000"/>
                <w:sz w:val="20"/>
                <w:szCs w:val="20"/>
                <w:lang w:bidi="ar-EG"/>
              </w:rPr>
              <w:t xml:space="preserve"> </w:t>
            </w:r>
            <w:r w:rsidRPr="009A1FB0">
              <w:rPr>
                <w:rFonts w:ascii="Times New Roman" w:hAnsi="Times New Roman" w:cs="Times New Roman"/>
                <w:b/>
                <w:bCs/>
                <w:color w:val="000000"/>
                <w:sz w:val="20"/>
                <w:szCs w:val="20"/>
                <w:lang w:bidi="ar-EG"/>
              </w:rPr>
              <w:t>(gm/dl)</w:t>
            </w:r>
          </w:p>
        </w:tc>
        <w:tc>
          <w:tcPr>
            <w:tcW w:w="99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bookmarkStart w:id="6" w:name="OLE_LINK13"/>
            <w:r w:rsidRPr="009A1FB0">
              <w:rPr>
                <w:rFonts w:ascii="Times New Roman" w:hAnsi="Times New Roman" w:cs="Times New Roman"/>
                <w:color w:val="000000"/>
                <w:sz w:val="20"/>
                <w:szCs w:val="20"/>
              </w:rPr>
              <w:t>3.83</w:t>
            </w:r>
            <w:bookmarkEnd w:id="6"/>
          </w:p>
        </w:tc>
        <w:tc>
          <w:tcPr>
            <w:tcW w:w="127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0.48</w:t>
            </w:r>
          </w:p>
        </w:tc>
        <w:tc>
          <w:tcPr>
            <w:tcW w:w="850"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3.24</w:t>
            </w:r>
          </w:p>
        </w:tc>
        <w:tc>
          <w:tcPr>
            <w:tcW w:w="1037"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0.18</w:t>
            </w:r>
          </w:p>
        </w:tc>
        <w:tc>
          <w:tcPr>
            <w:tcW w:w="13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6.67</w:t>
            </w:r>
          </w:p>
        </w:tc>
        <w:tc>
          <w:tcPr>
            <w:tcW w:w="1870" w:type="dxa"/>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 0.001 (HS)</w:t>
            </w:r>
          </w:p>
        </w:tc>
      </w:tr>
      <w:tr w:rsidR="00937B18" w:rsidRPr="009A1FB0" w:rsidTr="00DA4A9E">
        <w:trPr>
          <w:trHeight w:val="167"/>
          <w:jc w:val="center"/>
        </w:trPr>
        <w:tc>
          <w:tcPr>
            <w:tcW w:w="2018" w:type="dxa"/>
            <w:tcBorders>
              <w:left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ALP(mg/dl)</w:t>
            </w:r>
          </w:p>
        </w:tc>
        <w:tc>
          <w:tcPr>
            <w:tcW w:w="99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126.2</w:t>
            </w:r>
          </w:p>
        </w:tc>
        <w:tc>
          <w:tcPr>
            <w:tcW w:w="127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37.1</w:t>
            </w:r>
          </w:p>
        </w:tc>
        <w:tc>
          <w:tcPr>
            <w:tcW w:w="850"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135.5</w:t>
            </w:r>
          </w:p>
        </w:tc>
        <w:tc>
          <w:tcPr>
            <w:tcW w:w="1037"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28.83</w:t>
            </w:r>
          </w:p>
        </w:tc>
        <w:tc>
          <w:tcPr>
            <w:tcW w:w="13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1.18</w:t>
            </w:r>
          </w:p>
        </w:tc>
        <w:tc>
          <w:tcPr>
            <w:tcW w:w="1870" w:type="dxa"/>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0.74 (NS)</w:t>
            </w:r>
          </w:p>
        </w:tc>
      </w:tr>
      <w:tr w:rsidR="00937B18" w:rsidRPr="009A1FB0" w:rsidTr="00DA4A9E">
        <w:trPr>
          <w:trHeight w:val="160"/>
          <w:jc w:val="center"/>
        </w:trPr>
        <w:tc>
          <w:tcPr>
            <w:tcW w:w="2018" w:type="dxa"/>
            <w:tcBorders>
              <w:left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PC%</w:t>
            </w:r>
          </w:p>
        </w:tc>
        <w:tc>
          <w:tcPr>
            <w:tcW w:w="992"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81.0</w:t>
            </w:r>
          </w:p>
        </w:tc>
        <w:tc>
          <w:tcPr>
            <w:tcW w:w="1276"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11.38</w:t>
            </w:r>
          </w:p>
        </w:tc>
        <w:tc>
          <w:tcPr>
            <w:tcW w:w="850"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80.9</w:t>
            </w:r>
          </w:p>
        </w:tc>
        <w:tc>
          <w:tcPr>
            <w:tcW w:w="1037"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6.95</w:t>
            </w:r>
          </w:p>
        </w:tc>
        <w:tc>
          <w:tcPr>
            <w:tcW w:w="1385"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0.049</w:t>
            </w:r>
          </w:p>
        </w:tc>
        <w:tc>
          <w:tcPr>
            <w:tcW w:w="1870" w:type="dxa"/>
            <w:tcBorders>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0.96 (NS)</w:t>
            </w:r>
          </w:p>
        </w:tc>
      </w:tr>
      <w:tr w:rsidR="00937B18" w:rsidRPr="009A1FB0" w:rsidTr="00DA4A9E">
        <w:trPr>
          <w:trHeight w:val="167"/>
          <w:jc w:val="center"/>
        </w:trPr>
        <w:tc>
          <w:tcPr>
            <w:tcW w:w="2018" w:type="dxa"/>
            <w:tcBorders>
              <w:left w:val="thinThickSmallGap" w:sz="12" w:space="0" w:color="auto"/>
              <w:bottom w:val="thinThickSmallGap" w:sz="12" w:space="0" w:color="auto"/>
            </w:tcBorders>
            <w:vAlign w:val="center"/>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AFP</w:t>
            </w:r>
          </w:p>
        </w:tc>
        <w:tc>
          <w:tcPr>
            <w:tcW w:w="992"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3.96</w:t>
            </w:r>
          </w:p>
        </w:tc>
        <w:tc>
          <w:tcPr>
            <w:tcW w:w="1276"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1.95</w:t>
            </w:r>
          </w:p>
        </w:tc>
        <w:tc>
          <w:tcPr>
            <w:tcW w:w="850"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4.05</w:t>
            </w:r>
          </w:p>
        </w:tc>
        <w:tc>
          <w:tcPr>
            <w:tcW w:w="1037"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3.51</w:t>
            </w:r>
          </w:p>
        </w:tc>
        <w:tc>
          <w:tcPr>
            <w:tcW w:w="1385" w:type="dxa"/>
            <w:tcBorders>
              <w:bottom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1.23*</w:t>
            </w:r>
          </w:p>
        </w:tc>
        <w:tc>
          <w:tcPr>
            <w:tcW w:w="1870" w:type="dxa"/>
            <w:tcBorders>
              <w:bottom w:val="thinThickSmallGap" w:sz="12" w:space="0" w:color="auto"/>
              <w:right w:val="thinThickSmallGap" w:sz="12"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0.22 (NS)</w:t>
            </w:r>
          </w:p>
        </w:tc>
      </w:tr>
    </w:tbl>
    <w:p w:rsidR="006D3B19" w:rsidRPr="009A1FB0" w:rsidRDefault="006D3B19" w:rsidP="006D3B19">
      <w:pPr>
        <w:bidi w:val="0"/>
        <w:snapToGrid w:val="0"/>
        <w:spacing w:after="0" w:line="240" w:lineRule="auto"/>
        <w:ind w:firstLine="425"/>
        <w:jc w:val="both"/>
        <w:rPr>
          <w:rFonts w:ascii="Times New Roman" w:hAnsi="Times New Roman" w:cs="Times New Roman"/>
          <w:sz w:val="20"/>
          <w:szCs w:val="20"/>
          <w:lang w:bidi="ar-EG"/>
        </w:rPr>
      </w:pPr>
    </w:p>
    <w:p w:rsidR="006D3B19" w:rsidRPr="009A1FB0" w:rsidRDefault="006D3B19" w:rsidP="006D3B19">
      <w:pPr>
        <w:bidi w:val="0"/>
        <w:snapToGrid w:val="0"/>
        <w:spacing w:after="0" w:line="240" w:lineRule="auto"/>
        <w:ind w:firstLine="425"/>
        <w:jc w:val="both"/>
        <w:rPr>
          <w:rFonts w:ascii="Times New Roman" w:hAnsi="Times New Roman" w:cs="Times New Roman"/>
          <w:sz w:val="20"/>
          <w:szCs w:val="20"/>
          <w:lang w:bidi="ar-EG"/>
        </w:rPr>
        <w:sectPr w:rsidR="006D3B19" w:rsidRPr="009A1FB0" w:rsidSect="004721E2">
          <w:headerReference w:type="default" r:id="rId25"/>
          <w:footerReference w:type="default" r:id="rId26"/>
          <w:type w:val="continuous"/>
          <w:pgSz w:w="12242" w:h="15842" w:code="1"/>
          <w:pgMar w:top="1440" w:right="1440" w:bottom="1440" w:left="1440" w:header="720" w:footer="720" w:gutter="0"/>
          <w:cols w:space="708"/>
          <w:bidi/>
          <w:docGrid w:linePitch="360"/>
        </w:sectPr>
      </w:pP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lang w:bidi="ar-EG"/>
        </w:rPr>
        <w:lastRenderedPageBreak/>
        <w:t xml:space="preserve">This table shows that there was no statistically significant relation between liver enzymes, PC %, ALP, AFP, T. bilirubin and esophageal varices </w:t>
      </w:r>
      <w:r w:rsidRPr="009A1FB0">
        <w:rPr>
          <w:rFonts w:ascii="Times New Roman" w:hAnsi="Times New Roman" w:cs="Times New Roman"/>
          <w:sz w:val="20"/>
          <w:szCs w:val="20"/>
          <w:lang w:bidi="ar-EG"/>
        </w:rPr>
        <w:lastRenderedPageBreak/>
        <w:t>presence, while shows high statistically significant relation</w:t>
      </w:r>
      <w:r w:rsidR="003F277C" w:rsidRPr="009A1FB0">
        <w:rPr>
          <w:rFonts w:ascii="Times New Roman" w:hAnsi="Times New Roman" w:cs="Times New Roman"/>
          <w:sz w:val="20"/>
          <w:szCs w:val="20"/>
          <w:lang w:bidi="ar-EG"/>
        </w:rPr>
        <w:t xml:space="preserve"> </w:t>
      </w:r>
      <w:r w:rsidRPr="009A1FB0">
        <w:rPr>
          <w:rFonts w:ascii="Times New Roman" w:hAnsi="Times New Roman" w:cs="Times New Roman"/>
          <w:sz w:val="20"/>
          <w:szCs w:val="20"/>
          <w:lang w:bidi="ar-EG"/>
        </w:rPr>
        <w:t>between decreased</w:t>
      </w:r>
      <w:r w:rsidR="003F277C" w:rsidRPr="009A1FB0">
        <w:rPr>
          <w:rFonts w:ascii="Times New Roman" w:hAnsi="Times New Roman" w:cs="Times New Roman"/>
          <w:sz w:val="20"/>
          <w:szCs w:val="20"/>
          <w:lang w:bidi="ar-EG"/>
        </w:rPr>
        <w:t xml:space="preserve"> </w:t>
      </w:r>
      <w:r w:rsidRPr="009A1FB0">
        <w:rPr>
          <w:rFonts w:ascii="Times New Roman" w:hAnsi="Times New Roman" w:cs="Times New Roman"/>
          <w:sz w:val="20"/>
          <w:szCs w:val="20"/>
          <w:lang w:bidi="ar-EG"/>
        </w:rPr>
        <w:t>ALBUMIN level and presence of esophageal varices.</w:t>
      </w:r>
    </w:p>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sz w:val="20"/>
          <w:szCs w:val="20"/>
        </w:rPr>
        <w:sectPr w:rsidR="006D3B19" w:rsidRPr="009A1FB0" w:rsidSect="006D3B19">
          <w:headerReference w:type="default" r:id="rId27"/>
          <w:footerReference w:type="default" r:id="rId28"/>
          <w:type w:val="continuous"/>
          <w:pgSz w:w="12242" w:h="15842" w:code="1"/>
          <w:pgMar w:top="1440" w:right="1440" w:bottom="1440" w:left="1440" w:header="720" w:footer="720" w:gutter="0"/>
          <w:cols w:num="2" w:space="550"/>
          <w:docGrid w:linePitch="360"/>
        </w:sectPr>
      </w:pPr>
    </w:p>
    <w:p w:rsidR="00937B18" w:rsidRPr="009A1FB0" w:rsidRDefault="00937B18" w:rsidP="006D3B19">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937B18" w:rsidRPr="009A1FB0" w:rsidRDefault="00937B18" w:rsidP="006D3B19">
      <w:pPr>
        <w:tabs>
          <w:tab w:val="left" w:pos="6630"/>
        </w:tabs>
        <w:bidi w:val="0"/>
        <w:snapToGrid w:val="0"/>
        <w:spacing w:after="0" w:line="240" w:lineRule="auto"/>
        <w:jc w:val="center"/>
        <w:rPr>
          <w:rFonts w:ascii="Times New Roman" w:hAnsi="Times New Roman" w:cs="Times New Roman"/>
          <w:b/>
          <w:bCs/>
          <w:sz w:val="20"/>
          <w:szCs w:val="20"/>
        </w:rPr>
      </w:pPr>
      <w:r w:rsidRPr="009A1FB0">
        <w:rPr>
          <w:rFonts w:ascii="Times New Roman" w:hAnsi="Times New Roman" w:cs="Times New Roman"/>
          <w:b/>
          <w:bCs/>
          <w:sz w:val="20"/>
          <w:szCs w:val="20"/>
        </w:rPr>
        <w:t xml:space="preserve">Table (7): </w:t>
      </w:r>
      <w:r w:rsidRPr="009A1FB0">
        <w:rPr>
          <w:rFonts w:ascii="Times New Roman" w:hAnsi="Times New Roman" w:cs="Times New Roman"/>
          <w:sz w:val="20"/>
          <w:szCs w:val="20"/>
        </w:rPr>
        <w:t>Comparison between patients with and without varices regarding their HCV RNA level.</w:t>
      </w:r>
    </w:p>
    <w:tbl>
      <w:tblPr>
        <w:tblW w:w="9406"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22"/>
        <w:gridCol w:w="1069"/>
        <w:gridCol w:w="1069"/>
        <w:gridCol w:w="1069"/>
        <w:gridCol w:w="1070"/>
        <w:gridCol w:w="1332"/>
        <w:gridCol w:w="1475"/>
      </w:tblGrid>
      <w:tr w:rsidR="00937B18" w:rsidRPr="009A1FB0" w:rsidTr="006D3B19">
        <w:trPr>
          <w:trHeight w:val="382"/>
          <w:jc w:val="center"/>
        </w:trPr>
        <w:tc>
          <w:tcPr>
            <w:tcW w:w="2322" w:type="dxa"/>
            <w:vMerge w:val="restart"/>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Variable</w:t>
            </w:r>
          </w:p>
        </w:tc>
        <w:tc>
          <w:tcPr>
            <w:tcW w:w="2137" w:type="dxa"/>
            <w:gridSpan w:val="2"/>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without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(N=31)</w:t>
            </w:r>
          </w:p>
        </w:tc>
        <w:tc>
          <w:tcPr>
            <w:tcW w:w="2138" w:type="dxa"/>
            <w:gridSpan w:val="2"/>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(N=39)</w:t>
            </w:r>
          </w:p>
        </w:tc>
        <w:tc>
          <w:tcPr>
            <w:tcW w:w="1332" w:type="dxa"/>
            <w:vMerge w:val="restart"/>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Z of Mann Whitney test</w:t>
            </w:r>
          </w:p>
        </w:tc>
        <w:tc>
          <w:tcPr>
            <w:tcW w:w="1475" w:type="dxa"/>
            <w:vMerge w:val="restart"/>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937B18" w:rsidRPr="009A1FB0" w:rsidTr="006D3B19">
        <w:trPr>
          <w:trHeight w:val="80"/>
          <w:jc w:val="center"/>
        </w:trPr>
        <w:tc>
          <w:tcPr>
            <w:tcW w:w="2322" w:type="dxa"/>
            <w:vMerge/>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069"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Mean</w:t>
            </w:r>
          </w:p>
        </w:tc>
        <w:tc>
          <w:tcPr>
            <w:tcW w:w="1069"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 SD</w:t>
            </w:r>
          </w:p>
        </w:tc>
        <w:tc>
          <w:tcPr>
            <w:tcW w:w="1069" w:type="dxa"/>
            <w:tcBorders>
              <w:right w:val="single" w:sz="4"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Mean</w:t>
            </w:r>
          </w:p>
        </w:tc>
        <w:tc>
          <w:tcPr>
            <w:tcW w:w="1070" w:type="dxa"/>
            <w:tcBorders>
              <w:left w:val="single" w:sz="4" w:space="0" w:color="auto"/>
            </w:tcBorders>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 SD</w:t>
            </w:r>
          </w:p>
        </w:tc>
        <w:tc>
          <w:tcPr>
            <w:tcW w:w="1332" w:type="dxa"/>
            <w:vMerge/>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475" w:type="dxa"/>
            <w:vMerge/>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6D3B19">
        <w:trPr>
          <w:trHeight w:val="263"/>
          <w:jc w:val="center"/>
        </w:trPr>
        <w:tc>
          <w:tcPr>
            <w:tcW w:w="2322"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HCV RNA (x 1000)</w:t>
            </w:r>
          </w:p>
        </w:tc>
        <w:tc>
          <w:tcPr>
            <w:tcW w:w="1069"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441.2</w:t>
            </w:r>
          </w:p>
        </w:tc>
        <w:tc>
          <w:tcPr>
            <w:tcW w:w="1069" w:type="dxa"/>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771.34</w:t>
            </w:r>
          </w:p>
        </w:tc>
        <w:tc>
          <w:tcPr>
            <w:tcW w:w="1069" w:type="dxa"/>
            <w:tcBorders>
              <w:right w:val="single" w:sz="4"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458.5</w:t>
            </w:r>
          </w:p>
        </w:tc>
        <w:tc>
          <w:tcPr>
            <w:tcW w:w="1070" w:type="dxa"/>
            <w:tcBorders>
              <w:left w:val="single" w:sz="4" w:space="0" w:color="auto"/>
            </w:tcBorders>
            <w:vAlign w:val="center"/>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1253.79</w:t>
            </w:r>
          </w:p>
        </w:tc>
        <w:tc>
          <w:tcPr>
            <w:tcW w:w="1332"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1.78</w:t>
            </w:r>
          </w:p>
        </w:tc>
        <w:tc>
          <w:tcPr>
            <w:tcW w:w="1475" w:type="dxa"/>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0.075 (NS)</w:t>
            </w:r>
          </w:p>
        </w:tc>
      </w:tr>
    </w:tbl>
    <w:p w:rsidR="00AF4CF1" w:rsidRPr="009A1FB0" w:rsidRDefault="00AF4CF1" w:rsidP="006D3B19">
      <w:pPr>
        <w:bidi w:val="0"/>
        <w:snapToGrid w:val="0"/>
        <w:spacing w:after="0" w:line="240" w:lineRule="auto"/>
        <w:ind w:firstLine="425"/>
        <w:jc w:val="both"/>
        <w:rPr>
          <w:rFonts w:ascii="Times New Roman" w:hAnsi="Times New Roman" w:cs="Times New Roman"/>
          <w:sz w:val="20"/>
          <w:szCs w:val="20"/>
          <w:lang w:bidi="ar-EG"/>
        </w:rPr>
      </w:pP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lang w:bidi="ar-EG"/>
        </w:rPr>
        <w:t>This table shows that there was NO statistically significant relation between HCV RNA and esophageal varices presence.</w:t>
      </w:r>
    </w:p>
    <w:p w:rsidR="00AF4CF1" w:rsidRPr="009A1FB0" w:rsidRDefault="003F277C" w:rsidP="006D3B19">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r w:rsidRPr="009A1FB0">
        <w:rPr>
          <w:rFonts w:ascii="Times New Roman" w:hAnsi="Times New Roman" w:cs="Times New Roman" w:hint="eastAsia"/>
          <w:b/>
          <w:bCs/>
          <w:sz w:val="20"/>
          <w:szCs w:val="20"/>
          <w:lang w:eastAsia="zh-CN"/>
        </w:rPr>
        <w:t xml:space="preserve"> </w:t>
      </w:r>
    </w:p>
    <w:p w:rsidR="00937B18" w:rsidRPr="009A1FB0" w:rsidRDefault="00937B18" w:rsidP="006D3B19">
      <w:pPr>
        <w:autoSpaceDE w:val="0"/>
        <w:autoSpaceDN w:val="0"/>
        <w:bidi w:val="0"/>
        <w:adjustRightInd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b/>
          <w:bCs/>
          <w:sz w:val="20"/>
          <w:szCs w:val="20"/>
        </w:rPr>
        <w:t xml:space="preserve">Table (8): </w:t>
      </w:r>
      <w:r w:rsidRPr="009A1FB0">
        <w:rPr>
          <w:rFonts w:ascii="Times New Roman" w:hAnsi="Times New Roman" w:cs="Times New Roman"/>
          <w:sz w:val="20"/>
          <w:szCs w:val="20"/>
        </w:rPr>
        <w:t>Comparison between patients with and without varices regarding their schistosoma abs.</w:t>
      </w:r>
    </w:p>
    <w:tbl>
      <w:tblPr>
        <w:tblStyle w:val="TableGrid"/>
        <w:tblW w:w="0" w:type="auto"/>
        <w:jc w:val="center"/>
        <w:tblBorders>
          <w:insideH w:val="single" w:sz="6" w:space="0" w:color="000000"/>
          <w:insideV w:val="single" w:sz="6" w:space="0" w:color="000000"/>
        </w:tblBorders>
        <w:tblLook w:val="04A0"/>
      </w:tblPr>
      <w:tblGrid>
        <w:gridCol w:w="1294"/>
        <w:gridCol w:w="564"/>
        <w:gridCol w:w="511"/>
        <w:gridCol w:w="2128"/>
        <w:gridCol w:w="1850"/>
        <w:gridCol w:w="833"/>
        <w:gridCol w:w="1155"/>
      </w:tblGrid>
      <w:tr w:rsidR="00937B18" w:rsidRPr="009A1FB0" w:rsidTr="006D3B19">
        <w:trPr>
          <w:jc w:val="center"/>
        </w:trPr>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gridSpan w:val="2"/>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group</w:t>
            </w:r>
          </w:p>
        </w:tc>
        <w:tc>
          <w:tcPr>
            <w:tcW w:w="0" w:type="auto"/>
            <w:vMerge w:val="restar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Total</w:t>
            </w:r>
          </w:p>
        </w:tc>
        <w:tc>
          <w:tcPr>
            <w:tcW w:w="0" w:type="auto"/>
            <w:vMerge w:val="restar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Z Test &amp; P</w:t>
            </w:r>
          </w:p>
        </w:tc>
      </w:tr>
      <w:tr w:rsidR="006D3B19" w:rsidRPr="009A1FB0" w:rsidTr="006D3B19">
        <w:trPr>
          <w:jc w:val="center"/>
        </w:trPr>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without EVs</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EVs</w:t>
            </w:r>
          </w:p>
        </w:tc>
        <w:tc>
          <w:tcPr>
            <w:tcW w:w="0" w:type="auto"/>
            <w:vMerge/>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6D3B19" w:rsidRPr="009A1FB0" w:rsidTr="006D3B19">
        <w:trPr>
          <w:jc w:val="center"/>
        </w:trPr>
        <w:tc>
          <w:tcPr>
            <w:tcW w:w="0" w:type="auto"/>
            <w:vMerge w:val="restar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Schisto</w:t>
            </w:r>
            <w:r w:rsidR="003F277C" w:rsidRPr="009A1FB0">
              <w:rPr>
                <w:rFonts w:ascii="Times New Roman" w:hAnsi="Times New Roman" w:cs="Times New Roman"/>
                <w:b/>
                <w:bCs/>
                <w:color w:val="000000"/>
                <w:sz w:val="20"/>
                <w:szCs w:val="20"/>
              </w:rPr>
              <w:t>. t</w:t>
            </w:r>
            <w:r w:rsidRPr="009A1FB0">
              <w:rPr>
                <w:rFonts w:ascii="Times New Roman" w:hAnsi="Times New Roman" w:cs="Times New Roman"/>
                <w:b/>
                <w:bCs/>
                <w:color w:val="000000"/>
                <w:sz w:val="20"/>
                <w:szCs w:val="20"/>
              </w:rPr>
              <w:t>itre</w:t>
            </w:r>
          </w:p>
        </w:tc>
        <w:tc>
          <w:tcPr>
            <w:tcW w:w="0" w:type="auto"/>
            <w:vMerge w:val="restar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-Ve</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No.</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16</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47</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2.47</w:t>
            </w:r>
            <w:r w:rsidR="003F277C" w:rsidRPr="009A1FB0">
              <w:rPr>
                <w:rFonts w:ascii="Times New Roman" w:hAnsi="Times New Roman" w:cs="Times New Roman"/>
                <w:color w:val="000000"/>
                <w:sz w:val="20"/>
                <w:szCs w:val="20"/>
              </w:rPr>
              <w:t xml:space="preserve"> </w:t>
            </w:r>
            <w:r w:rsidRPr="009A1FB0">
              <w:rPr>
                <w:rFonts w:ascii="Times New Roman" w:hAnsi="Times New Roman" w:cs="Times New Roman"/>
                <w:color w:val="000000"/>
                <w:sz w:val="20"/>
                <w:szCs w:val="20"/>
              </w:rPr>
              <w:t>&amp;</w:t>
            </w:r>
          </w:p>
        </w:tc>
      </w:tr>
      <w:tr w:rsidR="006D3B19" w:rsidRPr="009A1FB0" w:rsidTr="006D3B19">
        <w:trPr>
          <w:jc w:val="center"/>
        </w:trPr>
        <w:tc>
          <w:tcPr>
            <w:tcW w:w="0" w:type="auto"/>
            <w:vMerge/>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0" w:type="auto"/>
            <w:vMerge/>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51.6%</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79.5%</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65.7%</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0.04 (NS)</w:t>
            </w:r>
          </w:p>
        </w:tc>
      </w:tr>
      <w:tr w:rsidR="006D3B19" w:rsidRPr="009A1FB0" w:rsidTr="006D3B19">
        <w:trPr>
          <w:jc w:val="center"/>
        </w:trPr>
        <w:tc>
          <w:tcPr>
            <w:tcW w:w="0" w:type="auto"/>
            <w:vMerge/>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0" w:type="auto"/>
            <w:vMerge w:val="restar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+Ve</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No.</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15</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8</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23</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2.07 &amp;</w:t>
            </w:r>
          </w:p>
        </w:tc>
      </w:tr>
      <w:tr w:rsidR="006D3B19" w:rsidRPr="009A1FB0" w:rsidTr="006D3B19">
        <w:trPr>
          <w:jc w:val="center"/>
        </w:trPr>
        <w:tc>
          <w:tcPr>
            <w:tcW w:w="0" w:type="auto"/>
            <w:vMerge/>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0" w:type="auto"/>
            <w:vMerge/>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48.4%</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20.5%</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34.3%</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0.085(NS)</w:t>
            </w:r>
          </w:p>
        </w:tc>
      </w:tr>
      <w:tr w:rsidR="00937B18" w:rsidRPr="009A1FB0" w:rsidTr="006D3B19">
        <w:trPr>
          <w:jc w:val="center"/>
        </w:trPr>
        <w:tc>
          <w:tcPr>
            <w:tcW w:w="0" w:type="auto"/>
            <w:gridSpan w:val="2"/>
            <w:vMerge w:val="restar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Total</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No.</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70</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6D3B19">
        <w:trPr>
          <w:jc w:val="center"/>
        </w:trPr>
        <w:tc>
          <w:tcPr>
            <w:tcW w:w="0" w:type="auto"/>
            <w:gridSpan w:val="2"/>
            <w:vMerge/>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bl>
    <w:p w:rsidR="006D3B19" w:rsidRPr="009A1FB0" w:rsidRDefault="006D3B19"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p>
    <w:p w:rsidR="00DA4A9E" w:rsidRPr="009A1FB0" w:rsidRDefault="00DA4A9E" w:rsidP="00DA4A9E">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sectPr w:rsidR="00DA4A9E" w:rsidRPr="009A1FB0" w:rsidSect="004721E2">
          <w:headerReference w:type="default" r:id="rId29"/>
          <w:footerReference w:type="default" r:id="rId30"/>
          <w:type w:val="continuous"/>
          <w:pgSz w:w="12242" w:h="15842" w:code="1"/>
          <w:pgMar w:top="1440" w:right="1440" w:bottom="1440" w:left="1440" w:header="720" w:footer="720" w:gutter="0"/>
          <w:cols w:space="708"/>
          <w:bidi/>
          <w:docGrid w:linePitch="360"/>
        </w:sectPr>
      </w:pPr>
    </w:p>
    <w:p w:rsidR="00937B18" w:rsidRPr="009A1FB0" w:rsidRDefault="00937B18"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lang w:bidi="ar-EG"/>
        </w:rPr>
        <w:lastRenderedPageBreak/>
        <w:t>This table shows that there was NO statistically significant relation</w:t>
      </w:r>
      <w:r w:rsidR="003F277C" w:rsidRPr="009A1FB0">
        <w:rPr>
          <w:rFonts w:ascii="Times New Roman" w:hAnsi="Times New Roman" w:cs="Times New Roman"/>
          <w:sz w:val="20"/>
          <w:szCs w:val="20"/>
          <w:lang w:bidi="ar-EG"/>
        </w:rPr>
        <w:t xml:space="preserve"> </w:t>
      </w:r>
      <w:r w:rsidRPr="009A1FB0">
        <w:rPr>
          <w:rFonts w:ascii="Times New Roman" w:hAnsi="Times New Roman" w:cs="Times New Roman"/>
          <w:sz w:val="20"/>
          <w:szCs w:val="20"/>
          <w:lang w:bidi="ar-EG"/>
        </w:rPr>
        <w:t>between</w:t>
      </w:r>
      <w:r w:rsidR="00DA4A9E" w:rsidRPr="009A1FB0">
        <w:rPr>
          <w:rFonts w:ascii="Times New Roman" w:hAnsi="Times New Roman" w:cs="Times New Roman"/>
          <w:sz w:val="20"/>
          <w:szCs w:val="20"/>
          <w:lang w:bidi="ar-EG"/>
        </w:rPr>
        <w:t xml:space="preserve"> </w:t>
      </w:r>
      <w:r w:rsidRPr="009A1FB0">
        <w:rPr>
          <w:rFonts w:ascii="Times New Roman" w:hAnsi="Times New Roman" w:cs="Times New Roman"/>
          <w:sz w:val="20"/>
          <w:szCs w:val="20"/>
          <w:lang w:bidi="ar-EG"/>
        </w:rPr>
        <w:t xml:space="preserve">Schistosoma Abs level </w:t>
      </w:r>
      <w:r w:rsidRPr="009A1FB0">
        <w:rPr>
          <w:rFonts w:ascii="Times New Roman" w:hAnsi="Times New Roman" w:cs="Times New Roman"/>
          <w:sz w:val="20"/>
          <w:szCs w:val="20"/>
          <w:lang w:bidi="ar-EG"/>
        </w:rPr>
        <w:lastRenderedPageBreak/>
        <w:t>and esophageal varices presence</w:t>
      </w:r>
      <w:r w:rsidR="003F277C" w:rsidRPr="009A1FB0">
        <w:rPr>
          <w:rFonts w:ascii="Times New Roman" w:hAnsi="Times New Roman" w:cs="Times New Roman"/>
          <w:sz w:val="20"/>
          <w:szCs w:val="20"/>
          <w:lang w:bidi="ar-EG"/>
        </w:rPr>
        <w:t>.</w:t>
      </w:r>
    </w:p>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sz w:val="20"/>
          <w:szCs w:val="20"/>
        </w:rPr>
        <w:sectPr w:rsidR="006D3B19" w:rsidRPr="009A1FB0" w:rsidSect="006D3B19">
          <w:headerReference w:type="default" r:id="rId31"/>
          <w:footerReference w:type="default" r:id="rId32"/>
          <w:type w:val="continuous"/>
          <w:pgSz w:w="12242" w:h="15842" w:code="1"/>
          <w:pgMar w:top="1440" w:right="1440" w:bottom="1440" w:left="1440" w:header="720" w:footer="720" w:gutter="0"/>
          <w:cols w:num="2" w:space="550"/>
          <w:docGrid w:linePitch="360"/>
        </w:sectPr>
      </w:pP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937B18" w:rsidRPr="009A1FB0" w:rsidRDefault="00937B18" w:rsidP="006D3B19">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9A1FB0">
        <w:rPr>
          <w:rFonts w:ascii="Times New Roman" w:hAnsi="Times New Roman" w:cs="Times New Roman"/>
          <w:b/>
          <w:bCs/>
          <w:sz w:val="20"/>
          <w:szCs w:val="20"/>
        </w:rPr>
        <w:t xml:space="preserve">Table (9): </w:t>
      </w:r>
      <w:r w:rsidRPr="009A1FB0">
        <w:rPr>
          <w:rFonts w:ascii="Times New Roman" w:hAnsi="Times New Roman" w:cs="Times New Roman"/>
          <w:sz w:val="20"/>
          <w:szCs w:val="20"/>
        </w:rPr>
        <w:t>Comparison between cirrhotic with out and cirrhotic with EVs regarding US findings</w:t>
      </w:r>
      <w:r w:rsidRPr="009A1FB0">
        <w:rPr>
          <w:rFonts w:ascii="Times New Roman" w:hAnsi="Times New Roman" w:cs="Times New Roman"/>
          <w:b/>
          <w:bCs/>
          <w:sz w:val="20"/>
          <w:szCs w:val="20"/>
        </w:rPr>
        <w:t>.</w:t>
      </w:r>
    </w:p>
    <w:tbl>
      <w:tblPr>
        <w:tblStyle w:val="TableGrid"/>
        <w:tblW w:w="0" w:type="auto"/>
        <w:tblBorders>
          <w:insideH w:val="single" w:sz="6" w:space="0" w:color="000000"/>
          <w:insideV w:val="single" w:sz="6" w:space="0" w:color="000000"/>
        </w:tblBorders>
        <w:tblLook w:val="04A0"/>
      </w:tblPr>
      <w:tblGrid>
        <w:gridCol w:w="1588"/>
        <w:gridCol w:w="1272"/>
        <w:gridCol w:w="1010"/>
        <w:gridCol w:w="1118"/>
        <w:gridCol w:w="878"/>
        <w:gridCol w:w="972"/>
        <w:gridCol w:w="1300"/>
        <w:gridCol w:w="1218"/>
      </w:tblGrid>
      <w:tr w:rsidR="00937B18" w:rsidRPr="009A1FB0" w:rsidTr="006D3B19">
        <w:tc>
          <w:tcPr>
            <w:tcW w:w="0" w:type="auto"/>
            <w:gridSpan w:val="2"/>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Variable</w:t>
            </w:r>
          </w:p>
        </w:tc>
        <w:tc>
          <w:tcPr>
            <w:tcW w:w="0" w:type="auto"/>
            <w:gridSpan w:val="2"/>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without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(N=31)</w:t>
            </w:r>
          </w:p>
        </w:tc>
        <w:tc>
          <w:tcPr>
            <w:tcW w:w="0" w:type="auto"/>
            <w:gridSpan w:val="2"/>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EVs</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(N=39)</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Fisher's test/</w:t>
            </w:r>
          </w:p>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St. "t"</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937B18" w:rsidRPr="009A1FB0" w:rsidTr="006D3B19">
        <w:tc>
          <w:tcPr>
            <w:tcW w:w="0" w:type="auto"/>
            <w:gridSpan w:val="2"/>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No.</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No.</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w:t>
            </w: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p>
        </w:tc>
      </w:tr>
      <w:tr w:rsidR="00937B18" w:rsidRPr="009A1FB0" w:rsidTr="006D3B19">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Liver size</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Normal</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w:t>
            </w:r>
          </w:p>
        </w:tc>
      </w:tr>
      <w:tr w:rsidR="00937B18" w:rsidRPr="009A1FB0" w:rsidTr="006D3B19">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Enlarged</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w:t>
            </w: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r>
      <w:tr w:rsidR="00937B18" w:rsidRPr="009A1FB0" w:rsidTr="006D3B19">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Echogenecity</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b/>
                <w:bCs/>
                <w:color w:val="000000"/>
                <w:sz w:val="20"/>
                <w:szCs w:val="20"/>
              </w:rPr>
              <w:t>Normal</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w:t>
            </w:r>
          </w:p>
        </w:tc>
      </w:tr>
      <w:tr w:rsidR="00937B18" w:rsidRPr="009A1FB0" w:rsidTr="006D3B19">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w:t>
            </w: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r>
      <w:tr w:rsidR="00937B18" w:rsidRPr="009A1FB0" w:rsidTr="006D3B19">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Spleen</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Normal</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22.6</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2.6</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7.0</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0.022</w:t>
            </w:r>
          </w:p>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(S)</w:t>
            </w:r>
          </w:p>
        </w:tc>
      </w:tr>
      <w:tr w:rsidR="00937B18" w:rsidRPr="009A1FB0" w:rsidTr="006D3B19">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Enlarged</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22</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71.0</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36</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92.3</w:t>
            </w: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r>
      <w:tr w:rsidR="00937B18" w:rsidRPr="009A1FB0" w:rsidTr="006D3B19">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splenectomy</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6.5</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5.1</w:t>
            </w: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r>
      <w:tr w:rsidR="00937B18" w:rsidRPr="009A1FB0" w:rsidTr="006D3B19">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PV diameter</w:t>
            </w:r>
          </w:p>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(mm)</w:t>
            </w:r>
          </w:p>
        </w:tc>
        <w:tc>
          <w:tcPr>
            <w:tcW w:w="0" w:type="auto"/>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0" w:type="auto"/>
            <w:gridSpan w:val="2"/>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bookmarkStart w:id="7" w:name="OLE_LINK18"/>
            <w:r w:rsidRPr="009A1FB0">
              <w:rPr>
                <w:rFonts w:ascii="Times New Roman" w:hAnsi="Times New Roman" w:cs="Times New Roman"/>
                <w:color w:val="000000"/>
                <w:sz w:val="20"/>
                <w:szCs w:val="20"/>
              </w:rPr>
              <w:t>12.1</w:t>
            </w:r>
            <w:bookmarkEnd w:id="7"/>
          </w:p>
        </w:tc>
        <w:tc>
          <w:tcPr>
            <w:tcW w:w="0" w:type="auto"/>
            <w:gridSpan w:val="2"/>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13.0</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3.19</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0.002</w:t>
            </w:r>
          </w:p>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(S)</w:t>
            </w:r>
          </w:p>
        </w:tc>
      </w:tr>
      <w:tr w:rsidR="00937B18" w:rsidRPr="009A1FB0" w:rsidTr="006D3B19">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0" w:type="auto"/>
            <w:gridSpan w:val="2"/>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0.84</w:t>
            </w:r>
          </w:p>
        </w:tc>
        <w:tc>
          <w:tcPr>
            <w:tcW w:w="0" w:type="auto"/>
            <w:gridSpan w:val="2"/>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1.34</w:t>
            </w: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r>
      <w:tr w:rsidR="00937B18" w:rsidRPr="009A1FB0" w:rsidTr="006D3B19">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lang w:bidi="ar-EG"/>
              </w:rPr>
              <w:t>Splenic size(cm)</w:t>
            </w: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0" w:type="auto"/>
            <w:gridSpan w:val="2"/>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14.9</w:t>
            </w:r>
          </w:p>
        </w:tc>
        <w:tc>
          <w:tcPr>
            <w:tcW w:w="0" w:type="auto"/>
            <w:gridSpan w:val="2"/>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16.9</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4.28</w:t>
            </w:r>
          </w:p>
        </w:tc>
        <w:tc>
          <w:tcPr>
            <w:tcW w:w="0" w:type="auto"/>
            <w:vMerge w:val="restart"/>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 (HS)</w:t>
            </w:r>
          </w:p>
        </w:tc>
      </w:tr>
      <w:tr w:rsidR="00937B18" w:rsidRPr="009A1FB0" w:rsidTr="006D3B19">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p>
        </w:tc>
        <w:tc>
          <w:tcPr>
            <w:tcW w:w="0" w:type="auto"/>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0" w:type="auto"/>
            <w:gridSpan w:val="2"/>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2.04</w:t>
            </w:r>
          </w:p>
        </w:tc>
        <w:tc>
          <w:tcPr>
            <w:tcW w:w="0" w:type="auto"/>
            <w:gridSpan w:val="2"/>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1.67</w:t>
            </w: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c>
          <w:tcPr>
            <w:tcW w:w="0" w:type="auto"/>
            <w:vMerge/>
            <w:shd w:val="clear" w:color="auto" w:fill="auto"/>
          </w:tcPr>
          <w:p w:rsidR="00937B18" w:rsidRPr="009A1FB0" w:rsidRDefault="00937B18" w:rsidP="006D3B19">
            <w:pPr>
              <w:bidi w:val="0"/>
              <w:snapToGrid w:val="0"/>
              <w:spacing w:after="0" w:line="240" w:lineRule="auto"/>
              <w:jc w:val="both"/>
              <w:rPr>
                <w:rFonts w:ascii="Times New Roman" w:hAnsi="Times New Roman" w:cs="Times New Roman"/>
                <w:color w:val="000000"/>
                <w:sz w:val="20"/>
                <w:szCs w:val="20"/>
              </w:rPr>
            </w:pPr>
          </w:p>
        </w:tc>
      </w:tr>
    </w:tbl>
    <w:p w:rsidR="00937B18" w:rsidRPr="009A1FB0" w:rsidRDefault="00937B18" w:rsidP="006D3B19">
      <w:pPr>
        <w:bidi w:val="0"/>
        <w:snapToGrid w:val="0"/>
        <w:spacing w:after="0" w:line="240" w:lineRule="auto"/>
        <w:ind w:firstLine="425"/>
        <w:jc w:val="both"/>
        <w:rPr>
          <w:rFonts w:ascii="Times New Roman" w:hAnsi="Times New Roman" w:cs="Times New Roman"/>
          <w:noProof/>
          <w:sz w:val="20"/>
          <w:szCs w:val="20"/>
        </w:rPr>
      </w:pPr>
      <w:r w:rsidRPr="009A1FB0">
        <w:rPr>
          <w:rFonts w:ascii="Times New Roman" w:hAnsi="Times New Roman" w:cs="Times New Roman"/>
          <w:sz w:val="20"/>
          <w:szCs w:val="20"/>
          <w:lang w:bidi="ar-EG"/>
        </w:rPr>
        <w:t>There was statistically significant relation between spleen size, PV diameter and esophageal varices presence</w:t>
      </w:r>
    </w:p>
    <w:p w:rsidR="006D3B19" w:rsidRPr="009A1FB0" w:rsidRDefault="006D3B19" w:rsidP="006D3B19">
      <w:pPr>
        <w:tabs>
          <w:tab w:val="left" w:pos="2685"/>
        </w:tabs>
        <w:bidi w:val="0"/>
        <w:snapToGrid w:val="0"/>
        <w:spacing w:after="0" w:line="240" w:lineRule="auto"/>
        <w:ind w:firstLine="425"/>
        <w:jc w:val="both"/>
        <w:rPr>
          <w:rFonts w:ascii="Times New Roman" w:hAnsi="Times New Roman" w:cs="Times New Roman"/>
          <w:sz w:val="20"/>
          <w:szCs w:val="20"/>
        </w:rPr>
      </w:pPr>
    </w:p>
    <w:p w:rsidR="006D3B19" w:rsidRPr="009A1FB0" w:rsidRDefault="006D3B19" w:rsidP="006D3B19">
      <w:pPr>
        <w:tabs>
          <w:tab w:val="left" w:pos="2685"/>
        </w:tabs>
        <w:bidi w:val="0"/>
        <w:snapToGrid w:val="0"/>
        <w:spacing w:after="0" w:line="240" w:lineRule="auto"/>
        <w:ind w:firstLine="425"/>
        <w:jc w:val="both"/>
        <w:rPr>
          <w:rFonts w:ascii="Times New Roman" w:hAnsi="Times New Roman" w:cs="Times New Roman"/>
          <w:sz w:val="20"/>
          <w:szCs w:val="20"/>
        </w:rPr>
        <w:sectPr w:rsidR="006D3B19" w:rsidRPr="009A1FB0" w:rsidSect="004721E2">
          <w:headerReference w:type="default" r:id="rId33"/>
          <w:footerReference w:type="default" r:id="rId34"/>
          <w:type w:val="continuous"/>
          <w:pgSz w:w="12242" w:h="15842" w:code="1"/>
          <w:pgMar w:top="1440" w:right="1440" w:bottom="1440" w:left="1440" w:header="720" w:footer="720" w:gutter="0"/>
          <w:cols w:space="708"/>
          <w:bidi/>
          <w:docGrid w:linePitch="360"/>
        </w:sectPr>
      </w:pPr>
    </w:p>
    <w:p w:rsidR="00937B18" w:rsidRPr="009A1FB0" w:rsidRDefault="00937B18" w:rsidP="006D3B19">
      <w:pPr>
        <w:tabs>
          <w:tab w:val="left" w:pos="2685"/>
        </w:tabs>
        <w:bidi w:val="0"/>
        <w:snapToGrid w:val="0"/>
        <w:spacing w:after="0" w:line="240" w:lineRule="auto"/>
        <w:ind w:firstLine="425"/>
        <w:jc w:val="both"/>
        <w:rPr>
          <w:rFonts w:ascii="Times New Roman" w:hAnsi="Times New Roman" w:cs="Times New Roman"/>
          <w:sz w:val="20"/>
          <w:szCs w:val="20"/>
          <w:lang w:eastAsia="zh-CN"/>
        </w:rPr>
      </w:pPr>
      <w:r w:rsidRPr="009A1FB0">
        <w:rPr>
          <w:rFonts w:ascii="Times New Roman" w:hAnsi="Times New Roman" w:cs="Times New Roman"/>
          <w:sz w:val="20"/>
          <w:szCs w:val="20"/>
        </w:rPr>
        <w:lastRenderedPageBreak/>
        <w:t>ROC curve for sensitivity and specificity of splenic size for prediction of esophageal varices.</w:t>
      </w:r>
    </w:p>
    <w:p w:rsidR="006D3B19" w:rsidRPr="009A1FB0" w:rsidRDefault="006D3B19" w:rsidP="006D3B19">
      <w:pPr>
        <w:tabs>
          <w:tab w:val="left" w:pos="2685"/>
        </w:tabs>
        <w:bidi w:val="0"/>
        <w:snapToGrid w:val="0"/>
        <w:spacing w:after="0" w:line="240" w:lineRule="auto"/>
        <w:ind w:firstLine="425"/>
        <w:jc w:val="both"/>
        <w:rPr>
          <w:rFonts w:ascii="Times New Roman" w:hAnsi="Times New Roman" w:cs="Times New Roman"/>
          <w:sz w:val="20"/>
          <w:szCs w:val="20"/>
          <w:lang w:eastAsia="zh-CN"/>
        </w:rPr>
      </w:pPr>
    </w:p>
    <w:p w:rsidR="00937B18" w:rsidRPr="009A1FB0" w:rsidRDefault="0074665A" w:rsidP="006D3B19">
      <w:pPr>
        <w:autoSpaceDE w:val="0"/>
        <w:autoSpaceDN w:val="0"/>
        <w:bidi w:val="0"/>
        <w:adjustRightInd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noProof/>
          <w:sz w:val="20"/>
          <w:szCs w:val="20"/>
          <w:lang w:eastAsia="zh-CN"/>
        </w:rPr>
        <w:drawing>
          <wp:inline distT="0" distB="0" distL="0" distR="0">
            <wp:extent cx="2647950" cy="2529030"/>
            <wp:effectExtent l="0" t="0" r="0" b="508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a:srcRect l="21645" t="7311" r="18605" b="9400"/>
                    <a:stretch/>
                  </pic:blipFill>
                  <pic:spPr bwMode="auto">
                    <a:xfrm>
                      <a:off x="0" y="0"/>
                      <a:ext cx="2648151" cy="252922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37B18" w:rsidRPr="009A1FB0" w:rsidRDefault="00937B18" w:rsidP="006D3B19">
      <w:pPr>
        <w:tabs>
          <w:tab w:val="left" w:pos="2685"/>
        </w:tabs>
        <w:bidi w:val="0"/>
        <w:snapToGrid w:val="0"/>
        <w:spacing w:after="0" w:line="240" w:lineRule="auto"/>
        <w:jc w:val="both"/>
        <w:rPr>
          <w:rFonts w:ascii="Times New Roman" w:hAnsi="Times New Roman" w:cs="Times New Roman"/>
          <w:sz w:val="20"/>
          <w:szCs w:val="20"/>
          <w:lang w:bidi="ar-EG"/>
        </w:rPr>
      </w:pPr>
      <w:r w:rsidRPr="009A1FB0">
        <w:rPr>
          <w:rFonts w:ascii="Times New Roman" w:hAnsi="Times New Roman" w:cs="Times New Roman"/>
          <w:b/>
          <w:bCs/>
          <w:sz w:val="20"/>
          <w:szCs w:val="20"/>
        </w:rPr>
        <w:t xml:space="preserve">Figure (8): </w:t>
      </w:r>
      <w:r w:rsidRPr="009A1FB0">
        <w:rPr>
          <w:rFonts w:ascii="Times New Roman" w:hAnsi="Times New Roman" w:cs="Times New Roman"/>
          <w:sz w:val="20"/>
          <w:szCs w:val="20"/>
        </w:rPr>
        <w:t>The best cutoff value of</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splenic size</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in prediction of esophageal varices was ≥15.9 with AUC (Area under the curve) 0.77,</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sensitivity 75.7%, specificity 58.6%,</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positive predictive value 70 %, negative predictive value 65.4%.</w:t>
      </w:r>
    </w:p>
    <w:p w:rsidR="00937B18" w:rsidRPr="009A1FB0" w:rsidRDefault="00937B18" w:rsidP="006D3B19">
      <w:pPr>
        <w:tabs>
          <w:tab w:val="left" w:pos="2685"/>
        </w:tabs>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rPr>
        <w:lastRenderedPageBreak/>
        <w:t>ROC curve for sensitivity and specificity of portal vein diameter for prediction of esophageal varices.</w:t>
      </w:r>
    </w:p>
    <w:p w:rsidR="00937B18" w:rsidRPr="009A1FB0" w:rsidRDefault="0074665A" w:rsidP="006D3B19">
      <w:pPr>
        <w:autoSpaceDE w:val="0"/>
        <w:autoSpaceDN w:val="0"/>
        <w:bidi w:val="0"/>
        <w:adjustRightInd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noProof/>
          <w:sz w:val="20"/>
          <w:szCs w:val="20"/>
          <w:lang w:eastAsia="zh-CN"/>
        </w:rPr>
        <w:drawing>
          <wp:inline distT="0" distB="0" distL="0" distR="0">
            <wp:extent cx="2698322" cy="2371725"/>
            <wp:effectExtent l="0" t="0" r="698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a:srcRect l="16293" r="13034" b="9764"/>
                    <a:stretch/>
                  </pic:blipFill>
                  <pic:spPr bwMode="auto">
                    <a:xfrm>
                      <a:off x="0" y="0"/>
                      <a:ext cx="2703256" cy="23760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5DBF"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b/>
          <w:bCs/>
          <w:sz w:val="20"/>
          <w:szCs w:val="20"/>
        </w:rPr>
        <w:t xml:space="preserve">Figure (9): </w:t>
      </w:r>
      <w:r w:rsidRPr="009A1FB0">
        <w:rPr>
          <w:rFonts w:ascii="Times New Roman" w:hAnsi="Times New Roman" w:cs="Times New Roman"/>
          <w:color w:val="002060"/>
          <w:sz w:val="20"/>
          <w:szCs w:val="20"/>
        </w:rPr>
        <w:t xml:space="preserve">The </w:t>
      </w:r>
      <w:r w:rsidRPr="009A1FB0">
        <w:rPr>
          <w:rFonts w:ascii="Times New Roman" w:hAnsi="Times New Roman" w:cs="Times New Roman"/>
          <w:sz w:val="20"/>
          <w:szCs w:val="20"/>
        </w:rPr>
        <w:t>best cutoff value of</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portal vein diameter in prediction of esophageal varices was ≥13.5 with AUROC (Area under the curve) 0.74,</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sensitivity 64.1%, specificity 80.6%,</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positive predictive value 80.6%, negative predictive value 64.1%.</w:t>
      </w:r>
    </w:p>
    <w:p w:rsidR="006D3B19" w:rsidRPr="009A1FB0" w:rsidRDefault="006D3B19"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6D3B19" w:rsidRPr="009A1FB0" w:rsidSect="006D3B19">
          <w:headerReference w:type="default" r:id="rId37"/>
          <w:footerReference w:type="default" r:id="rId38"/>
          <w:type w:val="continuous"/>
          <w:pgSz w:w="12242" w:h="15842" w:code="1"/>
          <w:pgMar w:top="1440" w:right="1440" w:bottom="1440" w:left="1440" w:header="720" w:footer="720" w:gutter="0"/>
          <w:cols w:num="2" w:space="550"/>
          <w:docGrid w:linePitch="360"/>
        </w:sectPr>
      </w:pPr>
    </w:p>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sz w:val="20"/>
          <w:szCs w:val="20"/>
        </w:rPr>
      </w:pPr>
    </w:p>
    <w:p w:rsidR="006D3B19" w:rsidRPr="009A1FB0" w:rsidRDefault="006D3B19" w:rsidP="006D3B19">
      <w:pPr>
        <w:autoSpaceDE w:val="0"/>
        <w:autoSpaceDN w:val="0"/>
        <w:bidi w:val="0"/>
        <w:adjustRightInd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b/>
          <w:bCs/>
          <w:sz w:val="20"/>
          <w:szCs w:val="20"/>
        </w:rPr>
        <w:t xml:space="preserve">Table (11): </w:t>
      </w:r>
      <w:r w:rsidRPr="009A1FB0">
        <w:rPr>
          <w:rFonts w:ascii="Times New Roman" w:hAnsi="Times New Roman" w:cs="Times New Roman"/>
          <w:sz w:val="20"/>
          <w:szCs w:val="20"/>
        </w:rPr>
        <w:t>Comparison between patients with and without varices regarding their FIB 4</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3258"/>
        <w:gridCol w:w="720"/>
        <w:gridCol w:w="1080"/>
        <w:gridCol w:w="990"/>
        <w:gridCol w:w="996"/>
        <w:gridCol w:w="1547"/>
      </w:tblGrid>
      <w:tr w:rsidR="006D3B19" w:rsidRPr="009A1FB0" w:rsidTr="006D3B19">
        <w:trPr>
          <w:jc w:val="center"/>
        </w:trPr>
        <w:tc>
          <w:tcPr>
            <w:tcW w:w="3258" w:type="dxa"/>
            <w:vMerge w:val="restart"/>
            <w:tcBorders>
              <w:top w:val="thinThickSmallGap" w:sz="12" w:space="0" w:color="auto"/>
              <w:left w:val="thinThickSmallGap" w:sz="12" w:space="0" w:color="auto"/>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Group</w:t>
            </w:r>
          </w:p>
        </w:tc>
        <w:tc>
          <w:tcPr>
            <w:tcW w:w="720" w:type="dxa"/>
            <w:vMerge w:val="restart"/>
            <w:tcBorders>
              <w:top w:val="thinThickSmallGap" w:sz="12" w:space="0" w:color="auto"/>
              <w:left w:val="single" w:sz="12" w:space="0" w:color="000000"/>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No.</w:t>
            </w:r>
          </w:p>
        </w:tc>
        <w:tc>
          <w:tcPr>
            <w:tcW w:w="2070" w:type="dxa"/>
            <w:gridSpan w:val="2"/>
            <w:tcBorders>
              <w:top w:val="thinThickSmallGap" w:sz="12" w:space="0" w:color="auto"/>
              <w:left w:val="single" w:sz="12" w:space="0" w:color="000000"/>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FIB 4</w:t>
            </w:r>
          </w:p>
        </w:tc>
        <w:tc>
          <w:tcPr>
            <w:tcW w:w="996" w:type="dxa"/>
            <w:vMerge w:val="restart"/>
            <w:tcBorders>
              <w:top w:val="thinThickSmallGap" w:sz="12" w:space="0" w:color="auto"/>
              <w:left w:val="single" w:sz="12" w:space="0" w:color="000000"/>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MWU test</w:t>
            </w:r>
          </w:p>
        </w:tc>
        <w:tc>
          <w:tcPr>
            <w:tcW w:w="1547" w:type="dxa"/>
            <w:vMerge w:val="restart"/>
            <w:tcBorders>
              <w:top w:val="thinThickSmallGap" w:sz="12" w:space="0" w:color="auto"/>
              <w:left w:val="single" w:sz="12" w:space="0" w:color="000000"/>
              <w:bottom w:val="single" w:sz="12" w:space="0" w:color="000000"/>
              <w:right w:val="thinThickSmallGap" w:sz="12" w:space="0" w:color="auto"/>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6D3B19" w:rsidRPr="009A1FB0" w:rsidTr="006D3B19">
        <w:trPr>
          <w:trHeight w:val="50"/>
          <w:jc w:val="center"/>
        </w:trPr>
        <w:tc>
          <w:tcPr>
            <w:tcW w:w="3258" w:type="dxa"/>
            <w:vMerge/>
            <w:tcBorders>
              <w:top w:val="single" w:sz="12" w:space="0" w:color="000000"/>
              <w:left w:val="thinThickSmallGap" w:sz="12" w:space="0" w:color="auto"/>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720" w:type="dxa"/>
            <w:vMerge/>
            <w:tcBorders>
              <w:top w:val="single" w:sz="12" w:space="0" w:color="000000"/>
              <w:left w:val="single" w:sz="12" w:space="0" w:color="000000"/>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1080" w:type="dxa"/>
            <w:tcBorders>
              <w:top w:val="single" w:sz="12" w:space="0" w:color="000000"/>
              <w:left w:val="single" w:sz="12" w:space="0" w:color="000000"/>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990" w:type="dxa"/>
            <w:tcBorders>
              <w:top w:val="single" w:sz="12" w:space="0" w:color="000000"/>
              <w:left w:val="single" w:sz="12" w:space="0" w:color="000000"/>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996" w:type="dxa"/>
            <w:vMerge/>
            <w:tcBorders>
              <w:top w:val="single" w:sz="12" w:space="0" w:color="000000"/>
              <w:left w:val="single" w:sz="12" w:space="0" w:color="000000"/>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1547" w:type="dxa"/>
            <w:vMerge/>
            <w:tcBorders>
              <w:top w:val="single" w:sz="12" w:space="0" w:color="000000"/>
              <w:left w:val="single" w:sz="12" w:space="0" w:color="000000"/>
              <w:bottom w:val="single" w:sz="12" w:space="0" w:color="000000"/>
              <w:right w:val="thinThickSmallGap" w:sz="12" w:space="0" w:color="auto"/>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r>
      <w:tr w:rsidR="006D3B19" w:rsidRPr="009A1FB0" w:rsidTr="006D3B19">
        <w:trPr>
          <w:jc w:val="center"/>
        </w:trPr>
        <w:tc>
          <w:tcPr>
            <w:tcW w:w="3258" w:type="dxa"/>
            <w:tcBorders>
              <w:top w:val="single" w:sz="12" w:space="0" w:color="000000"/>
              <w:left w:val="thinThickSmallGap" w:sz="12" w:space="0" w:color="auto"/>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without EVs</w:t>
            </w:r>
          </w:p>
        </w:tc>
        <w:tc>
          <w:tcPr>
            <w:tcW w:w="720" w:type="dxa"/>
            <w:tcBorders>
              <w:top w:val="single" w:sz="12" w:space="0" w:color="000000"/>
              <w:left w:val="single" w:sz="12" w:space="0" w:color="000000"/>
              <w:bottom w:val="single" w:sz="12" w:space="0" w:color="000000"/>
              <w:right w:val="single" w:sz="12" w:space="0" w:color="000000"/>
            </w:tcBorders>
            <w:vAlign w:val="center"/>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4.64</w:t>
            </w:r>
          </w:p>
        </w:tc>
        <w:tc>
          <w:tcPr>
            <w:tcW w:w="990" w:type="dxa"/>
            <w:tcBorders>
              <w:top w:val="single" w:sz="12" w:space="0" w:color="000000"/>
              <w:left w:val="single" w:sz="12" w:space="0" w:color="000000"/>
              <w:bottom w:val="single" w:sz="12" w:space="0" w:color="000000"/>
              <w:right w:val="single" w:sz="12" w:space="0" w:color="000000"/>
            </w:tcBorders>
            <w:vAlign w:val="center"/>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1.54</w:t>
            </w:r>
          </w:p>
        </w:tc>
        <w:tc>
          <w:tcPr>
            <w:tcW w:w="996" w:type="dxa"/>
            <w:vMerge w:val="restart"/>
            <w:tcBorders>
              <w:top w:val="single" w:sz="12" w:space="0" w:color="000000"/>
              <w:left w:val="single" w:sz="12" w:space="0" w:color="000000"/>
              <w:bottom w:val="single" w:sz="12" w:space="0" w:color="000000"/>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2.95</w:t>
            </w:r>
          </w:p>
        </w:tc>
        <w:tc>
          <w:tcPr>
            <w:tcW w:w="1547" w:type="dxa"/>
            <w:vMerge w:val="restart"/>
            <w:tcBorders>
              <w:top w:val="single" w:sz="12" w:space="0" w:color="000000"/>
              <w:left w:val="single" w:sz="12" w:space="0" w:color="000000"/>
              <w:bottom w:val="single" w:sz="12" w:space="0" w:color="000000"/>
              <w:right w:val="thinThickSmallGap" w:sz="12" w:space="0" w:color="auto"/>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0.003</w:t>
            </w:r>
          </w:p>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(S)</w:t>
            </w:r>
          </w:p>
        </w:tc>
      </w:tr>
      <w:tr w:rsidR="006D3B19" w:rsidRPr="009A1FB0" w:rsidTr="006D3B19">
        <w:trPr>
          <w:jc w:val="center"/>
        </w:trPr>
        <w:tc>
          <w:tcPr>
            <w:tcW w:w="3258" w:type="dxa"/>
            <w:tcBorders>
              <w:top w:val="single" w:sz="12" w:space="0" w:color="000000"/>
              <w:left w:val="thinThickSmallGap" w:sz="12" w:space="0" w:color="auto"/>
              <w:bottom w:val="thinThickSmallGap" w:sz="12" w:space="0" w:color="auto"/>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EVs</w:t>
            </w:r>
          </w:p>
        </w:tc>
        <w:tc>
          <w:tcPr>
            <w:tcW w:w="720" w:type="dxa"/>
            <w:tcBorders>
              <w:top w:val="single" w:sz="12" w:space="0" w:color="000000"/>
              <w:left w:val="single" w:sz="12" w:space="0" w:color="000000"/>
              <w:bottom w:val="thinThickSmallGap" w:sz="12" w:space="0" w:color="auto"/>
              <w:right w:val="single" w:sz="12" w:space="0" w:color="000000"/>
            </w:tcBorders>
            <w:vAlign w:val="center"/>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w:t>
            </w:r>
          </w:p>
        </w:tc>
        <w:tc>
          <w:tcPr>
            <w:tcW w:w="1080" w:type="dxa"/>
            <w:tcBorders>
              <w:top w:val="single" w:sz="12" w:space="0" w:color="000000"/>
              <w:left w:val="single" w:sz="12" w:space="0" w:color="000000"/>
              <w:bottom w:val="thinThickSmallGap" w:sz="12" w:space="0" w:color="auto"/>
              <w:right w:val="single" w:sz="12" w:space="0" w:color="000000"/>
            </w:tcBorders>
            <w:vAlign w:val="center"/>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6.67</w:t>
            </w:r>
          </w:p>
        </w:tc>
        <w:tc>
          <w:tcPr>
            <w:tcW w:w="990" w:type="dxa"/>
            <w:tcBorders>
              <w:top w:val="single" w:sz="12" w:space="0" w:color="000000"/>
              <w:left w:val="single" w:sz="12" w:space="0" w:color="000000"/>
              <w:bottom w:val="thinThickSmallGap" w:sz="12" w:space="0" w:color="auto"/>
              <w:right w:val="single" w:sz="12" w:space="0" w:color="000000"/>
            </w:tcBorders>
            <w:vAlign w:val="center"/>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3.47</w:t>
            </w:r>
          </w:p>
        </w:tc>
        <w:tc>
          <w:tcPr>
            <w:tcW w:w="996" w:type="dxa"/>
            <w:vMerge/>
            <w:tcBorders>
              <w:top w:val="single" w:sz="12" w:space="0" w:color="000000"/>
              <w:left w:val="single" w:sz="12" w:space="0" w:color="000000"/>
              <w:bottom w:val="thinThickSmallGap" w:sz="12" w:space="0" w:color="auto"/>
              <w:right w:val="single" w:sz="12" w:space="0" w:color="000000"/>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1547" w:type="dxa"/>
            <w:vMerge/>
            <w:tcBorders>
              <w:top w:val="single" w:sz="12" w:space="0" w:color="000000"/>
              <w:left w:val="single" w:sz="12" w:space="0" w:color="000000"/>
              <w:bottom w:val="thinThickSmallGap" w:sz="12" w:space="0" w:color="auto"/>
              <w:right w:val="thinThickSmallGap" w:sz="12" w:space="0" w:color="auto"/>
            </w:tcBorders>
          </w:tcPr>
          <w:p w:rsidR="006D3B19" w:rsidRPr="009A1FB0" w:rsidRDefault="006D3B19"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r>
    </w:tbl>
    <w:p w:rsidR="006D3B19" w:rsidRPr="009A1FB0" w:rsidRDefault="006D3B19" w:rsidP="006D3B19">
      <w:pPr>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lang w:bidi="ar-EG"/>
        </w:rPr>
        <w:t>This table shows that there was statistically significant relation</w:t>
      </w:r>
      <w:r w:rsidR="003F277C" w:rsidRPr="009A1FB0">
        <w:rPr>
          <w:rFonts w:ascii="Times New Roman" w:hAnsi="Times New Roman" w:cs="Times New Roman"/>
          <w:sz w:val="20"/>
          <w:szCs w:val="20"/>
          <w:lang w:bidi="ar-EG"/>
        </w:rPr>
        <w:t xml:space="preserve"> </w:t>
      </w:r>
      <w:r w:rsidRPr="009A1FB0">
        <w:rPr>
          <w:rFonts w:ascii="Times New Roman" w:hAnsi="Times New Roman" w:cs="Times New Roman"/>
          <w:sz w:val="20"/>
          <w:szCs w:val="20"/>
          <w:lang w:bidi="ar-EG"/>
        </w:rPr>
        <w:t>between FIB4and esophageal varices presence.</w:t>
      </w:r>
    </w:p>
    <w:p w:rsidR="006D3B19" w:rsidRPr="009A1FB0" w:rsidRDefault="006D3B19" w:rsidP="006D3B19">
      <w:pPr>
        <w:bidi w:val="0"/>
        <w:snapToGrid w:val="0"/>
        <w:spacing w:after="0" w:line="240" w:lineRule="auto"/>
        <w:jc w:val="center"/>
        <w:rPr>
          <w:rFonts w:ascii="Times New Roman" w:hAnsi="Times New Roman" w:cs="Times New Roman"/>
          <w:b/>
          <w:bCs/>
          <w:sz w:val="20"/>
          <w:szCs w:val="20"/>
          <w:lang w:eastAsia="zh-CN"/>
        </w:rPr>
      </w:pPr>
    </w:p>
    <w:p w:rsidR="006D3B19" w:rsidRPr="009A1FB0" w:rsidRDefault="006D3B19" w:rsidP="006D3B19">
      <w:pPr>
        <w:bidi w:val="0"/>
        <w:snapToGrid w:val="0"/>
        <w:spacing w:after="0" w:line="240" w:lineRule="auto"/>
        <w:jc w:val="center"/>
        <w:rPr>
          <w:rFonts w:ascii="Times New Roman" w:hAnsi="Times New Roman" w:cs="Times New Roman"/>
          <w:b/>
          <w:bCs/>
          <w:sz w:val="20"/>
          <w:szCs w:val="20"/>
          <w:lang w:eastAsia="zh-CN"/>
        </w:rPr>
      </w:pPr>
    </w:p>
    <w:p w:rsidR="00937B18" w:rsidRPr="009A1FB0" w:rsidRDefault="00937B18" w:rsidP="006D3B19">
      <w:pPr>
        <w:bidi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b/>
          <w:bCs/>
          <w:sz w:val="20"/>
          <w:szCs w:val="20"/>
        </w:rPr>
        <w:lastRenderedPageBreak/>
        <w:t xml:space="preserve">Table (10): </w:t>
      </w:r>
      <w:r w:rsidRPr="009A1FB0">
        <w:rPr>
          <w:rFonts w:ascii="Times New Roman" w:hAnsi="Times New Roman" w:cs="Times New Roman"/>
          <w:sz w:val="20"/>
          <w:szCs w:val="20"/>
        </w:rPr>
        <w:t>Comparison between patients with and without varices regarding their Child-Pugh classification.</w:t>
      </w: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080"/>
        <w:gridCol w:w="305"/>
        <w:gridCol w:w="1911"/>
        <w:gridCol w:w="2127"/>
        <w:gridCol w:w="1984"/>
        <w:gridCol w:w="851"/>
        <w:gridCol w:w="1164"/>
      </w:tblGrid>
      <w:tr w:rsidR="00937B18" w:rsidRPr="009A1FB0" w:rsidTr="009A1FB0">
        <w:trPr>
          <w:cantSplit/>
          <w:jc w:val="cent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91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411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group</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Total</w:t>
            </w:r>
          </w:p>
        </w:tc>
        <w:tc>
          <w:tcPr>
            <w:tcW w:w="1164" w:type="dxa"/>
            <w:vMerge w:val="restart"/>
            <w:tcBorders>
              <w:top w:val="single" w:sz="16" w:space="0" w:color="000000"/>
            </w:tcBorders>
            <w:shd w:val="clear" w:color="auto" w:fill="FFFFFF"/>
            <w:vAlign w:val="center"/>
          </w:tcPr>
          <w:p w:rsidR="00937B18" w:rsidRPr="009A1FB0" w:rsidRDefault="00937B18" w:rsidP="003F277C">
            <w:pPr>
              <w:shd w:val="clear" w:color="auto" w:fill="FFFFFF"/>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X</w:t>
            </w:r>
            <w:r w:rsidRPr="009A1FB0">
              <w:rPr>
                <w:rFonts w:ascii="Times New Roman" w:hAnsi="Times New Roman" w:cs="Times New Roman"/>
                <w:b/>
                <w:bCs/>
                <w:color w:val="000000"/>
                <w:sz w:val="20"/>
                <w:szCs w:val="20"/>
                <w:vertAlign w:val="superscript"/>
              </w:rPr>
              <w:t>2</w:t>
            </w:r>
            <w:r w:rsidRPr="009A1FB0">
              <w:rPr>
                <w:rFonts w:ascii="Times New Roman" w:hAnsi="Times New Roman" w:cs="Times New Roman"/>
                <w:b/>
                <w:bCs/>
                <w:color w:val="000000"/>
                <w:sz w:val="20"/>
                <w:szCs w:val="20"/>
              </w:rPr>
              <w:t>= 20.4</w:t>
            </w:r>
          </w:p>
          <w:p w:rsidR="00937B18" w:rsidRPr="009A1FB0" w:rsidRDefault="00937B18" w:rsidP="003F277C">
            <w:pPr>
              <w:shd w:val="clear" w:color="auto" w:fill="FFFFFF"/>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&amp;</w:t>
            </w:r>
            <w:r w:rsidR="003F277C" w:rsidRPr="009A1FB0">
              <w:rPr>
                <w:rFonts w:ascii="Times New Roman" w:hAnsi="Times New Roman" w:cs="Times New Roman"/>
                <w:b/>
                <w:bCs/>
                <w:color w:val="000000"/>
                <w:sz w:val="20"/>
                <w:szCs w:val="20"/>
              </w:rPr>
              <w:t xml:space="preserve"> </w:t>
            </w:r>
            <w:r w:rsidRPr="009A1FB0">
              <w:rPr>
                <w:rFonts w:ascii="Times New Roman" w:hAnsi="Times New Roman" w:cs="Times New Roman"/>
                <w:b/>
                <w:bCs/>
                <w:color w:val="000000"/>
                <w:sz w:val="20"/>
                <w:szCs w:val="20"/>
              </w:rPr>
              <w:t>P&lt;0.001 (HS)</w:t>
            </w:r>
          </w:p>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6D3B19" w:rsidRPr="009A1FB0" w:rsidTr="009A1FB0">
        <w:trPr>
          <w:cantSplit/>
          <w:jc w:val="cent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0" w:type="auto"/>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91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2127"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without OVS</w:t>
            </w:r>
          </w:p>
        </w:tc>
        <w:tc>
          <w:tcPr>
            <w:tcW w:w="1984" w:type="dxa"/>
            <w:tcBorders>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OVS</w:t>
            </w: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1164" w:type="dxa"/>
            <w:vMerge/>
            <w:shd w:val="clear" w:color="auto" w:fill="FFFFFF"/>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6D3B19" w:rsidRPr="009A1FB0" w:rsidTr="009A1FB0">
        <w:trPr>
          <w:cantSplit/>
          <w:jc w:val="cent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CHILD Score</w:t>
            </w:r>
          </w:p>
        </w:tc>
        <w:tc>
          <w:tcPr>
            <w:tcW w:w="0" w:type="auto"/>
            <w:vMerge w:val="restart"/>
            <w:tcBorders>
              <w:top w:val="single" w:sz="16" w:space="0" w:color="000000"/>
              <w:left w:val="nil"/>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A5</w:t>
            </w:r>
          </w:p>
        </w:tc>
        <w:tc>
          <w:tcPr>
            <w:tcW w:w="191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Count</w:t>
            </w:r>
          </w:p>
        </w:tc>
        <w:tc>
          <w:tcPr>
            <w:tcW w:w="212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27</w:t>
            </w:r>
          </w:p>
        </w:tc>
        <w:tc>
          <w:tcPr>
            <w:tcW w:w="1984" w:type="dxa"/>
            <w:tcBorders>
              <w:top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13</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40</w:t>
            </w:r>
          </w:p>
        </w:tc>
        <w:tc>
          <w:tcPr>
            <w:tcW w:w="1164" w:type="dxa"/>
            <w:vMerge/>
            <w:shd w:val="clear" w:color="auto" w:fill="FFFFFF"/>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6D3B19" w:rsidRPr="009A1FB0" w:rsidTr="009A1FB0">
        <w:trPr>
          <w:cantSplit/>
          <w:trHeight w:val="20"/>
          <w:jc w:val="cent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1911" w:type="dxa"/>
            <w:tcBorders>
              <w:top w:val="nil"/>
              <w:left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within group</w:t>
            </w:r>
          </w:p>
        </w:tc>
        <w:tc>
          <w:tcPr>
            <w:tcW w:w="2127" w:type="dxa"/>
            <w:tcBorders>
              <w:top w:val="nil"/>
              <w:lef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87.1%</w:t>
            </w:r>
          </w:p>
        </w:tc>
        <w:tc>
          <w:tcPr>
            <w:tcW w:w="1984" w:type="dxa"/>
            <w:tcBorders>
              <w:top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33.3%</w:t>
            </w:r>
          </w:p>
        </w:tc>
        <w:tc>
          <w:tcPr>
            <w:tcW w:w="851" w:type="dxa"/>
            <w:tcBorders>
              <w:top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57.1%</w:t>
            </w:r>
          </w:p>
        </w:tc>
        <w:tc>
          <w:tcPr>
            <w:tcW w:w="1164" w:type="dxa"/>
            <w:vMerge/>
            <w:shd w:val="clear" w:color="auto" w:fill="FFFFFF"/>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6D3B19" w:rsidRPr="009A1FB0" w:rsidTr="009A1FB0">
        <w:trPr>
          <w:cantSplit/>
          <w:jc w:val="cent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0" w:type="auto"/>
            <w:vMerge w:val="restart"/>
            <w:tcBorders>
              <w:left w:val="nil"/>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A6</w:t>
            </w:r>
          </w:p>
        </w:tc>
        <w:tc>
          <w:tcPr>
            <w:tcW w:w="1911" w:type="dxa"/>
            <w:tcBorders>
              <w:left w:val="nil"/>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Count</w:t>
            </w:r>
          </w:p>
        </w:tc>
        <w:tc>
          <w:tcPr>
            <w:tcW w:w="2127" w:type="dxa"/>
            <w:tcBorders>
              <w:left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w:t>
            </w:r>
          </w:p>
        </w:tc>
        <w:tc>
          <w:tcPr>
            <w:tcW w:w="1984" w:type="dxa"/>
            <w:tcBorders>
              <w:bottom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26</w:t>
            </w:r>
          </w:p>
        </w:tc>
        <w:tc>
          <w:tcPr>
            <w:tcW w:w="851" w:type="dxa"/>
            <w:tcBorders>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30</w:t>
            </w:r>
          </w:p>
        </w:tc>
        <w:tc>
          <w:tcPr>
            <w:tcW w:w="1164" w:type="dxa"/>
            <w:vMerge/>
            <w:shd w:val="clear" w:color="auto" w:fill="FFFFFF"/>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6D3B19" w:rsidRPr="009A1FB0" w:rsidTr="009A1FB0">
        <w:trPr>
          <w:cantSplit/>
          <w:jc w:val="cent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0" w:type="auto"/>
            <w:vMerge/>
            <w:tcBorders>
              <w:left w:val="nil"/>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1911" w:type="dxa"/>
            <w:tcBorders>
              <w:top w:val="nil"/>
              <w:left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within group</w:t>
            </w:r>
          </w:p>
        </w:tc>
        <w:tc>
          <w:tcPr>
            <w:tcW w:w="2127" w:type="dxa"/>
            <w:tcBorders>
              <w:top w:val="nil"/>
              <w:lef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12.9%</w:t>
            </w:r>
          </w:p>
        </w:tc>
        <w:tc>
          <w:tcPr>
            <w:tcW w:w="1984" w:type="dxa"/>
            <w:tcBorders>
              <w:top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66.7%</w:t>
            </w:r>
          </w:p>
        </w:tc>
        <w:tc>
          <w:tcPr>
            <w:tcW w:w="851" w:type="dxa"/>
            <w:tcBorders>
              <w:top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42.9%</w:t>
            </w:r>
          </w:p>
        </w:tc>
        <w:tc>
          <w:tcPr>
            <w:tcW w:w="1164" w:type="dxa"/>
            <w:vMerge/>
            <w:shd w:val="clear" w:color="auto" w:fill="FFFFFF"/>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9A1FB0">
        <w:trPr>
          <w:cantSplit/>
          <w:jc w:val="center"/>
        </w:trPr>
        <w:tc>
          <w:tcPr>
            <w:tcW w:w="0" w:type="auto"/>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Total</w:t>
            </w:r>
          </w:p>
        </w:tc>
        <w:tc>
          <w:tcPr>
            <w:tcW w:w="1911" w:type="dxa"/>
            <w:tcBorders>
              <w:left w:val="nil"/>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Count</w:t>
            </w:r>
          </w:p>
        </w:tc>
        <w:tc>
          <w:tcPr>
            <w:tcW w:w="2127" w:type="dxa"/>
            <w:tcBorders>
              <w:left w:val="single" w:sz="16" w:space="0" w:color="000000"/>
              <w:bottom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31</w:t>
            </w:r>
          </w:p>
        </w:tc>
        <w:tc>
          <w:tcPr>
            <w:tcW w:w="1984" w:type="dxa"/>
            <w:tcBorders>
              <w:bottom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39</w:t>
            </w:r>
          </w:p>
        </w:tc>
        <w:tc>
          <w:tcPr>
            <w:tcW w:w="851" w:type="dxa"/>
            <w:tcBorders>
              <w:bottom w:val="nil"/>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70</w:t>
            </w:r>
          </w:p>
        </w:tc>
        <w:tc>
          <w:tcPr>
            <w:tcW w:w="1164" w:type="dxa"/>
            <w:vMerge w:val="restart"/>
            <w:shd w:val="clear" w:color="auto" w:fill="FFFFFF"/>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937B18" w:rsidRPr="009A1FB0" w:rsidTr="009A1FB0">
        <w:trPr>
          <w:cantSplit/>
          <w:jc w:val="cent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tc>
        <w:tc>
          <w:tcPr>
            <w:tcW w:w="191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within group</w:t>
            </w:r>
          </w:p>
        </w:tc>
        <w:tc>
          <w:tcPr>
            <w:tcW w:w="212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1984" w:type="dxa"/>
            <w:tcBorders>
              <w:top w:val="nil"/>
              <w:bottom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100.0%</w:t>
            </w:r>
          </w:p>
        </w:tc>
        <w:tc>
          <w:tcPr>
            <w:tcW w:w="1164" w:type="dxa"/>
            <w:vMerge/>
            <w:tcBorders>
              <w:bottom w:val="single" w:sz="16" w:space="0" w:color="000000"/>
            </w:tcBorders>
            <w:shd w:val="clear" w:color="auto" w:fill="FFFFFF"/>
            <w:vAlign w:val="center"/>
          </w:tcPr>
          <w:p w:rsidR="00937B18" w:rsidRPr="009A1FB0" w:rsidRDefault="00937B18" w:rsidP="003F277C">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bl>
    <w:p w:rsidR="006D3B19" w:rsidRPr="009A1FB0" w:rsidRDefault="006D3B19" w:rsidP="006D3B19">
      <w:pPr>
        <w:bidi w:val="0"/>
        <w:snapToGrid w:val="0"/>
        <w:spacing w:after="0" w:line="240" w:lineRule="auto"/>
        <w:jc w:val="both"/>
        <w:rPr>
          <w:rFonts w:ascii="Times New Roman" w:hAnsi="Times New Roman" w:cs="Times New Roman"/>
          <w:sz w:val="20"/>
          <w:szCs w:val="20"/>
          <w:lang w:eastAsia="zh-CN" w:bidi="ar-EG"/>
        </w:rPr>
      </w:pP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eastAsia="zh-CN" w:bidi="ar-EG"/>
        </w:rPr>
      </w:pPr>
      <w:r w:rsidRPr="009A1FB0">
        <w:rPr>
          <w:rFonts w:ascii="Times New Roman" w:hAnsi="Times New Roman" w:cs="Times New Roman"/>
          <w:sz w:val="20"/>
          <w:szCs w:val="20"/>
          <w:lang w:bidi="ar-EG"/>
        </w:rPr>
        <w:t>This table shows that there was high statistically significant relation</w:t>
      </w:r>
      <w:r w:rsidR="003F277C" w:rsidRPr="009A1FB0">
        <w:rPr>
          <w:rFonts w:ascii="Times New Roman" w:hAnsi="Times New Roman" w:cs="Times New Roman"/>
          <w:sz w:val="20"/>
          <w:szCs w:val="20"/>
          <w:lang w:bidi="ar-EG"/>
        </w:rPr>
        <w:t xml:space="preserve"> </w:t>
      </w:r>
      <w:r w:rsidRPr="009A1FB0">
        <w:rPr>
          <w:rFonts w:ascii="Times New Roman" w:hAnsi="Times New Roman" w:cs="Times New Roman"/>
          <w:sz w:val="20"/>
          <w:szCs w:val="20"/>
          <w:lang w:bidi="ar-EG"/>
        </w:rPr>
        <w:t>between Child-Pugh A classification and esophageal varices presence.</w:t>
      </w:r>
    </w:p>
    <w:p w:rsidR="00937B18" w:rsidRPr="009A1FB0" w:rsidRDefault="00937B18" w:rsidP="006D3B19">
      <w:pPr>
        <w:tabs>
          <w:tab w:val="left" w:pos="2685"/>
        </w:tabs>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rPr>
        <w:t>ROC curve for sensitivity and specificity of FIB4 for prediction of esophageal varices.</w:t>
      </w:r>
    </w:p>
    <w:p w:rsidR="00937B18" w:rsidRPr="009A1FB0" w:rsidRDefault="0074665A" w:rsidP="006D3B19">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9A1FB0">
        <w:rPr>
          <w:rFonts w:ascii="Times New Roman" w:hAnsi="Times New Roman" w:cs="Times New Roman"/>
          <w:noProof/>
          <w:sz w:val="20"/>
          <w:szCs w:val="20"/>
          <w:lang w:eastAsia="zh-CN"/>
        </w:rPr>
        <w:drawing>
          <wp:inline distT="0" distB="0" distL="0" distR="0">
            <wp:extent cx="3385285" cy="2894275"/>
            <wp:effectExtent l="19050" t="0" r="5615"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9"/>
                    <a:srcRect l="17097" r="12922" b="9483"/>
                    <a:stretch/>
                  </pic:blipFill>
                  <pic:spPr bwMode="auto">
                    <a:xfrm>
                      <a:off x="0" y="0"/>
                      <a:ext cx="3405263" cy="29113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D3B19" w:rsidRPr="009A1FB0" w:rsidRDefault="006D3B19" w:rsidP="006D3B19">
      <w:pPr>
        <w:tabs>
          <w:tab w:val="left" w:pos="2685"/>
        </w:tabs>
        <w:bidi w:val="0"/>
        <w:snapToGrid w:val="0"/>
        <w:spacing w:after="0" w:line="240" w:lineRule="auto"/>
        <w:jc w:val="both"/>
        <w:rPr>
          <w:rFonts w:ascii="Times New Roman" w:hAnsi="Times New Roman" w:cs="Times New Roman"/>
          <w:sz w:val="20"/>
          <w:szCs w:val="20"/>
        </w:rPr>
      </w:pPr>
      <w:r w:rsidRPr="009A1FB0">
        <w:rPr>
          <w:rFonts w:ascii="Times New Roman" w:hAnsi="Times New Roman" w:cs="Times New Roman"/>
          <w:sz w:val="20"/>
          <w:szCs w:val="20"/>
        </w:rPr>
        <w:t>76.9%, specificity 61.3%,</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positive predictive value 71.4%, negative predictive value 67.9%.</w:t>
      </w:r>
    </w:p>
    <w:p w:rsidR="006D3B19" w:rsidRPr="009A1FB0" w:rsidRDefault="00937B18" w:rsidP="006D3B19">
      <w:pPr>
        <w:tabs>
          <w:tab w:val="left" w:pos="2685"/>
        </w:tabs>
        <w:bidi w:val="0"/>
        <w:snapToGrid w:val="0"/>
        <w:spacing w:after="0" w:line="240" w:lineRule="auto"/>
        <w:jc w:val="both"/>
        <w:rPr>
          <w:rFonts w:ascii="Times New Roman" w:hAnsi="Times New Roman" w:cs="Times New Roman"/>
          <w:sz w:val="20"/>
          <w:szCs w:val="20"/>
          <w:lang w:eastAsia="zh-CN"/>
        </w:rPr>
      </w:pPr>
      <w:r w:rsidRPr="009A1FB0">
        <w:rPr>
          <w:rFonts w:ascii="Times New Roman" w:hAnsi="Times New Roman" w:cs="Times New Roman"/>
          <w:b/>
          <w:bCs/>
          <w:sz w:val="20"/>
          <w:szCs w:val="20"/>
        </w:rPr>
        <w:t>Figure (12)</w:t>
      </w:r>
      <w:r w:rsidR="003F277C" w:rsidRPr="009A1FB0">
        <w:rPr>
          <w:rFonts w:ascii="Times New Roman" w:hAnsi="Times New Roman" w:cs="Times New Roman"/>
          <w:b/>
          <w:bCs/>
          <w:sz w:val="20"/>
          <w:szCs w:val="20"/>
        </w:rPr>
        <w:t xml:space="preserve">: </w:t>
      </w:r>
      <w:r w:rsidR="003F277C" w:rsidRPr="009A1FB0">
        <w:rPr>
          <w:rFonts w:ascii="Times New Roman" w:hAnsi="Times New Roman" w:cs="Times New Roman"/>
          <w:sz w:val="20"/>
          <w:szCs w:val="20"/>
        </w:rPr>
        <w:t>T</w:t>
      </w:r>
      <w:r w:rsidRPr="009A1FB0">
        <w:rPr>
          <w:rFonts w:ascii="Times New Roman" w:hAnsi="Times New Roman" w:cs="Times New Roman"/>
          <w:sz w:val="20"/>
          <w:szCs w:val="20"/>
        </w:rPr>
        <w:t>he best cutoff value of</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FIB4 in prediction of esophageal varices was ≥4.68 with AUROC (Area under the curve)0.71</w:t>
      </w:r>
      <w:r w:rsidR="003F277C" w:rsidRPr="009A1FB0">
        <w:rPr>
          <w:rFonts w:ascii="Times New Roman" w:hAnsi="Times New Roman" w:cs="Times New Roman"/>
          <w:sz w:val="20"/>
          <w:szCs w:val="20"/>
        </w:rPr>
        <w:t>,</w:t>
      </w:r>
      <w:r w:rsidRPr="009A1FB0">
        <w:rPr>
          <w:rFonts w:ascii="Times New Roman" w:hAnsi="Times New Roman" w:cs="Times New Roman"/>
          <w:sz w:val="20"/>
          <w:szCs w:val="20"/>
        </w:rPr>
        <w:t xml:space="preserve"> sensitivity</w:t>
      </w:r>
    </w:p>
    <w:p w:rsidR="00F2763D" w:rsidRPr="009A1FB0" w:rsidRDefault="00F2763D" w:rsidP="006D3B19">
      <w:pPr>
        <w:tabs>
          <w:tab w:val="left" w:pos="2685"/>
        </w:tabs>
        <w:bidi w:val="0"/>
        <w:snapToGrid w:val="0"/>
        <w:spacing w:after="0" w:line="240" w:lineRule="auto"/>
        <w:jc w:val="center"/>
        <w:rPr>
          <w:rFonts w:ascii="Times New Roman" w:hAnsi="Times New Roman" w:cs="Times New Roman"/>
          <w:b/>
          <w:bCs/>
          <w:sz w:val="20"/>
          <w:szCs w:val="20"/>
        </w:rPr>
      </w:pPr>
    </w:p>
    <w:p w:rsidR="004137EB" w:rsidRPr="009A1FB0" w:rsidRDefault="004137EB" w:rsidP="006D3B19">
      <w:pPr>
        <w:tabs>
          <w:tab w:val="left" w:pos="2685"/>
        </w:tabs>
        <w:bidi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b/>
          <w:bCs/>
          <w:sz w:val="20"/>
          <w:szCs w:val="20"/>
        </w:rPr>
        <w:t>Table (12):</w:t>
      </w:r>
      <w:r w:rsidRPr="009A1FB0">
        <w:rPr>
          <w:rFonts w:ascii="Times New Roman" w:hAnsi="Times New Roman" w:cs="Times New Roman"/>
          <w:sz w:val="20"/>
          <w:szCs w:val="20"/>
        </w:rPr>
        <w:t xml:space="preserve"> Comparison between patients with and without varices regarding their FibroScan</w:t>
      </w:r>
      <w:r w:rsidRPr="009A1FB0">
        <w:rPr>
          <w:rFonts w:ascii="Times New Roman" w:hAnsi="Times New Roman" w:cs="Times New Roman"/>
          <w:sz w:val="20"/>
          <w:szCs w:val="20"/>
          <w:lang w:bidi="ar-EG"/>
        </w:rPr>
        <w:t>.</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707"/>
        <w:gridCol w:w="1607"/>
        <w:gridCol w:w="1441"/>
        <w:gridCol w:w="1446"/>
        <w:gridCol w:w="1297"/>
        <w:gridCol w:w="739"/>
        <w:gridCol w:w="1341"/>
      </w:tblGrid>
      <w:tr w:rsidR="004137EB" w:rsidRPr="009A1FB0" w:rsidTr="009A1FB0">
        <w:trPr>
          <w:jc w:val="center"/>
        </w:trPr>
        <w:tc>
          <w:tcPr>
            <w:tcW w:w="891" w:type="pct"/>
            <w:vMerge w:val="restart"/>
            <w:tcBorders>
              <w:top w:val="thinThickSmallGap" w:sz="12" w:space="0" w:color="auto"/>
              <w:left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Variable</w:t>
            </w:r>
          </w:p>
        </w:tc>
        <w:tc>
          <w:tcPr>
            <w:tcW w:w="1591" w:type="pct"/>
            <w:gridSpan w:val="2"/>
            <w:tcBorders>
              <w:top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without EVs (N=33)</w:t>
            </w:r>
          </w:p>
        </w:tc>
        <w:tc>
          <w:tcPr>
            <w:tcW w:w="1432" w:type="pct"/>
            <w:gridSpan w:val="2"/>
            <w:tcBorders>
              <w:top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EVs (N=34)</w:t>
            </w:r>
          </w:p>
        </w:tc>
        <w:tc>
          <w:tcPr>
            <w:tcW w:w="386" w:type="pct"/>
            <w:vMerge w:val="restart"/>
            <w:tcBorders>
              <w:top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St. 't'</w:t>
            </w:r>
          </w:p>
        </w:tc>
        <w:tc>
          <w:tcPr>
            <w:tcW w:w="700" w:type="pct"/>
            <w:vMerge w:val="restart"/>
            <w:tcBorders>
              <w:top w:val="thinThickSmallGap" w:sz="12" w:space="0" w:color="auto"/>
              <w:right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4137EB" w:rsidRPr="009A1FB0" w:rsidTr="009A1FB0">
        <w:trPr>
          <w:jc w:val="center"/>
        </w:trPr>
        <w:tc>
          <w:tcPr>
            <w:tcW w:w="891" w:type="pct"/>
            <w:vMerge/>
            <w:tcBorders>
              <w:left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839" w:type="pct"/>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752" w:type="pct"/>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755" w:type="pct"/>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676" w:type="pct"/>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386" w:type="pct"/>
            <w:vMerge/>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700" w:type="pct"/>
            <w:vMerge/>
            <w:tcBorders>
              <w:right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4137EB" w:rsidRPr="009A1FB0" w:rsidTr="009A1FB0">
        <w:trPr>
          <w:jc w:val="center"/>
        </w:trPr>
        <w:tc>
          <w:tcPr>
            <w:tcW w:w="891" w:type="pct"/>
            <w:tcBorders>
              <w:left w:val="thinThickSmallGap" w:sz="12" w:space="0" w:color="auto"/>
              <w:bottom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Fibroscan(Kps)</w:t>
            </w:r>
          </w:p>
        </w:tc>
        <w:tc>
          <w:tcPr>
            <w:tcW w:w="839" w:type="pct"/>
            <w:tcBorders>
              <w:bottom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18.1</w:t>
            </w:r>
          </w:p>
        </w:tc>
        <w:tc>
          <w:tcPr>
            <w:tcW w:w="752" w:type="pct"/>
            <w:tcBorders>
              <w:bottom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1.9</w:t>
            </w:r>
          </w:p>
        </w:tc>
        <w:tc>
          <w:tcPr>
            <w:tcW w:w="755" w:type="pct"/>
            <w:tcBorders>
              <w:bottom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25.9</w:t>
            </w:r>
          </w:p>
        </w:tc>
        <w:tc>
          <w:tcPr>
            <w:tcW w:w="676" w:type="pct"/>
            <w:tcBorders>
              <w:bottom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2.94</w:t>
            </w:r>
          </w:p>
        </w:tc>
        <w:tc>
          <w:tcPr>
            <w:tcW w:w="386" w:type="pct"/>
            <w:tcBorders>
              <w:bottom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12.7</w:t>
            </w:r>
          </w:p>
        </w:tc>
        <w:tc>
          <w:tcPr>
            <w:tcW w:w="700" w:type="pct"/>
            <w:tcBorders>
              <w:bottom w:val="thinThickSmallGap" w:sz="12" w:space="0" w:color="auto"/>
              <w:right w:val="thinThickSmallGap" w:sz="12" w:space="0" w:color="auto"/>
            </w:tcBorders>
            <w:vAlign w:val="center"/>
          </w:tcPr>
          <w:p w:rsidR="004137EB" w:rsidRPr="009A1FB0" w:rsidRDefault="004137EB"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 (HS)</w:t>
            </w:r>
          </w:p>
        </w:tc>
      </w:tr>
    </w:tbl>
    <w:p w:rsidR="004137EB" w:rsidRPr="009A1FB0" w:rsidRDefault="004137EB" w:rsidP="006D3B19">
      <w:pPr>
        <w:tabs>
          <w:tab w:val="left" w:pos="3525"/>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937B18" w:rsidRPr="009A1FB0" w:rsidRDefault="00937B18" w:rsidP="009A1FB0">
      <w:pPr>
        <w:tabs>
          <w:tab w:val="left" w:pos="3525"/>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lang w:bidi="ar-EG"/>
        </w:rPr>
        <w:t>This table shows that there was high statistically significant relation between Fibroscan and esophageal varices presence.</w:t>
      </w:r>
      <w:r w:rsidR="009A1FB0">
        <w:rPr>
          <w:rFonts w:ascii="Times New Roman" w:hAnsi="Times New Roman" w:cs="Times New Roman"/>
          <w:sz w:val="20"/>
          <w:szCs w:val="20"/>
          <w:lang w:bidi="ar-EG"/>
        </w:rPr>
        <w:t xml:space="preserve"> </w:t>
      </w:r>
      <w:r w:rsidRPr="009A1FB0">
        <w:rPr>
          <w:rFonts w:ascii="Times New Roman" w:hAnsi="Times New Roman" w:cs="Times New Roman"/>
          <w:sz w:val="20"/>
          <w:szCs w:val="20"/>
        </w:rPr>
        <w:t>ROC Curve for Sensitivity and Specificity of Fibroscan for prediction of esophageal varices.</w:t>
      </w:r>
    </w:p>
    <w:p w:rsidR="006D3B19" w:rsidRPr="009A1FB0" w:rsidRDefault="006D3B19" w:rsidP="006D3B19">
      <w:pPr>
        <w:tabs>
          <w:tab w:val="left" w:pos="2685"/>
        </w:tabs>
        <w:bidi w:val="0"/>
        <w:snapToGrid w:val="0"/>
        <w:spacing w:after="0" w:line="240" w:lineRule="auto"/>
        <w:jc w:val="center"/>
        <w:rPr>
          <w:rFonts w:ascii="Times New Roman" w:hAnsi="Times New Roman" w:cs="Times New Roman"/>
          <w:sz w:val="20"/>
          <w:szCs w:val="20"/>
          <w:lang w:eastAsia="zh-CN"/>
        </w:rPr>
      </w:pPr>
    </w:p>
    <w:p w:rsidR="00195A98" w:rsidRPr="009A1FB0" w:rsidRDefault="00195A98" w:rsidP="006D3B19">
      <w:pPr>
        <w:bidi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b/>
          <w:bCs/>
          <w:sz w:val="20"/>
          <w:szCs w:val="20"/>
        </w:rPr>
        <w:t>Table (13):</w:t>
      </w:r>
      <w:r w:rsidR="003F277C" w:rsidRPr="009A1FB0">
        <w:rPr>
          <w:rFonts w:ascii="Times New Roman" w:hAnsi="Times New Roman" w:cs="Times New Roman"/>
          <w:b/>
          <w:bCs/>
          <w:sz w:val="20"/>
          <w:szCs w:val="20"/>
        </w:rPr>
        <w:t xml:space="preserve"> </w:t>
      </w:r>
      <w:r w:rsidRPr="009A1FB0">
        <w:rPr>
          <w:rFonts w:ascii="Times New Roman" w:hAnsi="Times New Roman" w:cs="Times New Roman"/>
          <w:sz w:val="20"/>
          <w:szCs w:val="20"/>
        </w:rPr>
        <w:t>Comparison between patients with and without varices regarding their CD 163 levels</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1627"/>
        <w:gridCol w:w="1227"/>
        <w:gridCol w:w="1101"/>
        <w:gridCol w:w="1067"/>
        <w:gridCol w:w="958"/>
        <w:gridCol w:w="780"/>
        <w:gridCol w:w="701"/>
        <w:gridCol w:w="780"/>
        <w:gridCol w:w="1337"/>
      </w:tblGrid>
      <w:tr w:rsidR="00195A98" w:rsidRPr="009A1FB0" w:rsidTr="00DA4A9E">
        <w:trPr>
          <w:jc w:val="center"/>
        </w:trPr>
        <w:tc>
          <w:tcPr>
            <w:tcW w:w="849" w:type="pct"/>
            <w:vMerge w:val="restart"/>
            <w:tcBorders>
              <w:top w:val="thinThickSmallGap" w:sz="12" w:space="0" w:color="auto"/>
              <w:left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Variable</w:t>
            </w:r>
          </w:p>
        </w:tc>
        <w:tc>
          <w:tcPr>
            <w:tcW w:w="1215" w:type="pct"/>
            <w:gridSpan w:val="2"/>
            <w:tcBorders>
              <w:top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without EVs</w:t>
            </w:r>
          </w:p>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(N=31)</w:t>
            </w:r>
          </w:p>
        </w:tc>
        <w:tc>
          <w:tcPr>
            <w:tcW w:w="1057" w:type="pct"/>
            <w:gridSpan w:val="2"/>
            <w:tcBorders>
              <w:top w:val="thinThickSmallGap" w:sz="12" w:space="0" w:color="auto"/>
              <w:bottom w:val="single"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Cirrhotic with EVs</w:t>
            </w:r>
          </w:p>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rPr>
              <w:t>(N=39)</w:t>
            </w:r>
          </w:p>
        </w:tc>
        <w:tc>
          <w:tcPr>
            <w:tcW w:w="773" w:type="pct"/>
            <w:gridSpan w:val="2"/>
            <w:tcBorders>
              <w:top w:val="thinThickSmallGap" w:sz="12" w:space="0" w:color="auto"/>
              <w:bottom w:val="single"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Controls</w:t>
            </w:r>
          </w:p>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(n=16)</w:t>
            </w:r>
          </w:p>
        </w:tc>
        <w:tc>
          <w:tcPr>
            <w:tcW w:w="407" w:type="pct"/>
            <w:vMerge w:val="restart"/>
            <w:tcBorders>
              <w:top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KWT</w:t>
            </w:r>
          </w:p>
        </w:tc>
        <w:tc>
          <w:tcPr>
            <w:tcW w:w="698" w:type="pct"/>
            <w:vMerge w:val="restart"/>
            <w:tcBorders>
              <w:top w:val="thinThickSmallGap" w:sz="12" w:space="0" w:color="auto"/>
              <w:right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195A98" w:rsidRPr="009A1FB0" w:rsidTr="00DA4A9E">
        <w:trPr>
          <w:jc w:val="center"/>
        </w:trPr>
        <w:tc>
          <w:tcPr>
            <w:tcW w:w="849" w:type="pct"/>
            <w:vMerge/>
            <w:tcBorders>
              <w:left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640" w:type="pct"/>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575" w:type="pct"/>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557" w:type="pct"/>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500" w:type="pct"/>
            <w:tcBorders>
              <w:top w:val="single" w:sz="4"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407" w:type="pct"/>
            <w:tcBorders>
              <w:top w:val="single" w:sz="4" w:space="0" w:color="auto"/>
              <w:right w:val="single"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Mean</w:t>
            </w:r>
          </w:p>
        </w:tc>
        <w:tc>
          <w:tcPr>
            <w:tcW w:w="365" w:type="pct"/>
            <w:tcBorders>
              <w:top w:val="single" w:sz="4" w:space="0" w:color="auto"/>
              <w:left w:val="single"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 SD</w:t>
            </w:r>
          </w:p>
        </w:tc>
        <w:tc>
          <w:tcPr>
            <w:tcW w:w="407" w:type="pct"/>
            <w:vMerge/>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c>
          <w:tcPr>
            <w:tcW w:w="698" w:type="pct"/>
            <w:vMerge/>
            <w:tcBorders>
              <w:right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tc>
      </w:tr>
      <w:tr w:rsidR="00195A98" w:rsidRPr="009A1FB0" w:rsidTr="00DA4A9E">
        <w:trPr>
          <w:jc w:val="center"/>
        </w:trPr>
        <w:tc>
          <w:tcPr>
            <w:tcW w:w="849" w:type="pct"/>
            <w:tcBorders>
              <w:left w:val="thinThickSmallGap" w:sz="12" w:space="0" w:color="auto"/>
              <w:bottom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CD- 163 (mg/l)</w:t>
            </w:r>
          </w:p>
        </w:tc>
        <w:tc>
          <w:tcPr>
            <w:tcW w:w="640" w:type="pct"/>
            <w:tcBorders>
              <w:bottom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5.47</w:t>
            </w:r>
          </w:p>
        </w:tc>
        <w:tc>
          <w:tcPr>
            <w:tcW w:w="575" w:type="pct"/>
            <w:tcBorders>
              <w:bottom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0.72</w:t>
            </w:r>
          </w:p>
        </w:tc>
        <w:tc>
          <w:tcPr>
            <w:tcW w:w="557" w:type="pct"/>
            <w:tcBorders>
              <w:bottom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10.46</w:t>
            </w:r>
          </w:p>
        </w:tc>
        <w:tc>
          <w:tcPr>
            <w:tcW w:w="500" w:type="pct"/>
            <w:tcBorders>
              <w:bottom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1.73</w:t>
            </w:r>
          </w:p>
        </w:tc>
        <w:tc>
          <w:tcPr>
            <w:tcW w:w="407" w:type="pct"/>
            <w:tcBorders>
              <w:bottom w:val="thinThickSmallGap" w:sz="12" w:space="0" w:color="auto"/>
              <w:right w:val="single"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2.85</w:t>
            </w:r>
          </w:p>
        </w:tc>
        <w:tc>
          <w:tcPr>
            <w:tcW w:w="365" w:type="pct"/>
            <w:tcBorders>
              <w:left w:val="single" w:sz="12" w:space="0" w:color="auto"/>
              <w:bottom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0.33</w:t>
            </w:r>
          </w:p>
        </w:tc>
        <w:tc>
          <w:tcPr>
            <w:tcW w:w="407" w:type="pct"/>
            <w:tcBorders>
              <w:bottom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72.6</w:t>
            </w:r>
          </w:p>
        </w:tc>
        <w:tc>
          <w:tcPr>
            <w:tcW w:w="698" w:type="pct"/>
            <w:tcBorders>
              <w:bottom w:val="thinThickSmallGap" w:sz="12" w:space="0" w:color="auto"/>
              <w:right w:val="thinThickSmallGap" w:sz="12" w:space="0" w:color="auto"/>
            </w:tcBorders>
            <w:vAlign w:val="center"/>
          </w:tcPr>
          <w:p w:rsidR="00195A98" w:rsidRPr="009A1FB0" w:rsidRDefault="00195A9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 (HS)</w:t>
            </w:r>
          </w:p>
        </w:tc>
      </w:tr>
    </w:tbl>
    <w:p w:rsidR="006D3B19" w:rsidRPr="009A1FB0" w:rsidRDefault="006D3B19"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6D3B19" w:rsidRPr="009A1FB0" w:rsidRDefault="006D3B19"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6D3B19" w:rsidRPr="009A1FB0" w:rsidSect="004721E2">
          <w:headerReference w:type="default" r:id="rId40"/>
          <w:footerReference w:type="default" r:id="rId41"/>
          <w:type w:val="continuous"/>
          <w:pgSz w:w="12242" w:h="15842" w:code="1"/>
          <w:pgMar w:top="1440" w:right="1440" w:bottom="1440" w:left="1440" w:header="720" w:footer="720" w:gutter="0"/>
          <w:cols w:space="708"/>
          <w:bidi/>
          <w:docGrid w:linePitch="360"/>
        </w:sectPr>
      </w:pPr>
    </w:p>
    <w:p w:rsidR="001A20C9" w:rsidRPr="009A1FB0" w:rsidRDefault="001A20C9" w:rsidP="006D3B19">
      <w:pPr>
        <w:autoSpaceDE w:val="0"/>
        <w:autoSpaceDN w:val="0"/>
        <w:bidi w:val="0"/>
        <w:adjustRightInd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noProof/>
          <w:sz w:val="20"/>
          <w:szCs w:val="20"/>
          <w:lang w:eastAsia="zh-CN"/>
        </w:rPr>
        <w:lastRenderedPageBreak/>
        <w:drawing>
          <wp:inline distT="0" distB="0" distL="0" distR="0">
            <wp:extent cx="2843419" cy="2760522"/>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2"/>
                    <a:srcRect l="20459" t="8207" r="15488" b="10277"/>
                    <a:stretch/>
                  </pic:blipFill>
                  <pic:spPr bwMode="auto">
                    <a:xfrm>
                      <a:off x="0" y="0"/>
                      <a:ext cx="2846704" cy="27637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A20C9" w:rsidRPr="009A1FB0" w:rsidRDefault="001A20C9" w:rsidP="003F277C">
      <w:pPr>
        <w:tabs>
          <w:tab w:val="left" w:pos="2685"/>
        </w:tabs>
        <w:bidi w:val="0"/>
        <w:snapToGrid w:val="0"/>
        <w:spacing w:after="0" w:line="240" w:lineRule="auto"/>
        <w:jc w:val="both"/>
        <w:rPr>
          <w:rFonts w:ascii="Times New Roman" w:hAnsi="Times New Roman" w:cs="Times New Roman"/>
          <w:sz w:val="20"/>
          <w:szCs w:val="20"/>
          <w:lang w:eastAsia="zh-CN"/>
        </w:rPr>
      </w:pPr>
      <w:r w:rsidRPr="009A1FB0">
        <w:rPr>
          <w:rFonts w:ascii="Times New Roman" w:hAnsi="Times New Roman" w:cs="Times New Roman"/>
          <w:b/>
          <w:bCs/>
          <w:sz w:val="20"/>
          <w:szCs w:val="20"/>
        </w:rPr>
        <w:t>Figure (14)</w:t>
      </w:r>
      <w:r w:rsidR="003F277C" w:rsidRPr="009A1FB0">
        <w:rPr>
          <w:rFonts w:ascii="Times New Roman" w:hAnsi="Times New Roman" w:cs="Times New Roman"/>
          <w:b/>
          <w:bCs/>
          <w:sz w:val="20"/>
          <w:szCs w:val="20"/>
        </w:rPr>
        <w:t xml:space="preserve">: </w:t>
      </w:r>
      <w:r w:rsidR="003F277C" w:rsidRPr="009A1FB0">
        <w:rPr>
          <w:rFonts w:ascii="Times New Roman" w:hAnsi="Times New Roman" w:cs="Times New Roman"/>
          <w:sz w:val="20"/>
          <w:szCs w:val="20"/>
        </w:rPr>
        <w:t>T</w:t>
      </w:r>
      <w:r w:rsidRPr="009A1FB0">
        <w:rPr>
          <w:rFonts w:ascii="Times New Roman" w:hAnsi="Times New Roman" w:cs="Times New Roman"/>
          <w:sz w:val="20"/>
          <w:szCs w:val="20"/>
        </w:rPr>
        <w:t>he best cutoff value of</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Fibroscan in prediction of esophageal varices was ≥20.75with AUROC (Area under the curve) 0.81, sensitivity 87.2%, specificity 74.2%,</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positive predictive value 80.9%, negative predictive value 82.1%</w:t>
      </w:r>
    </w:p>
    <w:p w:rsidR="003F277C" w:rsidRPr="009A1FB0" w:rsidRDefault="003F277C" w:rsidP="003F277C">
      <w:pPr>
        <w:tabs>
          <w:tab w:val="left" w:pos="2685"/>
        </w:tabs>
        <w:bidi w:val="0"/>
        <w:snapToGrid w:val="0"/>
        <w:spacing w:after="0" w:line="240" w:lineRule="auto"/>
        <w:jc w:val="both"/>
        <w:rPr>
          <w:rFonts w:ascii="Times New Roman" w:hAnsi="Times New Roman" w:cs="Times New Roman"/>
          <w:sz w:val="20"/>
          <w:szCs w:val="20"/>
          <w:lang w:eastAsia="zh-CN" w:bidi="ar-EG"/>
        </w:rPr>
      </w:pPr>
    </w:p>
    <w:p w:rsidR="00937B18" w:rsidRPr="009A1FB0" w:rsidRDefault="00937B18" w:rsidP="003F277C">
      <w:pPr>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lang w:bidi="ar-EG"/>
        </w:rPr>
        <w:t>This table shows that there was High statistically significant relation between CD-163 level and esophageal varices presence.</w:t>
      </w:r>
    </w:p>
    <w:p w:rsidR="00937B18" w:rsidRPr="009A1FB0" w:rsidRDefault="00937B18" w:rsidP="003F277C">
      <w:pPr>
        <w:bidi w:val="0"/>
        <w:snapToGrid w:val="0"/>
        <w:spacing w:after="0" w:line="240" w:lineRule="auto"/>
        <w:ind w:firstLine="425"/>
        <w:jc w:val="both"/>
        <w:rPr>
          <w:rFonts w:ascii="Times New Roman" w:hAnsi="Times New Roman" w:cs="Times New Roman"/>
          <w:b/>
          <w:bCs/>
          <w:sz w:val="20"/>
          <w:szCs w:val="20"/>
          <w:lang w:eastAsia="zh-CN"/>
        </w:rPr>
      </w:pPr>
      <w:r w:rsidRPr="009A1FB0">
        <w:rPr>
          <w:rFonts w:ascii="Times New Roman" w:hAnsi="Times New Roman" w:cs="Times New Roman"/>
          <w:sz w:val="20"/>
          <w:szCs w:val="20"/>
        </w:rPr>
        <w:t>ROC Curve of CD-163 for early diagnosis (prediction) of esophageal varices</w:t>
      </w:r>
      <w:r w:rsidRPr="009A1FB0">
        <w:rPr>
          <w:rFonts w:ascii="Times New Roman" w:hAnsi="Times New Roman" w:cs="Times New Roman"/>
          <w:b/>
          <w:bCs/>
          <w:sz w:val="20"/>
          <w:szCs w:val="20"/>
        </w:rPr>
        <w:t>.</w:t>
      </w:r>
    </w:p>
    <w:p w:rsidR="003F277C" w:rsidRPr="009A1FB0" w:rsidRDefault="003F277C" w:rsidP="003F277C">
      <w:pPr>
        <w:bidi w:val="0"/>
        <w:snapToGrid w:val="0"/>
        <w:spacing w:after="0" w:line="240" w:lineRule="auto"/>
        <w:ind w:firstLine="425"/>
        <w:jc w:val="both"/>
        <w:rPr>
          <w:rFonts w:ascii="Times New Roman" w:hAnsi="Times New Roman" w:cs="Times New Roman"/>
          <w:b/>
          <w:bCs/>
          <w:sz w:val="20"/>
          <w:szCs w:val="20"/>
          <w:lang w:eastAsia="zh-CN"/>
        </w:rPr>
      </w:pPr>
    </w:p>
    <w:p w:rsidR="00937B18" w:rsidRPr="009A1FB0" w:rsidRDefault="0074665A" w:rsidP="003F277C">
      <w:pPr>
        <w:autoSpaceDE w:val="0"/>
        <w:autoSpaceDN w:val="0"/>
        <w:bidi w:val="0"/>
        <w:adjustRightInd w:val="0"/>
        <w:snapToGrid w:val="0"/>
        <w:spacing w:after="0" w:line="240" w:lineRule="auto"/>
        <w:jc w:val="center"/>
        <w:rPr>
          <w:rFonts w:ascii="Times New Roman" w:hAnsi="Times New Roman" w:cs="Times New Roman"/>
          <w:sz w:val="20"/>
          <w:szCs w:val="20"/>
        </w:rPr>
      </w:pPr>
      <w:r w:rsidRPr="009A1FB0">
        <w:rPr>
          <w:rFonts w:ascii="Times New Roman" w:hAnsi="Times New Roman" w:cs="Times New Roman"/>
          <w:noProof/>
          <w:sz w:val="20"/>
          <w:szCs w:val="20"/>
          <w:lang w:eastAsia="zh-CN"/>
        </w:rPr>
        <w:drawing>
          <wp:inline distT="0" distB="0" distL="0" distR="0">
            <wp:extent cx="2886075" cy="279378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3"/>
                    <a:srcRect l="17103" r="13682"/>
                    <a:stretch/>
                  </pic:blipFill>
                  <pic:spPr bwMode="auto">
                    <a:xfrm>
                      <a:off x="0" y="0"/>
                      <a:ext cx="2886075" cy="279378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37B18" w:rsidRPr="009A1FB0" w:rsidRDefault="00937B18" w:rsidP="003F277C">
      <w:pPr>
        <w:tabs>
          <w:tab w:val="left" w:pos="2685"/>
        </w:tabs>
        <w:bidi w:val="0"/>
        <w:snapToGrid w:val="0"/>
        <w:spacing w:after="0" w:line="240" w:lineRule="auto"/>
        <w:jc w:val="both"/>
        <w:rPr>
          <w:rFonts w:ascii="Times New Roman" w:hAnsi="Times New Roman" w:cs="Times New Roman"/>
          <w:sz w:val="20"/>
          <w:szCs w:val="20"/>
          <w:lang w:bidi="ar-EG"/>
        </w:rPr>
      </w:pPr>
      <w:r w:rsidRPr="009A1FB0">
        <w:rPr>
          <w:rFonts w:ascii="Times New Roman" w:hAnsi="Times New Roman" w:cs="Times New Roman"/>
          <w:b/>
          <w:bCs/>
          <w:sz w:val="20"/>
          <w:szCs w:val="20"/>
        </w:rPr>
        <w:t>Figure (16)</w:t>
      </w:r>
      <w:r w:rsidRPr="009A1FB0">
        <w:rPr>
          <w:rFonts w:ascii="Times New Roman" w:hAnsi="Times New Roman" w:cs="Times New Roman"/>
          <w:sz w:val="20"/>
          <w:szCs w:val="20"/>
        </w:rPr>
        <w:t>: The best cutoff value of serum (CD163) in prediction of esophageal varices was ≥ 7.5 with AUROC (Area under the curve)</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0.88, sensitivity 92.3%, specificity 83.9%,</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positive predictive value 87.8%, negative predictive value 89.6%.</w:t>
      </w:r>
    </w:p>
    <w:p w:rsidR="003F277C" w:rsidRPr="009A1FB0" w:rsidRDefault="003F277C" w:rsidP="003F277C">
      <w:pPr>
        <w:tabs>
          <w:tab w:val="left" w:pos="2685"/>
        </w:tabs>
        <w:bidi w:val="0"/>
        <w:snapToGrid w:val="0"/>
        <w:spacing w:after="0" w:line="240" w:lineRule="auto"/>
        <w:jc w:val="both"/>
        <w:rPr>
          <w:rFonts w:ascii="Times New Roman" w:hAnsi="Times New Roman" w:cs="Times New Roman"/>
          <w:b/>
          <w:bCs/>
          <w:sz w:val="20"/>
          <w:szCs w:val="20"/>
          <w:lang w:eastAsia="zh-CN"/>
        </w:rPr>
      </w:pPr>
    </w:p>
    <w:p w:rsidR="006D3B19" w:rsidRPr="009A1FB0" w:rsidRDefault="006D3B19" w:rsidP="003F277C">
      <w:pPr>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9A1FB0">
        <w:rPr>
          <w:rFonts w:ascii="Times New Roman" w:hAnsi="Times New Roman" w:cs="Times New Roman"/>
          <w:noProof/>
          <w:sz w:val="20"/>
          <w:szCs w:val="20"/>
          <w:lang w:eastAsia="zh-CN"/>
        </w:rPr>
        <w:lastRenderedPageBreak/>
        <w:drawing>
          <wp:inline distT="0" distB="0" distL="0" distR="0">
            <wp:extent cx="2835468" cy="2149606"/>
            <wp:effectExtent l="19050" t="0" r="2982" b="0"/>
            <wp:docPr id="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44"/>
                    <a:srcRect/>
                    <a:stretch>
                      <a:fillRect/>
                    </a:stretch>
                  </pic:blipFill>
                  <pic:spPr bwMode="auto">
                    <a:xfrm>
                      <a:off x="0" y="0"/>
                      <a:ext cx="2841558" cy="2154223"/>
                    </a:xfrm>
                    <a:prstGeom prst="rect">
                      <a:avLst/>
                    </a:prstGeom>
                    <a:noFill/>
                    <a:ln w="9525">
                      <a:noFill/>
                      <a:miter lim="800000"/>
                      <a:headEnd/>
                      <a:tailEnd/>
                    </a:ln>
                  </pic:spPr>
                </pic:pic>
              </a:graphicData>
            </a:graphic>
          </wp:inline>
        </w:drawing>
      </w:r>
    </w:p>
    <w:p w:rsidR="006D3B19" w:rsidRPr="009A1FB0" w:rsidRDefault="006D3B19" w:rsidP="003F277C">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9A1FB0">
        <w:rPr>
          <w:rFonts w:ascii="Times New Roman" w:hAnsi="Times New Roman" w:cs="Times New Roman"/>
          <w:b/>
          <w:bCs/>
          <w:sz w:val="20"/>
          <w:szCs w:val="20"/>
        </w:rPr>
        <w:t>Figure (17</w:t>
      </w:r>
      <w:r w:rsidRPr="009A1FB0">
        <w:rPr>
          <w:rFonts w:ascii="Times New Roman" w:hAnsi="Times New Roman" w:cs="Times New Roman"/>
          <w:sz w:val="20"/>
          <w:szCs w:val="20"/>
        </w:rPr>
        <w:t>): Comparison between</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CD-163 levels and grading of esophageal varices in group (B) cirrhotic with</w:t>
      </w:r>
      <w:r w:rsidRPr="009A1FB0">
        <w:rPr>
          <w:rFonts w:ascii="Times New Roman" w:hAnsi="Times New Roman" w:cs="Times New Roman" w:hint="eastAsia"/>
          <w:sz w:val="20"/>
          <w:szCs w:val="20"/>
          <w:lang w:eastAsia="zh-CN"/>
        </w:rPr>
        <w:t xml:space="preserve"> </w:t>
      </w:r>
      <w:r w:rsidRPr="009A1FB0">
        <w:rPr>
          <w:rFonts w:ascii="Times New Roman" w:hAnsi="Times New Roman" w:cs="Times New Roman"/>
          <w:sz w:val="20"/>
          <w:szCs w:val="20"/>
        </w:rPr>
        <w:t>EVs.</w:t>
      </w:r>
    </w:p>
    <w:p w:rsidR="003F277C" w:rsidRPr="009A1FB0" w:rsidRDefault="003F277C" w:rsidP="003F277C">
      <w:pPr>
        <w:tabs>
          <w:tab w:val="left" w:pos="2685"/>
        </w:tabs>
        <w:bidi w:val="0"/>
        <w:snapToGrid w:val="0"/>
        <w:spacing w:after="0" w:line="240" w:lineRule="auto"/>
        <w:jc w:val="both"/>
        <w:rPr>
          <w:rFonts w:ascii="Times New Roman" w:hAnsi="Times New Roman" w:cs="Times New Roman"/>
          <w:b/>
          <w:bCs/>
          <w:sz w:val="20"/>
          <w:szCs w:val="20"/>
          <w:lang w:eastAsia="zh-CN"/>
        </w:rPr>
      </w:pPr>
    </w:p>
    <w:p w:rsidR="006D3B19" w:rsidRPr="009A1FB0" w:rsidRDefault="006D3B19" w:rsidP="003F277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lang w:bidi="ar-EG"/>
        </w:rPr>
        <w:t>This figure shows that serum sCD163 level is increased with increasing grades of esophageal varices in group (B).</w:t>
      </w:r>
    </w:p>
    <w:p w:rsidR="006D3B19" w:rsidRPr="009A1FB0" w:rsidRDefault="006D3B19" w:rsidP="006D3B19">
      <w:pPr>
        <w:tabs>
          <w:tab w:val="left" w:pos="2685"/>
        </w:tabs>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bCs/>
          <w:sz w:val="20"/>
          <w:szCs w:val="20"/>
        </w:rPr>
        <w:t>Table (14)</w:t>
      </w:r>
      <w:r w:rsidRPr="009A1FB0">
        <w:rPr>
          <w:rFonts w:ascii="Times New Roman" w:hAnsi="Times New Roman" w:cs="Times New Roman"/>
          <w:sz w:val="20"/>
          <w:szCs w:val="20"/>
        </w:rPr>
        <w:t xml:space="preserve"> shows that high body mass index</w:t>
      </w:r>
      <w:r w:rsidR="003F277C" w:rsidRPr="009A1FB0">
        <w:rPr>
          <w:rFonts w:ascii="Times New Roman" w:hAnsi="Times New Roman" w:cs="Times New Roman"/>
          <w:sz w:val="20"/>
          <w:szCs w:val="20"/>
        </w:rPr>
        <w:t>,</w:t>
      </w:r>
      <w:r w:rsidRPr="009A1FB0">
        <w:rPr>
          <w:rFonts w:ascii="Times New Roman" w:hAnsi="Times New Roman" w:cs="Times New Roman"/>
          <w:sz w:val="20"/>
          <w:szCs w:val="20"/>
        </w:rPr>
        <w:t xml:space="preserve"> low hemoglobin level</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low albumin level</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 PV diameter,</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Spleen size,</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low PLT count</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and</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 child score</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 FIB4</w:t>
      </w:r>
      <w:r w:rsidR="003F277C" w:rsidRPr="009A1FB0">
        <w:rPr>
          <w:rFonts w:ascii="Times New Roman" w:hAnsi="Times New Roman" w:cs="Times New Roman"/>
          <w:sz w:val="20"/>
          <w:szCs w:val="20"/>
        </w:rPr>
        <w:t>, h</w:t>
      </w:r>
      <w:r w:rsidR="00DA4A9E" w:rsidRPr="009A1FB0">
        <w:rPr>
          <w:rFonts w:ascii="Times New Roman" w:hAnsi="Times New Roman" w:cs="Times New Roman"/>
          <w:sz w:val="20"/>
          <w:szCs w:val="20"/>
        </w:rPr>
        <w:t>igh Fibroscan results in(</w:t>
      </w:r>
      <w:r w:rsidRPr="009A1FB0">
        <w:rPr>
          <w:rFonts w:ascii="Times New Roman" w:hAnsi="Times New Roman" w:cs="Times New Roman"/>
          <w:sz w:val="20"/>
          <w:szCs w:val="20"/>
        </w:rPr>
        <w:t>KPs)</w:t>
      </w:r>
      <w:r w:rsidR="003F277C" w:rsidRPr="009A1FB0">
        <w:rPr>
          <w:rFonts w:ascii="Times New Roman" w:hAnsi="Times New Roman" w:cs="Times New Roman"/>
          <w:sz w:val="20"/>
          <w:szCs w:val="20"/>
        </w:rPr>
        <w:t>, H</w:t>
      </w:r>
      <w:r w:rsidRPr="009A1FB0">
        <w:rPr>
          <w:rFonts w:ascii="Times New Roman" w:hAnsi="Times New Roman" w:cs="Times New Roman"/>
          <w:sz w:val="20"/>
          <w:szCs w:val="20"/>
        </w:rPr>
        <w:t>igh serum( CD163 )level are significant predictors of esophageal varices in studied cases by multivariate analysis.</w:t>
      </w:r>
    </w:p>
    <w:p w:rsidR="006D3B19" w:rsidRPr="009A1FB0" w:rsidRDefault="006D3B19" w:rsidP="006D3B19">
      <w:pPr>
        <w:tabs>
          <w:tab w:val="left" w:pos="2685"/>
        </w:tabs>
        <w:bidi w:val="0"/>
        <w:snapToGrid w:val="0"/>
        <w:spacing w:after="0" w:line="240" w:lineRule="auto"/>
        <w:jc w:val="both"/>
        <w:rPr>
          <w:rFonts w:ascii="Times New Roman" w:hAnsi="Times New Roman" w:cs="Times New Roman"/>
          <w:b/>
          <w:bCs/>
          <w:sz w:val="20"/>
          <w:szCs w:val="20"/>
          <w:lang w:eastAsia="zh-CN"/>
        </w:rPr>
      </w:pPr>
    </w:p>
    <w:p w:rsidR="003F277C" w:rsidRPr="009A1FB0" w:rsidRDefault="003F277C" w:rsidP="003F277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A1FB0">
        <w:rPr>
          <w:rFonts w:ascii="Times New Roman" w:hAnsi="Times New Roman" w:cs="Times New Roman"/>
          <w:b/>
          <w:bCs/>
          <w:sz w:val="20"/>
          <w:szCs w:val="20"/>
        </w:rPr>
        <w:t>4. Discussion</w:t>
      </w:r>
    </w:p>
    <w:p w:rsidR="003F277C" w:rsidRPr="009A1FB0" w:rsidRDefault="003F277C" w:rsidP="003F277C">
      <w:pPr>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rPr>
        <w:t>Chronic liver diseases and cirrhosis are now being recognized as an important cause of morbidity and mortality world-wide. Established cirrhosis has a 10-year mortality of 34-66% [</w:t>
      </w:r>
      <w:r w:rsidRPr="009A1FB0">
        <w:rPr>
          <w:rFonts w:ascii="Times New Roman" w:hAnsi="Times New Roman" w:cs="Times New Roman"/>
          <w:b/>
          <w:bCs/>
          <w:sz w:val="20"/>
          <w:szCs w:val="20"/>
        </w:rPr>
        <w:t>16</w:t>
      </w:r>
      <w:r w:rsidRPr="009A1FB0">
        <w:rPr>
          <w:rFonts w:ascii="Times New Roman" w:hAnsi="Times New Roman" w:cs="Times New Roman"/>
          <w:sz w:val="20"/>
          <w:szCs w:val="20"/>
        </w:rPr>
        <w:t>]. Portal hypertension is one of the main consequences of cirrhosis. It can result in severe complications, including bleeding of esophagogastric varices [</w:t>
      </w:r>
      <w:r w:rsidRPr="009A1FB0">
        <w:rPr>
          <w:rFonts w:ascii="Times New Roman" w:hAnsi="Times New Roman" w:cs="Times New Roman"/>
          <w:b/>
          <w:bCs/>
          <w:sz w:val="20"/>
          <w:szCs w:val="20"/>
        </w:rPr>
        <w:t>12</w:t>
      </w:r>
      <w:r w:rsidRPr="009A1FB0">
        <w:rPr>
          <w:rFonts w:ascii="Times New Roman" w:hAnsi="Times New Roman" w:cs="Times New Roman"/>
          <w:sz w:val="20"/>
          <w:szCs w:val="20"/>
        </w:rPr>
        <w:t xml:space="preserve">]. Esophageal varices (EV) are present in 40% of patients with compensated liver cirrhosis and in 60% of those with decompensated disease, having a constantly progressive evolution; once discovered they need to be under constant surveillance </w:t>
      </w:r>
      <w:r w:rsidRPr="009A1FB0">
        <w:rPr>
          <w:rFonts w:ascii="Times New Roman" w:hAnsi="Times New Roman" w:cs="Times New Roman"/>
          <w:b/>
          <w:bCs/>
          <w:sz w:val="20"/>
          <w:szCs w:val="20"/>
        </w:rPr>
        <w:t>[17</w:t>
      </w:r>
      <w:r w:rsidRPr="009A1FB0">
        <w:rPr>
          <w:rFonts w:ascii="Times New Roman" w:hAnsi="Times New Roman" w:cs="Times New Roman"/>
          <w:sz w:val="20"/>
          <w:szCs w:val="20"/>
        </w:rPr>
        <w:t xml:space="preserve">]. The annual rate of incidence of new varices is 7-8%, with a similar rate of transition from small to large EV. The major risk that threatens the prognosis of a patient with EV is massive upper digestive bleeding, knowing that the first bleeding episode is associated with a 40% mortality rate </w:t>
      </w:r>
      <w:r w:rsidRPr="009A1FB0">
        <w:rPr>
          <w:rFonts w:ascii="Times New Roman" w:hAnsi="Times New Roman" w:cs="Times New Roman"/>
          <w:b/>
          <w:bCs/>
          <w:sz w:val="20"/>
          <w:szCs w:val="20"/>
        </w:rPr>
        <w:t xml:space="preserve">[18]. </w:t>
      </w:r>
      <w:r w:rsidRPr="009A1FB0">
        <w:rPr>
          <w:rFonts w:ascii="Times New Roman" w:hAnsi="Times New Roman" w:cs="Times New Roman"/>
          <w:sz w:val="20"/>
          <w:szCs w:val="20"/>
        </w:rPr>
        <w:t>Performing an esophagogastroduodenoscopy (EGD) still remains the best way to diagnose and evaluate esophageal and gastric varices and the risk of variceal bleeding [</w:t>
      </w:r>
      <w:r w:rsidRPr="009A1FB0">
        <w:rPr>
          <w:rFonts w:ascii="Times New Roman" w:hAnsi="Times New Roman" w:cs="Times New Roman"/>
          <w:b/>
          <w:bCs/>
          <w:sz w:val="20"/>
          <w:szCs w:val="20"/>
        </w:rPr>
        <w:t xml:space="preserve">19]. </w:t>
      </w:r>
      <w:r w:rsidRPr="009A1FB0">
        <w:rPr>
          <w:rFonts w:ascii="Times New Roman" w:hAnsi="Times New Roman" w:cs="Times New Roman"/>
          <w:sz w:val="20"/>
          <w:szCs w:val="20"/>
        </w:rPr>
        <w:t xml:space="preserve">EGD is however expensive for the health system and unpleasant for the patient, especially so when it has to be repeated frequently, within the framework of a screening program. Therefore, non-invasive methods are required to </w:t>
      </w:r>
      <w:r w:rsidRPr="009A1FB0">
        <w:rPr>
          <w:rFonts w:ascii="Times New Roman" w:hAnsi="Times New Roman" w:cs="Times New Roman"/>
          <w:sz w:val="20"/>
          <w:szCs w:val="20"/>
        </w:rPr>
        <w:lastRenderedPageBreak/>
        <w:t>diagnose presence and grading of esophageal varices in patients with hepatic cirrhosis and in this respect, we have evaluated the role of serum soluble (s) CD163 in diagnosis of esophageal varices in Child A cirrhotic chronic hepatitis C patients. Serum (s) CD163 is a macrophage lineage-specific hemoglobin haptoglobin scavenger receptor and a specific marker for macrophage activation</w:t>
      </w:r>
      <w:r w:rsidRPr="009A1FB0">
        <w:rPr>
          <w:rFonts w:ascii="Times New Roman" w:hAnsi="Times New Roman" w:cs="Times New Roman"/>
          <w:b/>
          <w:bCs/>
          <w:sz w:val="20"/>
          <w:szCs w:val="20"/>
        </w:rPr>
        <w:t xml:space="preserve"> [20, 21]</w:t>
      </w:r>
      <w:r w:rsidRPr="009A1FB0">
        <w:rPr>
          <w:rFonts w:ascii="Times New Roman" w:hAnsi="Times New Roman" w:cs="Times New Roman"/>
          <w:sz w:val="20"/>
          <w:szCs w:val="20"/>
        </w:rPr>
        <w:t xml:space="preserve"> Serum (s) CD163 is shed into the circulation in a soluble form (sCD163) after Toll-like receptor activation by a similar </w:t>
      </w:r>
      <w:r w:rsidRPr="009A1FB0">
        <w:rPr>
          <w:rFonts w:ascii="Times New Roman" w:hAnsi="Times New Roman" w:cs="Times New Roman"/>
          <w:sz w:val="20"/>
          <w:szCs w:val="20"/>
        </w:rPr>
        <w:lastRenderedPageBreak/>
        <w:t xml:space="preserve">mechanism as TNF-α </w:t>
      </w:r>
      <w:r w:rsidRPr="009A1FB0">
        <w:rPr>
          <w:rFonts w:ascii="Times New Roman" w:hAnsi="Times New Roman" w:cs="Times New Roman"/>
          <w:b/>
          <w:bCs/>
          <w:sz w:val="20"/>
          <w:szCs w:val="20"/>
        </w:rPr>
        <w:t>[22</w:t>
      </w:r>
      <w:r w:rsidRPr="009A1FB0">
        <w:rPr>
          <w:rFonts w:ascii="Times New Roman" w:hAnsi="Times New Roman" w:cs="Times New Roman"/>
          <w:sz w:val="20"/>
          <w:szCs w:val="20"/>
        </w:rPr>
        <w:t>]. Serum concentrations of soluble CD163 are accordingly elevated during conditions of macrophage activation and proliferation</w:t>
      </w:r>
      <w:r w:rsidRPr="009A1FB0">
        <w:rPr>
          <w:rFonts w:ascii="Times New Roman" w:hAnsi="Times New Roman" w:cs="Times New Roman"/>
          <w:i/>
          <w:iCs/>
          <w:sz w:val="20"/>
          <w:szCs w:val="20"/>
        </w:rPr>
        <w:t xml:space="preserve"> [</w:t>
      </w:r>
      <w:r w:rsidRPr="009A1FB0">
        <w:rPr>
          <w:rFonts w:ascii="Times New Roman" w:hAnsi="Times New Roman" w:cs="Times New Roman"/>
          <w:b/>
          <w:bCs/>
          <w:i/>
          <w:iCs/>
          <w:sz w:val="20"/>
          <w:szCs w:val="20"/>
        </w:rPr>
        <w:t>23,24</w:t>
      </w:r>
      <w:r w:rsidRPr="009A1FB0">
        <w:rPr>
          <w:rFonts w:ascii="Times New Roman" w:hAnsi="Times New Roman" w:cs="Times New Roman"/>
          <w:i/>
          <w:iCs/>
          <w:sz w:val="20"/>
          <w:szCs w:val="20"/>
        </w:rPr>
        <w:t>]</w:t>
      </w:r>
      <w:r w:rsidRPr="009A1FB0">
        <w:rPr>
          <w:rFonts w:ascii="Times New Roman" w:hAnsi="Times New Roman" w:cs="Times New Roman"/>
          <w:sz w:val="20"/>
          <w:szCs w:val="20"/>
        </w:rPr>
        <w:t>. Circulating CD163 originating from activated Kupffer cells is increased in cirrhosis with increasing hepatic venous pressure gradient (HVPG), and it is an independent predictor for HVPG. These findings support a primary role of macrophage activation in portal hypertension, and may indicate a target for biomarker for diagnosis of esophageal varices</w:t>
      </w:r>
      <w:r w:rsidRPr="009A1FB0">
        <w:rPr>
          <w:rFonts w:ascii="Times New Roman" w:hAnsi="Times New Roman" w:cs="Times New Roman"/>
          <w:b/>
          <w:bCs/>
          <w:i/>
          <w:iCs/>
          <w:sz w:val="20"/>
          <w:szCs w:val="20"/>
        </w:rPr>
        <w:t>[8]</w:t>
      </w:r>
      <w:r w:rsidRPr="009A1FB0">
        <w:rPr>
          <w:rFonts w:ascii="Times New Roman" w:hAnsi="Times New Roman" w:cs="Times New Roman"/>
          <w:b/>
          <w:bCs/>
          <w:sz w:val="20"/>
          <w:szCs w:val="20"/>
        </w:rPr>
        <w:t>.</w:t>
      </w:r>
    </w:p>
    <w:p w:rsidR="003F277C" w:rsidRPr="009A1FB0" w:rsidRDefault="003F277C" w:rsidP="003F277C">
      <w:pPr>
        <w:tabs>
          <w:tab w:val="left" w:pos="2685"/>
        </w:tabs>
        <w:bidi w:val="0"/>
        <w:snapToGrid w:val="0"/>
        <w:spacing w:after="0" w:line="240" w:lineRule="auto"/>
        <w:jc w:val="both"/>
        <w:rPr>
          <w:rFonts w:ascii="Times New Roman" w:hAnsi="Times New Roman" w:cs="Times New Roman"/>
          <w:b/>
          <w:bCs/>
          <w:sz w:val="20"/>
          <w:szCs w:val="20"/>
          <w:lang w:eastAsia="zh-CN"/>
        </w:rPr>
        <w:sectPr w:rsidR="003F277C" w:rsidRPr="009A1FB0" w:rsidSect="006D3B19">
          <w:headerReference w:type="default" r:id="rId45"/>
          <w:footerReference w:type="default" r:id="rId46"/>
          <w:type w:val="continuous"/>
          <w:pgSz w:w="12242" w:h="15842" w:code="1"/>
          <w:pgMar w:top="1440" w:right="1440" w:bottom="1440" w:left="1440" w:header="720" w:footer="720" w:gutter="0"/>
          <w:cols w:num="2" w:space="550"/>
          <w:docGrid w:linePitch="360"/>
        </w:sectPr>
      </w:pPr>
    </w:p>
    <w:p w:rsidR="006D3B19" w:rsidRPr="009A1FB0" w:rsidRDefault="006D3B19" w:rsidP="006D3B19">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bidi="ar-EG"/>
        </w:rPr>
      </w:pPr>
    </w:p>
    <w:p w:rsidR="00937B18" w:rsidRPr="009A1FB0" w:rsidRDefault="00937B18" w:rsidP="006D3B19">
      <w:pPr>
        <w:tabs>
          <w:tab w:val="left" w:pos="2685"/>
        </w:tabs>
        <w:bidi w:val="0"/>
        <w:snapToGrid w:val="0"/>
        <w:spacing w:after="0" w:line="240" w:lineRule="auto"/>
        <w:jc w:val="center"/>
        <w:rPr>
          <w:rFonts w:ascii="Times New Roman" w:hAnsi="Times New Roman" w:cs="Times New Roman"/>
          <w:sz w:val="20"/>
          <w:szCs w:val="20"/>
          <w:lang w:bidi="ar-EG"/>
        </w:rPr>
      </w:pPr>
      <w:r w:rsidRPr="009A1FB0">
        <w:rPr>
          <w:rFonts w:ascii="Times New Roman" w:hAnsi="Times New Roman" w:cs="Times New Roman"/>
          <w:b/>
          <w:bCs/>
          <w:sz w:val="20"/>
          <w:szCs w:val="20"/>
        </w:rPr>
        <w:t>Table (14):</w:t>
      </w:r>
      <w:r w:rsidRPr="009A1FB0">
        <w:rPr>
          <w:rFonts w:ascii="Times New Roman" w:hAnsi="Times New Roman" w:cs="Times New Roman"/>
          <w:sz w:val="20"/>
          <w:szCs w:val="20"/>
          <w:lang w:bidi="ar-EG"/>
        </w:rPr>
        <w:t xml:space="preserve"> Multivariate logestic regression analysis for factors associated with diagnosis of esophageal varices.</w:t>
      </w:r>
    </w:p>
    <w:tbl>
      <w:tblPr>
        <w:tblStyle w:val="TableGrid"/>
        <w:tblW w:w="4721" w:type="pct"/>
        <w:jc w:val="center"/>
        <w:tblInd w:w="534" w:type="dxa"/>
        <w:tblBorders>
          <w:insideH w:val="single" w:sz="6" w:space="0" w:color="000000"/>
          <w:insideV w:val="single" w:sz="6" w:space="0" w:color="000000"/>
        </w:tblBorders>
        <w:tblLook w:val="04A0"/>
      </w:tblPr>
      <w:tblGrid>
        <w:gridCol w:w="3808"/>
        <w:gridCol w:w="1838"/>
        <w:gridCol w:w="1519"/>
        <w:gridCol w:w="1879"/>
      </w:tblGrid>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Variable</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Odds Ratio</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95% CI</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lang w:bidi="ar-EG"/>
              </w:rPr>
            </w:pPr>
            <w:r w:rsidRPr="009A1FB0">
              <w:rPr>
                <w:rFonts w:ascii="Times New Roman" w:hAnsi="Times New Roman" w:cs="Times New Roman"/>
                <w:b/>
                <w:bCs/>
                <w:color w:val="000000"/>
                <w:sz w:val="20"/>
                <w:szCs w:val="20"/>
              </w:rPr>
              <w:t>BMI (≥ 27)</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1.31</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0.74-7.8</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0.22</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Hb% (≤ 12 )(gm/dl)</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lang w:bidi="ar-EG"/>
              </w:rPr>
            </w:pPr>
            <w:r w:rsidRPr="009A1FB0">
              <w:rPr>
                <w:rFonts w:ascii="Times New Roman" w:hAnsi="Times New Roman" w:cs="Times New Roman"/>
                <w:color w:val="000000"/>
                <w:sz w:val="20"/>
                <w:szCs w:val="20"/>
              </w:rPr>
              <w:t>4.9</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2.6-9.1</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0.002 (HS)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PLT (≤ 100.000)</w:t>
            </w:r>
            <w:r w:rsidRPr="009A1FB0">
              <w:rPr>
                <w:rFonts w:ascii="Times New Roman" w:hAnsi="Times New Roman" w:cs="Times New Roman"/>
                <w:b/>
                <w:bCs/>
                <w:color w:val="000000"/>
                <w:sz w:val="20"/>
                <w:szCs w:val="20"/>
                <w:lang w:bidi="ar-EG"/>
              </w:rPr>
              <w:t>(</w:t>
            </w:r>
            <w:r w:rsidRPr="009A1FB0">
              <w:rPr>
                <w:rFonts w:ascii="Times New Roman" w:hAnsi="Times New Roman" w:cs="Times New Roman"/>
                <w:b/>
                <w:bCs/>
                <w:color w:val="000000"/>
                <w:sz w:val="20"/>
                <w:szCs w:val="20"/>
              </w:rPr>
              <w:t>mm</w:t>
            </w:r>
            <w:r w:rsidRPr="009A1FB0">
              <w:rPr>
                <w:rFonts w:ascii="Times New Roman" w:hAnsi="Times New Roman" w:cs="Times New Roman"/>
                <w:b/>
                <w:bCs/>
                <w:color w:val="000000"/>
                <w:sz w:val="20"/>
                <w:szCs w:val="20"/>
                <w:vertAlign w:val="superscript"/>
              </w:rPr>
              <w:t>3</w:t>
            </w:r>
            <w:r w:rsidRPr="009A1FB0">
              <w:rPr>
                <w:rFonts w:ascii="Times New Roman" w:hAnsi="Times New Roman" w:cs="Times New Roman"/>
                <w:b/>
                <w:bCs/>
                <w:color w:val="000000"/>
                <w:sz w:val="20"/>
                <w:szCs w:val="20"/>
                <w:lang w:bidi="ar-EG"/>
              </w:rPr>
              <w:t>)</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3.8</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2.01-10.6</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0.003 (S)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AST (≥ 60)(IU/L)</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4.1</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0.8-10.3</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0.091 (NS)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ALT (≥ 50)(IU/L)</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2.7</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0.6-11.2</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0.11 (NS)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Albumin (≤ 3.75)(gm/dl)</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6.2</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2.0-10.5</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 (HS)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ALP (≥ 130)(mg/dl)</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2.1</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0.89-13.7</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0.19 (NS)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PC% (≤ 75%)</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2.3</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1.9-15.6</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0.17 (NS)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CD-163 (≥ 7.5)(mg/l)</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9.1</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4.8-17.3</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 (HS)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Fibroscan (≥ 20.8)(KPs)</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8.8</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5.0-13.6</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 (HS)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HCV ab (+VE)</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2.09</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0.92-6.4</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0.19 (NS)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Schisto ab +ve</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3.3</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1.09-9.9</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0.007 (NS)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PV diameter(≥13.5)</w:t>
            </w:r>
            <w:r w:rsidR="003F277C" w:rsidRPr="009A1FB0">
              <w:rPr>
                <w:rFonts w:ascii="Times New Roman" w:hAnsi="Times New Roman" w:cs="Times New Roman"/>
                <w:b/>
                <w:bCs/>
                <w:color w:val="000000"/>
                <w:sz w:val="20"/>
                <w:szCs w:val="20"/>
              </w:rPr>
              <w:t xml:space="preserve"> </w:t>
            </w:r>
            <w:r w:rsidRPr="009A1FB0">
              <w:rPr>
                <w:rFonts w:ascii="Times New Roman" w:hAnsi="Times New Roman" w:cs="Times New Roman"/>
                <w:b/>
                <w:bCs/>
                <w:color w:val="000000"/>
                <w:sz w:val="20"/>
                <w:szCs w:val="20"/>
              </w:rPr>
              <w:t>( mm)</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6.9</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3.7-14.6</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&lt;0.003 (S)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Splenic size (≥ 15.9)</w:t>
            </w:r>
          </w:p>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(cm)</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4.9</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2.8-17.5</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&lt;0.001(HS)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Child score A6</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2.8</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1.05-9.1</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&lt;0.001(HS)</w:t>
            </w:r>
          </w:p>
        </w:tc>
      </w:tr>
      <w:tr w:rsidR="00937B18" w:rsidRPr="009A1FB0" w:rsidTr="009A1FB0">
        <w:trPr>
          <w:jc w:val="center"/>
        </w:trPr>
        <w:tc>
          <w:tcPr>
            <w:tcW w:w="2105"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A1FB0">
              <w:rPr>
                <w:rFonts w:ascii="Times New Roman" w:hAnsi="Times New Roman" w:cs="Times New Roman"/>
                <w:b/>
                <w:bCs/>
                <w:color w:val="000000"/>
                <w:sz w:val="20"/>
                <w:szCs w:val="20"/>
              </w:rPr>
              <w:t>FIB 4 (≥ 4.68)</w:t>
            </w:r>
          </w:p>
        </w:tc>
        <w:tc>
          <w:tcPr>
            <w:tcW w:w="1016"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3.0</w:t>
            </w:r>
          </w:p>
        </w:tc>
        <w:tc>
          <w:tcPr>
            <w:tcW w:w="8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1.5-13.1</w:t>
            </w:r>
          </w:p>
        </w:tc>
        <w:tc>
          <w:tcPr>
            <w:tcW w:w="1040" w:type="pct"/>
            <w:shd w:val="clear" w:color="auto" w:fill="auto"/>
          </w:tcPr>
          <w:p w:rsidR="00937B18" w:rsidRPr="009A1FB0" w:rsidRDefault="00937B18" w:rsidP="006D3B19">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A1FB0">
              <w:rPr>
                <w:rFonts w:ascii="Times New Roman" w:hAnsi="Times New Roman" w:cs="Times New Roman"/>
                <w:color w:val="000000"/>
                <w:sz w:val="20"/>
                <w:szCs w:val="20"/>
              </w:rPr>
              <w:t>0.027 (S)</w:t>
            </w:r>
          </w:p>
        </w:tc>
      </w:tr>
    </w:tbl>
    <w:p w:rsidR="006D3B19" w:rsidRPr="009A1FB0" w:rsidRDefault="006D3B19" w:rsidP="006D3B19">
      <w:pPr>
        <w:tabs>
          <w:tab w:val="left" w:pos="2685"/>
        </w:tabs>
        <w:bidi w:val="0"/>
        <w:snapToGrid w:val="0"/>
        <w:spacing w:after="0" w:line="240" w:lineRule="auto"/>
        <w:ind w:firstLine="425"/>
        <w:jc w:val="both"/>
        <w:rPr>
          <w:rFonts w:ascii="Times New Roman" w:hAnsi="Times New Roman" w:cs="Times New Roman"/>
          <w:sz w:val="20"/>
          <w:szCs w:val="20"/>
        </w:rPr>
      </w:pPr>
    </w:p>
    <w:p w:rsidR="006D3B19" w:rsidRPr="009A1FB0" w:rsidRDefault="006D3B19" w:rsidP="006D3B19">
      <w:pPr>
        <w:tabs>
          <w:tab w:val="left" w:pos="2685"/>
        </w:tabs>
        <w:bidi w:val="0"/>
        <w:snapToGrid w:val="0"/>
        <w:spacing w:after="0" w:line="240" w:lineRule="auto"/>
        <w:ind w:firstLine="425"/>
        <w:jc w:val="both"/>
        <w:rPr>
          <w:rFonts w:ascii="Times New Roman" w:hAnsi="Times New Roman" w:cs="Times New Roman"/>
          <w:sz w:val="20"/>
          <w:szCs w:val="20"/>
        </w:rPr>
        <w:sectPr w:rsidR="006D3B19" w:rsidRPr="009A1FB0" w:rsidSect="004721E2">
          <w:headerReference w:type="default" r:id="rId47"/>
          <w:footerReference w:type="default" r:id="rId48"/>
          <w:type w:val="continuous"/>
          <w:pgSz w:w="12242" w:h="15842" w:code="1"/>
          <w:pgMar w:top="1440" w:right="1440" w:bottom="1440" w:left="1440" w:header="720" w:footer="720" w:gutter="0"/>
          <w:cols w:space="708"/>
          <w:bidi/>
          <w:docGrid w:linePitch="360"/>
        </w:sectPr>
      </w:pP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rPr>
        <w:lastRenderedPageBreak/>
        <w:t>This study was conducted on 86 cases among them 70 cirrhotic patients (Child A) post hepatitis C and 16 cases as normal control group</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who attended the Hepatology department and outpatient clinic at KafrELsheikh liver research center</w:t>
      </w:r>
      <w:r w:rsidRPr="009A1FB0">
        <w:rPr>
          <w:rFonts w:ascii="Times New Roman" w:hAnsi="Times New Roman" w:cs="Times New Roman"/>
          <w:sz w:val="20"/>
          <w:szCs w:val="20"/>
          <w:lang w:bidi="ar-EG"/>
        </w:rPr>
        <w:t xml:space="preserve">. </w:t>
      </w:r>
      <w:r w:rsidRPr="009A1FB0">
        <w:rPr>
          <w:rFonts w:ascii="Times New Roman" w:hAnsi="Times New Roman" w:cs="Times New Roman"/>
          <w:bCs/>
          <w:sz w:val="20"/>
          <w:szCs w:val="20"/>
        </w:rPr>
        <w:t>In</w:t>
      </w:r>
      <w:r w:rsidRPr="009A1FB0">
        <w:rPr>
          <w:rFonts w:ascii="Times New Roman" w:hAnsi="Times New Roman" w:cs="Times New Roman"/>
          <w:sz w:val="20"/>
          <w:szCs w:val="20"/>
        </w:rPr>
        <w:t xml:space="preserve"> this study we aimed to identify sCD163, as an easy biochemical marker, for predicting the presence of EVs in compensated cirrhotic Child A post hepatitis C patients.</w:t>
      </w: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lang w:eastAsia="zh-CN" w:bidi="ar-EG"/>
        </w:rPr>
      </w:pPr>
      <w:r w:rsidRPr="009A1FB0">
        <w:rPr>
          <w:rFonts w:ascii="Times New Roman" w:hAnsi="Times New Roman" w:cs="Times New Roman"/>
          <w:sz w:val="20"/>
          <w:szCs w:val="20"/>
        </w:rPr>
        <w:t>In the present study, although only Child A compensated cirrhotic patients were included, there was statistically</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significantly higher</w:t>
      </w:r>
      <w:r w:rsidR="00273502" w:rsidRPr="009A1FB0">
        <w:rPr>
          <w:rFonts w:ascii="Times New Roman" w:hAnsi="Times New Roman" w:cs="Times New Roman"/>
          <w:sz w:val="20"/>
          <w:szCs w:val="20"/>
        </w:rPr>
        <w:t xml:space="preserve"> relation between increased child pugh class and presence of varices as shown in table</w:t>
      </w:r>
      <w:r w:rsidR="00A24598" w:rsidRPr="009A1FB0">
        <w:rPr>
          <w:rFonts w:ascii="Times New Roman" w:hAnsi="Times New Roman" w:cs="Times New Roman"/>
          <w:sz w:val="20"/>
          <w:szCs w:val="20"/>
        </w:rPr>
        <w:t>(10)</w:t>
      </w:r>
      <w:r w:rsidRPr="009A1FB0">
        <w:rPr>
          <w:rFonts w:ascii="Times New Roman" w:hAnsi="Times New Roman" w:cs="Times New Roman"/>
          <w:sz w:val="20"/>
          <w:szCs w:val="20"/>
        </w:rPr>
        <w:t xml:space="preserve"> and this is in agreement with </w:t>
      </w:r>
      <w:r w:rsidRPr="009A1FB0">
        <w:rPr>
          <w:rFonts w:ascii="Times New Roman" w:hAnsi="Times New Roman" w:cs="Times New Roman"/>
          <w:b/>
          <w:bCs/>
          <w:i/>
          <w:iCs/>
          <w:sz w:val="20"/>
          <w:szCs w:val="20"/>
        </w:rPr>
        <w:t>Madhotra et al., 2002</w:t>
      </w:r>
      <w:r w:rsidR="00DC00CB" w:rsidRPr="009A1FB0">
        <w:rPr>
          <w:rFonts w:ascii="Times New Roman" w:hAnsi="Times New Roman" w:cs="Times New Roman"/>
          <w:b/>
          <w:bCs/>
          <w:sz w:val="20"/>
          <w:szCs w:val="20"/>
        </w:rPr>
        <w:t>[24</w:t>
      </w:r>
      <w:r w:rsidR="00DC00CB" w:rsidRPr="009A1FB0">
        <w:rPr>
          <w:rFonts w:ascii="Times New Roman" w:hAnsi="Times New Roman" w:cs="Times New Roman"/>
          <w:sz w:val="20"/>
          <w:szCs w:val="20"/>
        </w:rPr>
        <w:t>]</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who found a significant relation between the presence of varices and increased Child score. Thus, the more advanced the liver disease (according to Child classification), the more likely the presence of varices. Child-Pugh score is a well-validated classification for the degree of hepatic dysfunction in patients with cirrhosis.</w:t>
      </w:r>
      <w:r w:rsidRPr="009A1FB0">
        <w:rPr>
          <w:rFonts w:ascii="Times New Roman" w:hAnsi="Times New Roman" w:cs="Times New Roman"/>
          <w:sz w:val="20"/>
          <w:szCs w:val="20"/>
          <w:lang w:bidi="ar-EG"/>
        </w:rPr>
        <w:t xml:space="preserve"> In this study,</w:t>
      </w:r>
      <w:r w:rsidRPr="009A1FB0">
        <w:rPr>
          <w:rFonts w:ascii="Times New Roman" w:hAnsi="Times New Roman" w:cs="Times New Roman"/>
          <w:sz w:val="20"/>
          <w:szCs w:val="20"/>
        </w:rPr>
        <w:t xml:space="preserve"> it was statistically significant lower serum albumin in patients with esophageal varices than patients without varices (p value = 0.001). As regard serum</w:t>
      </w:r>
      <w:r w:rsidRPr="009A1FB0">
        <w:rPr>
          <w:rFonts w:ascii="Times New Roman" w:hAnsi="Times New Roman" w:cs="Times New Roman"/>
          <w:sz w:val="20"/>
          <w:szCs w:val="20"/>
          <w:lang w:bidi="ar-EG"/>
        </w:rPr>
        <w:t xml:space="preserve"> albumin is </w:t>
      </w:r>
      <w:r w:rsidRPr="009A1FB0">
        <w:rPr>
          <w:rFonts w:ascii="Times New Roman" w:hAnsi="Times New Roman" w:cs="Times New Roman"/>
          <w:sz w:val="20"/>
          <w:szCs w:val="20"/>
          <w:lang w:bidi="ar-EG"/>
        </w:rPr>
        <w:lastRenderedPageBreak/>
        <w:t xml:space="preserve">considered the most important circulating protein and reflects the synthetic function of the liver </w:t>
      </w:r>
      <w:r w:rsidRPr="009A1FB0">
        <w:rPr>
          <w:rFonts w:ascii="Times New Roman" w:hAnsi="Times New Roman" w:cs="Times New Roman"/>
          <w:b/>
          <w:bCs/>
          <w:i/>
          <w:iCs/>
          <w:sz w:val="20"/>
          <w:szCs w:val="20"/>
          <w:lang w:bidi="ar-EG"/>
        </w:rPr>
        <w:t>(25)</w:t>
      </w:r>
      <w:r w:rsidR="003F277C" w:rsidRPr="009A1FB0">
        <w:rPr>
          <w:rFonts w:ascii="Times New Roman" w:hAnsi="Times New Roman" w:cs="Times New Roman"/>
          <w:b/>
          <w:bCs/>
          <w:i/>
          <w:iCs/>
          <w:sz w:val="20"/>
          <w:szCs w:val="20"/>
          <w:lang w:bidi="ar-EG"/>
        </w:rPr>
        <w:t xml:space="preserve">. </w:t>
      </w:r>
      <w:r w:rsidR="003F277C" w:rsidRPr="009A1FB0">
        <w:rPr>
          <w:rFonts w:ascii="Times New Roman" w:hAnsi="Times New Roman" w:cs="Times New Roman"/>
          <w:sz w:val="20"/>
          <w:szCs w:val="20"/>
          <w:lang w:bidi="ar-EG"/>
        </w:rPr>
        <w:t>H</w:t>
      </w:r>
      <w:r w:rsidRPr="009A1FB0">
        <w:rPr>
          <w:rFonts w:ascii="Times New Roman" w:hAnsi="Times New Roman" w:cs="Times New Roman"/>
          <w:sz w:val="20"/>
          <w:szCs w:val="20"/>
          <w:lang w:bidi="ar-EG"/>
        </w:rPr>
        <w:t>ypoalbuminemia was one of the factors that were associated with the presence of large esophageal varices</w:t>
      </w:r>
      <w:r w:rsidR="00974039" w:rsidRPr="009A1FB0">
        <w:rPr>
          <w:rFonts w:ascii="Times New Roman" w:hAnsi="Times New Roman" w:cs="Times New Roman"/>
          <w:i/>
          <w:iCs/>
          <w:sz w:val="20"/>
          <w:szCs w:val="20"/>
          <w:lang w:bidi="ar-EG"/>
        </w:rPr>
        <w:t xml:space="preserve"> as reported by </w:t>
      </w:r>
      <w:r w:rsidRPr="009A1FB0">
        <w:rPr>
          <w:rFonts w:ascii="Times New Roman" w:hAnsi="Times New Roman" w:cs="Times New Roman"/>
          <w:b/>
          <w:bCs/>
          <w:i/>
          <w:iCs/>
          <w:sz w:val="20"/>
          <w:szCs w:val="20"/>
          <w:lang w:bidi="ar-EG"/>
        </w:rPr>
        <w:t>Chang,</w:t>
      </w:r>
      <w:r w:rsidR="00D77FA2" w:rsidRPr="009A1FB0">
        <w:rPr>
          <w:rFonts w:ascii="Times New Roman" w:hAnsi="Times New Roman" w:cs="Times New Roman"/>
          <w:b/>
          <w:bCs/>
          <w:i/>
          <w:iCs/>
          <w:sz w:val="20"/>
          <w:szCs w:val="20"/>
          <w:lang w:bidi="ar-EG"/>
        </w:rPr>
        <w:t xml:space="preserve"> </w:t>
      </w:r>
      <w:r w:rsidR="005859B6" w:rsidRPr="009A1FB0">
        <w:rPr>
          <w:rFonts w:ascii="Times New Roman" w:hAnsi="Times New Roman" w:cs="Times New Roman"/>
          <w:b/>
          <w:bCs/>
          <w:i/>
          <w:iCs/>
          <w:sz w:val="20"/>
          <w:szCs w:val="20"/>
          <w:lang w:bidi="ar-EG"/>
        </w:rPr>
        <w:t>et al</w:t>
      </w:r>
      <w:r w:rsidR="00DC00CB" w:rsidRPr="009A1FB0">
        <w:rPr>
          <w:rFonts w:ascii="Times New Roman" w:hAnsi="Times New Roman" w:cs="Times New Roman"/>
          <w:b/>
          <w:bCs/>
          <w:i/>
          <w:iCs/>
          <w:sz w:val="20"/>
          <w:szCs w:val="20"/>
          <w:lang w:bidi="ar-EG"/>
        </w:rPr>
        <w:t>.,</w:t>
      </w:r>
      <w:r w:rsidRPr="009A1FB0">
        <w:rPr>
          <w:rFonts w:ascii="Times New Roman" w:hAnsi="Times New Roman" w:cs="Times New Roman"/>
          <w:b/>
          <w:bCs/>
          <w:i/>
          <w:iCs/>
          <w:sz w:val="20"/>
          <w:szCs w:val="20"/>
          <w:lang w:bidi="ar-EG"/>
        </w:rPr>
        <w:t xml:space="preserve"> 2007</w:t>
      </w:r>
      <w:r w:rsidR="009A1FB0">
        <w:rPr>
          <w:rFonts w:ascii="Times New Roman" w:hAnsi="Times New Roman" w:cs="Times New Roman"/>
          <w:b/>
          <w:bCs/>
          <w:i/>
          <w:iCs/>
          <w:sz w:val="20"/>
          <w:szCs w:val="20"/>
          <w:lang w:bidi="ar-EG"/>
        </w:rPr>
        <w:t xml:space="preserve"> </w:t>
      </w:r>
      <w:r w:rsidR="004E36E1" w:rsidRPr="009A1FB0">
        <w:rPr>
          <w:rFonts w:ascii="Times New Roman" w:hAnsi="Times New Roman" w:cs="Times New Roman"/>
          <w:b/>
          <w:bCs/>
          <w:i/>
          <w:iCs/>
          <w:sz w:val="20"/>
          <w:szCs w:val="20"/>
          <w:lang w:bidi="ar-EG"/>
        </w:rPr>
        <w:t>and</w:t>
      </w:r>
      <w:r w:rsidR="009A1FB0">
        <w:rPr>
          <w:rFonts w:ascii="Times New Roman" w:hAnsi="Times New Roman" w:cs="Times New Roman"/>
          <w:b/>
          <w:bCs/>
          <w:i/>
          <w:iCs/>
          <w:sz w:val="20"/>
          <w:szCs w:val="20"/>
          <w:lang w:bidi="ar-EG"/>
        </w:rPr>
        <w:t xml:space="preserve"> </w:t>
      </w:r>
      <w:r w:rsidRPr="009A1FB0">
        <w:rPr>
          <w:rFonts w:ascii="Times New Roman" w:hAnsi="Times New Roman" w:cs="Times New Roman"/>
          <w:b/>
          <w:bCs/>
          <w:i/>
          <w:iCs/>
          <w:sz w:val="20"/>
          <w:szCs w:val="20"/>
        </w:rPr>
        <w:t>Kazemi</w:t>
      </w:r>
      <w:r w:rsidRPr="009A1FB0">
        <w:rPr>
          <w:rFonts w:ascii="Times New Roman" w:hAnsi="Times New Roman" w:cs="Times New Roman"/>
          <w:i/>
          <w:iCs/>
          <w:sz w:val="20"/>
          <w:szCs w:val="20"/>
        </w:rPr>
        <w:t xml:space="preserve"> </w:t>
      </w:r>
      <w:r w:rsidRPr="009A1FB0">
        <w:rPr>
          <w:rFonts w:ascii="Times New Roman" w:hAnsi="Times New Roman" w:cs="Times New Roman"/>
          <w:b/>
          <w:bCs/>
          <w:i/>
          <w:iCs/>
          <w:sz w:val="20"/>
          <w:szCs w:val="20"/>
        </w:rPr>
        <w:t>et al., 2006</w:t>
      </w:r>
      <w:r w:rsidRPr="009A1FB0">
        <w:rPr>
          <w:rFonts w:ascii="Times New Roman" w:hAnsi="Times New Roman" w:cs="Times New Roman"/>
          <w:i/>
          <w:iCs/>
          <w:sz w:val="20"/>
          <w:szCs w:val="20"/>
        </w:rPr>
        <w:t xml:space="preserve"> who</w:t>
      </w:r>
      <w:r w:rsidR="00DA4A9E" w:rsidRPr="009A1FB0">
        <w:rPr>
          <w:rFonts w:ascii="Times New Roman" w:hAnsi="Times New Roman" w:cs="Times New Roman"/>
          <w:i/>
          <w:iCs/>
          <w:sz w:val="20"/>
          <w:szCs w:val="20"/>
        </w:rPr>
        <w:t xml:space="preserve"> </w:t>
      </w:r>
      <w:r w:rsidRPr="009A1FB0">
        <w:rPr>
          <w:rFonts w:ascii="Times New Roman" w:hAnsi="Times New Roman" w:cs="Times New Roman"/>
          <w:sz w:val="20"/>
          <w:szCs w:val="20"/>
        </w:rPr>
        <w:t>reported that serum albumin was lower in patients with esophageal varices than patients without varices and there was statistically significant difference</w:t>
      </w:r>
      <w:r w:rsidR="009A0415" w:rsidRPr="009A1FB0">
        <w:rPr>
          <w:rFonts w:ascii="Times New Roman" w:hAnsi="Times New Roman" w:cs="Times New Roman"/>
          <w:b/>
          <w:bCs/>
          <w:sz w:val="20"/>
          <w:szCs w:val="20"/>
          <w:lang w:bidi="ar-EG"/>
        </w:rPr>
        <w:t>[</w:t>
      </w:r>
      <w:r w:rsidR="004D165F" w:rsidRPr="009A1FB0">
        <w:rPr>
          <w:rFonts w:ascii="Times New Roman" w:hAnsi="Times New Roman" w:cs="Times New Roman"/>
          <w:b/>
          <w:bCs/>
          <w:sz w:val="20"/>
          <w:szCs w:val="20"/>
          <w:lang w:bidi="ar-EG"/>
        </w:rPr>
        <w:t>26&amp;27</w:t>
      </w:r>
      <w:r w:rsidR="009A0415" w:rsidRPr="009A1FB0">
        <w:rPr>
          <w:rFonts w:ascii="Times New Roman" w:hAnsi="Times New Roman" w:cs="Times New Roman"/>
          <w:b/>
          <w:bCs/>
          <w:sz w:val="20"/>
          <w:szCs w:val="20"/>
          <w:lang w:bidi="ar-EG"/>
        </w:rPr>
        <w:t>]</w:t>
      </w:r>
      <w:r w:rsidR="003F277C" w:rsidRPr="009A1FB0">
        <w:rPr>
          <w:rFonts w:ascii="Times New Roman" w:hAnsi="Times New Roman" w:cs="Times New Roman" w:hint="eastAsia"/>
          <w:b/>
          <w:bCs/>
          <w:sz w:val="20"/>
          <w:szCs w:val="20"/>
          <w:lang w:eastAsia="zh-CN" w:bidi="ar-EG"/>
        </w:rPr>
        <w:t>.</w:t>
      </w:r>
    </w:p>
    <w:p w:rsidR="00937B18" w:rsidRPr="009A1FB0" w:rsidRDefault="00937B18" w:rsidP="006D3B19">
      <w:pPr>
        <w:autoSpaceDE w:val="0"/>
        <w:autoSpaceDN w:val="0"/>
        <w:bidi w:val="0"/>
        <w:adjustRightInd w:val="0"/>
        <w:snapToGrid w:val="0"/>
        <w:spacing w:after="0" w:line="240" w:lineRule="auto"/>
        <w:ind w:firstLine="425"/>
        <w:jc w:val="both"/>
        <w:rPr>
          <w:rFonts w:ascii="Times New Roman" w:hAnsi="Times New Roman" w:cs="Times New Roman"/>
          <w:color w:val="FF6600"/>
          <w:sz w:val="20"/>
          <w:szCs w:val="20"/>
          <w:lang w:bidi="ar-EG"/>
        </w:rPr>
      </w:pPr>
      <w:r w:rsidRPr="009A1FB0">
        <w:rPr>
          <w:rFonts w:ascii="Times New Roman" w:hAnsi="Times New Roman" w:cs="Times New Roman"/>
          <w:sz w:val="20"/>
          <w:szCs w:val="20"/>
        </w:rPr>
        <w:t xml:space="preserve">The current study showed that platelet count was significantly lower in patients with esophageal varices (mean=89.500) than those without esophageal varices (mean=110.300) with (P = 0.005). That was stated </w:t>
      </w:r>
      <w:r w:rsidRPr="009A1FB0">
        <w:rPr>
          <w:rFonts w:ascii="Times New Roman" w:hAnsi="Times New Roman" w:cs="Times New Roman"/>
          <w:b/>
          <w:bCs/>
          <w:sz w:val="20"/>
          <w:szCs w:val="20"/>
        </w:rPr>
        <w:t>by</w:t>
      </w:r>
      <w:r w:rsidR="005029B4" w:rsidRPr="009A1FB0">
        <w:rPr>
          <w:rFonts w:ascii="Times New Roman" w:hAnsi="Times New Roman" w:cs="Times New Roman"/>
          <w:b/>
          <w:bCs/>
          <w:i/>
          <w:iCs/>
          <w:sz w:val="20"/>
          <w:szCs w:val="20"/>
        </w:rPr>
        <w:t>Agha et al., (2009</w:t>
      </w:r>
      <w:r w:rsidRPr="009A1FB0">
        <w:rPr>
          <w:rFonts w:ascii="Times New Roman" w:hAnsi="Times New Roman" w:cs="Times New Roman"/>
          <w:b/>
          <w:bCs/>
          <w:i/>
          <w:iCs/>
          <w:sz w:val="20"/>
          <w:szCs w:val="20"/>
        </w:rPr>
        <w:t>)</w:t>
      </w:r>
      <w:r w:rsidR="009A1FB0">
        <w:rPr>
          <w:rFonts w:ascii="Times New Roman" w:hAnsi="Times New Roman" w:cs="Times New Roman"/>
          <w:b/>
          <w:bCs/>
          <w:i/>
          <w:iCs/>
          <w:sz w:val="20"/>
          <w:szCs w:val="20"/>
        </w:rPr>
        <w:t xml:space="preserve"> </w:t>
      </w:r>
      <w:r w:rsidRPr="009A1FB0">
        <w:rPr>
          <w:rFonts w:ascii="Times New Roman" w:hAnsi="Times New Roman" w:cs="Times New Roman"/>
          <w:sz w:val="20"/>
          <w:szCs w:val="20"/>
        </w:rPr>
        <w:t>who found that platelet count was statistically significantly lower in patients with esophageal varices compared to patients without varices.</w:t>
      </w:r>
      <w:r w:rsidR="008C527B" w:rsidRPr="009A1FB0">
        <w:rPr>
          <w:rFonts w:ascii="Times New Roman" w:hAnsi="Times New Roman" w:cs="Times New Roman"/>
          <w:sz w:val="20"/>
          <w:szCs w:val="20"/>
        </w:rPr>
        <w:t>[28]</w:t>
      </w:r>
      <w:r w:rsidRPr="009A1FB0">
        <w:rPr>
          <w:rFonts w:ascii="Times New Roman" w:hAnsi="Times New Roman" w:cs="Times New Roman"/>
          <w:sz w:val="20"/>
          <w:szCs w:val="20"/>
        </w:rPr>
        <w:t xml:space="preserve"> Our results were also in agreement with the results r</w:t>
      </w:r>
      <w:r w:rsidRPr="009A1FB0">
        <w:rPr>
          <w:rFonts w:ascii="Times New Roman" w:hAnsi="Times New Roman" w:cs="Times New Roman"/>
          <w:b/>
          <w:bCs/>
          <w:sz w:val="20"/>
          <w:szCs w:val="20"/>
        </w:rPr>
        <w:t>eported by</w:t>
      </w:r>
      <w:r w:rsidRPr="009A1FB0">
        <w:rPr>
          <w:rFonts w:ascii="Times New Roman" w:hAnsi="Times New Roman" w:cs="Times New Roman"/>
          <w:b/>
          <w:bCs/>
          <w:i/>
          <w:iCs/>
          <w:sz w:val="20"/>
          <w:szCs w:val="20"/>
        </w:rPr>
        <w:t>Kazemi</w:t>
      </w:r>
      <w:r w:rsidR="00DA4A9E" w:rsidRPr="009A1FB0">
        <w:rPr>
          <w:rFonts w:ascii="Times New Roman" w:hAnsi="Times New Roman" w:cs="Times New Roman"/>
          <w:b/>
          <w:bCs/>
          <w:i/>
          <w:iCs/>
          <w:sz w:val="20"/>
          <w:szCs w:val="20"/>
        </w:rPr>
        <w:t xml:space="preserve"> </w:t>
      </w:r>
      <w:r w:rsidRPr="009A1FB0">
        <w:rPr>
          <w:rFonts w:ascii="Times New Roman" w:hAnsi="Times New Roman" w:cs="Times New Roman"/>
          <w:b/>
          <w:bCs/>
          <w:i/>
          <w:iCs/>
          <w:sz w:val="20"/>
          <w:szCs w:val="20"/>
        </w:rPr>
        <w:t>et al., 2006 and Esmat et al., 2012</w:t>
      </w:r>
      <w:r w:rsidR="008C527B" w:rsidRPr="009A1FB0">
        <w:rPr>
          <w:rFonts w:ascii="Times New Roman" w:hAnsi="Times New Roman" w:cs="Times New Roman"/>
          <w:b/>
          <w:bCs/>
          <w:i/>
          <w:iCs/>
          <w:sz w:val="20"/>
          <w:szCs w:val="20"/>
        </w:rPr>
        <w:t xml:space="preserve"> [27</w:t>
      </w:r>
      <w:r w:rsidR="009A0415" w:rsidRPr="009A1FB0">
        <w:rPr>
          <w:rFonts w:ascii="Times New Roman" w:hAnsi="Times New Roman" w:cs="Times New Roman"/>
          <w:b/>
          <w:bCs/>
          <w:i/>
          <w:iCs/>
          <w:sz w:val="20"/>
          <w:szCs w:val="20"/>
        </w:rPr>
        <w:t>&amp;</w:t>
      </w:r>
      <w:r w:rsidR="008C527B" w:rsidRPr="009A1FB0">
        <w:rPr>
          <w:rFonts w:ascii="Times New Roman" w:hAnsi="Times New Roman" w:cs="Times New Roman"/>
          <w:b/>
          <w:bCs/>
          <w:i/>
          <w:iCs/>
          <w:sz w:val="20"/>
          <w:szCs w:val="20"/>
        </w:rPr>
        <w:t>29</w:t>
      </w:r>
      <w:r w:rsidR="008C527B" w:rsidRPr="009A1FB0">
        <w:rPr>
          <w:rFonts w:ascii="Times New Roman" w:hAnsi="Times New Roman" w:cs="Times New Roman"/>
          <w:i/>
          <w:iCs/>
          <w:sz w:val="20"/>
          <w:szCs w:val="20"/>
        </w:rPr>
        <w:t>]</w:t>
      </w:r>
      <w:r w:rsidRPr="009A1FB0">
        <w:rPr>
          <w:rFonts w:ascii="Times New Roman" w:hAnsi="Times New Roman" w:cs="Times New Roman"/>
          <w:i/>
          <w:iCs/>
          <w:sz w:val="20"/>
          <w:szCs w:val="20"/>
        </w:rPr>
        <w:t>.</w:t>
      </w:r>
      <w:r w:rsidRPr="009A1FB0">
        <w:rPr>
          <w:rFonts w:ascii="Times New Roman" w:hAnsi="Times New Roman" w:cs="Times New Roman"/>
          <w:sz w:val="20"/>
          <w:szCs w:val="20"/>
          <w:lang w:bidi="ar-EG"/>
        </w:rPr>
        <w:t xml:space="preserve"> This may also attributed to thrombopoietin which is a cytokine synthesized within the liver that promotes thrombopoiesis and decreased level of this cytokine has been demonstrated in patients with chronic liver disease and cirrhosis </w:t>
      </w:r>
      <w:r w:rsidRPr="009A1FB0">
        <w:rPr>
          <w:rFonts w:ascii="Times New Roman" w:hAnsi="Times New Roman" w:cs="Times New Roman"/>
          <w:b/>
          <w:bCs/>
          <w:i/>
          <w:iCs/>
          <w:sz w:val="20"/>
          <w:szCs w:val="20"/>
          <w:lang w:bidi="ar-EG"/>
        </w:rPr>
        <w:t>[30].</w:t>
      </w:r>
      <w:r w:rsidRPr="009A1FB0">
        <w:rPr>
          <w:rFonts w:ascii="Times New Roman" w:hAnsi="Times New Roman" w:cs="Times New Roman"/>
          <w:sz w:val="20"/>
          <w:szCs w:val="20"/>
          <w:lang w:bidi="ar-EG"/>
        </w:rPr>
        <w:t xml:space="preserve"> In addition, splenic sequestration accounts for most of </w:t>
      </w:r>
      <w:r w:rsidRPr="009A1FB0">
        <w:rPr>
          <w:rFonts w:ascii="Times New Roman" w:hAnsi="Times New Roman" w:cs="Times New Roman"/>
          <w:sz w:val="20"/>
          <w:szCs w:val="20"/>
          <w:lang w:bidi="ar-EG"/>
        </w:rPr>
        <w:lastRenderedPageBreak/>
        <w:t xml:space="preserve">the thrombocytopenia and up to 90% of the platelet may be sequestrated in the spleen. Platelet sequestration in the spleen is associated with the immune destruction of platelets mediated by platelet bound immunoglobulin G (lgG). So, platelet count correlates with spleen size and it is the main factor in thrombocytopenia in portal hypertension </w:t>
      </w:r>
      <w:r w:rsidR="00FF1550" w:rsidRPr="009A1FB0">
        <w:rPr>
          <w:rFonts w:ascii="Times New Roman" w:hAnsi="Times New Roman" w:cs="Times New Roman"/>
          <w:b/>
          <w:bCs/>
          <w:i/>
          <w:iCs/>
          <w:sz w:val="20"/>
          <w:szCs w:val="20"/>
          <w:lang w:bidi="ar-EG"/>
        </w:rPr>
        <w:t>[31</w:t>
      </w:r>
      <w:r w:rsidRPr="009A1FB0">
        <w:rPr>
          <w:rFonts w:ascii="Times New Roman" w:hAnsi="Times New Roman" w:cs="Times New Roman"/>
          <w:b/>
          <w:bCs/>
          <w:i/>
          <w:iCs/>
          <w:sz w:val="20"/>
          <w:szCs w:val="20"/>
          <w:lang w:bidi="ar-EG"/>
        </w:rPr>
        <w:t>].</w:t>
      </w: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rPr>
        <w:t>Measurement of splenic size by ultrasonography is considered a non-invasive predictive indicator of the development of esophagea</w:t>
      </w:r>
      <w:r w:rsidR="00A7571E" w:rsidRPr="009A1FB0">
        <w:rPr>
          <w:rFonts w:ascii="Times New Roman" w:hAnsi="Times New Roman" w:cs="Times New Roman"/>
          <w:sz w:val="20"/>
          <w:szCs w:val="20"/>
        </w:rPr>
        <w:t xml:space="preserve">l varices in liver cirrhosis </w:t>
      </w:r>
      <w:r w:rsidR="00A7571E" w:rsidRPr="009A1FB0">
        <w:rPr>
          <w:rFonts w:ascii="Times New Roman" w:hAnsi="Times New Roman" w:cs="Times New Roman"/>
          <w:b/>
          <w:bCs/>
          <w:sz w:val="20"/>
          <w:szCs w:val="20"/>
        </w:rPr>
        <w:t>[29</w:t>
      </w:r>
      <w:r w:rsidRPr="009A1FB0">
        <w:rPr>
          <w:rFonts w:ascii="Times New Roman" w:hAnsi="Times New Roman" w:cs="Times New Roman"/>
          <w:b/>
          <w:bCs/>
          <w:sz w:val="20"/>
          <w:szCs w:val="20"/>
        </w:rPr>
        <w:t>]</w:t>
      </w:r>
      <w:r w:rsidR="003F277C" w:rsidRPr="009A1FB0">
        <w:rPr>
          <w:rFonts w:ascii="Times New Roman" w:hAnsi="Times New Roman" w:cs="Times New Roman"/>
          <w:b/>
          <w:bCs/>
          <w:sz w:val="20"/>
          <w:szCs w:val="20"/>
        </w:rPr>
        <w:t xml:space="preserve">. </w:t>
      </w:r>
      <w:r w:rsidR="003F277C" w:rsidRPr="009A1FB0">
        <w:rPr>
          <w:rFonts w:ascii="Times New Roman" w:hAnsi="Times New Roman" w:cs="Times New Roman"/>
          <w:sz w:val="20"/>
          <w:szCs w:val="20"/>
          <w:shd w:val="clear" w:color="auto" w:fill="FFFFFF"/>
        </w:rPr>
        <w:t>D</w:t>
      </w:r>
      <w:r w:rsidRPr="009A1FB0">
        <w:rPr>
          <w:rFonts w:ascii="Times New Roman" w:hAnsi="Times New Roman" w:cs="Times New Roman"/>
          <w:sz w:val="20"/>
          <w:szCs w:val="20"/>
          <w:shd w:val="clear" w:color="auto" w:fill="FFFFFF"/>
        </w:rPr>
        <w:t xml:space="preserve">oppler ultrasonography (US) imaging provides a real-time, inexpensive, and repeatable examination of the portal system and allows estimation of both arterial and venous flow. It is considered the first-line imaging technique in patients with cirrhosis. Portal vein diameter, portal blood velocity and congestion index, spleen size, flow pattern in the hepatic veins, and the presence of abdominal portosystemic collaterals are all US parameters previously thought to have with prognostic significance but all with poor sensitivity and specificity </w:t>
      </w:r>
      <w:r w:rsidRPr="009A1FB0">
        <w:rPr>
          <w:rFonts w:ascii="Times New Roman" w:hAnsi="Times New Roman" w:cs="Times New Roman"/>
          <w:b/>
          <w:bCs/>
          <w:sz w:val="20"/>
          <w:szCs w:val="20"/>
          <w:shd w:val="clear" w:color="auto" w:fill="FFFFFF"/>
        </w:rPr>
        <w:t>[</w:t>
      </w:r>
      <w:r w:rsidR="00A7571E" w:rsidRPr="009A1FB0">
        <w:rPr>
          <w:rFonts w:ascii="Times New Roman" w:hAnsi="Times New Roman" w:cs="Times New Roman"/>
          <w:b/>
          <w:bCs/>
          <w:sz w:val="20"/>
          <w:szCs w:val="20"/>
          <w:bdr w:val="none" w:sz="0" w:space="0" w:color="auto" w:frame="1"/>
          <w:shd w:val="clear" w:color="auto" w:fill="FFFFFF"/>
        </w:rPr>
        <w:t>32</w:t>
      </w:r>
      <w:r w:rsidR="00856FC1" w:rsidRPr="009A1FB0">
        <w:rPr>
          <w:rFonts w:ascii="Times New Roman" w:hAnsi="Times New Roman" w:cs="Times New Roman"/>
          <w:b/>
          <w:bCs/>
          <w:sz w:val="20"/>
          <w:szCs w:val="20"/>
          <w:bdr w:val="none" w:sz="0" w:space="0" w:color="auto" w:frame="1"/>
          <w:shd w:val="clear" w:color="auto" w:fill="FFFFFF"/>
        </w:rPr>
        <w:t>]</w:t>
      </w:r>
      <w:r w:rsidRPr="009A1FB0">
        <w:rPr>
          <w:rFonts w:ascii="Times New Roman" w:hAnsi="Times New Roman" w:cs="Times New Roman"/>
          <w:sz w:val="20"/>
          <w:szCs w:val="20"/>
          <w:shd w:val="clear" w:color="auto" w:fill="FFFFFF"/>
        </w:rPr>
        <w:t>One large study proposed prothrombin activity of less than 70%, portal vein diameter greater than 13 mm, and platelet count &lt; 100 × 10</w:t>
      </w:r>
      <w:r w:rsidRPr="009A1FB0">
        <w:rPr>
          <w:rFonts w:ascii="Times New Roman" w:hAnsi="Times New Roman" w:cs="Times New Roman"/>
          <w:sz w:val="20"/>
          <w:szCs w:val="20"/>
          <w:shd w:val="clear" w:color="auto" w:fill="FFFFFF"/>
          <w:vertAlign w:val="superscript"/>
        </w:rPr>
        <w:t>9</w:t>
      </w:r>
      <w:r w:rsidRPr="009A1FB0">
        <w:rPr>
          <w:rStyle w:val="apple-converted-space"/>
          <w:rFonts w:ascii="Times New Roman" w:hAnsi="Times New Roman"/>
          <w:sz w:val="20"/>
          <w:szCs w:val="20"/>
          <w:shd w:val="clear" w:color="auto" w:fill="FFFFFF"/>
        </w:rPr>
        <w:t> </w:t>
      </w:r>
      <w:r w:rsidR="009A1FB0">
        <w:rPr>
          <w:rStyle w:val="apple-converted-space"/>
          <w:rFonts w:ascii="Times New Roman" w:hAnsi="Times New Roman"/>
          <w:sz w:val="20"/>
          <w:szCs w:val="20"/>
          <w:shd w:val="clear" w:color="auto" w:fill="FFFFFF"/>
        </w:rPr>
        <w:t xml:space="preserve"> </w:t>
      </w:r>
      <w:r w:rsidRPr="009A1FB0">
        <w:rPr>
          <w:rFonts w:ascii="Times New Roman" w:hAnsi="Times New Roman" w:cs="Times New Roman"/>
          <w:sz w:val="20"/>
          <w:szCs w:val="20"/>
          <w:shd w:val="clear" w:color="auto" w:fill="FFFFFF"/>
        </w:rPr>
        <w:t>as noninvasive predictive tools to discriminate cirrhotic patients with and without oesophageal varices (OV</w:t>
      </w:r>
      <w:r w:rsidR="00E05B4A" w:rsidRPr="009A1FB0">
        <w:rPr>
          <w:rFonts w:ascii="Times New Roman" w:hAnsi="Times New Roman" w:cs="Times New Roman"/>
          <w:sz w:val="20"/>
          <w:szCs w:val="20"/>
          <w:shd w:val="clear" w:color="auto" w:fill="FFFFFF"/>
        </w:rPr>
        <w:t>s</w:t>
      </w:r>
      <w:r w:rsidRPr="009A1FB0">
        <w:rPr>
          <w:rFonts w:ascii="Times New Roman" w:hAnsi="Times New Roman" w:cs="Times New Roman"/>
          <w:sz w:val="20"/>
          <w:szCs w:val="20"/>
          <w:shd w:val="clear" w:color="auto" w:fill="FFFFFF"/>
        </w:rPr>
        <w:t>)</w:t>
      </w:r>
      <w:r w:rsidRPr="009A1FB0">
        <w:rPr>
          <w:rFonts w:ascii="Times New Roman" w:hAnsi="Times New Roman" w:cs="Times New Roman"/>
          <w:b/>
          <w:bCs/>
          <w:sz w:val="20"/>
          <w:szCs w:val="20"/>
          <w:shd w:val="clear" w:color="auto" w:fill="FFFFFF"/>
        </w:rPr>
        <w:t>[</w:t>
      </w:r>
      <w:r w:rsidRPr="009A1FB0">
        <w:rPr>
          <w:rFonts w:ascii="Times New Roman" w:hAnsi="Times New Roman" w:cs="Times New Roman"/>
          <w:b/>
          <w:bCs/>
          <w:sz w:val="20"/>
          <w:szCs w:val="20"/>
          <w:bdr w:val="none" w:sz="0" w:space="0" w:color="auto" w:frame="1"/>
          <w:shd w:val="clear" w:color="auto" w:fill="FFFFFF"/>
        </w:rPr>
        <w:t>1</w:t>
      </w:r>
      <w:r w:rsidR="00A7571E" w:rsidRPr="009A1FB0">
        <w:rPr>
          <w:rFonts w:ascii="Times New Roman" w:hAnsi="Times New Roman" w:cs="Times New Roman"/>
          <w:b/>
          <w:bCs/>
          <w:sz w:val="20"/>
          <w:szCs w:val="20"/>
          <w:bdr w:val="none" w:sz="0" w:space="0" w:color="auto" w:frame="1"/>
          <w:shd w:val="clear" w:color="auto" w:fill="FFFFFF"/>
        </w:rPr>
        <w:t>7</w:t>
      </w:r>
      <w:r w:rsidRPr="009A1FB0">
        <w:rPr>
          <w:rFonts w:ascii="Times New Roman" w:hAnsi="Times New Roman" w:cs="Times New Roman"/>
          <w:b/>
          <w:bCs/>
          <w:sz w:val="20"/>
          <w:szCs w:val="20"/>
          <w:shd w:val="clear" w:color="auto" w:fill="FFFFFF"/>
        </w:rPr>
        <w:t>]</w:t>
      </w:r>
      <w:r w:rsidRPr="009A1FB0">
        <w:rPr>
          <w:rFonts w:ascii="Times New Roman" w:hAnsi="Times New Roman" w:cs="Times New Roman"/>
          <w:color w:val="000000"/>
          <w:sz w:val="20"/>
          <w:szCs w:val="20"/>
          <w:shd w:val="clear" w:color="auto" w:fill="FFFFFF"/>
        </w:rPr>
        <w:t>.</w:t>
      </w:r>
      <w:r w:rsidRPr="009A1FB0">
        <w:rPr>
          <w:rFonts w:ascii="Times New Roman" w:hAnsi="Times New Roman" w:cs="Times New Roman"/>
          <w:sz w:val="20"/>
          <w:szCs w:val="20"/>
        </w:rPr>
        <w:t xml:space="preserve"> As regard spleen size, we found that it was statistically significant in patients with esophageal varices (mean =16.9) than those without esophageal varices (mean =14.9) and (p=0.001). These result agreed with the results of Kazemi</w:t>
      </w:r>
      <w:r w:rsidRPr="009A1FB0">
        <w:rPr>
          <w:rFonts w:ascii="Times New Roman" w:hAnsi="Times New Roman" w:cs="Times New Roman"/>
          <w:i/>
          <w:iCs/>
          <w:sz w:val="20"/>
          <w:szCs w:val="20"/>
        </w:rPr>
        <w:t xml:space="preserve"> et al., 2006</w:t>
      </w:r>
      <w:r w:rsidR="009A1FB0">
        <w:rPr>
          <w:rFonts w:ascii="Times New Roman" w:hAnsi="Times New Roman" w:cs="Times New Roman"/>
          <w:i/>
          <w:iCs/>
          <w:sz w:val="20"/>
          <w:szCs w:val="20"/>
        </w:rPr>
        <w:t xml:space="preserve"> </w:t>
      </w:r>
      <w:r w:rsidRPr="009A1FB0">
        <w:rPr>
          <w:rFonts w:ascii="Times New Roman" w:hAnsi="Times New Roman" w:cs="Times New Roman"/>
          <w:sz w:val="20"/>
          <w:szCs w:val="20"/>
        </w:rPr>
        <w:t xml:space="preserve">who found significant difference between patients without esophageal varices in comparison to patients with esophageal </w:t>
      </w:r>
      <w:r w:rsidR="00E05B4A" w:rsidRPr="009A1FB0">
        <w:rPr>
          <w:rFonts w:ascii="Times New Roman" w:hAnsi="Times New Roman" w:cs="Times New Roman"/>
          <w:sz w:val="20"/>
          <w:szCs w:val="20"/>
        </w:rPr>
        <w:t>varices as regarg spleen size</w:t>
      </w:r>
      <w:r w:rsidR="004F6693" w:rsidRPr="009A1FB0">
        <w:rPr>
          <w:rFonts w:ascii="Times New Roman" w:hAnsi="Times New Roman" w:cs="Times New Roman"/>
          <w:sz w:val="20"/>
          <w:szCs w:val="20"/>
        </w:rPr>
        <w:t xml:space="preserve"> [27]</w:t>
      </w:r>
      <w:r w:rsidRPr="009A1FB0">
        <w:rPr>
          <w:rFonts w:ascii="Times New Roman" w:hAnsi="Times New Roman" w:cs="Times New Roman"/>
          <w:color w:val="FF0000"/>
          <w:sz w:val="20"/>
          <w:szCs w:val="20"/>
        </w:rPr>
        <w:t>.</w:t>
      </w:r>
      <w:r w:rsidRPr="009A1FB0">
        <w:rPr>
          <w:rFonts w:ascii="Times New Roman" w:hAnsi="Times New Roman" w:cs="Times New Roman"/>
          <w:sz w:val="20"/>
          <w:szCs w:val="20"/>
        </w:rPr>
        <w:t xml:space="preserve"> Our results showed statistically significant difference as regard portal vein diameter between patients with esophageal varices (mean=13) than those without oesophagealvarices( mean=12.1) and (p value=0.002), These results agreed with the study of </w:t>
      </w:r>
      <w:r w:rsidRPr="009A1FB0">
        <w:rPr>
          <w:rFonts w:ascii="Times New Roman" w:hAnsi="Times New Roman" w:cs="Times New Roman"/>
          <w:i/>
          <w:iCs/>
          <w:sz w:val="20"/>
          <w:szCs w:val="20"/>
        </w:rPr>
        <w:t>Schepis etal</w:t>
      </w:r>
      <w:r w:rsidRPr="009A1FB0">
        <w:rPr>
          <w:rFonts w:ascii="Times New Roman" w:hAnsi="Times New Roman" w:cs="Times New Roman"/>
          <w:b/>
          <w:bCs/>
          <w:i/>
          <w:iCs/>
          <w:sz w:val="20"/>
          <w:szCs w:val="20"/>
        </w:rPr>
        <w:t>.</w:t>
      </w:r>
      <w:r w:rsidRPr="009A1FB0">
        <w:rPr>
          <w:rFonts w:ascii="Times New Roman" w:hAnsi="Times New Roman" w:cs="Times New Roman"/>
          <w:sz w:val="20"/>
          <w:szCs w:val="20"/>
        </w:rPr>
        <w:t>(2001)</w:t>
      </w:r>
      <w:r w:rsidR="00482025" w:rsidRPr="009A1FB0">
        <w:rPr>
          <w:rFonts w:ascii="Times New Roman" w:hAnsi="Times New Roman" w:cs="Times New Roman"/>
          <w:b/>
          <w:bCs/>
          <w:sz w:val="20"/>
          <w:szCs w:val="20"/>
        </w:rPr>
        <w:t>(17)</w:t>
      </w:r>
      <w:r w:rsidRPr="009A1FB0">
        <w:rPr>
          <w:rFonts w:ascii="Times New Roman" w:hAnsi="Times New Roman" w:cs="Times New Roman"/>
          <w:b/>
          <w:bCs/>
          <w:sz w:val="20"/>
          <w:szCs w:val="20"/>
        </w:rPr>
        <w:t>.</w:t>
      </w: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rPr>
        <w:t xml:space="preserve">Measurement of </w:t>
      </w:r>
      <w:r w:rsidRPr="009A1FB0">
        <w:rPr>
          <w:rFonts w:ascii="Times New Roman" w:hAnsi="Times New Roman" w:cs="Times New Roman"/>
          <w:i/>
          <w:sz w:val="20"/>
          <w:szCs w:val="20"/>
        </w:rPr>
        <w:t>liver stiffness</w:t>
      </w:r>
      <w:r w:rsidRPr="009A1FB0">
        <w:rPr>
          <w:rFonts w:ascii="Times New Roman" w:hAnsi="Times New Roman" w:cs="Times New Roman"/>
          <w:sz w:val="20"/>
          <w:szCs w:val="20"/>
        </w:rPr>
        <w:t xml:space="preserve"> using fibroscan is a very attractive non-invasive parameter for assessment of fibrosis in chronic liver diseases, being reproducible, operator-independent and well correlated with the degree of fibrosis </w:t>
      </w:r>
      <w:r w:rsidRPr="009A1FB0">
        <w:rPr>
          <w:rFonts w:ascii="Times New Roman" w:hAnsi="Times New Roman" w:cs="Times New Roman"/>
          <w:b/>
          <w:bCs/>
          <w:sz w:val="20"/>
          <w:szCs w:val="20"/>
        </w:rPr>
        <w:t>[3</w:t>
      </w:r>
      <w:r w:rsidR="00482025" w:rsidRPr="009A1FB0">
        <w:rPr>
          <w:rFonts w:ascii="Times New Roman" w:hAnsi="Times New Roman" w:cs="Times New Roman"/>
          <w:b/>
          <w:bCs/>
          <w:sz w:val="20"/>
          <w:szCs w:val="20"/>
        </w:rPr>
        <w:t>3</w:t>
      </w:r>
      <w:r w:rsidRPr="009A1FB0">
        <w:rPr>
          <w:rFonts w:ascii="Times New Roman" w:hAnsi="Times New Roman" w:cs="Times New Roman"/>
          <w:sz w:val="20"/>
          <w:szCs w:val="20"/>
        </w:rPr>
        <w:t xml:space="preserve">]. It has already been demonstrated that in patients with histopathologically confirmed cirrhosis, the grade of EV is directly correlated with the degree of liver fibrosis, an increase of the latter being translated in a rise in the size of the former </w:t>
      </w:r>
      <w:r w:rsidRPr="009A1FB0">
        <w:rPr>
          <w:rFonts w:ascii="Times New Roman" w:hAnsi="Times New Roman" w:cs="Times New Roman"/>
          <w:b/>
          <w:bCs/>
          <w:sz w:val="20"/>
          <w:szCs w:val="20"/>
        </w:rPr>
        <w:t>[2</w:t>
      </w:r>
      <w:r w:rsidR="0078680A" w:rsidRPr="009A1FB0">
        <w:rPr>
          <w:rFonts w:ascii="Times New Roman" w:hAnsi="Times New Roman" w:cs="Times New Roman"/>
          <w:b/>
          <w:bCs/>
          <w:sz w:val="20"/>
          <w:szCs w:val="20"/>
        </w:rPr>
        <w:t>7</w:t>
      </w:r>
      <w:r w:rsidRPr="009A1FB0">
        <w:rPr>
          <w:rFonts w:ascii="Times New Roman" w:hAnsi="Times New Roman" w:cs="Times New Roman"/>
          <w:b/>
          <w:bCs/>
          <w:sz w:val="20"/>
          <w:szCs w:val="20"/>
        </w:rPr>
        <w:t>].</w:t>
      </w:r>
      <w:r w:rsidRPr="009A1FB0">
        <w:rPr>
          <w:rFonts w:ascii="Times New Roman" w:hAnsi="Times New Roman" w:cs="Times New Roman"/>
          <w:sz w:val="20"/>
          <w:szCs w:val="20"/>
        </w:rPr>
        <w:t xml:space="preserve"> With these perquisites in mind, we have tried to evaluate if there is a cut-off value for liver fibrosis which can be used to predict presence or evolution of EV </w:t>
      </w:r>
      <w:r w:rsidRPr="009A1FB0">
        <w:rPr>
          <w:rFonts w:ascii="Times New Roman" w:hAnsi="Times New Roman" w:cs="Times New Roman"/>
          <w:b/>
          <w:bCs/>
          <w:sz w:val="20"/>
          <w:szCs w:val="20"/>
        </w:rPr>
        <w:t>[6].</w:t>
      </w:r>
      <w:r w:rsidRPr="009A1FB0">
        <w:rPr>
          <w:rFonts w:ascii="Times New Roman" w:hAnsi="Times New Roman" w:cs="Times New Roman"/>
          <w:sz w:val="20"/>
          <w:szCs w:val="20"/>
        </w:rPr>
        <w:t xml:space="preserve"> In this study liver stiffness measurement was significantly higher in patients with esophageal varices than those with no varices. For a cutoff value (20.75 KPa), sensitivity was 87.2%, specificity was 74.2%, PPV was 80.9%, NPV was </w:t>
      </w:r>
      <w:r w:rsidRPr="009A1FB0">
        <w:rPr>
          <w:rFonts w:ascii="Times New Roman" w:hAnsi="Times New Roman" w:cs="Times New Roman"/>
          <w:sz w:val="20"/>
          <w:szCs w:val="20"/>
        </w:rPr>
        <w:lastRenderedPageBreak/>
        <w:t xml:space="preserve">82.1% and accuracy was 58.2%. </w:t>
      </w:r>
      <w:r w:rsidRPr="009A1FB0">
        <w:rPr>
          <w:rFonts w:ascii="Times New Roman" w:hAnsi="Times New Roman" w:cs="Times New Roman"/>
          <w:i/>
          <w:iCs/>
          <w:sz w:val="20"/>
          <w:szCs w:val="20"/>
        </w:rPr>
        <w:t>Castera et al., (2009</w:t>
      </w:r>
      <w:r w:rsidRPr="009A1FB0">
        <w:rPr>
          <w:rFonts w:ascii="Times New Roman" w:hAnsi="Times New Roman" w:cs="Times New Roman"/>
          <w:b/>
          <w:bCs/>
          <w:i/>
          <w:iCs/>
          <w:sz w:val="20"/>
          <w:szCs w:val="20"/>
        </w:rPr>
        <w:t>)</w:t>
      </w:r>
      <w:r w:rsidRPr="009A1FB0">
        <w:rPr>
          <w:rFonts w:ascii="Times New Roman" w:hAnsi="Times New Roman" w:cs="Times New Roman"/>
          <w:sz w:val="20"/>
          <w:szCs w:val="20"/>
        </w:rPr>
        <w:t xml:space="preserve"> found that when using cutoff</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 xml:space="preserve">value (21.5 kPa) to predict esophageal varices, the sensitivity was 76%, specificity 78%, </w:t>
      </w:r>
      <w:r w:rsidR="00E05B4A" w:rsidRPr="009A1FB0">
        <w:rPr>
          <w:rFonts w:ascii="Times New Roman" w:hAnsi="Times New Roman" w:cs="Times New Roman"/>
          <w:sz w:val="20"/>
          <w:szCs w:val="20"/>
        </w:rPr>
        <w:t xml:space="preserve">positive predictive value( </w:t>
      </w:r>
      <w:r w:rsidRPr="009A1FB0">
        <w:rPr>
          <w:rFonts w:ascii="Times New Roman" w:hAnsi="Times New Roman" w:cs="Times New Roman"/>
          <w:sz w:val="20"/>
          <w:szCs w:val="20"/>
        </w:rPr>
        <w:t>PPV</w:t>
      </w:r>
      <w:r w:rsidR="00E05B4A" w:rsidRPr="009A1FB0">
        <w:rPr>
          <w:rFonts w:ascii="Times New Roman" w:hAnsi="Times New Roman" w:cs="Times New Roman"/>
          <w:sz w:val="20"/>
          <w:szCs w:val="20"/>
        </w:rPr>
        <w:t>)</w:t>
      </w:r>
      <w:r w:rsidRPr="009A1FB0">
        <w:rPr>
          <w:rFonts w:ascii="Times New Roman" w:hAnsi="Times New Roman" w:cs="Times New Roman"/>
          <w:sz w:val="20"/>
          <w:szCs w:val="20"/>
        </w:rPr>
        <w:t xml:space="preserve"> 68%</w:t>
      </w:r>
      <w:r w:rsidR="00E05B4A" w:rsidRPr="009A1FB0">
        <w:rPr>
          <w:rFonts w:ascii="Times New Roman" w:hAnsi="Times New Roman" w:cs="Times New Roman"/>
          <w:sz w:val="20"/>
          <w:szCs w:val="20"/>
        </w:rPr>
        <w:t xml:space="preserve"> negative predictive value(</w:t>
      </w:r>
      <w:r w:rsidRPr="009A1FB0">
        <w:rPr>
          <w:rFonts w:ascii="Times New Roman" w:hAnsi="Times New Roman" w:cs="Times New Roman"/>
          <w:sz w:val="20"/>
          <w:szCs w:val="20"/>
        </w:rPr>
        <w:t xml:space="preserve"> NPV</w:t>
      </w:r>
      <w:r w:rsidR="00E05B4A" w:rsidRPr="009A1FB0">
        <w:rPr>
          <w:rFonts w:ascii="Times New Roman" w:hAnsi="Times New Roman" w:cs="Times New Roman"/>
          <w:sz w:val="20"/>
          <w:szCs w:val="20"/>
        </w:rPr>
        <w:t>)</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84%; while on</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using a cutoff</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value (30.5 kPa) to predict large EV, the sensitivity was 77%, specificity 85%, PPV 56% and NPV 94%.</w:t>
      </w:r>
      <w:r w:rsidR="004F6693" w:rsidRPr="009A1FB0">
        <w:rPr>
          <w:rFonts w:ascii="Times New Roman" w:hAnsi="Times New Roman" w:cs="Times New Roman"/>
          <w:b/>
          <w:bCs/>
          <w:sz w:val="20"/>
          <w:szCs w:val="20"/>
        </w:rPr>
        <w:t>[34]</w:t>
      </w:r>
      <w:r w:rsidR="003F277C" w:rsidRPr="009A1FB0">
        <w:rPr>
          <w:rFonts w:ascii="Times New Roman" w:hAnsi="Times New Roman" w:cs="Times New Roman"/>
          <w:b/>
          <w:bCs/>
          <w:i/>
          <w:iCs/>
          <w:sz w:val="20"/>
          <w:szCs w:val="20"/>
        </w:rPr>
        <w:t xml:space="preserve">. </w:t>
      </w:r>
      <w:r w:rsidR="003F277C" w:rsidRPr="009A1FB0">
        <w:rPr>
          <w:rFonts w:ascii="Times New Roman" w:hAnsi="Times New Roman" w:cs="Times New Roman"/>
          <w:i/>
          <w:iCs/>
          <w:sz w:val="20"/>
          <w:szCs w:val="20"/>
        </w:rPr>
        <w:t>S</w:t>
      </w:r>
      <w:r w:rsidRPr="009A1FB0">
        <w:rPr>
          <w:rFonts w:ascii="Times New Roman" w:hAnsi="Times New Roman" w:cs="Times New Roman"/>
          <w:i/>
          <w:iCs/>
          <w:sz w:val="20"/>
          <w:szCs w:val="20"/>
        </w:rPr>
        <w:t>tefanescu et al., (2011</w:t>
      </w:r>
      <w:r w:rsidRPr="009A1FB0">
        <w:rPr>
          <w:rFonts w:ascii="Times New Roman" w:hAnsi="Times New Roman" w:cs="Times New Roman"/>
          <w:b/>
          <w:bCs/>
          <w:i/>
          <w:iCs/>
          <w:sz w:val="20"/>
          <w:szCs w:val="20"/>
        </w:rPr>
        <w:t>)</w:t>
      </w:r>
      <w:r w:rsidRPr="009A1FB0">
        <w:rPr>
          <w:rFonts w:ascii="Times New Roman" w:hAnsi="Times New Roman" w:cs="Times New Roman"/>
          <w:sz w:val="20"/>
          <w:szCs w:val="20"/>
        </w:rPr>
        <w:t xml:space="preserve"> analyzed results and noticed that when using cutoff value (19 kPa), it was possible to predict esophageal varices with sensitivity 84%, specificity 32.3%, PPV 72.4% and NPV 48.9%. When using cutoff value (38 kPa), it was possible to predict LEV (≥ grade 2) with an acceptable sensitivity and specificity (76% and 80% respectively), but the positive predictive value did not exceed 54</w:t>
      </w:r>
      <w:r w:rsidRPr="009A1FB0">
        <w:rPr>
          <w:rFonts w:ascii="Times New Roman" w:hAnsi="Times New Roman" w:cs="Times New Roman"/>
          <w:b/>
          <w:bCs/>
          <w:sz w:val="20"/>
          <w:szCs w:val="20"/>
        </w:rPr>
        <w:t>%</w:t>
      </w:r>
      <w:r w:rsidR="004F6693" w:rsidRPr="009A1FB0">
        <w:rPr>
          <w:rFonts w:ascii="Times New Roman" w:hAnsi="Times New Roman" w:cs="Times New Roman"/>
          <w:b/>
          <w:bCs/>
          <w:sz w:val="20"/>
          <w:szCs w:val="20"/>
        </w:rPr>
        <w:t>[35]</w:t>
      </w:r>
      <w:r w:rsidRPr="009A1FB0">
        <w:rPr>
          <w:rFonts w:ascii="Times New Roman" w:hAnsi="Times New Roman" w:cs="Times New Roman"/>
          <w:b/>
          <w:bCs/>
          <w:sz w:val="20"/>
          <w:szCs w:val="20"/>
        </w:rPr>
        <w:t>.</w:t>
      </w:r>
    </w:p>
    <w:p w:rsidR="00937B18" w:rsidRPr="009A1FB0" w:rsidRDefault="00937B18" w:rsidP="006D3B19">
      <w:pPr>
        <w:shd w:val="clear" w:color="auto" w:fill="FFFFFF"/>
        <w:bidi w:val="0"/>
        <w:snapToGrid w:val="0"/>
        <w:spacing w:after="0" w:line="240" w:lineRule="auto"/>
        <w:ind w:firstLine="425"/>
        <w:jc w:val="both"/>
        <w:rPr>
          <w:rFonts w:ascii="Times New Roman" w:hAnsi="Times New Roman" w:cs="Times New Roman"/>
          <w:sz w:val="20"/>
          <w:szCs w:val="20"/>
          <w:lang w:eastAsia="zh-CN"/>
        </w:rPr>
      </w:pPr>
      <w:r w:rsidRPr="009A1FB0">
        <w:rPr>
          <w:rFonts w:ascii="Times New Roman" w:hAnsi="Times New Roman" w:cs="Times New Roman"/>
          <w:sz w:val="20"/>
          <w:szCs w:val="20"/>
        </w:rPr>
        <w:t>Fib-4was confirmed as a good noninvasive marker of liver fibrosis for chronic hepatitis C, with performances similar to the Fibro Test. Fib-4 was also tried for the prediction of esophageal varices in patients with liver cirrhosis</w:t>
      </w:r>
      <w:r w:rsidR="003F277C" w:rsidRPr="009A1FB0">
        <w:rPr>
          <w:rFonts w:ascii="Times New Roman" w:hAnsi="Times New Roman" w:cs="Times New Roman"/>
          <w:sz w:val="20"/>
          <w:szCs w:val="20"/>
        </w:rPr>
        <w:t>.</w:t>
      </w:r>
      <w:r w:rsidR="009A0415" w:rsidRPr="009A1FB0">
        <w:rPr>
          <w:rFonts w:ascii="Times New Roman" w:hAnsi="Times New Roman" w:cs="Times New Roman"/>
          <w:b/>
          <w:bCs/>
          <w:i/>
          <w:iCs/>
          <w:sz w:val="20"/>
          <w:szCs w:val="20"/>
        </w:rPr>
        <w:t>[</w:t>
      </w:r>
      <w:r w:rsidR="00245722" w:rsidRPr="009A1FB0">
        <w:rPr>
          <w:rFonts w:ascii="Times New Roman" w:hAnsi="Times New Roman" w:cs="Times New Roman"/>
          <w:b/>
          <w:bCs/>
          <w:i/>
          <w:iCs/>
          <w:sz w:val="20"/>
          <w:szCs w:val="20"/>
        </w:rPr>
        <w:t>35</w:t>
      </w:r>
      <w:r w:rsidR="009A0415" w:rsidRPr="009A1FB0">
        <w:rPr>
          <w:rFonts w:ascii="Times New Roman" w:hAnsi="Times New Roman" w:cs="Times New Roman"/>
          <w:b/>
          <w:bCs/>
          <w:i/>
          <w:iCs/>
          <w:sz w:val="20"/>
          <w:szCs w:val="20"/>
        </w:rPr>
        <w:t>&amp;</w:t>
      </w:r>
      <w:r w:rsidR="00ED434F" w:rsidRPr="009A1FB0">
        <w:rPr>
          <w:rFonts w:ascii="Times New Roman" w:hAnsi="Times New Roman" w:cs="Times New Roman"/>
          <w:b/>
          <w:bCs/>
          <w:sz w:val="20"/>
          <w:szCs w:val="20"/>
        </w:rPr>
        <w:t>36</w:t>
      </w:r>
      <w:r w:rsidR="009A0415" w:rsidRPr="009A1FB0">
        <w:rPr>
          <w:rFonts w:ascii="Times New Roman" w:hAnsi="Times New Roman" w:cs="Times New Roman"/>
          <w:b/>
          <w:bCs/>
          <w:sz w:val="20"/>
          <w:szCs w:val="20"/>
        </w:rPr>
        <w:t>]</w:t>
      </w:r>
      <w:r w:rsidR="003F277C" w:rsidRPr="009A1FB0">
        <w:rPr>
          <w:rFonts w:ascii="Times New Roman" w:hAnsi="Times New Roman" w:cs="Times New Roman"/>
          <w:b/>
          <w:bCs/>
          <w:sz w:val="20"/>
          <w:szCs w:val="20"/>
        </w:rPr>
        <w:t xml:space="preserve">. </w:t>
      </w:r>
      <w:r w:rsidR="003F277C" w:rsidRPr="009A1FB0">
        <w:rPr>
          <w:rFonts w:ascii="Times New Roman" w:hAnsi="Times New Roman" w:cs="Times New Roman"/>
          <w:sz w:val="20"/>
          <w:szCs w:val="20"/>
        </w:rPr>
        <w:t>T</w:t>
      </w:r>
      <w:r w:rsidRPr="009A1FB0">
        <w:rPr>
          <w:rFonts w:ascii="Times New Roman" w:hAnsi="Times New Roman" w:cs="Times New Roman"/>
          <w:sz w:val="20"/>
          <w:szCs w:val="20"/>
        </w:rPr>
        <w:t>he results of the current study showed that for diagnosis of esophageal varices</w:t>
      </w:r>
      <w:r w:rsidRPr="009A1FB0">
        <w:rPr>
          <w:rFonts w:ascii="Times New Roman" w:hAnsi="Times New Roman" w:cs="Times New Roman"/>
          <w:color w:val="FF0000"/>
          <w:sz w:val="20"/>
          <w:szCs w:val="20"/>
        </w:rPr>
        <w:t>,</w:t>
      </w:r>
      <w:r w:rsidRPr="009A1FB0">
        <w:rPr>
          <w:rFonts w:ascii="Times New Roman" w:hAnsi="Times New Roman" w:cs="Times New Roman"/>
          <w:sz w:val="20"/>
          <w:szCs w:val="20"/>
        </w:rPr>
        <w:t xml:space="preserve"> the</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Fib 4 score showed</w:t>
      </w:r>
      <w:r w:rsidR="00D454A3" w:rsidRPr="009A1FB0">
        <w:rPr>
          <w:rFonts w:ascii="Times New Roman" w:hAnsi="Times New Roman" w:cs="Times New Roman"/>
          <w:sz w:val="20"/>
          <w:szCs w:val="20"/>
        </w:rPr>
        <w:t xml:space="preserve"> statistically significant value in prediction of varices</w:t>
      </w:r>
      <w:r w:rsidRPr="009A1FB0">
        <w:rPr>
          <w:rFonts w:ascii="Times New Roman" w:hAnsi="Times New Roman" w:cs="Times New Roman"/>
          <w:sz w:val="20"/>
          <w:szCs w:val="20"/>
        </w:rPr>
        <w:t xml:space="preserve"> (p value=0.003</w:t>
      </w:r>
      <w:r w:rsidR="00D454A3" w:rsidRPr="009A1FB0">
        <w:rPr>
          <w:rFonts w:ascii="Times New Roman" w:hAnsi="Times New Roman" w:cs="Times New Roman"/>
          <w:sz w:val="20"/>
          <w:szCs w:val="20"/>
          <w:lang w:bidi="ar-EG"/>
        </w:rPr>
        <w:t>(</w:t>
      </w:r>
      <w:r w:rsidRPr="009A1FB0">
        <w:rPr>
          <w:rFonts w:ascii="Times New Roman" w:hAnsi="Times New Roman" w:cs="Times New Roman"/>
          <w:sz w:val="20"/>
          <w:szCs w:val="20"/>
        </w:rPr>
        <w:t xml:space="preserve"> and at cutoff value ≥4.68 the sensitivity was 76.9%, specificity was 61.3%, PPV was 71.4%, NPV was 67.9% and accuracy 67%</w:t>
      </w:r>
      <w:r w:rsidR="003F277C" w:rsidRPr="009A1FB0">
        <w:rPr>
          <w:rFonts w:ascii="Times New Roman" w:hAnsi="Times New Roman" w:cs="Times New Roman"/>
          <w:sz w:val="20"/>
          <w:szCs w:val="20"/>
        </w:rPr>
        <w:t xml:space="preserve">. </w:t>
      </w:r>
      <w:r w:rsidR="003F277C" w:rsidRPr="009A1FB0">
        <w:rPr>
          <w:rFonts w:ascii="Times New Roman" w:hAnsi="Times New Roman" w:cs="Times New Roman"/>
          <w:i/>
          <w:iCs/>
          <w:sz w:val="20"/>
          <w:szCs w:val="20"/>
        </w:rPr>
        <w:t>S</w:t>
      </w:r>
      <w:r w:rsidRPr="009A1FB0">
        <w:rPr>
          <w:rFonts w:ascii="Times New Roman" w:hAnsi="Times New Roman" w:cs="Times New Roman"/>
          <w:i/>
          <w:iCs/>
          <w:sz w:val="20"/>
          <w:szCs w:val="20"/>
        </w:rPr>
        <w:t>ebastiani et al., (2010)</w:t>
      </w:r>
      <w:r w:rsidRPr="009A1FB0">
        <w:rPr>
          <w:rFonts w:ascii="Times New Roman" w:hAnsi="Times New Roman" w:cs="Times New Roman"/>
          <w:sz w:val="20"/>
          <w:szCs w:val="20"/>
        </w:rPr>
        <w:t>used FIB-4 for diagnosis of esophageal varices and found that</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the sensitivity was 70 %, specificity was 59%, PPV was 70%, NPV was 57% and accuracy was 66% and the best cutoff value for Fib-4 was (≥3.5). While, for prediction of</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large EV they found that the sensitivity was 62 %, specificity was 60%, PPV was 29%</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NPV was 85% and accuracy was 61% and the best cutoff value for Fib-4 was ≥4.3.</w:t>
      </w:r>
      <w:r w:rsidR="00ED434F" w:rsidRPr="009A1FB0">
        <w:rPr>
          <w:rFonts w:ascii="Times New Roman" w:hAnsi="Times New Roman" w:cs="Times New Roman"/>
          <w:b/>
          <w:bCs/>
          <w:i/>
          <w:iCs/>
          <w:sz w:val="20"/>
          <w:szCs w:val="20"/>
        </w:rPr>
        <w:t>[36]</w:t>
      </w:r>
      <w:r w:rsidR="003F277C" w:rsidRPr="009A1FB0">
        <w:rPr>
          <w:rFonts w:ascii="Times New Roman" w:hAnsi="Times New Roman" w:cs="Times New Roman"/>
          <w:b/>
          <w:bCs/>
          <w:i/>
          <w:iCs/>
          <w:sz w:val="20"/>
          <w:szCs w:val="20"/>
        </w:rPr>
        <w:t xml:space="preserve">. </w:t>
      </w:r>
      <w:r w:rsidR="003F277C" w:rsidRPr="009A1FB0">
        <w:rPr>
          <w:rFonts w:ascii="Times New Roman" w:hAnsi="Times New Roman" w:cs="Times New Roman"/>
          <w:i/>
          <w:iCs/>
          <w:sz w:val="20"/>
          <w:szCs w:val="20"/>
        </w:rPr>
        <w:t>S</w:t>
      </w:r>
      <w:r w:rsidRPr="009A1FB0">
        <w:rPr>
          <w:rFonts w:ascii="Times New Roman" w:hAnsi="Times New Roman" w:cs="Times New Roman"/>
          <w:i/>
          <w:iCs/>
          <w:sz w:val="20"/>
          <w:szCs w:val="20"/>
        </w:rPr>
        <w:t>tefanescu et al., (2011)</w:t>
      </w:r>
      <w:r w:rsidRPr="009A1FB0">
        <w:rPr>
          <w:rFonts w:ascii="Times New Roman" w:hAnsi="Times New Roman" w:cs="Times New Roman"/>
          <w:sz w:val="20"/>
          <w:szCs w:val="20"/>
        </w:rPr>
        <w:t xml:space="preserve"> used Fib-4for the diagnosis of presence of esophageal varices and found that at a cutoff value (≥3.98), the sensitivity was 66.2%, specificity 54%, PPV 75.4% and NPV 43%</w:t>
      </w:r>
      <w:r w:rsidR="003F277C" w:rsidRPr="009A1FB0">
        <w:rPr>
          <w:rFonts w:ascii="Times New Roman" w:hAnsi="Times New Roman" w:cs="Times New Roman"/>
          <w:sz w:val="20"/>
          <w:szCs w:val="20"/>
        </w:rPr>
        <w:t>. W</w:t>
      </w:r>
      <w:r w:rsidRPr="009A1FB0">
        <w:rPr>
          <w:rFonts w:ascii="Times New Roman" w:hAnsi="Times New Roman" w:cs="Times New Roman"/>
          <w:sz w:val="20"/>
          <w:szCs w:val="20"/>
        </w:rPr>
        <w:t>hile, for the diagnosis of large esophageal varices, the cutoff value was (≥6.75), the sensitivity was 45.5%, specificity was 77.3%, PPV was 45.6% and NPV was 77.3</w:t>
      </w:r>
      <w:r w:rsidRPr="009A1FB0">
        <w:rPr>
          <w:rFonts w:ascii="Times New Roman" w:hAnsi="Times New Roman" w:cs="Times New Roman"/>
          <w:b/>
          <w:bCs/>
          <w:sz w:val="20"/>
          <w:szCs w:val="20"/>
        </w:rPr>
        <w:t>%.</w:t>
      </w:r>
      <w:r w:rsidR="00ED434F" w:rsidRPr="009A1FB0">
        <w:rPr>
          <w:rFonts w:ascii="Times New Roman" w:hAnsi="Times New Roman" w:cs="Times New Roman"/>
          <w:b/>
          <w:bCs/>
          <w:sz w:val="20"/>
          <w:szCs w:val="20"/>
        </w:rPr>
        <w:t>[35]</w:t>
      </w:r>
      <w:r w:rsidR="003F277C" w:rsidRPr="009A1FB0">
        <w:rPr>
          <w:rFonts w:ascii="Times New Roman" w:hAnsi="Times New Roman" w:cs="Times New Roman" w:hint="eastAsia"/>
          <w:b/>
          <w:bCs/>
          <w:sz w:val="20"/>
          <w:szCs w:val="20"/>
          <w:lang w:eastAsia="zh-CN"/>
        </w:rPr>
        <w:t>.</w:t>
      </w:r>
    </w:p>
    <w:p w:rsidR="00937B18" w:rsidRPr="009A1FB0" w:rsidRDefault="00937B18" w:rsidP="006D3B19">
      <w:pPr>
        <w:bidi w:val="0"/>
        <w:snapToGrid w:val="0"/>
        <w:spacing w:after="0" w:line="240" w:lineRule="auto"/>
        <w:ind w:firstLine="425"/>
        <w:jc w:val="both"/>
        <w:rPr>
          <w:rFonts w:ascii="Times New Roman" w:hAnsi="Times New Roman" w:cs="Times New Roman"/>
          <w:b/>
          <w:bCs/>
          <w:sz w:val="20"/>
          <w:szCs w:val="20"/>
          <w:lang w:eastAsia="zh-CN"/>
        </w:rPr>
      </w:pPr>
      <w:r w:rsidRPr="009A1FB0">
        <w:rPr>
          <w:rFonts w:ascii="Times New Roman" w:hAnsi="Times New Roman" w:cs="Times New Roman"/>
          <w:sz w:val="20"/>
          <w:szCs w:val="20"/>
        </w:rPr>
        <w:t xml:space="preserve">Soluble CD163 is a specific marker of activated macrophages, another potential biomarker for PH in cirrhosis. The activation of Kupffer cells may be involved in PH by the release of vasoconstrictor substances. Recently, </w:t>
      </w:r>
      <w:r w:rsidRPr="009A1FB0">
        <w:rPr>
          <w:rFonts w:ascii="Times New Roman" w:hAnsi="Times New Roman" w:cs="Times New Roman"/>
          <w:b/>
          <w:bCs/>
          <w:sz w:val="20"/>
          <w:szCs w:val="20"/>
        </w:rPr>
        <w:t>Gronbaek et al</w:t>
      </w:r>
      <w:r w:rsidRPr="009A1FB0">
        <w:rPr>
          <w:rFonts w:ascii="Times New Roman" w:hAnsi="Times New Roman" w:cs="Times New Roman"/>
          <w:sz w:val="20"/>
          <w:szCs w:val="20"/>
        </w:rPr>
        <w:t>.</w:t>
      </w:r>
      <w:r w:rsidR="005859B6" w:rsidRPr="009A1FB0">
        <w:rPr>
          <w:rFonts w:ascii="Times New Roman" w:hAnsi="Times New Roman" w:cs="Times New Roman"/>
          <w:sz w:val="20"/>
          <w:szCs w:val="20"/>
        </w:rPr>
        <w:t>,</w:t>
      </w:r>
      <w:r w:rsidR="00D77FA2" w:rsidRPr="009A1FB0">
        <w:rPr>
          <w:rFonts w:ascii="Times New Roman" w:hAnsi="Times New Roman" w:cs="Times New Roman"/>
          <w:sz w:val="20"/>
          <w:szCs w:val="20"/>
        </w:rPr>
        <w:t xml:space="preserve"> </w:t>
      </w:r>
      <w:r w:rsidR="005859B6" w:rsidRPr="009A1FB0">
        <w:rPr>
          <w:rFonts w:ascii="Times New Roman" w:hAnsi="Times New Roman" w:cs="Times New Roman"/>
          <w:b/>
          <w:bCs/>
          <w:sz w:val="20"/>
          <w:szCs w:val="20"/>
        </w:rPr>
        <w:t>2012</w:t>
      </w:r>
      <w:r w:rsidR="005859B6" w:rsidRPr="009A1FB0">
        <w:rPr>
          <w:rFonts w:ascii="Times New Roman" w:hAnsi="Times New Roman" w:cs="Times New Roman"/>
          <w:sz w:val="20"/>
          <w:szCs w:val="20"/>
        </w:rPr>
        <w:t>,</w:t>
      </w:r>
      <w:r w:rsidRPr="009A1FB0">
        <w:rPr>
          <w:rFonts w:ascii="Times New Roman" w:hAnsi="Times New Roman" w:cs="Times New Roman"/>
          <w:sz w:val="20"/>
          <w:szCs w:val="20"/>
        </w:rPr>
        <w:t xml:space="preserve"> have shown that sCD163 plasma concentration in cirrhosis is almost three times higher than in controls, and sCD163 was an independent predictor of the hepatic venous pressure gradient.</w:t>
      </w:r>
      <w:r w:rsidR="00ED434F" w:rsidRPr="009A1FB0">
        <w:rPr>
          <w:rFonts w:ascii="Times New Roman" w:hAnsi="Times New Roman" w:cs="Times New Roman"/>
          <w:sz w:val="20"/>
          <w:szCs w:val="20"/>
        </w:rPr>
        <w:t>[</w:t>
      </w:r>
      <w:r w:rsidR="00ED434F" w:rsidRPr="009A1FB0">
        <w:rPr>
          <w:rFonts w:ascii="Times New Roman" w:hAnsi="Times New Roman" w:cs="Times New Roman"/>
          <w:b/>
          <w:bCs/>
          <w:sz w:val="20"/>
          <w:szCs w:val="20"/>
        </w:rPr>
        <w:t>6</w:t>
      </w:r>
      <w:r w:rsidR="00ED434F" w:rsidRPr="009A1FB0">
        <w:rPr>
          <w:rFonts w:ascii="Times New Roman" w:hAnsi="Times New Roman" w:cs="Times New Roman"/>
          <w:sz w:val="20"/>
          <w:szCs w:val="20"/>
        </w:rPr>
        <w:t>]</w:t>
      </w:r>
      <w:r w:rsidR="003F277C" w:rsidRPr="009A1FB0">
        <w:rPr>
          <w:rFonts w:ascii="Times New Roman" w:hAnsi="Times New Roman" w:cs="Times New Roman"/>
          <w:sz w:val="20"/>
          <w:szCs w:val="20"/>
        </w:rPr>
        <w:t>. Y</w:t>
      </w:r>
      <w:r w:rsidRPr="009A1FB0">
        <w:rPr>
          <w:rFonts w:ascii="Times New Roman" w:hAnsi="Times New Roman" w:cs="Times New Roman"/>
          <w:sz w:val="20"/>
          <w:szCs w:val="20"/>
        </w:rPr>
        <w:t>ang et al</w:t>
      </w:r>
      <w:r w:rsidR="003F277C" w:rsidRPr="009A1FB0">
        <w:rPr>
          <w:rFonts w:ascii="Times New Roman" w:hAnsi="Times New Roman" w:cs="Times New Roman"/>
          <w:sz w:val="20"/>
          <w:szCs w:val="20"/>
        </w:rPr>
        <w:t>. f</w:t>
      </w:r>
      <w:r w:rsidRPr="009A1FB0">
        <w:rPr>
          <w:rFonts w:ascii="Times New Roman" w:hAnsi="Times New Roman" w:cs="Times New Roman"/>
          <w:sz w:val="20"/>
          <w:szCs w:val="20"/>
        </w:rPr>
        <w:t xml:space="preserve">ound that serum sCD163 level was elevated in patients with cirrhosis complicated by esophageal varices, and this marker could potentially be used to predict the presence of EVs in clinical practice. Similar to </w:t>
      </w:r>
      <w:r w:rsidRPr="009A1FB0">
        <w:rPr>
          <w:rFonts w:ascii="Times New Roman" w:hAnsi="Times New Roman" w:cs="Times New Roman"/>
          <w:sz w:val="20"/>
          <w:szCs w:val="20"/>
        </w:rPr>
        <w:lastRenderedPageBreak/>
        <w:t>previous reports,</w:t>
      </w:r>
      <w:r w:rsidR="00A3654B" w:rsidRPr="009A1FB0">
        <w:rPr>
          <w:rFonts w:ascii="Times New Roman" w:hAnsi="Times New Roman" w:cs="Times New Roman"/>
          <w:sz w:val="20"/>
          <w:szCs w:val="20"/>
        </w:rPr>
        <w:t xml:space="preserve"> There was increase in soluble (s) CD163 in cirrhotic patients with and without esophageal varices, fairly three times more than control groups (10.46±1.73and 5.47±0.72 Vs 2.85±0.33 mg/L) (P value=0.001). In addition, (s) CD163 is nearly doubled in patients with esophageal varices (mean=10.46±1.73mg/L) than patients without varices (mean=5.47±0.72mg/L) (p value=0.001). </w:t>
      </w:r>
      <w:r w:rsidRPr="009A1FB0">
        <w:rPr>
          <w:rFonts w:ascii="Times New Roman" w:hAnsi="Times New Roman" w:cs="Times New Roman"/>
          <w:sz w:val="20"/>
          <w:szCs w:val="20"/>
        </w:rPr>
        <w:t>in our study</w:t>
      </w:r>
      <w:r w:rsidR="003F277C" w:rsidRPr="009A1FB0">
        <w:rPr>
          <w:rFonts w:ascii="Times New Roman" w:hAnsi="Times New Roman" w:cs="Times New Roman"/>
          <w:b/>
          <w:bCs/>
          <w:color w:val="FF0000"/>
          <w:sz w:val="20"/>
          <w:szCs w:val="20"/>
        </w:rPr>
        <w:t xml:space="preserve">. </w:t>
      </w:r>
      <w:r w:rsidR="003F277C" w:rsidRPr="009A1FB0">
        <w:rPr>
          <w:rFonts w:ascii="Times New Roman" w:hAnsi="Times New Roman" w:cs="Times New Roman"/>
          <w:sz w:val="20"/>
          <w:szCs w:val="20"/>
        </w:rPr>
        <w:t>M</w:t>
      </w:r>
      <w:r w:rsidRPr="009A1FB0">
        <w:rPr>
          <w:rFonts w:ascii="Times New Roman" w:hAnsi="Times New Roman" w:cs="Times New Roman"/>
          <w:sz w:val="20"/>
          <w:szCs w:val="20"/>
        </w:rPr>
        <w:t>oller</w:t>
      </w:r>
      <w:r w:rsidR="009A0415" w:rsidRPr="009A1FB0">
        <w:rPr>
          <w:rFonts w:ascii="Times New Roman" w:hAnsi="Times New Roman" w:cs="Times New Roman"/>
          <w:sz w:val="20"/>
          <w:szCs w:val="20"/>
        </w:rPr>
        <w:t xml:space="preserve"> et al.,</w:t>
      </w:r>
      <w:r w:rsidRPr="009A1FB0">
        <w:rPr>
          <w:rFonts w:ascii="Times New Roman" w:hAnsi="Times New Roman" w:cs="Times New Roman"/>
          <w:sz w:val="20"/>
          <w:szCs w:val="20"/>
        </w:rPr>
        <w:t>2007&amp;</w:t>
      </w:r>
      <w:r w:rsidR="00216840" w:rsidRPr="009A1FB0">
        <w:rPr>
          <w:rFonts w:ascii="Times New Roman" w:hAnsi="Times New Roman" w:cs="Times New Roman"/>
          <w:sz w:val="20"/>
          <w:szCs w:val="20"/>
        </w:rPr>
        <w:t>Holland</w:t>
      </w:r>
      <w:r w:rsidR="009A0415" w:rsidRPr="009A1FB0">
        <w:rPr>
          <w:rFonts w:ascii="Times New Roman" w:hAnsi="Times New Roman" w:cs="Times New Roman"/>
          <w:sz w:val="20"/>
          <w:szCs w:val="20"/>
        </w:rPr>
        <w:t xml:space="preserve"> et al.,</w:t>
      </w:r>
      <w:r w:rsidRPr="009A1FB0">
        <w:rPr>
          <w:rFonts w:ascii="Times New Roman" w:hAnsi="Times New Roman" w:cs="Times New Roman"/>
          <w:sz w:val="20"/>
          <w:szCs w:val="20"/>
        </w:rPr>
        <w:t>2011 excitingly, found good abilities of serum sCD163 level to distinguish cirrhotic patients with EVs from those without EVs, with good sensitivities and specificities by ROS analysis</w:t>
      </w:r>
      <w:r w:rsidRPr="009A1FB0">
        <w:rPr>
          <w:rFonts w:ascii="Times New Roman" w:hAnsi="Times New Roman" w:cs="Times New Roman"/>
          <w:b/>
          <w:bCs/>
          <w:sz w:val="20"/>
          <w:szCs w:val="20"/>
        </w:rPr>
        <w:t>.</w:t>
      </w:r>
      <w:r w:rsidR="00D64692" w:rsidRPr="009A1FB0">
        <w:rPr>
          <w:rFonts w:ascii="Times New Roman" w:hAnsi="Times New Roman" w:cs="Times New Roman"/>
          <w:b/>
          <w:bCs/>
          <w:sz w:val="20"/>
          <w:szCs w:val="20"/>
        </w:rPr>
        <w:t>[37</w:t>
      </w:r>
      <w:r w:rsidR="00D77FA2" w:rsidRPr="009A1FB0">
        <w:rPr>
          <w:rFonts w:ascii="Times New Roman" w:hAnsi="Times New Roman" w:cs="Times New Roman"/>
          <w:b/>
          <w:bCs/>
          <w:sz w:val="20"/>
          <w:szCs w:val="20"/>
        </w:rPr>
        <w:t>-</w:t>
      </w:r>
      <w:r w:rsidR="00D64692" w:rsidRPr="009A1FB0">
        <w:rPr>
          <w:rFonts w:ascii="Times New Roman" w:hAnsi="Times New Roman" w:cs="Times New Roman"/>
          <w:b/>
          <w:bCs/>
          <w:sz w:val="20"/>
          <w:szCs w:val="20"/>
        </w:rPr>
        <w:t>38]</w:t>
      </w:r>
      <w:r w:rsidR="003F277C" w:rsidRPr="009A1FB0">
        <w:rPr>
          <w:rFonts w:ascii="Times New Roman" w:hAnsi="Times New Roman" w:cs="Times New Roman" w:hint="eastAsia"/>
          <w:b/>
          <w:bCs/>
          <w:sz w:val="20"/>
          <w:szCs w:val="20"/>
          <w:lang w:eastAsia="zh-CN"/>
        </w:rPr>
        <w:t>.</w:t>
      </w:r>
    </w:p>
    <w:p w:rsidR="00A3654B" w:rsidRPr="009A1FB0" w:rsidRDefault="00A3654B" w:rsidP="006D3B19">
      <w:pPr>
        <w:tabs>
          <w:tab w:val="left" w:pos="2685"/>
        </w:tabs>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rPr>
        <w:t>On performing multivariate logistic regression analysis, it was found that high body mass index</w:t>
      </w:r>
      <w:r w:rsidR="003F277C" w:rsidRPr="009A1FB0">
        <w:rPr>
          <w:rFonts w:ascii="Times New Roman" w:hAnsi="Times New Roman" w:cs="Times New Roman"/>
          <w:sz w:val="20"/>
          <w:szCs w:val="20"/>
        </w:rPr>
        <w:t>,</w:t>
      </w:r>
      <w:r w:rsidRPr="009A1FB0">
        <w:rPr>
          <w:rFonts w:ascii="Times New Roman" w:hAnsi="Times New Roman" w:cs="Times New Roman"/>
          <w:sz w:val="20"/>
          <w:szCs w:val="20"/>
        </w:rPr>
        <w:t xml:space="preserve"> low hemoglobin level</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low albumin level</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low PLT count</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 PV diameter,</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Spleen size,</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 child score,</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high FIB4, high Fibroscan results in( KPs), High serum</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(CD163)</w:t>
      </w:r>
      <w:r w:rsidR="00DA4A9E" w:rsidRPr="009A1FB0">
        <w:rPr>
          <w:rFonts w:ascii="Times New Roman" w:hAnsi="Times New Roman" w:cs="Times New Roman"/>
          <w:sz w:val="20"/>
          <w:szCs w:val="20"/>
        </w:rPr>
        <w:t xml:space="preserve"> </w:t>
      </w:r>
      <w:r w:rsidRPr="009A1FB0">
        <w:rPr>
          <w:rFonts w:ascii="Times New Roman" w:hAnsi="Times New Roman" w:cs="Times New Roman"/>
          <w:sz w:val="20"/>
          <w:szCs w:val="20"/>
        </w:rPr>
        <w:t>level are significant predictors of esophageal varices as shown in table( 4)</w:t>
      </w:r>
      <w:r w:rsidRPr="009A1FB0">
        <w:rPr>
          <w:rFonts w:ascii="Times New Roman" w:hAnsi="Times New Roman" w:cs="Times New Roman"/>
          <w:sz w:val="20"/>
          <w:szCs w:val="20"/>
          <w:lang w:bidi="ar-EG"/>
        </w:rPr>
        <w:t>.</w:t>
      </w:r>
    </w:p>
    <w:p w:rsidR="00937B18" w:rsidRPr="009A1FB0" w:rsidRDefault="00937B18" w:rsidP="006D3B19">
      <w:pPr>
        <w:bidi w:val="0"/>
        <w:snapToGrid w:val="0"/>
        <w:spacing w:after="0" w:line="240" w:lineRule="auto"/>
        <w:ind w:firstLine="425"/>
        <w:jc w:val="both"/>
        <w:rPr>
          <w:rFonts w:ascii="Times New Roman" w:hAnsi="Times New Roman" w:cs="Times New Roman"/>
          <w:sz w:val="20"/>
          <w:szCs w:val="20"/>
        </w:rPr>
      </w:pPr>
      <w:r w:rsidRPr="009A1FB0">
        <w:rPr>
          <w:rFonts w:ascii="Times New Roman" w:hAnsi="Times New Roman" w:cs="Times New Roman"/>
          <w:sz w:val="20"/>
          <w:szCs w:val="20"/>
        </w:rPr>
        <w:t>The correlation study by univariate and multivariate analysis revealed that serum sCD163 level is a candidate biomarker for prediction of EVs of cirrhosis in our clinical practice. In conclusion, serum (s) CD163 in patients with hepatitis C virus cirrhosis (Child A) significantly increased with the presence of esophageal varices. It could be used as non-invasive parameter for predicting esophageal varices,</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but not sufficient to be good negative test or surrogate marker alone, still endoscopy is the gold standard for diagnosis of varices.</w:t>
      </w:r>
    </w:p>
    <w:p w:rsidR="00937B18" w:rsidRPr="009A1FB0" w:rsidRDefault="00937B18" w:rsidP="006D3B19">
      <w:pPr>
        <w:tabs>
          <w:tab w:val="left" w:pos="2685"/>
        </w:tabs>
        <w:bidi w:val="0"/>
        <w:snapToGrid w:val="0"/>
        <w:spacing w:after="0" w:line="240" w:lineRule="auto"/>
        <w:ind w:firstLine="425"/>
        <w:jc w:val="both"/>
        <w:rPr>
          <w:rFonts w:ascii="Times New Roman" w:hAnsi="Times New Roman" w:cs="Times New Roman"/>
          <w:sz w:val="20"/>
          <w:szCs w:val="20"/>
          <w:lang w:bidi="ar-EG"/>
        </w:rPr>
      </w:pPr>
      <w:r w:rsidRPr="009A1FB0">
        <w:rPr>
          <w:rFonts w:ascii="Times New Roman" w:hAnsi="Times New Roman" w:cs="Times New Roman"/>
          <w:sz w:val="20"/>
          <w:szCs w:val="20"/>
        </w:rPr>
        <w:t>The study has limitations, the analysis was carried out in a small number of patients, and it will be interesting to determine whether this association holds true also in larger groups of patients with HCV cirrhosis and in patients with liver disease of other origins.</w:t>
      </w:r>
      <w:r w:rsidR="003F277C" w:rsidRPr="009A1FB0">
        <w:rPr>
          <w:rFonts w:ascii="Times New Roman" w:hAnsi="Times New Roman" w:cs="Times New Roman"/>
          <w:sz w:val="20"/>
          <w:szCs w:val="20"/>
        </w:rPr>
        <w:t xml:space="preserve"> </w:t>
      </w:r>
      <w:r w:rsidRPr="009A1FB0">
        <w:rPr>
          <w:rFonts w:ascii="Times New Roman" w:hAnsi="Times New Roman" w:cs="Times New Roman"/>
          <w:sz w:val="20"/>
          <w:szCs w:val="20"/>
        </w:rPr>
        <w:t>Lack of data on other variables, such as direct measurement of portal hypertension by HVPG, also could affect the interpretation of our findings. Finally, we cannot exclude the possibility that hidden abuse of alcohol may be responsible for the presence of EV in a few subjects.</w:t>
      </w:r>
    </w:p>
    <w:p w:rsidR="00071C56" w:rsidRPr="009A1FB0" w:rsidRDefault="00071C56" w:rsidP="006D3B19">
      <w:pPr>
        <w:bidi w:val="0"/>
        <w:snapToGrid w:val="0"/>
        <w:spacing w:after="0" w:line="240" w:lineRule="auto"/>
        <w:jc w:val="both"/>
        <w:rPr>
          <w:rFonts w:ascii="Times New Roman" w:hAnsi="Times New Roman" w:cs="Times New Roman"/>
          <w:b/>
          <w:bCs/>
          <w:sz w:val="20"/>
          <w:szCs w:val="20"/>
        </w:rPr>
      </w:pPr>
    </w:p>
    <w:p w:rsidR="00AD7B18" w:rsidRPr="009A1FB0" w:rsidRDefault="00937B18" w:rsidP="006D3B19">
      <w:pPr>
        <w:bidi w:val="0"/>
        <w:snapToGrid w:val="0"/>
        <w:spacing w:after="0" w:line="240" w:lineRule="auto"/>
        <w:jc w:val="both"/>
        <w:rPr>
          <w:rFonts w:ascii="Times New Roman" w:hAnsi="Times New Roman" w:cs="Times New Roman"/>
          <w:bCs/>
          <w:sz w:val="20"/>
          <w:szCs w:val="20"/>
          <w:lang w:bidi="ar-EG"/>
        </w:rPr>
      </w:pPr>
      <w:r w:rsidRPr="009A1FB0">
        <w:rPr>
          <w:rFonts w:ascii="Times New Roman" w:hAnsi="Times New Roman" w:cs="Times New Roman"/>
          <w:b/>
          <w:bCs/>
          <w:sz w:val="20"/>
          <w:szCs w:val="20"/>
        </w:rPr>
        <w:t>References</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Garcia-Tsao G, Sanyal AJ, Grace ND, Carey W, and the Pratice Guidelines Committee of the American Association for the Study of Liver Diseases, the Practice Parameters Committee of the American College of Gastroenterology. Prevention and management of gastroesophageal varices and variceal hemorrhage in cirrhosis. HEPATOLOGY 2007;46:922-938.</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lang w:bidi="ar-EG"/>
        </w:rPr>
        <w:t>Jensen DM</w:t>
      </w:r>
      <w:r w:rsidR="003F277C" w:rsidRPr="008D34E6">
        <w:rPr>
          <w:rFonts w:ascii="Times New Roman" w:hAnsi="Times New Roman" w:cs="Times New Roman"/>
          <w:sz w:val="19"/>
          <w:szCs w:val="19"/>
          <w:lang w:bidi="ar-EG"/>
        </w:rPr>
        <w:t>. E</w:t>
      </w:r>
      <w:r w:rsidRPr="008D34E6">
        <w:rPr>
          <w:rFonts w:ascii="Times New Roman" w:hAnsi="Times New Roman" w:cs="Times New Roman"/>
          <w:sz w:val="19"/>
          <w:szCs w:val="19"/>
          <w:lang w:bidi="ar-EG"/>
        </w:rPr>
        <w:t>ndoscopic screening for varices in cirrhosis: findings</w:t>
      </w:r>
      <w:r w:rsidR="003F277C" w:rsidRPr="008D34E6">
        <w:rPr>
          <w:rFonts w:ascii="Times New Roman" w:hAnsi="Times New Roman" w:cs="Times New Roman"/>
          <w:sz w:val="19"/>
          <w:szCs w:val="19"/>
          <w:lang w:bidi="ar-EG"/>
        </w:rPr>
        <w:t>, i</w:t>
      </w:r>
      <w:r w:rsidRPr="008D34E6">
        <w:rPr>
          <w:rFonts w:ascii="Times New Roman" w:hAnsi="Times New Roman" w:cs="Times New Roman"/>
          <w:sz w:val="19"/>
          <w:szCs w:val="19"/>
          <w:lang w:bidi="ar-EG"/>
        </w:rPr>
        <w:t>mplications, and outcomes. Gastroenterology 2002;122:1620–30.</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de Franchis</w:t>
      </w:r>
      <w:r w:rsidR="008D34E6" w:rsidRPr="008D34E6">
        <w:rPr>
          <w:rFonts w:ascii="Times New Roman" w:hAnsi="Times New Roman" w:cs="Times New Roman"/>
          <w:sz w:val="19"/>
          <w:szCs w:val="19"/>
        </w:rPr>
        <w:t xml:space="preserve"> </w:t>
      </w:r>
      <w:r w:rsidRPr="008D34E6">
        <w:rPr>
          <w:rFonts w:ascii="Times New Roman" w:hAnsi="Times New Roman" w:cs="Times New Roman"/>
          <w:sz w:val="19"/>
          <w:szCs w:val="19"/>
        </w:rPr>
        <w:t>R</w:t>
      </w:r>
      <w:r w:rsidR="003F277C" w:rsidRPr="008D34E6">
        <w:rPr>
          <w:rFonts w:ascii="Times New Roman" w:hAnsi="Times New Roman" w:cs="Times New Roman"/>
          <w:sz w:val="19"/>
          <w:szCs w:val="19"/>
        </w:rPr>
        <w:t>. P</w:t>
      </w:r>
      <w:r w:rsidRPr="008D34E6">
        <w:rPr>
          <w:rFonts w:ascii="Times New Roman" w:hAnsi="Times New Roman" w:cs="Times New Roman"/>
          <w:sz w:val="19"/>
          <w:szCs w:val="19"/>
        </w:rPr>
        <w:t>ortal Hypertension</w:t>
      </w:r>
      <w:r w:rsidR="003F277C" w:rsidRPr="008D34E6">
        <w:rPr>
          <w:rFonts w:ascii="Times New Roman" w:hAnsi="Times New Roman" w:cs="Times New Roman"/>
          <w:sz w:val="19"/>
          <w:szCs w:val="19"/>
        </w:rPr>
        <w:t>. P</w:t>
      </w:r>
      <w:r w:rsidRPr="008D34E6">
        <w:rPr>
          <w:rFonts w:ascii="Times New Roman" w:hAnsi="Times New Roman" w:cs="Times New Roman"/>
          <w:sz w:val="19"/>
          <w:szCs w:val="19"/>
        </w:rPr>
        <w:t>roceedings of the IVth</w:t>
      </w:r>
      <w:r w:rsidR="008D34E6" w:rsidRPr="008D34E6">
        <w:rPr>
          <w:rFonts w:ascii="Times New Roman" w:hAnsi="Times New Roman" w:cs="Times New Roman"/>
          <w:sz w:val="19"/>
          <w:szCs w:val="19"/>
        </w:rPr>
        <w:t xml:space="preserve"> </w:t>
      </w:r>
      <w:r w:rsidRPr="008D34E6">
        <w:rPr>
          <w:rFonts w:ascii="Times New Roman" w:hAnsi="Times New Roman" w:cs="Times New Roman"/>
          <w:sz w:val="19"/>
          <w:szCs w:val="19"/>
        </w:rPr>
        <w:t xml:space="preserve">Baveno International Consensus Workshop </w:t>
      </w:r>
      <w:r w:rsidRPr="008D34E6">
        <w:rPr>
          <w:rFonts w:ascii="Times New Roman" w:hAnsi="Times New Roman" w:cs="Times New Roman"/>
          <w:sz w:val="19"/>
          <w:szCs w:val="19"/>
        </w:rPr>
        <w:lastRenderedPageBreak/>
        <w:t>on Methodology of Diagnosis and Treatment in Portal Hypertension. Blackwell Science, Oxford, UK 2005; 154-158.</w:t>
      </w:r>
    </w:p>
    <w:p w:rsidR="00156071" w:rsidRPr="008D34E6" w:rsidRDefault="00156071" w:rsidP="003F277C">
      <w:pPr>
        <w:pStyle w:val="NoSpacing"/>
        <w:numPr>
          <w:ilvl w:val="0"/>
          <w:numId w:val="17"/>
        </w:numPr>
        <w:bidi w:val="0"/>
        <w:snapToGrid w:val="0"/>
        <w:ind w:left="425" w:hanging="425"/>
        <w:jc w:val="both"/>
        <w:rPr>
          <w:rFonts w:ascii="Times New Roman" w:hAnsi="Times New Roman" w:cs="Times New Roman"/>
          <w:bCs/>
          <w:iCs/>
          <w:sz w:val="19"/>
          <w:szCs w:val="19"/>
        </w:rPr>
      </w:pPr>
      <w:r w:rsidRPr="008D34E6">
        <w:rPr>
          <w:rFonts w:ascii="Times New Roman" w:hAnsi="Times New Roman" w:cs="Times New Roman"/>
          <w:sz w:val="19"/>
          <w:szCs w:val="19"/>
        </w:rPr>
        <w:t>Bințințan</w:t>
      </w:r>
      <w:r w:rsidRPr="008D34E6">
        <w:rPr>
          <w:rFonts w:ascii="Times New Roman" w:hAnsi="Times New Roman" w:cs="Times New Roman"/>
          <w:sz w:val="19"/>
          <w:szCs w:val="19"/>
          <w:vertAlign w:val="subscript"/>
        </w:rPr>
        <w:t xml:space="preserve">, </w:t>
      </w:r>
      <w:r w:rsidRPr="008D34E6">
        <w:rPr>
          <w:rFonts w:ascii="Times New Roman" w:hAnsi="Times New Roman" w:cs="Times New Roman"/>
          <w:sz w:val="19"/>
          <w:szCs w:val="19"/>
        </w:rPr>
        <w:t>A., Chira</w:t>
      </w:r>
      <w:r w:rsidRPr="008D34E6">
        <w:rPr>
          <w:rFonts w:ascii="Times New Roman" w:hAnsi="Times New Roman" w:cs="Times New Roman"/>
          <w:sz w:val="19"/>
          <w:szCs w:val="19"/>
          <w:vertAlign w:val="superscript"/>
        </w:rPr>
        <w:t>,</w:t>
      </w:r>
      <w:r w:rsidR="003F277C" w:rsidRPr="008D34E6">
        <w:rPr>
          <w:rFonts w:ascii="Times New Roman" w:hAnsi="Times New Roman" w:cs="Times New Roman"/>
          <w:sz w:val="19"/>
          <w:szCs w:val="19"/>
          <w:vertAlign w:val="subscript"/>
        </w:rPr>
        <w:t xml:space="preserve">, </w:t>
      </w:r>
      <w:r w:rsidR="003F277C" w:rsidRPr="008D34E6">
        <w:rPr>
          <w:rFonts w:ascii="Times New Roman" w:hAnsi="Times New Roman" w:cs="Times New Roman"/>
          <w:sz w:val="19"/>
          <w:szCs w:val="19"/>
        </w:rPr>
        <w:t>I</w:t>
      </w:r>
      <w:r w:rsidRPr="008D34E6">
        <w:rPr>
          <w:rFonts w:ascii="Times New Roman" w:hAnsi="Times New Roman" w:cs="Times New Roman"/>
          <w:sz w:val="19"/>
          <w:szCs w:val="19"/>
        </w:rPr>
        <w:t>., R., Vasile Virgil Bințințan, V</w:t>
      </w:r>
      <w:r w:rsidR="003F277C" w:rsidRPr="008D34E6">
        <w:rPr>
          <w:rFonts w:ascii="Times New Roman" w:hAnsi="Times New Roman" w:cs="Times New Roman"/>
          <w:sz w:val="19"/>
          <w:szCs w:val="19"/>
        </w:rPr>
        <w:t>. V</w:t>
      </w:r>
      <w:r w:rsidRPr="008D34E6">
        <w:rPr>
          <w:rFonts w:ascii="Times New Roman" w:hAnsi="Times New Roman" w:cs="Times New Roman"/>
          <w:sz w:val="19"/>
          <w:szCs w:val="19"/>
        </w:rPr>
        <w:t>., Nagy, G</w:t>
      </w:r>
      <w:r w:rsidR="003F277C" w:rsidRPr="008D34E6">
        <w:rPr>
          <w:rFonts w:ascii="Times New Roman" w:hAnsi="Times New Roman" w:cs="Times New Roman"/>
          <w:sz w:val="19"/>
          <w:szCs w:val="19"/>
        </w:rPr>
        <w:t>. Z</w:t>
      </w:r>
      <w:r w:rsidRPr="008D34E6">
        <w:rPr>
          <w:rFonts w:ascii="Times New Roman" w:hAnsi="Times New Roman" w:cs="Times New Roman"/>
          <w:sz w:val="19"/>
          <w:szCs w:val="19"/>
        </w:rPr>
        <w:t>., et al (2015)</w:t>
      </w:r>
      <w:r w:rsidR="003F277C" w:rsidRPr="008D34E6">
        <w:rPr>
          <w:rFonts w:ascii="Times New Roman" w:hAnsi="Times New Roman" w:cs="Times New Roman"/>
          <w:sz w:val="19"/>
          <w:szCs w:val="19"/>
        </w:rPr>
        <w:t>: V</w:t>
      </w:r>
      <w:r w:rsidRPr="008D34E6">
        <w:rPr>
          <w:rFonts w:ascii="Times New Roman" w:hAnsi="Times New Roman" w:cs="Times New Roman"/>
          <w:sz w:val="19"/>
          <w:szCs w:val="19"/>
        </w:rPr>
        <w:t>alue of hepatic elastography and Doppler indexes for predictions of esophageal varices in liver cirrhosis</w:t>
      </w:r>
      <w:r w:rsidR="003F277C" w:rsidRPr="008D34E6">
        <w:rPr>
          <w:rFonts w:ascii="Times New Roman" w:hAnsi="Times New Roman" w:cs="Times New Roman"/>
          <w:sz w:val="19"/>
          <w:szCs w:val="19"/>
        </w:rPr>
        <w:t xml:space="preserve">. </w:t>
      </w:r>
      <w:r w:rsidR="003F277C" w:rsidRPr="008D34E6">
        <w:rPr>
          <w:rFonts w:ascii="Times New Roman" w:hAnsi="Times New Roman" w:cs="Times New Roman"/>
          <w:i/>
          <w:sz w:val="19"/>
          <w:szCs w:val="19"/>
        </w:rPr>
        <w:t>M</w:t>
      </w:r>
      <w:r w:rsidRPr="008D34E6">
        <w:rPr>
          <w:rFonts w:ascii="Times New Roman" w:hAnsi="Times New Roman" w:cs="Times New Roman"/>
          <w:i/>
          <w:sz w:val="19"/>
          <w:szCs w:val="19"/>
        </w:rPr>
        <w:t>ed</w:t>
      </w:r>
      <w:r w:rsidR="008D34E6" w:rsidRPr="008D34E6">
        <w:rPr>
          <w:rFonts w:ascii="Times New Roman" w:hAnsi="Times New Roman" w:cs="Times New Roman"/>
          <w:i/>
          <w:sz w:val="19"/>
          <w:szCs w:val="19"/>
        </w:rPr>
        <w:t xml:space="preserve"> </w:t>
      </w:r>
      <w:r w:rsidRPr="008D34E6">
        <w:rPr>
          <w:rFonts w:ascii="Times New Roman" w:hAnsi="Times New Roman" w:cs="Times New Roman"/>
          <w:i/>
          <w:sz w:val="19"/>
          <w:szCs w:val="19"/>
        </w:rPr>
        <w:t>Ultrason, Vol. 17, no. 1,</w:t>
      </w:r>
      <w:r w:rsidR="003F277C" w:rsidRPr="008D34E6">
        <w:rPr>
          <w:rFonts w:ascii="Times New Roman" w:hAnsi="Times New Roman" w:cs="Times New Roman"/>
          <w:i/>
          <w:sz w:val="19"/>
          <w:szCs w:val="19"/>
        </w:rPr>
        <w:t xml:space="preserve"> </w:t>
      </w:r>
      <w:r w:rsidRPr="008D34E6">
        <w:rPr>
          <w:rFonts w:ascii="Times New Roman" w:hAnsi="Times New Roman" w:cs="Times New Roman"/>
          <w:i/>
          <w:sz w:val="19"/>
          <w:szCs w:val="19"/>
        </w:rPr>
        <w:t>5</w:t>
      </w:r>
      <w:r w:rsidR="003F277C" w:rsidRPr="008D34E6">
        <w:rPr>
          <w:rFonts w:ascii="Times New Roman" w:hAnsi="Times New Roman" w:cs="Times New Roman" w:hint="eastAsia"/>
          <w:i/>
          <w:sz w:val="19"/>
          <w:szCs w:val="19"/>
          <w:lang w:eastAsia="zh-CN"/>
        </w:rPr>
        <w:t>.</w:t>
      </w:r>
    </w:p>
    <w:p w:rsidR="00156071" w:rsidRPr="008D34E6" w:rsidRDefault="00156071" w:rsidP="003F277C">
      <w:pPr>
        <w:pStyle w:val="NoSpacing"/>
        <w:numPr>
          <w:ilvl w:val="0"/>
          <w:numId w:val="17"/>
        </w:numPr>
        <w:bidi w:val="0"/>
        <w:snapToGrid w:val="0"/>
        <w:ind w:left="425" w:hanging="425"/>
        <w:jc w:val="both"/>
        <w:rPr>
          <w:rFonts w:ascii="Times New Roman" w:hAnsi="Times New Roman" w:cs="Times New Roman"/>
          <w:sz w:val="19"/>
          <w:szCs w:val="19"/>
        </w:rPr>
      </w:pPr>
      <w:r w:rsidRPr="008D34E6">
        <w:rPr>
          <w:rFonts w:ascii="Times New Roman" w:hAnsi="Times New Roman" w:cs="Times New Roman"/>
          <w:iCs/>
          <w:sz w:val="19"/>
          <w:szCs w:val="19"/>
        </w:rPr>
        <w:t>Colecchia</w:t>
      </w:r>
      <w:r w:rsidRPr="008D34E6">
        <w:rPr>
          <w:rFonts w:ascii="Times New Roman" w:hAnsi="Times New Roman" w:cs="Times New Roman"/>
          <w:sz w:val="19"/>
          <w:szCs w:val="19"/>
        </w:rPr>
        <w:t xml:space="preserve"> A, Montrone L, Scaioli E </w:t>
      </w:r>
      <w:r w:rsidRPr="008D34E6">
        <w:rPr>
          <w:rFonts w:ascii="Times New Roman" w:hAnsi="Times New Roman" w:cs="Times New Roman"/>
          <w:i/>
          <w:sz w:val="19"/>
          <w:szCs w:val="19"/>
        </w:rPr>
        <w:t>et al</w:t>
      </w:r>
      <w:r w:rsidRPr="008D34E6">
        <w:rPr>
          <w:rFonts w:ascii="Times New Roman" w:hAnsi="Times New Roman" w:cs="Times New Roman"/>
          <w:sz w:val="19"/>
          <w:szCs w:val="19"/>
        </w:rPr>
        <w:t>(2012): Measurement of spleen stiffness to evaluate portal hypertension and the presence of esophageal varices in patients with HCV-related cirrhosis</w:t>
      </w:r>
      <w:r w:rsidR="003F277C" w:rsidRPr="008D34E6">
        <w:rPr>
          <w:rFonts w:ascii="Times New Roman" w:hAnsi="Times New Roman" w:cs="Times New Roman"/>
          <w:sz w:val="19"/>
          <w:szCs w:val="19"/>
        </w:rPr>
        <w:t xml:space="preserve">. </w:t>
      </w:r>
      <w:r w:rsidR="003F277C" w:rsidRPr="008D34E6">
        <w:rPr>
          <w:rFonts w:ascii="Times New Roman" w:hAnsi="Times New Roman" w:cs="Times New Roman"/>
          <w:i/>
          <w:sz w:val="19"/>
          <w:szCs w:val="19"/>
        </w:rPr>
        <w:t>G</w:t>
      </w:r>
      <w:r w:rsidRPr="008D34E6">
        <w:rPr>
          <w:rFonts w:ascii="Times New Roman" w:hAnsi="Times New Roman" w:cs="Times New Roman"/>
          <w:i/>
          <w:sz w:val="19"/>
          <w:szCs w:val="19"/>
        </w:rPr>
        <w:t>astroenterology</w:t>
      </w:r>
      <w:r w:rsidRPr="008D34E6">
        <w:rPr>
          <w:rFonts w:ascii="Times New Roman" w:hAnsi="Times New Roman" w:cs="Times New Roman"/>
          <w:sz w:val="19"/>
          <w:szCs w:val="19"/>
        </w:rPr>
        <w:t xml:space="preserve"> 143: 646–54.</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i/>
          <w:iCs/>
          <w:sz w:val="19"/>
          <w:szCs w:val="19"/>
        </w:rPr>
        <w:t>Gronbaek, H.; Sandahl, T</w:t>
      </w:r>
      <w:r w:rsidR="003F277C" w:rsidRPr="008D34E6">
        <w:rPr>
          <w:rFonts w:ascii="Times New Roman" w:hAnsi="Times New Roman" w:cs="Times New Roman"/>
          <w:i/>
          <w:iCs/>
          <w:sz w:val="19"/>
          <w:szCs w:val="19"/>
        </w:rPr>
        <w:t>. D</w:t>
      </w:r>
      <w:r w:rsidRPr="008D34E6">
        <w:rPr>
          <w:rFonts w:ascii="Times New Roman" w:hAnsi="Times New Roman" w:cs="Times New Roman"/>
          <w:i/>
          <w:iCs/>
          <w:sz w:val="19"/>
          <w:szCs w:val="19"/>
        </w:rPr>
        <w:t>.; Mortensen, C.; Vilstrup, H.; Moller, H</w:t>
      </w:r>
      <w:r w:rsidR="003F277C" w:rsidRPr="008D34E6">
        <w:rPr>
          <w:rFonts w:ascii="Times New Roman" w:hAnsi="Times New Roman" w:cs="Times New Roman"/>
          <w:i/>
          <w:iCs/>
          <w:sz w:val="19"/>
          <w:szCs w:val="19"/>
        </w:rPr>
        <w:t>. J</w:t>
      </w:r>
      <w:r w:rsidRPr="008D34E6">
        <w:rPr>
          <w:rFonts w:ascii="Times New Roman" w:hAnsi="Times New Roman" w:cs="Times New Roman"/>
          <w:i/>
          <w:iCs/>
          <w:sz w:val="19"/>
          <w:szCs w:val="19"/>
        </w:rPr>
        <w:t>. and Moller, S. (2012)</w:t>
      </w:r>
      <w:r w:rsidRPr="008D34E6">
        <w:rPr>
          <w:rFonts w:ascii="Times New Roman" w:hAnsi="Times New Roman" w:cs="Times New Roman"/>
          <w:bCs/>
          <w:i/>
          <w:iCs/>
          <w:sz w:val="19"/>
          <w:szCs w:val="19"/>
        </w:rPr>
        <w:t>:</w:t>
      </w:r>
      <w:r w:rsidRPr="008D34E6">
        <w:rPr>
          <w:rFonts w:ascii="Times New Roman" w:hAnsi="Times New Roman" w:cs="Times New Roman"/>
          <w:sz w:val="19"/>
          <w:szCs w:val="19"/>
        </w:rPr>
        <w:t xml:space="preserve"> Soluble CD163, a marker of Kupffercell activation, is related to portal hypertension in patients with liver cirrhosis. Aliment</w:t>
      </w:r>
      <w:r w:rsidR="003F277C" w:rsidRPr="008D34E6">
        <w:rPr>
          <w:rFonts w:ascii="Times New Roman" w:hAnsi="Times New Roman" w:cs="Times New Roman"/>
          <w:sz w:val="19"/>
          <w:szCs w:val="19"/>
        </w:rPr>
        <w:t>. P</w:t>
      </w:r>
      <w:r w:rsidRPr="008D34E6">
        <w:rPr>
          <w:rFonts w:ascii="Times New Roman" w:hAnsi="Times New Roman" w:cs="Times New Roman"/>
          <w:sz w:val="19"/>
          <w:szCs w:val="19"/>
        </w:rPr>
        <w:t>harmacol</w:t>
      </w:r>
      <w:r w:rsidR="003F277C" w:rsidRPr="008D34E6">
        <w:rPr>
          <w:rFonts w:ascii="Times New Roman" w:hAnsi="Times New Roman" w:cs="Times New Roman"/>
          <w:sz w:val="19"/>
          <w:szCs w:val="19"/>
        </w:rPr>
        <w:t>. T</w:t>
      </w:r>
      <w:r w:rsidRPr="008D34E6">
        <w:rPr>
          <w:rFonts w:ascii="Times New Roman" w:hAnsi="Times New Roman" w:cs="Times New Roman"/>
          <w:sz w:val="19"/>
          <w:szCs w:val="19"/>
        </w:rPr>
        <w:t>her</w:t>
      </w:r>
      <w:r w:rsidR="003F277C" w:rsidRPr="008D34E6">
        <w:rPr>
          <w:rFonts w:ascii="Times New Roman" w:hAnsi="Times New Roman" w:cs="Times New Roman"/>
          <w:sz w:val="19"/>
          <w:szCs w:val="19"/>
        </w:rPr>
        <w:t>;</w:t>
      </w:r>
      <w:r w:rsidRPr="008D34E6">
        <w:rPr>
          <w:rFonts w:ascii="Times New Roman" w:hAnsi="Times New Roman" w:cs="Times New Roman"/>
          <w:sz w:val="19"/>
          <w:szCs w:val="19"/>
        </w:rPr>
        <w:t xml:space="preserve"> 36:173-180.</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color w:val="131413"/>
          <w:sz w:val="19"/>
          <w:szCs w:val="19"/>
        </w:rPr>
      </w:pPr>
      <w:r w:rsidRPr="008D34E6">
        <w:rPr>
          <w:rFonts w:ascii="Times New Roman" w:hAnsi="Times New Roman" w:cs="Times New Roman"/>
          <w:color w:val="131413"/>
          <w:sz w:val="19"/>
          <w:szCs w:val="19"/>
        </w:rPr>
        <w:t>Holland-Fischer P, Gronaek H, Sandahl TD, Moestrup SK, Riggio O, Ridola L, AagaardNK</w:t>
      </w:r>
      <w:r w:rsidR="003F277C" w:rsidRPr="008D34E6">
        <w:rPr>
          <w:rFonts w:ascii="Times New Roman" w:hAnsi="Times New Roman" w:cs="Times New Roman"/>
          <w:color w:val="131413"/>
          <w:sz w:val="19"/>
          <w:szCs w:val="19"/>
        </w:rPr>
        <w:t>, M</w:t>
      </w:r>
      <w:r w:rsidRPr="008D34E6">
        <w:rPr>
          <w:rFonts w:ascii="Times New Roman" w:hAnsi="Times New Roman" w:cs="Times New Roman"/>
          <w:color w:val="131413"/>
          <w:sz w:val="19"/>
          <w:szCs w:val="19"/>
        </w:rPr>
        <w:t>oller HJ, Vilstrup H (2011) Kupffer cells are activated in cirrhotic portal hypertension and not normalised by TIPS. Gut 60:1389–1393</w:t>
      </w:r>
      <w:r w:rsidR="003F277C" w:rsidRPr="008D34E6">
        <w:rPr>
          <w:rFonts w:ascii="Times New Roman" w:hAnsi="Times New Roman" w:cs="Times New Roman" w:hint="eastAsia"/>
          <w:color w:val="131413"/>
          <w:sz w:val="19"/>
          <w:szCs w:val="19"/>
          <w:lang w:eastAsia="zh-CN"/>
        </w:rPr>
        <w:t>.</w:t>
      </w:r>
    </w:p>
    <w:p w:rsidR="00156071" w:rsidRPr="008D34E6" w:rsidRDefault="00156071" w:rsidP="003F277C">
      <w:pPr>
        <w:pStyle w:val="ListParagraph"/>
        <w:numPr>
          <w:ilvl w:val="0"/>
          <w:numId w:val="17"/>
        </w:numPr>
        <w:tabs>
          <w:tab w:val="right" w:pos="1134"/>
          <w:tab w:val="right" w:pos="6804"/>
          <w:tab w:val="right" w:pos="8080"/>
        </w:tabs>
        <w:autoSpaceDE w:val="0"/>
        <w:autoSpaceDN w:val="0"/>
        <w:bidi w:val="0"/>
        <w:adjustRightInd w:val="0"/>
        <w:snapToGrid w:val="0"/>
        <w:spacing w:after="0" w:line="240" w:lineRule="auto"/>
        <w:ind w:left="425" w:hanging="425"/>
        <w:jc w:val="both"/>
        <w:rPr>
          <w:rFonts w:ascii="Times New Roman" w:hAnsi="Times New Roman" w:cs="Times New Roman"/>
          <w:sz w:val="19"/>
          <w:szCs w:val="19"/>
          <w:lang w:bidi="ar-EG"/>
        </w:rPr>
      </w:pPr>
      <w:r w:rsidRPr="008D34E6">
        <w:rPr>
          <w:rFonts w:ascii="Times New Roman" w:hAnsi="Times New Roman" w:cs="Times New Roman"/>
          <w:i/>
          <w:iCs/>
          <w:sz w:val="19"/>
          <w:szCs w:val="19"/>
        </w:rPr>
        <w:t>Yang, Y</w:t>
      </w:r>
      <w:r w:rsidR="003F277C" w:rsidRPr="008D34E6">
        <w:rPr>
          <w:rFonts w:ascii="Times New Roman" w:hAnsi="Times New Roman" w:cs="Times New Roman"/>
          <w:i/>
          <w:iCs/>
          <w:sz w:val="19"/>
          <w:szCs w:val="19"/>
        </w:rPr>
        <w:t>. Y</w:t>
      </w:r>
      <w:r w:rsidRPr="008D34E6">
        <w:rPr>
          <w:rFonts w:ascii="Times New Roman" w:hAnsi="Times New Roman" w:cs="Times New Roman"/>
          <w:i/>
          <w:iCs/>
          <w:sz w:val="19"/>
          <w:szCs w:val="19"/>
        </w:rPr>
        <w:t>.; Hou, M</w:t>
      </w:r>
      <w:r w:rsidR="003F277C" w:rsidRPr="008D34E6">
        <w:rPr>
          <w:rFonts w:ascii="Times New Roman" w:hAnsi="Times New Roman" w:cs="Times New Roman"/>
          <w:i/>
          <w:iCs/>
          <w:sz w:val="19"/>
          <w:szCs w:val="19"/>
        </w:rPr>
        <w:t>. C</w:t>
      </w:r>
      <w:r w:rsidRPr="008D34E6">
        <w:rPr>
          <w:rFonts w:ascii="Times New Roman" w:hAnsi="Times New Roman" w:cs="Times New Roman"/>
          <w:i/>
          <w:iCs/>
          <w:sz w:val="19"/>
          <w:szCs w:val="19"/>
        </w:rPr>
        <w:t>.; Lin, M</w:t>
      </w:r>
      <w:r w:rsidR="003F277C" w:rsidRPr="008D34E6">
        <w:rPr>
          <w:rFonts w:ascii="Times New Roman" w:hAnsi="Times New Roman" w:cs="Times New Roman"/>
          <w:i/>
          <w:iCs/>
          <w:sz w:val="19"/>
          <w:szCs w:val="19"/>
        </w:rPr>
        <w:t>. W</w:t>
      </w:r>
      <w:r w:rsidRPr="008D34E6">
        <w:rPr>
          <w:rFonts w:ascii="Times New Roman" w:hAnsi="Times New Roman" w:cs="Times New Roman"/>
          <w:i/>
          <w:iCs/>
          <w:sz w:val="19"/>
          <w:szCs w:val="19"/>
        </w:rPr>
        <w:t>.; Chen, P</w:t>
      </w:r>
      <w:r w:rsidR="003F277C" w:rsidRPr="008D34E6">
        <w:rPr>
          <w:rFonts w:ascii="Times New Roman" w:hAnsi="Times New Roman" w:cs="Times New Roman"/>
          <w:i/>
          <w:iCs/>
          <w:sz w:val="19"/>
          <w:szCs w:val="19"/>
        </w:rPr>
        <w:t>. H</w:t>
      </w:r>
      <w:r w:rsidRPr="008D34E6">
        <w:rPr>
          <w:rFonts w:ascii="Times New Roman" w:hAnsi="Times New Roman" w:cs="Times New Roman"/>
          <w:i/>
          <w:iCs/>
          <w:sz w:val="19"/>
          <w:szCs w:val="19"/>
        </w:rPr>
        <w:t>.; Liao W</w:t>
      </w:r>
      <w:r w:rsidR="003F277C" w:rsidRPr="008D34E6">
        <w:rPr>
          <w:rFonts w:ascii="Times New Roman" w:hAnsi="Times New Roman" w:cs="Times New Roman"/>
          <w:i/>
          <w:iCs/>
          <w:sz w:val="19"/>
          <w:szCs w:val="19"/>
        </w:rPr>
        <w:t>. C</w:t>
      </w:r>
      <w:r w:rsidRPr="008D34E6">
        <w:rPr>
          <w:rFonts w:ascii="Times New Roman" w:hAnsi="Times New Roman" w:cs="Times New Roman"/>
          <w:i/>
          <w:iCs/>
          <w:sz w:val="19"/>
          <w:szCs w:val="19"/>
        </w:rPr>
        <w:t xml:space="preserve">.; et al (2013): </w:t>
      </w:r>
      <w:r w:rsidRPr="008D34E6">
        <w:rPr>
          <w:rFonts w:ascii="Times New Roman" w:hAnsi="Times New Roman" w:cs="Times New Roman"/>
          <w:sz w:val="19"/>
          <w:szCs w:val="19"/>
        </w:rPr>
        <w:t>Combined platelet count with sCD163 and genetic variants optimizes esophageal varices prediction in cirrhotic patients. Journal of Gastroenterology and Hepatology; 28:112-121.</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color w:val="131413"/>
          <w:sz w:val="19"/>
          <w:szCs w:val="19"/>
        </w:rPr>
      </w:pPr>
      <w:r w:rsidRPr="008D34E6">
        <w:rPr>
          <w:rFonts w:ascii="Times New Roman" w:hAnsi="Times New Roman" w:cs="Times New Roman"/>
          <w:color w:val="131413"/>
          <w:sz w:val="19"/>
          <w:szCs w:val="19"/>
        </w:rPr>
        <w:t>Waidmann O, Brunner F, Herrmann E, Zeuzem S, Piiper A, Kronenberger B (2013) Macrophage activation is a prognostic parameterforvariceal bleeding and overall survival in patients with liver cirrhosis. J Hepatol 58:956–961.</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Etzerodt</w:t>
      </w:r>
      <w:r w:rsidR="003F277C" w:rsidRPr="008D34E6">
        <w:rPr>
          <w:rFonts w:ascii="Times New Roman" w:hAnsi="Times New Roman" w:cs="Times New Roman"/>
          <w:sz w:val="19"/>
          <w:szCs w:val="19"/>
        </w:rPr>
        <w:t>, A</w:t>
      </w:r>
      <w:r w:rsidRPr="008D34E6">
        <w:rPr>
          <w:rFonts w:ascii="Times New Roman" w:hAnsi="Times New Roman" w:cs="Times New Roman"/>
          <w:sz w:val="19"/>
          <w:szCs w:val="19"/>
        </w:rPr>
        <w:t>. and Moestrup</w:t>
      </w:r>
      <w:r w:rsidR="003F277C" w:rsidRPr="008D34E6">
        <w:rPr>
          <w:rFonts w:ascii="Times New Roman" w:hAnsi="Times New Roman" w:cs="Times New Roman"/>
          <w:sz w:val="19"/>
          <w:szCs w:val="19"/>
        </w:rPr>
        <w:t>, S. K</w:t>
      </w:r>
      <w:r w:rsidRPr="008D34E6">
        <w:rPr>
          <w:rFonts w:ascii="Times New Roman" w:hAnsi="Times New Roman" w:cs="Times New Roman"/>
          <w:sz w:val="19"/>
          <w:szCs w:val="19"/>
        </w:rPr>
        <w:t>.,(2013) CD163 and Inflammation: Biological, Diagnostic, and Therapeutic Aspects</w:t>
      </w:r>
      <w:r w:rsidR="003F277C" w:rsidRPr="008D34E6">
        <w:rPr>
          <w:rFonts w:ascii="Times New Roman" w:hAnsi="Times New Roman" w:cs="Times New Roman"/>
          <w:sz w:val="19"/>
          <w:szCs w:val="19"/>
        </w:rPr>
        <w:t>. A</w:t>
      </w:r>
      <w:r w:rsidRPr="008D34E6">
        <w:rPr>
          <w:rFonts w:ascii="Times New Roman" w:hAnsi="Times New Roman" w:cs="Times New Roman"/>
          <w:sz w:val="19"/>
          <w:szCs w:val="19"/>
        </w:rPr>
        <w:t>NTIOXIDANTS&amp; REDOX SIGNALING Volume 18, Number 17, 2013 ª Mary Ann Liebert, Inc</w:t>
      </w:r>
      <w:r w:rsidR="003F277C" w:rsidRPr="008D34E6">
        <w:rPr>
          <w:rFonts w:ascii="Times New Roman" w:hAnsi="Times New Roman" w:cs="Times New Roman"/>
          <w:sz w:val="19"/>
          <w:szCs w:val="19"/>
        </w:rPr>
        <w:t>. D</w:t>
      </w:r>
      <w:r w:rsidRPr="008D34E6">
        <w:rPr>
          <w:rFonts w:ascii="Times New Roman" w:hAnsi="Times New Roman" w:cs="Times New Roman"/>
          <w:sz w:val="19"/>
          <w:szCs w:val="19"/>
        </w:rPr>
        <w:t>OI: 10.1089 /ars. 2012.4834</w:t>
      </w:r>
      <w:r w:rsidR="003F277C" w:rsidRPr="008D34E6">
        <w:rPr>
          <w:rFonts w:ascii="Times New Roman" w:hAnsi="Times New Roman" w:cs="Times New Roman" w:hint="eastAsia"/>
          <w:sz w:val="19"/>
          <w:szCs w:val="19"/>
          <w:lang w:eastAsia="zh-CN"/>
        </w:rPr>
        <w:t>.</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lang w:bidi="ar-EG"/>
        </w:rPr>
      </w:pPr>
      <w:r w:rsidRPr="008D34E6">
        <w:rPr>
          <w:rFonts w:ascii="Times New Roman" w:hAnsi="Times New Roman" w:cs="Times New Roman"/>
          <w:i/>
          <w:iCs/>
          <w:sz w:val="19"/>
          <w:szCs w:val="19"/>
        </w:rPr>
        <w:t>Bates, J</w:t>
      </w:r>
      <w:r w:rsidR="003F277C" w:rsidRPr="008D34E6">
        <w:rPr>
          <w:rFonts w:ascii="Times New Roman" w:hAnsi="Times New Roman" w:cs="Times New Roman"/>
          <w:i/>
          <w:iCs/>
          <w:sz w:val="19"/>
          <w:szCs w:val="19"/>
        </w:rPr>
        <w:t>. A</w:t>
      </w:r>
      <w:r w:rsidRPr="008D34E6">
        <w:rPr>
          <w:rFonts w:ascii="Times New Roman" w:hAnsi="Times New Roman" w:cs="Times New Roman"/>
          <w:i/>
          <w:iCs/>
          <w:sz w:val="19"/>
          <w:szCs w:val="19"/>
        </w:rPr>
        <w:t>. (2004)</w:t>
      </w:r>
      <w:r w:rsidR="003F277C" w:rsidRPr="008D34E6">
        <w:rPr>
          <w:rFonts w:ascii="Times New Roman" w:hAnsi="Times New Roman" w:cs="Times New Roman"/>
          <w:i/>
          <w:iCs/>
          <w:sz w:val="19"/>
          <w:szCs w:val="19"/>
        </w:rPr>
        <w:t xml:space="preserve">: </w:t>
      </w:r>
      <w:r w:rsidR="003F277C" w:rsidRPr="008D34E6">
        <w:rPr>
          <w:rFonts w:ascii="Times New Roman" w:hAnsi="Times New Roman" w:cs="Times New Roman"/>
          <w:sz w:val="19"/>
          <w:szCs w:val="19"/>
        </w:rPr>
        <w:t>A</w:t>
      </w:r>
      <w:r w:rsidRPr="008D34E6">
        <w:rPr>
          <w:rFonts w:ascii="Times New Roman" w:hAnsi="Times New Roman" w:cs="Times New Roman"/>
          <w:sz w:val="19"/>
          <w:szCs w:val="19"/>
        </w:rPr>
        <w:t>bdominal ultrasound</w:t>
      </w:r>
      <w:r w:rsidR="003F277C" w:rsidRPr="008D34E6">
        <w:rPr>
          <w:rFonts w:ascii="Times New Roman" w:hAnsi="Times New Roman" w:cs="Times New Roman"/>
          <w:sz w:val="19"/>
          <w:szCs w:val="19"/>
        </w:rPr>
        <w:t>. C</w:t>
      </w:r>
      <w:r w:rsidRPr="008D34E6">
        <w:rPr>
          <w:rFonts w:ascii="Times New Roman" w:hAnsi="Times New Roman" w:cs="Times New Roman"/>
          <w:sz w:val="19"/>
          <w:szCs w:val="19"/>
        </w:rPr>
        <w:t>hurchill Livingstone, Edinburgh, London, 2nd edition; 97-107</w:t>
      </w:r>
      <w:r w:rsidR="003F277C" w:rsidRPr="008D34E6">
        <w:rPr>
          <w:rFonts w:ascii="Times New Roman" w:hAnsi="Times New Roman" w:cs="Times New Roman" w:hint="eastAsia"/>
          <w:sz w:val="19"/>
          <w:szCs w:val="19"/>
          <w:lang w:eastAsia="zh-CN"/>
        </w:rPr>
        <w:t>.</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i/>
          <w:iCs/>
          <w:sz w:val="19"/>
          <w:szCs w:val="19"/>
        </w:rPr>
        <w:t>DeFranchis</w:t>
      </w:r>
      <w:r w:rsidR="003F277C" w:rsidRPr="008D34E6">
        <w:rPr>
          <w:rFonts w:ascii="Times New Roman" w:hAnsi="Times New Roman" w:cs="Times New Roman"/>
          <w:i/>
          <w:iCs/>
          <w:sz w:val="19"/>
          <w:szCs w:val="19"/>
        </w:rPr>
        <w:t>, R</w:t>
      </w:r>
      <w:r w:rsidRPr="008D34E6">
        <w:rPr>
          <w:rFonts w:ascii="Times New Roman" w:hAnsi="Times New Roman" w:cs="Times New Roman"/>
          <w:i/>
          <w:iCs/>
          <w:sz w:val="19"/>
          <w:szCs w:val="19"/>
        </w:rPr>
        <w:t>.; Eisen</w:t>
      </w:r>
      <w:r w:rsidR="003F277C" w:rsidRPr="008D34E6">
        <w:rPr>
          <w:rFonts w:ascii="Times New Roman" w:hAnsi="Times New Roman" w:cs="Times New Roman"/>
          <w:i/>
          <w:iCs/>
          <w:sz w:val="19"/>
          <w:szCs w:val="19"/>
        </w:rPr>
        <w:t>, G. M</w:t>
      </w:r>
      <w:r w:rsidRPr="008D34E6">
        <w:rPr>
          <w:rFonts w:ascii="Times New Roman" w:hAnsi="Times New Roman" w:cs="Times New Roman"/>
          <w:i/>
          <w:iCs/>
          <w:sz w:val="19"/>
          <w:szCs w:val="19"/>
        </w:rPr>
        <w:t>; Laine</w:t>
      </w:r>
      <w:r w:rsidR="003F277C" w:rsidRPr="008D34E6">
        <w:rPr>
          <w:rFonts w:ascii="Times New Roman" w:hAnsi="Times New Roman" w:cs="Times New Roman"/>
          <w:i/>
          <w:iCs/>
          <w:sz w:val="19"/>
          <w:szCs w:val="19"/>
        </w:rPr>
        <w:t>, L</w:t>
      </w:r>
      <w:r w:rsidRPr="008D34E6">
        <w:rPr>
          <w:rFonts w:ascii="Times New Roman" w:hAnsi="Times New Roman" w:cs="Times New Roman"/>
          <w:i/>
          <w:iCs/>
          <w:sz w:val="19"/>
          <w:szCs w:val="19"/>
        </w:rPr>
        <w:t>.; et al (2008</w:t>
      </w:r>
      <w:r w:rsidRPr="008D34E6">
        <w:rPr>
          <w:rFonts w:ascii="Times New Roman" w:hAnsi="Times New Roman" w:cs="Times New Roman"/>
          <w:bCs/>
          <w:i/>
          <w:iCs/>
          <w:sz w:val="19"/>
          <w:szCs w:val="19"/>
        </w:rPr>
        <w:t>)</w:t>
      </w:r>
      <w:r w:rsidR="003F277C" w:rsidRPr="008D34E6">
        <w:rPr>
          <w:rFonts w:ascii="Times New Roman" w:hAnsi="Times New Roman" w:cs="Times New Roman"/>
          <w:bCs/>
          <w:i/>
          <w:iCs/>
          <w:sz w:val="19"/>
          <w:szCs w:val="19"/>
        </w:rPr>
        <w:t xml:space="preserve">: </w:t>
      </w:r>
      <w:r w:rsidR="003F277C" w:rsidRPr="008D34E6">
        <w:rPr>
          <w:rFonts w:ascii="Times New Roman" w:hAnsi="Times New Roman" w:cs="Times New Roman"/>
          <w:sz w:val="19"/>
          <w:szCs w:val="19"/>
        </w:rPr>
        <w:t>E</w:t>
      </w:r>
      <w:r w:rsidRPr="008D34E6">
        <w:rPr>
          <w:rFonts w:ascii="Times New Roman" w:hAnsi="Times New Roman" w:cs="Times New Roman"/>
          <w:sz w:val="19"/>
          <w:szCs w:val="19"/>
        </w:rPr>
        <w:t>sophageal Capsule Endoscopy for Screening and Surveillance of Esophageal Varices in Patients with Portal Hypertension. Hepatology;47:1595-1603.</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Mueller S and Sandrin L. (2010)</w:t>
      </w:r>
      <w:r w:rsidR="003F277C" w:rsidRPr="008D34E6">
        <w:rPr>
          <w:rFonts w:ascii="Times New Roman" w:hAnsi="Times New Roman" w:cs="Times New Roman"/>
          <w:sz w:val="19"/>
          <w:szCs w:val="19"/>
        </w:rPr>
        <w:t>: L</w:t>
      </w:r>
      <w:r w:rsidRPr="008D34E6">
        <w:rPr>
          <w:rFonts w:ascii="Times New Roman" w:hAnsi="Times New Roman" w:cs="Times New Roman"/>
          <w:sz w:val="19"/>
          <w:szCs w:val="19"/>
        </w:rPr>
        <w:t>iver stiffness: a novel parameter for the diagnosis of liver disease. Hepatic Medicine: Evidence and Research; 2: 49–67.</w:t>
      </w:r>
    </w:p>
    <w:p w:rsidR="00156071" w:rsidRPr="008D34E6" w:rsidRDefault="00226BED"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lang w:val="fr-FR"/>
        </w:rPr>
      </w:pPr>
      <w:r w:rsidRPr="008D34E6">
        <w:rPr>
          <w:rStyle w:val="mixed-citation"/>
          <w:rFonts w:ascii="Times New Roman" w:hAnsi="Times New Roman" w:cs="Times New Roman"/>
          <w:color w:val="000000"/>
          <w:sz w:val="19"/>
          <w:szCs w:val="19"/>
          <w:shd w:val="clear" w:color="auto" w:fill="FFFFFF"/>
        </w:rPr>
        <w:t>de Lédinghen V, Douvin C, Kettaneh A, Ziol M, Roulot D, et al. (2006)</w:t>
      </w:r>
      <w:r w:rsidRPr="008D34E6">
        <w:rPr>
          <w:rStyle w:val="apple-converted-space"/>
          <w:rFonts w:ascii="Times New Roman" w:hAnsi="Times New Roman"/>
          <w:color w:val="000000"/>
          <w:sz w:val="19"/>
          <w:szCs w:val="19"/>
          <w:shd w:val="clear" w:color="auto" w:fill="FFFFFF"/>
        </w:rPr>
        <w:t> </w:t>
      </w:r>
      <w:r w:rsidRPr="008D34E6">
        <w:rPr>
          <w:rStyle w:val="ref-title"/>
          <w:rFonts w:ascii="Times New Roman" w:hAnsi="Times New Roman" w:cs="Times New Roman"/>
          <w:sz w:val="19"/>
          <w:szCs w:val="19"/>
          <w:shd w:val="clear" w:color="auto" w:fill="FFFFFF"/>
        </w:rPr>
        <w:t>Diagnosis of hepatic fibrosis and cirrhosis by transient elastography in HIV/hepatitis C virus-coinfected patients</w:t>
      </w:r>
      <w:r w:rsidRPr="008D34E6">
        <w:rPr>
          <w:rStyle w:val="mixed-citation"/>
          <w:rFonts w:ascii="Times New Roman" w:hAnsi="Times New Roman" w:cs="Times New Roman"/>
          <w:color w:val="000000"/>
          <w:sz w:val="19"/>
          <w:szCs w:val="19"/>
          <w:shd w:val="clear" w:color="auto" w:fill="FFFFFF"/>
        </w:rPr>
        <w:t>.</w:t>
      </w:r>
      <w:r w:rsidRPr="008D34E6">
        <w:rPr>
          <w:rStyle w:val="apple-converted-space"/>
          <w:rFonts w:ascii="Times New Roman" w:hAnsi="Times New Roman"/>
          <w:color w:val="000000"/>
          <w:sz w:val="19"/>
          <w:szCs w:val="19"/>
          <w:shd w:val="clear" w:color="auto" w:fill="FFFFFF"/>
        </w:rPr>
        <w:t> </w:t>
      </w:r>
      <w:r w:rsidRPr="008D34E6">
        <w:rPr>
          <w:rStyle w:val="ref-journal"/>
          <w:rFonts w:ascii="Times New Roman" w:hAnsi="Times New Roman" w:cs="Times New Roman"/>
          <w:color w:val="000000"/>
          <w:sz w:val="19"/>
          <w:szCs w:val="19"/>
          <w:shd w:val="clear" w:color="auto" w:fill="FFFFFF"/>
          <w:lang w:val="fr-FR"/>
        </w:rPr>
        <w:t>J Acquir Immune DeficSyndr</w:t>
      </w:r>
      <w:r w:rsidRPr="008D34E6">
        <w:rPr>
          <w:rStyle w:val="apple-converted-space"/>
          <w:rFonts w:ascii="Times New Roman" w:hAnsi="Times New Roman"/>
          <w:color w:val="000000"/>
          <w:sz w:val="19"/>
          <w:szCs w:val="19"/>
          <w:shd w:val="clear" w:color="auto" w:fill="FFFFFF"/>
          <w:lang w:val="fr-FR"/>
        </w:rPr>
        <w:t> </w:t>
      </w:r>
      <w:r w:rsidRPr="008D34E6">
        <w:rPr>
          <w:rStyle w:val="ref-vol"/>
          <w:rFonts w:ascii="Times New Roman" w:hAnsi="Times New Roman" w:cs="Times New Roman"/>
          <w:color w:val="000000"/>
          <w:sz w:val="19"/>
          <w:szCs w:val="19"/>
          <w:shd w:val="clear" w:color="auto" w:fill="FFFFFF"/>
          <w:lang w:val="fr-FR"/>
        </w:rPr>
        <w:t>41</w:t>
      </w:r>
      <w:r w:rsidRPr="008D34E6">
        <w:rPr>
          <w:rStyle w:val="mixed-citation"/>
          <w:rFonts w:ascii="Times New Roman" w:hAnsi="Times New Roman" w:cs="Times New Roman"/>
          <w:color w:val="000000"/>
          <w:sz w:val="19"/>
          <w:szCs w:val="19"/>
          <w:shd w:val="clear" w:color="auto" w:fill="FFFFFF"/>
          <w:lang w:val="fr-FR"/>
        </w:rPr>
        <w:t>: 175–9</w:t>
      </w:r>
      <w:r w:rsidRPr="008D34E6">
        <w:rPr>
          <w:rStyle w:val="apple-converted-space"/>
          <w:rFonts w:ascii="Times New Roman" w:hAnsi="Times New Roman"/>
          <w:color w:val="000000"/>
          <w:sz w:val="19"/>
          <w:szCs w:val="19"/>
          <w:shd w:val="clear" w:color="auto" w:fill="FFFFFF"/>
          <w:lang w:val="fr-FR"/>
        </w:rPr>
        <w:t> </w:t>
      </w:r>
      <w:r w:rsidR="00AE51FD" w:rsidRPr="008D34E6">
        <w:rPr>
          <w:rStyle w:val="nowrap"/>
          <w:rFonts w:ascii="Times New Roman" w:hAnsi="Times New Roman" w:cs="Times New Roman"/>
          <w:color w:val="000000"/>
          <w:sz w:val="19"/>
          <w:szCs w:val="19"/>
          <w:shd w:val="clear" w:color="auto" w:fill="FFFFFF"/>
          <w:lang w:val="fr-FR"/>
        </w:rPr>
        <w:t>.</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lang w:val="fr-FR"/>
        </w:rPr>
        <w:t>Vallet-Pichard, A.; Mallet, V.</w:t>
      </w:r>
      <w:r w:rsidR="003F277C" w:rsidRPr="008D34E6">
        <w:rPr>
          <w:rFonts w:ascii="Times New Roman" w:hAnsi="Times New Roman" w:cs="Times New Roman"/>
          <w:sz w:val="19"/>
          <w:szCs w:val="19"/>
          <w:lang w:val="fr-FR"/>
        </w:rPr>
        <w:t>; N</w:t>
      </w:r>
      <w:r w:rsidRPr="008D34E6">
        <w:rPr>
          <w:rFonts w:ascii="Times New Roman" w:hAnsi="Times New Roman" w:cs="Times New Roman"/>
          <w:sz w:val="19"/>
          <w:szCs w:val="19"/>
          <w:lang w:val="fr-FR"/>
        </w:rPr>
        <w:t xml:space="preserve">alpas, B.; et al. </w:t>
      </w:r>
      <w:r w:rsidRPr="008D34E6">
        <w:rPr>
          <w:rFonts w:ascii="Times New Roman" w:hAnsi="Times New Roman" w:cs="Times New Roman"/>
          <w:sz w:val="19"/>
          <w:szCs w:val="19"/>
        </w:rPr>
        <w:t>(2007)</w:t>
      </w:r>
      <w:r w:rsidR="003F277C" w:rsidRPr="008D34E6">
        <w:rPr>
          <w:rFonts w:ascii="Times New Roman" w:hAnsi="Times New Roman" w:cs="Times New Roman"/>
          <w:sz w:val="19"/>
          <w:szCs w:val="19"/>
        </w:rPr>
        <w:t>: F</w:t>
      </w:r>
      <w:r w:rsidRPr="008D34E6">
        <w:rPr>
          <w:rFonts w:ascii="Times New Roman" w:hAnsi="Times New Roman" w:cs="Times New Roman"/>
          <w:sz w:val="19"/>
          <w:szCs w:val="19"/>
        </w:rPr>
        <w:t xml:space="preserve">IB-4: an inexpensive and accurate marker </w:t>
      </w:r>
      <w:r w:rsidRPr="008D34E6">
        <w:rPr>
          <w:rFonts w:ascii="Times New Roman" w:hAnsi="Times New Roman" w:cs="Times New Roman"/>
          <w:sz w:val="19"/>
          <w:szCs w:val="19"/>
        </w:rPr>
        <w:lastRenderedPageBreak/>
        <w:t>of ﬁbrosis in HCV infection. Comparison with liver biopsy and ﬁbrotest. Hepatology;46:32–36.</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Burroughs, A</w:t>
      </w:r>
      <w:r w:rsidR="003F277C" w:rsidRPr="008D34E6">
        <w:rPr>
          <w:rFonts w:ascii="Times New Roman" w:hAnsi="Times New Roman" w:cs="Times New Roman"/>
          <w:sz w:val="19"/>
          <w:szCs w:val="19"/>
        </w:rPr>
        <w:t>. K</w:t>
      </w:r>
      <w:r w:rsidRPr="008D34E6">
        <w:rPr>
          <w:rFonts w:ascii="Times New Roman" w:hAnsi="Times New Roman" w:cs="Times New Roman"/>
          <w:sz w:val="19"/>
          <w:szCs w:val="19"/>
        </w:rPr>
        <w:t>.; Triantos, C</w:t>
      </w:r>
      <w:r w:rsidR="003F277C" w:rsidRPr="008D34E6">
        <w:rPr>
          <w:rFonts w:ascii="Times New Roman" w:hAnsi="Times New Roman" w:cs="Times New Roman"/>
          <w:sz w:val="19"/>
          <w:szCs w:val="19"/>
        </w:rPr>
        <w:t>. K</w:t>
      </w:r>
      <w:r w:rsidRPr="008D34E6">
        <w:rPr>
          <w:rFonts w:ascii="Times New Roman" w:hAnsi="Times New Roman" w:cs="Times New Roman"/>
          <w:sz w:val="19"/>
          <w:szCs w:val="19"/>
        </w:rPr>
        <w:t>.; O'Beirne, et al. (2009): Predictors of early rebleeding and mortality after acute variceal hemorrhage in patients with cirrhosis. Nat Clin</w:t>
      </w:r>
      <w:r w:rsidR="008D34E6" w:rsidRPr="008D34E6">
        <w:rPr>
          <w:rFonts w:ascii="Times New Roman" w:hAnsi="Times New Roman" w:cs="Times New Roman"/>
          <w:sz w:val="19"/>
          <w:szCs w:val="19"/>
        </w:rPr>
        <w:t xml:space="preserve"> </w:t>
      </w:r>
      <w:r w:rsidRPr="008D34E6">
        <w:rPr>
          <w:rFonts w:ascii="Times New Roman" w:hAnsi="Times New Roman" w:cs="Times New Roman"/>
          <w:sz w:val="19"/>
          <w:szCs w:val="19"/>
        </w:rPr>
        <w:t>Pract</w:t>
      </w:r>
      <w:r w:rsidR="008D34E6" w:rsidRPr="008D34E6">
        <w:rPr>
          <w:rFonts w:ascii="Times New Roman" w:hAnsi="Times New Roman" w:cs="Times New Roman"/>
          <w:sz w:val="19"/>
          <w:szCs w:val="19"/>
        </w:rPr>
        <w:t xml:space="preserve"> </w:t>
      </w:r>
      <w:r w:rsidRPr="008D34E6">
        <w:rPr>
          <w:rFonts w:ascii="Times New Roman" w:hAnsi="Times New Roman" w:cs="Times New Roman"/>
          <w:sz w:val="19"/>
          <w:szCs w:val="19"/>
        </w:rPr>
        <w:t>Gastroenterol</w:t>
      </w:r>
      <w:r w:rsidR="008D34E6" w:rsidRPr="008D34E6">
        <w:rPr>
          <w:rFonts w:ascii="Times New Roman" w:hAnsi="Times New Roman" w:cs="Times New Roman"/>
          <w:sz w:val="19"/>
          <w:szCs w:val="19"/>
        </w:rPr>
        <w:t xml:space="preserve"> </w:t>
      </w:r>
      <w:r w:rsidRPr="008D34E6">
        <w:rPr>
          <w:rFonts w:ascii="Times New Roman" w:hAnsi="Times New Roman" w:cs="Times New Roman"/>
          <w:sz w:val="19"/>
          <w:szCs w:val="19"/>
        </w:rPr>
        <w:t>Hepatol; 6: 72-73.</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 xml:space="preserve">Schepis F, Camma C, Niceforo D, </w:t>
      </w:r>
      <w:r w:rsidRPr="008D34E6">
        <w:rPr>
          <w:rStyle w:val="st"/>
          <w:rFonts w:ascii="Times New Roman" w:hAnsi="Times New Roman"/>
          <w:sz w:val="19"/>
          <w:szCs w:val="19"/>
        </w:rPr>
        <w:t>Magnano A, Pallio S</w:t>
      </w:r>
      <w:r w:rsidRPr="008D34E6">
        <w:rPr>
          <w:rFonts w:ascii="Times New Roman" w:hAnsi="Times New Roman" w:cs="Times New Roman"/>
          <w:sz w:val="19"/>
          <w:szCs w:val="19"/>
        </w:rPr>
        <w:t xml:space="preserve">, </w:t>
      </w:r>
      <w:r w:rsidRPr="008D34E6">
        <w:rPr>
          <w:rStyle w:val="st"/>
          <w:rFonts w:ascii="Times New Roman" w:hAnsi="Times New Roman"/>
          <w:sz w:val="19"/>
          <w:szCs w:val="19"/>
        </w:rPr>
        <w:t>Cinquegrani M</w:t>
      </w:r>
      <w:r w:rsidRPr="008D34E6">
        <w:rPr>
          <w:rFonts w:ascii="Times New Roman" w:hAnsi="Times New Roman" w:cs="Times New Roman"/>
          <w:sz w:val="19"/>
          <w:szCs w:val="19"/>
        </w:rPr>
        <w:t>, et al.(2001): Which patients with cirrhosis should undergo endoscopic screening for esophageal varices detection? Hepatol; 33: 333-338.</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 xml:space="preserve">Gainnini E, Botta F and Borro P, </w:t>
      </w:r>
      <w:r w:rsidRPr="008D34E6">
        <w:rPr>
          <w:rStyle w:val="st"/>
          <w:rFonts w:ascii="Times New Roman" w:hAnsi="Times New Roman"/>
          <w:sz w:val="19"/>
          <w:szCs w:val="19"/>
        </w:rPr>
        <w:t>Risso D, Romagnoli P</w:t>
      </w:r>
      <w:r w:rsidR="003F277C" w:rsidRPr="008D34E6">
        <w:rPr>
          <w:rFonts w:ascii="Times New Roman" w:hAnsi="Times New Roman" w:cs="Times New Roman"/>
          <w:sz w:val="19"/>
          <w:szCs w:val="19"/>
        </w:rPr>
        <w:t>. P</w:t>
      </w:r>
      <w:r w:rsidRPr="008D34E6">
        <w:rPr>
          <w:rFonts w:ascii="Times New Roman" w:hAnsi="Times New Roman" w:cs="Times New Roman"/>
          <w:sz w:val="19"/>
          <w:szCs w:val="19"/>
        </w:rPr>
        <w:t>latelet count/spleen diameter ratio: proposal and validation of a non-invasive parameter to predict the presence of oesophageal varices in patients with liver cirrhosis. Gut 2003; 52 (8): 1200-1205.</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deFranchis, R. (2003)</w:t>
      </w:r>
      <w:r w:rsidR="003F277C" w:rsidRPr="008D34E6">
        <w:rPr>
          <w:rFonts w:ascii="Times New Roman" w:hAnsi="Times New Roman" w:cs="Times New Roman"/>
          <w:sz w:val="19"/>
          <w:szCs w:val="19"/>
        </w:rPr>
        <w:t>: E</w:t>
      </w:r>
      <w:r w:rsidRPr="008D34E6">
        <w:rPr>
          <w:rFonts w:ascii="Times New Roman" w:hAnsi="Times New Roman" w:cs="Times New Roman"/>
          <w:sz w:val="19"/>
          <w:szCs w:val="19"/>
        </w:rPr>
        <w:t>valuation and follow-up of patients with cirrhosis and oesophageal varices. J. Hepatol.; 38: 361-3.</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i/>
          <w:iCs/>
          <w:sz w:val="19"/>
          <w:szCs w:val="19"/>
        </w:rPr>
        <w:t>Moestrup, S</w:t>
      </w:r>
      <w:r w:rsidR="003F277C" w:rsidRPr="008D34E6">
        <w:rPr>
          <w:rFonts w:ascii="Times New Roman" w:hAnsi="Times New Roman" w:cs="Times New Roman"/>
          <w:i/>
          <w:iCs/>
          <w:sz w:val="19"/>
          <w:szCs w:val="19"/>
        </w:rPr>
        <w:t>. K</w:t>
      </w:r>
      <w:r w:rsidRPr="008D34E6">
        <w:rPr>
          <w:rFonts w:ascii="Times New Roman" w:hAnsi="Times New Roman" w:cs="Times New Roman"/>
          <w:i/>
          <w:iCs/>
          <w:sz w:val="19"/>
          <w:szCs w:val="19"/>
        </w:rPr>
        <w:t xml:space="preserve"> and Moller, H</w:t>
      </w:r>
      <w:r w:rsidR="003F277C" w:rsidRPr="008D34E6">
        <w:rPr>
          <w:rFonts w:ascii="Times New Roman" w:hAnsi="Times New Roman" w:cs="Times New Roman"/>
          <w:i/>
          <w:iCs/>
          <w:sz w:val="19"/>
          <w:szCs w:val="19"/>
        </w:rPr>
        <w:t>. J</w:t>
      </w:r>
      <w:r w:rsidRPr="008D34E6">
        <w:rPr>
          <w:rFonts w:ascii="Times New Roman" w:hAnsi="Times New Roman" w:cs="Times New Roman"/>
          <w:i/>
          <w:iCs/>
          <w:sz w:val="19"/>
          <w:szCs w:val="19"/>
        </w:rPr>
        <w:t>. (2004):</w:t>
      </w:r>
      <w:r w:rsidRPr="008D34E6">
        <w:rPr>
          <w:rFonts w:ascii="Times New Roman" w:hAnsi="Times New Roman" w:cs="Times New Roman"/>
          <w:sz w:val="19"/>
          <w:szCs w:val="19"/>
        </w:rPr>
        <w:t xml:space="preserve"> CD163: a regulated hemoglobin scavenger receptor with a role in the anti-inflammatory response. Ann Med; 36: 347–54.</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i/>
          <w:iCs/>
          <w:sz w:val="19"/>
          <w:szCs w:val="19"/>
        </w:rPr>
      </w:pPr>
      <w:r w:rsidRPr="008D34E6">
        <w:rPr>
          <w:rFonts w:ascii="Times New Roman" w:hAnsi="Times New Roman" w:cs="Times New Roman"/>
          <w:i/>
          <w:iCs/>
          <w:sz w:val="19"/>
          <w:szCs w:val="19"/>
        </w:rPr>
        <w:t>Weaver, L</w:t>
      </w:r>
      <w:r w:rsidR="003F277C" w:rsidRPr="008D34E6">
        <w:rPr>
          <w:rFonts w:ascii="Times New Roman" w:hAnsi="Times New Roman" w:cs="Times New Roman"/>
          <w:i/>
          <w:iCs/>
          <w:sz w:val="19"/>
          <w:szCs w:val="19"/>
        </w:rPr>
        <w:t>. K</w:t>
      </w:r>
      <w:r w:rsidRPr="008D34E6">
        <w:rPr>
          <w:rFonts w:ascii="Times New Roman" w:hAnsi="Times New Roman" w:cs="Times New Roman"/>
          <w:i/>
          <w:iCs/>
          <w:sz w:val="19"/>
          <w:szCs w:val="19"/>
        </w:rPr>
        <w:t>.; Hintz-Goldstein, K</w:t>
      </w:r>
      <w:r w:rsidR="003F277C" w:rsidRPr="008D34E6">
        <w:rPr>
          <w:rFonts w:ascii="Times New Roman" w:hAnsi="Times New Roman" w:cs="Times New Roman"/>
          <w:i/>
          <w:iCs/>
          <w:sz w:val="19"/>
          <w:szCs w:val="19"/>
        </w:rPr>
        <w:t>. A</w:t>
      </w:r>
      <w:r w:rsidRPr="008D34E6">
        <w:rPr>
          <w:rFonts w:ascii="Times New Roman" w:hAnsi="Times New Roman" w:cs="Times New Roman"/>
          <w:i/>
          <w:iCs/>
          <w:sz w:val="19"/>
          <w:szCs w:val="19"/>
        </w:rPr>
        <w:t xml:space="preserve"> and Pioli</w:t>
      </w:r>
      <w:r w:rsidR="003F277C" w:rsidRPr="008D34E6">
        <w:rPr>
          <w:rFonts w:ascii="Times New Roman" w:hAnsi="Times New Roman" w:cs="Times New Roman"/>
          <w:i/>
          <w:iCs/>
          <w:sz w:val="19"/>
          <w:szCs w:val="19"/>
        </w:rPr>
        <w:t>, P. A</w:t>
      </w:r>
      <w:r w:rsidRPr="008D34E6">
        <w:rPr>
          <w:rFonts w:ascii="Times New Roman" w:hAnsi="Times New Roman" w:cs="Times New Roman"/>
          <w:i/>
          <w:iCs/>
          <w:sz w:val="19"/>
          <w:szCs w:val="19"/>
        </w:rPr>
        <w:t xml:space="preserve">.(2006): </w:t>
      </w:r>
      <w:r w:rsidRPr="008D34E6">
        <w:rPr>
          <w:rFonts w:ascii="Times New Roman" w:hAnsi="Times New Roman" w:cs="Times New Roman"/>
          <w:sz w:val="19"/>
          <w:szCs w:val="19"/>
        </w:rPr>
        <w:t>Pivotal advance: activation of cell surface Toll-like receptors causes shedding of the hemoglobin scavenger receptor CD163. J Leukoc</w:t>
      </w:r>
      <w:r w:rsidR="00417BE5">
        <w:rPr>
          <w:rFonts w:ascii="Times New Roman" w:hAnsi="Times New Roman" w:cs="Times New Roman"/>
          <w:sz w:val="19"/>
          <w:szCs w:val="19"/>
        </w:rPr>
        <w:t xml:space="preserve"> </w:t>
      </w:r>
      <w:r w:rsidRPr="008D34E6">
        <w:rPr>
          <w:rFonts w:ascii="Times New Roman" w:hAnsi="Times New Roman" w:cs="Times New Roman"/>
          <w:sz w:val="19"/>
          <w:szCs w:val="19"/>
        </w:rPr>
        <w:t>Biol; 80: 26–35</w:t>
      </w:r>
      <w:r w:rsidR="003F277C" w:rsidRPr="008D34E6">
        <w:rPr>
          <w:rFonts w:ascii="Times New Roman" w:hAnsi="Times New Roman" w:cs="Times New Roman" w:hint="eastAsia"/>
          <w:sz w:val="19"/>
          <w:szCs w:val="19"/>
          <w:lang w:eastAsia="zh-CN"/>
        </w:rPr>
        <w:t>.</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i/>
          <w:iCs/>
          <w:sz w:val="19"/>
          <w:szCs w:val="19"/>
        </w:rPr>
        <w:t>Etzerodt, A.; Maniecki, M</w:t>
      </w:r>
      <w:r w:rsidR="003F277C" w:rsidRPr="008D34E6">
        <w:rPr>
          <w:rFonts w:ascii="Times New Roman" w:hAnsi="Times New Roman" w:cs="Times New Roman"/>
          <w:i/>
          <w:iCs/>
          <w:sz w:val="19"/>
          <w:szCs w:val="19"/>
        </w:rPr>
        <w:t>. B</w:t>
      </w:r>
      <w:r w:rsidRPr="008D34E6">
        <w:rPr>
          <w:rFonts w:ascii="Times New Roman" w:hAnsi="Times New Roman" w:cs="Times New Roman"/>
          <w:i/>
          <w:iCs/>
          <w:sz w:val="19"/>
          <w:szCs w:val="19"/>
        </w:rPr>
        <w:t>.; Moller, K.; Moller, H</w:t>
      </w:r>
      <w:r w:rsidR="003F277C" w:rsidRPr="008D34E6">
        <w:rPr>
          <w:rFonts w:ascii="Times New Roman" w:hAnsi="Times New Roman" w:cs="Times New Roman"/>
          <w:i/>
          <w:iCs/>
          <w:sz w:val="19"/>
          <w:szCs w:val="19"/>
        </w:rPr>
        <w:t>. J</w:t>
      </w:r>
      <w:r w:rsidRPr="008D34E6">
        <w:rPr>
          <w:rFonts w:ascii="Times New Roman" w:hAnsi="Times New Roman" w:cs="Times New Roman"/>
          <w:i/>
          <w:iCs/>
          <w:sz w:val="19"/>
          <w:szCs w:val="19"/>
        </w:rPr>
        <w:t>. and Moestrup, S</w:t>
      </w:r>
      <w:r w:rsidR="003F277C" w:rsidRPr="008D34E6">
        <w:rPr>
          <w:rFonts w:ascii="Times New Roman" w:hAnsi="Times New Roman" w:cs="Times New Roman"/>
          <w:i/>
          <w:iCs/>
          <w:sz w:val="19"/>
          <w:szCs w:val="19"/>
        </w:rPr>
        <w:t>. K</w:t>
      </w:r>
      <w:r w:rsidRPr="008D34E6">
        <w:rPr>
          <w:rFonts w:ascii="Times New Roman" w:hAnsi="Times New Roman" w:cs="Times New Roman"/>
          <w:i/>
          <w:iCs/>
          <w:sz w:val="19"/>
          <w:szCs w:val="19"/>
        </w:rPr>
        <w:t>. (2010):</w:t>
      </w:r>
      <w:r w:rsidRPr="008D34E6">
        <w:rPr>
          <w:rFonts w:ascii="Times New Roman" w:hAnsi="Times New Roman" w:cs="Times New Roman"/>
          <w:sz w:val="19"/>
          <w:szCs w:val="19"/>
        </w:rPr>
        <w:t xml:space="preserve"> Tumor necrosis factor alpha-converting enzyme (TACE/ADAM17) mediates ectodomain shedding of the scavenger receptor CD163. J LeukocBiol; 88: 1201–5.</w:t>
      </w:r>
    </w:p>
    <w:p w:rsidR="00156071" w:rsidRPr="008D34E6" w:rsidRDefault="00156071" w:rsidP="003F277C">
      <w:pPr>
        <w:pStyle w:val="ListParagraph"/>
        <w:numPr>
          <w:ilvl w:val="0"/>
          <w:numId w:val="17"/>
        </w:numPr>
        <w:autoSpaceDE w:val="0"/>
        <w:autoSpaceDN w:val="0"/>
        <w:bidi w:val="0"/>
        <w:adjustRightInd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i/>
          <w:iCs/>
          <w:sz w:val="19"/>
          <w:szCs w:val="19"/>
        </w:rPr>
        <w:t>Moller, H</w:t>
      </w:r>
      <w:r w:rsidR="003F277C" w:rsidRPr="008D34E6">
        <w:rPr>
          <w:rFonts w:ascii="Times New Roman" w:hAnsi="Times New Roman" w:cs="Times New Roman"/>
          <w:i/>
          <w:iCs/>
          <w:sz w:val="19"/>
          <w:szCs w:val="19"/>
        </w:rPr>
        <w:t>. J</w:t>
      </w:r>
      <w:r w:rsidRPr="008D34E6">
        <w:rPr>
          <w:rFonts w:ascii="Times New Roman" w:hAnsi="Times New Roman" w:cs="Times New Roman"/>
          <w:i/>
          <w:iCs/>
          <w:sz w:val="19"/>
          <w:szCs w:val="19"/>
        </w:rPr>
        <w:t>.; de, F</w:t>
      </w:r>
      <w:r w:rsidR="003F277C" w:rsidRPr="008D34E6">
        <w:rPr>
          <w:rFonts w:ascii="Times New Roman" w:hAnsi="Times New Roman" w:cs="Times New Roman"/>
          <w:i/>
          <w:iCs/>
          <w:sz w:val="19"/>
          <w:szCs w:val="19"/>
        </w:rPr>
        <w:t>. M</w:t>
      </w:r>
      <w:r w:rsidRPr="008D34E6">
        <w:rPr>
          <w:rFonts w:ascii="Times New Roman" w:hAnsi="Times New Roman" w:cs="Times New Roman"/>
          <w:i/>
          <w:iCs/>
          <w:sz w:val="19"/>
          <w:szCs w:val="19"/>
        </w:rPr>
        <w:t>., Aerts, H.; Hollak</w:t>
      </w:r>
      <w:r w:rsidR="003F277C" w:rsidRPr="008D34E6">
        <w:rPr>
          <w:rFonts w:ascii="Times New Roman" w:hAnsi="Times New Roman" w:cs="Times New Roman"/>
          <w:i/>
          <w:iCs/>
          <w:sz w:val="19"/>
          <w:szCs w:val="19"/>
        </w:rPr>
        <w:t>, C</w:t>
      </w:r>
      <w:r w:rsidRPr="008D34E6">
        <w:rPr>
          <w:rFonts w:ascii="Times New Roman" w:hAnsi="Times New Roman" w:cs="Times New Roman"/>
          <w:i/>
          <w:iCs/>
          <w:sz w:val="19"/>
          <w:szCs w:val="19"/>
        </w:rPr>
        <w:t xml:space="preserve"> and Moestrup</w:t>
      </w:r>
      <w:r w:rsidR="003F277C" w:rsidRPr="008D34E6">
        <w:rPr>
          <w:rFonts w:ascii="Times New Roman" w:hAnsi="Times New Roman" w:cs="Times New Roman"/>
          <w:i/>
          <w:iCs/>
          <w:sz w:val="19"/>
          <w:szCs w:val="19"/>
        </w:rPr>
        <w:t>, S. K.</w:t>
      </w:r>
      <w:r w:rsidRPr="008D34E6">
        <w:rPr>
          <w:rFonts w:ascii="Times New Roman" w:hAnsi="Times New Roman" w:cs="Times New Roman"/>
          <w:i/>
          <w:iCs/>
          <w:sz w:val="19"/>
          <w:szCs w:val="19"/>
        </w:rPr>
        <w:t>(2004):</w:t>
      </w:r>
      <w:r w:rsidRPr="008D34E6">
        <w:rPr>
          <w:rFonts w:ascii="Times New Roman" w:hAnsi="Times New Roman" w:cs="Times New Roman"/>
          <w:sz w:val="19"/>
          <w:szCs w:val="19"/>
        </w:rPr>
        <w:t xml:space="preserve"> Plasma level of the macrophage-derived soluble CD163 is increased and positively correlates with severity in Gaucher’s disease. Eur J Haematol; 72: 135–9.</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Madhotra, R.</w:t>
      </w:r>
      <w:r w:rsidR="003F277C" w:rsidRPr="008D34E6">
        <w:rPr>
          <w:rFonts w:ascii="Times New Roman" w:hAnsi="Times New Roman" w:cs="Times New Roman"/>
          <w:sz w:val="19"/>
          <w:szCs w:val="19"/>
        </w:rPr>
        <w:t>; M</w:t>
      </w:r>
      <w:r w:rsidRPr="008D34E6">
        <w:rPr>
          <w:rFonts w:ascii="Times New Roman" w:hAnsi="Times New Roman" w:cs="Times New Roman"/>
          <w:sz w:val="19"/>
          <w:szCs w:val="19"/>
        </w:rPr>
        <w:t>ulcahy, H</w:t>
      </w:r>
      <w:r w:rsidR="003F277C" w:rsidRPr="008D34E6">
        <w:rPr>
          <w:rFonts w:ascii="Times New Roman" w:hAnsi="Times New Roman" w:cs="Times New Roman"/>
          <w:sz w:val="19"/>
          <w:szCs w:val="19"/>
        </w:rPr>
        <w:t>. E</w:t>
      </w:r>
      <w:r w:rsidRPr="008D34E6">
        <w:rPr>
          <w:rFonts w:ascii="Times New Roman" w:hAnsi="Times New Roman" w:cs="Times New Roman"/>
          <w:sz w:val="19"/>
          <w:szCs w:val="19"/>
        </w:rPr>
        <w:t>.</w:t>
      </w:r>
      <w:r w:rsidR="003F277C" w:rsidRPr="008D34E6">
        <w:rPr>
          <w:rFonts w:ascii="Times New Roman" w:hAnsi="Times New Roman" w:cs="Times New Roman"/>
          <w:sz w:val="19"/>
          <w:szCs w:val="19"/>
        </w:rPr>
        <w:t>; W</w:t>
      </w:r>
      <w:r w:rsidRPr="008D34E6">
        <w:rPr>
          <w:rFonts w:ascii="Times New Roman" w:hAnsi="Times New Roman" w:cs="Times New Roman"/>
          <w:sz w:val="19"/>
          <w:szCs w:val="19"/>
        </w:rPr>
        <w:t>illner, I.; et al. (2002): Prediction of esophageal varices in patients with cirrhosis. J Clin Gastroenterology; 34:81-5.</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color w:val="231F20"/>
          <w:sz w:val="19"/>
          <w:szCs w:val="19"/>
        </w:rPr>
      </w:pPr>
      <w:r w:rsidRPr="008D34E6">
        <w:rPr>
          <w:rFonts w:ascii="Times New Roman" w:hAnsi="Times New Roman" w:cs="Times New Roman"/>
          <w:sz w:val="19"/>
          <w:szCs w:val="19"/>
        </w:rPr>
        <w:t>Vanbiervliet, G.</w:t>
      </w:r>
      <w:r w:rsidR="003F277C" w:rsidRPr="008D34E6">
        <w:rPr>
          <w:rFonts w:ascii="Times New Roman" w:hAnsi="Times New Roman" w:cs="Times New Roman"/>
          <w:sz w:val="19"/>
          <w:szCs w:val="19"/>
        </w:rPr>
        <w:t>; B</w:t>
      </w:r>
      <w:r w:rsidRPr="008D34E6">
        <w:rPr>
          <w:rFonts w:ascii="Times New Roman" w:hAnsi="Times New Roman" w:cs="Times New Roman"/>
          <w:sz w:val="19"/>
          <w:szCs w:val="19"/>
        </w:rPr>
        <w:t>arjoan-Marine, E.</w:t>
      </w:r>
      <w:r w:rsidR="003F277C" w:rsidRPr="008D34E6">
        <w:rPr>
          <w:rFonts w:ascii="Times New Roman" w:hAnsi="Times New Roman" w:cs="Times New Roman"/>
          <w:sz w:val="19"/>
          <w:szCs w:val="19"/>
        </w:rPr>
        <w:t>; A</w:t>
      </w:r>
      <w:r w:rsidRPr="008D34E6">
        <w:rPr>
          <w:rFonts w:ascii="Times New Roman" w:hAnsi="Times New Roman" w:cs="Times New Roman"/>
          <w:sz w:val="19"/>
          <w:szCs w:val="19"/>
        </w:rPr>
        <w:t>nty, R.; et al. (2005</w:t>
      </w:r>
      <w:r w:rsidRPr="008D34E6">
        <w:rPr>
          <w:rFonts w:ascii="Times New Roman" w:hAnsi="Times New Roman" w:cs="Times New Roman"/>
          <w:bCs/>
          <w:sz w:val="19"/>
          <w:szCs w:val="19"/>
        </w:rPr>
        <w:t>):</w:t>
      </w:r>
      <w:r w:rsidRPr="008D34E6">
        <w:rPr>
          <w:rFonts w:ascii="Times New Roman" w:hAnsi="Times New Roman" w:cs="Times New Roman"/>
          <w:sz w:val="19"/>
          <w:szCs w:val="19"/>
        </w:rPr>
        <w:t xml:space="preserve"> Serum fibrosis markers can detect large esophageal varices with a high accuracy. European J. of Gastroenterology. Hepatology; 17 (3): 333-338.</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Chang, M</w:t>
      </w:r>
      <w:r w:rsidR="003F277C" w:rsidRPr="008D34E6">
        <w:rPr>
          <w:rFonts w:ascii="Times New Roman" w:hAnsi="Times New Roman" w:cs="Times New Roman"/>
          <w:sz w:val="19"/>
          <w:szCs w:val="19"/>
        </w:rPr>
        <w:t>. H</w:t>
      </w:r>
      <w:r w:rsidRPr="008D34E6">
        <w:rPr>
          <w:rFonts w:ascii="Times New Roman" w:hAnsi="Times New Roman" w:cs="Times New Roman"/>
          <w:sz w:val="19"/>
          <w:szCs w:val="19"/>
        </w:rPr>
        <w:t>.</w:t>
      </w:r>
      <w:r w:rsidR="003F277C" w:rsidRPr="008D34E6">
        <w:rPr>
          <w:rFonts w:ascii="Times New Roman" w:hAnsi="Times New Roman" w:cs="Times New Roman"/>
          <w:sz w:val="19"/>
          <w:szCs w:val="19"/>
        </w:rPr>
        <w:t>; S</w:t>
      </w:r>
      <w:r w:rsidRPr="008D34E6">
        <w:rPr>
          <w:rFonts w:ascii="Times New Roman" w:hAnsi="Times New Roman" w:cs="Times New Roman"/>
          <w:sz w:val="19"/>
          <w:szCs w:val="19"/>
        </w:rPr>
        <w:t>ohn, J</w:t>
      </w:r>
      <w:r w:rsidR="003F277C" w:rsidRPr="008D34E6">
        <w:rPr>
          <w:rFonts w:ascii="Times New Roman" w:hAnsi="Times New Roman" w:cs="Times New Roman"/>
          <w:sz w:val="19"/>
          <w:szCs w:val="19"/>
        </w:rPr>
        <w:t>. H</w:t>
      </w:r>
      <w:r w:rsidRPr="008D34E6">
        <w:rPr>
          <w:rFonts w:ascii="Times New Roman" w:hAnsi="Times New Roman" w:cs="Times New Roman"/>
          <w:sz w:val="19"/>
          <w:szCs w:val="19"/>
        </w:rPr>
        <w:t>.; Kim, T</w:t>
      </w:r>
      <w:r w:rsidR="003F277C" w:rsidRPr="008D34E6">
        <w:rPr>
          <w:rFonts w:ascii="Times New Roman" w:hAnsi="Times New Roman" w:cs="Times New Roman"/>
          <w:sz w:val="19"/>
          <w:szCs w:val="19"/>
        </w:rPr>
        <w:t>. Y</w:t>
      </w:r>
      <w:r w:rsidRPr="008D34E6">
        <w:rPr>
          <w:rFonts w:ascii="Times New Roman" w:hAnsi="Times New Roman" w:cs="Times New Roman"/>
          <w:sz w:val="19"/>
          <w:szCs w:val="19"/>
        </w:rPr>
        <w:t>.; et al. (2007</w:t>
      </w:r>
      <w:r w:rsidRPr="008D34E6">
        <w:rPr>
          <w:rFonts w:ascii="Times New Roman" w:hAnsi="Times New Roman" w:cs="Times New Roman"/>
          <w:bCs/>
          <w:sz w:val="19"/>
          <w:szCs w:val="19"/>
        </w:rPr>
        <w:t>):</w:t>
      </w:r>
      <w:r w:rsidRPr="008D34E6">
        <w:rPr>
          <w:rFonts w:ascii="Times New Roman" w:hAnsi="Times New Roman" w:cs="Times New Roman"/>
          <w:sz w:val="19"/>
          <w:szCs w:val="19"/>
        </w:rPr>
        <w:t xml:space="preserve"> Non-endoscopic</w:t>
      </w:r>
      <w:r w:rsidR="003F277C" w:rsidRPr="008D34E6">
        <w:rPr>
          <w:rFonts w:ascii="Times New Roman" w:hAnsi="Times New Roman" w:cs="Times New Roman"/>
          <w:sz w:val="19"/>
          <w:szCs w:val="19"/>
        </w:rPr>
        <w:t xml:space="preserve"> </w:t>
      </w:r>
      <w:r w:rsidRPr="008D34E6">
        <w:rPr>
          <w:rFonts w:ascii="Times New Roman" w:hAnsi="Times New Roman" w:cs="Times New Roman"/>
          <w:sz w:val="19"/>
          <w:szCs w:val="19"/>
        </w:rPr>
        <w:t>predictors of large esophageal varices in patients with liver cirrhosis. Koream J. Gastroenterology; 49 (6): 376-83.</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Kazemi, F.</w:t>
      </w:r>
      <w:r w:rsidR="003F277C" w:rsidRPr="008D34E6">
        <w:rPr>
          <w:rFonts w:ascii="Times New Roman" w:hAnsi="Times New Roman" w:cs="Times New Roman"/>
          <w:sz w:val="19"/>
          <w:szCs w:val="19"/>
        </w:rPr>
        <w:t>; K</w:t>
      </w:r>
      <w:r w:rsidRPr="008D34E6">
        <w:rPr>
          <w:rFonts w:ascii="Times New Roman" w:hAnsi="Times New Roman" w:cs="Times New Roman"/>
          <w:sz w:val="19"/>
          <w:szCs w:val="19"/>
        </w:rPr>
        <w:t>ettaneh, A.</w:t>
      </w:r>
      <w:r w:rsidR="003F277C" w:rsidRPr="008D34E6">
        <w:rPr>
          <w:rFonts w:ascii="Times New Roman" w:hAnsi="Times New Roman" w:cs="Times New Roman"/>
          <w:sz w:val="19"/>
          <w:szCs w:val="19"/>
        </w:rPr>
        <w:t>; N</w:t>
      </w:r>
      <w:r w:rsidRPr="008D34E6">
        <w:rPr>
          <w:rFonts w:ascii="Times New Roman" w:hAnsi="Times New Roman" w:cs="Times New Roman"/>
          <w:sz w:val="19"/>
          <w:szCs w:val="19"/>
        </w:rPr>
        <w:t xml:space="preserve">’kontchou, G.; et al. (2006): Liver stiffness measurement selects patients </w:t>
      </w:r>
      <w:r w:rsidRPr="008D34E6">
        <w:rPr>
          <w:rFonts w:ascii="Times New Roman" w:hAnsi="Times New Roman" w:cs="Times New Roman"/>
          <w:sz w:val="19"/>
          <w:szCs w:val="19"/>
        </w:rPr>
        <w:lastRenderedPageBreak/>
        <w:t>with cirrhosis at risk of bearing large oesophagealvarices. J Hepatology; 45:230-235.</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w:t>
      </w:r>
      <w:hyperlink r:id="rId49" w:history="1">
        <w:r w:rsidRPr="008D34E6">
          <w:rPr>
            <w:rStyle w:val="highlight"/>
            <w:rFonts w:ascii="Times New Roman" w:hAnsi="Times New Roman"/>
            <w:i/>
            <w:iCs/>
            <w:sz w:val="19"/>
            <w:szCs w:val="19"/>
          </w:rPr>
          <w:t>Agha</w:t>
        </w:r>
        <w:r w:rsidRPr="008D34E6">
          <w:rPr>
            <w:rStyle w:val="Hyperlink"/>
            <w:rFonts w:ascii="Times New Roman" w:hAnsi="Times New Roman"/>
            <w:i/>
            <w:iCs/>
            <w:color w:val="auto"/>
            <w:sz w:val="19"/>
            <w:szCs w:val="19"/>
            <w:u w:val="none"/>
          </w:rPr>
          <w:t>, A</w:t>
        </w:r>
      </w:hyperlink>
      <w:r w:rsidRPr="008D34E6">
        <w:rPr>
          <w:rFonts w:ascii="Times New Roman" w:hAnsi="Times New Roman" w:cs="Times New Roman"/>
          <w:i/>
          <w:iCs/>
          <w:sz w:val="19"/>
          <w:szCs w:val="19"/>
        </w:rPr>
        <w:t>.;</w:t>
      </w:r>
      <w:r w:rsidR="008D34E6" w:rsidRPr="008D34E6">
        <w:rPr>
          <w:rFonts w:ascii="Times New Roman" w:hAnsi="Times New Roman" w:cs="Times New Roman"/>
          <w:i/>
          <w:iCs/>
          <w:sz w:val="19"/>
          <w:szCs w:val="19"/>
        </w:rPr>
        <w:t xml:space="preserve"> </w:t>
      </w:r>
      <w:hyperlink r:id="rId50" w:history="1">
        <w:r w:rsidRPr="008D34E6">
          <w:rPr>
            <w:rStyle w:val="Hyperlink"/>
            <w:rFonts w:ascii="Times New Roman" w:hAnsi="Times New Roman"/>
            <w:i/>
            <w:iCs/>
            <w:color w:val="auto"/>
            <w:sz w:val="19"/>
            <w:szCs w:val="19"/>
            <w:u w:val="none"/>
          </w:rPr>
          <w:t>Anwar, E</w:t>
        </w:r>
      </w:hyperlink>
      <w:r w:rsidRPr="008D34E6">
        <w:rPr>
          <w:rFonts w:ascii="Times New Roman" w:hAnsi="Times New Roman" w:cs="Times New Roman"/>
          <w:i/>
          <w:iCs/>
          <w:sz w:val="19"/>
          <w:szCs w:val="19"/>
        </w:rPr>
        <w:t>.;</w:t>
      </w:r>
      <w:hyperlink r:id="rId51" w:history="1">
        <w:r w:rsidRPr="008D34E6">
          <w:rPr>
            <w:rStyle w:val="Hyperlink"/>
            <w:rFonts w:ascii="Times New Roman" w:hAnsi="Times New Roman"/>
            <w:i/>
            <w:iCs/>
            <w:color w:val="auto"/>
            <w:sz w:val="19"/>
            <w:szCs w:val="19"/>
            <w:u w:val="none"/>
          </w:rPr>
          <w:t>Bashir, K</w:t>
        </w:r>
      </w:hyperlink>
      <w:r w:rsidRPr="008D34E6">
        <w:rPr>
          <w:rFonts w:ascii="Times New Roman" w:hAnsi="Times New Roman" w:cs="Times New Roman"/>
          <w:i/>
          <w:iCs/>
          <w:sz w:val="19"/>
          <w:szCs w:val="19"/>
        </w:rPr>
        <w:t>.; et al. (2009)</w:t>
      </w:r>
      <w:r w:rsidRPr="008D34E6">
        <w:rPr>
          <w:rFonts w:ascii="Times New Roman" w:hAnsi="Times New Roman" w:cs="Times New Roman"/>
          <w:bCs/>
          <w:i/>
          <w:iCs/>
          <w:sz w:val="19"/>
          <w:szCs w:val="19"/>
        </w:rPr>
        <w:t xml:space="preserve">: </w:t>
      </w:r>
      <w:r w:rsidRPr="008D34E6">
        <w:rPr>
          <w:rFonts w:ascii="Times New Roman" w:hAnsi="Times New Roman" w:cs="Times New Roman"/>
          <w:sz w:val="19"/>
          <w:szCs w:val="19"/>
        </w:rPr>
        <w:t xml:space="preserve">External validation of the platelet count/spleen diameter ratio for the diagnosis of esophageal varices in hepatitis C virus-related cirrhosis. </w:t>
      </w:r>
      <w:hyperlink r:id="rId52" w:tooltip="Digestive diseases and sciences." w:history="1">
        <w:r w:rsidRPr="008D34E6">
          <w:rPr>
            <w:rStyle w:val="Hyperlink"/>
            <w:rFonts w:ascii="Times New Roman" w:hAnsi="Times New Roman"/>
            <w:color w:val="auto"/>
            <w:sz w:val="19"/>
            <w:szCs w:val="19"/>
            <w:u w:val="none"/>
          </w:rPr>
          <w:t>Dig Dis Sci.</w:t>
        </w:r>
      </w:hyperlink>
      <w:r w:rsidRPr="008D34E6">
        <w:rPr>
          <w:rFonts w:ascii="Times New Roman" w:hAnsi="Times New Roman" w:cs="Times New Roman"/>
          <w:sz w:val="19"/>
          <w:szCs w:val="19"/>
        </w:rPr>
        <w:t>;54(3):654-60.</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Esmat, S.</w:t>
      </w:r>
      <w:r w:rsidR="003F277C" w:rsidRPr="008D34E6">
        <w:rPr>
          <w:rFonts w:ascii="Times New Roman" w:hAnsi="Times New Roman" w:cs="Times New Roman"/>
          <w:sz w:val="19"/>
          <w:szCs w:val="19"/>
        </w:rPr>
        <w:t>; O</w:t>
      </w:r>
      <w:r w:rsidRPr="008D34E6">
        <w:rPr>
          <w:rFonts w:ascii="Times New Roman" w:hAnsi="Times New Roman" w:cs="Times New Roman"/>
          <w:sz w:val="19"/>
          <w:szCs w:val="19"/>
        </w:rPr>
        <w:t>marn, D. and Rashid, L. (2012</w:t>
      </w:r>
      <w:r w:rsidRPr="008D34E6">
        <w:rPr>
          <w:rFonts w:ascii="Times New Roman" w:hAnsi="Times New Roman" w:cs="Times New Roman"/>
          <w:bCs/>
          <w:sz w:val="19"/>
          <w:szCs w:val="19"/>
        </w:rPr>
        <w:t>)</w:t>
      </w:r>
      <w:r w:rsidR="003F277C" w:rsidRPr="008D34E6">
        <w:rPr>
          <w:rFonts w:ascii="Times New Roman" w:hAnsi="Times New Roman" w:cs="Times New Roman"/>
          <w:bCs/>
          <w:sz w:val="19"/>
          <w:szCs w:val="19"/>
        </w:rPr>
        <w:t xml:space="preserve">: </w:t>
      </w:r>
      <w:r w:rsidR="003F277C" w:rsidRPr="008D34E6">
        <w:rPr>
          <w:rFonts w:ascii="Times New Roman" w:hAnsi="Times New Roman" w:cs="Times New Roman"/>
          <w:sz w:val="19"/>
          <w:szCs w:val="19"/>
        </w:rPr>
        <w:t>C</w:t>
      </w:r>
      <w:r w:rsidRPr="008D34E6">
        <w:rPr>
          <w:rFonts w:ascii="Times New Roman" w:hAnsi="Times New Roman" w:cs="Times New Roman"/>
          <w:sz w:val="19"/>
          <w:szCs w:val="19"/>
        </w:rPr>
        <w:t>an we consider the right hepatic lobe size/albumin ratio a noninvasive predictor of oesophagealvarices in hepatitis C virus-related liver cirrhotic Egyptian patients?. European Journal of Internal Medicine; 23:267–272</w:t>
      </w:r>
      <w:r w:rsidR="003F277C" w:rsidRPr="008D34E6">
        <w:rPr>
          <w:rFonts w:ascii="Times New Roman" w:hAnsi="Times New Roman" w:cs="Times New Roman" w:hint="eastAsia"/>
          <w:sz w:val="19"/>
          <w:szCs w:val="19"/>
          <w:lang w:eastAsia="zh-CN"/>
        </w:rPr>
        <w:t>.</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Michael, A</w:t>
      </w:r>
      <w:r w:rsidR="003F277C" w:rsidRPr="008D34E6">
        <w:rPr>
          <w:rFonts w:ascii="Times New Roman" w:hAnsi="Times New Roman" w:cs="Times New Roman"/>
          <w:sz w:val="19"/>
          <w:szCs w:val="19"/>
        </w:rPr>
        <w:t>. H</w:t>
      </w:r>
      <w:r w:rsidRPr="008D34E6">
        <w:rPr>
          <w:rFonts w:ascii="Times New Roman" w:hAnsi="Times New Roman" w:cs="Times New Roman"/>
          <w:sz w:val="19"/>
          <w:szCs w:val="19"/>
        </w:rPr>
        <w:t>.; and James, P. (2006): Thrombocytopenia and platelet function in clinical Hepatology. Textbook. (2end edit). Bruce R</w:t>
      </w:r>
      <w:r w:rsidR="003F277C" w:rsidRPr="008D34E6">
        <w:rPr>
          <w:rFonts w:ascii="Times New Roman" w:hAnsi="Times New Roman" w:cs="Times New Roman"/>
          <w:sz w:val="19"/>
          <w:szCs w:val="19"/>
        </w:rPr>
        <w:t>. B</w:t>
      </w:r>
      <w:r w:rsidRPr="008D34E6">
        <w:rPr>
          <w:rFonts w:ascii="Times New Roman" w:hAnsi="Times New Roman" w:cs="Times New Roman"/>
          <w:sz w:val="19"/>
          <w:szCs w:val="19"/>
        </w:rPr>
        <w:t>., John G</w:t>
      </w:r>
      <w:r w:rsidR="003F277C" w:rsidRPr="008D34E6">
        <w:rPr>
          <w:rFonts w:ascii="Times New Roman" w:hAnsi="Times New Roman" w:cs="Times New Roman"/>
          <w:sz w:val="19"/>
          <w:szCs w:val="19"/>
        </w:rPr>
        <w:t>. O</w:t>
      </w:r>
      <w:r w:rsidRPr="008D34E6">
        <w:rPr>
          <w:rFonts w:ascii="Times New Roman" w:hAnsi="Times New Roman" w:cs="Times New Roman"/>
          <w:sz w:val="19"/>
          <w:szCs w:val="19"/>
        </w:rPr>
        <w:t>., Adrian M</w:t>
      </w:r>
      <w:r w:rsidR="003F277C" w:rsidRPr="008D34E6">
        <w:rPr>
          <w:rFonts w:ascii="Times New Roman" w:hAnsi="Times New Roman" w:cs="Times New Roman"/>
          <w:sz w:val="19"/>
          <w:szCs w:val="19"/>
        </w:rPr>
        <w:t>. D</w:t>
      </w:r>
      <w:r w:rsidRPr="008D34E6">
        <w:rPr>
          <w:rFonts w:ascii="Times New Roman" w:hAnsi="Times New Roman" w:cs="Times New Roman"/>
          <w:sz w:val="19"/>
          <w:szCs w:val="19"/>
        </w:rPr>
        <w:t xml:space="preserve"> and John R</w:t>
      </w:r>
      <w:r w:rsidR="003F277C" w:rsidRPr="008D34E6">
        <w:rPr>
          <w:rFonts w:ascii="Times New Roman" w:hAnsi="Times New Roman" w:cs="Times New Roman"/>
          <w:sz w:val="19"/>
          <w:szCs w:val="19"/>
        </w:rPr>
        <w:t>. L</w:t>
      </w:r>
      <w:r w:rsidRPr="008D34E6">
        <w:rPr>
          <w:rFonts w:ascii="Times New Roman" w:hAnsi="Times New Roman" w:cs="Times New Roman"/>
          <w:sz w:val="19"/>
          <w:szCs w:val="19"/>
        </w:rPr>
        <w:t>. (editors) Ch (13): p.198-31</w:t>
      </w:r>
      <w:r w:rsidR="003F277C" w:rsidRPr="008D34E6">
        <w:rPr>
          <w:rFonts w:ascii="Times New Roman" w:hAnsi="Times New Roman" w:cs="Times New Roman" w:hint="eastAsia"/>
          <w:sz w:val="19"/>
          <w:szCs w:val="19"/>
          <w:lang w:eastAsia="zh-CN"/>
        </w:rPr>
        <w:t>.</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lang w:val="fr-FR"/>
        </w:rPr>
        <w:t>Akyiiz, F.</w:t>
      </w:r>
      <w:r w:rsidR="003F277C" w:rsidRPr="008D34E6">
        <w:rPr>
          <w:rFonts w:ascii="Times New Roman" w:hAnsi="Times New Roman" w:cs="Times New Roman"/>
          <w:sz w:val="19"/>
          <w:szCs w:val="19"/>
          <w:lang w:val="fr-FR"/>
        </w:rPr>
        <w:t>; Y</w:t>
      </w:r>
      <w:r w:rsidRPr="008D34E6">
        <w:rPr>
          <w:rFonts w:ascii="Times New Roman" w:hAnsi="Times New Roman" w:cs="Times New Roman"/>
          <w:sz w:val="19"/>
          <w:szCs w:val="19"/>
          <w:lang w:val="fr-FR"/>
        </w:rPr>
        <w:t>ekeler, E.</w:t>
      </w:r>
      <w:r w:rsidR="003F277C" w:rsidRPr="008D34E6">
        <w:rPr>
          <w:rFonts w:ascii="Times New Roman" w:hAnsi="Times New Roman" w:cs="Times New Roman"/>
          <w:sz w:val="19"/>
          <w:szCs w:val="19"/>
          <w:lang w:val="fr-FR"/>
        </w:rPr>
        <w:t>; K</w:t>
      </w:r>
      <w:r w:rsidRPr="008D34E6">
        <w:rPr>
          <w:rFonts w:ascii="Times New Roman" w:hAnsi="Times New Roman" w:cs="Times New Roman"/>
          <w:sz w:val="19"/>
          <w:szCs w:val="19"/>
          <w:lang w:val="fr-FR"/>
        </w:rPr>
        <w:t xml:space="preserve">aymakoglu, S.; et al. </w:t>
      </w:r>
      <w:r w:rsidRPr="008D34E6">
        <w:rPr>
          <w:rFonts w:ascii="Times New Roman" w:hAnsi="Times New Roman" w:cs="Times New Roman"/>
          <w:sz w:val="19"/>
          <w:szCs w:val="19"/>
        </w:rPr>
        <w:t>(2007): The role of thrombopoietin and spleen volume in thrombocytopenia of patients with non cirrhotic and cirrhotic portal hypertension. The Turkish J. of Gastroenterology. 18 (2): 95-99.32</w:t>
      </w:r>
      <w:r w:rsidR="003F277C" w:rsidRPr="008D34E6">
        <w:rPr>
          <w:rFonts w:ascii="Times New Roman" w:hAnsi="Times New Roman" w:cs="Times New Roman" w:hint="eastAsia"/>
          <w:sz w:val="19"/>
          <w:szCs w:val="19"/>
          <w:lang w:eastAsia="zh-CN"/>
        </w:rPr>
        <w:t>.</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color w:val="000000"/>
          <w:sz w:val="19"/>
          <w:szCs w:val="19"/>
        </w:rPr>
        <w:t>Vilgrain</w:t>
      </w:r>
      <w:r w:rsidR="003F277C" w:rsidRPr="008D34E6">
        <w:rPr>
          <w:rFonts w:ascii="Times New Roman" w:hAnsi="Times New Roman" w:cs="Times New Roman"/>
          <w:color w:val="000000"/>
          <w:sz w:val="19"/>
          <w:szCs w:val="19"/>
        </w:rPr>
        <w:t>, V</w:t>
      </w:r>
      <w:r w:rsidRPr="008D34E6">
        <w:rPr>
          <w:rFonts w:ascii="Times New Roman" w:hAnsi="Times New Roman" w:cs="Times New Roman"/>
          <w:color w:val="000000"/>
          <w:sz w:val="19"/>
          <w:szCs w:val="19"/>
        </w:rPr>
        <w:t>.(2001): “Ultrasound of diffuse liver disease and portal hypertension,”</w:t>
      </w:r>
      <w:r w:rsidRPr="008D34E6">
        <w:rPr>
          <w:rStyle w:val="apple-converted-space"/>
          <w:rFonts w:ascii="Times New Roman" w:hAnsi="Times New Roman"/>
          <w:color w:val="000000"/>
          <w:sz w:val="19"/>
          <w:szCs w:val="19"/>
        </w:rPr>
        <w:t> </w:t>
      </w:r>
      <w:r w:rsidRPr="008D34E6">
        <w:rPr>
          <w:rFonts w:ascii="Times New Roman" w:hAnsi="Times New Roman" w:cs="Times New Roman"/>
          <w:color w:val="000000"/>
          <w:sz w:val="19"/>
          <w:szCs w:val="19"/>
        </w:rPr>
        <w:t>European Radiology, vol. 11, no. 9, pp. 1563–1577.</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Sandrin L, Fourquet B, Hasquenoph JM, et al.</w:t>
      </w:r>
      <w:r w:rsidR="00417BE5">
        <w:rPr>
          <w:rFonts w:ascii="Times New Roman" w:hAnsi="Times New Roman" w:cs="Times New Roman"/>
          <w:sz w:val="19"/>
          <w:szCs w:val="19"/>
        </w:rPr>
        <w:t xml:space="preserve"> </w:t>
      </w:r>
      <w:r w:rsidRPr="008D34E6">
        <w:rPr>
          <w:rFonts w:ascii="Times New Roman" w:hAnsi="Times New Roman" w:cs="Times New Roman"/>
          <w:sz w:val="19"/>
          <w:szCs w:val="19"/>
        </w:rPr>
        <w:t>(2003) Transient elastography: a new noninvasive method for assessment of hepatic fibrosis. Ultrasound Med Biol</w:t>
      </w:r>
      <w:r w:rsidR="003F277C" w:rsidRPr="008D34E6">
        <w:rPr>
          <w:rFonts w:ascii="Times New Roman" w:hAnsi="Times New Roman" w:cs="Times New Roman"/>
          <w:sz w:val="19"/>
          <w:szCs w:val="19"/>
        </w:rPr>
        <w:t>;</w:t>
      </w:r>
      <w:r w:rsidRPr="008D34E6">
        <w:rPr>
          <w:rFonts w:ascii="Times New Roman" w:hAnsi="Times New Roman" w:cs="Times New Roman"/>
          <w:sz w:val="19"/>
          <w:szCs w:val="19"/>
        </w:rPr>
        <w:t xml:space="preserve"> 29: 1705-1713.</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lang w:val="fr-FR"/>
        </w:rPr>
      </w:pPr>
      <w:r w:rsidRPr="008D34E6">
        <w:rPr>
          <w:rFonts w:ascii="Times New Roman" w:hAnsi="Times New Roman" w:cs="Times New Roman"/>
          <w:sz w:val="19"/>
          <w:szCs w:val="19"/>
        </w:rPr>
        <w:t>Castera, L.; Le Bail, B.</w:t>
      </w:r>
      <w:r w:rsidR="003F277C" w:rsidRPr="008D34E6">
        <w:rPr>
          <w:rFonts w:ascii="Times New Roman" w:hAnsi="Times New Roman" w:cs="Times New Roman"/>
          <w:sz w:val="19"/>
          <w:szCs w:val="19"/>
        </w:rPr>
        <w:t>; R</w:t>
      </w:r>
      <w:r w:rsidRPr="008D34E6">
        <w:rPr>
          <w:rFonts w:ascii="Times New Roman" w:hAnsi="Times New Roman" w:cs="Times New Roman"/>
          <w:sz w:val="19"/>
          <w:szCs w:val="19"/>
        </w:rPr>
        <w:t>oudot, T</w:t>
      </w:r>
      <w:r w:rsidR="003F277C" w:rsidRPr="008D34E6">
        <w:rPr>
          <w:rFonts w:ascii="Times New Roman" w:hAnsi="Times New Roman" w:cs="Times New Roman"/>
          <w:sz w:val="19"/>
          <w:szCs w:val="19"/>
        </w:rPr>
        <w:t>. F</w:t>
      </w:r>
      <w:r w:rsidRPr="008D34E6">
        <w:rPr>
          <w:rFonts w:ascii="Times New Roman" w:hAnsi="Times New Roman" w:cs="Times New Roman"/>
          <w:sz w:val="19"/>
          <w:szCs w:val="19"/>
        </w:rPr>
        <w:t xml:space="preserve">.; et al., (2009): Early detection in routine clinical practice of cirrhosis and esophageal varices in chronic hepatitis C: comparison of transient elastography (Fibroscan) with standard laboratory tests and non-invasive scores. </w:t>
      </w:r>
      <w:r w:rsidRPr="008D34E6">
        <w:rPr>
          <w:rFonts w:ascii="Times New Roman" w:hAnsi="Times New Roman" w:cs="Times New Roman"/>
          <w:sz w:val="19"/>
          <w:szCs w:val="19"/>
          <w:lang w:val="fr-FR"/>
        </w:rPr>
        <w:t>J Hepatology, 50(1):59-68.</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lang w:val="fr-FR"/>
        </w:rPr>
        <w:t>Stefanescu, H.</w:t>
      </w:r>
      <w:r w:rsidR="003F277C" w:rsidRPr="008D34E6">
        <w:rPr>
          <w:rFonts w:ascii="Times New Roman" w:hAnsi="Times New Roman" w:cs="Times New Roman"/>
          <w:sz w:val="19"/>
          <w:szCs w:val="19"/>
          <w:lang w:val="fr-FR"/>
        </w:rPr>
        <w:t>; G</w:t>
      </w:r>
      <w:r w:rsidRPr="008D34E6">
        <w:rPr>
          <w:rFonts w:ascii="Times New Roman" w:hAnsi="Times New Roman" w:cs="Times New Roman"/>
          <w:sz w:val="19"/>
          <w:szCs w:val="19"/>
          <w:lang w:val="fr-FR"/>
        </w:rPr>
        <w:t>rigorescu, M.</w:t>
      </w:r>
      <w:r w:rsidR="003F277C" w:rsidRPr="008D34E6">
        <w:rPr>
          <w:rFonts w:ascii="Times New Roman" w:hAnsi="Times New Roman" w:cs="Times New Roman"/>
          <w:sz w:val="19"/>
          <w:szCs w:val="19"/>
          <w:lang w:val="fr-FR"/>
        </w:rPr>
        <w:t>; M</w:t>
      </w:r>
      <w:r w:rsidRPr="008D34E6">
        <w:rPr>
          <w:rFonts w:ascii="Times New Roman" w:hAnsi="Times New Roman" w:cs="Times New Roman"/>
          <w:sz w:val="19"/>
          <w:szCs w:val="19"/>
          <w:lang w:val="fr-FR"/>
        </w:rPr>
        <w:t xml:space="preserve">aniu, A.; et al. </w:t>
      </w:r>
      <w:r w:rsidRPr="008D34E6">
        <w:rPr>
          <w:rFonts w:ascii="Times New Roman" w:hAnsi="Times New Roman" w:cs="Times New Roman"/>
          <w:sz w:val="19"/>
          <w:szCs w:val="19"/>
        </w:rPr>
        <w:t>(2011</w:t>
      </w:r>
      <w:r w:rsidRPr="008D34E6">
        <w:rPr>
          <w:rFonts w:ascii="Times New Roman" w:hAnsi="Times New Roman" w:cs="Times New Roman"/>
          <w:bCs/>
          <w:sz w:val="19"/>
          <w:szCs w:val="19"/>
        </w:rPr>
        <w:t>):</w:t>
      </w:r>
      <w:r w:rsidRPr="008D34E6">
        <w:rPr>
          <w:rFonts w:ascii="Times New Roman" w:hAnsi="Times New Roman" w:cs="Times New Roman"/>
          <w:sz w:val="19"/>
          <w:szCs w:val="19"/>
        </w:rPr>
        <w:t xml:space="preserve"> A New and simple Algorithm for the Noninvasive Assessment of Esophageal Varices in Cirrhotic Patients using serum Fibrosis Markers and transient Elastography. J Gastrointestin Liver Dis. Vol. 20 No 1: 57-64.</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color w:val="000000"/>
          <w:sz w:val="19"/>
          <w:szCs w:val="19"/>
        </w:rPr>
        <w:t>Sebastiani, G.</w:t>
      </w:r>
      <w:r w:rsidR="003F277C" w:rsidRPr="008D34E6">
        <w:rPr>
          <w:rFonts w:ascii="Times New Roman" w:hAnsi="Times New Roman" w:cs="Times New Roman"/>
          <w:color w:val="000000"/>
          <w:sz w:val="19"/>
          <w:szCs w:val="19"/>
        </w:rPr>
        <w:t>; T</w:t>
      </w:r>
      <w:r w:rsidRPr="008D34E6">
        <w:rPr>
          <w:rFonts w:ascii="Times New Roman" w:hAnsi="Times New Roman" w:cs="Times New Roman"/>
          <w:color w:val="000000"/>
          <w:sz w:val="19"/>
          <w:szCs w:val="19"/>
        </w:rPr>
        <w:t>empesta, D.</w:t>
      </w:r>
      <w:r w:rsidR="003F277C" w:rsidRPr="008D34E6">
        <w:rPr>
          <w:rFonts w:ascii="Times New Roman" w:hAnsi="Times New Roman" w:cs="Times New Roman"/>
          <w:color w:val="000000"/>
          <w:sz w:val="19"/>
          <w:szCs w:val="19"/>
        </w:rPr>
        <w:t>; F</w:t>
      </w:r>
      <w:r w:rsidRPr="008D34E6">
        <w:rPr>
          <w:rFonts w:ascii="Times New Roman" w:hAnsi="Times New Roman" w:cs="Times New Roman"/>
          <w:color w:val="000000"/>
          <w:sz w:val="19"/>
          <w:szCs w:val="19"/>
        </w:rPr>
        <w:t>attovich, G.; et al. (2010)</w:t>
      </w:r>
      <w:r w:rsidR="003F277C" w:rsidRPr="008D34E6">
        <w:rPr>
          <w:rFonts w:ascii="Times New Roman" w:hAnsi="Times New Roman" w:cs="Times New Roman"/>
          <w:color w:val="000000"/>
          <w:sz w:val="19"/>
          <w:szCs w:val="19"/>
        </w:rPr>
        <w:t xml:space="preserve">: </w:t>
      </w:r>
      <w:r w:rsidR="003F277C" w:rsidRPr="008D34E6">
        <w:rPr>
          <w:rFonts w:ascii="Times New Roman" w:hAnsi="Times New Roman" w:cs="Times New Roman"/>
          <w:sz w:val="19"/>
          <w:szCs w:val="19"/>
        </w:rPr>
        <w:t>P</w:t>
      </w:r>
      <w:r w:rsidRPr="008D34E6">
        <w:rPr>
          <w:rFonts w:ascii="Times New Roman" w:hAnsi="Times New Roman" w:cs="Times New Roman"/>
          <w:sz w:val="19"/>
          <w:szCs w:val="19"/>
        </w:rPr>
        <w:t>rediction of oesophagealvarices in hepatic cirrhosis by simple serum non-invasive markers: Results of a multicenter, large-scale study. Journal of Hepatology, vol. 53 630–638.</w:t>
      </w:r>
    </w:p>
    <w:p w:rsidR="00156071"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sz w:val="19"/>
          <w:szCs w:val="19"/>
        </w:rPr>
      </w:pPr>
      <w:r w:rsidRPr="008D34E6">
        <w:rPr>
          <w:rFonts w:ascii="Times New Roman" w:hAnsi="Times New Roman" w:cs="Times New Roman"/>
          <w:sz w:val="19"/>
          <w:szCs w:val="19"/>
        </w:rPr>
        <w:t xml:space="preserve">Moller HJ, Gronbeæk H, Schiodt FV </w:t>
      </w:r>
      <w:r w:rsidRPr="008D34E6">
        <w:rPr>
          <w:rFonts w:ascii="Times New Roman" w:hAnsi="Times New Roman" w:cs="Times New Roman"/>
          <w:i/>
          <w:sz w:val="19"/>
          <w:szCs w:val="19"/>
        </w:rPr>
        <w:t>et al</w:t>
      </w:r>
      <w:r w:rsidRPr="008D34E6">
        <w:rPr>
          <w:rFonts w:ascii="Times New Roman" w:hAnsi="Times New Roman" w:cs="Times New Roman"/>
          <w:sz w:val="19"/>
          <w:szCs w:val="19"/>
        </w:rPr>
        <w:t xml:space="preserve">.;(2007): Soluble CD163 from activated macrophages predicts mortality in acute liver failure. </w:t>
      </w:r>
      <w:r w:rsidRPr="008D34E6">
        <w:rPr>
          <w:rFonts w:ascii="Times New Roman" w:hAnsi="Times New Roman" w:cs="Times New Roman"/>
          <w:i/>
          <w:sz w:val="19"/>
          <w:szCs w:val="19"/>
        </w:rPr>
        <w:t>J. Hepatol.</w:t>
      </w:r>
      <w:r w:rsidR="003F277C" w:rsidRPr="008D34E6">
        <w:rPr>
          <w:rFonts w:ascii="Times New Roman" w:hAnsi="Times New Roman" w:cs="Times New Roman"/>
          <w:sz w:val="19"/>
          <w:szCs w:val="19"/>
        </w:rPr>
        <w:t>;</w:t>
      </w:r>
      <w:r w:rsidRPr="008D34E6">
        <w:rPr>
          <w:rFonts w:ascii="Times New Roman" w:hAnsi="Times New Roman" w:cs="Times New Roman"/>
          <w:sz w:val="19"/>
          <w:szCs w:val="19"/>
        </w:rPr>
        <w:t xml:space="preserve"> 47: 671–6.</w:t>
      </w:r>
    </w:p>
    <w:p w:rsidR="006D3B19" w:rsidRPr="008D34E6" w:rsidRDefault="00156071" w:rsidP="003F277C">
      <w:pPr>
        <w:pStyle w:val="ListParagraph"/>
        <w:numPr>
          <w:ilvl w:val="0"/>
          <w:numId w:val="17"/>
        </w:numPr>
        <w:bidi w:val="0"/>
        <w:snapToGrid w:val="0"/>
        <w:spacing w:after="0" w:line="240" w:lineRule="auto"/>
        <w:ind w:left="425" w:hanging="425"/>
        <w:jc w:val="both"/>
        <w:rPr>
          <w:rFonts w:ascii="Times New Roman" w:hAnsi="Times New Roman" w:cs="Times New Roman"/>
          <w:bCs/>
          <w:sz w:val="19"/>
          <w:szCs w:val="19"/>
          <w:lang w:bidi="ar-EG"/>
        </w:rPr>
      </w:pPr>
      <w:r w:rsidRPr="008D34E6">
        <w:rPr>
          <w:rFonts w:ascii="Times New Roman" w:hAnsi="Times New Roman" w:cs="Times New Roman"/>
          <w:sz w:val="19"/>
          <w:szCs w:val="19"/>
        </w:rPr>
        <w:t xml:space="preserve">Holland-Fischer P, Gronbeæk H, Sandahi TD </w:t>
      </w:r>
      <w:r w:rsidRPr="008D34E6">
        <w:rPr>
          <w:rFonts w:ascii="Times New Roman" w:hAnsi="Times New Roman" w:cs="Times New Roman"/>
          <w:i/>
          <w:sz w:val="19"/>
          <w:szCs w:val="19"/>
        </w:rPr>
        <w:t>et al</w:t>
      </w:r>
      <w:r w:rsidRPr="008D34E6">
        <w:rPr>
          <w:rFonts w:ascii="Times New Roman" w:hAnsi="Times New Roman" w:cs="Times New Roman"/>
          <w:sz w:val="19"/>
          <w:szCs w:val="19"/>
        </w:rPr>
        <w:t>.; (2011)</w:t>
      </w:r>
      <w:r w:rsidR="003F277C" w:rsidRPr="008D34E6">
        <w:rPr>
          <w:rFonts w:ascii="Times New Roman" w:hAnsi="Times New Roman" w:cs="Times New Roman"/>
          <w:sz w:val="19"/>
          <w:szCs w:val="19"/>
        </w:rPr>
        <w:t>: K</w:t>
      </w:r>
      <w:r w:rsidRPr="008D34E6">
        <w:rPr>
          <w:rFonts w:ascii="Times New Roman" w:hAnsi="Times New Roman" w:cs="Times New Roman"/>
          <w:sz w:val="19"/>
          <w:szCs w:val="19"/>
        </w:rPr>
        <w:t xml:space="preserve">upper cells are activated in cirrhotic portal hypertension and not normalized by TIPS. </w:t>
      </w:r>
      <w:r w:rsidRPr="008D34E6">
        <w:rPr>
          <w:rFonts w:ascii="Times New Roman" w:hAnsi="Times New Roman" w:cs="Times New Roman"/>
          <w:i/>
          <w:sz w:val="19"/>
          <w:szCs w:val="19"/>
        </w:rPr>
        <w:t>Gut</w:t>
      </w:r>
      <w:r w:rsidR="003F277C" w:rsidRPr="008D34E6">
        <w:rPr>
          <w:rFonts w:ascii="Times New Roman" w:hAnsi="Times New Roman" w:cs="Times New Roman"/>
          <w:sz w:val="19"/>
          <w:szCs w:val="19"/>
        </w:rPr>
        <w:t>;</w:t>
      </w:r>
      <w:r w:rsidRPr="008D34E6">
        <w:rPr>
          <w:rFonts w:ascii="Times New Roman" w:hAnsi="Times New Roman" w:cs="Times New Roman"/>
          <w:sz w:val="19"/>
          <w:szCs w:val="19"/>
        </w:rPr>
        <w:t>60: 1389–93.</w:t>
      </w:r>
      <w:r w:rsidR="009A1FB0" w:rsidRPr="008D34E6">
        <w:rPr>
          <w:rFonts w:ascii="Times New Roman" w:hAnsi="Times New Roman" w:cs="Times New Roman"/>
          <w:sz w:val="19"/>
          <w:szCs w:val="19"/>
        </w:rPr>
        <w:t xml:space="preserve"> </w:t>
      </w:r>
    </w:p>
    <w:p w:rsidR="006D3B19" w:rsidRPr="009A1FB0" w:rsidRDefault="006D3B19" w:rsidP="003F277C">
      <w:pPr>
        <w:bidi w:val="0"/>
        <w:snapToGrid w:val="0"/>
        <w:spacing w:after="0" w:line="240" w:lineRule="auto"/>
        <w:ind w:left="425" w:hanging="425"/>
        <w:jc w:val="both"/>
        <w:rPr>
          <w:rFonts w:ascii="Times New Roman" w:hAnsi="Times New Roman" w:cs="Times New Roman"/>
          <w:bCs/>
          <w:sz w:val="20"/>
          <w:szCs w:val="20"/>
          <w:lang w:bidi="ar-EG"/>
        </w:rPr>
        <w:sectPr w:rsidR="006D3B19" w:rsidRPr="009A1FB0" w:rsidSect="006D3B19">
          <w:headerReference w:type="default" r:id="rId53"/>
          <w:footerReference w:type="default" r:id="rId54"/>
          <w:type w:val="continuous"/>
          <w:pgSz w:w="12242" w:h="15842" w:code="1"/>
          <w:pgMar w:top="1440" w:right="1440" w:bottom="1440" w:left="1440" w:header="720" w:footer="720" w:gutter="0"/>
          <w:cols w:num="2" w:space="550"/>
          <w:docGrid w:linePitch="360"/>
        </w:sectPr>
      </w:pPr>
    </w:p>
    <w:p w:rsidR="006D3B19" w:rsidRPr="009A1FB0" w:rsidRDefault="006D3B19" w:rsidP="003F277C">
      <w:pPr>
        <w:bidi w:val="0"/>
        <w:snapToGrid w:val="0"/>
        <w:spacing w:after="0" w:line="240" w:lineRule="auto"/>
        <w:ind w:left="425" w:hanging="425"/>
        <w:jc w:val="both"/>
        <w:rPr>
          <w:rFonts w:ascii="Times New Roman" w:hAnsi="Times New Roman" w:cs="Times New Roman"/>
          <w:bCs/>
          <w:sz w:val="20"/>
          <w:szCs w:val="20"/>
          <w:lang w:bidi="ar-EG"/>
        </w:rPr>
      </w:pPr>
    </w:p>
    <w:p w:rsidR="00156071" w:rsidRPr="009A1FB0" w:rsidRDefault="006D3B19" w:rsidP="003F277C">
      <w:pPr>
        <w:bidi w:val="0"/>
        <w:snapToGrid w:val="0"/>
        <w:spacing w:after="0" w:line="240" w:lineRule="auto"/>
        <w:ind w:left="425" w:hanging="425"/>
        <w:jc w:val="both"/>
        <w:rPr>
          <w:rFonts w:ascii="Times New Roman" w:hAnsi="Times New Roman" w:cs="Times New Roman"/>
          <w:bCs/>
          <w:sz w:val="20"/>
          <w:szCs w:val="20"/>
          <w:lang w:bidi="ar-EG"/>
        </w:rPr>
      </w:pPr>
      <w:r w:rsidRPr="009A1FB0">
        <w:rPr>
          <w:rFonts w:ascii="Times New Roman" w:hAnsi="Times New Roman" w:cs="Times New Roman"/>
          <w:bCs/>
          <w:sz w:val="20"/>
          <w:szCs w:val="20"/>
          <w:lang w:bidi="ar-EG"/>
        </w:rPr>
        <w:t>10/15/2016</w:t>
      </w:r>
    </w:p>
    <w:sectPr w:rsidR="00156071" w:rsidRPr="009A1FB0" w:rsidSect="004721E2">
      <w:headerReference w:type="default" r:id="rId55"/>
      <w:footerReference w:type="default" r:id="rId56"/>
      <w:type w:val="continuous"/>
      <w:pgSz w:w="12242" w:h="15842" w:code="1"/>
      <w:pgMar w:top="1440" w:right="1440" w:bottom="1440" w:left="1440" w:header="720" w:footer="720" w:gutter="0"/>
      <w:cols w:space="709"/>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54A31" w15:done="0"/>
  <w15:commentEx w15:paraId="290EAE83" w15:done="0"/>
  <w15:commentEx w15:paraId="6C7F06A4" w15:done="0"/>
  <w15:commentEx w15:paraId="78633A4D" w15:done="0"/>
  <w15:commentEx w15:paraId="2D2BBB1D" w15:done="0"/>
  <w15:commentEx w15:paraId="3F489E4B" w15:done="0"/>
  <w15:commentEx w15:paraId="35CA9352" w15:done="0"/>
  <w15:commentEx w15:paraId="26F5E9B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B0" w:rsidRDefault="009A1FB0" w:rsidP="008D14C8">
      <w:pPr>
        <w:spacing w:after="0" w:line="240" w:lineRule="auto"/>
      </w:pPr>
      <w:r>
        <w:separator/>
      </w:r>
    </w:p>
  </w:endnote>
  <w:endnote w:type="continuationSeparator" w:id="0">
    <w:p w:rsidR="009A1FB0" w:rsidRDefault="009A1FB0" w:rsidP="008D1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dvTT3713a231+2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sidR="00417BE5">
      <w:rPr>
        <w:rFonts w:ascii="Times New Roman" w:hAnsi="Times New Roman" w:cs="Times New Roman"/>
        <w:noProof/>
        <w:sz w:val="20"/>
      </w:rPr>
      <w:t>37</w:t>
    </w:r>
    <w:r w:rsidRPr="006D3B19">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sidR="00417BE5">
      <w:rPr>
        <w:rFonts w:ascii="Times New Roman" w:hAnsi="Times New Roman" w:cs="Times New Roman"/>
        <w:noProof/>
        <w:sz w:val="20"/>
      </w:rPr>
      <w:t>41</w:t>
    </w:r>
    <w:r w:rsidRPr="006D3B19">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1</w:t>
    </w:r>
    <w:r w:rsidRPr="006D3B19">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6</w:t>
    </w:r>
    <w:r w:rsidRPr="006D3B19">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sidR="00417BE5">
      <w:rPr>
        <w:rFonts w:ascii="Times New Roman" w:hAnsi="Times New Roman" w:cs="Times New Roman"/>
        <w:noProof/>
        <w:sz w:val="20"/>
      </w:rPr>
      <w:t>42</w:t>
    </w:r>
    <w:r w:rsidRPr="006D3B19">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sidR="00417BE5">
      <w:rPr>
        <w:rFonts w:ascii="Times New Roman" w:hAnsi="Times New Roman" w:cs="Times New Roman"/>
        <w:noProof/>
        <w:sz w:val="20"/>
      </w:rPr>
      <w:t>44</w:t>
    </w:r>
    <w:r w:rsidRPr="006D3B19">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8</w:t>
    </w:r>
    <w:r w:rsidRPr="006D3B19">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sidR="00417BE5">
      <w:rPr>
        <w:rFonts w:ascii="Times New Roman" w:hAnsi="Times New Roman" w:cs="Times New Roman"/>
        <w:noProof/>
        <w:sz w:val="20"/>
      </w:rPr>
      <w:t>47</w:t>
    </w:r>
    <w:r w:rsidRPr="006D3B19">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12</w:t>
    </w:r>
    <w:r w:rsidRPr="006D3B1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sidR="00417BE5">
      <w:rPr>
        <w:rFonts w:ascii="Times New Roman" w:hAnsi="Times New Roman" w:cs="Times New Roman"/>
        <w:noProof/>
        <w:sz w:val="20"/>
      </w:rPr>
      <w:t>39</w:t>
    </w:r>
    <w:r w:rsidRPr="006D3B1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4</w:t>
    </w:r>
    <w:r w:rsidRPr="006D3B1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4</w:t>
    </w:r>
    <w:r w:rsidRPr="006D3B1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sidR="00417BE5">
      <w:rPr>
        <w:rFonts w:ascii="Times New Roman" w:hAnsi="Times New Roman" w:cs="Times New Roman"/>
        <w:noProof/>
        <w:sz w:val="20"/>
      </w:rPr>
      <w:t>40</w:t>
    </w:r>
    <w:r w:rsidRPr="006D3B19">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1</w:t>
    </w:r>
    <w:r w:rsidRPr="006D3B19">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1</w:t>
    </w:r>
    <w:r w:rsidRPr="006D3B19">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1</w:t>
    </w:r>
    <w:r w:rsidRPr="006D3B19">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bidi w:val="0"/>
      <w:spacing w:after="0" w:line="240" w:lineRule="auto"/>
      <w:jc w:val="center"/>
      <w:rPr>
        <w:rFonts w:ascii="Times New Roman" w:hAnsi="Times New Roman" w:cs="Times New Roman"/>
        <w:sz w:val="20"/>
      </w:rPr>
    </w:pPr>
    <w:r w:rsidRPr="006D3B19">
      <w:rPr>
        <w:rFonts w:ascii="Times New Roman" w:hAnsi="Times New Roman" w:cs="Times New Roman"/>
        <w:sz w:val="20"/>
      </w:rPr>
      <w:fldChar w:fldCharType="begin"/>
    </w:r>
    <w:r w:rsidRPr="006D3B19">
      <w:rPr>
        <w:rFonts w:ascii="Times New Roman" w:hAnsi="Times New Roman" w:cs="Times New Roman"/>
        <w:sz w:val="20"/>
      </w:rPr>
      <w:instrText xml:space="preserve"> page </w:instrText>
    </w:r>
    <w:r w:rsidRPr="006D3B19">
      <w:rPr>
        <w:rFonts w:ascii="Times New Roman" w:hAnsi="Times New Roman" w:cs="Times New Roman"/>
        <w:sz w:val="20"/>
      </w:rPr>
      <w:fldChar w:fldCharType="separate"/>
    </w:r>
    <w:r>
      <w:rPr>
        <w:rFonts w:ascii="Times New Roman" w:hAnsi="Times New Roman" w:cs="Times New Roman"/>
        <w:noProof/>
        <w:sz w:val="20"/>
      </w:rPr>
      <w:t>41</w:t>
    </w:r>
    <w:r w:rsidRPr="006D3B1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B0" w:rsidRDefault="009A1FB0" w:rsidP="008D14C8">
      <w:pPr>
        <w:spacing w:after="0" w:line="240" w:lineRule="auto"/>
      </w:pPr>
      <w:r>
        <w:separator/>
      </w:r>
    </w:p>
  </w:footnote>
  <w:footnote w:type="continuationSeparator" w:id="0">
    <w:p w:rsidR="009A1FB0" w:rsidRDefault="009A1FB0" w:rsidP="008D14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0" w:rsidRPr="006D3B19" w:rsidRDefault="009A1FB0" w:rsidP="006D3B1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D3B19">
      <w:rPr>
        <w:rFonts w:ascii="Times New Roman" w:hAnsi="Times New Roman" w:cs="Times New Roman" w:hint="eastAsia"/>
        <w:sz w:val="20"/>
        <w:szCs w:val="20"/>
      </w:rPr>
      <w:tab/>
    </w:r>
    <w:r w:rsidRPr="006D3B19">
      <w:rPr>
        <w:rFonts w:ascii="Times New Roman" w:hAnsi="Times New Roman" w:cs="Times New Roman"/>
        <w:sz w:val="20"/>
        <w:szCs w:val="20"/>
      </w:rPr>
      <w:t>New York Science Journal 201</w:t>
    </w:r>
    <w:r w:rsidRPr="006D3B19">
      <w:rPr>
        <w:rFonts w:ascii="Times New Roman" w:hAnsi="Times New Roman" w:cs="Times New Roman" w:hint="eastAsia"/>
        <w:sz w:val="20"/>
        <w:szCs w:val="20"/>
      </w:rPr>
      <w:t>6</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9</w:t>
    </w:r>
    <w:r w:rsidRPr="006D3B19">
      <w:rPr>
        <w:rFonts w:ascii="Times New Roman" w:hAnsi="Times New Roman" w:cs="Times New Roman"/>
        <w:sz w:val="20"/>
        <w:szCs w:val="20"/>
      </w:rPr>
      <w:t>(</w:t>
    </w:r>
    <w:r w:rsidRPr="006D3B19">
      <w:rPr>
        <w:rFonts w:ascii="Times New Roman" w:hAnsi="Times New Roman" w:cs="Times New Roman" w:hint="eastAsia"/>
        <w:sz w:val="20"/>
        <w:szCs w:val="20"/>
      </w:rPr>
      <w:t>10</w:t>
    </w:r>
    <w:r w:rsidRPr="006D3B19">
      <w:rPr>
        <w:rFonts w:ascii="Times New Roman" w:hAnsi="Times New Roman" w:cs="Times New Roman"/>
        <w:sz w:val="20"/>
        <w:szCs w:val="20"/>
      </w:rPr>
      <w:t>)</w:t>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ab/>
    </w:r>
    <w:r w:rsidRPr="006D3B19">
      <w:rPr>
        <w:rFonts w:ascii="Times New Roman" w:hAnsi="Times New Roman" w:cs="Times New Roman"/>
        <w:iCs/>
        <w:sz w:val="20"/>
        <w:szCs w:val="20"/>
      </w:rPr>
      <w:t xml:space="preserve"> </w:t>
    </w:r>
    <w:r w:rsidRPr="006D3B19">
      <w:rPr>
        <w:rFonts w:ascii="Times New Roman" w:hAnsi="Times New Roman" w:cs="Times New Roman" w:hint="eastAsia"/>
        <w:iCs/>
        <w:sz w:val="20"/>
        <w:szCs w:val="20"/>
      </w:rPr>
      <w:t xml:space="preserve"> </w:t>
    </w:r>
    <w:r w:rsidRPr="006D3B19">
      <w:rPr>
        <w:rFonts w:ascii="Times New Roman" w:hAnsi="Times New Roman" w:cs="Times New Roman"/>
        <w:iCs/>
        <w:sz w:val="20"/>
        <w:szCs w:val="20"/>
      </w:rPr>
      <w:t xml:space="preserve">   </w:t>
    </w:r>
    <w:hyperlink r:id="rId1" w:history="1">
      <w:r w:rsidRPr="006D3B19">
        <w:rPr>
          <w:rStyle w:val="Hyperlink"/>
          <w:rFonts w:ascii="Times New Roman" w:hAnsi="Times New Roman"/>
          <w:sz w:val="20"/>
          <w:szCs w:val="20"/>
        </w:rPr>
        <w:t>http://www.sciencepub.net/newyork</w:t>
      </w:r>
    </w:hyperlink>
  </w:p>
  <w:p w:rsidR="009A1FB0" w:rsidRPr="006D3B19" w:rsidRDefault="009A1FB0" w:rsidP="006D3B1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A6A"/>
    <w:multiLevelType w:val="hybridMultilevel"/>
    <w:tmpl w:val="53E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5B1749"/>
    <w:multiLevelType w:val="hybridMultilevel"/>
    <w:tmpl w:val="254E91A8"/>
    <w:lvl w:ilvl="0" w:tplc="4F1E9468">
      <w:start w:val="1"/>
      <w:numFmt w:val="decimal"/>
      <w:lvlText w:val="%1."/>
      <w:lvlJc w:val="left"/>
      <w:pPr>
        <w:ind w:left="284"/>
      </w:pPr>
      <w:rPr>
        <w:rFonts w:ascii="Times New Roman" w:eastAsia="Times New Roman" w:hAnsi="Times New Roman" w:cs="Times New Roman"/>
        <w:b w:val="0"/>
        <w:i w:val="0"/>
        <w:strike w:val="0"/>
        <w:dstrike w:val="0"/>
        <w:color w:val="181717"/>
        <w:sz w:val="18"/>
        <w:u w:val="none"/>
        <w:vertAlign w:val="baseline"/>
      </w:rPr>
    </w:lvl>
    <w:lvl w:ilvl="1" w:tplc="CA8A91DE">
      <w:start w:val="1"/>
      <w:numFmt w:val="lowerLetter"/>
      <w:lvlText w:val="%2"/>
      <w:lvlJc w:val="left"/>
      <w:pPr>
        <w:ind w:left="1080"/>
      </w:pPr>
      <w:rPr>
        <w:rFonts w:ascii="Times New Roman" w:eastAsia="Times New Roman" w:hAnsi="Times New Roman" w:cs="Times New Roman"/>
        <w:b w:val="0"/>
        <w:i w:val="0"/>
        <w:strike w:val="0"/>
        <w:dstrike w:val="0"/>
        <w:color w:val="181717"/>
        <w:sz w:val="18"/>
        <w:u w:val="none"/>
        <w:vertAlign w:val="baseline"/>
      </w:rPr>
    </w:lvl>
    <w:lvl w:ilvl="2" w:tplc="758258EA">
      <w:start w:val="1"/>
      <w:numFmt w:val="lowerRoman"/>
      <w:lvlText w:val="%3"/>
      <w:lvlJc w:val="left"/>
      <w:pPr>
        <w:ind w:left="1800"/>
      </w:pPr>
      <w:rPr>
        <w:rFonts w:ascii="Times New Roman" w:eastAsia="Times New Roman" w:hAnsi="Times New Roman" w:cs="Times New Roman"/>
        <w:b w:val="0"/>
        <w:i w:val="0"/>
        <w:strike w:val="0"/>
        <w:dstrike w:val="0"/>
        <w:color w:val="181717"/>
        <w:sz w:val="18"/>
        <w:u w:val="none"/>
        <w:vertAlign w:val="baseline"/>
      </w:rPr>
    </w:lvl>
    <w:lvl w:ilvl="3" w:tplc="686A1998">
      <w:start w:val="1"/>
      <w:numFmt w:val="decimal"/>
      <w:lvlText w:val="%4"/>
      <w:lvlJc w:val="left"/>
      <w:pPr>
        <w:ind w:left="2520"/>
      </w:pPr>
      <w:rPr>
        <w:rFonts w:ascii="Times New Roman" w:eastAsia="Times New Roman" w:hAnsi="Times New Roman" w:cs="Times New Roman"/>
        <w:b w:val="0"/>
        <w:i w:val="0"/>
        <w:strike w:val="0"/>
        <w:dstrike w:val="0"/>
        <w:color w:val="181717"/>
        <w:sz w:val="18"/>
        <w:u w:val="none"/>
        <w:vertAlign w:val="baseline"/>
      </w:rPr>
    </w:lvl>
    <w:lvl w:ilvl="4" w:tplc="2E9A51E2">
      <w:start w:val="1"/>
      <w:numFmt w:val="lowerLetter"/>
      <w:lvlText w:val="%5"/>
      <w:lvlJc w:val="left"/>
      <w:pPr>
        <w:ind w:left="3240"/>
      </w:pPr>
      <w:rPr>
        <w:rFonts w:ascii="Times New Roman" w:eastAsia="Times New Roman" w:hAnsi="Times New Roman" w:cs="Times New Roman"/>
        <w:b w:val="0"/>
        <w:i w:val="0"/>
        <w:strike w:val="0"/>
        <w:dstrike w:val="0"/>
        <w:color w:val="181717"/>
        <w:sz w:val="18"/>
        <w:u w:val="none"/>
        <w:vertAlign w:val="baseline"/>
      </w:rPr>
    </w:lvl>
    <w:lvl w:ilvl="5" w:tplc="BE1856A0">
      <w:start w:val="1"/>
      <w:numFmt w:val="lowerRoman"/>
      <w:lvlText w:val="%6"/>
      <w:lvlJc w:val="left"/>
      <w:pPr>
        <w:ind w:left="3960"/>
      </w:pPr>
      <w:rPr>
        <w:rFonts w:ascii="Times New Roman" w:eastAsia="Times New Roman" w:hAnsi="Times New Roman" w:cs="Times New Roman"/>
        <w:b w:val="0"/>
        <w:i w:val="0"/>
        <w:strike w:val="0"/>
        <w:dstrike w:val="0"/>
        <w:color w:val="181717"/>
        <w:sz w:val="18"/>
        <w:u w:val="none"/>
        <w:vertAlign w:val="baseline"/>
      </w:rPr>
    </w:lvl>
    <w:lvl w:ilvl="6" w:tplc="C73CDAD4">
      <w:start w:val="1"/>
      <w:numFmt w:val="decimal"/>
      <w:lvlText w:val="%7"/>
      <w:lvlJc w:val="left"/>
      <w:pPr>
        <w:ind w:left="4680"/>
      </w:pPr>
      <w:rPr>
        <w:rFonts w:ascii="Times New Roman" w:eastAsia="Times New Roman" w:hAnsi="Times New Roman" w:cs="Times New Roman"/>
        <w:b w:val="0"/>
        <w:i w:val="0"/>
        <w:strike w:val="0"/>
        <w:dstrike w:val="0"/>
        <w:color w:val="181717"/>
        <w:sz w:val="18"/>
        <w:u w:val="none"/>
        <w:vertAlign w:val="baseline"/>
      </w:rPr>
    </w:lvl>
    <w:lvl w:ilvl="7" w:tplc="728E3578">
      <w:start w:val="1"/>
      <w:numFmt w:val="lowerLetter"/>
      <w:lvlText w:val="%8"/>
      <w:lvlJc w:val="left"/>
      <w:pPr>
        <w:ind w:left="5400"/>
      </w:pPr>
      <w:rPr>
        <w:rFonts w:ascii="Times New Roman" w:eastAsia="Times New Roman" w:hAnsi="Times New Roman" w:cs="Times New Roman"/>
        <w:b w:val="0"/>
        <w:i w:val="0"/>
        <w:strike w:val="0"/>
        <w:dstrike w:val="0"/>
        <w:color w:val="181717"/>
        <w:sz w:val="18"/>
        <w:u w:val="none"/>
        <w:vertAlign w:val="baseline"/>
      </w:rPr>
    </w:lvl>
    <w:lvl w:ilvl="8" w:tplc="A016F51E">
      <w:start w:val="1"/>
      <w:numFmt w:val="lowerRoman"/>
      <w:lvlText w:val="%9"/>
      <w:lvlJc w:val="left"/>
      <w:pPr>
        <w:ind w:left="6120"/>
      </w:pPr>
      <w:rPr>
        <w:rFonts w:ascii="Times New Roman" w:eastAsia="Times New Roman" w:hAnsi="Times New Roman" w:cs="Times New Roman"/>
        <w:b w:val="0"/>
        <w:i w:val="0"/>
        <w:strike w:val="0"/>
        <w:dstrike w:val="0"/>
        <w:color w:val="181717"/>
        <w:sz w:val="18"/>
        <w:u w:val="none"/>
        <w:vertAlign w:val="baseline"/>
      </w:rPr>
    </w:lvl>
  </w:abstractNum>
  <w:abstractNum w:abstractNumId="2">
    <w:nsid w:val="14DD1D7F"/>
    <w:multiLevelType w:val="hybridMultilevel"/>
    <w:tmpl w:val="95B843AA"/>
    <w:lvl w:ilvl="0" w:tplc="04090001">
      <w:start w:val="1"/>
      <w:numFmt w:val="bullet"/>
      <w:lvlText w:val=""/>
      <w:lvlJc w:val="left"/>
      <w:pPr>
        <w:ind w:left="246"/>
      </w:pPr>
      <w:rPr>
        <w:rFonts w:ascii="Symbol" w:hAnsi="Symbol" w:hint="default"/>
        <w:b w:val="0"/>
        <w:i w:val="0"/>
        <w:strike w:val="0"/>
        <w:dstrike w:val="0"/>
        <w:color w:val="181717"/>
        <w:sz w:val="16"/>
        <w:u w:val="none"/>
        <w:vertAlign w:val="baseline"/>
      </w:rPr>
    </w:lvl>
    <w:lvl w:ilvl="1" w:tplc="67AA7FCC">
      <w:start w:val="1"/>
      <w:numFmt w:val="lowerLetter"/>
      <w:lvlText w:val="%2"/>
      <w:lvlJc w:val="left"/>
      <w:pPr>
        <w:ind w:left="1166"/>
      </w:pPr>
      <w:rPr>
        <w:rFonts w:ascii="Times New Roman" w:eastAsia="Times New Roman" w:hAnsi="Times New Roman" w:cs="Times New Roman"/>
        <w:b w:val="0"/>
        <w:i w:val="0"/>
        <w:strike w:val="0"/>
        <w:dstrike w:val="0"/>
        <w:color w:val="181717"/>
        <w:sz w:val="16"/>
        <w:u w:val="none"/>
        <w:vertAlign w:val="baseline"/>
      </w:rPr>
    </w:lvl>
    <w:lvl w:ilvl="2" w:tplc="2AF8B114">
      <w:start w:val="1"/>
      <w:numFmt w:val="lowerRoman"/>
      <w:lvlText w:val="%3"/>
      <w:lvlJc w:val="left"/>
      <w:pPr>
        <w:ind w:left="1886"/>
      </w:pPr>
      <w:rPr>
        <w:rFonts w:ascii="Times New Roman" w:eastAsia="Times New Roman" w:hAnsi="Times New Roman" w:cs="Times New Roman"/>
        <w:b w:val="0"/>
        <w:i w:val="0"/>
        <w:strike w:val="0"/>
        <w:dstrike w:val="0"/>
        <w:color w:val="181717"/>
        <w:sz w:val="16"/>
        <w:u w:val="none"/>
        <w:vertAlign w:val="baseline"/>
      </w:rPr>
    </w:lvl>
    <w:lvl w:ilvl="3" w:tplc="F014EB84">
      <w:start w:val="1"/>
      <w:numFmt w:val="decimal"/>
      <w:lvlText w:val="%4"/>
      <w:lvlJc w:val="left"/>
      <w:pPr>
        <w:ind w:left="2606"/>
      </w:pPr>
      <w:rPr>
        <w:rFonts w:ascii="Times New Roman" w:eastAsia="Times New Roman" w:hAnsi="Times New Roman" w:cs="Times New Roman"/>
        <w:b w:val="0"/>
        <w:i w:val="0"/>
        <w:strike w:val="0"/>
        <w:dstrike w:val="0"/>
        <w:color w:val="181717"/>
        <w:sz w:val="16"/>
        <w:u w:val="none"/>
        <w:vertAlign w:val="baseline"/>
      </w:rPr>
    </w:lvl>
    <w:lvl w:ilvl="4" w:tplc="B890E4AC">
      <w:start w:val="1"/>
      <w:numFmt w:val="lowerLetter"/>
      <w:lvlText w:val="%5"/>
      <w:lvlJc w:val="left"/>
      <w:pPr>
        <w:ind w:left="3326"/>
      </w:pPr>
      <w:rPr>
        <w:rFonts w:ascii="Times New Roman" w:eastAsia="Times New Roman" w:hAnsi="Times New Roman" w:cs="Times New Roman"/>
        <w:b w:val="0"/>
        <w:i w:val="0"/>
        <w:strike w:val="0"/>
        <w:dstrike w:val="0"/>
        <w:color w:val="181717"/>
        <w:sz w:val="16"/>
        <w:u w:val="none"/>
        <w:vertAlign w:val="baseline"/>
      </w:rPr>
    </w:lvl>
    <w:lvl w:ilvl="5" w:tplc="20549EB0">
      <w:start w:val="1"/>
      <w:numFmt w:val="lowerRoman"/>
      <w:lvlText w:val="%6"/>
      <w:lvlJc w:val="left"/>
      <w:pPr>
        <w:ind w:left="4046"/>
      </w:pPr>
      <w:rPr>
        <w:rFonts w:ascii="Times New Roman" w:eastAsia="Times New Roman" w:hAnsi="Times New Roman" w:cs="Times New Roman"/>
        <w:b w:val="0"/>
        <w:i w:val="0"/>
        <w:strike w:val="0"/>
        <w:dstrike w:val="0"/>
        <w:color w:val="181717"/>
        <w:sz w:val="16"/>
        <w:u w:val="none"/>
        <w:vertAlign w:val="baseline"/>
      </w:rPr>
    </w:lvl>
    <w:lvl w:ilvl="6" w:tplc="3F62FDEE">
      <w:start w:val="1"/>
      <w:numFmt w:val="decimal"/>
      <w:lvlText w:val="%7"/>
      <w:lvlJc w:val="left"/>
      <w:pPr>
        <w:ind w:left="4766"/>
      </w:pPr>
      <w:rPr>
        <w:rFonts w:ascii="Times New Roman" w:eastAsia="Times New Roman" w:hAnsi="Times New Roman" w:cs="Times New Roman"/>
        <w:b w:val="0"/>
        <w:i w:val="0"/>
        <w:strike w:val="0"/>
        <w:dstrike w:val="0"/>
        <w:color w:val="181717"/>
        <w:sz w:val="16"/>
        <w:u w:val="none"/>
        <w:vertAlign w:val="baseline"/>
      </w:rPr>
    </w:lvl>
    <w:lvl w:ilvl="7" w:tplc="39A03C5C">
      <w:start w:val="1"/>
      <w:numFmt w:val="lowerLetter"/>
      <w:lvlText w:val="%8"/>
      <w:lvlJc w:val="left"/>
      <w:pPr>
        <w:ind w:left="5486"/>
      </w:pPr>
      <w:rPr>
        <w:rFonts w:ascii="Times New Roman" w:eastAsia="Times New Roman" w:hAnsi="Times New Roman" w:cs="Times New Roman"/>
        <w:b w:val="0"/>
        <w:i w:val="0"/>
        <w:strike w:val="0"/>
        <w:dstrike w:val="0"/>
        <w:color w:val="181717"/>
        <w:sz w:val="16"/>
        <w:u w:val="none"/>
        <w:vertAlign w:val="baseline"/>
      </w:rPr>
    </w:lvl>
    <w:lvl w:ilvl="8" w:tplc="0CCE7A08">
      <w:start w:val="1"/>
      <w:numFmt w:val="lowerRoman"/>
      <w:lvlText w:val="%9"/>
      <w:lvlJc w:val="left"/>
      <w:pPr>
        <w:ind w:left="6206"/>
      </w:pPr>
      <w:rPr>
        <w:rFonts w:ascii="Times New Roman" w:eastAsia="Times New Roman" w:hAnsi="Times New Roman" w:cs="Times New Roman"/>
        <w:b w:val="0"/>
        <w:i w:val="0"/>
        <w:strike w:val="0"/>
        <w:dstrike w:val="0"/>
        <w:color w:val="181717"/>
        <w:sz w:val="16"/>
        <w:u w:val="none"/>
        <w:vertAlign w:val="baseline"/>
      </w:rPr>
    </w:lvl>
  </w:abstractNum>
  <w:abstractNum w:abstractNumId="3">
    <w:nsid w:val="2126743E"/>
    <w:multiLevelType w:val="hybridMultilevel"/>
    <w:tmpl w:val="822C6E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264D06A9"/>
    <w:multiLevelType w:val="hybridMultilevel"/>
    <w:tmpl w:val="55005488"/>
    <w:lvl w:ilvl="0" w:tplc="04090001">
      <w:start w:val="1"/>
      <w:numFmt w:val="decimal"/>
      <w:lvlText w:val="%1-"/>
      <w:lvlJc w:val="left"/>
      <w:pPr>
        <w:ind w:left="720" w:hanging="360"/>
      </w:pPr>
      <w:rPr>
        <w:rFonts w:ascii="Times New Roman" w:hAnsi="Times New Roman" w:cs="Times New Roman"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5">
    <w:nsid w:val="2AE255C0"/>
    <w:multiLevelType w:val="hybridMultilevel"/>
    <w:tmpl w:val="7F3EDA34"/>
    <w:lvl w:ilvl="0" w:tplc="69229AF0">
      <w:start w:val="6"/>
      <w:numFmt w:val="decimal"/>
      <w:lvlText w:val="%1-"/>
      <w:lvlJc w:val="left"/>
      <w:pPr>
        <w:ind w:left="606" w:hanging="360"/>
      </w:pPr>
      <w:rPr>
        <w:rFonts w:cs="Times New Roman" w:hint="default"/>
        <w:sz w:val="16"/>
      </w:rPr>
    </w:lvl>
    <w:lvl w:ilvl="1" w:tplc="04090019">
      <w:start w:val="1"/>
      <w:numFmt w:val="lowerLetter"/>
      <w:lvlText w:val="%2."/>
      <w:lvlJc w:val="left"/>
      <w:pPr>
        <w:ind w:left="1326" w:hanging="360"/>
      </w:pPr>
      <w:rPr>
        <w:rFonts w:cs="Times New Roman"/>
      </w:rPr>
    </w:lvl>
    <w:lvl w:ilvl="2" w:tplc="0409001B">
      <w:start w:val="1"/>
      <w:numFmt w:val="lowerRoman"/>
      <w:lvlText w:val="%3."/>
      <w:lvlJc w:val="right"/>
      <w:pPr>
        <w:ind w:left="2046" w:hanging="180"/>
      </w:pPr>
      <w:rPr>
        <w:rFonts w:cs="Times New Roman"/>
      </w:rPr>
    </w:lvl>
    <w:lvl w:ilvl="3" w:tplc="0409000F">
      <w:start w:val="1"/>
      <w:numFmt w:val="decimal"/>
      <w:lvlText w:val="%4."/>
      <w:lvlJc w:val="left"/>
      <w:pPr>
        <w:ind w:left="2766" w:hanging="360"/>
      </w:pPr>
      <w:rPr>
        <w:rFonts w:cs="Times New Roman"/>
      </w:rPr>
    </w:lvl>
    <w:lvl w:ilvl="4" w:tplc="04090019">
      <w:start w:val="1"/>
      <w:numFmt w:val="lowerLetter"/>
      <w:lvlText w:val="%5."/>
      <w:lvlJc w:val="left"/>
      <w:pPr>
        <w:ind w:left="3486" w:hanging="360"/>
      </w:pPr>
      <w:rPr>
        <w:rFonts w:cs="Times New Roman"/>
      </w:rPr>
    </w:lvl>
    <w:lvl w:ilvl="5" w:tplc="0409001B">
      <w:start w:val="1"/>
      <w:numFmt w:val="lowerRoman"/>
      <w:lvlText w:val="%6."/>
      <w:lvlJc w:val="right"/>
      <w:pPr>
        <w:ind w:left="4206" w:hanging="180"/>
      </w:pPr>
      <w:rPr>
        <w:rFonts w:cs="Times New Roman"/>
      </w:rPr>
    </w:lvl>
    <w:lvl w:ilvl="6" w:tplc="0409000F">
      <w:start w:val="1"/>
      <w:numFmt w:val="decimal"/>
      <w:lvlText w:val="%7."/>
      <w:lvlJc w:val="left"/>
      <w:pPr>
        <w:ind w:left="4926" w:hanging="360"/>
      </w:pPr>
      <w:rPr>
        <w:rFonts w:cs="Times New Roman"/>
      </w:rPr>
    </w:lvl>
    <w:lvl w:ilvl="7" w:tplc="04090019">
      <w:start w:val="1"/>
      <w:numFmt w:val="lowerLetter"/>
      <w:lvlText w:val="%8."/>
      <w:lvlJc w:val="left"/>
      <w:pPr>
        <w:ind w:left="5646" w:hanging="360"/>
      </w:pPr>
      <w:rPr>
        <w:rFonts w:cs="Times New Roman"/>
      </w:rPr>
    </w:lvl>
    <w:lvl w:ilvl="8" w:tplc="0409001B">
      <w:start w:val="1"/>
      <w:numFmt w:val="lowerRoman"/>
      <w:lvlText w:val="%9."/>
      <w:lvlJc w:val="right"/>
      <w:pPr>
        <w:ind w:left="6366" w:hanging="180"/>
      </w:pPr>
      <w:rPr>
        <w:rFonts w:cs="Times New Roman"/>
      </w:rPr>
    </w:lvl>
  </w:abstractNum>
  <w:abstractNum w:abstractNumId="6">
    <w:nsid w:val="3E4946AD"/>
    <w:multiLevelType w:val="hybridMultilevel"/>
    <w:tmpl w:val="4B1868F0"/>
    <w:lvl w:ilvl="0" w:tplc="2506BDA8">
      <w:start w:val="1"/>
      <w:numFmt w:val="decimal"/>
      <w:lvlText w:val="%1"/>
      <w:lvlJc w:val="left"/>
      <w:pPr>
        <w:ind w:left="246"/>
      </w:pPr>
      <w:rPr>
        <w:rFonts w:ascii="Times New Roman" w:eastAsia="Times New Roman" w:hAnsi="Times New Roman" w:cs="Times New Roman"/>
        <w:b w:val="0"/>
        <w:i w:val="0"/>
        <w:strike w:val="0"/>
        <w:dstrike w:val="0"/>
        <w:color w:val="181717"/>
        <w:sz w:val="16"/>
        <w:u w:val="none"/>
        <w:vertAlign w:val="baseline"/>
      </w:rPr>
    </w:lvl>
    <w:lvl w:ilvl="1" w:tplc="67AA7FCC">
      <w:start w:val="1"/>
      <w:numFmt w:val="lowerLetter"/>
      <w:lvlText w:val="%2"/>
      <w:lvlJc w:val="left"/>
      <w:pPr>
        <w:ind w:left="1166"/>
      </w:pPr>
      <w:rPr>
        <w:rFonts w:ascii="Times New Roman" w:eastAsia="Times New Roman" w:hAnsi="Times New Roman" w:cs="Times New Roman"/>
        <w:b w:val="0"/>
        <w:i w:val="0"/>
        <w:strike w:val="0"/>
        <w:dstrike w:val="0"/>
        <w:color w:val="181717"/>
        <w:sz w:val="16"/>
        <w:u w:val="none"/>
        <w:vertAlign w:val="baseline"/>
      </w:rPr>
    </w:lvl>
    <w:lvl w:ilvl="2" w:tplc="2AF8B114">
      <w:start w:val="1"/>
      <w:numFmt w:val="lowerRoman"/>
      <w:lvlText w:val="%3"/>
      <w:lvlJc w:val="left"/>
      <w:pPr>
        <w:ind w:left="1886"/>
      </w:pPr>
      <w:rPr>
        <w:rFonts w:ascii="Times New Roman" w:eastAsia="Times New Roman" w:hAnsi="Times New Roman" w:cs="Times New Roman"/>
        <w:b w:val="0"/>
        <w:i w:val="0"/>
        <w:strike w:val="0"/>
        <w:dstrike w:val="0"/>
        <w:color w:val="181717"/>
        <w:sz w:val="16"/>
        <w:u w:val="none"/>
        <w:vertAlign w:val="baseline"/>
      </w:rPr>
    </w:lvl>
    <w:lvl w:ilvl="3" w:tplc="F014EB84">
      <w:start w:val="1"/>
      <w:numFmt w:val="decimal"/>
      <w:lvlText w:val="%4"/>
      <w:lvlJc w:val="left"/>
      <w:pPr>
        <w:ind w:left="2606"/>
      </w:pPr>
      <w:rPr>
        <w:rFonts w:ascii="Times New Roman" w:eastAsia="Times New Roman" w:hAnsi="Times New Roman" w:cs="Times New Roman"/>
        <w:b w:val="0"/>
        <w:i w:val="0"/>
        <w:strike w:val="0"/>
        <w:dstrike w:val="0"/>
        <w:color w:val="181717"/>
        <w:sz w:val="16"/>
        <w:u w:val="none"/>
        <w:vertAlign w:val="baseline"/>
      </w:rPr>
    </w:lvl>
    <w:lvl w:ilvl="4" w:tplc="B890E4AC">
      <w:start w:val="1"/>
      <w:numFmt w:val="lowerLetter"/>
      <w:lvlText w:val="%5"/>
      <w:lvlJc w:val="left"/>
      <w:pPr>
        <w:ind w:left="3326"/>
      </w:pPr>
      <w:rPr>
        <w:rFonts w:ascii="Times New Roman" w:eastAsia="Times New Roman" w:hAnsi="Times New Roman" w:cs="Times New Roman"/>
        <w:b w:val="0"/>
        <w:i w:val="0"/>
        <w:strike w:val="0"/>
        <w:dstrike w:val="0"/>
        <w:color w:val="181717"/>
        <w:sz w:val="16"/>
        <w:u w:val="none"/>
        <w:vertAlign w:val="baseline"/>
      </w:rPr>
    </w:lvl>
    <w:lvl w:ilvl="5" w:tplc="20549EB0">
      <w:start w:val="1"/>
      <w:numFmt w:val="lowerRoman"/>
      <w:lvlText w:val="%6"/>
      <w:lvlJc w:val="left"/>
      <w:pPr>
        <w:ind w:left="4046"/>
      </w:pPr>
      <w:rPr>
        <w:rFonts w:ascii="Times New Roman" w:eastAsia="Times New Roman" w:hAnsi="Times New Roman" w:cs="Times New Roman"/>
        <w:b w:val="0"/>
        <w:i w:val="0"/>
        <w:strike w:val="0"/>
        <w:dstrike w:val="0"/>
        <w:color w:val="181717"/>
        <w:sz w:val="16"/>
        <w:u w:val="none"/>
        <w:vertAlign w:val="baseline"/>
      </w:rPr>
    </w:lvl>
    <w:lvl w:ilvl="6" w:tplc="3F62FDEE">
      <w:start w:val="1"/>
      <w:numFmt w:val="decimal"/>
      <w:lvlText w:val="%7"/>
      <w:lvlJc w:val="left"/>
      <w:pPr>
        <w:ind w:left="4766"/>
      </w:pPr>
      <w:rPr>
        <w:rFonts w:ascii="Times New Roman" w:eastAsia="Times New Roman" w:hAnsi="Times New Roman" w:cs="Times New Roman"/>
        <w:b w:val="0"/>
        <w:i w:val="0"/>
        <w:strike w:val="0"/>
        <w:dstrike w:val="0"/>
        <w:color w:val="181717"/>
        <w:sz w:val="16"/>
        <w:u w:val="none"/>
        <w:vertAlign w:val="baseline"/>
      </w:rPr>
    </w:lvl>
    <w:lvl w:ilvl="7" w:tplc="39A03C5C">
      <w:start w:val="1"/>
      <w:numFmt w:val="lowerLetter"/>
      <w:lvlText w:val="%8"/>
      <w:lvlJc w:val="left"/>
      <w:pPr>
        <w:ind w:left="5486"/>
      </w:pPr>
      <w:rPr>
        <w:rFonts w:ascii="Times New Roman" w:eastAsia="Times New Roman" w:hAnsi="Times New Roman" w:cs="Times New Roman"/>
        <w:b w:val="0"/>
        <w:i w:val="0"/>
        <w:strike w:val="0"/>
        <w:dstrike w:val="0"/>
        <w:color w:val="181717"/>
        <w:sz w:val="16"/>
        <w:u w:val="none"/>
        <w:vertAlign w:val="baseline"/>
      </w:rPr>
    </w:lvl>
    <w:lvl w:ilvl="8" w:tplc="0CCE7A08">
      <w:start w:val="1"/>
      <w:numFmt w:val="lowerRoman"/>
      <w:lvlText w:val="%9"/>
      <w:lvlJc w:val="left"/>
      <w:pPr>
        <w:ind w:left="6206"/>
      </w:pPr>
      <w:rPr>
        <w:rFonts w:ascii="Times New Roman" w:eastAsia="Times New Roman" w:hAnsi="Times New Roman" w:cs="Times New Roman"/>
        <w:b w:val="0"/>
        <w:i w:val="0"/>
        <w:strike w:val="0"/>
        <w:dstrike w:val="0"/>
        <w:color w:val="181717"/>
        <w:sz w:val="16"/>
        <w:u w:val="none"/>
        <w:vertAlign w:val="baseline"/>
      </w:rPr>
    </w:lvl>
  </w:abstractNum>
  <w:abstractNum w:abstractNumId="7">
    <w:nsid w:val="41226D21"/>
    <w:multiLevelType w:val="multilevel"/>
    <w:tmpl w:val="1C601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32F1CE8"/>
    <w:multiLevelType w:val="hybridMultilevel"/>
    <w:tmpl w:val="278EB494"/>
    <w:lvl w:ilvl="0" w:tplc="42D08C2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440B5D"/>
    <w:multiLevelType w:val="multilevel"/>
    <w:tmpl w:val="34F2977E"/>
    <w:lvl w:ilvl="0">
      <w:start w:val="1"/>
      <w:numFmt w:val="decimal"/>
      <w:lvlText w:val="%1."/>
      <w:lvlJc w:val="left"/>
      <w:pPr>
        <w:tabs>
          <w:tab w:val="num" w:pos="720"/>
        </w:tabs>
        <w:ind w:left="720" w:hanging="360"/>
      </w:pPr>
      <w:rPr>
        <w:rFonts w:cs="Times New Roman"/>
      </w:rPr>
    </w:lvl>
    <w:lvl w:ilvl="1">
      <w:start w:val="61"/>
      <w:numFmt w:val="decimal"/>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A833C16"/>
    <w:multiLevelType w:val="hybridMultilevel"/>
    <w:tmpl w:val="9852FF3C"/>
    <w:lvl w:ilvl="0" w:tplc="48AA25AE">
      <w:start w:val="1"/>
      <w:numFmt w:val="decimal"/>
      <w:lvlText w:val="%1."/>
      <w:lvlJc w:val="left"/>
      <w:pPr>
        <w:ind w:left="284"/>
      </w:pPr>
      <w:rPr>
        <w:rFonts w:ascii="Times New Roman" w:eastAsia="Times New Roman" w:hAnsi="Times New Roman" w:cs="Times New Roman"/>
        <w:b w:val="0"/>
        <w:i w:val="0"/>
        <w:strike w:val="0"/>
        <w:dstrike w:val="0"/>
        <w:color w:val="181717"/>
        <w:sz w:val="18"/>
        <w:u w:val="none"/>
        <w:vertAlign w:val="baseline"/>
      </w:rPr>
    </w:lvl>
    <w:lvl w:ilvl="1" w:tplc="D0D28894">
      <w:start w:val="1"/>
      <w:numFmt w:val="lowerLetter"/>
      <w:lvlText w:val="%2"/>
      <w:lvlJc w:val="left"/>
      <w:pPr>
        <w:ind w:left="1080"/>
      </w:pPr>
      <w:rPr>
        <w:rFonts w:ascii="Times New Roman" w:eastAsia="Times New Roman" w:hAnsi="Times New Roman" w:cs="Times New Roman"/>
        <w:b w:val="0"/>
        <w:i w:val="0"/>
        <w:strike w:val="0"/>
        <w:dstrike w:val="0"/>
        <w:color w:val="181717"/>
        <w:sz w:val="18"/>
        <w:u w:val="none"/>
        <w:vertAlign w:val="baseline"/>
      </w:rPr>
    </w:lvl>
    <w:lvl w:ilvl="2" w:tplc="3D228BA8">
      <w:start w:val="1"/>
      <w:numFmt w:val="lowerRoman"/>
      <w:lvlText w:val="%3"/>
      <w:lvlJc w:val="left"/>
      <w:pPr>
        <w:ind w:left="1800"/>
      </w:pPr>
      <w:rPr>
        <w:rFonts w:ascii="Times New Roman" w:eastAsia="Times New Roman" w:hAnsi="Times New Roman" w:cs="Times New Roman"/>
        <w:b w:val="0"/>
        <w:i w:val="0"/>
        <w:strike w:val="0"/>
        <w:dstrike w:val="0"/>
        <w:color w:val="181717"/>
        <w:sz w:val="18"/>
        <w:u w:val="none"/>
        <w:vertAlign w:val="baseline"/>
      </w:rPr>
    </w:lvl>
    <w:lvl w:ilvl="3" w:tplc="0C94D1D2">
      <w:start w:val="1"/>
      <w:numFmt w:val="decimal"/>
      <w:lvlText w:val="%4"/>
      <w:lvlJc w:val="left"/>
      <w:pPr>
        <w:ind w:left="2520"/>
      </w:pPr>
      <w:rPr>
        <w:rFonts w:ascii="Times New Roman" w:eastAsia="Times New Roman" w:hAnsi="Times New Roman" w:cs="Times New Roman"/>
        <w:b w:val="0"/>
        <w:i w:val="0"/>
        <w:strike w:val="0"/>
        <w:dstrike w:val="0"/>
        <w:color w:val="181717"/>
        <w:sz w:val="18"/>
        <w:u w:val="none"/>
        <w:vertAlign w:val="baseline"/>
      </w:rPr>
    </w:lvl>
    <w:lvl w:ilvl="4" w:tplc="0E924E7A">
      <w:start w:val="1"/>
      <w:numFmt w:val="lowerLetter"/>
      <w:lvlText w:val="%5"/>
      <w:lvlJc w:val="left"/>
      <w:pPr>
        <w:ind w:left="3240"/>
      </w:pPr>
      <w:rPr>
        <w:rFonts w:ascii="Times New Roman" w:eastAsia="Times New Roman" w:hAnsi="Times New Roman" w:cs="Times New Roman"/>
        <w:b w:val="0"/>
        <w:i w:val="0"/>
        <w:strike w:val="0"/>
        <w:dstrike w:val="0"/>
        <w:color w:val="181717"/>
        <w:sz w:val="18"/>
        <w:u w:val="none"/>
        <w:vertAlign w:val="baseline"/>
      </w:rPr>
    </w:lvl>
    <w:lvl w:ilvl="5" w:tplc="189ED58C">
      <w:start w:val="1"/>
      <w:numFmt w:val="lowerRoman"/>
      <w:lvlText w:val="%6"/>
      <w:lvlJc w:val="left"/>
      <w:pPr>
        <w:ind w:left="3960"/>
      </w:pPr>
      <w:rPr>
        <w:rFonts w:ascii="Times New Roman" w:eastAsia="Times New Roman" w:hAnsi="Times New Roman" w:cs="Times New Roman"/>
        <w:b w:val="0"/>
        <w:i w:val="0"/>
        <w:strike w:val="0"/>
        <w:dstrike w:val="0"/>
        <w:color w:val="181717"/>
        <w:sz w:val="18"/>
        <w:u w:val="none"/>
        <w:vertAlign w:val="baseline"/>
      </w:rPr>
    </w:lvl>
    <w:lvl w:ilvl="6" w:tplc="EF7633CE">
      <w:start w:val="1"/>
      <w:numFmt w:val="decimal"/>
      <w:lvlText w:val="%7"/>
      <w:lvlJc w:val="left"/>
      <w:pPr>
        <w:ind w:left="4680"/>
      </w:pPr>
      <w:rPr>
        <w:rFonts w:ascii="Times New Roman" w:eastAsia="Times New Roman" w:hAnsi="Times New Roman" w:cs="Times New Roman"/>
        <w:b w:val="0"/>
        <w:i w:val="0"/>
        <w:strike w:val="0"/>
        <w:dstrike w:val="0"/>
        <w:color w:val="181717"/>
        <w:sz w:val="18"/>
        <w:u w:val="none"/>
        <w:vertAlign w:val="baseline"/>
      </w:rPr>
    </w:lvl>
    <w:lvl w:ilvl="7" w:tplc="E7E4A45C">
      <w:start w:val="1"/>
      <w:numFmt w:val="lowerLetter"/>
      <w:lvlText w:val="%8"/>
      <w:lvlJc w:val="left"/>
      <w:pPr>
        <w:ind w:left="5400"/>
      </w:pPr>
      <w:rPr>
        <w:rFonts w:ascii="Times New Roman" w:eastAsia="Times New Roman" w:hAnsi="Times New Roman" w:cs="Times New Roman"/>
        <w:b w:val="0"/>
        <w:i w:val="0"/>
        <w:strike w:val="0"/>
        <w:dstrike w:val="0"/>
        <w:color w:val="181717"/>
        <w:sz w:val="18"/>
        <w:u w:val="none"/>
        <w:vertAlign w:val="baseline"/>
      </w:rPr>
    </w:lvl>
    <w:lvl w:ilvl="8" w:tplc="E0025420">
      <w:start w:val="1"/>
      <w:numFmt w:val="lowerRoman"/>
      <w:lvlText w:val="%9"/>
      <w:lvlJc w:val="left"/>
      <w:pPr>
        <w:ind w:left="6120"/>
      </w:pPr>
      <w:rPr>
        <w:rFonts w:ascii="Times New Roman" w:eastAsia="Times New Roman" w:hAnsi="Times New Roman" w:cs="Times New Roman"/>
        <w:b w:val="0"/>
        <w:i w:val="0"/>
        <w:strike w:val="0"/>
        <w:dstrike w:val="0"/>
        <w:color w:val="181717"/>
        <w:sz w:val="18"/>
        <w:u w:val="none"/>
        <w:vertAlign w:val="baseline"/>
      </w:rPr>
    </w:lvl>
  </w:abstractNum>
  <w:abstractNum w:abstractNumId="11">
    <w:nsid w:val="60961B2D"/>
    <w:multiLevelType w:val="hybridMultilevel"/>
    <w:tmpl w:val="71040E5C"/>
    <w:lvl w:ilvl="0" w:tplc="04090001">
      <w:start w:val="1"/>
      <w:numFmt w:val="bullet"/>
      <w:lvlText w:val=""/>
      <w:lvlJc w:val="left"/>
      <w:pPr>
        <w:ind w:left="720" w:hanging="360"/>
      </w:pPr>
      <w:rPr>
        <w:rFonts w:ascii="Symbol" w:hAnsi="Symbol" w:hint="default"/>
        <w:b w:val="0"/>
        <w:i w:val="0"/>
        <w:strike w:val="0"/>
        <w:dstrike w:val="0"/>
        <w:color w:val="181717"/>
        <w:sz w:val="16"/>
        <w:u w:val="none"/>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29B12D4"/>
    <w:multiLevelType w:val="hybridMultilevel"/>
    <w:tmpl w:val="1E505EB6"/>
    <w:lvl w:ilvl="0" w:tplc="099E39E0">
      <w:start w:val="1"/>
      <w:numFmt w:val="decimal"/>
      <w:lvlText w:val="%1"/>
      <w:lvlJc w:val="left"/>
      <w:pPr>
        <w:ind w:left="239"/>
      </w:pPr>
      <w:rPr>
        <w:rFonts w:ascii="Times New Roman" w:eastAsia="Times New Roman" w:hAnsi="Times New Roman" w:cs="Times New Roman"/>
        <w:b w:val="0"/>
        <w:i w:val="0"/>
        <w:strike w:val="0"/>
        <w:dstrike w:val="0"/>
        <w:color w:val="181717"/>
        <w:sz w:val="16"/>
        <w:u w:val="none"/>
        <w:vertAlign w:val="baseline"/>
      </w:rPr>
    </w:lvl>
    <w:lvl w:ilvl="1" w:tplc="CCF0CAE0">
      <w:start w:val="1"/>
      <w:numFmt w:val="lowerLetter"/>
      <w:lvlText w:val="%2"/>
      <w:lvlJc w:val="left"/>
      <w:pPr>
        <w:ind w:left="1080"/>
      </w:pPr>
      <w:rPr>
        <w:rFonts w:ascii="Times New Roman" w:eastAsia="Times New Roman" w:hAnsi="Times New Roman" w:cs="Times New Roman"/>
        <w:b w:val="0"/>
        <w:i w:val="0"/>
        <w:strike w:val="0"/>
        <w:dstrike w:val="0"/>
        <w:color w:val="181717"/>
        <w:sz w:val="16"/>
        <w:u w:val="none"/>
        <w:vertAlign w:val="baseline"/>
      </w:rPr>
    </w:lvl>
    <w:lvl w:ilvl="2" w:tplc="669E106E">
      <w:start w:val="1"/>
      <w:numFmt w:val="lowerRoman"/>
      <w:lvlText w:val="%3"/>
      <w:lvlJc w:val="left"/>
      <w:pPr>
        <w:ind w:left="1800"/>
      </w:pPr>
      <w:rPr>
        <w:rFonts w:ascii="Times New Roman" w:eastAsia="Times New Roman" w:hAnsi="Times New Roman" w:cs="Times New Roman"/>
        <w:b w:val="0"/>
        <w:i w:val="0"/>
        <w:strike w:val="0"/>
        <w:dstrike w:val="0"/>
        <w:color w:val="181717"/>
        <w:sz w:val="16"/>
        <w:u w:val="none"/>
        <w:vertAlign w:val="baseline"/>
      </w:rPr>
    </w:lvl>
    <w:lvl w:ilvl="3" w:tplc="8DC67204">
      <w:start w:val="1"/>
      <w:numFmt w:val="decimal"/>
      <w:lvlText w:val="%4"/>
      <w:lvlJc w:val="left"/>
      <w:pPr>
        <w:ind w:left="2520"/>
      </w:pPr>
      <w:rPr>
        <w:rFonts w:ascii="Times New Roman" w:eastAsia="Times New Roman" w:hAnsi="Times New Roman" w:cs="Times New Roman"/>
        <w:b w:val="0"/>
        <w:i w:val="0"/>
        <w:strike w:val="0"/>
        <w:dstrike w:val="0"/>
        <w:color w:val="181717"/>
        <w:sz w:val="16"/>
        <w:u w:val="none"/>
        <w:vertAlign w:val="baseline"/>
      </w:rPr>
    </w:lvl>
    <w:lvl w:ilvl="4" w:tplc="8758DB04">
      <w:start w:val="1"/>
      <w:numFmt w:val="lowerLetter"/>
      <w:lvlText w:val="%5"/>
      <w:lvlJc w:val="left"/>
      <w:pPr>
        <w:ind w:left="3240"/>
      </w:pPr>
      <w:rPr>
        <w:rFonts w:ascii="Times New Roman" w:eastAsia="Times New Roman" w:hAnsi="Times New Roman" w:cs="Times New Roman"/>
        <w:b w:val="0"/>
        <w:i w:val="0"/>
        <w:strike w:val="0"/>
        <w:dstrike w:val="0"/>
        <w:color w:val="181717"/>
        <w:sz w:val="16"/>
        <w:u w:val="none"/>
        <w:vertAlign w:val="baseline"/>
      </w:rPr>
    </w:lvl>
    <w:lvl w:ilvl="5" w:tplc="A13ACED6">
      <w:start w:val="1"/>
      <w:numFmt w:val="lowerRoman"/>
      <w:lvlText w:val="%6"/>
      <w:lvlJc w:val="left"/>
      <w:pPr>
        <w:ind w:left="3960"/>
      </w:pPr>
      <w:rPr>
        <w:rFonts w:ascii="Times New Roman" w:eastAsia="Times New Roman" w:hAnsi="Times New Roman" w:cs="Times New Roman"/>
        <w:b w:val="0"/>
        <w:i w:val="0"/>
        <w:strike w:val="0"/>
        <w:dstrike w:val="0"/>
        <w:color w:val="181717"/>
        <w:sz w:val="16"/>
        <w:u w:val="none"/>
        <w:vertAlign w:val="baseline"/>
      </w:rPr>
    </w:lvl>
    <w:lvl w:ilvl="6" w:tplc="9FDE7170">
      <w:start w:val="1"/>
      <w:numFmt w:val="decimal"/>
      <w:lvlText w:val="%7"/>
      <w:lvlJc w:val="left"/>
      <w:pPr>
        <w:ind w:left="4680"/>
      </w:pPr>
      <w:rPr>
        <w:rFonts w:ascii="Times New Roman" w:eastAsia="Times New Roman" w:hAnsi="Times New Roman" w:cs="Times New Roman"/>
        <w:b w:val="0"/>
        <w:i w:val="0"/>
        <w:strike w:val="0"/>
        <w:dstrike w:val="0"/>
        <w:color w:val="181717"/>
        <w:sz w:val="16"/>
        <w:u w:val="none"/>
        <w:vertAlign w:val="baseline"/>
      </w:rPr>
    </w:lvl>
    <w:lvl w:ilvl="7" w:tplc="7234AE08">
      <w:start w:val="1"/>
      <w:numFmt w:val="lowerLetter"/>
      <w:lvlText w:val="%8"/>
      <w:lvlJc w:val="left"/>
      <w:pPr>
        <w:ind w:left="5400"/>
      </w:pPr>
      <w:rPr>
        <w:rFonts w:ascii="Times New Roman" w:eastAsia="Times New Roman" w:hAnsi="Times New Roman" w:cs="Times New Roman"/>
        <w:b w:val="0"/>
        <w:i w:val="0"/>
        <w:strike w:val="0"/>
        <w:dstrike w:val="0"/>
        <w:color w:val="181717"/>
        <w:sz w:val="16"/>
        <w:u w:val="none"/>
        <w:vertAlign w:val="baseline"/>
      </w:rPr>
    </w:lvl>
    <w:lvl w:ilvl="8" w:tplc="0AF4AF38">
      <w:start w:val="1"/>
      <w:numFmt w:val="lowerRoman"/>
      <w:lvlText w:val="%9"/>
      <w:lvlJc w:val="left"/>
      <w:pPr>
        <w:ind w:left="6120"/>
      </w:pPr>
      <w:rPr>
        <w:rFonts w:ascii="Times New Roman" w:eastAsia="Times New Roman" w:hAnsi="Times New Roman" w:cs="Times New Roman"/>
        <w:b w:val="0"/>
        <w:i w:val="0"/>
        <w:strike w:val="0"/>
        <w:dstrike w:val="0"/>
        <w:color w:val="181717"/>
        <w:sz w:val="16"/>
        <w:u w:val="none"/>
        <w:vertAlign w:val="baseline"/>
      </w:rPr>
    </w:lvl>
  </w:abstractNum>
  <w:abstractNum w:abstractNumId="13">
    <w:nsid w:val="6C6F2016"/>
    <w:multiLevelType w:val="hybridMultilevel"/>
    <w:tmpl w:val="3BC41EE6"/>
    <w:lvl w:ilvl="0" w:tplc="C3368E94">
      <w:start w:val="1"/>
      <w:numFmt w:val="decimal"/>
      <w:lvlText w:val="%1"/>
      <w:lvlJc w:val="left"/>
      <w:pPr>
        <w:ind w:left="225"/>
      </w:pPr>
      <w:rPr>
        <w:rFonts w:ascii="Times New Roman" w:eastAsia="Times New Roman" w:hAnsi="Times New Roman" w:cs="Times New Roman"/>
        <w:b w:val="0"/>
        <w:i w:val="0"/>
        <w:strike w:val="0"/>
        <w:dstrike w:val="0"/>
        <w:color w:val="181717"/>
        <w:sz w:val="16"/>
        <w:u w:val="none"/>
        <w:vertAlign w:val="baseline"/>
      </w:rPr>
    </w:lvl>
    <w:lvl w:ilvl="1" w:tplc="61463780">
      <w:start w:val="1"/>
      <w:numFmt w:val="lowerLetter"/>
      <w:lvlText w:val="%2"/>
      <w:lvlJc w:val="left"/>
      <w:pPr>
        <w:ind w:left="1145"/>
      </w:pPr>
      <w:rPr>
        <w:rFonts w:ascii="Times New Roman" w:eastAsia="Times New Roman" w:hAnsi="Times New Roman" w:cs="Times New Roman"/>
        <w:b w:val="0"/>
        <w:i w:val="0"/>
        <w:strike w:val="0"/>
        <w:dstrike w:val="0"/>
        <w:color w:val="181717"/>
        <w:sz w:val="16"/>
        <w:u w:val="none"/>
        <w:vertAlign w:val="baseline"/>
      </w:rPr>
    </w:lvl>
    <w:lvl w:ilvl="2" w:tplc="988CB6DA">
      <w:start w:val="1"/>
      <w:numFmt w:val="lowerRoman"/>
      <w:lvlText w:val="%3"/>
      <w:lvlJc w:val="left"/>
      <w:pPr>
        <w:ind w:left="1865"/>
      </w:pPr>
      <w:rPr>
        <w:rFonts w:ascii="Times New Roman" w:eastAsia="Times New Roman" w:hAnsi="Times New Roman" w:cs="Times New Roman"/>
        <w:b w:val="0"/>
        <w:i w:val="0"/>
        <w:strike w:val="0"/>
        <w:dstrike w:val="0"/>
        <w:color w:val="181717"/>
        <w:sz w:val="16"/>
        <w:u w:val="none"/>
        <w:vertAlign w:val="baseline"/>
      </w:rPr>
    </w:lvl>
    <w:lvl w:ilvl="3" w:tplc="3F086938">
      <w:start w:val="1"/>
      <w:numFmt w:val="decimal"/>
      <w:lvlText w:val="%4"/>
      <w:lvlJc w:val="left"/>
      <w:pPr>
        <w:ind w:left="2585"/>
      </w:pPr>
      <w:rPr>
        <w:rFonts w:ascii="Times New Roman" w:eastAsia="Times New Roman" w:hAnsi="Times New Roman" w:cs="Times New Roman"/>
        <w:b w:val="0"/>
        <w:i w:val="0"/>
        <w:strike w:val="0"/>
        <w:dstrike w:val="0"/>
        <w:color w:val="181717"/>
        <w:sz w:val="16"/>
        <w:u w:val="none"/>
        <w:vertAlign w:val="baseline"/>
      </w:rPr>
    </w:lvl>
    <w:lvl w:ilvl="4" w:tplc="FBBAD54A">
      <w:start w:val="1"/>
      <w:numFmt w:val="lowerLetter"/>
      <w:lvlText w:val="%5"/>
      <w:lvlJc w:val="left"/>
      <w:pPr>
        <w:ind w:left="3305"/>
      </w:pPr>
      <w:rPr>
        <w:rFonts w:ascii="Times New Roman" w:eastAsia="Times New Roman" w:hAnsi="Times New Roman" w:cs="Times New Roman"/>
        <w:b w:val="0"/>
        <w:i w:val="0"/>
        <w:strike w:val="0"/>
        <w:dstrike w:val="0"/>
        <w:color w:val="181717"/>
        <w:sz w:val="16"/>
        <w:u w:val="none"/>
        <w:vertAlign w:val="baseline"/>
      </w:rPr>
    </w:lvl>
    <w:lvl w:ilvl="5" w:tplc="3A5AE5DA">
      <w:start w:val="1"/>
      <w:numFmt w:val="lowerRoman"/>
      <w:lvlText w:val="%6"/>
      <w:lvlJc w:val="left"/>
      <w:pPr>
        <w:ind w:left="4025"/>
      </w:pPr>
      <w:rPr>
        <w:rFonts w:ascii="Times New Roman" w:eastAsia="Times New Roman" w:hAnsi="Times New Roman" w:cs="Times New Roman"/>
        <w:b w:val="0"/>
        <w:i w:val="0"/>
        <w:strike w:val="0"/>
        <w:dstrike w:val="0"/>
        <w:color w:val="181717"/>
        <w:sz w:val="16"/>
        <w:u w:val="none"/>
        <w:vertAlign w:val="baseline"/>
      </w:rPr>
    </w:lvl>
    <w:lvl w:ilvl="6" w:tplc="583690D0">
      <w:start w:val="1"/>
      <w:numFmt w:val="decimal"/>
      <w:lvlText w:val="%7"/>
      <w:lvlJc w:val="left"/>
      <w:pPr>
        <w:ind w:left="4745"/>
      </w:pPr>
      <w:rPr>
        <w:rFonts w:ascii="Times New Roman" w:eastAsia="Times New Roman" w:hAnsi="Times New Roman" w:cs="Times New Roman"/>
        <w:b w:val="0"/>
        <w:i w:val="0"/>
        <w:strike w:val="0"/>
        <w:dstrike w:val="0"/>
        <w:color w:val="181717"/>
        <w:sz w:val="16"/>
        <w:u w:val="none"/>
        <w:vertAlign w:val="baseline"/>
      </w:rPr>
    </w:lvl>
    <w:lvl w:ilvl="7" w:tplc="EA90315C">
      <w:start w:val="1"/>
      <w:numFmt w:val="lowerLetter"/>
      <w:lvlText w:val="%8"/>
      <w:lvlJc w:val="left"/>
      <w:pPr>
        <w:ind w:left="5465"/>
      </w:pPr>
      <w:rPr>
        <w:rFonts w:ascii="Times New Roman" w:eastAsia="Times New Roman" w:hAnsi="Times New Roman" w:cs="Times New Roman"/>
        <w:b w:val="0"/>
        <w:i w:val="0"/>
        <w:strike w:val="0"/>
        <w:dstrike w:val="0"/>
        <w:color w:val="181717"/>
        <w:sz w:val="16"/>
        <w:u w:val="none"/>
        <w:vertAlign w:val="baseline"/>
      </w:rPr>
    </w:lvl>
    <w:lvl w:ilvl="8" w:tplc="095EC3CC">
      <w:start w:val="1"/>
      <w:numFmt w:val="lowerRoman"/>
      <w:lvlText w:val="%9"/>
      <w:lvlJc w:val="left"/>
      <w:pPr>
        <w:ind w:left="6185"/>
      </w:pPr>
      <w:rPr>
        <w:rFonts w:ascii="Times New Roman" w:eastAsia="Times New Roman" w:hAnsi="Times New Roman" w:cs="Times New Roman"/>
        <w:b w:val="0"/>
        <w:i w:val="0"/>
        <w:strike w:val="0"/>
        <w:dstrike w:val="0"/>
        <w:color w:val="181717"/>
        <w:sz w:val="16"/>
        <w:u w:val="none"/>
        <w:vertAlign w:val="baseline"/>
      </w:rPr>
    </w:lvl>
  </w:abstractNum>
  <w:abstractNum w:abstractNumId="14">
    <w:nsid w:val="6ECC6299"/>
    <w:multiLevelType w:val="hybridMultilevel"/>
    <w:tmpl w:val="A080DC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480BB0"/>
    <w:multiLevelType w:val="hybridMultilevel"/>
    <w:tmpl w:val="192AB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F6D4562"/>
    <w:multiLevelType w:val="multilevel"/>
    <w:tmpl w:val="FD78AD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12"/>
  </w:num>
  <w:num w:numId="3">
    <w:abstractNumId w:val="13"/>
  </w:num>
  <w:num w:numId="4">
    <w:abstractNumId w:val="5"/>
  </w:num>
  <w:num w:numId="5">
    <w:abstractNumId w:val="2"/>
  </w:num>
  <w:num w:numId="6">
    <w:abstractNumId w:val="1"/>
  </w:num>
  <w:num w:numId="7">
    <w:abstractNumId w:val="10"/>
  </w:num>
  <w:num w:numId="8">
    <w:abstractNumId w:val="3"/>
  </w:num>
  <w:num w:numId="9">
    <w:abstractNumId w:val="4"/>
  </w:num>
  <w:num w:numId="10">
    <w:abstractNumId w:val="15"/>
  </w:num>
  <w:num w:numId="11">
    <w:abstractNumId w:val="0"/>
  </w:num>
  <w:num w:numId="12">
    <w:abstractNumId w:val="9"/>
  </w:num>
  <w:num w:numId="13">
    <w:abstractNumId w:val="16"/>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useFELayout/>
  </w:compat>
  <w:rsids>
    <w:rsidRoot w:val="00E058BD"/>
    <w:rsid w:val="00001796"/>
    <w:rsid w:val="00001C2A"/>
    <w:rsid w:val="00006262"/>
    <w:rsid w:val="00007D94"/>
    <w:rsid w:val="0001222A"/>
    <w:rsid w:val="00023A5C"/>
    <w:rsid w:val="00033D5A"/>
    <w:rsid w:val="00035413"/>
    <w:rsid w:val="000373C8"/>
    <w:rsid w:val="00040AD9"/>
    <w:rsid w:val="00044E8E"/>
    <w:rsid w:val="00045263"/>
    <w:rsid w:val="00052D14"/>
    <w:rsid w:val="00056628"/>
    <w:rsid w:val="000646EB"/>
    <w:rsid w:val="0007071D"/>
    <w:rsid w:val="00071C56"/>
    <w:rsid w:val="00072596"/>
    <w:rsid w:val="00073EEE"/>
    <w:rsid w:val="000805DB"/>
    <w:rsid w:val="00081B27"/>
    <w:rsid w:val="00086332"/>
    <w:rsid w:val="00090443"/>
    <w:rsid w:val="000A243C"/>
    <w:rsid w:val="000A3DDE"/>
    <w:rsid w:val="000A3E3F"/>
    <w:rsid w:val="000B3E3A"/>
    <w:rsid w:val="000C2722"/>
    <w:rsid w:val="000D211C"/>
    <w:rsid w:val="000E2226"/>
    <w:rsid w:val="000E27F7"/>
    <w:rsid w:val="000E3CC1"/>
    <w:rsid w:val="000E74F8"/>
    <w:rsid w:val="000F1F77"/>
    <w:rsid w:val="000F30AF"/>
    <w:rsid w:val="000F50A1"/>
    <w:rsid w:val="000F5194"/>
    <w:rsid w:val="000F6EA1"/>
    <w:rsid w:val="00103F99"/>
    <w:rsid w:val="00106FA9"/>
    <w:rsid w:val="0012123F"/>
    <w:rsid w:val="00121ED7"/>
    <w:rsid w:val="001311AE"/>
    <w:rsid w:val="00131FDD"/>
    <w:rsid w:val="00132873"/>
    <w:rsid w:val="001338D9"/>
    <w:rsid w:val="001413DF"/>
    <w:rsid w:val="00141425"/>
    <w:rsid w:val="00141544"/>
    <w:rsid w:val="00143F5F"/>
    <w:rsid w:val="00150DBE"/>
    <w:rsid w:val="00156071"/>
    <w:rsid w:val="00156D88"/>
    <w:rsid w:val="00160428"/>
    <w:rsid w:val="00160741"/>
    <w:rsid w:val="0016092E"/>
    <w:rsid w:val="00162895"/>
    <w:rsid w:val="00164121"/>
    <w:rsid w:val="00164A30"/>
    <w:rsid w:val="0016639E"/>
    <w:rsid w:val="00166AEE"/>
    <w:rsid w:val="00170446"/>
    <w:rsid w:val="00186236"/>
    <w:rsid w:val="00195A98"/>
    <w:rsid w:val="001A20C9"/>
    <w:rsid w:val="001B3426"/>
    <w:rsid w:val="001B7366"/>
    <w:rsid w:val="001C4D16"/>
    <w:rsid w:val="001C4F94"/>
    <w:rsid w:val="001D2368"/>
    <w:rsid w:val="001E1E1E"/>
    <w:rsid w:val="001E6145"/>
    <w:rsid w:val="001E6D8D"/>
    <w:rsid w:val="001F05D7"/>
    <w:rsid w:val="001F385D"/>
    <w:rsid w:val="001F4205"/>
    <w:rsid w:val="001F661E"/>
    <w:rsid w:val="00215868"/>
    <w:rsid w:val="00216840"/>
    <w:rsid w:val="00222208"/>
    <w:rsid w:val="002250C1"/>
    <w:rsid w:val="00226BED"/>
    <w:rsid w:val="00233938"/>
    <w:rsid w:val="00233D63"/>
    <w:rsid w:val="00245722"/>
    <w:rsid w:val="00251AD8"/>
    <w:rsid w:val="00254482"/>
    <w:rsid w:val="00255A69"/>
    <w:rsid w:val="00257194"/>
    <w:rsid w:val="0026664C"/>
    <w:rsid w:val="00273502"/>
    <w:rsid w:val="0028333A"/>
    <w:rsid w:val="0028644A"/>
    <w:rsid w:val="002868EA"/>
    <w:rsid w:val="002916A4"/>
    <w:rsid w:val="0029292D"/>
    <w:rsid w:val="0029725D"/>
    <w:rsid w:val="002A7749"/>
    <w:rsid w:val="002B4331"/>
    <w:rsid w:val="002B565E"/>
    <w:rsid w:val="002B5F23"/>
    <w:rsid w:val="002D4690"/>
    <w:rsid w:val="002D7770"/>
    <w:rsid w:val="002D777A"/>
    <w:rsid w:val="002F0064"/>
    <w:rsid w:val="002F4E02"/>
    <w:rsid w:val="00302949"/>
    <w:rsid w:val="00305A21"/>
    <w:rsid w:val="003105C2"/>
    <w:rsid w:val="003256A3"/>
    <w:rsid w:val="003337ED"/>
    <w:rsid w:val="003341DC"/>
    <w:rsid w:val="003464B8"/>
    <w:rsid w:val="00364417"/>
    <w:rsid w:val="00370FC1"/>
    <w:rsid w:val="003848E3"/>
    <w:rsid w:val="0038600E"/>
    <w:rsid w:val="00387058"/>
    <w:rsid w:val="00387CE4"/>
    <w:rsid w:val="003928A9"/>
    <w:rsid w:val="003A49C0"/>
    <w:rsid w:val="003B07F2"/>
    <w:rsid w:val="003B5D15"/>
    <w:rsid w:val="003B673E"/>
    <w:rsid w:val="003C16CF"/>
    <w:rsid w:val="003C3DCF"/>
    <w:rsid w:val="003C5EEC"/>
    <w:rsid w:val="003C783B"/>
    <w:rsid w:val="003D50CC"/>
    <w:rsid w:val="003E25ED"/>
    <w:rsid w:val="003E5A5A"/>
    <w:rsid w:val="003E7C45"/>
    <w:rsid w:val="003F1660"/>
    <w:rsid w:val="003F277C"/>
    <w:rsid w:val="003F6223"/>
    <w:rsid w:val="004137EB"/>
    <w:rsid w:val="0041580A"/>
    <w:rsid w:val="00417AA5"/>
    <w:rsid w:val="00417BE5"/>
    <w:rsid w:val="00422690"/>
    <w:rsid w:val="00423E04"/>
    <w:rsid w:val="00424AE0"/>
    <w:rsid w:val="00436C35"/>
    <w:rsid w:val="00437D4C"/>
    <w:rsid w:val="00440936"/>
    <w:rsid w:val="00440CCD"/>
    <w:rsid w:val="004442AC"/>
    <w:rsid w:val="00445C13"/>
    <w:rsid w:val="0044693E"/>
    <w:rsid w:val="004608D7"/>
    <w:rsid w:val="00461FF3"/>
    <w:rsid w:val="0046397D"/>
    <w:rsid w:val="00464EB5"/>
    <w:rsid w:val="004721E2"/>
    <w:rsid w:val="00472339"/>
    <w:rsid w:val="004805A6"/>
    <w:rsid w:val="00480A20"/>
    <w:rsid w:val="00482025"/>
    <w:rsid w:val="00484906"/>
    <w:rsid w:val="004917E9"/>
    <w:rsid w:val="004955CC"/>
    <w:rsid w:val="004A0D12"/>
    <w:rsid w:val="004A1C1C"/>
    <w:rsid w:val="004A2B54"/>
    <w:rsid w:val="004A41D2"/>
    <w:rsid w:val="004A4B6E"/>
    <w:rsid w:val="004A5B39"/>
    <w:rsid w:val="004B4A13"/>
    <w:rsid w:val="004C4788"/>
    <w:rsid w:val="004C67AC"/>
    <w:rsid w:val="004D165F"/>
    <w:rsid w:val="004D19A1"/>
    <w:rsid w:val="004D1EA6"/>
    <w:rsid w:val="004D5D7E"/>
    <w:rsid w:val="004D6A91"/>
    <w:rsid w:val="004E21A7"/>
    <w:rsid w:val="004E36E1"/>
    <w:rsid w:val="004E5888"/>
    <w:rsid w:val="004E5FBE"/>
    <w:rsid w:val="004F3905"/>
    <w:rsid w:val="004F49B0"/>
    <w:rsid w:val="004F4FD7"/>
    <w:rsid w:val="004F6693"/>
    <w:rsid w:val="005029B4"/>
    <w:rsid w:val="00513371"/>
    <w:rsid w:val="0052027F"/>
    <w:rsid w:val="005213F0"/>
    <w:rsid w:val="00523B17"/>
    <w:rsid w:val="00523B98"/>
    <w:rsid w:val="00526F03"/>
    <w:rsid w:val="005313D2"/>
    <w:rsid w:val="00553D88"/>
    <w:rsid w:val="00556F8B"/>
    <w:rsid w:val="00560181"/>
    <w:rsid w:val="00563600"/>
    <w:rsid w:val="005671EA"/>
    <w:rsid w:val="00570D86"/>
    <w:rsid w:val="005728A7"/>
    <w:rsid w:val="00574E7E"/>
    <w:rsid w:val="0057746E"/>
    <w:rsid w:val="0058150C"/>
    <w:rsid w:val="005859B6"/>
    <w:rsid w:val="00586608"/>
    <w:rsid w:val="00591B5D"/>
    <w:rsid w:val="0059290B"/>
    <w:rsid w:val="00595CD0"/>
    <w:rsid w:val="005A29CB"/>
    <w:rsid w:val="005A3CCD"/>
    <w:rsid w:val="005B24FD"/>
    <w:rsid w:val="005B28EE"/>
    <w:rsid w:val="005B3826"/>
    <w:rsid w:val="005B5B5B"/>
    <w:rsid w:val="005B6923"/>
    <w:rsid w:val="005C1655"/>
    <w:rsid w:val="005C5FB5"/>
    <w:rsid w:val="005D11ED"/>
    <w:rsid w:val="005D2847"/>
    <w:rsid w:val="005E1BC6"/>
    <w:rsid w:val="005E2461"/>
    <w:rsid w:val="005E40D9"/>
    <w:rsid w:val="005E6B4E"/>
    <w:rsid w:val="005F3E89"/>
    <w:rsid w:val="005F7494"/>
    <w:rsid w:val="00611573"/>
    <w:rsid w:val="00612412"/>
    <w:rsid w:val="006141BD"/>
    <w:rsid w:val="006153E8"/>
    <w:rsid w:val="006404DD"/>
    <w:rsid w:val="0064578D"/>
    <w:rsid w:val="00651076"/>
    <w:rsid w:val="00651301"/>
    <w:rsid w:val="00652957"/>
    <w:rsid w:val="00652B31"/>
    <w:rsid w:val="00656E74"/>
    <w:rsid w:val="0065793E"/>
    <w:rsid w:val="00664CB0"/>
    <w:rsid w:val="006742DA"/>
    <w:rsid w:val="006757FE"/>
    <w:rsid w:val="00675EC0"/>
    <w:rsid w:val="006802EA"/>
    <w:rsid w:val="00683786"/>
    <w:rsid w:val="0068705C"/>
    <w:rsid w:val="00692411"/>
    <w:rsid w:val="006A2071"/>
    <w:rsid w:val="006A345C"/>
    <w:rsid w:val="006B282E"/>
    <w:rsid w:val="006B6F12"/>
    <w:rsid w:val="006D090E"/>
    <w:rsid w:val="006D2867"/>
    <w:rsid w:val="006D3B19"/>
    <w:rsid w:val="006D4AA4"/>
    <w:rsid w:val="006D6732"/>
    <w:rsid w:val="006D6997"/>
    <w:rsid w:val="006E7B05"/>
    <w:rsid w:val="006F3321"/>
    <w:rsid w:val="006F3416"/>
    <w:rsid w:val="007063FE"/>
    <w:rsid w:val="00707AB4"/>
    <w:rsid w:val="00721715"/>
    <w:rsid w:val="0074665A"/>
    <w:rsid w:val="007559D5"/>
    <w:rsid w:val="0075729C"/>
    <w:rsid w:val="007614F3"/>
    <w:rsid w:val="007641F1"/>
    <w:rsid w:val="00767A39"/>
    <w:rsid w:val="00772A81"/>
    <w:rsid w:val="00775791"/>
    <w:rsid w:val="00775A5E"/>
    <w:rsid w:val="00780968"/>
    <w:rsid w:val="0078680A"/>
    <w:rsid w:val="007A2404"/>
    <w:rsid w:val="007B5DBF"/>
    <w:rsid w:val="007C5E8E"/>
    <w:rsid w:val="007E211A"/>
    <w:rsid w:val="007E3D1E"/>
    <w:rsid w:val="007F30E6"/>
    <w:rsid w:val="007F3B44"/>
    <w:rsid w:val="007F43D5"/>
    <w:rsid w:val="007F55A4"/>
    <w:rsid w:val="007F7273"/>
    <w:rsid w:val="008046BC"/>
    <w:rsid w:val="008052A5"/>
    <w:rsid w:val="00807FA3"/>
    <w:rsid w:val="00830221"/>
    <w:rsid w:val="008360E5"/>
    <w:rsid w:val="00836ECA"/>
    <w:rsid w:val="00844326"/>
    <w:rsid w:val="00844DDB"/>
    <w:rsid w:val="00855338"/>
    <w:rsid w:val="0085553C"/>
    <w:rsid w:val="00856FC1"/>
    <w:rsid w:val="008628BE"/>
    <w:rsid w:val="008719F6"/>
    <w:rsid w:val="0087444E"/>
    <w:rsid w:val="00877B33"/>
    <w:rsid w:val="008839E8"/>
    <w:rsid w:val="00883FEB"/>
    <w:rsid w:val="00887149"/>
    <w:rsid w:val="00890790"/>
    <w:rsid w:val="00894510"/>
    <w:rsid w:val="00894CE2"/>
    <w:rsid w:val="008A2877"/>
    <w:rsid w:val="008B1FCF"/>
    <w:rsid w:val="008C527B"/>
    <w:rsid w:val="008C72DA"/>
    <w:rsid w:val="008D14C8"/>
    <w:rsid w:val="008D34E6"/>
    <w:rsid w:val="008D35B4"/>
    <w:rsid w:val="008D4120"/>
    <w:rsid w:val="008E2173"/>
    <w:rsid w:val="008E3907"/>
    <w:rsid w:val="008E5550"/>
    <w:rsid w:val="008F0B5E"/>
    <w:rsid w:val="008F1005"/>
    <w:rsid w:val="008F664B"/>
    <w:rsid w:val="008F6A0D"/>
    <w:rsid w:val="009071A0"/>
    <w:rsid w:val="009113F0"/>
    <w:rsid w:val="00925FBE"/>
    <w:rsid w:val="0092745A"/>
    <w:rsid w:val="00933546"/>
    <w:rsid w:val="0093624D"/>
    <w:rsid w:val="00937B18"/>
    <w:rsid w:val="00942003"/>
    <w:rsid w:val="0094216F"/>
    <w:rsid w:val="0095190F"/>
    <w:rsid w:val="00951DB5"/>
    <w:rsid w:val="00961725"/>
    <w:rsid w:val="009662E6"/>
    <w:rsid w:val="009712A0"/>
    <w:rsid w:val="00974039"/>
    <w:rsid w:val="00975030"/>
    <w:rsid w:val="00977DEF"/>
    <w:rsid w:val="00982468"/>
    <w:rsid w:val="009919ED"/>
    <w:rsid w:val="00994512"/>
    <w:rsid w:val="00996500"/>
    <w:rsid w:val="00997F35"/>
    <w:rsid w:val="009A0415"/>
    <w:rsid w:val="009A1FB0"/>
    <w:rsid w:val="009A239F"/>
    <w:rsid w:val="009A35DD"/>
    <w:rsid w:val="009A5CBB"/>
    <w:rsid w:val="009B1180"/>
    <w:rsid w:val="009B1442"/>
    <w:rsid w:val="009C1657"/>
    <w:rsid w:val="009C6A6A"/>
    <w:rsid w:val="009C7B9C"/>
    <w:rsid w:val="009C7ED9"/>
    <w:rsid w:val="009D50F5"/>
    <w:rsid w:val="009D7708"/>
    <w:rsid w:val="009E0592"/>
    <w:rsid w:val="009E0EEE"/>
    <w:rsid w:val="009E113A"/>
    <w:rsid w:val="009E1A38"/>
    <w:rsid w:val="009E24AE"/>
    <w:rsid w:val="009E7684"/>
    <w:rsid w:val="009E79B0"/>
    <w:rsid w:val="00A0715F"/>
    <w:rsid w:val="00A0797B"/>
    <w:rsid w:val="00A102A5"/>
    <w:rsid w:val="00A127B3"/>
    <w:rsid w:val="00A22F00"/>
    <w:rsid w:val="00A24598"/>
    <w:rsid w:val="00A308B4"/>
    <w:rsid w:val="00A34C02"/>
    <w:rsid w:val="00A36081"/>
    <w:rsid w:val="00A3654B"/>
    <w:rsid w:val="00A36999"/>
    <w:rsid w:val="00A40554"/>
    <w:rsid w:val="00A44E75"/>
    <w:rsid w:val="00A46B4A"/>
    <w:rsid w:val="00A47B5F"/>
    <w:rsid w:val="00A5018B"/>
    <w:rsid w:val="00A62B87"/>
    <w:rsid w:val="00A72581"/>
    <w:rsid w:val="00A7571E"/>
    <w:rsid w:val="00A774D7"/>
    <w:rsid w:val="00A81199"/>
    <w:rsid w:val="00A837BC"/>
    <w:rsid w:val="00A843F6"/>
    <w:rsid w:val="00A84E03"/>
    <w:rsid w:val="00A8602C"/>
    <w:rsid w:val="00A925F9"/>
    <w:rsid w:val="00AA2DF0"/>
    <w:rsid w:val="00AA5A8D"/>
    <w:rsid w:val="00AA78D0"/>
    <w:rsid w:val="00AB5132"/>
    <w:rsid w:val="00AC6C24"/>
    <w:rsid w:val="00AC6E1F"/>
    <w:rsid w:val="00AC7344"/>
    <w:rsid w:val="00AD04C6"/>
    <w:rsid w:val="00AD7B18"/>
    <w:rsid w:val="00AE0BBD"/>
    <w:rsid w:val="00AE3726"/>
    <w:rsid w:val="00AE51FD"/>
    <w:rsid w:val="00AE6B1E"/>
    <w:rsid w:val="00AE71C7"/>
    <w:rsid w:val="00AF3084"/>
    <w:rsid w:val="00AF4CF1"/>
    <w:rsid w:val="00AF652B"/>
    <w:rsid w:val="00AF7FF1"/>
    <w:rsid w:val="00B03D01"/>
    <w:rsid w:val="00B05ECC"/>
    <w:rsid w:val="00B072D4"/>
    <w:rsid w:val="00B0795B"/>
    <w:rsid w:val="00B108C3"/>
    <w:rsid w:val="00B143C5"/>
    <w:rsid w:val="00B16988"/>
    <w:rsid w:val="00B1770C"/>
    <w:rsid w:val="00B17D77"/>
    <w:rsid w:val="00B20DC9"/>
    <w:rsid w:val="00B25049"/>
    <w:rsid w:val="00B25428"/>
    <w:rsid w:val="00B2621E"/>
    <w:rsid w:val="00B3129E"/>
    <w:rsid w:val="00B408B7"/>
    <w:rsid w:val="00B4137B"/>
    <w:rsid w:val="00B42592"/>
    <w:rsid w:val="00B4569A"/>
    <w:rsid w:val="00B47898"/>
    <w:rsid w:val="00B519E2"/>
    <w:rsid w:val="00B578BE"/>
    <w:rsid w:val="00B6650F"/>
    <w:rsid w:val="00B740DB"/>
    <w:rsid w:val="00B85AC5"/>
    <w:rsid w:val="00B90FE5"/>
    <w:rsid w:val="00B93C84"/>
    <w:rsid w:val="00B96FA5"/>
    <w:rsid w:val="00BA0F63"/>
    <w:rsid w:val="00BA75D2"/>
    <w:rsid w:val="00BA7FB4"/>
    <w:rsid w:val="00BB23DF"/>
    <w:rsid w:val="00BB3AD2"/>
    <w:rsid w:val="00BD1B71"/>
    <w:rsid w:val="00BD2FF0"/>
    <w:rsid w:val="00BD3A97"/>
    <w:rsid w:val="00BE5128"/>
    <w:rsid w:val="00BF1EB0"/>
    <w:rsid w:val="00BF2819"/>
    <w:rsid w:val="00BF3958"/>
    <w:rsid w:val="00BF53F7"/>
    <w:rsid w:val="00C028B2"/>
    <w:rsid w:val="00C0447D"/>
    <w:rsid w:val="00C0568C"/>
    <w:rsid w:val="00C21CA8"/>
    <w:rsid w:val="00C3610E"/>
    <w:rsid w:val="00C42B6D"/>
    <w:rsid w:val="00C44C0F"/>
    <w:rsid w:val="00C45849"/>
    <w:rsid w:val="00C522B1"/>
    <w:rsid w:val="00C55063"/>
    <w:rsid w:val="00C66B79"/>
    <w:rsid w:val="00C6705C"/>
    <w:rsid w:val="00C72E41"/>
    <w:rsid w:val="00C93AB7"/>
    <w:rsid w:val="00C9434A"/>
    <w:rsid w:val="00C973DE"/>
    <w:rsid w:val="00C9756D"/>
    <w:rsid w:val="00CB0A27"/>
    <w:rsid w:val="00CB1216"/>
    <w:rsid w:val="00CB1EC9"/>
    <w:rsid w:val="00CB5078"/>
    <w:rsid w:val="00CD0ECF"/>
    <w:rsid w:val="00CD194E"/>
    <w:rsid w:val="00CD64E5"/>
    <w:rsid w:val="00CE023D"/>
    <w:rsid w:val="00CE1481"/>
    <w:rsid w:val="00CE2732"/>
    <w:rsid w:val="00CE3CE5"/>
    <w:rsid w:val="00D07D03"/>
    <w:rsid w:val="00D214CF"/>
    <w:rsid w:val="00D232C7"/>
    <w:rsid w:val="00D24D01"/>
    <w:rsid w:val="00D31B0A"/>
    <w:rsid w:val="00D37EAD"/>
    <w:rsid w:val="00D43906"/>
    <w:rsid w:val="00D454A3"/>
    <w:rsid w:val="00D6003F"/>
    <w:rsid w:val="00D62989"/>
    <w:rsid w:val="00D64692"/>
    <w:rsid w:val="00D70C9C"/>
    <w:rsid w:val="00D70F6B"/>
    <w:rsid w:val="00D716CE"/>
    <w:rsid w:val="00D73F85"/>
    <w:rsid w:val="00D74178"/>
    <w:rsid w:val="00D77FA2"/>
    <w:rsid w:val="00D80CB2"/>
    <w:rsid w:val="00D81DC7"/>
    <w:rsid w:val="00D82615"/>
    <w:rsid w:val="00D8446C"/>
    <w:rsid w:val="00D8494A"/>
    <w:rsid w:val="00D92CB0"/>
    <w:rsid w:val="00D92EA2"/>
    <w:rsid w:val="00D93966"/>
    <w:rsid w:val="00DA4A9E"/>
    <w:rsid w:val="00DB1D29"/>
    <w:rsid w:val="00DB1FEA"/>
    <w:rsid w:val="00DB47CB"/>
    <w:rsid w:val="00DB5342"/>
    <w:rsid w:val="00DC00CB"/>
    <w:rsid w:val="00DC5A33"/>
    <w:rsid w:val="00DC7102"/>
    <w:rsid w:val="00DC7573"/>
    <w:rsid w:val="00DF1D24"/>
    <w:rsid w:val="00DF2816"/>
    <w:rsid w:val="00DF4644"/>
    <w:rsid w:val="00DF4724"/>
    <w:rsid w:val="00E04DE6"/>
    <w:rsid w:val="00E058BD"/>
    <w:rsid w:val="00E05B4A"/>
    <w:rsid w:val="00E06F1A"/>
    <w:rsid w:val="00E06F3D"/>
    <w:rsid w:val="00E21722"/>
    <w:rsid w:val="00E270FB"/>
    <w:rsid w:val="00E339EC"/>
    <w:rsid w:val="00E4163E"/>
    <w:rsid w:val="00E4377C"/>
    <w:rsid w:val="00E5017E"/>
    <w:rsid w:val="00E5561B"/>
    <w:rsid w:val="00E55A26"/>
    <w:rsid w:val="00E6771D"/>
    <w:rsid w:val="00E6794C"/>
    <w:rsid w:val="00E67E09"/>
    <w:rsid w:val="00E70A4C"/>
    <w:rsid w:val="00E70F14"/>
    <w:rsid w:val="00E713AA"/>
    <w:rsid w:val="00E71FE9"/>
    <w:rsid w:val="00E73E20"/>
    <w:rsid w:val="00E7784F"/>
    <w:rsid w:val="00E8182D"/>
    <w:rsid w:val="00E82D3A"/>
    <w:rsid w:val="00E910FC"/>
    <w:rsid w:val="00E919DE"/>
    <w:rsid w:val="00E963EC"/>
    <w:rsid w:val="00EA5066"/>
    <w:rsid w:val="00EA6577"/>
    <w:rsid w:val="00EB07C4"/>
    <w:rsid w:val="00EB1265"/>
    <w:rsid w:val="00EB6A4D"/>
    <w:rsid w:val="00EB6D71"/>
    <w:rsid w:val="00EC3FC5"/>
    <w:rsid w:val="00EC7E29"/>
    <w:rsid w:val="00ED434F"/>
    <w:rsid w:val="00EE083E"/>
    <w:rsid w:val="00EE1E45"/>
    <w:rsid w:val="00EE2C6A"/>
    <w:rsid w:val="00EE57A5"/>
    <w:rsid w:val="00EE6034"/>
    <w:rsid w:val="00EF067F"/>
    <w:rsid w:val="00EF3195"/>
    <w:rsid w:val="00EF62AD"/>
    <w:rsid w:val="00F06575"/>
    <w:rsid w:val="00F10835"/>
    <w:rsid w:val="00F248F6"/>
    <w:rsid w:val="00F25A65"/>
    <w:rsid w:val="00F264EB"/>
    <w:rsid w:val="00F2763D"/>
    <w:rsid w:val="00F3012D"/>
    <w:rsid w:val="00F30E70"/>
    <w:rsid w:val="00F320BF"/>
    <w:rsid w:val="00F4303A"/>
    <w:rsid w:val="00F43B66"/>
    <w:rsid w:val="00F443EA"/>
    <w:rsid w:val="00F53244"/>
    <w:rsid w:val="00F53A47"/>
    <w:rsid w:val="00F54D22"/>
    <w:rsid w:val="00F569A0"/>
    <w:rsid w:val="00F60CEF"/>
    <w:rsid w:val="00F71156"/>
    <w:rsid w:val="00F80164"/>
    <w:rsid w:val="00F8632F"/>
    <w:rsid w:val="00F96F4D"/>
    <w:rsid w:val="00FA1DA2"/>
    <w:rsid w:val="00FB159A"/>
    <w:rsid w:val="00FB2D20"/>
    <w:rsid w:val="00FB3B19"/>
    <w:rsid w:val="00FB5A88"/>
    <w:rsid w:val="00FC030A"/>
    <w:rsid w:val="00FC57C8"/>
    <w:rsid w:val="00FD5DD8"/>
    <w:rsid w:val="00FE0290"/>
    <w:rsid w:val="00FE1475"/>
    <w:rsid w:val="00FE4A35"/>
    <w:rsid w:val="00FF1550"/>
    <w:rsid w:val="00FF3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C8"/>
    <w:pPr>
      <w:bidi/>
      <w:spacing w:after="200" w:line="276" w:lineRule="auto"/>
    </w:pPr>
    <w:rPr>
      <w:sz w:val="22"/>
      <w:szCs w:val="22"/>
    </w:rPr>
  </w:style>
  <w:style w:type="paragraph" w:styleId="Heading1">
    <w:name w:val="heading 1"/>
    <w:basedOn w:val="Normal"/>
    <w:next w:val="Normal"/>
    <w:link w:val="Heading1Char"/>
    <w:uiPriority w:val="99"/>
    <w:qFormat/>
    <w:rsid w:val="00E058BD"/>
    <w:pPr>
      <w:keepNext/>
      <w:spacing w:before="240" w:after="60" w:line="340" w:lineRule="exact"/>
      <w:jc w:val="center"/>
      <w:outlineLvl w:val="0"/>
    </w:pPr>
    <w:rPr>
      <w:rFonts w:ascii="Cambria" w:hAnsi="Cambria" w:cs="Times New Roman"/>
      <w:b/>
      <w:bCs/>
      <w:kern w:val="32"/>
      <w:sz w:val="32"/>
      <w:szCs w:val="32"/>
      <w:lang w:eastAsia="ja-JP"/>
    </w:rPr>
  </w:style>
  <w:style w:type="paragraph" w:styleId="Heading2">
    <w:name w:val="heading 2"/>
    <w:basedOn w:val="Normal"/>
    <w:next w:val="Normal"/>
    <w:link w:val="Heading2Char"/>
    <w:uiPriority w:val="99"/>
    <w:qFormat/>
    <w:rsid w:val="008E2173"/>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9"/>
    <w:qFormat/>
    <w:locked/>
    <w:rsid w:val="002F0064"/>
    <w:pPr>
      <w:autoSpaceDE w:val="0"/>
      <w:autoSpaceDN w:val="0"/>
      <w:bidi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9"/>
    <w:qFormat/>
    <w:rsid w:val="00E058BD"/>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58BD"/>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locked/>
    <w:rsid w:val="008E2173"/>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2F0064"/>
    <w:rPr>
      <w:rFonts w:ascii="Courier New" w:hAnsi="Courier New" w:cs="Courier New"/>
      <w:b/>
      <w:bCs/>
      <w:color w:val="000000"/>
      <w:sz w:val="26"/>
      <w:szCs w:val="26"/>
    </w:rPr>
  </w:style>
  <w:style w:type="character" w:customStyle="1" w:styleId="Heading4Char">
    <w:name w:val="Heading 4 Char"/>
    <w:basedOn w:val="DefaultParagraphFont"/>
    <w:link w:val="Heading4"/>
    <w:uiPriority w:val="99"/>
    <w:locked/>
    <w:rsid w:val="00E058BD"/>
    <w:rPr>
      <w:rFonts w:ascii="Cambria" w:hAnsi="Cambria" w:cs="Times New Roman"/>
      <w:b/>
      <w:bCs/>
      <w:i/>
      <w:iCs/>
      <w:color w:val="4F81BD"/>
    </w:rPr>
  </w:style>
  <w:style w:type="character" w:styleId="Emphasis">
    <w:name w:val="Emphasis"/>
    <w:basedOn w:val="DefaultParagraphFont"/>
    <w:uiPriority w:val="99"/>
    <w:qFormat/>
    <w:rsid w:val="00E058BD"/>
    <w:rPr>
      <w:rFonts w:cs="Times New Roman"/>
      <w:i/>
      <w:iCs/>
    </w:rPr>
  </w:style>
  <w:style w:type="paragraph" w:styleId="Header">
    <w:name w:val="header"/>
    <w:basedOn w:val="Normal"/>
    <w:link w:val="HeaderChar"/>
    <w:uiPriority w:val="99"/>
    <w:rsid w:val="00E058BD"/>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058BD"/>
    <w:rPr>
      <w:rFonts w:cs="Times New Roman"/>
    </w:rPr>
  </w:style>
  <w:style w:type="paragraph" w:customStyle="1" w:styleId="Default">
    <w:name w:val="Default"/>
    <w:uiPriority w:val="99"/>
    <w:rsid w:val="00E058BD"/>
    <w:pPr>
      <w:autoSpaceDE w:val="0"/>
      <w:autoSpaceDN w:val="0"/>
      <w:adjustRightInd w:val="0"/>
    </w:pPr>
    <w:rPr>
      <w:rFonts w:cs="Times New Roman"/>
      <w:color w:val="000000"/>
      <w:sz w:val="24"/>
      <w:szCs w:val="24"/>
    </w:rPr>
  </w:style>
  <w:style w:type="character" w:customStyle="1" w:styleId="st">
    <w:name w:val="st"/>
    <w:basedOn w:val="DefaultParagraphFont"/>
    <w:uiPriority w:val="99"/>
    <w:rsid w:val="00E058BD"/>
    <w:rPr>
      <w:rFonts w:cs="Times New Roman"/>
    </w:rPr>
  </w:style>
  <w:style w:type="character" w:styleId="Hyperlink">
    <w:name w:val="Hyperlink"/>
    <w:basedOn w:val="DefaultParagraphFont"/>
    <w:uiPriority w:val="99"/>
    <w:rsid w:val="00E058BD"/>
    <w:rPr>
      <w:rFonts w:cs="Times New Roman"/>
      <w:color w:val="0000FF"/>
      <w:u w:val="single"/>
    </w:rPr>
  </w:style>
  <w:style w:type="paragraph" w:styleId="BalloonText">
    <w:name w:val="Balloon Text"/>
    <w:basedOn w:val="Normal"/>
    <w:link w:val="BalloonTextChar"/>
    <w:uiPriority w:val="99"/>
    <w:semiHidden/>
    <w:rsid w:val="00E0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58BD"/>
    <w:rPr>
      <w:rFonts w:ascii="Tahoma" w:hAnsi="Tahoma" w:cs="Tahoma"/>
      <w:sz w:val="16"/>
      <w:szCs w:val="16"/>
    </w:rPr>
  </w:style>
  <w:style w:type="table" w:styleId="TableGrid">
    <w:name w:val="Table Grid"/>
    <w:basedOn w:val="TableNormal"/>
    <w:uiPriority w:val="99"/>
    <w:rsid w:val="00A22F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uiPriority w:val="99"/>
    <w:rsid w:val="008E2173"/>
    <w:pPr>
      <w:spacing w:after="69"/>
      <w:jc w:val="right"/>
    </w:pPr>
    <w:rPr>
      <w:rFonts w:cs="Times New Roman"/>
      <w:color w:val="181717"/>
      <w:sz w:val="22"/>
      <w:szCs w:val="22"/>
    </w:rPr>
  </w:style>
  <w:style w:type="character" w:customStyle="1" w:styleId="footnotedescriptionChar">
    <w:name w:val="footnote description Char"/>
    <w:link w:val="footnotedescription"/>
    <w:uiPriority w:val="99"/>
    <w:locked/>
    <w:rsid w:val="008E2173"/>
    <w:rPr>
      <w:rFonts w:cs="Times New Roman"/>
      <w:color w:val="181717"/>
      <w:sz w:val="22"/>
      <w:szCs w:val="22"/>
      <w:lang w:bidi="ar-SA"/>
    </w:rPr>
  </w:style>
  <w:style w:type="character" w:customStyle="1" w:styleId="footnotemark">
    <w:name w:val="footnote mark"/>
    <w:hidden/>
    <w:uiPriority w:val="99"/>
    <w:rsid w:val="008E2173"/>
    <w:rPr>
      <w:rFonts w:ascii="Calibri" w:hAnsi="Calibri"/>
      <w:b/>
      <w:color w:val="181717"/>
      <w:sz w:val="13"/>
      <w:vertAlign w:val="superscript"/>
    </w:rPr>
  </w:style>
  <w:style w:type="paragraph" w:styleId="ListParagraph">
    <w:name w:val="List Paragraph"/>
    <w:basedOn w:val="Normal"/>
    <w:uiPriority w:val="99"/>
    <w:qFormat/>
    <w:rsid w:val="008E2173"/>
    <w:pPr>
      <w:ind w:left="720"/>
    </w:pPr>
  </w:style>
  <w:style w:type="paragraph" w:styleId="NoSpacing">
    <w:name w:val="No Spacing"/>
    <w:uiPriority w:val="99"/>
    <w:qFormat/>
    <w:rsid w:val="007F43D5"/>
    <w:pPr>
      <w:bidi/>
    </w:pPr>
    <w:rPr>
      <w:sz w:val="22"/>
      <w:szCs w:val="22"/>
    </w:rPr>
  </w:style>
  <w:style w:type="character" w:customStyle="1" w:styleId="apple-converted-space">
    <w:name w:val="apple-converted-space"/>
    <w:basedOn w:val="DefaultParagraphFont"/>
    <w:rsid w:val="00FE4A35"/>
    <w:rPr>
      <w:rFonts w:cs="Times New Roman"/>
    </w:rPr>
  </w:style>
  <w:style w:type="character" w:customStyle="1" w:styleId="reflinks">
    <w:name w:val="reflinks"/>
    <w:basedOn w:val="DefaultParagraphFont"/>
    <w:uiPriority w:val="99"/>
    <w:rsid w:val="00FE4A35"/>
    <w:rPr>
      <w:rFonts w:cs="Times New Roman"/>
    </w:rPr>
  </w:style>
  <w:style w:type="character" w:customStyle="1" w:styleId="sep">
    <w:name w:val="sep"/>
    <w:basedOn w:val="DefaultParagraphFont"/>
    <w:uiPriority w:val="99"/>
    <w:rsid w:val="00FE4A35"/>
    <w:rPr>
      <w:rFonts w:cs="Times New Roman"/>
    </w:rPr>
  </w:style>
  <w:style w:type="character" w:customStyle="1" w:styleId="highlight">
    <w:name w:val="highlight"/>
    <w:basedOn w:val="DefaultParagraphFont"/>
    <w:uiPriority w:val="99"/>
    <w:rsid w:val="00FE1475"/>
    <w:rPr>
      <w:rFonts w:cs="Times New Roman"/>
    </w:rPr>
  </w:style>
  <w:style w:type="paragraph" w:styleId="Title">
    <w:name w:val="Title"/>
    <w:basedOn w:val="Normal"/>
    <w:link w:val="TitleChar"/>
    <w:uiPriority w:val="99"/>
    <w:qFormat/>
    <w:locked/>
    <w:rsid w:val="002F0064"/>
    <w:pPr>
      <w:spacing w:after="0" w:line="240" w:lineRule="auto"/>
      <w:jc w:val="center"/>
    </w:pPr>
    <w:rPr>
      <w:rFonts w:cs="Traditional Arabic"/>
      <w:sz w:val="20"/>
      <w:szCs w:val="20"/>
      <w:u w:val="single"/>
      <w:lang w:eastAsia="ar-SA"/>
    </w:rPr>
  </w:style>
  <w:style w:type="character" w:customStyle="1" w:styleId="TitleChar">
    <w:name w:val="Title Char"/>
    <w:basedOn w:val="DefaultParagraphFont"/>
    <w:link w:val="Title"/>
    <w:uiPriority w:val="99"/>
    <w:locked/>
    <w:rsid w:val="002F0064"/>
    <w:rPr>
      <w:rFonts w:ascii="Times New Roman" w:hAnsi="Times New Roman" w:cs="Traditional Arabic"/>
      <w:u w:val="single"/>
      <w:lang w:eastAsia="ar-SA" w:bidi="ar-SA"/>
    </w:rPr>
  </w:style>
  <w:style w:type="character" w:customStyle="1" w:styleId="BodyTextChar">
    <w:name w:val="Body Text Char"/>
    <w:uiPriority w:val="99"/>
    <w:semiHidden/>
    <w:locked/>
    <w:rsid w:val="002F0064"/>
    <w:rPr>
      <w:rFonts w:ascii="Times New Roman" w:hAnsi="Times New Roman" w:cs="Times New Roman"/>
      <w:sz w:val="28"/>
      <w:szCs w:val="28"/>
      <w:lang w:bidi="ar-EG"/>
    </w:rPr>
  </w:style>
  <w:style w:type="paragraph" w:styleId="BodyText">
    <w:name w:val="Body Text"/>
    <w:basedOn w:val="Normal"/>
    <w:link w:val="BodyTextChar1"/>
    <w:uiPriority w:val="99"/>
    <w:semiHidden/>
    <w:rsid w:val="002F0064"/>
    <w:pPr>
      <w:bidi w:val="0"/>
      <w:spacing w:after="0" w:line="360" w:lineRule="auto"/>
    </w:pPr>
    <w:rPr>
      <w:rFonts w:ascii="Times New Roman" w:hAnsi="Times New Roman" w:cs="Times New Roman"/>
      <w:sz w:val="28"/>
      <w:szCs w:val="28"/>
      <w:lang w:bidi="ar-EG"/>
    </w:rPr>
  </w:style>
  <w:style w:type="character" w:customStyle="1" w:styleId="BodyTextChar1">
    <w:name w:val="Body Text Char1"/>
    <w:basedOn w:val="DefaultParagraphFont"/>
    <w:link w:val="BodyText"/>
    <w:uiPriority w:val="99"/>
    <w:semiHidden/>
    <w:locked/>
    <w:rsid w:val="005213F0"/>
    <w:rPr>
      <w:rFonts w:cs="Times New Roman"/>
    </w:rPr>
  </w:style>
  <w:style w:type="paragraph" w:styleId="Footer">
    <w:name w:val="footer"/>
    <w:basedOn w:val="Normal"/>
    <w:link w:val="FooterChar"/>
    <w:uiPriority w:val="99"/>
    <w:rsid w:val="002F0064"/>
    <w:pPr>
      <w:tabs>
        <w:tab w:val="center" w:pos="4680"/>
        <w:tab w:val="right" w:pos="9360"/>
      </w:tabs>
      <w:bidi w:val="0"/>
      <w:spacing w:after="0" w:line="240" w:lineRule="auto"/>
    </w:pPr>
  </w:style>
  <w:style w:type="character" w:customStyle="1" w:styleId="FooterChar">
    <w:name w:val="Footer Char"/>
    <w:basedOn w:val="DefaultParagraphFont"/>
    <w:link w:val="Footer"/>
    <w:uiPriority w:val="99"/>
    <w:locked/>
    <w:rsid w:val="002F0064"/>
    <w:rPr>
      <w:rFonts w:ascii="Calibri" w:hAnsi="Calibri" w:cs="Arial"/>
      <w:sz w:val="22"/>
      <w:szCs w:val="22"/>
    </w:rPr>
  </w:style>
  <w:style w:type="character" w:styleId="PlaceholderText">
    <w:name w:val="Placeholder Text"/>
    <w:basedOn w:val="DefaultParagraphFont"/>
    <w:uiPriority w:val="99"/>
    <w:semiHidden/>
    <w:rsid w:val="004E5FBE"/>
    <w:rPr>
      <w:rFonts w:cs="Times New Roman"/>
      <w:color w:val="808080"/>
    </w:rPr>
  </w:style>
  <w:style w:type="character" w:customStyle="1" w:styleId="mixed-citation">
    <w:name w:val="mixed-citation"/>
    <w:basedOn w:val="DefaultParagraphFont"/>
    <w:rsid w:val="00226BED"/>
  </w:style>
  <w:style w:type="character" w:customStyle="1" w:styleId="ref-title">
    <w:name w:val="ref-title"/>
    <w:basedOn w:val="DefaultParagraphFont"/>
    <w:rsid w:val="00226BED"/>
  </w:style>
  <w:style w:type="character" w:customStyle="1" w:styleId="ref-journal">
    <w:name w:val="ref-journal"/>
    <w:basedOn w:val="DefaultParagraphFont"/>
    <w:rsid w:val="00226BED"/>
  </w:style>
  <w:style w:type="character" w:customStyle="1" w:styleId="ref-vol">
    <w:name w:val="ref-vol"/>
    <w:basedOn w:val="DefaultParagraphFont"/>
    <w:rsid w:val="00226BED"/>
  </w:style>
  <w:style w:type="character" w:customStyle="1" w:styleId="nowrap">
    <w:name w:val="nowrap"/>
    <w:basedOn w:val="DefaultParagraphFont"/>
    <w:rsid w:val="00226BED"/>
  </w:style>
  <w:style w:type="character" w:styleId="CommentReference">
    <w:name w:val="annotation reference"/>
    <w:basedOn w:val="DefaultParagraphFont"/>
    <w:uiPriority w:val="99"/>
    <w:semiHidden/>
    <w:unhideWhenUsed/>
    <w:rsid w:val="00131FDD"/>
    <w:rPr>
      <w:sz w:val="16"/>
      <w:szCs w:val="16"/>
    </w:rPr>
  </w:style>
  <w:style w:type="paragraph" w:styleId="CommentText">
    <w:name w:val="annotation text"/>
    <w:basedOn w:val="Normal"/>
    <w:link w:val="CommentTextChar"/>
    <w:uiPriority w:val="99"/>
    <w:semiHidden/>
    <w:unhideWhenUsed/>
    <w:rsid w:val="00131FDD"/>
    <w:pPr>
      <w:spacing w:line="240" w:lineRule="auto"/>
    </w:pPr>
    <w:rPr>
      <w:sz w:val="20"/>
      <w:szCs w:val="20"/>
    </w:rPr>
  </w:style>
  <w:style w:type="character" w:customStyle="1" w:styleId="CommentTextChar">
    <w:name w:val="Comment Text Char"/>
    <w:basedOn w:val="DefaultParagraphFont"/>
    <w:link w:val="CommentText"/>
    <w:uiPriority w:val="99"/>
    <w:semiHidden/>
    <w:rsid w:val="00131FDD"/>
  </w:style>
  <w:style w:type="paragraph" w:styleId="CommentSubject">
    <w:name w:val="annotation subject"/>
    <w:basedOn w:val="CommentText"/>
    <w:next w:val="CommentText"/>
    <w:link w:val="CommentSubjectChar"/>
    <w:uiPriority w:val="99"/>
    <w:semiHidden/>
    <w:unhideWhenUsed/>
    <w:rsid w:val="00131FDD"/>
    <w:rPr>
      <w:b/>
      <w:bCs/>
    </w:rPr>
  </w:style>
  <w:style w:type="character" w:customStyle="1" w:styleId="CommentSubjectChar">
    <w:name w:val="Comment Subject Char"/>
    <w:basedOn w:val="CommentTextChar"/>
    <w:link w:val="CommentSubject"/>
    <w:uiPriority w:val="99"/>
    <w:semiHidden/>
    <w:rsid w:val="00131F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C8"/>
    <w:pPr>
      <w:bidi/>
      <w:spacing w:after="200" w:line="276" w:lineRule="auto"/>
    </w:pPr>
    <w:rPr>
      <w:sz w:val="22"/>
      <w:szCs w:val="22"/>
    </w:rPr>
  </w:style>
  <w:style w:type="paragraph" w:styleId="Heading1">
    <w:name w:val="heading 1"/>
    <w:basedOn w:val="Normal"/>
    <w:next w:val="Normal"/>
    <w:link w:val="Heading1Char"/>
    <w:uiPriority w:val="99"/>
    <w:qFormat/>
    <w:rsid w:val="00E058BD"/>
    <w:pPr>
      <w:keepNext/>
      <w:spacing w:before="240" w:after="60" w:line="340" w:lineRule="exact"/>
      <w:jc w:val="center"/>
      <w:outlineLvl w:val="0"/>
    </w:pPr>
    <w:rPr>
      <w:rFonts w:ascii="Cambria" w:hAnsi="Cambria" w:cs="Times New Roman"/>
      <w:b/>
      <w:bCs/>
      <w:kern w:val="32"/>
      <w:sz w:val="32"/>
      <w:szCs w:val="32"/>
      <w:lang w:eastAsia="ja-JP"/>
    </w:rPr>
  </w:style>
  <w:style w:type="paragraph" w:styleId="Heading2">
    <w:name w:val="heading 2"/>
    <w:basedOn w:val="Normal"/>
    <w:next w:val="Normal"/>
    <w:link w:val="Heading2Char"/>
    <w:uiPriority w:val="99"/>
    <w:qFormat/>
    <w:rsid w:val="008E2173"/>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9"/>
    <w:qFormat/>
    <w:locked/>
    <w:rsid w:val="002F0064"/>
    <w:pPr>
      <w:autoSpaceDE w:val="0"/>
      <w:autoSpaceDN w:val="0"/>
      <w:bidi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9"/>
    <w:qFormat/>
    <w:rsid w:val="00E058BD"/>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58BD"/>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locked/>
    <w:rsid w:val="008E2173"/>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2F0064"/>
    <w:rPr>
      <w:rFonts w:ascii="Courier New" w:hAnsi="Courier New" w:cs="Courier New"/>
      <w:b/>
      <w:bCs/>
      <w:color w:val="000000"/>
      <w:sz w:val="26"/>
      <w:szCs w:val="26"/>
    </w:rPr>
  </w:style>
  <w:style w:type="character" w:customStyle="1" w:styleId="Heading4Char">
    <w:name w:val="Heading 4 Char"/>
    <w:basedOn w:val="DefaultParagraphFont"/>
    <w:link w:val="Heading4"/>
    <w:uiPriority w:val="99"/>
    <w:locked/>
    <w:rsid w:val="00E058BD"/>
    <w:rPr>
      <w:rFonts w:ascii="Cambria" w:hAnsi="Cambria" w:cs="Times New Roman"/>
      <w:b/>
      <w:bCs/>
      <w:i/>
      <w:iCs/>
      <w:color w:val="4F81BD"/>
    </w:rPr>
  </w:style>
  <w:style w:type="character" w:styleId="Emphasis">
    <w:name w:val="Emphasis"/>
    <w:basedOn w:val="DefaultParagraphFont"/>
    <w:uiPriority w:val="99"/>
    <w:qFormat/>
    <w:rsid w:val="00E058BD"/>
    <w:rPr>
      <w:rFonts w:cs="Times New Roman"/>
      <w:i/>
      <w:iCs/>
    </w:rPr>
  </w:style>
  <w:style w:type="paragraph" w:styleId="Header">
    <w:name w:val="header"/>
    <w:basedOn w:val="Normal"/>
    <w:link w:val="HeaderChar"/>
    <w:uiPriority w:val="99"/>
    <w:rsid w:val="00E058BD"/>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058BD"/>
    <w:rPr>
      <w:rFonts w:cs="Times New Roman"/>
    </w:rPr>
  </w:style>
  <w:style w:type="paragraph" w:customStyle="1" w:styleId="Default">
    <w:name w:val="Default"/>
    <w:uiPriority w:val="99"/>
    <w:rsid w:val="00E058BD"/>
    <w:pPr>
      <w:autoSpaceDE w:val="0"/>
      <w:autoSpaceDN w:val="0"/>
      <w:adjustRightInd w:val="0"/>
    </w:pPr>
    <w:rPr>
      <w:rFonts w:cs="Times New Roman"/>
      <w:color w:val="000000"/>
      <w:sz w:val="24"/>
      <w:szCs w:val="24"/>
    </w:rPr>
  </w:style>
  <w:style w:type="character" w:customStyle="1" w:styleId="st">
    <w:name w:val="st"/>
    <w:basedOn w:val="DefaultParagraphFont"/>
    <w:uiPriority w:val="99"/>
    <w:rsid w:val="00E058BD"/>
    <w:rPr>
      <w:rFonts w:cs="Times New Roman"/>
    </w:rPr>
  </w:style>
  <w:style w:type="character" w:styleId="Hyperlink">
    <w:name w:val="Hyperlink"/>
    <w:basedOn w:val="DefaultParagraphFont"/>
    <w:uiPriority w:val="99"/>
    <w:rsid w:val="00E058BD"/>
    <w:rPr>
      <w:rFonts w:cs="Times New Roman"/>
      <w:color w:val="0000FF"/>
      <w:u w:val="single"/>
    </w:rPr>
  </w:style>
  <w:style w:type="paragraph" w:styleId="BalloonText">
    <w:name w:val="Balloon Text"/>
    <w:basedOn w:val="Normal"/>
    <w:link w:val="BalloonTextChar"/>
    <w:uiPriority w:val="99"/>
    <w:semiHidden/>
    <w:rsid w:val="00E0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58BD"/>
    <w:rPr>
      <w:rFonts w:ascii="Tahoma" w:hAnsi="Tahoma" w:cs="Tahoma"/>
      <w:sz w:val="16"/>
      <w:szCs w:val="16"/>
    </w:rPr>
  </w:style>
  <w:style w:type="table" w:styleId="TableGrid">
    <w:name w:val="Table Grid"/>
    <w:basedOn w:val="TableNormal"/>
    <w:uiPriority w:val="99"/>
    <w:rsid w:val="00A22F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description">
    <w:name w:val="footnote description"/>
    <w:next w:val="Normal"/>
    <w:link w:val="footnotedescriptionChar"/>
    <w:hidden/>
    <w:uiPriority w:val="99"/>
    <w:rsid w:val="008E2173"/>
    <w:pPr>
      <w:spacing w:after="69"/>
      <w:jc w:val="right"/>
    </w:pPr>
    <w:rPr>
      <w:rFonts w:cs="Times New Roman"/>
      <w:color w:val="181717"/>
      <w:sz w:val="22"/>
      <w:szCs w:val="22"/>
    </w:rPr>
  </w:style>
  <w:style w:type="character" w:customStyle="1" w:styleId="footnotedescriptionChar">
    <w:name w:val="footnote description Char"/>
    <w:link w:val="footnotedescription"/>
    <w:uiPriority w:val="99"/>
    <w:locked/>
    <w:rsid w:val="008E2173"/>
    <w:rPr>
      <w:rFonts w:cs="Times New Roman"/>
      <w:color w:val="181717"/>
      <w:sz w:val="22"/>
      <w:szCs w:val="22"/>
      <w:lang w:bidi="ar-SA"/>
    </w:rPr>
  </w:style>
  <w:style w:type="character" w:customStyle="1" w:styleId="footnotemark">
    <w:name w:val="footnote mark"/>
    <w:hidden/>
    <w:uiPriority w:val="99"/>
    <w:rsid w:val="008E2173"/>
    <w:rPr>
      <w:rFonts w:ascii="Calibri" w:hAnsi="Calibri"/>
      <w:b/>
      <w:color w:val="181717"/>
      <w:sz w:val="13"/>
      <w:vertAlign w:val="superscript"/>
    </w:rPr>
  </w:style>
  <w:style w:type="paragraph" w:styleId="ListParagraph">
    <w:name w:val="List Paragraph"/>
    <w:basedOn w:val="Normal"/>
    <w:uiPriority w:val="99"/>
    <w:qFormat/>
    <w:rsid w:val="008E2173"/>
    <w:pPr>
      <w:ind w:left="720"/>
    </w:pPr>
  </w:style>
  <w:style w:type="paragraph" w:styleId="NoSpacing">
    <w:name w:val="No Spacing"/>
    <w:uiPriority w:val="99"/>
    <w:qFormat/>
    <w:rsid w:val="007F43D5"/>
    <w:pPr>
      <w:bidi/>
    </w:pPr>
    <w:rPr>
      <w:sz w:val="22"/>
      <w:szCs w:val="22"/>
    </w:rPr>
  </w:style>
  <w:style w:type="character" w:customStyle="1" w:styleId="apple-converted-space">
    <w:name w:val="apple-converted-space"/>
    <w:basedOn w:val="DefaultParagraphFont"/>
    <w:rsid w:val="00FE4A35"/>
    <w:rPr>
      <w:rFonts w:cs="Times New Roman"/>
    </w:rPr>
  </w:style>
  <w:style w:type="character" w:customStyle="1" w:styleId="reflinks">
    <w:name w:val="reflinks"/>
    <w:basedOn w:val="DefaultParagraphFont"/>
    <w:uiPriority w:val="99"/>
    <w:rsid w:val="00FE4A35"/>
    <w:rPr>
      <w:rFonts w:cs="Times New Roman"/>
    </w:rPr>
  </w:style>
  <w:style w:type="character" w:customStyle="1" w:styleId="sep">
    <w:name w:val="sep"/>
    <w:basedOn w:val="DefaultParagraphFont"/>
    <w:uiPriority w:val="99"/>
    <w:rsid w:val="00FE4A35"/>
    <w:rPr>
      <w:rFonts w:cs="Times New Roman"/>
    </w:rPr>
  </w:style>
  <w:style w:type="character" w:customStyle="1" w:styleId="highlight">
    <w:name w:val="highlight"/>
    <w:basedOn w:val="DefaultParagraphFont"/>
    <w:uiPriority w:val="99"/>
    <w:rsid w:val="00FE1475"/>
    <w:rPr>
      <w:rFonts w:cs="Times New Roman"/>
    </w:rPr>
  </w:style>
  <w:style w:type="paragraph" w:styleId="Title">
    <w:name w:val="Title"/>
    <w:basedOn w:val="Normal"/>
    <w:link w:val="TitleChar"/>
    <w:uiPriority w:val="99"/>
    <w:qFormat/>
    <w:locked/>
    <w:rsid w:val="002F0064"/>
    <w:pPr>
      <w:spacing w:after="0" w:line="240" w:lineRule="auto"/>
      <w:jc w:val="center"/>
    </w:pPr>
    <w:rPr>
      <w:rFonts w:cs="Traditional Arabic"/>
      <w:sz w:val="20"/>
      <w:szCs w:val="20"/>
      <w:u w:val="single"/>
      <w:lang w:eastAsia="ar-SA"/>
    </w:rPr>
  </w:style>
  <w:style w:type="character" w:customStyle="1" w:styleId="TitleChar">
    <w:name w:val="Title Char"/>
    <w:basedOn w:val="DefaultParagraphFont"/>
    <w:link w:val="Title"/>
    <w:uiPriority w:val="99"/>
    <w:locked/>
    <w:rsid w:val="002F0064"/>
    <w:rPr>
      <w:rFonts w:ascii="Times New Roman" w:hAnsi="Times New Roman" w:cs="Traditional Arabic"/>
      <w:u w:val="single"/>
      <w:lang w:eastAsia="ar-SA" w:bidi="ar-SA"/>
    </w:rPr>
  </w:style>
  <w:style w:type="character" w:customStyle="1" w:styleId="BodyTextChar">
    <w:name w:val="Body Text Char"/>
    <w:uiPriority w:val="99"/>
    <w:semiHidden/>
    <w:locked/>
    <w:rsid w:val="002F0064"/>
    <w:rPr>
      <w:rFonts w:ascii="Times New Roman" w:hAnsi="Times New Roman" w:cs="Times New Roman"/>
      <w:sz w:val="28"/>
      <w:szCs w:val="28"/>
      <w:lang w:bidi="ar-EG"/>
    </w:rPr>
  </w:style>
  <w:style w:type="paragraph" w:styleId="BodyText">
    <w:name w:val="Body Text"/>
    <w:basedOn w:val="Normal"/>
    <w:link w:val="BodyTextChar1"/>
    <w:uiPriority w:val="99"/>
    <w:semiHidden/>
    <w:rsid w:val="002F0064"/>
    <w:pPr>
      <w:bidi w:val="0"/>
      <w:spacing w:after="0" w:line="360" w:lineRule="auto"/>
    </w:pPr>
    <w:rPr>
      <w:rFonts w:ascii="Times New Roman" w:hAnsi="Times New Roman" w:cs="Times New Roman"/>
      <w:sz w:val="28"/>
      <w:szCs w:val="28"/>
      <w:lang w:bidi="ar-EG"/>
    </w:rPr>
  </w:style>
  <w:style w:type="character" w:customStyle="1" w:styleId="BodyTextChar1">
    <w:name w:val="Body Text Char1"/>
    <w:basedOn w:val="DefaultParagraphFont"/>
    <w:link w:val="BodyText"/>
    <w:uiPriority w:val="99"/>
    <w:semiHidden/>
    <w:locked/>
    <w:rsid w:val="005213F0"/>
    <w:rPr>
      <w:rFonts w:cs="Times New Roman"/>
    </w:rPr>
  </w:style>
  <w:style w:type="paragraph" w:styleId="Footer">
    <w:name w:val="footer"/>
    <w:basedOn w:val="Normal"/>
    <w:link w:val="FooterChar"/>
    <w:uiPriority w:val="99"/>
    <w:rsid w:val="002F0064"/>
    <w:pPr>
      <w:tabs>
        <w:tab w:val="center" w:pos="4680"/>
        <w:tab w:val="right" w:pos="9360"/>
      </w:tabs>
      <w:bidi w:val="0"/>
      <w:spacing w:after="0" w:line="240" w:lineRule="auto"/>
    </w:pPr>
  </w:style>
  <w:style w:type="character" w:customStyle="1" w:styleId="FooterChar">
    <w:name w:val="Footer Char"/>
    <w:basedOn w:val="DefaultParagraphFont"/>
    <w:link w:val="Footer"/>
    <w:uiPriority w:val="99"/>
    <w:locked/>
    <w:rsid w:val="002F0064"/>
    <w:rPr>
      <w:rFonts w:ascii="Calibri" w:hAnsi="Calibri" w:cs="Arial"/>
      <w:sz w:val="22"/>
      <w:szCs w:val="22"/>
    </w:rPr>
  </w:style>
  <w:style w:type="character" w:styleId="PlaceholderText">
    <w:name w:val="Placeholder Text"/>
    <w:basedOn w:val="DefaultParagraphFont"/>
    <w:uiPriority w:val="99"/>
    <w:semiHidden/>
    <w:rsid w:val="004E5FBE"/>
    <w:rPr>
      <w:rFonts w:cs="Times New Roman"/>
      <w:color w:val="808080"/>
    </w:rPr>
  </w:style>
  <w:style w:type="character" w:customStyle="1" w:styleId="mixed-citation">
    <w:name w:val="mixed-citation"/>
    <w:basedOn w:val="DefaultParagraphFont"/>
    <w:rsid w:val="00226BED"/>
  </w:style>
  <w:style w:type="character" w:customStyle="1" w:styleId="ref-title">
    <w:name w:val="ref-title"/>
    <w:basedOn w:val="DefaultParagraphFont"/>
    <w:rsid w:val="00226BED"/>
  </w:style>
  <w:style w:type="character" w:customStyle="1" w:styleId="ref-journal">
    <w:name w:val="ref-journal"/>
    <w:basedOn w:val="DefaultParagraphFont"/>
    <w:rsid w:val="00226BED"/>
  </w:style>
  <w:style w:type="character" w:customStyle="1" w:styleId="ref-vol">
    <w:name w:val="ref-vol"/>
    <w:basedOn w:val="DefaultParagraphFont"/>
    <w:rsid w:val="00226BED"/>
  </w:style>
  <w:style w:type="character" w:customStyle="1" w:styleId="nowrap">
    <w:name w:val="nowrap"/>
    <w:basedOn w:val="DefaultParagraphFont"/>
    <w:rsid w:val="00226BED"/>
  </w:style>
  <w:style w:type="character" w:styleId="CommentReference">
    <w:name w:val="annotation reference"/>
    <w:basedOn w:val="DefaultParagraphFont"/>
    <w:uiPriority w:val="99"/>
    <w:semiHidden/>
    <w:unhideWhenUsed/>
    <w:rsid w:val="00131FDD"/>
    <w:rPr>
      <w:sz w:val="16"/>
      <w:szCs w:val="16"/>
    </w:rPr>
  </w:style>
  <w:style w:type="paragraph" w:styleId="CommentText">
    <w:name w:val="annotation text"/>
    <w:basedOn w:val="Normal"/>
    <w:link w:val="CommentTextChar"/>
    <w:uiPriority w:val="99"/>
    <w:semiHidden/>
    <w:unhideWhenUsed/>
    <w:rsid w:val="00131FDD"/>
    <w:pPr>
      <w:spacing w:line="240" w:lineRule="auto"/>
    </w:pPr>
    <w:rPr>
      <w:sz w:val="20"/>
      <w:szCs w:val="20"/>
    </w:rPr>
  </w:style>
  <w:style w:type="character" w:customStyle="1" w:styleId="CommentTextChar">
    <w:name w:val="Comment Text Char"/>
    <w:basedOn w:val="DefaultParagraphFont"/>
    <w:link w:val="CommentText"/>
    <w:uiPriority w:val="99"/>
    <w:semiHidden/>
    <w:rsid w:val="00131FDD"/>
  </w:style>
  <w:style w:type="paragraph" w:styleId="CommentSubject">
    <w:name w:val="annotation subject"/>
    <w:basedOn w:val="CommentText"/>
    <w:next w:val="CommentText"/>
    <w:link w:val="CommentSubjectChar"/>
    <w:uiPriority w:val="99"/>
    <w:semiHidden/>
    <w:unhideWhenUsed/>
    <w:rsid w:val="00131FDD"/>
    <w:rPr>
      <w:b/>
      <w:bCs/>
    </w:rPr>
  </w:style>
  <w:style w:type="character" w:customStyle="1" w:styleId="CommentSubjectChar">
    <w:name w:val="Comment Subject Char"/>
    <w:basedOn w:val="CommentTextChar"/>
    <w:link w:val="CommentSubject"/>
    <w:uiPriority w:val="99"/>
    <w:semiHidden/>
    <w:rsid w:val="00131FDD"/>
    <w:rPr>
      <w:b/>
      <w:bCs/>
    </w:rPr>
  </w:style>
</w:styles>
</file>

<file path=word/webSettings.xml><?xml version="1.0" encoding="utf-8"?>
<w:webSettings xmlns:r="http://schemas.openxmlformats.org/officeDocument/2006/relationships" xmlns:w="http://schemas.openxmlformats.org/wordprocessingml/2006/main">
  <w:divs>
    <w:div w:id="105006984">
      <w:marLeft w:val="0"/>
      <w:marRight w:val="0"/>
      <w:marTop w:val="0"/>
      <w:marBottom w:val="0"/>
      <w:divBdr>
        <w:top w:val="none" w:sz="0" w:space="0" w:color="auto"/>
        <w:left w:val="none" w:sz="0" w:space="0" w:color="auto"/>
        <w:bottom w:val="none" w:sz="0" w:space="0" w:color="auto"/>
        <w:right w:val="none" w:sz="0" w:space="0" w:color="auto"/>
      </w:divBdr>
    </w:div>
    <w:div w:id="105006985">
      <w:marLeft w:val="0"/>
      <w:marRight w:val="0"/>
      <w:marTop w:val="0"/>
      <w:marBottom w:val="0"/>
      <w:divBdr>
        <w:top w:val="none" w:sz="0" w:space="0" w:color="auto"/>
        <w:left w:val="none" w:sz="0" w:space="0" w:color="auto"/>
        <w:bottom w:val="none" w:sz="0" w:space="0" w:color="auto"/>
        <w:right w:val="none" w:sz="0" w:space="0" w:color="auto"/>
      </w:divBdr>
    </w:div>
    <w:div w:id="105006993">
      <w:marLeft w:val="0"/>
      <w:marRight w:val="0"/>
      <w:marTop w:val="0"/>
      <w:marBottom w:val="0"/>
      <w:divBdr>
        <w:top w:val="none" w:sz="0" w:space="0" w:color="auto"/>
        <w:left w:val="none" w:sz="0" w:space="0" w:color="auto"/>
        <w:bottom w:val="none" w:sz="0" w:space="0" w:color="auto"/>
        <w:right w:val="none" w:sz="0" w:space="0" w:color="auto"/>
      </w:divBdr>
      <w:divsChild>
        <w:div w:id="105006995">
          <w:marLeft w:val="0"/>
          <w:marRight w:val="0"/>
          <w:marTop w:val="0"/>
          <w:marBottom w:val="0"/>
          <w:divBdr>
            <w:top w:val="none" w:sz="0" w:space="0" w:color="auto"/>
            <w:left w:val="none" w:sz="0" w:space="0" w:color="auto"/>
            <w:bottom w:val="none" w:sz="0" w:space="0" w:color="auto"/>
            <w:right w:val="none" w:sz="0" w:space="0" w:color="auto"/>
          </w:divBdr>
          <w:divsChild>
            <w:div w:id="105006989">
              <w:marLeft w:val="0"/>
              <w:marRight w:val="0"/>
              <w:marTop w:val="0"/>
              <w:marBottom w:val="0"/>
              <w:divBdr>
                <w:top w:val="none" w:sz="0" w:space="0" w:color="auto"/>
                <w:left w:val="none" w:sz="0" w:space="0" w:color="auto"/>
                <w:bottom w:val="none" w:sz="0" w:space="0" w:color="auto"/>
                <w:right w:val="none" w:sz="0" w:space="0" w:color="auto"/>
              </w:divBdr>
            </w:div>
            <w:div w:id="105006990">
              <w:marLeft w:val="0"/>
              <w:marRight w:val="0"/>
              <w:marTop w:val="0"/>
              <w:marBottom w:val="0"/>
              <w:divBdr>
                <w:top w:val="none" w:sz="0" w:space="0" w:color="auto"/>
                <w:left w:val="none" w:sz="0" w:space="0" w:color="auto"/>
                <w:bottom w:val="none" w:sz="0" w:space="0" w:color="auto"/>
                <w:right w:val="none" w:sz="0" w:space="0" w:color="auto"/>
              </w:divBdr>
              <w:divsChild>
                <w:div w:id="105007000">
                  <w:marLeft w:val="0"/>
                  <w:marRight w:val="0"/>
                  <w:marTop w:val="0"/>
                  <w:marBottom w:val="0"/>
                  <w:divBdr>
                    <w:top w:val="none" w:sz="0" w:space="0" w:color="auto"/>
                    <w:left w:val="none" w:sz="0" w:space="0" w:color="auto"/>
                    <w:bottom w:val="none" w:sz="0" w:space="0" w:color="auto"/>
                    <w:right w:val="none" w:sz="0" w:space="0" w:color="auto"/>
                  </w:divBdr>
                </w:div>
                <w:div w:id="105007006">
                  <w:marLeft w:val="0"/>
                  <w:marRight w:val="0"/>
                  <w:marTop w:val="0"/>
                  <w:marBottom w:val="0"/>
                  <w:divBdr>
                    <w:top w:val="single" w:sz="12" w:space="0" w:color="000000"/>
                    <w:left w:val="none" w:sz="0" w:space="0" w:color="auto"/>
                    <w:bottom w:val="none" w:sz="0" w:space="0" w:color="auto"/>
                    <w:right w:val="none" w:sz="0" w:space="0" w:color="auto"/>
                  </w:divBdr>
                  <w:divsChild>
                    <w:div w:id="105007003">
                      <w:marLeft w:val="0"/>
                      <w:marRight w:val="0"/>
                      <w:marTop w:val="0"/>
                      <w:marBottom w:val="0"/>
                      <w:divBdr>
                        <w:top w:val="none" w:sz="0" w:space="0" w:color="auto"/>
                        <w:left w:val="none" w:sz="0" w:space="0" w:color="auto"/>
                        <w:bottom w:val="none" w:sz="0" w:space="0" w:color="auto"/>
                        <w:right w:val="none" w:sz="0" w:space="0" w:color="auto"/>
                      </w:divBdr>
                      <w:divsChild>
                        <w:div w:id="105006991">
                          <w:marLeft w:val="0"/>
                          <w:marRight w:val="-180"/>
                          <w:marTop w:val="0"/>
                          <w:marBottom w:val="0"/>
                          <w:divBdr>
                            <w:top w:val="none" w:sz="0" w:space="0" w:color="auto"/>
                            <w:left w:val="none" w:sz="0" w:space="0" w:color="auto"/>
                            <w:bottom w:val="none" w:sz="0" w:space="0" w:color="auto"/>
                            <w:right w:val="none" w:sz="0" w:space="0" w:color="auto"/>
                          </w:divBdr>
                        </w:div>
                        <w:div w:id="105006998">
                          <w:marLeft w:val="0"/>
                          <w:marRight w:val="0"/>
                          <w:marTop w:val="0"/>
                          <w:marBottom w:val="0"/>
                          <w:divBdr>
                            <w:top w:val="none" w:sz="0" w:space="0" w:color="auto"/>
                            <w:left w:val="none" w:sz="0" w:space="0" w:color="auto"/>
                            <w:bottom w:val="none" w:sz="0" w:space="0" w:color="auto"/>
                            <w:right w:val="none" w:sz="0" w:space="0" w:color="auto"/>
                          </w:divBdr>
                        </w:div>
                        <w:div w:id="105007004">
                          <w:marLeft w:val="0"/>
                          <w:marRight w:val="0"/>
                          <w:marTop w:val="0"/>
                          <w:marBottom w:val="0"/>
                          <w:divBdr>
                            <w:top w:val="single" w:sz="12" w:space="5" w:color="000000"/>
                            <w:left w:val="none" w:sz="0" w:space="0" w:color="auto"/>
                            <w:bottom w:val="none" w:sz="0" w:space="0" w:color="auto"/>
                            <w:right w:val="none" w:sz="0" w:space="0" w:color="auto"/>
                          </w:divBdr>
                        </w:div>
                      </w:divsChild>
                    </w:div>
                  </w:divsChild>
                </w:div>
              </w:divsChild>
            </w:div>
            <w:div w:id="105006997">
              <w:marLeft w:val="0"/>
              <w:marRight w:val="0"/>
              <w:marTop w:val="0"/>
              <w:marBottom w:val="0"/>
              <w:divBdr>
                <w:top w:val="none" w:sz="0" w:space="0" w:color="auto"/>
                <w:left w:val="none" w:sz="0" w:space="0" w:color="auto"/>
                <w:bottom w:val="none" w:sz="0" w:space="0" w:color="auto"/>
                <w:right w:val="none" w:sz="0" w:space="0" w:color="auto"/>
              </w:divBdr>
              <w:divsChild>
                <w:div w:id="1050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999">
      <w:marLeft w:val="0"/>
      <w:marRight w:val="0"/>
      <w:marTop w:val="0"/>
      <w:marBottom w:val="0"/>
      <w:divBdr>
        <w:top w:val="none" w:sz="0" w:space="0" w:color="auto"/>
        <w:left w:val="none" w:sz="0" w:space="0" w:color="auto"/>
        <w:bottom w:val="none" w:sz="0" w:space="0" w:color="auto"/>
        <w:right w:val="none" w:sz="0" w:space="0" w:color="auto"/>
      </w:divBdr>
      <w:divsChild>
        <w:div w:id="105006996">
          <w:marLeft w:val="0"/>
          <w:marRight w:val="0"/>
          <w:marTop w:val="0"/>
          <w:marBottom w:val="0"/>
          <w:divBdr>
            <w:top w:val="none" w:sz="0" w:space="0" w:color="auto"/>
            <w:left w:val="none" w:sz="0" w:space="0" w:color="auto"/>
            <w:bottom w:val="none" w:sz="0" w:space="0" w:color="auto"/>
            <w:right w:val="none" w:sz="0" w:space="0" w:color="auto"/>
          </w:divBdr>
          <w:divsChild>
            <w:div w:id="105006994">
              <w:marLeft w:val="0"/>
              <w:marRight w:val="0"/>
              <w:marTop w:val="0"/>
              <w:marBottom w:val="0"/>
              <w:divBdr>
                <w:top w:val="none" w:sz="0" w:space="0" w:color="auto"/>
                <w:left w:val="none" w:sz="0" w:space="0" w:color="auto"/>
                <w:bottom w:val="none" w:sz="0" w:space="0" w:color="auto"/>
                <w:right w:val="none" w:sz="0" w:space="0" w:color="auto"/>
              </w:divBdr>
              <w:divsChild>
                <w:div w:id="105006992">
                  <w:marLeft w:val="0"/>
                  <w:marRight w:val="0"/>
                  <w:marTop w:val="0"/>
                  <w:marBottom w:val="0"/>
                  <w:divBdr>
                    <w:top w:val="single" w:sz="12" w:space="0" w:color="000000"/>
                    <w:left w:val="none" w:sz="0" w:space="0" w:color="auto"/>
                    <w:bottom w:val="none" w:sz="0" w:space="0" w:color="auto"/>
                    <w:right w:val="none" w:sz="0" w:space="0" w:color="auto"/>
                  </w:divBdr>
                  <w:divsChild>
                    <w:div w:id="105007008">
                      <w:marLeft w:val="0"/>
                      <w:marRight w:val="0"/>
                      <w:marTop w:val="0"/>
                      <w:marBottom w:val="0"/>
                      <w:divBdr>
                        <w:top w:val="none" w:sz="0" w:space="0" w:color="auto"/>
                        <w:left w:val="none" w:sz="0" w:space="0" w:color="auto"/>
                        <w:bottom w:val="none" w:sz="0" w:space="0" w:color="auto"/>
                        <w:right w:val="none" w:sz="0" w:space="0" w:color="auto"/>
                      </w:divBdr>
                      <w:divsChild>
                        <w:div w:id="105006986">
                          <w:marLeft w:val="0"/>
                          <w:marRight w:val="0"/>
                          <w:marTop w:val="0"/>
                          <w:marBottom w:val="0"/>
                          <w:divBdr>
                            <w:top w:val="none" w:sz="0" w:space="0" w:color="auto"/>
                            <w:left w:val="none" w:sz="0" w:space="0" w:color="auto"/>
                            <w:bottom w:val="none" w:sz="0" w:space="0" w:color="auto"/>
                            <w:right w:val="none" w:sz="0" w:space="0" w:color="auto"/>
                          </w:divBdr>
                        </w:div>
                        <w:div w:id="105006987">
                          <w:marLeft w:val="0"/>
                          <w:marRight w:val="-180"/>
                          <w:marTop w:val="0"/>
                          <w:marBottom w:val="0"/>
                          <w:divBdr>
                            <w:top w:val="none" w:sz="0" w:space="0" w:color="auto"/>
                            <w:left w:val="none" w:sz="0" w:space="0" w:color="auto"/>
                            <w:bottom w:val="none" w:sz="0" w:space="0" w:color="auto"/>
                            <w:right w:val="none" w:sz="0" w:space="0" w:color="auto"/>
                          </w:divBdr>
                        </w:div>
                        <w:div w:id="105007002">
                          <w:marLeft w:val="0"/>
                          <w:marRight w:val="0"/>
                          <w:marTop w:val="0"/>
                          <w:marBottom w:val="0"/>
                          <w:divBdr>
                            <w:top w:val="single" w:sz="12" w:space="5" w:color="000000"/>
                            <w:left w:val="none" w:sz="0" w:space="0" w:color="auto"/>
                            <w:bottom w:val="none" w:sz="0" w:space="0" w:color="auto"/>
                            <w:right w:val="none" w:sz="0" w:space="0" w:color="auto"/>
                          </w:divBdr>
                        </w:div>
                      </w:divsChild>
                    </w:div>
                  </w:divsChild>
                </w:div>
                <w:div w:id="105007001">
                  <w:marLeft w:val="0"/>
                  <w:marRight w:val="0"/>
                  <w:marTop w:val="0"/>
                  <w:marBottom w:val="0"/>
                  <w:divBdr>
                    <w:top w:val="none" w:sz="0" w:space="0" w:color="auto"/>
                    <w:left w:val="none" w:sz="0" w:space="0" w:color="auto"/>
                    <w:bottom w:val="none" w:sz="0" w:space="0" w:color="auto"/>
                    <w:right w:val="none" w:sz="0" w:space="0" w:color="auto"/>
                  </w:divBdr>
                </w:div>
              </w:divsChild>
            </w:div>
            <w:div w:id="105007005">
              <w:marLeft w:val="0"/>
              <w:marRight w:val="0"/>
              <w:marTop w:val="0"/>
              <w:marBottom w:val="0"/>
              <w:divBdr>
                <w:top w:val="none" w:sz="0" w:space="0" w:color="auto"/>
                <w:left w:val="none" w:sz="0" w:space="0" w:color="auto"/>
                <w:bottom w:val="none" w:sz="0" w:space="0" w:color="auto"/>
                <w:right w:val="none" w:sz="0" w:space="0" w:color="auto"/>
              </w:divBdr>
              <w:divsChild>
                <w:div w:id="1050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image" Target="media/image3.png"/><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image" Target="media/image4.png"/><Relationship Id="rId47" Type="http://schemas.openxmlformats.org/officeDocument/2006/relationships/header" Target="header15.xml"/><Relationship Id="rId50" Type="http://schemas.openxmlformats.org/officeDocument/2006/relationships/hyperlink" Target="http://www.ncbi.nlm.nih.gov/pubmed/?term=Anwar%20E%5BAuthor%5D&amp;cauthor=true&amp;cauthor_uid=18594972" TargetMode="External"/><Relationship Id="rId55"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oter" Target="footer13.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4.xml"/><Relationship Id="rId53" Type="http://schemas.openxmlformats.org/officeDocument/2006/relationships/header" Target="header16.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image" Target="media/image2.png"/><Relationship Id="rId49" Type="http://schemas.openxmlformats.org/officeDocument/2006/relationships/hyperlink" Target="http://www.ncbi.nlm.nih.gov/pubmed/?term=Agha%20A%5BAuthor%5D&amp;cauthor=true&amp;cauthor_uid=18594972" TargetMode="External"/><Relationship Id="rId57" Type="http://schemas.openxmlformats.org/officeDocument/2006/relationships/fontTable" Target="fontTable.xml"/><Relationship Id="rId61" Type="http://schemas.microsoft.com/office/2011/relationships/commentsExtended" Target="commentsExtended.xml"/><Relationship Id="rId10" Type="http://schemas.openxmlformats.org/officeDocument/2006/relationships/hyperlink" Target="mailto:shabanalibiary@yahoo.com"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image" Target="media/image6.png"/><Relationship Id="rId52" Type="http://schemas.openxmlformats.org/officeDocument/2006/relationships/hyperlink" Target="http://www.ncbi.nlm.nih.gov/pubmed/18594972"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hmedmicro@yahoo.com"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image" Target="media/image1.png"/><Relationship Id="rId43" Type="http://schemas.openxmlformats.org/officeDocument/2006/relationships/image" Target="media/image5.png"/><Relationship Id="rId48" Type="http://schemas.openxmlformats.org/officeDocument/2006/relationships/footer" Target="footer15.xml"/><Relationship Id="rId56" Type="http://schemas.openxmlformats.org/officeDocument/2006/relationships/footer" Target="footer17.xml"/><Relationship Id="rId8" Type="http://schemas.openxmlformats.org/officeDocument/2006/relationships/hyperlink" Target="mailto:mohammed.elshewi@fmed.bu.edu.eg" TargetMode="External"/><Relationship Id="rId51" Type="http://schemas.openxmlformats.org/officeDocument/2006/relationships/hyperlink" Target="http://www.ncbi.nlm.nih.gov/pubmed/?term=Bashir%20K%5BAuthor%5D&amp;cauthor=true&amp;cauthor_uid=18594972" TargetMode="External"/><Relationship Id="rId3" Type="http://schemas.openxmlformats.org/officeDocument/2006/relationships/styles" Target="styles.xml"/><Relationship Id="rId12" Type="http://schemas.openxmlformats.org/officeDocument/2006/relationships/hyperlink" Target="http://www.dx.doi.org/10.7537/marsnys091016.08"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footer" Target="footer14.xml"/><Relationship Id="rId5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8F73-AD9E-4B32-B246-2AC64E77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6178</Words>
  <Characters>35218</Characters>
  <Application>Microsoft Office Word</Application>
  <DocSecurity>0</DocSecurity>
  <Lines>293</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41314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FreePc</dc:creator>
  <cp:lastModifiedBy>Administrator</cp:lastModifiedBy>
  <cp:revision>5</cp:revision>
  <cp:lastPrinted>2016-10-18T04:00:00Z</cp:lastPrinted>
  <dcterms:created xsi:type="dcterms:W3CDTF">2016-10-17T10:28:00Z</dcterms:created>
  <dcterms:modified xsi:type="dcterms:W3CDTF">2016-10-18T04:00:00Z</dcterms:modified>
</cp:coreProperties>
</file>