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40" w:rsidRPr="00B52880" w:rsidRDefault="00B51D97" w:rsidP="00B52880">
      <w:pPr>
        <w:snapToGrid w:val="0"/>
        <w:jc w:val="center"/>
        <w:rPr>
          <w:b/>
          <w:bCs/>
          <w:sz w:val="20"/>
          <w:szCs w:val="20"/>
        </w:rPr>
      </w:pPr>
      <w:r w:rsidRPr="00B52880">
        <w:rPr>
          <w:b/>
          <w:bCs/>
          <w:sz w:val="20"/>
          <w:szCs w:val="20"/>
        </w:rPr>
        <w:t>Assessment of P</w:t>
      </w:r>
      <w:r w:rsidR="00421B40" w:rsidRPr="00B52880">
        <w:rPr>
          <w:b/>
          <w:bCs/>
          <w:sz w:val="20"/>
          <w:szCs w:val="20"/>
        </w:rPr>
        <w:t>l</w:t>
      </w:r>
      <w:r w:rsidRPr="00B52880">
        <w:rPr>
          <w:b/>
          <w:bCs/>
          <w:sz w:val="20"/>
          <w:szCs w:val="20"/>
        </w:rPr>
        <w:t>u</w:t>
      </w:r>
      <w:r w:rsidR="00421B40" w:rsidRPr="00B52880">
        <w:rPr>
          <w:b/>
          <w:bCs/>
          <w:sz w:val="20"/>
          <w:szCs w:val="20"/>
        </w:rPr>
        <w:t xml:space="preserve">tonium </w:t>
      </w:r>
      <w:r w:rsidRPr="00B52880">
        <w:rPr>
          <w:b/>
          <w:bCs/>
          <w:sz w:val="20"/>
          <w:szCs w:val="20"/>
        </w:rPr>
        <w:t>Isotopic Ratio Change for PWR Spent Fuel Relative to Average Power Level</w:t>
      </w:r>
    </w:p>
    <w:p w:rsidR="00471E57" w:rsidRPr="00B52880" w:rsidRDefault="00B51D97" w:rsidP="00B52880">
      <w:pPr>
        <w:snapToGrid w:val="0"/>
        <w:jc w:val="center"/>
        <w:rPr>
          <w:b/>
          <w:sz w:val="20"/>
          <w:szCs w:val="20"/>
        </w:rPr>
      </w:pPr>
      <w:r w:rsidRPr="00B52880">
        <w:rPr>
          <w:b/>
          <w:bCs/>
          <w:sz w:val="20"/>
          <w:szCs w:val="20"/>
        </w:rPr>
        <w:t>Using ORIGEN-ARP Code</w:t>
      </w:r>
    </w:p>
    <w:p w:rsidR="00480715" w:rsidRPr="00B52880" w:rsidRDefault="00480715" w:rsidP="00B52880">
      <w:pPr>
        <w:snapToGrid w:val="0"/>
        <w:jc w:val="center"/>
        <w:rPr>
          <w:sz w:val="20"/>
          <w:szCs w:val="20"/>
          <w:lang w:eastAsia="zh-CN"/>
        </w:rPr>
      </w:pPr>
    </w:p>
    <w:p w:rsidR="00471E57" w:rsidRPr="00B52880" w:rsidRDefault="00494273" w:rsidP="00B52880">
      <w:pPr>
        <w:snapToGrid w:val="0"/>
        <w:jc w:val="center"/>
        <w:rPr>
          <w:sz w:val="20"/>
          <w:szCs w:val="20"/>
        </w:rPr>
      </w:pPr>
      <w:r w:rsidRPr="00B52880">
        <w:rPr>
          <w:sz w:val="20"/>
          <w:szCs w:val="20"/>
        </w:rPr>
        <w:t xml:space="preserve">A.G. </w:t>
      </w:r>
      <w:proofErr w:type="spellStart"/>
      <w:r w:rsidRPr="00B52880">
        <w:rPr>
          <w:sz w:val="20"/>
          <w:szCs w:val="20"/>
        </w:rPr>
        <w:t>Mostafa</w:t>
      </w:r>
      <w:proofErr w:type="spellEnd"/>
      <w:r w:rsidRPr="00B52880">
        <w:rPr>
          <w:sz w:val="20"/>
          <w:szCs w:val="20"/>
        </w:rPr>
        <w:t xml:space="preserve"> </w:t>
      </w:r>
      <w:r w:rsidRPr="00B52880">
        <w:rPr>
          <w:sz w:val="20"/>
          <w:szCs w:val="20"/>
          <w:vertAlign w:val="superscript"/>
        </w:rPr>
        <w:t>1</w:t>
      </w:r>
      <w:r w:rsidRPr="00B52880">
        <w:rPr>
          <w:sz w:val="20"/>
          <w:szCs w:val="20"/>
        </w:rPr>
        <w:t xml:space="preserve">*, A.A. </w:t>
      </w:r>
      <w:proofErr w:type="spellStart"/>
      <w:r w:rsidRPr="00B52880">
        <w:rPr>
          <w:sz w:val="20"/>
          <w:szCs w:val="20"/>
        </w:rPr>
        <w:t>Hamed</w:t>
      </w:r>
      <w:proofErr w:type="spellEnd"/>
      <w:r w:rsidRPr="00B52880">
        <w:rPr>
          <w:sz w:val="20"/>
          <w:szCs w:val="20"/>
        </w:rPr>
        <w:t xml:space="preserve"> </w:t>
      </w:r>
      <w:r w:rsidRPr="00B52880">
        <w:rPr>
          <w:sz w:val="20"/>
          <w:szCs w:val="20"/>
          <w:vertAlign w:val="superscript"/>
        </w:rPr>
        <w:t>2</w:t>
      </w:r>
      <w:r w:rsidRPr="00B52880">
        <w:rPr>
          <w:sz w:val="20"/>
          <w:szCs w:val="20"/>
        </w:rPr>
        <w:t xml:space="preserve"> and M. Gad </w:t>
      </w:r>
      <w:r w:rsidRPr="00B52880">
        <w:rPr>
          <w:sz w:val="20"/>
          <w:szCs w:val="20"/>
          <w:vertAlign w:val="superscript"/>
        </w:rPr>
        <w:t>2</w:t>
      </w:r>
    </w:p>
    <w:p w:rsidR="00471E57" w:rsidRPr="00B52880" w:rsidRDefault="00471E57" w:rsidP="00B52880">
      <w:pPr>
        <w:snapToGrid w:val="0"/>
        <w:jc w:val="center"/>
        <w:rPr>
          <w:sz w:val="20"/>
          <w:szCs w:val="20"/>
        </w:rPr>
      </w:pPr>
    </w:p>
    <w:p w:rsidR="00494273" w:rsidRPr="00B52880" w:rsidRDefault="00494273" w:rsidP="00B52880">
      <w:pPr>
        <w:snapToGrid w:val="0"/>
        <w:jc w:val="center"/>
        <w:rPr>
          <w:sz w:val="20"/>
          <w:szCs w:val="20"/>
        </w:rPr>
      </w:pPr>
      <w:r w:rsidRPr="00B52880">
        <w:rPr>
          <w:sz w:val="20"/>
          <w:szCs w:val="20"/>
          <w:vertAlign w:val="superscript"/>
        </w:rPr>
        <w:t>1.</w:t>
      </w:r>
      <w:r w:rsidRPr="00B52880">
        <w:rPr>
          <w:sz w:val="20"/>
          <w:szCs w:val="20"/>
        </w:rPr>
        <w:t xml:space="preserve"> Department of Physics, Faculty of science Al-</w:t>
      </w:r>
      <w:proofErr w:type="spellStart"/>
      <w:r w:rsidRPr="00B52880">
        <w:rPr>
          <w:sz w:val="20"/>
          <w:szCs w:val="20"/>
        </w:rPr>
        <w:t>Azhar</w:t>
      </w:r>
      <w:proofErr w:type="spellEnd"/>
      <w:r w:rsidRPr="00B52880">
        <w:rPr>
          <w:sz w:val="20"/>
          <w:szCs w:val="20"/>
        </w:rPr>
        <w:t xml:space="preserve"> University, Nasr City, Cairo, Egypt</w:t>
      </w:r>
    </w:p>
    <w:p w:rsidR="00494273" w:rsidRPr="00B52880" w:rsidRDefault="00494273" w:rsidP="00B52880">
      <w:pPr>
        <w:snapToGrid w:val="0"/>
        <w:jc w:val="center"/>
        <w:rPr>
          <w:sz w:val="20"/>
          <w:szCs w:val="20"/>
        </w:rPr>
      </w:pPr>
      <w:r w:rsidRPr="00B52880">
        <w:rPr>
          <w:sz w:val="20"/>
          <w:szCs w:val="20"/>
          <w:vertAlign w:val="superscript"/>
        </w:rPr>
        <w:t>2.</w:t>
      </w:r>
      <w:r w:rsidRPr="00B52880">
        <w:rPr>
          <w:sz w:val="20"/>
          <w:szCs w:val="20"/>
        </w:rPr>
        <w:t xml:space="preserve"> Department of Nuclear Safeguard and Physical Protection, </w:t>
      </w:r>
      <w:r w:rsidR="00CA7ACD" w:rsidRPr="00B52880">
        <w:rPr>
          <w:sz w:val="20"/>
          <w:szCs w:val="20"/>
        </w:rPr>
        <w:t>Egyptian Nuclear Radiological Regularity Authority (</w:t>
      </w:r>
      <w:r w:rsidRPr="00B52880">
        <w:rPr>
          <w:sz w:val="20"/>
          <w:szCs w:val="20"/>
        </w:rPr>
        <w:t>ENRRA</w:t>
      </w:r>
      <w:r w:rsidR="00CA7ACD" w:rsidRPr="00B52880">
        <w:rPr>
          <w:sz w:val="20"/>
          <w:szCs w:val="20"/>
        </w:rPr>
        <w:t>)</w:t>
      </w:r>
      <w:r w:rsidRPr="00B52880">
        <w:rPr>
          <w:sz w:val="20"/>
          <w:szCs w:val="20"/>
        </w:rPr>
        <w:t>, Nasr City, Cairo, Egypt</w:t>
      </w:r>
    </w:p>
    <w:p w:rsidR="00471E57" w:rsidRPr="00B52880" w:rsidRDefault="00065263" w:rsidP="00B52880">
      <w:pPr>
        <w:snapToGrid w:val="0"/>
        <w:jc w:val="center"/>
        <w:rPr>
          <w:sz w:val="20"/>
          <w:szCs w:val="20"/>
        </w:rPr>
      </w:pPr>
      <w:hyperlink r:id="rId8" w:history="1">
        <w:r w:rsidR="00494273" w:rsidRPr="00B52880">
          <w:rPr>
            <w:rStyle w:val="Hyperlink"/>
            <w:sz w:val="20"/>
            <w:szCs w:val="20"/>
          </w:rPr>
          <w:t>*drahmedgamal@yahoo.com</w:t>
        </w:r>
      </w:hyperlink>
    </w:p>
    <w:p w:rsidR="001817C7" w:rsidRPr="00B52880" w:rsidRDefault="001817C7" w:rsidP="00B52880">
      <w:pPr>
        <w:snapToGrid w:val="0"/>
        <w:jc w:val="center"/>
        <w:rPr>
          <w:sz w:val="20"/>
          <w:szCs w:val="20"/>
        </w:rPr>
      </w:pPr>
    </w:p>
    <w:p w:rsidR="005D1DA6" w:rsidRPr="00B52880" w:rsidRDefault="00471E57" w:rsidP="00B52880">
      <w:pPr>
        <w:snapToGrid w:val="0"/>
        <w:jc w:val="both"/>
        <w:rPr>
          <w:sz w:val="20"/>
          <w:szCs w:val="20"/>
        </w:rPr>
      </w:pPr>
      <w:r w:rsidRPr="00B52880">
        <w:rPr>
          <w:b/>
          <w:sz w:val="20"/>
          <w:szCs w:val="20"/>
        </w:rPr>
        <w:t xml:space="preserve">Abstract: </w:t>
      </w:r>
      <w:r w:rsidR="00F04668" w:rsidRPr="00B52880">
        <w:rPr>
          <w:sz w:val="20"/>
          <w:szCs w:val="20"/>
        </w:rPr>
        <w:t xml:space="preserve">A study was performed to determine the ratios between some Plutonium isotopes in spent fuel of PWR. These ratios could be used for safeguard applications in a nuclear reactor as forensic information, to determine the origin of an unknown nuclear waste and to verify the </w:t>
      </w:r>
      <w:r w:rsidR="00421B40" w:rsidRPr="00B52880">
        <w:rPr>
          <w:sz w:val="20"/>
          <w:szCs w:val="20"/>
        </w:rPr>
        <w:t xml:space="preserve">activities </w:t>
      </w:r>
      <w:r w:rsidR="00F04668" w:rsidRPr="00B52880">
        <w:rPr>
          <w:sz w:val="20"/>
          <w:szCs w:val="20"/>
        </w:rPr>
        <w:t xml:space="preserve">declared by the operator. Some parameters of the reactor could affect the ratio of plutonium isotopes. One of these parameters is the average power level of the reactor. In this work ORIGEN-ARP from SCALE 6.1 code was used for the assessment of the effect of the change in the average power level on the Plutonium isotopic ratio. The analysis of the obtained results revealed that the ratio of plutonium isotopes is not much affected by the average power level for </w:t>
      </w:r>
      <w:proofErr w:type="spellStart"/>
      <w:r w:rsidR="00F04668" w:rsidRPr="00B52880">
        <w:rPr>
          <w:sz w:val="20"/>
          <w:szCs w:val="20"/>
        </w:rPr>
        <w:t>burnup</w:t>
      </w:r>
      <w:proofErr w:type="spellEnd"/>
      <w:r w:rsidR="00F04668" w:rsidRPr="00B52880">
        <w:rPr>
          <w:sz w:val="20"/>
          <w:szCs w:val="20"/>
        </w:rPr>
        <w:t xml:space="preserve"> values above 20 </w:t>
      </w:r>
      <w:proofErr w:type="spellStart"/>
      <w:r w:rsidR="00F04668" w:rsidRPr="00B52880">
        <w:rPr>
          <w:sz w:val="20"/>
          <w:szCs w:val="20"/>
        </w:rPr>
        <w:t>GWd/t</w:t>
      </w:r>
      <w:r w:rsidR="00421B40" w:rsidRPr="00B52880">
        <w:rPr>
          <w:sz w:val="20"/>
          <w:szCs w:val="20"/>
        </w:rPr>
        <w:t>u</w:t>
      </w:r>
      <w:proofErr w:type="spellEnd"/>
      <w:r w:rsidR="00F04668" w:rsidRPr="00B52880">
        <w:rPr>
          <w:sz w:val="20"/>
          <w:szCs w:val="20"/>
        </w:rPr>
        <w:t>.</w:t>
      </w:r>
    </w:p>
    <w:p w:rsidR="00B52880" w:rsidRPr="00B52880" w:rsidRDefault="003246A8" w:rsidP="00B52880">
      <w:pPr>
        <w:snapToGrid w:val="0"/>
        <w:jc w:val="both"/>
        <w:rPr>
          <w:sz w:val="20"/>
          <w:szCs w:val="20"/>
        </w:rPr>
      </w:pPr>
      <w:r w:rsidRPr="00B52880">
        <w:rPr>
          <w:sz w:val="20"/>
          <w:szCs w:val="20"/>
        </w:rPr>
        <w:t>[</w:t>
      </w:r>
      <w:proofErr w:type="spellStart"/>
      <w:r w:rsidR="00ED0C14" w:rsidRPr="00B52880">
        <w:rPr>
          <w:sz w:val="20"/>
          <w:szCs w:val="20"/>
        </w:rPr>
        <w:t>Mostafa</w:t>
      </w:r>
      <w:proofErr w:type="spellEnd"/>
      <w:r w:rsidR="00ED0C14" w:rsidRPr="00B52880">
        <w:rPr>
          <w:sz w:val="20"/>
          <w:szCs w:val="20"/>
        </w:rPr>
        <w:t xml:space="preserve"> AG, </w:t>
      </w:r>
      <w:proofErr w:type="spellStart"/>
      <w:r w:rsidR="00ED0C14" w:rsidRPr="00B52880">
        <w:rPr>
          <w:sz w:val="20"/>
          <w:szCs w:val="20"/>
        </w:rPr>
        <w:t>Hamed</w:t>
      </w:r>
      <w:proofErr w:type="spellEnd"/>
      <w:r w:rsidR="00ED0C14" w:rsidRPr="00B52880">
        <w:rPr>
          <w:sz w:val="20"/>
          <w:szCs w:val="20"/>
        </w:rPr>
        <w:t xml:space="preserve"> AA and Gad M</w:t>
      </w:r>
      <w:r w:rsidRPr="00B52880">
        <w:rPr>
          <w:sz w:val="20"/>
          <w:szCs w:val="20"/>
        </w:rPr>
        <w:t xml:space="preserve">. </w:t>
      </w:r>
      <w:r w:rsidR="00FB3C2A" w:rsidRPr="00B52880">
        <w:rPr>
          <w:b/>
          <w:bCs/>
          <w:sz w:val="20"/>
          <w:szCs w:val="20"/>
        </w:rPr>
        <w:t>Assessment of P</w:t>
      </w:r>
      <w:r w:rsidR="00421B40" w:rsidRPr="00B52880">
        <w:rPr>
          <w:b/>
          <w:bCs/>
          <w:sz w:val="20"/>
          <w:szCs w:val="20"/>
        </w:rPr>
        <w:t>l</w:t>
      </w:r>
      <w:r w:rsidR="00FB3C2A" w:rsidRPr="00B52880">
        <w:rPr>
          <w:b/>
          <w:bCs/>
          <w:sz w:val="20"/>
          <w:szCs w:val="20"/>
        </w:rPr>
        <w:t>u</w:t>
      </w:r>
      <w:r w:rsidR="00421B40" w:rsidRPr="00B52880">
        <w:rPr>
          <w:b/>
          <w:bCs/>
          <w:sz w:val="20"/>
          <w:szCs w:val="20"/>
        </w:rPr>
        <w:t>tonium</w:t>
      </w:r>
      <w:r w:rsidR="00FB3C2A" w:rsidRPr="00B52880">
        <w:rPr>
          <w:b/>
          <w:bCs/>
          <w:sz w:val="20"/>
          <w:szCs w:val="20"/>
        </w:rPr>
        <w:t xml:space="preserve"> Isotopic Ratio Change for PWR Spent Fuel Relative to Average Power Level Using ORIGEN-ARP Code</w:t>
      </w:r>
      <w:r w:rsidR="00B52880" w:rsidRPr="00B52880">
        <w:rPr>
          <w:rFonts w:eastAsia="Times New Roman"/>
          <w:b/>
          <w:bCs/>
          <w:sz w:val="20"/>
          <w:szCs w:val="20"/>
          <w:lang w:bidi="fa-IR"/>
        </w:rPr>
        <w:t>.</w:t>
      </w:r>
      <w:r w:rsidR="00B52880" w:rsidRPr="00B52880">
        <w:rPr>
          <w:bCs/>
          <w:i/>
          <w:sz w:val="20"/>
          <w:szCs w:val="20"/>
        </w:rPr>
        <w:t xml:space="preserve"> N Y </w:t>
      </w:r>
      <w:proofErr w:type="spellStart"/>
      <w:r w:rsidR="00B52880" w:rsidRPr="00B52880">
        <w:rPr>
          <w:bCs/>
          <w:i/>
          <w:sz w:val="20"/>
          <w:szCs w:val="20"/>
        </w:rPr>
        <w:t>Sci</w:t>
      </w:r>
      <w:proofErr w:type="spellEnd"/>
      <w:r w:rsidR="00B52880" w:rsidRPr="00B52880">
        <w:rPr>
          <w:bCs/>
          <w:i/>
          <w:sz w:val="20"/>
          <w:szCs w:val="20"/>
        </w:rPr>
        <w:t xml:space="preserve"> J</w:t>
      </w:r>
      <w:r w:rsidR="00B52880" w:rsidRPr="00B52880">
        <w:rPr>
          <w:bCs/>
          <w:sz w:val="20"/>
          <w:szCs w:val="20"/>
        </w:rPr>
        <w:t xml:space="preserve"> </w:t>
      </w:r>
      <w:r w:rsidR="00B52880" w:rsidRPr="00B52880">
        <w:rPr>
          <w:sz w:val="20"/>
          <w:szCs w:val="20"/>
        </w:rPr>
        <w:t>201</w:t>
      </w:r>
      <w:r w:rsidR="00B52880" w:rsidRPr="00B52880">
        <w:rPr>
          <w:rFonts w:hint="eastAsia"/>
          <w:sz w:val="20"/>
          <w:szCs w:val="20"/>
        </w:rPr>
        <w:t>6</w:t>
      </w:r>
      <w:r w:rsidR="00B52880" w:rsidRPr="00B52880">
        <w:rPr>
          <w:sz w:val="20"/>
          <w:szCs w:val="20"/>
        </w:rPr>
        <w:t>;</w:t>
      </w:r>
      <w:r w:rsidR="00B52880" w:rsidRPr="00B52880">
        <w:rPr>
          <w:rFonts w:hint="eastAsia"/>
          <w:sz w:val="20"/>
          <w:szCs w:val="20"/>
        </w:rPr>
        <w:t>9</w:t>
      </w:r>
      <w:r w:rsidR="00B52880" w:rsidRPr="00B52880">
        <w:rPr>
          <w:sz w:val="20"/>
          <w:szCs w:val="20"/>
        </w:rPr>
        <w:t>(</w:t>
      </w:r>
      <w:r w:rsidR="00B52880" w:rsidRPr="00B52880">
        <w:rPr>
          <w:rFonts w:hint="eastAsia"/>
          <w:sz w:val="20"/>
          <w:szCs w:val="20"/>
        </w:rPr>
        <w:t>11</w:t>
      </w:r>
      <w:r w:rsidR="00B52880" w:rsidRPr="00B52880">
        <w:rPr>
          <w:sz w:val="20"/>
          <w:szCs w:val="20"/>
        </w:rPr>
        <w:t>):</w:t>
      </w:r>
      <w:r w:rsidR="001D6E2F">
        <w:rPr>
          <w:noProof/>
          <w:color w:val="000000"/>
          <w:sz w:val="20"/>
          <w:szCs w:val="20"/>
        </w:rPr>
        <w:t>11</w:t>
      </w:r>
      <w:r w:rsidR="00B52880" w:rsidRPr="00B52880">
        <w:rPr>
          <w:color w:val="000000"/>
          <w:sz w:val="20"/>
          <w:szCs w:val="20"/>
        </w:rPr>
        <w:t>-</w:t>
      </w:r>
      <w:r w:rsidR="001D6E2F">
        <w:rPr>
          <w:noProof/>
          <w:color w:val="000000"/>
          <w:sz w:val="20"/>
          <w:szCs w:val="20"/>
        </w:rPr>
        <w:t>19</w:t>
      </w:r>
      <w:r w:rsidR="00B52880" w:rsidRPr="00B52880">
        <w:rPr>
          <w:sz w:val="20"/>
          <w:szCs w:val="20"/>
        </w:rPr>
        <w:t xml:space="preserve">]. </w:t>
      </w:r>
      <w:r w:rsidR="00B52880" w:rsidRPr="00B52880">
        <w:rPr>
          <w:iCs/>
          <w:color w:val="000000"/>
          <w:sz w:val="20"/>
          <w:szCs w:val="20"/>
        </w:rPr>
        <w:t>ISSN 1554-0200 (print); ISSN 2375-723X (online)</w:t>
      </w:r>
      <w:r w:rsidR="00B52880" w:rsidRPr="00B52880">
        <w:rPr>
          <w:sz w:val="20"/>
          <w:szCs w:val="20"/>
        </w:rPr>
        <w:t xml:space="preserve">. </w:t>
      </w:r>
      <w:hyperlink r:id="rId9" w:history="1">
        <w:r w:rsidR="00B52880" w:rsidRPr="00B52880">
          <w:rPr>
            <w:rStyle w:val="Hyperlink"/>
            <w:sz w:val="20"/>
            <w:szCs w:val="20"/>
          </w:rPr>
          <w:t>http://www.sciencepub.net/newyork</w:t>
        </w:r>
      </w:hyperlink>
      <w:r w:rsidR="00B52880" w:rsidRPr="00B52880">
        <w:rPr>
          <w:sz w:val="20"/>
          <w:szCs w:val="20"/>
        </w:rPr>
        <w:t xml:space="preserve">. </w:t>
      </w:r>
      <w:r w:rsidR="00B52880">
        <w:rPr>
          <w:rFonts w:hint="eastAsia"/>
          <w:sz w:val="20"/>
          <w:szCs w:val="20"/>
          <w:lang w:eastAsia="zh-CN"/>
        </w:rPr>
        <w:t>3</w:t>
      </w:r>
      <w:r w:rsidR="00B52880" w:rsidRPr="00B52880">
        <w:rPr>
          <w:rFonts w:hint="eastAsia"/>
          <w:sz w:val="20"/>
          <w:szCs w:val="20"/>
        </w:rPr>
        <w:t xml:space="preserve">. </w:t>
      </w:r>
      <w:r w:rsidR="00B52880" w:rsidRPr="00B52880">
        <w:rPr>
          <w:color w:val="000000"/>
          <w:sz w:val="20"/>
          <w:szCs w:val="20"/>
          <w:shd w:val="clear" w:color="auto" w:fill="FFFFFF"/>
        </w:rPr>
        <w:t>doi:</w:t>
      </w:r>
      <w:hyperlink r:id="rId10" w:history="1">
        <w:r w:rsidR="00B52880" w:rsidRPr="00B52880">
          <w:rPr>
            <w:rStyle w:val="Hyperlink"/>
            <w:sz w:val="20"/>
            <w:szCs w:val="20"/>
            <w:shd w:val="clear" w:color="auto" w:fill="FFFFFF"/>
          </w:rPr>
          <w:t>10.7537/mars</w:t>
        </w:r>
        <w:r w:rsidR="00B52880" w:rsidRPr="00B52880">
          <w:rPr>
            <w:rStyle w:val="Hyperlink"/>
            <w:rFonts w:hint="eastAsia"/>
            <w:sz w:val="20"/>
            <w:szCs w:val="20"/>
            <w:shd w:val="clear" w:color="auto" w:fill="FFFFFF"/>
          </w:rPr>
          <w:t>nys0911</w:t>
        </w:r>
        <w:r w:rsidR="00B52880" w:rsidRPr="00B52880">
          <w:rPr>
            <w:rStyle w:val="Hyperlink"/>
            <w:sz w:val="20"/>
            <w:szCs w:val="20"/>
            <w:shd w:val="clear" w:color="auto" w:fill="FFFFFF"/>
          </w:rPr>
          <w:t>1</w:t>
        </w:r>
        <w:r w:rsidR="00B52880" w:rsidRPr="00B52880">
          <w:rPr>
            <w:rStyle w:val="Hyperlink"/>
            <w:rFonts w:hint="eastAsia"/>
            <w:sz w:val="20"/>
            <w:szCs w:val="20"/>
            <w:shd w:val="clear" w:color="auto" w:fill="FFFFFF"/>
          </w:rPr>
          <w:t>6.</w:t>
        </w:r>
        <w:r w:rsidR="00B52880" w:rsidRPr="00B52880">
          <w:rPr>
            <w:rStyle w:val="Hyperlink"/>
            <w:sz w:val="20"/>
            <w:szCs w:val="20"/>
            <w:shd w:val="clear" w:color="auto" w:fill="FFFFFF"/>
          </w:rPr>
          <w:t>0</w:t>
        </w:r>
        <w:r w:rsidR="00B52880">
          <w:rPr>
            <w:rStyle w:val="Hyperlink"/>
            <w:rFonts w:hint="eastAsia"/>
            <w:sz w:val="20"/>
            <w:szCs w:val="20"/>
            <w:shd w:val="clear" w:color="auto" w:fill="FFFFFF"/>
            <w:lang w:eastAsia="zh-CN"/>
          </w:rPr>
          <w:t>3</w:t>
        </w:r>
      </w:hyperlink>
      <w:r w:rsidR="00B52880" w:rsidRPr="00B52880">
        <w:rPr>
          <w:color w:val="000000"/>
          <w:sz w:val="20"/>
          <w:szCs w:val="20"/>
          <w:shd w:val="clear" w:color="auto" w:fill="FFFFFF"/>
        </w:rPr>
        <w:t>.</w:t>
      </w:r>
    </w:p>
    <w:p w:rsidR="001817C7" w:rsidRPr="00B52880" w:rsidRDefault="001817C7" w:rsidP="00B52880">
      <w:pPr>
        <w:snapToGrid w:val="0"/>
        <w:jc w:val="both"/>
        <w:rPr>
          <w:sz w:val="20"/>
          <w:szCs w:val="20"/>
        </w:rPr>
      </w:pPr>
    </w:p>
    <w:p w:rsidR="006F6420" w:rsidRPr="00B52880" w:rsidRDefault="001817C7" w:rsidP="00B52880">
      <w:pPr>
        <w:snapToGrid w:val="0"/>
        <w:jc w:val="both"/>
        <w:rPr>
          <w:sz w:val="20"/>
          <w:szCs w:val="20"/>
        </w:rPr>
      </w:pPr>
      <w:r w:rsidRPr="00B52880">
        <w:rPr>
          <w:b/>
          <w:sz w:val="20"/>
          <w:szCs w:val="20"/>
        </w:rPr>
        <w:t xml:space="preserve">Keywords: </w:t>
      </w:r>
      <w:r w:rsidR="00626C24" w:rsidRPr="00B52880">
        <w:rPr>
          <w:bCs/>
          <w:sz w:val="20"/>
          <w:szCs w:val="20"/>
        </w:rPr>
        <w:t>Nuclear Safeguard Applications;</w:t>
      </w:r>
      <w:r w:rsidR="006F6420" w:rsidRPr="00B52880">
        <w:rPr>
          <w:bCs/>
          <w:sz w:val="20"/>
          <w:szCs w:val="20"/>
        </w:rPr>
        <w:t xml:space="preserve"> </w:t>
      </w:r>
      <w:r w:rsidR="00626C24" w:rsidRPr="00B52880">
        <w:rPr>
          <w:bCs/>
          <w:sz w:val="20"/>
          <w:szCs w:val="20"/>
        </w:rPr>
        <w:t>Spent Fuel elements; ORIGEN-ARP Code;</w:t>
      </w:r>
      <w:r w:rsidR="006F6420" w:rsidRPr="00B52880">
        <w:rPr>
          <w:bCs/>
          <w:sz w:val="20"/>
          <w:szCs w:val="20"/>
        </w:rPr>
        <w:t xml:space="preserve"> Plutonium Isotopic Ratio</w:t>
      </w:r>
    </w:p>
    <w:p w:rsidR="00B52880" w:rsidRDefault="00B52880" w:rsidP="00B52880">
      <w:pPr>
        <w:snapToGrid w:val="0"/>
        <w:jc w:val="both"/>
        <w:rPr>
          <w:b/>
          <w:sz w:val="20"/>
          <w:szCs w:val="20"/>
        </w:rPr>
      </w:pPr>
    </w:p>
    <w:p w:rsidR="00B52880" w:rsidRPr="00B52880" w:rsidRDefault="00B52880" w:rsidP="00B52880">
      <w:pPr>
        <w:snapToGrid w:val="0"/>
        <w:jc w:val="both"/>
        <w:rPr>
          <w:b/>
          <w:sz w:val="20"/>
          <w:szCs w:val="20"/>
        </w:rPr>
        <w:sectPr w:rsidR="00B52880" w:rsidRPr="00B52880" w:rsidSect="009F2832">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1"/>
          <w:cols w:space="720"/>
          <w:docGrid w:linePitch="360"/>
        </w:sectPr>
      </w:pPr>
    </w:p>
    <w:p w:rsidR="00471E57" w:rsidRPr="00B52880" w:rsidRDefault="00471E57" w:rsidP="00B52880">
      <w:pPr>
        <w:snapToGrid w:val="0"/>
        <w:jc w:val="both"/>
        <w:rPr>
          <w:b/>
          <w:sz w:val="20"/>
          <w:szCs w:val="20"/>
        </w:rPr>
      </w:pPr>
      <w:r w:rsidRPr="00B52880">
        <w:rPr>
          <w:b/>
          <w:sz w:val="20"/>
          <w:szCs w:val="20"/>
        </w:rPr>
        <w:lastRenderedPageBreak/>
        <w:t>1. Introduction</w:t>
      </w:r>
    </w:p>
    <w:p w:rsidR="00D31C51" w:rsidRPr="00B52880" w:rsidRDefault="00B14BD5" w:rsidP="00B52880">
      <w:pPr>
        <w:snapToGrid w:val="0"/>
        <w:ind w:firstLine="425"/>
        <w:jc w:val="both"/>
        <w:rPr>
          <w:sz w:val="20"/>
          <w:szCs w:val="20"/>
        </w:rPr>
      </w:pPr>
      <w:r w:rsidRPr="00B52880">
        <w:rPr>
          <w:sz w:val="20"/>
          <w:szCs w:val="20"/>
        </w:rPr>
        <w:t xml:space="preserve">The fission products and </w:t>
      </w:r>
      <w:proofErr w:type="spellStart"/>
      <w:r w:rsidRPr="00B52880">
        <w:rPr>
          <w:sz w:val="20"/>
          <w:szCs w:val="20"/>
        </w:rPr>
        <w:t>transuranic</w:t>
      </w:r>
      <w:proofErr w:type="spellEnd"/>
      <w:r w:rsidRPr="00B52880">
        <w:rPr>
          <w:sz w:val="20"/>
          <w:szCs w:val="20"/>
        </w:rPr>
        <w:t xml:space="preserve"> production in a PWR depend on some features and physical parameters of the reactor. For example, the type of the reactor fuel, moderator, and overall design. The isotopic profiles of some actinides could be used to determine some of these features. Also the analysis of some fission products may reveal the history of</w:t>
      </w:r>
      <w:r w:rsidR="00C374FC" w:rsidRPr="00B52880">
        <w:rPr>
          <w:sz w:val="20"/>
          <w:szCs w:val="20"/>
        </w:rPr>
        <w:t xml:space="preserve"> the</w:t>
      </w:r>
      <w:r w:rsidRPr="00B52880">
        <w:rPr>
          <w:sz w:val="20"/>
          <w:szCs w:val="20"/>
        </w:rPr>
        <w:t xml:space="preserve"> fuel [1]. From the actinides that present in the fission products, plutonium and americium elements are most effective </w:t>
      </w:r>
      <w:r w:rsidR="00C374FC" w:rsidRPr="00B52880">
        <w:rPr>
          <w:sz w:val="20"/>
          <w:szCs w:val="20"/>
        </w:rPr>
        <w:t xml:space="preserve">than </w:t>
      </w:r>
      <w:r w:rsidRPr="00B52880">
        <w:rPr>
          <w:sz w:val="20"/>
          <w:szCs w:val="20"/>
        </w:rPr>
        <w:t>other nuclides from the radioecology and radiation safety</w:t>
      </w:r>
      <w:r w:rsidR="00C374FC" w:rsidRPr="00B52880">
        <w:rPr>
          <w:sz w:val="20"/>
          <w:szCs w:val="20"/>
        </w:rPr>
        <w:t xml:space="preserve"> points of view</w:t>
      </w:r>
      <w:r w:rsidRPr="00B52880">
        <w:rPr>
          <w:sz w:val="20"/>
          <w:szCs w:val="20"/>
        </w:rPr>
        <w:t>. Plutonium is represented by many isotopes but the contribution of the isotopes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w:t>
      </w:r>
      <w:r w:rsidRPr="00B52880">
        <w:rPr>
          <w:sz w:val="20"/>
          <w:szCs w:val="20"/>
          <w:vertAlign w:val="superscript"/>
        </w:rPr>
        <w:t>240</w:t>
      </w:r>
      <w:r w:rsidRPr="00B52880">
        <w:rPr>
          <w:sz w:val="20"/>
          <w:szCs w:val="20"/>
        </w:rPr>
        <w:t xml:space="preserve">Pu and </w:t>
      </w:r>
      <w:r w:rsidRPr="00B52880">
        <w:rPr>
          <w:sz w:val="20"/>
          <w:szCs w:val="20"/>
          <w:vertAlign w:val="superscript"/>
        </w:rPr>
        <w:t>241</w:t>
      </w:r>
      <w:r w:rsidRPr="00B52880">
        <w:rPr>
          <w:sz w:val="20"/>
          <w:szCs w:val="20"/>
        </w:rPr>
        <w:t xml:space="preserve">Pu) is higher than other isotopes to the total Plutonium pollution [2]. The predicted accuracy with the isotopic data could be utilized to form conclusions about history. Many methods, codes and measuring techniques were used in previous work (ICP-MS, </w:t>
      </w:r>
      <w:proofErr w:type="spellStart"/>
      <w:r w:rsidRPr="00B52880">
        <w:rPr>
          <w:sz w:val="20"/>
          <w:szCs w:val="20"/>
        </w:rPr>
        <w:t>MCNPx</w:t>
      </w:r>
      <w:proofErr w:type="spellEnd"/>
      <w:r w:rsidRPr="00B52880">
        <w:rPr>
          <w:sz w:val="20"/>
          <w:szCs w:val="20"/>
        </w:rPr>
        <w:t>, ORIGEN-ARP</w:t>
      </w:r>
      <w:r w:rsidR="00C374FC" w:rsidRPr="00B52880">
        <w:rPr>
          <w:sz w:val="20"/>
          <w:szCs w:val="20"/>
        </w:rPr>
        <w:t xml:space="preserve"> and</w:t>
      </w:r>
      <w:r w:rsidRPr="00B52880">
        <w:rPr>
          <w:sz w:val="20"/>
          <w:szCs w:val="20"/>
        </w:rPr>
        <w:t xml:space="preserve"> </w:t>
      </w:r>
      <w:proofErr w:type="spellStart"/>
      <w:r w:rsidRPr="00B52880">
        <w:rPr>
          <w:sz w:val="20"/>
          <w:szCs w:val="20"/>
        </w:rPr>
        <w:t>HPGe</w:t>
      </w:r>
      <w:proofErr w:type="spellEnd"/>
      <w:r w:rsidRPr="00B52880">
        <w:rPr>
          <w:sz w:val="20"/>
          <w:szCs w:val="20"/>
        </w:rPr>
        <w:t xml:space="preserve">), for nuclear safeguards </w:t>
      </w:r>
      <w:r w:rsidR="00C374FC" w:rsidRPr="00B52880">
        <w:rPr>
          <w:sz w:val="20"/>
          <w:szCs w:val="20"/>
        </w:rPr>
        <w:t xml:space="preserve">application </w:t>
      </w:r>
      <w:r w:rsidRPr="00B52880">
        <w:rPr>
          <w:sz w:val="20"/>
          <w:szCs w:val="20"/>
        </w:rPr>
        <w:t xml:space="preserve">to predict the behavior of such isotopes [1-3]. The build-up of plutonium isotopes depend on the interplay of neutron reactions causing capture or fission. This build-up changes with the neutron spectrum, which is determined by details about the reactor and fuel design [3]. The importance of </w:t>
      </w:r>
      <w:proofErr w:type="spellStart"/>
      <w:r w:rsidRPr="00B52880">
        <w:rPr>
          <w:sz w:val="20"/>
          <w:szCs w:val="20"/>
        </w:rPr>
        <w:t>Pu</w:t>
      </w:r>
      <w:proofErr w:type="spellEnd"/>
      <w:r w:rsidRPr="00B52880">
        <w:rPr>
          <w:sz w:val="20"/>
          <w:szCs w:val="20"/>
        </w:rPr>
        <w:t xml:space="preserve"> isotopic ratios i</w:t>
      </w:r>
      <w:r w:rsidR="00743F0B" w:rsidRPr="00B52880">
        <w:rPr>
          <w:sz w:val="20"/>
          <w:szCs w:val="20"/>
        </w:rPr>
        <w:t xml:space="preserve">s due to the fact that </w:t>
      </w:r>
      <w:r w:rsidRPr="00B52880">
        <w:rPr>
          <w:sz w:val="20"/>
          <w:szCs w:val="20"/>
        </w:rPr>
        <w:t>some factors could be predicted from the determination of such isotopes such as, the correlation between the main reactor types</w:t>
      </w:r>
      <w:r w:rsidR="00743F0B" w:rsidRPr="00B52880">
        <w:rPr>
          <w:sz w:val="20"/>
          <w:szCs w:val="20"/>
        </w:rPr>
        <w:t>, that</w:t>
      </w:r>
      <w:r w:rsidRPr="00B52880">
        <w:rPr>
          <w:sz w:val="20"/>
          <w:szCs w:val="20"/>
        </w:rPr>
        <w:t xml:space="preserve"> has been found by the total </w:t>
      </w:r>
      <w:r w:rsidRPr="00B52880">
        <w:rPr>
          <w:sz w:val="20"/>
          <w:szCs w:val="20"/>
          <w:vertAlign w:val="superscript"/>
        </w:rPr>
        <w:t>238</w:t>
      </w:r>
      <w:r w:rsidRPr="00B52880">
        <w:rPr>
          <w:sz w:val="20"/>
          <w:szCs w:val="20"/>
        </w:rPr>
        <w:t xml:space="preserve">Pu content as well as the </w:t>
      </w:r>
      <w:r w:rsidRPr="00B52880">
        <w:rPr>
          <w:sz w:val="20"/>
          <w:szCs w:val="20"/>
          <w:vertAlign w:val="superscript"/>
        </w:rPr>
        <w:t>242</w:t>
      </w:r>
      <w:r w:rsidRPr="00B52880">
        <w:rPr>
          <w:sz w:val="20"/>
          <w:szCs w:val="20"/>
        </w:rPr>
        <w:t>Pu/</w:t>
      </w:r>
      <w:r w:rsidRPr="00B52880">
        <w:rPr>
          <w:sz w:val="20"/>
          <w:szCs w:val="20"/>
          <w:vertAlign w:val="superscript"/>
        </w:rPr>
        <w:t>240</w:t>
      </w:r>
      <w:r w:rsidRPr="00B52880">
        <w:rPr>
          <w:sz w:val="20"/>
          <w:szCs w:val="20"/>
        </w:rPr>
        <w:t xml:space="preserve">Pu ratio. </w:t>
      </w:r>
      <w:r w:rsidR="00743F0B" w:rsidRPr="00B52880">
        <w:rPr>
          <w:sz w:val="20"/>
          <w:szCs w:val="20"/>
        </w:rPr>
        <w:t>It is known that, t</w:t>
      </w:r>
      <w:r w:rsidRPr="00B52880">
        <w:rPr>
          <w:sz w:val="20"/>
          <w:szCs w:val="20"/>
        </w:rPr>
        <w:t xml:space="preserve">he higher uranium enrichment in the fuel affects directly the </w:t>
      </w:r>
      <w:r w:rsidRPr="00B52880">
        <w:rPr>
          <w:sz w:val="20"/>
          <w:szCs w:val="20"/>
          <w:vertAlign w:val="superscript"/>
        </w:rPr>
        <w:t>238</w:t>
      </w:r>
      <w:r w:rsidRPr="00B52880">
        <w:rPr>
          <w:sz w:val="20"/>
          <w:szCs w:val="20"/>
        </w:rPr>
        <w:t>Pu abundance.</w:t>
      </w:r>
      <w:r w:rsidR="00455C6B">
        <w:rPr>
          <w:sz w:val="20"/>
          <w:szCs w:val="20"/>
        </w:rPr>
        <w:t xml:space="preserve"> </w:t>
      </w:r>
      <w:r w:rsidRPr="00B52880">
        <w:rPr>
          <w:sz w:val="20"/>
          <w:szCs w:val="20"/>
        </w:rPr>
        <w:t xml:space="preserve">Also, the softer </w:t>
      </w:r>
      <w:r w:rsidR="00743F0B" w:rsidRPr="00B52880">
        <w:rPr>
          <w:sz w:val="20"/>
          <w:szCs w:val="20"/>
        </w:rPr>
        <w:t xml:space="preserve">the plutonium </w:t>
      </w:r>
      <w:r w:rsidRPr="00B52880">
        <w:rPr>
          <w:sz w:val="20"/>
          <w:szCs w:val="20"/>
        </w:rPr>
        <w:t>spectrum</w:t>
      </w:r>
      <w:r w:rsidR="00743F0B" w:rsidRPr="00B52880">
        <w:rPr>
          <w:sz w:val="20"/>
          <w:szCs w:val="20"/>
        </w:rPr>
        <w:t>,</w:t>
      </w:r>
      <w:r w:rsidRPr="00B52880">
        <w:rPr>
          <w:sz w:val="20"/>
          <w:szCs w:val="20"/>
        </w:rPr>
        <w:t xml:space="preserve"> </w:t>
      </w:r>
      <w:r w:rsidRPr="00B52880">
        <w:rPr>
          <w:sz w:val="20"/>
          <w:szCs w:val="20"/>
        </w:rPr>
        <w:lastRenderedPageBreak/>
        <w:t xml:space="preserve">the higher is the ratio of </w:t>
      </w:r>
      <w:r w:rsidRPr="00B52880">
        <w:rPr>
          <w:sz w:val="20"/>
          <w:szCs w:val="20"/>
          <w:vertAlign w:val="superscript"/>
        </w:rPr>
        <w:t>242</w:t>
      </w:r>
      <w:r w:rsidRPr="00B52880">
        <w:rPr>
          <w:sz w:val="20"/>
          <w:szCs w:val="20"/>
        </w:rPr>
        <w:t>Pu/</w:t>
      </w:r>
      <w:r w:rsidRPr="00B52880">
        <w:rPr>
          <w:sz w:val="20"/>
          <w:szCs w:val="20"/>
          <w:vertAlign w:val="superscript"/>
        </w:rPr>
        <w:t>240</w:t>
      </w:r>
      <w:r w:rsidRPr="00B52880">
        <w:rPr>
          <w:sz w:val="20"/>
          <w:szCs w:val="20"/>
        </w:rPr>
        <w:t>Pu. So, the level of enrichment can be obtained by</w:t>
      </w:r>
      <w:r w:rsidR="00743F0B" w:rsidRPr="00B52880">
        <w:rPr>
          <w:sz w:val="20"/>
          <w:szCs w:val="20"/>
        </w:rPr>
        <w:t xml:space="preserve"> knowing </w:t>
      </w:r>
      <w:r w:rsidRPr="00B52880">
        <w:rPr>
          <w:sz w:val="20"/>
          <w:szCs w:val="20"/>
        </w:rPr>
        <w:t xml:space="preserve">the amount of </w:t>
      </w:r>
      <w:r w:rsidRPr="00B52880">
        <w:rPr>
          <w:sz w:val="20"/>
          <w:szCs w:val="20"/>
          <w:vertAlign w:val="superscript"/>
        </w:rPr>
        <w:t>238</w:t>
      </w:r>
      <w:r w:rsidRPr="00B52880">
        <w:rPr>
          <w:sz w:val="20"/>
          <w:szCs w:val="20"/>
        </w:rPr>
        <w:t xml:space="preserve"> </w:t>
      </w:r>
      <w:proofErr w:type="spellStart"/>
      <w:r w:rsidRPr="00B52880">
        <w:rPr>
          <w:sz w:val="20"/>
          <w:szCs w:val="20"/>
        </w:rPr>
        <w:t>Pu</w:t>
      </w:r>
      <w:proofErr w:type="spellEnd"/>
      <w:r w:rsidRPr="00B52880">
        <w:rPr>
          <w:sz w:val="20"/>
          <w:szCs w:val="20"/>
        </w:rPr>
        <w:t xml:space="preserve"> [4]. ORIGEN-ARP, (part of the SCALE 6.1) package [5], is an important tool to calculate some quantities that would help in the verification process. Examples of such quantities are the total neutron emission and the relative isotopic contribution</w:t>
      </w:r>
      <w:r w:rsidR="00D31C51" w:rsidRPr="00B52880">
        <w:rPr>
          <w:sz w:val="20"/>
          <w:szCs w:val="20"/>
        </w:rPr>
        <w:t xml:space="preserve"> to the total neutron emission.</w:t>
      </w:r>
      <w:r w:rsidRPr="00B52880">
        <w:rPr>
          <w:sz w:val="20"/>
          <w:szCs w:val="20"/>
        </w:rPr>
        <w:t xml:space="preserve"> Previous work was carried out by </w:t>
      </w:r>
      <w:proofErr w:type="spellStart"/>
      <w:r w:rsidRPr="00B52880">
        <w:rPr>
          <w:sz w:val="20"/>
          <w:szCs w:val="20"/>
        </w:rPr>
        <w:t>Rossa</w:t>
      </w:r>
      <w:proofErr w:type="spellEnd"/>
      <w:r w:rsidRPr="00B52880">
        <w:rPr>
          <w:sz w:val="20"/>
          <w:szCs w:val="20"/>
        </w:rPr>
        <w:t xml:space="preserve"> et al. [6-8] and </w:t>
      </w:r>
      <w:proofErr w:type="spellStart"/>
      <w:r w:rsidRPr="00B52880">
        <w:rPr>
          <w:sz w:val="20"/>
          <w:szCs w:val="20"/>
        </w:rPr>
        <w:t>Trellue</w:t>
      </w:r>
      <w:proofErr w:type="spellEnd"/>
      <w:r w:rsidRPr="00B52880">
        <w:rPr>
          <w:sz w:val="20"/>
          <w:szCs w:val="20"/>
        </w:rPr>
        <w:t xml:space="preserve"> et al [9], to develop spent fuel libraries to be used for the investigation of </w:t>
      </w:r>
      <w:r w:rsidR="00743F0B" w:rsidRPr="00B52880">
        <w:rPr>
          <w:sz w:val="20"/>
          <w:szCs w:val="20"/>
        </w:rPr>
        <w:t>Non</w:t>
      </w:r>
      <w:r w:rsidR="00D3670F" w:rsidRPr="00B52880">
        <w:rPr>
          <w:sz w:val="20"/>
          <w:szCs w:val="20"/>
        </w:rPr>
        <w:t>-D</w:t>
      </w:r>
      <w:r w:rsidR="00743F0B" w:rsidRPr="00B52880">
        <w:rPr>
          <w:sz w:val="20"/>
          <w:szCs w:val="20"/>
        </w:rPr>
        <w:t xml:space="preserve">estructive </w:t>
      </w:r>
      <w:r w:rsidR="00D3670F" w:rsidRPr="00B52880">
        <w:rPr>
          <w:sz w:val="20"/>
          <w:szCs w:val="20"/>
        </w:rPr>
        <w:t>A</w:t>
      </w:r>
      <w:r w:rsidR="00743F0B" w:rsidRPr="00B52880">
        <w:rPr>
          <w:sz w:val="20"/>
          <w:szCs w:val="20"/>
        </w:rPr>
        <w:t>ssay (</w:t>
      </w:r>
      <w:r w:rsidRPr="00B52880">
        <w:rPr>
          <w:sz w:val="20"/>
          <w:szCs w:val="20"/>
        </w:rPr>
        <w:t>NDA</w:t>
      </w:r>
      <w:r w:rsidR="00743F0B" w:rsidRPr="00B52880">
        <w:rPr>
          <w:sz w:val="20"/>
          <w:szCs w:val="20"/>
        </w:rPr>
        <w:t>)</w:t>
      </w:r>
      <w:r w:rsidRPr="00B52880">
        <w:rPr>
          <w:sz w:val="20"/>
          <w:szCs w:val="20"/>
        </w:rPr>
        <w:t xml:space="preserve"> methods applied to</w:t>
      </w:r>
      <w:r w:rsidR="00743F0B" w:rsidRPr="00B52880">
        <w:rPr>
          <w:sz w:val="20"/>
          <w:szCs w:val="20"/>
        </w:rPr>
        <w:t xml:space="preserve"> Spent </w:t>
      </w:r>
      <w:r w:rsidR="00D3670F" w:rsidRPr="00B52880">
        <w:rPr>
          <w:sz w:val="20"/>
          <w:szCs w:val="20"/>
        </w:rPr>
        <w:t>F</w:t>
      </w:r>
      <w:r w:rsidR="00743F0B" w:rsidRPr="00B52880">
        <w:rPr>
          <w:sz w:val="20"/>
          <w:szCs w:val="20"/>
        </w:rPr>
        <w:t xml:space="preserve">uel </w:t>
      </w:r>
      <w:r w:rsidR="00D3670F" w:rsidRPr="00B52880">
        <w:rPr>
          <w:sz w:val="20"/>
          <w:szCs w:val="20"/>
        </w:rPr>
        <w:t>E</w:t>
      </w:r>
      <w:r w:rsidR="00743F0B" w:rsidRPr="00B52880">
        <w:rPr>
          <w:sz w:val="20"/>
          <w:szCs w:val="20"/>
        </w:rPr>
        <w:t>lements</w:t>
      </w:r>
      <w:r w:rsidRPr="00B52880">
        <w:rPr>
          <w:sz w:val="20"/>
          <w:szCs w:val="20"/>
        </w:rPr>
        <w:t xml:space="preserve"> </w:t>
      </w:r>
      <w:r w:rsidR="00743F0B" w:rsidRPr="00B52880">
        <w:rPr>
          <w:sz w:val="20"/>
          <w:szCs w:val="20"/>
        </w:rPr>
        <w:t>(</w:t>
      </w:r>
      <w:r w:rsidRPr="00B52880">
        <w:rPr>
          <w:sz w:val="20"/>
          <w:szCs w:val="20"/>
        </w:rPr>
        <w:t>SFE</w:t>
      </w:r>
      <w:r w:rsidR="00743F0B" w:rsidRPr="00B52880">
        <w:rPr>
          <w:sz w:val="20"/>
          <w:szCs w:val="20"/>
        </w:rPr>
        <w:t>)</w:t>
      </w:r>
      <w:r w:rsidR="00D31C51" w:rsidRPr="00B52880">
        <w:rPr>
          <w:sz w:val="20"/>
          <w:szCs w:val="20"/>
        </w:rPr>
        <w:t>.</w:t>
      </w:r>
    </w:p>
    <w:p w:rsidR="00D31C51" w:rsidRPr="00B52880" w:rsidRDefault="00B14BD5" w:rsidP="00B52880">
      <w:pPr>
        <w:snapToGrid w:val="0"/>
        <w:ind w:firstLine="425"/>
        <w:jc w:val="both"/>
        <w:rPr>
          <w:sz w:val="20"/>
          <w:szCs w:val="20"/>
        </w:rPr>
      </w:pPr>
      <w:r w:rsidRPr="00B52880">
        <w:rPr>
          <w:sz w:val="20"/>
          <w:szCs w:val="20"/>
        </w:rPr>
        <w:t xml:space="preserve">However, this work aims to study the effect of changing </w:t>
      </w:r>
      <w:r w:rsidR="00D3670F" w:rsidRPr="00B52880">
        <w:rPr>
          <w:sz w:val="20"/>
          <w:szCs w:val="20"/>
        </w:rPr>
        <w:t xml:space="preserve">the </w:t>
      </w:r>
      <w:r w:rsidRPr="00B52880">
        <w:rPr>
          <w:sz w:val="20"/>
          <w:szCs w:val="20"/>
        </w:rPr>
        <w:t xml:space="preserve">reactor average power </w:t>
      </w:r>
      <w:r w:rsidR="00D3670F" w:rsidRPr="00B52880">
        <w:rPr>
          <w:sz w:val="20"/>
          <w:szCs w:val="20"/>
        </w:rPr>
        <w:t xml:space="preserve">(AP) </w:t>
      </w:r>
      <w:r w:rsidRPr="00B52880">
        <w:rPr>
          <w:sz w:val="20"/>
          <w:szCs w:val="20"/>
        </w:rPr>
        <w:t>level</w:t>
      </w:r>
      <w:r w:rsidR="00455C6B">
        <w:rPr>
          <w:sz w:val="20"/>
          <w:szCs w:val="20"/>
        </w:rPr>
        <w:t xml:space="preserve"> </w:t>
      </w:r>
      <w:r w:rsidRPr="00B52880">
        <w:rPr>
          <w:sz w:val="20"/>
          <w:szCs w:val="20"/>
        </w:rPr>
        <w:t>on the plutonium isotopic ratio.</w:t>
      </w:r>
    </w:p>
    <w:p w:rsidR="00D31C51" w:rsidRPr="00B52880" w:rsidRDefault="00D31C51" w:rsidP="00B52880">
      <w:pPr>
        <w:snapToGrid w:val="0"/>
        <w:jc w:val="both"/>
        <w:rPr>
          <w:b/>
          <w:sz w:val="20"/>
          <w:szCs w:val="20"/>
        </w:rPr>
      </w:pPr>
    </w:p>
    <w:p w:rsidR="00471E57" w:rsidRPr="00B52880" w:rsidRDefault="00471E57" w:rsidP="00B52880">
      <w:pPr>
        <w:snapToGrid w:val="0"/>
        <w:jc w:val="both"/>
        <w:rPr>
          <w:b/>
          <w:sz w:val="20"/>
          <w:szCs w:val="20"/>
        </w:rPr>
      </w:pPr>
      <w:r w:rsidRPr="00B52880">
        <w:rPr>
          <w:b/>
          <w:sz w:val="20"/>
          <w:szCs w:val="20"/>
        </w:rPr>
        <w:t xml:space="preserve">2. </w:t>
      </w:r>
      <w:r w:rsidR="005B13D4" w:rsidRPr="00B52880">
        <w:rPr>
          <w:b/>
          <w:bCs/>
          <w:sz w:val="20"/>
          <w:szCs w:val="20"/>
        </w:rPr>
        <w:t>Structure of the work</w:t>
      </w:r>
    </w:p>
    <w:p w:rsidR="005B13D4" w:rsidRDefault="005B13D4" w:rsidP="00B52880">
      <w:pPr>
        <w:snapToGrid w:val="0"/>
        <w:ind w:firstLine="425"/>
        <w:jc w:val="both"/>
        <w:rPr>
          <w:sz w:val="20"/>
          <w:szCs w:val="20"/>
          <w:lang w:eastAsia="zh-CN"/>
        </w:rPr>
      </w:pPr>
      <w:r w:rsidRPr="00B52880">
        <w:rPr>
          <w:sz w:val="20"/>
          <w:szCs w:val="20"/>
        </w:rPr>
        <w:t>A group of simulations were perfo</w:t>
      </w:r>
      <w:r w:rsidR="002A3FDF" w:rsidRPr="00B52880">
        <w:rPr>
          <w:sz w:val="20"/>
          <w:szCs w:val="20"/>
        </w:rPr>
        <w:t xml:space="preserve">rmed and investigated </w:t>
      </w:r>
      <w:r w:rsidRPr="00B52880">
        <w:rPr>
          <w:sz w:val="20"/>
          <w:szCs w:val="20"/>
        </w:rPr>
        <w:t xml:space="preserve">using ORIGEN-ARP code. Six </w:t>
      </w:r>
      <w:proofErr w:type="spellStart"/>
      <w:r w:rsidRPr="00B52880">
        <w:rPr>
          <w:sz w:val="20"/>
          <w:szCs w:val="20"/>
        </w:rPr>
        <w:t>burnup</w:t>
      </w:r>
      <w:proofErr w:type="spellEnd"/>
      <w:r w:rsidRPr="00B52880">
        <w:rPr>
          <w:sz w:val="20"/>
          <w:szCs w:val="20"/>
        </w:rPr>
        <w:t xml:space="preserve"> (BU) values (from 10 to 60 </w:t>
      </w:r>
      <w:proofErr w:type="spellStart"/>
      <w:r w:rsidRPr="00B52880">
        <w:rPr>
          <w:sz w:val="20"/>
          <w:szCs w:val="20"/>
        </w:rPr>
        <w:t>GWd/t</w:t>
      </w:r>
      <w:r w:rsidR="002A3FDF" w:rsidRPr="00B52880">
        <w:rPr>
          <w:sz w:val="20"/>
          <w:szCs w:val="20"/>
        </w:rPr>
        <w:t>u</w:t>
      </w:r>
      <w:proofErr w:type="spellEnd"/>
      <w:r w:rsidRPr="00B52880">
        <w:rPr>
          <w:sz w:val="20"/>
          <w:szCs w:val="20"/>
        </w:rPr>
        <w:t xml:space="preserve"> in steps of 10 </w:t>
      </w:r>
      <w:proofErr w:type="spellStart"/>
      <w:r w:rsidRPr="00B52880">
        <w:rPr>
          <w:sz w:val="20"/>
          <w:szCs w:val="20"/>
        </w:rPr>
        <w:t>GWd/t</w:t>
      </w:r>
      <w:r w:rsidR="002A3FDF" w:rsidRPr="00B52880">
        <w:rPr>
          <w:sz w:val="20"/>
          <w:szCs w:val="20"/>
        </w:rPr>
        <w:t>u</w:t>
      </w:r>
      <w:proofErr w:type="spellEnd"/>
      <w:r w:rsidRPr="00B52880">
        <w:rPr>
          <w:sz w:val="20"/>
          <w:szCs w:val="20"/>
        </w:rPr>
        <w:t>) were used in such groups of simulation for</w:t>
      </w:r>
      <w:r w:rsidR="002A3FDF" w:rsidRPr="00B52880">
        <w:rPr>
          <w:sz w:val="20"/>
          <w:szCs w:val="20"/>
        </w:rPr>
        <w:t xml:space="preserve"> a</w:t>
      </w:r>
      <w:r w:rsidRPr="00B52880">
        <w:rPr>
          <w:sz w:val="20"/>
          <w:szCs w:val="20"/>
        </w:rPr>
        <w:t xml:space="preserve"> Westinghouse 17x17 PWR, with UO</w:t>
      </w:r>
      <w:r w:rsidRPr="00B52880">
        <w:rPr>
          <w:sz w:val="20"/>
          <w:szCs w:val="20"/>
          <w:vertAlign w:val="subscript"/>
        </w:rPr>
        <w:t>2</w:t>
      </w:r>
      <w:r w:rsidRPr="00B52880">
        <w:rPr>
          <w:sz w:val="20"/>
          <w:szCs w:val="20"/>
        </w:rPr>
        <w:t xml:space="preserve"> fuel of uranium initial enrichment (</w:t>
      </w:r>
      <w:r w:rsidR="002A3FDF" w:rsidRPr="00B52880">
        <w:rPr>
          <w:sz w:val="20"/>
          <w:szCs w:val="20"/>
        </w:rPr>
        <w:t>U</w:t>
      </w:r>
      <w:r w:rsidRPr="00B52880">
        <w:rPr>
          <w:sz w:val="20"/>
          <w:szCs w:val="20"/>
        </w:rPr>
        <w:t>IE) of 4.5%. Twenty values of cooling time (CT) from discharge up to 100 y</w:t>
      </w:r>
      <w:r w:rsidR="002A3FDF" w:rsidRPr="00B52880">
        <w:rPr>
          <w:sz w:val="20"/>
          <w:szCs w:val="20"/>
        </w:rPr>
        <w:t>ear</w:t>
      </w:r>
      <w:r w:rsidRPr="00B52880">
        <w:rPr>
          <w:sz w:val="20"/>
          <w:szCs w:val="20"/>
        </w:rPr>
        <w:t xml:space="preserve"> were considered. It can be referred to references [6, 7], for detailed description of the parameters that were kept fixed for all simulations. The </w:t>
      </w:r>
      <w:r w:rsidR="002A3FDF" w:rsidRPr="00B52880">
        <w:rPr>
          <w:sz w:val="20"/>
          <w:szCs w:val="20"/>
        </w:rPr>
        <w:t xml:space="preserve">varied </w:t>
      </w:r>
      <w:r w:rsidRPr="00B52880">
        <w:rPr>
          <w:sz w:val="20"/>
          <w:szCs w:val="20"/>
        </w:rPr>
        <w:t xml:space="preserve">parameter was the </w:t>
      </w:r>
      <w:r w:rsidR="00934E1B" w:rsidRPr="00B52880">
        <w:rPr>
          <w:sz w:val="20"/>
          <w:szCs w:val="20"/>
        </w:rPr>
        <w:t>Average</w:t>
      </w:r>
      <w:r w:rsidR="002A3FDF" w:rsidRPr="00B52880">
        <w:rPr>
          <w:sz w:val="20"/>
          <w:szCs w:val="20"/>
        </w:rPr>
        <w:t xml:space="preserve"> Power </w:t>
      </w:r>
      <w:r w:rsidRPr="00B52880">
        <w:rPr>
          <w:sz w:val="20"/>
          <w:szCs w:val="20"/>
        </w:rPr>
        <w:t xml:space="preserve">(AP). The number of irradiation cycles and the duration of the final irradiation cycle were determined by the final BU value according to the AP and DIC chosen. The </w:t>
      </w:r>
      <w:r w:rsidR="00934E1B" w:rsidRPr="00B52880">
        <w:rPr>
          <w:sz w:val="20"/>
          <w:szCs w:val="20"/>
        </w:rPr>
        <w:t>group of simulations was</w:t>
      </w:r>
      <w:r w:rsidRPr="00B52880">
        <w:rPr>
          <w:sz w:val="20"/>
          <w:szCs w:val="20"/>
        </w:rPr>
        <w:t xml:space="preserve"> performed to study the impact of AP on </w:t>
      </w:r>
      <w:proofErr w:type="spellStart"/>
      <w:r w:rsidRPr="00B52880">
        <w:rPr>
          <w:sz w:val="20"/>
          <w:szCs w:val="20"/>
        </w:rPr>
        <w:t>Pu</w:t>
      </w:r>
      <w:proofErr w:type="spellEnd"/>
      <w:r w:rsidRPr="00B52880">
        <w:rPr>
          <w:sz w:val="20"/>
          <w:szCs w:val="20"/>
        </w:rPr>
        <w:t xml:space="preserve"> isotopic ratio. Three </w:t>
      </w:r>
      <w:r w:rsidR="00934E1B" w:rsidRPr="00B52880">
        <w:rPr>
          <w:sz w:val="20"/>
          <w:szCs w:val="20"/>
        </w:rPr>
        <w:t xml:space="preserve">AP </w:t>
      </w:r>
      <w:r w:rsidRPr="00B52880">
        <w:rPr>
          <w:sz w:val="20"/>
          <w:szCs w:val="20"/>
        </w:rPr>
        <w:t>values (30, 40, and 50 MW/</w:t>
      </w:r>
      <w:proofErr w:type="spellStart"/>
      <w:r w:rsidRPr="00B52880">
        <w:rPr>
          <w:sz w:val="20"/>
          <w:szCs w:val="20"/>
        </w:rPr>
        <w:t>t</w:t>
      </w:r>
      <w:r w:rsidRPr="00B52880">
        <w:rPr>
          <w:sz w:val="20"/>
          <w:szCs w:val="20"/>
          <w:vertAlign w:val="subscript"/>
        </w:rPr>
        <w:t>u</w:t>
      </w:r>
      <w:proofErr w:type="spellEnd"/>
      <w:r w:rsidRPr="00B52880">
        <w:rPr>
          <w:sz w:val="20"/>
          <w:szCs w:val="20"/>
        </w:rPr>
        <w:t xml:space="preserve">) were </w:t>
      </w:r>
      <w:r w:rsidRPr="00B52880">
        <w:rPr>
          <w:sz w:val="20"/>
          <w:szCs w:val="20"/>
        </w:rPr>
        <w:lastRenderedPageBreak/>
        <w:t xml:space="preserve">used with 360 days as irradiation cycle and 30 days of cooling time interval between two cycles. All </w:t>
      </w:r>
      <w:proofErr w:type="spellStart"/>
      <w:r w:rsidRPr="00B52880">
        <w:rPr>
          <w:sz w:val="20"/>
          <w:szCs w:val="20"/>
        </w:rPr>
        <w:t>Pu</w:t>
      </w:r>
      <w:proofErr w:type="spellEnd"/>
      <w:r w:rsidRPr="00B52880">
        <w:rPr>
          <w:sz w:val="20"/>
          <w:szCs w:val="20"/>
        </w:rPr>
        <w:t xml:space="preserve"> isotopes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w:t>
      </w:r>
      <w:r w:rsidRPr="00B52880">
        <w:rPr>
          <w:sz w:val="20"/>
          <w:szCs w:val="20"/>
          <w:vertAlign w:val="superscript"/>
        </w:rPr>
        <w:t>240</w:t>
      </w:r>
      <w:r w:rsidRPr="00B52880">
        <w:rPr>
          <w:sz w:val="20"/>
          <w:szCs w:val="20"/>
        </w:rPr>
        <w:t xml:space="preserve">Pu and </w:t>
      </w:r>
      <w:r w:rsidRPr="00B52880">
        <w:rPr>
          <w:sz w:val="20"/>
          <w:szCs w:val="20"/>
          <w:vertAlign w:val="superscript"/>
        </w:rPr>
        <w:t>241</w:t>
      </w:r>
      <w:r w:rsidRPr="00B52880">
        <w:rPr>
          <w:sz w:val="20"/>
          <w:szCs w:val="20"/>
        </w:rPr>
        <w:t xml:space="preserve">Pu) were normalized to </w:t>
      </w:r>
      <w:r w:rsidRPr="00B52880">
        <w:rPr>
          <w:sz w:val="20"/>
          <w:szCs w:val="20"/>
          <w:vertAlign w:val="superscript"/>
        </w:rPr>
        <w:t>239</w:t>
      </w:r>
      <w:r w:rsidRPr="00B52880">
        <w:rPr>
          <w:sz w:val="20"/>
          <w:szCs w:val="20"/>
        </w:rPr>
        <w:t xml:space="preserve">Pu as the most prevalent </w:t>
      </w:r>
      <w:r w:rsidR="00934E1B" w:rsidRPr="00B52880">
        <w:rPr>
          <w:sz w:val="20"/>
          <w:szCs w:val="20"/>
        </w:rPr>
        <w:t>P</w:t>
      </w:r>
      <w:r w:rsidRPr="00B52880">
        <w:rPr>
          <w:sz w:val="20"/>
          <w:szCs w:val="20"/>
        </w:rPr>
        <w:t>lutonium Isotope [10].</w:t>
      </w:r>
    </w:p>
    <w:p w:rsidR="00B52880" w:rsidRPr="00B52880" w:rsidRDefault="00B52880" w:rsidP="00B52880">
      <w:pPr>
        <w:snapToGrid w:val="0"/>
        <w:ind w:firstLine="425"/>
        <w:jc w:val="both"/>
        <w:rPr>
          <w:sz w:val="20"/>
          <w:szCs w:val="20"/>
          <w:lang w:eastAsia="zh-CN"/>
        </w:rPr>
      </w:pPr>
    </w:p>
    <w:p w:rsidR="00471E57" w:rsidRPr="00B52880" w:rsidRDefault="00471E57" w:rsidP="00B52880">
      <w:pPr>
        <w:snapToGrid w:val="0"/>
        <w:jc w:val="both"/>
        <w:rPr>
          <w:b/>
          <w:sz w:val="20"/>
          <w:szCs w:val="20"/>
        </w:rPr>
      </w:pPr>
      <w:r w:rsidRPr="00B52880">
        <w:rPr>
          <w:b/>
          <w:sz w:val="20"/>
          <w:szCs w:val="20"/>
        </w:rPr>
        <w:t>3. Results</w:t>
      </w:r>
      <w:r w:rsidR="00133AC0" w:rsidRPr="00B52880">
        <w:rPr>
          <w:rFonts w:eastAsia="TimesNewRoman"/>
          <w:b/>
          <w:bCs/>
          <w:sz w:val="20"/>
          <w:szCs w:val="22"/>
          <w:lang w:eastAsia="en-US"/>
        </w:rPr>
        <w:t xml:space="preserve"> </w:t>
      </w:r>
      <w:r w:rsidR="00133AC0" w:rsidRPr="00B52880">
        <w:rPr>
          <w:b/>
          <w:bCs/>
          <w:sz w:val="20"/>
          <w:szCs w:val="20"/>
        </w:rPr>
        <w:t>and Discussion</w:t>
      </w:r>
    </w:p>
    <w:p w:rsidR="0086698E" w:rsidRPr="00B52880" w:rsidRDefault="0086698E" w:rsidP="00B52880">
      <w:pPr>
        <w:snapToGrid w:val="0"/>
        <w:ind w:firstLine="425"/>
        <w:jc w:val="both"/>
        <w:rPr>
          <w:sz w:val="20"/>
          <w:szCs w:val="20"/>
        </w:rPr>
      </w:pPr>
      <w:r w:rsidRPr="00B52880">
        <w:rPr>
          <w:sz w:val="20"/>
          <w:szCs w:val="20"/>
        </w:rPr>
        <w:t>Large data were obtained during these simulations including the total neutron emission, total gamma emission and isotopic concentration per gram. Eighteen output files were generated and many scripts and programs were used to analyze such files and to extract the relevant information. The following results were obtained for these groups of simulations.</w:t>
      </w:r>
    </w:p>
    <w:p w:rsidR="0086698E" w:rsidRDefault="0086698E" w:rsidP="00B52880">
      <w:pPr>
        <w:snapToGrid w:val="0"/>
        <w:ind w:firstLine="425"/>
        <w:jc w:val="both"/>
        <w:rPr>
          <w:sz w:val="20"/>
          <w:szCs w:val="20"/>
          <w:lang w:eastAsia="zh-CN"/>
        </w:rPr>
      </w:pPr>
      <w:r w:rsidRPr="00B52880">
        <w:rPr>
          <w:sz w:val="20"/>
          <w:szCs w:val="20"/>
        </w:rPr>
        <w:t xml:space="preserve">Since </w:t>
      </w:r>
      <w:r w:rsidRPr="00B52880">
        <w:rPr>
          <w:sz w:val="20"/>
          <w:szCs w:val="20"/>
          <w:vertAlign w:val="superscript"/>
        </w:rPr>
        <w:t>239</w:t>
      </w:r>
      <w:r w:rsidRPr="00B52880">
        <w:rPr>
          <w:sz w:val="20"/>
          <w:szCs w:val="20"/>
        </w:rPr>
        <w:t xml:space="preserve">Pu is the most prevalent plutonium isotope, so studying the buildup of such isotope with different </w:t>
      </w:r>
      <w:r w:rsidR="003A0880" w:rsidRPr="00B52880">
        <w:rPr>
          <w:sz w:val="20"/>
          <w:szCs w:val="20"/>
        </w:rPr>
        <w:t>BU</w:t>
      </w:r>
      <w:r w:rsidRPr="00B52880">
        <w:rPr>
          <w:sz w:val="20"/>
          <w:szCs w:val="20"/>
        </w:rPr>
        <w:t xml:space="preserve"> values and different cooling time is important. Fig. (1) Illustrates the relation between the isotope </w:t>
      </w:r>
      <w:r w:rsidRPr="00B52880">
        <w:rPr>
          <w:sz w:val="20"/>
          <w:szCs w:val="20"/>
          <w:vertAlign w:val="superscript"/>
        </w:rPr>
        <w:t>239</w:t>
      </w:r>
      <w:r w:rsidRPr="00B52880">
        <w:rPr>
          <w:sz w:val="20"/>
          <w:szCs w:val="20"/>
        </w:rPr>
        <w:t xml:space="preserve">Pu </w:t>
      </w:r>
      <w:r w:rsidR="003A0880" w:rsidRPr="00B52880">
        <w:rPr>
          <w:sz w:val="20"/>
          <w:szCs w:val="20"/>
        </w:rPr>
        <w:t xml:space="preserve">total </w:t>
      </w:r>
      <w:r w:rsidRPr="00B52880">
        <w:rPr>
          <w:sz w:val="20"/>
          <w:szCs w:val="20"/>
        </w:rPr>
        <w:t>mass in grams and the cooling time</w:t>
      </w:r>
      <w:r w:rsidR="003A0880" w:rsidRPr="00B52880">
        <w:rPr>
          <w:sz w:val="20"/>
          <w:szCs w:val="20"/>
        </w:rPr>
        <w:t xml:space="preserve"> (CT)</w:t>
      </w:r>
      <w:r w:rsidRPr="00B52880">
        <w:rPr>
          <w:sz w:val="20"/>
          <w:szCs w:val="20"/>
        </w:rPr>
        <w:t xml:space="preserve"> at different </w:t>
      </w:r>
      <w:r w:rsidR="003A0880" w:rsidRPr="00B52880">
        <w:rPr>
          <w:sz w:val="20"/>
          <w:szCs w:val="20"/>
        </w:rPr>
        <w:t>BU</w:t>
      </w:r>
      <w:r w:rsidRPr="00B52880">
        <w:rPr>
          <w:sz w:val="20"/>
          <w:szCs w:val="20"/>
        </w:rPr>
        <w:t xml:space="preserve"> values. It is obvious that with increasing the </w:t>
      </w:r>
      <w:r w:rsidR="003A0880" w:rsidRPr="00B52880">
        <w:rPr>
          <w:sz w:val="20"/>
          <w:szCs w:val="20"/>
        </w:rPr>
        <w:t>BU</w:t>
      </w:r>
      <w:r w:rsidRPr="00B52880">
        <w:rPr>
          <w:sz w:val="20"/>
          <w:szCs w:val="20"/>
        </w:rPr>
        <w:t xml:space="preserve"> value the amount of </w:t>
      </w:r>
      <w:r w:rsidRPr="00B52880">
        <w:rPr>
          <w:sz w:val="20"/>
          <w:szCs w:val="20"/>
          <w:vertAlign w:val="superscript"/>
        </w:rPr>
        <w:t>239</w:t>
      </w:r>
      <w:r w:rsidRPr="00B52880">
        <w:rPr>
          <w:sz w:val="20"/>
          <w:szCs w:val="20"/>
        </w:rPr>
        <w:t xml:space="preserve">Pu mass increased, </w:t>
      </w:r>
      <w:r w:rsidR="003A0880" w:rsidRPr="00B52880">
        <w:rPr>
          <w:sz w:val="20"/>
          <w:szCs w:val="20"/>
        </w:rPr>
        <w:t>until</w:t>
      </w:r>
      <w:r w:rsidRPr="00B52880">
        <w:rPr>
          <w:sz w:val="20"/>
          <w:szCs w:val="20"/>
        </w:rPr>
        <w:t xml:space="preserve"> at higher </w:t>
      </w:r>
      <w:r w:rsidR="003A0880" w:rsidRPr="00B52880">
        <w:rPr>
          <w:sz w:val="20"/>
          <w:szCs w:val="20"/>
        </w:rPr>
        <w:t>BU</w:t>
      </w:r>
      <w:r w:rsidRPr="00B52880">
        <w:rPr>
          <w:sz w:val="20"/>
          <w:szCs w:val="20"/>
        </w:rPr>
        <w:t xml:space="preserve"> values a slight change is recognized only between (40 </w:t>
      </w:r>
      <w:r w:rsidR="003A0880" w:rsidRPr="00B52880">
        <w:rPr>
          <w:sz w:val="20"/>
          <w:szCs w:val="20"/>
        </w:rPr>
        <w:t xml:space="preserve">and </w:t>
      </w:r>
      <w:r w:rsidRPr="00B52880">
        <w:rPr>
          <w:sz w:val="20"/>
          <w:szCs w:val="20"/>
        </w:rPr>
        <w:t xml:space="preserve">60 </w:t>
      </w:r>
      <w:proofErr w:type="spellStart"/>
      <w:r w:rsidRPr="00B52880">
        <w:rPr>
          <w:sz w:val="20"/>
          <w:szCs w:val="20"/>
        </w:rPr>
        <w:t>GWd/t</w:t>
      </w:r>
      <w:r w:rsidR="003A0880" w:rsidRPr="00B52880">
        <w:rPr>
          <w:sz w:val="20"/>
          <w:szCs w:val="20"/>
        </w:rPr>
        <w:t>u</w:t>
      </w:r>
      <w:proofErr w:type="spellEnd"/>
      <w:r w:rsidRPr="00B52880">
        <w:rPr>
          <w:sz w:val="20"/>
          <w:szCs w:val="20"/>
        </w:rPr>
        <w:t xml:space="preserve">). Therefore, the effect of AP change on the buildup of </w:t>
      </w:r>
      <w:r w:rsidRPr="00B52880">
        <w:rPr>
          <w:sz w:val="20"/>
          <w:szCs w:val="20"/>
          <w:vertAlign w:val="superscript"/>
        </w:rPr>
        <w:t>239</w:t>
      </w:r>
      <w:r w:rsidRPr="00B52880">
        <w:rPr>
          <w:sz w:val="20"/>
          <w:szCs w:val="20"/>
        </w:rPr>
        <w:t xml:space="preserve">Pu at the same </w:t>
      </w:r>
      <w:r w:rsidR="003A0880" w:rsidRPr="00B52880">
        <w:rPr>
          <w:sz w:val="20"/>
          <w:szCs w:val="20"/>
        </w:rPr>
        <w:t>BU</w:t>
      </w:r>
      <w:r w:rsidRPr="00B52880">
        <w:rPr>
          <w:sz w:val="20"/>
          <w:szCs w:val="20"/>
        </w:rPr>
        <w:t xml:space="preserve"> value should be interpreted. Figures (2, 3 and 4) illustrate that at lower AP values (30 MW/</w:t>
      </w:r>
      <w:proofErr w:type="spellStart"/>
      <w:r w:rsidRPr="00B52880">
        <w:rPr>
          <w:sz w:val="20"/>
          <w:szCs w:val="20"/>
        </w:rPr>
        <w:t>t</w:t>
      </w:r>
      <w:r w:rsidR="003A0880" w:rsidRPr="00B52880">
        <w:rPr>
          <w:sz w:val="20"/>
          <w:szCs w:val="20"/>
        </w:rPr>
        <w:t>u</w:t>
      </w:r>
      <w:proofErr w:type="spellEnd"/>
      <w:r w:rsidRPr="00B52880">
        <w:rPr>
          <w:sz w:val="20"/>
          <w:szCs w:val="20"/>
        </w:rPr>
        <w:t xml:space="preserve">), the buildup of </w:t>
      </w:r>
      <w:r w:rsidRPr="00B52880">
        <w:rPr>
          <w:sz w:val="20"/>
          <w:szCs w:val="20"/>
          <w:vertAlign w:val="superscript"/>
        </w:rPr>
        <w:t>239</w:t>
      </w:r>
      <w:r w:rsidRPr="00B52880">
        <w:rPr>
          <w:sz w:val="20"/>
          <w:szCs w:val="20"/>
        </w:rPr>
        <w:t>Pu is slightly changed and no change at other AP values.</w:t>
      </w:r>
    </w:p>
    <w:p w:rsidR="00B52880" w:rsidRPr="00B52880" w:rsidRDefault="00B52880" w:rsidP="00B52880">
      <w:pPr>
        <w:snapToGrid w:val="0"/>
        <w:ind w:firstLine="425"/>
        <w:jc w:val="both"/>
        <w:rPr>
          <w:sz w:val="20"/>
          <w:szCs w:val="20"/>
          <w:lang w:eastAsia="zh-CN"/>
        </w:rPr>
      </w:pPr>
    </w:p>
    <w:p w:rsidR="00B60E50" w:rsidRDefault="00455C6B" w:rsidP="00B52880">
      <w:pPr>
        <w:snapToGrid w:val="0"/>
        <w:jc w:val="center"/>
        <w:rPr>
          <w:sz w:val="20"/>
          <w:lang w:eastAsia="zh-CN"/>
        </w:rPr>
      </w:pPr>
      <w:r>
        <w:rPr>
          <w:noProof/>
          <w:sz w:val="20"/>
          <w:lang w:eastAsia="zh-CN"/>
        </w:rPr>
        <w:drawing>
          <wp:inline distT="0" distB="0" distL="0" distR="0">
            <wp:extent cx="2854325" cy="2369185"/>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854325" cy="2369185"/>
                    </a:xfrm>
                    <a:prstGeom prst="rect">
                      <a:avLst/>
                    </a:prstGeom>
                    <a:noFill/>
                    <a:ln w="9525">
                      <a:noFill/>
                      <a:miter lim="800000"/>
                      <a:headEnd/>
                      <a:tailEnd/>
                    </a:ln>
                  </pic:spPr>
                </pic:pic>
              </a:graphicData>
            </a:graphic>
          </wp:inline>
        </w:drawing>
      </w:r>
    </w:p>
    <w:p w:rsidR="00B52880" w:rsidRDefault="00B52880" w:rsidP="00B52880">
      <w:pPr>
        <w:snapToGrid w:val="0"/>
        <w:jc w:val="both"/>
        <w:rPr>
          <w:sz w:val="20"/>
          <w:szCs w:val="20"/>
        </w:rPr>
      </w:pPr>
      <w:r w:rsidRPr="00B52880">
        <w:rPr>
          <w:sz w:val="20"/>
          <w:szCs w:val="20"/>
        </w:rPr>
        <w:t xml:space="preserve">Figure 1. </w:t>
      </w:r>
      <w:r w:rsidRPr="00B52880">
        <w:rPr>
          <w:sz w:val="20"/>
          <w:szCs w:val="20"/>
          <w:vertAlign w:val="superscript"/>
        </w:rPr>
        <w:t>239</w:t>
      </w:r>
      <w:r w:rsidRPr="00B52880">
        <w:rPr>
          <w:sz w:val="20"/>
          <w:szCs w:val="20"/>
        </w:rPr>
        <w:t>Pu mass content against cooling time at different BU values</w:t>
      </w:r>
    </w:p>
    <w:p w:rsidR="00B52880" w:rsidRDefault="00B52880" w:rsidP="00B52880">
      <w:pPr>
        <w:snapToGrid w:val="0"/>
        <w:jc w:val="center"/>
        <w:rPr>
          <w:sz w:val="20"/>
          <w:szCs w:val="20"/>
          <w:lang w:eastAsia="zh-CN"/>
        </w:rPr>
      </w:pPr>
    </w:p>
    <w:p w:rsidR="00B52880" w:rsidRPr="00B52880" w:rsidRDefault="00B52880" w:rsidP="00B52880">
      <w:pPr>
        <w:snapToGrid w:val="0"/>
        <w:ind w:firstLine="425"/>
        <w:jc w:val="both"/>
        <w:rPr>
          <w:sz w:val="20"/>
          <w:szCs w:val="20"/>
        </w:rPr>
      </w:pPr>
      <w:r w:rsidRPr="00B52880">
        <w:rPr>
          <w:sz w:val="20"/>
          <w:szCs w:val="20"/>
        </w:rPr>
        <w:t xml:space="preserve">The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Pu Ratio represents an important factor in verifying the initial enrichment [4], so the effect of changing the average power on this ratio was considered. The results of such ratios were normalized to that of AP 40 MW/</w:t>
      </w:r>
      <w:proofErr w:type="spellStart"/>
      <w:r w:rsidRPr="00B52880">
        <w:rPr>
          <w:sz w:val="20"/>
          <w:szCs w:val="20"/>
        </w:rPr>
        <w:t>tu</w:t>
      </w:r>
      <w:proofErr w:type="spellEnd"/>
      <w:r w:rsidRPr="00B52880">
        <w:rPr>
          <w:sz w:val="20"/>
          <w:szCs w:val="20"/>
        </w:rPr>
        <w:t xml:space="preserve"> which is the international standard of operating PWR [8].</w:t>
      </w:r>
    </w:p>
    <w:p w:rsidR="00B52880" w:rsidRPr="00B52880" w:rsidRDefault="00B52880" w:rsidP="00B52880">
      <w:pPr>
        <w:snapToGrid w:val="0"/>
        <w:jc w:val="center"/>
        <w:rPr>
          <w:sz w:val="20"/>
          <w:szCs w:val="20"/>
          <w:lang w:eastAsia="zh-CN"/>
        </w:rPr>
      </w:pPr>
    </w:p>
    <w:p w:rsidR="00B52880" w:rsidRDefault="00455C6B" w:rsidP="00B52880">
      <w:pPr>
        <w:snapToGrid w:val="0"/>
        <w:jc w:val="center"/>
        <w:rPr>
          <w:sz w:val="20"/>
          <w:lang w:eastAsia="zh-CN"/>
        </w:rPr>
      </w:pPr>
      <w:r>
        <w:rPr>
          <w:noProof/>
          <w:sz w:val="20"/>
          <w:lang w:eastAsia="zh-CN"/>
        </w:rPr>
        <w:lastRenderedPageBreak/>
        <w:drawing>
          <wp:inline distT="0" distB="0" distL="0" distR="0">
            <wp:extent cx="2647950" cy="212280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47950" cy="2122805"/>
                    </a:xfrm>
                    <a:prstGeom prst="rect">
                      <a:avLst/>
                    </a:prstGeom>
                    <a:noFill/>
                    <a:ln w="9525">
                      <a:noFill/>
                      <a:miter lim="800000"/>
                      <a:headEnd/>
                      <a:tailEnd/>
                    </a:ln>
                  </pic:spPr>
                </pic:pic>
              </a:graphicData>
            </a:graphic>
          </wp:inline>
        </w:drawing>
      </w:r>
    </w:p>
    <w:p w:rsidR="00C3543F" w:rsidRPr="00B52880" w:rsidRDefault="0026552F" w:rsidP="00B52880">
      <w:pPr>
        <w:snapToGrid w:val="0"/>
        <w:jc w:val="both"/>
        <w:rPr>
          <w:sz w:val="20"/>
          <w:szCs w:val="20"/>
        </w:rPr>
      </w:pPr>
      <w:r w:rsidRPr="00B52880">
        <w:rPr>
          <w:sz w:val="20"/>
          <w:szCs w:val="20"/>
        </w:rPr>
        <w:t xml:space="preserve">Figure 2. </w:t>
      </w:r>
      <w:r w:rsidRPr="00B52880">
        <w:rPr>
          <w:sz w:val="20"/>
          <w:szCs w:val="20"/>
          <w:vertAlign w:val="superscript"/>
        </w:rPr>
        <w:t>239</w:t>
      </w:r>
      <w:r w:rsidRPr="00B52880">
        <w:rPr>
          <w:sz w:val="20"/>
          <w:szCs w:val="20"/>
        </w:rPr>
        <w:t xml:space="preserve">Pu mass </w:t>
      </w:r>
      <w:r w:rsidR="00C3543F" w:rsidRPr="00B52880">
        <w:rPr>
          <w:sz w:val="20"/>
          <w:szCs w:val="20"/>
        </w:rPr>
        <w:t xml:space="preserve">content </w:t>
      </w:r>
      <w:r w:rsidRPr="00B52880">
        <w:rPr>
          <w:sz w:val="20"/>
          <w:szCs w:val="20"/>
        </w:rPr>
        <w:t xml:space="preserve">against </w:t>
      </w:r>
      <w:r w:rsidR="00C3543F" w:rsidRPr="00B52880">
        <w:rPr>
          <w:sz w:val="20"/>
          <w:szCs w:val="20"/>
        </w:rPr>
        <w:t xml:space="preserve">CT </w:t>
      </w:r>
      <w:r w:rsidRPr="00B52880">
        <w:rPr>
          <w:sz w:val="20"/>
          <w:szCs w:val="20"/>
        </w:rPr>
        <w:t>at different</w:t>
      </w:r>
    </w:p>
    <w:p w:rsidR="0026552F" w:rsidRDefault="0026552F" w:rsidP="00B52880">
      <w:pPr>
        <w:snapToGrid w:val="0"/>
        <w:jc w:val="both"/>
        <w:rPr>
          <w:sz w:val="20"/>
          <w:szCs w:val="20"/>
          <w:lang w:eastAsia="zh-CN"/>
        </w:rPr>
      </w:pPr>
      <w:r w:rsidRPr="00B52880">
        <w:rPr>
          <w:sz w:val="20"/>
          <w:szCs w:val="20"/>
        </w:rPr>
        <w:t>AP values for BU</w:t>
      </w:r>
      <w:r w:rsidR="00C3543F" w:rsidRPr="00B52880">
        <w:rPr>
          <w:sz w:val="20"/>
          <w:szCs w:val="20"/>
        </w:rPr>
        <w:t>=</w:t>
      </w:r>
      <w:r w:rsidRPr="00B52880">
        <w:rPr>
          <w:sz w:val="20"/>
          <w:szCs w:val="20"/>
        </w:rPr>
        <w:t xml:space="preserve">10 </w:t>
      </w:r>
      <w:proofErr w:type="spellStart"/>
      <w:r w:rsidRPr="00B52880">
        <w:rPr>
          <w:sz w:val="20"/>
          <w:szCs w:val="20"/>
        </w:rPr>
        <w:t>MWd/t</w:t>
      </w:r>
      <w:r w:rsidR="00C3543F" w:rsidRPr="00B52880">
        <w:rPr>
          <w:sz w:val="20"/>
          <w:szCs w:val="20"/>
        </w:rPr>
        <w:t>u</w:t>
      </w:r>
      <w:proofErr w:type="spellEnd"/>
    </w:p>
    <w:p w:rsidR="00B52880" w:rsidRPr="00B52880" w:rsidRDefault="00B52880" w:rsidP="00B52880">
      <w:pPr>
        <w:snapToGrid w:val="0"/>
        <w:jc w:val="both"/>
        <w:rPr>
          <w:sz w:val="20"/>
          <w:szCs w:val="20"/>
          <w:vertAlign w:val="subscript"/>
          <w:lang w:eastAsia="zh-CN"/>
        </w:rPr>
      </w:pPr>
    </w:p>
    <w:p w:rsidR="00B52880" w:rsidRDefault="00455C6B" w:rsidP="00B52880">
      <w:pPr>
        <w:snapToGrid w:val="0"/>
        <w:jc w:val="center"/>
        <w:rPr>
          <w:sz w:val="20"/>
          <w:szCs w:val="20"/>
          <w:vertAlign w:val="subscript"/>
        </w:rPr>
      </w:pPr>
      <w:r>
        <w:rPr>
          <w:noProof/>
          <w:sz w:val="20"/>
          <w:lang w:eastAsia="zh-CN"/>
        </w:rPr>
        <w:drawing>
          <wp:inline distT="0" distB="0" distL="0" distR="0">
            <wp:extent cx="2790825" cy="247269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790825" cy="2472690"/>
                    </a:xfrm>
                    <a:prstGeom prst="rect">
                      <a:avLst/>
                    </a:prstGeom>
                    <a:noFill/>
                    <a:ln w="9525">
                      <a:noFill/>
                      <a:miter lim="800000"/>
                      <a:headEnd/>
                      <a:tailEnd/>
                    </a:ln>
                  </pic:spPr>
                </pic:pic>
              </a:graphicData>
            </a:graphic>
          </wp:inline>
        </w:drawing>
      </w:r>
    </w:p>
    <w:p w:rsidR="00B52880" w:rsidRDefault="0026552F" w:rsidP="00B52880">
      <w:pPr>
        <w:snapToGrid w:val="0"/>
        <w:jc w:val="both"/>
        <w:rPr>
          <w:sz w:val="20"/>
          <w:szCs w:val="20"/>
          <w:vertAlign w:val="subscript"/>
        </w:rPr>
      </w:pPr>
      <w:r w:rsidRPr="00B52880">
        <w:rPr>
          <w:sz w:val="20"/>
          <w:szCs w:val="20"/>
        </w:rPr>
        <w:t xml:space="preserve">Figure 3. </w:t>
      </w:r>
      <w:r w:rsidRPr="00B52880">
        <w:rPr>
          <w:sz w:val="20"/>
          <w:szCs w:val="20"/>
          <w:vertAlign w:val="superscript"/>
        </w:rPr>
        <w:t>239</w:t>
      </w:r>
      <w:r w:rsidRPr="00B52880">
        <w:rPr>
          <w:sz w:val="20"/>
          <w:szCs w:val="20"/>
        </w:rPr>
        <w:t xml:space="preserve">Pu mass </w:t>
      </w:r>
      <w:r w:rsidR="00C3543F" w:rsidRPr="00B52880">
        <w:rPr>
          <w:sz w:val="20"/>
          <w:szCs w:val="20"/>
        </w:rPr>
        <w:t xml:space="preserve">content </w:t>
      </w:r>
      <w:r w:rsidRPr="00B52880">
        <w:rPr>
          <w:sz w:val="20"/>
          <w:szCs w:val="20"/>
        </w:rPr>
        <w:t xml:space="preserve">against </w:t>
      </w:r>
      <w:r w:rsidR="00C3543F" w:rsidRPr="00B52880">
        <w:rPr>
          <w:sz w:val="20"/>
          <w:szCs w:val="20"/>
        </w:rPr>
        <w:t>CT at</w:t>
      </w:r>
      <w:r w:rsidRPr="00B52880">
        <w:rPr>
          <w:sz w:val="20"/>
          <w:szCs w:val="20"/>
        </w:rPr>
        <w:t xml:space="preserve"> different AP values for BU</w:t>
      </w:r>
      <w:r w:rsidR="00C3543F" w:rsidRPr="00B52880">
        <w:rPr>
          <w:sz w:val="20"/>
          <w:szCs w:val="20"/>
        </w:rPr>
        <w:t>=</w:t>
      </w:r>
      <w:r w:rsidRPr="00B52880">
        <w:rPr>
          <w:sz w:val="20"/>
          <w:szCs w:val="20"/>
        </w:rPr>
        <w:t xml:space="preserve">40 </w:t>
      </w:r>
      <w:proofErr w:type="spellStart"/>
      <w:r w:rsidRPr="00B52880">
        <w:rPr>
          <w:sz w:val="20"/>
          <w:szCs w:val="20"/>
        </w:rPr>
        <w:t>MWd/t</w:t>
      </w:r>
      <w:r w:rsidR="00C3543F" w:rsidRPr="00B52880">
        <w:rPr>
          <w:sz w:val="20"/>
          <w:szCs w:val="20"/>
        </w:rPr>
        <w:t>u</w:t>
      </w:r>
      <w:proofErr w:type="spellEnd"/>
    </w:p>
    <w:p w:rsidR="00B52880" w:rsidRDefault="00455C6B" w:rsidP="00B52880">
      <w:pPr>
        <w:snapToGrid w:val="0"/>
        <w:jc w:val="center"/>
        <w:rPr>
          <w:sz w:val="20"/>
          <w:szCs w:val="20"/>
        </w:rPr>
      </w:pPr>
      <w:r>
        <w:rPr>
          <w:noProof/>
          <w:sz w:val="20"/>
          <w:lang w:eastAsia="zh-CN"/>
        </w:rPr>
        <w:drawing>
          <wp:inline distT="0" distB="0" distL="0" distR="0">
            <wp:extent cx="2783205" cy="246507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783205" cy="2465070"/>
                    </a:xfrm>
                    <a:prstGeom prst="rect">
                      <a:avLst/>
                    </a:prstGeom>
                    <a:noFill/>
                    <a:ln w="9525">
                      <a:noFill/>
                      <a:miter lim="800000"/>
                      <a:headEnd/>
                      <a:tailEnd/>
                    </a:ln>
                  </pic:spPr>
                </pic:pic>
              </a:graphicData>
            </a:graphic>
          </wp:inline>
        </w:drawing>
      </w:r>
    </w:p>
    <w:p w:rsidR="00B52880" w:rsidRDefault="0026552F" w:rsidP="00B52880">
      <w:pPr>
        <w:snapToGrid w:val="0"/>
        <w:jc w:val="both"/>
        <w:rPr>
          <w:sz w:val="20"/>
          <w:szCs w:val="20"/>
          <w:lang w:eastAsia="zh-CN"/>
        </w:rPr>
      </w:pPr>
      <w:r w:rsidRPr="00B52880">
        <w:rPr>
          <w:sz w:val="20"/>
          <w:szCs w:val="20"/>
        </w:rPr>
        <w:t xml:space="preserve">Figure 4. </w:t>
      </w:r>
      <w:r w:rsidRPr="00B52880">
        <w:rPr>
          <w:sz w:val="20"/>
          <w:szCs w:val="20"/>
          <w:vertAlign w:val="superscript"/>
        </w:rPr>
        <w:t>239</w:t>
      </w:r>
      <w:r w:rsidRPr="00B52880">
        <w:rPr>
          <w:sz w:val="20"/>
          <w:szCs w:val="20"/>
        </w:rPr>
        <w:t xml:space="preserve">Pu mass </w:t>
      </w:r>
      <w:r w:rsidR="00C3543F" w:rsidRPr="00B52880">
        <w:rPr>
          <w:sz w:val="20"/>
          <w:szCs w:val="20"/>
        </w:rPr>
        <w:t xml:space="preserve">content </w:t>
      </w:r>
      <w:r w:rsidRPr="00B52880">
        <w:rPr>
          <w:sz w:val="20"/>
          <w:szCs w:val="20"/>
        </w:rPr>
        <w:t xml:space="preserve">against </w:t>
      </w:r>
      <w:r w:rsidR="00C3543F" w:rsidRPr="00B52880">
        <w:rPr>
          <w:sz w:val="20"/>
          <w:szCs w:val="20"/>
        </w:rPr>
        <w:t>CT</w:t>
      </w:r>
      <w:r w:rsidRPr="00B52880">
        <w:rPr>
          <w:sz w:val="20"/>
          <w:szCs w:val="20"/>
        </w:rPr>
        <w:t xml:space="preserve"> at different AP values for BU 50</w:t>
      </w:r>
      <w:r w:rsidR="00C3543F" w:rsidRPr="00B52880">
        <w:rPr>
          <w:sz w:val="20"/>
          <w:szCs w:val="20"/>
        </w:rPr>
        <w:t>=</w:t>
      </w:r>
      <w:proofErr w:type="spellStart"/>
      <w:r w:rsidRPr="00B52880">
        <w:rPr>
          <w:sz w:val="20"/>
          <w:szCs w:val="20"/>
        </w:rPr>
        <w:t>MWd/t</w:t>
      </w:r>
      <w:r w:rsidR="00C3543F" w:rsidRPr="00B52880">
        <w:rPr>
          <w:sz w:val="20"/>
          <w:szCs w:val="20"/>
        </w:rPr>
        <w:t>u</w:t>
      </w:r>
      <w:proofErr w:type="spellEnd"/>
    </w:p>
    <w:p w:rsidR="0026552F" w:rsidRPr="00B52880" w:rsidRDefault="0026552F" w:rsidP="00B52880">
      <w:pPr>
        <w:snapToGrid w:val="0"/>
        <w:ind w:firstLine="425"/>
        <w:jc w:val="both"/>
        <w:rPr>
          <w:sz w:val="20"/>
          <w:szCs w:val="20"/>
        </w:rPr>
      </w:pPr>
      <w:r w:rsidRPr="00B52880">
        <w:rPr>
          <w:sz w:val="20"/>
          <w:szCs w:val="20"/>
        </w:rPr>
        <w:lastRenderedPageBreak/>
        <w:t xml:space="preserve">Figures (5, 6) show the difference of the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Ratio at different AP </w:t>
      </w:r>
      <w:r w:rsidR="00C3543F" w:rsidRPr="00B52880">
        <w:rPr>
          <w:sz w:val="20"/>
          <w:szCs w:val="20"/>
        </w:rPr>
        <w:t xml:space="preserve">and </w:t>
      </w:r>
      <w:r w:rsidRPr="00B52880">
        <w:rPr>
          <w:sz w:val="20"/>
          <w:szCs w:val="20"/>
        </w:rPr>
        <w:t xml:space="preserve">at lower BU values (10, 20 </w:t>
      </w:r>
      <w:proofErr w:type="spellStart"/>
      <w:r w:rsidRPr="00B52880">
        <w:rPr>
          <w:sz w:val="20"/>
          <w:szCs w:val="20"/>
        </w:rPr>
        <w:t>MWd/t</w:t>
      </w:r>
      <w:r w:rsidR="00C3543F" w:rsidRPr="00B52880">
        <w:rPr>
          <w:sz w:val="20"/>
          <w:szCs w:val="20"/>
        </w:rPr>
        <w:t>u</w:t>
      </w:r>
      <w:proofErr w:type="spellEnd"/>
      <w:r w:rsidRPr="00B52880">
        <w:rPr>
          <w:sz w:val="20"/>
          <w:szCs w:val="20"/>
        </w:rPr>
        <w:t>)</w:t>
      </w:r>
      <w:r w:rsidRPr="00B52880">
        <w:rPr>
          <w:sz w:val="20"/>
          <w:szCs w:val="20"/>
          <w:vertAlign w:val="subscript"/>
        </w:rPr>
        <w:t xml:space="preserve"> </w:t>
      </w:r>
      <w:r w:rsidRPr="00B52880">
        <w:rPr>
          <w:sz w:val="20"/>
          <w:szCs w:val="20"/>
        </w:rPr>
        <w:t xml:space="preserve">where it decreased with increasing </w:t>
      </w:r>
      <w:r w:rsidR="00C3543F" w:rsidRPr="00B52880">
        <w:rPr>
          <w:sz w:val="20"/>
          <w:szCs w:val="20"/>
        </w:rPr>
        <w:t>BU</w:t>
      </w:r>
      <w:r w:rsidRPr="00B52880">
        <w:rPr>
          <w:sz w:val="20"/>
          <w:szCs w:val="20"/>
        </w:rPr>
        <w:t>, from around 3% to 2.5% for lower AP values and from 6% to 3% for higher AP values compar</w:t>
      </w:r>
      <w:r w:rsidR="00C3543F" w:rsidRPr="00B52880">
        <w:rPr>
          <w:sz w:val="20"/>
          <w:szCs w:val="20"/>
        </w:rPr>
        <w:t xml:space="preserve">ed </w:t>
      </w:r>
      <w:r w:rsidRPr="00B52880">
        <w:rPr>
          <w:sz w:val="20"/>
          <w:szCs w:val="20"/>
        </w:rPr>
        <w:t>to the standard one of AP</w:t>
      </w:r>
      <w:r w:rsidR="00C3543F" w:rsidRPr="00B52880">
        <w:rPr>
          <w:sz w:val="20"/>
          <w:szCs w:val="20"/>
        </w:rPr>
        <w:t xml:space="preserve"> =</w:t>
      </w:r>
      <w:r w:rsidRPr="00B52880">
        <w:rPr>
          <w:sz w:val="20"/>
          <w:szCs w:val="20"/>
        </w:rPr>
        <w:t xml:space="preserve"> 40 MW/</w:t>
      </w:r>
      <w:proofErr w:type="spellStart"/>
      <w:r w:rsidRPr="00B52880">
        <w:rPr>
          <w:sz w:val="20"/>
          <w:szCs w:val="20"/>
        </w:rPr>
        <w:t>t</w:t>
      </w:r>
      <w:r w:rsidR="00C3543F" w:rsidRPr="00B52880">
        <w:rPr>
          <w:sz w:val="20"/>
          <w:szCs w:val="20"/>
        </w:rPr>
        <w:t>u</w:t>
      </w:r>
      <w:proofErr w:type="spellEnd"/>
      <w:r w:rsidRPr="00B52880">
        <w:rPr>
          <w:sz w:val="20"/>
          <w:szCs w:val="20"/>
        </w:rPr>
        <w:t>.</w:t>
      </w:r>
    </w:p>
    <w:p w:rsidR="0026552F" w:rsidRDefault="0026552F" w:rsidP="00B52880">
      <w:pPr>
        <w:snapToGrid w:val="0"/>
        <w:ind w:firstLine="425"/>
        <w:jc w:val="both"/>
        <w:rPr>
          <w:sz w:val="20"/>
          <w:szCs w:val="20"/>
          <w:lang w:eastAsia="zh-CN"/>
        </w:rPr>
      </w:pPr>
      <w:r w:rsidRPr="00B52880">
        <w:rPr>
          <w:sz w:val="20"/>
          <w:szCs w:val="20"/>
        </w:rPr>
        <w:t xml:space="preserve">Figures (7, 8) show the difference in the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Ratio at different </w:t>
      </w:r>
      <w:r w:rsidR="00C3543F" w:rsidRPr="00B52880">
        <w:rPr>
          <w:sz w:val="20"/>
          <w:szCs w:val="20"/>
        </w:rPr>
        <w:t>AP</w:t>
      </w:r>
      <w:r w:rsidRPr="00B52880">
        <w:rPr>
          <w:sz w:val="20"/>
          <w:szCs w:val="20"/>
        </w:rPr>
        <w:t xml:space="preserve"> and at higher BU values (40, 50 </w:t>
      </w:r>
      <w:proofErr w:type="spellStart"/>
      <w:r w:rsidRPr="00B52880">
        <w:rPr>
          <w:sz w:val="20"/>
          <w:szCs w:val="20"/>
        </w:rPr>
        <w:t>MWd/t</w:t>
      </w:r>
      <w:r w:rsidR="00C3543F" w:rsidRPr="00B52880">
        <w:rPr>
          <w:sz w:val="20"/>
          <w:szCs w:val="20"/>
        </w:rPr>
        <w:t>u</w:t>
      </w:r>
      <w:proofErr w:type="spellEnd"/>
      <w:r w:rsidRPr="00B52880">
        <w:rPr>
          <w:sz w:val="20"/>
          <w:szCs w:val="20"/>
        </w:rPr>
        <w:t>),</w:t>
      </w:r>
      <w:r w:rsidRPr="00B52880">
        <w:rPr>
          <w:sz w:val="20"/>
          <w:szCs w:val="20"/>
          <w:vertAlign w:val="subscript"/>
        </w:rPr>
        <w:t xml:space="preserve"> </w:t>
      </w:r>
      <w:r w:rsidRPr="00B52880">
        <w:rPr>
          <w:sz w:val="20"/>
          <w:szCs w:val="20"/>
        </w:rPr>
        <w:t xml:space="preserve">which is almost around 4-5% for lower AP and around 3-4% for higher AP values. As for the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ratio the impact is noticeable at both low and high </w:t>
      </w:r>
      <w:r w:rsidR="00103E97" w:rsidRPr="00B52880">
        <w:rPr>
          <w:sz w:val="20"/>
          <w:szCs w:val="20"/>
        </w:rPr>
        <w:t>BU</w:t>
      </w:r>
      <w:r w:rsidRPr="00B52880">
        <w:rPr>
          <w:sz w:val="20"/>
          <w:szCs w:val="20"/>
        </w:rPr>
        <w:t xml:space="preserve"> values that are due to the production of </w:t>
      </w:r>
      <w:r w:rsidRPr="00B52880">
        <w:rPr>
          <w:sz w:val="20"/>
          <w:szCs w:val="20"/>
          <w:vertAlign w:val="superscript"/>
        </w:rPr>
        <w:t>238</w:t>
      </w:r>
      <w:r w:rsidRPr="00B52880">
        <w:rPr>
          <w:sz w:val="20"/>
          <w:szCs w:val="20"/>
        </w:rPr>
        <w:t xml:space="preserve">Pu from </w:t>
      </w:r>
      <w:r w:rsidRPr="00B52880">
        <w:rPr>
          <w:sz w:val="20"/>
          <w:szCs w:val="20"/>
          <w:vertAlign w:val="superscript"/>
        </w:rPr>
        <w:t>237</w:t>
      </w:r>
      <w:r w:rsidRPr="00B52880">
        <w:rPr>
          <w:sz w:val="20"/>
          <w:szCs w:val="20"/>
        </w:rPr>
        <w:t xml:space="preserve">Np neutron capture [10]. Since the total neutron emission is affected by changing the </w:t>
      </w:r>
      <w:r w:rsidR="00103E97" w:rsidRPr="00B52880">
        <w:rPr>
          <w:sz w:val="20"/>
          <w:szCs w:val="20"/>
        </w:rPr>
        <w:t>AP</w:t>
      </w:r>
      <w:r w:rsidRPr="00B52880">
        <w:rPr>
          <w:sz w:val="20"/>
          <w:szCs w:val="20"/>
        </w:rPr>
        <w:t xml:space="preserve"> during 3 years of cooling time [8] so the production of </w:t>
      </w:r>
      <w:r w:rsidRPr="00B52880">
        <w:rPr>
          <w:sz w:val="20"/>
          <w:szCs w:val="20"/>
          <w:vertAlign w:val="superscript"/>
        </w:rPr>
        <w:t>238</w:t>
      </w:r>
      <w:r w:rsidRPr="00B52880">
        <w:rPr>
          <w:sz w:val="20"/>
          <w:szCs w:val="20"/>
        </w:rPr>
        <w:t>Pu is affected, and the Table of results is shown in</w:t>
      </w:r>
      <w:r w:rsidR="00103E97" w:rsidRPr="00B52880">
        <w:rPr>
          <w:sz w:val="20"/>
          <w:szCs w:val="20"/>
        </w:rPr>
        <w:t xml:space="preserve"> Appendix</w:t>
      </w:r>
      <w:r w:rsidRPr="00B52880">
        <w:rPr>
          <w:sz w:val="20"/>
          <w:szCs w:val="20"/>
        </w:rPr>
        <w:t xml:space="preserve"> (1).</w:t>
      </w:r>
    </w:p>
    <w:p w:rsidR="00B52880" w:rsidRPr="00B52880" w:rsidRDefault="00B52880" w:rsidP="00B52880">
      <w:pPr>
        <w:snapToGrid w:val="0"/>
        <w:ind w:firstLine="425"/>
        <w:jc w:val="both"/>
        <w:rPr>
          <w:sz w:val="20"/>
          <w:szCs w:val="20"/>
          <w:lang w:eastAsia="zh-CN"/>
        </w:rPr>
      </w:pPr>
    </w:p>
    <w:p w:rsidR="00B52880" w:rsidRDefault="00455C6B" w:rsidP="00B52880">
      <w:pPr>
        <w:snapToGrid w:val="0"/>
        <w:jc w:val="center"/>
        <w:rPr>
          <w:sz w:val="20"/>
          <w:szCs w:val="20"/>
        </w:rPr>
      </w:pPr>
      <w:r>
        <w:rPr>
          <w:noProof/>
          <w:sz w:val="20"/>
          <w:lang w:eastAsia="zh-CN"/>
        </w:rPr>
        <w:drawing>
          <wp:inline distT="0" distB="0" distL="0" distR="0">
            <wp:extent cx="2703195" cy="2289810"/>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703195" cy="2289810"/>
                    </a:xfrm>
                    <a:prstGeom prst="rect">
                      <a:avLst/>
                    </a:prstGeom>
                    <a:noFill/>
                    <a:ln w="9525">
                      <a:noFill/>
                      <a:miter lim="800000"/>
                      <a:headEnd/>
                      <a:tailEnd/>
                    </a:ln>
                  </pic:spPr>
                </pic:pic>
              </a:graphicData>
            </a:graphic>
          </wp:inline>
        </w:drawing>
      </w:r>
    </w:p>
    <w:p w:rsidR="00A35C0F" w:rsidRDefault="00A35C0F" w:rsidP="00B52880">
      <w:pPr>
        <w:snapToGrid w:val="0"/>
        <w:jc w:val="both"/>
        <w:rPr>
          <w:sz w:val="20"/>
          <w:szCs w:val="20"/>
          <w:lang w:eastAsia="zh-CN"/>
        </w:rPr>
      </w:pPr>
      <w:r w:rsidRPr="00B52880">
        <w:rPr>
          <w:sz w:val="20"/>
          <w:szCs w:val="20"/>
        </w:rPr>
        <w:t xml:space="preserve">Figure 5. </w:t>
      </w:r>
      <w:r w:rsidR="00103E97" w:rsidRPr="00B52880">
        <w:rPr>
          <w:sz w:val="20"/>
          <w:szCs w:val="20"/>
        </w:rPr>
        <w:t>The r</w:t>
      </w:r>
      <w:r w:rsidRPr="00B52880">
        <w:rPr>
          <w:sz w:val="20"/>
          <w:szCs w:val="20"/>
        </w:rPr>
        <w:t>atio</w:t>
      </w:r>
      <w:r w:rsidR="00103E97" w:rsidRPr="00B52880">
        <w:rPr>
          <w:sz w:val="20"/>
          <w:szCs w:val="20"/>
        </w:rPr>
        <w:t xml:space="preserve"> of</w:t>
      </w:r>
      <w:r w:rsidRPr="00B52880">
        <w:rPr>
          <w:sz w:val="20"/>
          <w:szCs w:val="20"/>
        </w:rPr>
        <w:t xml:space="preserve">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against </w:t>
      </w:r>
      <w:r w:rsidR="00103E97" w:rsidRPr="00B52880">
        <w:rPr>
          <w:sz w:val="20"/>
          <w:szCs w:val="20"/>
        </w:rPr>
        <w:t>CT</w:t>
      </w:r>
      <w:r w:rsidRPr="00B52880">
        <w:rPr>
          <w:sz w:val="20"/>
          <w:szCs w:val="20"/>
        </w:rPr>
        <w:t xml:space="preserve"> at different AP values for BU</w:t>
      </w:r>
      <w:r w:rsidR="00103E97" w:rsidRPr="00B52880">
        <w:rPr>
          <w:sz w:val="20"/>
          <w:szCs w:val="20"/>
        </w:rPr>
        <w:t>=</w:t>
      </w:r>
      <w:r w:rsidRPr="00B52880">
        <w:rPr>
          <w:sz w:val="20"/>
          <w:szCs w:val="20"/>
        </w:rPr>
        <w:t xml:space="preserve">10 </w:t>
      </w:r>
      <w:proofErr w:type="spellStart"/>
      <w:r w:rsidRPr="00B52880">
        <w:rPr>
          <w:sz w:val="20"/>
          <w:szCs w:val="20"/>
        </w:rPr>
        <w:t>MWd/t</w:t>
      </w:r>
      <w:r w:rsidR="00103E97" w:rsidRPr="00B52880">
        <w:rPr>
          <w:sz w:val="20"/>
          <w:szCs w:val="20"/>
        </w:rPr>
        <w:t>u</w:t>
      </w:r>
      <w:proofErr w:type="spellEnd"/>
    </w:p>
    <w:p w:rsidR="00B52880" w:rsidRPr="00B52880" w:rsidRDefault="00B52880" w:rsidP="00B52880">
      <w:pPr>
        <w:snapToGrid w:val="0"/>
        <w:jc w:val="both"/>
        <w:rPr>
          <w:sz w:val="20"/>
          <w:szCs w:val="20"/>
          <w:vertAlign w:val="subscript"/>
          <w:lang w:eastAsia="zh-CN"/>
        </w:rPr>
      </w:pPr>
    </w:p>
    <w:p w:rsidR="00B52880" w:rsidRDefault="00455C6B" w:rsidP="00B52880">
      <w:pPr>
        <w:snapToGrid w:val="0"/>
        <w:jc w:val="center"/>
        <w:rPr>
          <w:sz w:val="20"/>
          <w:szCs w:val="20"/>
        </w:rPr>
      </w:pPr>
      <w:r>
        <w:rPr>
          <w:noProof/>
          <w:sz w:val="20"/>
          <w:lang w:eastAsia="zh-CN"/>
        </w:rPr>
        <w:drawing>
          <wp:inline distT="0" distB="0" distL="0" distR="0">
            <wp:extent cx="2679700" cy="2242185"/>
            <wp:effectExtent l="1905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2679700" cy="2242185"/>
                    </a:xfrm>
                    <a:prstGeom prst="rect">
                      <a:avLst/>
                    </a:prstGeom>
                    <a:noFill/>
                    <a:ln w="9525">
                      <a:noFill/>
                      <a:miter lim="800000"/>
                      <a:headEnd/>
                      <a:tailEnd/>
                    </a:ln>
                  </pic:spPr>
                </pic:pic>
              </a:graphicData>
            </a:graphic>
          </wp:inline>
        </w:drawing>
      </w:r>
    </w:p>
    <w:p w:rsidR="003800B0" w:rsidRPr="00B52880" w:rsidRDefault="003800B0" w:rsidP="00B52880">
      <w:pPr>
        <w:snapToGrid w:val="0"/>
        <w:jc w:val="both"/>
        <w:rPr>
          <w:sz w:val="20"/>
          <w:szCs w:val="20"/>
          <w:vertAlign w:val="subscript"/>
        </w:rPr>
      </w:pPr>
      <w:r w:rsidRPr="00B52880">
        <w:rPr>
          <w:sz w:val="20"/>
          <w:szCs w:val="20"/>
        </w:rPr>
        <w:t xml:space="preserve">Figure 6. </w:t>
      </w:r>
      <w:r w:rsidR="00103E97" w:rsidRPr="00B52880">
        <w:rPr>
          <w:sz w:val="20"/>
          <w:szCs w:val="20"/>
        </w:rPr>
        <w:t>The r</w:t>
      </w:r>
      <w:r w:rsidRPr="00B52880">
        <w:rPr>
          <w:sz w:val="20"/>
          <w:szCs w:val="20"/>
        </w:rPr>
        <w:t>atio</w:t>
      </w:r>
      <w:r w:rsidR="00103E97" w:rsidRPr="00B52880">
        <w:rPr>
          <w:sz w:val="20"/>
          <w:szCs w:val="20"/>
        </w:rPr>
        <w:t xml:space="preserve"> of</w:t>
      </w:r>
      <w:r w:rsidRPr="00B52880">
        <w:rPr>
          <w:sz w:val="20"/>
          <w:szCs w:val="20"/>
        </w:rPr>
        <w:t xml:space="preserve">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against </w:t>
      </w:r>
      <w:proofErr w:type="spellStart"/>
      <w:r w:rsidR="00103E97" w:rsidRPr="00B52880">
        <w:rPr>
          <w:sz w:val="20"/>
          <w:szCs w:val="20"/>
        </w:rPr>
        <w:t>CT</w:t>
      </w:r>
      <w:r w:rsidRPr="00B52880">
        <w:rPr>
          <w:sz w:val="20"/>
          <w:szCs w:val="20"/>
        </w:rPr>
        <w:t>at</w:t>
      </w:r>
      <w:proofErr w:type="spellEnd"/>
      <w:r w:rsidRPr="00B52880">
        <w:rPr>
          <w:sz w:val="20"/>
          <w:szCs w:val="20"/>
        </w:rPr>
        <w:t xml:space="preserve"> different AP values for BU</w:t>
      </w:r>
      <w:r w:rsidR="00103E97" w:rsidRPr="00B52880">
        <w:rPr>
          <w:sz w:val="20"/>
          <w:szCs w:val="20"/>
        </w:rPr>
        <w:t>=</w:t>
      </w:r>
      <w:r w:rsidRPr="00B52880">
        <w:rPr>
          <w:sz w:val="20"/>
          <w:szCs w:val="20"/>
        </w:rPr>
        <w:t xml:space="preserve">20 </w:t>
      </w:r>
      <w:proofErr w:type="spellStart"/>
      <w:r w:rsidRPr="00B52880">
        <w:rPr>
          <w:sz w:val="20"/>
          <w:szCs w:val="20"/>
        </w:rPr>
        <w:t>MWd/t</w:t>
      </w:r>
      <w:r w:rsidR="00103E97" w:rsidRPr="00B52880">
        <w:rPr>
          <w:sz w:val="20"/>
          <w:szCs w:val="20"/>
        </w:rPr>
        <w:t>u</w:t>
      </w:r>
      <w:proofErr w:type="spellEnd"/>
    </w:p>
    <w:p w:rsidR="00B52880" w:rsidRDefault="00455C6B" w:rsidP="00B52880">
      <w:pPr>
        <w:snapToGrid w:val="0"/>
        <w:jc w:val="center"/>
        <w:rPr>
          <w:sz w:val="20"/>
          <w:szCs w:val="20"/>
          <w:vertAlign w:val="subscript"/>
        </w:rPr>
      </w:pPr>
      <w:r>
        <w:rPr>
          <w:noProof/>
          <w:sz w:val="20"/>
          <w:lang w:eastAsia="zh-CN"/>
        </w:rPr>
        <w:lastRenderedPageBreak/>
        <w:drawing>
          <wp:inline distT="0" distB="0" distL="0" distR="0">
            <wp:extent cx="2679700" cy="2162810"/>
            <wp:effectExtent l="1905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2679700" cy="2162810"/>
                    </a:xfrm>
                    <a:prstGeom prst="rect">
                      <a:avLst/>
                    </a:prstGeom>
                    <a:noFill/>
                    <a:ln w="9525">
                      <a:noFill/>
                      <a:miter lim="800000"/>
                      <a:headEnd/>
                      <a:tailEnd/>
                    </a:ln>
                  </pic:spPr>
                </pic:pic>
              </a:graphicData>
            </a:graphic>
          </wp:inline>
        </w:drawing>
      </w:r>
    </w:p>
    <w:p w:rsidR="003800B0" w:rsidRDefault="00DB5D6C" w:rsidP="00B52880">
      <w:pPr>
        <w:snapToGrid w:val="0"/>
        <w:jc w:val="both"/>
        <w:rPr>
          <w:sz w:val="20"/>
          <w:szCs w:val="20"/>
          <w:lang w:eastAsia="zh-CN"/>
        </w:rPr>
      </w:pPr>
      <w:r w:rsidRPr="00B52880">
        <w:rPr>
          <w:sz w:val="20"/>
          <w:szCs w:val="20"/>
        </w:rPr>
        <w:t xml:space="preserve">Figure 7. </w:t>
      </w:r>
      <w:r w:rsidR="00103E97" w:rsidRPr="00B52880">
        <w:rPr>
          <w:sz w:val="20"/>
          <w:szCs w:val="20"/>
        </w:rPr>
        <w:t>The r</w:t>
      </w:r>
      <w:r w:rsidRPr="00B52880">
        <w:rPr>
          <w:sz w:val="20"/>
          <w:szCs w:val="20"/>
        </w:rPr>
        <w:t>atio</w:t>
      </w:r>
      <w:r w:rsidR="00103E97" w:rsidRPr="00B52880">
        <w:rPr>
          <w:sz w:val="20"/>
          <w:szCs w:val="20"/>
        </w:rPr>
        <w:t xml:space="preserve"> of</w:t>
      </w:r>
      <w:r w:rsidRPr="00B52880">
        <w:rPr>
          <w:sz w:val="20"/>
          <w:szCs w:val="20"/>
        </w:rPr>
        <w:t xml:space="preserve">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against </w:t>
      </w:r>
      <w:r w:rsidR="00103E97" w:rsidRPr="00B52880">
        <w:rPr>
          <w:sz w:val="20"/>
          <w:szCs w:val="20"/>
        </w:rPr>
        <w:t>CT</w:t>
      </w:r>
      <w:r w:rsidRPr="00B52880">
        <w:rPr>
          <w:sz w:val="20"/>
          <w:szCs w:val="20"/>
        </w:rPr>
        <w:t xml:space="preserve"> at different AP values for BU</w:t>
      </w:r>
      <w:r w:rsidR="00103E97" w:rsidRPr="00B52880">
        <w:rPr>
          <w:sz w:val="20"/>
          <w:szCs w:val="20"/>
        </w:rPr>
        <w:t>=</w:t>
      </w:r>
      <w:r w:rsidRPr="00B52880">
        <w:rPr>
          <w:sz w:val="20"/>
          <w:szCs w:val="20"/>
        </w:rPr>
        <w:t xml:space="preserve">40 </w:t>
      </w:r>
      <w:proofErr w:type="spellStart"/>
      <w:r w:rsidRPr="00B52880">
        <w:rPr>
          <w:sz w:val="20"/>
          <w:szCs w:val="20"/>
        </w:rPr>
        <w:t>MWd/t</w:t>
      </w:r>
      <w:r w:rsidR="00103E97" w:rsidRPr="00B52880">
        <w:rPr>
          <w:sz w:val="20"/>
          <w:szCs w:val="20"/>
        </w:rPr>
        <w:t>u</w:t>
      </w:r>
      <w:proofErr w:type="spellEnd"/>
    </w:p>
    <w:p w:rsidR="00B52880" w:rsidRPr="00B52880" w:rsidRDefault="00B52880" w:rsidP="00B52880">
      <w:pPr>
        <w:snapToGrid w:val="0"/>
        <w:jc w:val="both"/>
        <w:rPr>
          <w:sz w:val="20"/>
          <w:szCs w:val="20"/>
          <w:lang w:eastAsia="zh-CN"/>
        </w:rPr>
      </w:pPr>
    </w:p>
    <w:p w:rsidR="00B52880" w:rsidRDefault="00455C6B" w:rsidP="00B52880">
      <w:pPr>
        <w:snapToGrid w:val="0"/>
        <w:jc w:val="center"/>
        <w:rPr>
          <w:sz w:val="20"/>
          <w:szCs w:val="20"/>
          <w:vertAlign w:val="subscript"/>
        </w:rPr>
      </w:pPr>
      <w:r>
        <w:rPr>
          <w:noProof/>
          <w:sz w:val="20"/>
          <w:lang w:eastAsia="zh-CN"/>
        </w:rPr>
        <w:drawing>
          <wp:inline distT="0" distB="0" distL="0" distR="0">
            <wp:extent cx="2783205" cy="222631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783205" cy="2226310"/>
                    </a:xfrm>
                    <a:prstGeom prst="rect">
                      <a:avLst/>
                    </a:prstGeom>
                    <a:noFill/>
                    <a:ln w="9525">
                      <a:noFill/>
                      <a:miter lim="800000"/>
                      <a:headEnd/>
                      <a:tailEnd/>
                    </a:ln>
                  </pic:spPr>
                </pic:pic>
              </a:graphicData>
            </a:graphic>
          </wp:inline>
        </w:drawing>
      </w:r>
    </w:p>
    <w:p w:rsidR="00B52880" w:rsidRDefault="00F67FCF" w:rsidP="00B52880">
      <w:pPr>
        <w:snapToGrid w:val="0"/>
        <w:jc w:val="both"/>
        <w:rPr>
          <w:sz w:val="20"/>
          <w:szCs w:val="20"/>
          <w:lang w:eastAsia="zh-CN"/>
        </w:rPr>
      </w:pPr>
      <w:r w:rsidRPr="00B52880">
        <w:rPr>
          <w:sz w:val="20"/>
          <w:szCs w:val="20"/>
        </w:rPr>
        <w:t xml:space="preserve">Figure 8. </w:t>
      </w:r>
      <w:r w:rsidR="00103E97" w:rsidRPr="00B52880">
        <w:rPr>
          <w:sz w:val="20"/>
          <w:szCs w:val="20"/>
        </w:rPr>
        <w:t>The r</w:t>
      </w:r>
      <w:r w:rsidRPr="00B52880">
        <w:rPr>
          <w:sz w:val="20"/>
          <w:szCs w:val="20"/>
        </w:rPr>
        <w:t>atio</w:t>
      </w:r>
      <w:r w:rsidR="00103E97" w:rsidRPr="00B52880">
        <w:rPr>
          <w:sz w:val="20"/>
          <w:szCs w:val="20"/>
        </w:rPr>
        <w:t xml:space="preserve"> of</w:t>
      </w:r>
      <w:r w:rsidRPr="00B52880">
        <w:rPr>
          <w:sz w:val="20"/>
          <w:szCs w:val="20"/>
        </w:rPr>
        <w:t xml:space="preserve">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against </w:t>
      </w:r>
      <w:r w:rsidR="00103E97" w:rsidRPr="00B52880">
        <w:rPr>
          <w:sz w:val="20"/>
          <w:szCs w:val="20"/>
        </w:rPr>
        <w:t>CT</w:t>
      </w:r>
      <w:r w:rsidRPr="00B52880">
        <w:rPr>
          <w:sz w:val="20"/>
          <w:szCs w:val="20"/>
        </w:rPr>
        <w:t xml:space="preserve"> at different AP values for BU</w:t>
      </w:r>
      <w:r w:rsidR="00103E97" w:rsidRPr="00B52880">
        <w:rPr>
          <w:sz w:val="20"/>
          <w:szCs w:val="20"/>
        </w:rPr>
        <w:t>=</w:t>
      </w:r>
      <w:r w:rsidRPr="00B52880">
        <w:rPr>
          <w:sz w:val="20"/>
          <w:szCs w:val="20"/>
        </w:rPr>
        <w:t xml:space="preserve">50 </w:t>
      </w:r>
      <w:proofErr w:type="spellStart"/>
      <w:r w:rsidRPr="00B52880">
        <w:rPr>
          <w:sz w:val="20"/>
          <w:szCs w:val="20"/>
        </w:rPr>
        <w:t>MWd/t</w:t>
      </w:r>
      <w:r w:rsidR="00103E97" w:rsidRPr="00B52880">
        <w:rPr>
          <w:sz w:val="20"/>
          <w:szCs w:val="20"/>
        </w:rPr>
        <w:t>u</w:t>
      </w:r>
      <w:proofErr w:type="spellEnd"/>
    </w:p>
    <w:p w:rsidR="00B52880" w:rsidRPr="00B52880" w:rsidRDefault="00B52880" w:rsidP="00B52880">
      <w:pPr>
        <w:snapToGrid w:val="0"/>
        <w:jc w:val="both"/>
        <w:rPr>
          <w:sz w:val="20"/>
          <w:szCs w:val="20"/>
          <w:vertAlign w:val="subscript"/>
          <w:lang w:eastAsia="zh-CN"/>
        </w:rPr>
      </w:pPr>
    </w:p>
    <w:p w:rsidR="00F67FCF" w:rsidRPr="00B52880" w:rsidRDefault="00F67FCF" w:rsidP="00B52880">
      <w:pPr>
        <w:snapToGrid w:val="0"/>
        <w:ind w:firstLine="425"/>
        <w:jc w:val="both"/>
        <w:rPr>
          <w:sz w:val="20"/>
          <w:szCs w:val="20"/>
        </w:rPr>
      </w:pPr>
      <w:r w:rsidRPr="00B52880">
        <w:rPr>
          <w:sz w:val="20"/>
          <w:szCs w:val="20"/>
        </w:rPr>
        <w:t xml:space="preserve">The </w:t>
      </w:r>
      <w:r w:rsidRPr="00B52880">
        <w:rPr>
          <w:sz w:val="20"/>
          <w:szCs w:val="20"/>
          <w:vertAlign w:val="superscript"/>
        </w:rPr>
        <w:t>240</w:t>
      </w:r>
      <w:r w:rsidRPr="00B52880">
        <w:rPr>
          <w:sz w:val="20"/>
          <w:szCs w:val="20"/>
        </w:rPr>
        <w:t xml:space="preserve">Pu/ </w:t>
      </w:r>
      <w:r w:rsidRPr="00B52880">
        <w:rPr>
          <w:sz w:val="20"/>
          <w:szCs w:val="20"/>
          <w:vertAlign w:val="superscript"/>
        </w:rPr>
        <w:t>239</w:t>
      </w:r>
      <w:r w:rsidRPr="00B52880">
        <w:rPr>
          <w:sz w:val="20"/>
          <w:szCs w:val="20"/>
        </w:rPr>
        <w:t xml:space="preserve">Pu Ratio represents also an important factor to verify the </w:t>
      </w:r>
      <w:r w:rsidR="00103E97" w:rsidRPr="00B52880">
        <w:rPr>
          <w:sz w:val="20"/>
          <w:szCs w:val="20"/>
        </w:rPr>
        <w:t>BU</w:t>
      </w:r>
      <w:r w:rsidRPr="00B52880">
        <w:rPr>
          <w:sz w:val="20"/>
          <w:szCs w:val="20"/>
        </w:rPr>
        <w:t xml:space="preserve"> values declared by the operator [10]. So, the effect of changing the AP was considered and the results of </w:t>
      </w:r>
      <w:r w:rsidR="00103E97" w:rsidRPr="00B52880">
        <w:rPr>
          <w:sz w:val="20"/>
          <w:szCs w:val="20"/>
        </w:rPr>
        <w:t xml:space="preserve">such </w:t>
      </w:r>
      <w:r w:rsidRPr="00B52880">
        <w:rPr>
          <w:sz w:val="20"/>
          <w:szCs w:val="20"/>
        </w:rPr>
        <w:t>ratio were normalized to that of AP</w:t>
      </w:r>
      <w:r w:rsidR="00103E97" w:rsidRPr="00B52880">
        <w:rPr>
          <w:sz w:val="20"/>
          <w:szCs w:val="20"/>
        </w:rPr>
        <w:t>=</w:t>
      </w:r>
      <w:r w:rsidRPr="00B52880">
        <w:rPr>
          <w:sz w:val="20"/>
          <w:szCs w:val="20"/>
        </w:rPr>
        <w:t>40 MW/</w:t>
      </w:r>
      <w:proofErr w:type="spellStart"/>
      <w:r w:rsidRPr="00B52880">
        <w:rPr>
          <w:sz w:val="20"/>
          <w:szCs w:val="20"/>
        </w:rPr>
        <w:t>t</w:t>
      </w:r>
      <w:r w:rsidR="00103E97" w:rsidRPr="00B52880">
        <w:rPr>
          <w:sz w:val="20"/>
          <w:szCs w:val="20"/>
        </w:rPr>
        <w:t>u</w:t>
      </w:r>
      <w:proofErr w:type="spellEnd"/>
      <w:r w:rsidRPr="00B52880">
        <w:rPr>
          <w:sz w:val="20"/>
          <w:szCs w:val="20"/>
        </w:rPr>
        <w:t xml:space="preserve"> which is the international standard operati</w:t>
      </w:r>
      <w:r w:rsidR="00696985" w:rsidRPr="00B52880">
        <w:rPr>
          <w:sz w:val="20"/>
          <w:szCs w:val="20"/>
        </w:rPr>
        <w:t>o</w:t>
      </w:r>
      <w:r w:rsidRPr="00B52880">
        <w:rPr>
          <w:sz w:val="20"/>
          <w:szCs w:val="20"/>
        </w:rPr>
        <w:t xml:space="preserve">n </w:t>
      </w:r>
      <w:r w:rsidR="00103E97" w:rsidRPr="00B52880">
        <w:rPr>
          <w:sz w:val="20"/>
          <w:szCs w:val="20"/>
        </w:rPr>
        <w:t xml:space="preserve">of </w:t>
      </w:r>
      <w:r w:rsidRPr="00B52880">
        <w:rPr>
          <w:sz w:val="20"/>
          <w:szCs w:val="20"/>
        </w:rPr>
        <w:t>PWR [8].</w:t>
      </w:r>
    </w:p>
    <w:p w:rsidR="00F67FCF" w:rsidRPr="00B52880" w:rsidRDefault="00F67FCF" w:rsidP="00B52880">
      <w:pPr>
        <w:snapToGrid w:val="0"/>
        <w:ind w:firstLine="425"/>
        <w:jc w:val="both"/>
        <w:rPr>
          <w:sz w:val="20"/>
          <w:szCs w:val="20"/>
        </w:rPr>
      </w:pPr>
      <w:r w:rsidRPr="00B52880">
        <w:rPr>
          <w:sz w:val="20"/>
          <w:szCs w:val="20"/>
        </w:rPr>
        <w:t xml:space="preserve">Figures (9, 10) show that there is almost no significant change in the </w:t>
      </w:r>
      <w:r w:rsidRPr="00B52880">
        <w:rPr>
          <w:sz w:val="20"/>
          <w:szCs w:val="20"/>
          <w:vertAlign w:val="superscript"/>
        </w:rPr>
        <w:t>240</w:t>
      </w:r>
      <w:r w:rsidRPr="00B52880">
        <w:rPr>
          <w:sz w:val="20"/>
          <w:szCs w:val="20"/>
        </w:rPr>
        <w:t xml:space="preserve">Pu/ </w:t>
      </w:r>
      <w:r w:rsidRPr="00B52880">
        <w:rPr>
          <w:sz w:val="20"/>
          <w:szCs w:val="20"/>
          <w:vertAlign w:val="superscript"/>
        </w:rPr>
        <w:t>239</w:t>
      </w:r>
      <w:r w:rsidRPr="00B52880">
        <w:rPr>
          <w:sz w:val="20"/>
          <w:szCs w:val="20"/>
        </w:rPr>
        <w:t xml:space="preserve">Pu </w:t>
      </w:r>
      <w:r w:rsidR="00103E97" w:rsidRPr="00B52880">
        <w:rPr>
          <w:sz w:val="20"/>
          <w:szCs w:val="20"/>
        </w:rPr>
        <w:t>r</w:t>
      </w:r>
      <w:r w:rsidRPr="00B52880">
        <w:rPr>
          <w:sz w:val="20"/>
          <w:szCs w:val="20"/>
        </w:rPr>
        <w:t>atio at different AP values and at the same BU value.</w:t>
      </w:r>
      <w:r w:rsidR="00455C6B">
        <w:rPr>
          <w:sz w:val="20"/>
          <w:szCs w:val="20"/>
        </w:rPr>
        <w:t xml:space="preserve"> </w:t>
      </w:r>
      <w:r w:rsidRPr="00B52880">
        <w:rPr>
          <w:sz w:val="20"/>
          <w:szCs w:val="20"/>
        </w:rPr>
        <w:t xml:space="preserve">For the </w:t>
      </w:r>
      <w:r w:rsidRPr="00B52880">
        <w:rPr>
          <w:sz w:val="20"/>
          <w:szCs w:val="20"/>
          <w:vertAlign w:val="superscript"/>
        </w:rPr>
        <w:t>240</w:t>
      </w:r>
      <w:r w:rsidRPr="00B52880">
        <w:rPr>
          <w:sz w:val="20"/>
          <w:szCs w:val="20"/>
        </w:rPr>
        <w:t xml:space="preserve">Pu / </w:t>
      </w:r>
      <w:r w:rsidRPr="00B52880">
        <w:rPr>
          <w:sz w:val="20"/>
          <w:szCs w:val="20"/>
          <w:vertAlign w:val="superscript"/>
        </w:rPr>
        <w:t>239</w:t>
      </w:r>
      <w:r w:rsidRPr="00B52880">
        <w:rPr>
          <w:sz w:val="20"/>
          <w:szCs w:val="20"/>
        </w:rPr>
        <w:t xml:space="preserve">Pu ratio, since </w:t>
      </w:r>
      <w:r w:rsidRPr="00B52880">
        <w:rPr>
          <w:sz w:val="20"/>
          <w:szCs w:val="20"/>
          <w:vertAlign w:val="superscript"/>
        </w:rPr>
        <w:t>240</w:t>
      </w:r>
      <w:r w:rsidRPr="00B52880">
        <w:rPr>
          <w:sz w:val="20"/>
          <w:szCs w:val="20"/>
        </w:rPr>
        <w:t xml:space="preserve">Pu comes directly from </w:t>
      </w:r>
      <w:r w:rsidRPr="00B52880">
        <w:rPr>
          <w:sz w:val="20"/>
          <w:szCs w:val="20"/>
          <w:vertAlign w:val="superscript"/>
        </w:rPr>
        <w:t>239</w:t>
      </w:r>
      <w:r w:rsidRPr="00B52880">
        <w:rPr>
          <w:sz w:val="20"/>
          <w:szCs w:val="20"/>
        </w:rPr>
        <w:t xml:space="preserve">Pu [11] and as described before that </w:t>
      </w:r>
      <w:r w:rsidRPr="00B52880">
        <w:rPr>
          <w:sz w:val="20"/>
          <w:szCs w:val="20"/>
          <w:vertAlign w:val="superscript"/>
        </w:rPr>
        <w:t>239</w:t>
      </w:r>
      <w:r w:rsidRPr="00B52880">
        <w:rPr>
          <w:sz w:val="20"/>
          <w:szCs w:val="20"/>
        </w:rPr>
        <w:t xml:space="preserve">Pu is slightly affected by AP change so the </w:t>
      </w:r>
      <w:r w:rsidRPr="00B52880">
        <w:rPr>
          <w:sz w:val="20"/>
          <w:szCs w:val="20"/>
          <w:vertAlign w:val="superscript"/>
        </w:rPr>
        <w:t>240</w:t>
      </w:r>
      <w:r w:rsidRPr="00B52880">
        <w:rPr>
          <w:sz w:val="20"/>
          <w:szCs w:val="20"/>
        </w:rPr>
        <w:t xml:space="preserve">Pu / </w:t>
      </w:r>
      <w:r w:rsidRPr="00B52880">
        <w:rPr>
          <w:sz w:val="20"/>
          <w:szCs w:val="20"/>
          <w:vertAlign w:val="superscript"/>
        </w:rPr>
        <w:t>239</w:t>
      </w:r>
      <w:r w:rsidRPr="00B52880">
        <w:rPr>
          <w:sz w:val="20"/>
          <w:szCs w:val="20"/>
        </w:rPr>
        <w:t xml:space="preserve">Pu ratio has no slightly change and the Table of results is shown in </w:t>
      </w:r>
      <w:r w:rsidR="00CA7ACD" w:rsidRPr="00B52880">
        <w:rPr>
          <w:sz w:val="20"/>
          <w:szCs w:val="20"/>
        </w:rPr>
        <w:t>Appendix</w:t>
      </w:r>
      <w:r w:rsidRPr="00B52880">
        <w:rPr>
          <w:sz w:val="20"/>
          <w:szCs w:val="20"/>
        </w:rPr>
        <w:t xml:space="preserve"> (1).</w:t>
      </w:r>
    </w:p>
    <w:p w:rsidR="00B52880" w:rsidRDefault="00F67FCF" w:rsidP="00B52880">
      <w:pPr>
        <w:snapToGrid w:val="0"/>
        <w:ind w:firstLine="425"/>
        <w:jc w:val="both"/>
        <w:rPr>
          <w:sz w:val="20"/>
          <w:szCs w:val="20"/>
          <w:lang w:eastAsia="zh-CN"/>
        </w:rPr>
      </w:pPr>
      <w:r w:rsidRPr="00B52880">
        <w:rPr>
          <w:sz w:val="20"/>
          <w:szCs w:val="20"/>
        </w:rPr>
        <w:t xml:space="preserve">The </w:t>
      </w:r>
      <w:r w:rsidRPr="00B52880">
        <w:rPr>
          <w:sz w:val="20"/>
          <w:szCs w:val="20"/>
          <w:vertAlign w:val="superscript"/>
        </w:rPr>
        <w:t>241</w:t>
      </w:r>
      <w:r w:rsidRPr="00B52880">
        <w:rPr>
          <w:sz w:val="20"/>
          <w:szCs w:val="20"/>
        </w:rPr>
        <w:t xml:space="preserve">Pu / </w:t>
      </w:r>
      <w:r w:rsidRPr="00B52880">
        <w:rPr>
          <w:sz w:val="20"/>
          <w:szCs w:val="20"/>
          <w:vertAlign w:val="superscript"/>
        </w:rPr>
        <w:t>239</w:t>
      </w:r>
      <w:r w:rsidRPr="00B52880">
        <w:rPr>
          <w:sz w:val="20"/>
          <w:szCs w:val="20"/>
        </w:rPr>
        <w:t xml:space="preserve">Pu ratio represents an important factor </w:t>
      </w:r>
      <w:r w:rsidR="00696985" w:rsidRPr="00B52880">
        <w:rPr>
          <w:sz w:val="20"/>
          <w:szCs w:val="20"/>
        </w:rPr>
        <w:t xml:space="preserve">also </w:t>
      </w:r>
      <w:r w:rsidRPr="00B52880">
        <w:rPr>
          <w:sz w:val="20"/>
          <w:szCs w:val="20"/>
        </w:rPr>
        <w:t>in the forensics of a nuclear activity [3, 10]. So, the effect of changing the AP on this ratio was considered and the results of such ratios were normalized to that of AP</w:t>
      </w:r>
      <w:r w:rsidR="00696985" w:rsidRPr="00B52880">
        <w:rPr>
          <w:sz w:val="20"/>
          <w:szCs w:val="20"/>
        </w:rPr>
        <w:t>=</w:t>
      </w:r>
      <w:r w:rsidRPr="00B52880">
        <w:rPr>
          <w:sz w:val="20"/>
          <w:szCs w:val="20"/>
        </w:rPr>
        <w:t>40 MW/</w:t>
      </w:r>
      <w:proofErr w:type="spellStart"/>
      <w:r w:rsidRPr="00B52880">
        <w:rPr>
          <w:sz w:val="20"/>
          <w:szCs w:val="20"/>
        </w:rPr>
        <w:t>t</w:t>
      </w:r>
      <w:r w:rsidR="00696985" w:rsidRPr="00B52880">
        <w:rPr>
          <w:sz w:val="20"/>
          <w:szCs w:val="20"/>
        </w:rPr>
        <w:t>u</w:t>
      </w:r>
      <w:proofErr w:type="spellEnd"/>
      <w:r w:rsidRPr="00B52880">
        <w:rPr>
          <w:sz w:val="20"/>
          <w:szCs w:val="20"/>
        </w:rPr>
        <w:t xml:space="preserve"> which is the international standard operati</w:t>
      </w:r>
      <w:r w:rsidR="00696985" w:rsidRPr="00B52880">
        <w:rPr>
          <w:sz w:val="20"/>
          <w:szCs w:val="20"/>
        </w:rPr>
        <w:t>on of</w:t>
      </w:r>
      <w:r w:rsidRPr="00B52880">
        <w:rPr>
          <w:sz w:val="20"/>
          <w:szCs w:val="20"/>
        </w:rPr>
        <w:t xml:space="preserve"> PWR [8].</w:t>
      </w:r>
    </w:p>
    <w:p w:rsidR="00D55A19" w:rsidRDefault="00D55A19" w:rsidP="00B7101B">
      <w:pPr>
        <w:snapToGrid w:val="0"/>
        <w:jc w:val="both"/>
        <w:rPr>
          <w:sz w:val="20"/>
          <w:szCs w:val="20"/>
          <w:lang w:eastAsia="zh-CN"/>
        </w:rPr>
      </w:pPr>
    </w:p>
    <w:p w:rsidR="00B52880" w:rsidRDefault="00455C6B" w:rsidP="00B52880">
      <w:pPr>
        <w:snapToGrid w:val="0"/>
        <w:jc w:val="center"/>
        <w:rPr>
          <w:sz w:val="20"/>
          <w:szCs w:val="20"/>
        </w:rPr>
      </w:pPr>
      <w:r>
        <w:rPr>
          <w:noProof/>
          <w:sz w:val="20"/>
          <w:lang w:eastAsia="zh-CN"/>
        </w:rPr>
        <w:drawing>
          <wp:inline distT="0" distB="0" distL="0" distR="0">
            <wp:extent cx="2774950" cy="2258060"/>
            <wp:effectExtent l="1905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774950" cy="2258060"/>
                    </a:xfrm>
                    <a:prstGeom prst="rect">
                      <a:avLst/>
                    </a:prstGeom>
                    <a:noFill/>
                    <a:ln w="9525">
                      <a:noFill/>
                      <a:miter lim="800000"/>
                      <a:headEnd/>
                      <a:tailEnd/>
                    </a:ln>
                  </pic:spPr>
                </pic:pic>
              </a:graphicData>
            </a:graphic>
          </wp:inline>
        </w:drawing>
      </w:r>
    </w:p>
    <w:p w:rsidR="00F67FCF" w:rsidRDefault="00F67FCF" w:rsidP="00B52880">
      <w:pPr>
        <w:snapToGrid w:val="0"/>
        <w:jc w:val="both"/>
        <w:rPr>
          <w:sz w:val="20"/>
          <w:szCs w:val="20"/>
          <w:lang w:eastAsia="zh-CN"/>
        </w:rPr>
      </w:pPr>
      <w:r w:rsidRPr="00B52880">
        <w:rPr>
          <w:sz w:val="20"/>
          <w:szCs w:val="20"/>
        </w:rPr>
        <w:t xml:space="preserve">Figure 9. </w:t>
      </w:r>
      <w:r w:rsidR="00165709" w:rsidRPr="00B52880">
        <w:rPr>
          <w:sz w:val="20"/>
          <w:szCs w:val="20"/>
        </w:rPr>
        <w:t>The r</w:t>
      </w:r>
      <w:r w:rsidRPr="00B52880">
        <w:rPr>
          <w:sz w:val="20"/>
          <w:szCs w:val="20"/>
        </w:rPr>
        <w:t>atio</w:t>
      </w:r>
      <w:r w:rsidR="00165709" w:rsidRPr="00B52880">
        <w:rPr>
          <w:sz w:val="20"/>
          <w:szCs w:val="20"/>
        </w:rPr>
        <w:t xml:space="preserve"> of</w:t>
      </w:r>
      <w:r w:rsidRPr="00B52880">
        <w:rPr>
          <w:sz w:val="20"/>
          <w:szCs w:val="20"/>
        </w:rPr>
        <w:t xml:space="preserve"> </w:t>
      </w:r>
      <w:r w:rsidRPr="00B52880">
        <w:rPr>
          <w:sz w:val="20"/>
          <w:szCs w:val="20"/>
          <w:vertAlign w:val="superscript"/>
        </w:rPr>
        <w:t>240</w:t>
      </w:r>
      <w:r w:rsidRPr="00B52880">
        <w:rPr>
          <w:sz w:val="20"/>
          <w:szCs w:val="20"/>
        </w:rPr>
        <w:t xml:space="preserve">Pu/ </w:t>
      </w:r>
      <w:r w:rsidRPr="00B52880">
        <w:rPr>
          <w:sz w:val="20"/>
          <w:szCs w:val="20"/>
          <w:vertAlign w:val="superscript"/>
        </w:rPr>
        <w:t>239</w:t>
      </w:r>
      <w:r w:rsidRPr="00B52880">
        <w:rPr>
          <w:sz w:val="20"/>
          <w:szCs w:val="20"/>
        </w:rPr>
        <w:t xml:space="preserve">Pu against </w:t>
      </w:r>
      <w:r w:rsidR="00165709" w:rsidRPr="00B52880">
        <w:rPr>
          <w:sz w:val="20"/>
          <w:szCs w:val="20"/>
        </w:rPr>
        <w:t>CT</w:t>
      </w:r>
      <w:r w:rsidRPr="00B52880">
        <w:rPr>
          <w:sz w:val="20"/>
          <w:szCs w:val="20"/>
        </w:rPr>
        <w:t xml:space="preserve"> at different AP values for BU</w:t>
      </w:r>
      <w:r w:rsidR="00165709" w:rsidRPr="00B52880">
        <w:rPr>
          <w:sz w:val="20"/>
          <w:szCs w:val="20"/>
        </w:rPr>
        <w:t>=</w:t>
      </w:r>
      <w:r w:rsidRPr="00B52880">
        <w:rPr>
          <w:sz w:val="20"/>
          <w:szCs w:val="20"/>
        </w:rPr>
        <w:t xml:space="preserve">10 </w:t>
      </w:r>
      <w:proofErr w:type="spellStart"/>
      <w:r w:rsidRPr="00B52880">
        <w:rPr>
          <w:sz w:val="20"/>
          <w:szCs w:val="20"/>
        </w:rPr>
        <w:t>MWd/t</w:t>
      </w:r>
      <w:r w:rsidR="00165709" w:rsidRPr="00B52880">
        <w:rPr>
          <w:sz w:val="20"/>
          <w:szCs w:val="20"/>
        </w:rPr>
        <w:t>u</w:t>
      </w:r>
      <w:proofErr w:type="spellEnd"/>
    </w:p>
    <w:p w:rsidR="00B52880" w:rsidRPr="00B52880" w:rsidRDefault="00B52880" w:rsidP="00B52880">
      <w:pPr>
        <w:snapToGrid w:val="0"/>
        <w:jc w:val="both"/>
        <w:rPr>
          <w:sz w:val="20"/>
          <w:szCs w:val="20"/>
          <w:vertAlign w:val="subscript"/>
          <w:lang w:eastAsia="zh-CN"/>
        </w:rPr>
      </w:pPr>
    </w:p>
    <w:p w:rsidR="00B52880" w:rsidRDefault="00455C6B" w:rsidP="00B52880">
      <w:pPr>
        <w:snapToGrid w:val="0"/>
        <w:jc w:val="center"/>
        <w:rPr>
          <w:sz w:val="20"/>
          <w:szCs w:val="20"/>
        </w:rPr>
      </w:pPr>
      <w:r>
        <w:rPr>
          <w:noProof/>
          <w:sz w:val="20"/>
          <w:lang w:eastAsia="zh-CN"/>
        </w:rPr>
        <w:drawing>
          <wp:inline distT="0" distB="0" distL="0" distR="0">
            <wp:extent cx="2790825" cy="238569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2790825" cy="2385695"/>
                    </a:xfrm>
                    <a:prstGeom prst="rect">
                      <a:avLst/>
                    </a:prstGeom>
                    <a:noFill/>
                    <a:ln w="9525">
                      <a:noFill/>
                      <a:miter lim="800000"/>
                      <a:headEnd/>
                      <a:tailEnd/>
                    </a:ln>
                  </pic:spPr>
                </pic:pic>
              </a:graphicData>
            </a:graphic>
          </wp:inline>
        </w:drawing>
      </w:r>
    </w:p>
    <w:p w:rsidR="00B52880" w:rsidRDefault="00F91F47" w:rsidP="00B52880">
      <w:pPr>
        <w:snapToGrid w:val="0"/>
        <w:jc w:val="both"/>
        <w:rPr>
          <w:sz w:val="20"/>
          <w:szCs w:val="20"/>
          <w:lang w:eastAsia="zh-CN"/>
        </w:rPr>
      </w:pPr>
      <w:r w:rsidRPr="00B52880">
        <w:rPr>
          <w:sz w:val="20"/>
          <w:szCs w:val="20"/>
        </w:rPr>
        <w:t xml:space="preserve">Figure 10. </w:t>
      </w:r>
      <w:r w:rsidR="00165709" w:rsidRPr="00B52880">
        <w:rPr>
          <w:sz w:val="20"/>
          <w:szCs w:val="20"/>
        </w:rPr>
        <w:t>The r</w:t>
      </w:r>
      <w:r w:rsidRPr="00B52880">
        <w:rPr>
          <w:sz w:val="20"/>
          <w:szCs w:val="20"/>
        </w:rPr>
        <w:t>atio</w:t>
      </w:r>
      <w:r w:rsidR="00165709" w:rsidRPr="00B52880">
        <w:rPr>
          <w:sz w:val="20"/>
          <w:szCs w:val="20"/>
        </w:rPr>
        <w:t xml:space="preserve"> of</w:t>
      </w:r>
      <w:r w:rsidRPr="00B52880">
        <w:rPr>
          <w:sz w:val="20"/>
          <w:szCs w:val="20"/>
        </w:rPr>
        <w:t xml:space="preserve"> </w:t>
      </w:r>
      <w:r w:rsidRPr="00B52880">
        <w:rPr>
          <w:sz w:val="20"/>
          <w:szCs w:val="20"/>
          <w:vertAlign w:val="superscript"/>
        </w:rPr>
        <w:t>240</w:t>
      </w:r>
      <w:r w:rsidRPr="00B52880">
        <w:rPr>
          <w:sz w:val="20"/>
          <w:szCs w:val="20"/>
        </w:rPr>
        <w:t xml:space="preserve">Pu/ </w:t>
      </w:r>
      <w:r w:rsidRPr="00B52880">
        <w:rPr>
          <w:sz w:val="20"/>
          <w:szCs w:val="20"/>
          <w:vertAlign w:val="superscript"/>
        </w:rPr>
        <w:t>239</w:t>
      </w:r>
      <w:r w:rsidRPr="00B52880">
        <w:rPr>
          <w:sz w:val="20"/>
          <w:szCs w:val="20"/>
        </w:rPr>
        <w:t xml:space="preserve">Pu against </w:t>
      </w:r>
      <w:r w:rsidR="00165709" w:rsidRPr="00B52880">
        <w:rPr>
          <w:sz w:val="20"/>
          <w:szCs w:val="20"/>
        </w:rPr>
        <w:t xml:space="preserve">CT </w:t>
      </w:r>
      <w:r w:rsidRPr="00B52880">
        <w:rPr>
          <w:sz w:val="20"/>
          <w:szCs w:val="20"/>
        </w:rPr>
        <w:t>at different AP values for BU</w:t>
      </w:r>
      <w:r w:rsidR="00165709" w:rsidRPr="00B52880">
        <w:rPr>
          <w:sz w:val="20"/>
          <w:szCs w:val="20"/>
        </w:rPr>
        <w:t>=</w:t>
      </w:r>
      <w:r w:rsidRPr="00B52880">
        <w:rPr>
          <w:sz w:val="20"/>
          <w:szCs w:val="20"/>
        </w:rPr>
        <w:t xml:space="preserve">50 </w:t>
      </w:r>
      <w:proofErr w:type="spellStart"/>
      <w:r w:rsidRPr="00B52880">
        <w:rPr>
          <w:sz w:val="20"/>
          <w:szCs w:val="20"/>
        </w:rPr>
        <w:t>MWd/t</w:t>
      </w:r>
      <w:r w:rsidR="00165709" w:rsidRPr="00B52880">
        <w:rPr>
          <w:sz w:val="20"/>
          <w:szCs w:val="20"/>
        </w:rPr>
        <w:t>u</w:t>
      </w:r>
      <w:proofErr w:type="spellEnd"/>
    </w:p>
    <w:p w:rsidR="00B52880" w:rsidRDefault="00B52880" w:rsidP="00B52880">
      <w:pPr>
        <w:snapToGrid w:val="0"/>
        <w:jc w:val="both"/>
        <w:rPr>
          <w:sz w:val="20"/>
          <w:szCs w:val="20"/>
          <w:lang w:eastAsia="zh-CN"/>
        </w:rPr>
      </w:pPr>
    </w:p>
    <w:p w:rsidR="00D55A19" w:rsidRDefault="00D55A19" w:rsidP="00B52880">
      <w:pPr>
        <w:snapToGrid w:val="0"/>
        <w:jc w:val="both"/>
        <w:rPr>
          <w:sz w:val="20"/>
          <w:szCs w:val="20"/>
          <w:lang w:eastAsia="zh-CN"/>
        </w:rPr>
      </w:pPr>
    </w:p>
    <w:p w:rsidR="00D55A19" w:rsidRPr="00B52880" w:rsidRDefault="00D55A19" w:rsidP="00B52880">
      <w:pPr>
        <w:snapToGrid w:val="0"/>
        <w:jc w:val="both"/>
        <w:rPr>
          <w:sz w:val="20"/>
          <w:szCs w:val="20"/>
          <w:lang w:eastAsia="zh-CN"/>
        </w:rPr>
      </w:pPr>
    </w:p>
    <w:p w:rsidR="00F67FCF" w:rsidRPr="00B52880" w:rsidRDefault="00F91F47" w:rsidP="00B52880">
      <w:pPr>
        <w:snapToGrid w:val="0"/>
        <w:ind w:firstLine="425"/>
        <w:jc w:val="both"/>
        <w:rPr>
          <w:sz w:val="20"/>
          <w:szCs w:val="20"/>
          <w:vertAlign w:val="subscript"/>
        </w:rPr>
      </w:pPr>
      <w:r w:rsidRPr="00B52880">
        <w:rPr>
          <w:sz w:val="20"/>
          <w:szCs w:val="20"/>
        </w:rPr>
        <w:t>Figure</w:t>
      </w:r>
      <w:r w:rsidR="00F67FCF" w:rsidRPr="00B52880">
        <w:rPr>
          <w:sz w:val="20"/>
          <w:szCs w:val="20"/>
        </w:rPr>
        <w:t>s (</w:t>
      </w:r>
      <w:r w:rsidRPr="00B52880">
        <w:rPr>
          <w:sz w:val="20"/>
          <w:szCs w:val="20"/>
        </w:rPr>
        <w:t>11</w:t>
      </w:r>
      <w:r w:rsidR="00F67FCF" w:rsidRPr="00B52880">
        <w:rPr>
          <w:sz w:val="20"/>
          <w:szCs w:val="20"/>
        </w:rPr>
        <w:t xml:space="preserve">, </w:t>
      </w:r>
      <w:r w:rsidRPr="00B52880">
        <w:rPr>
          <w:sz w:val="20"/>
          <w:szCs w:val="20"/>
        </w:rPr>
        <w:t>12</w:t>
      </w:r>
      <w:r w:rsidR="00F67FCF" w:rsidRPr="00B52880">
        <w:rPr>
          <w:sz w:val="20"/>
          <w:szCs w:val="20"/>
        </w:rPr>
        <w:t>) show</w:t>
      </w:r>
      <w:r w:rsidR="00455C6B">
        <w:rPr>
          <w:sz w:val="20"/>
          <w:szCs w:val="20"/>
        </w:rPr>
        <w:t xml:space="preserve"> </w:t>
      </w:r>
      <w:r w:rsidR="00F67FCF" w:rsidRPr="00B52880">
        <w:rPr>
          <w:sz w:val="20"/>
          <w:szCs w:val="20"/>
        </w:rPr>
        <w:t xml:space="preserve">that for low BU value there is almost no significant change in the Ratio </w:t>
      </w:r>
      <w:r w:rsidR="00F67FCF" w:rsidRPr="00B52880">
        <w:rPr>
          <w:sz w:val="20"/>
          <w:szCs w:val="20"/>
          <w:vertAlign w:val="superscript"/>
        </w:rPr>
        <w:t>241</w:t>
      </w:r>
      <w:r w:rsidR="00F67FCF" w:rsidRPr="00B52880">
        <w:rPr>
          <w:sz w:val="20"/>
          <w:szCs w:val="20"/>
        </w:rPr>
        <w:t xml:space="preserve">Pu/ </w:t>
      </w:r>
      <w:r w:rsidR="00F67FCF" w:rsidRPr="00B52880">
        <w:rPr>
          <w:sz w:val="20"/>
          <w:szCs w:val="20"/>
          <w:vertAlign w:val="superscript"/>
        </w:rPr>
        <w:t>239</w:t>
      </w:r>
      <w:r w:rsidR="00F67FCF" w:rsidRPr="00B52880">
        <w:rPr>
          <w:sz w:val="20"/>
          <w:szCs w:val="20"/>
        </w:rPr>
        <w:t>Pu, at low AP value</w:t>
      </w:r>
      <w:r w:rsidR="00F6303F" w:rsidRPr="00B52880">
        <w:rPr>
          <w:sz w:val="20"/>
          <w:szCs w:val="20"/>
        </w:rPr>
        <w:t xml:space="preserve"> (around 3%) and</w:t>
      </w:r>
      <w:r w:rsidR="00F67FCF" w:rsidRPr="00B52880">
        <w:rPr>
          <w:sz w:val="20"/>
          <w:szCs w:val="20"/>
        </w:rPr>
        <w:t xml:space="preserve"> </w:t>
      </w:r>
      <w:r w:rsidR="00F6303F" w:rsidRPr="00B52880">
        <w:rPr>
          <w:sz w:val="20"/>
          <w:szCs w:val="20"/>
        </w:rPr>
        <w:t xml:space="preserve">at BU=10 </w:t>
      </w:r>
      <w:proofErr w:type="spellStart"/>
      <w:r w:rsidR="00F6303F" w:rsidRPr="00B52880">
        <w:rPr>
          <w:sz w:val="20"/>
          <w:szCs w:val="20"/>
        </w:rPr>
        <w:t>MWd/tu</w:t>
      </w:r>
      <w:proofErr w:type="spellEnd"/>
      <w:r w:rsidR="00F6303F" w:rsidRPr="00B52880">
        <w:rPr>
          <w:sz w:val="20"/>
          <w:szCs w:val="20"/>
        </w:rPr>
        <w:t xml:space="preserve">, while </w:t>
      </w:r>
      <w:r w:rsidR="00F67FCF" w:rsidRPr="00B52880">
        <w:rPr>
          <w:sz w:val="20"/>
          <w:szCs w:val="20"/>
        </w:rPr>
        <w:t>at higher AP value and it increases</w:t>
      </w:r>
      <w:r w:rsidR="00455C6B">
        <w:rPr>
          <w:sz w:val="20"/>
          <w:szCs w:val="20"/>
        </w:rPr>
        <w:t xml:space="preserve"> </w:t>
      </w:r>
      <w:r w:rsidR="00F67FCF" w:rsidRPr="00B52880">
        <w:rPr>
          <w:sz w:val="20"/>
          <w:szCs w:val="20"/>
        </w:rPr>
        <w:t>to</w:t>
      </w:r>
      <w:r w:rsidR="00455C6B">
        <w:rPr>
          <w:sz w:val="20"/>
          <w:szCs w:val="20"/>
        </w:rPr>
        <w:t xml:space="preserve"> </w:t>
      </w:r>
      <w:r w:rsidR="00F67FCF" w:rsidRPr="00B52880">
        <w:rPr>
          <w:sz w:val="20"/>
          <w:szCs w:val="20"/>
        </w:rPr>
        <w:t>5% at BU</w:t>
      </w:r>
      <w:r w:rsidR="00F6303F" w:rsidRPr="00B52880">
        <w:rPr>
          <w:sz w:val="20"/>
          <w:szCs w:val="20"/>
        </w:rPr>
        <w:t>=</w:t>
      </w:r>
      <w:r w:rsidR="00F67FCF" w:rsidRPr="00B52880">
        <w:rPr>
          <w:sz w:val="20"/>
          <w:szCs w:val="20"/>
        </w:rPr>
        <w:t xml:space="preserve">20 </w:t>
      </w:r>
      <w:proofErr w:type="spellStart"/>
      <w:r w:rsidR="00F67FCF" w:rsidRPr="00B52880">
        <w:rPr>
          <w:sz w:val="20"/>
          <w:szCs w:val="20"/>
        </w:rPr>
        <w:t>MWd/t</w:t>
      </w:r>
      <w:r w:rsidR="00F6303F" w:rsidRPr="00B52880">
        <w:rPr>
          <w:sz w:val="20"/>
          <w:szCs w:val="20"/>
        </w:rPr>
        <w:t>u</w:t>
      </w:r>
      <w:proofErr w:type="spellEnd"/>
      <w:r w:rsidR="00C60BD1" w:rsidRPr="00B52880">
        <w:rPr>
          <w:sz w:val="20"/>
          <w:szCs w:val="20"/>
          <w:vertAlign w:val="subscript"/>
        </w:rPr>
        <w:t>.</w:t>
      </w:r>
    </w:p>
    <w:p w:rsidR="00C60BD1" w:rsidRPr="00B52880" w:rsidRDefault="00C60BD1" w:rsidP="00B52880">
      <w:pPr>
        <w:snapToGrid w:val="0"/>
        <w:ind w:firstLine="425"/>
        <w:jc w:val="both"/>
        <w:rPr>
          <w:sz w:val="20"/>
          <w:szCs w:val="20"/>
        </w:rPr>
      </w:pPr>
      <w:r w:rsidRPr="00B52880">
        <w:rPr>
          <w:sz w:val="20"/>
          <w:szCs w:val="20"/>
        </w:rPr>
        <w:t xml:space="preserve">Figures (13, 14) show that for high BU values there are almost small change in the </w:t>
      </w:r>
      <w:r w:rsidRPr="00B52880">
        <w:rPr>
          <w:sz w:val="20"/>
          <w:szCs w:val="20"/>
          <w:vertAlign w:val="superscript"/>
        </w:rPr>
        <w:t>241</w:t>
      </w:r>
      <w:r w:rsidRPr="00B52880">
        <w:rPr>
          <w:sz w:val="20"/>
          <w:szCs w:val="20"/>
        </w:rPr>
        <w:t xml:space="preserve">Pu/ </w:t>
      </w:r>
      <w:r w:rsidRPr="00B52880">
        <w:rPr>
          <w:sz w:val="20"/>
          <w:szCs w:val="20"/>
          <w:vertAlign w:val="superscript"/>
        </w:rPr>
        <w:t>239</w:t>
      </w:r>
      <w:r w:rsidRPr="00B52880">
        <w:rPr>
          <w:sz w:val="20"/>
          <w:szCs w:val="20"/>
        </w:rPr>
        <w:t xml:space="preserve">Pu </w:t>
      </w:r>
      <w:r w:rsidR="00F6303F" w:rsidRPr="00B52880">
        <w:rPr>
          <w:sz w:val="20"/>
          <w:szCs w:val="20"/>
        </w:rPr>
        <w:t>r</w:t>
      </w:r>
      <w:r w:rsidRPr="00B52880">
        <w:rPr>
          <w:sz w:val="20"/>
          <w:szCs w:val="20"/>
        </w:rPr>
        <w:t xml:space="preserve">atio at low and high AP values </w:t>
      </w:r>
      <w:r w:rsidR="00F6303F" w:rsidRPr="00B52880">
        <w:rPr>
          <w:sz w:val="20"/>
          <w:szCs w:val="20"/>
        </w:rPr>
        <w:t>(from</w:t>
      </w:r>
      <w:r w:rsidRPr="00B52880">
        <w:rPr>
          <w:sz w:val="20"/>
          <w:szCs w:val="20"/>
        </w:rPr>
        <w:t xml:space="preserve"> 1.5% to 2%</w:t>
      </w:r>
      <w:r w:rsidR="00F6303F" w:rsidRPr="00B52880">
        <w:rPr>
          <w:sz w:val="20"/>
          <w:szCs w:val="20"/>
        </w:rPr>
        <w:t>)</w:t>
      </w:r>
      <w:r w:rsidRPr="00B52880">
        <w:rPr>
          <w:sz w:val="20"/>
          <w:szCs w:val="20"/>
        </w:rPr>
        <w:t>.</w:t>
      </w:r>
    </w:p>
    <w:p w:rsidR="00B52880" w:rsidRDefault="00455C6B" w:rsidP="00B52880">
      <w:pPr>
        <w:snapToGrid w:val="0"/>
        <w:jc w:val="center"/>
        <w:rPr>
          <w:sz w:val="20"/>
          <w:szCs w:val="20"/>
        </w:rPr>
      </w:pPr>
      <w:r>
        <w:rPr>
          <w:noProof/>
          <w:sz w:val="20"/>
          <w:lang w:eastAsia="zh-CN"/>
        </w:rPr>
        <w:lastRenderedPageBreak/>
        <w:drawing>
          <wp:inline distT="0" distB="0" distL="0" distR="0">
            <wp:extent cx="2790825" cy="2226310"/>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2790825" cy="2226310"/>
                    </a:xfrm>
                    <a:prstGeom prst="rect">
                      <a:avLst/>
                    </a:prstGeom>
                    <a:noFill/>
                    <a:ln w="9525">
                      <a:noFill/>
                      <a:miter lim="800000"/>
                      <a:headEnd/>
                      <a:tailEnd/>
                    </a:ln>
                  </pic:spPr>
                </pic:pic>
              </a:graphicData>
            </a:graphic>
          </wp:inline>
        </w:drawing>
      </w:r>
    </w:p>
    <w:p w:rsidR="00B7101B" w:rsidRDefault="00B7101B" w:rsidP="00B52880">
      <w:pPr>
        <w:snapToGrid w:val="0"/>
        <w:jc w:val="both"/>
        <w:rPr>
          <w:sz w:val="20"/>
          <w:szCs w:val="20"/>
          <w:lang w:eastAsia="zh-CN"/>
        </w:rPr>
      </w:pPr>
    </w:p>
    <w:p w:rsidR="002A34F3" w:rsidRDefault="002A34F3" w:rsidP="00B52880">
      <w:pPr>
        <w:snapToGrid w:val="0"/>
        <w:jc w:val="both"/>
        <w:rPr>
          <w:sz w:val="20"/>
          <w:szCs w:val="20"/>
          <w:lang w:eastAsia="zh-CN"/>
        </w:rPr>
      </w:pPr>
      <w:r w:rsidRPr="00B52880">
        <w:rPr>
          <w:sz w:val="20"/>
          <w:szCs w:val="20"/>
        </w:rPr>
        <w:t>Figure 11. The</w:t>
      </w:r>
      <w:r w:rsidR="00165709" w:rsidRPr="00B52880">
        <w:rPr>
          <w:sz w:val="20"/>
          <w:szCs w:val="20"/>
        </w:rPr>
        <w:t xml:space="preserve"> ratio of</w:t>
      </w:r>
      <w:r w:rsidRPr="00B52880">
        <w:rPr>
          <w:sz w:val="20"/>
          <w:szCs w:val="20"/>
        </w:rPr>
        <w:t xml:space="preserve"> </w:t>
      </w:r>
      <w:r w:rsidRPr="00B52880">
        <w:rPr>
          <w:sz w:val="20"/>
          <w:szCs w:val="20"/>
          <w:vertAlign w:val="superscript"/>
        </w:rPr>
        <w:t>241</w:t>
      </w:r>
      <w:r w:rsidRPr="00B52880">
        <w:rPr>
          <w:sz w:val="20"/>
          <w:szCs w:val="20"/>
        </w:rPr>
        <w:t xml:space="preserve">Pu/ </w:t>
      </w:r>
      <w:r w:rsidRPr="00B52880">
        <w:rPr>
          <w:sz w:val="20"/>
          <w:szCs w:val="20"/>
          <w:vertAlign w:val="superscript"/>
        </w:rPr>
        <w:t>239</w:t>
      </w:r>
      <w:r w:rsidRPr="00B52880">
        <w:rPr>
          <w:sz w:val="20"/>
          <w:szCs w:val="20"/>
        </w:rPr>
        <w:t xml:space="preserve">Pu against </w:t>
      </w:r>
      <w:r w:rsidR="00165709" w:rsidRPr="00B52880">
        <w:rPr>
          <w:sz w:val="20"/>
          <w:szCs w:val="20"/>
        </w:rPr>
        <w:t>CT</w:t>
      </w:r>
      <w:r w:rsidRPr="00B52880">
        <w:rPr>
          <w:sz w:val="20"/>
          <w:szCs w:val="20"/>
        </w:rPr>
        <w:t xml:space="preserve"> at different AP values for BU</w:t>
      </w:r>
      <w:r w:rsidR="00165709" w:rsidRPr="00B52880">
        <w:rPr>
          <w:sz w:val="20"/>
          <w:szCs w:val="20"/>
        </w:rPr>
        <w:t>=</w:t>
      </w:r>
      <w:r w:rsidRPr="00B52880">
        <w:rPr>
          <w:sz w:val="20"/>
          <w:szCs w:val="20"/>
        </w:rPr>
        <w:t xml:space="preserve">10 </w:t>
      </w:r>
      <w:proofErr w:type="spellStart"/>
      <w:r w:rsidRPr="00B52880">
        <w:rPr>
          <w:sz w:val="20"/>
          <w:szCs w:val="20"/>
        </w:rPr>
        <w:t>MWd/t</w:t>
      </w:r>
      <w:r w:rsidR="00165709" w:rsidRPr="00B52880">
        <w:rPr>
          <w:sz w:val="20"/>
          <w:szCs w:val="20"/>
        </w:rPr>
        <w:t>u</w:t>
      </w:r>
      <w:proofErr w:type="spellEnd"/>
    </w:p>
    <w:p w:rsidR="00B52880" w:rsidRPr="00B52880" w:rsidRDefault="00B52880" w:rsidP="00B52880">
      <w:pPr>
        <w:snapToGrid w:val="0"/>
        <w:jc w:val="both"/>
        <w:rPr>
          <w:sz w:val="20"/>
          <w:szCs w:val="20"/>
          <w:vertAlign w:val="subscript"/>
          <w:lang w:eastAsia="zh-CN"/>
        </w:rPr>
      </w:pPr>
    </w:p>
    <w:p w:rsidR="00B52880" w:rsidRDefault="00455C6B" w:rsidP="00B52880">
      <w:pPr>
        <w:snapToGrid w:val="0"/>
        <w:jc w:val="center"/>
        <w:rPr>
          <w:sz w:val="20"/>
          <w:szCs w:val="20"/>
        </w:rPr>
      </w:pPr>
      <w:r>
        <w:rPr>
          <w:noProof/>
          <w:sz w:val="20"/>
          <w:lang w:eastAsia="zh-CN"/>
        </w:rPr>
        <w:drawing>
          <wp:inline distT="0" distB="0" distL="0" distR="0">
            <wp:extent cx="2774950" cy="2250440"/>
            <wp:effectExtent l="1905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2774950" cy="2250440"/>
                    </a:xfrm>
                    <a:prstGeom prst="rect">
                      <a:avLst/>
                    </a:prstGeom>
                    <a:noFill/>
                    <a:ln w="9525">
                      <a:noFill/>
                      <a:miter lim="800000"/>
                      <a:headEnd/>
                      <a:tailEnd/>
                    </a:ln>
                  </pic:spPr>
                </pic:pic>
              </a:graphicData>
            </a:graphic>
          </wp:inline>
        </w:drawing>
      </w:r>
    </w:p>
    <w:p w:rsidR="00B52880" w:rsidRDefault="002A34F3" w:rsidP="00B52880">
      <w:pPr>
        <w:snapToGrid w:val="0"/>
        <w:jc w:val="both"/>
        <w:rPr>
          <w:sz w:val="20"/>
          <w:szCs w:val="20"/>
          <w:lang w:eastAsia="zh-CN"/>
        </w:rPr>
      </w:pPr>
      <w:r w:rsidRPr="00B52880">
        <w:rPr>
          <w:sz w:val="20"/>
          <w:szCs w:val="20"/>
        </w:rPr>
        <w:t xml:space="preserve">Figure 12. The 241Pu/ 239Pu </w:t>
      </w:r>
      <w:r w:rsidR="00F6303F" w:rsidRPr="00B52880">
        <w:rPr>
          <w:sz w:val="20"/>
          <w:szCs w:val="20"/>
        </w:rPr>
        <w:t>r</w:t>
      </w:r>
      <w:r w:rsidRPr="00B52880">
        <w:rPr>
          <w:sz w:val="20"/>
          <w:szCs w:val="20"/>
        </w:rPr>
        <w:t xml:space="preserve">atio against </w:t>
      </w:r>
      <w:r w:rsidR="00F6303F" w:rsidRPr="00B52880">
        <w:rPr>
          <w:sz w:val="20"/>
          <w:szCs w:val="20"/>
        </w:rPr>
        <w:t>CT</w:t>
      </w:r>
      <w:r w:rsidRPr="00B52880">
        <w:rPr>
          <w:sz w:val="20"/>
          <w:szCs w:val="20"/>
        </w:rPr>
        <w:t xml:space="preserve"> at different AP values for BU</w:t>
      </w:r>
      <w:r w:rsidR="00F6303F" w:rsidRPr="00B52880">
        <w:rPr>
          <w:sz w:val="20"/>
          <w:szCs w:val="20"/>
        </w:rPr>
        <w:t>=</w:t>
      </w:r>
      <w:r w:rsidRPr="00B52880">
        <w:rPr>
          <w:sz w:val="20"/>
          <w:szCs w:val="20"/>
        </w:rPr>
        <w:t xml:space="preserve">20 </w:t>
      </w:r>
      <w:proofErr w:type="spellStart"/>
      <w:r w:rsidRPr="00B52880">
        <w:rPr>
          <w:sz w:val="20"/>
          <w:szCs w:val="20"/>
        </w:rPr>
        <w:t>MWd/t</w:t>
      </w:r>
      <w:r w:rsidR="00F6303F" w:rsidRPr="00B52880">
        <w:rPr>
          <w:sz w:val="20"/>
          <w:szCs w:val="20"/>
        </w:rPr>
        <w:t>u</w:t>
      </w:r>
      <w:proofErr w:type="spellEnd"/>
    </w:p>
    <w:p w:rsidR="00B52880" w:rsidRDefault="00B52880" w:rsidP="00B52880">
      <w:pPr>
        <w:snapToGrid w:val="0"/>
        <w:jc w:val="both"/>
        <w:rPr>
          <w:sz w:val="20"/>
          <w:szCs w:val="20"/>
          <w:vertAlign w:val="subscript"/>
          <w:lang w:eastAsia="zh-CN"/>
        </w:rPr>
      </w:pPr>
    </w:p>
    <w:p w:rsidR="00D55A19" w:rsidRDefault="00D55A19" w:rsidP="00B52880">
      <w:pPr>
        <w:snapToGrid w:val="0"/>
        <w:jc w:val="both"/>
        <w:rPr>
          <w:sz w:val="20"/>
          <w:szCs w:val="20"/>
          <w:vertAlign w:val="subscript"/>
          <w:lang w:eastAsia="zh-CN"/>
        </w:rPr>
      </w:pPr>
    </w:p>
    <w:p w:rsidR="00D55A19" w:rsidRDefault="00D55A19" w:rsidP="00B52880">
      <w:pPr>
        <w:snapToGrid w:val="0"/>
        <w:jc w:val="both"/>
        <w:rPr>
          <w:sz w:val="20"/>
          <w:szCs w:val="20"/>
          <w:vertAlign w:val="subscript"/>
          <w:lang w:eastAsia="zh-CN"/>
        </w:rPr>
      </w:pPr>
    </w:p>
    <w:p w:rsidR="00D55A19" w:rsidRDefault="00D55A19" w:rsidP="00B52880">
      <w:pPr>
        <w:snapToGrid w:val="0"/>
        <w:jc w:val="both"/>
        <w:rPr>
          <w:sz w:val="20"/>
          <w:szCs w:val="20"/>
          <w:vertAlign w:val="subscript"/>
          <w:lang w:eastAsia="zh-CN"/>
        </w:rPr>
      </w:pPr>
    </w:p>
    <w:p w:rsidR="00D55A19" w:rsidRDefault="00D55A19" w:rsidP="00D55A19">
      <w:pPr>
        <w:snapToGrid w:val="0"/>
        <w:ind w:firstLine="425"/>
        <w:jc w:val="both"/>
        <w:rPr>
          <w:sz w:val="20"/>
          <w:szCs w:val="20"/>
        </w:rPr>
      </w:pPr>
      <w:r w:rsidRPr="00B52880">
        <w:rPr>
          <w:sz w:val="20"/>
          <w:szCs w:val="20"/>
        </w:rPr>
        <w:t xml:space="preserve">As for the </w:t>
      </w:r>
      <w:r w:rsidRPr="00B52880">
        <w:rPr>
          <w:sz w:val="20"/>
          <w:szCs w:val="20"/>
          <w:vertAlign w:val="superscript"/>
        </w:rPr>
        <w:t>241</w:t>
      </w:r>
      <w:r w:rsidRPr="00B52880">
        <w:rPr>
          <w:sz w:val="20"/>
          <w:szCs w:val="20"/>
        </w:rPr>
        <w:t xml:space="preserve">Pu/ </w:t>
      </w:r>
      <w:r w:rsidRPr="00B52880">
        <w:rPr>
          <w:sz w:val="20"/>
          <w:szCs w:val="20"/>
          <w:vertAlign w:val="superscript"/>
        </w:rPr>
        <w:t>239</w:t>
      </w:r>
      <w:r w:rsidRPr="00B52880">
        <w:rPr>
          <w:sz w:val="20"/>
          <w:szCs w:val="20"/>
        </w:rPr>
        <w:t xml:space="preserve">Pu ratio the impact is noticeable at low and high </w:t>
      </w:r>
      <w:proofErr w:type="spellStart"/>
      <w:r w:rsidRPr="00B52880">
        <w:rPr>
          <w:sz w:val="20"/>
          <w:szCs w:val="20"/>
        </w:rPr>
        <w:t>burnup</w:t>
      </w:r>
      <w:proofErr w:type="spellEnd"/>
      <w:r w:rsidRPr="00B52880">
        <w:rPr>
          <w:sz w:val="20"/>
          <w:szCs w:val="20"/>
        </w:rPr>
        <w:t xml:space="preserve"> values. This is due to the production of </w:t>
      </w:r>
      <w:r w:rsidRPr="00B52880">
        <w:rPr>
          <w:sz w:val="20"/>
          <w:szCs w:val="20"/>
          <w:vertAlign w:val="superscript"/>
        </w:rPr>
        <w:t>241</w:t>
      </w:r>
      <w:r w:rsidRPr="00B52880">
        <w:rPr>
          <w:sz w:val="20"/>
          <w:szCs w:val="20"/>
        </w:rPr>
        <w:t xml:space="preserve">Pu from </w:t>
      </w:r>
      <w:r w:rsidRPr="00B52880">
        <w:rPr>
          <w:sz w:val="20"/>
          <w:szCs w:val="20"/>
          <w:vertAlign w:val="superscript"/>
        </w:rPr>
        <w:t>240</w:t>
      </w:r>
      <w:r w:rsidRPr="00B52880">
        <w:rPr>
          <w:sz w:val="20"/>
          <w:szCs w:val="20"/>
        </w:rPr>
        <w:t xml:space="preserve">Pu by neutron capture [11]. Since the total neutron emission is affected by changing the AP during 3 years of cooling time at low </w:t>
      </w:r>
      <w:proofErr w:type="spellStart"/>
      <w:r w:rsidRPr="00B52880">
        <w:rPr>
          <w:sz w:val="20"/>
          <w:szCs w:val="20"/>
        </w:rPr>
        <w:t>burnup</w:t>
      </w:r>
      <w:proofErr w:type="spellEnd"/>
      <w:r w:rsidRPr="00B52880">
        <w:rPr>
          <w:sz w:val="20"/>
          <w:szCs w:val="20"/>
        </w:rPr>
        <w:t xml:space="preserve"> values [8], so the production of </w:t>
      </w:r>
      <w:r w:rsidRPr="00B52880">
        <w:rPr>
          <w:sz w:val="20"/>
          <w:szCs w:val="20"/>
          <w:vertAlign w:val="superscript"/>
        </w:rPr>
        <w:t>241</w:t>
      </w:r>
      <w:r w:rsidRPr="00B52880">
        <w:rPr>
          <w:sz w:val="20"/>
          <w:szCs w:val="20"/>
        </w:rPr>
        <w:t>Pu is affected, and the Table of results is shown in Appendix (1).</w:t>
      </w:r>
    </w:p>
    <w:p w:rsidR="00D55A19" w:rsidRPr="00B52880" w:rsidRDefault="00D55A19" w:rsidP="00B52880">
      <w:pPr>
        <w:snapToGrid w:val="0"/>
        <w:jc w:val="both"/>
        <w:rPr>
          <w:sz w:val="20"/>
          <w:szCs w:val="20"/>
          <w:vertAlign w:val="subscript"/>
          <w:lang w:eastAsia="zh-CN"/>
        </w:rPr>
      </w:pPr>
    </w:p>
    <w:p w:rsidR="00B52880" w:rsidRDefault="00455C6B" w:rsidP="00B52880">
      <w:pPr>
        <w:snapToGrid w:val="0"/>
        <w:jc w:val="center"/>
        <w:rPr>
          <w:sz w:val="20"/>
          <w:szCs w:val="20"/>
        </w:rPr>
      </w:pPr>
      <w:r>
        <w:rPr>
          <w:noProof/>
          <w:sz w:val="20"/>
          <w:lang w:eastAsia="zh-CN"/>
        </w:rPr>
        <w:lastRenderedPageBreak/>
        <w:drawing>
          <wp:inline distT="0" distB="0" distL="0" distR="0">
            <wp:extent cx="2783205" cy="217043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2783205" cy="2170430"/>
                    </a:xfrm>
                    <a:prstGeom prst="rect">
                      <a:avLst/>
                    </a:prstGeom>
                    <a:noFill/>
                    <a:ln w="9525">
                      <a:noFill/>
                      <a:miter lim="800000"/>
                      <a:headEnd/>
                      <a:tailEnd/>
                    </a:ln>
                  </pic:spPr>
                </pic:pic>
              </a:graphicData>
            </a:graphic>
          </wp:inline>
        </w:drawing>
      </w:r>
    </w:p>
    <w:p w:rsidR="005518BA" w:rsidRDefault="005518BA" w:rsidP="00B52880">
      <w:pPr>
        <w:snapToGrid w:val="0"/>
        <w:jc w:val="both"/>
        <w:rPr>
          <w:rFonts w:hint="eastAsia"/>
          <w:sz w:val="20"/>
          <w:szCs w:val="20"/>
          <w:lang w:eastAsia="zh-CN"/>
        </w:rPr>
      </w:pPr>
    </w:p>
    <w:p w:rsidR="00B52880" w:rsidRDefault="0050665D" w:rsidP="00B52880">
      <w:pPr>
        <w:snapToGrid w:val="0"/>
        <w:jc w:val="both"/>
        <w:rPr>
          <w:sz w:val="20"/>
          <w:szCs w:val="20"/>
          <w:vertAlign w:val="subscript"/>
        </w:rPr>
      </w:pPr>
      <w:r w:rsidRPr="00B52880">
        <w:rPr>
          <w:sz w:val="20"/>
          <w:szCs w:val="20"/>
        </w:rPr>
        <w:t xml:space="preserve">Figure </w:t>
      </w:r>
      <w:r w:rsidR="009B4D1E" w:rsidRPr="00B52880">
        <w:rPr>
          <w:sz w:val="20"/>
          <w:szCs w:val="20"/>
        </w:rPr>
        <w:t>1</w:t>
      </w:r>
      <w:r w:rsidRPr="00B52880">
        <w:rPr>
          <w:sz w:val="20"/>
          <w:szCs w:val="20"/>
        </w:rPr>
        <w:t>3.</w:t>
      </w:r>
      <w:r w:rsidR="009B4D1E" w:rsidRPr="00B52880">
        <w:rPr>
          <w:sz w:val="20"/>
          <w:szCs w:val="20"/>
        </w:rPr>
        <w:t xml:space="preserve"> </w:t>
      </w:r>
      <w:r w:rsidR="00F6303F" w:rsidRPr="00B52880">
        <w:rPr>
          <w:sz w:val="20"/>
          <w:szCs w:val="20"/>
        </w:rPr>
        <w:t xml:space="preserve">The </w:t>
      </w:r>
      <w:r w:rsidR="009B4D1E" w:rsidRPr="00B52880">
        <w:rPr>
          <w:sz w:val="20"/>
          <w:szCs w:val="20"/>
          <w:vertAlign w:val="superscript"/>
        </w:rPr>
        <w:t>241</w:t>
      </w:r>
      <w:r w:rsidR="009B4D1E" w:rsidRPr="00B52880">
        <w:rPr>
          <w:sz w:val="20"/>
          <w:szCs w:val="20"/>
        </w:rPr>
        <w:t xml:space="preserve">Pu/ </w:t>
      </w:r>
      <w:r w:rsidR="009B4D1E" w:rsidRPr="00B52880">
        <w:rPr>
          <w:sz w:val="20"/>
          <w:szCs w:val="20"/>
          <w:vertAlign w:val="superscript"/>
        </w:rPr>
        <w:t>239</w:t>
      </w:r>
      <w:r w:rsidR="009B4D1E" w:rsidRPr="00B52880">
        <w:rPr>
          <w:sz w:val="20"/>
          <w:szCs w:val="20"/>
        </w:rPr>
        <w:t xml:space="preserve">Pu </w:t>
      </w:r>
      <w:r w:rsidR="00F6303F" w:rsidRPr="00B52880">
        <w:rPr>
          <w:sz w:val="20"/>
          <w:szCs w:val="20"/>
        </w:rPr>
        <w:t>r</w:t>
      </w:r>
      <w:r w:rsidR="009B4D1E" w:rsidRPr="00B52880">
        <w:rPr>
          <w:sz w:val="20"/>
          <w:szCs w:val="20"/>
        </w:rPr>
        <w:t xml:space="preserve">atio against </w:t>
      </w:r>
      <w:r w:rsidR="00F6303F" w:rsidRPr="00B52880">
        <w:rPr>
          <w:sz w:val="20"/>
          <w:szCs w:val="20"/>
        </w:rPr>
        <w:t>CT</w:t>
      </w:r>
      <w:r w:rsidRPr="00B52880">
        <w:rPr>
          <w:sz w:val="20"/>
          <w:szCs w:val="20"/>
        </w:rPr>
        <w:t xml:space="preserve"> at different AP values for BU</w:t>
      </w:r>
      <w:r w:rsidR="00F6303F" w:rsidRPr="00B52880">
        <w:rPr>
          <w:sz w:val="20"/>
          <w:szCs w:val="20"/>
        </w:rPr>
        <w:t>=</w:t>
      </w:r>
      <w:r w:rsidRPr="00B52880">
        <w:rPr>
          <w:sz w:val="20"/>
          <w:szCs w:val="20"/>
        </w:rPr>
        <w:t xml:space="preserve">40 </w:t>
      </w:r>
      <w:proofErr w:type="spellStart"/>
      <w:r w:rsidRPr="00B52880">
        <w:rPr>
          <w:sz w:val="20"/>
          <w:szCs w:val="20"/>
        </w:rPr>
        <w:t>MWd/t</w:t>
      </w:r>
      <w:r w:rsidR="00F6303F" w:rsidRPr="00B52880">
        <w:rPr>
          <w:sz w:val="20"/>
          <w:szCs w:val="20"/>
        </w:rPr>
        <w:t>u</w:t>
      </w:r>
      <w:proofErr w:type="spellEnd"/>
    </w:p>
    <w:p w:rsidR="00B52880" w:rsidRDefault="00455C6B" w:rsidP="00B52880">
      <w:pPr>
        <w:snapToGrid w:val="0"/>
        <w:jc w:val="center"/>
        <w:rPr>
          <w:sz w:val="20"/>
          <w:szCs w:val="20"/>
        </w:rPr>
      </w:pPr>
      <w:r>
        <w:rPr>
          <w:noProof/>
          <w:sz w:val="20"/>
          <w:lang w:eastAsia="zh-CN"/>
        </w:rPr>
        <w:lastRenderedPageBreak/>
        <w:drawing>
          <wp:inline distT="0" distB="0" distL="0" distR="0">
            <wp:extent cx="2790825" cy="2242185"/>
            <wp:effectExtent l="1905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srcRect/>
                    <a:stretch>
                      <a:fillRect/>
                    </a:stretch>
                  </pic:blipFill>
                  <pic:spPr bwMode="auto">
                    <a:xfrm>
                      <a:off x="0" y="0"/>
                      <a:ext cx="2790825" cy="2242185"/>
                    </a:xfrm>
                    <a:prstGeom prst="rect">
                      <a:avLst/>
                    </a:prstGeom>
                    <a:noFill/>
                    <a:ln w="9525">
                      <a:noFill/>
                      <a:miter lim="800000"/>
                      <a:headEnd/>
                      <a:tailEnd/>
                    </a:ln>
                  </pic:spPr>
                </pic:pic>
              </a:graphicData>
            </a:graphic>
          </wp:inline>
        </w:drawing>
      </w:r>
    </w:p>
    <w:p w:rsidR="00B52880" w:rsidRDefault="00D917D3" w:rsidP="00B52880">
      <w:pPr>
        <w:snapToGrid w:val="0"/>
        <w:jc w:val="both"/>
        <w:rPr>
          <w:sz w:val="20"/>
          <w:szCs w:val="20"/>
        </w:rPr>
      </w:pPr>
      <w:r w:rsidRPr="00B52880">
        <w:rPr>
          <w:sz w:val="20"/>
          <w:szCs w:val="20"/>
        </w:rPr>
        <w:t xml:space="preserve">Figure 14. </w:t>
      </w:r>
      <w:r w:rsidR="00F6303F" w:rsidRPr="00B52880">
        <w:rPr>
          <w:sz w:val="20"/>
          <w:szCs w:val="20"/>
        </w:rPr>
        <w:t xml:space="preserve">The </w:t>
      </w:r>
      <w:r w:rsidRPr="00B52880">
        <w:rPr>
          <w:sz w:val="20"/>
          <w:szCs w:val="20"/>
          <w:vertAlign w:val="superscript"/>
        </w:rPr>
        <w:t>241</w:t>
      </w:r>
      <w:r w:rsidRPr="00B52880">
        <w:rPr>
          <w:sz w:val="20"/>
          <w:szCs w:val="20"/>
        </w:rPr>
        <w:t xml:space="preserve">Pu/ </w:t>
      </w:r>
      <w:r w:rsidRPr="00B52880">
        <w:rPr>
          <w:sz w:val="20"/>
          <w:szCs w:val="20"/>
          <w:vertAlign w:val="superscript"/>
        </w:rPr>
        <w:t>239</w:t>
      </w:r>
      <w:r w:rsidRPr="00B52880">
        <w:rPr>
          <w:sz w:val="20"/>
          <w:szCs w:val="20"/>
        </w:rPr>
        <w:t xml:space="preserve">Pu </w:t>
      </w:r>
      <w:r w:rsidR="00F6303F" w:rsidRPr="00B52880">
        <w:rPr>
          <w:sz w:val="20"/>
          <w:szCs w:val="20"/>
        </w:rPr>
        <w:t>r</w:t>
      </w:r>
      <w:r w:rsidRPr="00B52880">
        <w:rPr>
          <w:sz w:val="20"/>
          <w:szCs w:val="20"/>
        </w:rPr>
        <w:t xml:space="preserve">atio against </w:t>
      </w:r>
      <w:r w:rsidR="00F6303F" w:rsidRPr="00B52880">
        <w:rPr>
          <w:sz w:val="20"/>
          <w:szCs w:val="20"/>
        </w:rPr>
        <w:t>CT</w:t>
      </w:r>
      <w:r w:rsidRPr="00B52880">
        <w:rPr>
          <w:sz w:val="20"/>
          <w:szCs w:val="20"/>
        </w:rPr>
        <w:t xml:space="preserve"> at different AP values for BU</w:t>
      </w:r>
      <w:r w:rsidR="00F6303F" w:rsidRPr="00B52880">
        <w:rPr>
          <w:sz w:val="20"/>
          <w:szCs w:val="20"/>
        </w:rPr>
        <w:t>=</w:t>
      </w:r>
      <w:r w:rsidRPr="00B52880">
        <w:rPr>
          <w:sz w:val="20"/>
          <w:szCs w:val="20"/>
        </w:rPr>
        <w:t xml:space="preserve">50 </w:t>
      </w:r>
      <w:proofErr w:type="spellStart"/>
      <w:r w:rsidRPr="00B52880">
        <w:rPr>
          <w:sz w:val="20"/>
          <w:szCs w:val="20"/>
        </w:rPr>
        <w:t>MWd/t</w:t>
      </w:r>
      <w:r w:rsidR="00F6303F" w:rsidRPr="00B52880">
        <w:rPr>
          <w:sz w:val="20"/>
          <w:szCs w:val="20"/>
        </w:rPr>
        <w:t>u</w:t>
      </w:r>
      <w:proofErr w:type="spellEnd"/>
    </w:p>
    <w:p w:rsidR="00B52880" w:rsidRPr="00B52880" w:rsidRDefault="00B52880" w:rsidP="00B52880">
      <w:pPr>
        <w:snapToGrid w:val="0"/>
        <w:ind w:firstLine="425"/>
        <w:jc w:val="both"/>
        <w:rPr>
          <w:sz w:val="20"/>
          <w:szCs w:val="20"/>
        </w:rPr>
        <w:sectPr w:rsidR="00B52880" w:rsidRPr="00B52880" w:rsidSect="009F2832">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num="2" w:space="600"/>
          <w:docGrid w:linePitch="360"/>
        </w:sectPr>
      </w:pPr>
    </w:p>
    <w:p w:rsidR="00B52880" w:rsidRDefault="00B52880" w:rsidP="00B52880">
      <w:pPr>
        <w:snapToGrid w:val="0"/>
        <w:jc w:val="both"/>
        <w:rPr>
          <w:sz w:val="20"/>
          <w:szCs w:val="20"/>
          <w:lang w:eastAsia="zh-CN"/>
        </w:rPr>
      </w:pPr>
    </w:p>
    <w:p w:rsidR="00B52880" w:rsidRPr="00B52880" w:rsidRDefault="00B52880" w:rsidP="00B52880">
      <w:pPr>
        <w:snapToGrid w:val="0"/>
        <w:jc w:val="both"/>
        <w:rPr>
          <w:sz w:val="20"/>
          <w:szCs w:val="20"/>
          <w:lang w:eastAsia="zh-CN"/>
        </w:rPr>
      </w:pPr>
    </w:p>
    <w:p w:rsidR="004D3EC8" w:rsidRPr="00B52880" w:rsidRDefault="00F6303F" w:rsidP="00B52880">
      <w:pPr>
        <w:snapToGrid w:val="0"/>
        <w:jc w:val="both"/>
        <w:rPr>
          <w:sz w:val="20"/>
          <w:szCs w:val="20"/>
          <w:vertAlign w:val="subscript"/>
          <w:lang w:eastAsia="zh-CN"/>
        </w:rPr>
      </w:pPr>
      <w:r w:rsidRPr="00B52880">
        <w:rPr>
          <w:sz w:val="20"/>
          <w:szCs w:val="20"/>
        </w:rPr>
        <w:t>APPE</w:t>
      </w:r>
      <w:r w:rsidR="00A038D7" w:rsidRPr="00B52880">
        <w:rPr>
          <w:sz w:val="20"/>
          <w:szCs w:val="20"/>
        </w:rPr>
        <w:t>ND</w:t>
      </w:r>
      <w:r w:rsidR="00CA7ACD" w:rsidRPr="00B52880">
        <w:rPr>
          <w:sz w:val="20"/>
          <w:szCs w:val="20"/>
        </w:rPr>
        <w:t>I</w:t>
      </w:r>
      <w:r w:rsidR="00A038D7" w:rsidRPr="00B52880">
        <w:rPr>
          <w:sz w:val="20"/>
          <w:szCs w:val="20"/>
        </w:rPr>
        <w:t xml:space="preserve">X 1. </w:t>
      </w:r>
      <w:r w:rsidRPr="00B52880">
        <w:rPr>
          <w:sz w:val="20"/>
          <w:szCs w:val="20"/>
        </w:rPr>
        <w:t xml:space="preserve">The ratio of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at </w:t>
      </w:r>
      <w:r w:rsidR="00A038D7" w:rsidRPr="00B52880">
        <w:rPr>
          <w:sz w:val="20"/>
          <w:szCs w:val="20"/>
        </w:rPr>
        <w:t>BU</w:t>
      </w:r>
      <w:r w:rsidRPr="00B52880">
        <w:rPr>
          <w:sz w:val="20"/>
          <w:szCs w:val="20"/>
        </w:rPr>
        <w:t>=</w:t>
      </w:r>
      <w:r w:rsidR="00A038D7" w:rsidRPr="00B52880">
        <w:rPr>
          <w:sz w:val="20"/>
          <w:szCs w:val="20"/>
        </w:rPr>
        <w:t xml:space="preserve">10 </w:t>
      </w:r>
      <w:proofErr w:type="spellStart"/>
      <w:r w:rsidR="00A038D7" w:rsidRPr="00B52880">
        <w:rPr>
          <w:sz w:val="20"/>
          <w:szCs w:val="20"/>
        </w:rPr>
        <w:t>GWd/t</w:t>
      </w:r>
      <w:r w:rsidRPr="00B52880">
        <w:rPr>
          <w:sz w:val="20"/>
          <w:szCs w:val="20"/>
        </w:rPr>
        <w:t>u</w:t>
      </w:r>
      <w:proofErr w:type="spellEnd"/>
      <w:r w:rsidR="00A038D7" w:rsidRPr="00B52880">
        <w:rPr>
          <w:sz w:val="20"/>
          <w:szCs w:val="20"/>
          <w:vertAlign w:val="subscript"/>
        </w:rPr>
        <w:t>,</w:t>
      </w:r>
    </w:p>
    <w:p w:rsidR="00B52880" w:rsidRPr="00B52880" w:rsidRDefault="00B52880" w:rsidP="00B52880">
      <w:pPr>
        <w:snapToGrid w:val="0"/>
        <w:jc w:val="both"/>
        <w:rPr>
          <w:sz w:val="20"/>
          <w:szCs w:val="16"/>
          <w:lang w:eastAsia="zh-CN"/>
        </w:rPr>
      </w:pPr>
    </w:p>
    <w:tbl>
      <w:tblPr>
        <w:tblW w:w="0" w:type="auto"/>
        <w:jc w:val="center"/>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1440"/>
        <w:gridCol w:w="1440"/>
        <w:gridCol w:w="1440"/>
        <w:gridCol w:w="1440"/>
        <w:gridCol w:w="1465"/>
      </w:tblGrid>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Decay time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AP 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AP 40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AP 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Ap30/AP40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Ap50/AP40</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1.02815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0.94961</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1.02717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0.95055</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1.02608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0.9516</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1.02536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0.95232</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1.02562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0.95209</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1.02663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0.95144</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1.02831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0.9504</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365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1.02858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0.9502</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730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1.02932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0.94973</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1095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1.02947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0.94962</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1460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0.9496</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1825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1.02955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0.94962</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2190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1.02954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0.94961</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2555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1.02956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0.94961</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2920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1.02955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0.94961</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3285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0.00168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1.02955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0.94959</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3650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0.00181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0.00176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1.02956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0.94961</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0.00163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0.00154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1.02959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0.94957</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7300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0.00155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0.00143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1.02964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0.94955</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18250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0.00132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0.00128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0.00122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1.02968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0.94947</w:t>
            </w:r>
          </w:p>
        </w:tc>
      </w:tr>
      <w:tr w:rsidR="006736F8" w:rsidRPr="00B52880" w:rsidTr="00FF080D">
        <w:trPr>
          <w:jc w:val="center"/>
        </w:trPr>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36500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8.92972E-4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8.67017E-4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8.23124E-4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1.02994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D7" w:rsidRPr="00B52880" w:rsidRDefault="00A038D7" w:rsidP="00B52880">
            <w:pPr>
              <w:snapToGrid w:val="0"/>
              <w:jc w:val="both"/>
              <w:rPr>
                <w:color w:val="000000"/>
                <w:sz w:val="20"/>
                <w:szCs w:val="16"/>
              </w:rPr>
            </w:pPr>
            <w:r w:rsidRPr="00B52880">
              <w:rPr>
                <w:color w:val="000000"/>
                <w:sz w:val="20"/>
                <w:szCs w:val="16"/>
              </w:rPr>
              <w:t>0.94938</w:t>
            </w:r>
          </w:p>
        </w:tc>
      </w:tr>
    </w:tbl>
    <w:p w:rsidR="004D3EC8" w:rsidRPr="00B52880" w:rsidRDefault="004D3EC8" w:rsidP="00B52880">
      <w:pPr>
        <w:snapToGrid w:val="0"/>
        <w:ind w:firstLine="425"/>
        <w:jc w:val="both"/>
        <w:rPr>
          <w:sz w:val="20"/>
          <w:szCs w:val="16"/>
          <w:lang w:eastAsia="zh-CN"/>
        </w:rPr>
      </w:pPr>
    </w:p>
    <w:p w:rsidR="00B52880" w:rsidRPr="00B52880" w:rsidRDefault="00B52880" w:rsidP="00B52880">
      <w:pPr>
        <w:snapToGrid w:val="0"/>
        <w:ind w:firstLine="425"/>
        <w:jc w:val="both"/>
        <w:rPr>
          <w:sz w:val="20"/>
          <w:szCs w:val="20"/>
          <w:lang w:eastAsia="zh-CN"/>
        </w:rPr>
      </w:pPr>
      <w:r>
        <w:rPr>
          <w:sz w:val="20"/>
          <w:szCs w:val="20"/>
          <w:lang w:eastAsia="zh-CN"/>
        </w:rPr>
        <w:br w:type="page"/>
      </w:r>
    </w:p>
    <w:p w:rsidR="00F6303F" w:rsidRPr="00B52880" w:rsidRDefault="00F6303F" w:rsidP="00B52880">
      <w:pPr>
        <w:snapToGrid w:val="0"/>
        <w:jc w:val="both"/>
        <w:rPr>
          <w:sz w:val="20"/>
          <w:szCs w:val="20"/>
        </w:rPr>
      </w:pPr>
      <w:r w:rsidRPr="00B52880">
        <w:rPr>
          <w:sz w:val="20"/>
          <w:szCs w:val="20"/>
        </w:rPr>
        <w:lastRenderedPageBreak/>
        <w:t>APPEND</w:t>
      </w:r>
      <w:r w:rsidR="00CA7ACD" w:rsidRPr="00B52880">
        <w:rPr>
          <w:sz w:val="20"/>
          <w:szCs w:val="20"/>
        </w:rPr>
        <w:t>I</w:t>
      </w:r>
      <w:r w:rsidRPr="00B52880">
        <w:rPr>
          <w:sz w:val="20"/>
          <w:szCs w:val="20"/>
        </w:rPr>
        <w:t xml:space="preserve">X 1. The ratio of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at BU=20 </w:t>
      </w:r>
      <w:proofErr w:type="spellStart"/>
      <w:r w:rsidRPr="00B52880">
        <w:rPr>
          <w:sz w:val="20"/>
          <w:szCs w:val="20"/>
        </w:rPr>
        <w:t>GWd/tu</w:t>
      </w:r>
      <w:proofErr w:type="spellEnd"/>
      <w:r w:rsidRPr="00B52880">
        <w:rPr>
          <w:sz w:val="20"/>
          <w:szCs w:val="20"/>
          <w:vertAlign w:val="subscript"/>
        </w:rPr>
        <w:t>,</w:t>
      </w:r>
    </w:p>
    <w:p w:rsidR="006736F8" w:rsidRPr="00B52880" w:rsidRDefault="006736F8" w:rsidP="00B52880">
      <w:pPr>
        <w:snapToGrid w:val="0"/>
        <w:ind w:firstLine="425"/>
        <w:jc w:val="both"/>
        <w:rPr>
          <w:sz w:val="20"/>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441"/>
        <w:gridCol w:w="1441"/>
        <w:gridCol w:w="1441"/>
        <w:gridCol w:w="1441"/>
        <w:gridCol w:w="1442"/>
      </w:tblGrid>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Decay time</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AP 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AP 40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AP 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Ap30/AP40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Ap50/AP40</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0.00696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1.02409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0.9904</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0.00697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1.02393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0.99059</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0.00698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1.02377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0.99068</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0.00698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1.02393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0.99042</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1.02431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0.98961</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0.00733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0.00715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1.02536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0.98753</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0.00746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0.00715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1.02696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0.98411</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365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0.00747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0.00716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1.02728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0.98353</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730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0.00749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0.00715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1.02797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0.98203</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1095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0.00744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1.02813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0.98175</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1460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0.00739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0.00718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1.02819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0.98168</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1825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0.00733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0.00713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1.02818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0.98164</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2190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0.00694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1.02819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0.98165</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2555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0.00722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0.00689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1.02819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0.98164</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2920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0.00716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0.00696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0.00684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1.02819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0.98162</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3285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0.00691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0.00678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1.02818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0.98159</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3650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0.00705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0.00673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1.02821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0.98166</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0.00652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0.00634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0.00622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1.02824</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0.98161</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7300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0.00602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0.00586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0.00575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1.02826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0.98156</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18250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0.00515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0.00501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0.00492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1.02837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0.98152</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36500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0.00348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0.00338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0.00332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1.02856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16"/>
              </w:rPr>
            </w:pPr>
            <w:r w:rsidRPr="00B52880">
              <w:rPr>
                <w:color w:val="000000"/>
                <w:sz w:val="20"/>
                <w:szCs w:val="16"/>
              </w:rPr>
              <w:t>0.98123</w:t>
            </w:r>
          </w:p>
        </w:tc>
      </w:tr>
    </w:tbl>
    <w:p w:rsidR="004D3EC8" w:rsidRPr="00B52880" w:rsidRDefault="004D3EC8" w:rsidP="00B52880">
      <w:pPr>
        <w:snapToGrid w:val="0"/>
        <w:ind w:firstLine="425"/>
        <w:jc w:val="both"/>
        <w:rPr>
          <w:sz w:val="20"/>
          <w:szCs w:val="16"/>
          <w:lang w:eastAsia="zh-CN"/>
        </w:rPr>
      </w:pPr>
    </w:p>
    <w:p w:rsidR="00B52880" w:rsidRPr="00B52880" w:rsidRDefault="00B52880" w:rsidP="00B52880">
      <w:pPr>
        <w:snapToGrid w:val="0"/>
        <w:ind w:firstLine="425"/>
        <w:jc w:val="both"/>
        <w:rPr>
          <w:sz w:val="20"/>
          <w:szCs w:val="20"/>
          <w:lang w:eastAsia="zh-CN"/>
        </w:rPr>
      </w:pPr>
    </w:p>
    <w:p w:rsidR="00E4753B" w:rsidRPr="00B52880" w:rsidRDefault="00E4753B" w:rsidP="00B52880">
      <w:pPr>
        <w:snapToGrid w:val="0"/>
        <w:jc w:val="both"/>
        <w:rPr>
          <w:sz w:val="20"/>
          <w:szCs w:val="20"/>
        </w:rPr>
      </w:pPr>
      <w:r w:rsidRPr="00B52880">
        <w:rPr>
          <w:sz w:val="20"/>
          <w:szCs w:val="20"/>
        </w:rPr>
        <w:t>APPEND</w:t>
      </w:r>
      <w:r w:rsidR="00CA7ACD" w:rsidRPr="00B52880">
        <w:rPr>
          <w:sz w:val="20"/>
          <w:szCs w:val="20"/>
        </w:rPr>
        <w:t>I</w:t>
      </w:r>
      <w:r w:rsidRPr="00B52880">
        <w:rPr>
          <w:sz w:val="20"/>
          <w:szCs w:val="20"/>
        </w:rPr>
        <w:t xml:space="preserve">X 1. The ratio of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at BU=30 </w:t>
      </w:r>
      <w:proofErr w:type="spellStart"/>
      <w:r w:rsidRPr="00B52880">
        <w:rPr>
          <w:sz w:val="20"/>
          <w:szCs w:val="20"/>
        </w:rPr>
        <w:t>GWd/tu</w:t>
      </w:r>
      <w:proofErr w:type="spellEnd"/>
      <w:r w:rsidRPr="00B52880">
        <w:rPr>
          <w:sz w:val="20"/>
          <w:szCs w:val="20"/>
          <w:vertAlign w:val="subscript"/>
        </w:rPr>
        <w:t>,</w:t>
      </w:r>
    </w:p>
    <w:p w:rsidR="006736F8" w:rsidRPr="00B52880" w:rsidRDefault="006736F8" w:rsidP="00B52880">
      <w:pPr>
        <w:snapToGrid w:val="0"/>
        <w:ind w:firstLine="42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441"/>
        <w:gridCol w:w="1441"/>
        <w:gridCol w:w="1441"/>
        <w:gridCol w:w="1441"/>
        <w:gridCol w:w="1442"/>
      </w:tblGrid>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Decay time</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AP 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AP 40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AP 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Ap30/AP40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Ap50/AP40</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0.01681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0.01642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1.02625</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0.97717</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0.01724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0.01642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1.02635</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0.97715</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0.01724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0.01641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1.0267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0.97708</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0.01726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0.01641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1.02736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0.97691</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0.01735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0.01687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0.01648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1.02849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0.97692</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0.01668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1.03128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0.97716</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0.01737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0.01698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1.03595</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0.97758</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365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0.01806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0.01742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0.01703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1.03676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0.97766</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730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0.01812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0.01745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0.01706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1.03873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0.97791</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1095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0.01803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0.01735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0.01696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1.03915</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0.97784</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1460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0.01722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0.01684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1.03934</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0.97791</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1825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0.01776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0.01709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0.01671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1.03935</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0.97787</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2190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0.01762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0.01695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0.01658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0.97786</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2555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0.01748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0.01682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0.01645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1.03929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0.97787</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2920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0.01735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0.01669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0.01632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1.03934</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0.97787</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3285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0.01721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0.01656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1.03933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0.97019</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3650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0.01708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0.01643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0.01607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1.03932</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0.97782</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0.01579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0.01519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0.01485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1.03939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0.97779</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7300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0.0146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0.01404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0.01373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1.03946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0.97774</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18250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0.01248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0.01173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1.03957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0.97765</w:t>
            </w:r>
          </w:p>
        </w:tc>
      </w:tr>
      <w:tr w:rsidR="006736F8"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36500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0.00843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0.00811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0.00792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1.03991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6736F8" w:rsidRPr="00B52880" w:rsidRDefault="006736F8" w:rsidP="00B52880">
            <w:pPr>
              <w:snapToGrid w:val="0"/>
              <w:jc w:val="both"/>
              <w:rPr>
                <w:color w:val="000000"/>
                <w:sz w:val="20"/>
                <w:szCs w:val="20"/>
              </w:rPr>
            </w:pPr>
            <w:r w:rsidRPr="00B52880">
              <w:rPr>
                <w:color w:val="000000"/>
                <w:sz w:val="20"/>
                <w:szCs w:val="20"/>
              </w:rPr>
              <w:t>0.97735</w:t>
            </w:r>
          </w:p>
        </w:tc>
      </w:tr>
    </w:tbl>
    <w:p w:rsidR="00B52880" w:rsidRDefault="00B52880" w:rsidP="00B52880">
      <w:pPr>
        <w:snapToGrid w:val="0"/>
        <w:ind w:firstLine="425"/>
        <w:jc w:val="both"/>
        <w:rPr>
          <w:sz w:val="20"/>
          <w:szCs w:val="20"/>
          <w:lang w:eastAsia="zh-CN"/>
        </w:rPr>
      </w:pPr>
    </w:p>
    <w:p w:rsidR="00E4753B" w:rsidRPr="00B52880" w:rsidRDefault="00B52880" w:rsidP="00B52880">
      <w:pPr>
        <w:snapToGrid w:val="0"/>
        <w:jc w:val="both"/>
        <w:rPr>
          <w:sz w:val="20"/>
          <w:szCs w:val="20"/>
        </w:rPr>
      </w:pPr>
      <w:r>
        <w:rPr>
          <w:sz w:val="20"/>
          <w:szCs w:val="20"/>
          <w:lang w:eastAsia="zh-CN"/>
        </w:rPr>
        <w:br w:type="page"/>
      </w:r>
      <w:r w:rsidR="00E4753B" w:rsidRPr="00B52880">
        <w:rPr>
          <w:sz w:val="20"/>
          <w:szCs w:val="20"/>
        </w:rPr>
        <w:lastRenderedPageBreak/>
        <w:t>APPEND</w:t>
      </w:r>
      <w:r w:rsidR="00CA7ACD" w:rsidRPr="00B52880">
        <w:rPr>
          <w:sz w:val="20"/>
          <w:szCs w:val="20"/>
        </w:rPr>
        <w:t>I</w:t>
      </w:r>
      <w:r w:rsidR="00E4753B" w:rsidRPr="00B52880">
        <w:rPr>
          <w:sz w:val="20"/>
          <w:szCs w:val="20"/>
        </w:rPr>
        <w:t xml:space="preserve">X 1. The ratio of </w:t>
      </w:r>
      <w:r w:rsidR="00E4753B" w:rsidRPr="00B52880">
        <w:rPr>
          <w:sz w:val="20"/>
          <w:szCs w:val="20"/>
          <w:vertAlign w:val="superscript"/>
        </w:rPr>
        <w:t>238</w:t>
      </w:r>
      <w:r w:rsidR="00E4753B" w:rsidRPr="00B52880">
        <w:rPr>
          <w:sz w:val="20"/>
          <w:szCs w:val="20"/>
        </w:rPr>
        <w:t xml:space="preserve">Pu/ </w:t>
      </w:r>
      <w:r w:rsidR="00E4753B" w:rsidRPr="00B52880">
        <w:rPr>
          <w:sz w:val="20"/>
          <w:szCs w:val="20"/>
          <w:vertAlign w:val="superscript"/>
        </w:rPr>
        <w:t>239</w:t>
      </w:r>
      <w:r w:rsidR="00E4753B" w:rsidRPr="00B52880">
        <w:rPr>
          <w:sz w:val="20"/>
          <w:szCs w:val="20"/>
        </w:rPr>
        <w:t>Pu at BU=</w:t>
      </w:r>
      <w:r w:rsidR="00CA7ACD" w:rsidRPr="00B52880">
        <w:rPr>
          <w:sz w:val="20"/>
          <w:szCs w:val="20"/>
        </w:rPr>
        <w:t xml:space="preserve"> </w:t>
      </w:r>
      <w:r w:rsidR="00E4753B" w:rsidRPr="00B52880">
        <w:rPr>
          <w:sz w:val="20"/>
          <w:szCs w:val="20"/>
        </w:rPr>
        <w:t xml:space="preserve">40 </w:t>
      </w:r>
      <w:proofErr w:type="spellStart"/>
      <w:r w:rsidR="00E4753B" w:rsidRPr="00B52880">
        <w:rPr>
          <w:sz w:val="20"/>
          <w:szCs w:val="20"/>
        </w:rPr>
        <w:t>GWd/tu</w:t>
      </w:r>
      <w:proofErr w:type="spellEnd"/>
      <w:r w:rsidR="00E4753B" w:rsidRPr="00B52880">
        <w:rPr>
          <w:sz w:val="20"/>
          <w:szCs w:val="20"/>
          <w:vertAlign w:val="subscript"/>
        </w:rPr>
        <w:t>,</w:t>
      </w:r>
    </w:p>
    <w:p w:rsidR="00CB03FD" w:rsidRPr="00B52880" w:rsidRDefault="00CB03FD" w:rsidP="00B52880">
      <w:pPr>
        <w:snapToGrid w:val="0"/>
        <w:ind w:firstLine="42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441"/>
        <w:gridCol w:w="1441"/>
        <w:gridCol w:w="1441"/>
        <w:gridCol w:w="1441"/>
        <w:gridCol w:w="1442"/>
      </w:tblGrid>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Decay time</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 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 40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 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Ap30/AP40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Ap50/AP40</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1.03896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0.9765</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0.03182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1.03932</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0.97626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0.03304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0.03178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0.03101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1.03971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0.97574</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0.03305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0.03176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0.03097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1.04036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0.97506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0.03321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0.03191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1.0407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0.97446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0.03372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0.03237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0.03149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1.04172</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0.97296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0.03449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0.03306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0.03209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1.04322</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0.9706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365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0.03461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0.03317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0.03218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1.04348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0.97023</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730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0.03475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0.03328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1.04412</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0.96922</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1095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0.03456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1.04426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0.96901</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1460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0.03431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0.03183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1.04426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0.9689</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1825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0.03404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0.03159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1.04432</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0.96893</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2190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0.03378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0.03235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0.03134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1.04431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0.96891</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2555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0.03351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0.03209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0.03109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1.04429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0.9689</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2920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0.03325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0.03184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0.03085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1.04433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0.96892</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3285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0.03299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0.03159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0.03061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1.04435</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0.9689</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3650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0.03273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0.03134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0.03037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1.04434</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0.96888</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0.03026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0.02898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0.02807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1.04441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0.96888</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7300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0.02798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0.02679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0.02595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1.04443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0.96888</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18250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0.02391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0.02289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0.02218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1.04458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0.96882</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36500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0.01615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0.01546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0.01497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0.9687</w:t>
            </w:r>
          </w:p>
        </w:tc>
      </w:tr>
    </w:tbl>
    <w:p w:rsidR="00CB03FD" w:rsidRDefault="00CB03FD" w:rsidP="00B52880">
      <w:pPr>
        <w:snapToGrid w:val="0"/>
        <w:ind w:firstLine="425"/>
        <w:jc w:val="both"/>
        <w:rPr>
          <w:sz w:val="20"/>
          <w:szCs w:val="20"/>
          <w:lang w:eastAsia="zh-CN"/>
        </w:rPr>
      </w:pPr>
    </w:p>
    <w:p w:rsidR="00B52880" w:rsidRPr="00B52880" w:rsidRDefault="00B52880" w:rsidP="00B52880">
      <w:pPr>
        <w:snapToGrid w:val="0"/>
        <w:ind w:firstLine="425"/>
        <w:jc w:val="both"/>
        <w:rPr>
          <w:sz w:val="20"/>
          <w:szCs w:val="20"/>
          <w:lang w:eastAsia="zh-CN"/>
        </w:rPr>
      </w:pPr>
    </w:p>
    <w:p w:rsidR="00E4753B" w:rsidRPr="00B52880" w:rsidRDefault="00E4753B" w:rsidP="00B52880">
      <w:pPr>
        <w:snapToGrid w:val="0"/>
        <w:jc w:val="both"/>
        <w:rPr>
          <w:sz w:val="20"/>
          <w:szCs w:val="20"/>
        </w:rPr>
      </w:pPr>
      <w:r w:rsidRPr="00B52880">
        <w:rPr>
          <w:sz w:val="20"/>
          <w:szCs w:val="20"/>
        </w:rPr>
        <w:t>APPEND</w:t>
      </w:r>
      <w:r w:rsidR="00CA7ACD" w:rsidRPr="00B52880">
        <w:rPr>
          <w:sz w:val="20"/>
          <w:szCs w:val="20"/>
        </w:rPr>
        <w:t>I</w:t>
      </w:r>
      <w:r w:rsidRPr="00B52880">
        <w:rPr>
          <w:sz w:val="20"/>
          <w:szCs w:val="20"/>
        </w:rPr>
        <w:t xml:space="preserve">X 1. The ratio of </w:t>
      </w:r>
      <w:r w:rsidRPr="00B52880">
        <w:rPr>
          <w:sz w:val="20"/>
          <w:szCs w:val="20"/>
          <w:vertAlign w:val="superscript"/>
        </w:rPr>
        <w:t>238</w:t>
      </w:r>
      <w:r w:rsidRPr="00B52880">
        <w:rPr>
          <w:sz w:val="20"/>
          <w:szCs w:val="20"/>
        </w:rPr>
        <w:t xml:space="preserve">Pu/ </w:t>
      </w:r>
      <w:r w:rsidRPr="00B52880">
        <w:rPr>
          <w:sz w:val="20"/>
          <w:szCs w:val="20"/>
          <w:vertAlign w:val="superscript"/>
        </w:rPr>
        <w:t>239</w:t>
      </w:r>
      <w:r w:rsidRPr="00B52880">
        <w:rPr>
          <w:sz w:val="20"/>
          <w:szCs w:val="20"/>
        </w:rPr>
        <w:t xml:space="preserve">Pu at BU=50 </w:t>
      </w:r>
      <w:proofErr w:type="spellStart"/>
      <w:r w:rsidRPr="00B52880">
        <w:rPr>
          <w:sz w:val="20"/>
          <w:szCs w:val="20"/>
        </w:rPr>
        <w:t>GWd/tu</w:t>
      </w:r>
      <w:proofErr w:type="spellEnd"/>
      <w:r w:rsidRPr="00B52880">
        <w:rPr>
          <w:sz w:val="20"/>
          <w:szCs w:val="20"/>
          <w:vertAlign w:val="subscript"/>
        </w:rPr>
        <w:t>,</w:t>
      </w:r>
    </w:p>
    <w:p w:rsidR="00CB03FD" w:rsidRPr="00B52880" w:rsidRDefault="00CB03FD" w:rsidP="00B52880">
      <w:pPr>
        <w:snapToGrid w:val="0"/>
        <w:ind w:firstLine="42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441"/>
        <w:gridCol w:w="1441"/>
        <w:gridCol w:w="1441"/>
        <w:gridCol w:w="1441"/>
        <w:gridCol w:w="1442"/>
      </w:tblGrid>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Decay time</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 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 40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 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Ap30/AP40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Ap50/AP40</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0.05463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0.05233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0.05103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1.04399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0.97511</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0.05456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0.05224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0.05094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1.04444</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0.97503</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0.05448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0.05213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0.05081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1.04507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0.97478</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0.05444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0.05205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0.05066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1.04593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0.97335</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0.05469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0.05227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0.05084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1.04626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0.97252</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0.05547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0.05299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0.05151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1.04683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0.97207</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0.05664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0.05406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0.05251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1.04771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0.97125</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365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0.05682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0.05422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0.05269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1.04789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0.97169</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730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0.05438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0.05282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1.04824</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0.97134</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1095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0.05669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0.05408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0.05252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1.04832</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0.97127</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1460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0.05627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0.05368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0.05214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1.04833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0.97126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1825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0.05584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0.05326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0.05173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1.04833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0.97124</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2190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0.0554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0.05133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1.04833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0.97122</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2555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0.05497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0.05243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0.05092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1.04833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0.97121</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2920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0.05454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0.05202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0.05053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1.04837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0.97127</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3285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0.05411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0.05161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0.05013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1.04838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0.97124</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3650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0.05369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0.05121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0.04974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1.04837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0.97124</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0.04963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0.04734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0.04597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1.04839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0.97119</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7300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0.04588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0.04376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0.0425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1.04848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0.97117</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18250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0.03921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0.03739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0.03631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1.0485</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0.9711</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36500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0.02647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0.02524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0.02451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1.04878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0.97096</w:t>
            </w:r>
          </w:p>
        </w:tc>
      </w:tr>
    </w:tbl>
    <w:p w:rsidR="00CB03FD" w:rsidRDefault="00CB03FD" w:rsidP="00B52880">
      <w:pPr>
        <w:snapToGrid w:val="0"/>
        <w:ind w:firstLine="425"/>
        <w:jc w:val="both"/>
        <w:rPr>
          <w:sz w:val="20"/>
          <w:szCs w:val="20"/>
          <w:lang w:eastAsia="zh-CN"/>
        </w:rPr>
      </w:pPr>
    </w:p>
    <w:p w:rsidR="00E4753B" w:rsidRPr="00B52880" w:rsidRDefault="00B52880" w:rsidP="00B52880">
      <w:pPr>
        <w:snapToGrid w:val="0"/>
        <w:jc w:val="both"/>
        <w:rPr>
          <w:sz w:val="20"/>
          <w:szCs w:val="20"/>
        </w:rPr>
      </w:pPr>
      <w:r>
        <w:rPr>
          <w:sz w:val="20"/>
          <w:szCs w:val="20"/>
          <w:lang w:eastAsia="zh-CN"/>
        </w:rPr>
        <w:br w:type="page"/>
      </w:r>
      <w:r w:rsidR="00E4753B" w:rsidRPr="00B52880">
        <w:rPr>
          <w:sz w:val="20"/>
          <w:szCs w:val="20"/>
        </w:rPr>
        <w:lastRenderedPageBreak/>
        <w:t>APPEND</w:t>
      </w:r>
      <w:r w:rsidR="00CA7ACD" w:rsidRPr="00B52880">
        <w:rPr>
          <w:sz w:val="20"/>
          <w:szCs w:val="20"/>
        </w:rPr>
        <w:t>I</w:t>
      </w:r>
      <w:r w:rsidR="00E4753B" w:rsidRPr="00B52880">
        <w:rPr>
          <w:sz w:val="20"/>
          <w:szCs w:val="20"/>
        </w:rPr>
        <w:t xml:space="preserve">X 1. The ratio of </w:t>
      </w:r>
      <w:r w:rsidR="00E4753B" w:rsidRPr="00B52880">
        <w:rPr>
          <w:sz w:val="20"/>
          <w:szCs w:val="20"/>
          <w:vertAlign w:val="superscript"/>
        </w:rPr>
        <w:t>238</w:t>
      </w:r>
      <w:r w:rsidR="00E4753B" w:rsidRPr="00B52880">
        <w:rPr>
          <w:sz w:val="20"/>
          <w:szCs w:val="20"/>
        </w:rPr>
        <w:t xml:space="preserve">Pu/ </w:t>
      </w:r>
      <w:r w:rsidR="00E4753B" w:rsidRPr="00B52880">
        <w:rPr>
          <w:sz w:val="20"/>
          <w:szCs w:val="20"/>
          <w:vertAlign w:val="superscript"/>
        </w:rPr>
        <w:t>239</w:t>
      </w:r>
      <w:r w:rsidR="00E4753B" w:rsidRPr="00B52880">
        <w:rPr>
          <w:sz w:val="20"/>
          <w:szCs w:val="20"/>
        </w:rPr>
        <w:t>Pu at BU=</w:t>
      </w:r>
      <w:r w:rsidR="00CA7ACD" w:rsidRPr="00B52880">
        <w:rPr>
          <w:sz w:val="20"/>
          <w:szCs w:val="20"/>
        </w:rPr>
        <w:t xml:space="preserve"> </w:t>
      </w:r>
      <w:r w:rsidR="00E4753B" w:rsidRPr="00B52880">
        <w:rPr>
          <w:sz w:val="20"/>
          <w:szCs w:val="20"/>
        </w:rPr>
        <w:t xml:space="preserve">60 </w:t>
      </w:r>
      <w:proofErr w:type="spellStart"/>
      <w:r w:rsidR="00E4753B" w:rsidRPr="00B52880">
        <w:rPr>
          <w:sz w:val="20"/>
          <w:szCs w:val="20"/>
        </w:rPr>
        <w:t>GWd/tu</w:t>
      </w:r>
      <w:proofErr w:type="spellEnd"/>
      <w:r w:rsidR="00E4753B" w:rsidRPr="00B52880">
        <w:rPr>
          <w:sz w:val="20"/>
          <w:szCs w:val="20"/>
          <w:vertAlign w:val="subscript"/>
        </w:rPr>
        <w:t>,</w:t>
      </w:r>
    </w:p>
    <w:p w:rsidR="00CB03FD" w:rsidRPr="00B52880" w:rsidRDefault="00CB03FD" w:rsidP="00B52880">
      <w:pPr>
        <w:snapToGrid w:val="0"/>
        <w:ind w:firstLine="42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1441"/>
        <w:gridCol w:w="1441"/>
        <w:gridCol w:w="1441"/>
        <w:gridCol w:w="1441"/>
        <w:gridCol w:w="1442"/>
      </w:tblGrid>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Decay time</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 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 40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 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Ap30/AP40</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Ap50/AP40</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0.08056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0.07739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0.07486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1.04101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0.96738</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0.08042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0.07721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0.07464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1.04164</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0.96682</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0.08025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0.07697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0.07437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1.04251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0.9661</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0.08014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0.07679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0.07412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1.04362</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0.96527</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0.08045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0.07705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0.07437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1.04411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0.9652</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0.08147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0.07796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0.07526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1.04504</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0.96541</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0.08299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0.0793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0.07658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1.04659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0.96576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365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0.08322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0.07949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0.07678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1.04683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0.96581</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730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0.0834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0.07962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0.07691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1.04751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1095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0.08292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0.07915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0.07646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1.04764</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0.96598</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1460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0.08231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0.07856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0.07589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1.04766</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0.96599</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1825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0.08167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0.07795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0.0753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1.04771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2190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0.08103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0.07734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0.07471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0.96599</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2555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0.0804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0.07674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0.07413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1.04769</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0.96599</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2920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0.07977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0.07614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0.07355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0.96598</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3285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0.07914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0.07554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0.07297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1.04771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0.96598</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3650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0.07852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0.07495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0.0724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1.04772</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0.966</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20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0.07258</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0.06927</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0.06692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1.04773</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0.96597</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7300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0.06709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0.06403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0.06185</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1.04777</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0.96594</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18250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0.05733</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0.05471</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0.05284</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1.04781</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0.96591</w:t>
            </w:r>
          </w:p>
        </w:tc>
      </w:tr>
      <w:tr w:rsidR="00CB03FD" w:rsidRPr="00B52880" w:rsidTr="00B52880">
        <w:trPr>
          <w:jc w:val="center"/>
        </w:trPr>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36500</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0.03869</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0.03692</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0.03566</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1.048</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rsidR="00CB03FD" w:rsidRPr="00B52880" w:rsidRDefault="00CB03FD" w:rsidP="00B52880">
            <w:pPr>
              <w:snapToGrid w:val="0"/>
              <w:jc w:val="both"/>
              <w:rPr>
                <w:color w:val="000000"/>
                <w:sz w:val="20"/>
                <w:szCs w:val="20"/>
              </w:rPr>
            </w:pPr>
            <w:r w:rsidRPr="00B52880">
              <w:rPr>
                <w:color w:val="000000"/>
                <w:sz w:val="20"/>
                <w:szCs w:val="20"/>
              </w:rPr>
              <w:t>0.96581</w:t>
            </w:r>
          </w:p>
        </w:tc>
      </w:tr>
    </w:tbl>
    <w:p w:rsidR="00B52880" w:rsidRDefault="00B52880" w:rsidP="00B52880">
      <w:pPr>
        <w:snapToGrid w:val="0"/>
        <w:ind w:firstLine="425"/>
        <w:jc w:val="both"/>
        <w:rPr>
          <w:sz w:val="20"/>
          <w:szCs w:val="20"/>
        </w:rPr>
      </w:pPr>
    </w:p>
    <w:p w:rsidR="00B52880" w:rsidRPr="00B52880" w:rsidRDefault="00B52880" w:rsidP="00B52880">
      <w:pPr>
        <w:snapToGrid w:val="0"/>
        <w:ind w:firstLine="425"/>
        <w:jc w:val="both"/>
        <w:rPr>
          <w:sz w:val="20"/>
          <w:szCs w:val="20"/>
        </w:rPr>
        <w:sectPr w:rsidR="00B52880" w:rsidRPr="00B52880" w:rsidSect="009F2832">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space="576"/>
          <w:docGrid w:linePitch="360"/>
        </w:sectPr>
      </w:pPr>
    </w:p>
    <w:p w:rsidR="00E4753B" w:rsidRPr="00B52880" w:rsidRDefault="00E4753B" w:rsidP="00B52880">
      <w:pPr>
        <w:snapToGrid w:val="0"/>
        <w:jc w:val="both"/>
        <w:rPr>
          <w:b/>
          <w:bCs/>
          <w:sz w:val="20"/>
          <w:szCs w:val="20"/>
        </w:rPr>
      </w:pPr>
      <w:r w:rsidRPr="00B52880">
        <w:rPr>
          <w:b/>
          <w:bCs/>
          <w:sz w:val="20"/>
          <w:szCs w:val="20"/>
        </w:rPr>
        <w:lastRenderedPageBreak/>
        <w:t>4.</w:t>
      </w:r>
      <w:r w:rsidRPr="00B52880">
        <w:rPr>
          <w:sz w:val="20"/>
          <w:szCs w:val="20"/>
        </w:rPr>
        <w:t xml:space="preserve"> </w:t>
      </w:r>
      <w:r w:rsidRPr="00B52880">
        <w:rPr>
          <w:b/>
          <w:bCs/>
          <w:sz w:val="20"/>
          <w:szCs w:val="20"/>
        </w:rPr>
        <w:t>Conclusion</w:t>
      </w:r>
    </w:p>
    <w:p w:rsidR="00E4753B" w:rsidRPr="00B52880" w:rsidRDefault="00E4753B" w:rsidP="00B52880">
      <w:pPr>
        <w:snapToGrid w:val="0"/>
        <w:ind w:firstLine="425"/>
        <w:jc w:val="both"/>
        <w:rPr>
          <w:b/>
          <w:bCs/>
          <w:sz w:val="20"/>
          <w:szCs w:val="20"/>
        </w:rPr>
      </w:pPr>
      <w:r w:rsidRPr="00B52880">
        <w:rPr>
          <w:sz w:val="20"/>
          <w:szCs w:val="20"/>
        </w:rPr>
        <w:t xml:space="preserve">The plutonium isotopic ratio for Spent Fuel Elements with different irradiation histories was studied by using ORIGEN-ARP code. The case considered is LEU 17×17 PWR fuel with an initial enrichment of 4.5%. The BU ranged between 10 and 60 </w:t>
      </w:r>
      <w:proofErr w:type="spellStart"/>
      <w:r w:rsidRPr="00B52880">
        <w:rPr>
          <w:sz w:val="20"/>
          <w:szCs w:val="20"/>
        </w:rPr>
        <w:t>GWd/t</w:t>
      </w:r>
      <w:r w:rsidR="00AA57D8" w:rsidRPr="00B52880">
        <w:rPr>
          <w:sz w:val="20"/>
          <w:szCs w:val="20"/>
        </w:rPr>
        <w:t>u</w:t>
      </w:r>
      <w:proofErr w:type="spellEnd"/>
      <w:r w:rsidRPr="00B52880">
        <w:rPr>
          <w:sz w:val="20"/>
          <w:szCs w:val="20"/>
        </w:rPr>
        <w:t xml:space="preserve"> and 20 values of cooling time, from 0 up to 100 years, were also considered. The varied parameter is the average power level.</w:t>
      </w:r>
    </w:p>
    <w:p w:rsidR="00E4753B" w:rsidRPr="00B52880" w:rsidRDefault="00E4753B" w:rsidP="00B52880">
      <w:pPr>
        <w:snapToGrid w:val="0"/>
        <w:ind w:firstLine="425"/>
        <w:jc w:val="both"/>
        <w:rPr>
          <w:sz w:val="20"/>
          <w:szCs w:val="20"/>
        </w:rPr>
      </w:pPr>
      <w:r w:rsidRPr="00B52880">
        <w:rPr>
          <w:sz w:val="20"/>
          <w:szCs w:val="20"/>
        </w:rPr>
        <w:t xml:space="preserve">The analysis of the obtained data revealed that plutonium isotopic ratio is of little sensitivity to the average power for </w:t>
      </w:r>
      <w:r w:rsidR="00AA57D8" w:rsidRPr="00B52880">
        <w:rPr>
          <w:sz w:val="20"/>
          <w:szCs w:val="20"/>
        </w:rPr>
        <w:t>BU</w:t>
      </w:r>
      <w:r w:rsidRPr="00B52880">
        <w:rPr>
          <w:sz w:val="20"/>
          <w:szCs w:val="20"/>
        </w:rPr>
        <w:t xml:space="preserve"> values above 20 </w:t>
      </w:r>
      <w:proofErr w:type="spellStart"/>
      <w:r w:rsidRPr="00B52880">
        <w:rPr>
          <w:sz w:val="20"/>
          <w:szCs w:val="20"/>
        </w:rPr>
        <w:t>GWd/t</w:t>
      </w:r>
      <w:r w:rsidR="00AA57D8" w:rsidRPr="00B52880">
        <w:rPr>
          <w:sz w:val="20"/>
          <w:szCs w:val="20"/>
        </w:rPr>
        <w:t>u</w:t>
      </w:r>
      <w:proofErr w:type="spellEnd"/>
      <w:r w:rsidRPr="00B52880">
        <w:rPr>
          <w:sz w:val="20"/>
          <w:szCs w:val="20"/>
        </w:rPr>
        <w:t>. It was found that, by varying the considered irradiation history parameters, the total neutron emission is affected. Consequently, the isotopes that depend on neutron capture in their production are also affected.</w:t>
      </w:r>
    </w:p>
    <w:p w:rsidR="00E4753B" w:rsidRPr="00B52880" w:rsidRDefault="00E4753B" w:rsidP="00B52880">
      <w:pPr>
        <w:snapToGrid w:val="0"/>
        <w:jc w:val="both"/>
        <w:rPr>
          <w:sz w:val="20"/>
          <w:szCs w:val="20"/>
        </w:rPr>
      </w:pPr>
    </w:p>
    <w:p w:rsidR="00E4753B" w:rsidRPr="00B52880" w:rsidRDefault="00E4753B" w:rsidP="00B52880">
      <w:pPr>
        <w:snapToGrid w:val="0"/>
        <w:jc w:val="both"/>
        <w:rPr>
          <w:b/>
          <w:sz w:val="20"/>
          <w:szCs w:val="20"/>
        </w:rPr>
      </w:pPr>
      <w:r w:rsidRPr="00B52880">
        <w:rPr>
          <w:b/>
          <w:sz w:val="20"/>
          <w:szCs w:val="20"/>
        </w:rPr>
        <w:t>Corresponding Author:</w:t>
      </w:r>
    </w:p>
    <w:p w:rsidR="00E4753B" w:rsidRPr="00B52880" w:rsidRDefault="00E4753B" w:rsidP="00B52880">
      <w:pPr>
        <w:snapToGrid w:val="0"/>
        <w:jc w:val="both"/>
        <w:rPr>
          <w:sz w:val="20"/>
          <w:szCs w:val="20"/>
        </w:rPr>
      </w:pPr>
      <w:r w:rsidRPr="00B52880">
        <w:rPr>
          <w:sz w:val="20"/>
          <w:szCs w:val="20"/>
        </w:rPr>
        <w:t xml:space="preserve">Prof. Dr. Ahmed G. </w:t>
      </w:r>
      <w:proofErr w:type="spellStart"/>
      <w:r w:rsidRPr="00B52880">
        <w:rPr>
          <w:sz w:val="20"/>
          <w:szCs w:val="20"/>
        </w:rPr>
        <w:t>Mostafa</w:t>
      </w:r>
      <w:proofErr w:type="spellEnd"/>
    </w:p>
    <w:p w:rsidR="00E4753B" w:rsidRPr="00B52880" w:rsidRDefault="00E4753B" w:rsidP="00B52880">
      <w:pPr>
        <w:snapToGrid w:val="0"/>
        <w:jc w:val="both"/>
        <w:rPr>
          <w:sz w:val="20"/>
          <w:szCs w:val="20"/>
        </w:rPr>
      </w:pPr>
      <w:r w:rsidRPr="00B52880">
        <w:rPr>
          <w:sz w:val="20"/>
          <w:szCs w:val="20"/>
        </w:rPr>
        <w:t>Department of Physics</w:t>
      </w:r>
    </w:p>
    <w:p w:rsidR="00E4753B" w:rsidRPr="00B52880" w:rsidRDefault="00E4753B" w:rsidP="00B52880">
      <w:pPr>
        <w:snapToGrid w:val="0"/>
        <w:jc w:val="both"/>
        <w:rPr>
          <w:sz w:val="20"/>
          <w:szCs w:val="20"/>
        </w:rPr>
      </w:pPr>
      <w:r w:rsidRPr="00B52880">
        <w:rPr>
          <w:sz w:val="20"/>
          <w:szCs w:val="20"/>
        </w:rPr>
        <w:t>Faculty of Science</w:t>
      </w:r>
    </w:p>
    <w:p w:rsidR="00E4753B" w:rsidRPr="00B52880" w:rsidRDefault="00E4753B" w:rsidP="00B52880">
      <w:pPr>
        <w:snapToGrid w:val="0"/>
        <w:jc w:val="both"/>
        <w:rPr>
          <w:sz w:val="20"/>
          <w:szCs w:val="20"/>
        </w:rPr>
      </w:pPr>
      <w:r w:rsidRPr="00B52880">
        <w:rPr>
          <w:sz w:val="20"/>
          <w:szCs w:val="20"/>
        </w:rPr>
        <w:t>Al-</w:t>
      </w:r>
      <w:proofErr w:type="spellStart"/>
      <w:r w:rsidRPr="00B52880">
        <w:rPr>
          <w:sz w:val="20"/>
          <w:szCs w:val="20"/>
        </w:rPr>
        <w:t>Azhar</w:t>
      </w:r>
      <w:proofErr w:type="spellEnd"/>
      <w:r w:rsidRPr="00B52880">
        <w:rPr>
          <w:sz w:val="20"/>
          <w:szCs w:val="20"/>
        </w:rPr>
        <w:t xml:space="preserve"> </w:t>
      </w:r>
      <w:smartTag w:uri="urn:schemas-microsoft-com:office:smarttags" w:element="PlaceType">
        <w:r w:rsidRPr="00B52880">
          <w:rPr>
            <w:sz w:val="20"/>
            <w:szCs w:val="20"/>
          </w:rPr>
          <w:t>University</w:t>
        </w:r>
      </w:smartTag>
      <w:r w:rsidRPr="00B52880">
        <w:rPr>
          <w:sz w:val="20"/>
          <w:szCs w:val="20"/>
        </w:rPr>
        <w:t>, Nasr City, Cairo, Egypt</w:t>
      </w:r>
    </w:p>
    <w:p w:rsidR="00E4753B" w:rsidRPr="00B52880" w:rsidRDefault="00E4753B" w:rsidP="00B52880">
      <w:pPr>
        <w:snapToGrid w:val="0"/>
        <w:jc w:val="both"/>
        <w:rPr>
          <w:sz w:val="20"/>
          <w:szCs w:val="20"/>
        </w:rPr>
      </w:pPr>
      <w:r w:rsidRPr="00B52880">
        <w:rPr>
          <w:sz w:val="20"/>
          <w:szCs w:val="20"/>
        </w:rPr>
        <w:t xml:space="preserve">E-mail: </w:t>
      </w:r>
      <w:hyperlink r:id="rId34" w:history="1">
        <w:r w:rsidR="009E21E8" w:rsidRPr="00B52880">
          <w:rPr>
            <w:rStyle w:val="Hyperlink"/>
            <w:sz w:val="20"/>
            <w:szCs w:val="20"/>
          </w:rPr>
          <w:t>*drahmedgamal@yahoo.com</w:t>
        </w:r>
      </w:hyperlink>
    </w:p>
    <w:p w:rsidR="00E4753B" w:rsidRPr="00B52880" w:rsidRDefault="00455C6B" w:rsidP="00B52880">
      <w:pPr>
        <w:snapToGrid w:val="0"/>
        <w:ind w:firstLine="425"/>
        <w:jc w:val="both"/>
        <w:rPr>
          <w:sz w:val="20"/>
          <w:szCs w:val="20"/>
          <w:lang w:eastAsia="zh-CN"/>
        </w:rPr>
      </w:pPr>
      <w:r>
        <w:rPr>
          <w:rFonts w:hint="eastAsia"/>
          <w:sz w:val="20"/>
          <w:szCs w:val="20"/>
          <w:lang w:eastAsia="zh-CN"/>
        </w:rPr>
        <w:t xml:space="preserve"> </w:t>
      </w:r>
    </w:p>
    <w:p w:rsidR="00E4753B" w:rsidRPr="00B52880" w:rsidRDefault="00E4753B" w:rsidP="00B52880">
      <w:pPr>
        <w:snapToGrid w:val="0"/>
        <w:jc w:val="both"/>
        <w:rPr>
          <w:b/>
          <w:sz w:val="20"/>
          <w:szCs w:val="20"/>
        </w:rPr>
      </w:pPr>
      <w:r w:rsidRPr="00B52880">
        <w:rPr>
          <w:b/>
          <w:sz w:val="20"/>
          <w:szCs w:val="20"/>
        </w:rPr>
        <w:t>References</w:t>
      </w:r>
    </w:p>
    <w:p w:rsidR="00E4753B" w:rsidRPr="00B52880" w:rsidRDefault="00E4753B" w:rsidP="00B52880">
      <w:pPr>
        <w:numPr>
          <w:ilvl w:val="0"/>
          <w:numId w:val="4"/>
        </w:numPr>
        <w:tabs>
          <w:tab w:val="clear" w:pos="720"/>
        </w:tabs>
        <w:snapToGrid w:val="0"/>
        <w:ind w:left="425" w:hanging="425"/>
        <w:jc w:val="both"/>
        <w:rPr>
          <w:sz w:val="20"/>
          <w:szCs w:val="20"/>
        </w:rPr>
      </w:pPr>
      <w:r w:rsidRPr="00B52880">
        <w:rPr>
          <w:sz w:val="20"/>
          <w:szCs w:val="20"/>
        </w:rPr>
        <w:t xml:space="preserve">S.R. </w:t>
      </w:r>
      <w:proofErr w:type="spellStart"/>
      <w:r w:rsidRPr="00B52880">
        <w:rPr>
          <w:sz w:val="20"/>
          <w:szCs w:val="20"/>
        </w:rPr>
        <w:t>Biegalski</w:t>
      </w:r>
      <w:proofErr w:type="spellEnd"/>
      <w:r w:rsidRPr="00B52880">
        <w:rPr>
          <w:sz w:val="20"/>
          <w:szCs w:val="20"/>
        </w:rPr>
        <w:t>, S.M. Whitney and B.A. Buchholz, “Analyzing Nuclear Fuel Cycles from Isotopic Ratios of Waste Products Applicable to Measurement by Accelerator Mass Spectrometry” UCRL-JRNL-215027, 2006.</w:t>
      </w:r>
    </w:p>
    <w:p w:rsidR="00E4753B" w:rsidRPr="00B52880" w:rsidRDefault="00E4753B" w:rsidP="00B52880">
      <w:pPr>
        <w:numPr>
          <w:ilvl w:val="0"/>
          <w:numId w:val="4"/>
        </w:numPr>
        <w:tabs>
          <w:tab w:val="clear" w:pos="720"/>
        </w:tabs>
        <w:snapToGrid w:val="0"/>
        <w:ind w:left="425" w:hanging="425"/>
        <w:jc w:val="both"/>
        <w:rPr>
          <w:sz w:val="20"/>
          <w:szCs w:val="20"/>
        </w:rPr>
      </w:pPr>
      <w:proofErr w:type="spellStart"/>
      <w:r w:rsidRPr="00B52880">
        <w:rPr>
          <w:sz w:val="20"/>
          <w:szCs w:val="20"/>
        </w:rPr>
        <w:lastRenderedPageBreak/>
        <w:t>Vidmantas</w:t>
      </w:r>
      <w:proofErr w:type="spellEnd"/>
      <w:r w:rsidRPr="00B52880">
        <w:rPr>
          <w:sz w:val="20"/>
          <w:szCs w:val="20"/>
        </w:rPr>
        <w:t xml:space="preserve"> </w:t>
      </w:r>
      <w:proofErr w:type="spellStart"/>
      <w:r w:rsidRPr="00B52880">
        <w:rPr>
          <w:sz w:val="20"/>
          <w:szCs w:val="20"/>
        </w:rPr>
        <w:t>Remeikis</w:t>
      </w:r>
      <w:proofErr w:type="spellEnd"/>
      <w:r w:rsidRPr="00B52880">
        <w:rPr>
          <w:sz w:val="20"/>
          <w:szCs w:val="20"/>
        </w:rPr>
        <w:t xml:space="preserve">, Rasa </w:t>
      </w:r>
      <w:proofErr w:type="spellStart"/>
      <w:r w:rsidRPr="00B52880">
        <w:rPr>
          <w:sz w:val="20"/>
          <w:szCs w:val="20"/>
        </w:rPr>
        <w:t>Gvozdaite</w:t>
      </w:r>
      <w:proofErr w:type="spellEnd"/>
      <w:r w:rsidR="00455C6B" w:rsidRPr="00B52880">
        <w:rPr>
          <w:sz w:val="20"/>
          <w:szCs w:val="20"/>
        </w:rPr>
        <w:t>,</w:t>
      </w:r>
      <w:r w:rsidRPr="00B52880">
        <w:rPr>
          <w:sz w:val="20"/>
          <w:szCs w:val="20"/>
        </w:rPr>
        <w:t xml:space="preserve"> </w:t>
      </w:r>
      <w:proofErr w:type="spellStart"/>
      <w:r w:rsidRPr="00B52880">
        <w:rPr>
          <w:sz w:val="20"/>
          <w:szCs w:val="20"/>
        </w:rPr>
        <w:t>Ru</w:t>
      </w:r>
      <w:proofErr w:type="spellEnd"/>
      <w:r w:rsidRPr="00B52880">
        <w:rPr>
          <w:sz w:val="20"/>
          <w:szCs w:val="20"/>
        </w:rPr>
        <w:t xml:space="preserve">- </w:t>
      </w:r>
      <w:proofErr w:type="spellStart"/>
      <w:r w:rsidRPr="00B52880">
        <w:rPr>
          <w:sz w:val="20"/>
          <w:szCs w:val="20"/>
        </w:rPr>
        <w:t>ta</w:t>
      </w:r>
      <w:proofErr w:type="spellEnd"/>
      <w:r w:rsidRPr="00B52880">
        <w:rPr>
          <w:sz w:val="20"/>
          <w:szCs w:val="20"/>
        </w:rPr>
        <w:t xml:space="preserve"> </w:t>
      </w:r>
      <w:proofErr w:type="spellStart"/>
      <w:r w:rsidRPr="00B52880">
        <w:rPr>
          <w:sz w:val="20"/>
          <w:szCs w:val="20"/>
        </w:rPr>
        <w:t>Druteikiene</w:t>
      </w:r>
      <w:proofErr w:type="spellEnd"/>
      <w:r w:rsidRPr="00B52880">
        <w:rPr>
          <w:sz w:val="20"/>
          <w:szCs w:val="20"/>
        </w:rPr>
        <w:t xml:space="preserve">, </w:t>
      </w:r>
      <w:proofErr w:type="spellStart"/>
      <w:r w:rsidRPr="00B52880">
        <w:rPr>
          <w:sz w:val="20"/>
          <w:szCs w:val="20"/>
        </w:rPr>
        <w:t>Arturas</w:t>
      </w:r>
      <w:proofErr w:type="spellEnd"/>
      <w:r w:rsidRPr="00B52880">
        <w:rPr>
          <w:sz w:val="20"/>
          <w:szCs w:val="20"/>
        </w:rPr>
        <w:t xml:space="preserve"> </w:t>
      </w:r>
      <w:proofErr w:type="spellStart"/>
      <w:r w:rsidRPr="00B52880">
        <w:rPr>
          <w:sz w:val="20"/>
          <w:szCs w:val="20"/>
        </w:rPr>
        <w:t>Plukis</w:t>
      </w:r>
      <w:proofErr w:type="spellEnd"/>
      <w:r w:rsidRPr="00B52880">
        <w:rPr>
          <w:sz w:val="20"/>
          <w:szCs w:val="20"/>
        </w:rPr>
        <w:t xml:space="preserve">, </w:t>
      </w:r>
      <w:proofErr w:type="spellStart"/>
      <w:r w:rsidRPr="00B52880">
        <w:rPr>
          <w:sz w:val="20"/>
          <w:szCs w:val="20"/>
        </w:rPr>
        <w:t>Nikolaj</w:t>
      </w:r>
      <w:proofErr w:type="spellEnd"/>
      <w:r w:rsidRPr="00B52880">
        <w:rPr>
          <w:sz w:val="20"/>
          <w:szCs w:val="20"/>
        </w:rPr>
        <w:t xml:space="preserve"> </w:t>
      </w:r>
      <w:proofErr w:type="spellStart"/>
      <w:r w:rsidRPr="00B52880">
        <w:rPr>
          <w:sz w:val="20"/>
          <w:szCs w:val="20"/>
        </w:rPr>
        <w:t>Tarasiuk</w:t>
      </w:r>
      <w:proofErr w:type="spellEnd"/>
      <w:r w:rsidRPr="00B52880">
        <w:rPr>
          <w:sz w:val="20"/>
          <w:szCs w:val="20"/>
        </w:rPr>
        <w:t xml:space="preserve"> and </w:t>
      </w:r>
      <w:proofErr w:type="spellStart"/>
      <w:r w:rsidRPr="00B52880">
        <w:rPr>
          <w:sz w:val="20"/>
          <w:szCs w:val="20"/>
        </w:rPr>
        <w:t>Narciza</w:t>
      </w:r>
      <w:proofErr w:type="spellEnd"/>
      <w:r w:rsidRPr="00B52880">
        <w:rPr>
          <w:sz w:val="20"/>
          <w:szCs w:val="20"/>
        </w:rPr>
        <w:t xml:space="preserve"> </w:t>
      </w:r>
      <w:proofErr w:type="spellStart"/>
      <w:r w:rsidRPr="00B52880">
        <w:rPr>
          <w:sz w:val="20"/>
          <w:szCs w:val="20"/>
        </w:rPr>
        <w:t>Špirkauskaite</w:t>
      </w:r>
      <w:proofErr w:type="spellEnd"/>
      <w:r w:rsidRPr="00B52880">
        <w:rPr>
          <w:sz w:val="20"/>
          <w:szCs w:val="20"/>
        </w:rPr>
        <w:t>, “Plutonium and americium in sediments of Lithuanian lakes”, NUKLEONIKA, 50 (2) (2005) 61−66.</w:t>
      </w:r>
    </w:p>
    <w:p w:rsidR="00E4753B" w:rsidRPr="00B52880" w:rsidRDefault="00E4753B" w:rsidP="00B52880">
      <w:pPr>
        <w:numPr>
          <w:ilvl w:val="0"/>
          <w:numId w:val="4"/>
        </w:numPr>
        <w:tabs>
          <w:tab w:val="clear" w:pos="720"/>
        </w:tabs>
        <w:snapToGrid w:val="0"/>
        <w:ind w:left="425" w:hanging="425"/>
        <w:jc w:val="both"/>
        <w:rPr>
          <w:sz w:val="20"/>
          <w:szCs w:val="20"/>
        </w:rPr>
      </w:pPr>
      <w:r w:rsidRPr="00B52880">
        <w:rPr>
          <w:sz w:val="20"/>
          <w:szCs w:val="20"/>
        </w:rPr>
        <w:t xml:space="preserve">Anders </w:t>
      </w:r>
      <w:proofErr w:type="spellStart"/>
      <w:r w:rsidRPr="00B52880">
        <w:rPr>
          <w:sz w:val="20"/>
          <w:szCs w:val="20"/>
        </w:rPr>
        <w:t>Axelsson</w:t>
      </w:r>
      <w:proofErr w:type="spellEnd"/>
      <w:r w:rsidRPr="00B52880">
        <w:rPr>
          <w:sz w:val="20"/>
          <w:szCs w:val="20"/>
        </w:rPr>
        <w:t xml:space="preserve">, </w:t>
      </w:r>
      <w:proofErr w:type="spellStart"/>
      <w:r w:rsidRPr="00B52880">
        <w:rPr>
          <w:sz w:val="20"/>
          <w:szCs w:val="20"/>
        </w:rPr>
        <w:t>Henrick</w:t>
      </w:r>
      <w:proofErr w:type="spellEnd"/>
      <w:r w:rsidRPr="00B52880">
        <w:rPr>
          <w:sz w:val="20"/>
          <w:szCs w:val="20"/>
        </w:rPr>
        <w:t xml:space="preserve"> </w:t>
      </w:r>
      <w:proofErr w:type="spellStart"/>
      <w:r w:rsidRPr="00B52880">
        <w:rPr>
          <w:sz w:val="20"/>
          <w:szCs w:val="20"/>
        </w:rPr>
        <w:t>Rameback</w:t>
      </w:r>
      <w:proofErr w:type="spellEnd"/>
      <w:r w:rsidRPr="00B52880">
        <w:rPr>
          <w:sz w:val="20"/>
          <w:szCs w:val="20"/>
        </w:rPr>
        <w:t xml:space="preserve"> and </w:t>
      </w:r>
      <w:proofErr w:type="spellStart"/>
      <w:r w:rsidRPr="00B52880">
        <w:rPr>
          <w:sz w:val="20"/>
          <w:szCs w:val="20"/>
        </w:rPr>
        <w:t>Bojrn</w:t>
      </w:r>
      <w:proofErr w:type="spellEnd"/>
      <w:r w:rsidRPr="00B52880">
        <w:rPr>
          <w:sz w:val="20"/>
          <w:szCs w:val="20"/>
        </w:rPr>
        <w:t xml:space="preserve"> Sandstorm, “U and </w:t>
      </w:r>
      <w:proofErr w:type="spellStart"/>
      <w:r w:rsidRPr="00B52880">
        <w:rPr>
          <w:sz w:val="20"/>
          <w:szCs w:val="20"/>
        </w:rPr>
        <w:t>Pu</w:t>
      </w:r>
      <w:proofErr w:type="spellEnd"/>
      <w:r w:rsidRPr="00B52880">
        <w:rPr>
          <w:sz w:val="20"/>
          <w:szCs w:val="20"/>
        </w:rPr>
        <w:t xml:space="preserve"> isotopic correlations to check consistency of seized nuclear material against a known inventory”, JNMM, Journal of the Institute of Nuclear Materials Management, XLII (4) (July 2014) 70.</w:t>
      </w:r>
    </w:p>
    <w:p w:rsidR="00E4753B" w:rsidRPr="00B52880" w:rsidRDefault="00E4753B" w:rsidP="00B52880">
      <w:pPr>
        <w:numPr>
          <w:ilvl w:val="0"/>
          <w:numId w:val="4"/>
        </w:numPr>
        <w:tabs>
          <w:tab w:val="clear" w:pos="720"/>
        </w:tabs>
        <w:snapToGrid w:val="0"/>
        <w:ind w:left="425" w:hanging="425"/>
        <w:jc w:val="both"/>
        <w:rPr>
          <w:sz w:val="20"/>
          <w:szCs w:val="20"/>
        </w:rPr>
      </w:pPr>
      <w:r w:rsidRPr="00B52880">
        <w:rPr>
          <w:sz w:val="20"/>
          <w:szCs w:val="20"/>
        </w:rPr>
        <w:t xml:space="preserve">Evan Maxwell </w:t>
      </w:r>
      <w:proofErr w:type="spellStart"/>
      <w:r w:rsidRPr="00B52880">
        <w:rPr>
          <w:sz w:val="20"/>
          <w:szCs w:val="20"/>
        </w:rPr>
        <w:t>Reded</w:t>
      </w:r>
      <w:proofErr w:type="spellEnd"/>
      <w:r w:rsidRPr="00B52880">
        <w:rPr>
          <w:sz w:val="20"/>
          <w:szCs w:val="20"/>
        </w:rPr>
        <w:t>, “X-10 REACTOR FORENSIC ANALYSIS AND EVALUATION USING a SUITE OF NEUTRON TRANSPORT CODES”, Master thesis, Georgia Institute of Technology August 2015.</w:t>
      </w:r>
    </w:p>
    <w:p w:rsidR="00E4753B" w:rsidRPr="00B52880" w:rsidRDefault="00E4753B" w:rsidP="00B52880">
      <w:pPr>
        <w:numPr>
          <w:ilvl w:val="0"/>
          <w:numId w:val="4"/>
        </w:numPr>
        <w:tabs>
          <w:tab w:val="clear" w:pos="720"/>
        </w:tabs>
        <w:snapToGrid w:val="0"/>
        <w:ind w:left="425" w:hanging="425"/>
        <w:jc w:val="both"/>
        <w:rPr>
          <w:sz w:val="20"/>
          <w:szCs w:val="20"/>
        </w:rPr>
      </w:pPr>
      <w:r w:rsidRPr="00B52880">
        <w:rPr>
          <w:sz w:val="20"/>
          <w:szCs w:val="20"/>
        </w:rPr>
        <w:t xml:space="preserve">S. </w:t>
      </w:r>
      <w:proofErr w:type="spellStart"/>
      <w:r w:rsidRPr="00B52880">
        <w:rPr>
          <w:sz w:val="20"/>
          <w:szCs w:val="20"/>
        </w:rPr>
        <w:t>Vaccaro</w:t>
      </w:r>
      <w:proofErr w:type="spellEnd"/>
      <w:r w:rsidRPr="00B52880">
        <w:rPr>
          <w:sz w:val="20"/>
          <w:szCs w:val="20"/>
        </w:rPr>
        <w:t>,</w:t>
      </w:r>
      <w:r w:rsidR="00455C6B">
        <w:rPr>
          <w:sz w:val="20"/>
          <w:szCs w:val="20"/>
        </w:rPr>
        <w:t xml:space="preserve"> </w:t>
      </w:r>
      <w:r w:rsidRPr="00B52880">
        <w:rPr>
          <w:sz w:val="20"/>
          <w:szCs w:val="20"/>
        </w:rPr>
        <w:t xml:space="preserve">J. </w:t>
      </w:r>
      <w:proofErr w:type="spellStart"/>
      <w:r w:rsidRPr="00B52880">
        <w:rPr>
          <w:sz w:val="20"/>
          <w:szCs w:val="20"/>
        </w:rPr>
        <w:t>Hu</w:t>
      </w:r>
      <w:proofErr w:type="spellEnd"/>
      <w:r w:rsidRPr="00B52880">
        <w:rPr>
          <w:sz w:val="20"/>
          <w:szCs w:val="20"/>
        </w:rPr>
        <w:t>,</w:t>
      </w:r>
      <w:r w:rsidR="00455C6B">
        <w:rPr>
          <w:sz w:val="20"/>
          <w:szCs w:val="20"/>
        </w:rPr>
        <w:t xml:space="preserve"> </w:t>
      </w:r>
      <w:r w:rsidRPr="00B52880">
        <w:rPr>
          <w:sz w:val="20"/>
          <w:szCs w:val="20"/>
        </w:rPr>
        <w:t xml:space="preserve">J. </w:t>
      </w:r>
      <w:proofErr w:type="spellStart"/>
      <w:r w:rsidRPr="00B52880">
        <w:rPr>
          <w:sz w:val="20"/>
          <w:szCs w:val="20"/>
        </w:rPr>
        <w:t>Svedkauskaite</w:t>
      </w:r>
      <w:proofErr w:type="spellEnd"/>
      <w:r w:rsidRPr="00B52880">
        <w:rPr>
          <w:sz w:val="20"/>
          <w:szCs w:val="20"/>
        </w:rPr>
        <w:t>,</w:t>
      </w:r>
      <w:r w:rsidR="00455C6B">
        <w:rPr>
          <w:sz w:val="20"/>
          <w:szCs w:val="20"/>
        </w:rPr>
        <w:t xml:space="preserve"> </w:t>
      </w:r>
      <w:r w:rsidRPr="00B52880">
        <w:rPr>
          <w:sz w:val="20"/>
          <w:szCs w:val="20"/>
        </w:rPr>
        <w:t xml:space="preserve">A. </w:t>
      </w:r>
      <w:proofErr w:type="spellStart"/>
      <w:r w:rsidRPr="00B52880">
        <w:rPr>
          <w:sz w:val="20"/>
          <w:szCs w:val="20"/>
        </w:rPr>
        <w:t>Smejkal</w:t>
      </w:r>
      <w:proofErr w:type="spellEnd"/>
      <w:r w:rsidRPr="00B52880">
        <w:rPr>
          <w:sz w:val="20"/>
          <w:szCs w:val="20"/>
        </w:rPr>
        <w:t>,</w:t>
      </w:r>
      <w:r w:rsidR="00455C6B">
        <w:rPr>
          <w:sz w:val="20"/>
          <w:szCs w:val="20"/>
        </w:rPr>
        <w:t xml:space="preserve"> </w:t>
      </w:r>
      <w:r w:rsidRPr="00B52880">
        <w:rPr>
          <w:sz w:val="20"/>
          <w:szCs w:val="20"/>
        </w:rPr>
        <w:t xml:space="preserve">P. </w:t>
      </w:r>
      <w:proofErr w:type="spellStart"/>
      <w:r w:rsidRPr="00B52880">
        <w:rPr>
          <w:sz w:val="20"/>
          <w:szCs w:val="20"/>
        </w:rPr>
        <w:t>Schwalbach</w:t>
      </w:r>
      <w:proofErr w:type="spellEnd"/>
      <w:r w:rsidRPr="00B52880">
        <w:rPr>
          <w:sz w:val="20"/>
          <w:szCs w:val="20"/>
        </w:rPr>
        <w:t>,</w:t>
      </w:r>
      <w:r w:rsidR="00455C6B">
        <w:rPr>
          <w:sz w:val="20"/>
          <w:szCs w:val="20"/>
        </w:rPr>
        <w:t xml:space="preserve"> </w:t>
      </w:r>
      <w:r w:rsidRPr="00B52880">
        <w:rPr>
          <w:sz w:val="20"/>
          <w:szCs w:val="20"/>
        </w:rPr>
        <w:t xml:space="preserve">P. De </w:t>
      </w:r>
      <w:proofErr w:type="spellStart"/>
      <w:r w:rsidRPr="00B52880">
        <w:rPr>
          <w:sz w:val="20"/>
          <w:szCs w:val="20"/>
        </w:rPr>
        <w:t>Baere</w:t>
      </w:r>
      <w:proofErr w:type="spellEnd"/>
      <w:r w:rsidRPr="00B52880">
        <w:rPr>
          <w:sz w:val="20"/>
          <w:szCs w:val="20"/>
        </w:rPr>
        <w:t xml:space="preserve"> and I.C. </w:t>
      </w:r>
      <w:proofErr w:type="spellStart"/>
      <w:r w:rsidRPr="00B52880">
        <w:rPr>
          <w:sz w:val="20"/>
          <w:szCs w:val="20"/>
        </w:rPr>
        <w:t>Gauld</w:t>
      </w:r>
      <w:proofErr w:type="spellEnd"/>
      <w:r w:rsidRPr="00B52880">
        <w:rPr>
          <w:sz w:val="20"/>
          <w:szCs w:val="20"/>
        </w:rPr>
        <w:t>, "A New Approach to Fork Measurements Data Analysis by RADAR-CRISP and ORIGEN Integration", IEEE Transactions on Nuclear Science</w:t>
      </w:r>
      <w:r w:rsidR="00455C6B">
        <w:rPr>
          <w:sz w:val="20"/>
          <w:szCs w:val="20"/>
        </w:rPr>
        <w:t xml:space="preserve"> </w:t>
      </w:r>
      <w:r w:rsidRPr="00B52880">
        <w:rPr>
          <w:sz w:val="20"/>
          <w:szCs w:val="20"/>
        </w:rPr>
        <w:t>Volume 61, Issue (4),</w:t>
      </w:r>
      <w:r w:rsidR="00455C6B">
        <w:rPr>
          <w:sz w:val="20"/>
          <w:szCs w:val="20"/>
        </w:rPr>
        <w:t xml:space="preserve"> </w:t>
      </w:r>
      <w:r w:rsidRPr="00B52880">
        <w:rPr>
          <w:sz w:val="20"/>
          <w:szCs w:val="20"/>
        </w:rPr>
        <w:t>(Aug. 2014) 2161–2168.</w:t>
      </w:r>
    </w:p>
    <w:p w:rsidR="00E4753B" w:rsidRPr="00B52880" w:rsidRDefault="00E4753B" w:rsidP="00B52880">
      <w:pPr>
        <w:numPr>
          <w:ilvl w:val="0"/>
          <w:numId w:val="4"/>
        </w:numPr>
        <w:tabs>
          <w:tab w:val="clear" w:pos="720"/>
        </w:tabs>
        <w:snapToGrid w:val="0"/>
        <w:ind w:left="425" w:hanging="425"/>
        <w:jc w:val="both"/>
        <w:rPr>
          <w:sz w:val="20"/>
          <w:szCs w:val="20"/>
        </w:rPr>
      </w:pPr>
      <w:proofErr w:type="spellStart"/>
      <w:r w:rsidRPr="00B52880">
        <w:rPr>
          <w:sz w:val="20"/>
          <w:szCs w:val="20"/>
        </w:rPr>
        <w:t>Germina</w:t>
      </w:r>
      <w:proofErr w:type="spellEnd"/>
      <w:r w:rsidRPr="00B52880">
        <w:rPr>
          <w:sz w:val="20"/>
          <w:szCs w:val="20"/>
        </w:rPr>
        <w:t xml:space="preserve"> </w:t>
      </w:r>
      <w:proofErr w:type="spellStart"/>
      <w:r w:rsidRPr="00B52880">
        <w:rPr>
          <w:sz w:val="20"/>
          <w:szCs w:val="20"/>
        </w:rPr>
        <w:t>Ilas</w:t>
      </w:r>
      <w:proofErr w:type="spellEnd"/>
      <w:r w:rsidRPr="00B52880">
        <w:rPr>
          <w:sz w:val="20"/>
          <w:szCs w:val="20"/>
        </w:rPr>
        <w:t xml:space="preserve">, B.D. Murphy and I.C. </w:t>
      </w:r>
      <w:proofErr w:type="spellStart"/>
      <w:r w:rsidRPr="00B52880">
        <w:rPr>
          <w:sz w:val="20"/>
          <w:szCs w:val="20"/>
        </w:rPr>
        <w:t>Gauld</w:t>
      </w:r>
      <w:proofErr w:type="spellEnd"/>
      <w:r w:rsidRPr="00B52880">
        <w:rPr>
          <w:sz w:val="20"/>
          <w:szCs w:val="20"/>
        </w:rPr>
        <w:t>, "Overview of ORIGEN-ARP and its Application to VVER and RBMK", Oak Ridge National Laboratory, Oak Ridge, TN, 37831-6170.</w:t>
      </w:r>
    </w:p>
    <w:p w:rsidR="00E4753B" w:rsidRPr="00B52880" w:rsidRDefault="00E4753B" w:rsidP="00B52880">
      <w:pPr>
        <w:numPr>
          <w:ilvl w:val="0"/>
          <w:numId w:val="4"/>
        </w:numPr>
        <w:tabs>
          <w:tab w:val="clear" w:pos="720"/>
        </w:tabs>
        <w:snapToGrid w:val="0"/>
        <w:ind w:left="425" w:hanging="425"/>
        <w:jc w:val="both"/>
        <w:rPr>
          <w:sz w:val="20"/>
          <w:szCs w:val="20"/>
        </w:rPr>
      </w:pPr>
      <w:r w:rsidRPr="00B52880">
        <w:rPr>
          <w:sz w:val="20"/>
          <w:szCs w:val="20"/>
        </w:rPr>
        <w:t xml:space="preserve">R. </w:t>
      </w:r>
      <w:proofErr w:type="spellStart"/>
      <w:r w:rsidRPr="00B52880">
        <w:rPr>
          <w:sz w:val="20"/>
          <w:szCs w:val="20"/>
        </w:rPr>
        <w:t>Rossa</w:t>
      </w:r>
      <w:proofErr w:type="spellEnd"/>
      <w:r w:rsidRPr="00B52880">
        <w:rPr>
          <w:sz w:val="20"/>
          <w:szCs w:val="20"/>
        </w:rPr>
        <w:t xml:space="preserve">, A. </w:t>
      </w:r>
      <w:proofErr w:type="spellStart"/>
      <w:r w:rsidRPr="00B52880">
        <w:rPr>
          <w:sz w:val="20"/>
          <w:szCs w:val="20"/>
        </w:rPr>
        <w:t>Borella</w:t>
      </w:r>
      <w:proofErr w:type="spellEnd"/>
      <w:r w:rsidRPr="00B52880">
        <w:rPr>
          <w:sz w:val="20"/>
          <w:szCs w:val="20"/>
        </w:rPr>
        <w:t xml:space="preserve"> and K. van </w:t>
      </w:r>
      <w:proofErr w:type="spellStart"/>
      <w:r w:rsidRPr="00B52880">
        <w:rPr>
          <w:sz w:val="20"/>
          <w:szCs w:val="20"/>
        </w:rPr>
        <w:t>der</w:t>
      </w:r>
      <w:proofErr w:type="spellEnd"/>
      <w:r w:rsidRPr="00B52880">
        <w:rPr>
          <w:sz w:val="20"/>
          <w:szCs w:val="20"/>
        </w:rPr>
        <w:t xml:space="preserve"> Meer, "Development of a reference spent fuel library of </w:t>
      </w:r>
      <w:r w:rsidRPr="00B52880">
        <w:rPr>
          <w:sz w:val="20"/>
          <w:szCs w:val="20"/>
        </w:rPr>
        <w:lastRenderedPageBreak/>
        <w:t>17x17 PWR fuel assemblies", ESARDA BULLETIN, No. 50 (December 2013) 9-17.</w:t>
      </w:r>
    </w:p>
    <w:p w:rsidR="00E4753B" w:rsidRPr="00B52880" w:rsidRDefault="00E4753B" w:rsidP="00B52880">
      <w:pPr>
        <w:numPr>
          <w:ilvl w:val="0"/>
          <w:numId w:val="4"/>
        </w:numPr>
        <w:tabs>
          <w:tab w:val="clear" w:pos="720"/>
        </w:tabs>
        <w:snapToGrid w:val="0"/>
        <w:ind w:left="425" w:hanging="425"/>
        <w:jc w:val="both"/>
        <w:rPr>
          <w:sz w:val="20"/>
          <w:szCs w:val="20"/>
        </w:rPr>
      </w:pPr>
      <w:r w:rsidRPr="00B52880">
        <w:rPr>
          <w:sz w:val="20"/>
          <w:szCs w:val="20"/>
        </w:rPr>
        <w:t xml:space="preserve">R. </w:t>
      </w:r>
      <w:proofErr w:type="spellStart"/>
      <w:r w:rsidRPr="00B52880">
        <w:rPr>
          <w:sz w:val="20"/>
          <w:szCs w:val="20"/>
        </w:rPr>
        <w:t>Rossa</w:t>
      </w:r>
      <w:proofErr w:type="spellEnd"/>
      <w:r w:rsidRPr="00B52880">
        <w:rPr>
          <w:sz w:val="20"/>
          <w:szCs w:val="20"/>
        </w:rPr>
        <w:t xml:space="preserve">, A. </w:t>
      </w:r>
      <w:proofErr w:type="spellStart"/>
      <w:r w:rsidRPr="00B52880">
        <w:rPr>
          <w:sz w:val="20"/>
          <w:szCs w:val="20"/>
        </w:rPr>
        <w:t>Borella</w:t>
      </w:r>
      <w:proofErr w:type="spellEnd"/>
      <w:r w:rsidRPr="00B52880">
        <w:rPr>
          <w:sz w:val="20"/>
          <w:szCs w:val="20"/>
        </w:rPr>
        <w:t xml:space="preserve"> and K. van </w:t>
      </w:r>
      <w:proofErr w:type="spellStart"/>
      <w:r w:rsidRPr="00B52880">
        <w:rPr>
          <w:sz w:val="20"/>
          <w:szCs w:val="20"/>
        </w:rPr>
        <w:t>der</w:t>
      </w:r>
      <w:proofErr w:type="spellEnd"/>
      <w:r w:rsidRPr="00B52880">
        <w:rPr>
          <w:sz w:val="20"/>
          <w:szCs w:val="20"/>
        </w:rPr>
        <w:t xml:space="preserve"> Meer, "Development of the reference spent fuel library using ORIGEN-ARP and ALEPH2.2", Restricted contract report SCK•CEN-R-5511.</w:t>
      </w:r>
    </w:p>
    <w:p w:rsidR="00E4753B" w:rsidRPr="00B52880" w:rsidRDefault="00E4753B" w:rsidP="00B52880">
      <w:pPr>
        <w:numPr>
          <w:ilvl w:val="0"/>
          <w:numId w:val="4"/>
        </w:numPr>
        <w:tabs>
          <w:tab w:val="clear" w:pos="720"/>
        </w:tabs>
        <w:snapToGrid w:val="0"/>
        <w:ind w:left="425" w:hanging="425"/>
        <w:jc w:val="both"/>
        <w:rPr>
          <w:sz w:val="20"/>
          <w:szCs w:val="20"/>
        </w:rPr>
      </w:pPr>
      <w:r w:rsidRPr="00B52880">
        <w:rPr>
          <w:sz w:val="20"/>
          <w:szCs w:val="20"/>
        </w:rPr>
        <w:t xml:space="preserve">H.R. </w:t>
      </w:r>
      <w:proofErr w:type="spellStart"/>
      <w:r w:rsidRPr="00B52880">
        <w:rPr>
          <w:sz w:val="20"/>
          <w:szCs w:val="20"/>
        </w:rPr>
        <w:t>Trellue</w:t>
      </w:r>
      <w:proofErr w:type="spellEnd"/>
      <w:r w:rsidRPr="00B52880">
        <w:rPr>
          <w:sz w:val="20"/>
          <w:szCs w:val="20"/>
        </w:rPr>
        <w:t xml:space="preserve"> "Description of the Spent Nuclear Fuel Used in the Next Generation Safeguards Initiative to Determine Plutonium Mass in Spent Fuel", LA-UR-11-00300 (December 2010).</w:t>
      </w:r>
    </w:p>
    <w:p w:rsidR="00E4753B" w:rsidRPr="00B52880" w:rsidRDefault="00E4753B" w:rsidP="00B52880">
      <w:pPr>
        <w:numPr>
          <w:ilvl w:val="0"/>
          <w:numId w:val="4"/>
        </w:numPr>
        <w:tabs>
          <w:tab w:val="clear" w:pos="720"/>
        </w:tabs>
        <w:snapToGrid w:val="0"/>
        <w:ind w:left="425" w:hanging="425"/>
        <w:jc w:val="both"/>
        <w:rPr>
          <w:sz w:val="20"/>
          <w:szCs w:val="20"/>
        </w:rPr>
      </w:pPr>
      <w:r w:rsidRPr="00B52880">
        <w:rPr>
          <w:sz w:val="20"/>
          <w:szCs w:val="20"/>
        </w:rPr>
        <w:t xml:space="preserve">Alessandro </w:t>
      </w:r>
      <w:proofErr w:type="spellStart"/>
      <w:r w:rsidRPr="00B52880">
        <w:rPr>
          <w:sz w:val="20"/>
          <w:szCs w:val="20"/>
        </w:rPr>
        <w:t>Borella</w:t>
      </w:r>
      <w:proofErr w:type="spellEnd"/>
      <w:r w:rsidRPr="00B52880">
        <w:rPr>
          <w:sz w:val="20"/>
          <w:szCs w:val="20"/>
        </w:rPr>
        <w:t xml:space="preserve">, </w:t>
      </w:r>
      <w:proofErr w:type="spellStart"/>
      <w:r w:rsidRPr="00B52880">
        <w:rPr>
          <w:sz w:val="20"/>
          <w:szCs w:val="20"/>
        </w:rPr>
        <w:t>Rossa</w:t>
      </w:r>
      <w:proofErr w:type="spellEnd"/>
      <w:r w:rsidRPr="00B52880">
        <w:rPr>
          <w:sz w:val="20"/>
          <w:szCs w:val="20"/>
        </w:rPr>
        <w:t xml:space="preserve"> </w:t>
      </w:r>
      <w:proofErr w:type="spellStart"/>
      <w:r w:rsidRPr="00B52880">
        <w:rPr>
          <w:sz w:val="20"/>
          <w:szCs w:val="20"/>
        </w:rPr>
        <w:t>Riccardo</w:t>
      </w:r>
      <w:proofErr w:type="spellEnd"/>
      <w:r w:rsidRPr="00B52880">
        <w:rPr>
          <w:sz w:val="20"/>
          <w:szCs w:val="20"/>
        </w:rPr>
        <w:t xml:space="preserve">, </w:t>
      </w:r>
      <w:proofErr w:type="spellStart"/>
      <w:r w:rsidRPr="00B52880">
        <w:rPr>
          <w:sz w:val="20"/>
          <w:szCs w:val="20"/>
        </w:rPr>
        <w:t>Mahmoud</w:t>
      </w:r>
      <w:proofErr w:type="spellEnd"/>
      <w:r w:rsidRPr="00B52880">
        <w:rPr>
          <w:sz w:val="20"/>
          <w:szCs w:val="20"/>
        </w:rPr>
        <w:t xml:space="preserve"> Gad and </w:t>
      </w:r>
      <w:proofErr w:type="spellStart"/>
      <w:r w:rsidRPr="00B52880">
        <w:rPr>
          <w:sz w:val="20"/>
          <w:szCs w:val="20"/>
        </w:rPr>
        <w:t>Klaas</w:t>
      </w:r>
      <w:proofErr w:type="spellEnd"/>
      <w:r w:rsidRPr="00B52880">
        <w:rPr>
          <w:sz w:val="20"/>
          <w:szCs w:val="20"/>
        </w:rPr>
        <w:t xml:space="preserve"> Van </w:t>
      </w:r>
      <w:proofErr w:type="spellStart"/>
      <w:r w:rsidRPr="00B52880">
        <w:rPr>
          <w:sz w:val="20"/>
          <w:szCs w:val="20"/>
        </w:rPr>
        <w:t>Der</w:t>
      </w:r>
      <w:proofErr w:type="spellEnd"/>
      <w:r w:rsidRPr="00B52880">
        <w:rPr>
          <w:sz w:val="20"/>
          <w:szCs w:val="20"/>
        </w:rPr>
        <w:t xml:space="preserve"> Meer “SENSITIVITY </w:t>
      </w:r>
      <w:r w:rsidRPr="00B52880">
        <w:rPr>
          <w:sz w:val="20"/>
          <w:szCs w:val="20"/>
        </w:rPr>
        <w:lastRenderedPageBreak/>
        <w:t>STUDIES ON THE NEUTRON EMISSION OF SPENT NUCLEAR FUEL BY MEANS OF THE ORIGEN-ARP CODE” INMM 2014 Atlanta, Georgia, USA (July 2014) 20-24.</w:t>
      </w:r>
    </w:p>
    <w:p w:rsidR="00E4753B" w:rsidRDefault="00E4753B" w:rsidP="00B52880">
      <w:pPr>
        <w:numPr>
          <w:ilvl w:val="0"/>
          <w:numId w:val="4"/>
        </w:numPr>
        <w:tabs>
          <w:tab w:val="clear" w:pos="720"/>
        </w:tabs>
        <w:snapToGrid w:val="0"/>
        <w:ind w:left="425" w:hanging="425"/>
        <w:jc w:val="both"/>
        <w:rPr>
          <w:sz w:val="20"/>
          <w:szCs w:val="20"/>
        </w:rPr>
      </w:pPr>
      <w:r w:rsidRPr="00B52880">
        <w:rPr>
          <w:sz w:val="20"/>
          <w:szCs w:val="20"/>
        </w:rPr>
        <w:t xml:space="preserve">J. </w:t>
      </w:r>
      <w:proofErr w:type="spellStart"/>
      <w:r w:rsidRPr="00B52880">
        <w:rPr>
          <w:sz w:val="20"/>
          <w:szCs w:val="20"/>
        </w:rPr>
        <w:t>Milsted</w:t>
      </w:r>
      <w:proofErr w:type="spellEnd"/>
      <w:r w:rsidRPr="00B52880">
        <w:rPr>
          <w:sz w:val="20"/>
          <w:szCs w:val="20"/>
        </w:rPr>
        <w:t>, A.M. Friedman and C.M. Stevens "The alpha half-life of berkelium-247; a new long-lived isomer of berkelium-248". Nuclear Physics, 71 (2) (1965) 299.</w:t>
      </w:r>
    </w:p>
    <w:p w:rsidR="00B52880" w:rsidRPr="00B52880" w:rsidRDefault="00B52880" w:rsidP="00B52880">
      <w:pPr>
        <w:snapToGrid w:val="0"/>
        <w:jc w:val="both"/>
        <w:rPr>
          <w:sz w:val="20"/>
          <w:szCs w:val="20"/>
        </w:rPr>
      </w:pPr>
    </w:p>
    <w:p w:rsidR="00B52880" w:rsidRDefault="00B52880" w:rsidP="00B52880">
      <w:pPr>
        <w:snapToGrid w:val="0"/>
        <w:ind w:left="425" w:hanging="425"/>
        <w:jc w:val="both"/>
        <w:rPr>
          <w:sz w:val="20"/>
          <w:szCs w:val="20"/>
        </w:rPr>
      </w:pPr>
    </w:p>
    <w:p w:rsidR="00B52880" w:rsidRPr="00B52880" w:rsidRDefault="00B52880" w:rsidP="00B52880">
      <w:pPr>
        <w:snapToGrid w:val="0"/>
        <w:ind w:left="425" w:hanging="425"/>
        <w:jc w:val="both"/>
        <w:rPr>
          <w:sz w:val="20"/>
          <w:szCs w:val="20"/>
        </w:rPr>
        <w:sectPr w:rsidR="00B52880" w:rsidRPr="00B52880" w:rsidSect="009F2832">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600"/>
          <w:docGrid w:linePitch="360"/>
        </w:sectPr>
      </w:pPr>
    </w:p>
    <w:p w:rsidR="00E4753B" w:rsidRPr="00B52880" w:rsidRDefault="00455C6B" w:rsidP="00B52880">
      <w:pPr>
        <w:snapToGrid w:val="0"/>
        <w:ind w:left="425" w:hanging="425"/>
        <w:jc w:val="both"/>
        <w:rPr>
          <w:sz w:val="20"/>
          <w:szCs w:val="20"/>
          <w:lang w:eastAsia="zh-CN"/>
        </w:rPr>
      </w:pPr>
      <w:r>
        <w:rPr>
          <w:rFonts w:hint="eastAsia"/>
          <w:sz w:val="20"/>
          <w:szCs w:val="20"/>
          <w:lang w:eastAsia="zh-CN"/>
        </w:rPr>
        <w:lastRenderedPageBreak/>
        <w:t xml:space="preserve"> </w:t>
      </w:r>
    </w:p>
    <w:p w:rsidR="00E4753B" w:rsidRPr="00B52880" w:rsidRDefault="00E4753B" w:rsidP="00B52880">
      <w:pPr>
        <w:snapToGrid w:val="0"/>
        <w:ind w:left="425" w:hanging="425"/>
        <w:jc w:val="both"/>
        <w:rPr>
          <w:sz w:val="20"/>
          <w:szCs w:val="20"/>
        </w:rPr>
      </w:pPr>
    </w:p>
    <w:p w:rsidR="00E4753B" w:rsidRPr="00B52880" w:rsidRDefault="00455C6B" w:rsidP="00B52880">
      <w:pPr>
        <w:snapToGrid w:val="0"/>
        <w:ind w:left="425" w:hanging="425"/>
        <w:jc w:val="both"/>
        <w:rPr>
          <w:sz w:val="20"/>
          <w:szCs w:val="20"/>
          <w:lang w:eastAsia="zh-CN"/>
        </w:rPr>
      </w:pPr>
      <w:r>
        <w:rPr>
          <w:rFonts w:hint="eastAsia"/>
          <w:sz w:val="20"/>
          <w:szCs w:val="20"/>
          <w:lang w:eastAsia="zh-CN"/>
        </w:rPr>
        <w:t xml:space="preserve"> </w:t>
      </w:r>
    </w:p>
    <w:p w:rsidR="004D0467" w:rsidRPr="00B52880" w:rsidRDefault="00EA5CB4" w:rsidP="00B52880">
      <w:pPr>
        <w:snapToGrid w:val="0"/>
        <w:ind w:left="425" w:hanging="425"/>
        <w:jc w:val="both"/>
        <w:rPr>
          <w:sz w:val="20"/>
          <w:szCs w:val="20"/>
        </w:rPr>
      </w:pPr>
      <w:r>
        <w:rPr>
          <w:sz w:val="20"/>
          <w:szCs w:val="20"/>
        </w:rPr>
        <w:t>10/2</w:t>
      </w:r>
      <w:r>
        <w:rPr>
          <w:rFonts w:hint="eastAsia"/>
          <w:sz w:val="20"/>
          <w:szCs w:val="20"/>
          <w:lang w:eastAsia="zh-CN"/>
        </w:rPr>
        <w:t>5</w:t>
      </w:r>
      <w:r w:rsidR="00B52880" w:rsidRPr="00B52880">
        <w:rPr>
          <w:sz w:val="20"/>
          <w:szCs w:val="20"/>
        </w:rPr>
        <w:t>/2016</w:t>
      </w:r>
    </w:p>
    <w:sectPr w:rsidR="004D0467" w:rsidRPr="00B52880" w:rsidSect="009F2832">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C15" w:rsidRDefault="004F7C15">
      <w:r>
        <w:separator/>
      </w:r>
    </w:p>
  </w:endnote>
  <w:endnote w:type="continuationSeparator" w:id="0">
    <w:p w:rsidR="004F7C15" w:rsidRDefault="004F7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Default="00065263" w:rsidP="00B3167C">
    <w:pPr>
      <w:pStyle w:val="Footer"/>
      <w:framePr w:wrap="around" w:vAnchor="text" w:hAnchor="margin" w:xAlign="center" w:y="1"/>
      <w:rPr>
        <w:rStyle w:val="PageNumber"/>
      </w:rPr>
    </w:pPr>
    <w:r>
      <w:rPr>
        <w:rStyle w:val="PageNumber"/>
      </w:rPr>
      <w:fldChar w:fldCharType="begin"/>
    </w:r>
    <w:r w:rsidR="00B52880">
      <w:rPr>
        <w:rStyle w:val="PageNumber"/>
      </w:rPr>
      <w:instrText xml:space="preserve">PAGE  </w:instrText>
    </w:r>
    <w:r>
      <w:rPr>
        <w:rStyle w:val="PageNumber"/>
      </w:rPr>
      <w:fldChar w:fldCharType="end"/>
    </w:r>
  </w:p>
  <w:p w:rsidR="00B52880" w:rsidRDefault="00B5288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47" w:rsidRPr="00B52880" w:rsidRDefault="00065263" w:rsidP="00B52880">
    <w:pPr>
      <w:jc w:val="center"/>
      <w:rPr>
        <w:sz w:val="20"/>
      </w:rPr>
    </w:pPr>
    <w:r w:rsidRPr="00B52880">
      <w:rPr>
        <w:sz w:val="20"/>
      </w:rPr>
      <w:fldChar w:fldCharType="begin"/>
    </w:r>
    <w:r w:rsidR="00B52880" w:rsidRPr="00B52880">
      <w:rPr>
        <w:sz w:val="20"/>
      </w:rPr>
      <w:instrText xml:space="preserve"> page </w:instrText>
    </w:r>
    <w:r w:rsidRPr="00B52880">
      <w:rPr>
        <w:sz w:val="20"/>
      </w:rPr>
      <w:fldChar w:fldCharType="separate"/>
    </w:r>
    <w:r w:rsidR="00B52880">
      <w:rPr>
        <w:noProof/>
        <w:sz w:val="20"/>
      </w:rPr>
      <w:t>9</w:t>
    </w:r>
    <w:r w:rsidRPr="00B5288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Pr="00B52880" w:rsidRDefault="00065263" w:rsidP="00B52880">
    <w:pPr>
      <w:jc w:val="center"/>
      <w:rPr>
        <w:sz w:val="20"/>
      </w:rPr>
    </w:pPr>
    <w:r w:rsidRPr="00B52880">
      <w:rPr>
        <w:sz w:val="20"/>
      </w:rPr>
      <w:fldChar w:fldCharType="begin"/>
    </w:r>
    <w:r w:rsidR="00B52880" w:rsidRPr="00B52880">
      <w:rPr>
        <w:sz w:val="20"/>
      </w:rPr>
      <w:instrText xml:space="preserve"> page </w:instrText>
    </w:r>
    <w:r w:rsidRPr="00B52880">
      <w:rPr>
        <w:sz w:val="20"/>
      </w:rPr>
      <w:fldChar w:fldCharType="separate"/>
    </w:r>
    <w:r w:rsidR="005518BA">
      <w:rPr>
        <w:noProof/>
        <w:sz w:val="20"/>
      </w:rPr>
      <w:t>11</w:t>
    </w:r>
    <w:r w:rsidRPr="00B5288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Default="00065263" w:rsidP="00B3167C">
    <w:pPr>
      <w:pStyle w:val="Footer"/>
      <w:framePr w:wrap="around" w:vAnchor="text" w:hAnchor="margin" w:xAlign="center" w:y="1"/>
      <w:rPr>
        <w:rStyle w:val="PageNumber"/>
      </w:rPr>
    </w:pPr>
    <w:r>
      <w:rPr>
        <w:rStyle w:val="PageNumber"/>
      </w:rPr>
      <w:fldChar w:fldCharType="begin"/>
    </w:r>
    <w:r w:rsidR="00B52880">
      <w:rPr>
        <w:rStyle w:val="PageNumber"/>
      </w:rPr>
      <w:instrText xml:space="preserve">PAGE  </w:instrText>
    </w:r>
    <w:r>
      <w:rPr>
        <w:rStyle w:val="PageNumber"/>
      </w:rPr>
      <w:fldChar w:fldCharType="end"/>
    </w:r>
  </w:p>
  <w:p w:rsidR="00B52880" w:rsidRDefault="00B5288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Pr="00B52880" w:rsidRDefault="00065263" w:rsidP="00B52880">
    <w:pPr>
      <w:jc w:val="center"/>
      <w:rPr>
        <w:sz w:val="20"/>
      </w:rPr>
    </w:pPr>
    <w:r w:rsidRPr="00B52880">
      <w:rPr>
        <w:sz w:val="20"/>
      </w:rPr>
      <w:fldChar w:fldCharType="begin"/>
    </w:r>
    <w:r w:rsidR="00B52880" w:rsidRPr="00B52880">
      <w:rPr>
        <w:sz w:val="20"/>
      </w:rPr>
      <w:instrText xml:space="preserve"> page </w:instrText>
    </w:r>
    <w:r w:rsidRPr="00B52880">
      <w:rPr>
        <w:sz w:val="20"/>
      </w:rPr>
      <w:fldChar w:fldCharType="separate"/>
    </w:r>
    <w:r w:rsidR="005518BA">
      <w:rPr>
        <w:noProof/>
        <w:sz w:val="20"/>
      </w:rPr>
      <w:t>14</w:t>
    </w:r>
    <w:r w:rsidRPr="00B5288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Default="00065263" w:rsidP="00B3167C">
    <w:pPr>
      <w:pStyle w:val="Footer"/>
      <w:framePr w:wrap="around" w:vAnchor="text" w:hAnchor="margin" w:xAlign="center" w:y="1"/>
      <w:rPr>
        <w:rStyle w:val="PageNumber"/>
      </w:rPr>
    </w:pPr>
    <w:r>
      <w:rPr>
        <w:rStyle w:val="PageNumber"/>
      </w:rPr>
      <w:fldChar w:fldCharType="begin"/>
    </w:r>
    <w:r w:rsidR="00B52880">
      <w:rPr>
        <w:rStyle w:val="PageNumber"/>
      </w:rPr>
      <w:instrText xml:space="preserve">PAGE  </w:instrText>
    </w:r>
    <w:r>
      <w:rPr>
        <w:rStyle w:val="PageNumber"/>
      </w:rPr>
      <w:fldChar w:fldCharType="end"/>
    </w:r>
  </w:p>
  <w:p w:rsidR="00B52880" w:rsidRDefault="00B5288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Pr="00B52880" w:rsidRDefault="00065263" w:rsidP="00B52880">
    <w:pPr>
      <w:jc w:val="center"/>
      <w:rPr>
        <w:sz w:val="20"/>
      </w:rPr>
    </w:pPr>
    <w:r w:rsidRPr="00B52880">
      <w:rPr>
        <w:sz w:val="20"/>
      </w:rPr>
      <w:fldChar w:fldCharType="begin"/>
    </w:r>
    <w:r w:rsidR="00B52880" w:rsidRPr="00B52880">
      <w:rPr>
        <w:sz w:val="20"/>
      </w:rPr>
      <w:instrText xml:space="preserve"> page </w:instrText>
    </w:r>
    <w:r w:rsidRPr="00B52880">
      <w:rPr>
        <w:sz w:val="20"/>
      </w:rPr>
      <w:fldChar w:fldCharType="separate"/>
    </w:r>
    <w:r w:rsidR="005518BA">
      <w:rPr>
        <w:noProof/>
        <w:sz w:val="20"/>
      </w:rPr>
      <w:t>16</w:t>
    </w:r>
    <w:r w:rsidRPr="00B5288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Default="00065263" w:rsidP="00B3167C">
    <w:pPr>
      <w:pStyle w:val="Footer"/>
      <w:framePr w:wrap="around" w:vAnchor="text" w:hAnchor="margin" w:xAlign="center" w:y="1"/>
      <w:rPr>
        <w:rStyle w:val="PageNumber"/>
      </w:rPr>
    </w:pPr>
    <w:r>
      <w:rPr>
        <w:rStyle w:val="PageNumber"/>
      </w:rPr>
      <w:fldChar w:fldCharType="begin"/>
    </w:r>
    <w:r w:rsidR="00B52880">
      <w:rPr>
        <w:rStyle w:val="PageNumber"/>
      </w:rPr>
      <w:instrText xml:space="preserve">PAGE  </w:instrText>
    </w:r>
    <w:r>
      <w:rPr>
        <w:rStyle w:val="PageNumber"/>
      </w:rPr>
      <w:fldChar w:fldCharType="end"/>
    </w:r>
  </w:p>
  <w:p w:rsidR="00B52880" w:rsidRDefault="00B5288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Pr="00B52880" w:rsidRDefault="00065263" w:rsidP="00B52880">
    <w:pPr>
      <w:jc w:val="center"/>
      <w:rPr>
        <w:sz w:val="20"/>
      </w:rPr>
    </w:pPr>
    <w:r w:rsidRPr="00B52880">
      <w:rPr>
        <w:sz w:val="20"/>
      </w:rPr>
      <w:fldChar w:fldCharType="begin"/>
    </w:r>
    <w:r w:rsidR="00B52880" w:rsidRPr="00B52880">
      <w:rPr>
        <w:sz w:val="20"/>
      </w:rPr>
      <w:instrText xml:space="preserve"> page </w:instrText>
    </w:r>
    <w:r w:rsidRPr="00B52880">
      <w:rPr>
        <w:sz w:val="20"/>
      </w:rPr>
      <w:fldChar w:fldCharType="separate"/>
    </w:r>
    <w:r w:rsidR="005518BA">
      <w:rPr>
        <w:noProof/>
        <w:sz w:val="20"/>
      </w:rPr>
      <w:t>19</w:t>
    </w:r>
    <w:r w:rsidRPr="00B52880">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47" w:rsidRDefault="00065263" w:rsidP="00B3167C">
    <w:pPr>
      <w:pStyle w:val="Footer"/>
      <w:framePr w:wrap="around" w:vAnchor="text" w:hAnchor="margin" w:xAlign="center" w:y="1"/>
      <w:rPr>
        <w:rStyle w:val="PageNumber"/>
      </w:rPr>
    </w:pPr>
    <w:r>
      <w:rPr>
        <w:rStyle w:val="PageNumber"/>
      </w:rPr>
      <w:fldChar w:fldCharType="begin"/>
    </w:r>
    <w:r w:rsidR="00B03647">
      <w:rPr>
        <w:rStyle w:val="PageNumber"/>
      </w:rPr>
      <w:instrText xml:space="preserve">PAGE  </w:instrText>
    </w:r>
    <w:r>
      <w:rPr>
        <w:rStyle w:val="PageNumber"/>
      </w:rPr>
      <w:fldChar w:fldCharType="end"/>
    </w:r>
  </w:p>
  <w:p w:rsidR="00B03647" w:rsidRDefault="00B036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C15" w:rsidRDefault="004F7C15">
      <w:r>
        <w:separator/>
      </w:r>
    </w:p>
  </w:footnote>
  <w:footnote w:type="continuationSeparator" w:id="0">
    <w:p w:rsidR="004F7C15" w:rsidRDefault="004F7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Pr="00B52880" w:rsidRDefault="00B52880" w:rsidP="00B52880">
    <w:pPr>
      <w:pBdr>
        <w:bottom w:val="thinThickMediumGap" w:sz="12" w:space="1" w:color="auto"/>
      </w:pBdr>
      <w:tabs>
        <w:tab w:val="left" w:pos="851"/>
        <w:tab w:val="right" w:pos="8364"/>
      </w:tabs>
      <w:adjustRightInd w:val="0"/>
      <w:snapToGrid w:val="0"/>
      <w:jc w:val="both"/>
      <w:rPr>
        <w:iCs/>
        <w:sz w:val="20"/>
        <w:szCs w:val="20"/>
      </w:rPr>
    </w:pPr>
    <w:r w:rsidRPr="00B52880">
      <w:rPr>
        <w:rFonts w:hint="eastAsia"/>
        <w:sz w:val="20"/>
        <w:szCs w:val="20"/>
      </w:rPr>
      <w:tab/>
    </w:r>
    <w:r w:rsidRPr="00B52880">
      <w:rPr>
        <w:sz w:val="20"/>
        <w:szCs w:val="20"/>
      </w:rPr>
      <w:t>New York Science Journal 201</w:t>
    </w:r>
    <w:r w:rsidRPr="00B52880">
      <w:rPr>
        <w:rFonts w:hint="eastAsia"/>
        <w:sz w:val="20"/>
        <w:szCs w:val="20"/>
      </w:rPr>
      <w:t>6</w:t>
    </w:r>
    <w:r w:rsidRPr="00B52880">
      <w:rPr>
        <w:sz w:val="20"/>
        <w:szCs w:val="20"/>
      </w:rPr>
      <w:t>;</w:t>
    </w:r>
    <w:r w:rsidRPr="00B52880">
      <w:rPr>
        <w:rFonts w:hint="eastAsia"/>
        <w:sz w:val="20"/>
        <w:szCs w:val="20"/>
      </w:rPr>
      <w:t>9</w:t>
    </w:r>
    <w:r w:rsidRPr="00B52880">
      <w:rPr>
        <w:sz w:val="20"/>
        <w:szCs w:val="20"/>
      </w:rPr>
      <w:t>(</w:t>
    </w:r>
    <w:r w:rsidRPr="00B52880">
      <w:rPr>
        <w:rFonts w:hint="eastAsia"/>
        <w:sz w:val="20"/>
        <w:szCs w:val="20"/>
      </w:rPr>
      <w:t>11</w:t>
    </w:r>
    <w:r w:rsidRPr="00B52880">
      <w:rPr>
        <w:sz w:val="20"/>
        <w:szCs w:val="20"/>
      </w:rPr>
      <w:t>)</w:t>
    </w:r>
    <w:r w:rsidRPr="00B52880">
      <w:rPr>
        <w:iCs/>
        <w:sz w:val="20"/>
        <w:szCs w:val="20"/>
      </w:rPr>
      <w:t xml:space="preserve">     </w:t>
    </w:r>
    <w:r w:rsidRPr="00B52880">
      <w:rPr>
        <w:rFonts w:hint="eastAsia"/>
        <w:iCs/>
        <w:sz w:val="20"/>
        <w:szCs w:val="20"/>
      </w:rPr>
      <w:tab/>
    </w:r>
    <w:r w:rsidRPr="00B52880">
      <w:rPr>
        <w:iCs/>
        <w:sz w:val="20"/>
        <w:szCs w:val="20"/>
      </w:rPr>
      <w:t xml:space="preserve"> </w:t>
    </w:r>
    <w:r w:rsidRPr="00B52880">
      <w:rPr>
        <w:rFonts w:hint="eastAsia"/>
        <w:iCs/>
        <w:sz w:val="20"/>
        <w:szCs w:val="20"/>
      </w:rPr>
      <w:t xml:space="preserve"> </w:t>
    </w:r>
    <w:r w:rsidRPr="00B52880">
      <w:rPr>
        <w:iCs/>
        <w:sz w:val="20"/>
        <w:szCs w:val="20"/>
      </w:rPr>
      <w:t xml:space="preserve">   </w:t>
    </w:r>
    <w:hyperlink r:id="rId1" w:history="1">
      <w:r w:rsidRPr="00B52880">
        <w:rPr>
          <w:rStyle w:val="Hyperlink"/>
          <w:sz w:val="20"/>
          <w:szCs w:val="20"/>
        </w:rPr>
        <w:t>http://www.sciencepub.net/newyork</w:t>
      </w:r>
    </w:hyperlink>
  </w:p>
  <w:p w:rsidR="00B52880" w:rsidRPr="00B52880" w:rsidRDefault="00B52880" w:rsidP="00B5288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Pr="00B52880" w:rsidRDefault="00B52880" w:rsidP="00B52880">
    <w:pPr>
      <w:pBdr>
        <w:bottom w:val="thinThickMediumGap" w:sz="12" w:space="1" w:color="auto"/>
      </w:pBdr>
      <w:tabs>
        <w:tab w:val="left" w:pos="851"/>
        <w:tab w:val="right" w:pos="8364"/>
      </w:tabs>
      <w:adjustRightInd w:val="0"/>
      <w:snapToGrid w:val="0"/>
      <w:jc w:val="both"/>
      <w:rPr>
        <w:iCs/>
        <w:sz w:val="20"/>
        <w:szCs w:val="20"/>
      </w:rPr>
    </w:pPr>
    <w:r w:rsidRPr="00B52880">
      <w:rPr>
        <w:rFonts w:hint="eastAsia"/>
        <w:sz w:val="20"/>
        <w:szCs w:val="20"/>
      </w:rPr>
      <w:tab/>
    </w:r>
    <w:r w:rsidRPr="00B52880">
      <w:rPr>
        <w:sz w:val="20"/>
        <w:szCs w:val="20"/>
      </w:rPr>
      <w:t>New York Science Journal 201</w:t>
    </w:r>
    <w:r w:rsidRPr="00B52880">
      <w:rPr>
        <w:rFonts w:hint="eastAsia"/>
        <w:sz w:val="20"/>
        <w:szCs w:val="20"/>
      </w:rPr>
      <w:t>6</w:t>
    </w:r>
    <w:r w:rsidRPr="00B52880">
      <w:rPr>
        <w:sz w:val="20"/>
        <w:szCs w:val="20"/>
      </w:rPr>
      <w:t>;</w:t>
    </w:r>
    <w:r w:rsidRPr="00B52880">
      <w:rPr>
        <w:rFonts w:hint="eastAsia"/>
        <w:sz w:val="20"/>
        <w:szCs w:val="20"/>
      </w:rPr>
      <w:t>9</w:t>
    </w:r>
    <w:r w:rsidRPr="00B52880">
      <w:rPr>
        <w:sz w:val="20"/>
        <w:szCs w:val="20"/>
      </w:rPr>
      <w:t>(</w:t>
    </w:r>
    <w:r w:rsidRPr="00B52880">
      <w:rPr>
        <w:rFonts w:hint="eastAsia"/>
        <w:sz w:val="20"/>
        <w:szCs w:val="20"/>
      </w:rPr>
      <w:t>11</w:t>
    </w:r>
    <w:r w:rsidRPr="00B52880">
      <w:rPr>
        <w:sz w:val="20"/>
        <w:szCs w:val="20"/>
      </w:rPr>
      <w:t>)</w:t>
    </w:r>
    <w:r w:rsidRPr="00B52880">
      <w:rPr>
        <w:iCs/>
        <w:sz w:val="20"/>
        <w:szCs w:val="20"/>
      </w:rPr>
      <w:t xml:space="preserve">     </w:t>
    </w:r>
    <w:r w:rsidRPr="00B52880">
      <w:rPr>
        <w:rFonts w:hint="eastAsia"/>
        <w:iCs/>
        <w:sz w:val="20"/>
        <w:szCs w:val="20"/>
      </w:rPr>
      <w:tab/>
    </w:r>
    <w:r w:rsidRPr="00B52880">
      <w:rPr>
        <w:iCs/>
        <w:sz w:val="20"/>
        <w:szCs w:val="20"/>
      </w:rPr>
      <w:t xml:space="preserve"> </w:t>
    </w:r>
    <w:r w:rsidRPr="00B52880">
      <w:rPr>
        <w:rFonts w:hint="eastAsia"/>
        <w:iCs/>
        <w:sz w:val="20"/>
        <w:szCs w:val="20"/>
      </w:rPr>
      <w:t xml:space="preserve"> </w:t>
    </w:r>
    <w:r w:rsidRPr="00B52880">
      <w:rPr>
        <w:iCs/>
        <w:sz w:val="20"/>
        <w:szCs w:val="20"/>
      </w:rPr>
      <w:t xml:space="preserve">   </w:t>
    </w:r>
    <w:hyperlink r:id="rId1" w:history="1">
      <w:r w:rsidRPr="00B52880">
        <w:rPr>
          <w:rStyle w:val="Hyperlink"/>
          <w:sz w:val="20"/>
          <w:szCs w:val="20"/>
        </w:rPr>
        <w:t>http://www.sciencepub.net/newyork</w:t>
      </w:r>
    </w:hyperlink>
  </w:p>
  <w:p w:rsidR="00B52880" w:rsidRDefault="00B52880" w:rsidP="00B52880">
    <w:pPr>
      <w:tabs>
        <w:tab w:val="left" w:pos="851"/>
        <w:tab w:val="left" w:pos="7200"/>
        <w:tab w:val="right" w:pos="8364"/>
      </w:tabs>
      <w:adjustRightInd w:val="0"/>
      <w:snapToGrid w:val="0"/>
      <w:jc w:val="both"/>
      <w:rPr>
        <w:sz w:val="20"/>
        <w:lang w:eastAsia="zh-CN"/>
      </w:rPr>
    </w:pPr>
  </w:p>
  <w:p w:rsidR="000036DD" w:rsidRPr="00B52880" w:rsidRDefault="000036DD" w:rsidP="00B52880">
    <w:pPr>
      <w:tabs>
        <w:tab w:val="left" w:pos="851"/>
        <w:tab w:val="left" w:pos="7200"/>
        <w:tab w:val="right" w:pos="8364"/>
      </w:tabs>
      <w:adjustRightInd w:val="0"/>
      <w:snapToGrid w:val="0"/>
      <w:jc w:val="both"/>
      <w:rPr>
        <w:sz w:val="20"/>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Pr="00B52880" w:rsidRDefault="00B52880" w:rsidP="00B52880">
    <w:pPr>
      <w:pBdr>
        <w:bottom w:val="thinThickMediumGap" w:sz="12" w:space="1" w:color="auto"/>
      </w:pBdr>
      <w:tabs>
        <w:tab w:val="left" w:pos="851"/>
        <w:tab w:val="right" w:pos="8364"/>
      </w:tabs>
      <w:adjustRightInd w:val="0"/>
      <w:snapToGrid w:val="0"/>
      <w:jc w:val="both"/>
      <w:rPr>
        <w:iCs/>
        <w:sz w:val="20"/>
        <w:szCs w:val="20"/>
      </w:rPr>
    </w:pPr>
    <w:r w:rsidRPr="00B52880">
      <w:rPr>
        <w:rFonts w:hint="eastAsia"/>
        <w:sz w:val="20"/>
        <w:szCs w:val="20"/>
      </w:rPr>
      <w:tab/>
    </w:r>
    <w:r w:rsidRPr="00B52880">
      <w:rPr>
        <w:sz w:val="20"/>
        <w:szCs w:val="20"/>
      </w:rPr>
      <w:t>New York Science Journal 201</w:t>
    </w:r>
    <w:r w:rsidRPr="00B52880">
      <w:rPr>
        <w:rFonts w:hint="eastAsia"/>
        <w:sz w:val="20"/>
        <w:szCs w:val="20"/>
      </w:rPr>
      <w:t>6</w:t>
    </w:r>
    <w:r w:rsidRPr="00B52880">
      <w:rPr>
        <w:sz w:val="20"/>
        <w:szCs w:val="20"/>
      </w:rPr>
      <w:t>;</w:t>
    </w:r>
    <w:r w:rsidRPr="00B52880">
      <w:rPr>
        <w:rFonts w:hint="eastAsia"/>
        <w:sz w:val="20"/>
        <w:szCs w:val="20"/>
      </w:rPr>
      <w:t>9</w:t>
    </w:r>
    <w:r w:rsidRPr="00B52880">
      <w:rPr>
        <w:sz w:val="20"/>
        <w:szCs w:val="20"/>
      </w:rPr>
      <w:t>(</w:t>
    </w:r>
    <w:r w:rsidRPr="00B52880">
      <w:rPr>
        <w:rFonts w:hint="eastAsia"/>
        <w:sz w:val="20"/>
        <w:szCs w:val="20"/>
      </w:rPr>
      <w:t>11</w:t>
    </w:r>
    <w:r w:rsidRPr="00B52880">
      <w:rPr>
        <w:sz w:val="20"/>
        <w:szCs w:val="20"/>
      </w:rPr>
      <w:t>)</w:t>
    </w:r>
    <w:r w:rsidRPr="00B52880">
      <w:rPr>
        <w:iCs/>
        <w:sz w:val="20"/>
        <w:szCs w:val="20"/>
      </w:rPr>
      <w:t xml:space="preserve">     </w:t>
    </w:r>
    <w:r w:rsidRPr="00B52880">
      <w:rPr>
        <w:rFonts w:hint="eastAsia"/>
        <w:iCs/>
        <w:sz w:val="20"/>
        <w:szCs w:val="20"/>
      </w:rPr>
      <w:tab/>
    </w:r>
    <w:r w:rsidRPr="00B52880">
      <w:rPr>
        <w:iCs/>
        <w:sz w:val="20"/>
        <w:szCs w:val="20"/>
      </w:rPr>
      <w:t xml:space="preserve"> </w:t>
    </w:r>
    <w:r w:rsidRPr="00B52880">
      <w:rPr>
        <w:rFonts w:hint="eastAsia"/>
        <w:iCs/>
        <w:sz w:val="20"/>
        <w:szCs w:val="20"/>
      </w:rPr>
      <w:t xml:space="preserve"> </w:t>
    </w:r>
    <w:r w:rsidRPr="00B52880">
      <w:rPr>
        <w:iCs/>
        <w:sz w:val="20"/>
        <w:szCs w:val="20"/>
      </w:rPr>
      <w:t xml:space="preserve">   </w:t>
    </w:r>
    <w:hyperlink r:id="rId1" w:history="1">
      <w:r w:rsidRPr="00B52880">
        <w:rPr>
          <w:rStyle w:val="Hyperlink"/>
          <w:sz w:val="20"/>
          <w:szCs w:val="20"/>
        </w:rPr>
        <w:t>http://www.sciencepub.net/newyork</w:t>
      </w:r>
    </w:hyperlink>
  </w:p>
  <w:p w:rsidR="00B52880" w:rsidRPr="00B52880" w:rsidRDefault="00B52880" w:rsidP="00B52880">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Pr="00B52880" w:rsidRDefault="00B52880" w:rsidP="00B52880">
    <w:pPr>
      <w:pBdr>
        <w:bottom w:val="thinThickMediumGap" w:sz="12" w:space="1" w:color="auto"/>
      </w:pBdr>
      <w:tabs>
        <w:tab w:val="left" w:pos="851"/>
        <w:tab w:val="right" w:pos="8364"/>
      </w:tabs>
      <w:adjustRightInd w:val="0"/>
      <w:snapToGrid w:val="0"/>
      <w:jc w:val="both"/>
      <w:rPr>
        <w:iCs/>
        <w:sz w:val="20"/>
        <w:szCs w:val="20"/>
      </w:rPr>
    </w:pPr>
    <w:r w:rsidRPr="00B52880">
      <w:rPr>
        <w:rFonts w:hint="eastAsia"/>
        <w:sz w:val="20"/>
        <w:szCs w:val="20"/>
      </w:rPr>
      <w:tab/>
    </w:r>
    <w:r w:rsidRPr="00B52880">
      <w:rPr>
        <w:sz w:val="20"/>
        <w:szCs w:val="20"/>
      </w:rPr>
      <w:t>New York Science Journal 201</w:t>
    </w:r>
    <w:r w:rsidRPr="00B52880">
      <w:rPr>
        <w:rFonts w:hint="eastAsia"/>
        <w:sz w:val="20"/>
        <w:szCs w:val="20"/>
      </w:rPr>
      <w:t>6</w:t>
    </w:r>
    <w:r w:rsidRPr="00B52880">
      <w:rPr>
        <w:sz w:val="20"/>
        <w:szCs w:val="20"/>
      </w:rPr>
      <w:t>;</w:t>
    </w:r>
    <w:r w:rsidRPr="00B52880">
      <w:rPr>
        <w:rFonts w:hint="eastAsia"/>
        <w:sz w:val="20"/>
        <w:szCs w:val="20"/>
      </w:rPr>
      <w:t>9</w:t>
    </w:r>
    <w:r w:rsidRPr="00B52880">
      <w:rPr>
        <w:sz w:val="20"/>
        <w:szCs w:val="20"/>
      </w:rPr>
      <w:t>(</w:t>
    </w:r>
    <w:r w:rsidRPr="00B52880">
      <w:rPr>
        <w:rFonts w:hint="eastAsia"/>
        <w:sz w:val="20"/>
        <w:szCs w:val="20"/>
      </w:rPr>
      <w:t>11</w:t>
    </w:r>
    <w:r w:rsidRPr="00B52880">
      <w:rPr>
        <w:sz w:val="20"/>
        <w:szCs w:val="20"/>
      </w:rPr>
      <w:t>)</w:t>
    </w:r>
    <w:r w:rsidRPr="00B52880">
      <w:rPr>
        <w:iCs/>
        <w:sz w:val="20"/>
        <w:szCs w:val="20"/>
      </w:rPr>
      <w:t xml:space="preserve">     </w:t>
    </w:r>
    <w:r w:rsidRPr="00B52880">
      <w:rPr>
        <w:rFonts w:hint="eastAsia"/>
        <w:iCs/>
        <w:sz w:val="20"/>
        <w:szCs w:val="20"/>
      </w:rPr>
      <w:tab/>
    </w:r>
    <w:r w:rsidRPr="00B52880">
      <w:rPr>
        <w:iCs/>
        <w:sz w:val="20"/>
        <w:szCs w:val="20"/>
      </w:rPr>
      <w:t xml:space="preserve"> </w:t>
    </w:r>
    <w:r w:rsidRPr="00B52880">
      <w:rPr>
        <w:rFonts w:hint="eastAsia"/>
        <w:iCs/>
        <w:sz w:val="20"/>
        <w:szCs w:val="20"/>
      </w:rPr>
      <w:t xml:space="preserve"> </w:t>
    </w:r>
    <w:r w:rsidRPr="00B52880">
      <w:rPr>
        <w:iCs/>
        <w:sz w:val="20"/>
        <w:szCs w:val="20"/>
      </w:rPr>
      <w:t xml:space="preserve">   </w:t>
    </w:r>
    <w:hyperlink r:id="rId1" w:history="1">
      <w:r w:rsidRPr="00B52880">
        <w:rPr>
          <w:rStyle w:val="Hyperlink"/>
          <w:sz w:val="20"/>
          <w:szCs w:val="20"/>
        </w:rPr>
        <w:t>http://www.sciencepub.net/newyork</w:t>
      </w:r>
    </w:hyperlink>
  </w:p>
  <w:p w:rsidR="00B52880" w:rsidRPr="00B52880" w:rsidRDefault="00B52880" w:rsidP="00B52880">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0" w:rsidRPr="00B52880" w:rsidRDefault="00B52880" w:rsidP="00B52880">
    <w:pPr>
      <w:pBdr>
        <w:bottom w:val="thinThickMediumGap" w:sz="12" w:space="1" w:color="auto"/>
      </w:pBdr>
      <w:tabs>
        <w:tab w:val="left" w:pos="851"/>
        <w:tab w:val="right" w:pos="8364"/>
      </w:tabs>
      <w:adjustRightInd w:val="0"/>
      <w:snapToGrid w:val="0"/>
      <w:jc w:val="both"/>
      <w:rPr>
        <w:iCs/>
        <w:sz w:val="20"/>
        <w:szCs w:val="20"/>
      </w:rPr>
    </w:pPr>
    <w:r w:rsidRPr="00B52880">
      <w:rPr>
        <w:rFonts w:hint="eastAsia"/>
        <w:sz w:val="20"/>
        <w:szCs w:val="20"/>
      </w:rPr>
      <w:tab/>
    </w:r>
    <w:r w:rsidRPr="00B52880">
      <w:rPr>
        <w:sz w:val="20"/>
        <w:szCs w:val="20"/>
      </w:rPr>
      <w:t>New York Science Journal 201</w:t>
    </w:r>
    <w:r w:rsidRPr="00B52880">
      <w:rPr>
        <w:rFonts w:hint="eastAsia"/>
        <w:sz w:val="20"/>
        <w:szCs w:val="20"/>
      </w:rPr>
      <w:t>6</w:t>
    </w:r>
    <w:r w:rsidRPr="00B52880">
      <w:rPr>
        <w:sz w:val="20"/>
        <w:szCs w:val="20"/>
      </w:rPr>
      <w:t>;</w:t>
    </w:r>
    <w:r w:rsidRPr="00B52880">
      <w:rPr>
        <w:rFonts w:hint="eastAsia"/>
        <w:sz w:val="20"/>
        <w:szCs w:val="20"/>
      </w:rPr>
      <w:t>9</w:t>
    </w:r>
    <w:r w:rsidRPr="00B52880">
      <w:rPr>
        <w:sz w:val="20"/>
        <w:szCs w:val="20"/>
      </w:rPr>
      <w:t>(</w:t>
    </w:r>
    <w:r w:rsidRPr="00B52880">
      <w:rPr>
        <w:rFonts w:hint="eastAsia"/>
        <w:sz w:val="20"/>
        <w:szCs w:val="20"/>
      </w:rPr>
      <w:t>11</w:t>
    </w:r>
    <w:r w:rsidRPr="00B52880">
      <w:rPr>
        <w:sz w:val="20"/>
        <w:szCs w:val="20"/>
      </w:rPr>
      <w:t>)</w:t>
    </w:r>
    <w:r w:rsidRPr="00B52880">
      <w:rPr>
        <w:iCs/>
        <w:sz w:val="20"/>
        <w:szCs w:val="20"/>
      </w:rPr>
      <w:t xml:space="preserve">     </w:t>
    </w:r>
    <w:r w:rsidRPr="00B52880">
      <w:rPr>
        <w:rFonts w:hint="eastAsia"/>
        <w:iCs/>
        <w:sz w:val="20"/>
        <w:szCs w:val="20"/>
      </w:rPr>
      <w:tab/>
    </w:r>
    <w:r w:rsidRPr="00B52880">
      <w:rPr>
        <w:iCs/>
        <w:sz w:val="20"/>
        <w:szCs w:val="20"/>
      </w:rPr>
      <w:t xml:space="preserve"> </w:t>
    </w:r>
    <w:r w:rsidRPr="00B52880">
      <w:rPr>
        <w:rFonts w:hint="eastAsia"/>
        <w:iCs/>
        <w:sz w:val="20"/>
        <w:szCs w:val="20"/>
      </w:rPr>
      <w:t xml:space="preserve"> </w:t>
    </w:r>
    <w:r w:rsidRPr="00B52880">
      <w:rPr>
        <w:iCs/>
        <w:sz w:val="20"/>
        <w:szCs w:val="20"/>
      </w:rPr>
      <w:t xml:space="preserve">   </w:t>
    </w:r>
    <w:hyperlink r:id="rId1" w:history="1">
      <w:r w:rsidRPr="00B52880">
        <w:rPr>
          <w:rStyle w:val="Hyperlink"/>
          <w:sz w:val="20"/>
          <w:szCs w:val="20"/>
        </w:rPr>
        <w:t>http://www.sciencepub.net/newyork</w:t>
      </w:r>
    </w:hyperlink>
  </w:p>
  <w:p w:rsidR="00B52880" w:rsidRPr="00B52880" w:rsidRDefault="00B52880" w:rsidP="00B5288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useFELayout/>
  </w:compat>
  <w:rsids>
    <w:rsidRoot w:val="009459B3"/>
    <w:rsid w:val="00000358"/>
    <w:rsid w:val="00003589"/>
    <w:rsid w:val="000036DD"/>
    <w:rsid w:val="00005C8E"/>
    <w:rsid w:val="000075A2"/>
    <w:rsid w:val="00012408"/>
    <w:rsid w:val="0006091F"/>
    <w:rsid w:val="00065263"/>
    <w:rsid w:val="00080CE9"/>
    <w:rsid w:val="000827B7"/>
    <w:rsid w:val="000844D7"/>
    <w:rsid w:val="00086790"/>
    <w:rsid w:val="00090A06"/>
    <w:rsid w:val="000946EA"/>
    <w:rsid w:val="0009633A"/>
    <w:rsid w:val="000A0250"/>
    <w:rsid w:val="000A3F90"/>
    <w:rsid w:val="00103E97"/>
    <w:rsid w:val="00106308"/>
    <w:rsid w:val="00126A83"/>
    <w:rsid w:val="00133AC0"/>
    <w:rsid w:val="00165709"/>
    <w:rsid w:val="001817C7"/>
    <w:rsid w:val="00183764"/>
    <w:rsid w:val="001964D0"/>
    <w:rsid w:val="001B41B8"/>
    <w:rsid w:val="001B650D"/>
    <w:rsid w:val="001C3D42"/>
    <w:rsid w:val="001D6E2F"/>
    <w:rsid w:val="00205E97"/>
    <w:rsid w:val="00245C21"/>
    <w:rsid w:val="00256942"/>
    <w:rsid w:val="0026552F"/>
    <w:rsid w:val="002721F1"/>
    <w:rsid w:val="00282FA1"/>
    <w:rsid w:val="002A34F3"/>
    <w:rsid w:val="002A3FDF"/>
    <w:rsid w:val="002B3BF3"/>
    <w:rsid w:val="002B5613"/>
    <w:rsid w:val="002D3558"/>
    <w:rsid w:val="002D589A"/>
    <w:rsid w:val="002F20CD"/>
    <w:rsid w:val="002F49EF"/>
    <w:rsid w:val="00301F95"/>
    <w:rsid w:val="00314F95"/>
    <w:rsid w:val="00322FAB"/>
    <w:rsid w:val="003246A8"/>
    <w:rsid w:val="00345581"/>
    <w:rsid w:val="0034702D"/>
    <w:rsid w:val="003679A0"/>
    <w:rsid w:val="003800B0"/>
    <w:rsid w:val="00394B65"/>
    <w:rsid w:val="003A0880"/>
    <w:rsid w:val="003A785E"/>
    <w:rsid w:val="003B55FF"/>
    <w:rsid w:val="003B651F"/>
    <w:rsid w:val="003C0116"/>
    <w:rsid w:val="003C4C28"/>
    <w:rsid w:val="00421B40"/>
    <w:rsid w:val="0043645D"/>
    <w:rsid w:val="00444373"/>
    <w:rsid w:val="00454A59"/>
    <w:rsid w:val="00455C6B"/>
    <w:rsid w:val="00456753"/>
    <w:rsid w:val="00471E57"/>
    <w:rsid w:val="00480715"/>
    <w:rsid w:val="0049143E"/>
    <w:rsid w:val="00494273"/>
    <w:rsid w:val="004C7E2A"/>
    <w:rsid w:val="004D01D3"/>
    <w:rsid w:val="004D0467"/>
    <w:rsid w:val="004D3EC8"/>
    <w:rsid w:val="004F4AFB"/>
    <w:rsid w:val="004F7C15"/>
    <w:rsid w:val="0050665D"/>
    <w:rsid w:val="00520D1A"/>
    <w:rsid w:val="0052512B"/>
    <w:rsid w:val="005518BA"/>
    <w:rsid w:val="00553F9B"/>
    <w:rsid w:val="00593132"/>
    <w:rsid w:val="005A1426"/>
    <w:rsid w:val="005A21B0"/>
    <w:rsid w:val="005A5E42"/>
    <w:rsid w:val="005B13D4"/>
    <w:rsid w:val="005C2F35"/>
    <w:rsid w:val="005D1DA6"/>
    <w:rsid w:val="005F5E04"/>
    <w:rsid w:val="00613436"/>
    <w:rsid w:val="00626C24"/>
    <w:rsid w:val="0065209A"/>
    <w:rsid w:val="00657995"/>
    <w:rsid w:val="006736F8"/>
    <w:rsid w:val="00673949"/>
    <w:rsid w:val="006842CF"/>
    <w:rsid w:val="00696985"/>
    <w:rsid w:val="006A2141"/>
    <w:rsid w:val="006B5399"/>
    <w:rsid w:val="006D5C2E"/>
    <w:rsid w:val="006E6ACB"/>
    <w:rsid w:val="006E7156"/>
    <w:rsid w:val="006F1706"/>
    <w:rsid w:val="006F6420"/>
    <w:rsid w:val="007129D7"/>
    <w:rsid w:val="00743F0B"/>
    <w:rsid w:val="00744442"/>
    <w:rsid w:val="00751F0D"/>
    <w:rsid w:val="007725E7"/>
    <w:rsid w:val="0078507E"/>
    <w:rsid w:val="007A6E8D"/>
    <w:rsid w:val="007D3D09"/>
    <w:rsid w:val="007D746F"/>
    <w:rsid w:val="007F763B"/>
    <w:rsid w:val="008131CF"/>
    <w:rsid w:val="00814FA7"/>
    <w:rsid w:val="008233D0"/>
    <w:rsid w:val="00841539"/>
    <w:rsid w:val="0085007D"/>
    <w:rsid w:val="0086698E"/>
    <w:rsid w:val="00875C08"/>
    <w:rsid w:val="00892D0D"/>
    <w:rsid w:val="008A20AC"/>
    <w:rsid w:val="008A67B6"/>
    <w:rsid w:val="0091208A"/>
    <w:rsid w:val="00914558"/>
    <w:rsid w:val="0091569B"/>
    <w:rsid w:val="00934E1B"/>
    <w:rsid w:val="00935CF7"/>
    <w:rsid w:val="0094140D"/>
    <w:rsid w:val="009459B3"/>
    <w:rsid w:val="00952EB8"/>
    <w:rsid w:val="00997A8E"/>
    <w:rsid w:val="009A3681"/>
    <w:rsid w:val="009B436F"/>
    <w:rsid w:val="009B4D1E"/>
    <w:rsid w:val="009E21E8"/>
    <w:rsid w:val="009F2832"/>
    <w:rsid w:val="00A038D7"/>
    <w:rsid w:val="00A1557F"/>
    <w:rsid w:val="00A3476D"/>
    <w:rsid w:val="00A35C0F"/>
    <w:rsid w:val="00A9652E"/>
    <w:rsid w:val="00AA57D8"/>
    <w:rsid w:val="00B01D3C"/>
    <w:rsid w:val="00B03647"/>
    <w:rsid w:val="00B14BD5"/>
    <w:rsid w:val="00B3167C"/>
    <w:rsid w:val="00B36B45"/>
    <w:rsid w:val="00B51D97"/>
    <w:rsid w:val="00B52880"/>
    <w:rsid w:val="00B60543"/>
    <w:rsid w:val="00B60E50"/>
    <w:rsid w:val="00B60E8D"/>
    <w:rsid w:val="00B7101B"/>
    <w:rsid w:val="00B80C0E"/>
    <w:rsid w:val="00B918AE"/>
    <w:rsid w:val="00B94E19"/>
    <w:rsid w:val="00BD2A8D"/>
    <w:rsid w:val="00BD4FCC"/>
    <w:rsid w:val="00BF6579"/>
    <w:rsid w:val="00C0761F"/>
    <w:rsid w:val="00C101C9"/>
    <w:rsid w:val="00C3543F"/>
    <w:rsid w:val="00C374FC"/>
    <w:rsid w:val="00C44596"/>
    <w:rsid w:val="00C60BD1"/>
    <w:rsid w:val="00C60D61"/>
    <w:rsid w:val="00C8760D"/>
    <w:rsid w:val="00C92003"/>
    <w:rsid w:val="00CA1ED2"/>
    <w:rsid w:val="00CA7ACD"/>
    <w:rsid w:val="00CB03FD"/>
    <w:rsid w:val="00CC4387"/>
    <w:rsid w:val="00CE7B2F"/>
    <w:rsid w:val="00CF24FB"/>
    <w:rsid w:val="00CF6616"/>
    <w:rsid w:val="00D04C27"/>
    <w:rsid w:val="00D13147"/>
    <w:rsid w:val="00D26F2E"/>
    <w:rsid w:val="00D31C51"/>
    <w:rsid w:val="00D3670F"/>
    <w:rsid w:val="00D3777A"/>
    <w:rsid w:val="00D55A19"/>
    <w:rsid w:val="00D56002"/>
    <w:rsid w:val="00D62ADC"/>
    <w:rsid w:val="00D778C9"/>
    <w:rsid w:val="00D917D3"/>
    <w:rsid w:val="00DB5D6C"/>
    <w:rsid w:val="00DF6507"/>
    <w:rsid w:val="00DF6840"/>
    <w:rsid w:val="00DF7353"/>
    <w:rsid w:val="00E015B9"/>
    <w:rsid w:val="00E34501"/>
    <w:rsid w:val="00E34DBD"/>
    <w:rsid w:val="00E4753B"/>
    <w:rsid w:val="00E52EA0"/>
    <w:rsid w:val="00E57761"/>
    <w:rsid w:val="00E617EB"/>
    <w:rsid w:val="00E73E1D"/>
    <w:rsid w:val="00EA5CB4"/>
    <w:rsid w:val="00EB51F4"/>
    <w:rsid w:val="00EC565A"/>
    <w:rsid w:val="00EC5C53"/>
    <w:rsid w:val="00ED0C14"/>
    <w:rsid w:val="00ED4441"/>
    <w:rsid w:val="00ED4A29"/>
    <w:rsid w:val="00ED4ED9"/>
    <w:rsid w:val="00EE1CEE"/>
    <w:rsid w:val="00EE1F4B"/>
    <w:rsid w:val="00F03305"/>
    <w:rsid w:val="00F04668"/>
    <w:rsid w:val="00F2228B"/>
    <w:rsid w:val="00F62573"/>
    <w:rsid w:val="00F6303F"/>
    <w:rsid w:val="00F67FCF"/>
    <w:rsid w:val="00F83A62"/>
    <w:rsid w:val="00F91F47"/>
    <w:rsid w:val="00FA6D77"/>
    <w:rsid w:val="00FB3C2A"/>
    <w:rsid w:val="00FB5B6A"/>
    <w:rsid w:val="00FC4906"/>
    <w:rsid w:val="00FF080D"/>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03589"/>
    <w:pPr>
      <w:keepNext/>
      <w:tabs>
        <w:tab w:val="num" w:pos="0"/>
      </w:tabs>
      <w:outlineLvl w:val="0"/>
    </w:pPr>
    <w:rPr>
      <w:b/>
      <w:bCs/>
      <w:sz w:val="32"/>
    </w:rPr>
  </w:style>
  <w:style w:type="paragraph" w:styleId="Heading2">
    <w:name w:val="heading 2"/>
    <w:basedOn w:val="Normal"/>
    <w:next w:val="Normal"/>
    <w:qFormat/>
    <w:rsid w:val="00003589"/>
    <w:pPr>
      <w:keepNext/>
      <w:tabs>
        <w:tab w:val="num" w:pos="0"/>
      </w:tabs>
      <w:jc w:val="both"/>
      <w:outlineLvl w:val="1"/>
    </w:pPr>
    <w:rPr>
      <w:b/>
      <w:sz w:val="28"/>
    </w:rPr>
  </w:style>
  <w:style w:type="paragraph" w:styleId="Heading3">
    <w:name w:val="heading 3"/>
    <w:basedOn w:val="Normal"/>
    <w:next w:val="Normal"/>
    <w:qFormat/>
    <w:rsid w:val="00003589"/>
    <w:pPr>
      <w:keepNext/>
      <w:tabs>
        <w:tab w:val="num" w:pos="0"/>
      </w:tabs>
      <w:spacing w:line="360" w:lineRule="auto"/>
      <w:jc w:val="both"/>
      <w:outlineLvl w:val="2"/>
    </w:pPr>
    <w:rPr>
      <w:b/>
      <w:bCs/>
    </w:rPr>
  </w:style>
  <w:style w:type="paragraph" w:styleId="Heading6">
    <w:name w:val="heading 6"/>
    <w:basedOn w:val="Normal"/>
    <w:next w:val="Normal"/>
    <w:qFormat/>
    <w:rsid w:val="0000358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03589"/>
  </w:style>
  <w:style w:type="character" w:customStyle="1" w:styleId="WW-Absatz-Standardschriftart">
    <w:name w:val="WW-Absatz-Standardschriftart"/>
    <w:rsid w:val="00003589"/>
  </w:style>
  <w:style w:type="character" w:customStyle="1" w:styleId="WW-Absatz-Standardschriftart1">
    <w:name w:val="WW-Absatz-Standardschriftart1"/>
    <w:rsid w:val="00003589"/>
  </w:style>
  <w:style w:type="character" w:customStyle="1" w:styleId="WW-Absatz-Standardschriftart11">
    <w:name w:val="WW-Absatz-Standardschriftart11"/>
    <w:rsid w:val="00003589"/>
  </w:style>
  <w:style w:type="character" w:customStyle="1" w:styleId="WW-Absatz-Standardschriftart111">
    <w:name w:val="WW-Absatz-Standardschriftart111"/>
    <w:rsid w:val="00003589"/>
  </w:style>
  <w:style w:type="character" w:customStyle="1" w:styleId="WW-Absatz-Standardschriftart1111">
    <w:name w:val="WW-Absatz-Standardschriftart1111"/>
    <w:rsid w:val="00003589"/>
  </w:style>
  <w:style w:type="character" w:customStyle="1" w:styleId="WW-Absatz-Standardschriftart11111">
    <w:name w:val="WW-Absatz-Standardschriftart11111"/>
    <w:rsid w:val="00003589"/>
  </w:style>
  <w:style w:type="character" w:customStyle="1" w:styleId="WW-Absatz-Standardschriftart111111">
    <w:name w:val="WW-Absatz-Standardschriftart111111"/>
    <w:rsid w:val="00003589"/>
  </w:style>
  <w:style w:type="character" w:customStyle="1" w:styleId="WW-Absatz-Standardschriftart1111111">
    <w:name w:val="WW-Absatz-Standardschriftart1111111"/>
    <w:rsid w:val="00003589"/>
  </w:style>
  <w:style w:type="character" w:customStyle="1" w:styleId="WW-Absatz-Standardschriftart11111111">
    <w:name w:val="WW-Absatz-Standardschriftart11111111"/>
    <w:rsid w:val="00003589"/>
  </w:style>
  <w:style w:type="character" w:customStyle="1" w:styleId="WW-Absatz-Standardschriftart111111111">
    <w:name w:val="WW-Absatz-Standardschriftart111111111"/>
    <w:rsid w:val="00003589"/>
  </w:style>
  <w:style w:type="character" w:customStyle="1" w:styleId="WW-Absatz-Standardschriftart1111111111">
    <w:name w:val="WW-Absatz-Standardschriftart1111111111"/>
    <w:rsid w:val="00003589"/>
  </w:style>
  <w:style w:type="character" w:customStyle="1" w:styleId="WW-Absatz-Standardschriftart11111111111">
    <w:name w:val="WW-Absatz-Standardschriftart11111111111"/>
    <w:rsid w:val="00003589"/>
  </w:style>
  <w:style w:type="character" w:customStyle="1" w:styleId="WW-Absatz-Standardschriftart111111111111">
    <w:name w:val="WW-Absatz-Standardschriftart111111111111"/>
    <w:rsid w:val="00003589"/>
  </w:style>
  <w:style w:type="character" w:customStyle="1" w:styleId="WW-Absatz-Standardschriftart1111111111111">
    <w:name w:val="WW-Absatz-Standardschriftart1111111111111"/>
    <w:rsid w:val="00003589"/>
  </w:style>
  <w:style w:type="character" w:customStyle="1" w:styleId="WW-Absatz-Standardschriftart11111111111111">
    <w:name w:val="WW-Absatz-Standardschriftart11111111111111"/>
    <w:rsid w:val="00003589"/>
  </w:style>
  <w:style w:type="character" w:customStyle="1" w:styleId="WW-Absatz-Standardschriftart111111111111111">
    <w:name w:val="WW-Absatz-Standardschriftart111111111111111"/>
    <w:rsid w:val="00003589"/>
  </w:style>
  <w:style w:type="character" w:customStyle="1" w:styleId="WW-Absatz-Standardschriftart1111111111111111">
    <w:name w:val="WW-Absatz-Standardschriftart1111111111111111"/>
    <w:rsid w:val="00003589"/>
  </w:style>
  <w:style w:type="character" w:customStyle="1" w:styleId="WW8Num1z0">
    <w:name w:val="WW8Num1z0"/>
    <w:rsid w:val="00003589"/>
    <w:rPr>
      <w:rFonts w:ascii="Symbol" w:eastAsia="Times New Roman" w:hAnsi="Symbol" w:cs="Times New Roman"/>
    </w:rPr>
  </w:style>
  <w:style w:type="character" w:customStyle="1" w:styleId="WW8Num1z1">
    <w:name w:val="WW8Num1z1"/>
    <w:rsid w:val="00003589"/>
    <w:rPr>
      <w:rFonts w:ascii="Courier New" w:hAnsi="Courier New" w:cs="Courier New"/>
    </w:rPr>
  </w:style>
  <w:style w:type="character" w:customStyle="1" w:styleId="WW8Num1z2">
    <w:name w:val="WW8Num1z2"/>
    <w:rsid w:val="00003589"/>
    <w:rPr>
      <w:rFonts w:ascii="Wingdings" w:hAnsi="Wingdings"/>
    </w:rPr>
  </w:style>
  <w:style w:type="character" w:customStyle="1" w:styleId="WW8Num1z3">
    <w:name w:val="WW8Num1z3"/>
    <w:rsid w:val="00003589"/>
    <w:rPr>
      <w:rFonts w:ascii="Symbol" w:hAnsi="Symbol"/>
    </w:rPr>
  </w:style>
  <w:style w:type="character" w:styleId="PageNumber">
    <w:name w:val="page number"/>
    <w:basedOn w:val="DefaultParagraphFont"/>
    <w:rsid w:val="00003589"/>
  </w:style>
  <w:style w:type="character" w:styleId="Hyperlink">
    <w:name w:val="Hyperlink"/>
    <w:rsid w:val="00003589"/>
    <w:rPr>
      <w:color w:val="0000FF"/>
      <w:u w:val="single"/>
    </w:rPr>
  </w:style>
  <w:style w:type="character" w:styleId="FollowedHyperlink">
    <w:name w:val="FollowedHyperlink"/>
    <w:rsid w:val="00003589"/>
    <w:rPr>
      <w:color w:val="800080"/>
      <w:u w:val="single"/>
    </w:rPr>
  </w:style>
  <w:style w:type="character" w:customStyle="1" w:styleId="NumberingSymbols">
    <w:name w:val="Numbering Symbols"/>
    <w:rsid w:val="00003589"/>
  </w:style>
  <w:style w:type="paragraph" w:customStyle="1" w:styleId="Heading">
    <w:name w:val="Heading"/>
    <w:basedOn w:val="Normal"/>
    <w:next w:val="BodyText"/>
    <w:rsid w:val="00003589"/>
    <w:pPr>
      <w:keepNext/>
      <w:spacing w:before="240" w:after="120"/>
    </w:pPr>
    <w:rPr>
      <w:rFonts w:ascii="Nimbus Sans L" w:eastAsia="DejaVu Sans" w:hAnsi="Nimbus Sans L" w:cs="DejaVu Sans"/>
      <w:sz w:val="28"/>
      <w:szCs w:val="28"/>
    </w:rPr>
  </w:style>
  <w:style w:type="paragraph" w:styleId="BodyText">
    <w:name w:val="Body Text"/>
    <w:basedOn w:val="Normal"/>
    <w:rsid w:val="00003589"/>
    <w:pPr>
      <w:spacing w:line="360" w:lineRule="auto"/>
    </w:pPr>
  </w:style>
  <w:style w:type="paragraph" w:styleId="List">
    <w:name w:val="List"/>
    <w:basedOn w:val="BodyText"/>
    <w:rsid w:val="00003589"/>
  </w:style>
  <w:style w:type="paragraph" w:styleId="Caption">
    <w:name w:val="caption"/>
    <w:basedOn w:val="Normal"/>
    <w:qFormat/>
    <w:rsid w:val="00003589"/>
    <w:pPr>
      <w:suppressLineNumbers/>
      <w:spacing w:before="120" w:after="120"/>
    </w:pPr>
    <w:rPr>
      <w:i/>
      <w:iCs/>
    </w:rPr>
  </w:style>
  <w:style w:type="paragraph" w:customStyle="1" w:styleId="Index">
    <w:name w:val="Index"/>
    <w:basedOn w:val="Normal"/>
    <w:rsid w:val="00003589"/>
    <w:pPr>
      <w:suppressLineNumbers/>
    </w:pPr>
  </w:style>
  <w:style w:type="paragraph" w:styleId="Header">
    <w:name w:val="header"/>
    <w:basedOn w:val="Normal"/>
    <w:next w:val="Heading1"/>
    <w:link w:val="HeaderChar"/>
    <w:rsid w:val="00003589"/>
    <w:pPr>
      <w:tabs>
        <w:tab w:val="center" w:pos="4320"/>
        <w:tab w:val="right" w:pos="8640"/>
      </w:tabs>
    </w:pPr>
  </w:style>
  <w:style w:type="paragraph" w:styleId="BodyTextIndent3">
    <w:name w:val="Body Text Indent 3"/>
    <w:basedOn w:val="Normal"/>
    <w:rsid w:val="00003589"/>
    <w:pPr>
      <w:spacing w:line="360" w:lineRule="auto"/>
      <w:ind w:firstLine="720"/>
      <w:jc w:val="both"/>
    </w:pPr>
    <w:rPr>
      <w:b/>
      <w:bCs/>
    </w:rPr>
  </w:style>
  <w:style w:type="paragraph" w:styleId="BodyTextIndent">
    <w:name w:val="Body Text Indent"/>
    <w:basedOn w:val="Normal"/>
    <w:rsid w:val="00003589"/>
    <w:pPr>
      <w:ind w:left="540" w:hanging="720"/>
      <w:jc w:val="both"/>
    </w:pPr>
  </w:style>
  <w:style w:type="paragraph" w:styleId="BodyTextIndent2">
    <w:name w:val="Body Text Indent 2"/>
    <w:basedOn w:val="Normal"/>
    <w:rsid w:val="00003589"/>
    <w:pPr>
      <w:spacing w:line="360" w:lineRule="auto"/>
      <w:ind w:firstLine="720"/>
      <w:jc w:val="both"/>
    </w:pPr>
  </w:style>
  <w:style w:type="paragraph" w:styleId="BodyText2">
    <w:name w:val="Body Text 2"/>
    <w:basedOn w:val="Normal"/>
    <w:rsid w:val="00003589"/>
    <w:pPr>
      <w:spacing w:line="360" w:lineRule="auto"/>
      <w:jc w:val="both"/>
    </w:pPr>
  </w:style>
  <w:style w:type="paragraph" w:styleId="Footer">
    <w:name w:val="footer"/>
    <w:basedOn w:val="Normal"/>
    <w:rsid w:val="00003589"/>
    <w:pPr>
      <w:tabs>
        <w:tab w:val="center" w:pos="4320"/>
        <w:tab w:val="right" w:pos="8640"/>
      </w:tabs>
    </w:pPr>
    <w:rPr>
      <w:sz w:val="32"/>
    </w:rPr>
  </w:style>
  <w:style w:type="paragraph" w:customStyle="1" w:styleId="TableContents">
    <w:name w:val="Table Contents"/>
    <w:basedOn w:val="Normal"/>
    <w:rsid w:val="00003589"/>
    <w:pPr>
      <w:suppressLineNumbers/>
    </w:pPr>
  </w:style>
  <w:style w:type="paragraph" w:customStyle="1" w:styleId="TableHeading">
    <w:name w:val="Table Heading"/>
    <w:basedOn w:val="TableContents"/>
    <w:rsid w:val="00003589"/>
    <w:pPr>
      <w:jc w:val="center"/>
    </w:pPr>
    <w:rPr>
      <w:b/>
      <w:bCs/>
    </w:rPr>
  </w:style>
  <w:style w:type="paragraph" w:customStyle="1" w:styleId="Framecontents">
    <w:name w:val="Frame contents"/>
    <w:basedOn w:val="BodyText"/>
    <w:rsid w:val="00003589"/>
  </w:style>
  <w:style w:type="paragraph" w:customStyle="1" w:styleId="Text">
    <w:name w:val="Text"/>
    <w:basedOn w:val="Normal"/>
    <w:rsid w:val="00003589"/>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59"/>
    <w:rsid w:val="00A03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5CB4"/>
    <w:rPr>
      <w:rFonts w:ascii="Tahoma" w:hAnsi="Tahoma" w:cs="Tahoma"/>
      <w:sz w:val="16"/>
      <w:szCs w:val="16"/>
    </w:rPr>
  </w:style>
  <w:style w:type="character" w:customStyle="1" w:styleId="BalloonTextChar">
    <w:name w:val="Balloon Text Char"/>
    <w:basedOn w:val="DefaultParagraphFont"/>
    <w:link w:val="BalloonText"/>
    <w:uiPriority w:val="99"/>
    <w:semiHidden/>
    <w:rsid w:val="00EA5CB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11286204">
      <w:bodyDiv w:val="1"/>
      <w:marLeft w:val="0"/>
      <w:marRight w:val="0"/>
      <w:marTop w:val="0"/>
      <w:marBottom w:val="0"/>
      <w:divBdr>
        <w:top w:val="none" w:sz="0" w:space="0" w:color="auto"/>
        <w:left w:val="none" w:sz="0" w:space="0" w:color="auto"/>
        <w:bottom w:val="none" w:sz="0" w:space="0" w:color="auto"/>
        <w:right w:val="none" w:sz="0" w:space="0" w:color="auto"/>
      </w:divBdr>
    </w:div>
    <w:div w:id="139469564">
      <w:bodyDiv w:val="1"/>
      <w:marLeft w:val="0"/>
      <w:marRight w:val="0"/>
      <w:marTop w:val="0"/>
      <w:marBottom w:val="0"/>
      <w:divBdr>
        <w:top w:val="none" w:sz="0" w:space="0" w:color="auto"/>
        <w:left w:val="none" w:sz="0" w:space="0" w:color="auto"/>
        <w:bottom w:val="none" w:sz="0" w:space="0" w:color="auto"/>
        <w:right w:val="none" w:sz="0" w:space="0" w:color="auto"/>
      </w:divBdr>
    </w:div>
    <w:div w:id="206647010">
      <w:bodyDiv w:val="1"/>
      <w:marLeft w:val="0"/>
      <w:marRight w:val="0"/>
      <w:marTop w:val="0"/>
      <w:marBottom w:val="0"/>
      <w:divBdr>
        <w:top w:val="none" w:sz="0" w:space="0" w:color="auto"/>
        <w:left w:val="none" w:sz="0" w:space="0" w:color="auto"/>
        <w:bottom w:val="none" w:sz="0" w:space="0" w:color="auto"/>
        <w:right w:val="none" w:sz="0" w:space="0" w:color="auto"/>
      </w:divBdr>
    </w:div>
    <w:div w:id="492993908">
      <w:bodyDiv w:val="1"/>
      <w:marLeft w:val="0"/>
      <w:marRight w:val="0"/>
      <w:marTop w:val="0"/>
      <w:marBottom w:val="0"/>
      <w:divBdr>
        <w:top w:val="none" w:sz="0" w:space="0" w:color="auto"/>
        <w:left w:val="none" w:sz="0" w:space="0" w:color="auto"/>
        <w:bottom w:val="none" w:sz="0" w:space="0" w:color="auto"/>
        <w:right w:val="none" w:sz="0" w:space="0" w:color="auto"/>
      </w:divBdr>
    </w:div>
    <w:div w:id="814179358">
      <w:bodyDiv w:val="1"/>
      <w:marLeft w:val="0"/>
      <w:marRight w:val="0"/>
      <w:marTop w:val="0"/>
      <w:marBottom w:val="0"/>
      <w:divBdr>
        <w:top w:val="none" w:sz="0" w:space="0" w:color="auto"/>
        <w:left w:val="none" w:sz="0" w:space="0" w:color="auto"/>
        <w:bottom w:val="none" w:sz="0" w:space="0" w:color="auto"/>
        <w:right w:val="none" w:sz="0" w:space="0" w:color="auto"/>
      </w:divBdr>
    </w:div>
    <w:div w:id="910776248">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056314355">
      <w:bodyDiv w:val="1"/>
      <w:marLeft w:val="0"/>
      <w:marRight w:val="0"/>
      <w:marTop w:val="0"/>
      <w:marBottom w:val="0"/>
      <w:divBdr>
        <w:top w:val="none" w:sz="0" w:space="0" w:color="auto"/>
        <w:left w:val="none" w:sz="0" w:space="0" w:color="auto"/>
        <w:bottom w:val="none" w:sz="0" w:space="0" w:color="auto"/>
        <w:right w:val="none" w:sz="0" w:space="0" w:color="auto"/>
      </w:divBdr>
    </w:div>
    <w:div w:id="1139033684">
      <w:bodyDiv w:val="1"/>
      <w:marLeft w:val="0"/>
      <w:marRight w:val="0"/>
      <w:marTop w:val="0"/>
      <w:marBottom w:val="0"/>
      <w:divBdr>
        <w:top w:val="none" w:sz="0" w:space="0" w:color="auto"/>
        <w:left w:val="none" w:sz="0" w:space="0" w:color="auto"/>
        <w:bottom w:val="none" w:sz="0" w:space="0" w:color="auto"/>
        <w:right w:val="none" w:sz="0" w:space="0" w:color="auto"/>
      </w:divBdr>
    </w:div>
    <w:div w:id="1278758646">
      <w:bodyDiv w:val="1"/>
      <w:marLeft w:val="0"/>
      <w:marRight w:val="0"/>
      <w:marTop w:val="0"/>
      <w:marBottom w:val="0"/>
      <w:divBdr>
        <w:top w:val="none" w:sz="0" w:space="0" w:color="auto"/>
        <w:left w:val="none" w:sz="0" w:space="0" w:color="auto"/>
        <w:bottom w:val="none" w:sz="0" w:space="0" w:color="auto"/>
        <w:right w:val="none" w:sz="0" w:space="0" w:color="auto"/>
      </w:divBdr>
    </w:div>
    <w:div w:id="1555654110">
      <w:bodyDiv w:val="1"/>
      <w:marLeft w:val="0"/>
      <w:marRight w:val="0"/>
      <w:marTop w:val="0"/>
      <w:marBottom w:val="0"/>
      <w:divBdr>
        <w:top w:val="none" w:sz="0" w:space="0" w:color="auto"/>
        <w:left w:val="none" w:sz="0" w:space="0" w:color="auto"/>
        <w:bottom w:val="none" w:sz="0" w:space="0" w:color="auto"/>
        <w:right w:val="none" w:sz="0" w:space="0" w:color="auto"/>
      </w:divBdr>
    </w:div>
    <w:div w:id="1557350181">
      <w:bodyDiv w:val="1"/>
      <w:marLeft w:val="0"/>
      <w:marRight w:val="0"/>
      <w:marTop w:val="0"/>
      <w:marBottom w:val="0"/>
      <w:divBdr>
        <w:top w:val="none" w:sz="0" w:space="0" w:color="auto"/>
        <w:left w:val="none" w:sz="0" w:space="0" w:color="auto"/>
        <w:bottom w:val="none" w:sz="0" w:space="0" w:color="auto"/>
        <w:right w:val="none" w:sz="0" w:space="0" w:color="auto"/>
      </w:divBdr>
    </w:div>
    <w:div w:id="1602883080">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889217579">
      <w:bodyDiv w:val="1"/>
      <w:marLeft w:val="0"/>
      <w:marRight w:val="0"/>
      <w:marTop w:val="0"/>
      <w:marBottom w:val="0"/>
      <w:divBdr>
        <w:top w:val="none" w:sz="0" w:space="0" w:color="auto"/>
        <w:left w:val="none" w:sz="0" w:space="0" w:color="auto"/>
        <w:bottom w:val="none" w:sz="0" w:space="0" w:color="auto"/>
        <w:right w:val="none" w:sz="0" w:space="0" w:color="auto"/>
      </w:divBdr>
    </w:div>
    <w:div w:id="2081827397">
      <w:bodyDiv w:val="1"/>
      <w:marLeft w:val="0"/>
      <w:marRight w:val="0"/>
      <w:marTop w:val="0"/>
      <w:marBottom w:val="0"/>
      <w:divBdr>
        <w:top w:val="none" w:sz="0" w:space="0" w:color="auto"/>
        <w:left w:val="none" w:sz="0" w:space="0" w:color="auto"/>
        <w:bottom w:val="none" w:sz="0" w:space="0" w:color="auto"/>
        <w:right w:val="none" w:sz="0" w:space="0" w:color="auto"/>
      </w:divBdr>
    </w:div>
    <w:div w:id="21407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hmedgamal@yahoo.com" TargetMode="Externa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yperlink" Target="mailto:*drahmedgamal@yahoo.co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footer" Target="footer6.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emf"/><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header" Target="header2.xml"/><Relationship Id="rId36" Type="http://schemas.openxmlformats.org/officeDocument/2006/relationships/footer" Target="footer7.xml"/><Relationship Id="rId10" Type="http://schemas.openxmlformats.org/officeDocument/2006/relationships/hyperlink" Target="http://www.dx.doi.org/10.7537/marsnys091116.03" TargetMode="External"/><Relationship Id="rId19" Type="http://schemas.openxmlformats.org/officeDocument/2006/relationships/image" Target="media/image6.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footer" Target="footer4.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37B09-3DAC-4B5E-B179-127C1B02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19803</CharactersWithSpaces>
  <SharedDoc>false</SharedDoc>
  <HLinks>
    <vt:vector size="30" baseType="variant">
      <vt:variant>
        <vt:i4>2162761</vt:i4>
      </vt:variant>
      <vt:variant>
        <vt:i4>9</vt:i4>
      </vt:variant>
      <vt:variant>
        <vt:i4>0</vt:i4>
      </vt:variant>
      <vt:variant>
        <vt:i4>5</vt:i4>
      </vt:variant>
      <vt:variant>
        <vt:lpwstr>mailto:*drahmedgamal@yahoo.com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2162761</vt:i4>
      </vt:variant>
      <vt:variant>
        <vt:i4>0</vt:i4>
      </vt:variant>
      <vt:variant>
        <vt:i4>0</vt:i4>
      </vt:variant>
      <vt:variant>
        <vt:i4>5</vt:i4>
      </vt:variant>
      <vt:variant>
        <vt:lpwstr>mailto:*drahmedgamal@yahoo.com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9</cp:revision>
  <cp:lastPrinted>2016-10-31T22:33:00Z</cp:lastPrinted>
  <dcterms:created xsi:type="dcterms:W3CDTF">2016-10-31T12:51:00Z</dcterms:created>
  <dcterms:modified xsi:type="dcterms:W3CDTF">2016-10-31T22:35:00Z</dcterms:modified>
</cp:coreProperties>
</file>