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theme/themeOverride1.xml" ContentType="application/vnd.openxmlformats-officedocument.themeOverride+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DF" w:rsidRPr="0039726C" w:rsidRDefault="00A64B39" w:rsidP="00AE7567">
      <w:pPr>
        <w:autoSpaceDE w:val="0"/>
        <w:autoSpaceDN w:val="0"/>
        <w:adjustRightInd w:val="0"/>
        <w:snapToGrid w:val="0"/>
        <w:spacing w:after="0" w:line="240" w:lineRule="auto"/>
        <w:jc w:val="center"/>
        <w:rPr>
          <w:rFonts w:ascii="Times New Roman" w:eastAsia="Calibri" w:hAnsi="Times New Roman" w:cs="Times New Roman"/>
          <w:b/>
          <w:bCs/>
          <w:sz w:val="20"/>
          <w:szCs w:val="20"/>
          <w:lang w:bidi="ar-EG"/>
        </w:rPr>
      </w:pPr>
      <w:r w:rsidRPr="0039726C">
        <w:rPr>
          <w:rFonts w:ascii="Times New Roman" w:eastAsia="Calibri" w:hAnsi="Times New Roman" w:cs="Times New Roman"/>
          <w:b/>
          <w:bCs/>
          <w:sz w:val="20"/>
          <w:szCs w:val="20"/>
          <w:lang w:bidi="ar-EG"/>
        </w:rPr>
        <w:t>The Use of Left Ventricular Myocardial Stiffness Index as a Predictor of Myocardial Performance in Patients with Systemic Hypertension</w:t>
      </w:r>
    </w:p>
    <w:p w:rsidR="00061D94" w:rsidRPr="0039726C" w:rsidRDefault="00061D94" w:rsidP="00AE7567">
      <w:pPr>
        <w:autoSpaceDE w:val="0"/>
        <w:autoSpaceDN w:val="0"/>
        <w:adjustRightInd w:val="0"/>
        <w:snapToGrid w:val="0"/>
        <w:spacing w:after="0" w:line="240" w:lineRule="auto"/>
        <w:jc w:val="center"/>
        <w:rPr>
          <w:rFonts w:ascii="Times New Roman" w:eastAsia="Calibri" w:hAnsi="Times New Roman" w:cs="Times New Roman"/>
          <w:b/>
          <w:bCs/>
          <w:sz w:val="20"/>
          <w:szCs w:val="20"/>
          <w:lang w:bidi="ar-EG"/>
        </w:rPr>
      </w:pPr>
    </w:p>
    <w:p w:rsidR="005702E6" w:rsidRPr="0039726C" w:rsidRDefault="00A64B39" w:rsidP="00AE7567">
      <w:pPr>
        <w:autoSpaceDE w:val="0"/>
        <w:autoSpaceDN w:val="0"/>
        <w:adjustRightInd w:val="0"/>
        <w:snapToGrid w:val="0"/>
        <w:spacing w:after="0" w:line="240" w:lineRule="auto"/>
        <w:jc w:val="center"/>
        <w:rPr>
          <w:rFonts w:ascii="Times New Roman" w:eastAsia="Calibri" w:hAnsi="Times New Roman" w:cs="Times New Roman"/>
          <w:bCs/>
          <w:sz w:val="20"/>
          <w:szCs w:val="20"/>
          <w:lang w:bidi="ar-EG"/>
        </w:rPr>
      </w:pPr>
      <w:proofErr w:type="spellStart"/>
      <w:r w:rsidRPr="0039726C">
        <w:rPr>
          <w:rFonts w:ascii="Times New Roman" w:eastAsia="Calibri" w:hAnsi="Times New Roman" w:cs="Times New Roman"/>
          <w:bCs/>
          <w:sz w:val="20"/>
          <w:szCs w:val="20"/>
          <w:lang w:bidi="ar-EG"/>
        </w:rPr>
        <w:t>Ehab</w:t>
      </w:r>
      <w:proofErr w:type="spellEnd"/>
      <w:r w:rsidRPr="0039726C">
        <w:rPr>
          <w:rFonts w:ascii="Times New Roman" w:eastAsia="Calibri" w:hAnsi="Times New Roman" w:cs="Times New Roman"/>
          <w:bCs/>
          <w:sz w:val="20"/>
          <w:szCs w:val="20"/>
          <w:lang w:bidi="ar-EG"/>
        </w:rPr>
        <w:t xml:space="preserve"> </w:t>
      </w:r>
      <w:proofErr w:type="spellStart"/>
      <w:r w:rsidRPr="0039726C">
        <w:rPr>
          <w:rFonts w:ascii="Times New Roman" w:eastAsia="Calibri" w:hAnsi="Times New Roman" w:cs="Times New Roman"/>
          <w:bCs/>
          <w:sz w:val="20"/>
          <w:szCs w:val="20"/>
          <w:lang w:bidi="ar-EG"/>
        </w:rPr>
        <w:t>Elsayed</w:t>
      </w:r>
      <w:proofErr w:type="spellEnd"/>
      <w:r w:rsidRPr="0039726C">
        <w:rPr>
          <w:rFonts w:ascii="Times New Roman" w:eastAsia="Calibri" w:hAnsi="Times New Roman" w:cs="Times New Roman"/>
          <w:bCs/>
          <w:sz w:val="20"/>
          <w:szCs w:val="20"/>
          <w:lang w:bidi="ar-EG"/>
        </w:rPr>
        <w:t xml:space="preserve"> </w:t>
      </w:r>
      <w:proofErr w:type="spellStart"/>
      <w:r w:rsidRPr="0039726C">
        <w:rPr>
          <w:rFonts w:ascii="Times New Roman" w:eastAsia="Calibri" w:hAnsi="Times New Roman" w:cs="Times New Roman"/>
          <w:bCs/>
          <w:sz w:val="20"/>
          <w:szCs w:val="20"/>
          <w:lang w:bidi="ar-EG"/>
        </w:rPr>
        <w:t>Elhfny</w:t>
      </w:r>
      <w:proofErr w:type="spellEnd"/>
      <w:r w:rsidR="00AE7567" w:rsidRPr="0039726C">
        <w:rPr>
          <w:rFonts w:ascii="Times New Roman" w:eastAsia="Calibri" w:hAnsi="Times New Roman" w:cs="Times New Roman"/>
          <w:bCs/>
          <w:sz w:val="20"/>
          <w:szCs w:val="20"/>
          <w:lang w:bidi="ar-EG"/>
        </w:rPr>
        <w:t>,</w:t>
      </w:r>
      <w:r w:rsidRPr="0039726C">
        <w:rPr>
          <w:rFonts w:ascii="Times New Roman" w:eastAsia="Calibri" w:hAnsi="Times New Roman" w:cs="Times New Roman"/>
          <w:bCs/>
          <w:sz w:val="20"/>
          <w:szCs w:val="20"/>
          <w:lang w:bidi="ar-EG"/>
        </w:rPr>
        <w:t xml:space="preserve"> </w:t>
      </w:r>
      <w:proofErr w:type="spellStart"/>
      <w:r w:rsidRPr="0039726C">
        <w:rPr>
          <w:rFonts w:ascii="Times New Roman" w:eastAsia="Calibri" w:hAnsi="Times New Roman" w:cs="Times New Roman"/>
          <w:bCs/>
          <w:sz w:val="20"/>
          <w:szCs w:val="20"/>
          <w:lang w:bidi="ar-EG"/>
        </w:rPr>
        <w:t>Mostafa</w:t>
      </w:r>
      <w:proofErr w:type="spellEnd"/>
      <w:r w:rsidRPr="0039726C">
        <w:rPr>
          <w:rFonts w:ascii="Times New Roman" w:eastAsia="Calibri" w:hAnsi="Times New Roman" w:cs="Times New Roman"/>
          <w:bCs/>
          <w:sz w:val="20"/>
          <w:szCs w:val="20"/>
          <w:lang w:bidi="ar-EG"/>
        </w:rPr>
        <w:t xml:space="preserve"> </w:t>
      </w:r>
      <w:proofErr w:type="spellStart"/>
      <w:r w:rsidRPr="0039726C">
        <w:rPr>
          <w:rFonts w:ascii="Times New Roman" w:eastAsia="Calibri" w:hAnsi="Times New Roman" w:cs="Times New Roman"/>
          <w:bCs/>
          <w:sz w:val="20"/>
          <w:szCs w:val="20"/>
          <w:lang w:bidi="ar-EG"/>
        </w:rPr>
        <w:t>Attia</w:t>
      </w:r>
      <w:proofErr w:type="spellEnd"/>
      <w:r w:rsidRPr="0039726C">
        <w:rPr>
          <w:rFonts w:ascii="Times New Roman" w:eastAsia="Calibri" w:hAnsi="Times New Roman" w:cs="Times New Roman"/>
          <w:bCs/>
          <w:sz w:val="20"/>
          <w:szCs w:val="20"/>
          <w:lang w:bidi="ar-EG"/>
        </w:rPr>
        <w:t xml:space="preserve"> </w:t>
      </w:r>
      <w:proofErr w:type="spellStart"/>
      <w:r w:rsidRPr="0039726C">
        <w:rPr>
          <w:rFonts w:ascii="Times New Roman" w:eastAsia="Calibri" w:hAnsi="Times New Roman" w:cs="Times New Roman"/>
          <w:bCs/>
          <w:sz w:val="20"/>
          <w:szCs w:val="20"/>
          <w:lang w:bidi="ar-EG"/>
        </w:rPr>
        <w:t>Alswasany</w:t>
      </w:r>
      <w:proofErr w:type="spellEnd"/>
      <w:r w:rsidRPr="0039726C">
        <w:rPr>
          <w:rFonts w:ascii="Times New Roman" w:eastAsia="Calibri" w:hAnsi="Times New Roman" w:cs="Times New Roman"/>
          <w:bCs/>
          <w:sz w:val="20"/>
          <w:szCs w:val="20"/>
          <w:lang w:bidi="ar-EG"/>
        </w:rPr>
        <w:t>, Mohamed</w:t>
      </w:r>
      <w:r w:rsidR="001E46A9" w:rsidRPr="0039726C">
        <w:rPr>
          <w:rFonts w:ascii="Times New Roman" w:eastAsia="Calibri" w:hAnsi="Times New Roman" w:cs="Times New Roman"/>
          <w:bCs/>
          <w:sz w:val="20"/>
          <w:szCs w:val="20"/>
          <w:lang w:bidi="ar-EG"/>
        </w:rPr>
        <w:t xml:space="preserve"> </w:t>
      </w:r>
      <w:r w:rsidRPr="0039726C">
        <w:rPr>
          <w:rFonts w:ascii="Times New Roman" w:eastAsia="Calibri" w:hAnsi="Times New Roman" w:cs="Times New Roman"/>
          <w:bCs/>
          <w:sz w:val="20"/>
          <w:szCs w:val="20"/>
          <w:lang w:bidi="ar-EG"/>
        </w:rPr>
        <w:t xml:space="preserve">Abdel </w:t>
      </w:r>
      <w:proofErr w:type="spellStart"/>
      <w:r w:rsidRPr="0039726C">
        <w:rPr>
          <w:rFonts w:ascii="Times New Roman" w:eastAsia="Calibri" w:hAnsi="Times New Roman" w:cs="Times New Roman"/>
          <w:bCs/>
          <w:sz w:val="20"/>
          <w:szCs w:val="20"/>
          <w:lang w:bidi="ar-EG"/>
        </w:rPr>
        <w:t>Halim</w:t>
      </w:r>
      <w:proofErr w:type="spellEnd"/>
    </w:p>
    <w:p w:rsidR="00061D94" w:rsidRPr="0039726C" w:rsidRDefault="00061D94" w:rsidP="00AE7567">
      <w:pPr>
        <w:autoSpaceDE w:val="0"/>
        <w:autoSpaceDN w:val="0"/>
        <w:adjustRightInd w:val="0"/>
        <w:snapToGrid w:val="0"/>
        <w:spacing w:after="0" w:line="240" w:lineRule="auto"/>
        <w:jc w:val="center"/>
        <w:rPr>
          <w:rFonts w:ascii="Times New Roman" w:eastAsia="Calibri" w:hAnsi="Times New Roman" w:cs="Times New Roman"/>
          <w:bCs/>
          <w:sz w:val="20"/>
          <w:szCs w:val="20"/>
          <w:lang w:bidi="ar-EG"/>
        </w:rPr>
      </w:pPr>
    </w:p>
    <w:p w:rsidR="00061D94" w:rsidRPr="0039726C" w:rsidRDefault="00061D94" w:rsidP="00AE7567">
      <w:pPr>
        <w:autoSpaceDE w:val="0"/>
        <w:autoSpaceDN w:val="0"/>
        <w:adjustRightInd w:val="0"/>
        <w:snapToGrid w:val="0"/>
        <w:spacing w:after="0" w:line="240" w:lineRule="auto"/>
        <w:jc w:val="center"/>
        <w:rPr>
          <w:rFonts w:ascii="Times New Roman" w:eastAsia="Calibri" w:hAnsi="Times New Roman" w:cs="Times New Roman"/>
          <w:bCs/>
          <w:sz w:val="20"/>
          <w:szCs w:val="20"/>
          <w:vertAlign w:val="superscript"/>
          <w:lang w:bidi="ar-EG"/>
        </w:rPr>
      </w:pPr>
      <w:r w:rsidRPr="0039726C">
        <w:rPr>
          <w:rFonts w:ascii="Times New Roman" w:eastAsia="Calibri" w:hAnsi="Times New Roman" w:cs="Times New Roman"/>
          <w:bCs/>
          <w:sz w:val="20"/>
          <w:szCs w:val="20"/>
          <w:lang w:bidi="ar-EG"/>
        </w:rPr>
        <w:t>C</w:t>
      </w:r>
      <w:r w:rsidR="00A64B39" w:rsidRPr="0039726C">
        <w:rPr>
          <w:rFonts w:ascii="Times New Roman" w:eastAsia="Calibri" w:hAnsi="Times New Roman" w:cs="Times New Roman"/>
          <w:bCs/>
          <w:sz w:val="20"/>
          <w:szCs w:val="20"/>
          <w:lang w:bidi="ar-EG"/>
        </w:rPr>
        <w:t xml:space="preserve">ardiology </w:t>
      </w:r>
      <w:r w:rsidRPr="0039726C">
        <w:rPr>
          <w:rFonts w:ascii="Times New Roman" w:eastAsia="Calibri" w:hAnsi="Times New Roman" w:cs="Times New Roman"/>
          <w:bCs/>
          <w:sz w:val="20"/>
          <w:szCs w:val="20"/>
          <w:lang w:bidi="ar-EG"/>
        </w:rPr>
        <w:t>D</w:t>
      </w:r>
      <w:r w:rsidR="00A64B39" w:rsidRPr="0039726C">
        <w:rPr>
          <w:rFonts w:ascii="Times New Roman" w:eastAsia="Calibri" w:hAnsi="Times New Roman" w:cs="Times New Roman"/>
          <w:bCs/>
          <w:sz w:val="20"/>
          <w:szCs w:val="20"/>
          <w:lang w:bidi="ar-EG"/>
        </w:rPr>
        <w:t>epartment</w:t>
      </w:r>
      <w:r w:rsidRPr="0039726C">
        <w:rPr>
          <w:rFonts w:ascii="Times New Roman" w:eastAsia="Calibri" w:hAnsi="Times New Roman" w:cs="Times New Roman"/>
          <w:bCs/>
          <w:sz w:val="20"/>
          <w:szCs w:val="20"/>
          <w:lang w:bidi="ar-EG"/>
        </w:rPr>
        <w:t>,</w:t>
      </w:r>
      <w:r w:rsidR="0047055F" w:rsidRPr="0039726C">
        <w:rPr>
          <w:rFonts w:ascii="Times New Roman" w:eastAsia="Calibri" w:hAnsi="Times New Roman" w:cs="Times New Roman"/>
          <w:bCs/>
          <w:sz w:val="20"/>
          <w:szCs w:val="20"/>
          <w:lang w:bidi="ar-EG"/>
        </w:rPr>
        <w:t xml:space="preserve"> Faculty of Medicine - Al-</w:t>
      </w:r>
      <w:proofErr w:type="spellStart"/>
      <w:r w:rsidR="0047055F" w:rsidRPr="0039726C">
        <w:rPr>
          <w:rFonts w:ascii="Times New Roman" w:eastAsia="Calibri" w:hAnsi="Times New Roman" w:cs="Times New Roman"/>
          <w:bCs/>
          <w:sz w:val="20"/>
          <w:szCs w:val="20"/>
          <w:lang w:bidi="ar-EG"/>
        </w:rPr>
        <w:t>Azhar</w:t>
      </w:r>
      <w:proofErr w:type="spellEnd"/>
      <w:r w:rsidR="0047055F" w:rsidRPr="0039726C">
        <w:rPr>
          <w:rFonts w:ascii="Times New Roman" w:eastAsia="Calibri" w:hAnsi="Times New Roman" w:cs="Times New Roman"/>
          <w:bCs/>
          <w:sz w:val="20"/>
          <w:szCs w:val="20"/>
          <w:lang w:bidi="ar-EG"/>
        </w:rPr>
        <w:t xml:space="preserve"> University</w:t>
      </w:r>
      <w:r w:rsidRPr="0039726C">
        <w:rPr>
          <w:rFonts w:ascii="Times New Roman" w:eastAsia="Calibri" w:hAnsi="Times New Roman" w:cs="Times New Roman"/>
          <w:bCs/>
          <w:sz w:val="20"/>
          <w:szCs w:val="20"/>
          <w:lang w:bidi="ar-EG"/>
        </w:rPr>
        <w:t>, Cairo, Egypt</w:t>
      </w:r>
    </w:p>
    <w:p w:rsidR="00FF6D86" w:rsidRPr="0039726C" w:rsidRDefault="00F400F0" w:rsidP="00AE7567">
      <w:pPr>
        <w:autoSpaceDE w:val="0"/>
        <w:autoSpaceDN w:val="0"/>
        <w:adjustRightInd w:val="0"/>
        <w:snapToGrid w:val="0"/>
        <w:spacing w:after="0" w:line="240" w:lineRule="auto"/>
        <w:jc w:val="center"/>
        <w:rPr>
          <w:rFonts w:ascii="Times New Roman" w:eastAsia="Calibri" w:hAnsi="Times New Roman" w:cs="Times New Roman"/>
          <w:b/>
          <w:bCs/>
          <w:sz w:val="20"/>
          <w:szCs w:val="20"/>
          <w:lang w:bidi="ar-EG"/>
        </w:rPr>
      </w:pPr>
      <w:hyperlink r:id="rId7" w:history="1">
        <w:r w:rsidR="00FF6D86" w:rsidRPr="0039726C">
          <w:rPr>
            <w:rFonts w:ascii="Times New Roman" w:hAnsi="Times New Roman" w:cs="Times New Roman"/>
            <w:color w:val="000000"/>
            <w:sz w:val="20"/>
            <w:szCs w:val="20"/>
            <w:u w:val="single"/>
          </w:rPr>
          <w:t>drmohamedhalim848@gmail.com</w:t>
        </w:r>
      </w:hyperlink>
    </w:p>
    <w:p w:rsidR="00061D94" w:rsidRPr="0039726C" w:rsidRDefault="00061D94" w:rsidP="00AE7567">
      <w:pPr>
        <w:autoSpaceDE w:val="0"/>
        <w:autoSpaceDN w:val="0"/>
        <w:adjustRightInd w:val="0"/>
        <w:snapToGrid w:val="0"/>
        <w:spacing w:after="0" w:line="240" w:lineRule="auto"/>
        <w:jc w:val="center"/>
        <w:rPr>
          <w:rFonts w:ascii="Times New Roman" w:eastAsia="Calibri" w:hAnsi="Times New Roman" w:cs="Times New Roman"/>
          <w:b/>
          <w:bCs/>
          <w:sz w:val="20"/>
          <w:szCs w:val="20"/>
          <w:lang w:bidi="ar-EG"/>
        </w:rPr>
      </w:pPr>
    </w:p>
    <w:p w:rsidR="00051975" w:rsidRPr="0039726C" w:rsidRDefault="00083E2D"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eastAsia="Calibri" w:hAnsi="Times New Roman" w:cs="Times New Roman"/>
          <w:b/>
          <w:bCs/>
          <w:sz w:val="20"/>
          <w:szCs w:val="20"/>
          <w:lang w:bidi="ar-EG"/>
        </w:rPr>
        <w:t>Abstract</w:t>
      </w:r>
      <w:r w:rsidRPr="0039726C">
        <w:rPr>
          <w:rFonts w:ascii="Times New Roman" w:eastAsia="Calibri" w:hAnsi="Times New Roman" w:cs="Times New Roman"/>
          <w:bCs/>
          <w:sz w:val="20"/>
          <w:szCs w:val="20"/>
          <w:lang w:bidi="ar-EG"/>
        </w:rPr>
        <w:t>:</w:t>
      </w:r>
      <w:r w:rsidR="00061D94" w:rsidRPr="0039726C">
        <w:rPr>
          <w:rFonts w:ascii="Times New Roman" w:eastAsia="Calibri" w:hAnsi="Times New Roman" w:cs="Times New Roman"/>
          <w:b/>
          <w:sz w:val="20"/>
          <w:szCs w:val="20"/>
          <w:lang w:bidi="ar-EG"/>
        </w:rPr>
        <w:t xml:space="preserve"> </w:t>
      </w:r>
      <w:r w:rsidRPr="0039726C">
        <w:rPr>
          <w:rFonts w:ascii="Times New Roman" w:eastAsia="Calibri" w:hAnsi="Times New Roman" w:cs="Times New Roman"/>
          <w:b/>
          <w:sz w:val="20"/>
          <w:szCs w:val="20"/>
          <w:lang w:bidi="ar-EG"/>
        </w:rPr>
        <w:t>Background:</w:t>
      </w:r>
      <w:r w:rsidR="00A64B39" w:rsidRPr="0039726C">
        <w:rPr>
          <w:rFonts w:ascii="Times New Roman" w:eastAsia="Calibri" w:hAnsi="Times New Roman" w:cs="Times New Roman"/>
          <w:bCs/>
          <w:sz w:val="20"/>
          <w:szCs w:val="20"/>
          <w:lang w:bidi="ar-EG"/>
        </w:rPr>
        <w:t xml:space="preserve"> Patients suffering from systemic hypertension show morphological changes in </w:t>
      </w:r>
      <w:r w:rsidR="00863569" w:rsidRPr="0039726C">
        <w:rPr>
          <w:rFonts w:ascii="Times New Roman" w:eastAsia="Calibri" w:hAnsi="Times New Roman" w:cs="Times New Roman"/>
          <w:bCs/>
          <w:sz w:val="20"/>
          <w:szCs w:val="20"/>
          <w:lang w:bidi="ar-EG"/>
        </w:rPr>
        <w:t>the myocardial structure</w:t>
      </w:r>
      <w:r w:rsidR="00A64B39" w:rsidRPr="0039726C">
        <w:rPr>
          <w:rFonts w:ascii="Times New Roman" w:eastAsia="Calibri" w:hAnsi="Times New Roman" w:cs="Times New Roman"/>
          <w:bCs/>
          <w:sz w:val="20"/>
          <w:szCs w:val="20"/>
          <w:lang w:bidi="ar-EG"/>
        </w:rPr>
        <w:t xml:space="preserve"> which in turn increase left ventricular stiffness.</w:t>
      </w:r>
      <w:r w:rsidR="0039726C" w:rsidRPr="0039726C">
        <w:rPr>
          <w:rFonts w:ascii="Times New Roman" w:hAnsi="Times New Roman" w:cs="Times New Roman" w:hint="eastAsia"/>
          <w:bCs/>
          <w:sz w:val="20"/>
          <w:szCs w:val="20"/>
          <w:lang w:eastAsia="zh-CN" w:bidi="ar-EG"/>
        </w:rPr>
        <w:t xml:space="preserve"> </w:t>
      </w:r>
      <w:r w:rsidRPr="0039726C">
        <w:rPr>
          <w:rFonts w:ascii="Times New Roman" w:eastAsia="Calibri" w:hAnsi="Times New Roman" w:cs="Times New Roman"/>
          <w:b/>
          <w:bCs/>
          <w:sz w:val="20"/>
          <w:szCs w:val="20"/>
          <w:lang w:bidi="ar-EG"/>
        </w:rPr>
        <w:t>Introduction:</w:t>
      </w:r>
      <w:r w:rsidR="00863569" w:rsidRPr="0039726C">
        <w:rPr>
          <w:rFonts w:ascii="Times New Roman" w:hAnsi="Times New Roman" w:cs="Times New Roman"/>
          <w:color w:val="000000"/>
          <w:sz w:val="20"/>
          <w:szCs w:val="20"/>
          <w:shd w:val="clear" w:color="auto" w:fill="FFFFFF"/>
        </w:rPr>
        <w:t xml:space="preserve"> </w:t>
      </w:r>
      <w:r w:rsidR="00863569" w:rsidRPr="0039726C">
        <w:rPr>
          <w:rFonts w:ascii="Times New Roman" w:hAnsi="Times New Roman" w:cs="Times New Roman"/>
          <w:sz w:val="20"/>
          <w:szCs w:val="20"/>
        </w:rPr>
        <w:t xml:space="preserve">Hypertension can lead to both systolic and diastolic abnormalities. There are several conventional indices for evaluating systolic function, such as ejection fraction, cardiac output, cardiac index and fractional shortening, while diastolic index can be assessed among others by </w:t>
      </w:r>
      <w:proofErr w:type="spellStart"/>
      <w:r w:rsidR="00863569" w:rsidRPr="0039726C">
        <w:rPr>
          <w:rFonts w:ascii="Times New Roman" w:hAnsi="Times New Roman" w:cs="Times New Roman"/>
          <w:sz w:val="20"/>
          <w:szCs w:val="20"/>
        </w:rPr>
        <w:t>transmitral</w:t>
      </w:r>
      <w:proofErr w:type="spellEnd"/>
      <w:r w:rsidR="00863569" w:rsidRPr="0039726C">
        <w:rPr>
          <w:rFonts w:ascii="Times New Roman" w:hAnsi="Times New Roman" w:cs="Times New Roman"/>
          <w:sz w:val="20"/>
          <w:szCs w:val="20"/>
        </w:rPr>
        <w:t xml:space="preserve"> Doppler wave pattern, </w:t>
      </w:r>
      <w:proofErr w:type="spellStart"/>
      <w:r w:rsidR="00863569" w:rsidRPr="0039726C">
        <w:rPr>
          <w:rFonts w:ascii="Times New Roman" w:hAnsi="Times New Roman" w:cs="Times New Roman"/>
          <w:sz w:val="20"/>
          <w:szCs w:val="20"/>
        </w:rPr>
        <w:t>isovolumic</w:t>
      </w:r>
      <w:proofErr w:type="spellEnd"/>
      <w:r w:rsidR="00863569" w:rsidRPr="0039726C">
        <w:rPr>
          <w:rFonts w:ascii="Times New Roman" w:hAnsi="Times New Roman" w:cs="Times New Roman"/>
          <w:sz w:val="20"/>
          <w:szCs w:val="20"/>
        </w:rPr>
        <w:t xml:space="preserve"> relaxation time, tissue Doppler and deceleration time.</w:t>
      </w:r>
      <w:r w:rsidR="0039726C" w:rsidRPr="0039726C">
        <w:rPr>
          <w:rFonts w:ascii="Times New Roman" w:hAnsi="Times New Roman" w:cs="Times New Roman" w:hint="eastAsia"/>
          <w:sz w:val="20"/>
          <w:szCs w:val="20"/>
          <w:lang w:eastAsia="zh-CN"/>
        </w:rPr>
        <w:t xml:space="preserve"> </w:t>
      </w:r>
      <w:r w:rsidR="0074745E" w:rsidRPr="0039726C">
        <w:rPr>
          <w:rFonts w:ascii="Times New Roman" w:eastAsia="Calibri" w:hAnsi="Times New Roman" w:cs="Times New Roman"/>
          <w:b/>
          <w:sz w:val="20"/>
          <w:szCs w:val="20"/>
          <w:lang w:bidi="ar-EG"/>
        </w:rPr>
        <w:t>Aim of the work:</w:t>
      </w:r>
      <w:r w:rsidR="001F073E" w:rsidRPr="0039726C">
        <w:rPr>
          <w:rFonts w:ascii="Times New Roman" w:eastAsia="Calibri" w:hAnsi="Times New Roman" w:cs="Times New Roman"/>
          <w:sz w:val="20"/>
          <w:szCs w:val="20"/>
          <w:lang w:bidi="ar-EG"/>
        </w:rPr>
        <w:t xml:space="preserve"> </w:t>
      </w:r>
      <w:r w:rsidR="00863569" w:rsidRPr="0039726C">
        <w:rPr>
          <w:rFonts w:ascii="Times New Roman" w:eastAsia="Calibri" w:hAnsi="Times New Roman" w:cs="Times New Roman"/>
          <w:bCs/>
          <w:sz w:val="20"/>
          <w:szCs w:val="20"/>
          <w:lang w:bidi="ar-EG"/>
        </w:rPr>
        <w:t>To</w:t>
      </w:r>
      <w:r w:rsidR="00AE7567" w:rsidRPr="0039726C">
        <w:rPr>
          <w:rFonts w:ascii="Times New Roman" w:eastAsia="Calibri" w:hAnsi="Times New Roman" w:cs="Times New Roman"/>
          <w:bCs/>
          <w:sz w:val="20"/>
          <w:szCs w:val="20"/>
          <w:lang w:bidi="ar-EG"/>
        </w:rPr>
        <w:t xml:space="preserve"> </w:t>
      </w:r>
      <w:r w:rsidR="00863569" w:rsidRPr="0039726C">
        <w:rPr>
          <w:rFonts w:ascii="Times New Roman" w:eastAsia="Calibri" w:hAnsi="Times New Roman" w:cs="Times New Roman"/>
          <w:bCs/>
          <w:sz w:val="20"/>
          <w:szCs w:val="20"/>
          <w:lang w:bidi="ar-EG"/>
        </w:rPr>
        <w:t>investigate the changes in the myocardium stiffness index for patients suffering from</w:t>
      </w:r>
      <w:r w:rsidR="00AE7567" w:rsidRPr="0039726C">
        <w:rPr>
          <w:rFonts w:ascii="Times New Roman" w:eastAsia="Calibri" w:hAnsi="Times New Roman" w:cs="Times New Roman"/>
          <w:bCs/>
          <w:sz w:val="20"/>
          <w:szCs w:val="20"/>
          <w:lang w:bidi="ar-EG"/>
        </w:rPr>
        <w:t xml:space="preserve"> </w:t>
      </w:r>
      <w:r w:rsidR="00863569" w:rsidRPr="0039726C">
        <w:rPr>
          <w:rFonts w:ascii="Times New Roman" w:eastAsia="Calibri" w:hAnsi="Times New Roman" w:cs="Times New Roman"/>
          <w:bCs/>
          <w:sz w:val="20"/>
          <w:szCs w:val="20"/>
          <w:lang w:bidi="ar-EG"/>
        </w:rPr>
        <w:t>systemic</w:t>
      </w:r>
      <w:r w:rsidR="00AE7567" w:rsidRPr="0039726C">
        <w:rPr>
          <w:rFonts w:ascii="Times New Roman" w:eastAsia="Calibri" w:hAnsi="Times New Roman" w:cs="Times New Roman"/>
          <w:bCs/>
          <w:sz w:val="20"/>
          <w:szCs w:val="20"/>
          <w:lang w:bidi="ar-EG"/>
        </w:rPr>
        <w:t xml:space="preserve"> </w:t>
      </w:r>
      <w:r w:rsidR="00863569" w:rsidRPr="0039726C">
        <w:rPr>
          <w:rFonts w:ascii="Times New Roman" w:eastAsia="Calibri" w:hAnsi="Times New Roman" w:cs="Times New Roman"/>
          <w:bCs/>
          <w:sz w:val="20"/>
          <w:szCs w:val="20"/>
          <w:lang w:bidi="ar-EG"/>
        </w:rPr>
        <w:t>hypertension,</w:t>
      </w:r>
      <w:r w:rsidR="00AE7567" w:rsidRPr="0039726C">
        <w:rPr>
          <w:rFonts w:ascii="Times New Roman" w:eastAsia="Calibri" w:hAnsi="Times New Roman" w:cs="Times New Roman"/>
          <w:bCs/>
          <w:sz w:val="20"/>
          <w:szCs w:val="20"/>
          <w:lang w:bidi="ar-EG"/>
        </w:rPr>
        <w:t xml:space="preserve"> </w:t>
      </w:r>
      <w:r w:rsidR="00863569" w:rsidRPr="0039726C">
        <w:rPr>
          <w:rFonts w:ascii="Times New Roman" w:eastAsia="Calibri" w:hAnsi="Times New Roman" w:cs="Times New Roman"/>
          <w:bCs/>
          <w:sz w:val="20"/>
          <w:szCs w:val="20"/>
          <w:lang w:bidi="ar-EG"/>
        </w:rPr>
        <w:t>and</w:t>
      </w:r>
      <w:r w:rsidR="00AE7567" w:rsidRPr="0039726C">
        <w:rPr>
          <w:rFonts w:ascii="Times New Roman" w:eastAsia="Calibri" w:hAnsi="Times New Roman" w:cs="Times New Roman"/>
          <w:bCs/>
          <w:sz w:val="20"/>
          <w:szCs w:val="20"/>
          <w:lang w:bidi="ar-EG"/>
        </w:rPr>
        <w:t xml:space="preserve"> </w:t>
      </w:r>
      <w:r w:rsidR="00863569" w:rsidRPr="0039726C">
        <w:rPr>
          <w:rFonts w:ascii="Times New Roman" w:eastAsia="Calibri" w:hAnsi="Times New Roman" w:cs="Times New Roman"/>
          <w:bCs/>
          <w:sz w:val="20"/>
          <w:szCs w:val="20"/>
          <w:lang w:bidi="ar-EG"/>
        </w:rPr>
        <w:t>to</w:t>
      </w:r>
      <w:r w:rsidR="00AE7567" w:rsidRPr="0039726C">
        <w:rPr>
          <w:rFonts w:ascii="Times New Roman" w:eastAsia="Calibri" w:hAnsi="Times New Roman" w:cs="Times New Roman"/>
          <w:bCs/>
          <w:sz w:val="20"/>
          <w:szCs w:val="20"/>
          <w:lang w:bidi="ar-EG"/>
        </w:rPr>
        <w:t xml:space="preserve"> </w:t>
      </w:r>
      <w:r w:rsidR="00863569" w:rsidRPr="0039726C">
        <w:rPr>
          <w:rFonts w:ascii="Times New Roman" w:eastAsia="Calibri" w:hAnsi="Times New Roman" w:cs="Times New Roman"/>
          <w:bCs/>
          <w:sz w:val="20"/>
          <w:szCs w:val="20"/>
          <w:lang w:bidi="ar-EG"/>
        </w:rPr>
        <w:t>assess</w:t>
      </w:r>
      <w:r w:rsidR="00AE7567" w:rsidRPr="0039726C">
        <w:rPr>
          <w:rFonts w:ascii="Times New Roman" w:eastAsia="Calibri" w:hAnsi="Times New Roman" w:cs="Times New Roman"/>
          <w:bCs/>
          <w:sz w:val="20"/>
          <w:szCs w:val="20"/>
          <w:lang w:bidi="ar-EG"/>
        </w:rPr>
        <w:t xml:space="preserve"> </w:t>
      </w:r>
      <w:r w:rsidR="00863569" w:rsidRPr="0039726C">
        <w:rPr>
          <w:rFonts w:ascii="Times New Roman" w:eastAsia="Calibri" w:hAnsi="Times New Roman" w:cs="Times New Roman"/>
          <w:bCs/>
          <w:sz w:val="20"/>
          <w:szCs w:val="20"/>
          <w:lang w:bidi="ar-EG"/>
        </w:rPr>
        <w:t>their</w:t>
      </w:r>
      <w:r w:rsidR="00AE7567" w:rsidRPr="0039726C">
        <w:rPr>
          <w:rFonts w:ascii="Times New Roman" w:eastAsia="Calibri" w:hAnsi="Times New Roman" w:cs="Times New Roman"/>
          <w:bCs/>
          <w:sz w:val="20"/>
          <w:szCs w:val="20"/>
          <w:lang w:bidi="ar-EG"/>
        </w:rPr>
        <w:t xml:space="preserve"> </w:t>
      </w:r>
      <w:r w:rsidR="00863569" w:rsidRPr="0039726C">
        <w:rPr>
          <w:rFonts w:ascii="Times New Roman" w:eastAsia="Calibri" w:hAnsi="Times New Roman" w:cs="Times New Roman"/>
          <w:bCs/>
          <w:sz w:val="20"/>
          <w:szCs w:val="20"/>
          <w:lang w:bidi="ar-EG"/>
        </w:rPr>
        <w:t>left</w:t>
      </w:r>
      <w:r w:rsidR="00AE7567" w:rsidRPr="0039726C">
        <w:rPr>
          <w:rFonts w:ascii="Times New Roman" w:eastAsia="Calibri" w:hAnsi="Times New Roman" w:cs="Times New Roman"/>
          <w:bCs/>
          <w:sz w:val="20"/>
          <w:szCs w:val="20"/>
          <w:lang w:bidi="ar-EG"/>
        </w:rPr>
        <w:t xml:space="preserve"> </w:t>
      </w:r>
      <w:r w:rsidR="00863569" w:rsidRPr="0039726C">
        <w:rPr>
          <w:rFonts w:ascii="Times New Roman" w:eastAsia="Calibri" w:hAnsi="Times New Roman" w:cs="Times New Roman"/>
          <w:bCs/>
          <w:sz w:val="20"/>
          <w:szCs w:val="20"/>
          <w:lang w:bidi="ar-EG"/>
        </w:rPr>
        <w:t>ventricular</w:t>
      </w:r>
      <w:r w:rsidR="00AE7567" w:rsidRPr="0039726C">
        <w:rPr>
          <w:rFonts w:ascii="Times New Roman" w:eastAsia="Calibri" w:hAnsi="Times New Roman" w:cs="Times New Roman"/>
          <w:bCs/>
          <w:sz w:val="20"/>
          <w:szCs w:val="20"/>
          <w:lang w:bidi="ar-EG"/>
        </w:rPr>
        <w:t xml:space="preserve"> </w:t>
      </w:r>
      <w:r w:rsidR="00863569" w:rsidRPr="0039726C">
        <w:rPr>
          <w:rFonts w:ascii="Times New Roman" w:eastAsia="Calibri" w:hAnsi="Times New Roman" w:cs="Times New Roman"/>
          <w:bCs/>
          <w:sz w:val="20"/>
          <w:szCs w:val="20"/>
          <w:lang w:bidi="ar-EG"/>
        </w:rPr>
        <w:t>performance by TDI.</w:t>
      </w:r>
      <w:r w:rsidR="0039726C" w:rsidRPr="0039726C">
        <w:rPr>
          <w:rFonts w:ascii="Times New Roman" w:hAnsi="Times New Roman" w:cs="Times New Roman" w:hint="eastAsia"/>
          <w:bCs/>
          <w:sz w:val="20"/>
          <w:szCs w:val="20"/>
          <w:lang w:eastAsia="zh-CN" w:bidi="ar-EG"/>
        </w:rPr>
        <w:t xml:space="preserve"> </w:t>
      </w:r>
      <w:r w:rsidR="009379DE" w:rsidRPr="0039726C">
        <w:rPr>
          <w:rFonts w:ascii="Times New Roman" w:eastAsia="Calibri" w:hAnsi="Times New Roman" w:cs="Times New Roman"/>
          <w:b/>
          <w:sz w:val="20"/>
          <w:szCs w:val="20"/>
          <w:lang w:bidi="ar-EG"/>
        </w:rPr>
        <w:t>Material and methods:</w:t>
      </w:r>
      <w:r w:rsidR="003E5BDF" w:rsidRPr="0039726C">
        <w:rPr>
          <w:rFonts w:ascii="Times New Roman" w:hAnsi="Times New Roman" w:cs="Times New Roman"/>
          <w:color w:val="000000"/>
          <w:sz w:val="20"/>
          <w:szCs w:val="20"/>
        </w:rPr>
        <w:t xml:space="preserve"> </w:t>
      </w:r>
      <w:r w:rsidR="009F5FFF" w:rsidRPr="0039726C">
        <w:rPr>
          <w:rFonts w:ascii="Times New Roman" w:hAnsi="Times New Roman" w:cs="Times New Roman"/>
          <w:color w:val="000000"/>
          <w:sz w:val="20"/>
          <w:szCs w:val="20"/>
        </w:rPr>
        <w:t>a prospective study d</w:t>
      </w:r>
      <w:r w:rsidR="00863569" w:rsidRPr="0039726C">
        <w:rPr>
          <w:rFonts w:ascii="Times New Roman" w:hAnsi="Times New Roman" w:cs="Times New Roman"/>
          <w:color w:val="000000"/>
          <w:sz w:val="20"/>
          <w:szCs w:val="20"/>
        </w:rPr>
        <w:t>one over a period of one year</w:t>
      </w:r>
      <w:r w:rsidR="009F5FFF" w:rsidRPr="0039726C">
        <w:rPr>
          <w:rFonts w:ascii="Times New Roman" w:hAnsi="Times New Roman" w:cs="Times New Roman"/>
          <w:color w:val="000000"/>
          <w:sz w:val="20"/>
          <w:szCs w:val="20"/>
        </w:rPr>
        <w:t xml:space="preserve"> that incl</w:t>
      </w:r>
      <w:r w:rsidR="00863569" w:rsidRPr="0039726C">
        <w:rPr>
          <w:rFonts w:ascii="Times New Roman" w:hAnsi="Times New Roman" w:cs="Times New Roman"/>
          <w:color w:val="000000"/>
          <w:sz w:val="20"/>
          <w:szCs w:val="20"/>
        </w:rPr>
        <w:t>uded established cases of hypertension</w:t>
      </w:r>
      <w:r w:rsidR="009F5FFF" w:rsidRPr="0039726C">
        <w:rPr>
          <w:rFonts w:ascii="Times New Roman" w:hAnsi="Times New Roman" w:cs="Times New Roman"/>
          <w:color w:val="000000"/>
          <w:sz w:val="20"/>
          <w:szCs w:val="20"/>
        </w:rPr>
        <w:t xml:space="preserve"> dia</w:t>
      </w:r>
      <w:r w:rsidR="00944ECC" w:rsidRPr="0039726C">
        <w:rPr>
          <w:rFonts w:ascii="Times New Roman" w:hAnsi="Times New Roman" w:cs="Times New Roman"/>
          <w:color w:val="000000"/>
          <w:sz w:val="20"/>
          <w:szCs w:val="20"/>
        </w:rPr>
        <w:t xml:space="preserve">gnosed on the basis of </w:t>
      </w:r>
      <w:r w:rsidR="009F5FFF" w:rsidRPr="0039726C">
        <w:rPr>
          <w:rFonts w:ascii="Times New Roman" w:hAnsi="Times New Roman" w:cs="Times New Roman"/>
          <w:color w:val="000000"/>
          <w:sz w:val="20"/>
          <w:szCs w:val="20"/>
        </w:rPr>
        <w:t>histo</w:t>
      </w:r>
      <w:r w:rsidR="00863569" w:rsidRPr="0039726C">
        <w:rPr>
          <w:rFonts w:ascii="Times New Roman" w:hAnsi="Times New Roman" w:cs="Times New Roman"/>
          <w:color w:val="000000"/>
          <w:sz w:val="20"/>
          <w:szCs w:val="20"/>
        </w:rPr>
        <w:t>ry</w:t>
      </w:r>
      <w:r w:rsidR="00944ECC" w:rsidRPr="0039726C">
        <w:rPr>
          <w:rFonts w:ascii="Times New Roman" w:hAnsi="Times New Roman" w:cs="Times New Roman"/>
          <w:color w:val="000000"/>
          <w:sz w:val="20"/>
          <w:szCs w:val="20"/>
        </w:rPr>
        <w:t xml:space="preserve"> taking</w:t>
      </w:r>
      <w:r w:rsidR="00957433" w:rsidRPr="0039726C">
        <w:rPr>
          <w:rFonts w:ascii="Times New Roman" w:hAnsi="Times New Roman" w:cs="Times New Roman"/>
          <w:color w:val="000000"/>
          <w:sz w:val="20"/>
          <w:szCs w:val="20"/>
        </w:rPr>
        <w:t>, and</w:t>
      </w:r>
      <w:r w:rsidR="00944ECC" w:rsidRPr="0039726C">
        <w:rPr>
          <w:rFonts w:ascii="Times New Roman" w:hAnsi="Times New Roman" w:cs="Times New Roman"/>
          <w:color w:val="000000"/>
          <w:sz w:val="20"/>
          <w:szCs w:val="20"/>
        </w:rPr>
        <w:t xml:space="preserve"> clinical</w:t>
      </w:r>
      <w:r w:rsidR="00957433" w:rsidRPr="0039726C">
        <w:rPr>
          <w:rFonts w:ascii="Times New Roman" w:hAnsi="Times New Roman" w:cs="Times New Roman"/>
          <w:color w:val="000000"/>
          <w:sz w:val="20"/>
          <w:szCs w:val="20"/>
        </w:rPr>
        <w:t xml:space="preserve"> examination, </w:t>
      </w:r>
      <w:r w:rsidR="009F5FFF" w:rsidRPr="0039726C">
        <w:rPr>
          <w:rFonts w:ascii="Times New Roman" w:hAnsi="Times New Roman" w:cs="Times New Roman"/>
          <w:color w:val="000000"/>
          <w:sz w:val="20"/>
          <w:szCs w:val="20"/>
        </w:rPr>
        <w:t>during the study period from (1/1</w:t>
      </w:r>
      <w:r w:rsidR="00957433" w:rsidRPr="0039726C">
        <w:rPr>
          <w:rFonts w:ascii="Times New Roman" w:hAnsi="Times New Roman" w:cs="Times New Roman"/>
          <w:color w:val="000000"/>
          <w:sz w:val="20"/>
          <w:szCs w:val="20"/>
        </w:rPr>
        <w:t>1/2014 to 30/12/2015</w:t>
      </w:r>
      <w:r w:rsidR="009F5FFF" w:rsidRPr="0039726C">
        <w:rPr>
          <w:rFonts w:ascii="Times New Roman" w:hAnsi="Times New Roman" w:cs="Times New Roman"/>
          <w:color w:val="000000"/>
          <w:sz w:val="20"/>
          <w:szCs w:val="20"/>
        </w:rPr>
        <w:t>).</w:t>
      </w:r>
      <w:r w:rsidR="009F5FFF" w:rsidRPr="0039726C">
        <w:rPr>
          <w:rFonts w:ascii="Times New Roman" w:hAnsi="Times New Roman" w:cs="Times New Roman"/>
          <w:sz w:val="20"/>
          <w:szCs w:val="20"/>
        </w:rPr>
        <w:t xml:space="preserve"> </w:t>
      </w:r>
      <w:r w:rsidR="00957433" w:rsidRPr="0039726C">
        <w:rPr>
          <w:rFonts w:ascii="Times New Roman" w:hAnsi="Times New Roman" w:cs="Times New Roman"/>
          <w:color w:val="000000"/>
          <w:sz w:val="20"/>
          <w:szCs w:val="20"/>
        </w:rPr>
        <w:t>150 subjects were divided into two groups, group A which included 100 hypertensive patients and group B which included 50 normal subjects. The two groups were evaluated by history taking, clinical examination and echocardiography</w:t>
      </w:r>
      <w:r w:rsidR="00012D6F" w:rsidRPr="0039726C">
        <w:rPr>
          <w:rFonts w:ascii="Times New Roman" w:hAnsi="Times New Roman" w:cs="Times New Roman"/>
          <w:color w:val="000000"/>
          <w:sz w:val="20"/>
          <w:szCs w:val="20"/>
        </w:rPr>
        <w:t xml:space="preserve">. </w:t>
      </w:r>
      <w:r w:rsidR="007F797C" w:rsidRPr="0039726C">
        <w:rPr>
          <w:rFonts w:ascii="Times New Roman" w:hAnsi="Times New Roman" w:cs="Times New Roman"/>
          <w:color w:val="000000"/>
          <w:sz w:val="20"/>
          <w:szCs w:val="20"/>
        </w:rPr>
        <w:t xml:space="preserve">The data was </w:t>
      </w:r>
      <w:proofErr w:type="spellStart"/>
      <w:r w:rsidR="007F797C" w:rsidRPr="0039726C">
        <w:rPr>
          <w:rFonts w:ascii="Times New Roman" w:hAnsi="Times New Roman" w:cs="Times New Roman"/>
          <w:color w:val="000000"/>
          <w:sz w:val="20"/>
          <w:szCs w:val="20"/>
        </w:rPr>
        <w:t>analysed</w:t>
      </w:r>
      <w:proofErr w:type="spellEnd"/>
      <w:r w:rsidR="007F797C" w:rsidRPr="0039726C">
        <w:rPr>
          <w:rFonts w:ascii="Times New Roman" w:hAnsi="Times New Roman" w:cs="Times New Roman"/>
          <w:color w:val="000000"/>
          <w:sz w:val="20"/>
          <w:szCs w:val="20"/>
        </w:rPr>
        <w:t xml:space="preserve"> using</w:t>
      </w:r>
      <w:r w:rsidR="00957433" w:rsidRPr="0039726C">
        <w:rPr>
          <w:rFonts w:ascii="Times New Roman" w:hAnsi="Times New Roman" w:cs="Times New Roman"/>
          <w:color w:val="000000"/>
          <w:sz w:val="20"/>
          <w:szCs w:val="20"/>
        </w:rPr>
        <w:t xml:space="preserve"> </w:t>
      </w:r>
      <w:r w:rsidR="00406CB8" w:rsidRPr="0039726C">
        <w:rPr>
          <w:rFonts w:ascii="Times New Roman" w:hAnsi="Times New Roman" w:cs="Times New Roman"/>
          <w:color w:val="000000"/>
          <w:sz w:val="20"/>
          <w:szCs w:val="20"/>
        </w:rPr>
        <w:t>Un</w:t>
      </w:r>
      <w:r w:rsidR="00957433" w:rsidRPr="0039726C">
        <w:rPr>
          <w:rFonts w:ascii="Times New Roman" w:hAnsi="Times New Roman" w:cs="Times New Roman"/>
          <w:color w:val="000000"/>
          <w:sz w:val="20"/>
          <w:szCs w:val="20"/>
        </w:rPr>
        <w:t>paired</w:t>
      </w:r>
      <w:r w:rsidR="00406CB8" w:rsidRPr="0039726C">
        <w:rPr>
          <w:rFonts w:ascii="Times New Roman" w:hAnsi="Times New Roman" w:cs="Times New Roman"/>
          <w:color w:val="000000"/>
          <w:sz w:val="20"/>
          <w:szCs w:val="20"/>
        </w:rPr>
        <w:t>,</w:t>
      </w:r>
      <w:r w:rsidR="007F797C" w:rsidRPr="0039726C">
        <w:rPr>
          <w:rFonts w:ascii="Times New Roman" w:hAnsi="Times New Roman" w:cs="Times New Roman"/>
          <w:color w:val="000000"/>
          <w:sz w:val="20"/>
          <w:szCs w:val="20"/>
        </w:rPr>
        <w:t xml:space="preserve"> Chi</w:t>
      </w:r>
      <w:r w:rsidR="0047055F" w:rsidRPr="0039726C">
        <w:rPr>
          <w:rFonts w:ascii="Times New Roman" w:hAnsi="Times New Roman" w:cs="Times New Roman"/>
          <w:color w:val="000000"/>
          <w:sz w:val="20"/>
          <w:szCs w:val="20"/>
        </w:rPr>
        <w:t>-</w:t>
      </w:r>
      <w:r w:rsidR="007F797C" w:rsidRPr="0039726C">
        <w:rPr>
          <w:rFonts w:ascii="Times New Roman" w:hAnsi="Times New Roman" w:cs="Times New Roman"/>
          <w:color w:val="000000"/>
          <w:sz w:val="20"/>
          <w:szCs w:val="20"/>
        </w:rPr>
        <w:t>square</w:t>
      </w:r>
      <w:r w:rsidR="00406CB8" w:rsidRPr="0039726C">
        <w:rPr>
          <w:rFonts w:ascii="Times New Roman" w:hAnsi="Times New Roman" w:cs="Times New Roman"/>
          <w:color w:val="000000"/>
          <w:sz w:val="20"/>
          <w:szCs w:val="20"/>
        </w:rPr>
        <w:t xml:space="preserve"> and Pearson correlation</w:t>
      </w:r>
      <w:r w:rsidR="007F797C" w:rsidRPr="0039726C">
        <w:rPr>
          <w:rFonts w:ascii="Times New Roman" w:hAnsi="Times New Roman" w:cs="Times New Roman"/>
          <w:color w:val="000000"/>
          <w:sz w:val="20"/>
          <w:szCs w:val="20"/>
        </w:rPr>
        <w:t xml:space="preserve"> test</w:t>
      </w:r>
      <w:r w:rsidR="00406CB8" w:rsidRPr="0039726C">
        <w:rPr>
          <w:rFonts w:ascii="Times New Roman" w:hAnsi="Times New Roman" w:cs="Times New Roman"/>
          <w:color w:val="000000"/>
          <w:sz w:val="20"/>
          <w:szCs w:val="20"/>
        </w:rPr>
        <w:t>s</w:t>
      </w:r>
      <w:r w:rsidR="007F797C" w:rsidRPr="0039726C">
        <w:rPr>
          <w:rFonts w:ascii="Times New Roman" w:hAnsi="Times New Roman" w:cs="Times New Roman"/>
          <w:color w:val="000000"/>
          <w:sz w:val="20"/>
          <w:szCs w:val="20"/>
        </w:rPr>
        <w:t xml:space="preserve"> using </w:t>
      </w:r>
      <w:proofErr w:type="spellStart"/>
      <w:r w:rsidR="00406CB8" w:rsidRPr="0039726C">
        <w:rPr>
          <w:rFonts w:ascii="Times New Roman" w:hAnsi="Times New Roman" w:cs="Times New Roman"/>
          <w:color w:val="000000"/>
          <w:sz w:val="20"/>
          <w:szCs w:val="20"/>
        </w:rPr>
        <w:t>GraphPad</w:t>
      </w:r>
      <w:proofErr w:type="spellEnd"/>
      <w:r w:rsidR="00406CB8" w:rsidRPr="0039726C">
        <w:rPr>
          <w:rFonts w:ascii="Times New Roman" w:hAnsi="Times New Roman" w:cs="Times New Roman"/>
          <w:color w:val="000000"/>
          <w:sz w:val="20"/>
          <w:szCs w:val="20"/>
        </w:rPr>
        <w:t xml:space="preserve"> </w:t>
      </w:r>
      <w:proofErr w:type="spellStart"/>
      <w:r w:rsidR="00406CB8" w:rsidRPr="0039726C">
        <w:rPr>
          <w:rFonts w:ascii="Times New Roman" w:hAnsi="Times New Roman" w:cs="Times New Roman"/>
          <w:color w:val="000000"/>
          <w:sz w:val="20"/>
          <w:szCs w:val="20"/>
        </w:rPr>
        <w:t>Instat</w:t>
      </w:r>
      <w:proofErr w:type="spellEnd"/>
      <w:r w:rsidR="00406CB8" w:rsidRPr="0039726C">
        <w:rPr>
          <w:rFonts w:ascii="Times New Roman" w:hAnsi="Times New Roman" w:cs="Times New Roman"/>
          <w:color w:val="000000"/>
          <w:sz w:val="20"/>
          <w:szCs w:val="20"/>
        </w:rPr>
        <w:t xml:space="preserve"> &amp; Med-Calc software, word processing data base and statistics programs</w:t>
      </w:r>
      <w:r w:rsidR="007F797C" w:rsidRPr="0039726C">
        <w:rPr>
          <w:rFonts w:ascii="Times New Roman" w:hAnsi="Times New Roman" w:cs="Times New Roman"/>
          <w:color w:val="000000"/>
          <w:sz w:val="20"/>
          <w:szCs w:val="20"/>
        </w:rPr>
        <w:t>.</w:t>
      </w:r>
      <w:r w:rsidR="0039726C" w:rsidRPr="0039726C">
        <w:rPr>
          <w:rFonts w:ascii="Times New Roman" w:hAnsi="Times New Roman" w:cs="Times New Roman" w:hint="eastAsia"/>
          <w:color w:val="000000"/>
          <w:sz w:val="20"/>
          <w:szCs w:val="20"/>
          <w:lang w:eastAsia="zh-CN"/>
        </w:rPr>
        <w:t xml:space="preserve"> </w:t>
      </w:r>
      <w:r w:rsidR="00E95471" w:rsidRPr="0039726C">
        <w:rPr>
          <w:rFonts w:ascii="Times New Roman" w:hAnsi="Times New Roman" w:cs="Times New Roman"/>
          <w:b/>
          <w:bCs/>
          <w:color w:val="000000"/>
          <w:sz w:val="20"/>
          <w:szCs w:val="20"/>
        </w:rPr>
        <w:t>Results</w:t>
      </w:r>
      <w:r w:rsidR="00E95471" w:rsidRPr="0039726C">
        <w:rPr>
          <w:rFonts w:ascii="Times New Roman" w:hAnsi="Times New Roman" w:cs="Times New Roman"/>
          <w:color w:val="000000"/>
          <w:sz w:val="20"/>
          <w:szCs w:val="20"/>
        </w:rPr>
        <w:t>:</w:t>
      </w:r>
      <w:r w:rsidR="00406CB8" w:rsidRPr="0039726C">
        <w:rPr>
          <w:rFonts w:ascii="Times New Roman" w:hAnsi="Times New Roman" w:cs="Times New Roman"/>
          <w:color w:val="000000"/>
          <w:sz w:val="20"/>
          <w:szCs w:val="20"/>
          <w:shd w:val="clear" w:color="auto" w:fill="FFFFFF"/>
        </w:rPr>
        <w:t xml:space="preserve"> </w:t>
      </w:r>
      <w:r w:rsidR="00406CB8" w:rsidRPr="0039726C">
        <w:rPr>
          <w:rFonts w:ascii="Times New Roman" w:hAnsi="Times New Roman" w:cs="Times New Roman"/>
          <w:color w:val="000000"/>
          <w:sz w:val="20"/>
          <w:szCs w:val="20"/>
        </w:rPr>
        <w:t>The myocardial performance index has been shown to correlat</w:t>
      </w:r>
      <w:r w:rsidR="005F198F" w:rsidRPr="0039726C">
        <w:rPr>
          <w:rFonts w:ascii="Times New Roman" w:hAnsi="Times New Roman" w:cs="Times New Roman"/>
          <w:color w:val="000000"/>
          <w:sz w:val="20"/>
          <w:szCs w:val="20"/>
        </w:rPr>
        <w:t xml:space="preserve">es directly with </w:t>
      </w:r>
      <w:r w:rsidR="00406CB8" w:rsidRPr="0039726C">
        <w:rPr>
          <w:rFonts w:ascii="Times New Roman" w:hAnsi="Times New Roman" w:cs="Times New Roman"/>
          <w:color w:val="000000"/>
          <w:sz w:val="20"/>
          <w:szCs w:val="20"/>
        </w:rPr>
        <w:t>myocardial stiffness and also correlates significantly with other conventional indices</w:t>
      </w:r>
      <w:r w:rsidR="00AE7567" w:rsidRPr="0039726C">
        <w:rPr>
          <w:rFonts w:ascii="Times New Roman" w:hAnsi="Times New Roman" w:cs="Times New Roman" w:hint="eastAsia"/>
          <w:color w:val="000000"/>
          <w:sz w:val="20"/>
          <w:szCs w:val="20"/>
          <w:lang w:eastAsia="zh-CN"/>
        </w:rPr>
        <w:t>.</w:t>
      </w:r>
      <w:r w:rsidR="0039726C" w:rsidRPr="0039726C">
        <w:rPr>
          <w:rFonts w:ascii="Times New Roman" w:hAnsi="Times New Roman" w:cs="Times New Roman" w:hint="eastAsia"/>
          <w:color w:val="000000"/>
          <w:sz w:val="20"/>
          <w:szCs w:val="20"/>
          <w:lang w:eastAsia="zh-CN"/>
        </w:rPr>
        <w:t xml:space="preserve"> </w:t>
      </w:r>
      <w:r w:rsidR="005549A0" w:rsidRPr="0039726C">
        <w:rPr>
          <w:rFonts w:ascii="Times New Roman" w:hAnsi="Times New Roman" w:cs="Times New Roman"/>
          <w:b/>
          <w:bCs/>
          <w:color w:val="000000"/>
          <w:sz w:val="20"/>
          <w:szCs w:val="20"/>
        </w:rPr>
        <w:t>Conclusion:</w:t>
      </w:r>
      <w:r w:rsidR="00406CB8" w:rsidRPr="0039726C">
        <w:rPr>
          <w:rFonts w:ascii="Times New Roman" w:hAnsi="Times New Roman" w:cs="Times New Roman"/>
          <w:color w:val="000000"/>
          <w:sz w:val="20"/>
          <w:szCs w:val="20"/>
        </w:rPr>
        <w:t xml:space="preserve"> The diastolic stiffness was significantly higher in hypertensive patients compared to healthy subjects, also IMP appears to be a good measure of global left ventricular function (systolic and diastolic function), and is a sensitive and accurate evaluation of disease states.</w:t>
      </w:r>
      <w:r w:rsidR="0039726C" w:rsidRPr="0039726C">
        <w:rPr>
          <w:rFonts w:ascii="Times New Roman" w:hAnsi="Times New Roman" w:cs="Times New Roman" w:hint="eastAsia"/>
          <w:color w:val="000000"/>
          <w:sz w:val="20"/>
          <w:szCs w:val="20"/>
          <w:lang w:eastAsia="zh-CN"/>
        </w:rPr>
        <w:t xml:space="preserve"> </w:t>
      </w:r>
      <w:r w:rsidR="00796C72" w:rsidRPr="0039726C">
        <w:rPr>
          <w:rFonts w:ascii="Times New Roman" w:hAnsi="Times New Roman" w:cs="Times New Roman"/>
          <w:b/>
          <w:bCs/>
          <w:color w:val="000000"/>
          <w:sz w:val="20"/>
          <w:szCs w:val="20"/>
        </w:rPr>
        <w:t>Recommendations:</w:t>
      </w:r>
      <w:r w:rsidR="00406CB8" w:rsidRPr="0039726C">
        <w:rPr>
          <w:rFonts w:ascii="Times New Roman" w:hAnsi="Times New Roman" w:cs="Times New Roman"/>
          <w:sz w:val="20"/>
          <w:szCs w:val="20"/>
        </w:rPr>
        <w:t xml:space="preserve"> </w:t>
      </w:r>
      <w:r w:rsidR="00051975" w:rsidRPr="0039726C">
        <w:rPr>
          <w:rFonts w:ascii="Times New Roman" w:hAnsi="Times New Roman" w:cs="Times New Roman"/>
          <w:sz w:val="20"/>
          <w:szCs w:val="20"/>
        </w:rPr>
        <w:t>Another study is recommended to detect SI in patients with complicated hypertension particularly those with CHF.</w:t>
      </w:r>
    </w:p>
    <w:p w:rsidR="00DB2881" w:rsidRPr="0039726C" w:rsidRDefault="00DB2881" w:rsidP="00AE7567">
      <w:pPr>
        <w:snapToGrid w:val="0"/>
        <w:spacing w:after="0" w:line="240" w:lineRule="auto"/>
        <w:jc w:val="both"/>
        <w:rPr>
          <w:rFonts w:ascii="Times New Roman" w:hAnsi="Times New Roman" w:cs="Times New Roman"/>
          <w:sz w:val="20"/>
          <w:szCs w:val="20"/>
        </w:rPr>
      </w:pPr>
      <w:r w:rsidRPr="0039726C">
        <w:rPr>
          <w:rFonts w:ascii="Times New Roman" w:hAnsi="Times New Roman" w:cs="Times New Roman" w:hint="eastAsia"/>
          <w:bCs/>
          <w:sz w:val="20"/>
          <w:szCs w:val="20"/>
          <w:lang w:eastAsia="zh-CN" w:bidi="ar-EG"/>
        </w:rPr>
        <w:t>[</w:t>
      </w:r>
      <w:proofErr w:type="spellStart"/>
      <w:r w:rsidR="00061D94" w:rsidRPr="0039726C">
        <w:rPr>
          <w:rFonts w:ascii="Times New Roman" w:eastAsia="Calibri" w:hAnsi="Times New Roman" w:cs="Times New Roman"/>
          <w:bCs/>
          <w:sz w:val="20"/>
          <w:szCs w:val="20"/>
          <w:lang w:bidi="ar-EG"/>
        </w:rPr>
        <w:t>Ehab</w:t>
      </w:r>
      <w:proofErr w:type="spellEnd"/>
      <w:r w:rsidR="00061D94" w:rsidRPr="0039726C">
        <w:rPr>
          <w:rFonts w:ascii="Times New Roman" w:eastAsia="Calibri" w:hAnsi="Times New Roman" w:cs="Times New Roman"/>
          <w:bCs/>
          <w:sz w:val="20"/>
          <w:szCs w:val="20"/>
          <w:lang w:bidi="ar-EG"/>
        </w:rPr>
        <w:t xml:space="preserve"> </w:t>
      </w:r>
      <w:proofErr w:type="spellStart"/>
      <w:r w:rsidR="00061D94" w:rsidRPr="0039726C">
        <w:rPr>
          <w:rFonts w:ascii="Times New Roman" w:eastAsia="Calibri" w:hAnsi="Times New Roman" w:cs="Times New Roman"/>
          <w:bCs/>
          <w:sz w:val="20"/>
          <w:szCs w:val="20"/>
          <w:lang w:bidi="ar-EG"/>
        </w:rPr>
        <w:t>Elsayed</w:t>
      </w:r>
      <w:proofErr w:type="spellEnd"/>
      <w:r w:rsidR="00061D94" w:rsidRPr="0039726C">
        <w:rPr>
          <w:rFonts w:ascii="Times New Roman" w:eastAsia="Calibri" w:hAnsi="Times New Roman" w:cs="Times New Roman"/>
          <w:bCs/>
          <w:sz w:val="20"/>
          <w:szCs w:val="20"/>
          <w:lang w:bidi="ar-EG"/>
        </w:rPr>
        <w:t xml:space="preserve"> </w:t>
      </w:r>
      <w:proofErr w:type="spellStart"/>
      <w:r w:rsidR="00061D94" w:rsidRPr="0039726C">
        <w:rPr>
          <w:rFonts w:ascii="Times New Roman" w:eastAsia="Calibri" w:hAnsi="Times New Roman" w:cs="Times New Roman"/>
          <w:bCs/>
          <w:sz w:val="20"/>
          <w:szCs w:val="20"/>
          <w:lang w:bidi="ar-EG"/>
        </w:rPr>
        <w:t>Elhfny</w:t>
      </w:r>
      <w:proofErr w:type="spellEnd"/>
      <w:r w:rsidR="00061D94" w:rsidRPr="0039726C">
        <w:rPr>
          <w:rFonts w:ascii="Times New Roman" w:eastAsia="Calibri" w:hAnsi="Times New Roman" w:cs="Times New Roman"/>
          <w:bCs/>
          <w:sz w:val="20"/>
          <w:szCs w:val="20"/>
          <w:lang w:bidi="ar-EG"/>
        </w:rPr>
        <w:t xml:space="preserve">, </w:t>
      </w:r>
      <w:proofErr w:type="spellStart"/>
      <w:r w:rsidR="00061D94" w:rsidRPr="0039726C">
        <w:rPr>
          <w:rFonts w:ascii="Times New Roman" w:eastAsia="Calibri" w:hAnsi="Times New Roman" w:cs="Times New Roman"/>
          <w:bCs/>
          <w:sz w:val="20"/>
          <w:szCs w:val="20"/>
          <w:lang w:bidi="ar-EG"/>
        </w:rPr>
        <w:t>Mostafa</w:t>
      </w:r>
      <w:proofErr w:type="spellEnd"/>
      <w:r w:rsidR="00061D94" w:rsidRPr="0039726C">
        <w:rPr>
          <w:rFonts w:ascii="Times New Roman" w:eastAsia="Calibri" w:hAnsi="Times New Roman" w:cs="Times New Roman"/>
          <w:bCs/>
          <w:sz w:val="20"/>
          <w:szCs w:val="20"/>
          <w:lang w:bidi="ar-EG"/>
        </w:rPr>
        <w:t xml:space="preserve"> </w:t>
      </w:r>
      <w:proofErr w:type="spellStart"/>
      <w:r w:rsidR="00061D94" w:rsidRPr="0039726C">
        <w:rPr>
          <w:rFonts w:ascii="Times New Roman" w:eastAsia="Calibri" w:hAnsi="Times New Roman" w:cs="Times New Roman"/>
          <w:bCs/>
          <w:sz w:val="20"/>
          <w:szCs w:val="20"/>
          <w:lang w:bidi="ar-EG"/>
        </w:rPr>
        <w:t>Attia</w:t>
      </w:r>
      <w:proofErr w:type="spellEnd"/>
      <w:r w:rsidR="00061D94" w:rsidRPr="0039726C">
        <w:rPr>
          <w:rFonts w:ascii="Times New Roman" w:eastAsia="Calibri" w:hAnsi="Times New Roman" w:cs="Times New Roman"/>
          <w:bCs/>
          <w:sz w:val="20"/>
          <w:szCs w:val="20"/>
          <w:lang w:bidi="ar-EG"/>
        </w:rPr>
        <w:t xml:space="preserve"> </w:t>
      </w:r>
      <w:proofErr w:type="spellStart"/>
      <w:r w:rsidR="00061D94" w:rsidRPr="0039726C">
        <w:rPr>
          <w:rFonts w:ascii="Times New Roman" w:eastAsia="Calibri" w:hAnsi="Times New Roman" w:cs="Times New Roman"/>
          <w:bCs/>
          <w:sz w:val="20"/>
          <w:szCs w:val="20"/>
          <w:lang w:bidi="ar-EG"/>
        </w:rPr>
        <w:t>Alswasany</w:t>
      </w:r>
      <w:proofErr w:type="spellEnd"/>
      <w:r w:rsidR="00061D94" w:rsidRPr="0039726C">
        <w:rPr>
          <w:rFonts w:ascii="Times New Roman" w:eastAsia="Calibri" w:hAnsi="Times New Roman" w:cs="Times New Roman"/>
          <w:bCs/>
          <w:sz w:val="20"/>
          <w:szCs w:val="20"/>
          <w:lang w:bidi="ar-EG"/>
        </w:rPr>
        <w:t xml:space="preserve">, Mohamed Abdel </w:t>
      </w:r>
      <w:proofErr w:type="spellStart"/>
      <w:r w:rsidR="00061D94" w:rsidRPr="0039726C">
        <w:rPr>
          <w:rFonts w:ascii="Times New Roman" w:eastAsia="Calibri" w:hAnsi="Times New Roman" w:cs="Times New Roman"/>
          <w:bCs/>
          <w:sz w:val="20"/>
          <w:szCs w:val="20"/>
          <w:lang w:bidi="ar-EG"/>
        </w:rPr>
        <w:t>Halim</w:t>
      </w:r>
      <w:proofErr w:type="spellEnd"/>
      <w:r w:rsidR="00AE7567" w:rsidRPr="0039726C">
        <w:rPr>
          <w:rFonts w:ascii="Times New Roman" w:hAnsi="Times New Roman" w:cs="Times New Roman" w:hint="eastAsia"/>
          <w:bCs/>
          <w:sz w:val="20"/>
          <w:szCs w:val="20"/>
          <w:lang w:eastAsia="zh-CN" w:bidi="ar-EG"/>
        </w:rPr>
        <w:t>.</w:t>
      </w:r>
      <w:r w:rsidR="00061D94" w:rsidRPr="0039726C">
        <w:rPr>
          <w:rFonts w:ascii="Times New Roman" w:eastAsia="Calibri" w:hAnsi="Times New Roman" w:cs="Times New Roman"/>
          <w:bCs/>
          <w:sz w:val="20"/>
          <w:szCs w:val="20"/>
          <w:lang w:bidi="ar-EG"/>
        </w:rPr>
        <w:t xml:space="preserve"> </w:t>
      </w:r>
      <w:proofErr w:type="gramStart"/>
      <w:r w:rsidR="00061D94" w:rsidRPr="0039726C">
        <w:rPr>
          <w:rFonts w:ascii="Times New Roman" w:eastAsia="Calibri" w:hAnsi="Times New Roman" w:cs="Times New Roman"/>
          <w:b/>
          <w:bCs/>
          <w:sz w:val="20"/>
          <w:szCs w:val="20"/>
          <w:lang w:bidi="ar-EG"/>
        </w:rPr>
        <w:t>The Use of Left Ventricular Myocardial Stiffness Index as a Predictor of Myocardial Performance in Patients with Systemic Hypertension</w:t>
      </w:r>
      <w:r w:rsidRPr="0039726C">
        <w:rPr>
          <w:rFonts w:ascii="Times New Roman" w:eastAsia="Times New Roman" w:hAnsi="Times New Roman" w:cs="Times New Roman"/>
          <w:b/>
          <w:bCs/>
          <w:sz w:val="20"/>
          <w:szCs w:val="20"/>
          <w:lang w:bidi="fa-IR"/>
        </w:rPr>
        <w:t>.</w:t>
      </w:r>
      <w:proofErr w:type="gramEnd"/>
      <w:r w:rsidRPr="0039726C">
        <w:rPr>
          <w:rFonts w:ascii="Times New Roman" w:hAnsi="Times New Roman" w:cs="Times New Roman"/>
          <w:bCs/>
          <w:i/>
          <w:sz w:val="20"/>
          <w:szCs w:val="20"/>
        </w:rPr>
        <w:t xml:space="preserve"> N Y </w:t>
      </w:r>
      <w:proofErr w:type="spellStart"/>
      <w:r w:rsidRPr="0039726C">
        <w:rPr>
          <w:rFonts w:ascii="Times New Roman" w:hAnsi="Times New Roman" w:cs="Times New Roman"/>
          <w:bCs/>
          <w:i/>
          <w:sz w:val="20"/>
          <w:szCs w:val="20"/>
        </w:rPr>
        <w:t>Sci</w:t>
      </w:r>
      <w:proofErr w:type="spellEnd"/>
      <w:r w:rsidRPr="0039726C">
        <w:rPr>
          <w:rFonts w:ascii="Times New Roman" w:hAnsi="Times New Roman" w:cs="Times New Roman"/>
          <w:bCs/>
          <w:i/>
          <w:sz w:val="20"/>
          <w:szCs w:val="20"/>
        </w:rPr>
        <w:t xml:space="preserve"> J</w:t>
      </w:r>
      <w:r w:rsidRPr="0039726C">
        <w:rPr>
          <w:rFonts w:ascii="Times New Roman" w:hAnsi="Times New Roman" w:cs="Times New Roman"/>
          <w:bCs/>
          <w:sz w:val="20"/>
          <w:szCs w:val="20"/>
        </w:rPr>
        <w:t xml:space="preserve"> </w:t>
      </w:r>
      <w:r w:rsidRPr="0039726C">
        <w:rPr>
          <w:rFonts w:ascii="Times New Roman" w:hAnsi="Times New Roman" w:cs="Times New Roman"/>
          <w:sz w:val="20"/>
          <w:szCs w:val="20"/>
        </w:rPr>
        <w:t>201</w:t>
      </w:r>
      <w:r w:rsidRPr="0039726C">
        <w:rPr>
          <w:rFonts w:ascii="Times New Roman" w:hAnsi="Times New Roman" w:cs="Times New Roman" w:hint="eastAsia"/>
          <w:sz w:val="20"/>
          <w:szCs w:val="20"/>
        </w:rPr>
        <w:t>6</w:t>
      </w:r>
      <w:proofErr w:type="gramStart"/>
      <w:r w:rsidRPr="0039726C">
        <w:rPr>
          <w:rFonts w:ascii="Times New Roman" w:hAnsi="Times New Roman" w:cs="Times New Roman"/>
          <w:sz w:val="20"/>
          <w:szCs w:val="20"/>
        </w:rPr>
        <w:t>;</w:t>
      </w:r>
      <w:r w:rsidRPr="0039726C">
        <w:rPr>
          <w:rFonts w:ascii="Times New Roman" w:hAnsi="Times New Roman" w:cs="Times New Roman" w:hint="eastAsia"/>
          <w:sz w:val="20"/>
          <w:szCs w:val="20"/>
        </w:rPr>
        <w:t>9</w:t>
      </w:r>
      <w:proofErr w:type="gramEnd"/>
      <w:r w:rsidRPr="0039726C">
        <w:rPr>
          <w:rFonts w:ascii="Times New Roman" w:hAnsi="Times New Roman" w:cs="Times New Roman"/>
          <w:sz w:val="20"/>
          <w:szCs w:val="20"/>
        </w:rPr>
        <w:t>(</w:t>
      </w:r>
      <w:r w:rsidRPr="0039726C">
        <w:rPr>
          <w:rFonts w:ascii="Times New Roman" w:hAnsi="Times New Roman" w:cs="Times New Roman" w:hint="eastAsia"/>
          <w:sz w:val="20"/>
          <w:szCs w:val="20"/>
        </w:rPr>
        <w:t>12</w:t>
      </w:r>
      <w:r w:rsidRPr="0039726C">
        <w:rPr>
          <w:rFonts w:ascii="Times New Roman" w:hAnsi="Times New Roman" w:cs="Times New Roman"/>
          <w:sz w:val="20"/>
          <w:szCs w:val="20"/>
        </w:rPr>
        <w:t>):</w:t>
      </w:r>
      <w:r w:rsidR="00A2102B" w:rsidRPr="0039726C">
        <w:rPr>
          <w:rFonts w:ascii="Times New Roman" w:hAnsi="Times New Roman" w:cs="Times New Roman"/>
          <w:noProof/>
          <w:color w:val="000000"/>
          <w:sz w:val="20"/>
          <w:szCs w:val="20"/>
        </w:rPr>
        <w:t>1</w:t>
      </w:r>
      <w:r w:rsidRPr="0039726C">
        <w:rPr>
          <w:rFonts w:ascii="Times New Roman" w:hAnsi="Times New Roman" w:cs="Times New Roman"/>
          <w:color w:val="000000"/>
          <w:sz w:val="20"/>
          <w:szCs w:val="20"/>
        </w:rPr>
        <w:t>-</w:t>
      </w:r>
      <w:r w:rsidR="00A2102B" w:rsidRPr="0039726C">
        <w:rPr>
          <w:rFonts w:ascii="Times New Roman" w:hAnsi="Times New Roman" w:cs="Times New Roman"/>
          <w:noProof/>
          <w:color w:val="000000"/>
          <w:sz w:val="20"/>
          <w:szCs w:val="20"/>
        </w:rPr>
        <w:t>7</w:t>
      </w:r>
      <w:r w:rsidRPr="0039726C">
        <w:rPr>
          <w:rFonts w:ascii="Times New Roman" w:hAnsi="Times New Roman" w:cs="Times New Roman"/>
          <w:sz w:val="20"/>
          <w:szCs w:val="20"/>
        </w:rPr>
        <w:t xml:space="preserve">]. </w:t>
      </w:r>
      <w:proofErr w:type="gramStart"/>
      <w:r w:rsidRPr="0039726C">
        <w:rPr>
          <w:rFonts w:ascii="Times New Roman" w:hAnsi="Times New Roman" w:cs="Times New Roman"/>
          <w:iCs/>
          <w:color w:val="000000"/>
          <w:sz w:val="20"/>
          <w:szCs w:val="20"/>
        </w:rPr>
        <w:t>ISSN 1554-0200 (print); ISSN 2375-723X (online)</w:t>
      </w:r>
      <w:r w:rsidRPr="0039726C">
        <w:rPr>
          <w:rFonts w:ascii="Times New Roman" w:hAnsi="Times New Roman" w:cs="Times New Roman"/>
          <w:sz w:val="20"/>
          <w:szCs w:val="20"/>
        </w:rPr>
        <w:t>.</w:t>
      </w:r>
      <w:proofErr w:type="gramEnd"/>
      <w:r w:rsidRPr="0039726C">
        <w:rPr>
          <w:rFonts w:ascii="Times New Roman" w:hAnsi="Times New Roman" w:cs="Times New Roman"/>
          <w:sz w:val="20"/>
          <w:szCs w:val="20"/>
        </w:rPr>
        <w:t xml:space="preserve"> </w:t>
      </w:r>
      <w:hyperlink r:id="rId8" w:history="1">
        <w:r w:rsidRPr="0039726C">
          <w:rPr>
            <w:rStyle w:val="Hyperlink"/>
            <w:rFonts w:ascii="Times New Roman" w:hAnsi="Times New Roman" w:cs="Times New Roman"/>
            <w:color w:val="0000FF"/>
            <w:sz w:val="20"/>
            <w:szCs w:val="20"/>
          </w:rPr>
          <w:t>http://www.sciencepub.net/newyork</w:t>
        </w:r>
      </w:hyperlink>
      <w:r w:rsidRPr="0039726C">
        <w:rPr>
          <w:rFonts w:ascii="Times New Roman" w:hAnsi="Times New Roman" w:cs="Times New Roman"/>
          <w:sz w:val="20"/>
          <w:szCs w:val="20"/>
        </w:rPr>
        <w:t xml:space="preserve">. </w:t>
      </w:r>
      <w:r w:rsidR="00AE7567" w:rsidRPr="0039726C">
        <w:rPr>
          <w:rFonts w:ascii="Times New Roman" w:hAnsi="Times New Roman" w:cs="Times New Roman" w:hint="eastAsia"/>
          <w:sz w:val="20"/>
          <w:szCs w:val="20"/>
          <w:lang w:eastAsia="zh-CN"/>
        </w:rPr>
        <w:t>1</w:t>
      </w:r>
      <w:r w:rsidRPr="0039726C">
        <w:rPr>
          <w:rFonts w:ascii="Times New Roman" w:hAnsi="Times New Roman" w:cs="Times New Roman" w:hint="eastAsia"/>
          <w:sz w:val="20"/>
          <w:szCs w:val="20"/>
        </w:rPr>
        <w:t xml:space="preserve">. </w:t>
      </w:r>
      <w:proofErr w:type="gramStart"/>
      <w:r w:rsidRPr="0039726C">
        <w:rPr>
          <w:rFonts w:ascii="Times New Roman" w:hAnsi="Times New Roman" w:cs="Times New Roman"/>
          <w:color w:val="000000"/>
          <w:sz w:val="20"/>
          <w:szCs w:val="20"/>
          <w:shd w:val="clear" w:color="auto" w:fill="FFFFFF"/>
        </w:rPr>
        <w:t>doi</w:t>
      </w:r>
      <w:proofErr w:type="gramEnd"/>
      <w:r w:rsidRPr="0039726C">
        <w:rPr>
          <w:rFonts w:ascii="Times New Roman" w:hAnsi="Times New Roman" w:cs="Times New Roman"/>
          <w:color w:val="000000"/>
          <w:sz w:val="20"/>
          <w:szCs w:val="20"/>
          <w:shd w:val="clear" w:color="auto" w:fill="FFFFFF"/>
        </w:rPr>
        <w:t>:</w:t>
      </w:r>
      <w:hyperlink r:id="rId9" w:history="1">
        <w:r w:rsidRPr="0039726C">
          <w:rPr>
            <w:rStyle w:val="Hyperlink"/>
            <w:rFonts w:ascii="Times New Roman" w:hAnsi="Times New Roman" w:cs="Times New Roman"/>
            <w:color w:val="0000FF"/>
            <w:sz w:val="20"/>
            <w:szCs w:val="20"/>
            <w:shd w:val="clear" w:color="auto" w:fill="FFFFFF"/>
          </w:rPr>
          <w:t>10.7537/mars</w:t>
        </w:r>
        <w:r w:rsidRPr="0039726C">
          <w:rPr>
            <w:rStyle w:val="Hyperlink"/>
            <w:rFonts w:ascii="Times New Roman" w:hAnsi="Times New Roman" w:cs="Times New Roman" w:hint="eastAsia"/>
            <w:color w:val="0000FF"/>
            <w:sz w:val="20"/>
            <w:szCs w:val="20"/>
            <w:shd w:val="clear" w:color="auto" w:fill="FFFFFF"/>
          </w:rPr>
          <w:t>nys0912</w:t>
        </w:r>
        <w:r w:rsidRPr="0039726C">
          <w:rPr>
            <w:rStyle w:val="Hyperlink"/>
            <w:rFonts w:ascii="Times New Roman" w:hAnsi="Times New Roman" w:cs="Times New Roman"/>
            <w:color w:val="0000FF"/>
            <w:sz w:val="20"/>
            <w:szCs w:val="20"/>
            <w:shd w:val="clear" w:color="auto" w:fill="FFFFFF"/>
          </w:rPr>
          <w:t>1</w:t>
        </w:r>
        <w:r w:rsidRPr="0039726C">
          <w:rPr>
            <w:rStyle w:val="Hyperlink"/>
            <w:rFonts w:ascii="Times New Roman" w:hAnsi="Times New Roman" w:cs="Times New Roman" w:hint="eastAsia"/>
            <w:color w:val="0000FF"/>
            <w:sz w:val="20"/>
            <w:szCs w:val="20"/>
            <w:shd w:val="clear" w:color="auto" w:fill="FFFFFF"/>
          </w:rPr>
          <w:t>6.</w:t>
        </w:r>
        <w:r w:rsidRPr="0039726C">
          <w:rPr>
            <w:rStyle w:val="Hyperlink"/>
            <w:rFonts w:ascii="Times New Roman" w:hAnsi="Times New Roman" w:cs="Times New Roman"/>
            <w:color w:val="0000FF"/>
            <w:sz w:val="20"/>
            <w:szCs w:val="20"/>
            <w:shd w:val="clear" w:color="auto" w:fill="FFFFFF"/>
          </w:rPr>
          <w:t>0</w:t>
        </w:r>
        <w:r w:rsidR="00AE7567" w:rsidRPr="0039726C">
          <w:rPr>
            <w:rStyle w:val="Hyperlink"/>
            <w:rFonts w:ascii="Times New Roman" w:hAnsi="Times New Roman" w:cs="Times New Roman" w:hint="eastAsia"/>
            <w:color w:val="0000FF"/>
            <w:sz w:val="20"/>
            <w:szCs w:val="20"/>
            <w:shd w:val="clear" w:color="auto" w:fill="FFFFFF"/>
            <w:lang w:eastAsia="zh-CN"/>
          </w:rPr>
          <w:t>1</w:t>
        </w:r>
      </w:hyperlink>
      <w:r w:rsidRPr="0039726C">
        <w:rPr>
          <w:rFonts w:ascii="Times New Roman" w:hAnsi="Times New Roman" w:cs="Times New Roman"/>
          <w:color w:val="000000"/>
          <w:sz w:val="20"/>
          <w:szCs w:val="20"/>
          <w:shd w:val="clear" w:color="auto" w:fill="FFFFFF"/>
        </w:rPr>
        <w:t>.</w:t>
      </w:r>
    </w:p>
    <w:p w:rsidR="00061D94" w:rsidRPr="0039726C" w:rsidRDefault="00061D94" w:rsidP="00AE7567">
      <w:pPr>
        <w:snapToGrid w:val="0"/>
        <w:spacing w:after="0" w:line="240" w:lineRule="auto"/>
        <w:jc w:val="both"/>
        <w:rPr>
          <w:rFonts w:ascii="Times New Roman" w:eastAsia="Calibri" w:hAnsi="Times New Roman" w:cs="Times New Roman"/>
          <w:bCs/>
          <w:sz w:val="20"/>
          <w:szCs w:val="20"/>
          <w:lang w:bidi="ar-EG"/>
        </w:rPr>
      </w:pPr>
    </w:p>
    <w:p w:rsidR="00C52A68" w:rsidRPr="0039726C" w:rsidRDefault="00C52A68"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b/>
          <w:bCs/>
          <w:color w:val="000000"/>
          <w:sz w:val="20"/>
          <w:szCs w:val="20"/>
        </w:rPr>
        <w:t>Keywords:</w:t>
      </w:r>
      <w:r w:rsidR="00051975" w:rsidRPr="0039726C">
        <w:rPr>
          <w:rFonts w:ascii="Times New Roman" w:hAnsi="Times New Roman" w:cs="Times New Roman"/>
          <w:color w:val="000000"/>
          <w:sz w:val="20"/>
          <w:szCs w:val="20"/>
        </w:rPr>
        <w:t xml:space="preserve"> Left Ventricular Stiffness – Systemic Hypertension</w:t>
      </w:r>
    </w:p>
    <w:p w:rsidR="00DB2881" w:rsidRPr="0039726C" w:rsidRDefault="00DB288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DB2881" w:rsidRPr="0039726C" w:rsidRDefault="00DB288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sectPr w:rsidR="00DB2881" w:rsidRPr="0039726C" w:rsidSect="00BB1DE5">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1"/>
          <w:cols w:space="720"/>
          <w:docGrid w:linePitch="360"/>
        </w:sectPr>
      </w:pPr>
    </w:p>
    <w:p w:rsidR="00061D94" w:rsidRPr="0039726C" w:rsidRDefault="00061D94"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lastRenderedPageBreak/>
        <w:t xml:space="preserve">1. </w:t>
      </w:r>
      <w:r w:rsidR="00211265" w:rsidRPr="0039726C">
        <w:rPr>
          <w:rFonts w:ascii="Times New Roman" w:hAnsi="Times New Roman" w:cs="Times New Roman"/>
          <w:b/>
          <w:bCs/>
          <w:color w:val="000000"/>
          <w:sz w:val="20"/>
          <w:szCs w:val="20"/>
        </w:rPr>
        <w:t>Introduction:</w:t>
      </w:r>
    </w:p>
    <w:p w:rsidR="006718D7" w:rsidRPr="0039726C" w:rsidRDefault="006718D7" w:rsidP="00AE756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 xml:space="preserve">Hypertension remains the commonest cardiovascular risk factor. Left ventricular adaptations to hypertension include the development of left ventricular hypertrophy and several geometric alterations </w:t>
      </w:r>
      <w:r w:rsidRPr="0039726C">
        <w:rPr>
          <w:rFonts w:ascii="Times New Roman" w:hAnsi="Times New Roman" w:cs="Times New Roman"/>
          <w:b/>
          <w:bCs/>
          <w:i/>
          <w:iCs/>
          <w:color w:val="000000"/>
          <w:sz w:val="20"/>
          <w:szCs w:val="20"/>
        </w:rPr>
        <w:t>(</w:t>
      </w:r>
      <w:proofErr w:type="spellStart"/>
      <w:r w:rsidRPr="0039726C">
        <w:rPr>
          <w:rFonts w:ascii="Times New Roman" w:hAnsi="Times New Roman" w:cs="Times New Roman"/>
          <w:b/>
          <w:bCs/>
          <w:i/>
          <w:iCs/>
          <w:color w:val="000000"/>
          <w:sz w:val="20"/>
          <w:szCs w:val="20"/>
        </w:rPr>
        <w:t>Addo</w:t>
      </w:r>
      <w:proofErr w:type="spellEnd"/>
      <w:r w:rsidRPr="0039726C">
        <w:rPr>
          <w:rFonts w:ascii="Times New Roman" w:hAnsi="Times New Roman" w:cs="Times New Roman"/>
          <w:b/>
          <w:bCs/>
          <w:i/>
          <w:iCs/>
          <w:color w:val="000000"/>
          <w:sz w:val="20"/>
          <w:szCs w:val="20"/>
        </w:rPr>
        <w:t xml:space="preserve"> et al., 2007).</w:t>
      </w:r>
    </w:p>
    <w:p w:rsidR="006718D7" w:rsidRPr="0039726C" w:rsidRDefault="006718D7" w:rsidP="00AE756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These geometric variations are associated with significant morbidity and mortality, with various studies suggesting that subjects with concentric hypertrophy have a higher incidence of cardiovascular events, and those with eccentric hypertrophy are much more at risk of progressing to heart failure than those with other left ventricular geometric patterns</w:t>
      </w:r>
      <w:r w:rsidR="00AE7567" w:rsidRPr="0039726C">
        <w:rPr>
          <w:rFonts w:ascii="Times New Roman" w:hAnsi="Times New Roman" w:cs="Times New Roman"/>
          <w:color w:val="000000"/>
          <w:sz w:val="20"/>
          <w:szCs w:val="20"/>
        </w:rPr>
        <w:t xml:space="preserve"> </w:t>
      </w:r>
      <w:r w:rsidRPr="0039726C">
        <w:rPr>
          <w:rFonts w:ascii="Times New Roman" w:hAnsi="Times New Roman" w:cs="Times New Roman"/>
          <w:b/>
          <w:bCs/>
          <w:i/>
          <w:iCs/>
          <w:color w:val="000000"/>
          <w:sz w:val="20"/>
          <w:szCs w:val="20"/>
        </w:rPr>
        <w:t>(</w:t>
      </w:r>
      <w:proofErr w:type="spellStart"/>
      <w:r w:rsidRPr="0039726C">
        <w:rPr>
          <w:rFonts w:ascii="Times New Roman" w:hAnsi="Times New Roman" w:cs="Times New Roman"/>
          <w:b/>
          <w:bCs/>
          <w:i/>
          <w:iCs/>
          <w:color w:val="000000"/>
          <w:sz w:val="20"/>
          <w:szCs w:val="20"/>
        </w:rPr>
        <w:t>Akintunde</w:t>
      </w:r>
      <w:proofErr w:type="spellEnd"/>
      <w:r w:rsidRPr="0039726C">
        <w:rPr>
          <w:rFonts w:ascii="Times New Roman" w:hAnsi="Times New Roman" w:cs="Times New Roman"/>
          <w:b/>
          <w:bCs/>
          <w:i/>
          <w:iCs/>
          <w:color w:val="000000"/>
          <w:sz w:val="20"/>
          <w:szCs w:val="20"/>
        </w:rPr>
        <w:t xml:space="preserve"> et al., 2011).</w:t>
      </w:r>
    </w:p>
    <w:p w:rsidR="006718D7" w:rsidRPr="0039726C" w:rsidRDefault="006718D7" w:rsidP="00AE756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 xml:space="preserve">Other studies suggest that major cardiovascular events are similar between the four groups of geometric patterns (concentric remodeling, concentric hypertrophy, eccentric hypertrophy and normal pattern). However, left ventricular function has been shown to vary between the different left ventricular geometric patterns </w:t>
      </w:r>
      <w:r w:rsidRPr="0039726C">
        <w:rPr>
          <w:rFonts w:ascii="Times New Roman" w:hAnsi="Times New Roman" w:cs="Times New Roman"/>
          <w:b/>
          <w:bCs/>
          <w:i/>
          <w:iCs/>
          <w:color w:val="000000"/>
          <w:sz w:val="20"/>
          <w:szCs w:val="20"/>
        </w:rPr>
        <w:t>(</w:t>
      </w:r>
      <w:proofErr w:type="spellStart"/>
      <w:r w:rsidRPr="0039726C">
        <w:rPr>
          <w:rFonts w:ascii="Times New Roman" w:hAnsi="Times New Roman" w:cs="Times New Roman"/>
          <w:b/>
          <w:bCs/>
          <w:i/>
          <w:iCs/>
          <w:color w:val="000000"/>
          <w:sz w:val="20"/>
          <w:szCs w:val="20"/>
        </w:rPr>
        <w:t>Adamu</w:t>
      </w:r>
      <w:proofErr w:type="spellEnd"/>
      <w:r w:rsidRPr="0039726C">
        <w:rPr>
          <w:rFonts w:ascii="Times New Roman" w:hAnsi="Times New Roman" w:cs="Times New Roman"/>
          <w:b/>
          <w:bCs/>
          <w:i/>
          <w:iCs/>
          <w:color w:val="000000"/>
          <w:sz w:val="20"/>
          <w:szCs w:val="20"/>
        </w:rPr>
        <w:t xml:space="preserve"> et al., 2009).</w:t>
      </w:r>
    </w:p>
    <w:p w:rsidR="006718D7" w:rsidRPr="0039726C" w:rsidRDefault="006718D7" w:rsidP="00AE756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 xml:space="preserve">Alterations in chamber stiffness may reflect changes in passive myocardial stiffness as well as in </w:t>
      </w:r>
      <w:r w:rsidRPr="0039726C">
        <w:rPr>
          <w:rFonts w:ascii="Times New Roman" w:hAnsi="Times New Roman" w:cs="Times New Roman"/>
          <w:color w:val="000000"/>
          <w:sz w:val="20"/>
          <w:szCs w:val="20"/>
        </w:rPr>
        <w:lastRenderedPageBreak/>
        <w:t xml:space="preserve">other factors such as loading conditions, wall thickness, and LV geometry </w:t>
      </w:r>
      <w:r w:rsidRPr="0039726C">
        <w:rPr>
          <w:rFonts w:ascii="Times New Roman" w:hAnsi="Times New Roman" w:cs="Times New Roman"/>
          <w:b/>
          <w:bCs/>
          <w:i/>
          <w:iCs/>
          <w:color w:val="000000"/>
          <w:sz w:val="20"/>
          <w:szCs w:val="20"/>
        </w:rPr>
        <w:t>(</w:t>
      </w:r>
      <w:hyperlink r:id="rId16" w:history="1">
        <w:r w:rsidRPr="0039726C">
          <w:rPr>
            <w:rStyle w:val="Hyperlink"/>
            <w:rFonts w:ascii="Times New Roman" w:hAnsi="Times New Roman" w:cs="Times New Roman"/>
            <w:b/>
            <w:bCs/>
            <w:i/>
            <w:iCs/>
            <w:color w:val="auto"/>
            <w:sz w:val="20"/>
            <w:szCs w:val="20"/>
            <w:u w:val="none"/>
          </w:rPr>
          <w:t>Watanabe</w:t>
        </w:r>
      </w:hyperlink>
      <w:r w:rsidRPr="0039726C">
        <w:rPr>
          <w:rFonts w:ascii="Times New Roman" w:hAnsi="Times New Roman" w:cs="Times New Roman"/>
          <w:b/>
          <w:bCs/>
          <w:i/>
          <w:iCs/>
          <w:sz w:val="20"/>
          <w:szCs w:val="20"/>
        </w:rPr>
        <w:t xml:space="preserve"> </w:t>
      </w:r>
      <w:r w:rsidRPr="0039726C">
        <w:rPr>
          <w:rFonts w:ascii="Times New Roman" w:hAnsi="Times New Roman" w:cs="Times New Roman"/>
          <w:b/>
          <w:bCs/>
          <w:i/>
          <w:iCs/>
          <w:color w:val="000000"/>
          <w:sz w:val="20"/>
          <w:szCs w:val="20"/>
        </w:rPr>
        <w:t>et al., 2011).</w:t>
      </w:r>
    </w:p>
    <w:p w:rsidR="006718D7" w:rsidRPr="0039726C" w:rsidRDefault="006718D7" w:rsidP="00AE756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 xml:space="preserve">Hypertension can lead to both systolic and diastolic abnormalities. There are several conventional indices for evaluating systolic function, such as ejection fraction, cardiac output, cardiac index and fractional shortening, while diastolic index can be assessed among others by </w:t>
      </w:r>
      <w:proofErr w:type="spellStart"/>
      <w:r w:rsidRPr="0039726C">
        <w:rPr>
          <w:rFonts w:ascii="Times New Roman" w:hAnsi="Times New Roman" w:cs="Times New Roman"/>
          <w:color w:val="000000"/>
          <w:sz w:val="20"/>
          <w:szCs w:val="20"/>
        </w:rPr>
        <w:t>transmitral</w:t>
      </w:r>
      <w:proofErr w:type="spellEnd"/>
      <w:r w:rsidRPr="0039726C">
        <w:rPr>
          <w:rFonts w:ascii="Times New Roman" w:hAnsi="Times New Roman" w:cs="Times New Roman"/>
          <w:color w:val="000000"/>
          <w:sz w:val="20"/>
          <w:szCs w:val="20"/>
        </w:rPr>
        <w:t xml:space="preserve"> Doppler wave pattern, </w:t>
      </w:r>
      <w:proofErr w:type="spellStart"/>
      <w:r w:rsidRPr="0039726C">
        <w:rPr>
          <w:rFonts w:ascii="Times New Roman" w:hAnsi="Times New Roman" w:cs="Times New Roman"/>
          <w:color w:val="000000"/>
          <w:sz w:val="20"/>
          <w:szCs w:val="20"/>
        </w:rPr>
        <w:t>isovolumic</w:t>
      </w:r>
      <w:proofErr w:type="spellEnd"/>
      <w:r w:rsidRPr="0039726C">
        <w:rPr>
          <w:rFonts w:ascii="Times New Roman" w:hAnsi="Times New Roman" w:cs="Times New Roman"/>
          <w:color w:val="000000"/>
          <w:sz w:val="20"/>
          <w:szCs w:val="20"/>
        </w:rPr>
        <w:t xml:space="preserve"> relaxation time, tissue Doppler and deceleration time. These indices are specific for systolic or diastolic function and each is associated with significant limitations with regard to their interpretation/relevance to clinical status and </w:t>
      </w:r>
      <w:proofErr w:type="spellStart"/>
      <w:r w:rsidRPr="0039726C">
        <w:rPr>
          <w:rFonts w:ascii="Times New Roman" w:hAnsi="Times New Roman" w:cs="Times New Roman"/>
          <w:color w:val="000000"/>
          <w:sz w:val="20"/>
          <w:szCs w:val="20"/>
        </w:rPr>
        <w:t>haemodynamic</w:t>
      </w:r>
      <w:proofErr w:type="spellEnd"/>
      <w:r w:rsidRPr="0039726C">
        <w:rPr>
          <w:rFonts w:ascii="Times New Roman" w:hAnsi="Times New Roman" w:cs="Times New Roman"/>
          <w:color w:val="000000"/>
          <w:sz w:val="20"/>
          <w:szCs w:val="20"/>
        </w:rPr>
        <w:t xml:space="preserve"> state </w:t>
      </w:r>
      <w:r w:rsidRPr="0039726C">
        <w:rPr>
          <w:rFonts w:ascii="Times New Roman" w:hAnsi="Times New Roman" w:cs="Times New Roman"/>
          <w:b/>
          <w:bCs/>
          <w:i/>
          <w:iCs/>
          <w:color w:val="000000"/>
          <w:sz w:val="20"/>
          <w:szCs w:val="20"/>
        </w:rPr>
        <w:t>(</w:t>
      </w:r>
      <w:proofErr w:type="spellStart"/>
      <w:r w:rsidRPr="0039726C">
        <w:rPr>
          <w:rFonts w:ascii="Times New Roman" w:hAnsi="Times New Roman" w:cs="Times New Roman"/>
          <w:b/>
          <w:bCs/>
          <w:i/>
          <w:iCs/>
          <w:color w:val="000000"/>
          <w:sz w:val="20"/>
          <w:szCs w:val="20"/>
        </w:rPr>
        <w:t>Akintunde</w:t>
      </w:r>
      <w:proofErr w:type="spellEnd"/>
      <w:r w:rsidRPr="0039726C">
        <w:rPr>
          <w:rFonts w:ascii="Times New Roman" w:hAnsi="Times New Roman" w:cs="Times New Roman"/>
          <w:b/>
          <w:bCs/>
          <w:i/>
          <w:iCs/>
          <w:color w:val="000000"/>
          <w:sz w:val="20"/>
          <w:szCs w:val="20"/>
        </w:rPr>
        <w:t xml:space="preserve"> et al., 2011).</w:t>
      </w:r>
    </w:p>
    <w:p w:rsidR="00537BC9" w:rsidRPr="0039726C" w:rsidRDefault="006718D7" w:rsidP="00AE756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 xml:space="preserve">The myocardial performance index is a combined index of systolic and diastolic function and has been shown to correlates directly with myocardial stiffness and also correlates significantly with other conventional indices </w:t>
      </w:r>
      <w:r w:rsidRPr="0039726C">
        <w:rPr>
          <w:rFonts w:ascii="Times New Roman" w:hAnsi="Times New Roman" w:cs="Times New Roman"/>
          <w:b/>
          <w:bCs/>
          <w:i/>
          <w:iCs/>
          <w:color w:val="000000"/>
          <w:sz w:val="20"/>
          <w:szCs w:val="20"/>
        </w:rPr>
        <w:t>(</w:t>
      </w:r>
      <w:proofErr w:type="spellStart"/>
      <w:r w:rsidRPr="0039726C">
        <w:rPr>
          <w:rFonts w:ascii="Times New Roman" w:hAnsi="Times New Roman" w:cs="Times New Roman"/>
          <w:b/>
          <w:bCs/>
          <w:i/>
          <w:iCs/>
          <w:color w:val="000000"/>
          <w:sz w:val="20"/>
          <w:szCs w:val="20"/>
        </w:rPr>
        <w:t>Mizuguchi</w:t>
      </w:r>
      <w:proofErr w:type="spellEnd"/>
      <w:r w:rsidRPr="0039726C">
        <w:rPr>
          <w:rFonts w:ascii="Times New Roman" w:hAnsi="Times New Roman" w:cs="Times New Roman"/>
          <w:b/>
          <w:bCs/>
          <w:i/>
          <w:iCs/>
          <w:color w:val="000000"/>
          <w:sz w:val="20"/>
          <w:szCs w:val="20"/>
        </w:rPr>
        <w:t xml:space="preserve"> et al., 2010).</w:t>
      </w:r>
    </w:p>
    <w:p w:rsidR="006718D7" w:rsidRPr="0039726C" w:rsidRDefault="006718D7" w:rsidP="00AE7567">
      <w:pPr>
        <w:autoSpaceDE w:val="0"/>
        <w:autoSpaceDN w:val="0"/>
        <w:adjustRightInd w:val="0"/>
        <w:snapToGrid w:val="0"/>
        <w:spacing w:after="0" w:line="240" w:lineRule="auto"/>
        <w:ind w:firstLine="425"/>
        <w:jc w:val="both"/>
        <w:rPr>
          <w:rFonts w:ascii="Times New Roman" w:hAnsi="Times New Roman" w:cs="Times New Roman"/>
          <w:bCs/>
          <w:color w:val="000000"/>
          <w:sz w:val="20"/>
          <w:szCs w:val="20"/>
        </w:rPr>
      </w:pPr>
      <w:r w:rsidRPr="0039726C">
        <w:rPr>
          <w:rFonts w:ascii="Times New Roman" w:hAnsi="Times New Roman" w:cs="Times New Roman"/>
          <w:color w:val="000000"/>
          <w:sz w:val="20"/>
          <w:szCs w:val="20"/>
        </w:rPr>
        <w:t xml:space="preserve">Thus we conducted this study to </w:t>
      </w:r>
      <w:r w:rsidRPr="0039726C">
        <w:rPr>
          <w:rFonts w:ascii="Times New Roman" w:hAnsi="Times New Roman" w:cs="Times New Roman"/>
          <w:bCs/>
          <w:color w:val="000000"/>
          <w:sz w:val="20"/>
          <w:szCs w:val="20"/>
        </w:rPr>
        <w:t>investigate the changes in the myocardium stiffness index for patients suffering from</w:t>
      </w:r>
      <w:r w:rsidR="00AE7567" w:rsidRPr="0039726C">
        <w:rPr>
          <w:rFonts w:ascii="Times New Roman" w:hAnsi="Times New Roman" w:cs="Times New Roman"/>
          <w:bCs/>
          <w:color w:val="000000"/>
          <w:sz w:val="20"/>
          <w:szCs w:val="20"/>
        </w:rPr>
        <w:t xml:space="preserve"> </w:t>
      </w:r>
      <w:r w:rsidRPr="0039726C">
        <w:rPr>
          <w:rFonts w:ascii="Times New Roman" w:hAnsi="Times New Roman" w:cs="Times New Roman"/>
          <w:bCs/>
          <w:color w:val="000000"/>
          <w:sz w:val="20"/>
          <w:szCs w:val="20"/>
        </w:rPr>
        <w:t>systemic</w:t>
      </w:r>
      <w:r w:rsidR="00AE7567" w:rsidRPr="0039726C">
        <w:rPr>
          <w:rFonts w:ascii="Times New Roman" w:hAnsi="Times New Roman" w:cs="Times New Roman"/>
          <w:bCs/>
          <w:color w:val="000000"/>
          <w:sz w:val="20"/>
          <w:szCs w:val="20"/>
        </w:rPr>
        <w:t xml:space="preserve"> </w:t>
      </w:r>
      <w:r w:rsidRPr="0039726C">
        <w:rPr>
          <w:rFonts w:ascii="Times New Roman" w:hAnsi="Times New Roman" w:cs="Times New Roman"/>
          <w:bCs/>
          <w:color w:val="000000"/>
          <w:sz w:val="20"/>
          <w:szCs w:val="20"/>
        </w:rPr>
        <w:t>hypertension,</w:t>
      </w:r>
      <w:r w:rsidR="00AE7567" w:rsidRPr="0039726C">
        <w:rPr>
          <w:rFonts w:ascii="Times New Roman" w:hAnsi="Times New Roman" w:cs="Times New Roman"/>
          <w:bCs/>
          <w:color w:val="000000"/>
          <w:sz w:val="20"/>
          <w:szCs w:val="20"/>
        </w:rPr>
        <w:t xml:space="preserve"> </w:t>
      </w:r>
      <w:r w:rsidRPr="0039726C">
        <w:rPr>
          <w:rFonts w:ascii="Times New Roman" w:hAnsi="Times New Roman" w:cs="Times New Roman"/>
          <w:bCs/>
          <w:color w:val="000000"/>
          <w:sz w:val="20"/>
          <w:szCs w:val="20"/>
        </w:rPr>
        <w:t>and</w:t>
      </w:r>
      <w:r w:rsidR="00AE7567" w:rsidRPr="0039726C">
        <w:rPr>
          <w:rFonts w:ascii="Times New Roman" w:hAnsi="Times New Roman" w:cs="Times New Roman"/>
          <w:bCs/>
          <w:color w:val="000000"/>
          <w:sz w:val="20"/>
          <w:szCs w:val="20"/>
        </w:rPr>
        <w:t xml:space="preserve"> </w:t>
      </w:r>
      <w:r w:rsidRPr="0039726C">
        <w:rPr>
          <w:rFonts w:ascii="Times New Roman" w:hAnsi="Times New Roman" w:cs="Times New Roman"/>
          <w:bCs/>
          <w:color w:val="000000"/>
          <w:sz w:val="20"/>
          <w:szCs w:val="20"/>
        </w:rPr>
        <w:t>to</w:t>
      </w:r>
      <w:r w:rsidR="00AE7567" w:rsidRPr="0039726C">
        <w:rPr>
          <w:rFonts w:ascii="Times New Roman" w:hAnsi="Times New Roman" w:cs="Times New Roman"/>
          <w:bCs/>
          <w:color w:val="000000"/>
          <w:sz w:val="20"/>
          <w:szCs w:val="20"/>
        </w:rPr>
        <w:t xml:space="preserve"> </w:t>
      </w:r>
      <w:r w:rsidRPr="0039726C">
        <w:rPr>
          <w:rFonts w:ascii="Times New Roman" w:hAnsi="Times New Roman" w:cs="Times New Roman"/>
          <w:bCs/>
          <w:color w:val="000000"/>
          <w:sz w:val="20"/>
          <w:szCs w:val="20"/>
        </w:rPr>
        <w:t>assess</w:t>
      </w:r>
      <w:r w:rsidR="00AE7567" w:rsidRPr="0039726C">
        <w:rPr>
          <w:rFonts w:ascii="Times New Roman" w:hAnsi="Times New Roman" w:cs="Times New Roman"/>
          <w:bCs/>
          <w:color w:val="000000"/>
          <w:sz w:val="20"/>
          <w:szCs w:val="20"/>
        </w:rPr>
        <w:t xml:space="preserve"> </w:t>
      </w:r>
      <w:r w:rsidRPr="0039726C">
        <w:rPr>
          <w:rFonts w:ascii="Times New Roman" w:hAnsi="Times New Roman" w:cs="Times New Roman"/>
          <w:bCs/>
          <w:color w:val="000000"/>
          <w:sz w:val="20"/>
          <w:szCs w:val="20"/>
        </w:rPr>
        <w:t>their</w:t>
      </w:r>
      <w:r w:rsidR="00AE7567" w:rsidRPr="0039726C">
        <w:rPr>
          <w:rFonts w:ascii="Times New Roman" w:hAnsi="Times New Roman" w:cs="Times New Roman"/>
          <w:bCs/>
          <w:color w:val="000000"/>
          <w:sz w:val="20"/>
          <w:szCs w:val="20"/>
        </w:rPr>
        <w:t xml:space="preserve"> </w:t>
      </w:r>
      <w:r w:rsidRPr="0039726C">
        <w:rPr>
          <w:rFonts w:ascii="Times New Roman" w:hAnsi="Times New Roman" w:cs="Times New Roman"/>
          <w:bCs/>
          <w:color w:val="000000"/>
          <w:sz w:val="20"/>
          <w:szCs w:val="20"/>
        </w:rPr>
        <w:t>left</w:t>
      </w:r>
      <w:r w:rsidR="00AE7567" w:rsidRPr="0039726C">
        <w:rPr>
          <w:rFonts w:ascii="Times New Roman" w:hAnsi="Times New Roman" w:cs="Times New Roman"/>
          <w:bCs/>
          <w:color w:val="000000"/>
          <w:sz w:val="20"/>
          <w:szCs w:val="20"/>
        </w:rPr>
        <w:t xml:space="preserve"> </w:t>
      </w:r>
      <w:r w:rsidRPr="0039726C">
        <w:rPr>
          <w:rFonts w:ascii="Times New Roman" w:hAnsi="Times New Roman" w:cs="Times New Roman"/>
          <w:bCs/>
          <w:color w:val="000000"/>
          <w:sz w:val="20"/>
          <w:szCs w:val="20"/>
        </w:rPr>
        <w:t>ventricular</w:t>
      </w:r>
      <w:r w:rsidR="00AE7567" w:rsidRPr="0039726C">
        <w:rPr>
          <w:rFonts w:ascii="Times New Roman" w:hAnsi="Times New Roman" w:cs="Times New Roman"/>
          <w:bCs/>
          <w:color w:val="000000"/>
          <w:sz w:val="20"/>
          <w:szCs w:val="20"/>
        </w:rPr>
        <w:t xml:space="preserve"> </w:t>
      </w:r>
      <w:r w:rsidRPr="0039726C">
        <w:rPr>
          <w:rFonts w:ascii="Times New Roman" w:hAnsi="Times New Roman" w:cs="Times New Roman"/>
          <w:bCs/>
          <w:color w:val="000000"/>
          <w:sz w:val="20"/>
          <w:szCs w:val="20"/>
        </w:rPr>
        <w:t>performance by TDI.</w:t>
      </w:r>
    </w:p>
    <w:p w:rsidR="00061D94" w:rsidRPr="0039726C" w:rsidRDefault="00061D94" w:rsidP="00AE7567">
      <w:pPr>
        <w:autoSpaceDE w:val="0"/>
        <w:autoSpaceDN w:val="0"/>
        <w:adjustRightInd w:val="0"/>
        <w:snapToGrid w:val="0"/>
        <w:spacing w:after="0" w:line="240" w:lineRule="auto"/>
        <w:jc w:val="both"/>
        <w:rPr>
          <w:rFonts w:ascii="Times New Roman" w:hAnsi="Times New Roman" w:cs="Times New Roman"/>
          <w:b/>
          <w:bCs/>
          <w:sz w:val="20"/>
          <w:szCs w:val="20"/>
        </w:rPr>
      </w:pPr>
    </w:p>
    <w:p w:rsidR="00061D94" w:rsidRPr="0039726C" w:rsidRDefault="00061D94" w:rsidP="00AE7567">
      <w:pPr>
        <w:autoSpaceDE w:val="0"/>
        <w:autoSpaceDN w:val="0"/>
        <w:adjustRightInd w:val="0"/>
        <w:snapToGrid w:val="0"/>
        <w:spacing w:after="0" w:line="240" w:lineRule="auto"/>
        <w:jc w:val="both"/>
        <w:rPr>
          <w:rFonts w:ascii="Times New Roman" w:hAnsi="Times New Roman" w:cs="Times New Roman"/>
          <w:b/>
          <w:bCs/>
          <w:sz w:val="20"/>
          <w:szCs w:val="20"/>
        </w:rPr>
      </w:pPr>
      <w:r w:rsidRPr="0039726C">
        <w:rPr>
          <w:rFonts w:ascii="Times New Roman" w:hAnsi="Times New Roman" w:cs="Times New Roman"/>
          <w:b/>
          <w:bCs/>
          <w:sz w:val="20"/>
          <w:szCs w:val="20"/>
        </w:rPr>
        <w:t xml:space="preserve">2. </w:t>
      </w:r>
      <w:r w:rsidR="00EB4680" w:rsidRPr="0039726C">
        <w:rPr>
          <w:rFonts w:ascii="Times New Roman" w:hAnsi="Times New Roman" w:cs="Times New Roman"/>
          <w:b/>
          <w:bCs/>
          <w:sz w:val="20"/>
          <w:szCs w:val="20"/>
        </w:rPr>
        <w:t>Material and methods:</w:t>
      </w:r>
    </w:p>
    <w:p w:rsidR="00EF27AB" w:rsidRPr="0039726C" w:rsidRDefault="00944ECC" w:rsidP="00AE756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9726C">
        <w:rPr>
          <w:rFonts w:ascii="Times New Roman" w:hAnsi="Times New Roman" w:cs="Times New Roman"/>
          <w:sz w:val="20"/>
          <w:szCs w:val="20"/>
        </w:rPr>
        <w:t xml:space="preserve">A prospective study done over a period of one year that included established cases of hypertension diagnosed on the basis of history taking and clinical examination, during the study period from (1/11/2014 to 30/12/2015). 150 subjects were divided into two groups, group A which included 100 hypertensive patients and group B which included 50 normal subjects. The two groups were evaluated by history taking, clinical examination and </w:t>
      </w:r>
      <w:proofErr w:type="spellStart"/>
      <w:r w:rsidRPr="0039726C">
        <w:rPr>
          <w:rFonts w:ascii="Times New Roman" w:hAnsi="Times New Roman" w:cs="Times New Roman"/>
          <w:sz w:val="20"/>
          <w:szCs w:val="20"/>
        </w:rPr>
        <w:t>transthoracic</w:t>
      </w:r>
      <w:proofErr w:type="spellEnd"/>
      <w:r w:rsidRPr="0039726C">
        <w:rPr>
          <w:rFonts w:ascii="Times New Roman" w:hAnsi="Times New Roman" w:cs="Times New Roman"/>
          <w:sz w:val="20"/>
          <w:szCs w:val="20"/>
        </w:rPr>
        <w:t xml:space="preserve"> echocardiography which left ventricular internal dimensions at diastole (</w:t>
      </w:r>
      <w:proofErr w:type="spellStart"/>
      <w:r w:rsidRPr="0039726C">
        <w:rPr>
          <w:rFonts w:ascii="Times New Roman" w:hAnsi="Times New Roman" w:cs="Times New Roman"/>
          <w:sz w:val="20"/>
          <w:szCs w:val="20"/>
        </w:rPr>
        <w:t>LVIDd</w:t>
      </w:r>
      <w:proofErr w:type="spellEnd"/>
      <w:r w:rsidRPr="0039726C">
        <w:rPr>
          <w:rFonts w:ascii="Times New Roman" w:hAnsi="Times New Roman" w:cs="Times New Roman"/>
          <w:sz w:val="20"/>
          <w:szCs w:val="20"/>
        </w:rPr>
        <w:t>) and systole (LVIDs) will be measured, using M-mode echocardiography Pulse</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wave</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Doppler</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tracing</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of</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the</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transmittal</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flow</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velocity</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will be</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obtained</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from</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the</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apical</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 xml:space="preserve">four chamber view measurement of the early mitral velocity E and the late velocity A at </w:t>
      </w:r>
      <w:proofErr w:type="spellStart"/>
      <w:r w:rsidRPr="0039726C">
        <w:rPr>
          <w:rFonts w:ascii="Times New Roman" w:hAnsi="Times New Roman" w:cs="Times New Roman"/>
          <w:sz w:val="20"/>
          <w:szCs w:val="20"/>
        </w:rPr>
        <w:t>atrial</w:t>
      </w:r>
      <w:proofErr w:type="spellEnd"/>
      <w:r w:rsidRPr="0039726C">
        <w:rPr>
          <w:rFonts w:ascii="Times New Roman" w:hAnsi="Times New Roman" w:cs="Times New Roman"/>
          <w:sz w:val="20"/>
          <w:szCs w:val="20"/>
        </w:rPr>
        <w:t xml:space="preserve"> contraction</w:t>
      </w:r>
      <w:r w:rsidR="00AE7567" w:rsidRPr="0039726C">
        <w:rPr>
          <w:rFonts w:ascii="Times New Roman" w:hAnsi="Times New Roman" w:cs="Times New Roman"/>
          <w:sz w:val="20"/>
          <w:szCs w:val="20"/>
        </w:rPr>
        <w:t>. M</w:t>
      </w:r>
      <w:r w:rsidRPr="0039726C">
        <w:rPr>
          <w:rFonts w:ascii="Times New Roman" w:hAnsi="Times New Roman" w:cs="Times New Roman"/>
          <w:sz w:val="20"/>
          <w:szCs w:val="20"/>
        </w:rPr>
        <w:t xml:space="preserve">itral annulus velocity measurements will be obtained from the apical four-chamber view by tissue Doppler image, using a 1 - 2 mm sample volume placed at the lateral side of the mitral valve annulus. The TDI mitral </w:t>
      </w:r>
      <w:r w:rsidRPr="0039726C">
        <w:rPr>
          <w:rFonts w:ascii="Times New Roman" w:hAnsi="Times New Roman" w:cs="Times New Roman"/>
          <w:sz w:val="20"/>
          <w:szCs w:val="20"/>
        </w:rPr>
        <w:lastRenderedPageBreak/>
        <w:t>annular velocities will be measured including the early annular velocity (Ea)</w:t>
      </w:r>
      <w:r w:rsidR="00AE7567" w:rsidRPr="0039726C">
        <w:rPr>
          <w:rFonts w:ascii="Times New Roman" w:hAnsi="Times New Roman" w:cs="Times New Roman"/>
          <w:sz w:val="20"/>
          <w:szCs w:val="20"/>
        </w:rPr>
        <w:t>. A</w:t>
      </w:r>
      <w:r w:rsidRPr="0039726C">
        <w:rPr>
          <w:rFonts w:ascii="Times New Roman" w:hAnsi="Times New Roman" w:cs="Times New Roman"/>
          <w:sz w:val="20"/>
          <w:szCs w:val="20"/>
        </w:rPr>
        <w:t>ll TDI velocities will be taken as an average of the lateral readings of five cardiac cycles. The mean values of Ea velocities will be used to calculate the E/Ea ratio.</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Myocardial</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diastolic</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stiffness</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index</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will be</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calculated</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using</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the</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equation</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of</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(Stiffness</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index</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 [(E/Ea)/</w:t>
      </w:r>
      <w:proofErr w:type="spellStart"/>
      <w:r w:rsidRPr="0039726C">
        <w:rPr>
          <w:rFonts w:ascii="Times New Roman" w:hAnsi="Times New Roman" w:cs="Times New Roman"/>
          <w:sz w:val="20"/>
          <w:szCs w:val="20"/>
        </w:rPr>
        <w:t>LVIDd</w:t>
      </w:r>
      <w:proofErr w:type="spellEnd"/>
      <w:r w:rsidRPr="0039726C">
        <w:rPr>
          <w:rFonts w:ascii="Times New Roman" w:hAnsi="Times New Roman" w:cs="Times New Roman"/>
          <w:sz w:val="20"/>
          <w:szCs w:val="20"/>
        </w:rPr>
        <w:t xml:space="preserve">]) </w:t>
      </w:r>
      <w:r w:rsidRPr="0039726C">
        <w:rPr>
          <w:rFonts w:ascii="Times New Roman" w:hAnsi="Times New Roman" w:cs="Times New Roman"/>
          <w:b/>
          <w:bCs/>
          <w:i/>
          <w:iCs/>
          <w:sz w:val="20"/>
          <w:szCs w:val="20"/>
        </w:rPr>
        <w:t>(King, et al, 2008)</w:t>
      </w:r>
      <w:r w:rsidR="00AE7567" w:rsidRPr="0039726C">
        <w:rPr>
          <w:rFonts w:ascii="Times New Roman" w:hAnsi="Times New Roman" w:cs="Times New Roman"/>
          <w:b/>
          <w:bCs/>
          <w:i/>
          <w:iCs/>
          <w:sz w:val="20"/>
          <w:szCs w:val="20"/>
        </w:rPr>
        <w:t xml:space="preserve">. </w:t>
      </w:r>
      <w:r w:rsidR="00AE7567" w:rsidRPr="0039726C">
        <w:rPr>
          <w:rFonts w:ascii="Times New Roman" w:hAnsi="Times New Roman" w:cs="Times New Roman"/>
          <w:sz w:val="20"/>
          <w:szCs w:val="20"/>
        </w:rPr>
        <w:t>B</w:t>
      </w:r>
      <w:r w:rsidRPr="0039726C">
        <w:rPr>
          <w:rFonts w:ascii="Times New Roman" w:hAnsi="Times New Roman" w:cs="Times New Roman"/>
          <w:sz w:val="20"/>
          <w:szCs w:val="20"/>
        </w:rPr>
        <w:t xml:space="preserve">y using the apical view at aortic valve </w:t>
      </w:r>
      <w:proofErr w:type="spellStart"/>
      <w:r w:rsidRPr="0039726C">
        <w:rPr>
          <w:rFonts w:ascii="Times New Roman" w:hAnsi="Times New Roman" w:cs="Times New Roman"/>
          <w:sz w:val="20"/>
          <w:szCs w:val="20"/>
        </w:rPr>
        <w:t>isovolumetric</w:t>
      </w:r>
      <w:proofErr w:type="spellEnd"/>
      <w:r w:rsidRPr="0039726C">
        <w:rPr>
          <w:rFonts w:ascii="Times New Roman" w:hAnsi="Times New Roman" w:cs="Times New Roman"/>
          <w:sz w:val="20"/>
          <w:szCs w:val="20"/>
        </w:rPr>
        <w:t xml:space="preserve"> contraction time (IVCT), </w:t>
      </w:r>
      <w:proofErr w:type="spellStart"/>
      <w:r w:rsidRPr="0039726C">
        <w:rPr>
          <w:rFonts w:ascii="Times New Roman" w:hAnsi="Times New Roman" w:cs="Times New Roman"/>
          <w:sz w:val="20"/>
          <w:szCs w:val="20"/>
        </w:rPr>
        <w:t>isovolumetric</w:t>
      </w:r>
      <w:proofErr w:type="spellEnd"/>
      <w:r w:rsidRPr="0039726C">
        <w:rPr>
          <w:rFonts w:ascii="Times New Roman" w:hAnsi="Times New Roman" w:cs="Times New Roman"/>
          <w:sz w:val="20"/>
          <w:szCs w:val="20"/>
        </w:rPr>
        <w:t xml:space="preserve"> relaxation time (IVRT) and ejection time (ET) were measured from the interval between two mitral inflow periods (Figure 1), several investigators used IMP to assess left ventricle function, </w:t>
      </w:r>
      <w:proofErr w:type="gramStart"/>
      <w:r w:rsidRPr="0039726C">
        <w:rPr>
          <w:rFonts w:ascii="Times New Roman" w:hAnsi="Times New Roman" w:cs="Times New Roman"/>
          <w:sz w:val="20"/>
          <w:szCs w:val="20"/>
        </w:rPr>
        <w:t>Most</w:t>
      </w:r>
      <w:proofErr w:type="gramEnd"/>
      <w:r w:rsidRPr="0039726C">
        <w:rPr>
          <w:rFonts w:ascii="Times New Roman" w:hAnsi="Times New Roman" w:cs="Times New Roman"/>
          <w:sz w:val="20"/>
          <w:szCs w:val="20"/>
        </w:rPr>
        <w:t xml:space="preserve"> of them showed that IMP gives a good assessment of left ventricular dysfunction and its severity. IMP can be calculated by using the equation that: IMP = (IVCT + IVRT)/ET.</w:t>
      </w:r>
    </w:p>
    <w:p w:rsidR="00061D94" w:rsidRPr="0039726C" w:rsidRDefault="00061D94" w:rsidP="00AE7567">
      <w:pPr>
        <w:autoSpaceDE w:val="0"/>
        <w:autoSpaceDN w:val="0"/>
        <w:adjustRightInd w:val="0"/>
        <w:snapToGrid w:val="0"/>
        <w:spacing w:after="0" w:line="240" w:lineRule="auto"/>
        <w:jc w:val="both"/>
        <w:rPr>
          <w:rFonts w:ascii="Times New Roman" w:eastAsia="Calibri" w:hAnsi="Times New Roman" w:cs="Times New Roman"/>
          <w:b/>
          <w:bCs/>
          <w:sz w:val="20"/>
          <w:szCs w:val="20"/>
        </w:rPr>
      </w:pPr>
    </w:p>
    <w:p w:rsidR="00067638" w:rsidRPr="0039726C" w:rsidRDefault="00061D94" w:rsidP="00AE7567">
      <w:pPr>
        <w:autoSpaceDE w:val="0"/>
        <w:autoSpaceDN w:val="0"/>
        <w:adjustRightInd w:val="0"/>
        <w:snapToGrid w:val="0"/>
        <w:spacing w:after="0" w:line="240" w:lineRule="auto"/>
        <w:jc w:val="both"/>
        <w:rPr>
          <w:rFonts w:ascii="Times New Roman" w:hAnsi="Times New Roman" w:cs="Times New Roman"/>
          <w:sz w:val="20"/>
          <w:szCs w:val="20"/>
        </w:rPr>
      </w:pPr>
      <w:r w:rsidRPr="0039726C">
        <w:rPr>
          <w:rFonts w:ascii="Times New Roman" w:eastAsia="Calibri" w:hAnsi="Times New Roman" w:cs="Times New Roman"/>
          <w:b/>
          <w:bCs/>
          <w:sz w:val="20"/>
          <w:szCs w:val="20"/>
        </w:rPr>
        <w:t xml:space="preserve">3. </w:t>
      </w:r>
      <w:r w:rsidR="00CE0845" w:rsidRPr="0039726C">
        <w:rPr>
          <w:rFonts w:ascii="Times New Roman" w:eastAsia="Calibri" w:hAnsi="Times New Roman" w:cs="Times New Roman"/>
          <w:b/>
          <w:bCs/>
          <w:sz w:val="20"/>
          <w:szCs w:val="20"/>
        </w:rPr>
        <w:t>Results:</w:t>
      </w:r>
    </w:p>
    <w:p w:rsidR="00FA2DDB" w:rsidRPr="0039726C" w:rsidRDefault="00F20CDC" w:rsidP="00AE7567">
      <w:pPr>
        <w:autoSpaceDE w:val="0"/>
        <w:autoSpaceDN w:val="0"/>
        <w:adjustRightInd w:val="0"/>
        <w:snapToGrid w:val="0"/>
        <w:spacing w:after="0" w:line="240" w:lineRule="auto"/>
        <w:ind w:firstLine="425"/>
        <w:jc w:val="both"/>
        <w:rPr>
          <w:rFonts w:ascii="Times New Roman" w:hAnsi="Times New Roman" w:cs="Times New Roman"/>
          <w:b/>
          <w:bCs/>
          <w:color w:val="0070C0"/>
          <w:sz w:val="20"/>
          <w:szCs w:val="20"/>
        </w:rPr>
      </w:pPr>
      <w:r w:rsidRPr="0039726C">
        <w:rPr>
          <w:rFonts w:ascii="Times New Roman" w:eastAsia="Calibri" w:hAnsi="Times New Roman" w:cs="Times New Roman"/>
          <w:sz w:val="20"/>
          <w:szCs w:val="20"/>
        </w:rPr>
        <w:t>The present study included</w:t>
      </w:r>
      <w:r w:rsidR="00EF27AB" w:rsidRPr="0039726C">
        <w:rPr>
          <w:rFonts w:ascii="Times New Roman" w:eastAsia="Calibri" w:hAnsi="Times New Roman" w:cs="Times New Roman"/>
          <w:sz w:val="20"/>
          <w:szCs w:val="20"/>
        </w:rPr>
        <w:t xml:space="preserve"> two groups, group A which included 100 hypertensive patients and group B which included 50 normal subjects</w:t>
      </w:r>
      <w:r w:rsidR="00EF27AB" w:rsidRPr="0039726C">
        <w:rPr>
          <w:rFonts w:ascii="Times New Roman" w:hAnsi="Times New Roman" w:cs="Times New Roman"/>
          <w:sz w:val="20"/>
          <w:szCs w:val="20"/>
        </w:rPr>
        <w:t>.</w:t>
      </w:r>
    </w:p>
    <w:p w:rsidR="00DB2881" w:rsidRPr="0039726C" w:rsidRDefault="00DB2881" w:rsidP="00AE7567">
      <w:pPr>
        <w:autoSpaceDE w:val="0"/>
        <w:autoSpaceDN w:val="0"/>
        <w:adjustRightInd w:val="0"/>
        <w:snapToGrid w:val="0"/>
        <w:spacing w:after="0" w:line="240" w:lineRule="auto"/>
        <w:jc w:val="both"/>
        <w:rPr>
          <w:rFonts w:ascii="Times New Roman" w:hAnsi="Times New Roman" w:cs="Times New Roman"/>
          <w:b/>
          <w:bCs/>
          <w:color w:val="0070C0"/>
          <w:sz w:val="20"/>
          <w:szCs w:val="20"/>
        </w:rPr>
        <w:sectPr w:rsidR="00DB2881" w:rsidRPr="0039726C" w:rsidSect="00AE7567">
          <w:headerReference w:type="default" r:id="rId17"/>
          <w:footerReference w:type="even" r:id="rId18"/>
          <w:footerReference w:type="default" r:id="rId19"/>
          <w:footerReference w:type="first" r:id="rId20"/>
          <w:type w:val="continuous"/>
          <w:pgSz w:w="12242" w:h="15842" w:code="1"/>
          <w:pgMar w:top="1440" w:right="1440" w:bottom="1440" w:left="1440" w:header="720" w:footer="720" w:gutter="0"/>
          <w:pgNumType w:start="1"/>
          <w:cols w:num="2" w:space="550"/>
          <w:docGrid w:linePitch="360"/>
        </w:sectPr>
      </w:pPr>
    </w:p>
    <w:p w:rsidR="00061D94" w:rsidRPr="0039726C" w:rsidRDefault="00061D94" w:rsidP="00AE7567">
      <w:pPr>
        <w:autoSpaceDE w:val="0"/>
        <w:autoSpaceDN w:val="0"/>
        <w:adjustRightInd w:val="0"/>
        <w:snapToGrid w:val="0"/>
        <w:spacing w:after="0" w:line="240" w:lineRule="auto"/>
        <w:jc w:val="center"/>
        <w:rPr>
          <w:rFonts w:ascii="Times New Roman" w:hAnsi="Times New Roman" w:cs="Times New Roman"/>
          <w:b/>
          <w:bCs/>
          <w:color w:val="0070C0"/>
          <w:sz w:val="20"/>
          <w:szCs w:val="20"/>
        </w:rPr>
      </w:pPr>
    </w:p>
    <w:p w:rsidR="00FA2DDB" w:rsidRPr="0039726C" w:rsidRDefault="00EA1677" w:rsidP="00AE7567">
      <w:pPr>
        <w:autoSpaceDE w:val="0"/>
        <w:autoSpaceDN w:val="0"/>
        <w:adjustRightInd w:val="0"/>
        <w:snapToGrid w:val="0"/>
        <w:spacing w:after="0" w:line="240" w:lineRule="auto"/>
        <w:jc w:val="center"/>
        <w:rPr>
          <w:rFonts w:ascii="Times New Roman" w:hAnsi="Times New Roman" w:cs="Times New Roman"/>
          <w:sz w:val="20"/>
          <w:szCs w:val="20"/>
        </w:rPr>
      </w:pPr>
      <w:r w:rsidRPr="0039726C">
        <w:rPr>
          <w:rFonts w:ascii="Times New Roman" w:hAnsi="Times New Roman" w:cs="Times New Roman"/>
          <w:sz w:val="20"/>
          <w:szCs w:val="20"/>
        </w:rPr>
        <w:t>Table (1)</w:t>
      </w:r>
      <w:r w:rsidR="00FA2DDB" w:rsidRPr="0039726C">
        <w:rPr>
          <w:rFonts w:ascii="Times New Roman" w:hAnsi="Times New Roman" w:cs="Times New Roman"/>
          <w:sz w:val="20"/>
          <w:szCs w:val="20"/>
        </w:rPr>
        <w:t xml:space="preserve"> Comparison between patients and controls regarding the demographic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289"/>
        <w:gridCol w:w="1214"/>
        <w:gridCol w:w="1216"/>
        <w:gridCol w:w="385"/>
        <w:gridCol w:w="2364"/>
        <w:gridCol w:w="1147"/>
        <w:gridCol w:w="1146"/>
      </w:tblGrid>
      <w:tr w:rsidR="00FA2DDB" w:rsidRPr="0039726C" w:rsidTr="00C62F17">
        <w:trPr>
          <w:jc w:val="center"/>
        </w:trPr>
        <w:tc>
          <w:tcPr>
            <w:tcW w:w="1099" w:type="pct"/>
            <w:gridSpan w:val="2"/>
            <w:vMerge w:val="restart"/>
            <w:shd w:val="clear" w:color="auto" w:fill="4472C4"/>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1269" w:type="pct"/>
            <w:gridSpan w:val="2"/>
            <w:vMerge w:val="restart"/>
            <w:shd w:val="clear" w:color="auto" w:fill="4472C4"/>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Patients (n=100)</w:t>
            </w:r>
          </w:p>
        </w:tc>
        <w:tc>
          <w:tcPr>
            <w:tcW w:w="201" w:type="pct"/>
            <w:shd w:val="clear" w:color="auto" w:fill="4472C4"/>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1234" w:type="pct"/>
            <w:vMerge w:val="restart"/>
            <w:shd w:val="clear" w:color="auto" w:fill="4472C4"/>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Controls (n=50)</w:t>
            </w:r>
          </w:p>
        </w:tc>
        <w:tc>
          <w:tcPr>
            <w:tcW w:w="1198" w:type="pct"/>
            <w:gridSpan w:val="2"/>
            <w:shd w:val="clear" w:color="auto" w:fill="4472C4"/>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Student t test</w:t>
            </w:r>
          </w:p>
        </w:tc>
      </w:tr>
      <w:tr w:rsidR="00FA2DDB" w:rsidRPr="0039726C" w:rsidTr="00C62F17">
        <w:trPr>
          <w:jc w:val="center"/>
        </w:trPr>
        <w:tc>
          <w:tcPr>
            <w:tcW w:w="1099" w:type="pct"/>
            <w:gridSpan w:val="2"/>
            <w:vMerge/>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1269" w:type="pct"/>
            <w:gridSpan w:val="2"/>
            <w:vMerge/>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201"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1234" w:type="pct"/>
            <w:vMerge/>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599"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t</w:t>
            </w:r>
          </w:p>
        </w:tc>
        <w:tc>
          <w:tcPr>
            <w:tcW w:w="599"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p</w:t>
            </w:r>
          </w:p>
        </w:tc>
      </w:tr>
      <w:tr w:rsidR="00FA2DDB" w:rsidRPr="0039726C" w:rsidTr="00C62F17">
        <w:trPr>
          <w:jc w:val="center"/>
        </w:trPr>
        <w:tc>
          <w:tcPr>
            <w:tcW w:w="1099" w:type="pct"/>
            <w:gridSpan w:val="2"/>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Age (Years)</w:t>
            </w:r>
          </w:p>
        </w:tc>
        <w:tc>
          <w:tcPr>
            <w:tcW w:w="1269" w:type="pct"/>
            <w:gridSpan w:val="2"/>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48.6 ± 10.3</w:t>
            </w:r>
          </w:p>
        </w:tc>
        <w:tc>
          <w:tcPr>
            <w:tcW w:w="201" w:type="pct"/>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234" w:type="pct"/>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45.5 ± 12.4</w:t>
            </w:r>
          </w:p>
        </w:tc>
        <w:tc>
          <w:tcPr>
            <w:tcW w:w="599"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1.5</w:t>
            </w:r>
          </w:p>
        </w:tc>
        <w:tc>
          <w:tcPr>
            <w:tcW w:w="599" w:type="pct"/>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0.13</w:t>
            </w:r>
          </w:p>
        </w:tc>
      </w:tr>
      <w:tr w:rsidR="00FA2DDB" w:rsidRPr="0039726C" w:rsidTr="00C62F17">
        <w:trPr>
          <w:jc w:val="center"/>
        </w:trPr>
        <w:tc>
          <w:tcPr>
            <w:tcW w:w="1733" w:type="pct"/>
            <w:gridSpan w:val="3"/>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2069" w:type="pct"/>
            <w:gridSpan w:val="3"/>
            <w:vMerge w:val="restar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1198" w:type="pct"/>
            <w:gridSpan w:val="2"/>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Chi-square test</w:t>
            </w:r>
          </w:p>
        </w:tc>
      </w:tr>
      <w:tr w:rsidR="00FA2DDB" w:rsidRPr="0039726C" w:rsidTr="00C62F17">
        <w:trPr>
          <w:jc w:val="center"/>
        </w:trPr>
        <w:tc>
          <w:tcPr>
            <w:tcW w:w="1733" w:type="pct"/>
            <w:gridSpan w:val="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2069" w:type="pct"/>
            <w:gridSpan w:val="3"/>
            <w:vMerge/>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599"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X2</w:t>
            </w:r>
          </w:p>
        </w:tc>
        <w:tc>
          <w:tcPr>
            <w:tcW w:w="599" w:type="pct"/>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P</w:t>
            </w:r>
          </w:p>
        </w:tc>
      </w:tr>
      <w:tr w:rsidR="00FA2DDB" w:rsidRPr="0039726C" w:rsidTr="00C62F17">
        <w:trPr>
          <w:jc w:val="center"/>
        </w:trPr>
        <w:tc>
          <w:tcPr>
            <w:tcW w:w="426" w:type="pct"/>
            <w:vMerge w:val="restar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Sex</w:t>
            </w:r>
          </w:p>
        </w:tc>
        <w:tc>
          <w:tcPr>
            <w:tcW w:w="673"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Male</w:t>
            </w:r>
          </w:p>
        </w:tc>
        <w:tc>
          <w:tcPr>
            <w:tcW w:w="1269" w:type="pct"/>
            <w:gridSpan w:val="2"/>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44 (44.0 %)</w:t>
            </w:r>
          </w:p>
        </w:tc>
        <w:tc>
          <w:tcPr>
            <w:tcW w:w="201"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234"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26 (52.0 %)</w:t>
            </w:r>
          </w:p>
        </w:tc>
        <w:tc>
          <w:tcPr>
            <w:tcW w:w="599" w:type="pct"/>
            <w:vMerge w:val="restar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0.86</w:t>
            </w:r>
          </w:p>
        </w:tc>
        <w:tc>
          <w:tcPr>
            <w:tcW w:w="599" w:type="pct"/>
            <w:vMerge w:val="restar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0.36</w:t>
            </w:r>
          </w:p>
        </w:tc>
      </w:tr>
      <w:tr w:rsidR="00FA2DDB" w:rsidRPr="0039726C" w:rsidTr="00C62F17">
        <w:trPr>
          <w:jc w:val="center"/>
        </w:trPr>
        <w:tc>
          <w:tcPr>
            <w:tcW w:w="426" w:type="pct"/>
            <w:vMerge/>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673"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Female</w:t>
            </w:r>
          </w:p>
        </w:tc>
        <w:tc>
          <w:tcPr>
            <w:tcW w:w="1269" w:type="pct"/>
            <w:gridSpan w:val="2"/>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56 (56.0 %)</w:t>
            </w:r>
          </w:p>
        </w:tc>
        <w:tc>
          <w:tcPr>
            <w:tcW w:w="201" w:type="pct"/>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1234"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24 (48.0 %)</w:t>
            </w:r>
          </w:p>
        </w:tc>
        <w:tc>
          <w:tcPr>
            <w:tcW w:w="599" w:type="pct"/>
            <w:vMerge/>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599" w:type="pct"/>
            <w:vMerge/>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r>
    </w:tbl>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sz w:val="20"/>
          <w:szCs w:val="20"/>
        </w:rPr>
      </w:pPr>
      <w:r w:rsidRPr="0039726C">
        <w:rPr>
          <w:rFonts w:ascii="Times New Roman" w:hAnsi="Times New Roman" w:cs="Times New Roman"/>
          <w:sz w:val="20"/>
          <w:szCs w:val="20"/>
        </w:rPr>
        <w:t>This table shows no statistically significant differences between patients and controls regarding the demographic data.</w:t>
      </w:r>
    </w:p>
    <w:p w:rsidR="00061D94" w:rsidRPr="0039726C" w:rsidRDefault="00061D94" w:rsidP="00AE7567">
      <w:pPr>
        <w:autoSpaceDE w:val="0"/>
        <w:autoSpaceDN w:val="0"/>
        <w:adjustRightInd w:val="0"/>
        <w:snapToGrid w:val="0"/>
        <w:spacing w:after="0" w:line="240" w:lineRule="auto"/>
        <w:jc w:val="center"/>
        <w:rPr>
          <w:rFonts w:ascii="Times New Roman" w:hAnsi="Times New Roman" w:cs="Times New Roman"/>
          <w:sz w:val="20"/>
          <w:szCs w:val="20"/>
        </w:rPr>
      </w:pPr>
    </w:p>
    <w:p w:rsidR="00FA2DDB" w:rsidRPr="0039726C" w:rsidRDefault="00FA2DDB" w:rsidP="00AE7567">
      <w:pPr>
        <w:autoSpaceDE w:val="0"/>
        <w:autoSpaceDN w:val="0"/>
        <w:adjustRightInd w:val="0"/>
        <w:snapToGrid w:val="0"/>
        <w:spacing w:after="0" w:line="240" w:lineRule="auto"/>
        <w:jc w:val="center"/>
        <w:rPr>
          <w:rFonts w:ascii="Times New Roman" w:hAnsi="Times New Roman" w:cs="Times New Roman"/>
          <w:sz w:val="20"/>
          <w:szCs w:val="20"/>
        </w:rPr>
      </w:pPr>
      <w:r w:rsidRPr="0039726C">
        <w:rPr>
          <w:rFonts w:ascii="Times New Roman" w:hAnsi="Times New Roman" w:cs="Times New Roman"/>
          <w:sz w:val="20"/>
          <w:szCs w:val="20"/>
        </w:rPr>
        <w:t xml:space="preserve">Table (2) Comparison between patients and controls regarding </w:t>
      </w:r>
      <w:proofErr w:type="spellStart"/>
      <w:r w:rsidRPr="0039726C">
        <w:rPr>
          <w:rFonts w:ascii="Times New Roman" w:hAnsi="Times New Roman" w:cs="Times New Roman"/>
          <w:sz w:val="20"/>
          <w:szCs w:val="20"/>
        </w:rPr>
        <w:t>echocardiographic</w:t>
      </w:r>
      <w:proofErr w:type="spellEnd"/>
      <w:r w:rsidRPr="0039726C">
        <w:rPr>
          <w:rFonts w:ascii="Times New Roman" w:hAnsi="Times New Roman" w:cs="Times New Roman"/>
          <w:sz w:val="20"/>
          <w:szCs w:val="20"/>
        </w:rPr>
        <w:t xml:space="preserve">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2781"/>
        <w:gridCol w:w="2705"/>
        <w:gridCol w:w="1130"/>
        <w:gridCol w:w="1354"/>
      </w:tblGrid>
      <w:tr w:rsidR="00FA2DDB" w:rsidRPr="0039726C" w:rsidTr="00C62F17">
        <w:trPr>
          <w:jc w:val="center"/>
        </w:trPr>
        <w:tc>
          <w:tcPr>
            <w:tcW w:w="839" w:type="pct"/>
            <w:vMerge w:val="restart"/>
            <w:shd w:val="clear" w:color="auto" w:fill="4472C4"/>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1451" w:type="pct"/>
            <w:vMerge w:val="restart"/>
            <w:shd w:val="clear" w:color="auto" w:fill="4472C4"/>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Patients (n=100)</w:t>
            </w:r>
          </w:p>
        </w:tc>
        <w:tc>
          <w:tcPr>
            <w:tcW w:w="1412" w:type="pct"/>
            <w:vMerge w:val="restart"/>
            <w:shd w:val="clear" w:color="auto" w:fill="4472C4"/>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Controls (n=50)</w:t>
            </w:r>
          </w:p>
        </w:tc>
        <w:tc>
          <w:tcPr>
            <w:tcW w:w="1297" w:type="pct"/>
            <w:gridSpan w:val="2"/>
            <w:shd w:val="clear" w:color="auto" w:fill="4472C4"/>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Student t test</w:t>
            </w:r>
          </w:p>
        </w:tc>
      </w:tr>
      <w:tr w:rsidR="00FA2DDB" w:rsidRPr="0039726C" w:rsidTr="00C62F17">
        <w:trPr>
          <w:jc w:val="center"/>
        </w:trPr>
        <w:tc>
          <w:tcPr>
            <w:tcW w:w="839" w:type="pct"/>
            <w:vMerge/>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1451" w:type="pct"/>
            <w:vMerge/>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1412" w:type="pct"/>
            <w:vMerge/>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590"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t</w:t>
            </w:r>
          </w:p>
        </w:tc>
        <w:tc>
          <w:tcPr>
            <w:tcW w:w="707"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p</w:t>
            </w:r>
          </w:p>
        </w:tc>
      </w:tr>
      <w:tr w:rsidR="00FA2DDB" w:rsidRPr="0039726C" w:rsidTr="00C62F17">
        <w:trPr>
          <w:jc w:val="center"/>
        </w:trPr>
        <w:tc>
          <w:tcPr>
            <w:tcW w:w="839" w:type="pct"/>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LVEDD</w:t>
            </w:r>
          </w:p>
        </w:tc>
        <w:tc>
          <w:tcPr>
            <w:tcW w:w="1451"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4.9 ± 0.3</w:t>
            </w:r>
          </w:p>
        </w:tc>
        <w:tc>
          <w:tcPr>
            <w:tcW w:w="1412" w:type="pct"/>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4.7 ± 0.3</w:t>
            </w:r>
          </w:p>
        </w:tc>
        <w:tc>
          <w:tcPr>
            <w:tcW w:w="590"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2.5</w:t>
            </w:r>
          </w:p>
        </w:tc>
        <w:tc>
          <w:tcPr>
            <w:tcW w:w="707" w:type="pct"/>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0.14</w:t>
            </w:r>
          </w:p>
        </w:tc>
      </w:tr>
      <w:tr w:rsidR="00FA2DDB" w:rsidRPr="0039726C" w:rsidTr="00C62F17">
        <w:trPr>
          <w:jc w:val="center"/>
        </w:trPr>
        <w:tc>
          <w:tcPr>
            <w:tcW w:w="839"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bookmarkStart w:id="0" w:name="OLE_LINK9"/>
            <w:bookmarkStart w:id="1" w:name="OLE_LINK10"/>
            <w:r w:rsidRPr="0039726C">
              <w:rPr>
                <w:rFonts w:ascii="Times New Roman" w:hAnsi="Times New Roman" w:cs="Times New Roman"/>
                <w:b/>
                <w:bCs/>
                <w:color w:val="000000"/>
                <w:sz w:val="20"/>
                <w:szCs w:val="20"/>
              </w:rPr>
              <w:t>LVEDS</w:t>
            </w:r>
            <w:bookmarkEnd w:id="0"/>
            <w:bookmarkEnd w:id="1"/>
          </w:p>
        </w:tc>
        <w:tc>
          <w:tcPr>
            <w:tcW w:w="1451"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3.5 ± 0.2</w:t>
            </w:r>
          </w:p>
        </w:tc>
        <w:tc>
          <w:tcPr>
            <w:tcW w:w="1412"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3.2 ± 0.4</w:t>
            </w:r>
          </w:p>
        </w:tc>
        <w:tc>
          <w:tcPr>
            <w:tcW w:w="590"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-1.72</w:t>
            </w:r>
          </w:p>
        </w:tc>
        <w:tc>
          <w:tcPr>
            <w:tcW w:w="707"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0.044*</w:t>
            </w:r>
          </w:p>
        </w:tc>
      </w:tr>
      <w:tr w:rsidR="00FA2DDB" w:rsidRPr="0039726C" w:rsidTr="00C62F17">
        <w:trPr>
          <w:jc w:val="center"/>
        </w:trPr>
        <w:tc>
          <w:tcPr>
            <w:tcW w:w="839" w:type="pct"/>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FS</w:t>
            </w:r>
          </w:p>
        </w:tc>
        <w:tc>
          <w:tcPr>
            <w:tcW w:w="1451"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34.7 ± 1.6</w:t>
            </w:r>
          </w:p>
        </w:tc>
        <w:tc>
          <w:tcPr>
            <w:tcW w:w="1412" w:type="pct"/>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35.6 ± 3.2</w:t>
            </w:r>
          </w:p>
        </w:tc>
        <w:tc>
          <w:tcPr>
            <w:tcW w:w="590"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-1.7</w:t>
            </w:r>
          </w:p>
        </w:tc>
        <w:tc>
          <w:tcPr>
            <w:tcW w:w="707" w:type="pct"/>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0.09</w:t>
            </w:r>
          </w:p>
        </w:tc>
      </w:tr>
      <w:tr w:rsidR="00FA2DDB" w:rsidRPr="0039726C" w:rsidTr="00C62F17">
        <w:trPr>
          <w:jc w:val="center"/>
        </w:trPr>
        <w:tc>
          <w:tcPr>
            <w:tcW w:w="839" w:type="pct"/>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EF</w:t>
            </w:r>
          </w:p>
        </w:tc>
        <w:tc>
          <w:tcPr>
            <w:tcW w:w="1451"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65.2 ± 2.0</w:t>
            </w:r>
          </w:p>
        </w:tc>
        <w:tc>
          <w:tcPr>
            <w:tcW w:w="1412" w:type="pct"/>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66.1 ± 3.4</w:t>
            </w:r>
          </w:p>
        </w:tc>
        <w:tc>
          <w:tcPr>
            <w:tcW w:w="590" w:type="pct"/>
            <w:shd w:val="clear" w:color="auto" w:fill="D9E2F3"/>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-1.6</w:t>
            </w:r>
          </w:p>
        </w:tc>
        <w:tc>
          <w:tcPr>
            <w:tcW w:w="707" w:type="pct"/>
            <w:shd w:val="clear" w:color="auto" w:fill="auto"/>
            <w:vAlign w:val="center"/>
          </w:tcPr>
          <w:p w:rsidR="00FA2DDB" w:rsidRPr="0039726C" w:rsidRDefault="00FA2D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0.1</w:t>
            </w:r>
          </w:p>
        </w:tc>
      </w:tr>
    </w:tbl>
    <w:p w:rsidR="001F3ADB" w:rsidRPr="0039726C" w:rsidRDefault="00FA2DDB" w:rsidP="00AE7567">
      <w:pPr>
        <w:autoSpaceDE w:val="0"/>
        <w:autoSpaceDN w:val="0"/>
        <w:adjustRightInd w:val="0"/>
        <w:snapToGrid w:val="0"/>
        <w:spacing w:after="0" w:line="240" w:lineRule="auto"/>
        <w:jc w:val="both"/>
        <w:rPr>
          <w:rFonts w:ascii="Times New Roman" w:hAnsi="Times New Roman" w:cs="Times New Roman"/>
          <w:sz w:val="20"/>
          <w:szCs w:val="20"/>
        </w:rPr>
      </w:pPr>
      <w:r w:rsidRPr="0039726C">
        <w:rPr>
          <w:rFonts w:ascii="Times New Roman" w:hAnsi="Times New Roman" w:cs="Times New Roman"/>
          <w:sz w:val="20"/>
          <w:szCs w:val="20"/>
        </w:rPr>
        <w:t>This table shows that patients had significantly higher LVEDS when compared with controls.</w:t>
      </w:r>
    </w:p>
    <w:p w:rsidR="00061D94" w:rsidRPr="0039726C" w:rsidRDefault="00061D94" w:rsidP="00AE7567">
      <w:pPr>
        <w:autoSpaceDE w:val="0"/>
        <w:autoSpaceDN w:val="0"/>
        <w:adjustRightInd w:val="0"/>
        <w:snapToGrid w:val="0"/>
        <w:spacing w:after="0" w:line="240" w:lineRule="auto"/>
        <w:jc w:val="center"/>
        <w:rPr>
          <w:rFonts w:ascii="Times New Roman" w:hAnsi="Times New Roman" w:cs="Times New Roman"/>
          <w:sz w:val="20"/>
          <w:szCs w:val="20"/>
        </w:rPr>
      </w:pPr>
    </w:p>
    <w:p w:rsidR="001F3ADB" w:rsidRPr="0039726C" w:rsidRDefault="001F3ADB" w:rsidP="00AE7567">
      <w:pPr>
        <w:autoSpaceDE w:val="0"/>
        <w:autoSpaceDN w:val="0"/>
        <w:adjustRightInd w:val="0"/>
        <w:snapToGrid w:val="0"/>
        <w:spacing w:after="0" w:line="240" w:lineRule="auto"/>
        <w:jc w:val="center"/>
        <w:rPr>
          <w:rFonts w:ascii="Times New Roman" w:hAnsi="Times New Roman" w:cs="Times New Roman"/>
          <w:sz w:val="20"/>
          <w:szCs w:val="20"/>
        </w:rPr>
      </w:pPr>
      <w:r w:rsidRPr="0039726C">
        <w:rPr>
          <w:rFonts w:ascii="Times New Roman" w:hAnsi="Times New Roman" w:cs="Times New Roman"/>
          <w:sz w:val="20"/>
          <w:szCs w:val="20"/>
        </w:rPr>
        <w:t>Table (3) Comparison between TDI parameters in patients and controls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5"/>
        <w:gridCol w:w="2829"/>
        <w:gridCol w:w="2753"/>
        <w:gridCol w:w="1151"/>
        <w:gridCol w:w="1550"/>
      </w:tblGrid>
      <w:tr w:rsidR="001F3ADB" w:rsidRPr="0039726C" w:rsidTr="00C62F17">
        <w:trPr>
          <w:jc w:val="center"/>
        </w:trPr>
        <w:tc>
          <w:tcPr>
            <w:tcW w:w="676" w:type="pct"/>
            <w:vMerge w:val="restart"/>
            <w:shd w:val="clear" w:color="auto" w:fill="4472C4"/>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1477" w:type="pct"/>
            <w:vMerge w:val="restart"/>
            <w:shd w:val="clear" w:color="auto" w:fill="4472C4"/>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Patients (n=100)</w:t>
            </w:r>
          </w:p>
        </w:tc>
        <w:tc>
          <w:tcPr>
            <w:tcW w:w="1437" w:type="pct"/>
            <w:vMerge w:val="restart"/>
            <w:shd w:val="clear" w:color="auto" w:fill="4472C4"/>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Controls (n=50)</w:t>
            </w:r>
          </w:p>
        </w:tc>
        <w:tc>
          <w:tcPr>
            <w:tcW w:w="1410" w:type="pct"/>
            <w:gridSpan w:val="2"/>
            <w:shd w:val="clear" w:color="auto" w:fill="4472C4"/>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Student t test</w:t>
            </w:r>
          </w:p>
        </w:tc>
      </w:tr>
      <w:tr w:rsidR="001F3ADB" w:rsidRPr="0039726C" w:rsidTr="00C62F17">
        <w:trPr>
          <w:jc w:val="center"/>
        </w:trPr>
        <w:tc>
          <w:tcPr>
            <w:tcW w:w="676" w:type="pct"/>
            <w:vMerge/>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1477" w:type="pct"/>
            <w:vMerge/>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1437" w:type="pct"/>
            <w:vMerge/>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601"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t</w:t>
            </w:r>
          </w:p>
        </w:tc>
        <w:tc>
          <w:tcPr>
            <w:tcW w:w="809"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p</w:t>
            </w:r>
          </w:p>
        </w:tc>
      </w:tr>
      <w:tr w:rsidR="001F3ADB" w:rsidRPr="0039726C" w:rsidTr="00C62F17">
        <w:trPr>
          <w:jc w:val="center"/>
        </w:trPr>
        <w:tc>
          <w:tcPr>
            <w:tcW w:w="676"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E</w:t>
            </w:r>
          </w:p>
        </w:tc>
        <w:tc>
          <w:tcPr>
            <w:tcW w:w="1477"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71.1 ± 6.3</w:t>
            </w:r>
          </w:p>
        </w:tc>
        <w:tc>
          <w:tcPr>
            <w:tcW w:w="1437"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72.5 ± 3.9</w:t>
            </w:r>
          </w:p>
        </w:tc>
        <w:tc>
          <w:tcPr>
            <w:tcW w:w="601"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-1.55</w:t>
            </w:r>
          </w:p>
        </w:tc>
        <w:tc>
          <w:tcPr>
            <w:tcW w:w="809"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0.12</w:t>
            </w:r>
          </w:p>
        </w:tc>
      </w:tr>
      <w:tr w:rsidR="001F3ADB" w:rsidRPr="0039726C" w:rsidTr="00C62F17">
        <w:trPr>
          <w:jc w:val="center"/>
        </w:trPr>
        <w:tc>
          <w:tcPr>
            <w:tcW w:w="676"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bookmarkStart w:id="2" w:name="_Hlk442108513"/>
            <w:r w:rsidRPr="0039726C">
              <w:rPr>
                <w:rFonts w:ascii="Times New Roman" w:hAnsi="Times New Roman" w:cs="Times New Roman"/>
                <w:b/>
                <w:bCs/>
                <w:color w:val="000000"/>
                <w:sz w:val="20"/>
                <w:szCs w:val="20"/>
              </w:rPr>
              <w:t>A</w:t>
            </w:r>
          </w:p>
        </w:tc>
        <w:tc>
          <w:tcPr>
            <w:tcW w:w="1477"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74.5 ± 7.5</w:t>
            </w:r>
          </w:p>
        </w:tc>
        <w:tc>
          <w:tcPr>
            <w:tcW w:w="1437"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58.5 ± 4.6</w:t>
            </w:r>
          </w:p>
        </w:tc>
        <w:tc>
          <w:tcPr>
            <w:tcW w:w="601"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15.9</w:t>
            </w:r>
          </w:p>
        </w:tc>
        <w:tc>
          <w:tcPr>
            <w:tcW w:w="809"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0.0001*</w:t>
            </w:r>
          </w:p>
        </w:tc>
      </w:tr>
      <w:tr w:rsidR="001F3ADB" w:rsidRPr="0039726C" w:rsidTr="00C62F17">
        <w:trPr>
          <w:jc w:val="center"/>
        </w:trPr>
        <w:tc>
          <w:tcPr>
            <w:tcW w:w="676"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bookmarkStart w:id="3" w:name="_Hlk442108571"/>
            <w:bookmarkEnd w:id="2"/>
            <w:r w:rsidRPr="0039726C">
              <w:rPr>
                <w:rFonts w:ascii="Times New Roman" w:hAnsi="Times New Roman" w:cs="Times New Roman"/>
                <w:b/>
                <w:bCs/>
                <w:color w:val="000000"/>
                <w:sz w:val="20"/>
                <w:szCs w:val="20"/>
              </w:rPr>
              <w:t>E/A</w:t>
            </w:r>
          </w:p>
        </w:tc>
        <w:tc>
          <w:tcPr>
            <w:tcW w:w="1477"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0.97 ± 0.14</w:t>
            </w:r>
          </w:p>
        </w:tc>
        <w:tc>
          <w:tcPr>
            <w:tcW w:w="1437"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1.2 ± 0.09</w:t>
            </w:r>
          </w:p>
        </w:tc>
        <w:tc>
          <w:tcPr>
            <w:tcW w:w="601"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-13.9</w:t>
            </w:r>
          </w:p>
        </w:tc>
        <w:tc>
          <w:tcPr>
            <w:tcW w:w="809"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0.0001*</w:t>
            </w:r>
          </w:p>
        </w:tc>
      </w:tr>
      <w:bookmarkEnd w:id="3"/>
      <w:tr w:rsidR="001F3ADB" w:rsidRPr="0039726C" w:rsidTr="00C62F17">
        <w:trPr>
          <w:jc w:val="center"/>
        </w:trPr>
        <w:tc>
          <w:tcPr>
            <w:tcW w:w="676"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Ea</w:t>
            </w:r>
          </w:p>
        </w:tc>
        <w:tc>
          <w:tcPr>
            <w:tcW w:w="1477"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10.2 ± 1.5</w:t>
            </w:r>
          </w:p>
        </w:tc>
        <w:tc>
          <w:tcPr>
            <w:tcW w:w="1437"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13.3 ± 1.0</w:t>
            </w:r>
          </w:p>
        </w:tc>
        <w:tc>
          <w:tcPr>
            <w:tcW w:w="601"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-14.7</w:t>
            </w:r>
          </w:p>
        </w:tc>
        <w:tc>
          <w:tcPr>
            <w:tcW w:w="809"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0.0001*</w:t>
            </w:r>
          </w:p>
        </w:tc>
      </w:tr>
      <w:tr w:rsidR="001F3ADB" w:rsidRPr="0039726C" w:rsidTr="00C62F17">
        <w:trPr>
          <w:jc w:val="center"/>
        </w:trPr>
        <w:tc>
          <w:tcPr>
            <w:tcW w:w="676"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E/Ea</w:t>
            </w:r>
          </w:p>
        </w:tc>
        <w:tc>
          <w:tcPr>
            <w:tcW w:w="1477"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7.1 ± 1.0</w:t>
            </w:r>
          </w:p>
        </w:tc>
        <w:tc>
          <w:tcPr>
            <w:tcW w:w="1437"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5.4 ± 0.5</w:t>
            </w:r>
          </w:p>
        </w:tc>
        <w:tc>
          <w:tcPr>
            <w:tcW w:w="601"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12.4</w:t>
            </w:r>
          </w:p>
        </w:tc>
        <w:tc>
          <w:tcPr>
            <w:tcW w:w="809"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0.0001*</w:t>
            </w:r>
          </w:p>
        </w:tc>
      </w:tr>
      <w:tr w:rsidR="001F3ADB" w:rsidRPr="0039726C" w:rsidTr="00C62F17">
        <w:trPr>
          <w:jc w:val="center"/>
        </w:trPr>
        <w:tc>
          <w:tcPr>
            <w:tcW w:w="676"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bookmarkStart w:id="4" w:name="_Hlk442108665"/>
            <w:r w:rsidRPr="0039726C">
              <w:rPr>
                <w:rFonts w:ascii="Times New Roman" w:hAnsi="Times New Roman" w:cs="Times New Roman"/>
                <w:b/>
                <w:bCs/>
                <w:color w:val="000000"/>
                <w:sz w:val="20"/>
                <w:szCs w:val="20"/>
              </w:rPr>
              <w:t>IVRT</w:t>
            </w:r>
          </w:p>
        </w:tc>
        <w:tc>
          <w:tcPr>
            <w:tcW w:w="1477"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94.1 ± 8.4</w:t>
            </w:r>
          </w:p>
        </w:tc>
        <w:tc>
          <w:tcPr>
            <w:tcW w:w="1437"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78.1 ± 7.8</w:t>
            </w:r>
          </w:p>
        </w:tc>
        <w:tc>
          <w:tcPr>
            <w:tcW w:w="601"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11.2</w:t>
            </w:r>
          </w:p>
        </w:tc>
        <w:tc>
          <w:tcPr>
            <w:tcW w:w="809"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0.0001*</w:t>
            </w:r>
          </w:p>
        </w:tc>
      </w:tr>
      <w:tr w:rsidR="001F3ADB" w:rsidRPr="0039726C" w:rsidTr="00C62F17">
        <w:trPr>
          <w:jc w:val="center"/>
        </w:trPr>
        <w:tc>
          <w:tcPr>
            <w:tcW w:w="676"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IVCT</w:t>
            </w:r>
          </w:p>
        </w:tc>
        <w:tc>
          <w:tcPr>
            <w:tcW w:w="1477"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62.0 ± 4.8</w:t>
            </w:r>
          </w:p>
        </w:tc>
        <w:tc>
          <w:tcPr>
            <w:tcW w:w="1437"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57.4 ± 5.9</w:t>
            </w:r>
          </w:p>
        </w:tc>
        <w:tc>
          <w:tcPr>
            <w:tcW w:w="601"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5.03</w:t>
            </w:r>
          </w:p>
        </w:tc>
        <w:tc>
          <w:tcPr>
            <w:tcW w:w="809"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0.0001*</w:t>
            </w:r>
          </w:p>
        </w:tc>
      </w:tr>
      <w:bookmarkEnd w:id="4"/>
      <w:tr w:rsidR="001F3ADB" w:rsidRPr="0039726C" w:rsidTr="00C62F17">
        <w:trPr>
          <w:jc w:val="center"/>
        </w:trPr>
        <w:tc>
          <w:tcPr>
            <w:tcW w:w="676"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ET</w:t>
            </w:r>
          </w:p>
        </w:tc>
        <w:tc>
          <w:tcPr>
            <w:tcW w:w="1477"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264.8 ± 16.5</w:t>
            </w:r>
          </w:p>
        </w:tc>
        <w:tc>
          <w:tcPr>
            <w:tcW w:w="1437"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305.1 ± 43.4</w:t>
            </w:r>
          </w:p>
        </w:tc>
        <w:tc>
          <w:tcPr>
            <w:tcW w:w="601"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-6.33</w:t>
            </w:r>
          </w:p>
        </w:tc>
        <w:tc>
          <w:tcPr>
            <w:tcW w:w="809"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0.0001*</w:t>
            </w:r>
          </w:p>
        </w:tc>
      </w:tr>
    </w:tbl>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sz w:val="20"/>
          <w:szCs w:val="20"/>
        </w:rPr>
      </w:pPr>
      <w:r w:rsidRPr="0039726C">
        <w:rPr>
          <w:rFonts w:ascii="Times New Roman" w:hAnsi="Times New Roman" w:cs="Times New Roman"/>
          <w:sz w:val="20"/>
          <w:szCs w:val="20"/>
        </w:rPr>
        <w:t>This table shows statistically significant differences between patients and controls regarding TDI parameters.</w:t>
      </w:r>
    </w:p>
    <w:p w:rsidR="00AE7567" w:rsidRPr="0039726C" w:rsidRDefault="00AE7567" w:rsidP="00AE7567">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1F3ADB" w:rsidRPr="0039726C" w:rsidRDefault="001F3ADB" w:rsidP="00AE7567">
      <w:pPr>
        <w:autoSpaceDE w:val="0"/>
        <w:autoSpaceDN w:val="0"/>
        <w:adjustRightInd w:val="0"/>
        <w:snapToGrid w:val="0"/>
        <w:spacing w:after="0" w:line="240" w:lineRule="auto"/>
        <w:jc w:val="center"/>
        <w:rPr>
          <w:rFonts w:ascii="Times New Roman" w:hAnsi="Times New Roman" w:cs="Times New Roman"/>
          <w:sz w:val="20"/>
          <w:szCs w:val="20"/>
        </w:rPr>
      </w:pPr>
      <w:r w:rsidRPr="0039726C">
        <w:rPr>
          <w:rFonts w:ascii="Times New Roman" w:hAnsi="Times New Roman" w:cs="Times New Roman"/>
          <w:sz w:val="20"/>
          <w:szCs w:val="20"/>
        </w:rPr>
        <w:t>Table (4</w:t>
      </w:r>
      <w:r w:rsidR="00AA3681" w:rsidRPr="0039726C">
        <w:rPr>
          <w:rFonts w:ascii="Times New Roman" w:hAnsi="Times New Roman" w:cs="Times New Roman"/>
          <w:sz w:val="20"/>
          <w:szCs w:val="20"/>
        </w:rPr>
        <w:t>):</w:t>
      </w:r>
      <w:r w:rsidR="00AE7567" w:rsidRPr="0039726C">
        <w:rPr>
          <w:rFonts w:ascii="Times New Roman" w:hAnsi="Times New Roman" w:cs="Times New Roman"/>
          <w:sz w:val="20"/>
          <w:szCs w:val="20"/>
        </w:rPr>
        <w:t xml:space="preserve"> </w:t>
      </w:r>
      <w:r w:rsidRPr="0039726C">
        <w:rPr>
          <w:rFonts w:ascii="Times New Roman" w:hAnsi="Times New Roman" w:cs="Times New Roman"/>
          <w:sz w:val="20"/>
          <w:szCs w:val="20"/>
        </w:rPr>
        <w:t>Comparison between patients and controls regarding SI and IMP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1"/>
        <w:gridCol w:w="2962"/>
        <w:gridCol w:w="2879"/>
        <w:gridCol w:w="1038"/>
        <w:gridCol w:w="1588"/>
      </w:tblGrid>
      <w:tr w:rsidR="001F3ADB" w:rsidRPr="0039726C" w:rsidTr="00C62F17">
        <w:trPr>
          <w:jc w:val="center"/>
        </w:trPr>
        <w:tc>
          <w:tcPr>
            <w:tcW w:w="580" w:type="pct"/>
            <w:vMerge w:val="restart"/>
            <w:shd w:val="clear" w:color="auto" w:fill="4472C4"/>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bookmarkStart w:id="5" w:name="_Hlk442108837"/>
          </w:p>
        </w:tc>
        <w:tc>
          <w:tcPr>
            <w:tcW w:w="1546" w:type="pct"/>
            <w:vMerge w:val="restart"/>
            <w:shd w:val="clear" w:color="auto" w:fill="4472C4"/>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Patients (n=100)</w:t>
            </w:r>
          </w:p>
        </w:tc>
        <w:tc>
          <w:tcPr>
            <w:tcW w:w="1503" w:type="pct"/>
            <w:vMerge w:val="restart"/>
            <w:shd w:val="clear" w:color="auto" w:fill="4472C4"/>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Controls (n=50)</w:t>
            </w:r>
          </w:p>
        </w:tc>
        <w:tc>
          <w:tcPr>
            <w:tcW w:w="1372" w:type="pct"/>
            <w:gridSpan w:val="2"/>
            <w:shd w:val="clear" w:color="auto" w:fill="4472C4"/>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Student t test</w:t>
            </w:r>
          </w:p>
        </w:tc>
      </w:tr>
      <w:tr w:rsidR="001F3ADB" w:rsidRPr="0039726C" w:rsidTr="00C62F17">
        <w:trPr>
          <w:jc w:val="center"/>
        </w:trPr>
        <w:tc>
          <w:tcPr>
            <w:tcW w:w="580" w:type="pct"/>
            <w:vMerge/>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1546" w:type="pct"/>
            <w:vMerge/>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1503" w:type="pct"/>
            <w:vMerge/>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542"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t</w:t>
            </w:r>
          </w:p>
        </w:tc>
        <w:tc>
          <w:tcPr>
            <w:tcW w:w="830"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p</w:t>
            </w:r>
          </w:p>
        </w:tc>
      </w:tr>
      <w:tr w:rsidR="001F3ADB" w:rsidRPr="0039726C" w:rsidTr="00C62F17">
        <w:trPr>
          <w:jc w:val="center"/>
        </w:trPr>
        <w:tc>
          <w:tcPr>
            <w:tcW w:w="580"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bookmarkStart w:id="6" w:name="_Hlk442108813"/>
            <w:bookmarkStart w:id="7" w:name="_Hlk442108795"/>
            <w:r w:rsidRPr="0039726C">
              <w:rPr>
                <w:rFonts w:ascii="Times New Roman" w:hAnsi="Times New Roman" w:cs="Times New Roman"/>
                <w:b/>
                <w:bCs/>
                <w:color w:val="000000"/>
                <w:sz w:val="20"/>
                <w:szCs w:val="20"/>
              </w:rPr>
              <w:t>SI</w:t>
            </w:r>
          </w:p>
        </w:tc>
        <w:tc>
          <w:tcPr>
            <w:tcW w:w="1546"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1.45 ± 0.23</w:t>
            </w:r>
          </w:p>
        </w:tc>
        <w:tc>
          <w:tcPr>
            <w:tcW w:w="1503"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1.15 ± 0.14</w:t>
            </w:r>
          </w:p>
        </w:tc>
        <w:tc>
          <w:tcPr>
            <w:tcW w:w="542"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10.1</w:t>
            </w:r>
          </w:p>
        </w:tc>
        <w:tc>
          <w:tcPr>
            <w:tcW w:w="830"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0.0001*</w:t>
            </w:r>
          </w:p>
        </w:tc>
      </w:tr>
      <w:tr w:rsidR="001F3ADB" w:rsidRPr="0039726C" w:rsidTr="00C62F17">
        <w:trPr>
          <w:jc w:val="center"/>
        </w:trPr>
        <w:tc>
          <w:tcPr>
            <w:tcW w:w="580"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bookmarkStart w:id="8" w:name="_Hlk442108960"/>
            <w:bookmarkEnd w:id="5"/>
            <w:bookmarkEnd w:id="6"/>
            <w:r w:rsidRPr="0039726C">
              <w:rPr>
                <w:rFonts w:ascii="Times New Roman" w:hAnsi="Times New Roman" w:cs="Times New Roman"/>
                <w:b/>
                <w:bCs/>
                <w:color w:val="000000"/>
                <w:sz w:val="20"/>
                <w:szCs w:val="20"/>
              </w:rPr>
              <w:t>IMP</w:t>
            </w:r>
          </w:p>
        </w:tc>
        <w:tc>
          <w:tcPr>
            <w:tcW w:w="1546"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0.59 ± 0.07</w:t>
            </w:r>
          </w:p>
        </w:tc>
        <w:tc>
          <w:tcPr>
            <w:tcW w:w="1503"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0.44 ± 0.04</w:t>
            </w:r>
          </w:p>
        </w:tc>
        <w:tc>
          <w:tcPr>
            <w:tcW w:w="542" w:type="pct"/>
            <w:shd w:val="clear" w:color="auto" w:fill="D9E2F3"/>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15.4</w:t>
            </w:r>
          </w:p>
        </w:tc>
        <w:tc>
          <w:tcPr>
            <w:tcW w:w="830" w:type="pct"/>
            <w:shd w:val="clear" w:color="auto" w:fill="auto"/>
            <w:vAlign w:val="center"/>
          </w:tcPr>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0.0001*</w:t>
            </w:r>
          </w:p>
        </w:tc>
      </w:tr>
    </w:tbl>
    <w:bookmarkEnd w:id="7"/>
    <w:bookmarkEnd w:id="8"/>
    <w:p w:rsidR="001F3ADB" w:rsidRPr="0039726C" w:rsidRDefault="001F3ADB" w:rsidP="00AE7567">
      <w:pPr>
        <w:autoSpaceDE w:val="0"/>
        <w:autoSpaceDN w:val="0"/>
        <w:adjustRightInd w:val="0"/>
        <w:snapToGrid w:val="0"/>
        <w:spacing w:after="0" w:line="240" w:lineRule="auto"/>
        <w:jc w:val="both"/>
        <w:rPr>
          <w:rFonts w:ascii="Times New Roman" w:hAnsi="Times New Roman" w:cs="Times New Roman"/>
          <w:sz w:val="20"/>
          <w:szCs w:val="20"/>
        </w:rPr>
      </w:pPr>
      <w:r w:rsidRPr="0039726C">
        <w:rPr>
          <w:rFonts w:ascii="Times New Roman" w:hAnsi="Times New Roman" w:cs="Times New Roman"/>
          <w:sz w:val="20"/>
          <w:szCs w:val="20"/>
        </w:rPr>
        <w:t>This table shows that patients had significantly higher SI and IMP when compared with controls.</w:t>
      </w:r>
    </w:p>
    <w:p w:rsidR="00061D94" w:rsidRPr="0039726C" w:rsidRDefault="00061D94" w:rsidP="00AE756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AE7567" w:rsidRPr="0039726C" w:rsidRDefault="00AE7567" w:rsidP="00AE756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F3ADB" w:rsidRPr="0039726C" w:rsidRDefault="00AE7567" w:rsidP="00AE7567">
      <w:pPr>
        <w:autoSpaceDE w:val="0"/>
        <w:autoSpaceDN w:val="0"/>
        <w:adjustRightInd w:val="0"/>
        <w:snapToGrid w:val="0"/>
        <w:spacing w:after="0" w:line="240" w:lineRule="auto"/>
        <w:jc w:val="center"/>
        <w:rPr>
          <w:rFonts w:ascii="Times New Roman" w:hAnsi="Times New Roman" w:cs="Times New Roman"/>
          <w:sz w:val="20"/>
          <w:szCs w:val="20"/>
        </w:rPr>
      </w:pPr>
      <w:r w:rsidRPr="0039726C">
        <w:rPr>
          <w:rFonts w:ascii="Times New Roman" w:hAnsi="Times New Roman" w:cs="Times New Roman"/>
          <w:noProof/>
          <w:sz w:val="20"/>
          <w:szCs w:val="20"/>
          <w:lang w:eastAsia="zh-CN"/>
        </w:rPr>
        <w:drawing>
          <wp:inline distT="0" distB="0" distL="0" distR="0">
            <wp:extent cx="4182110" cy="2099310"/>
            <wp:effectExtent l="0" t="0" r="0" b="0"/>
            <wp:docPr id="706" name="对象 70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F3ADB" w:rsidRPr="0039726C" w:rsidRDefault="001F3ADB" w:rsidP="00AE7567">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39726C">
        <w:rPr>
          <w:rFonts w:ascii="Times New Roman" w:hAnsi="Times New Roman" w:cs="Times New Roman"/>
          <w:sz w:val="20"/>
          <w:szCs w:val="20"/>
        </w:rPr>
        <w:t>Fig.</w:t>
      </w:r>
      <w:proofErr w:type="gramEnd"/>
      <w:r w:rsidRPr="0039726C">
        <w:rPr>
          <w:rFonts w:ascii="Times New Roman" w:hAnsi="Times New Roman" w:cs="Times New Roman"/>
          <w:sz w:val="20"/>
          <w:szCs w:val="20"/>
        </w:rPr>
        <w:t xml:space="preserve"> (1) SI in the studied groups</w:t>
      </w:r>
      <w:r w:rsidRPr="0039726C">
        <w:rPr>
          <w:rFonts w:ascii="Times New Roman" w:hAnsi="Times New Roman" w:cs="Times New Roman"/>
          <w:b/>
          <w:bCs/>
          <w:sz w:val="20"/>
          <w:szCs w:val="20"/>
        </w:rPr>
        <w:t xml:space="preserve"> (P value &lt; 0.0001</w:t>
      </w:r>
      <w:r w:rsidRPr="0039726C">
        <w:rPr>
          <w:rFonts w:ascii="Times New Roman" w:hAnsi="Times New Roman" w:cs="Times New Roman"/>
          <w:sz w:val="20"/>
          <w:szCs w:val="20"/>
        </w:rPr>
        <w:t>)</w:t>
      </w:r>
    </w:p>
    <w:p w:rsidR="001F3ADB" w:rsidRPr="0039726C" w:rsidRDefault="001F3ADB" w:rsidP="00AE756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AE7567" w:rsidRPr="0039726C" w:rsidRDefault="00AE7567" w:rsidP="00AE756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F3ADB" w:rsidRPr="0039726C" w:rsidRDefault="00AE7567" w:rsidP="00AE7567">
      <w:pPr>
        <w:autoSpaceDE w:val="0"/>
        <w:autoSpaceDN w:val="0"/>
        <w:adjustRightInd w:val="0"/>
        <w:snapToGrid w:val="0"/>
        <w:spacing w:after="0" w:line="240" w:lineRule="auto"/>
        <w:jc w:val="center"/>
        <w:rPr>
          <w:rFonts w:ascii="Times New Roman" w:hAnsi="Times New Roman" w:cs="Times New Roman"/>
          <w:sz w:val="20"/>
          <w:szCs w:val="20"/>
        </w:rPr>
      </w:pPr>
      <w:r w:rsidRPr="0039726C">
        <w:rPr>
          <w:rFonts w:ascii="Times New Roman" w:hAnsi="Times New Roman" w:cs="Times New Roman"/>
          <w:noProof/>
          <w:sz w:val="20"/>
          <w:szCs w:val="20"/>
          <w:lang w:eastAsia="zh-CN"/>
        </w:rPr>
        <w:drawing>
          <wp:inline distT="0" distB="0" distL="0" distR="0">
            <wp:extent cx="4007485" cy="2051685"/>
            <wp:effectExtent l="0" t="0" r="0" b="0"/>
            <wp:docPr id="713" name="对象 7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D22E1" w:rsidRPr="0039726C" w:rsidRDefault="001F3ADB" w:rsidP="00AE7567">
      <w:pPr>
        <w:autoSpaceDE w:val="0"/>
        <w:autoSpaceDN w:val="0"/>
        <w:adjustRightInd w:val="0"/>
        <w:snapToGrid w:val="0"/>
        <w:spacing w:after="0" w:line="240" w:lineRule="auto"/>
        <w:jc w:val="center"/>
        <w:rPr>
          <w:rFonts w:ascii="Times New Roman" w:hAnsi="Times New Roman" w:cs="Times New Roman"/>
          <w:b/>
          <w:bCs/>
          <w:sz w:val="20"/>
          <w:szCs w:val="20"/>
        </w:rPr>
      </w:pPr>
      <w:proofErr w:type="gramStart"/>
      <w:r w:rsidRPr="0039726C">
        <w:rPr>
          <w:rFonts w:ascii="Times New Roman" w:hAnsi="Times New Roman" w:cs="Times New Roman"/>
          <w:sz w:val="20"/>
          <w:szCs w:val="20"/>
        </w:rPr>
        <w:t>Fig.</w:t>
      </w:r>
      <w:proofErr w:type="gramEnd"/>
      <w:r w:rsidRPr="0039726C">
        <w:rPr>
          <w:rFonts w:ascii="Times New Roman" w:hAnsi="Times New Roman" w:cs="Times New Roman"/>
          <w:sz w:val="20"/>
          <w:szCs w:val="20"/>
        </w:rPr>
        <w:t xml:space="preserve"> (2) IMP in the studied groups</w:t>
      </w:r>
      <w:r w:rsidRPr="0039726C">
        <w:rPr>
          <w:rFonts w:ascii="Times New Roman" w:hAnsi="Times New Roman" w:cs="Times New Roman"/>
          <w:b/>
          <w:bCs/>
          <w:sz w:val="20"/>
          <w:szCs w:val="20"/>
        </w:rPr>
        <w:t xml:space="preserve"> (P value &lt; 0.0001)</w:t>
      </w:r>
    </w:p>
    <w:p w:rsidR="00061D94" w:rsidRPr="0039726C" w:rsidRDefault="00061D94" w:rsidP="00AE7567">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AE7567" w:rsidRPr="0039726C" w:rsidRDefault="00AE7567" w:rsidP="00AE7567">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ED22E1" w:rsidRPr="0039726C" w:rsidRDefault="00ED22E1" w:rsidP="00AE7567">
      <w:pPr>
        <w:autoSpaceDE w:val="0"/>
        <w:autoSpaceDN w:val="0"/>
        <w:adjustRightInd w:val="0"/>
        <w:snapToGrid w:val="0"/>
        <w:spacing w:after="0" w:line="240" w:lineRule="auto"/>
        <w:jc w:val="center"/>
        <w:rPr>
          <w:rFonts w:ascii="Times New Roman" w:hAnsi="Times New Roman" w:cs="Times New Roman"/>
          <w:b/>
          <w:bCs/>
          <w:sz w:val="20"/>
          <w:szCs w:val="20"/>
        </w:rPr>
      </w:pPr>
      <w:r w:rsidRPr="0039726C">
        <w:rPr>
          <w:rFonts w:ascii="Times New Roman" w:hAnsi="Times New Roman" w:cs="Times New Roman"/>
          <w:sz w:val="20"/>
          <w:szCs w:val="20"/>
        </w:rPr>
        <w:t>Table (5) Relation between SI and the demographic data in the studied patients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2661"/>
        <w:gridCol w:w="2728"/>
        <w:gridCol w:w="1320"/>
        <w:gridCol w:w="723"/>
      </w:tblGrid>
      <w:tr w:rsidR="00ED22E1" w:rsidRPr="0039726C" w:rsidTr="00C62F17">
        <w:trPr>
          <w:cantSplit/>
          <w:jc w:val="center"/>
        </w:trPr>
        <w:tc>
          <w:tcPr>
            <w:tcW w:w="3797" w:type="dxa"/>
            <w:gridSpan w:val="2"/>
            <w:vMerge w:val="restart"/>
            <w:shd w:val="clear" w:color="auto" w:fill="4472C4"/>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4771" w:type="dxa"/>
            <w:gridSpan w:val="3"/>
            <w:shd w:val="clear" w:color="auto" w:fill="4472C4"/>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Pearson's correlation</w:t>
            </w:r>
          </w:p>
        </w:tc>
      </w:tr>
      <w:tr w:rsidR="00ED22E1" w:rsidRPr="0039726C" w:rsidTr="00C62F17">
        <w:trPr>
          <w:cantSplit/>
          <w:jc w:val="center"/>
        </w:trPr>
        <w:tc>
          <w:tcPr>
            <w:tcW w:w="3797" w:type="dxa"/>
            <w:gridSpan w:val="2"/>
            <w:vMerge/>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2728"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r</w:t>
            </w:r>
          </w:p>
        </w:tc>
        <w:tc>
          <w:tcPr>
            <w:tcW w:w="2043" w:type="dxa"/>
            <w:gridSpan w:val="2"/>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p</w:t>
            </w:r>
          </w:p>
        </w:tc>
      </w:tr>
      <w:tr w:rsidR="00ED22E1" w:rsidRPr="0039726C" w:rsidTr="00C62F17">
        <w:trPr>
          <w:cantSplit/>
          <w:jc w:val="center"/>
        </w:trPr>
        <w:tc>
          <w:tcPr>
            <w:tcW w:w="3797" w:type="dxa"/>
            <w:gridSpan w:val="2"/>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Age</w:t>
            </w:r>
          </w:p>
        </w:tc>
        <w:tc>
          <w:tcPr>
            <w:tcW w:w="2728"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0.3</w:t>
            </w:r>
          </w:p>
        </w:tc>
        <w:tc>
          <w:tcPr>
            <w:tcW w:w="2043" w:type="dxa"/>
            <w:gridSpan w:val="2"/>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0.002*</w:t>
            </w:r>
          </w:p>
        </w:tc>
      </w:tr>
      <w:tr w:rsidR="00ED22E1" w:rsidRPr="0039726C" w:rsidTr="00C62F17">
        <w:trPr>
          <w:cantSplit/>
          <w:jc w:val="center"/>
        </w:trPr>
        <w:tc>
          <w:tcPr>
            <w:tcW w:w="6525" w:type="dxa"/>
            <w:gridSpan w:val="3"/>
            <w:vMerge w:val="restart"/>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2043" w:type="dxa"/>
            <w:gridSpan w:val="2"/>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Student t test</w:t>
            </w:r>
          </w:p>
        </w:tc>
      </w:tr>
      <w:tr w:rsidR="00ED22E1" w:rsidRPr="0039726C" w:rsidTr="00C62F17">
        <w:trPr>
          <w:cantSplit/>
          <w:jc w:val="center"/>
        </w:trPr>
        <w:tc>
          <w:tcPr>
            <w:tcW w:w="6525" w:type="dxa"/>
            <w:gridSpan w:val="3"/>
            <w:vMerge/>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1320"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t</w:t>
            </w:r>
          </w:p>
        </w:tc>
        <w:tc>
          <w:tcPr>
            <w:tcW w:w="723" w:type="dxa"/>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p</w:t>
            </w:r>
          </w:p>
        </w:tc>
      </w:tr>
      <w:tr w:rsidR="00ED22E1" w:rsidRPr="0039726C" w:rsidTr="00C62F17">
        <w:trPr>
          <w:cantSplit/>
          <w:jc w:val="center"/>
        </w:trPr>
        <w:tc>
          <w:tcPr>
            <w:tcW w:w="1136" w:type="dxa"/>
            <w:vMerge w:val="restart"/>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Sex</w:t>
            </w:r>
          </w:p>
        </w:tc>
        <w:tc>
          <w:tcPr>
            <w:tcW w:w="2661"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Male</w:t>
            </w:r>
          </w:p>
        </w:tc>
        <w:tc>
          <w:tcPr>
            <w:tcW w:w="2728"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1.44 ± 0.24</w:t>
            </w:r>
          </w:p>
        </w:tc>
        <w:tc>
          <w:tcPr>
            <w:tcW w:w="1320" w:type="dxa"/>
            <w:vMerge w:val="restart"/>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-0.69</w:t>
            </w:r>
          </w:p>
        </w:tc>
        <w:tc>
          <w:tcPr>
            <w:tcW w:w="723" w:type="dxa"/>
            <w:vMerge w:val="restart"/>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0.49</w:t>
            </w:r>
          </w:p>
        </w:tc>
      </w:tr>
      <w:tr w:rsidR="00ED22E1" w:rsidRPr="0039726C" w:rsidTr="00C62F17">
        <w:trPr>
          <w:cantSplit/>
          <w:jc w:val="center"/>
        </w:trPr>
        <w:tc>
          <w:tcPr>
            <w:tcW w:w="1136" w:type="dxa"/>
            <w:vMerge/>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2661"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Female</w:t>
            </w:r>
          </w:p>
        </w:tc>
        <w:tc>
          <w:tcPr>
            <w:tcW w:w="2728" w:type="dxa"/>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1.47 ± 0.23</w:t>
            </w:r>
          </w:p>
        </w:tc>
        <w:tc>
          <w:tcPr>
            <w:tcW w:w="1320" w:type="dxa"/>
            <w:vMerge/>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723" w:type="dxa"/>
            <w:vMerge/>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r>
    </w:tbl>
    <w:p w:rsidR="00ED22E1" w:rsidRPr="0039726C" w:rsidRDefault="00ED22E1" w:rsidP="00AE756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9726C">
        <w:rPr>
          <w:rFonts w:ascii="Times New Roman" w:hAnsi="Times New Roman" w:cs="Times New Roman"/>
          <w:sz w:val="20"/>
          <w:szCs w:val="20"/>
        </w:rPr>
        <w:t>This table shows a significant correlation between age and SI in the studied patients.</w:t>
      </w:r>
    </w:p>
    <w:p w:rsidR="00ED22E1" w:rsidRPr="0039726C" w:rsidRDefault="00ED22E1" w:rsidP="00AE756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AE7567" w:rsidRPr="0039726C" w:rsidRDefault="00AE7567" w:rsidP="00AE756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ED22E1" w:rsidRPr="0039726C" w:rsidRDefault="00AE7567" w:rsidP="00AE7567">
      <w:pPr>
        <w:autoSpaceDE w:val="0"/>
        <w:autoSpaceDN w:val="0"/>
        <w:adjustRightInd w:val="0"/>
        <w:snapToGrid w:val="0"/>
        <w:spacing w:after="0" w:line="240" w:lineRule="auto"/>
        <w:jc w:val="center"/>
        <w:rPr>
          <w:rFonts w:ascii="Times New Roman" w:hAnsi="Times New Roman" w:cs="Times New Roman"/>
          <w:sz w:val="20"/>
          <w:szCs w:val="20"/>
        </w:rPr>
      </w:pPr>
      <w:r w:rsidRPr="0039726C">
        <w:rPr>
          <w:rFonts w:ascii="Times New Roman" w:hAnsi="Times New Roman" w:cs="Times New Roman"/>
          <w:noProof/>
          <w:sz w:val="20"/>
          <w:szCs w:val="20"/>
          <w:lang w:eastAsia="zh-CN"/>
        </w:rPr>
        <w:lastRenderedPageBreak/>
        <w:drawing>
          <wp:inline distT="0" distB="0" distL="0" distR="0">
            <wp:extent cx="4380865" cy="2099310"/>
            <wp:effectExtent l="0" t="0" r="0" b="0"/>
            <wp:docPr id="3"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D22E1" w:rsidRPr="0039726C" w:rsidRDefault="00ED22E1" w:rsidP="00AE7567">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39726C">
        <w:rPr>
          <w:rFonts w:ascii="Times New Roman" w:hAnsi="Times New Roman" w:cs="Times New Roman"/>
          <w:sz w:val="20"/>
          <w:szCs w:val="20"/>
        </w:rPr>
        <w:t>Fig.</w:t>
      </w:r>
      <w:proofErr w:type="gramEnd"/>
      <w:r w:rsidRPr="0039726C">
        <w:rPr>
          <w:rFonts w:ascii="Times New Roman" w:hAnsi="Times New Roman" w:cs="Times New Roman"/>
          <w:sz w:val="20"/>
          <w:szCs w:val="20"/>
        </w:rPr>
        <w:t xml:space="preserve"> (3) Correlation between SI and Age (r = 0.3and P value is 0.0002)</w:t>
      </w:r>
    </w:p>
    <w:p w:rsidR="00061D94" w:rsidRPr="0039726C" w:rsidRDefault="00061D94" w:rsidP="00AE7567">
      <w:pPr>
        <w:autoSpaceDE w:val="0"/>
        <w:autoSpaceDN w:val="0"/>
        <w:adjustRightInd w:val="0"/>
        <w:snapToGrid w:val="0"/>
        <w:spacing w:after="0" w:line="240" w:lineRule="auto"/>
        <w:jc w:val="center"/>
        <w:rPr>
          <w:rFonts w:ascii="Times New Roman" w:hAnsi="Times New Roman" w:cs="Times New Roman"/>
          <w:sz w:val="20"/>
          <w:szCs w:val="20"/>
        </w:rPr>
      </w:pPr>
    </w:p>
    <w:p w:rsidR="00ED22E1" w:rsidRPr="0039726C" w:rsidRDefault="00ED22E1" w:rsidP="00AE7567">
      <w:pPr>
        <w:autoSpaceDE w:val="0"/>
        <w:autoSpaceDN w:val="0"/>
        <w:adjustRightInd w:val="0"/>
        <w:snapToGrid w:val="0"/>
        <w:spacing w:after="0" w:line="240" w:lineRule="auto"/>
        <w:jc w:val="center"/>
        <w:rPr>
          <w:rFonts w:ascii="Times New Roman" w:hAnsi="Times New Roman" w:cs="Times New Roman"/>
          <w:sz w:val="20"/>
          <w:szCs w:val="20"/>
        </w:rPr>
      </w:pPr>
      <w:r w:rsidRPr="0039726C">
        <w:rPr>
          <w:rFonts w:ascii="Times New Roman" w:hAnsi="Times New Roman" w:cs="Times New Roman"/>
          <w:sz w:val="20"/>
          <w:szCs w:val="20"/>
        </w:rPr>
        <w:t>Table (6) Relation between SI and TDI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2372"/>
        <w:gridCol w:w="1983"/>
      </w:tblGrid>
      <w:tr w:rsidR="00ED22E1" w:rsidRPr="0039726C" w:rsidTr="00C62F17">
        <w:trPr>
          <w:cantSplit/>
          <w:jc w:val="center"/>
        </w:trPr>
        <w:tc>
          <w:tcPr>
            <w:tcW w:w="3300" w:type="dxa"/>
            <w:vMerge w:val="restart"/>
            <w:shd w:val="clear" w:color="auto" w:fill="4472C4"/>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4355" w:type="dxa"/>
            <w:gridSpan w:val="2"/>
            <w:shd w:val="clear" w:color="auto" w:fill="4472C4"/>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Pearson's correlation</w:t>
            </w:r>
          </w:p>
        </w:tc>
      </w:tr>
      <w:tr w:rsidR="00ED22E1" w:rsidRPr="0039726C" w:rsidTr="00C62F17">
        <w:trPr>
          <w:cantSplit/>
          <w:jc w:val="center"/>
        </w:trPr>
        <w:tc>
          <w:tcPr>
            <w:tcW w:w="3300" w:type="dxa"/>
            <w:vMerge/>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2372"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r</w:t>
            </w:r>
          </w:p>
        </w:tc>
        <w:tc>
          <w:tcPr>
            <w:tcW w:w="1983"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p</w:t>
            </w:r>
          </w:p>
        </w:tc>
      </w:tr>
      <w:tr w:rsidR="00ED22E1" w:rsidRPr="0039726C" w:rsidTr="00C62F17">
        <w:trPr>
          <w:cantSplit/>
          <w:jc w:val="center"/>
        </w:trPr>
        <w:tc>
          <w:tcPr>
            <w:tcW w:w="3300" w:type="dxa"/>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E</w:t>
            </w:r>
          </w:p>
        </w:tc>
        <w:tc>
          <w:tcPr>
            <w:tcW w:w="2372"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0.2</w:t>
            </w:r>
          </w:p>
        </w:tc>
        <w:tc>
          <w:tcPr>
            <w:tcW w:w="1983" w:type="dxa"/>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0.04*</w:t>
            </w:r>
          </w:p>
        </w:tc>
      </w:tr>
      <w:tr w:rsidR="00ED22E1" w:rsidRPr="0039726C" w:rsidTr="00C62F17">
        <w:trPr>
          <w:cantSplit/>
          <w:jc w:val="center"/>
        </w:trPr>
        <w:tc>
          <w:tcPr>
            <w:tcW w:w="3300"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A</w:t>
            </w:r>
          </w:p>
        </w:tc>
        <w:tc>
          <w:tcPr>
            <w:tcW w:w="2372"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0.23</w:t>
            </w:r>
          </w:p>
        </w:tc>
        <w:tc>
          <w:tcPr>
            <w:tcW w:w="1983"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0.02</w:t>
            </w:r>
          </w:p>
        </w:tc>
      </w:tr>
      <w:tr w:rsidR="00ED22E1" w:rsidRPr="0039726C" w:rsidTr="00C62F17">
        <w:trPr>
          <w:cantSplit/>
          <w:jc w:val="center"/>
        </w:trPr>
        <w:tc>
          <w:tcPr>
            <w:tcW w:w="3300" w:type="dxa"/>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E/A</w:t>
            </w:r>
          </w:p>
        </w:tc>
        <w:tc>
          <w:tcPr>
            <w:tcW w:w="2372"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-0.016</w:t>
            </w:r>
          </w:p>
        </w:tc>
        <w:tc>
          <w:tcPr>
            <w:tcW w:w="1983" w:type="dxa"/>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0.86</w:t>
            </w:r>
          </w:p>
        </w:tc>
      </w:tr>
      <w:tr w:rsidR="00ED22E1" w:rsidRPr="0039726C" w:rsidTr="00C62F17">
        <w:trPr>
          <w:cantSplit/>
          <w:jc w:val="center"/>
        </w:trPr>
        <w:tc>
          <w:tcPr>
            <w:tcW w:w="3300"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Ea</w:t>
            </w:r>
          </w:p>
        </w:tc>
        <w:tc>
          <w:tcPr>
            <w:tcW w:w="2372"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-0.73</w:t>
            </w:r>
          </w:p>
        </w:tc>
        <w:tc>
          <w:tcPr>
            <w:tcW w:w="1983"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0.0001*</w:t>
            </w:r>
          </w:p>
        </w:tc>
      </w:tr>
      <w:tr w:rsidR="00ED22E1" w:rsidRPr="0039726C" w:rsidTr="00C62F17">
        <w:trPr>
          <w:cantSplit/>
          <w:jc w:val="center"/>
        </w:trPr>
        <w:tc>
          <w:tcPr>
            <w:tcW w:w="3300" w:type="dxa"/>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E/Ea</w:t>
            </w:r>
          </w:p>
        </w:tc>
        <w:tc>
          <w:tcPr>
            <w:tcW w:w="2372"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0.93</w:t>
            </w:r>
          </w:p>
        </w:tc>
        <w:tc>
          <w:tcPr>
            <w:tcW w:w="1983" w:type="dxa"/>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0.0001*</w:t>
            </w:r>
          </w:p>
        </w:tc>
      </w:tr>
      <w:tr w:rsidR="00ED22E1" w:rsidRPr="0039726C" w:rsidTr="00C62F17">
        <w:trPr>
          <w:cantSplit/>
          <w:jc w:val="center"/>
        </w:trPr>
        <w:tc>
          <w:tcPr>
            <w:tcW w:w="3300"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IVRT</w:t>
            </w:r>
          </w:p>
        </w:tc>
        <w:tc>
          <w:tcPr>
            <w:tcW w:w="2372"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0.17</w:t>
            </w:r>
          </w:p>
        </w:tc>
        <w:tc>
          <w:tcPr>
            <w:tcW w:w="1983"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0.083</w:t>
            </w:r>
          </w:p>
        </w:tc>
      </w:tr>
      <w:tr w:rsidR="00ED22E1" w:rsidRPr="0039726C" w:rsidTr="00C62F17">
        <w:trPr>
          <w:cantSplit/>
          <w:jc w:val="center"/>
        </w:trPr>
        <w:tc>
          <w:tcPr>
            <w:tcW w:w="3300" w:type="dxa"/>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IVCT</w:t>
            </w:r>
          </w:p>
        </w:tc>
        <w:tc>
          <w:tcPr>
            <w:tcW w:w="2372"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0.22</w:t>
            </w:r>
          </w:p>
        </w:tc>
        <w:tc>
          <w:tcPr>
            <w:tcW w:w="1983" w:type="dxa"/>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0.027*</w:t>
            </w:r>
          </w:p>
        </w:tc>
      </w:tr>
      <w:tr w:rsidR="00ED22E1" w:rsidRPr="0039726C" w:rsidTr="00C62F17">
        <w:trPr>
          <w:cantSplit/>
          <w:jc w:val="center"/>
        </w:trPr>
        <w:tc>
          <w:tcPr>
            <w:tcW w:w="3300" w:type="dxa"/>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ET</w:t>
            </w:r>
          </w:p>
        </w:tc>
        <w:tc>
          <w:tcPr>
            <w:tcW w:w="2372"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-0.24</w:t>
            </w:r>
          </w:p>
        </w:tc>
        <w:tc>
          <w:tcPr>
            <w:tcW w:w="1983" w:type="dxa"/>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0.015*</w:t>
            </w:r>
          </w:p>
        </w:tc>
      </w:tr>
    </w:tbl>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sz w:val="20"/>
          <w:szCs w:val="20"/>
        </w:rPr>
      </w:pPr>
      <w:r w:rsidRPr="0039726C">
        <w:rPr>
          <w:rFonts w:ascii="Times New Roman" w:hAnsi="Times New Roman" w:cs="Times New Roman"/>
          <w:sz w:val="20"/>
          <w:szCs w:val="20"/>
        </w:rPr>
        <w:t>This table shows significant direct correlation between SI and E, A E/Ea and IVCT and inverse correlation with Ea and ET.</w:t>
      </w:r>
    </w:p>
    <w:p w:rsidR="00061D94" w:rsidRPr="0039726C" w:rsidRDefault="00061D94" w:rsidP="00AE756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ED22E1" w:rsidRPr="0039726C" w:rsidRDefault="00AE7567" w:rsidP="00AE7567">
      <w:pPr>
        <w:autoSpaceDE w:val="0"/>
        <w:autoSpaceDN w:val="0"/>
        <w:adjustRightInd w:val="0"/>
        <w:snapToGrid w:val="0"/>
        <w:spacing w:after="0" w:line="240" w:lineRule="auto"/>
        <w:jc w:val="center"/>
        <w:rPr>
          <w:rFonts w:ascii="Times New Roman" w:hAnsi="Times New Roman" w:cs="Times New Roman"/>
          <w:sz w:val="20"/>
          <w:szCs w:val="20"/>
        </w:rPr>
      </w:pPr>
      <w:r w:rsidRPr="0039726C">
        <w:rPr>
          <w:rFonts w:ascii="Times New Roman" w:hAnsi="Times New Roman" w:cs="Times New Roman"/>
          <w:noProof/>
          <w:sz w:val="20"/>
          <w:szCs w:val="20"/>
          <w:lang w:eastAsia="zh-CN"/>
        </w:rPr>
        <w:drawing>
          <wp:inline distT="0" distB="0" distL="0" distR="0">
            <wp:extent cx="4906010" cy="2719070"/>
            <wp:effectExtent l="0" t="0" r="0" b="0"/>
            <wp:docPr id="4"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D22E1" w:rsidRPr="0039726C" w:rsidRDefault="00ED22E1" w:rsidP="00AE7567">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39726C">
        <w:rPr>
          <w:rFonts w:ascii="Times New Roman" w:hAnsi="Times New Roman" w:cs="Times New Roman"/>
          <w:sz w:val="20"/>
          <w:szCs w:val="20"/>
        </w:rPr>
        <w:t>Fig.</w:t>
      </w:r>
      <w:proofErr w:type="gramEnd"/>
      <w:r w:rsidRPr="0039726C">
        <w:rPr>
          <w:rFonts w:ascii="Times New Roman" w:hAnsi="Times New Roman" w:cs="Times New Roman"/>
          <w:sz w:val="20"/>
          <w:szCs w:val="20"/>
        </w:rPr>
        <w:t xml:space="preserve"> (4) Correlation between SI and E (r = 0.2and P value is 0.04)</w:t>
      </w:r>
    </w:p>
    <w:p w:rsidR="00ED22E1" w:rsidRPr="0039726C" w:rsidRDefault="00ED22E1" w:rsidP="00AE756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ED22E1" w:rsidRPr="0039726C" w:rsidRDefault="00AE7567" w:rsidP="00AE7567">
      <w:pPr>
        <w:autoSpaceDE w:val="0"/>
        <w:autoSpaceDN w:val="0"/>
        <w:adjustRightInd w:val="0"/>
        <w:snapToGrid w:val="0"/>
        <w:spacing w:after="0" w:line="240" w:lineRule="auto"/>
        <w:jc w:val="center"/>
        <w:rPr>
          <w:rFonts w:ascii="Times New Roman" w:hAnsi="Times New Roman" w:cs="Times New Roman"/>
          <w:sz w:val="20"/>
          <w:szCs w:val="20"/>
        </w:rPr>
      </w:pPr>
      <w:r w:rsidRPr="0039726C">
        <w:rPr>
          <w:rFonts w:ascii="Times New Roman" w:hAnsi="Times New Roman" w:cs="Times New Roman"/>
          <w:noProof/>
          <w:sz w:val="20"/>
          <w:szCs w:val="20"/>
          <w:lang w:eastAsia="zh-CN"/>
        </w:rPr>
        <w:lastRenderedPageBreak/>
        <w:drawing>
          <wp:inline distT="0" distB="0" distL="0" distR="0">
            <wp:extent cx="4906010" cy="2719070"/>
            <wp:effectExtent l="0" t="0" r="0" b="0"/>
            <wp:docPr id="5"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D22E1" w:rsidRPr="0039726C" w:rsidRDefault="00ED22E1" w:rsidP="00AE7567">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39726C">
        <w:rPr>
          <w:rFonts w:ascii="Times New Roman" w:hAnsi="Times New Roman" w:cs="Times New Roman"/>
          <w:sz w:val="20"/>
          <w:szCs w:val="20"/>
        </w:rPr>
        <w:t>Fig.</w:t>
      </w:r>
      <w:proofErr w:type="gramEnd"/>
      <w:r w:rsidRPr="0039726C">
        <w:rPr>
          <w:rFonts w:ascii="Times New Roman" w:hAnsi="Times New Roman" w:cs="Times New Roman"/>
          <w:sz w:val="20"/>
          <w:szCs w:val="20"/>
        </w:rPr>
        <w:t xml:space="preserve"> (5) Correlation between SI and A (r = 0.23and P value is 0.02)</w:t>
      </w:r>
    </w:p>
    <w:p w:rsidR="00AE7567" w:rsidRPr="0039726C" w:rsidRDefault="00AE7567" w:rsidP="00AE7567">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ED22E1" w:rsidRPr="0039726C" w:rsidRDefault="00ED22E1" w:rsidP="00AE7567">
      <w:pPr>
        <w:autoSpaceDE w:val="0"/>
        <w:autoSpaceDN w:val="0"/>
        <w:adjustRightInd w:val="0"/>
        <w:snapToGrid w:val="0"/>
        <w:spacing w:after="0" w:line="240" w:lineRule="auto"/>
        <w:jc w:val="center"/>
        <w:rPr>
          <w:rFonts w:ascii="Times New Roman" w:hAnsi="Times New Roman" w:cs="Times New Roman"/>
          <w:sz w:val="20"/>
          <w:szCs w:val="20"/>
        </w:rPr>
      </w:pPr>
      <w:r w:rsidRPr="0039726C">
        <w:rPr>
          <w:rFonts w:ascii="Times New Roman" w:hAnsi="Times New Roman" w:cs="Times New Roman"/>
          <w:sz w:val="20"/>
          <w:szCs w:val="20"/>
        </w:rPr>
        <w:t>Table (7) Relation between SI and IMP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0"/>
        <w:gridCol w:w="2674"/>
        <w:gridCol w:w="2235"/>
      </w:tblGrid>
      <w:tr w:rsidR="00ED22E1" w:rsidRPr="0039726C" w:rsidTr="00C62F17">
        <w:trPr>
          <w:cantSplit/>
          <w:jc w:val="center"/>
        </w:trPr>
        <w:tc>
          <w:tcPr>
            <w:tcW w:w="3720" w:type="dxa"/>
            <w:vMerge w:val="restart"/>
            <w:shd w:val="clear" w:color="auto" w:fill="4472C4"/>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4909" w:type="dxa"/>
            <w:gridSpan w:val="2"/>
            <w:shd w:val="clear" w:color="auto" w:fill="4472C4"/>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Pearson's correlation</w:t>
            </w:r>
          </w:p>
        </w:tc>
      </w:tr>
      <w:tr w:rsidR="00ED22E1" w:rsidRPr="0039726C" w:rsidTr="00C62F17">
        <w:trPr>
          <w:cantSplit/>
          <w:jc w:val="center"/>
        </w:trPr>
        <w:tc>
          <w:tcPr>
            <w:tcW w:w="3720" w:type="dxa"/>
            <w:vMerge/>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2674"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r</w:t>
            </w:r>
          </w:p>
        </w:tc>
        <w:tc>
          <w:tcPr>
            <w:tcW w:w="2235"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p</w:t>
            </w:r>
          </w:p>
        </w:tc>
      </w:tr>
      <w:tr w:rsidR="00ED22E1" w:rsidRPr="0039726C" w:rsidTr="00C62F17">
        <w:trPr>
          <w:cantSplit/>
          <w:jc w:val="center"/>
        </w:trPr>
        <w:tc>
          <w:tcPr>
            <w:tcW w:w="3720" w:type="dxa"/>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IMP</w:t>
            </w:r>
          </w:p>
        </w:tc>
        <w:tc>
          <w:tcPr>
            <w:tcW w:w="2674" w:type="dxa"/>
            <w:shd w:val="clear" w:color="auto" w:fill="D9E2F3"/>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0.26</w:t>
            </w:r>
          </w:p>
        </w:tc>
        <w:tc>
          <w:tcPr>
            <w:tcW w:w="2235" w:type="dxa"/>
            <w:shd w:val="clear" w:color="auto" w:fill="auto"/>
          </w:tcPr>
          <w:p w:rsidR="00ED22E1" w:rsidRPr="0039726C" w:rsidRDefault="00ED22E1"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0.01*</w:t>
            </w:r>
          </w:p>
        </w:tc>
      </w:tr>
    </w:tbl>
    <w:p w:rsidR="00ED22E1" w:rsidRPr="0039726C" w:rsidRDefault="00ED22E1" w:rsidP="00AE756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9726C">
        <w:rPr>
          <w:rFonts w:ascii="Times New Roman" w:hAnsi="Times New Roman" w:cs="Times New Roman"/>
          <w:sz w:val="20"/>
          <w:szCs w:val="20"/>
        </w:rPr>
        <w:t>This table shows significant direct correlation between SI and IMP.</w:t>
      </w:r>
    </w:p>
    <w:p w:rsidR="00061D94" w:rsidRPr="0039726C" w:rsidRDefault="00AE7567" w:rsidP="00AE7567">
      <w:pPr>
        <w:autoSpaceDE w:val="0"/>
        <w:autoSpaceDN w:val="0"/>
        <w:adjustRightInd w:val="0"/>
        <w:snapToGrid w:val="0"/>
        <w:spacing w:after="0" w:line="240" w:lineRule="auto"/>
        <w:jc w:val="center"/>
        <w:rPr>
          <w:rFonts w:ascii="Times New Roman" w:hAnsi="Times New Roman" w:cs="Times New Roman"/>
          <w:sz w:val="20"/>
          <w:szCs w:val="20"/>
        </w:rPr>
      </w:pPr>
      <w:r w:rsidRPr="0039726C">
        <w:rPr>
          <w:rFonts w:ascii="Times New Roman" w:hAnsi="Times New Roman" w:cs="Times New Roman"/>
          <w:noProof/>
          <w:sz w:val="20"/>
          <w:szCs w:val="20"/>
          <w:lang w:eastAsia="zh-CN"/>
        </w:rPr>
        <w:drawing>
          <wp:inline distT="0" distB="0" distL="0" distR="0">
            <wp:extent cx="4906010" cy="2719070"/>
            <wp:effectExtent l="0" t="0" r="0" b="0"/>
            <wp:docPr id="6"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D22E1" w:rsidRPr="0039726C" w:rsidRDefault="00EA1677" w:rsidP="00AE7567">
      <w:pPr>
        <w:autoSpaceDE w:val="0"/>
        <w:autoSpaceDN w:val="0"/>
        <w:adjustRightInd w:val="0"/>
        <w:snapToGrid w:val="0"/>
        <w:spacing w:after="0" w:line="240" w:lineRule="auto"/>
        <w:jc w:val="center"/>
        <w:rPr>
          <w:rFonts w:ascii="Times New Roman" w:hAnsi="Times New Roman" w:cs="Times New Roman"/>
          <w:sz w:val="20"/>
          <w:szCs w:val="20"/>
        </w:rPr>
      </w:pPr>
      <w:r w:rsidRPr="0039726C">
        <w:rPr>
          <w:rFonts w:ascii="Times New Roman" w:hAnsi="Times New Roman" w:cs="Times New Roman"/>
          <w:sz w:val="20"/>
          <w:szCs w:val="20"/>
        </w:rPr>
        <w:t>Fig (6</w:t>
      </w:r>
      <w:r w:rsidR="00ED22E1" w:rsidRPr="0039726C">
        <w:rPr>
          <w:rFonts w:ascii="Times New Roman" w:hAnsi="Times New Roman" w:cs="Times New Roman"/>
          <w:sz w:val="20"/>
          <w:szCs w:val="20"/>
        </w:rPr>
        <w:t>) Correlation between SI and IMP (r = - 0.26and P value is 0.01)</w:t>
      </w:r>
    </w:p>
    <w:p w:rsidR="00DB2881" w:rsidRPr="0039726C" w:rsidRDefault="00DB2881" w:rsidP="00AE7567">
      <w:pPr>
        <w:pStyle w:val="Header"/>
        <w:tabs>
          <w:tab w:val="clear" w:pos="4320"/>
          <w:tab w:val="clear" w:pos="8640"/>
        </w:tabs>
        <w:snapToGrid w:val="0"/>
        <w:spacing w:after="0" w:line="240" w:lineRule="auto"/>
        <w:jc w:val="both"/>
        <w:rPr>
          <w:rFonts w:ascii="Times New Roman" w:hAnsi="Times New Roman"/>
          <w:b/>
          <w:bCs/>
          <w:sz w:val="20"/>
          <w:szCs w:val="20"/>
        </w:rPr>
      </w:pPr>
    </w:p>
    <w:p w:rsidR="00DB2881" w:rsidRPr="0039726C" w:rsidRDefault="00DB2881" w:rsidP="00AE7567">
      <w:pPr>
        <w:pStyle w:val="Header"/>
        <w:tabs>
          <w:tab w:val="clear" w:pos="4320"/>
          <w:tab w:val="clear" w:pos="8640"/>
        </w:tabs>
        <w:snapToGrid w:val="0"/>
        <w:spacing w:after="0" w:line="240" w:lineRule="auto"/>
        <w:jc w:val="both"/>
        <w:rPr>
          <w:rFonts w:ascii="Times New Roman" w:hAnsi="Times New Roman"/>
          <w:b/>
          <w:bCs/>
          <w:sz w:val="20"/>
          <w:szCs w:val="20"/>
        </w:rPr>
        <w:sectPr w:rsidR="00DB2881" w:rsidRPr="0039726C" w:rsidSect="00A2102B">
          <w:headerReference w:type="default" r:id="rId27"/>
          <w:footerReference w:type="even" r:id="rId28"/>
          <w:footerReference w:type="default" r:id="rId29"/>
          <w:footerReference w:type="first" r:id="rId30"/>
          <w:type w:val="continuous"/>
          <w:pgSz w:w="12242" w:h="15842" w:code="1"/>
          <w:pgMar w:top="1440" w:right="1440" w:bottom="1440" w:left="1440" w:header="720" w:footer="720" w:gutter="0"/>
          <w:cols w:space="720"/>
          <w:docGrid w:linePitch="360"/>
        </w:sectPr>
      </w:pPr>
    </w:p>
    <w:p w:rsidR="00EA1677" w:rsidRPr="0039726C" w:rsidRDefault="00061D94" w:rsidP="00AE7567">
      <w:pPr>
        <w:pStyle w:val="Header"/>
        <w:tabs>
          <w:tab w:val="clear" w:pos="4320"/>
          <w:tab w:val="clear" w:pos="8640"/>
        </w:tabs>
        <w:snapToGrid w:val="0"/>
        <w:spacing w:after="0" w:line="240" w:lineRule="auto"/>
        <w:jc w:val="both"/>
        <w:rPr>
          <w:rFonts w:ascii="Times New Roman" w:hAnsi="Times New Roman"/>
          <w:b/>
          <w:bCs/>
          <w:sz w:val="20"/>
          <w:szCs w:val="20"/>
        </w:rPr>
      </w:pPr>
      <w:r w:rsidRPr="0039726C">
        <w:rPr>
          <w:rFonts w:ascii="Times New Roman" w:hAnsi="Times New Roman"/>
          <w:b/>
          <w:bCs/>
          <w:sz w:val="20"/>
          <w:szCs w:val="20"/>
        </w:rPr>
        <w:lastRenderedPageBreak/>
        <w:t xml:space="preserve">4. </w:t>
      </w:r>
      <w:r w:rsidR="0026038B" w:rsidRPr="0039726C">
        <w:rPr>
          <w:rFonts w:ascii="Times New Roman" w:hAnsi="Times New Roman"/>
          <w:b/>
          <w:bCs/>
          <w:sz w:val="20"/>
          <w:szCs w:val="20"/>
        </w:rPr>
        <w:t>Discussion:</w:t>
      </w:r>
    </w:p>
    <w:p w:rsidR="00EA1677" w:rsidRPr="0039726C" w:rsidRDefault="00EA1677" w:rsidP="00AE7567">
      <w:pPr>
        <w:pStyle w:val="Header"/>
        <w:tabs>
          <w:tab w:val="clear" w:pos="4320"/>
          <w:tab w:val="clear" w:pos="8640"/>
        </w:tabs>
        <w:snapToGrid w:val="0"/>
        <w:spacing w:after="0" w:line="240" w:lineRule="auto"/>
        <w:ind w:firstLine="425"/>
        <w:jc w:val="both"/>
        <w:rPr>
          <w:rFonts w:ascii="Times New Roman" w:hAnsi="Times New Roman"/>
          <w:b/>
          <w:bCs/>
          <w:sz w:val="20"/>
          <w:szCs w:val="20"/>
        </w:rPr>
      </w:pPr>
      <w:r w:rsidRPr="0039726C">
        <w:rPr>
          <w:rFonts w:ascii="Times New Roman" w:hAnsi="Times New Roman"/>
          <w:sz w:val="20"/>
          <w:szCs w:val="20"/>
        </w:rPr>
        <w:t xml:space="preserve">Systemic hypertension is a common cardiovascular problem that cannot be fully treated with existing non-pharmacologic and pharmacologic measures and it has significant morbidity and mortality including left ventricular dysfunction </w:t>
      </w:r>
      <w:r w:rsidRPr="0039726C">
        <w:rPr>
          <w:rFonts w:ascii="Times New Roman" w:hAnsi="Times New Roman"/>
          <w:b/>
          <w:bCs/>
          <w:i/>
          <w:iCs/>
          <w:sz w:val="20"/>
          <w:szCs w:val="20"/>
        </w:rPr>
        <w:t>(</w:t>
      </w:r>
      <w:hyperlink r:id="rId31" w:history="1">
        <w:r w:rsidRPr="0039726C">
          <w:rPr>
            <w:rStyle w:val="Hyperlink"/>
            <w:rFonts w:ascii="Times New Roman" w:hAnsi="Times New Roman"/>
            <w:b/>
            <w:bCs/>
            <w:i/>
            <w:iCs/>
            <w:color w:val="auto"/>
            <w:sz w:val="20"/>
            <w:szCs w:val="20"/>
            <w:u w:val="none"/>
          </w:rPr>
          <w:t>Burke</w:t>
        </w:r>
      </w:hyperlink>
      <w:r w:rsidRPr="0039726C">
        <w:rPr>
          <w:rFonts w:ascii="Times New Roman" w:hAnsi="Times New Roman"/>
          <w:b/>
          <w:bCs/>
          <w:i/>
          <w:iCs/>
          <w:sz w:val="20"/>
          <w:szCs w:val="20"/>
        </w:rPr>
        <w:t xml:space="preserve"> et al., 2012).</w:t>
      </w:r>
    </w:p>
    <w:p w:rsidR="00EA1677" w:rsidRPr="0039726C" w:rsidRDefault="00EA1677" w:rsidP="00AE7567">
      <w:pPr>
        <w:pStyle w:val="Header"/>
        <w:tabs>
          <w:tab w:val="clear" w:pos="4320"/>
          <w:tab w:val="clear" w:pos="8640"/>
        </w:tabs>
        <w:snapToGrid w:val="0"/>
        <w:spacing w:after="0" w:line="240" w:lineRule="auto"/>
        <w:ind w:firstLine="425"/>
        <w:jc w:val="both"/>
        <w:rPr>
          <w:rFonts w:ascii="Times New Roman" w:hAnsi="Times New Roman"/>
          <w:b/>
          <w:bCs/>
          <w:i/>
          <w:iCs/>
          <w:sz w:val="20"/>
          <w:szCs w:val="20"/>
        </w:rPr>
      </w:pPr>
      <w:r w:rsidRPr="0039726C">
        <w:rPr>
          <w:rFonts w:ascii="Times New Roman" w:hAnsi="Times New Roman"/>
          <w:sz w:val="20"/>
          <w:szCs w:val="20"/>
        </w:rPr>
        <w:t>These include increased left ventricular</w:t>
      </w:r>
      <w:r w:rsidR="00C62F17">
        <w:rPr>
          <w:rFonts w:ascii="Times New Roman" w:hAnsi="Times New Roman" w:hint="eastAsia"/>
          <w:sz w:val="20"/>
          <w:szCs w:val="20"/>
          <w:lang w:eastAsia="zh-CN"/>
        </w:rPr>
        <w:t xml:space="preserve"> </w:t>
      </w:r>
      <w:r w:rsidRPr="0039726C">
        <w:rPr>
          <w:rFonts w:ascii="Times New Roman" w:hAnsi="Times New Roman"/>
          <w:sz w:val="20"/>
          <w:szCs w:val="20"/>
        </w:rPr>
        <w:t xml:space="preserve">mass which identifies hypertensive patients at increased risk </w:t>
      </w:r>
      <w:r w:rsidRPr="0039726C">
        <w:rPr>
          <w:rFonts w:ascii="Times New Roman" w:hAnsi="Times New Roman"/>
          <w:sz w:val="20"/>
          <w:szCs w:val="20"/>
        </w:rPr>
        <w:lastRenderedPageBreak/>
        <w:t xml:space="preserve">of major cardiac and </w:t>
      </w:r>
      <w:proofErr w:type="spellStart"/>
      <w:r w:rsidRPr="0039726C">
        <w:rPr>
          <w:rFonts w:ascii="Times New Roman" w:hAnsi="Times New Roman"/>
          <w:sz w:val="20"/>
          <w:szCs w:val="20"/>
        </w:rPr>
        <w:t>cerebrovascular</w:t>
      </w:r>
      <w:proofErr w:type="spellEnd"/>
      <w:r w:rsidRPr="0039726C">
        <w:rPr>
          <w:rFonts w:ascii="Times New Roman" w:hAnsi="Times New Roman"/>
          <w:sz w:val="20"/>
          <w:szCs w:val="20"/>
        </w:rPr>
        <w:t xml:space="preserve"> events </w:t>
      </w:r>
      <w:r w:rsidRPr="0039726C">
        <w:rPr>
          <w:rFonts w:ascii="Times New Roman" w:hAnsi="Times New Roman"/>
          <w:b/>
          <w:bCs/>
          <w:i/>
          <w:iCs/>
          <w:sz w:val="20"/>
          <w:szCs w:val="20"/>
        </w:rPr>
        <w:t>(</w:t>
      </w:r>
      <w:proofErr w:type="spellStart"/>
      <w:r w:rsidR="00F400F0" w:rsidRPr="0039726C">
        <w:rPr>
          <w:sz w:val="20"/>
          <w:szCs w:val="20"/>
        </w:rPr>
        <w:fldChar w:fldCharType="begin"/>
      </w:r>
      <w:r w:rsidR="00F400F0" w:rsidRPr="0039726C">
        <w:rPr>
          <w:sz w:val="20"/>
          <w:szCs w:val="20"/>
        </w:rPr>
        <w:instrText>HYPERLINK "http://www.ncbi.nlm.nih.gov/pubmed/?term=Verdecchia%20P%5BAuthor%5D&amp;cauthor=true&amp;cauthor_uid=17556886"</w:instrText>
      </w:r>
      <w:r w:rsidR="00F400F0" w:rsidRPr="0039726C">
        <w:rPr>
          <w:sz w:val="20"/>
          <w:szCs w:val="20"/>
        </w:rPr>
        <w:fldChar w:fldCharType="separate"/>
      </w:r>
      <w:r w:rsidRPr="0039726C">
        <w:rPr>
          <w:rStyle w:val="Hyperlink"/>
          <w:rFonts w:ascii="Times New Roman" w:hAnsi="Times New Roman"/>
          <w:b/>
          <w:bCs/>
          <w:i/>
          <w:iCs/>
          <w:color w:val="auto"/>
          <w:sz w:val="20"/>
          <w:szCs w:val="20"/>
          <w:u w:val="none"/>
        </w:rPr>
        <w:t>Verdecchia</w:t>
      </w:r>
      <w:proofErr w:type="spellEnd"/>
      <w:r w:rsidR="00F400F0" w:rsidRPr="0039726C">
        <w:rPr>
          <w:sz w:val="20"/>
          <w:szCs w:val="20"/>
        </w:rPr>
        <w:fldChar w:fldCharType="end"/>
      </w:r>
      <w:r w:rsidRPr="0039726C">
        <w:rPr>
          <w:rFonts w:ascii="Times New Roman" w:hAnsi="Times New Roman"/>
          <w:b/>
          <w:bCs/>
          <w:i/>
          <w:iCs/>
          <w:sz w:val="20"/>
          <w:szCs w:val="20"/>
        </w:rPr>
        <w:t xml:space="preserve"> et al., 2007).</w:t>
      </w:r>
      <w:r w:rsidR="00C62F17">
        <w:rPr>
          <w:rFonts w:ascii="Times New Roman" w:hAnsi="Times New Roman" w:hint="eastAsia"/>
          <w:b/>
          <w:bCs/>
          <w:i/>
          <w:iCs/>
          <w:sz w:val="20"/>
          <w:szCs w:val="20"/>
          <w:lang w:eastAsia="zh-CN"/>
        </w:rPr>
        <w:t xml:space="preserve"> </w:t>
      </w:r>
      <w:r w:rsidRPr="0039726C">
        <w:rPr>
          <w:rFonts w:ascii="Times New Roman" w:hAnsi="Times New Roman"/>
          <w:sz w:val="20"/>
          <w:szCs w:val="20"/>
        </w:rPr>
        <w:t xml:space="preserve">So, identifying LVH is a fundamental step in evaluating hypertensive patients </w:t>
      </w:r>
      <w:r w:rsidRPr="0039726C">
        <w:rPr>
          <w:rFonts w:ascii="Times New Roman" w:hAnsi="Times New Roman"/>
          <w:b/>
          <w:bCs/>
          <w:i/>
          <w:iCs/>
          <w:sz w:val="20"/>
          <w:szCs w:val="20"/>
        </w:rPr>
        <w:t>(</w:t>
      </w:r>
      <w:proofErr w:type="spellStart"/>
      <w:r w:rsidR="00F400F0" w:rsidRPr="0039726C">
        <w:rPr>
          <w:sz w:val="20"/>
          <w:szCs w:val="20"/>
        </w:rPr>
        <w:fldChar w:fldCharType="begin"/>
      </w:r>
      <w:r w:rsidR="00F400F0" w:rsidRPr="0039726C">
        <w:rPr>
          <w:sz w:val="20"/>
          <w:szCs w:val="20"/>
        </w:rPr>
        <w:instrText>HYPERLINK "http://www.ncbi.nlm.nih.gov/pubmed/?term=Cuspidi%20C%5BAuthor%5D&amp;cauthor=true&amp;cauthor_uid=18367014"</w:instrText>
      </w:r>
      <w:r w:rsidR="00F400F0" w:rsidRPr="0039726C">
        <w:rPr>
          <w:sz w:val="20"/>
          <w:szCs w:val="20"/>
        </w:rPr>
        <w:fldChar w:fldCharType="separate"/>
      </w:r>
      <w:r w:rsidRPr="0039726C">
        <w:rPr>
          <w:rStyle w:val="Hyperlink"/>
          <w:rFonts w:ascii="Times New Roman" w:hAnsi="Times New Roman"/>
          <w:b/>
          <w:bCs/>
          <w:i/>
          <w:iCs/>
          <w:color w:val="auto"/>
          <w:sz w:val="20"/>
          <w:szCs w:val="20"/>
          <w:u w:val="none"/>
        </w:rPr>
        <w:t>Cuspidi</w:t>
      </w:r>
      <w:proofErr w:type="spellEnd"/>
      <w:r w:rsidR="00F400F0" w:rsidRPr="0039726C">
        <w:rPr>
          <w:sz w:val="20"/>
          <w:szCs w:val="20"/>
        </w:rPr>
        <w:fldChar w:fldCharType="end"/>
      </w:r>
      <w:r w:rsidRPr="0039726C">
        <w:rPr>
          <w:rFonts w:ascii="Times New Roman" w:hAnsi="Times New Roman"/>
          <w:b/>
          <w:bCs/>
          <w:i/>
          <w:iCs/>
          <w:sz w:val="20"/>
          <w:szCs w:val="20"/>
        </w:rPr>
        <w:t xml:space="preserve"> et al., 2007).</w:t>
      </w:r>
    </w:p>
    <w:p w:rsidR="00EA1677" w:rsidRPr="0039726C" w:rsidRDefault="00EA1677" w:rsidP="00AE7567">
      <w:pPr>
        <w:pStyle w:val="Header"/>
        <w:tabs>
          <w:tab w:val="clear" w:pos="4320"/>
          <w:tab w:val="clear" w:pos="8640"/>
        </w:tabs>
        <w:snapToGrid w:val="0"/>
        <w:spacing w:after="0" w:line="240" w:lineRule="auto"/>
        <w:ind w:firstLine="425"/>
        <w:jc w:val="both"/>
        <w:rPr>
          <w:rFonts w:ascii="Times New Roman" w:hAnsi="Times New Roman"/>
          <w:b/>
          <w:bCs/>
          <w:i/>
          <w:iCs/>
          <w:sz w:val="20"/>
          <w:szCs w:val="20"/>
        </w:rPr>
      </w:pPr>
      <w:r w:rsidRPr="0039726C">
        <w:rPr>
          <w:rFonts w:ascii="Times New Roman" w:hAnsi="Times New Roman"/>
          <w:sz w:val="20"/>
          <w:szCs w:val="20"/>
        </w:rPr>
        <w:t>Also, assessment of left</w:t>
      </w:r>
      <w:r w:rsidR="00C62F17">
        <w:rPr>
          <w:rFonts w:ascii="Times New Roman" w:hAnsi="Times New Roman" w:hint="eastAsia"/>
          <w:sz w:val="20"/>
          <w:szCs w:val="20"/>
          <w:lang w:eastAsia="zh-CN"/>
        </w:rPr>
        <w:t xml:space="preserve"> </w:t>
      </w:r>
      <w:r w:rsidRPr="0039726C">
        <w:rPr>
          <w:rFonts w:ascii="Times New Roman" w:hAnsi="Times New Roman"/>
          <w:sz w:val="20"/>
          <w:szCs w:val="20"/>
        </w:rPr>
        <w:t>ventricular</w:t>
      </w:r>
      <w:r w:rsidR="00C62F17">
        <w:rPr>
          <w:rFonts w:ascii="Times New Roman" w:hAnsi="Times New Roman" w:hint="eastAsia"/>
          <w:sz w:val="20"/>
          <w:szCs w:val="20"/>
          <w:lang w:eastAsia="zh-CN"/>
        </w:rPr>
        <w:t xml:space="preserve"> </w:t>
      </w:r>
      <w:r w:rsidRPr="0039726C">
        <w:rPr>
          <w:rFonts w:ascii="Times New Roman" w:hAnsi="Times New Roman"/>
          <w:sz w:val="20"/>
          <w:szCs w:val="20"/>
        </w:rPr>
        <w:t>(LV) diastolic function should be an integral part of a routine examination of hypertensive patient. Left</w:t>
      </w:r>
      <w:r w:rsidR="00C62F17">
        <w:rPr>
          <w:rFonts w:ascii="Times New Roman" w:hAnsi="Times New Roman" w:hint="eastAsia"/>
          <w:sz w:val="20"/>
          <w:szCs w:val="20"/>
          <w:lang w:eastAsia="zh-CN"/>
        </w:rPr>
        <w:t xml:space="preserve"> </w:t>
      </w:r>
      <w:r w:rsidRPr="0039726C">
        <w:rPr>
          <w:rFonts w:ascii="Times New Roman" w:hAnsi="Times New Roman"/>
          <w:sz w:val="20"/>
          <w:szCs w:val="20"/>
        </w:rPr>
        <w:t xml:space="preserve">ventricular diastolic dysfunction (LVDD) occurs frequently and is associated to heart disease. Doppler </w:t>
      </w:r>
      <w:r w:rsidRPr="0039726C">
        <w:rPr>
          <w:rFonts w:ascii="Times New Roman" w:hAnsi="Times New Roman"/>
          <w:sz w:val="20"/>
          <w:szCs w:val="20"/>
        </w:rPr>
        <w:lastRenderedPageBreak/>
        <w:t xml:space="preserve">echocardiography is the best tool for early LVDD diagnosis </w:t>
      </w:r>
      <w:r w:rsidRPr="0039726C">
        <w:rPr>
          <w:rFonts w:ascii="Times New Roman" w:hAnsi="Times New Roman"/>
          <w:b/>
          <w:bCs/>
          <w:i/>
          <w:iCs/>
          <w:sz w:val="20"/>
          <w:szCs w:val="20"/>
        </w:rPr>
        <w:t>(</w:t>
      </w:r>
      <w:proofErr w:type="spellStart"/>
      <w:r w:rsidR="00F400F0" w:rsidRPr="0039726C">
        <w:rPr>
          <w:sz w:val="20"/>
          <w:szCs w:val="20"/>
        </w:rPr>
        <w:fldChar w:fldCharType="begin"/>
      </w:r>
      <w:r w:rsidR="00F400F0" w:rsidRPr="0039726C">
        <w:rPr>
          <w:sz w:val="20"/>
          <w:szCs w:val="20"/>
        </w:rPr>
        <w:instrText>HYPERLINK "http://www.ncbi.nlm.nih.gov/pubmed/?term=Palmiero%20P%5BAuthor%5D&amp;cauthor=true&amp;cauthor_uid=25584097"</w:instrText>
      </w:r>
      <w:r w:rsidR="00F400F0" w:rsidRPr="0039726C">
        <w:rPr>
          <w:sz w:val="20"/>
          <w:szCs w:val="20"/>
        </w:rPr>
        <w:fldChar w:fldCharType="separate"/>
      </w:r>
      <w:r w:rsidRPr="0039726C">
        <w:rPr>
          <w:rStyle w:val="Hyperlink"/>
          <w:rFonts w:ascii="Times New Roman" w:hAnsi="Times New Roman"/>
          <w:b/>
          <w:bCs/>
          <w:i/>
          <w:iCs/>
          <w:color w:val="auto"/>
          <w:sz w:val="20"/>
          <w:szCs w:val="20"/>
          <w:u w:val="none"/>
        </w:rPr>
        <w:t>Palmiero</w:t>
      </w:r>
      <w:proofErr w:type="spellEnd"/>
      <w:r w:rsidR="00F400F0" w:rsidRPr="0039726C">
        <w:rPr>
          <w:sz w:val="20"/>
          <w:szCs w:val="20"/>
        </w:rPr>
        <w:fldChar w:fldCharType="end"/>
      </w:r>
      <w:r w:rsidRPr="0039726C">
        <w:rPr>
          <w:rFonts w:ascii="Times New Roman" w:hAnsi="Times New Roman"/>
          <w:b/>
          <w:bCs/>
          <w:i/>
          <w:iCs/>
          <w:sz w:val="20"/>
          <w:szCs w:val="20"/>
        </w:rPr>
        <w:t xml:space="preserve"> et al., 2015).</w:t>
      </w:r>
    </w:p>
    <w:p w:rsidR="00EA1677" w:rsidRPr="0039726C" w:rsidRDefault="00EA1677" w:rsidP="00AE7567">
      <w:pPr>
        <w:pStyle w:val="Header"/>
        <w:tabs>
          <w:tab w:val="clear" w:pos="4320"/>
          <w:tab w:val="clear" w:pos="8640"/>
        </w:tabs>
        <w:snapToGrid w:val="0"/>
        <w:spacing w:after="0" w:line="240" w:lineRule="auto"/>
        <w:ind w:firstLine="425"/>
        <w:jc w:val="both"/>
        <w:rPr>
          <w:rFonts w:ascii="Times New Roman" w:hAnsi="Times New Roman"/>
          <w:b/>
          <w:bCs/>
          <w:i/>
          <w:iCs/>
          <w:sz w:val="20"/>
          <w:szCs w:val="20"/>
        </w:rPr>
      </w:pPr>
      <w:r w:rsidRPr="0039726C">
        <w:rPr>
          <w:rFonts w:ascii="Times New Roman" w:hAnsi="Times New Roman"/>
          <w:sz w:val="20"/>
          <w:szCs w:val="20"/>
        </w:rPr>
        <w:t>Furthermore,</w:t>
      </w:r>
      <w:r w:rsidR="00C62F17">
        <w:rPr>
          <w:rFonts w:ascii="Times New Roman" w:hAnsi="Times New Roman" w:hint="eastAsia"/>
          <w:sz w:val="20"/>
          <w:szCs w:val="20"/>
          <w:lang w:eastAsia="zh-CN"/>
        </w:rPr>
        <w:t xml:space="preserve"> </w:t>
      </w:r>
      <w:r w:rsidRPr="0039726C">
        <w:rPr>
          <w:rFonts w:ascii="Times New Roman" w:hAnsi="Times New Roman"/>
          <w:sz w:val="20"/>
          <w:szCs w:val="20"/>
        </w:rPr>
        <w:t xml:space="preserve">LV myocardial stiffness is considered to be an essential myocardial diastolic property independent of loading conditions. Despite its potential importance, it is still unknown whether or how these novel indexes can predict post-discharge outcomes for patients admitted for CHF </w:t>
      </w:r>
      <w:r w:rsidRPr="0039726C">
        <w:rPr>
          <w:rFonts w:ascii="Times New Roman" w:hAnsi="Times New Roman"/>
          <w:b/>
          <w:bCs/>
          <w:i/>
          <w:iCs/>
          <w:sz w:val="20"/>
          <w:szCs w:val="20"/>
        </w:rPr>
        <w:t>(</w:t>
      </w:r>
      <w:hyperlink r:id="rId32" w:history="1">
        <w:r w:rsidRPr="0039726C">
          <w:rPr>
            <w:rStyle w:val="Hyperlink"/>
            <w:rFonts w:ascii="Times New Roman" w:hAnsi="Times New Roman"/>
            <w:b/>
            <w:bCs/>
            <w:i/>
            <w:iCs/>
            <w:color w:val="auto"/>
            <w:sz w:val="20"/>
            <w:szCs w:val="20"/>
            <w:u w:val="none"/>
          </w:rPr>
          <w:t>Watanabe</w:t>
        </w:r>
      </w:hyperlink>
      <w:r w:rsidRPr="0039726C">
        <w:rPr>
          <w:rFonts w:ascii="Times New Roman" w:hAnsi="Times New Roman"/>
          <w:b/>
          <w:bCs/>
          <w:i/>
          <w:iCs/>
          <w:sz w:val="20"/>
          <w:szCs w:val="20"/>
        </w:rPr>
        <w:t xml:space="preserve"> et al., 2011).</w:t>
      </w:r>
    </w:p>
    <w:p w:rsidR="00EA1677" w:rsidRPr="0039726C" w:rsidRDefault="00EA1677" w:rsidP="00AE7567">
      <w:pPr>
        <w:pStyle w:val="Header"/>
        <w:tabs>
          <w:tab w:val="clear" w:pos="4320"/>
          <w:tab w:val="clear" w:pos="8640"/>
        </w:tabs>
        <w:snapToGrid w:val="0"/>
        <w:spacing w:after="0" w:line="240" w:lineRule="auto"/>
        <w:ind w:firstLine="425"/>
        <w:jc w:val="both"/>
        <w:rPr>
          <w:rFonts w:ascii="Times New Roman" w:hAnsi="Times New Roman"/>
          <w:b/>
          <w:bCs/>
          <w:i/>
          <w:iCs/>
          <w:sz w:val="20"/>
          <w:szCs w:val="20"/>
        </w:rPr>
      </w:pPr>
      <w:r w:rsidRPr="0039726C">
        <w:rPr>
          <w:rFonts w:ascii="Times New Roman" w:hAnsi="Times New Roman"/>
          <w:sz w:val="20"/>
          <w:szCs w:val="20"/>
        </w:rPr>
        <w:t xml:space="preserve">Myocardial performance index (MPI) is a Doppler </w:t>
      </w:r>
      <w:proofErr w:type="spellStart"/>
      <w:r w:rsidRPr="0039726C">
        <w:rPr>
          <w:rFonts w:ascii="Times New Roman" w:hAnsi="Times New Roman"/>
          <w:sz w:val="20"/>
          <w:szCs w:val="20"/>
        </w:rPr>
        <w:t>echocardiographic</w:t>
      </w:r>
      <w:proofErr w:type="spellEnd"/>
      <w:r w:rsidRPr="0039726C">
        <w:rPr>
          <w:rFonts w:ascii="Times New Roman" w:hAnsi="Times New Roman"/>
          <w:sz w:val="20"/>
          <w:szCs w:val="20"/>
        </w:rPr>
        <w:t xml:space="preserve"> parameter defined as the sum of the </w:t>
      </w:r>
      <w:proofErr w:type="spellStart"/>
      <w:r w:rsidRPr="0039726C">
        <w:rPr>
          <w:rFonts w:ascii="Times New Roman" w:hAnsi="Times New Roman"/>
          <w:sz w:val="20"/>
          <w:szCs w:val="20"/>
        </w:rPr>
        <w:t>isovolemic</w:t>
      </w:r>
      <w:proofErr w:type="spellEnd"/>
      <w:r w:rsidRPr="0039726C">
        <w:rPr>
          <w:rFonts w:ascii="Times New Roman" w:hAnsi="Times New Roman"/>
          <w:sz w:val="20"/>
          <w:szCs w:val="20"/>
        </w:rPr>
        <w:t xml:space="preserve"> contraction and relaxation times divided by the ejection time. It is considered as a reliable parameter to assess global left ventricular function </w:t>
      </w:r>
      <w:r w:rsidRPr="0039726C">
        <w:rPr>
          <w:rFonts w:ascii="Times New Roman" w:hAnsi="Times New Roman"/>
          <w:b/>
          <w:bCs/>
          <w:i/>
          <w:iCs/>
          <w:sz w:val="20"/>
          <w:szCs w:val="20"/>
        </w:rPr>
        <w:t>(</w:t>
      </w:r>
      <w:proofErr w:type="spellStart"/>
      <w:r w:rsidRPr="0039726C">
        <w:rPr>
          <w:rFonts w:ascii="Times New Roman" w:hAnsi="Times New Roman"/>
          <w:b/>
          <w:bCs/>
          <w:i/>
          <w:iCs/>
          <w:sz w:val="20"/>
          <w:szCs w:val="20"/>
        </w:rPr>
        <w:t>Correale</w:t>
      </w:r>
      <w:proofErr w:type="spellEnd"/>
      <w:r w:rsidRPr="0039726C">
        <w:rPr>
          <w:rFonts w:ascii="Times New Roman" w:hAnsi="Times New Roman"/>
          <w:b/>
          <w:bCs/>
          <w:i/>
          <w:iCs/>
          <w:sz w:val="20"/>
          <w:szCs w:val="20"/>
        </w:rPr>
        <w:t xml:space="preserve"> et al., 2011).</w:t>
      </w:r>
    </w:p>
    <w:p w:rsidR="00EA1677" w:rsidRPr="0039726C" w:rsidRDefault="00EA1677" w:rsidP="00AE7567">
      <w:pPr>
        <w:pStyle w:val="Header"/>
        <w:tabs>
          <w:tab w:val="clear" w:pos="4320"/>
          <w:tab w:val="clear" w:pos="8640"/>
        </w:tabs>
        <w:snapToGrid w:val="0"/>
        <w:spacing w:after="0" w:line="240" w:lineRule="auto"/>
        <w:ind w:firstLine="425"/>
        <w:jc w:val="both"/>
        <w:rPr>
          <w:rFonts w:ascii="Times New Roman" w:hAnsi="Times New Roman"/>
          <w:sz w:val="20"/>
          <w:szCs w:val="20"/>
        </w:rPr>
      </w:pPr>
      <w:r w:rsidRPr="0039726C">
        <w:rPr>
          <w:rFonts w:ascii="Times New Roman" w:hAnsi="Times New Roman"/>
          <w:sz w:val="20"/>
          <w:szCs w:val="20"/>
        </w:rPr>
        <w:t xml:space="preserve">The present study aims to investigate the changes in the myocardium stiffness index for patients suffering from systemic hypertension, and to assess </w:t>
      </w:r>
      <w:r w:rsidR="005F198F" w:rsidRPr="0039726C">
        <w:rPr>
          <w:rFonts w:ascii="Times New Roman" w:hAnsi="Times New Roman"/>
          <w:sz w:val="20"/>
          <w:szCs w:val="20"/>
        </w:rPr>
        <w:t xml:space="preserve">their left </w:t>
      </w:r>
      <w:r w:rsidRPr="0039726C">
        <w:rPr>
          <w:rFonts w:ascii="Times New Roman" w:hAnsi="Times New Roman"/>
          <w:sz w:val="20"/>
          <w:szCs w:val="20"/>
        </w:rPr>
        <w:t>ventricular</w:t>
      </w:r>
      <w:r w:rsidR="00AE7567" w:rsidRPr="0039726C">
        <w:rPr>
          <w:rFonts w:ascii="Times New Roman" w:hAnsi="Times New Roman"/>
          <w:sz w:val="20"/>
          <w:szCs w:val="20"/>
        </w:rPr>
        <w:t xml:space="preserve"> </w:t>
      </w:r>
      <w:r w:rsidRPr="0039726C">
        <w:rPr>
          <w:rFonts w:ascii="Times New Roman" w:hAnsi="Times New Roman"/>
          <w:sz w:val="20"/>
          <w:szCs w:val="20"/>
        </w:rPr>
        <w:t>performance by TDI.</w:t>
      </w:r>
    </w:p>
    <w:p w:rsidR="00EA1677" w:rsidRPr="0039726C" w:rsidRDefault="00EA1677" w:rsidP="00AE7567">
      <w:pPr>
        <w:pStyle w:val="Header"/>
        <w:tabs>
          <w:tab w:val="clear" w:pos="4320"/>
          <w:tab w:val="clear" w:pos="8640"/>
        </w:tabs>
        <w:snapToGrid w:val="0"/>
        <w:spacing w:after="0" w:line="240" w:lineRule="auto"/>
        <w:ind w:firstLine="425"/>
        <w:jc w:val="both"/>
        <w:rPr>
          <w:rFonts w:ascii="Times New Roman" w:hAnsi="Times New Roman"/>
          <w:sz w:val="20"/>
          <w:szCs w:val="20"/>
        </w:rPr>
      </w:pPr>
      <w:r w:rsidRPr="0039726C">
        <w:rPr>
          <w:rFonts w:ascii="Times New Roman" w:hAnsi="Times New Roman"/>
          <w:sz w:val="20"/>
          <w:szCs w:val="20"/>
        </w:rPr>
        <w:t xml:space="preserve">The study included 100 patients with systemic hypertension in addition to 50 healthy controls. Both groups were matched regarding age and sex distribution. All participants were subjected to careful history taking, thorough clinical and cardiac examination. In addition, they were submitted to </w:t>
      </w:r>
      <w:proofErr w:type="spellStart"/>
      <w:r w:rsidRPr="0039726C">
        <w:rPr>
          <w:rFonts w:ascii="Times New Roman" w:hAnsi="Times New Roman"/>
          <w:sz w:val="20"/>
          <w:szCs w:val="20"/>
        </w:rPr>
        <w:t>echocardiographic</w:t>
      </w:r>
      <w:proofErr w:type="spellEnd"/>
      <w:r w:rsidRPr="0039726C">
        <w:rPr>
          <w:rFonts w:ascii="Times New Roman" w:hAnsi="Times New Roman"/>
          <w:sz w:val="20"/>
          <w:szCs w:val="20"/>
        </w:rPr>
        <w:t xml:space="preserve"> examination using conventional and tissue Doppler echocardiography.</w:t>
      </w:r>
    </w:p>
    <w:p w:rsidR="00EA1677" w:rsidRPr="0039726C" w:rsidRDefault="00EA1677" w:rsidP="00AE7567">
      <w:pPr>
        <w:pStyle w:val="Header"/>
        <w:tabs>
          <w:tab w:val="clear" w:pos="4320"/>
          <w:tab w:val="clear" w:pos="8640"/>
        </w:tabs>
        <w:snapToGrid w:val="0"/>
        <w:spacing w:after="0" w:line="240" w:lineRule="auto"/>
        <w:ind w:firstLine="425"/>
        <w:jc w:val="both"/>
        <w:rPr>
          <w:rFonts w:ascii="Times New Roman" w:hAnsi="Times New Roman"/>
          <w:sz w:val="20"/>
          <w:szCs w:val="20"/>
        </w:rPr>
      </w:pPr>
      <w:r w:rsidRPr="0039726C">
        <w:rPr>
          <w:rFonts w:ascii="Times New Roman" w:hAnsi="Times New Roman"/>
          <w:sz w:val="20"/>
          <w:szCs w:val="20"/>
        </w:rPr>
        <w:t xml:space="preserve">In the present study, hypertension grade was I in 71 patients, II in 23 patients and III in 6 patients. Hypertension was controlled in 64 patients and not controlled in 36 patients. This is in accordance with the study of </w:t>
      </w:r>
      <w:proofErr w:type="spellStart"/>
      <w:r w:rsidRPr="0039726C">
        <w:rPr>
          <w:rFonts w:ascii="Times New Roman" w:hAnsi="Times New Roman"/>
          <w:b/>
          <w:bCs/>
          <w:i/>
          <w:iCs/>
          <w:sz w:val="20"/>
          <w:szCs w:val="20"/>
        </w:rPr>
        <w:t>Ebid</w:t>
      </w:r>
      <w:proofErr w:type="spellEnd"/>
      <w:r w:rsidRPr="0039726C">
        <w:rPr>
          <w:rFonts w:ascii="Times New Roman" w:hAnsi="Times New Roman"/>
          <w:b/>
          <w:bCs/>
          <w:i/>
          <w:iCs/>
          <w:sz w:val="20"/>
          <w:szCs w:val="20"/>
        </w:rPr>
        <w:t xml:space="preserve"> et al., (2014)</w:t>
      </w:r>
      <w:r w:rsidRPr="0039726C">
        <w:rPr>
          <w:rFonts w:ascii="Times New Roman" w:hAnsi="Times New Roman"/>
          <w:sz w:val="20"/>
          <w:szCs w:val="20"/>
        </w:rPr>
        <w:t xml:space="preserve"> who studied the role of the pharmacist as a health care provider and the implementation of a pharmaceutical care model to improve medications adherence, BP control, knowledge and quality of life (QOL) in a sample of Egyptian patients suffering from hypertension. In their study, blood pressure control was achieved in 60.0 % of cases among 280 included patients.</w:t>
      </w:r>
    </w:p>
    <w:p w:rsidR="00EA1677" w:rsidRPr="0039726C" w:rsidRDefault="00EA1677" w:rsidP="00AE7567">
      <w:pPr>
        <w:pStyle w:val="Header"/>
        <w:tabs>
          <w:tab w:val="clear" w:pos="4320"/>
          <w:tab w:val="clear" w:pos="8640"/>
        </w:tabs>
        <w:snapToGrid w:val="0"/>
        <w:spacing w:after="0" w:line="240" w:lineRule="auto"/>
        <w:ind w:firstLine="425"/>
        <w:jc w:val="both"/>
        <w:rPr>
          <w:rFonts w:ascii="Times New Roman" w:hAnsi="Times New Roman"/>
          <w:sz w:val="20"/>
          <w:szCs w:val="20"/>
        </w:rPr>
      </w:pPr>
      <w:r w:rsidRPr="0039726C">
        <w:rPr>
          <w:rFonts w:ascii="Times New Roman" w:hAnsi="Times New Roman"/>
          <w:sz w:val="20"/>
          <w:szCs w:val="20"/>
        </w:rPr>
        <w:t xml:space="preserve">In addition, it was shown that patients had significantly higher LVEDS when compared with controls. This is in accordance with the study of </w:t>
      </w:r>
      <w:r w:rsidRPr="0039726C">
        <w:rPr>
          <w:rFonts w:ascii="Times New Roman" w:hAnsi="Times New Roman"/>
          <w:b/>
          <w:bCs/>
          <w:i/>
          <w:iCs/>
          <w:sz w:val="20"/>
          <w:szCs w:val="20"/>
        </w:rPr>
        <w:t>Li et al., (2014)</w:t>
      </w:r>
      <w:r w:rsidRPr="0039726C">
        <w:rPr>
          <w:rFonts w:ascii="Times New Roman" w:hAnsi="Times New Roman"/>
          <w:sz w:val="20"/>
          <w:szCs w:val="20"/>
        </w:rPr>
        <w:t xml:space="preserve"> and </w:t>
      </w:r>
      <w:hyperlink r:id="rId33" w:history="1">
        <w:r w:rsidRPr="0039726C">
          <w:rPr>
            <w:rStyle w:val="Hyperlink"/>
            <w:rFonts w:ascii="Times New Roman" w:hAnsi="Times New Roman"/>
            <w:b/>
            <w:bCs/>
            <w:i/>
            <w:iCs/>
            <w:color w:val="auto"/>
            <w:sz w:val="20"/>
            <w:szCs w:val="20"/>
            <w:u w:val="none"/>
          </w:rPr>
          <w:t>Liu</w:t>
        </w:r>
      </w:hyperlink>
      <w:r w:rsidRPr="0039726C">
        <w:rPr>
          <w:rFonts w:ascii="Times New Roman" w:hAnsi="Times New Roman"/>
          <w:b/>
          <w:bCs/>
          <w:i/>
          <w:iCs/>
          <w:sz w:val="20"/>
          <w:szCs w:val="20"/>
        </w:rPr>
        <w:t xml:space="preserve"> et al., (2015)</w:t>
      </w:r>
      <w:r w:rsidRPr="0039726C">
        <w:rPr>
          <w:rFonts w:ascii="Times New Roman" w:hAnsi="Times New Roman"/>
          <w:sz w:val="20"/>
          <w:szCs w:val="20"/>
        </w:rPr>
        <w:t xml:space="preserve"> who found that hypertensive patients had significantly higher LVEDs when compared with normal controls.</w:t>
      </w:r>
    </w:p>
    <w:p w:rsidR="00EA1677" w:rsidRPr="0039726C" w:rsidRDefault="00EA1677" w:rsidP="00AE7567">
      <w:pPr>
        <w:pStyle w:val="Header"/>
        <w:tabs>
          <w:tab w:val="clear" w:pos="4320"/>
          <w:tab w:val="clear" w:pos="8640"/>
        </w:tabs>
        <w:snapToGrid w:val="0"/>
        <w:spacing w:after="0" w:line="240" w:lineRule="auto"/>
        <w:ind w:firstLine="425"/>
        <w:jc w:val="both"/>
        <w:rPr>
          <w:rFonts w:ascii="Times New Roman" w:hAnsi="Times New Roman"/>
          <w:sz w:val="20"/>
          <w:szCs w:val="20"/>
        </w:rPr>
      </w:pPr>
      <w:r w:rsidRPr="0039726C">
        <w:rPr>
          <w:rFonts w:ascii="Times New Roman" w:hAnsi="Times New Roman"/>
          <w:sz w:val="20"/>
          <w:szCs w:val="20"/>
        </w:rPr>
        <w:t xml:space="preserve">Comparison between the studied groups regarding TDI parameters had shown significant differences between patients and controls regarding most parameters. This is in harmony with the study of </w:t>
      </w:r>
      <w:hyperlink r:id="rId34" w:history="1">
        <w:proofErr w:type="spellStart"/>
        <w:r w:rsidRPr="0039726C">
          <w:rPr>
            <w:rStyle w:val="Hyperlink"/>
            <w:rFonts w:ascii="Times New Roman" w:hAnsi="Times New Roman"/>
            <w:b/>
            <w:bCs/>
            <w:i/>
            <w:iCs/>
            <w:color w:val="auto"/>
            <w:sz w:val="20"/>
            <w:szCs w:val="20"/>
            <w:u w:val="none"/>
          </w:rPr>
          <w:t>Galanti</w:t>
        </w:r>
        <w:proofErr w:type="spellEnd"/>
      </w:hyperlink>
      <w:r w:rsidRPr="0039726C">
        <w:rPr>
          <w:rFonts w:ascii="Times New Roman" w:hAnsi="Times New Roman"/>
          <w:b/>
          <w:bCs/>
          <w:i/>
          <w:iCs/>
          <w:sz w:val="20"/>
          <w:szCs w:val="20"/>
        </w:rPr>
        <w:t xml:space="preserve"> et al., (2010)</w:t>
      </w:r>
      <w:r w:rsidRPr="0039726C">
        <w:rPr>
          <w:rFonts w:ascii="Times New Roman" w:hAnsi="Times New Roman"/>
          <w:sz w:val="20"/>
          <w:szCs w:val="20"/>
        </w:rPr>
        <w:t xml:space="preserve"> who evaluate the role of Pulsed Wave Tissue Doppler Imaging in differentiating pathological from physiological LVH in the middle-aged population. In addition, the study of</w:t>
      </w:r>
      <w:r w:rsidR="00AE7567" w:rsidRPr="0039726C">
        <w:rPr>
          <w:rFonts w:ascii="Times New Roman" w:hAnsi="Times New Roman"/>
          <w:sz w:val="20"/>
          <w:szCs w:val="20"/>
        </w:rPr>
        <w:t xml:space="preserve"> </w:t>
      </w:r>
      <w:r w:rsidRPr="0039726C">
        <w:rPr>
          <w:rFonts w:ascii="Times New Roman" w:hAnsi="Times New Roman"/>
          <w:b/>
          <w:bCs/>
          <w:i/>
          <w:iCs/>
          <w:sz w:val="20"/>
          <w:szCs w:val="20"/>
        </w:rPr>
        <w:t>Adebayo et al., (2008)</w:t>
      </w:r>
      <w:r w:rsidRPr="0039726C">
        <w:rPr>
          <w:rFonts w:ascii="Times New Roman" w:hAnsi="Times New Roman"/>
          <w:sz w:val="20"/>
          <w:szCs w:val="20"/>
        </w:rPr>
        <w:t xml:space="preserve"> who evaluated the utility of the tissue Doppler </w:t>
      </w:r>
      <w:proofErr w:type="spellStart"/>
      <w:r w:rsidRPr="0039726C">
        <w:rPr>
          <w:rFonts w:ascii="Times New Roman" w:hAnsi="Times New Roman"/>
          <w:sz w:val="20"/>
          <w:szCs w:val="20"/>
        </w:rPr>
        <w:t>echocardiographic</w:t>
      </w:r>
      <w:proofErr w:type="spellEnd"/>
      <w:r w:rsidRPr="0039726C">
        <w:rPr>
          <w:rFonts w:ascii="Times New Roman" w:hAnsi="Times New Roman"/>
          <w:sz w:val="20"/>
          <w:szCs w:val="20"/>
        </w:rPr>
        <w:t xml:space="preserve"> technique in </w:t>
      </w:r>
      <w:proofErr w:type="spellStart"/>
      <w:r w:rsidRPr="0039726C">
        <w:rPr>
          <w:rFonts w:ascii="Times New Roman" w:hAnsi="Times New Roman"/>
          <w:sz w:val="20"/>
          <w:szCs w:val="20"/>
        </w:rPr>
        <w:t>characterising</w:t>
      </w:r>
      <w:proofErr w:type="spellEnd"/>
      <w:r w:rsidRPr="0039726C">
        <w:rPr>
          <w:rFonts w:ascii="Times New Roman" w:hAnsi="Times New Roman"/>
          <w:sz w:val="20"/>
          <w:szCs w:val="20"/>
        </w:rPr>
        <w:t xml:space="preserve"> diastolic and systolic functions in untreated native </w:t>
      </w:r>
      <w:r w:rsidRPr="0039726C">
        <w:rPr>
          <w:rFonts w:ascii="Times New Roman" w:hAnsi="Times New Roman"/>
          <w:sz w:val="20"/>
          <w:szCs w:val="20"/>
        </w:rPr>
        <w:lastRenderedPageBreak/>
        <w:t>black African hypertensive subjects and found similar results.</w:t>
      </w:r>
    </w:p>
    <w:p w:rsidR="00EA1677" w:rsidRPr="0039726C" w:rsidRDefault="00EA1677" w:rsidP="00AE7567">
      <w:pPr>
        <w:pStyle w:val="Header"/>
        <w:tabs>
          <w:tab w:val="clear" w:pos="4320"/>
          <w:tab w:val="clear" w:pos="8640"/>
        </w:tabs>
        <w:snapToGrid w:val="0"/>
        <w:spacing w:after="0" w:line="240" w:lineRule="auto"/>
        <w:ind w:firstLine="425"/>
        <w:jc w:val="both"/>
        <w:rPr>
          <w:rFonts w:ascii="Times New Roman" w:hAnsi="Times New Roman"/>
          <w:sz w:val="20"/>
          <w:szCs w:val="20"/>
        </w:rPr>
      </w:pPr>
      <w:r w:rsidRPr="0039726C">
        <w:rPr>
          <w:rFonts w:ascii="Times New Roman" w:hAnsi="Times New Roman"/>
          <w:sz w:val="20"/>
          <w:szCs w:val="20"/>
        </w:rPr>
        <w:t>Comparison between patients and controls regarding SI and IMP had shown that patients had significantly higher SI and IMP when compared with controls.</w:t>
      </w:r>
    </w:p>
    <w:p w:rsidR="00EA1677" w:rsidRPr="0039726C" w:rsidRDefault="00EA1677" w:rsidP="00AE7567">
      <w:pPr>
        <w:pStyle w:val="Header"/>
        <w:tabs>
          <w:tab w:val="clear" w:pos="4320"/>
          <w:tab w:val="clear" w:pos="8640"/>
        </w:tabs>
        <w:snapToGrid w:val="0"/>
        <w:spacing w:after="0" w:line="240" w:lineRule="auto"/>
        <w:ind w:firstLine="425"/>
        <w:jc w:val="both"/>
        <w:rPr>
          <w:rFonts w:ascii="Times New Roman" w:hAnsi="Times New Roman"/>
          <w:sz w:val="20"/>
          <w:szCs w:val="20"/>
        </w:rPr>
      </w:pPr>
      <w:r w:rsidRPr="0039726C">
        <w:rPr>
          <w:rFonts w:ascii="Times New Roman" w:hAnsi="Times New Roman"/>
          <w:sz w:val="20"/>
          <w:szCs w:val="20"/>
        </w:rPr>
        <w:t xml:space="preserve">This is in agreement with the study of </w:t>
      </w:r>
      <w:hyperlink r:id="rId35" w:history="1">
        <w:proofErr w:type="spellStart"/>
        <w:r w:rsidRPr="0039726C">
          <w:rPr>
            <w:rStyle w:val="Hyperlink"/>
            <w:rFonts w:ascii="Times New Roman" w:hAnsi="Times New Roman"/>
            <w:b/>
            <w:bCs/>
            <w:i/>
            <w:iCs/>
            <w:color w:val="auto"/>
            <w:sz w:val="20"/>
            <w:szCs w:val="20"/>
            <w:u w:val="none"/>
          </w:rPr>
          <w:t>Yilmaz</w:t>
        </w:r>
        <w:proofErr w:type="spellEnd"/>
      </w:hyperlink>
      <w:r w:rsidRPr="0039726C">
        <w:rPr>
          <w:rFonts w:ascii="Times New Roman" w:hAnsi="Times New Roman"/>
          <w:b/>
          <w:bCs/>
          <w:i/>
          <w:iCs/>
          <w:sz w:val="20"/>
          <w:szCs w:val="20"/>
        </w:rPr>
        <w:t xml:space="preserve"> et al., (2004)</w:t>
      </w:r>
      <w:r w:rsidRPr="0039726C">
        <w:rPr>
          <w:rFonts w:ascii="Times New Roman" w:hAnsi="Times New Roman"/>
          <w:sz w:val="20"/>
          <w:szCs w:val="20"/>
        </w:rPr>
        <w:t xml:space="preserve"> who investigated the relationship between the</w:t>
      </w:r>
      <w:r w:rsidR="00C62F17">
        <w:rPr>
          <w:rFonts w:ascii="Times New Roman" w:hAnsi="Times New Roman" w:hint="eastAsia"/>
          <w:sz w:val="20"/>
          <w:szCs w:val="20"/>
          <w:lang w:eastAsia="zh-CN"/>
        </w:rPr>
        <w:t xml:space="preserve"> </w:t>
      </w:r>
      <w:r w:rsidRPr="0039726C">
        <w:rPr>
          <w:rFonts w:ascii="Times New Roman" w:hAnsi="Times New Roman"/>
          <w:sz w:val="20"/>
          <w:szCs w:val="20"/>
        </w:rPr>
        <w:t>myocardial performance index (MPI) and left ventricular (LV) geometry in hypertensive patients. In their study, MPI, which is a marker of systolic and diastolic ventricular function, was measured in 64 hypertensive patients and in 15 healthy persons (Control).</w:t>
      </w:r>
      <w:r w:rsidR="00AE7567" w:rsidRPr="0039726C">
        <w:rPr>
          <w:rFonts w:ascii="Times New Roman" w:hAnsi="Times New Roman"/>
          <w:sz w:val="20"/>
          <w:szCs w:val="20"/>
        </w:rPr>
        <w:t xml:space="preserve"> </w:t>
      </w:r>
      <w:r w:rsidRPr="0039726C">
        <w:rPr>
          <w:rFonts w:ascii="Times New Roman" w:hAnsi="Times New Roman"/>
          <w:sz w:val="20"/>
          <w:szCs w:val="20"/>
        </w:rPr>
        <w:t>Results showed that a higher MPI was found in all patients compared with the controls.</w:t>
      </w:r>
    </w:p>
    <w:p w:rsidR="00EA1677" w:rsidRPr="0039726C" w:rsidRDefault="00EA1677" w:rsidP="00AE7567">
      <w:pPr>
        <w:pStyle w:val="Header"/>
        <w:tabs>
          <w:tab w:val="clear" w:pos="4320"/>
          <w:tab w:val="clear" w:pos="8640"/>
        </w:tabs>
        <w:snapToGrid w:val="0"/>
        <w:spacing w:after="0" w:line="240" w:lineRule="auto"/>
        <w:ind w:firstLine="425"/>
        <w:jc w:val="both"/>
        <w:rPr>
          <w:rFonts w:ascii="Times New Roman" w:hAnsi="Times New Roman"/>
          <w:sz w:val="20"/>
          <w:szCs w:val="20"/>
        </w:rPr>
      </w:pPr>
      <w:r w:rsidRPr="0039726C">
        <w:rPr>
          <w:rFonts w:ascii="Times New Roman" w:hAnsi="Times New Roman"/>
          <w:sz w:val="20"/>
          <w:szCs w:val="20"/>
        </w:rPr>
        <w:t xml:space="preserve">In addition, the study of </w:t>
      </w:r>
      <w:hyperlink r:id="rId36" w:history="1">
        <w:r w:rsidRPr="0039726C">
          <w:rPr>
            <w:rStyle w:val="Hyperlink"/>
            <w:rFonts w:ascii="Times New Roman" w:hAnsi="Times New Roman"/>
            <w:b/>
            <w:bCs/>
            <w:i/>
            <w:iCs/>
            <w:color w:val="auto"/>
            <w:sz w:val="20"/>
            <w:szCs w:val="20"/>
            <w:u w:val="none"/>
          </w:rPr>
          <w:t>Tan</w:t>
        </w:r>
      </w:hyperlink>
      <w:r w:rsidRPr="0039726C">
        <w:rPr>
          <w:rFonts w:ascii="Times New Roman" w:hAnsi="Times New Roman"/>
          <w:b/>
          <w:bCs/>
          <w:i/>
          <w:iCs/>
          <w:sz w:val="20"/>
          <w:szCs w:val="20"/>
        </w:rPr>
        <w:t xml:space="preserve"> et al., (2006)</w:t>
      </w:r>
      <w:r w:rsidRPr="0039726C">
        <w:rPr>
          <w:rFonts w:ascii="Times New Roman" w:hAnsi="Times New Roman"/>
          <w:sz w:val="20"/>
          <w:szCs w:val="20"/>
        </w:rPr>
        <w:t xml:space="preserve"> studied left ventricular function in</w:t>
      </w:r>
      <w:r w:rsidR="00C62F17">
        <w:rPr>
          <w:rFonts w:ascii="Times New Roman" w:hAnsi="Times New Roman" w:hint="eastAsia"/>
          <w:sz w:val="20"/>
          <w:szCs w:val="20"/>
          <w:lang w:eastAsia="zh-CN"/>
        </w:rPr>
        <w:t xml:space="preserve"> </w:t>
      </w:r>
      <w:r w:rsidRPr="0039726C">
        <w:rPr>
          <w:rFonts w:ascii="Times New Roman" w:hAnsi="Times New Roman"/>
          <w:sz w:val="20"/>
          <w:szCs w:val="20"/>
        </w:rPr>
        <w:t>hypertensive</w:t>
      </w:r>
      <w:r w:rsidR="00C62F17">
        <w:rPr>
          <w:rFonts w:ascii="Times New Roman" w:hAnsi="Times New Roman" w:hint="eastAsia"/>
          <w:sz w:val="20"/>
          <w:szCs w:val="20"/>
          <w:lang w:eastAsia="zh-CN"/>
        </w:rPr>
        <w:t xml:space="preserve"> </w:t>
      </w:r>
      <w:r w:rsidRPr="0039726C">
        <w:rPr>
          <w:rFonts w:ascii="Times New Roman" w:hAnsi="Times New Roman"/>
          <w:sz w:val="20"/>
          <w:szCs w:val="20"/>
        </w:rPr>
        <w:t xml:space="preserve">patients by using this index. A group of 40 </w:t>
      </w:r>
      <w:proofErr w:type="spellStart"/>
      <w:r w:rsidRPr="0039726C">
        <w:rPr>
          <w:rFonts w:ascii="Times New Roman" w:hAnsi="Times New Roman"/>
          <w:sz w:val="20"/>
          <w:szCs w:val="20"/>
        </w:rPr>
        <w:t>hypertensives</w:t>
      </w:r>
      <w:proofErr w:type="spellEnd"/>
      <w:r w:rsidRPr="0039726C">
        <w:rPr>
          <w:rFonts w:ascii="Times New Roman" w:hAnsi="Times New Roman"/>
          <w:sz w:val="20"/>
          <w:szCs w:val="20"/>
        </w:rPr>
        <w:t xml:space="preserve"> and 16 controls were included. MPI was significantly higher in NLVH and LVH groups than in control </w:t>
      </w:r>
      <w:proofErr w:type="gramStart"/>
      <w:r w:rsidRPr="0039726C">
        <w:rPr>
          <w:rFonts w:ascii="Times New Roman" w:hAnsi="Times New Roman"/>
          <w:sz w:val="20"/>
          <w:szCs w:val="20"/>
        </w:rPr>
        <w:t>group,</w:t>
      </w:r>
      <w:proofErr w:type="gramEnd"/>
      <w:r w:rsidRPr="0039726C">
        <w:rPr>
          <w:rFonts w:ascii="Times New Roman" w:hAnsi="Times New Roman"/>
          <w:sz w:val="20"/>
          <w:szCs w:val="20"/>
        </w:rPr>
        <w:t xml:space="preserve"> and in LVH group than in NLVH group.</w:t>
      </w:r>
    </w:p>
    <w:p w:rsidR="00EA1677" w:rsidRPr="0039726C" w:rsidRDefault="00EA1677" w:rsidP="00AE7567">
      <w:pPr>
        <w:pStyle w:val="Header"/>
        <w:tabs>
          <w:tab w:val="clear" w:pos="4320"/>
          <w:tab w:val="clear" w:pos="8640"/>
        </w:tabs>
        <w:snapToGrid w:val="0"/>
        <w:spacing w:after="0" w:line="240" w:lineRule="auto"/>
        <w:ind w:firstLine="425"/>
        <w:jc w:val="both"/>
        <w:rPr>
          <w:rFonts w:ascii="Times New Roman" w:hAnsi="Times New Roman"/>
          <w:sz w:val="20"/>
          <w:szCs w:val="20"/>
        </w:rPr>
      </w:pPr>
      <w:r w:rsidRPr="0039726C">
        <w:rPr>
          <w:rFonts w:ascii="Times New Roman" w:hAnsi="Times New Roman"/>
          <w:sz w:val="20"/>
          <w:szCs w:val="20"/>
        </w:rPr>
        <w:t xml:space="preserve">In another study, </w:t>
      </w:r>
      <w:hyperlink r:id="rId37" w:history="1">
        <w:proofErr w:type="spellStart"/>
        <w:r w:rsidRPr="0039726C">
          <w:rPr>
            <w:rStyle w:val="Hyperlink"/>
            <w:rFonts w:ascii="Times New Roman" w:hAnsi="Times New Roman"/>
            <w:b/>
            <w:bCs/>
            <w:i/>
            <w:iCs/>
            <w:color w:val="auto"/>
            <w:sz w:val="20"/>
            <w:szCs w:val="20"/>
            <w:u w:val="none"/>
          </w:rPr>
          <w:t>Masugata</w:t>
        </w:r>
        <w:proofErr w:type="spellEnd"/>
      </w:hyperlink>
      <w:r w:rsidRPr="0039726C">
        <w:rPr>
          <w:rFonts w:ascii="Times New Roman" w:hAnsi="Times New Roman"/>
          <w:b/>
          <w:bCs/>
          <w:i/>
          <w:iCs/>
          <w:sz w:val="20"/>
          <w:szCs w:val="20"/>
        </w:rPr>
        <w:t xml:space="preserve"> et al., (2009)</w:t>
      </w:r>
      <w:r w:rsidRPr="0039726C">
        <w:rPr>
          <w:rFonts w:ascii="Times New Roman" w:hAnsi="Times New Roman"/>
          <w:sz w:val="20"/>
          <w:szCs w:val="20"/>
        </w:rPr>
        <w:t xml:space="preserve"> compared the MPI between hypertensive and </w:t>
      </w:r>
      <w:proofErr w:type="spellStart"/>
      <w:r w:rsidRPr="0039726C">
        <w:rPr>
          <w:rFonts w:ascii="Times New Roman" w:hAnsi="Times New Roman"/>
          <w:sz w:val="20"/>
          <w:szCs w:val="20"/>
        </w:rPr>
        <w:t>normotensive</w:t>
      </w:r>
      <w:proofErr w:type="spellEnd"/>
      <w:r w:rsidRPr="0039726C">
        <w:rPr>
          <w:rFonts w:ascii="Times New Roman" w:hAnsi="Times New Roman"/>
          <w:sz w:val="20"/>
          <w:szCs w:val="20"/>
        </w:rPr>
        <w:t xml:space="preserve"> patients and examined independent determinants of the </w:t>
      </w:r>
      <w:proofErr w:type="spellStart"/>
      <w:r w:rsidRPr="0039726C">
        <w:rPr>
          <w:rFonts w:ascii="Times New Roman" w:hAnsi="Times New Roman"/>
          <w:sz w:val="20"/>
          <w:szCs w:val="20"/>
        </w:rPr>
        <w:t>Tei</w:t>
      </w:r>
      <w:proofErr w:type="spellEnd"/>
      <w:r w:rsidRPr="0039726C">
        <w:rPr>
          <w:rFonts w:ascii="Times New Roman" w:hAnsi="Times New Roman"/>
          <w:sz w:val="20"/>
          <w:szCs w:val="20"/>
        </w:rPr>
        <w:t> index in hypertensive patients with preserved LV systolic function. Results showed that patients had significantly higher MPI when compared with controls.</w:t>
      </w:r>
    </w:p>
    <w:p w:rsidR="00EA1677" w:rsidRPr="0039726C" w:rsidRDefault="00EA1677" w:rsidP="00AE7567">
      <w:pPr>
        <w:pStyle w:val="Header"/>
        <w:tabs>
          <w:tab w:val="clear" w:pos="4320"/>
          <w:tab w:val="clear" w:pos="8640"/>
        </w:tabs>
        <w:snapToGrid w:val="0"/>
        <w:spacing w:after="0" w:line="240" w:lineRule="auto"/>
        <w:ind w:firstLine="425"/>
        <w:jc w:val="both"/>
        <w:rPr>
          <w:rFonts w:ascii="Times New Roman" w:hAnsi="Times New Roman"/>
          <w:sz w:val="20"/>
          <w:szCs w:val="20"/>
        </w:rPr>
      </w:pPr>
      <w:r w:rsidRPr="0039726C">
        <w:rPr>
          <w:rFonts w:ascii="Times New Roman" w:hAnsi="Times New Roman"/>
          <w:sz w:val="20"/>
          <w:szCs w:val="20"/>
        </w:rPr>
        <w:t xml:space="preserve">In addition, the study of </w:t>
      </w:r>
      <w:hyperlink r:id="rId38" w:history="1">
        <w:proofErr w:type="spellStart"/>
        <w:r w:rsidRPr="0039726C">
          <w:rPr>
            <w:rStyle w:val="Hyperlink"/>
            <w:rFonts w:ascii="Times New Roman" w:hAnsi="Times New Roman"/>
            <w:b/>
            <w:bCs/>
            <w:i/>
            <w:iCs/>
            <w:color w:val="auto"/>
            <w:sz w:val="20"/>
            <w:szCs w:val="20"/>
            <w:u w:val="none"/>
          </w:rPr>
          <w:t>Akintunde</w:t>
        </w:r>
        <w:proofErr w:type="spellEnd"/>
      </w:hyperlink>
      <w:r w:rsidRPr="0039726C">
        <w:rPr>
          <w:rFonts w:ascii="Times New Roman" w:hAnsi="Times New Roman"/>
          <w:b/>
          <w:bCs/>
          <w:i/>
          <w:iCs/>
          <w:sz w:val="20"/>
          <w:szCs w:val="20"/>
        </w:rPr>
        <w:t xml:space="preserve"> (2012)</w:t>
      </w:r>
      <w:r w:rsidRPr="0039726C">
        <w:rPr>
          <w:rFonts w:ascii="Times New Roman" w:hAnsi="Times New Roman"/>
          <w:sz w:val="20"/>
          <w:szCs w:val="20"/>
        </w:rPr>
        <w:t xml:space="preserve"> evaluated the correlation of the MPI with other conventional indices of systolic and diastolic function among Nigerians with hypertensive heart failure.</w:t>
      </w:r>
    </w:p>
    <w:p w:rsidR="00EA1677" w:rsidRPr="0039726C" w:rsidRDefault="00EA1677" w:rsidP="00AE7567">
      <w:pPr>
        <w:pStyle w:val="Header"/>
        <w:tabs>
          <w:tab w:val="clear" w:pos="4320"/>
          <w:tab w:val="clear" w:pos="8640"/>
        </w:tabs>
        <w:snapToGrid w:val="0"/>
        <w:spacing w:after="0" w:line="240" w:lineRule="auto"/>
        <w:ind w:firstLine="425"/>
        <w:jc w:val="both"/>
        <w:rPr>
          <w:rFonts w:ascii="Times New Roman" w:hAnsi="Times New Roman"/>
          <w:sz w:val="20"/>
          <w:szCs w:val="20"/>
        </w:rPr>
      </w:pPr>
      <w:r w:rsidRPr="0039726C">
        <w:rPr>
          <w:rFonts w:ascii="Times New Roman" w:hAnsi="Times New Roman"/>
          <w:sz w:val="20"/>
          <w:szCs w:val="20"/>
        </w:rPr>
        <w:t xml:space="preserve">The present study found a significant correlation between SI and patients age, </w:t>
      </w:r>
      <w:proofErr w:type="gramStart"/>
      <w:r w:rsidRPr="0039726C">
        <w:rPr>
          <w:rFonts w:ascii="Times New Roman" w:hAnsi="Times New Roman"/>
          <w:sz w:val="20"/>
          <w:szCs w:val="20"/>
        </w:rPr>
        <w:t>As</w:t>
      </w:r>
      <w:proofErr w:type="gramEnd"/>
      <w:r w:rsidRPr="0039726C">
        <w:rPr>
          <w:rFonts w:ascii="Times New Roman" w:hAnsi="Times New Roman"/>
          <w:sz w:val="20"/>
          <w:szCs w:val="20"/>
        </w:rPr>
        <w:t xml:space="preserve"> founded This in the study of </w:t>
      </w:r>
      <w:hyperlink r:id="rId39" w:history="1">
        <w:proofErr w:type="spellStart"/>
        <w:r w:rsidRPr="0039726C">
          <w:rPr>
            <w:rStyle w:val="Hyperlink"/>
            <w:rFonts w:ascii="Times New Roman" w:hAnsi="Times New Roman"/>
            <w:b/>
            <w:bCs/>
            <w:i/>
            <w:iCs/>
            <w:color w:val="auto"/>
            <w:sz w:val="20"/>
            <w:szCs w:val="20"/>
            <w:u w:val="none"/>
          </w:rPr>
          <w:t>Wassenaar</w:t>
        </w:r>
        <w:proofErr w:type="spellEnd"/>
      </w:hyperlink>
      <w:r w:rsidRPr="0039726C">
        <w:rPr>
          <w:rFonts w:ascii="Times New Roman" w:hAnsi="Times New Roman"/>
          <w:b/>
          <w:bCs/>
          <w:i/>
          <w:iCs/>
          <w:sz w:val="20"/>
          <w:szCs w:val="20"/>
        </w:rPr>
        <w:t xml:space="preserve"> et al., (2015)</w:t>
      </w:r>
      <w:r w:rsidRPr="0039726C">
        <w:rPr>
          <w:rFonts w:ascii="Times New Roman" w:hAnsi="Times New Roman"/>
          <w:sz w:val="20"/>
          <w:szCs w:val="20"/>
        </w:rPr>
        <w:t xml:space="preserve"> who assess reproducibility in measuring left ventricular (LV)</w:t>
      </w:r>
      <w:r w:rsidR="00C62F17">
        <w:rPr>
          <w:rFonts w:ascii="Times New Roman" w:hAnsi="Times New Roman" w:hint="eastAsia"/>
          <w:sz w:val="20"/>
          <w:szCs w:val="20"/>
          <w:lang w:eastAsia="zh-CN"/>
        </w:rPr>
        <w:t xml:space="preserve"> </w:t>
      </w:r>
      <w:r w:rsidRPr="0039726C">
        <w:rPr>
          <w:rFonts w:ascii="Times New Roman" w:hAnsi="Times New Roman"/>
          <w:sz w:val="20"/>
          <w:szCs w:val="20"/>
        </w:rPr>
        <w:t xml:space="preserve">myocardial stiffness in volunteers throughout the cardiac cycle using MR </w:t>
      </w:r>
      <w:proofErr w:type="spellStart"/>
      <w:r w:rsidRPr="0039726C">
        <w:rPr>
          <w:rFonts w:ascii="Times New Roman" w:hAnsi="Times New Roman"/>
          <w:sz w:val="20"/>
          <w:szCs w:val="20"/>
        </w:rPr>
        <w:t>elastography</w:t>
      </w:r>
      <w:proofErr w:type="spellEnd"/>
      <w:r w:rsidRPr="0039726C">
        <w:rPr>
          <w:rFonts w:ascii="Times New Roman" w:hAnsi="Times New Roman"/>
          <w:sz w:val="20"/>
          <w:szCs w:val="20"/>
        </w:rPr>
        <w:t xml:space="preserve"> (MRE) and to determine its correlation with age. They noted that </w:t>
      </w:r>
      <w:proofErr w:type="spellStart"/>
      <w:r w:rsidRPr="0039726C">
        <w:rPr>
          <w:rFonts w:ascii="Times New Roman" w:hAnsi="Times New Roman"/>
          <w:sz w:val="20"/>
          <w:szCs w:val="20"/>
        </w:rPr>
        <w:t>mycoardial</w:t>
      </w:r>
      <w:proofErr w:type="spellEnd"/>
      <w:r w:rsidRPr="0039726C">
        <w:rPr>
          <w:rFonts w:ascii="Times New Roman" w:hAnsi="Times New Roman"/>
          <w:sz w:val="20"/>
          <w:szCs w:val="20"/>
        </w:rPr>
        <w:t xml:space="preserve"> stiffness is correlated to </w:t>
      </w:r>
      <w:proofErr w:type="gramStart"/>
      <w:r w:rsidRPr="0039726C">
        <w:rPr>
          <w:rFonts w:ascii="Times New Roman" w:hAnsi="Times New Roman"/>
          <w:sz w:val="20"/>
          <w:szCs w:val="20"/>
        </w:rPr>
        <w:t>patients</w:t>
      </w:r>
      <w:proofErr w:type="gramEnd"/>
      <w:r w:rsidRPr="0039726C">
        <w:rPr>
          <w:rFonts w:ascii="Times New Roman" w:hAnsi="Times New Roman"/>
          <w:sz w:val="20"/>
          <w:szCs w:val="20"/>
        </w:rPr>
        <w:t xml:space="preserve"> age.</w:t>
      </w:r>
    </w:p>
    <w:p w:rsidR="00061D94" w:rsidRPr="0039726C" w:rsidRDefault="00061D94" w:rsidP="00AE7567">
      <w:pPr>
        <w:pStyle w:val="Header"/>
        <w:tabs>
          <w:tab w:val="clear" w:pos="4320"/>
          <w:tab w:val="clear" w:pos="8640"/>
        </w:tabs>
        <w:snapToGrid w:val="0"/>
        <w:spacing w:after="0" w:line="240" w:lineRule="auto"/>
        <w:jc w:val="both"/>
        <w:rPr>
          <w:rFonts w:ascii="Times New Roman" w:hAnsi="Times New Roman"/>
          <w:b/>
          <w:bCs/>
          <w:sz w:val="20"/>
          <w:szCs w:val="20"/>
        </w:rPr>
      </w:pPr>
    </w:p>
    <w:p w:rsidR="00EA1677" w:rsidRPr="0039726C" w:rsidRDefault="00DD41BE" w:rsidP="00AE7567">
      <w:pPr>
        <w:pStyle w:val="Header"/>
        <w:tabs>
          <w:tab w:val="clear" w:pos="4320"/>
          <w:tab w:val="clear" w:pos="8640"/>
        </w:tabs>
        <w:snapToGrid w:val="0"/>
        <w:spacing w:after="0" w:line="240" w:lineRule="auto"/>
        <w:jc w:val="both"/>
        <w:rPr>
          <w:rFonts w:ascii="Times New Roman" w:hAnsi="Times New Roman"/>
          <w:b/>
          <w:bCs/>
          <w:sz w:val="20"/>
          <w:szCs w:val="20"/>
        </w:rPr>
      </w:pPr>
      <w:r w:rsidRPr="0039726C">
        <w:rPr>
          <w:rFonts w:ascii="Times New Roman" w:hAnsi="Times New Roman"/>
          <w:b/>
          <w:bCs/>
          <w:sz w:val="20"/>
          <w:szCs w:val="20"/>
        </w:rPr>
        <w:t>Conclusion:</w:t>
      </w:r>
    </w:p>
    <w:p w:rsidR="00EA1677" w:rsidRPr="0039726C" w:rsidRDefault="00EA1677" w:rsidP="00AE7567">
      <w:pPr>
        <w:pStyle w:val="Header"/>
        <w:numPr>
          <w:ilvl w:val="0"/>
          <w:numId w:val="11"/>
        </w:numPr>
        <w:tabs>
          <w:tab w:val="clear" w:pos="360"/>
          <w:tab w:val="clear" w:pos="4320"/>
          <w:tab w:val="clear" w:pos="8640"/>
        </w:tabs>
        <w:snapToGrid w:val="0"/>
        <w:spacing w:after="0" w:line="240" w:lineRule="auto"/>
        <w:ind w:left="0" w:firstLine="425"/>
        <w:jc w:val="both"/>
        <w:rPr>
          <w:rFonts w:ascii="Times New Roman" w:hAnsi="Times New Roman"/>
          <w:sz w:val="20"/>
          <w:szCs w:val="20"/>
        </w:rPr>
      </w:pPr>
      <w:r w:rsidRPr="0039726C">
        <w:rPr>
          <w:rFonts w:ascii="Times New Roman" w:hAnsi="Times New Roman"/>
          <w:sz w:val="20"/>
          <w:szCs w:val="20"/>
        </w:rPr>
        <w:t>The diastolic stiffness was significantly higher in hypertensive patients compared to healthy subjects. This may be due to the fact that patients with hypertension experienced certain morphologic and structural changes of the left ventricle including left ventricular hypertrophy reducing LV compliance and increasing myocardial stiffness.</w:t>
      </w:r>
    </w:p>
    <w:p w:rsidR="00DD41BE" w:rsidRPr="0039726C" w:rsidRDefault="00EA1677" w:rsidP="00AE7567">
      <w:pPr>
        <w:pStyle w:val="Header"/>
        <w:numPr>
          <w:ilvl w:val="0"/>
          <w:numId w:val="11"/>
        </w:numPr>
        <w:tabs>
          <w:tab w:val="clear" w:pos="360"/>
          <w:tab w:val="clear" w:pos="4320"/>
          <w:tab w:val="clear" w:pos="8640"/>
        </w:tabs>
        <w:snapToGrid w:val="0"/>
        <w:spacing w:after="0" w:line="240" w:lineRule="auto"/>
        <w:ind w:left="0" w:firstLine="425"/>
        <w:jc w:val="both"/>
        <w:rPr>
          <w:rFonts w:ascii="Times New Roman" w:hAnsi="Times New Roman"/>
          <w:sz w:val="20"/>
          <w:szCs w:val="20"/>
        </w:rPr>
      </w:pPr>
      <w:r w:rsidRPr="0039726C">
        <w:rPr>
          <w:rFonts w:ascii="Times New Roman" w:hAnsi="Times New Roman"/>
          <w:sz w:val="20"/>
          <w:szCs w:val="20"/>
        </w:rPr>
        <w:t>From the results it can be concluded that IMP appears to be a good measure of global left ventricular function (systolic and diastolic function), and is a sensitive and accurate evaluation of disease states.</w:t>
      </w:r>
    </w:p>
    <w:p w:rsidR="008D23F1" w:rsidRPr="0039726C" w:rsidRDefault="00EA1677" w:rsidP="00AE7567">
      <w:pPr>
        <w:pStyle w:val="Header"/>
        <w:numPr>
          <w:ilvl w:val="0"/>
          <w:numId w:val="11"/>
        </w:numPr>
        <w:tabs>
          <w:tab w:val="clear" w:pos="360"/>
          <w:tab w:val="clear" w:pos="4320"/>
          <w:tab w:val="clear" w:pos="8640"/>
        </w:tabs>
        <w:snapToGrid w:val="0"/>
        <w:spacing w:after="0" w:line="240" w:lineRule="auto"/>
        <w:ind w:left="0" w:firstLine="425"/>
        <w:jc w:val="both"/>
        <w:rPr>
          <w:rFonts w:ascii="Times New Roman" w:hAnsi="Times New Roman"/>
          <w:sz w:val="20"/>
          <w:szCs w:val="20"/>
        </w:rPr>
      </w:pPr>
      <w:r w:rsidRPr="0039726C">
        <w:rPr>
          <w:rFonts w:ascii="Times New Roman" w:hAnsi="Times New Roman"/>
          <w:sz w:val="20"/>
          <w:szCs w:val="20"/>
        </w:rPr>
        <w:t xml:space="preserve">LV stiffness index is correlated directly with </w:t>
      </w:r>
      <w:proofErr w:type="gramStart"/>
      <w:r w:rsidRPr="0039726C">
        <w:rPr>
          <w:rFonts w:ascii="Times New Roman" w:hAnsi="Times New Roman"/>
          <w:sz w:val="20"/>
          <w:szCs w:val="20"/>
        </w:rPr>
        <w:t>patients</w:t>
      </w:r>
      <w:proofErr w:type="gramEnd"/>
      <w:r w:rsidRPr="0039726C">
        <w:rPr>
          <w:rFonts w:ascii="Times New Roman" w:hAnsi="Times New Roman"/>
          <w:sz w:val="20"/>
          <w:szCs w:val="20"/>
        </w:rPr>
        <w:t xml:space="preserve"> age and MPI</w:t>
      </w:r>
      <w:r w:rsidR="00AE7567" w:rsidRPr="0039726C">
        <w:rPr>
          <w:rFonts w:ascii="Times New Roman" w:hAnsi="Times New Roman" w:hint="eastAsia"/>
          <w:sz w:val="20"/>
          <w:szCs w:val="20"/>
          <w:lang w:eastAsia="zh-CN"/>
        </w:rPr>
        <w:t>.</w:t>
      </w:r>
    </w:p>
    <w:p w:rsidR="00F25CDE" w:rsidRPr="0039726C" w:rsidRDefault="00F25CDE" w:rsidP="00AE7567">
      <w:pPr>
        <w:autoSpaceDE w:val="0"/>
        <w:autoSpaceDN w:val="0"/>
        <w:adjustRightInd w:val="0"/>
        <w:snapToGrid w:val="0"/>
        <w:spacing w:after="0" w:line="240" w:lineRule="auto"/>
        <w:jc w:val="both"/>
        <w:rPr>
          <w:rFonts w:ascii="Times New Roman" w:hAnsi="Times New Roman" w:cs="Times New Roman"/>
          <w:b/>
          <w:bCs/>
          <w:sz w:val="20"/>
          <w:szCs w:val="20"/>
          <w:lang w:bidi="ar-EG"/>
        </w:rPr>
      </w:pPr>
    </w:p>
    <w:p w:rsidR="00DD41BE" w:rsidRPr="0039726C" w:rsidRDefault="00DD41BE" w:rsidP="00AE756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39726C">
        <w:rPr>
          <w:rFonts w:ascii="Times New Roman" w:hAnsi="Times New Roman" w:cs="Times New Roman"/>
          <w:b/>
          <w:bCs/>
          <w:sz w:val="20"/>
          <w:szCs w:val="20"/>
          <w:lang w:bidi="ar-EG"/>
        </w:rPr>
        <w:t>Recommendations</w:t>
      </w:r>
      <w:r w:rsidR="00151B24" w:rsidRPr="0039726C">
        <w:rPr>
          <w:rFonts w:ascii="Times New Roman" w:hAnsi="Times New Roman" w:cs="Times New Roman"/>
          <w:b/>
          <w:bCs/>
          <w:sz w:val="20"/>
          <w:szCs w:val="20"/>
          <w:lang w:bidi="ar-EG"/>
        </w:rPr>
        <w:t>:</w:t>
      </w:r>
    </w:p>
    <w:p w:rsidR="00DD41BE" w:rsidRPr="0039726C" w:rsidRDefault="00DD41BE" w:rsidP="00AE7567">
      <w:pPr>
        <w:autoSpaceDE w:val="0"/>
        <w:autoSpaceDN w:val="0"/>
        <w:adjustRightInd w:val="0"/>
        <w:snapToGrid w:val="0"/>
        <w:spacing w:after="0" w:line="240" w:lineRule="auto"/>
        <w:ind w:firstLine="425"/>
        <w:jc w:val="both"/>
        <w:rPr>
          <w:rFonts w:ascii="Times New Roman" w:hAnsi="Times New Roman" w:cs="Times New Roman"/>
          <w:b/>
          <w:bCs/>
          <w:sz w:val="20"/>
          <w:szCs w:val="20"/>
          <w:lang w:bidi="ar-EG"/>
        </w:rPr>
      </w:pPr>
      <w:r w:rsidRPr="0039726C">
        <w:rPr>
          <w:rFonts w:ascii="Times New Roman" w:hAnsi="Times New Roman" w:cs="Times New Roman"/>
          <w:color w:val="000000"/>
          <w:sz w:val="20"/>
          <w:szCs w:val="20"/>
        </w:rPr>
        <w:t>Another study is recommended to detect SI in patients with complicated hypertension particularly those with CHF, also another study is recommended to declare the influence of antihypertensive treatment on SI.</w:t>
      </w:r>
    </w:p>
    <w:p w:rsidR="00AE7567" w:rsidRPr="0039726C" w:rsidRDefault="00AE7567" w:rsidP="00AE7567">
      <w:pPr>
        <w:autoSpaceDE w:val="0"/>
        <w:autoSpaceDN w:val="0"/>
        <w:adjustRightInd w:val="0"/>
        <w:snapToGrid w:val="0"/>
        <w:spacing w:after="0" w:line="240" w:lineRule="auto"/>
        <w:jc w:val="both"/>
        <w:rPr>
          <w:rFonts w:ascii="Times New Roman" w:hAnsi="Times New Roman" w:cs="Times New Roman"/>
          <w:b/>
          <w:bCs/>
          <w:color w:val="000000"/>
          <w:sz w:val="20"/>
          <w:szCs w:val="20"/>
          <w:lang w:eastAsia="zh-CN"/>
        </w:rPr>
      </w:pPr>
    </w:p>
    <w:p w:rsidR="00DD41BE" w:rsidRPr="0039726C" w:rsidRDefault="00DD41BE" w:rsidP="00AE756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9726C">
        <w:rPr>
          <w:rFonts w:ascii="Times New Roman" w:hAnsi="Times New Roman" w:cs="Times New Roman"/>
          <w:b/>
          <w:bCs/>
          <w:color w:val="000000"/>
          <w:sz w:val="20"/>
          <w:szCs w:val="20"/>
        </w:rPr>
        <w:t>Limitations:</w:t>
      </w:r>
    </w:p>
    <w:p w:rsidR="00DD41BE" w:rsidRPr="0039726C" w:rsidRDefault="00DD41BE" w:rsidP="00AE756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9726C">
        <w:rPr>
          <w:rFonts w:ascii="Times New Roman" w:hAnsi="Times New Roman" w:cs="Times New Roman"/>
          <w:color w:val="000000"/>
          <w:sz w:val="20"/>
          <w:szCs w:val="20"/>
        </w:rPr>
        <w:t xml:space="preserve">Relatively small sample size and the need for a suitable acoustic window to carry out studies of acceptable quality, however, if the </w:t>
      </w:r>
      <w:proofErr w:type="spellStart"/>
      <w:r w:rsidRPr="0039726C">
        <w:rPr>
          <w:rFonts w:ascii="Times New Roman" w:hAnsi="Times New Roman" w:cs="Times New Roman"/>
          <w:color w:val="000000"/>
          <w:sz w:val="20"/>
          <w:szCs w:val="20"/>
        </w:rPr>
        <w:t>echocardiographist</w:t>
      </w:r>
      <w:proofErr w:type="spellEnd"/>
      <w:r w:rsidRPr="0039726C">
        <w:rPr>
          <w:rFonts w:ascii="Times New Roman" w:hAnsi="Times New Roman" w:cs="Times New Roman"/>
          <w:color w:val="000000"/>
          <w:sz w:val="20"/>
          <w:szCs w:val="20"/>
        </w:rPr>
        <w:t xml:space="preserve"> has been trained in Doppler echocardiography images and the equipment used is technologically suitable, these limitations are purely relative.</w:t>
      </w:r>
      <w:r w:rsidR="00575BC4" w:rsidRPr="0039726C">
        <w:rPr>
          <w:rFonts w:ascii="Times New Roman" w:eastAsia="宋体" w:hAnsi="Times New Roman" w:cs="Times New Roman"/>
          <w:sz w:val="20"/>
          <w:szCs w:val="20"/>
          <w:lang w:eastAsia="zh-CN" w:bidi="ar-EG"/>
        </w:rPr>
        <w:t xml:space="preserve"> </w:t>
      </w:r>
      <w:r w:rsidR="00575BC4" w:rsidRPr="0039726C">
        <w:rPr>
          <w:rFonts w:ascii="Times New Roman" w:hAnsi="Times New Roman" w:cs="Times New Roman"/>
          <w:color w:val="000000"/>
          <w:sz w:val="20"/>
          <w:szCs w:val="20"/>
        </w:rPr>
        <w:t xml:space="preserve">We have to take into account the intrinsic limitations of the technique such as: Dependency on the angle of incidence (this requires the best possible alignment between the ultrasound beam and the main displacement vector of the wall </w:t>
      </w:r>
      <w:proofErr w:type="spellStart"/>
      <w:r w:rsidR="00575BC4" w:rsidRPr="0039726C">
        <w:rPr>
          <w:rFonts w:ascii="Times New Roman" w:hAnsi="Times New Roman" w:cs="Times New Roman"/>
          <w:color w:val="000000"/>
          <w:sz w:val="20"/>
          <w:szCs w:val="20"/>
        </w:rPr>
        <w:t>analysed</w:t>
      </w:r>
      <w:proofErr w:type="spellEnd"/>
      <w:r w:rsidR="00575BC4" w:rsidRPr="0039726C">
        <w:rPr>
          <w:rFonts w:ascii="Times New Roman" w:hAnsi="Times New Roman" w:cs="Times New Roman"/>
          <w:color w:val="000000"/>
          <w:sz w:val="20"/>
          <w:szCs w:val="20"/>
        </w:rPr>
        <w:t>), the changing situation of the sample volume and its variable position during the cardiac cycle.</w:t>
      </w:r>
    </w:p>
    <w:p w:rsidR="00575BC4" w:rsidRPr="0039726C" w:rsidRDefault="00575BC4"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p>
    <w:p w:rsidR="00537BC9" w:rsidRPr="0039726C" w:rsidRDefault="00537BC9" w:rsidP="00AE7567">
      <w:pPr>
        <w:autoSpaceDE w:val="0"/>
        <w:autoSpaceDN w:val="0"/>
        <w:adjustRightInd w:val="0"/>
        <w:snapToGrid w:val="0"/>
        <w:spacing w:after="0" w:line="240" w:lineRule="auto"/>
        <w:jc w:val="both"/>
        <w:rPr>
          <w:rFonts w:ascii="Times New Roman" w:hAnsi="Times New Roman" w:cs="Times New Roman"/>
          <w:color w:val="000000"/>
          <w:sz w:val="20"/>
          <w:szCs w:val="20"/>
        </w:rPr>
      </w:pPr>
      <w:r w:rsidRPr="0039726C">
        <w:rPr>
          <w:rFonts w:ascii="Times New Roman" w:hAnsi="Times New Roman" w:cs="Times New Roman"/>
          <w:b/>
          <w:bCs/>
          <w:color w:val="000000"/>
          <w:sz w:val="20"/>
          <w:szCs w:val="20"/>
        </w:rPr>
        <w:t>References:</w:t>
      </w:r>
    </w:p>
    <w:p w:rsidR="008F414A" w:rsidRPr="0039726C" w:rsidRDefault="008F414A" w:rsidP="00AE7567">
      <w:pPr>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39726C">
        <w:rPr>
          <w:rFonts w:ascii="Times New Roman" w:hAnsi="Times New Roman" w:cs="Times New Roman"/>
          <w:bCs/>
          <w:sz w:val="20"/>
          <w:szCs w:val="20"/>
          <w:lang w:bidi="ar-EG"/>
        </w:rPr>
        <w:t>Adamu</w:t>
      </w:r>
      <w:proofErr w:type="spellEnd"/>
      <w:r w:rsidRPr="0039726C">
        <w:rPr>
          <w:rFonts w:ascii="Times New Roman" w:hAnsi="Times New Roman" w:cs="Times New Roman"/>
          <w:bCs/>
          <w:sz w:val="20"/>
          <w:szCs w:val="20"/>
          <w:lang w:bidi="ar-EG"/>
        </w:rPr>
        <w:t xml:space="preserve"> UG, </w:t>
      </w:r>
      <w:proofErr w:type="spellStart"/>
      <w:r w:rsidRPr="0039726C">
        <w:rPr>
          <w:rFonts w:ascii="Times New Roman" w:hAnsi="Times New Roman" w:cs="Times New Roman"/>
          <w:bCs/>
          <w:sz w:val="20"/>
          <w:szCs w:val="20"/>
          <w:lang w:bidi="ar-EG"/>
        </w:rPr>
        <w:t>Kolo</w:t>
      </w:r>
      <w:proofErr w:type="spellEnd"/>
      <w:r w:rsidRPr="0039726C">
        <w:rPr>
          <w:rFonts w:ascii="Times New Roman" w:hAnsi="Times New Roman" w:cs="Times New Roman"/>
          <w:bCs/>
          <w:sz w:val="20"/>
          <w:szCs w:val="20"/>
          <w:lang w:bidi="ar-EG"/>
        </w:rPr>
        <w:t xml:space="preserve"> PM, </w:t>
      </w:r>
      <w:proofErr w:type="spellStart"/>
      <w:r w:rsidRPr="0039726C">
        <w:rPr>
          <w:rFonts w:ascii="Times New Roman" w:hAnsi="Times New Roman" w:cs="Times New Roman"/>
          <w:bCs/>
          <w:sz w:val="20"/>
          <w:szCs w:val="20"/>
          <w:lang w:bidi="ar-EG"/>
        </w:rPr>
        <w:t>Katibi</w:t>
      </w:r>
      <w:proofErr w:type="spellEnd"/>
      <w:r w:rsidRPr="0039726C">
        <w:rPr>
          <w:rFonts w:ascii="Times New Roman" w:hAnsi="Times New Roman" w:cs="Times New Roman"/>
          <w:bCs/>
          <w:sz w:val="20"/>
          <w:szCs w:val="20"/>
          <w:lang w:bidi="ar-EG"/>
        </w:rPr>
        <w:t xml:space="preserve"> IA, </w:t>
      </w:r>
      <w:proofErr w:type="spellStart"/>
      <w:r w:rsidRPr="0039726C">
        <w:rPr>
          <w:rFonts w:ascii="Times New Roman" w:hAnsi="Times New Roman" w:cs="Times New Roman"/>
          <w:bCs/>
          <w:sz w:val="20"/>
          <w:szCs w:val="20"/>
          <w:lang w:bidi="ar-EG"/>
        </w:rPr>
        <w:t>Opadijo</w:t>
      </w:r>
      <w:proofErr w:type="spellEnd"/>
      <w:r w:rsidRPr="0039726C">
        <w:rPr>
          <w:rFonts w:ascii="Times New Roman" w:hAnsi="Times New Roman" w:cs="Times New Roman"/>
          <w:bCs/>
          <w:sz w:val="20"/>
          <w:szCs w:val="20"/>
          <w:lang w:bidi="ar-EG"/>
        </w:rPr>
        <w:t xml:space="preserve"> GO, </w:t>
      </w:r>
      <w:proofErr w:type="spellStart"/>
      <w:r w:rsidRPr="0039726C">
        <w:rPr>
          <w:rFonts w:ascii="Times New Roman" w:hAnsi="Times New Roman" w:cs="Times New Roman"/>
          <w:bCs/>
          <w:sz w:val="20"/>
          <w:szCs w:val="20"/>
          <w:lang w:bidi="ar-EG"/>
        </w:rPr>
        <w:t>Omotosho</w:t>
      </w:r>
      <w:proofErr w:type="spellEnd"/>
      <w:r w:rsidRPr="0039726C">
        <w:rPr>
          <w:rFonts w:ascii="Times New Roman" w:hAnsi="Times New Roman" w:cs="Times New Roman"/>
          <w:bCs/>
          <w:sz w:val="20"/>
          <w:szCs w:val="20"/>
          <w:lang w:bidi="ar-EG"/>
        </w:rPr>
        <w:t xml:space="preserve"> AB, </w:t>
      </w:r>
      <w:proofErr w:type="spellStart"/>
      <w:r w:rsidRPr="0039726C">
        <w:rPr>
          <w:rFonts w:ascii="Times New Roman" w:hAnsi="Times New Roman" w:cs="Times New Roman"/>
          <w:bCs/>
          <w:sz w:val="20"/>
          <w:szCs w:val="20"/>
          <w:lang w:bidi="ar-EG"/>
        </w:rPr>
        <w:t>Araoye</w:t>
      </w:r>
      <w:proofErr w:type="spellEnd"/>
      <w:r w:rsidRPr="0039726C">
        <w:rPr>
          <w:rFonts w:ascii="Times New Roman" w:hAnsi="Times New Roman" w:cs="Times New Roman"/>
          <w:bCs/>
          <w:sz w:val="20"/>
          <w:szCs w:val="20"/>
          <w:lang w:bidi="ar-EG"/>
        </w:rPr>
        <w:t xml:space="preserve"> MA (2009). </w:t>
      </w:r>
      <w:r w:rsidRPr="0039726C">
        <w:rPr>
          <w:rFonts w:ascii="Times New Roman" w:hAnsi="Times New Roman" w:cs="Times New Roman"/>
          <w:sz w:val="20"/>
          <w:szCs w:val="20"/>
          <w:lang w:bidi="ar-EG"/>
        </w:rPr>
        <w:t xml:space="preserve">Relationship between left ventricular diastolic functions and geometric patterns in Nigerians with newly diagnosed systemic hypertension. </w:t>
      </w:r>
      <w:proofErr w:type="spellStart"/>
      <w:r w:rsidRPr="0039726C">
        <w:rPr>
          <w:rFonts w:ascii="Times New Roman" w:hAnsi="Times New Roman" w:cs="Times New Roman"/>
          <w:sz w:val="20"/>
          <w:szCs w:val="20"/>
          <w:lang w:bidi="ar-EG"/>
        </w:rPr>
        <w:t>Cardiovasc</w:t>
      </w:r>
      <w:proofErr w:type="spellEnd"/>
      <w:r w:rsidRPr="0039726C">
        <w:rPr>
          <w:rFonts w:ascii="Times New Roman" w:hAnsi="Times New Roman" w:cs="Times New Roman"/>
          <w:sz w:val="20"/>
          <w:szCs w:val="20"/>
          <w:lang w:bidi="ar-EG"/>
        </w:rPr>
        <w:t xml:space="preserve"> J </w:t>
      </w:r>
      <w:proofErr w:type="spellStart"/>
      <w:r w:rsidRPr="0039726C">
        <w:rPr>
          <w:rFonts w:ascii="Times New Roman" w:hAnsi="Times New Roman" w:cs="Times New Roman"/>
          <w:sz w:val="20"/>
          <w:szCs w:val="20"/>
          <w:lang w:bidi="ar-EG"/>
        </w:rPr>
        <w:t>Afr</w:t>
      </w:r>
      <w:proofErr w:type="spellEnd"/>
      <w:r w:rsidR="00AE7567" w:rsidRPr="0039726C">
        <w:rPr>
          <w:rFonts w:ascii="Times New Roman" w:hAnsi="Times New Roman" w:cs="Times New Roman"/>
          <w:sz w:val="20"/>
          <w:szCs w:val="20"/>
          <w:lang w:bidi="ar-EG"/>
        </w:rPr>
        <w:t>;</w:t>
      </w:r>
      <w:r w:rsidRPr="0039726C">
        <w:rPr>
          <w:rFonts w:ascii="Times New Roman" w:hAnsi="Times New Roman" w:cs="Times New Roman"/>
          <w:sz w:val="20"/>
          <w:szCs w:val="20"/>
          <w:lang w:bidi="ar-EG"/>
        </w:rPr>
        <w:t xml:space="preserve"> 20: 173–177.</w:t>
      </w:r>
    </w:p>
    <w:p w:rsidR="008F414A" w:rsidRPr="0039726C" w:rsidRDefault="008F414A" w:rsidP="00AE7567">
      <w:pPr>
        <w:numPr>
          <w:ilvl w:val="0"/>
          <w:numId w:val="18"/>
        </w:numPr>
        <w:autoSpaceDE w:val="0"/>
        <w:autoSpaceDN w:val="0"/>
        <w:adjustRightInd w:val="0"/>
        <w:snapToGrid w:val="0"/>
        <w:spacing w:after="0" w:line="240" w:lineRule="auto"/>
        <w:ind w:left="425" w:hanging="425"/>
        <w:jc w:val="both"/>
        <w:rPr>
          <w:rFonts w:ascii="Times New Roman" w:hAnsi="Times New Roman" w:cs="Times New Roman"/>
          <w:bCs/>
          <w:color w:val="000000"/>
          <w:sz w:val="20"/>
          <w:szCs w:val="20"/>
        </w:rPr>
      </w:pPr>
      <w:proofErr w:type="spellStart"/>
      <w:r w:rsidRPr="0039726C">
        <w:rPr>
          <w:rFonts w:ascii="Times New Roman" w:hAnsi="Times New Roman" w:cs="Times New Roman"/>
          <w:bCs/>
          <w:color w:val="000000"/>
          <w:sz w:val="20"/>
          <w:szCs w:val="20"/>
        </w:rPr>
        <w:t>Addo</w:t>
      </w:r>
      <w:proofErr w:type="spellEnd"/>
      <w:r w:rsidRPr="0039726C">
        <w:rPr>
          <w:rFonts w:ascii="Times New Roman" w:hAnsi="Times New Roman" w:cs="Times New Roman"/>
          <w:bCs/>
          <w:color w:val="000000"/>
          <w:sz w:val="20"/>
          <w:szCs w:val="20"/>
        </w:rPr>
        <w:t xml:space="preserve"> J, </w:t>
      </w:r>
      <w:proofErr w:type="spellStart"/>
      <w:r w:rsidRPr="0039726C">
        <w:rPr>
          <w:rFonts w:ascii="Times New Roman" w:hAnsi="Times New Roman" w:cs="Times New Roman"/>
          <w:bCs/>
          <w:color w:val="000000"/>
          <w:sz w:val="20"/>
          <w:szCs w:val="20"/>
        </w:rPr>
        <w:t>Smeeth</w:t>
      </w:r>
      <w:proofErr w:type="spellEnd"/>
      <w:r w:rsidRPr="0039726C">
        <w:rPr>
          <w:rFonts w:ascii="Times New Roman" w:hAnsi="Times New Roman" w:cs="Times New Roman"/>
          <w:bCs/>
          <w:color w:val="000000"/>
          <w:sz w:val="20"/>
          <w:szCs w:val="20"/>
        </w:rPr>
        <w:t xml:space="preserve"> L, Leon DA (2007</w:t>
      </w:r>
      <w:r w:rsidRPr="0039726C">
        <w:rPr>
          <w:rFonts w:ascii="Times New Roman" w:hAnsi="Times New Roman" w:cs="Times New Roman"/>
          <w:color w:val="000000"/>
          <w:sz w:val="20"/>
          <w:szCs w:val="20"/>
        </w:rPr>
        <w:t>). Hypertension in sub-Saharan Africa: a systematic review. Hypertension</w:t>
      </w:r>
      <w:r w:rsidR="00AE7567" w:rsidRPr="0039726C">
        <w:rPr>
          <w:rFonts w:ascii="Times New Roman" w:hAnsi="Times New Roman" w:cs="Times New Roman"/>
          <w:color w:val="000000"/>
          <w:sz w:val="20"/>
          <w:szCs w:val="20"/>
        </w:rPr>
        <w:t xml:space="preserve">; </w:t>
      </w:r>
      <w:r w:rsidRPr="0039726C">
        <w:rPr>
          <w:rFonts w:ascii="Times New Roman" w:hAnsi="Times New Roman" w:cs="Times New Roman"/>
          <w:color w:val="000000"/>
          <w:sz w:val="20"/>
          <w:szCs w:val="20"/>
        </w:rPr>
        <w:t>50(6): 1012–1018</w:t>
      </w:r>
      <w:r w:rsidRPr="0039726C">
        <w:rPr>
          <w:rFonts w:ascii="Times New Roman" w:hAnsi="Times New Roman" w:cs="Times New Roman"/>
          <w:bCs/>
          <w:color w:val="000000"/>
          <w:sz w:val="20"/>
          <w:szCs w:val="20"/>
        </w:rPr>
        <w:t>.</w:t>
      </w:r>
    </w:p>
    <w:p w:rsidR="008F414A" w:rsidRPr="0039726C" w:rsidRDefault="008F414A" w:rsidP="00AE7567">
      <w:pPr>
        <w:numPr>
          <w:ilvl w:val="0"/>
          <w:numId w:val="18"/>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lang w:bidi="ar-EG"/>
        </w:rPr>
      </w:pPr>
      <w:proofErr w:type="spellStart"/>
      <w:r w:rsidRPr="0039726C">
        <w:rPr>
          <w:rFonts w:ascii="Times New Roman" w:hAnsi="Times New Roman" w:cs="Times New Roman"/>
          <w:bCs/>
          <w:color w:val="000000"/>
          <w:sz w:val="20"/>
          <w:szCs w:val="20"/>
          <w:lang w:bidi="ar-EG"/>
        </w:rPr>
        <w:t>Akintunde</w:t>
      </w:r>
      <w:proofErr w:type="spellEnd"/>
      <w:r w:rsidRPr="0039726C">
        <w:rPr>
          <w:rFonts w:ascii="Times New Roman" w:hAnsi="Times New Roman" w:cs="Times New Roman"/>
          <w:bCs/>
          <w:color w:val="000000"/>
          <w:sz w:val="20"/>
          <w:szCs w:val="20"/>
          <w:lang w:bidi="ar-EG"/>
        </w:rPr>
        <w:t xml:space="preserve"> AA, </w:t>
      </w:r>
      <w:proofErr w:type="spellStart"/>
      <w:r w:rsidRPr="0039726C">
        <w:rPr>
          <w:rFonts w:ascii="Times New Roman" w:hAnsi="Times New Roman" w:cs="Times New Roman"/>
          <w:bCs/>
          <w:color w:val="000000"/>
          <w:sz w:val="20"/>
          <w:szCs w:val="20"/>
          <w:lang w:bidi="ar-EG"/>
        </w:rPr>
        <w:t>Akinwusi</w:t>
      </w:r>
      <w:proofErr w:type="spellEnd"/>
      <w:r w:rsidRPr="0039726C">
        <w:rPr>
          <w:rFonts w:ascii="Times New Roman" w:hAnsi="Times New Roman" w:cs="Times New Roman"/>
          <w:bCs/>
          <w:color w:val="000000"/>
          <w:sz w:val="20"/>
          <w:szCs w:val="20"/>
          <w:lang w:bidi="ar-EG"/>
        </w:rPr>
        <w:t xml:space="preserve"> PO, </w:t>
      </w:r>
      <w:proofErr w:type="spellStart"/>
      <w:r w:rsidRPr="0039726C">
        <w:rPr>
          <w:rFonts w:ascii="Times New Roman" w:hAnsi="Times New Roman" w:cs="Times New Roman"/>
          <w:bCs/>
          <w:color w:val="000000"/>
          <w:sz w:val="20"/>
          <w:szCs w:val="20"/>
          <w:lang w:bidi="ar-EG"/>
        </w:rPr>
        <w:t>Opadijo</w:t>
      </w:r>
      <w:proofErr w:type="spellEnd"/>
      <w:r w:rsidRPr="0039726C">
        <w:rPr>
          <w:rFonts w:ascii="Times New Roman" w:hAnsi="Times New Roman" w:cs="Times New Roman"/>
          <w:bCs/>
          <w:color w:val="000000"/>
          <w:sz w:val="20"/>
          <w:szCs w:val="20"/>
          <w:lang w:bidi="ar-EG"/>
        </w:rPr>
        <w:t xml:space="preserve"> GO (2011</w:t>
      </w:r>
      <w:r w:rsidRPr="0039726C">
        <w:rPr>
          <w:rFonts w:ascii="Times New Roman" w:hAnsi="Times New Roman" w:cs="Times New Roman"/>
          <w:color w:val="000000"/>
          <w:sz w:val="20"/>
          <w:szCs w:val="20"/>
          <w:lang w:bidi="ar-EG"/>
        </w:rPr>
        <w:t xml:space="preserve">). Relationship between </w:t>
      </w:r>
      <w:proofErr w:type="spellStart"/>
      <w:r w:rsidRPr="0039726C">
        <w:rPr>
          <w:rFonts w:ascii="Times New Roman" w:hAnsi="Times New Roman" w:cs="Times New Roman"/>
          <w:color w:val="000000"/>
          <w:sz w:val="20"/>
          <w:szCs w:val="20"/>
          <w:lang w:bidi="ar-EG"/>
        </w:rPr>
        <w:t>Tei</w:t>
      </w:r>
      <w:proofErr w:type="spellEnd"/>
      <w:r w:rsidRPr="0039726C">
        <w:rPr>
          <w:rFonts w:ascii="Times New Roman" w:hAnsi="Times New Roman" w:cs="Times New Roman"/>
          <w:color w:val="000000"/>
          <w:sz w:val="20"/>
          <w:szCs w:val="20"/>
          <w:lang w:bidi="ar-EG"/>
        </w:rPr>
        <w:t xml:space="preserve"> index of myocardial performance and left ventricular geometry in Nigerians with systemic </w:t>
      </w:r>
      <w:r w:rsidRPr="0039726C">
        <w:rPr>
          <w:rFonts w:ascii="Times New Roman" w:hAnsi="Times New Roman" w:cs="Times New Roman"/>
          <w:color w:val="000000"/>
          <w:sz w:val="20"/>
          <w:szCs w:val="20"/>
          <w:lang w:bidi="ar-EG"/>
        </w:rPr>
        <w:lastRenderedPageBreak/>
        <w:t xml:space="preserve">hypertension. </w:t>
      </w:r>
      <w:proofErr w:type="spellStart"/>
      <w:r w:rsidRPr="0039726C">
        <w:rPr>
          <w:rFonts w:ascii="Times New Roman" w:hAnsi="Times New Roman" w:cs="Times New Roman"/>
          <w:color w:val="000000"/>
          <w:sz w:val="20"/>
          <w:szCs w:val="20"/>
          <w:lang w:bidi="ar-EG"/>
        </w:rPr>
        <w:t>Cardiovasc</w:t>
      </w:r>
      <w:proofErr w:type="spellEnd"/>
      <w:r w:rsidRPr="0039726C">
        <w:rPr>
          <w:rFonts w:ascii="Times New Roman" w:hAnsi="Times New Roman" w:cs="Times New Roman"/>
          <w:color w:val="000000"/>
          <w:sz w:val="20"/>
          <w:szCs w:val="20"/>
          <w:lang w:bidi="ar-EG"/>
        </w:rPr>
        <w:t xml:space="preserve"> J Afr.</w:t>
      </w:r>
      <w:r w:rsidR="00AE7567" w:rsidRPr="0039726C">
        <w:rPr>
          <w:rFonts w:ascii="Times New Roman" w:hAnsi="Times New Roman" w:cs="Times New Roman"/>
          <w:color w:val="000000"/>
          <w:sz w:val="20"/>
          <w:szCs w:val="20"/>
          <w:lang w:bidi="ar-EG"/>
        </w:rPr>
        <w:t xml:space="preserve"> </w:t>
      </w:r>
      <w:r w:rsidRPr="0039726C">
        <w:rPr>
          <w:rFonts w:ascii="Times New Roman" w:hAnsi="Times New Roman" w:cs="Times New Roman"/>
          <w:color w:val="000000"/>
          <w:sz w:val="20"/>
          <w:szCs w:val="20"/>
          <w:lang w:bidi="ar-EG"/>
        </w:rPr>
        <w:t>May-Jun</w:t>
      </w:r>
      <w:proofErr w:type="gramStart"/>
      <w:r w:rsidRPr="0039726C">
        <w:rPr>
          <w:rFonts w:ascii="Times New Roman" w:hAnsi="Times New Roman" w:cs="Times New Roman"/>
          <w:color w:val="000000"/>
          <w:sz w:val="20"/>
          <w:szCs w:val="20"/>
          <w:lang w:bidi="ar-EG"/>
        </w:rPr>
        <w:t>;22</w:t>
      </w:r>
      <w:proofErr w:type="gramEnd"/>
      <w:r w:rsidRPr="0039726C">
        <w:rPr>
          <w:rFonts w:ascii="Times New Roman" w:hAnsi="Times New Roman" w:cs="Times New Roman"/>
          <w:color w:val="000000"/>
          <w:sz w:val="20"/>
          <w:szCs w:val="20"/>
          <w:lang w:bidi="ar-EG"/>
        </w:rPr>
        <w:t>(3):124-7.</w:t>
      </w:r>
    </w:p>
    <w:p w:rsidR="008F414A" w:rsidRPr="0039726C" w:rsidRDefault="008F414A" w:rsidP="00AE7567">
      <w:pPr>
        <w:numPr>
          <w:ilvl w:val="0"/>
          <w:numId w:val="18"/>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39726C">
        <w:rPr>
          <w:rFonts w:ascii="Times New Roman" w:hAnsi="Times New Roman" w:cs="Times New Roman"/>
          <w:bCs/>
          <w:color w:val="000000"/>
          <w:sz w:val="20"/>
          <w:szCs w:val="20"/>
        </w:rPr>
        <w:t>Correale</w:t>
      </w:r>
      <w:proofErr w:type="spellEnd"/>
      <w:r w:rsidRPr="0039726C">
        <w:rPr>
          <w:rFonts w:ascii="Times New Roman" w:hAnsi="Times New Roman" w:cs="Times New Roman"/>
          <w:bCs/>
          <w:color w:val="000000"/>
          <w:sz w:val="20"/>
          <w:szCs w:val="20"/>
        </w:rPr>
        <w:t xml:space="preserve"> G, </w:t>
      </w:r>
      <w:proofErr w:type="spellStart"/>
      <w:r w:rsidRPr="0039726C">
        <w:rPr>
          <w:rFonts w:ascii="Times New Roman" w:hAnsi="Times New Roman" w:cs="Times New Roman"/>
          <w:bCs/>
          <w:color w:val="000000"/>
          <w:sz w:val="20"/>
          <w:szCs w:val="20"/>
        </w:rPr>
        <w:t>Nicotra</w:t>
      </w:r>
      <w:proofErr w:type="spellEnd"/>
      <w:r w:rsidRPr="0039726C">
        <w:rPr>
          <w:rFonts w:ascii="Times New Roman" w:hAnsi="Times New Roman" w:cs="Times New Roman"/>
          <w:bCs/>
          <w:color w:val="000000"/>
          <w:sz w:val="20"/>
          <w:szCs w:val="20"/>
        </w:rPr>
        <w:t xml:space="preserve"> F, </w:t>
      </w:r>
      <w:proofErr w:type="spellStart"/>
      <w:r w:rsidRPr="0039726C">
        <w:rPr>
          <w:rFonts w:ascii="Times New Roman" w:hAnsi="Times New Roman" w:cs="Times New Roman"/>
          <w:bCs/>
          <w:color w:val="000000"/>
          <w:sz w:val="20"/>
          <w:szCs w:val="20"/>
        </w:rPr>
        <w:t>Parodi</w:t>
      </w:r>
      <w:proofErr w:type="spellEnd"/>
      <w:r w:rsidRPr="0039726C">
        <w:rPr>
          <w:rFonts w:ascii="Times New Roman" w:hAnsi="Times New Roman" w:cs="Times New Roman"/>
          <w:bCs/>
          <w:color w:val="000000"/>
          <w:sz w:val="20"/>
          <w:szCs w:val="20"/>
        </w:rPr>
        <w:t xml:space="preserve"> A, et al (2011). </w:t>
      </w:r>
      <w:r w:rsidRPr="0039726C">
        <w:rPr>
          <w:rFonts w:ascii="Times New Roman" w:hAnsi="Times New Roman" w:cs="Times New Roman"/>
          <w:color w:val="000000"/>
          <w:sz w:val="20"/>
          <w:szCs w:val="20"/>
        </w:rPr>
        <w:t>Cardiovascular protection by initial and subsequent combination of antihypertensive drugs in daily life practice. Hypertension</w:t>
      </w:r>
      <w:r w:rsidR="00AE7567" w:rsidRPr="0039726C">
        <w:rPr>
          <w:rFonts w:ascii="Times New Roman" w:hAnsi="Times New Roman" w:cs="Times New Roman"/>
          <w:color w:val="000000"/>
          <w:sz w:val="20"/>
          <w:szCs w:val="20"/>
        </w:rPr>
        <w:t>;</w:t>
      </w:r>
      <w:r w:rsidRPr="0039726C">
        <w:rPr>
          <w:rFonts w:ascii="Times New Roman" w:hAnsi="Times New Roman" w:cs="Times New Roman"/>
          <w:color w:val="000000"/>
          <w:sz w:val="20"/>
          <w:szCs w:val="20"/>
        </w:rPr>
        <w:t xml:space="preserve"> 58: 566–72.</w:t>
      </w:r>
    </w:p>
    <w:p w:rsidR="00E4403A" w:rsidRPr="0039726C" w:rsidRDefault="00E4403A" w:rsidP="00AE7567">
      <w:pPr>
        <w:numPr>
          <w:ilvl w:val="0"/>
          <w:numId w:val="18"/>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39726C">
        <w:rPr>
          <w:rFonts w:ascii="Times New Roman" w:hAnsi="Times New Roman" w:cs="Times New Roman"/>
          <w:bCs/>
          <w:color w:val="000000"/>
          <w:sz w:val="20"/>
          <w:szCs w:val="20"/>
        </w:rPr>
        <w:t xml:space="preserve">Li, Ha T, </w:t>
      </w:r>
      <w:proofErr w:type="spellStart"/>
      <w:r w:rsidRPr="0039726C">
        <w:rPr>
          <w:rFonts w:ascii="Times New Roman" w:hAnsi="Times New Roman" w:cs="Times New Roman"/>
          <w:bCs/>
          <w:color w:val="000000"/>
          <w:sz w:val="20"/>
          <w:szCs w:val="20"/>
        </w:rPr>
        <w:t>Gao</w:t>
      </w:r>
      <w:proofErr w:type="spellEnd"/>
      <w:r w:rsidRPr="0039726C">
        <w:rPr>
          <w:rFonts w:ascii="Times New Roman" w:hAnsi="Times New Roman" w:cs="Times New Roman"/>
          <w:bCs/>
          <w:color w:val="000000"/>
          <w:sz w:val="20"/>
          <w:szCs w:val="20"/>
        </w:rPr>
        <w:t xml:space="preserve"> X, Kelley J, Williams DL, Browder IW, et al (2004).</w:t>
      </w:r>
      <w:r w:rsidRPr="0039726C">
        <w:rPr>
          <w:rFonts w:ascii="Times New Roman" w:hAnsi="Times New Roman" w:cs="Times New Roman"/>
          <w:color w:val="000000"/>
          <w:sz w:val="20"/>
          <w:szCs w:val="20"/>
        </w:rPr>
        <w:t xml:space="preserve"> NF-KB activation is required for the development of cardiac hypertrophy in vivo. Am J </w:t>
      </w:r>
      <w:proofErr w:type="spellStart"/>
      <w:r w:rsidRPr="0039726C">
        <w:rPr>
          <w:rFonts w:ascii="Times New Roman" w:hAnsi="Times New Roman" w:cs="Times New Roman"/>
          <w:color w:val="000000"/>
          <w:sz w:val="20"/>
          <w:szCs w:val="20"/>
        </w:rPr>
        <w:t>Physiol</w:t>
      </w:r>
      <w:proofErr w:type="spellEnd"/>
      <w:r w:rsidRPr="0039726C">
        <w:rPr>
          <w:rFonts w:ascii="Times New Roman" w:hAnsi="Times New Roman" w:cs="Times New Roman"/>
          <w:color w:val="000000"/>
          <w:sz w:val="20"/>
          <w:szCs w:val="20"/>
        </w:rPr>
        <w:t xml:space="preserve"> Heart Circ Physiol</w:t>
      </w:r>
      <w:proofErr w:type="gramStart"/>
      <w:r w:rsidR="00AE7567" w:rsidRPr="0039726C">
        <w:rPr>
          <w:rFonts w:ascii="Times New Roman" w:hAnsi="Times New Roman" w:cs="Times New Roman"/>
          <w:color w:val="000000"/>
          <w:sz w:val="20"/>
          <w:szCs w:val="20"/>
        </w:rPr>
        <w:t>;</w:t>
      </w:r>
      <w:r w:rsidRPr="0039726C">
        <w:rPr>
          <w:rFonts w:ascii="Times New Roman" w:hAnsi="Times New Roman" w:cs="Times New Roman"/>
          <w:color w:val="000000"/>
          <w:sz w:val="20"/>
          <w:szCs w:val="20"/>
        </w:rPr>
        <w:t>287</w:t>
      </w:r>
      <w:proofErr w:type="gramEnd"/>
      <w:r w:rsidR="00AE7567" w:rsidRPr="0039726C">
        <w:rPr>
          <w:rFonts w:ascii="Times New Roman" w:hAnsi="Times New Roman" w:cs="Times New Roman"/>
          <w:color w:val="000000"/>
          <w:sz w:val="20"/>
          <w:szCs w:val="20"/>
        </w:rPr>
        <w:t>: H</w:t>
      </w:r>
      <w:r w:rsidRPr="0039726C">
        <w:rPr>
          <w:rFonts w:ascii="Times New Roman" w:hAnsi="Times New Roman" w:cs="Times New Roman"/>
          <w:color w:val="000000"/>
          <w:sz w:val="20"/>
          <w:szCs w:val="20"/>
        </w:rPr>
        <w:t>1712–20.</w:t>
      </w:r>
    </w:p>
    <w:p w:rsidR="00575BC4" w:rsidRPr="0039726C" w:rsidRDefault="00E4403A" w:rsidP="00AE7567">
      <w:pPr>
        <w:numPr>
          <w:ilvl w:val="0"/>
          <w:numId w:val="18"/>
        </w:numPr>
        <w:autoSpaceDE w:val="0"/>
        <w:autoSpaceDN w:val="0"/>
        <w:adjustRightInd w:val="0"/>
        <w:snapToGrid w:val="0"/>
        <w:spacing w:after="0" w:line="240" w:lineRule="auto"/>
        <w:ind w:left="425" w:hanging="425"/>
        <w:jc w:val="both"/>
        <w:rPr>
          <w:rFonts w:ascii="Times New Roman" w:hAnsi="Times New Roman" w:cs="Times New Roman"/>
          <w:bCs/>
          <w:color w:val="000000"/>
          <w:sz w:val="20"/>
          <w:szCs w:val="20"/>
          <w:lang w:val="nb-NO"/>
        </w:rPr>
      </w:pPr>
      <w:proofErr w:type="spellStart"/>
      <w:r w:rsidRPr="0039726C">
        <w:rPr>
          <w:rFonts w:ascii="Times New Roman" w:hAnsi="Times New Roman" w:cs="Times New Roman"/>
          <w:bCs/>
          <w:color w:val="000000"/>
          <w:sz w:val="20"/>
          <w:szCs w:val="20"/>
          <w:lang w:bidi="ar-EG"/>
        </w:rPr>
        <w:t>Mizuguchi</w:t>
      </w:r>
      <w:proofErr w:type="spellEnd"/>
      <w:r w:rsidRPr="0039726C">
        <w:rPr>
          <w:rFonts w:ascii="Times New Roman" w:hAnsi="Times New Roman" w:cs="Times New Roman"/>
          <w:bCs/>
          <w:color w:val="000000"/>
          <w:sz w:val="20"/>
          <w:szCs w:val="20"/>
          <w:lang w:bidi="ar-EG"/>
        </w:rPr>
        <w:t xml:space="preserve"> Y, </w:t>
      </w:r>
      <w:proofErr w:type="spellStart"/>
      <w:r w:rsidRPr="0039726C">
        <w:rPr>
          <w:rFonts w:ascii="Times New Roman" w:hAnsi="Times New Roman" w:cs="Times New Roman"/>
          <w:bCs/>
          <w:color w:val="000000"/>
          <w:sz w:val="20"/>
          <w:szCs w:val="20"/>
          <w:lang w:bidi="ar-EG"/>
        </w:rPr>
        <w:t>Oishi</w:t>
      </w:r>
      <w:proofErr w:type="spellEnd"/>
      <w:r w:rsidRPr="0039726C">
        <w:rPr>
          <w:rFonts w:ascii="Times New Roman" w:hAnsi="Times New Roman" w:cs="Times New Roman"/>
          <w:bCs/>
          <w:color w:val="000000"/>
          <w:sz w:val="20"/>
          <w:szCs w:val="20"/>
          <w:lang w:bidi="ar-EG"/>
        </w:rPr>
        <w:t xml:space="preserve"> Y, Miyoshi H, </w:t>
      </w:r>
      <w:proofErr w:type="spellStart"/>
      <w:r w:rsidRPr="0039726C">
        <w:rPr>
          <w:rFonts w:ascii="Times New Roman" w:hAnsi="Times New Roman" w:cs="Times New Roman"/>
          <w:bCs/>
          <w:color w:val="000000"/>
          <w:sz w:val="20"/>
          <w:szCs w:val="20"/>
          <w:lang w:bidi="ar-EG"/>
        </w:rPr>
        <w:t>Iuchi</w:t>
      </w:r>
      <w:proofErr w:type="spellEnd"/>
      <w:r w:rsidRPr="0039726C">
        <w:rPr>
          <w:rFonts w:ascii="Times New Roman" w:hAnsi="Times New Roman" w:cs="Times New Roman"/>
          <w:bCs/>
          <w:color w:val="000000"/>
          <w:sz w:val="20"/>
          <w:szCs w:val="20"/>
          <w:lang w:bidi="ar-EG"/>
        </w:rPr>
        <w:t xml:space="preserve"> A, Nagase N, Oki T (2010).</w:t>
      </w:r>
      <w:r w:rsidRPr="0039726C">
        <w:rPr>
          <w:rFonts w:ascii="Times New Roman" w:hAnsi="Times New Roman" w:cs="Times New Roman"/>
          <w:color w:val="000000"/>
          <w:sz w:val="20"/>
          <w:szCs w:val="20"/>
          <w:lang w:bidi="ar-EG"/>
        </w:rPr>
        <w:t xml:space="preserve"> Concentric left ventricular hypertrophy brings deterioration of systolic longitudinal, </w:t>
      </w:r>
      <w:proofErr w:type="gramStart"/>
      <w:r w:rsidRPr="0039726C">
        <w:rPr>
          <w:rFonts w:ascii="Times New Roman" w:hAnsi="Times New Roman" w:cs="Times New Roman"/>
          <w:color w:val="000000"/>
          <w:sz w:val="20"/>
          <w:szCs w:val="20"/>
          <w:lang w:bidi="ar-EG"/>
        </w:rPr>
        <w:t>circumferential,</w:t>
      </w:r>
      <w:proofErr w:type="gramEnd"/>
      <w:r w:rsidRPr="0039726C">
        <w:rPr>
          <w:rFonts w:ascii="Times New Roman" w:hAnsi="Times New Roman" w:cs="Times New Roman"/>
          <w:color w:val="000000"/>
          <w:sz w:val="20"/>
          <w:szCs w:val="20"/>
          <w:lang w:bidi="ar-EG"/>
        </w:rPr>
        <w:t xml:space="preserve"> and radial myocardial deformation in hypertensive patients with preserved left ventricular pump function. J </w:t>
      </w:r>
      <w:proofErr w:type="spellStart"/>
      <w:r w:rsidRPr="0039726C">
        <w:rPr>
          <w:rFonts w:ascii="Times New Roman" w:hAnsi="Times New Roman" w:cs="Times New Roman"/>
          <w:color w:val="000000"/>
          <w:sz w:val="20"/>
          <w:szCs w:val="20"/>
          <w:lang w:bidi="ar-EG"/>
        </w:rPr>
        <w:t>Cardiol</w:t>
      </w:r>
      <w:proofErr w:type="spellEnd"/>
      <w:r w:rsidR="00AE7567" w:rsidRPr="0039726C">
        <w:rPr>
          <w:rFonts w:ascii="Times New Roman" w:hAnsi="Times New Roman" w:cs="Times New Roman"/>
          <w:color w:val="000000"/>
          <w:sz w:val="20"/>
          <w:szCs w:val="20"/>
          <w:lang w:bidi="ar-EG"/>
        </w:rPr>
        <w:t>;</w:t>
      </w:r>
      <w:r w:rsidRPr="0039726C">
        <w:rPr>
          <w:rFonts w:ascii="Times New Roman" w:hAnsi="Times New Roman" w:cs="Times New Roman"/>
          <w:color w:val="000000"/>
          <w:sz w:val="20"/>
          <w:szCs w:val="20"/>
          <w:lang w:bidi="ar-EG"/>
        </w:rPr>
        <w:t xml:space="preserve"> 55(1): 23–33.</w:t>
      </w:r>
    </w:p>
    <w:p w:rsidR="00575BC4" w:rsidRPr="0039726C" w:rsidRDefault="00575BC4" w:rsidP="00AE7567">
      <w:pPr>
        <w:numPr>
          <w:ilvl w:val="0"/>
          <w:numId w:val="18"/>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lang w:val="nb-NO" w:bidi="ar-EG"/>
        </w:rPr>
      </w:pPr>
      <w:r w:rsidRPr="0039726C">
        <w:rPr>
          <w:rFonts w:ascii="Times New Roman" w:hAnsi="Times New Roman" w:cs="Times New Roman"/>
          <w:bCs/>
          <w:color w:val="000000"/>
          <w:sz w:val="20"/>
          <w:szCs w:val="20"/>
          <w:lang w:val="nb-NO" w:bidi="ar-EG"/>
        </w:rPr>
        <w:t>Verdecchia P, Reboldi G, Angeli F, et al (2007).</w:t>
      </w:r>
      <w:r w:rsidRPr="0039726C">
        <w:rPr>
          <w:rFonts w:ascii="Times New Roman" w:hAnsi="Times New Roman" w:cs="Times New Roman"/>
          <w:color w:val="000000"/>
          <w:sz w:val="20"/>
          <w:szCs w:val="20"/>
          <w:lang w:val="nb-NO" w:bidi="ar-EG"/>
        </w:rPr>
        <w:t xml:space="preserve"> Prognostic value of serial electrocardiographic voltage and repolarization changes in essential hypertension: the HEART Survey study. Am J Hypertens</w:t>
      </w:r>
      <w:r w:rsidR="00AE7567" w:rsidRPr="0039726C">
        <w:rPr>
          <w:rFonts w:ascii="Times New Roman" w:hAnsi="Times New Roman" w:cs="Times New Roman"/>
          <w:color w:val="000000"/>
          <w:sz w:val="20"/>
          <w:szCs w:val="20"/>
          <w:lang w:val="nb-NO" w:bidi="ar-EG"/>
        </w:rPr>
        <w:t>;</w:t>
      </w:r>
      <w:r w:rsidR="00AE7567" w:rsidRPr="0039726C">
        <w:rPr>
          <w:rFonts w:ascii="Times New Roman" w:hAnsi="Times New Roman" w:cs="Times New Roman" w:hint="eastAsia"/>
          <w:color w:val="000000"/>
          <w:sz w:val="20"/>
          <w:szCs w:val="20"/>
          <w:lang w:val="nb-NO" w:eastAsia="zh-CN" w:bidi="ar-EG"/>
        </w:rPr>
        <w:t xml:space="preserve"> </w:t>
      </w:r>
      <w:r w:rsidRPr="0039726C">
        <w:rPr>
          <w:rFonts w:ascii="Times New Roman" w:hAnsi="Times New Roman" w:cs="Times New Roman"/>
          <w:color w:val="000000"/>
          <w:sz w:val="20"/>
          <w:szCs w:val="20"/>
          <w:lang w:val="nb-NO" w:bidi="ar-EG"/>
        </w:rPr>
        <w:t>20:997-92.</w:t>
      </w:r>
    </w:p>
    <w:p w:rsidR="00E4403A" w:rsidRPr="0039726C" w:rsidRDefault="00E4403A" w:rsidP="00AE7567">
      <w:pPr>
        <w:numPr>
          <w:ilvl w:val="0"/>
          <w:numId w:val="18"/>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39726C">
        <w:rPr>
          <w:rFonts w:ascii="Times New Roman" w:hAnsi="Times New Roman" w:cs="Times New Roman"/>
          <w:bCs/>
          <w:color w:val="000000"/>
          <w:sz w:val="20"/>
          <w:szCs w:val="20"/>
        </w:rPr>
        <w:t xml:space="preserve">Watanabe S, </w:t>
      </w:r>
      <w:proofErr w:type="spellStart"/>
      <w:r w:rsidRPr="0039726C">
        <w:rPr>
          <w:rFonts w:ascii="Times New Roman" w:hAnsi="Times New Roman" w:cs="Times New Roman"/>
          <w:bCs/>
          <w:color w:val="000000"/>
          <w:sz w:val="20"/>
          <w:szCs w:val="20"/>
        </w:rPr>
        <w:t>Shite</w:t>
      </w:r>
      <w:proofErr w:type="spellEnd"/>
      <w:r w:rsidRPr="0039726C">
        <w:rPr>
          <w:rFonts w:ascii="Times New Roman" w:hAnsi="Times New Roman" w:cs="Times New Roman"/>
          <w:bCs/>
          <w:color w:val="000000"/>
          <w:sz w:val="20"/>
          <w:szCs w:val="20"/>
        </w:rPr>
        <w:t xml:space="preserve"> J, Takaoka H, </w:t>
      </w:r>
      <w:proofErr w:type="spellStart"/>
      <w:r w:rsidRPr="0039726C">
        <w:rPr>
          <w:rFonts w:ascii="Times New Roman" w:hAnsi="Times New Roman" w:cs="Times New Roman"/>
          <w:bCs/>
          <w:color w:val="000000"/>
          <w:sz w:val="20"/>
          <w:szCs w:val="20"/>
        </w:rPr>
        <w:t>Shinke</w:t>
      </w:r>
      <w:proofErr w:type="spellEnd"/>
      <w:r w:rsidRPr="0039726C">
        <w:rPr>
          <w:rFonts w:ascii="Times New Roman" w:hAnsi="Times New Roman" w:cs="Times New Roman"/>
          <w:bCs/>
          <w:color w:val="000000"/>
          <w:sz w:val="20"/>
          <w:szCs w:val="20"/>
        </w:rPr>
        <w:t xml:space="preserve"> T, </w:t>
      </w:r>
      <w:proofErr w:type="spellStart"/>
      <w:r w:rsidRPr="0039726C">
        <w:rPr>
          <w:rFonts w:ascii="Times New Roman" w:hAnsi="Times New Roman" w:cs="Times New Roman"/>
          <w:bCs/>
          <w:color w:val="000000"/>
          <w:sz w:val="20"/>
          <w:szCs w:val="20"/>
        </w:rPr>
        <w:t>Tanino</w:t>
      </w:r>
      <w:proofErr w:type="spellEnd"/>
      <w:r w:rsidRPr="0039726C">
        <w:rPr>
          <w:rFonts w:ascii="Times New Roman" w:hAnsi="Times New Roman" w:cs="Times New Roman"/>
          <w:bCs/>
          <w:color w:val="000000"/>
          <w:sz w:val="20"/>
          <w:szCs w:val="20"/>
        </w:rPr>
        <w:t xml:space="preserve"> Y, </w:t>
      </w:r>
      <w:proofErr w:type="spellStart"/>
      <w:r w:rsidRPr="0039726C">
        <w:rPr>
          <w:rFonts w:ascii="Times New Roman" w:hAnsi="Times New Roman" w:cs="Times New Roman"/>
          <w:bCs/>
          <w:color w:val="000000"/>
          <w:sz w:val="20"/>
          <w:szCs w:val="20"/>
        </w:rPr>
        <w:t>Otake</w:t>
      </w:r>
      <w:proofErr w:type="spellEnd"/>
      <w:r w:rsidRPr="0039726C">
        <w:rPr>
          <w:rFonts w:ascii="Times New Roman" w:hAnsi="Times New Roman" w:cs="Times New Roman"/>
          <w:bCs/>
          <w:color w:val="000000"/>
          <w:sz w:val="20"/>
          <w:szCs w:val="20"/>
        </w:rPr>
        <w:t xml:space="preserve"> H, Matsumoto D, Ogasawara D, Sawada T, Hirata K, Yokoyama M (2011</w:t>
      </w:r>
      <w:r w:rsidRPr="0039726C">
        <w:rPr>
          <w:rFonts w:ascii="Times New Roman" w:hAnsi="Times New Roman" w:cs="Times New Roman"/>
          <w:color w:val="000000"/>
          <w:sz w:val="20"/>
          <w:szCs w:val="20"/>
        </w:rPr>
        <w:t xml:space="preserve">). Predictive importance of left ventricular myocardial stiffness for the prognosis of patients with congestive heart failure. J </w:t>
      </w:r>
      <w:proofErr w:type="spellStart"/>
      <w:r w:rsidRPr="0039726C">
        <w:rPr>
          <w:rFonts w:ascii="Times New Roman" w:hAnsi="Times New Roman" w:cs="Times New Roman"/>
          <w:color w:val="000000"/>
          <w:sz w:val="20"/>
          <w:szCs w:val="20"/>
        </w:rPr>
        <w:t>Cardiol</w:t>
      </w:r>
      <w:proofErr w:type="spellEnd"/>
      <w:r w:rsidRPr="0039726C">
        <w:rPr>
          <w:rFonts w:ascii="Times New Roman" w:hAnsi="Times New Roman" w:cs="Times New Roman"/>
          <w:color w:val="000000"/>
          <w:sz w:val="20"/>
          <w:szCs w:val="20"/>
        </w:rPr>
        <w:t>. Nov</w:t>
      </w:r>
      <w:proofErr w:type="gramStart"/>
      <w:r w:rsidRPr="0039726C">
        <w:rPr>
          <w:rFonts w:ascii="Times New Roman" w:hAnsi="Times New Roman" w:cs="Times New Roman"/>
          <w:color w:val="000000"/>
          <w:sz w:val="20"/>
          <w:szCs w:val="20"/>
        </w:rPr>
        <w:t>;58</w:t>
      </w:r>
      <w:proofErr w:type="gramEnd"/>
      <w:r w:rsidRPr="0039726C">
        <w:rPr>
          <w:rFonts w:ascii="Times New Roman" w:hAnsi="Times New Roman" w:cs="Times New Roman"/>
          <w:color w:val="000000"/>
          <w:sz w:val="20"/>
          <w:szCs w:val="20"/>
        </w:rPr>
        <w:t>(3):245-52.</w:t>
      </w:r>
    </w:p>
    <w:p w:rsidR="00DB2881" w:rsidRPr="0039726C" w:rsidRDefault="00575BC4" w:rsidP="00AE7567">
      <w:pPr>
        <w:numPr>
          <w:ilvl w:val="0"/>
          <w:numId w:val="18"/>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lang w:bidi="ar-EG"/>
        </w:rPr>
      </w:pPr>
      <w:proofErr w:type="spellStart"/>
      <w:r w:rsidRPr="0039726C">
        <w:rPr>
          <w:rFonts w:ascii="Times New Roman" w:hAnsi="Times New Roman" w:cs="Times New Roman"/>
          <w:bCs/>
          <w:color w:val="000000"/>
          <w:sz w:val="20"/>
          <w:szCs w:val="20"/>
        </w:rPr>
        <w:t>Yilmaz</w:t>
      </w:r>
      <w:proofErr w:type="spellEnd"/>
      <w:r w:rsidRPr="0039726C">
        <w:rPr>
          <w:rFonts w:ascii="Times New Roman" w:hAnsi="Times New Roman" w:cs="Times New Roman"/>
          <w:bCs/>
          <w:color w:val="000000"/>
          <w:sz w:val="20"/>
          <w:szCs w:val="20"/>
        </w:rPr>
        <w:t xml:space="preserve">, R., </w:t>
      </w:r>
      <w:proofErr w:type="spellStart"/>
      <w:r w:rsidRPr="0039726C">
        <w:rPr>
          <w:rFonts w:ascii="Times New Roman" w:hAnsi="Times New Roman" w:cs="Times New Roman"/>
          <w:bCs/>
          <w:color w:val="000000"/>
          <w:sz w:val="20"/>
          <w:szCs w:val="20"/>
        </w:rPr>
        <w:t>Seydaliyeva</w:t>
      </w:r>
      <w:proofErr w:type="spellEnd"/>
      <w:r w:rsidRPr="0039726C">
        <w:rPr>
          <w:rFonts w:ascii="Times New Roman" w:hAnsi="Times New Roman" w:cs="Times New Roman"/>
          <w:bCs/>
          <w:color w:val="000000"/>
          <w:sz w:val="20"/>
          <w:szCs w:val="20"/>
        </w:rPr>
        <w:t xml:space="preserve">, T., </w:t>
      </w:r>
      <w:proofErr w:type="spellStart"/>
      <w:r w:rsidRPr="0039726C">
        <w:rPr>
          <w:rFonts w:ascii="Times New Roman" w:hAnsi="Times New Roman" w:cs="Times New Roman"/>
          <w:bCs/>
          <w:color w:val="000000"/>
          <w:sz w:val="20"/>
          <w:szCs w:val="20"/>
        </w:rPr>
        <w:t>Unlu</w:t>
      </w:r>
      <w:proofErr w:type="spellEnd"/>
      <w:r w:rsidRPr="0039726C">
        <w:rPr>
          <w:rFonts w:ascii="Times New Roman" w:hAnsi="Times New Roman" w:cs="Times New Roman"/>
          <w:bCs/>
          <w:color w:val="000000"/>
          <w:sz w:val="20"/>
          <w:szCs w:val="20"/>
        </w:rPr>
        <w:t xml:space="preserve">, D. and </w:t>
      </w:r>
      <w:proofErr w:type="spellStart"/>
      <w:r w:rsidRPr="0039726C">
        <w:rPr>
          <w:rFonts w:ascii="Times New Roman" w:hAnsi="Times New Roman" w:cs="Times New Roman"/>
          <w:bCs/>
          <w:color w:val="000000"/>
          <w:sz w:val="20"/>
          <w:szCs w:val="20"/>
        </w:rPr>
        <w:t>Ulucay</w:t>
      </w:r>
      <w:proofErr w:type="spellEnd"/>
      <w:r w:rsidRPr="0039726C">
        <w:rPr>
          <w:rFonts w:ascii="Times New Roman" w:hAnsi="Times New Roman" w:cs="Times New Roman"/>
          <w:bCs/>
          <w:color w:val="000000"/>
          <w:sz w:val="20"/>
          <w:szCs w:val="20"/>
        </w:rPr>
        <w:t xml:space="preserve">, (2004). </w:t>
      </w:r>
      <w:r w:rsidRPr="0039726C">
        <w:rPr>
          <w:rFonts w:ascii="Times New Roman" w:hAnsi="Times New Roman" w:cs="Times New Roman"/>
          <w:color w:val="000000"/>
          <w:sz w:val="20"/>
          <w:szCs w:val="20"/>
        </w:rPr>
        <w:t xml:space="preserve">The Effect of Left Ventricular Geometry on Myocardial Performance Index in Hypertensive Patients. </w:t>
      </w:r>
      <w:proofErr w:type="spellStart"/>
      <w:r w:rsidRPr="0039726C">
        <w:rPr>
          <w:rFonts w:ascii="Times New Roman" w:hAnsi="Times New Roman" w:cs="Times New Roman"/>
          <w:color w:val="000000"/>
          <w:sz w:val="20"/>
          <w:szCs w:val="20"/>
        </w:rPr>
        <w:t>Anadolu</w:t>
      </w:r>
      <w:proofErr w:type="spellEnd"/>
      <w:r w:rsidRPr="0039726C">
        <w:rPr>
          <w:rFonts w:ascii="Times New Roman" w:hAnsi="Times New Roman" w:cs="Times New Roman"/>
          <w:color w:val="000000"/>
          <w:sz w:val="20"/>
          <w:szCs w:val="20"/>
        </w:rPr>
        <w:t xml:space="preserve"> </w:t>
      </w:r>
      <w:proofErr w:type="spellStart"/>
      <w:r w:rsidRPr="0039726C">
        <w:rPr>
          <w:rFonts w:ascii="Times New Roman" w:hAnsi="Times New Roman" w:cs="Times New Roman"/>
          <w:color w:val="000000"/>
          <w:sz w:val="20"/>
          <w:szCs w:val="20"/>
        </w:rPr>
        <w:t>Kardiyoloji</w:t>
      </w:r>
      <w:proofErr w:type="spellEnd"/>
      <w:r w:rsidRPr="0039726C">
        <w:rPr>
          <w:rFonts w:ascii="Times New Roman" w:hAnsi="Times New Roman" w:cs="Times New Roman"/>
          <w:color w:val="000000"/>
          <w:sz w:val="20"/>
          <w:szCs w:val="20"/>
        </w:rPr>
        <w:t xml:space="preserve"> </w:t>
      </w:r>
      <w:proofErr w:type="spellStart"/>
      <w:r w:rsidRPr="0039726C">
        <w:rPr>
          <w:rFonts w:ascii="Times New Roman" w:hAnsi="Times New Roman" w:cs="Times New Roman"/>
          <w:color w:val="000000"/>
          <w:sz w:val="20"/>
          <w:szCs w:val="20"/>
        </w:rPr>
        <w:t>Dergisi</w:t>
      </w:r>
      <w:proofErr w:type="spellEnd"/>
      <w:r w:rsidRPr="0039726C">
        <w:rPr>
          <w:rFonts w:ascii="Times New Roman" w:hAnsi="Times New Roman" w:cs="Times New Roman"/>
          <w:color w:val="000000"/>
          <w:sz w:val="20"/>
          <w:szCs w:val="20"/>
        </w:rPr>
        <w:t>, 4, 217-227.</w:t>
      </w:r>
      <w:r w:rsidR="0039726C" w:rsidRPr="0039726C">
        <w:rPr>
          <w:rFonts w:ascii="Times New Roman" w:hAnsi="Times New Roman" w:cs="Times New Roman" w:hint="eastAsia"/>
          <w:color w:val="000000"/>
          <w:sz w:val="20"/>
          <w:szCs w:val="20"/>
          <w:lang w:eastAsia="zh-CN"/>
        </w:rPr>
        <w:t xml:space="preserve"> </w:t>
      </w:r>
    </w:p>
    <w:p w:rsidR="00DB2881" w:rsidRPr="0039726C" w:rsidRDefault="00DB2881" w:rsidP="00AE7567">
      <w:pPr>
        <w:snapToGrid w:val="0"/>
        <w:spacing w:after="0" w:line="240" w:lineRule="auto"/>
        <w:ind w:left="425" w:hanging="425"/>
        <w:jc w:val="both"/>
        <w:rPr>
          <w:rFonts w:ascii="Times New Roman" w:hAnsi="Times New Roman" w:cs="Times New Roman"/>
          <w:color w:val="000000"/>
          <w:sz w:val="20"/>
          <w:szCs w:val="20"/>
          <w:lang w:bidi="ar-EG"/>
        </w:rPr>
        <w:sectPr w:rsidR="00DB2881" w:rsidRPr="0039726C" w:rsidSect="00A2102B">
          <w:headerReference w:type="default" r:id="rId40"/>
          <w:footerReference w:type="even" r:id="rId41"/>
          <w:footerReference w:type="default" r:id="rId42"/>
          <w:footerReference w:type="first" r:id="rId43"/>
          <w:type w:val="continuous"/>
          <w:pgSz w:w="12242" w:h="15842" w:code="1"/>
          <w:pgMar w:top="1440" w:right="1440" w:bottom="1440" w:left="1440" w:header="720" w:footer="720" w:gutter="0"/>
          <w:cols w:num="2" w:space="550"/>
          <w:docGrid w:linePitch="360"/>
        </w:sectPr>
      </w:pPr>
    </w:p>
    <w:p w:rsidR="00783965" w:rsidRPr="0039726C" w:rsidRDefault="00783965" w:rsidP="00AE7567">
      <w:pPr>
        <w:snapToGrid w:val="0"/>
        <w:spacing w:after="0" w:line="240" w:lineRule="auto"/>
        <w:ind w:left="425" w:hanging="425"/>
        <w:jc w:val="both"/>
        <w:rPr>
          <w:rFonts w:ascii="Times New Roman" w:hAnsi="Times New Roman" w:cs="Times New Roman"/>
          <w:color w:val="000000"/>
          <w:sz w:val="20"/>
          <w:szCs w:val="20"/>
          <w:lang w:bidi="ar-EG"/>
        </w:rPr>
      </w:pPr>
    </w:p>
    <w:p w:rsidR="00DB2881" w:rsidRPr="0039726C" w:rsidRDefault="00AE7567" w:rsidP="00AE7567">
      <w:pPr>
        <w:snapToGrid w:val="0"/>
        <w:spacing w:after="0" w:line="240" w:lineRule="auto"/>
        <w:ind w:left="425" w:hanging="425"/>
        <w:jc w:val="both"/>
        <w:rPr>
          <w:rFonts w:ascii="Times New Roman" w:hAnsi="Times New Roman" w:cs="Times New Roman"/>
          <w:color w:val="000000"/>
          <w:sz w:val="20"/>
          <w:szCs w:val="20"/>
          <w:lang w:eastAsia="zh-CN" w:bidi="ar-EG"/>
        </w:rPr>
      </w:pPr>
      <w:r w:rsidRPr="0039726C">
        <w:rPr>
          <w:rFonts w:ascii="Times New Roman" w:hAnsi="Times New Roman" w:cs="Times New Roman" w:hint="eastAsia"/>
          <w:color w:val="000000"/>
          <w:sz w:val="20"/>
          <w:szCs w:val="20"/>
          <w:lang w:eastAsia="zh-CN" w:bidi="ar-EG"/>
        </w:rPr>
        <w:t xml:space="preserve"> </w:t>
      </w:r>
    </w:p>
    <w:p w:rsidR="00AE7567" w:rsidRPr="0039726C" w:rsidRDefault="00AE7567" w:rsidP="00AE7567">
      <w:pPr>
        <w:pStyle w:val="msolistparagraph0"/>
        <w:bidi w:val="0"/>
        <w:snapToGrid w:val="0"/>
        <w:spacing w:after="0" w:line="240" w:lineRule="auto"/>
        <w:ind w:left="425" w:hanging="425"/>
        <w:jc w:val="both"/>
        <w:rPr>
          <w:rFonts w:ascii="Times New Roman" w:hAnsi="Times New Roman" w:cs="Times New Roman"/>
          <w:color w:val="000000"/>
          <w:sz w:val="20"/>
          <w:szCs w:val="20"/>
          <w:lang w:eastAsia="zh-CN" w:bidi="ar-EG"/>
        </w:rPr>
      </w:pPr>
    </w:p>
    <w:p w:rsidR="00C52A68" w:rsidRPr="0039726C" w:rsidRDefault="00DB2881" w:rsidP="00AE7567">
      <w:pPr>
        <w:pStyle w:val="msolistparagraph0"/>
        <w:bidi w:val="0"/>
        <w:snapToGrid w:val="0"/>
        <w:spacing w:after="0" w:line="240" w:lineRule="auto"/>
        <w:ind w:left="425" w:hanging="425"/>
        <w:jc w:val="both"/>
        <w:rPr>
          <w:rFonts w:ascii="Times New Roman" w:hAnsi="Times New Roman" w:cs="Times New Roman"/>
          <w:color w:val="000000"/>
          <w:sz w:val="20"/>
          <w:szCs w:val="20"/>
          <w:lang w:bidi="ar-EG"/>
        </w:rPr>
      </w:pPr>
      <w:r w:rsidRPr="0039726C">
        <w:rPr>
          <w:rFonts w:ascii="Times New Roman" w:hAnsi="Times New Roman" w:cs="Times New Roman"/>
          <w:color w:val="000000"/>
          <w:sz w:val="20"/>
          <w:szCs w:val="20"/>
          <w:lang w:bidi="ar-EG"/>
        </w:rPr>
        <w:t>11/29/2016</w:t>
      </w:r>
    </w:p>
    <w:sectPr w:rsidR="00C52A68" w:rsidRPr="0039726C" w:rsidSect="00BB1DE5">
      <w:headerReference w:type="default" r:id="rId44"/>
      <w:footerReference w:type="default" r:id="rId45"/>
      <w:type w:val="continuous"/>
      <w:pgSz w:w="12242" w:h="15842" w:code="1"/>
      <w:pgMar w:top="1440" w:right="1440" w:bottom="1440" w:left="1440" w:header="720" w:footer="720"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B2B" w:rsidRDefault="00302B2B" w:rsidP="00EB4BA5">
      <w:pPr>
        <w:spacing w:after="0" w:line="240" w:lineRule="auto"/>
      </w:pPr>
      <w:r>
        <w:separator/>
      </w:r>
    </w:p>
  </w:endnote>
  <w:endnote w:type="continuationSeparator" w:id="0">
    <w:p w:rsidR="00302B2B" w:rsidRDefault="00302B2B" w:rsidP="00EB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81" w:rsidRDefault="00F400F0" w:rsidP="00783965">
    <w:pPr>
      <w:pStyle w:val="Footer"/>
      <w:framePr w:wrap="around" w:vAnchor="text" w:hAnchor="margin" w:xAlign="right" w:y="1"/>
      <w:rPr>
        <w:rStyle w:val="PageNumber"/>
      </w:rPr>
    </w:pPr>
    <w:r>
      <w:rPr>
        <w:rStyle w:val="PageNumber"/>
      </w:rPr>
      <w:fldChar w:fldCharType="begin"/>
    </w:r>
    <w:r w:rsidR="00DB2881">
      <w:rPr>
        <w:rStyle w:val="PageNumber"/>
      </w:rPr>
      <w:instrText xml:space="preserve">PAGE  </w:instrText>
    </w:r>
    <w:r>
      <w:rPr>
        <w:rStyle w:val="PageNumber"/>
      </w:rPr>
      <w:fldChar w:fldCharType="end"/>
    </w:r>
  </w:p>
  <w:p w:rsidR="00DB2881" w:rsidRDefault="00DB2881" w:rsidP="006D283F">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81" w:rsidRDefault="00F400F0" w:rsidP="00783965">
    <w:pPr>
      <w:pStyle w:val="Footer"/>
      <w:framePr w:wrap="around" w:vAnchor="text" w:hAnchor="margin" w:xAlign="right" w:y="1"/>
      <w:rPr>
        <w:rStyle w:val="PageNumber"/>
      </w:rPr>
    </w:pPr>
    <w:r>
      <w:rPr>
        <w:rStyle w:val="PageNumber"/>
      </w:rPr>
      <w:fldChar w:fldCharType="begin"/>
    </w:r>
    <w:r w:rsidR="00DB2881">
      <w:rPr>
        <w:rStyle w:val="PageNumber"/>
      </w:rPr>
      <w:instrText xml:space="preserve">PAGE  </w:instrText>
    </w:r>
    <w:r>
      <w:rPr>
        <w:rStyle w:val="PageNumber"/>
      </w:rPr>
      <w:fldChar w:fldCharType="end"/>
    </w:r>
  </w:p>
  <w:p w:rsidR="00DB2881" w:rsidRDefault="00DB2881" w:rsidP="006D283F">
    <w:pPr>
      <w:pStyle w:val="Footer"/>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81" w:rsidRPr="00DB2881" w:rsidRDefault="00F400F0" w:rsidP="00DB2881">
    <w:pPr>
      <w:spacing w:after="0" w:line="240" w:lineRule="auto"/>
      <w:jc w:val="center"/>
      <w:rPr>
        <w:rFonts w:ascii="Times New Roman" w:hAnsi="Times New Roman" w:cs="Times New Roman"/>
        <w:sz w:val="20"/>
      </w:rPr>
    </w:pPr>
    <w:r w:rsidRPr="00DB2881">
      <w:rPr>
        <w:rFonts w:ascii="Times New Roman" w:hAnsi="Times New Roman" w:cs="Times New Roman"/>
        <w:sz w:val="20"/>
      </w:rPr>
      <w:fldChar w:fldCharType="begin"/>
    </w:r>
    <w:r w:rsidR="00DB2881" w:rsidRPr="00DB2881">
      <w:rPr>
        <w:rFonts w:ascii="Times New Roman" w:hAnsi="Times New Roman" w:cs="Times New Roman"/>
        <w:sz w:val="20"/>
      </w:rPr>
      <w:instrText xml:space="preserve"> page </w:instrText>
    </w:r>
    <w:r w:rsidRPr="00DB2881">
      <w:rPr>
        <w:rFonts w:ascii="Times New Roman" w:hAnsi="Times New Roman" w:cs="Times New Roman"/>
        <w:sz w:val="20"/>
      </w:rPr>
      <w:fldChar w:fldCharType="separate"/>
    </w:r>
    <w:r w:rsidR="00C62F17">
      <w:rPr>
        <w:rFonts w:ascii="Times New Roman" w:hAnsi="Times New Roman" w:cs="Times New Roman"/>
        <w:noProof/>
        <w:sz w:val="20"/>
      </w:rPr>
      <w:t>7</w:t>
    </w:r>
    <w:r w:rsidRPr="00DB2881">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81" w:rsidRDefault="00F400F0" w:rsidP="009D3B9D">
    <w:pPr>
      <w:pStyle w:val="Footer"/>
      <w:framePr w:wrap="around" w:vAnchor="text" w:hAnchor="margin" w:xAlign="center" w:y="1"/>
      <w:rPr>
        <w:rStyle w:val="PageNumber"/>
      </w:rPr>
    </w:pPr>
    <w:r>
      <w:rPr>
        <w:rStyle w:val="PageNumber"/>
      </w:rPr>
      <w:fldChar w:fldCharType="begin"/>
    </w:r>
    <w:r w:rsidR="00DB2881">
      <w:rPr>
        <w:rStyle w:val="PageNumber"/>
      </w:rPr>
      <w:instrText xml:space="preserve">PAGE  </w:instrText>
    </w:r>
    <w:r>
      <w:rPr>
        <w:rStyle w:val="PageNumber"/>
      </w:rPr>
      <w:fldChar w:fldCharType="separate"/>
    </w:r>
    <w:r w:rsidR="00DB2881">
      <w:rPr>
        <w:rStyle w:val="PageNumber"/>
        <w:noProof/>
      </w:rPr>
      <w:t>1</w:t>
    </w:r>
    <w:r>
      <w:rPr>
        <w:rStyle w:val="PageNumber"/>
      </w:rPr>
      <w:fldChar w:fldCharType="end"/>
    </w:r>
  </w:p>
  <w:p w:rsidR="00DB2881" w:rsidRDefault="00DB2881">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5E7" w:rsidRDefault="00F400F0" w:rsidP="00783965">
    <w:pPr>
      <w:pStyle w:val="Footer"/>
      <w:ind w:right="360"/>
      <w:jc w:val="center"/>
    </w:pPr>
    <w:r w:rsidRPr="00F400F0">
      <w:rPr>
        <w:rFonts w:ascii="Calibri Light" w:hAnsi="Calibri Light"/>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2050" type="#_x0000_t107" style="position:absolute;left:0;text-align:left;margin-left:251.85pt;margin-top:742.05pt;width:101pt;height:27.0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" filled="f" fillcolor="#17365d" strokecolor="#71a0dc">
          <v:textbox>
            <w:txbxContent>
              <w:p w:rsidR="00A675E7" w:rsidRPr="000B6178" w:rsidRDefault="00F400F0" w:rsidP="00783965">
                <w:pPr>
                  <w:bidi/>
                  <w:jc w:val="center"/>
                  <w:rPr>
                    <w:color w:val="5B9BD5"/>
                  </w:rPr>
                </w:pPr>
                <w:fldSimple w:instr=" PAGE    \* MERGEFORMAT ">
                  <w:r w:rsidR="00061D94" w:rsidRPr="00061D94">
                    <w:rPr>
                      <w:noProof/>
                      <w:color w:val="5B9BD5"/>
                      <w:rtl/>
                    </w:rPr>
                    <w:t>-</w:t>
                  </w:r>
                  <w:r w:rsidR="00061D94">
                    <w:rPr>
                      <w:noProof/>
                      <w:rtl/>
                    </w:rPr>
                    <w:t xml:space="preserve"> 2 -</w:t>
                  </w:r>
                </w:fldSimple>
              </w:p>
            </w:txbxContent>
          </v:textbox>
          <w10:wrap anchorx="margin" anchory="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81" w:rsidRPr="00DB2881" w:rsidRDefault="00F400F0" w:rsidP="00DB2881">
    <w:pPr>
      <w:spacing w:after="0" w:line="240" w:lineRule="auto"/>
      <w:jc w:val="center"/>
      <w:rPr>
        <w:rFonts w:ascii="Times New Roman" w:hAnsi="Times New Roman" w:cs="Times New Roman"/>
        <w:sz w:val="20"/>
      </w:rPr>
    </w:pPr>
    <w:r w:rsidRPr="00DB2881">
      <w:rPr>
        <w:rFonts w:ascii="Times New Roman" w:hAnsi="Times New Roman" w:cs="Times New Roman"/>
        <w:sz w:val="20"/>
      </w:rPr>
      <w:fldChar w:fldCharType="begin"/>
    </w:r>
    <w:r w:rsidR="00DB2881" w:rsidRPr="00DB2881">
      <w:rPr>
        <w:rFonts w:ascii="Times New Roman" w:hAnsi="Times New Roman" w:cs="Times New Roman"/>
        <w:sz w:val="20"/>
      </w:rPr>
      <w:instrText xml:space="preserve"> page </w:instrText>
    </w:r>
    <w:r w:rsidRPr="00DB2881">
      <w:rPr>
        <w:rFonts w:ascii="Times New Roman" w:hAnsi="Times New Roman" w:cs="Times New Roman"/>
        <w:sz w:val="20"/>
      </w:rPr>
      <w:fldChar w:fldCharType="separate"/>
    </w:r>
    <w:r w:rsidR="0039726C">
      <w:rPr>
        <w:rFonts w:ascii="Times New Roman" w:hAnsi="Times New Roman" w:cs="Times New Roman"/>
        <w:noProof/>
        <w:sz w:val="20"/>
      </w:rPr>
      <w:t>1</w:t>
    </w:r>
    <w:r w:rsidRPr="00DB288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81" w:rsidRDefault="00F400F0" w:rsidP="009D3B9D">
    <w:pPr>
      <w:pStyle w:val="Footer"/>
      <w:framePr w:wrap="around" w:vAnchor="text" w:hAnchor="margin" w:xAlign="center" w:y="1"/>
      <w:rPr>
        <w:rStyle w:val="PageNumber"/>
      </w:rPr>
    </w:pPr>
    <w:r>
      <w:rPr>
        <w:rStyle w:val="PageNumber"/>
      </w:rPr>
      <w:fldChar w:fldCharType="begin"/>
    </w:r>
    <w:r w:rsidR="00DB2881">
      <w:rPr>
        <w:rStyle w:val="PageNumber"/>
      </w:rPr>
      <w:instrText xml:space="preserve">PAGE  </w:instrText>
    </w:r>
    <w:r>
      <w:rPr>
        <w:rStyle w:val="PageNumber"/>
      </w:rPr>
      <w:fldChar w:fldCharType="separate"/>
    </w:r>
    <w:r w:rsidR="00DB2881">
      <w:rPr>
        <w:rStyle w:val="PageNumber"/>
        <w:noProof/>
      </w:rPr>
      <w:t>1</w:t>
    </w:r>
    <w:r>
      <w:rPr>
        <w:rStyle w:val="PageNumber"/>
      </w:rPr>
      <w:fldChar w:fldCharType="end"/>
    </w:r>
  </w:p>
  <w:p w:rsidR="00DB2881" w:rsidRDefault="00DB288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81" w:rsidRDefault="00F400F0" w:rsidP="00783965">
    <w:pPr>
      <w:pStyle w:val="Footer"/>
      <w:framePr w:wrap="around" w:vAnchor="text" w:hAnchor="margin" w:xAlign="right" w:y="1"/>
      <w:rPr>
        <w:rStyle w:val="PageNumber"/>
      </w:rPr>
    </w:pPr>
    <w:r>
      <w:rPr>
        <w:rStyle w:val="PageNumber"/>
      </w:rPr>
      <w:fldChar w:fldCharType="begin"/>
    </w:r>
    <w:r w:rsidR="00DB2881">
      <w:rPr>
        <w:rStyle w:val="PageNumber"/>
      </w:rPr>
      <w:instrText xml:space="preserve">PAGE  </w:instrText>
    </w:r>
    <w:r>
      <w:rPr>
        <w:rStyle w:val="PageNumber"/>
      </w:rPr>
      <w:fldChar w:fldCharType="end"/>
    </w:r>
  </w:p>
  <w:p w:rsidR="00DB2881" w:rsidRDefault="00DB2881" w:rsidP="006D283F">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81" w:rsidRPr="00DB2881" w:rsidRDefault="00F400F0" w:rsidP="00DB2881">
    <w:pPr>
      <w:spacing w:after="0" w:line="240" w:lineRule="auto"/>
      <w:jc w:val="center"/>
      <w:rPr>
        <w:rFonts w:ascii="Times New Roman" w:hAnsi="Times New Roman" w:cs="Times New Roman"/>
        <w:sz w:val="20"/>
      </w:rPr>
    </w:pPr>
    <w:r w:rsidRPr="00DB2881">
      <w:rPr>
        <w:rFonts w:ascii="Times New Roman" w:hAnsi="Times New Roman" w:cs="Times New Roman"/>
        <w:sz w:val="20"/>
      </w:rPr>
      <w:fldChar w:fldCharType="begin"/>
    </w:r>
    <w:r w:rsidR="00DB2881" w:rsidRPr="00DB2881">
      <w:rPr>
        <w:rFonts w:ascii="Times New Roman" w:hAnsi="Times New Roman" w:cs="Times New Roman"/>
        <w:sz w:val="20"/>
      </w:rPr>
      <w:instrText xml:space="preserve"> page </w:instrText>
    </w:r>
    <w:r w:rsidRPr="00DB2881">
      <w:rPr>
        <w:rFonts w:ascii="Times New Roman" w:hAnsi="Times New Roman" w:cs="Times New Roman"/>
        <w:sz w:val="20"/>
      </w:rPr>
      <w:fldChar w:fldCharType="separate"/>
    </w:r>
    <w:r w:rsidR="00C62F17">
      <w:rPr>
        <w:rFonts w:ascii="Times New Roman" w:hAnsi="Times New Roman" w:cs="Times New Roman"/>
        <w:noProof/>
        <w:sz w:val="20"/>
      </w:rPr>
      <w:t>2</w:t>
    </w:r>
    <w:r w:rsidRPr="00DB2881">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81" w:rsidRDefault="00F400F0" w:rsidP="009D3B9D">
    <w:pPr>
      <w:pStyle w:val="Footer"/>
      <w:framePr w:wrap="around" w:vAnchor="text" w:hAnchor="margin" w:xAlign="center" w:y="1"/>
      <w:rPr>
        <w:rStyle w:val="PageNumber"/>
      </w:rPr>
    </w:pPr>
    <w:r>
      <w:rPr>
        <w:rStyle w:val="PageNumber"/>
      </w:rPr>
      <w:fldChar w:fldCharType="begin"/>
    </w:r>
    <w:r w:rsidR="00DB2881">
      <w:rPr>
        <w:rStyle w:val="PageNumber"/>
      </w:rPr>
      <w:instrText xml:space="preserve">PAGE  </w:instrText>
    </w:r>
    <w:r>
      <w:rPr>
        <w:rStyle w:val="PageNumber"/>
      </w:rPr>
      <w:fldChar w:fldCharType="separate"/>
    </w:r>
    <w:r w:rsidR="00DB2881">
      <w:rPr>
        <w:rStyle w:val="PageNumber"/>
        <w:noProof/>
      </w:rPr>
      <w:t>1</w:t>
    </w:r>
    <w:r>
      <w:rPr>
        <w:rStyle w:val="PageNumber"/>
      </w:rPr>
      <w:fldChar w:fldCharType="end"/>
    </w:r>
  </w:p>
  <w:p w:rsidR="00DB2881" w:rsidRDefault="00DB2881">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81" w:rsidRDefault="00F400F0" w:rsidP="00783965">
    <w:pPr>
      <w:pStyle w:val="Footer"/>
      <w:framePr w:wrap="around" w:vAnchor="text" w:hAnchor="margin" w:xAlign="right" w:y="1"/>
      <w:rPr>
        <w:rStyle w:val="PageNumber"/>
      </w:rPr>
    </w:pPr>
    <w:r>
      <w:rPr>
        <w:rStyle w:val="PageNumber"/>
      </w:rPr>
      <w:fldChar w:fldCharType="begin"/>
    </w:r>
    <w:r w:rsidR="00DB2881">
      <w:rPr>
        <w:rStyle w:val="PageNumber"/>
      </w:rPr>
      <w:instrText xml:space="preserve">PAGE  </w:instrText>
    </w:r>
    <w:r>
      <w:rPr>
        <w:rStyle w:val="PageNumber"/>
      </w:rPr>
      <w:fldChar w:fldCharType="end"/>
    </w:r>
  </w:p>
  <w:p w:rsidR="00DB2881" w:rsidRDefault="00DB2881" w:rsidP="006D283F">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81" w:rsidRPr="00DB2881" w:rsidRDefault="00F400F0" w:rsidP="00DB2881">
    <w:pPr>
      <w:spacing w:after="0" w:line="240" w:lineRule="auto"/>
      <w:jc w:val="center"/>
      <w:rPr>
        <w:rFonts w:ascii="Times New Roman" w:hAnsi="Times New Roman" w:cs="Times New Roman"/>
        <w:sz w:val="20"/>
      </w:rPr>
    </w:pPr>
    <w:r w:rsidRPr="00DB2881">
      <w:rPr>
        <w:rFonts w:ascii="Times New Roman" w:hAnsi="Times New Roman" w:cs="Times New Roman"/>
        <w:sz w:val="20"/>
      </w:rPr>
      <w:fldChar w:fldCharType="begin"/>
    </w:r>
    <w:r w:rsidR="00DB2881" w:rsidRPr="00DB2881">
      <w:rPr>
        <w:rFonts w:ascii="Times New Roman" w:hAnsi="Times New Roman" w:cs="Times New Roman"/>
        <w:sz w:val="20"/>
      </w:rPr>
      <w:instrText xml:space="preserve"> page </w:instrText>
    </w:r>
    <w:r w:rsidRPr="00DB2881">
      <w:rPr>
        <w:rFonts w:ascii="Times New Roman" w:hAnsi="Times New Roman" w:cs="Times New Roman"/>
        <w:sz w:val="20"/>
      </w:rPr>
      <w:fldChar w:fldCharType="separate"/>
    </w:r>
    <w:r w:rsidR="00C62F17">
      <w:rPr>
        <w:rFonts w:ascii="Times New Roman" w:hAnsi="Times New Roman" w:cs="Times New Roman"/>
        <w:noProof/>
        <w:sz w:val="20"/>
      </w:rPr>
      <w:t>5</w:t>
    </w:r>
    <w:r w:rsidRPr="00DB2881">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81" w:rsidRDefault="00F400F0" w:rsidP="009D3B9D">
    <w:pPr>
      <w:pStyle w:val="Footer"/>
      <w:framePr w:wrap="around" w:vAnchor="text" w:hAnchor="margin" w:xAlign="center" w:y="1"/>
      <w:rPr>
        <w:rStyle w:val="PageNumber"/>
      </w:rPr>
    </w:pPr>
    <w:r>
      <w:rPr>
        <w:rStyle w:val="PageNumber"/>
      </w:rPr>
      <w:fldChar w:fldCharType="begin"/>
    </w:r>
    <w:r w:rsidR="00DB2881">
      <w:rPr>
        <w:rStyle w:val="PageNumber"/>
      </w:rPr>
      <w:instrText xml:space="preserve">PAGE  </w:instrText>
    </w:r>
    <w:r>
      <w:rPr>
        <w:rStyle w:val="PageNumber"/>
      </w:rPr>
      <w:fldChar w:fldCharType="separate"/>
    </w:r>
    <w:r w:rsidR="00DB2881">
      <w:rPr>
        <w:rStyle w:val="PageNumber"/>
        <w:noProof/>
      </w:rPr>
      <w:t>1</w:t>
    </w:r>
    <w:r>
      <w:rPr>
        <w:rStyle w:val="PageNumber"/>
      </w:rPr>
      <w:fldChar w:fldCharType="end"/>
    </w:r>
  </w:p>
  <w:p w:rsidR="00DB2881" w:rsidRDefault="00DB28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B2B" w:rsidRDefault="00302B2B" w:rsidP="00EB4BA5">
      <w:pPr>
        <w:spacing w:after="0" w:line="240" w:lineRule="auto"/>
      </w:pPr>
      <w:r>
        <w:separator/>
      </w:r>
    </w:p>
  </w:footnote>
  <w:footnote w:type="continuationSeparator" w:id="0">
    <w:p w:rsidR="00302B2B" w:rsidRDefault="00302B2B" w:rsidP="00EB4B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2B" w:rsidRDefault="00A210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81" w:rsidRPr="00DB2881" w:rsidRDefault="00DB2881" w:rsidP="00DB288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B2881">
      <w:rPr>
        <w:rFonts w:ascii="Times New Roman" w:hAnsi="Times New Roman" w:cs="Times New Roman" w:hint="eastAsia"/>
        <w:sz w:val="20"/>
        <w:szCs w:val="20"/>
      </w:rPr>
      <w:tab/>
    </w:r>
    <w:r w:rsidRPr="00DB2881">
      <w:rPr>
        <w:rFonts w:ascii="Times New Roman" w:hAnsi="Times New Roman" w:cs="Times New Roman"/>
        <w:sz w:val="20"/>
        <w:szCs w:val="20"/>
      </w:rPr>
      <w:t>New York Science Journal 201</w:t>
    </w:r>
    <w:r w:rsidRPr="00DB2881">
      <w:rPr>
        <w:rFonts w:ascii="Times New Roman" w:hAnsi="Times New Roman" w:cs="Times New Roman" w:hint="eastAsia"/>
        <w:sz w:val="20"/>
        <w:szCs w:val="20"/>
      </w:rPr>
      <w:t>6</w:t>
    </w:r>
    <w:proofErr w:type="gramStart"/>
    <w:r w:rsidRPr="00DB2881">
      <w:rPr>
        <w:rFonts w:ascii="Times New Roman" w:hAnsi="Times New Roman" w:cs="Times New Roman"/>
        <w:sz w:val="20"/>
        <w:szCs w:val="20"/>
      </w:rPr>
      <w:t>;</w:t>
    </w:r>
    <w:r w:rsidRPr="00DB2881">
      <w:rPr>
        <w:rFonts w:ascii="Times New Roman" w:hAnsi="Times New Roman" w:cs="Times New Roman" w:hint="eastAsia"/>
        <w:sz w:val="20"/>
        <w:szCs w:val="20"/>
      </w:rPr>
      <w:t>9</w:t>
    </w:r>
    <w:proofErr w:type="gramEnd"/>
    <w:r w:rsidRPr="00DB2881">
      <w:rPr>
        <w:rFonts w:ascii="Times New Roman" w:hAnsi="Times New Roman" w:cs="Times New Roman"/>
        <w:sz w:val="20"/>
        <w:szCs w:val="20"/>
      </w:rPr>
      <w:t>(</w:t>
    </w:r>
    <w:r w:rsidRPr="00DB2881">
      <w:rPr>
        <w:rFonts w:ascii="Times New Roman" w:hAnsi="Times New Roman" w:cs="Times New Roman" w:hint="eastAsia"/>
        <w:sz w:val="20"/>
        <w:szCs w:val="20"/>
      </w:rPr>
      <w:t>12</w:t>
    </w:r>
    <w:r w:rsidRPr="00DB2881">
      <w:rPr>
        <w:rFonts w:ascii="Times New Roman" w:hAnsi="Times New Roman" w:cs="Times New Roman"/>
        <w:sz w:val="20"/>
        <w:szCs w:val="20"/>
      </w:rPr>
      <w:t>)</w:t>
    </w:r>
    <w:r w:rsidRPr="00DB2881">
      <w:rPr>
        <w:rFonts w:ascii="Times New Roman" w:hAnsi="Times New Roman" w:cs="Times New Roman"/>
        <w:iCs/>
        <w:sz w:val="20"/>
        <w:szCs w:val="20"/>
      </w:rPr>
      <w:t xml:space="preserve">     </w:t>
    </w:r>
    <w:r w:rsidRPr="00DB2881">
      <w:rPr>
        <w:rFonts w:ascii="Times New Roman" w:hAnsi="Times New Roman" w:cs="Times New Roman" w:hint="eastAsia"/>
        <w:iCs/>
        <w:sz w:val="20"/>
        <w:szCs w:val="20"/>
      </w:rPr>
      <w:tab/>
    </w:r>
    <w:r w:rsidRPr="00DB2881">
      <w:rPr>
        <w:rFonts w:ascii="Times New Roman" w:hAnsi="Times New Roman" w:cs="Times New Roman"/>
        <w:iCs/>
        <w:sz w:val="20"/>
        <w:szCs w:val="20"/>
      </w:rPr>
      <w:t xml:space="preserve"> </w:t>
    </w:r>
    <w:r w:rsidRPr="00DB2881">
      <w:rPr>
        <w:rFonts w:ascii="Times New Roman" w:hAnsi="Times New Roman" w:cs="Times New Roman" w:hint="eastAsia"/>
        <w:iCs/>
        <w:sz w:val="20"/>
        <w:szCs w:val="20"/>
      </w:rPr>
      <w:t xml:space="preserve"> </w:t>
    </w:r>
    <w:r w:rsidRPr="00DB2881">
      <w:rPr>
        <w:rFonts w:ascii="Times New Roman" w:hAnsi="Times New Roman" w:cs="Times New Roman"/>
        <w:iCs/>
        <w:sz w:val="20"/>
        <w:szCs w:val="20"/>
      </w:rPr>
      <w:t xml:space="preserve">   </w:t>
    </w:r>
    <w:hyperlink r:id="rId1" w:history="1">
      <w:r w:rsidRPr="00DB2881">
        <w:rPr>
          <w:rStyle w:val="Hyperlink"/>
          <w:rFonts w:ascii="Times New Roman" w:hAnsi="Times New Roman" w:cs="Times New Roman"/>
          <w:color w:val="0000FF"/>
          <w:sz w:val="20"/>
          <w:szCs w:val="20"/>
        </w:rPr>
        <w:t>http://www.sciencepub.net/newyork</w:t>
      </w:r>
    </w:hyperlink>
  </w:p>
  <w:p w:rsidR="00DB2881" w:rsidRPr="00DB2881" w:rsidRDefault="00DB2881" w:rsidP="00DB288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2B" w:rsidRDefault="00A2102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81" w:rsidRPr="00DB2881" w:rsidRDefault="00DB2881" w:rsidP="00DB288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B2881">
      <w:rPr>
        <w:rFonts w:ascii="Times New Roman" w:hAnsi="Times New Roman" w:cs="Times New Roman" w:hint="eastAsia"/>
        <w:sz w:val="20"/>
        <w:szCs w:val="20"/>
      </w:rPr>
      <w:tab/>
    </w:r>
    <w:r w:rsidRPr="00DB2881">
      <w:rPr>
        <w:rFonts w:ascii="Times New Roman" w:hAnsi="Times New Roman" w:cs="Times New Roman"/>
        <w:sz w:val="20"/>
        <w:szCs w:val="20"/>
      </w:rPr>
      <w:t>New York Science Journal 201</w:t>
    </w:r>
    <w:r w:rsidRPr="00DB2881">
      <w:rPr>
        <w:rFonts w:ascii="Times New Roman" w:hAnsi="Times New Roman" w:cs="Times New Roman" w:hint="eastAsia"/>
        <w:sz w:val="20"/>
        <w:szCs w:val="20"/>
      </w:rPr>
      <w:t>6</w:t>
    </w:r>
    <w:proofErr w:type="gramStart"/>
    <w:r w:rsidRPr="00DB2881">
      <w:rPr>
        <w:rFonts w:ascii="Times New Roman" w:hAnsi="Times New Roman" w:cs="Times New Roman"/>
        <w:sz w:val="20"/>
        <w:szCs w:val="20"/>
      </w:rPr>
      <w:t>;</w:t>
    </w:r>
    <w:r w:rsidRPr="00DB2881">
      <w:rPr>
        <w:rFonts w:ascii="Times New Roman" w:hAnsi="Times New Roman" w:cs="Times New Roman" w:hint="eastAsia"/>
        <w:sz w:val="20"/>
        <w:szCs w:val="20"/>
      </w:rPr>
      <w:t>9</w:t>
    </w:r>
    <w:proofErr w:type="gramEnd"/>
    <w:r w:rsidRPr="00DB2881">
      <w:rPr>
        <w:rFonts w:ascii="Times New Roman" w:hAnsi="Times New Roman" w:cs="Times New Roman"/>
        <w:sz w:val="20"/>
        <w:szCs w:val="20"/>
      </w:rPr>
      <w:t>(</w:t>
    </w:r>
    <w:r w:rsidRPr="00DB2881">
      <w:rPr>
        <w:rFonts w:ascii="Times New Roman" w:hAnsi="Times New Roman" w:cs="Times New Roman" w:hint="eastAsia"/>
        <w:sz w:val="20"/>
        <w:szCs w:val="20"/>
      </w:rPr>
      <w:t>12</w:t>
    </w:r>
    <w:r w:rsidRPr="00DB2881">
      <w:rPr>
        <w:rFonts w:ascii="Times New Roman" w:hAnsi="Times New Roman" w:cs="Times New Roman"/>
        <w:sz w:val="20"/>
        <w:szCs w:val="20"/>
      </w:rPr>
      <w:t>)</w:t>
    </w:r>
    <w:r w:rsidRPr="00DB2881">
      <w:rPr>
        <w:rFonts w:ascii="Times New Roman" w:hAnsi="Times New Roman" w:cs="Times New Roman"/>
        <w:iCs/>
        <w:sz w:val="20"/>
        <w:szCs w:val="20"/>
      </w:rPr>
      <w:t xml:space="preserve">     </w:t>
    </w:r>
    <w:r w:rsidRPr="00DB2881">
      <w:rPr>
        <w:rFonts w:ascii="Times New Roman" w:hAnsi="Times New Roman" w:cs="Times New Roman" w:hint="eastAsia"/>
        <w:iCs/>
        <w:sz w:val="20"/>
        <w:szCs w:val="20"/>
      </w:rPr>
      <w:tab/>
    </w:r>
    <w:r w:rsidRPr="00DB2881">
      <w:rPr>
        <w:rFonts w:ascii="Times New Roman" w:hAnsi="Times New Roman" w:cs="Times New Roman"/>
        <w:iCs/>
        <w:sz w:val="20"/>
        <w:szCs w:val="20"/>
      </w:rPr>
      <w:t xml:space="preserve"> </w:t>
    </w:r>
    <w:r w:rsidRPr="00DB2881">
      <w:rPr>
        <w:rFonts w:ascii="Times New Roman" w:hAnsi="Times New Roman" w:cs="Times New Roman" w:hint="eastAsia"/>
        <w:iCs/>
        <w:sz w:val="20"/>
        <w:szCs w:val="20"/>
      </w:rPr>
      <w:t xml:space="preserve"> </w:t>
    </w:r>
    <w:r w:rsidRPr="00DB2881">
      <w:rPr>
        <w:rFonts w:ascii="Times New Roman" w:hAnsi="Times New Roman" w:cs="Times New Roman"/>
        <w:iCs/>
        <w:sz w:val="20"/>
        <w:szCs w:val="20"/>
      </w:rPr>
      <w:t xml:space="preserve">   </w:t>
    </w:r>
    <w:hyperlink r:id="rId1" w:history="1">
      <w:r w:rsidRPr="00DB2881">
        <w:rPr>
          <w:rStyle w:val="Hyperlink"/>
          <w:rFonts w:ascii="Times New Roman" w:hAnsi="Times New Roman" w:cs="Times New Roman"/>
          <w:color w:val="0000FF"/>
          <w:sz w:val="20"/>
          <w:szCs w:val="20"/>
        </w:rPr>
        <w:t>http://www.sciencepub.net/newyork</w:t>
      </w:r>
    </w:hyperlink>
  </w:p>
  <w:p w:rsidR="00DB2881" w:rsidRPr="00DB2881" w:rsidRDefault="00DB2881" w:rsidP="00DB288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81" w:rsidRPr="00DB2881" w:rsidRDefault="00DB2881" w:rsidP="00DB288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B2881">
      <w:rPr>
        <w:rFonts w:ascii="Times New Roman" w:hAnsi="Times New Roman" w:cs="Times New Roman" w:hint="eastAsia"/>
        <w:sz w:val="20"/>
        <w:szCs w:val="20"/>
      </w:rPr>
      <w:tab/>
    </w:r>
    <w:r w:rsidRPr="00DB2881">
      <w:rPr>
        <w:rFonts w:ascii="Times New Roman" w:hAnsi="Times New Roman" w:cs="Times New Roman"/>
        <w:sz w:val="20"/>
        <w:szCs w:val="20"/>
      </w:rPr>
      <w:t>New York Science Journal 201</w:t>
    </w:r>
    <w:r w:rsidRPr="00DB2881">
      <w:rPr>
        <w:rFonts w:ascii="Times New Roman" w:hAnsi="Times New Roman" w:cs="Times New Roman" w:hint="eastAsia"/>
        <w:sz w:val="20"/>
        <w:szCs w:val="20"/>
      </w:rPr>
      <w:t>6</w:t>
    </w:r>
    <w:proofErr w:type="gramStart"/>
    <w:r w:rsidRPr="00DB2881">
      <w:rPr>
        <w:rFonts w:ascii="Times New Roman" w:hAnsi="Times New Roman" w:cs="Times New Roman"/>
        <w:sz w:val="20"/>
        <w:szCs w:val="20"/>
      </w:rPr>
      <w:t>;</w:t>
    </w:r>
    <w:r w:rsidRPr="00DB2881">
      <w:rPr>
        <w:rFonts w:ascii="Times New Roman" w:hAnsi="Times New Roman" w:cs="Times New Roman" w:hint="eastAsia"/>
        <w:sz w:val="20"/>
        <w:szCs w:val="20"/>
      </w:rPr>
      <w:t>9</w:t>
    </w:r>
    <w:proofErr w:type="gramEnd"/>
    <w:r w:rsidRPr="00DB2881">
      <w:rPr>
        <w:rFonts w:ascii="Times New Roman" w:hAnsi="Times New Roman" w:cs="Times New Roman"/>
        <w:sz w:val="20"/>
        <w:szCs w:val="20"/>
      </w:rPr>
      <w:t>(</w:t>
    </w:r>
    <w:r w:rsidRPr="00DB2881">
      <w:rPr>
        <w:rFonts w:ascii="Times New Roman" w:hAnsi="Times New Roman" w:cs="Times New Roman" w:hint="eastAsia"/>
        <w:sz w:val="20"/>
        <w:szCs w:val="20"/>
      </w:rPr>
      <w:t>12</w:t>
    </w:r>
    <w:r w:rsidRPr="00DB2881">
      <w:rPr>
        <w:rFonts w:ascii="Times New Roman" w:hAnsi="Times New Roman" w:cs="Times New Roman"/>
        <w:sz w:val="20"/>
        <w:szCs w:val="20"/>
      </w:rPr>
      <w:t>)</w:t>
    </w:r>
    <w:r w:rsidRPr="00DB2881">
      <w:rPr>
        <w:rFonts w:ascii="Times New Roman" w:hAnsi="Times New Roman" w:cs="Times New Roman"/>
        <w:iCs/>
        <w:sz w:val="20"/>
        <w:szCs w:val="20"/>
      </w:rPr>
      <w:t xml:space="preserve">     </w:t>
    </w:r>
    <w:r w:rsidRPr="00DB2881">
      <w:rPr>
        <w:rFonts w:ascii="Times New Roman" w:hAnsi="Times New Roman" w:cs="Times New Roman" w:hint="eastAsia"/>
        <w:iCs/>
        <w:sz w:val="20"/>
        <w:szCs w:val="20"/>
      </w:rPr>
      <w:tab/>
    </w:r>
    <w:r w:rsidRPr="00DB2881">
      <w:rPr>
        <w:rFonts w:ascii="Times New Roman" w:hAnsi="Times New Roman" w:cs="Times New Roman"/>
        <w:iCs/>
        <w:sz w:val="20"/>
        <w:szCs w:val="20"/>
      </w:rPr>
      <w:t xml:space="preserve"> </w:t>
    </w:r>
    <w:r w:rsidRPr="00DB2881">
      <w:rPr>
        <w:rFonts w:ascii="Times New Roman" w:hAnsi="Times New Roman" w:cs="Times New Roman" w:hint="eastAsia"/>
        <w:iCs/>
        <w:sz w:val="20"/>
        <w:szCs w:val="20"/>
      </w:rPr>
      <w:t xml:space="preserve"> </w:t>
    </w:r>
    <w:r w:rsidRPr="00DB2881">
      <w:rPr>
        <w:rFonts w:ascii="Times New Roman" w:hAnsi="Times New Roman" w:cs="Times New Roman"/>
        <w:iCs/>
        <w:sz w:val="20"/>
        <w:szCs w:val="20"/>
      </w:rPr>
      <w:t xml:space="preserve">   </w:t>
    </w:r>
    <w:hyperlink r:id="rId1" w:history="1">
      <w:r w:rsidRPr="00DB2881">
        <w:rPr>
          <w:rStyle w:val="Hyperlink"/>
          <w:rFonts w:ascii="Times New Roman" w:hAnsi="Times New Roman" w:cs="Times New Roman"/>
          <w:color w:val="0000FF"/>
          <w:sz w:val="20"/>
          <w:szCs w:val="20"/>
        </w:rPr>
        <w:t>http://www.sciencepub.net/newyork</w:t>
      </w:r>
    </w:hyperlink>
  </w:p>
  <w:p w:rsidR="00DB2881" w:rsidRPr="00DB2881" w:rsidRDefault="00DB2881" w:rsidP="00DB288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81" w:rsidRPr="00DB2881" w:rsidRDefault="00DB2881" w:rsidP="00DB288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B2881">
      <w:rPr>
        <w:rFonts w:ascii="Times New Roman" w:hAnsi="Times New Roman" w:cs="Times New Roman" w:hint="eastAsia"/>
        <w:sz w:val="20"/>
        <w:szCs w:val="20"/>
      </w:rPr>
      <w:tab/>
    </w:r>
    <w:r w:rsidRPr="00DB2881">
      <w:rPr>
        <w:rFonts w:ascii="Times New Roman" w:hAnsi="Times New Roman" w:cs="Times New Roman"/>
        <w:sz w:val="20"/>
        <w:szCs w:val="20"/>
      </w:rPr>
      <w:t>New York Science Journal 201</w:t>
    </w:r>
    <w:r w:rsidRPr="00DB2881">
      <w:rPr>
        <w:rFonts w:ascii="Times New Roman" w:hAnsi="Times New Roman" w:cs="Times New Roman" w:hint="eastAsia"/>
        <w:sz w:val="20"/>
        <w:szCs w:val="20"/>
      </w:rPr>
      <w:t>6</w:t>
    </w:r>
    <w:proofErr w:type="gramStart"/>
    <w:r w:rsidRPr="00DB2881">
      <w:rPr>
        <w:rFonts w:ascii="Times New Roman" w:hAnsi="Times New Roman" w:cs="Times New Roman"/>
        <w:sz w:val="20"/>
        <w:szCs w:val="20"/>
      </w:rPr>
      <w:t>;</w:t>
    </w:r>
    <w:r w:rsidRPr="00DB2881">
      <w:rPr>
        <w:rFonts w:ascii="Times New Roman" w:hAnsi="Times New Roman" w:cs="Times New Roman" w:hint="eastAsia"/>
        <w:sz w:val="20"/>
        <w:szCs w:val="20"/>
      </w:rPr>
      <w:t>9</w:t>
    </w:r>
    <w:proofErr w:type="gramEnd"/>
    <w:r w:rsidRPr="00DB2881">
      <w:rPr>
        <w:rFonts w:ascii="Times New Roman" w:hAnsi="Times New Roman" w:cs="Times New Roman"/>
        <w:sz w:val="20"/>
        <w:szCs w:val="20"/>
      </w:rPr>
      <w:t>(</w:t>
    </w:r>
    <w:r w:rsidRPr="00DB2881">
      <w:rPr>
        <w:rFonts w:ascii="Times New Roman" w:hAnsi="Times New Roman" w:cs="Times New Roman" w:hint="eastAsia"/>
        <w:sz w:val="20"/>
        <w:szCs w:val="20"/>
      </w:rPr>
      <w:t>12</w:t>
    </w:r>
    <w:r w:rsidRPr="00DB2881">
      <w:rPr>
        <w:rFonts w:ascii="Times New Roman" w:hAnsi="Times New Roman" w:cs="Times New Roman"/>
        <w:sz w:val="20"/>
        <w:szCs w:val="20"/>
      </w:rPr>
      <w:t>)</w:t>
    </w:r>
    <w:r w:rsidRPr="00DB2881">
      <w:rPr>
        <w:rFonts w:ascii="Times New Roman" w:hAnsi="Times New Roman" w:cs="Times New Roman"/>
        <w:iCs/>
        <w:sz w:val="20"/>
        <w:szCs w:val="20"/>
      </w:rPr>
      <w:t xml:space="preserve">     </w:t>
    </w:r>
    <w:r w:rsidRPr="00DB2881">
      <w:rPr>
        <w:rFonts w:ascii="Times New Roman" w:hAnsi="Times New Roman" w:cs="Times New Roman" w:hint="eastAsia"/>
        <w:iCs/>
        <w:sz w:val="20"/>
        <w:szCs w:val="20"/>
      </w:rPr>
      <w:tab/>
    </w:r>
    <w:r w:rsidRPr="00DB2881">
      <w:rPr>
        <w:rFonts w:ascii="Times New Roman" w:hAnsi="Times New Roman" w:cs="Times New Roman"/>
        <w:iCs/>
        <w:sz w:val="20"/>
        <w:szCs w:val="20"/>
      </w:rPr>
      <w:t xml:space="preserve"> </w:t>
    </w:r>
    <w:r w:rsidRPr="00DB2881">
      <w:rPr>
        <w:rFonts w:ascii="Times New Roman" w:hAnsi="Times New Roman" w:cs="Times New Roman" w:hint="eastAsia"/>
        <w:iCs/>
        <w:sz w:val="20"/>
        <w:szCs w:val="20"/>
      </w:rPr>
      <w:t xml:space="preserve"> </w:t>
    </w:r>
    <w:r w:rsidRPr="00DB2881">
      <w:rPr>
        <w:rFonts w:ascii="Times New Roman" w:hAnsi="Times New Roman" w:cs="Times New Roman"/>
        <w:iCs/>
        <w:sz w:val="20"/>
        <w:szCs w:val="20"/>
      </w:rPr>
      <w:t xml:space="preserve">   </w:t>
    </w:r>
    <w:hyperlink r:id="rId1" w:history="1">
      <w:r w:rsidRPr="00DB2881">
        <w:rPr>
          <w:rStyle w:val="Hyperlink"/>
          <w:rFonts w:ascii="Times New Roman" w:hAnsi="Times New Roman" w:cs="Times New Roman"/>
          <w:color w:val="0000FF"/>
          <w:sz w:val="20"/>
          <w:szCs w:val="20"/>
        </w:rPr>
        <w:t>http://www.sciencepub.net/newyork</w:t>
      </w:r>
    </w:hyperlink>
  </w:p>
  <w:p w:rsidR="00DB2881" w:rsidRPr="00DB2881" w:rsidRDefault="00DB2881" w:rsidP="00DB288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5E7" w:rsidRPr="00061D94" w:rsidRDefault="00A675E7" w:rsidP="00061D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71598"/>
    <w:multiLevelType w:val="hybridMultilevel"/>
    <w:tmpl w:val="4C7EEEE2"/>
    <w:lvl w:ilvl="0" w:tplc="CC8A70CC">
      <w:start w:val="1"/>
      <w:numFmt w:val="decimal"/>
      <w:lvlText w:val="%1-"/>
      <w:lvlJc w:val="left"/>
      <w:pPr>
        <w:ind w:left="720" w:hanging="360"/>
      </w:pPr>
    </w:lvl>
    <w:lvl w:ilvl="1" w:tplc="04090019" w:tentative="1">
      <w:start w:val="1"/>
      <w:numFmt w:val="lowerLetter"/>
      <w:lvlText w:val="%2."/>
      <w:lvlJc w:val="left"/>
      <w:pPr>
        <w:tabs>
          <w:tab w:val="num" w:pos="1658"/>
        </w:tabs>
        <w:ind w:left="1658" w:hanging="360"/>
      </w:pPr>
    </w:lvl>
    <w:lvl w:ilvl="2" w:tplc="0409001B" w:tentative="1">
      <w:start w:val="1"/>
      <w:numFmt w:val="lowerRoman"/>
      <w:lvlText w:val="%3."/>
      <w:lvlJc w:val="right"/>
      <w:pPr>
        <w:tabs>
          <w:tab w:val="num" w:pos="2378"/>
        </w:tabs>
        <w:ind w:left="2378" w:hanging="180"/>
      </w:pPr>
    </w:lvl>
    <w:lvl w:ilvl="3" w:tplc="0409000F" w:tentative="1">
      <w:start w:val="1"/>
      <w:numFmt w:val="decimal"/>
      <w:lvlText w:val="%4."/>
      <w:lvlJc w:val="left"/>
      <w:pPr>
        <w:tabs>
          <w:tab w:val="num" w:pos="3098"/>
        </w:tabs>
        <w:ind w:left="3098" w:hanging="360"/>
      </w:pPr>
    </w:lvl>
    <w:lvl w:ilvl="4" w:tplc="04090019" w:tentative="1">
      <w:start w:val="1"/>
      <w:numFmt w:val="lowerLetter"/>
      <w:lvlText w:val="%5."/>
      <w:lvlJc w:val="left"/>
      <w:pPr>
        <w:tabs>
          <w:tab w:val="num" w:pos="3818"/>
        </w:tabs>
        <w:ind w:left="3818" w:hanging="360"/>
      </w:pPr>
    </w:lvl>
    <w:lvl w:ilvl="5" w:tplc="0409001B" w:tentative="1">
      <w:start w:val="1"/>
      <w:numFmt w:val="lowerRoman"/>
      <w:lvlText w:val="%6."/>
      <w:lvlJc w:val="right"/>
      <w:pPr>
        <w:tabs>
          <w:tab w:val="num" w:pos="4538"/>
        </w:tabs>
        <w:ind w:left="4538" w:hanging="180"/>
      </w:pPr>
    </w:lvl>
    <w:lvl w:ilvl="6" w:tplc="0409000F" w:tentative="1">
      <w:start w:val="1"/>
      <w:numFmt w:val="decimal"/>
      <w:lvlText w:val="%7."/>
      <w:lvlJc w:val="left"/>
      <w:pPr>
        <w:tabs>
          <w:tab w:val="num" w:pos="5258"/>
        </w:tabs>
        <w:ind w:left="5258" w:hanging="360"/>
      </w:pPr>
    </w:lvl>
    <w:lvl w:ilvl="7" w:tplc="04090019" w:tentative="1">
      <w:start w:val="1"/>
      <w:numFmt w:val="lowerLetter"/>
      <w:lvlText w:val="%8."/>
      <w:lvlJc w:val="left"/>
      <w:pPr>
        <w:tabs>
          <w:tab w:val="num" w:pos="5978"/>
        </w:tabs>
        <w:ind w:left="5978" w:hanging="360"/>
      </w:pPr>
    </w:lvl>
    <w:lvl w:ilvl="8" w:tplc="0409001B" w:tentative="1">
      <w:start w:val="1"/>
      <w:numFmt w:val="lowerRoman"/>
      <w:lvlText w:val="%9."/>
      <w:lvlJc w:val="right"/>
      <w:pPr>
        <w:tabs>
          <w:tab w:val="num" w:pos="6698"/>
        </w:tabs>
        <w:ind w:left="6698" w:hanging="180"/>
      </w:pPr>
    </w:lvl>
  </w:abstractNum>
  <w:abstractNum w:abstractNumId="1">
    <w:nsid w:val="18356D6F"/>
    <w:multiLevelType w:val="hybridMultilevel"/>
    <w:tmpl w:val="071AE5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4616C"/>
    <w:multiLevelType w:val="hybridMultilevel"/>
    <w:tmpl w:val="905218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0B5CDD"/>
    <w:multiLevelType w:val="hybridMultilevel"/>
    <w:tmpl w:val="54129A78"/>
    <w:lvl w:ilvl="0" w:tplc="5F107C06">
      <w:start w:val="1"/>
      <w:numFmt w:val="decimal"/>
      <w:lvlText w:val="%1."/>
      <w:lvlJc w:val="left"/>
      <w:pPr>
        <w:ind w:left="927"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BD5865"/>
    <w:multiLevelType w:val="hybridMultilevel"/>
    <w:tmpl w:val="D1449F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CA3DB3"/>
    <w:multiLevelType w:val="hybridMultilevel"/>
    <w:tmpl w:val="62A86664"/>
    <w:lvl w:ilvl="0" w:tplc="CC8A70CC">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nsid w:val="3B1F6598"/>
    <w:multiLevelType w:val="hybridMultilevel"/>
    <w:tmpl w:val="13CE3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D6A5AA4"/>
    <w:multiLevelType w:val="hybridMultilevel"/>
    <w:tmpl w:val="02AE08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9EA4B61"/>
    <w:multiLevelType w:val="hybridMultilevel"/>
    <w:tmpl w:val="39CA61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A3C2571"/>
    <w:multiLevelType w:val="hybridMultilevel"/>
    <w:tmpl w:val="354E3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6661E4"/>
    <w:multiLevelType w:val="hybridMultilevel"/>
    <w:tmpl w:val="3A1210E4"/>
    <w:lvl w:ilvl="0" w:tplc="5F107C06">
      <w:start w:val="1"/>
      <w:numFmt w:val="decimal"/>
      <w:lvlText w:val="%1."/>
      <w:lvlJc w:val="left"/>
      <w:pPr>
        <w:ind w:left="927"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13650"/>
    <w:multiLevelType w:val="hybridMultilevel"/>
    <w:tmpl w:val="1A28C0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AD30EC"/>
    <w:multiLevelType w:val="hybridMultilevel"/>
    <w:tmpl w:val="186650EE"/>
    <w:lvl w:ilvl="0" w:tplc="F470ECB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35363A"/>
    <w:multiLevelType w:val="multilevel"/>
    <w:tmpl w:val="62A8666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nsid w:val="5F4473EE"/>
    <w:multiLevelType w:val="hybridMultilevel"/>
    <w:tmpl w:val="711E1522"/>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FB62338"/>
    <w:multiLevelType w:val="hybridMultilevel"/>
    <w:tmpl w:val="84C4C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0C5930"/>
    <w:multiLevelType w:val="hybridMultilevel"/>
    <w:tmpl w:val="4A6CA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3"/>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2"/>
  </w:num>
  <w:num w:numId="9">
    <w:abstractNumId w:val="13"/>
  </w:num>
  <w:num w:numId="10">
    <w:abstractNumId w:val="0"/>
  </w:num>
  <w:num w:numId="11">
    <w:abstractNumId w:val="8"/>
  </w:num>
  <w:num w:numId="12">
    <w:abstractNumId w:val="7"/>
  </w:num>
  <w:num w:numId="13">
    <w:abstractNumId w:val="15"/>
  </w:num>
  <w:num w:numId="14">
    <w:abstractNumId w:val="1"/>
  </w:num>
  <w:num w:numId="15">
    <w:abstractNumId w:val="16"/>
  </w:num>
  <w:num w:numId="16">
    <w:abstractNumId w:val="11"/>
  </w:num>
  <w:num w:numId="17">
    <w:abstractNumId w:val="14"/>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144FAA"/>
    <w:rsid w:val="00006778"/>
    <w:rsid w:val="00012D6F"/>
    <w:rsid w:val="00020294"/>
    <w:rsid w:val="0004491B"/>
    <w:rsid w:val="00051975"/>
    <w:rsid w:val="00061420"/>
    <w:rsid w:val="00061D94"/>
    <w:rsid w:val="0006276F"/>
    <w:rsid w:val="00062FF7"/>
    <w:rsid w:val="00063EDF"/>
    <w:rsid w:val="00067638"/>
    <w:rsid w:val="00074102"/>
    <w:rsid w:val="00074D26"/>
    <w:rsid w:val="0007695D"/>
    <w:rsid w:val="00077FEE"/>
    <w:rsid w:val="00083E2D"/>
    <w:rsid w:val="00084356"/>
    <w:rsid w:val="000B1121"/>
    <w:rsid w:val="000B6178"/>
    <w:rsid w:val="000C5094"/>
    <w:rsid w:val="000E0A24"/>
    <w:rsid w:val="000E2FB8"/>
    <w:rsid w:val="000E4AA1"/>
    <w:rsid w:val="000E5229"/>
    <w:rsid w:val="000F48ED"/>
    <w:rsid w:val="00110172"/>
    <w:rsid w:val="00113DEF"/>
    <w:rsid w:val="001216B5"/>
    <w:rsid w:val="00122C9A"/>
    <w:rsid w:val="0012779C"/>
    <w:rsid w:val="00143A52"/>
    <w:rsid w:val="00144FAA"/>
    <w:rsid w:val="00146803"/>
    <w:rsid w:val="00151377"/>
    <w:rsid w:val="00151B24"/>
    <w:rsid w:val="00151DC0"/>
    <w:rsid w:val="00154B99"/>
    <w:rsid w:val="001657F5"/>
    <w:rsid w:val="00170AA9"/>
    <w:rsid w:val="0017301F"/>
    <w:rsid w:val="00190593"/>
    <w:rsid w:val="001A325A"/>
    <w:rsid w:val="001B4C20"/>
    <w:rsid w:val="001E1FC9"/>
    <w:rsid w:val="001E46A9"/>
    <w:rsid w:val="001F073E"/>
    <w:rsid w:val="001F3ADB"/>
    <w:rsid w:val="002012FA"/>
    <w:rsid w:val="00204010"/>
    <w:rsid w:val="00211265"/>
    <w:rsid w:val="00232155"/>
    <w:rsid w:val="0023346D"/>
    <w:rsid w:val="00234223"/>
    <w:rsid w:val="00234C49"/>
    <w:rsid w:val="0023505D"/>
    <w:rsid w:val="00235324"/>
    <w:rsid w:val="00247F6C"/>
    <w:rsid w:val="0026038B"/>
    <w:rsid w:val="002747BB"/>
    <w:rsid w:val="00275AE8"/>
    <w:rsid w:val="00276B9F"/>
    <w:rsid w:val="00284F9F"/>
    <w:rsid w:val="00291CE6"/>
    <w:rsid w:val="00292EF3"/>
    <w:rsid w:val="002A555F"/>
    <w:rsid w:val="002B2C88"/>
    <w:rsid w:val="002B452C"/>
    <w:rsid w:val="002B6700"/>
    <w:rsid w:val="002B7187"/>
    <w:rsid w:val="002C7559"/>
    <w:rsid w:val="002E0AB1"/>
    <w:rsid w:val="002E3AB0"/>
    <w:rsid w:val="002E7BC3"/>
    <w:rsid w:val="002F12D6"/>
    <w:rsid w:val="00302B2B"/>
    <w:rsid w:val="00307E58"/>
    <w:rsid w:val="0034447D"/>
    <w:rsid w:val="00357FDF"/>
    <w:rsid w:val="00361F1A"/>
    <w:rsid w:val="00367B9C"/>
    <w:rsid w:val="00377C77"/>
    <w:rsid w:val="003856F5"/>
    <w:rsid w:val="003916CB"/>
    <w:rsid w:val="0039539A"/>
    <w:rsid w:val="0039726C"/>
    <w:rsid w:val="0039779A"/>
    <w:rsid w:val="003A35B5"/>
    <w:rsid w:val="003A7180"/>
    <w:rsid w:val="003B2B2E"/>
    <w:rsid w:val="003C5946"/>
    <w:rsid w:val="003D512C"/>
    <w:rsid w:val="003E00DE"/>
    <w:rsid w:val="003E5BDF"/>
    <w:rsid w:val="003E6527"/>
    <w:rsid w:val="003F0FF3"/>
    <w:rsid w:val="00406CB8"/>
    <w:rsid w:val="00406FB7"/>
    <w:rsid w:val="00421304"/>
    <w:rsid w:val="004416EC"/>
    <w:rsid w:val="004521D4"/>
    <w:rsid w:val="004627C4"/>
    <w:rsid w:val="00465AD4"/>
    <w:rsid w:val="0047055F"/>
    <w:rsid w:val="00470AED"/>
    <w:rsid w:val="0049481F"/>
    <w:rsid w:val="004B3E73"/>
    <w:rsid w:val="004D29CC"/>
    <w:rsid w:val="00500CAF"/>
    <w:rsid w:val="00503EDF"/>
    <w:rsid w:val="00506614"/>
    <w:rsid w:val="00514666"/>
    <w:rsid w:val="005255EA"/>
    <w:rsid w:val="00531EC2"/>
    <w:rsid w:val="0053364C"/>
    <w:rsid w:val="00537BC9"/>
    <w:rsid w:val="00540F26"/>
    <w:rsid w:val="005549A0"/>
    <w:rsid w:val="005617EB"/>
    <w:rsid w:val="00567836"/>
    <w:rsid w:val="005702E6"/>
    <w:rsid w:val="00575BC4"/>
    <w:rsid w:val="00591587"/>
    <w:rsid w:val="005919D2"/>
    <w:rsid w:val="00592048"/>
    <w:rsid w:val="005926F2"/>
    <w:rsid w:val="005933EA"/>
    <w:rsid w:val="00597854"/>
    <w:rsid w:val="00597BB6"/>
    <w:rsid w:val="005A39DE"/>
    <w:rsid w:val="005C430E"/>
    <w:rsid w:val="005C47E6"/>
    <w:rsid w:val="005C520B"/>
    <w:rsid w:val="005C56BE"/>
    <w:rsid w:val="005D55D9"/>
    <w:rsid w:val="005E0380"/>
    <w:rsid w:val="005E130F"/>
    <w:rsid w:val="005E2478"/>
    <w:rsid w:val="005F0EC8"/>
    <w:rsid w:val="005F198F"/>
    <w:rsid w:val="005F4842"/>
    <w:rsid w:val="005F6442"/>
    <w:rsid w:val="00606619"/>
    <w:rsid w:val="00606D0D"/>
    <w:rsid w:val="00610BF1"/>
    <w:rsid w:val="0064078A"/>
    <w:rsid w:val="00645C90"/>
    <w:rsid w:val="006718D7"/>
    <w:rsid w:val="00690FB9"/>
    <w:rsid w:val="006920FE"/>
    <w:rsid w:val="006942AC"/>
    <w:rsid w:val="006A0FF4"/>
    <w:rsid w:val="006D0214"/>
    <w:rsid w:val="006D17E8"/>
    <w:rsid w:val="006D283F"/>
    <w:rsid w:val="006E6258"/>
    <w:rsid w:val="006E71E5"/>
    <w:rsid w:val="006E7D8E"/>
    <w:rsid w:val="006F296F"/>
    <w:rsid w:val="006F7A60"/>
    <w:rsid w:val="00713BF1"/>
    <w:rsid w:val="007252D6"/>
    <w:rsid w:val="00730342"/>
    <w:rsid w:val="0073042C"/>
    <w:rsid w:val="0073042D"/>
    <w:rsid w:val="007422FA"/>
    <w:rsid w:val="00742EB5"/>
    <w:rsid w:val="0074745E"/>
    <w:rsid w:val="00750EF0"/>
    <w:rsid w:val="007518C5"/>
    <w:rsid w:val="00752108"/>
    <w:rsid w:val="007533D4"/>
    <w:rsid w:val="007605B0"/>
    <w:rsid w:val="00760F10"/>
    <w:rsid w:val="00783965"/>
    <w:rsid w:val="00796C72"/>
    <w:rsid w:val="007A513E"/>
    <w:rsid w:val="007A63AE"/>
    <w:rsid w:val="007B5636"/>
    <w:rsid w:val="007B5CB4"/>
    <w:rsid w:val="007E0BAD"/>
    <w:rsid w:val="007F797C"/>
    <w:rsid w:val="008012DB"/>
    <w:rsid w:val="00810D77"/>
    <w:rsid w:val="0082121B"/>
    <w:rsid w:val="00837B3A"/>
    <w:rsid w:val="00843BBB"/>
    <w:rsid w:val="00845A6C"/>
    <w:rsid w:val="00847BE3"/>
    <w:rsid w:val="00863569"/>
    <w:rsid w:val="008729F4"/>
    <w:rsid w:val="008826C1"/>
    <w:rsid w:val="00892041"/>
    <w:rsid w:val="0089351D"/>
    <w:rsid w:val="008A77EB"/>
    <w:rsid w:val="008A7F6C"/>
    <w:rsid w:val="008B6BEA"/>
    <w:rsid w:val="008C3BB4"/>
    <w:rsid w:val="008C775A"/>
    <w:rsid w:val="008D23F1"/>
    <w:rsid w:val="008E1F1D"/>
    <w:rsid w:val="008E608D"/>
    <w:rsid w:val="008F414A"/>
    <w:rsid w:val="008F4927"/>
    <w:rsid w:val="008F5EF9"/>
    <w:rsid w:val="00912BEA"/>
    <w:rsid w:val="00913D2B"/>
    <w:rsid w:val="00922A20"/>
    <w:rsid w:val="009266B2"/>
    <w:rsid w:val="009379DE"/>
    <w:rsid w:val="00944ECC"/>
    <w:rsid w:val="00947A0E"/>
    <w:rsid w:val="00953AD9"/>
    <w:rsid w:val="00957433"/>
    <w:rsid w:val="009604B5"/>
    <w:rsid w:val="0097609F"/>
    <w:rsid w:val="00990695"/>
    <w:rsid w:val="00991128"/>
    <w:rsid w:val="00994283"/>
    <w:rsid w:val="009A0B01"/>
    <w:rsid w:val="009A273A"/>
    <w:rsid w:val="009A5379"/>
    <w:rsid w:val="009B2539"/>
    <w:rsid w:val="009C022B"/>
    <w:rsid w:val="009C3272"/>
    <w:rsid w:val="009D3B9D"/>
    <w:rsid w:val="009F5FFF"/>
    <w:rsid w:val="009F6F8B"/>
    <w:rsid w:val="00A11858"/>
    <w:rsid w:val="00A1228E"/>
    <w:rsid w:val="00A151B9"/>
    <w:rsid w:val="00A2102B"/>
    <w:rsid w:val="00A2733B"/>
    <w:rsid w:val="00A45F9E"/>
    <w:rsid w:val="00A4737D"/>
    <w:rsid w:val="00A50785"/>
    <w:rsid w:val="00A50FD9"/>
    <w:rsid w:val="00A51A15"/>
    <w:rsid w:val="00A51D25"/>
    <w:rsid w:val="00A56348"/>
    <w:rsid w:val="00A57F2E"/>
    <w:rsid w:val="00A64B39"/>
    <w:rsid w:val="00A675E7"/>
    <w:rsid w:val="00A6770B"/>
    <w:rsid w:val="00A72DF7"/>
    <w:rsid w:val="00A74728"/>
    <w:rsid w:val="00A86ECA"/>
    <w:rsid w:val="00AA3681"/>
    <w:rsid w:val="00AA438E"/>
    <w:rsid w:val="00AB1996"/>
    <w:rsid w:val="00AC07B3"/>
    <w:rsid w:val="00AC262F"/>
    <w:rsid w:val="00AC2729"/>
    <w:rsid w:val="00AD2FAA"/>
    <w:rsid w:val="00AD5481"/>
    <w:rsid w:val="00AE54DA"/>
    <w:rsid w:val="00AE7567"/>
    <w:rsid w:val="00B05E61"/>
    <w:rsid w:val="00B1256F"/>
    <w:rsid w:val="00B13ABE"/>
    <w:rsid w:val="00B2756D"/>
    <w:rsid w:val="00B32053"/>
    <w:rsid w:val="00B359CF"/>
    <w:rsid w:val="00B43337"/>
    <w:rsid w:val="00B503ED"/>
    <w:rsid w:val="00B53F73"/>
    <w:rsid w:val="00B630E8"/>
    <w:rsid w:val="00B639B7"/>
    <w:rsid w:val="00BA25F2"/>
    <w:rsid w:val="00BB1DE5"/>
    <w:rsid w:val="00BB6C14"/>
    <w:rsid w:val="00BE6B50"/>
    <w:rsid w:val="00BF7B3B"/>
    <w:rsid w:val="00C114A1"/>
    <w:rsid w:val="00C16C98"/>
    <w:rsid w:val="00C20872"/>
    <w:rsid w:val="00C221B0"/>
    <w:rsid w:val="00C22B6F"/>
    <w:rsid w:val="00C24C96"/>
    <w:rsid w:val="00C42FC0"/>
    <w:rsid w:val="00C46820"/>
    <w:rsid w:val="00C52A68"/>
    <w:rsid w:val="00C5694A"/>
    <w:rsid w:val="00C6079A"/>
    <w:rsid w:val="00C61C18"/>
    <w:rsid w:val="00C62F17"/>
    <w:rsid w:val="00C77D5E"/>
    <w:rsid w:val="00CB7F36"/>
    <w:rsid w:val="00CC7D35"/>
    <w:rsid w:val="00CD02B4"/>
    <w:rsid w:val="00CD2301"/>
    <w:rsid w:val="00CD5B9C"/>
    <w:rsid w:val="00CD64CC"/>
    <w:rsid w:val="00CE0845"/>
    <w:rsid w:val="00CE374A"/>
    <w:rsid w:val="00CE5ABC"/>
    <w:rsid w:val="00CE7852"/>
    <w:rsid w:val="00CF3EB1"/>
    <w:rsid w:val="00D0053A"/>
    <w:rsid w:val="00D35613"/>
    <w:rsid w:val="00D42969"/>
    <w:rsid w:val="00D4313A"/>
    <w:rsid w:val="00D453C8"/>
    <w:rsid w:val="00D53759"/>
    <w:rsid w:val="00D82BF1"/>
    <w:rsid w:val="00D90FE3"/>
    <w:rsid w:val="00D91D93"/>
    <w:rsid w:val="00DB2881"/>
    <w:rsid w:val="00DB68CF"/>
    <w:rsid w:val="00DC0F52"/>
    <w:rsid w:val="00DD1353"/>
    <w:rsid w:val="00DD41BE"/>
    <w:rsid w:val="00DD4D5B"/>
    <w:rsid w:val="00DE164D"/>
    <w:rsid w:val="00DE23C1"/>
    <w:rsid w:val="00DE4866"/>
    <w:rsid w:val="00DE6E34"/>
    <w:rsid w:val="00DF156C"/>
    <w:rsid w:val="00DF213C"/>
    <w:rsid w:val="00DF7858"/>
    <w:rsid w:val="00E04C72"/>
    <w:rsid w:val="00E10329"/>
    <w:rsid w:val="00E12F0A"/>
    <w:rsid w:val="00E132D6"/>
    <w:rsid w:val="00E17428"/>
    <w:rsid w:val="00E4403A"/>
    <w:rsid w:val="00E46788"/>
    <w:rsid w:val="00E56A20"/>
    <w:rsid w:val="00E659D0"/>
    <w:rsid w:val="00E764D2"/>
    <w:rsid w:val="00E76F98"/>
    <w:rsid w:val="00E90EE3"/>
    <w:rsid w:val="00E95471"/>
    <w:rsid w:val="00EA1677"/>
    <w:rsid w:val="00EB28A6"/>
    <w:rsid w:val="00EB4680"/>
    <w:rsid w:val="00EB4BA5"/>
    <w:rsid w:val="00ED22E1"/>
    <w:rsid w:val="00ED3B71"/>
    <w:rsid w:val="00ED78D7"/>
    <w:rsid w:val="00EE63B8"/>
    <w:rsid w:val="00EF27AB"/>
    <w:rsid w:val="00F14DED"/>
    <w:rsid w:val="00F17601"/>
    <w:rsid w:val="00F20CDC"/>
    <w:rsid w:val="00F20F99"/>
    <w:rsid w:val="00F25CDE"/>
    <w:rsid w:val="00F26B42"/>
    <w:rsid w:val="00F34D79"/>
    <w:rsid w:val="00F400F0"/>
    <w:rsid w:val="00F44464"/>
    <w:rsid w:val="00F5138C"/>
    <w:rsid w:val="00F702A7"/>
    <w:rsid w:val="00F70777"/>
    <w:rsid w:val="00F8372D"/>
    <w:rsid w:val="00F936E8"/>
    <w:rsid w:val="00F95C17"/>
    <w:rsid w:val="00FA2DDB"/>
    <w:rsid w:val="00FB0801"/>
    <w:rsid w:val="00FC4E60"/>
    <w:rsid w:val="00FD3BE8"/>
    <w:rsid w:val="00FE260C"/>
    <w:rsid w:val="00FF61CE"/>
    <w:rsid w:val="00FF6D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1B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EB4BA5"/>
    <w:pPr>
      <w:tabs>
        <w:tab w:val="center" w:pos="4320"/>
        <w:tab w:val="right" w:pos="8640"/>
      </w:tabs>
    </w:pPr>
    <w:rPr>
      <w:rFonts w:cs="Times New Roman"/>
    </w:rPr>
  </w:style>
  <w:style w:type="character" w:customStyle="1" w:styleId="HeaderChar1">
    <w:name w:val="Header Char1"/>
    <w:link w:val="Header"/>
    <w:uiPriority w:val="99"/>
    <w:rsid w:val="00EB4BA5"/>
    <w:rPr>
      <w:sz w:val="22"/>
      <w:szCs w:val="22"/>
    </w:rPr>
  </w:style>
  <w:style w:type="paragraph" w:styleId="Footer">
    <w:name w:val="footer"/>
    <w:basedOn w:val="Normal"/>
    <w:link w:val="FooterChar"/>
    <w:uiPriority w:val="99"/>
    <w:unhideWhenUsed/>
    <w:rsid w:val="00EB4BA5"/>
    <w:pPr>
      <w:tabs>
        <w:tab w:val="center" w:pos="4320"/>
        <w:tab w:val="right" w:pos="8640"/>
      </w:tabs>
    </w:pPr>
    <w:rPr>
      <w:rFonts w:cs="Times New Roman"/>
    </w:rPr>
  </w:style>
  <w:style w:type="character" w:customStyle="1" w:styleId="FooterChar">
    <w:name w:val="Footer Char"/>
    <w:link w:val="Footer"/>
    <w:uiPriority w:val="99"/>
    <w:rsid w:val="00EB4BA5"/>
    <w:rPr>
      <w:sz w:val="22"/>
      <w:szCs w:val="22"/>
    </w:rPr>
  </w:style>
  <w:style w:type="paragraph" w:styleId="BalloonText">
    <w:name w:val="Balloon Text"/>
    <w:basedOn w:val="Normal"/>
    <w:link w:val="BalloonTextChar"/>
    <w:uiPriority w:val="99"/>
    <w:semiHidden/>
    <w:unhideWhenUsed/>
    <w:rsid w:val="00EB4BA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EB4BA5"/>
    <w:rPr>
      <w:rFonts w:ascii="Tahoma" w:hAnsi="Tahoma" w:cs="Tahoma"/>
      <w:sz w:val="16"/>
      <w:szCs w:val="16"/>
    </w:rPr>
  </w:style>
  <w:style w:type="paragraph" w:styleId="NoSpacing">
    <w:name w:val="No Spacing"/>
    <w:link w:val="NoSpacingChar"/>
    <w:uiPriority w:val="1"/>
    <w:qFormat/>
    <w:rsid w:val="002F12D6"/>
    <w:rPr>
      <w:sz w:val="22"/>
      <w:szCs w:val="22"/>
      <w:lang w:eastAsia="en-US"/>
    </w:rPr>
  </w:style>
  <w:style w:type="character" w:customStyle="1" w:styleId="NoSpacingChar">
    <w:name w:val="No Spacing Char"/>
    <w:link w:val="NoSpacing"/>
    <w:uiPriority w:val="1"/>
    <w:rsid w:val="002F12D6"/>
    <w:rPr>
      <w:sz w:val="22"/>
      <w:szCs w:val="22"/>
      <w:lang w:val="en-US" w:eastAsia="en-US" w:bidi="ar-SA"/>
    </w:rPr>
  </w:style>
  <w:style w:type="character" w:styleId="PageNumber">
    <w:name w:val="page number"/>
    <w:basedOn w:val="DefaultParagraphFont"/>
    <w:rsid w:val="002E3AB0"/>
  </w:style>
  <w:style w:type="paragraph" w:customStyle="1" w:styleId="Default">
    <w:name w:val="Default"/>
    <w:rsid w:val="00D0053A"/>
    <w:pPr>
      <w:autoSpaceDE w:val="0"/>
      <w:autoSpaceDN w:val="0"/>
      <w:adjustRightInd w:val="0"/>
    </w:pPr>
    <w:rPr>
      <w:rFonts w:ascii="Minion Pro" w:hAnsi="Minion Pro" w:cs="Minion Pro"/>
      <w:color w:val="000000"/>
      <w:sz w:val="24"/>
      <w:szCs w:val="24"/>
      <w:lang w:eastAsia="en-US"/>
    </w:rPr>
  </w:style>
  <w:style w:type="character" w:customStyle="1" w:styleId="HeaderChar">
    <w:name w:val="Header Char"/>
    <w:locked/>
    <w:rsid w:val="00783965"/>
    <w:rPr>
      <w:rFonts w:ascii="Calibri" w:hAnsi="Calibri" w:cs="Arial"/>
      <w:sz w:val="22"/>
      <w:szCs w:val="22"/>
      <w:lang w:val="en-US" w:eastAsia="en-US" w:bidi="ar-SA"/>
    </w:rPr>
  </w:style>
  <w:style w:type="paragraph" w:customStyle="1" w:styleId="msolistparagraph0">
    <w:name w:val="msolistparagraph"/>
    <w:basedOn w:val="Normal"/>
    <w:rsid w:val="00783965"/>
    <w:pPr>
      <w:bidi/>
      <w:ind w:left="720"/>
      <w:contextualSpacing/>
    </w:pPr>
  </w:style>
  <w:style w:type="character" w:customStyle="1" w:styleId="longtext">
    <w:name w:val="long_text"/>
    <w:basedOn w:val="DefaultParagraphFont"/>
    <w:rsid w:val="00783965"/>
  </w:style>
  <w:style w:type="character" w:styleId="CommentReference">
    <w:name w:val="annotation reference"/>
    <w:semiHidden/>
    <w:rsid w:val="00783965"/>
    <w:rPr>
      <w:sz w:val="16"/>
      <w:szCs w:val="16"/>
    </w:rPr>
  </w:style>
  <w:style w:type="paragraph" w:styleId="CommentText">
    <w:name w:val="annotation text"/>
    <w:basedOn w:val="Normal"/>
    <w:semiHidden/>
    <w:rsid w:val="00783965"/>
    <w:rPr>
      <w:sz w:val="20"/>
      <w:szCs w:val="20"/>
    </w:rPr>
  </w:style>
  <w:style w:type="paragraph" w:styleId="CommentSubject">
    <w:name w:val="annotation subject"/>
    <w:basedOn w:val="CommentText"/>
    <w:next w:val="CommentText"/>
    <w:semiHidden/>
    <w:rsid w:val="00783965"/>
    <w:rPr>
      <w:b/>
      <w:bCs/>
    </w:rPr>
  </w:style>
  <w:style w:type="character" w:styleId="Hyperlink">
    <w:name w:val="Hyperlink"/>
    <w:uiPriority w:val="99"/>
    <w:unhideWhenUsed/>
    <w:rsid w:val="006718D7"/>
    <w:rPr>
      <w:color w:val="0563C1"/>
      <w:u w:val="single"/>
    </w:rPr>
  </w:style>
</w:styles>
</file>

<file path=word/webSettings.xml><?xml version="1.0" encoding="utf-8"?>
<w:webSettings xmlns:r="http://schemas.openxmlformats.org/officeDocument/2006/relationships" xmlns:w="http://schemas.openxmlformats.org/wordprocessingml/2006/main">
  <w:divs>
    <w:div w:id="148401205">
      <w:bodyDiv w:val="1"/>
      <w:marLeft w:val="0"/>
      <w:marRight w:val="0"/>
      <w:marTop w:val="0"/>
      <w:marBottom w:val="0"/>
      <w:divBdr>
        <w:top w:val="none" w:sz="0" w:space="0" w:color="auto"/>
        <w:left w:val="none" w:sz="0" w:space="0" w:color="auto"/>
        <w:bottom w:val="none" w:sz="0" w:space="0" w:color="auto"/>
        <w:right w:val="none" w:sz="0" w:space="0" w:color="auto"/>
      </w:divBdr>
    </w:div>
    <w:div w:id="149365863">
      <w:bodyDiv w:val="1"/>
      <w:marLeft w:val="0"/>
      <w:marRight w:val="0"/>
      <w:marTop w:val="0"/>
      <w:marBottom w:val="0"/>
      <w:divBdr>
        <w:top w:val="none" w:sz="0" w:space="0" w:color="auto"/>
        <w:left w:val="none" w:sz="0" w:space="0" w:color="auto"/>
        <w:bottom w:val="none" w:sz="0" w:space="0" w:color="auto"/>
        <w:right w:val="none" w:sz="0" w:space="0" w:color="auto"/>
      </w:divBdr>
    </w:div>
    <w:div w:id="495154064">
      <w:bodyDiv w:val="1"/>
      <w:marLeft w:val="0"/>
      <w:marRight w:val="0"/>
      <w:marTop w:val="0"/>
      <w:marBottom w:val="0"/>
      <w:divBdr>
        <w:top w:val="none" w:sz="0" w:space="0" w:color="auto"/>
        <w:left w:val="none" w:sz="0" w:space="0" w:color="auto"/>
        <w:bottom w:val="none" w:sz="0" w:space="0" w:color="auto"/>
        <w:right w:val="none" w:sz="0" w:space="0" w:color="auto"/>
      </w:divBdr>
    </w:div>
    <w:div w:id="685181613">
      <w:bodyDiv w:val="1"/>
      <w:marLeft w:val="0"/>
      <w:marRight w:val="0"/>
      <w:marTop w:val="0"/>
      <w:marBottom w:val="0"/>
      <w:divBdr>
        <w:top w:val="none" w:sz="0" w:space="0" w:color="auto"/>
        <w:left w:val="none" w:sz="0" w:space="0" w:color="auto"/>
        <w:bottom w:val="none" w:sz="0" w:space="0" w:color="auto"/>
        <w:right w:val="none" w:sz="0" w:space="0" w:color="auto"/>
      </w:divBdr>
    </w:div>
    <w:div w:id="96397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hart" Target="charts/chart6.xml"/><Relationship Id="rId39" Type="http://schemas.openxmlformats.org/officeDocument/2006/relationships/hyperlink" Target="http://www.ncbi.nlm.nih.gov/pubmed/?term=Wassenaar%20PA%5BAuthor%5D&amp;cauthor=true&amp;cauthor_uid=26010456" TargetMode="External"/><Relationship Id="rId3" Type="http://schemas.openxmlformats.org/officeDocument/2006/relationships/settings" Target="settings.xml"/><Relationship Id="rId21" Type="http://schemas.openxmlformats.org/officeDocument/2006/relationships/chart" Target="charts/chart1.xml"/><Relationship Id="rId34" Type="http://schemas.openxmlformats.org/officeDocument/2006/relationships/hyperlink" Target="http://www.ncbi.nlm.nih.gov/pubmed/?term=Galanti%20G%5BAuthor%5D&amp;cauthor=true&amp;cauthor_uid=19845938" TargetMode="External"/><Relationship Id="rId42" Type="http://schemas.openxmlformats.org/officeDocument/2006/relationships/footer" Target="footer11.xml"/><Relationship Id="rId47" Type="http://schemas.openxmlformats.org/officeDocument/2006/relationships/theme" Target="theme/theme1.xml"/><Relationship Id="rId7" Type="http://schemas.openxmlformats.org/officeDocument/2006/relationships/hyperlink" Target="mailto:drmohamedhalim848@gmail.com"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hart" Target="charts/chart5.xml"/><Relationship Id="rId33" Type="http://schemas.openxmlformats.org/officeDocument/2006/relationships/hyperlink" Target="http://www.ncbi.nlm.nih.gov/pubmed/?term=Liu%20Q%5BAuthor%5D&amp;cauthor=true&amp;cauthor_uid=25975544" TargetMode="External"/><Relationship Id="rId38" Type="http://schemas.openxmlformats.org/officeDocument/2006/relationships/hyperlink" Target="http://www.ncbi.nlm.nih.gov/pubmed/?term=Akintunde%20AA%5BAuthor%5D&amp;cauthor=true&amp;cauthor_uid=2233125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term=Watanabe%20S%5BAuthor%5D&amp;cauthor=true&amp;cauthor_uid=21862290" TargetMode="External"/><Relationship Id="rId20" Type="http://schemas.openxmlformats.org/officeDocument/2006/relationships/footer" Target="footer6.xml"/><Relationship Id="rId29" Type="http://schemas.openxmlformats.org/officeDocument/2006/relationships/footer" Target="footer8.xml"/><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chart" Target="charts/chart4.xml"/><Relationship Id="rId32" Type="http://schemas.openxmlformats.org/officeDocument/2006/relationships/hyperlink" Target="http://www.ncbi.nlm.nih.gov/pubmed/?term=Watanabe%20S%5BAuthor%5D&amp;cauthor=true&amp;cauthor_uid=21862290" TargetMode="External"/><Relationship Id="rId37" Type="http://schemas.openxmlformats.org/officeDocument/2006/relationships/hyperlink" Target="http://www.ncbi.nlm.nih.gov/pubmed/?term=Masugata%20H%5BAuthor%5D&amp;cauthor=true&amp;cauthor_uid=19506337" TargetMode="External"/><Relationship Id="rId40" Type="http://schemas.openxmlformats.org/officeDocument/2006/relationships/header" Target="header6.xml"/><Relationship Id="rId45"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hart" Target="charts/chart3.xml"/><Relationship Id="rId28" Type="http://schemas.openxmlformats.org/officeDocument/2006/relationships/footer" Target="footer7.xml"/><Relationship Id="rId36" Type="http://schemas.openxmlformats.org/officeDocument/2006/relationships/hyperlink" Target="http://www.ncbi.nlm.nih.gov/pubmed/?term=Tan%20HW%5BAuthor%5D&amp;cauthor=true&amp;cauthor_uid=16625238"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www.ncbi.nlm.nih.gov/pubmed/?term=Burke%20GM%5BAuthor%5D&amp;cauthor=true&amp;cauthor_uid=22717655" TargetMode="External"/><Relationship Id="rId44"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dx.doi.org/10.7537/marsnys091216.01" TargetMode="External"/><Relationship Id="rId14" Type="http://schemas.openxmlformats.org/officeDocument/2006/relationships/header" Target="header3.xml"/><Relationship Id="rId22" Type="http://schemas.openxmlformats.org/officeDocument/2006/relationships/chart" Target="charts/chart2.xml"/><Relationship Id="rId27" Type="http://schemas.openxmlformats.org/officeDocument/2006/relationships/header" Target="header5.xml"/><Relationship Id="rId30" Type="http://schemas.openxmlformats.org/officeDocument/2006/relationships/footer" Target="footer9.xml"/><Relationship Id="rId35" Type="http://schemas.openxmlformats.org/officeDocument/2006/relationships/hyperlink" Target="http://www.ncbi.nlm.nih.gov/pubmed/?term=Yilmaz%20R%5BAuthor%5D&amp;cauthor=true&amp;cauthor_uid=15355823" TargetMode="External"/><Relationship Id="rId43" Type="http://schemas.openxmlformats.org/officeDocument/2006/relationships/footer" Target="footer12.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layout>
        <c:manualLayout>
          <c:xMode val="edge"/>
          <c:yMode val="edge"/>
          <c:x val="0.48353896322400319"/>
          <c:y val="2.1818272715910553E-2"/>
        </c:manualLayout>
      </c:layout>
      <c:spPr>
        <a:noFill/>
        <a:ln w="25404">
          <a:noFill/>
        </a:ln>
      </c:spPr>
      <c:txPr>
        <a:bodyPr/>
        <a:lstStyle/>
        <a:p>
          <a:pPr>
            <a:defRPr sz="950" b="0" i="0" u="none" strike="noStrike" baseline="0">
              <a:solidFill>
                <a:srgbClr val="000000"/>
              </a:solidFill>
              <a:latin typeface="Arial"/>
              <a:ea typeface="Arial"/>
              <a:cs typeface="Arial"/>
            </a:defRPr>
          </a:pPr>
          <a:endParaRPr lang="en-US"/>
        </a:p>
      </c:txPr>
    </c:title>
    <c:view3D>
      <c:hPercent val="52"/>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6.9958847736625529E-2"/>
          <c:y val="0.1563636363636364"/>
          <c:w val="0.8333333333333337"/>
          <c:h val="0.71272727272727321"/>
        </c:manualLayout>
      </c:layout>
      <c:bar3DChart>
        <c:barDir val="col"/>
        <c:grouping val="clustered"/>
        <c:ser>
          <c:idx val="0"/>
          <c:order val="0"/>
          <c:tx>
            <c:strRef>
              <c:f>ورقة1!$A$2</c:f>
              <c:strCache>
                <c:ptCount val="1"/>
                <c:pt idx="0">
                  <c:v>SI</c:v>
                </c:pt>
              </c:strCache>
            </c:strRef>
          </c:tx>
          <c:spPr>
            <a:solidFill>
              <a:srgbClr val="9999FF"/>
            </a:solidFill>
            <a:ln w="12702">
              <a:solidFill>
                <a:srgbClr val="000000"/>
              </a:solidFill>
              <a:prstDash val="solid"/>
            </a:ln>
          </c:spPr>
          <c:cat>
            <c:strRef>
              <c:f>ورقة1!$B$1:$C$1</c:f>
              <c:strCache>
                <c:ptCount val="2"/>
                <c:pt idx="0">
                  <c:v>Patients</c:v>
                </c:pt>
                <c:pt idx="1">
                  <c:v>Controls</c:v>
                </c:pt>
              </c:strCache>
            </c:strRef>
          </c:cat>
          <c:val>
            <c:numRef>
              <c:f>ورقة1!$B$2:$C$2</c:f>
              <c:numCache>
                <c:formatCode>General</c:formatCode>
                <c:ptCount val="2"/>
                <c:pt idx="0">
                  <c:v>1.45</c:v>
                </c:pt>
                <c:pt idx="1">
                  <c:v>1.149999999999999</c:v>
                </c:pt>
              </c:numCache>
            </c:numRef>
          </c:val>
        </c:ser>
        <c:shape val="box"/>
        <c:axId val="64854656"/>
        <c:axId val="64864640"/>
        <c:axId val="0"/>
      </c:bar3DChart>
      <c:catAx>
        <c:axId val="64854656"/>
        <c:scaling>
          <c:orientation val="minMax"/>
        </c:scaling>
        <c:axPos val="b"/>
        <c:numFmt formatCode="General" sourceLinked="1"/>
        <c:tickLblPos val="low"/>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64864640"/>
        <c:crosses val="autoZero"/>
        <c:auto val="1"/>
        <c:lblAlgn val="ctr"/>
        <c:lblOffset val="100"/>
        <c:tickLblSkip val="1"/>
        <c:tickMarkSkip val="1"/>
      </c:catAx>
      <c:valAx>
        <c:axId val="6486464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64854656"/>
        <c:crosses val="autoZero"/>
        <c:crossBetween val="between"/>
      </c:valAx>
      <c:spPr>
        <a:noFill/>
        <a:ln w="25404">
          <a:noFill/>
        </a:ln>
      </c:spPr>
    </c:plotArea>
    <c:legend>
      <c:legendPos val="r"/>
      <c:layout>
        <c:manualLayout>
          <c:xMode val="edge"/>
          <c:yMode val="edge"/>
          <c:x val="0.92592600750081111"/>
          <c:y val="0.52363654543182059"/>
          <c:w val="6.5843412930026837E-2"/>
          <c:h val="8.0000000000000293E-2"/>
        </c:manualLayout>
      </c:layou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layout>
        <c:manualLayout>
          <c:xMode val="edge"/>
          <c:yMode val="edge"/>
          <c:x val="0.47325095311991139"/>
          <c:y val="2.1818321490301537E-2"/>
        </c:manualLayout>
      </c:layout>
      <c:spPr>
        <a:noFill/>
        <a:ln w="25384">
          <a:noFill/>
        </a:ln>
      </c:spPr>
      <c:txPr>
        <a:bodyPr/>
        <a:lstStyle/>
        <a:p>
          <a:pPr>
            <a:defRPr sz="949" b="0" i="0" u="none" strike="noStrike" baseline="0">
              <a:solidFill>
                <a:srgbClr val="000000"/>
              </a:solidFill>
              <a:latin typeface="Arial"/>
              <a:ea typeface="Arial"/>
              <a:cs typeface="Arial"/>
            </a:defRPr>
          </a:pPr>
          <a:endParaRPr lang="en-US"/>
        </a:p>
      </c:txPr>
    </c:title>
    <c:view3D>
      <c:hPercent val="53"/>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6.9958847736625515E-2"/>
          <c:y val="0.1563636363636364"/>
          <c:w val="0.81069958847736623"/>
          <c:h val="0.71272727272727321"/>
        </c:manualLayout>
      </c:layout>
      <c:bar3DChart>
        <c:barDir val="col"/>
        <c:grouping val="clustered"/>
        <c:ser>
          <c:idx val="0"/>
          <c:order val="0"/>
          <c:tx>
            <c:strRef>
              <c:f>ورقة1!$A$2</c:f>
              <c:strCache>
                <c:ptCount val="1"/>
                <c:pt idx="0">
                  <c:v>IMP</c:v>
                </c:pt>
              </c:strCache>
            </c:strRef>
          </c:tx>
          <c:spPr>
            <a:solidFill>
              <a:srgbClr val="9999FF"/>
            </a:solidFill>
            <a:ln w="12692">
              <a:solidFill>
                <a:srgbClr val="000000"/>
              </a:solidFill>
              <a:prstDash val="solid"/>
            </a:ln>
          </c:spPr>
          <c:cat>
            <c:strRef>
              <c:f>ورقة1!$B$1:$C$1</c:f>
              <c:strCache>
                <c:ptCount val="2"/>
                <c:pt idx="0">
                  <c:v>Patients</c:v>
                </c:pt>
                <c:pt idx="1">
                  <c:v>Controls</c:v>
                </c:pt>
              </c:strCache>
            </c:strRef>
          </c:cat>
          <c:val>
            <c:numRef>
              <c:f>ورقة1!$B$2:$C$2</c:f>
              <c:numCache>
                <c:formatCode>General</c:formatCode>
                <c:ptCount val="2"/>
                <c:pt idx="0">
                  <c:v>0.59</c:v>
                </c:pt>
                <c:pt idx="1">
                  <c:v>0.44</c:v>
                </c:pt>
              </c:numCache>
            </c:numRef>
          </c:val>
        </c:ser>
        <c:shape val="box"/>
        <c:axId val="64968192"/>
        <c:axId val="64969728"/>
        <c:axId val="0"/>
      </c:bar3DChart>
      <c:catAx>
        <c:axId val="64968192"/>
        <c:scaling>
          <c:orientation val="minMax"/>
        </c:scaling>
        <c:axPos val="b"/>
        <c:numFmt formatCode="General" sourceLinked="1"/>
        <c:tickLblPos val="low"/>
        <c:spPr>
          <a:ln w="3173">
            <a:solidFill>
              <a:srgbClr val="000000"/>
            </a:solidFill>
            <a:prstDash val="solid"/>
          </a:ln>
        </c:spPr>
        <c:txPr>
          <a:bodyPr rot="0" vert="horz"/>
          <a:lstStyle/>
          <a:p>
            <a:pPr>
              <a:defRPr sz="949" b="0" i="0" u="none" strike="noStrike" baseline="0">
                <a:solidFill>
                  <a:srgbClr val="000000"/>
                </a:solidFill>
                <a:latin typeface="Arial"/>
                <a:ea typeface="Arial"/>
                <a:cs typeface="Arial"/>
              </a:defRPr>
            </a:pPr>
            <a:endParaRPr lang="en-US"/>
          </a:p>
        </c:txPr>
        <c:crossAx val="64969728"/>
        <c:crosses val="autoZero"/>
        <c:auto val="1"/>
        <c:lblAlgn val="ctr"/>
        <c:lblOffset val="100"/>
        <c:tickLblSkip val="1"/>
        <c:tickMarkSkip val="1"/>
      </c:catAx>
      <c:valAx>
        <c:axId val="64969728"/>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949" b="0" i="0" u="none" strike="noStrike" baseline="0">
                <a:solidFill>
                  <a:srgbClr val="000000"/>
                </a:solidFill>
                <a:latin typeface="Arial"/>
                <a:ea typeface="Arial"/>
                <a:cs typeface="Arial"/>
              </a:defRPr>
            </a:pPr>
            <a:endParaRPr lang="en-US"/>
          </a:p>
        </c:txPr>
        <c:crossAx val="64968192"/>
        <c:crosses val="autoZero"/>
        <c:crossBetween val="between"/>
      </c:valAx>
      <c:spPr>
        <a:noFill/>
        <a:ln w="25384">
          <a:noFill/>
        </a:ln>
      </c:spPr>
    </c:plotArea>
    <c:legend>
      <c:legendPos val="r"/>
      <c:layout>
        <c:manualLayout>
          <c:xMode val="edge"/>
          <c:yMode val="edge"/>
          <c:x val="0.90329227094788334"/>
          <c:y val="0.52363613084949745"/>
          <c:w val="8.8477370985561091E-2"/>
          <c:h val="8.000000000000021E-2"/>
        </c:manualLayout>
      </c:layout>
      <c:spPr>
        <a:solidFill>
          <a:srgbClr val="FFFFFF"/>
        </a:solidFill>
        <a:ln w="3173">
          <a:solidFill>
            <a:srgbClr val="000000"/>
          </a:solidFill>
          <a:prstDash val="solid"/>
        </a:ln>
      </c:spPr>
      <c:txPr>
        <a:bodyPr/>
        <a:lstStyle/>
        <a:p>
          <a:pPr>
            <a:defRPr sz="799"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3">
      <a:solidFill>
        <a:srgbClr val="000000"/>
      </a:solidFill>
      <a:prstDash val="solid"/>
    </a:ln>
  </c:spPr>
  <c:txPr>
    <a:bodyPr/>
    <a:lstStyle/>
    <a:p>
      <a:pPr>
        <a:defRPr sz="949" b="0" i="0" u="none" strike="noStrike" baseline="0">
          <a:solidFill>
            <a:srgbClr val="000000"/>
          </a:solidFill>
          <a:latin typeface="Arial"/>
          <a:ea typeface="Arial"/>
          <a:cs typeface="Arial"/>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30879345603272"/>
          <c:y val="8.0000000000000043E-2"/>
          <c:w val="0.82822085889570563"/>
          <c:h val="0.68727272727272726"/>
        </c:manualLayout>
      </c:layout>
      <c:scatterChart>
        <c:scatterStyle val="lineMarker"/>
        <c:ser>
          <c:idx val="0"/>
          <c:order val="0"/>
          <c:spPr>
            <a:ln w="18996">
              <a:noFill/>
            </a:ln>
          </c:spPr>
          <c:marker>
            <c:symbol val="diamond"/>
            <c:size val="3"/>
            <c:spPr>
              <a:solidFill>
                <a:srgbClr val="000080"/>
              </a:solidFill>
              <a:ln>
                <a:solidFill>
                  <a:srgbClr val="000080"/>
                </a:solidFill>
                <a:prstDash val="solid"/>
              </a:ln>
            </c:spPr>
          </c:marker>
          <c:trendline>
            <c:spPr>
              <a:ln w="25329">
                <a:solidFill>
                  <a:srgbClr val="000000"/>
                </a:solidFill>
                <a:prstDash val="solid"/>
              </a:ln>
            </c:spPr>
            <c:trendlineType val="linear"/>
          </c:trendline>
          <c:xVal>
            <c:numRef>
              <c:f>ورقة1!$A$1:$A$100</c:f>
              <c:numCache>
                <c:formatCode>General</c:formatCode>
                <c:ptCount val="100"/>
                <c:pt idx="0">
                  <c:v>1.2</c:v>
                </c:pt>
                <c:pt idx="1">
                  <c:v>1.4</c:v>
                </c:pt>
                <c:pt idx="2">
                  <c:v>1.1000000000000001</c:v>
                </c:pt>
                <c:pt idx="3">
                  <c:v>1.2</c:v>
                </c:pt>
                <c:pt idx="4">
                  <c:v>1.7</c:v>
                </c:pt>
                <c:pt idx="5">
                  <c:v>1.5</c:v>
                </c:pt>
                <c:pt idx="6">
                  <c:v>1.4</c:v>
                </c:pt>
                <c:pt idx="7">
                  <c:v>1.3</c:v>
                </c:pt>
                <c:pt idx="8">
                  <c:v>1.4</c:v>
                </c:pt>
                <c:pt idx="9">
                  <c:v>1.7</c:v>
                </c:pt>
                <c:pt idx="10">
                  <c:v>1.3</c:v>
                </c:pt>
                <c:pt idx="11">
                  <c:v>1.5</c:v>
                </c:pt>
                <c:pt idx="12">
                  <c:v>1.5</c:v>
                </c:pt>
                <c:pt idx="13">
                  <c:v>1.2</c:v>
                </c:pt>
                <c:pt idx="14">
                  <c:v>1.4</c:v>
                </c:pt>
                <c:pt idx="15">
                  <c:v>1.2</c:v>
                </c:pt>
                <c:pt idx="16">
                  <c:v>1.5</c:v>
                </c:pt>
                <c:pt idx="17">
                  <c:v>1.6</c:v>
                </c:pt>
                <c:pt idx="18">
                  <c:v>1.6</c:v>
                </c:pt>
                <c:pt idx="19">
                  <c:v>1.1000000000000001</c:v>
                </c:pt>
                <c:pt idx="20">
                  <c:v>1.2</c:v>
                </c:pt>
                <c:pt idx="21">
                  <c:v>1.4</c:v>
                </c:pt>
                <c:pt idx="22">
                  <c:v>1.7</c:v>
                </c:pt>
                <c:pt idx="23">
                  <c:v>1.6</c:v>
                </c:pt>
                <c:pt idx="24">
                  <c:v>1.3</c:v>
                </c:pt>
                <c:pt idx="25">
                  <c:v>1.5</c:v>
                </c:pt>
                <c:pt idx="26">
                  <c:v>1.3</c:v>
                </c:pt>
                <c:pt idx="27">
                  <c:v>1.3</c:v>
                </c:pt>
                <c:pt idx="28">
                  <c:v>1.5</c:v>
                </c:pt>
                <c:pt idx="29">
                  <c:v>1.2</c:v>
                </c:pt>
                <c:pt idx="30">
                  <c:v>1.2</c:v>
                </c:pt>
                <c:pt idx="31">
                  <c:v>1.3</c:v>
                </c:pt>
                <c:pt idx="32">
                  <c:v>1.3</c:v>
                </c:pt>
                <c:pt idx="33">
                  <c:v>1.7</c:v>
                </c:pt>
                <c:pt idx="34">
                  <c:v>1.5</c:v>
                </c:pt>
                <c:pt idx="35">
                  <c:v>1.4</c:v>
                </c:pt>
                <c:pt idx="36">
                  <c:v>1.5</c:v>
                </c:pt>
                <c:pt idx="37">
                  <c:v>1.5</c:v>
                </c:pt>
                <c:pt idx="38">
                  <c:v>1.7</c:v>
                </c:pt>
                <c:pt idx="39">
                  <c:v>1.3</c:v>
                </c:pt>
                <c:pt idx="40">
                  <c:v>1.3</c:v>
                </c:pt>
                <c:pt idx="41">
                  <c:v>1.3</c:v>
                </c:pt>
                <c:pt idx="42">
                  <c:v>1.2</c:v>
                </c:pt>
                <c:pt idx="43">
                  <c:v>1.5</c:v>
                </c:pt>
                <c:pt idx="44">
                  <c:v>1.1000000000000001</c:v>
                </c:pt>
                <c:pt idx="45">
                  <c:v>1.5</c:v>
                </c:pt>
                <c:pt idx="46">
                  <c:v>1.4</c:v>
                </c:pt>
                <c:pt idx="47">
                  <c:v>1.5</c:v>
                </c:pt>
                <c:pt idx="48">
                  <c:v>1.3</c:v>
                </c:pt>
                <c:pt idx="49">
                  <c:v>1.2</c:v>
                </c:pt>
                <c:pt idx="50">
                  <c:v>1.5</c:v>
                </c:pt>
                <c:pt idx="51">
                  <c:v>1.6</c:v>
                </c:pt>
                <c:pt idx="52">
                  <c:v>1.9000000000000001</c:v>
                </c:pt>
                <c:pt idx="53">
                  <c:v>1.7</c:v>
                </c:pt>
                <c:pt idx="54">
                  <c:v>1.2</c:v>
                </c:pt>
                <c:pt idx="55">
                  <c:v>1.8</c:v>
                </c:pt>
                <c:pt idx="56">
                  <c:v>1.4</c:v>
                </c:pt>
                <c:pt idx="57">
                  <c:v>1.7</c:v>
                </c:pt>
                <c:pt idx="58">
                  <c:v>1.7</c:v>
                </c:pt>
                <c:pt idx="59">
                  <c:v>1.3</c:v>
                </c:pt>
                <c:pt idx="60">
                  <c:v>1.3</c:v>
                </c:pt>
                <c:pt idx="61">
                  <c:v>1.6</c:v>
                </c:pt>
                <c:pt idx="62">
                  <c:v>1.5</c:v>
                </c:pt>
                <c:pt idx="63">
                  <c:v>1.5</c:v>
                </c:pt>
                <c:pt idx="64">
                  <c:v>1.4</c:v>
                </c:pt>
                <c:pt idx="65">
                  <c:v>1.7</c:v>
                </c:pt>
                <c:pt idx="66">
                  <c:v>1.3</c:v>
                </c:pt>
                <c:pt idx="67">
                  <c:v>1.2</c:v>
                </c:pt>
                <c:pt idx="68">
                  <c:v>1.2</c:v>
                </c:pt>
                <c:pt idx="69">
                  <c:v>1</c:v>
                </c:pt>
                <c:pt idx="70">
                  <c:v>1.7</c:v>
                </c:pt>
                <c:pt idx="71">
                  <c:v>1.9000000000000001</c:v>
                </c:pt>
                <c:pt idx="72">
                  <c:v>1.2</c:v>
                </c:pt>
                <c:pt idx="73">
                  <c:v>1.3</c:v>
                </c:pt>
                <c:pt idx="74">
                  <c:v>1.7</c:v>
                </c:pt>
                <c:pt idx="75">
                  <c:v>1.3</c:v>
                </c:pt>
                <c:pt idx="76">
                  <c:v>1.8</c:v>
                </c:pt>
                <c:pt idx="77">
                  <c:v>1.8</c:v>
                </c:pt>
                <c:pt idx="78">
                  <c:v>1.7</c:v>
                </c:pt>
                <c:pt idx="79">
                  <c:v>1.3</c:v>
                </c:pt>
                <c:pt idx="80">
                  <c:v>1.5</c:v>
                </c:pt>
                <c:pt idx="81">
                  <c:v>1.3</c:v>
                </c:pt>
                <c:pt idx="82">
                  <c:v>1.5</c:v>
                </c:pt>
                <c:pt idx="83">
                  <c:v>1.7</c:v>
                </c:pt>
                <c:pt idx="84">
                  <c:v>1.5</c:v>
                </c:pt>
                <c:pt idx="85">
                  <c:v>1.3</c:v>
                </c:pt>
                <c:pt idx="86">
                  <c:v>1.9000000000000001</c:v>
                </c:pt>
                <c:pt idx="87">
                  <c:v>1.9000000000000001</c:v>
                </c:pt>
                <c:pt idx="88">
                  <c:v>1.6</c:v>
                </c:pt>
                <c:pt idx="89">
                  <c:v>1.1000000000000001</c:v>
                </c:pt>
                <c:pt idx="90">
                  <c:v>1.7</c:v>
                </c:pt>
                <c:pt idx="91">
                  <c:v>1.2</c:v>
                </c:pt>
                <c:pt idx="92">
                  <c:v>1.5</c:v>
                </c:pt>
                <c:pt idx="93">
                  <c:v>1.2</c:v>
                </c:pt>
                <c:pt idx="94">
                  <c:v>1.6</c:v>
                </c:pt>
                <c:pt idx="95">
                  <c:v>1.7</c:v>
                </c:pt>
                <c:pt idx="96">
                  <c:v>1.4</c:v>
                </c:pt>
                <c:pt idx="97">
                  <c:v>1.4</c:v>
                </c:pt>
                <c:pt idx="98">
                  <c:v>1.7</c:v>
                </c:pt>
                <c:pt idx="99">
                  <c:v>1.5</c:v>
                </c:pt>
              </c:numCache>
            </c:numRef>
          </c:xVal>
          <c:yVal>
            <c:numRef>
              <c:f>ورقة1!$B$1:$B$100</c:f>
              <c:numCache>
                <c:formatCode>General</c:formatCode>
                <c:ptCount val="100"/>
                <c:pt idx="0">
                  <c:v>39</c:v>
                </c:pt>
                <c:pt idx="1">
                  <c:v>32</c:v>
                </c:pt>
                <c:pt idx="2">
                  <c:v>45</c:v>
                </c:pt>
                <c:pt idx="3">
                  <c:v>45</c:v>
                </c:pt>
                <c:pt idx="4">
                  <c:v>38</c:v>
                </c:pt>
                <c:pt idx="5">
                  <c:v>42</c:v>
                </c:pt>
                <c:pt idx="6">
                  <c:v>41</c:v>
                </c:pt>
                <c:pt idx="7">
                  <c:v>49</c:v>
                </c:pt>
                <c:pt idx="8">
                  <c:v>30</c:v>
                </c:pt>
                <c:pt idx="9">
                  <c:v>46</c:v>
                </c:pt>
                <c:pt idx="10">
                  <c:v>36</c:v>
                </c:pt>
                <c:pt idx="11">
                  <c:v>49</c:v>
                </c:pt>
                <c:pt idx="12">
                  <c:v>41</c:v>
                </c:pt>
                <c:pt idx="13">
                  <c:v>42</c:v>
                </c:pt>
                <c:pt idx="14">
                  <c:v>42</c:v>
                </c:pt>
                <c:pt idx="15">
                  <c:v>43</c:v>
                </c:pt>
                <c:pt idx="16">
                  <c:v>39</c:v>
                </c:pt>
                <c:pt idx="17">
                  <c:v>33</c:v>
                </c:pt>
                <c:pt idx="18">
                  <c:v>45</c:v>
                </c:pt>
                <c:pt idx="19">
                  <c:v>42</c:v>
                </c:pt>
                <c:pt idx="20">
                  <c:v>33</c:v>
                </c:pt>
                <c:pt idx="21">
                  <c:v>46</c:v>
                </c:pt>
                <c:pt idx="22">
                  <c:v>37</c:v>
                </c:pt>
                <c:pt idx="23">
                  <c:v>46</c:v>
                </c:pt>
                <c:pt idx="24">
                  <c:v>45</c:v>
                </c:pt>
                <c:pt idx="25">
                  <c:v>36</c:v>
                </c:pt>
                <c:pt idx="26">
                  <c:v>47</c:v>
                </c:pt>
                <c:pt idx="27">
                  <c:v>47</c:v>
                </c:pt>
                <c:pt idx="28">
                  <c:v>36</c:v>
                </c:pt>
                <c:pt idx="29">
                  <c:v>34</c:v>
                </c:pt>
                <c:pt idx="30">
                  <c:v>44</c:v>
                </c:pt>
                <c:pt idx="31">
                  <c:v>45</c:v>
                </c:pt>
                <c:pt idx="32">
                  <c:v>36</c:v>
                </c:pt>
                <c:pt idx="33">
                  <c:v>48</c:v>
                </c:pt>
                <c:pt idx="34">
                  <c:v>33</c:v>
                </c:pt>
                <c:pt idx="35">
                  <c:v>43</c:v>
                </c:pt>
                <c:pt idx="36">
                  <c:v>34</c:v>
                </c:pt>
                <c:pt idx="37">
                  <c:v>47</c:v>
                </c:pt>
                <c:pt idx="38">
                  <c:v>48</c:v>
                </c:pt>
                <c:pt idx="39">
                  <c:v>37</c:v>
                </c:pt>
                <c:pt idx="40">
                  <c:v>39</c:v>
                </c:pt>
                <c:pt idx="41">
                  <c:v>36</c:v>
                </c:pt>
                <c:pt idx="42">
                  <c:v>47</c:v>
                </c:pt>
                <c:pt idx="43">
                  <c:v>43</c:v>
                </c:pt>
                <c:pt idx="44">
                  <c:v>42</c:v>
                </c:pt>
                <c:pt idx="45">
                  <c:v>46</c:v>
                </c:pt>
                <c:pt idx="46">
                  <c:v>45</c:v>
                </c:pt>
                <c:pt idx="47">
                  <c:v>38</c:v>
                </c:pt>
                <c:pt idx="48">
                  <c:v>39</c:v>
                </c:pt>
                <c:pt idx="49">
                  <c:v>55</c:v>
                </c:pt>
                <c:pt idx="50">
                  <c:v>67</c:v>
                </c:pt>
                <c:pt idx="51">
                  <c:v>58</c:v>
                </c:pt>
                <c:pt idx="52">
                  <c:v>59</c:v>
                </c:pt>
                <c:pt idx="53">
                  <c:v>56</c:v>
                </c:pt>
                <c:pt idx="54">
                  <c:v>61</c:v>
                </c:pt>
                <c:pt idx="55">
                  <c:v>67</c:v>
                </c:pt>
                <c:pt idx="56">
                  <c:v>55</c:v>
                </c:pt>
                <c:pt idx="57">
                  <c:v>56</c:v>
                </c:pt>
                <c:pt idx="58">
                  <c:v>57</c:v>
                </c:pt>
                <c:pt idx="59">
                  <c:v>68</c:v>
                </c:pt>
                <c:pt idx="60">
                  <c:v>69</c:v>
                </c:pt>
                <c:pt idx="61">
                  <c:v>54</c:v>
                </c:pt>
                <c:pt idx="62">
                  <c:v>55</c:v>
                </c:pt>
                <c:pt idx="63">
                  <c:v>61</c:v>
                </c:pt>
                <c:pt idx="64">
                  <c:v>64</c:v>
                </c:pt>
                <c:pt idx="65">
                  <c:v>56</c:v>
                </c:pt>
                <c:pt idx="66">
                  <c:v>56</c:v>
                </c:pt>
                <c:pt idx="67">
                  <c:v>58</c:v>
                </c:pt>
                <c:pt idx="68">
                  <c:v>55</c:v>
                </c:pt>
                <c:pt idx="69">
                  <c:v>33</c:v>
                </c:pt>
                <c:pt idx="70">
                  <c:v>46</c:v>
                </c:pt>
                <c:pt idx="71">
                  <c:v>37</c:v>
                </c:pt>
                <c:pt idx="72">
                  <c:v>46</c:v>
                </c:pt>
                <c:pt idx="73">
                  <c:v>45</c:v>
                </c:pt>
                <c:pt idx="74">
                  <c:v>56</c:v>
                </c:pt>
                <c:pt idx="75">
                  <c:v>71</c:v>
                </c:pt>
                <c:pt idx="76">
                  <c:v>58</c:v>
                </c:pt>
                <c:pt idx="77">
                  <c:v>59</c:v>
                </c:pt>
                <c:pt idx="78">
                  <c:v>61</c:v>
                </c:pt>
                <c:pt idx="79">
                  <c:v>44</c:v>
                </c:pt>
                <c:pt idx="80">
                  <c:v>45</c:v>
                </c:pt>
                <c:pt idx="81">
                  <c:v>36</c:v>
                </c:pt>
                <c:pt idx="82">
                  <c:v>48</c:v>
                </c:pt>
                <c:pt idx="83">
                  <c:v>33</c:v>
                </c:pt>
                <c:pt idx="84">
                  <c:v>58</c:v>
                </c:pt>
                <c:pt idx="85">
                  <c:v>61</c:v>
                </c:pt>
                <c:pt idx="86">
                  <c:v>62</c:v>
                </c:pt>
                <c:pt idx="87">
                  <c:v>65</c:v>
                </c:pt>
                <c:pt idx="88">
                  <c:v>58</c:v>
                </c:pt>
                <c:pt idx="89">
                  <c:v>50</c:v>
                </c:pt>
                <c:pt idx="90">
                  <c:v>52</c:v>
                </c:pt>
                <c:pt idx="91">
                  <c:v>51</c:v>
                </c:pt>
                <c:pt idx="92">
                  <c:v>55</c:v>
                </c:pt>
                <c:pt idx="93">
                  <c:v>58</c:v>
                </c:pt>
                <c:pt idx="94">
                  <c:v>59</c:v>
                </c:pt>
                <c:pt idx="95">
                  <c:v>65</c:v>
                </c:pt>
                <c:pt idx="96">
                  <c:v>66</c:v>
                </c:pt>
                <c:pt idx="97">
                  <c:v>67</c:v>
                </c:pt>
                <c:pt idx="98">
                  <c:v>61</c:v>
                </c:pt>
                <c:pt idx="99">
                  <c:v>56</c:v>
                </c:pt>
              </c:numCache>
            </c:numRef>
          </c:yVal>
        </c:ser>
        <c:axId val="64990592"/>
        <c:axId val="65005056"/>
      </c:scatterChart>
      <c:valAx>
        <c:axId val="64990592"/>
        <c:scaling>
          <c:orientation val="minMax"/>
          <c:min val="1"/>
        </c:scaling>
        <c:axPos val="b"/>
        <c:title>
          <c:tx>
            <c:rich>
              <a:bodyPr/>
              <a:lstStyle/>
              <a:p>
                <a:pPr>
                  <a:defRPr sz="947" b="1" i="0" u="none" strike="noStrike" baseline="0">
                    <a:solidFill>
                      <a:srgbClr val="000000"/>
                    </a:solidFill>
                    <a:latin typeface="Arial"/>
                    <a:ea typeface="Arial"/>
                    <a:cs typeface="Arial"/>
                  </a:defRPr>
                </a:pPr>
                <a:r>
                  <a:rPr lang="en-US" altLang="en-US"/>
                  <a:t>SI</a:t>
                </a:r>
              </a:p>
            </c:rich>
          </c:tx>
          <c:layout>
            <c:manualLayout>
              <c:xMode val="edge"/>
              <c:yMode val="edge"/>
              <c:x val="0.52556252896877753"/>
              <c:y val="0.87636366714670133"/>
            </c:manualLayout>
          </c:layout>
          <c:spPr>
            <a:noFill/>
            <a:ln w="25329">
              <a:noFill/>
            </a:ln>
          </c:spPr>
        </c:title>
        <c:numFmt formatCode="General" sourceLinked="1"/>
        <c:tickLblPos val="nextTo"/>
        <c:spPr>
          <a:ln w="3166">
            <a:solidFill>
              <a:srgbClr val="000000"/>
            </a:solidFill>
            <a:prstDash val="solid"/>
          </a:ln>
        </c:spPr>
        <c:txPr>
          <a:bodyPr rot="0" vert="horz"/>
          <a:lstStyle/>
          <a:p>
            <a:pPr>
              <a:defRPr sz="947" b="0" i="0" u="none" strike="noStrike" baseline="0">
                <a:solidFill>
                  <a:srgbClr val="000000"/>
                </a:solidFill>
                <a:latin typeface="Arial"/>
                <a:ea typeface="Arial"/>
                <a:cs typeface="Arial"/>
              </a:defRPr>
            </a:pPr>
            <a:endParaRPr lang="en-US"/>
          </a:p>
        </c:txPr>
        <c:crossAx val="65005056"/>
        <c:crosses val="autoZero"/>
        <c:crossBetween val="midCat"/>
      </c:valAx>
      <c:valAx>
        <c:axId val="65005056"/>
        <c:scaling>
          <c:orientation val="minMax"/>
        </c:scaling>
        <c:axPos val="l"/>
        <c:majorGridlines>
          <c:spPr>
            <a:ln w="3166">
              <a:solidFill>
                <a:srgbClr val="000000"/>
              </a:solidFill>
              <a:prstDash val="solid"/>
            </a:ln>
          </c:spPr>
        </c:majorGridlines>
        <c:title>
          <c:tx>
            <c:rich>
              <a:bodyPr/>
              <a:lstStyle/>
              <a:p>
                <a:pPr>
                  <a:defRPr sz="947" b="1" i="0" u="none" strike="noStrike" baseline="0">
                    <a:solidFill>
                      <a:srgbClr val="000000"/>
                    </a:solidFill>
                    <a:latin typeface="Arial"/>
                    <a:ea typeface="Arial"/>
                    <a:cs typeface="Arial"/>
                  </a:defRPr>
                </a:pPr>
                <a:r>
                  <a:rPr lang="en-US" altLang="en-US"/>
                  <a:t>Age</a:t>
                </a:r>
              </a:p>
            </c:rich>
          </c:tx>
          <c:layout>
            <c:manualLayout>
              <c:xMode val="edge"/>
              <c:yMode val="edge"/>
              <c:x val="2.2494847852412875E-2"/>
              <c:y val="0.37454561027154831"/>
            </c:manualLayout>
          </c:layout>
          <c:spPr>
            <a:noFill/>
            <a:ln w="25329">
              <a:noFill/>
            </a:ln>
          </c:spPr>
        </c:title>
        <c:numFmt formatCode="General" sourceLinked="1"/>
        <c:tickLblPos val="nextTo"/>
        <c:spPr>
          <a:ln w="3166">
            <a:solidFill>
              <a:srgbClr val="000000"/>
            </a:solidFill>
            <a:prstDash val="solid"/>
          </a:ln>
        </c:spPr>
        <c:txPr>
          <a:bodyPr rot="0" vert="horz"/>
          <a:lstStyle/>
          <a:p>
            <a:pPr>
              <a:defRPr sz="947" b="0" i="0" u="none" strike="noStrike" baseline="0">
                <a:solidFill>
                  <a:srgbClr val="000000"/>
                </a:solidFill>
                <a:latin typeface="Arial"/>
                <a:ea typeface="Arial"/>
                <a:cs typeface="Arial"/>
              </a:defRPr>
            </a:pPr>
            <a:endParaRPr lang="en-US"/>
          </a:p>
        </c:txPr>
        <c:crossAx val="64990592"/>
        <c:crosses val="autoZero"/>
        <c:crossBetween val="midCat"/>
      </c:valAx>
      <c:spPr>
        <a:solidFill>
          <a:srgbClr val="FFFFFF"/>
        </a:solidFill>
        <a:ln w="12665">
          <a:solidFill>
            <a:srgbClr val="808080"/>
          </a:solidFill>
          <a:prstDash val="solid"/>
        </a:ln>
      </c:spPr>
    </c:plotArea>
    <c:plotVisOnly val="1"/>
    <c:dispBlanksAs val="gap"/>
  </c:chart>
  <c:spPr>
    <a:solidFill>
      <a:srgbClr val="FFFFFF"/>
    </a:solidFill>
    <a:ln w="3166">
      <a:solidFill>
        <a:srgbClr val="000000"/>
      </a:solidFill>
      <a:prstDash val="solid"/>
    </a:ln>
  </c:spPr>
  <c:txPr>
    <a:bodyPr/>
    <a:lstStyle/>
    <a:p>
      <a:pPr>
        <a:defRPr sz="947" b="0" i="0" u="none" strike="noStrike" baseline="0">
          <a:solidFill>
            <a:srgbClr val="000000"/>
          </a:solidFill>
          <a:latin typeface="Arial"/>
          <a:ea typeface="Arial"/>
          <a:cs typeface="Arial"/>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4519427402862986"/>
          <c:y val="8.0000000000000043E-2"/>
          <c:w val="0.81390593047034765"/>
          <c:h val="0.68727272727272726"/>
        </c:manualLayout>
      </c:layout>
      <c:scatterChart>
        <c:scatterStyle val="lineMarker"/>
        <c:ser>
          <c:idx val="0"/>
          <c:order val="0"/>
          <c:spPr>
            <a:ln w="19042">
              <a:noFill/>
            </a:ln>
          </c:spPr>
          <c:marker>
            <c:symbol val="diamond"/>
            <c:size val="3"/>
            <c:spPr>
              <a:solidFill>
                <a:srgbClr val="000080"/>
              </a:solidFill>
              <a:ln>
                <a:solidFill>
                  <a:srgbClr val="000080"/>
                </a:solidFill>
                <a:prstDash val="solid"/>
              </a:ln>
            </c:spPr>
          </c:marker>
          <c:trendline>
            <c:spPr>
              <a:ln w="25390">
                <a:solidFill>
                  <a:srgbClr val="000000"/>
                </a:solidFill>
                <a:prstDash val="solid"/>
              </a:ln>
            </c:spPr>
            <c:trendlineType val="linear"/>
          </c:trendline>
          <c:xVal>
            <c:numRef>
              <c:f>ورقة1!$A$1:$A$100</c:f>
              <c:numCache>
                <c:formatCode>General</c:formatCode>
                <c:ptCount val="100"/>
                <c:pt idx="0">
                  <c:v>1.2</c:v>
                </c:pt>
                <c:pt idx="1">
                  <c:v>1.4</c:v>
                </c:pt>
                <c:pt idx="2">
                  <c:v>1.1000000000000001</c:v>
                </c:pt>
                <c:pt idx="3">
                  <c:v>1.2</c:v>
                </c:pt>
                <c:pt idx="4">
                  <c:v>1.7</c:v>
                </c:pt>
                <c:pt idx="5">
                  <c:v>1.5</c:v>
                </c:pt>
                <c:pt idx="6">
                  <c:v>1.4</c:v>
                </c:pt>
                <c:pt idx="7">
                  <c:v>1.3</c:v>
                </c:pt>
                <c:pt idx="8">
                  <c:v>1.4</c:v>
                </c:pt>
                <c:pt idx="9">
                  <c:v>1.7</c:v>
                </c:pt>
                <c:pt idx="10">
                  <c:v>1.3</c:v>
                </c:pt>
                <c:pt idx="11">
                  <c:v>1.5</c:v>
                </c:pt>
                <c:pt idx="12">
                  <c:v>1.5</c:v>
                </c:pt>
                <c:pt idx="13">
                  <c:v>1.2</c:v>
                </c:pt>
                <c:pt idx="14">
                  <c:v>1.4</c:v>
                </c:pt>
                <c:pt idx="15">
                  <c:v>1.2</c:v>
                </c:pt>
                <c:pt idx="16">
                  <c:v>1.5</c:v>
                </c:pt>
                <c:pt idx="17">
                  <c:v>1.6</c:v>
                </c:pt>
                <c:pt idx="18">
                  <c:v>1.6</c:v>
                </c:pt>
                <c:pt idx="19">
                  <c:v>1.1000000000000001</c:v>
                </c:pt>
                <c:pt idx="20">
                  <c:v>1.2</c:v>
                </c:pt>
                <c:pt idx="21">
                  <c:v>1.4</c:v>
                </c:pt>
                <c:pt idx="22">
                  <c:v>1.7</c:v>
                </c:pt>
                <c:pt idx="23">
                  <c:v>1.6</c:v>
                </c:pt>
                <c:pt idx="24">
                  <c:v>1.3</c:v>
                </c:pt>
                <c:pt idx="25">
                  <c:v>1.5</c:v>
                </c:pt>
                <c:pt idx="26">
                  <c:v>1.3</c:v>
                </c:pt>
                <c:pt idx="27">
                  <c:v>1.3</c:v>
                </c:pt>
                <c:pt idx="28">
                  <c:v>1.5</c:v>
                </c:pt>
                <c:pt idx="29">
                  <c:v>1.2</c:v>
                </c:pt>
                <c:pt idx="30">
                  <c:v>1.2</c:v>
                </c:pt>
                <c:pt idx="31">
                  <c:v>1.3</c:v>
                </c:pt>
                <c:pt idx="32">
                  <c:v>1.3</c:v>
                </c:pt>
                <c:pt idx="33">
                  <c:v>1.7</c:v>
                </c:pt>
                <c:pt idx="34">
                  <c:v>1.5</c:v>
                </c:pt>
                <c:pt idx="35">
                  <c:v>1.4</c:v>
                </c:pt>
                <c:pt idx="36">
                  <c:v>1.5</c:v>
                </c:pt>
                <c:pt idx="37">
                  <c:v>1.5</c:v>
                </c:pt>
                <c:pt idx="38">
                  <c:v>1.7</c:v>
                </c:pt>
                <c:pt idx="39">
                  <c:v>1.3</c:v>
                </c:pt>
                <c:pt idx="40">
                  <c:v>1.3</c:v>
                </c:pt>
                <c:pt idx="41">
                  <c:v>1.3</c:v>
                </c:pt>
                <c:pt idx="42">
                  <c:v>1.2</c:v>
                </c:pt>
                <c:pt idx="43">
                  <c:v>1.5</c:v>
                </c:pt>
                <c:pt idx="44">
                  <c:v>1.1000000000000001</c:v>
                </c:pt>
                <c:pt idx="45">
                  <c:v>1.5</c:v>
                </c:pt>
                <c:pt idx="46">
                  <c:v>1.4</c:v>
                </c:pt>
                <c:pt idx="47">
                  <c:v>1.5</c:v>
                </c:pt>
                <c:pt idx="48">
                  <c:v>1.3</c:v>
                </c:pt>
                <c:pt idx="49">
                  <c:v>1.2</c:v>
                </c:pt>
                <c:pt idx="50">
                  <c:v>1.5</c:v>
                </c:pt>
                <c:pt idx="51">
                  <c:v>1.6</c:v>
                </c:pt>
                <c:pt idx="52">
                  <c:v>1.9000000000000001</c:v>
                </c:pt>
                <c:pt idx="53">
                  <c:v>1.7</c:v>
                </c:pt>
                <c:pt idx="54">
                  <c:v>1.2</c:v>
                </c:pt>
                <c:pt idx="55">
                  <c:v>1.8</c:v>
                </c:pt>
                <c:pt idx="56">
                  <c:v>1.4</c:v>
                </c:pt>
                <c:pt idx="57">
                  <c:v>1.7</c:v>
                </c:pt>
                <c:pt idx="58">
                  <c:v>1.7</c:v>
                </c:pt>
                <c:pt idx="59">
                  <c:v>1.3</c:v>
                </c:pt>
                <c:pt idx="60">
                  <c:v>1.3</c:v>
                </c:pt>
                <c:pt idx="61">
                  <c:v>1.6</c:v>
                </c:pt>
                <c:pt idx="62">
                  <c:v>1.5</c:v>
                </c:pt>
                <c:pt idx="63">
                  <c:v>1.5</c:v>
                </c:pt>
                <c:pt idx="64">
                  <c:v>1.4</c:v>
                </c:pt>
                <c:pt idx="65">
                  <c:v>1.7</c:v>
                </c:pt>
                <c:pt idx="66">
                  <c:v>1.3</c:v>
                </c:pt>
                <c:pt idx="67">
                  <c:v>1.2</c:v>
                </c:pt>
                <c:pt idx="68">
                  <c:v>1.2</c:v>
                </c:pt>
                <c:pt idx="69">
                  <c:v>1</c:v>
                </c:pt>
                <c:pt idx="70">
                  <c:v>1.7</c:v>
                </c:pt>
                <c:pt idx="71">
                  <c:v>1.9000000000000001</c:v>
                </c:pt>
                <c:pt idx="72">
                  <c:v>1.2</c:v>
                </c:pt>
                <c:pt idx="73">
                  <c:v>1.3</c:v>
                </c:pt>
                <c:pt idx="74">
                  <c:v>1.7</c:v>
                </c:pt>
                <c:pt idx="75">
                  <c:v>1.3</c:v>
                </c:pt>
                <c:pt idx="76">
                  <c:v>1.8</c:v>
                </c:pt>
                <c:pt idx="77">
                  <c:v>1.8</c:v>
                </c:pt>
                <c:pt idx="78">
                  <c:v>1.7</c:v>
                </c:pt>
                <c:pt idx="79">
                  <c:v>1.3</c:v>
                </c:pt>
                <c:pt idx="80">
                  <c:v>1.5</c:v>
                </c:pt>
                <c:pt idx="81">
                  <c:v>1.3</c:v>
                </c:pt>
                <c:pt idx="82">
                  <c:v>1.5</c:v>
                </c:pt>
                <c:pt idx="83">
                  <c:v>1.7</c:v>
                </c:pt>
                <c:pt idx="84">
                  <c:v>1.5</c:v>
                </c:pt>
                <c:pt idx="85">
                  <c:v>1.3</c:v>
                </c:pt>
                <c:pt idx="86">
                  <c:v>1.9000000000000001</c:v>
                </c:pt>
                <c:pt idx="87">
                  <c:v>1.9000000000000001</c:v>
                </c:pt>
                <c:pt idx="88">
                  <c:v>1.6</c:v>
                </c:pt>
                <c:pt idx="89">
                  <c:v>1.1000000000000001</c:v>
                </c:pt>
                <c:pt idx="90">
                  <c:v>1.7</c:v>
                </c:pt>
                <c:pt idx="91">
                  <c:v>1.2</c:v>
                </c:pt>
                <c:pt idx="92">
                  <c:v>1.5</c:v>
                </c:pt>
                <c:pt idx="93">
                  <c:v>1.2</c:v>
                </c:pt>
                <c:pt idx="94">
                  <c:v>1.6</c:v>
                </c:pt>
                <c:pt idx="95">
                  <c:v>1.7</c:v>
                </c:pt>
                <c:pt idx="96">
                  <c:v>1.4</c:v>
                </c:pt>
                <c:pt idx="97">
                  <c:v>1.4</c:v>
                </c:pt>
                <c:pt idx="98">
                  <c:v>1.7</c:v>
                </c:pt>
                <c:pt idx="99">
                  <c:v>1.5</c:v>
                </c:pt>
              </c:numCache>
            </c:numRef>
          </c:xVal>
          <c:yVal>
            <c:numRef>
              <c:f>ورقة1!$B$1:$B$100</c:f>
              <c:numCache>
                <c:formatCode>General</c:formatCode>
                <c:ptCount val="100"/>
                <c:pt idx="0">
                  <c:v>72.400000000000006</c:v>
                </c:pt>
                <c:pt idx="1">
                  <c:v>75.2</c:v>
                </c:pt>
                <c:pt idx="2">
                  <c:v>69</c:v>
                </c:pt>
                <c:pt idx="3">
                  <c:v>70.099999999999994</c:v>
                </c:pt>
                <c:pt idx="4">
                  <c:v>82.4</c:v>
                </c:pt>
                <c:pt idx="5">
                  <c:v>81.5</c:v>
                </c:pt>
                <c:pt idx="6">
                  <c:v>75.099999999999994</c:v>
                </c:pt>
                <c:pt idx="7">
                  <c:v>74.599999999999994</c:v>
                </c:pt>
                <c:pt idx="8">
                  <c:v>84.2</c:v>
                </c:pt>
                <c:pt idx="9">
                  <c:v>88.4</c:v>
                </c:pt>
                <c:pt idx="10">
                  <c:v>65.099999999999994</c:v>
                </c:pt>
                <c:pt idx="11">
                  <c:v>75.599999999999994</c:v>
                </c:pt>
                <c:pt idx="12">
                  <c:v>78.5</c:v>
                </c:pt>
                <c:pt idx="13">
                  <c:v>72.400000000000006</c:v>
                </c:pt>
                <c:pt idx="14">
                  <c:v>75.599999999999994</c:v>
                </c:pt>
                <c:pt idx="15">
                  <c:v>73.099999999999994</c:v>
                </c:pt>
                <c:pt idx="16">
                  <c:v>83.3</c:v>
                </c:pt>
                <c:pt idx="17">
                  <c:v>67.5</c:v>
                </c:pt>
                <c:pt idx="18">
                  <c:v>73.3</c:v>
                </c:pt>
                <c:pt idx="19">
                  <c:v>72.2</c:v>
                </c:pt>
                <c:pt idx="20">
                  <c:v>66.7</c:v>
                </c:pt>
                <c:pt idx="21">
                  <c:v>72.3</c:v>
                </c:pt>
                <c:pt idx="22">
                  <c:v>81.099999999999994</c:v>
                </c:pt>
                <c:pt idx="23">
                  <c:v>66.400000000000006</c:v>
                </c:pt>
                <c:pt idx="24">
                  <c:v>72.2</c:v>
                </c:pt>
                <c:pt idx="25">
                  <c:v>75</c:v>
                </c:pt>
                <c:pt idx="26">
                  <c:v>74.2</c:v>
                </c:pt>
                <c:pt idx="27">
                  <c:v>70</c:v>
                </c:pt>
                <c:pt idx="28">
                  <c:v>66.8</c:v>
                </c:pt>
                <c:pt idx="29">
                  <c:v>77</c:v>
                </c:pt>
                <c:pt idx="30">
                  <c:v>71.3</c:v>
                </c:pt>
                <c:pt idx="31">
                  <c:v>76</c:v>
                </c:pt>
                <c:pt idx="32">
                  <c:v>75.5</c:v>
                </c:pt>
                <c:pt idx="33">
                  <c:v>81.099999999999994</c:v>
                </c:pt>
                <c:pt idx="34">
                  <c:v>72.2</c:v>
                </c:pt>
                <c:pt idx="35">
                  <c:v>77</c:v>
                </c:pt>
                <c:pt idx="36">
                  <c:v>79.599999999999994</c:v>
                </c:pt>
                <c:pt idx="37">
                  <c:v>73.5</c:v>
                </c:pt>
                <c:pt idx="38">
                  <c:v>79.3</c:v>
                </c:pt>
                <c:pt idx="39">
                  <c:v>71.3</c:v>
                </c:pt>
                <c:pt idx="40">
                  <c:v>78</c:v>
                </c:pt>
                <c:pt idx="41">
                  <c:v>72.099999999999994</c:v>
                </c:pt>
                <c:pt idx="42">
                  <c:v>75.3</c:v>
                </c:pt>
                <c:pt idx="43">
                  <c:v>77.2</c:v>
                </c:pt>
                <c:pt idx="44">
                  <c:v>74</c:v>
                </c:pt>
                <c:pt idx="45">
                  <c:v>79.3</c:v>
                </c:pt>
                <c:pt idx="46">
                  <c:v>72.099999999999994</c:v>
                </c:pt>
                <c:pt idx="47">
                  <c:v>78.400000000000006</c:v>
                </c:pt>
                <c:pt idx="48">
                  <c:v>71.5</c:v>
                </c:pt>
                <c:pt idx="49">
                  <c:v>61.9</c:v>
                </c:pt>
                <c:pt idx="50">
                  <c:v>67.099999999999994</c:v>
                </c:pt>
                <c:pt idx="51">
                  <c:v>64</c:v>
                </c:pt>
                <c:pt idx="52">
                  <c:v>63.7</c:v>
                </c:pt>
                <c:pt idx="53">
                  <c:v>67.7</c:v>
                </c:pt>
                <c:pt idx="54">
                  <c:v>61.1</c:v>
                </c:pt>
                <c:pt idx="55">
                  <c:v>66.900000000000006</c:v>
                </c:pt>
                <c:pt idx="56">
                  <c:v>63.8</c:v>
                </c:pt>
                <c:pt idx="57">
                  <c:v>65.5</c:v>
                </c:pt>
                <c:pt idx="58">
                  <c:v>75.400000000000006</c:v>
                </c:pt>
                <c:pt idx="59">
                  <c:v>63.9</c:v>
                </c:pt>
                <c:pt idx="60">
                  <c:v>66.5</c:v>
                </c:pt>
                <c:pt idx="61">
                  <c:v>69.3</c:v>
                </c:pt>
                <c:pt idx="62">
                  <c:v>63.5</c:v>
                </c:pt>
                <c:pt idx="63">
                  <c:v>61.1</c:v>
                </c:pt>
                <c:pt idx="64">
                  <c:v>63.4</c:v>
                </c:pt>
                <c:pt idx="65">
                  <c:v>71.3</c:v>
                </c:pt>
                <c:pt idx="66">
                  <c:v>60.3</c:v>
                </c:pt>
                <c:pt idx="67">
                  <c:v>63</c:v>
                </c:pt>
                <c:pt idx="68">
                  <c:v>65.3</c:v>
                </c:pt>
                <c:pt idx="69">
                  <c:v>65.099999999999994</c:v>
                </c:pt>
                <c:pt idx="70">
                  <c:v>75.599999999999994</c:v>
                </c:pt>
                <c:pt idx="71">
                  <c:v>78.5</c:v>
                </c:pt>
                <c:pt idx="72">
                  <c:v>72.400000000000006</c:v>
                </c:pt>
                <c:pt idx="73">
                  <c:v>75.599999999999994</c:v>
                </c:pt>
                <c:pt idx="74">
                  <c:v>66.900000000000006</c:v>
                </c:pt>
                <c:pt idx="75">
                  <c:v>63.8</c:v>
                </c:pt>
                <c:pt idx="76">
                  <c:v>65.5</c:v>
                </c:pt>
                <c:pt idx="77">
                  <c:v>75.400000000000006</c:v>
                </c:pt>
                <c:pt idx="78">
                  <c:v>63.9</c:v>
                </c:pt>
                <c:pt idx="79">
                  <c:v>73.099999999999994</c:v>
                </c:pt>
                <c:pt idx="80">
                  <c:v>83.3</c:v>
                </c:pt>
                <c:pt idx="81">
                  <c:v>67.5</c:v>
                </c:pt>
                <c:pt idx="82">
                  <c:v>73.3</c:v>
                </c:pt>
                <c:pt idx="83">
                  <c:v>72.2</c:v>
                </c:pt>
                <c:pt idx="84">
                  <c:v>71.3</c:v>
                </c:pt>
                <c:pt idx="85">
                  <c:v>60.3</c:v>
                </c:pt>
                <c:pt idx="86">
                  <c:v>68.7</c:v>
                </c:pt>
                <c:pt idx="87">
                  <c:v>66.5</c:v>
                </c:pt>
                <c:pt idx="88">
                  <c:v>61.6</c:v>
                </c:pt>
                <c:pt idx="89">
                  <c:v>59.5</c:v>
                </c:pt>
                <c:pt idx="90">
                  <c:v>66.5</c:v>
                </c:pt>
                <c:pt idx="91">
                  <c:v>60.3</c:v>
                </c:pt>
                <c:pt idx="92">
                  <c:v>63</c:v>
                </c:pt>
                <c:pt idx="93">
                  <c:v>65.3</c:v>
                </c:pt>
                <c:pt idx="94">
                  <c:v>65.099999999999994</c:v>
                </c:pt>
                <c:pt idx="95">
                  <c:v>75.599999999999994</c:v>
                </c:pt>
                <c:pt idx="96">
                  <c:v>78.5</c:v>
                </c:pt>
                <c:pt idx="97">
                  <c:v>72.400000000000006</c:v>
                </c:pt>
                <c:pt idx="98">
                  <c:v>75.599999999999994</c:v>
                </c:pt>
                <c:pt idx="99">
                  <c:v>66.900000000000006</c:v>
                </c:pt>
              </c:numCache>
            </c:numRef>
          </c:yVal>
        </c:ser>
        <c:axId val="67045248"/>
        <c:axId val="67080192"/>
      </c:scatterChart>
      <c:valAx>
        <c:axId val="67045248"/>
        <c:scaling>
          <c:orientation val="minMax"/>
          <c:min val="1"/>
        </c:scaling>
        <c:axPos val="b"/>
        <c:title>
          <c:tx>
            <c:rich>
              <a:bodyPr/>
              <a:lstStyle/>
              <a:p>
                <a:pPr>
                  <a:defRPr sz="950" b="1" i="0" u="none" strike="noStrike" baseline="0">
                    <a:solidFill>
                      <a:srgbClr val="000000"/>
                    </a:solidFill>
                    <a:latin typeface="Arial"/>
                    <a:ea typeface="Arial"/>
                    <a:cs typeface="Arial"/>
                  </a:defRPr>
                </a:pPr>
                <a:r>
                  <a:rPr lang="en-US" altLang="en-US"/>
                  <a:t>SI</a:t>
                </a:r>
              </a:p>
            </c:rich>
          </c:tx>
          <c:layout>
            <c:manualLayout>
              <c:xMode val="edge"/>
              <c:yMode val="edge"/>
              <c:x val="0.53374226241521783"/>
              <c:y val="0.8763636363636369"/>
            </c:manualLayout>
          </c:layout>
          <c:spPr>
            <a:noFill/>
            <a:ln w="25390">
              <a:noFill/>
            </a:ln>
          </c:spPr>
        </c:title>
        <c:numFmt formatCode="General" sourceLinked="1"/>
        <c:tickLblPos val="nextTo"/>
        <c:spPr>
          <a:ln w="3174">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67080192"/>
        <c:crosses val="autoZero"/>
        <c:crossBetween val="midCat"/>
      </c:valAx>
      <c:valAx>
        <c:axId val="67080192"/>
        <c:scaling>
          <c:orientation val="minMax"/>
          <c:min val="0"/>
        </c:scaling>
        <c:axPos val="l"/>
        <c:majorGridlines>
          <c:spPr>
            <a:ln w="3174">
              <a:solidFill>
                <a:srgbClr val="000000"/>
              </a:solidFill>
              <a:prstDash val="solid"/>
            </a:ln>
          </c:spPr>
        </c:majorGridlines>
        <c:title>
          <c:tx>
            <c:rich>
              <a:bodyPr/>
              <a:lstStyle/>
              <a:p>
                <a:pPr>
                  <a:defRPr sz="950" b="1" i="0" u="none" strike="noStrike" baseline="0">
                    <a:solidFill>
                      <a:srgbClr val="000000"/>
                    </a:solidFill>
                    <a:latin typeface="Arial"/>
                    <a:ea typeface="Arial"/>
                    <a:cs typeface="Arial"/>
                  </a:defRPr>
                </a:pPr>
                <a:r>
                  <a:rPr lang="en-US" altLang="en-US"/>
                  <a:t>E</a:t>
                </a:r>
              </a:p>
            </c:rich>
          </c:tx>
          <c:layout>
            <c:manualLayout>
              <c:xMode val="edge"/>
              <c:yMode val="edge"/>
              <c:x val="2.249484161014529E-2"/>
              <c:y val="0.4"/>
            </c:manualLayout>
          </c:layout>
          <c:spPr>
            <a:noFill/>
            <a:ln w="25390">
              <a:noFill/>
            </a:ln>
          </c:spPr>
        </c:title>
        <c:numFmt formatCode="General" sourceLinked="1"/>
        <c:tickLblPos val="nextTo"/>
        <c:spPr>
          <a:ln w="3174">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67045248"/>
        <c:crosses val="autoZero"/>
        <c:crossBetween val="midCat"/>
      </c:valAx>
      <c:spPr>
        <a:solidFill>
          <a:srgbClr val="FFFFFF"/>
        </a:solidFill>
        <a:ln w="12696">
          <a:solidFill>
            <a:srgbClr val="808080"/>
          </a:solidFill>
          <a:prstDash val="solid"/>
        </a:ln>
      </c:spPr>
    </c:plotArea>
    <c:plotVisOnly val="1"/>
    <c:dispBlanksAs val="gap"/>
  </c:chart>
  <c:spPr>
    <a:solidFill>
      <a:srgbClr val="FFFFFF"/>
    </a:solidFill>
    <a:ln w="3174">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4519427402862986"/>
          <c:y val="8.0000000000000043E-2"/>
          <c:w val="0.81390593047034765"/>
          <c:h val="0.68727272727272726"/>
        </c:manualLayout>
      </c:layout>
      <c:scatterChart>
        <c:scatterStyle val="lineMarker"/>
        <c:ser>
          <c:idx val="0"/>
          <c:order val="0"/>
          <c:spPr>
            <a:ln w="19042">
              <a:noFill/>
            </a:ln>
          </c:spPr>
          <c:marker>
            <c:symbol val="diamond"/>
            <c:size val="3"/>
            <c:spPr>
              <a:solidFill>
                <a:srgbClr val="000080"/>
              </a:solidFill>
              <a:ln>
                <a:solidFill>
                  <a:srgbClr val="000080"/>
                </a:solidFill>
                <a:prstDash val="solid"/>
              </a:ln>
            </c:spPr>
          </c:marker>
          <c:trendline>
            <c:spPr>
              <a:ln w="25390">
                <a:solidFill>
                  <a:srgbClr val="000000"/>
                </a:solidFill>
                <a:prstDash val="solid"/>
              </a:ln>
            </c:spPr>
            <c:trendlineType val="linear"/>
          </c:trendline>
          <c:xVal>
            <c:numRef>
              <c:f>ورقة1!$A$1:$A$100</c:f>
              <c:numCache>
                <c:formatCode>General</c:formatCode>
                <c:ptCount val="100"/>
                <c:pt idx="0">
                  <c:v>1.2</c:v>
                </c:pt>
                <c:pt idx="1">
                  <c:v>1.4</c:v>
                </c:pt>
                <c:pt idx="2">
                  <c:v>1.1000000000000001</c:v>
                </c:pt>
                <c:pt idx="3">
                  <c:v>1.2</c:v>
                </c:pt>
                <c:pt idx="4">
                  <c:v>1.7</c:v>
                </c:pt>
                <c:pt idx="5">
                  <c:v>1.5</c:v>
                </c:pt>
                <c:pt idx="6">
                  <c:v>1.4</c:v>
                </c:pt>
                <c:pt idx="7">
                  <c:v>1.3</c:v>
                </c:pt>
                <c:pt idx="8">
                  <c:v>1.4</c:v>
                </c:pt>
                <c:pt idx="9">
                  <c:v>1.7</c:v>
                </c:pt>
                <c:pt idx="10">
                  <c:v>1.3</c:v>
                </c:pt>
                <c:pt idx="11">
                  <c:v>1.5</c:v>
                </c:pt>
                <c:pt idx="12">
                  <c:v>1.5</c:v>
                </c:pt>
                <c:pt idx="13">
                  <c:v>1.2</c:v>
                </c:pt>
                <c:pt idx="14">
                  <c:v>1.4</c:v>
                </c:pt>
                <c:pt idx="15">
                  <c:v>1.2</c:v>
                </c:pt>
                <c:pt idx="16">
                  <c:v>1.5</c:v>
                </c:pt>
                <c:pt idx="17">
                  <c:v>1.6</c:v>
                </c:pt>
                <c:pt idx="18">
                  <c:v>1.6</c:v>
                </c:pt>
                <c:pt idx="19">
                  <c:v>1.1000000000000001</c:v>
                </c:pt>
                <c:pt idx="20">
                  <c:v>1.2</c:v>
                </c:pt>
                <c:pt idx="21">
                  <c:v>1.4</c:v>
                </c:pt>
                <c:pt idx="22">
                  <c:v>1.7</c:v>
                </c:pt>
                <c:pt idx="23">
                  <c:v>1.6</c:v>
                </c:pt>
                <c:pt idx="24">
                  <c:v>1.3</c:v>
                </c:pt>
                <c:pt idx="25">
                  <c:v>1.5</c:v>
                </c:pt>
                <c:pt idx="26">
                  <c:v>1.3</c:v>
                </c:pt>
                <c:pt idx="27">
                  <c:v>1.3</c:v>
                </c:pt>
                <c:pt idx="28">
                  <c:v>1.5</c:v>
                </c:pt>
                <c:pt idx="29">
                  <c:v>1.2</c:v>
                </c:pt>
                <c:pt idx="30">
                  <c:v>1.2</c:v>
                </c:pt>
                <c:pt idx="31">
                  <c:v>1.3</c:v>
                </c:pt>
                <c:pt idx="32">
                  <c:v>1.3</c:v>
                </c:pt>
                <c:pt idx="33">
                  <c:v>1.7</c:v>
                </c:pt>
                <c:pt idx="34">
                  <c:v>1.5</c:v>
                </c:pt>
                <c:pt idx="35">
                  <c:v>1.4</c:v>
                </c:pt>
                <c:pt idx="36">
                  <c:v>1.5</c:v>
                </c:pt>
                <c:pt idx="37">
                  <c:v>1.5</c:v>
                </c:pt>
                <c:pt idx="38">
                  <c:v>1.7</c:v>
                </c:pt>
                <c:pt idx="39">
                  <c:v>1.3</c:v>
                </c:pt>
                <c:pt idx="40">
                  <c:v>1.3</c:v>
                </c:pt>
                <c:pt idx="41">
                  <c:v>1.3</c:v>
                </c:pt>
                <c:pt idx="42">
                  <c:v>1.2</c:v>
                </c:pt>
                <c:pt idx="43">
                  <c:v>1.5</c:v>
                </c:pt>
                <c:pt idx="44">
                  <c:v>1.1000000000000001</c:v>
                </c:pt>
                <c:pt idx="45">
                  <c:v>1.5</c:v>
                </c:pt>
                <c:pt idx="46">
                  <c:v>1.4</c:v>
                </c:pt>
                <c:pt idx="47">
                  <c:v>1.5</c:v>
                </c:pt>
                <c:pt idx="48">
                  <c:v>1.3</c:v>
                </c:pt>
                <c:pt idx="49">
                  <c:v>1.2</c:v>
                </c:pt>
                <c:pt idx="50">
                  <c:v>1.5</c:v>
                </c:pt>
                <c:pt idx="51">
                  <c:v>1.6</c:v>
                </c:pt>
                <c:pt idx="52">
                  <c:v>1.9000000000000001</c:v>
                </c:pt>
                <c:pt idx="53">
                  <c:v>1.7</c:v>
                </c:pt>
                <c:pt idx="54">
                  <c:v>1.2</c:v>
                </c:pt>
                <c:pt idx="55">
                  <c:v>1.8</c:v>
                </c:pt>
                <c:pt idx="56">
                  <c:v>1.4</c:v>
                </c:pt>
                <c:pt idx="57">
                  <c:v>1.7</c:v>
                </c:pt>
                <c:pt idx="58">
                  <c:v>1.7</c:v>
                </c:pt>
                <c:pt idx="59">
                  <c:v>1.3</c:v>
                </c:pt>
                <c:pt idx="60">
                  <c:v>1.3</c:v>
                </c:pt>
                <c:pt idx="61">
                  <c:v>1.6</c:v>
                </c:pt>
                <c:pt idx="62">
                  <c:v>1.5</c:v>
                </c:pt>
                <c:pt idx="63">
                  <c:v>1.5</c:v>
                </c:pt>
                <c:pt idx="64">
                  <c:v>1.4</c:v>
                </c:pt>
                <c:pt idx="65">
                  <c:v>1.7</c:v>
                </c:pt>
                <c:pt idx="66">
                  <c:v>1.3</c:v>
                </c:pt>
                <c:pt idx="67">
                  <c:v>1.2</c:v>
                </c:pt>
                <c:pt idx="68">
                  <c:v>1.2</c:v>
                </c:pt>
                <c:pt idx="69">
                  <c:v>1</c:v>
                </c:pt>
                <c:pt idx="70">
                  <c:v>1.7</c:v>
                </c:pt>
                <c:pt idx="71">
                  <c:v>1.9000000000000001</c:v>
                </c:pt>
                <c:pt idx="72">
                  <c:v>1.2</c:v>
                </c:pt>
                <c:pt idx="73">
                  <c:v>1.3</c:v>
                </c:pt>
                <c:pt idx="74">
                  <c:v>1.7</c:v>
                </c:pt>
                <c:pt idx="75">
                  <c:v>1.3</c:v>
                </c:pt>
                <c:pt idx="76">
                  <c:v>1.8</c:v>
                </c:pt>
                <c:pt idx="77">
                  <c:v>1.8</c:v>
                </c:pt>
                <c:pt idx="78">
                  <c:v>1.7</c:v>
                </c:pt>
                <c:pt idx="79">
                  <c:v>1.3</c:v>
                </c:pt>
                <c:pt idx="80">
                  <c:v>1.5</c:v>
                </c:pt>
                <c:pt idx="81">
                  <c:v>1.3</c:v>
                </c:pt>
                <c:pt idx="82">
                  <c:v>1.5</c:v>
                </c:pt>
                <c:pt idx="83">
                  <c:v>1.7</c:v>
                </c:pt>
                <c:pt idx="84">
                  <c:v>1.5</c:v>
                </c:pt>
                <c:pt idx="85">
                  <c:v>1.3</c:v>
                </c:pt>
                <c:pt idx="86">
                  <c:v>1.9000000000000001</c:v>
                </c:pt>
                <c:pt idx="87">
                  <c:v>1.9000000000000001</c:v>
                </c:pt>
                <c:pt idx="88">
                  <c:v>1.6</c:v>
                </c:pt>
                <c:pt idx="89">
                  <c:v>1.1000000000000001</c:v>
                </c:pt>
                <c:pt idx="90">
                  <c:v>1.7</c:v>
                </c:pt>
                <c:pt idx="91">
                  <c:v>1.2</c:v>
                </c:pt>
                <c:pt idx="92">
                  <c:v>1.5</c:v>
                </c:pt>
                <c:pt idx="93">
                  <c:v>1.2</c:v>
                </c:pt>
                <c:pt idx="94">
                  <c:v>1.6</c:v>
                </c:pt>
                <c:pt idx="95">
                  <c:v>1.7</c:v>
                </c:pt>
                <c:pt idx="96">
                  <c:v>1.4</c:v>
                </c:pt>
                <c:pt idx="97">
                  <c:v>1.4</c:v>
                </c:pt>
                <c:pt idx="98">
                  <c:v>1.7</c:v>
                </c:pt>
                <c:pt idx="99">
                  <c:v>1.5</c:v>
                </c:pt>
              </c:numCache>
            </c:numRef>
          </c:xVal>
          <c:yVal>
            <c:numRef>
              <c:f>ورقة1!$B$1:$B$100</c:f>
              <c:numCache>
                <c:formatCode>General</c:formatCode>
                <c:ptCount val="100"/>
                <c:pt idx="0">
                  <c:v>72.099999999999994</c:v>
                </c:pt>
                <c:pt idx="1">
                  <c:v>78.400000000000006</c:v>
                </c:pt>
                <c:pt idx="2">
                  <c:v>71.5</c:v>
                </c:pt>
                <c:pt idx="3">
                  <c:v>65.5</c:v>
                </c:pt>
                <c:pt idx="4">
                  <c:v>75.400000000000006</c:v>
                </c:pt>
                <c:pt idx="5">
                  <c:v>77.400000000000006</c:v>
                </c:pt>
                <c:pt idx="6">
                  <c:v>65.099999999999994</c:v>
                </c:pt>
                <c:pt idx="7">
                  <c:v>75.599999999999994</c:v>
                </c:pt>
                <c:pt idx="8">
                  <c:v>76.099999999999994</c:v>
                </c:pt>
                <c:pt idx="9">
                  <c:v>75.8</c:v>
                </c:pt>
                <c:pt idx="10">
                  <c:v>67.2</c:v>
                </c:pt>
                <c:pt idx="11">
                  <c:v>67.5</c:v>
                </c:pt>
                <c:pt idx="12">
                  <c:v>74.599999999999994</c:v>
                </c:pt>
                <c:pt idx="13">
                  <c:v>72.099999999999994</c:v>
                </c:pt>
                <c:pt idx="14">
                  <c:v>75.3</c:v>
                </c:pt>
                <c:pt idx="15">
                  <c:v>77.2</c:v>
                </c:pt>
                <c:pt idx="16">
                  <c:v>74</c:v>
                </c:pt>
                <c:pt idx="17">
                  <c:v>66.400000000000006</c:v>
                </c:pt>
                <c:pt idx="18">
                  <c:v>72.099999999999994</c:v>
                </c:pt>
                <c:pt idx="19">
                  <c:v>78.400000000000006</c:v>
                </c:pt>
                <c:pt idx="20">
                  <c:v>71.5</c:v>
                </c:pt>
                <c:pt idx="21">
                  <c:v>65.5</c:v>
                </c:pt>
                <c:pt idx="22">
                  <c:v>75.400000000000006</c:v>
                </c:pt>
                <c:pt idx="23">
                  <c:v>63.9</c:v>
                </c:pt>
                <c:pt idx="24">
                  <c:v>66.5</c:v>
                </c:pt>
                <c:pt idx="25">
                  <c:v>69.3</c:v>
                </c:pt>
                <c:pt idx="26">
                  <c:v>63.5</c:v>
                </c:pt>
                <c:pt idx="27">
                  <c:v>61.1</c:v>
                </c:pt>
                <c:pt idx="28">
                  <c:v>63.4</c:v>
                </c:pt>
                <c:pt idx="29">
                  <c:v>71.3</c:v>
                </c:pt>
                <c:pt idx="30">
                  <c:v>60.3</c:v>
                </c:pt>
                <c:pt idx="31">
                  <c:v>63</c:v>
                </c:pt>
                <c:pt idx="32">
                  <c:v>65.3</c:v>
                </c:pt>
                <c:pt idx="33">
                  <c:v>77.400000000000006</c:v>
                </c:pt>
                <c:pt idx="34">
                  <c:v>75.3</c:v>
                </c:pt>
                <c:pt idx="35">
                  <c:v>77.2</c:v>
                </c:pt>
                <c:pt idx="36">
                  <c:v>74</c:v>
                </c:pt>
                <c:pt idx="37">
                  <c:v>79.3</c:v>
                </c:pt>
                <c:pt idx="38">
                  <c:v>72.099999999999994</c:v>
                </c:pt>
                <c:pt idx="39">
                  <c:v>78.400000000000006</c:v>
                </c:pt>
                <c:pt idx="40">
                  <c:v>71.5</c:v>
                </c:pt>
                <c:pt idx="41">
                  <c:v>61.9</c:v>
                </c:pt>
                <c:pt idx="42">
                  <c:v>67.099999999999994</c:v>
                </c:pt>
                <c:pt idx="43">
                  <c:v>64</c:v>
                </c:pt>
                <c:pt idx="44">
                  <c:v>63.7</c:v>
                </c:pt>
                <c:pt idx="45">
                  <c:v>67.7</c:v>
                </c:pt>
                <c:pt idx="46">
                  <c:v>61.1</c:v>
                </c:pt>
                <c:pt idx="47">
                  <c:v>66.900000000000006</c:v>
                </c:pt>
                <c:pt idx="48">
                  <c:v>63.8</c:v>
                </c:pt>
                <c:pt idx="49">
                  <c:v>88.4</c:v>
                </c:pt>
                <c:pt idx="50">
                  <c:v>77.8</c:v>
                </c:pt>
                <c:pt idx="51">
                  <c:v>75.599999999999994</c:v>
                </c:pt>
                <c:pt idx="52">
                  <c:v>78.5</c:v>
                </c:pt>
                <c:pt idx="53">
                  <c:v>72.400000000000006</c:v>
                </c:pt>
                <c:pt idx="54">
                  <c:v>75.599999999999994</c:v>
                </c:pt>
                <c:pt idx="55">
                  <c:v>88.6</c:v>
                </c:pt>
                <c:pt idx="56">
                  <c:v>83.3</c:v>
                </c:pt>
                <c:pt idx="57">
                  <c:v>84.5</c:v>
                </c:pt>
                <c:pt idx="58">
                  <c:v>88.4</c:v>
                </c:pt>
                <c:pt idx="59">
                  <c:v>77.8</c:v>
                </c:pt>
                <c:pt idx="60">
                  <c:v>75.599999999999994</c:v>
                </c:pt>
                <c:pt idx="61">
                  <c:v>78.5</c:v>
                </c:pt>
                <c:pt idx="62">
                  <c:v>72.400000000000006</c:v>
                </c:pt>
                <c:pt idx="63">
                  <c:v>75.599999999999994</c:v>
                </c:pt>
                <c:pt idx="64">
                  <c:v>88.6</c:v>
                </c:pt>
                <c:pt idx="65">
                  <c:v>83.3</c:v>
                </c:pt>
                <c:pt idx="66">
                  <c:v>77.599999999999994</c:v>
                </c:pt>
                <c:pt idx="67">
                  <c:v>88.5</c:v>
                </c:pt>
                <c:pt idx="68">
                  <c:v>89.1</c:v>
                </c:pt>
                <c:pt idx="69">
                  <c:v>67.2</c:v>
                </c:pt>
                <c:pt idx="70">
                  <c:v>67.5</c:v>
                </c:pt>
                <c:pt idx="71">
                  <c:v>74.599999999999994</c:v>
                </c:pt>
                <c:pt idx="72">
                  <c:v>72.099999999999994</c:v>
                </c:pt>
                <c:pt idx="73">
                  <c:v>75.3</c:v>
                </c:pt>
                <c:pt idx="74">
                  <c:v>88.6</c:v>
                </c:pt>
                <c:pt idx="75">
                  <c:v>83.3</c:v>
                </c:pt>
                <c:pt idx="76">
                  <c:v>84.5</c:v>
                </c:pt>
                <c:pt idx="77">
                  <c:v>88.4</c:v>
                </c:pt>
                <c:pt idx="78">
                  <c:v>77.8</c:v>
                </c:pt>
                <c:pt idx="79">
                  <c:v>77.2</c:v>
                </c:pt>
                <c:pt idx="80">
                  <c:v>74</c:v>
                </c:pt>
                <c:pt idx="81">
                  <c:v>66.400000000000006</c:v>
                </c:pt>
                <c:pt idx="82">
                  <c:v>72.099999999999994</c:v>
                </c:pt>
                <c:pt idx="83">
                  <c:v>78.400000000000006</c:v>
                </c:pt>
                <c:pt idx="84">
                  <c:v>83.3</c:v>
                </c:pt>
                <c:pt idx="85">
                  <c:v>77.599999999999994</c:v>
                </c:pt>
                <c:pt idx="86">
                  <c:v>79.400000000000006</c:v>
                </c:pt>
                <c:pt idx="87">
                  <c:v>80.3</c:v>
                </c:pt>
                <c:pt idx="88">
                  <c:v>74.2</c:v>
                </c:pt>
                <c:pt idx="89">
                  <c:v>71.400000000000006</c:v>
                </c:pt>
                <c:pt idx="90">
                  <c:v>77.400000000000006</c:v>
                </c:pt>
                <c:pt idx="91">
                  <c:v>77.599999999999994</c:v>
                </c:pt>
                <c:pt idx="92">
                  <c:v>88.5</c:v>
                </c:pt>
                <c:pt idx="93">
                  <c:v>89.1</c:v>
                </c:pt>
                <c:pt idx="94">
                  <c:v>67.2</c:v>
                </c:pt>
                <c:pt idx="95">
                  <c:v>67.5</c:v>
                </c:pt>
                <c:pt idx="96">
                  <c:v>74.599999999999994</c:v>
                </c:pt>
                <c:pt idx="97">
                  <c:v>72.099999999999994</c:v>
                </c:pt>
                <c:pt idx="98">
                  <c:v>75.3</c:v>
                </c:pt>
                <c:pt idx="99">
                  <c:v>88.6</c:v>
                </c:pt>
              </c:numCache>
            </c:numRef>
          </c:yVal>
        </c:ser>
        <c:axId val="72626176"/>
        <c:axId val="72628096"/>
      </c:scatterChart>
      <c:valAx>
        <c:axId val="72626176"/>
        <c:scaling>
          <c:orientation val="minMax"/>
          <c:min val="1"/>
        </c:scaling>
        <c:axPos val="b"/>
        <c:title>
          <c:tx>
            <c:rich>
              <a:bodyPr/>
              <a:lstStyle/>
              <a:p>
                <a:pPr>
                  <a:defRPr sz="950" b="1" i="0" u="none" strike="noStrike" baseline="0">
                    <a:solidFill>
                      <a:srgbClr val="000000"/>
                    </a:solidFill>
                    <a:latin typeface="Arial"/>
                    <a:ea typeface="Arial"/>
                    <a:cs typeface="Arial"/>
                  </a:defRPr>
                </a:pPr>
                <a:r>
                  <a:rPr lang="en-US" altLang="en-US"/>
                  <a:t>SI</a:t>
                </a:r>
              </a:p>
            </c:rich>
          </c:tx>
          <c:layout>
            <c:manualLayout>
              <c:xMode val="edge"/>
              <c:yMode val="edge"/>
              <c:x val="0.53374226241521783"/>
              <c:y val="0.8763636363636369"/>
            </c:manualLayout>
          </c:layout>
          <c:spPr>
            <a:noFill/>
            <a:ln w="25390">
              <a:noFill/>
            </a:ln>
          </c:spPr>
        </c:title>
        <c:numFmt formatCode="General" sourceLinked="1"/>
        <c:tickLblPos val="nextTo"/>
        <c:spPr>
          <a:ln w="3174">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72628096"/>
        <c:crosses val="autoZero"/>
        <c:crossBetween val="midCat"/>
      </c:valAx>
      <c:valAx>
        <c:axId val="72628096"/>
        <c:scaling>
          <c:orientation val="minMax"/>
          <c:min val="0"/>
        </c:scaling>
        <c:axPos val="l"/>
        <c:majorGridlines>
          <c:spPr>
            <a:ln w="3174">
              <a:solidFill>
                <a:srgbClr val="000000"/>
              </a:solidFill>
              <a:prstDash val="solid"/>
            </a:ln>
          </c:spPr>
        </c:majorGridlines>
        <c:title>
          <c:tx>
            <c:rich>
              <a:bodyPr/>
              <a:lstStyle/>
              <a:p>
                <a:pPr>
                  <a:defRPr sz="950" b="1" i="0" u="none" strike="noStrike" baseline="0">
                    <a:solidFill>
                      <a:srgbClr val="000000"/>
                    </a:solidFill>
                    <a:latin typeface="Arial"/>
                    <a:ea typeface="Arial"/>
                    <a:cs typeface="Arial"/>
                  </a:defRPr>
                </a:pPr>
                <a:r>
                  <a:rPr lang="en-US" altLang="en-US"/>
                  <a:t>A</a:t>
                </a:r>
              </a:p>
            </c:rich>
          </c:tx>
          <c:layout>
            <c:manualLayout>
              <c:xMode val="edge"/>
              <c:yMode val="edge"/>
              <c:x val="2.249484161014529E-2"/>
              <c:y val="0.39636363636363664"/>
            </c:manualLayout>
          </c:layout>
          <c:spPr>
            <a:noFill/>
            <a:ln w="25390">
              <a:noFill/>
            </a:ln>
          </c:spPr>
        </c:title>
        <c:numFmt formatCode="General" sourceLinked="1"/>
        <c:tickLblPos val="nextTo"/>
        <c:spPr>
          <a:ln w="3174">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72626176"/>
        <c:crosses val="autoZero"/>
        <c:crossBetween val="midCat"/>
      </c:valAx>
      <c:spPr>
        <a:solidFill>
          <a:srgbClr val="FFFFFF"/>
        </a:solidFill>
        <a:ln w="12696">
          <a:solidFill>
            <a:srgbClr val="808080"/>
          </a:solidFill>
          <a:prstDash val="solid"/>
        </a:ln>
      </c:spPr>
    </c:plotArea>
    <c:plotVisOnly val="1"/>
    <c:dispBlanksAs val="gap"/>
  </c:chart>
  <c:spPr>
    <a:solidFill>
      <a:srgbClr val="FFFFFF"/>
    </a:solidFill>
    <a:ln w="3174">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3905930470347649"/>
          <c:y val="8.0000000000000043E-2"/>
          <c:w val="0.82004089979550143"/>
          <c:h val="0.68727272727272726"/>
        </c:manualLayout>
      </c:layout>
      <c:scatterChart>
        <c:scatterStyle val="lineMarker"/>
        <c:ser>
          <c:idx val="0"/>
          <c:order val="0"/>
          <c:spPr>
            <a:ln w="19042">
              <a:noFill/>
            </a:ln>
          </c:spPr>
          <c:marker>
            <c:symbol val="diamond"/>
            <c:size val="3"/>
            <c:spPr>
              <a:solidFill>
                <a:srgbClr val="000080"/>
              </a:solidFill>
              <a:ln>
                <a:solidFill>
                  <a:srgbClr val="000080"/>
                </a:solidFill>
                <a:prstDash val="solid"/>
              </a:ln>
            </c:spPr>
          </c:marker>
          <c:trendline>
            <c:spPr>
              <a:ln w="25390">
                <a:solidFill>
                  <a:srgbClr val="000000"/>
                </a:solidFill>
                <a:prstDash val="solid"/>
              </a:ln>
            </c:spPr>
            <c:trendlineType val="linear"/>
          </c:trendline>
          <c:xVal>
            <c:numRef>
              <c:f>ورقة1!$A$1:$A$100</c:f>
              <c:numCache>
                <c:formatCode>General</c:formatCode>
                <c:ptCount val="100"/>
                <c:pt idx="0">
                  <c:v>1.2</c:v>
                </c:pt>
                <c:pt idx="1">
                  <c:v>1.4</c:v>
                </c:pt>
                <c:pt idx="2">
                  <c:v>1.1000000000000001</c:v>
                </c:pt>
                <c:pt idx="3">
                  <c:v>1.2</c:v>
                </c:pt>
                <c:pt idx="4">
                  <c:v>1.7</c:v>
                </c:pt>
                <c:pt idx="5">
                  <c:v>1.5</c:v>
                </c:pt>
                <c:pt idx="6">
                  <c:v>1.4</c:v>
                </c:pt>
                <c:pt idx="7">
                  <c:v>1.3</c:v>
                </c:pt>
                <c:pt idx="8">
                  <c:v>1.4</c:v>
                </c:pt>
                <c:pt idx="9">
                  <c:v>1.7</c:v>
                </c:pt>
                <c:pt idx="10">
                  <c:v>1.3</c:v>
                </c:pt>
                <c:pt idx="11">
                  <c:v>1.5</c:v>
                </c:pt>
                <c:pt idx="12">
                  <c:v>1.5</c:v>
                </c:pt>
                <c:pt idx="13">
                  <c:v>1.2</c:v>
                </c:pt>
                <c:pt idx="14">
                  <c:v>1.4</c:v>
                </c:pt>
                <c:pt idx="15">
                  <c:v>1.2</c:v>
                </c:pt>
                <c:pt idx="16">
                  <c:v>1.5</c:v>
                </c:pt>
                <c:pt idx="17">
                  <c:v>1.6</c:v>
                </c:pt>
                <c:pt idx="18">
                  <c:v>1.6</c:v>
                </c:pt>
                <c:pt idx="19">
                  <c:v>1.1000000000000001</c:v>
                </c:pt>
                <c:pt idx="20">
                  <c:v>1.2</c:v>
                </c:pt>
                <c:pt idx="21">
                  <c:v>1.4</c:v>
                </c:pt>
                <c:pt idx="22">
                  <c:v>1.7</c:v>
                </c:pt>
                <c:pt idx="23">
                  <c:v>1.6</c:v>
                </c:pt>
                <c:pt idx="24">
                  <c:v>1.3</c:v>
                </c:pt>
                <c:pt idx="25">
                  <c:v>1.5</c:v>
                </c:pt>
                <c:pt idx="26">
                  <c:v>1.3</c:v>
                </c:pt>
                <c:pt idx="27">
                  <c:v>1.3</c:v>
                </c:pt>
                <c:pt idx="28">
                  <c:v>1.5</c:v>
                </c:pt>
                <c:pt idx="29">
                  <c:v>1.2</c:v>
                </c:pt>
                <c:pt idx="30">
                  <c:v>1.2</c:v>
                </c:pt>
                <c:pt idx="31">
                  <c:v>1.3</c:v>
                </c:pt>
                <c:pt idx="32">
                  <c:v>1.3</c:v>
                </c:pt>
                <c:pt idx="33">
                  <c:v>1.7</c:v>
                </c:pt>
                <c:pt idx="34">
                  <c:v>1.5</c:v>
                </c:pt>
                <c:pt idx="35">
                  <c:v>1.4</c:v>
                </c:pt>
                <c:pt idx="36">
                  <c:v>1.5</c:v>
                </c:pt>
                <c:pt idx="37">
                  <c:v>1.5</c:v>
                </c:pt>
                <c:pt idx="38">
                  <c:v>1.7</c:v>
                </c:pt>
                <c:pt idx="39">
                  <c:v>1.3</c:v>
                </c:pt>
                <c:pt idx="40">
                  <c:v>1.3</c:v>
                </c:pt>
                <c:pt idx="41">
                  <c:v>1.3</c:v>
                </c:pt>
                <c:pt idx="42">
                  <c:v>1.2</c:v>
                </c:pt>
                <c:pt idx="43">
                  <c:v>1.5</c:v>
                </c:pt>
                <c:pt idx="44">
                  <c:v>1.1000000000000001</c:v>
                </c:pt>
                <c:pt idx="45">
                  <c:v>1.5</c:v>
                </c:pt>
                <c:pt idx="46">
                  <c:v>1.4</c:v>
                </c:pt>
                <c:pt idx="47">
                  <c:v>1.5</c:v>
                </c:pt>
                <c:pt idx="48">
                  <c:v>1.3</c:v>
                </c:pt>
                <c:pt idx="49">
                  <c:v>1.2</c:v>
                </c:pt>
                <c:pt idx="50">
                  <c:v>1.5</c:v>
                </c:pt>
                <c:pt idx="51">
                  <c:v>1.6</c:v>
                </c:pt>
                <c:pt idx="52">
                  <c:v>1.9000000000000001</c:v>
                </c:pt>
                <c:pt idx="53">
                  <c:v>1.7</c:v>
                </c:pt>
                <c:pt idx="54">
                  <c:v>1.2</c:v>
                </c:pt>
                <c:pt idx="55">
                  <c:v>1.8</c:v>
                </c:pt>
                <c:pt idx="56">
                  <c:v>1.4</c:v>
                </c:pt>
                <c:pt idx="57">
                  <c:v>1.7</c:v>
                </c:pt>
                <c:pt idx="58">
                  <c:v>1.7</c:v>
                </c:pt>
                <c:pt idx="59">
                  <c:v>1.3</c:v>
                </c:pt>
                <c:pt idx="60">
                  <c:v>1.3</c:v>
                </c:pt>
                <c:pt idx="61">
                  <c:v>1.6</c:v>
                </c:pt>
                <c:pt idx="62">
                  <c:v>1.5</c:v>
                </c:pt>
                <c:pt idx="63">
                  <c:v>1.5</c:v>
                </c:pt>
                <c:pt idx="64">
                  <c:v>1.4</c:v>
                </c:pt>
                <c:pt idx="65">
                  <c:v>1.7</c:v>
                </c:pt>
                <c:pt idx="66">
                  <c:v>1.3</c:v>
                </c:pt>
                <c:pt idx="67">
                  <c:v>1.2</c:v>
                </c:pt>
                <c:pt idx="68">
                  <c:v>1.2</c:v>
                </c:pt>
                <c:pt idx="69">
                  <c:v>1</c:v>
                </c:pt>
                <c:pt idx="70">
                  <c:v>1.7</c:v>
                </c:pt>
                <c:pt idx="71">
                  <c:v>1.9000000000000001</c:v>
                </c:pt>
                <c:pt idx="72">
                  <c:v>1.2</c:v>
                </c:pt>
                <c:pt idx="73">
                  <c:v>1.3</c:v>
                </c:pt>
                <c:pt idx="74">
                  <c:v>1.7</c:v>
                </c:pt>
                <c:pt idx="75">
                  <c:v>1.3</c:v>
                </c:pt>
                <c:pt idx="76">
                  <c:v>1.8</c:v>
                </c:pt>
                <c:pt idx="77">
                  <c:v>1.8</c:v>
                </c:pt>
                <c:pt idx="78">
                  <c:v>1.7</c:v>
                </c:pt>
                <c:pt idx="79">
                  <c:v>1.3</c:v>
                </c:pt>
                <c:pt idx="80">
                  <c:v>1.5</c:v>
                </c:pt>
                <c:pt idx="81">
                  <c:v>1.3</c:v>
                </c:pt>
                <c:pt idx="82">
                  <c:v>1.5</c:v>
                </c:pt>
                <c:pt idx="83">
                  <c:v>1.7</c:v>
                </c:pt>
                <c:pt idx="84">
                  <c:v>1.5</c:v>
                </c:pt>
                <c:pt idx="85">
                  <c:v>1.3</c:v>
                </c:pt>
                <c:pt idx="86">
                  <c:v>1.9000000000000001</c:v>
                </c:pt>
                <c:pt idx="87">
                  <c:v>1.9000000000000001</c:v>
                </c:pt>
                <c:pt idx="88">
                  <c:v>1.6</c:v>
                </c:pt>
                <c:pt idx="89">
                  <c:v>1.1000000000000001</c:v>
                </c:pt>
                <c:pt idx="90">
                  <c:v>1.7</c:v>
                </c:pt>
                <c:pt idx="91">
                  <c:v>1.2</c:v>
                </c:pt>
                <c:pt idx="92">
                  <c:v>1.5</c:v>
                </c:pt>
                <c:pt idx="93">
                  <c:v>1.2</c:v>
                </c:pt>
                <c:pt idx="94">
                  <c:v>1.6</c:v>
                </c:pt>
                <c:pt idx="95">
                  <c:v>1.7</c:v>
                </c:pt>
                <c:pt idx="96">
                  <c:v>1.4</c:v>
                </c:pt>
                <c:pt idx="97">
                  <c:v>1.4</c:v>
                </c:pt>
                <c:pt idx="98">
                  <c:v>1.7</c:v>
                </c:pt>
                <c:pt idx="99">
                  <c:v>1.5</c:v>
                </c:pt>
              </c:numCache>
            </c:numRef>
          </c:xVal>
          <c:yVal>
            <c:numRef>
              <c:f>ورقة1!$B$1:$B$100</c:f>
              <c:numCache>
                <c:formatCode>General</c:formatCode>
                <c:ptCount val="100"/>
                <c:pt idx="0">
                  <c:v>0.56999999999999995</c:v>
                </c:pt>
                <c:pt idx="1">
                  <c:v>0.7000000000000004</c:v>
                </c:pt>
                <c:pt idx="2">
                  <c:v>0.52</c:v>
                </c:pt>
                <c:pt idx="3">
                  <c:v>0.51</c:v>
                </c:pt>
                <c:pt idx="4">
                  <c:v>0.66000000000000059</c:v>
                </c:pt>
                <c:pt idx="5">
                  <c:v>0.72000000000000042</c:v>
                </c:pt>
                <c:pt idx="6">
                  <c:v>0.63000000000000045</c:v>
                </c:pt>
                <c:pt idx="7">
                  <c:v>0.54</c:v>
                </c:pt>
                <c:pt idx="8">
                  <c:v>0.53</c:v>
                </c:pt>
                <c:pt idx="9">
                  <c:v>0.63000000000000045</c:v>
                </c:pt>
                <c:pt idx="10">
                  <c:v>0.62000000000000044</c:v>
                </c:pt>
                <c:pt idx="11">
                  <c:v>0.67000000000000071</c:v>
                </c:pt>
                <c:pt idx="12">
                  <c:v>0.54</c:v>
                </c:pt>
                <c:pt idx="13">
                  <c:v>0.47000000000000008</c:v>
                </c:pt>
                <c:pt idx="14">
                  <c:v>0.58000000000000007</c:v>
                </c:pt>
                <c:pt idx="15">
                  <c:v>0.73000000000000043</c:v>
                </c:pt>
                <c:pt idx="16">
                  <c:v>0.58000000000000007</c:v>
                </c:pt>
                <c:pt idx="17">
                  <c:v>0.51</c:v>
                </c:pt>
                <c:pt idx="18">
                  <c:v>0.54</c:v>
                </c:pt>
                <c:pt idx="19">
                  <c:v>0.52</c:v>
                </c:pt>
                <c:pt idx="20">
                  <c:v>0.60000000000000042</c:v>
                </c:pt>
                <c:pt idx="21">
                  <c:v>0.47000000000000008</c:v>
                </c:pt>
                <c:pt idx="22">
                  <c:v>0.56999999999999995</c:v>
                </c:pt>
                <c:pt idx="23">
                  <c:v>0.75000000000000044</c:v>
                </c:pt>
                <c:pt idx="24">
                  <c:v>0.56000000000000005</c:v>
                </c:pt>
                <c:pt idx="25">
                  <c:v>0.56000000000000005</c:v>
                </c:pt>
                <c:pt idx="26">
                  <c:v>0.68</c:v>
                </c:pt>
                <c:pt idx="27">
                  <c:v>0.52</c:v>
                </c:pt>
                <c:pt idx="28">
                  <c:v>0.63000000000000045</c:v>
                </c:pt>
                <c:pt idx="29">
                  <c:v>0.64000000000000046</c:v>
                </c:pt>
                <c:pt idx="30">
                  <c:v>0.51</c:v>
                </c:pt>
                <c:pt idx="31">
                  <c:v>0.4800000000000002</c:v>
                </c:pt>
                <c:pt idx="32">
                  <c:v>0.58000000000000007</c:v>
                </c:pt>
                <c:pt idx="33">
                  <c:v>0.62000000000000044</c:v>
                </c:pt>
                <c:pt idx="34">
                  <c:v>0.59</c:v>
                </c:pt>
                <c:pt idx="35">
                  <c:v>0.47000000000000008</c:v>
                </c:pt>
                <c:pt idx="36">
                  <c:v>0.58000000000000007</c:v>
                </c:pt>
                <c:pt idx="37">
                  <c:v>0.49000000000000021</c:v>
                </c:pt>
                <c:pt idx="38">
                  <c:v>0.75000000000000044</c:v>
                </c:pt>
                <c:pt idx="39">
                  <c:v>0.56000000000000005</c:v>
                </c:pt>
                <c:pt idx="40">
                  <c:v>0.49000000000000021</c:v>
                </c:pt>
                <c:pt idx="41">
                  <c:v>0.47000000000000008</c:v>
                </c:pt>
                <c:pt idx="42">
                  <c:v>0.60000000000000042</c:v>
                </c:pt>
                <c:pt idx="43">
                  <c:v>0.45</c:v>
                </c:pt>
                <c:pt idx="44">
                  <c:v>0.56999999999999995</c:v>
                </c:pt>
                <c:pt idx="45">
                  <c:v>0.47000000000000008</c:v>
                </c:pt>
                <c:pt idx="46">
                  <c:v>0.66000000000000059</c:v>
                </c:pt>
                <c:pt idx="47">
                  <c:v>0.59</c:v>
                </c:pt>
                <c:pt idx="48">
                  <c:v>0.58000000000000007</c:v>
                </c:pt>
                <c:pt idx="49">
                  <c:v>0.60000000000000042</c:v>
                </c:pt>
                <c:pt idx="50">
                  <c:v>0.71000000000000041</c:v>
                </c:pt>
                <c:pt idx="51">
                  <c:v>0.7000000000000004</c:v>
                </c:pt>
                <c:pt idx="52">
                  <c:v>0.71000000000000041</c:v>
                </c:pt>
                <c:pt idx="53">
                  <c:v>0.58000000000000007</c:v>
                </c:pt>
                <c:pt idx="54">
                  <c:v>0.62000000000000044</c:v>
                </c:pt>
                <c:pt idx="55">
                  <c:v>0.60000000000000042</c:v>
                </c:pt>
                <c:pt idx="56">
                  <c:v>0.59</c:v>
                </c:pt>
                <c:pt idx="57">
                  <c:v>0.65000000000000058</c:v>
                </c:pt>
                <c:pt idx="58">
                  <c:v>0.68</c:v>
                </c:pt>
                <c:pt idx="59">
                  <c:v>0.58000000000000007</c:v>
                </c:pt>
                <c:pt idx="60">
                  <c:v>0.59</c:v>
                </c:pt>
                <c:pt idx="61">
                  <c:v>0.63000000000000045</c:v>
                </c:pt>
                <c:pt idx="62">
                  <c:v>0.68</c:v>
                </c:pt>
                <c:pt idx="63">
                  <c:v>0.66000000000000059</c:v>
                </c:pt>
                <c:pt idx="64">
                  <c:v>0.62000000000000044</c:v>
                </c:pt>
                <c:pt idx="65">
                  <c:v>0.56000000000000005</c:v>
                </c:pt>
                <c:pt idx="66">
                  <c:v>0.56999999999999995</c:v>
                </c:pt>
                <c:pt idx="67">
                  <c:v>0.56000000000000005</c:v>
                </c:pt>
                <c:pt idx="68">
                  <c:v>0.61000000000000043</c:v>
                </c:pt>
                <c:pt idx="69">
                  <c:v>0.58000000000000007</c:v>
                </c:pt>
                <c:pt idx="70">
                  <c:v>0.53</c:v>
                </c:pt>
                <c:pt idx="71">
                  <c:v>0.4800000000000002</c:v>
                </c:pt>
                <c:pt idx="72">
                  <c:v>0.47000000000000008</c:v>
                </c:pt>
                <c:pt idx="73">
                  <c:v>0.51</c:v>
                </c:pt>
                <c:pt idx="74">
                  <c:v>0.65000000000000058</c:v>
                </c:pt>
                <c:pt idx="75">
                  <c:v>0.59</c:v>
                </c:pt>
                <c:pt idx="76">
                  <c:v>0.56000000000000005</c:v>
                </c:pt>
                <c:pt idx="77">
                  <c:v>0.67000000000000071</c:v>
                </c:pt>
                <c:pt idx="78">
                  <c:v>0.68</c:v>
                </c:pt>
                <c:pt idx="79">
                  <c:v>0.54</c:v>
                </c:pt>
                <c:pt idx="80">
                  <c:v>0.56999999999999995</c:v>
                </c:pt>
                <c:pt idx="81">
                  <c:v>0.55000000000000004</c:v>
                </c:pt>
                <c:pt idx="82">
                  <c:v>0.4800000000000002</c:v>
                </c:pt>
                <c:pt idx="83">
                  <c:v>0.53</c:v>
                </c:pt>
                <c:pt idx="84">
                  <c:v>0.69000000000000039</c:v>
                </c:pt>
                <c:pt idx="85">
                  <c:v>0.72000000000000042</c:v>
                </c:pt>
                <c:pt idx="86">
                  <c:v>0.7000000000000004</c:v>
                </c:pt>
                <c:pt idx="87">
                  <c:v>0.67000000000000071</c:v>
                </c:pt>
                <c:pt idx="88">
                  <c:v>0.71000000000000041</c:v>
                </c:pt>
                <c:pt idx="89">
                  <c:v>0.71000000000000041</c:v>
                </c:pt>
                <c:pt idx="90">
                  <c:v>0.64000000000000046</c:v>
                </c:pt>
                <c:pt idx="91">
                  <c:v>0.61000000000000043</c:v>
                </c:pt>
                <c:pt idx="92">
                  <c:v>0.56000000000000005</c:v>
                </c:pt>
                <c:pt idx="93">
                  <c:v>0.61000000000000043</c:v>
                </c:pt>
                <c:pt idx="94">
                  <c:v>0.60000000000000042</c:v>
                </c:pt>
                <c:pt idx="95">
                  <c:v>0.56000000000000005</c:v>
                </c:pt>
                <c:pt idx="96">
                  <c:v>0.63000000000000045</c:v>
                </c:pt>
                <c:pt idx="97">
                  <c:v>0.56999999999999995</c:v>
                </c:pt>
                <c:pt idx="98">
                  <c:v>0.60000000000000042</c:v>
                </c:pt>
                <c:pt idx="99">
                  <c:v>0.66000000000000059</c:v>
                </c:pt>
              </c:numCache>
            </c:numRef>
          </c:yVal>
        </c:ser>
        <c:axId val="64984960"/>
        <c:axId val="72691712"/>
      </c:scatterChart>
      <c:valAx>
        <c:axId val="64984960"/>
        <c:scaling>
          <c:orientation val="minMax"/>
          <c:min val="1"/>
        </c:scaling>
        <c:axPos val="b"/>
        <c:title>
          <c:tx>
            <c:rich>
              <a:bodyPr/>
              <a:lstStyle/>
              <a:p>
                <a:pPr>
                  <a:defRPr sz="950" b="1" i="0" u="none" strike="noStrike" baseline="0">
                    <a:solidFill>
                      <a:srgbClr val="000000"/>
                    </a:solidFill>
                    <a:latin typeface="Arial"/>
                    <a:ea typeface="Arial"/>
                    <a:cs typeface="Arial"/>
                  </a:defRPr>
                </a:pPr>
                <a:r>
                  <a:rPr lang="en-US" altLang="en-US"/>
                  <a:t>SI</a:t>
                </a:r>
              </a:p>
            </c:rich>
          </c:tx>
          <c:layout>
            <c:manualLayout>
              <c:xMode val="edge"/>
              <c:yMode val="edge"/>
              <c:x val="0.52965234791195615"/>
              <c:y val="0.8763636363636369"/>
            </c:manualLayout>
          </c:layout>
          <c:spPr>
            <a:noFill/>
            <a:ln w="25390">
              <a:noFill/>
            </a:ln>
          </c:spPr>
        </c:title>
        <c:numFmt formatCode="General" sourceLinked="1"/>
        <c:tickLblPos val="nextTo"/>
        <c:spPr>
          <a:ln w="3174">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72691712"/>
        <c:crosses val="autoZero"/>
        <c:crossBetween val="midCat"/>
      </c:valAx>
      <c:valAx>
        <c:axId val="72691712"/>
        <c:scaling>
          <c:orientation val="minMax"/>
          <c:min val="0"/>
        </c:scaling>
        <c:axPos val="l"/>
        <c:majorGridlines>
          <c:spPr>
            <a:ln w="3174">
              <a:solidFill>
                <a:srgbClr val="000000"/>
              </a:solidFill>
              <a:prstDash val="solid"/>
            </a:ln>
          </c:spPr>
        </c:majorGridlines>
        <c:title>
          <c:tx>
            <c:rich>
              <a:bodyPr/>
              <a:lstStyle/>
              <a:p>
                <a:pPr>
                  <a:defRPr sz="950" b="1" i="0" u="none" strike="noStrike" baseline="0">
                    <a:solidFill>
                      <a:srgbClr val="000000"/>
                    </a:solidFill>
                    <a:latin typeface="Arial"/>
                    <a:ea typeface="Arial"/>
                    <a:cs typeface="Arial"/>
                  </a:defRPr>
                </a:pPr>
                <a:r>
                  <a:rPr lang="en-US" altLang="en-US"/>
                  <a:t>IMP</a:t>
                </a:r>
              </a:p>
            </c:rich>
          </c:tx>
          <c:layout>
            <c:manualLayout>
              <c:xMode val="edge"/>
              <c:yMode val="edge"/>
              <c:x val="2.249484161014529E-2"/>
              <c:y val="0.37454545454545457"/>
            </c:manualLayout>
          </c:layout>
          <c:spPr>
            <a:noFill/>
            <a:ln w="25390">
              <a:noFill/>
            </a:ln>
          </c:spPr>
        </c:title>
        <c:numFmt formatCode="General" sourceLinked="1"/>
        <c:tickLblPos val="nextTo"/>
        <c:spPr>
          <a:ln w="3174">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64984960"/>
        <c:crosses val="autoZero"/>
        <c:crossBetween val="midCat"/>
      </c:valAx>
      <c:spPr>
        <a:solidFill>
          <a:srgbClr val="FFFFFF"/>
        </a:solidFill>
        <a:ln w="12696">
          <a:solidFill>
            <a:srgbClr val="808080"/>
          </a:solidFill>
          <a:prstDash val="solid"/>
        </a:ln>
      </c:spPr>
    </c:plotArea>
    <c:plotVisOnly val="1"/>
    <c:dispBlanksAs val="gap"/>
  </c:chart>
  <c:spPr>
    <a:solidFill>
      <a:srgbClr val="FFFFFF"/>
    </a:solidFill>
    <a:ln w="3174">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n-US"/>
    </a:p>
  </c:txPr>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7</Pages>
  <Words>3028</Words>
  <Characters>17264</Characters>
  <Application>Microsoft Office Word</Application>
  <DocSecurity>0</DocSecurity>
  <Lines>143</Lines>
  <Paragraphs>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Introduction</vt:lpstr>
      <vt:lpstr>Introduction</vt:lpstr>
    </vt:vector>
  </TitlesOfParts>
  <Company>USER</Company>
  <LinksUpToDate>false</LinksUpToDate>
  <CharactersWithSpaces>20252</CharactersWithSpaces>
  <SharedDoc>false</SharedDoc>
  <HLinks>
    <vt:vector size="96" baseType="variant">
      <vt:variant>
        <vt:i4>4587555</vt:i4>
      </vt:variant>
      <vt:variant>
        <vt:i4>60</vt:i4>
      </vt:variant>
      <vt:variant>
        <vt:i4>0</vt:i4>
      </vt:variant>
      <vt:variant>
        <vt:i4>5</vt:i4>
      </vt:variant>
      <vt:variant>
        <vt:lpwstr>http://www.ncbi.nlm.nih.gov/pubmed/?term=Wassenaar%20PA%5BAuthor%5D&amp;cauthor=true&amp;cauthor_uid=26010456</vt:lpwstr>
      </vt:variant>
      <vt:variant>
        <vt:lpwstr/>
      </vt:variant>
      <vt:variant>
        <vt:i4>5242922</vt:i4>
      </vt:variant>
      <vt:variant>
        <vt:i4>57</vt:i4>
      </vt:variant>
      <vt:variant>
        <vt:i4>0</vt:i4>
      </vt:variant>
      <vt:variant>
        <vt:i4>5</vt:i4>
      </vt:variant>
      <vt:variant>
        <vt:lpwstr>http://www.ncbi.nlm.nih.gov/pubmed/?term=Akintunde%20AA%5BAuthor%5D&amp;cauthor=true&amp;cauthor_uid=22331251</vt:lpwstr>
      </vt:variant>
      <vt:variant>
        <vt:lpwstr/>
      </vt:variant>
      <vt:variant>
        <vt:i4>6815757</vt:i4>
      </vt:variant>
      <vt:variant>
        <vt:i4>54</vt:i4>
      </vt:variant>
      <vt:variant>
        <vt:i4>0</vt:i4>
      </vt:variant>
      <vt:variant>
        <vt:i4>5</vt:i4>
      </vt:variant>
      <vt:variant>
        <vt:lpwstr>http://www.ncbi.nlm.nih.gov/pubmed/?term=Masugata%20H%5BAuthor%5D&amp;cauthor=true&amp;cauthor_uid=19506337</vt:lpwstr>
      </vt:variant>
      <vt:variant>
        <vt:lpwstr/>
      </vt:variant>
      <vt:variant>
        <vt:i4>3145804</vt:i4>
      </vt:variant>
      <vt:variant>
        <vt:i4>51</vt:i4>
      </vt:variant>
      <vt:variant>
        <vt:i4>0</vt:i4>
      </vt:variant>
      <vt:variant>
        <vt:i4>5</vt:i4>
      </vt:variant>
      <vt:variant>
        <vt:lpwstr>http://www.ncbi.nlm.nih.gov/pubmed/?term=Tan%20HW%5BAuthor%5D&amp;cauthor=true&amp;cauthor_uid=16625238</vt:lpwstr>
      </vt:variant>
      <vt:variant>
        <vt:lpwstr/>
      </vt:variant>
      <vt:variant>
        <vt:i4>1376383</vt:i4>
      </vt:variant>
      <vt:variant>
        <vt:i4>48</vt:i4>
      </vt:variant>
      <vt:variant>
        <vt:i4>0</vt:i4>
      </vt:variant>
      <vt:variant>
        <vt:i4>5</vt:i4>
      </vt:variant>
      <vt:variant>
        <vt:lpwstr>http://www.ncbi.nlm.nih.gov/pubmed/?term=Yilmaz%20R%5BAuthor%5D&amp;cauthor=true&amp;cauthor_uid=15355823</vt:lpwstr>
      </vt:variant>
      <vt:variant>
        <vt:lpwstr/>
      </vt:variant>
      <vt:variant>
        <vt:i4>393269</vt:i4>
      </vt:variant>
      <vt:variant>
        <vt:i4>45</vt:i4>
      </vt:variant>
      <vt:variant>
        <vt:i4>0</vt:i4>
      </vt:variant>
      <vt:variant>
        <vt:i4>5</vt:i4>
      </vt:variant>
      <vt:variant>
        <vt:lpwstr>http://www.ncbi.nlm.nih.gov/pubmed/?term=Galanti%20G%5BAuthor%5D&amp;cauthor=true&amp;cauthor_uid=19845938</vt:lpwstr>
      </vt:variant>
      <vt:variant>
        <vt:lpwstr/>
      </vt:variant>
      <vt:variant>
        <vt:i4>655405</vt:i4>
      </vt:variant>
      <vt:variant>
        <vt:i4>42</vt:i4>
      </vt:variant>
      <vt:variant>
        <vt:i4>0</vt:i4>
      </vt:variant>
      <vt:variant>
        <vt:i4>5</vt:i4>
      </vt:variant>
      <vt:variant>
        <vt:lpwstr>http://www.ncbi.nlm.nih.gov/pubmed/?term=Liu%20Q%5BAuthor%5D&amp;cauthor=true&amp;cauthor_uid=25975544</vt:lpwstr>
      </vt:variant>
      <vt:variant>
        <vt:lpwstr/>
      </vt:variant>
      <vt:variant>
        <vt:i4>6946825</vt:i4>
      </vt:variant>
      <vt:variant>
        <vt:i4>39</vt:i4>
      </vt:variant>
      <vt:variant>
        <vt:i4>0</vt:i4>
      </vt:variant>
      <vt:variant>
        <vt:i4>5</vt:i4>
      </vt:variant>
      <vt:variant>
        <vt:lpwstr>http://www.ncbi.nlm.nih.gov/pubmed/?term=Watanabe%20S%5BAuthor%5D&amp;cauthor=true&amp;cauthor_uid=21862290</vt:lpwstr>
      </vt:variant>
      <vt:variant>
        <vt:lpwstr/>
      </vt:variant>
      <vt:variant>
        <vt:i4>6881280</vt:i4>
      </vt:variant>
      <vt:variant>
        <vt:i4>36</vt:i4>
      </vt:variant>
      <vt:variant>
        <vt:i4>0</vt:i4>
      </vt:variant>
      <vt:variant>
        <vt:i4>5</vt:i4>
      </vt:variant>
      <vt:variant>
        <vt:lpwstr>http://www.ncbi.nlm.nih.gov/pubmed/?term=Palmiero%20P%5BAuthor%5D&amp;cauthor=true&amp;cauthor_uid=25584097</vt:lpwstr>
      </vt:variant>
      <vt:variant>
        <vt:lpwstr/>
      </vt:variant>
      <vt:variant>
        <vt:i4>1572907</vt:i4>
      </vt:variant>
      <vt:variant>
        <vt:i4>33</vt:i4>
      </vt:variant>
      <vt:variant>
        <vt:i4>0</vt:i4>
      </vt:variant>
      <vt:variant>
        <vt:i4>5</vt:i4>
      </vt:variant>
      <vt:variant>
        <vt:lpwstr>http://www.ncbi.nlm.nih.gov/pubmed/?term=Cuspidi%20C%5BAuthor%5D&amp;cauthor=true&amp;cauthor_uid=18367014</vt:lpwstr>
      </vt:variant>
      <vt:variant>
        <vt:lpwstr/>
      </vt:variant>
      <vt:variant>
        <vt:i4>327786</vt:i4>
      </vt:variant>
      <vt:variant>
        <vt:i4>30</vt:i4>
      </vt:variant>
      <vt:variant>
        <vt:i4>0</vt:i4>
      </vt:variant>
      <vt:variant>
        <vt:i4>5</vt:i4>
      </vt:variant>
      <vt:variant>
        <vt:lpwstr>http://www.ncbi.nlm.nih.gov/pubmed/?term=Verdecchia%20P%5BAuthor%5D&amp;cauthor=true&amp;cauthor_uid=17556886</vt:lpwstr>
      </vt:variant>
      <vt:variant>
        <vt:lpwstr/>
      </vt:variant>
      <vt:variant>
        <vt:i4>5636138</vt:i4>
      </vt:variant>
      <vt:variant>
        <vt:i4>27</vt:i4>
      </vt:variant>
      <vt:variant>
        <vt:i4>0</vt:i4>
      </vt:variant>
      <vt:variant>
        <vt:i4>5</vt:i4>
      </vt:variant>
      <vt:variant>
        <vt:lpwstr>http://www.ncbi.nlm.nih.gov/pubmed/?term=Burke%20GM%5BAuthor%5D&amp;cauthor=true&amp;cauthor_uid=22717655</vt:lpwstr>
      </vt:variant>
      <vt:variant>
        <vt:lpwstr/>
      </vt:variant>
      <vt:variant>
        <vt:i4>2031715</vt:i4>
      </vt:variant>
      <vt:variant>
        <vt:i4>6</vt:i4>
      </vt:variant>
      <vt:variant>
        <vt:i4>0</vt:i4>
      </vt:variant>
      <vt:variant>
        <vt:i4>5</vt:i4>
      </vt:variant>
      <vt:variant>
        <vt:lpwstr>http://www.ncbi.nlm.nih.gov/pubmed?term=Watanabe%20S%5BAuthor%5D&amp;cauthor=true&amp;cauthor_uid=21862290</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6684683</vt:i4>
      </vt:variant>
      <vt:variant>
        <vt:i4>0</vt:i4>
      </vt:variant>
      <vt:variant>
        <vt:i4>0</vt:i4>
      </vt:variant>
      <vt:variant>
        <vt:i4>5</vt:i4>
      </vt:variant>
      <vt:variant>
        <vt:lpwstr>mailto:drmohamedhalim848@gmail.com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Administrator</cp:lastModifiedBy>
  <cp:revision>4</cp:revision>
  <cp:lastPrinted>2016-10-29T18:00:00Z</cp:lastPrinted>
  <dcterms:created xsi:type="dcterms:W3CDTF">2016-12-02T11:05:00Z</dcterms:created>
  <dcterms:modified xsi:type="dcterms:W3CDTF">2016-12-01T21:12:00Z</dcterms:modified>
</cp:coreProperties>
</file>