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577" w:rsidRPr="00D643B4" w:rsidRDefault="00290577" w:rsidP="00855AC3">
      <w:pPr>
        <w:bidi w:val="0"/>
        <w:snapToGrid w:val="0"/>
        <w:spacing w:after="0" w:line="240" w:lineRule="auto"/>
        <w:jc w:val="center"/>
        <w:rPr>
          <w:rFonts w:ascii="Times New Roman" w:hAnsi="Times New Roman" w:cs="Times New Roman"/>
          <w:b/>
          <w:bCs/>
          <w:sz w:val="20"/>
          <w:szCs w:val="20"/>
          <w:lang w:bidi="ar-EG"/>
        </w:rPr>
      </w:pPr>
      <w:r w:rsidRPr="00D643B4">
        <w:rPr>
          <w:rFonts w:ascii="Times New Roman" w:hAnsi="Times New Roman" w:cs="Times New Roman"/>
          <w:b/>
          <w:bCs/>
          <w:sz w:val="20"/>
          <w:szCs w:val="20"/>
          <w:lang w:bidi="ar-EG"/>
        </w:rPr>
        <w:t>Assessment of left and right ventricular systolic function in type I diabetic patients by two-dimensional speckle tracking Echocardiography</w:t>
      </w:r>
    </w:p>
    <w:p w:rsidR="00290577" w:rsidRPr="00D643B4" w:rsidRDefault="00290577" w:rsidP="00855AC3">
      <w:pPr>
        <w:bidi w:val="0"/>
        <w:snapToGrid w:val="0"/>
        <w:spacing w:after="0" w:line="240" w:lineRule="auto"/>
        <w:jc w:val="center"/>
        <w:rPr>
          <w:rFonts w:ascii="Times New Roman" w:hAnsi="Times New Roman" w:cs="Times New Roman"/>
          <w:sz w:val="20"/>
          <w:szCs w:val="20"/>
          <w:lang w:bidi="ar-EG"/>
        </w:rPr>
      </w:pPr>
    </w:p>
    <w:p w:rsidR="00290577" w:rsidRPr="00D643B4" w:rsidRDefault="00290577" w:rsidP="00855AC3">
      <w:pPr>
        <w:bidi w:val="0"/>
        <w:snapToGrid w:val="0"/>
        <w:spacing w:after="0" w:line="240" w:lineRule="auto"/>
        <w:jc w:val="center"/>
        <w:rPr>
          <w:rFonts w:ascii="Times New Roman" w:hAnsi="Times New Roman" w:cs="Times New Roman"/>
          <w:sz w:val="20"/>
          <w:szCs w:val="20"/>
          <w:lang w:bidi="ar-EG"/>
        </w:rPr>
      </w:pPr>
      <w:r w:rsidRPr="00D643B4">
        <w:rPr>
          <w:rFonts w:ascii="Times New Roman" w:hAnsi="Times New Roman" w:cs="Times New Roman"/>
          <w:sz w:val="20"/>
          <w:szCs w:val="20"/>
          <w:lang w:bidi="ar-EG"/>
        </w:rPr>
        <w:t>Sameh Allam, Mohey-EldinSamy, WaeelAttia, Ashraf Al-Amir and Mahmoud Zakaria</w:t>
      </w:r>
    </w:p>
    <w:p w:rsidR="00290577" w:rsidRPr="00D643B4" w:rsidRDefault="00290577" w:rsidP="00855AC3">
      <w:pPr>
        <w:bidi w:val="0"/>
        <w:snapToGrid w:val="0"/>
        <w:spacing w:after="0" w:line="240" w:lineRule="auto"/>
        <w:jc w:val="center"/>
        <w:rPr>
          <w:rFonts w:ascii="Times New Roman" w:hAnsi="Times New Roman" w:cs="Times New Roman"/>
          <w:sz w:val="20"/>
          <w:szCs w:val="20"/>
          <w:lang w:bidi="ar-EG"/>
        </w:rPr>
      </w:pPr>
    </w:p>
    <w:p w:rsidR="00290577" w:rsidRPr="00D643B4" w:rsidRDefault="00290577" w:rsidP="00855AC3">
      <w:pPr>
        <w:bidi w:val="0"/>
        <w:snapToGrid w:val="0"/>
        <w:spacing w:after="0" w:line="240" w:lineRule="auto"/>
        <w:jc w:val="center"/>
        <w:rPr>
          <w:rFonts w:ascii="Times New Roman" w:hAnsi="Times New Roman" w:cs="Times New Roman"/>
          <w:sz w:val="20"/>
          <w:szCs w:val="20"/>
          <w:lang w:bidi="ar-EG"/>
        </w:rPr>
      </w:pPr>
      <w:r w:rsidRPr="00D643B4">
        <w:rPr>
          <w:rFonts w:ascii="Times New Roman" w:hAnsi="Times New Roman" w:cs="Times New Roman"/>
          <w:sz w:val="20"/>
          <w:szCs w:val="20"/>
          <w:lang w:bidi="ar-EG"/>
        </w:rPr>
        <w:t>Cardiology Department, Faculty of Medicine, Al-Azhar University, Egypt.</w:t>
      </w:r>
    </w:p>
    <w:p w:rsidR="00290577" w:rsidRPr="00D643B4" w:rsidRDefault="00667710" w:rsidP="00855AC3">
      <w:pPr>
        <w:bidi w:val="0"/>
        <w:snapToGrid w:val="0"/>
        <w:spacing w:after="0" w:line="240" w:lineRule="auto"/>
        <w:jc w:val="center"/>
        <w:rPr>
          <w:rFonts w:ascii="Times New Roman" w:hAnsi="Times New Roman" w:cs="Times New Roman"/>
          <w:sz w:val="20"/>
          <w:szCs w:val="20"/>
          <w:lang w:bidi="ar-EG"/>
        </w:rPr>
      </w:pPr>
      <w:hyperlink r:id="rId7" w:history="1">
        <w:r w:rsidR="00290577" w:rsidRPr="00D643B4">
          <w:rPr>
            <w:rStyle w:val="Hyperlink"/>
            <w:rFonts w:ascii="Times New Roman" w:hAnsi="Times New Roman" w:cs="Times New Roman"/>
            <w:sz w:val="20"/>
            <w:szCs w:val="20"/>
            <w:lang w:bidi="ar-EG"/>
          </w:rPr>
          <w:t>drmahmod985@gmail.com</w:t>
        </w:r>
      </w:hyperlink>
    </w:p>
    <w:p w:rsidR="00290577" w:rsidRPr="00D643B4" w:rsidRDefault="00290577" w:rsidP="00855AC3">
      <w:pPr>
        <w:bidi w:val="0"/>
        <w:snapToGrid w:val="0"/>
        <w:spacing w:after="0" w:line="240" w:lineRule="auto"/>
        <w:jc w:val="center"/>
        <w:rPr>
          <w:rFonts w:ascii="Times New Roman" w:hAnsi="Times New Roman" w:cs="Times New Roman"/>
          <w:sz w:val="20"/>
          <w:szCs w:val="20"/>
          <w:lang w:bidi="ar-EG"/>
        </w:rPr>
      </w:pPr>
    </w:p>
    <w:p w:rsidR="00290577" w:rsidRPr="00D643B4" w:rsidRDefault="00290577" w:rsidP="00855AC3">
      <w:pPr>
        <w:bidi w:val="0"/>
        <w:snapToGrid w:val="0"/>
        <w:spacing w:after="0" w:line="240" w:lineRule="auto"/>
        <w:jc w:val="both"/>
        <w:rPr>
          <w:rFonts w:ascii="Times New Roman" w:hAnsi="Times New Roman" w:cs="Times New Roman"/>
          <w:sz w:val="20"/>
          <w:szCs w:val="20"/>
          <w:lang w:bidi="ar-EG"/>
        </w:rPr>
      </w:pPr>
      <w:r w:rsidRPr="00D643B4">
        <w:rPr>
          <w:rFonts w:ascii="Times New Roman" w:hAnsi="Times New Roman" w:cs="Times New Roman"/>
          <w:b/>
          <w:bCs/>
          <w:sz w:val="20"/>
          <w:szCs w:val="20"/>
          <w:lang w:bidi="ar-EG"/>
        </w:rPr>
        <w:t>Abstract:</w:t>
      </w:r>
      <w:r w:rsidR="000B2A2D" w:rsidRPr="00D643B4">
        <w:rPr>
          <w:rFonts w:ascii="Times New Roman" w:hAnsi="Times New Roman" w:cs="Times New Roman"/>
          <w:b/>
          <w:bCs/>
          <w:sz w:val="20"/>
          <w:szCs w:val="20"/>
          <w:lang w:bidi="ar-EG"/>
        </w:rPr>
        <w:t xml:space="preserve"> </w:t>
      </w:r>
      <w:r w:rsidRPr="00D643B4">
        <w:rPr>
          <w:rFonts w:ascii="Times New Roman" w:hAnsi="Times New Roman" w:cs="Times New Roman"/>
          <w:b/>
          <w:bCs/>
          <w:sz w:val="20"/>
          <w:szCs w:val="20"/>
          <w:lang w:bidi="ar-EG"/>
        </w:rPr>
        <w:t>Introduction</w:t>
      </w:r>
      <w:r w:rsidRPr="00D643B4">
        <w:rPr>
          <w:rFonts w:ascii="Times New Roman" w:hAnsi="Times New Roman" w:cs="Times New Roman"/>
          <w:sz w:val="20"/>
          <w:szCs w:val="20"/>
          <w:lang w:bidi="ar-EG"/>
        </w:rPr>
        <w:t>: Diabetes mellitus (DM) may lead to diabetic cardiomyopathy which is defined as myocardial dysfunction independent of coronary artery disease (CAD) and hypertension. The pathogenesis of diabetic cardiomyopathy is multifactorial: hyperglycemia, increased free fatty acids, hyperinsulinemia, insulin resistance, and inflammatory cytokines change cellular metabolic pathways in cardiomyocytes and impair cardiac function. Speckle tracking Echocardiography is a new echocardiographic technique that allows a precise evaluation of myocardial function. This method is accurate, reproducible, and angle independent, and it enables a complete assessment of regional and global function in three directions. Aim of the work</w:t>
      </w:r>
      <w:r w:rsidR="00855AC3" w:rsidRPr="00D643B4">
        <w:rPr>
          <w:rFonts w:ascii="Times New Roman" w:hAnsi="Times New Roman" w:cs="Times New Roman"/>
          <w:sz w:val="20"/>
          <w:szCs w:val="20"/>
          <w:lang w:bidi="ar-EG"/>
        </w:rPr>
        <w:t>: i</w:t>
      </w:r>
      <w:r w:rsidRPr="00D643B4">
        <w:rPr>
          <w:rFonts w:ascii="Times New Roman" w:hAnsi="Times New Roman" w:cs="Times New Roman"/>
          <w:sz w:val="20"/>
          <w:szCs w:val="20"/>
          <w:lang w:bidi="ar-EG"/>
        </w:rPr>
        <w:t>s to assess left ventricular (LV) and right ventricular (RV) systolic function in type I diabetic patients using two-dimensional</w:t>
      </w:r>
      <w:r w:rsidR="00D643B4" w:rsidRPr="00D643B4">
        <w:rPr>
          <w:rFonts w:ascii="Times New Roman" w:hAnsi="Times New Roman" w:cs="Times New Roman" w:hint="eastAsia"/>
          <w:sz w:val="20"/>
          <w:szCs w:val="20"/>
          <w:lang w:eastAsia="zh-CN" w:bidi="ar-EG"/>
        </w:rPr>
        <w:t xml:space="preserve"> </w:t>
      </w:r>
      <w:r w:rsidRPr="00D643B4">
        <w:rPr>
          <w:rFonts w:ascii="Times New Roman" w:hAnsi="Times New Roman" w:cs="Times New Roman"/>
          <w:sz w:val="20"/>
          <w:szCs w:val="20"/>
          <w:lang w:bidi="ar-EG"/>
        </w:rPr>
        <w:t>speckle tracking Echocardiography (2 D STE).</w:t>
      </w:r>
      <w:r w:rsidR="00A85454" w:rsidRPr="00D643B4">
        <w:rPr>
          <w:rFonts w:ascii="Times New Roman" w:hAnsi="Times New Roman" w:cs="Times New Roman" w:hint="eastAsia"/>
          <w:sz w:val="20"/>
          <w:szCs w:val="20"/>
          <w:lang w:eastAsia="zh-CN" w:bidi="ar-EG"/>
        </w:rPr>
        <w:t xml:space="preserve"> </w:t>
      </w:r>
      <w:r w:rsidR="00D643B4" w:rsidRPr="00D643B4">
        <w:rPr>
          <w:rFonts w:ascii="Times New Roman" w:hAnsi="Times New Roman" w:cs="Times New Roman" w:hint="eastAsia"/>
          <w:sz w:val="20"/>
          <w:szCs w:val="20"/>
          <w:lang w:eastAsia="zh-CN" w:bidi="ar-EG"/>
        </w:rPr>
        <w:t xml:space="preserve"> </w:t>
      </w:r>
      <w:r w:rsidRPr="00D643B4">
        <w:rPr>
          <w:rFonts w:ascii="Times New Roman" w:hAnsi="Times New Roman" w:cs="Times New Roman"/>
          <w:b/>
          <w:bCs/>
          <w:sz w:val="20"/>
          <w:szCs w:val="20"/>
          <w:lang w:bidi="ar-EG"/>
        </w:rPr>
        <w:t>Material and methods:</w:t>
      </w:r>
      <w:r w:rsidRPr="00D643B4">
        <w:rPr>
          <w:rFonts w:ascii="Times New Roman" w:hAnsi="Times New Roman" w:cs="Times New Roman"/>
          <w:sz w:val="20"/>
          <w:szCs w:val="20"/>
          <w:lang w:bidi="ar-EG"/>
        </w:rPr>
        <w:t xml:space="preserve"> fourty</w:t>
      </w:r>
      <w:r w:rsidR="00D643B4" w:rsidRPr="00D643B4">
        <w:rPr>
          <w:rFonts w:ascii="Times New Roman" w:hAnsi="Times New Roman" w:cs="Times New Roman" w:hint="eastAsia"/>
          <w:sz w:val="20"/>
          <w:szCs w:val="20"/>
          <w:lang w:eastAsia="zh-CN" w:bidi="ar-EG"/>
        </w:rPr>
        <w:t xml:space="preserve"> </w:t>
      </w:r>
      <w:r w:rsidRPr="00D643B4">
        <w:rPr>
          <w:rFonts w:ascii="Times New Roman" w:hAnsi="Times New Roman" w:cs="Times New Roman"/>
          <w:sz w:val="20"/>
          <w:szCs w:val="20"/>
          <w:lang w:bidi="ar-EG"/>
        </w:rPr>
        <w:t xml:space="preserve">patients with type I DM with mean age 28.55±5.37 years &amp; mean duration of diabetes is 16.5±5.3 years &amp; mean HbA1C 8.2±1.2. All cases were recruited from the Endocrinology Clinic and internal medicine department in </w:t>
      </w:r>
      <w:r w:rsidR="00B55D7B" w:rsidRPr="00D643B4">
        <w:rPr>
          <w:rFonts w:ascii="Times New Roman" w:hAnsi="Times New Roman" w:cs="Times New Roman"/>
          <w:sz w:val="20"/>
          <w:szCs w:val="20"/>
          <w:lang w:bidi="ar-EG"/>
        </w:rPr>
        <w:t>A</w:t>
      </w:r>
      <w:r w:rsidRPr="00D643B4">
        <w:rPr>
          <w:rFonts w:ascii="Times New Roman" w:hAnsi="Times New Roman" w:cs="Times New Roman"/>
          <w:sz w:val="20"/>
          <w:szCs w:val="20"/>
          <w:lang w:bidi="ar-EG"/>
        </w:rPr>
        <w:t>l-Hussein University Hospital from October 2015 to September 2016 and 10 control subjects with mean age 26.6±3.66 years</w:t>
      </w:r>
      <w:r w:rsidR="00D643B4" w:rsidRPr="00D643B4">
        <w:rPr>
          <w:rFonts w:ascii="Times New Roman" w:hAnsi="Times New Roman" w:cs="Times New Roman" w:hint="eastAsia"/>
          <w:sz w:val="20"/>
          <w:szCs w:val="20"/>
          <w:lang w:eastAsia="zh-CN" w:bidi="ar-EG"/>
        </w:rPr>
        <w:t xml:space="preserve"> </w:t>
      </w:r>
      <w:r w:rsidRPr="00D643B4">
        <w:rPr>
          <w:rFonts w:ascii="Times New Roman" w:hAnsi="Times New Roman" w:cs="Times New Roman"/>
          <w:sz w:val="20"/>
          <w:szCs w:val="20"/>
          <w:lang w:bidi="ar-EG"/>
        </w:rPr>
        <w:t>were prospectively evaluated. The 2D STE assessment of LV longitudinal strain and RV free-wall longitudinal strain was performed</w:t>
      </w:r>
      <w:r w:rsidR="00855AC3" w:rsidRPr="00D643B4">
        <w:rPr>
          <w:rFonts w:ascii="Times New Roman" w:hAnsi="Times New Roman" w:cs="Times New Roman" w:hint="eastAsia"/>
          <w:sz w:val="20"/>
          <w:szCs w:val="20"/>
          <w:lang w:eastAsia="zh-CN" w:bidi="ar-EG"/>
        </w:rPr>
        <w:t>.</w:t>
      </w:r>
      <w:r w:rsidR="00D643B4" w:rsidRPr="00D643B4">
        <w:rPr>
          <w:rFonts w:ascii="Times New Roman" w:hAnsi="Times New Roman" w:cs="Times New Roman" w:hint="eastAsia"/>
          <w:sz w:val="20"/>
          <w:szCs w:val="20"/>
          <w:lang w:eastAsia="zh-CN" w:bidi="ar-EG"/>
        </w:rPr>
        <w:t xml:space="preserve"> </w:t>
      </w:r>
      <w:r w:rsidRPr="00D643B4">
        <w:rPr>
          <w:rFonts w:ascii="Times New Roman" w:hAnsi="Times New Roman" w:cs="Times New Roman"/>
          <w:b/>
          <w:bCs/>
          <w:sz w:val="20"/>
          <w:szCs w:val="20"/>
          <w:lang w:bidi="ar-EG"/>
        </w:rPr>
        <w:t>Results:</w:t>
      </w:r>
      <w:r w:rsidRPr="00D643B4">
        <w:rPr>
          <w:rFonts w:ascii="Times New Roman" w:hAnsi="Times New Roman" w:cs="Times New Roman"/>
          <w:sz w:val="20"/>
          <w:szCs w:val="20"/>
          <w:lang w:bidi="ar-EG"/>
        </w:rPr>
        <w:t xml:space="preserve"> In diabetic group, left ventricular global longitudinal strain (LVGLS), and right ventricular free-wall global longitudinal strain (RVGLS) were signiﬁcantly lower compared with the controls: LVGLS (-20.75 ± 1.88 vs.-22.6 ± 1.71, P= 0.007) and RVGLS (-30.22 ± 3.48 vs. -32.70 ± 2.91, P = 0.044).</w:t>
      </w:r>
      <w:r w:rsidR="00D643B4" w:rsidRPr="00D643B4">
        <w:rPr>
          <w:rFonts w:ascii="Times New Roman" w:hAnsi="Times New Roman" w:cs="Times New Roman" w:hint="eastAsia"/>
          <w:sz w:val="20"/>
          <w:szCs w:val="20"/>
          <w:lang w:eastAsia="zh-CN" w:bidi="ar-EG"/>
        </w:rPr>
        <w:t xml:space="preserve"> </w:t>
      </w:r>
      <w:r w:rsidRPr="00D643B4">
        <w:rPr>
          <w:rFonts w:ascii="Times New Roman" w:hAnsi="Times New Roman" w:cs="Times New Roman"/>
          <w:b/>
          <w:bCs/>
          <w:sz w:val="20"/>
          <w:szCs w:val="20"/>
          <w:lang w:bidi="ar-EG"/>
        </w:rPr>
        <w:t>Conclusion:</w:t>
      </w:r>
      <w:r w:rsidRPr="00D643B4">
        <w:rPr>
          <w:rFonts w:ascii="Times New Roman" w:hAnsi="Times New Roman" w:cs="Times New Roman"/>
          <w:sz w:val="20"/>
          <w:szCs w:val="20"/>
          <w:lang w:bidi="ar-EG"/>
        </w:rPr>
        <w:t xml:space="preserve"> Type I DM is associated with subclinical LV systolic dysfunction and RV systolic function is worse in type I DM compared with control subjects which can be detected with 2 D STE.</w:t>
      </w:r>
      <w:r w:rsidR="00D643B4" w:rsidRPr="00D643B4">
        <w:rPr>
          <w:rFonts w:ascii="Times New Roman" w:hAnsi="Times New Roman" w:cs="Times New Roman" w:hint="eastAsia"/>
          <w:sz w:val="20"/>
          <w:szCs w:val="20"/>
          <w:lang w:eastAsia="zh-CN" w:bidi="ar-EG"/>
        </w:rPr>
        <w:t xml:space="preserve"> </w:t>
      </w:r>
      <w:r w:rsidRPr="00D643B4">
        <w:rPr>
          <w:rFonts w:ascii="Times New Roman" w:hAnsi="Times New Roman" w:cs="Times New Roman"/>
          <w:b/>
          <w:bCs/>
          <w:sz w:val="20"/>
          <w:szCs w:val="20"/>
          <w:lang w:bidi="ar-EG"/>
        </w:rPr>
        <w:t>Recommendations:</w:t>
      </w:r>
      <w:r w:rsidRPr="00D643B4">
        <w:rPr>
          <w:rFonts w:ascii="Times New Roman" w:hAnsi="Times New Roman" w:cs="Times New Roman"/>
          <w:sz w:val="20"/>
          <w:szCs w:val="20"/>
          <w:lang w:bidi="ar-EG"/>
        </w:rPr>
        <w:t xml:space="preserve"> The STE technique should be combined with conventional echocardiography for follow up of ventricular function in diabetic patients.</w:t>
      </w:r>
    </w:p>
    <w:p w:rsidR="00855AC3" w:rsidRPr="00D643B4" w:rsidRDefault="00290577" w:rsidP="00855AC3">
      <w:pPr>
        <w:bidi w:val="0"/>
        <w:snapToGrid w:val="0"/>
        <w:spacing w:after="0" w:line="240" w:lineRule="auto"/>
        <w:jc w:val="both"/>
        <w:rPr>
          <w:rFonts w:ascii="Times New Roman" w:hAnsi="Times New Roman" w:cs="Times New Roman"/>
          <w:sz w:val="20"/>
          <w:szCs w:val="20"/>
        </w:rPr>
      </w:pPr>
      <w:r w:rsidRPr="00D643B4">
        <w:rPr>
          <w:rFonts w:ascii="Times New Roman" w:hAnsi="Times New Roman" w:cs="Times New Roman"/>
          <w:sz w:val="20"/>
          <w:szCs w:val="20"/>
          <w:lang w:bidi="ar-EG"/>
        </w:rPr>
        <w:t xml:space="preserve">[Sameh Allam, Mohey-EldinSamy, WaeelAttia, Ashraf Al-Amir and Mahmoud Zakaria. </w:t>
      </w:r>
      <w:r w:rsidRPr="00D643B4">
        <w:rPr>
          <w:rFonts w:ascii="Times New Roman" w:hAnsi="Times New Roman" w:cs="Times New Roman"/>
          <w:b/>
          <w:bCs/>
          <w:sz w:val="20"/>
          <w:szCs w:val="20"/>
          <w:lang w:bidi="ar-EG"/>
        </w:rPr>
        <w:t>Assessment of left and right ventricular systolic function in type I diabetic patients by two-dimensional speckle tracking Echocardiography</w:t>
      </w:r>
      <w:r w:rsidR="00855AC3" w:rsidRPr="00D643B4">
        <w:rPr>
          <w:rFonts w:ascii="Times New Roman" w:eastAsia="Times New Roman" w:hAnsi="Times New Roman" w:cs="Times New Roman"/>
          <w:b/>
          <w:bCs/>
          <w:sz w:val="20"/>
          <w:szCs w:val="20"/>
          <w:lang w:bidi="fa-IR"/>
        </w:rPr>
        <w:t>.</w:t>
      </w:r>
      <w:r w:rsidR="00855AC3" w:rsidRPr="00D643B4">
        <w:rPr>
          <w:rFonts w:ascii="Times New Roman" w:hAnsi="Times New Roman" w:cs="Times New Roman"/>
          <w:bCs/>
          <w:i/>
          <w:sz w:val="20"/>
          <w:szCs w:val="20"/>
        </w:rPr>
        <w:t xml:space="preserve"> N Y Sci J</w:t>
      </w:r>
      <w:r w:rsidR="00855AC3" w:rsidRPr="00D643B4">
        <w:rPr>
          <w:rFonts w:ascii="Times New Roman" w:hAnsi="Times New Roman" w:cs="Times New Roman"/>
          <w:bCs/>
          <w:sz w:val="20"/>
          <w:szCs w:val="20"/>
        </w:rPr>
        <w:t xml:space="preserve"> </w:t>
      </w:r>
      <w:r w:rsidR="00855AC3" w:rsidRPr="00D643B4">
        <w:rPr>
          <w:rFonts w:ascii="Times New Roman" w:hAnsi="Times New Roman" w:cs="Times New Roman"/>
          <w:sz w:val="20"/>
          <w:szCs w:val="20"/>
        </w:rPr>
        <w:t>201</w:t>
      </w:r>
      <w:r w:rsidR="00855AC3" w:rsidRPr="00D643B4">
        <w:rPr>
          <w:rFonts w:ascii="Times New Roman" w:hAnsi="Times New Roman" w:cs="Times New Roman" w:hint="eastAsia"/>
          <w:sz w:val="20"/>
          <w:szCs w:val="20"/>
        </w:rPr>
        <w:t>6</w:t>
      </w:r>
      <w:r w:rsidR="00855AC3" w:rsidRPr="00D643B4">
        <w:rPr>
          <w:rFonts w:ascii="Times New Roman" w:hAnsi="Times New Roman" w:cs="Times New Roman"/>
          <w:sz w:val="20"/>
          <w:szCs w:val="20"/>
        </w:rPr>
        <w:t>;</w:t>
      </w:r>
      <w:r w:rsidR="00855AC3" w:rsidRPr="00D643B4">
        <w:rPr>
          <w:rFonts w:ascii="Times New Roman" w:hAnsi="Times New Roman" w:cs="Times New Roman" w:hint="eastAsia"/>
          <w:sz w:val="20"/>
          <w:szCs w:val="20"/>
        </w:rPr>
        <w:t>9</w:t>
      </w:r>
      <w:r w:rsidR="00855AC3" w:rsidRPr="00D643B4">
        <w:rPr>
          <w:rFonts w:ascii="Times New Roman" w:hAnsi="Times New Roman" w:cs="Times New Roman"/>
          <w:sz w:val="20"/>
          <w:szCs w:val="20"/>
        </w:rPr>
        <w:t>(</w:t>
      </w:r>
      <w:r w:rsidR="00855AC3" w:rsidRPr="00D643B4">
        <w:rPr>
          <w:rFonts w:ascii="Times New Roman" w:hAnsi="Times New Roman" w:cs="Times New Roman" w:hint="eastAsia"/>
          <w:sz w:val="20"/>
          <w:szCs w:val="20"/>
        </w:rPr>
        <w:t>12</w:t>
      </w:r>
      <w:r w:rsidR="00855AC3" w:rsidRPr="00D643B4">
        <w:rPr>
          <w:rFonts w:ascii="Times New Roman" w:hAnsi="Times New Roman" w:cs="Times New Roman"/>
          <w:sz w:val="20"/>
          <w:szCs w:val="20"/>
        </w:rPr>
        <w:t>):</w:t>
      </w:r>
      <w:r w:rsidR="0077476D" w:rsidRPr="00D643B4">
        <w:rPr>
          <w:rFonts w:ascii="Times New Roman" w:hAnsi="Times New Roman" w:cs="Times New Roman"/>
          <w:noProof/>
          <w:color w:val="000000"/>
          <w:sz w:val="20"/>
          <w:szCs w:val="20"/>
        </w:rPr>
        <w:t>8</w:t>
      </w:r>
      <w:r w:rsidR="00855AC3" w:rsidRPr="00D643B4">
        <w:rPr>
          <w:rFonts w:ascii="Times New Roman" w:hAnsi="Times New Roman" w:cs="Times New Roman"/>
          <w:color w:val="000000"/>
          <w:sz w:val="20"/>
          <w:szCs w:val="20"/>
        </w:rPr>
        <w:t>-</w:t>
      </w:r>
      <w:r w:rsidR="0077476D" w:rsidRPr="00D643B4">
        <w:rPr>
          <w:rFonts w:ascii="Times New Roman" w:hAnsi="Times New Roman" w:cs="Times New Roman"/>
          <w:noProof/>
          <w:color w:val="000000"/>
          <w:sz w:val="20"/>
          <w:szCs w:val="20"/>
        </w:rPr>
        <w:t>12</w:t>
      </w:r>
      <w:r w:rsidR="00855AC3" w:rsidRPr="00D643B4">
        <w:rPr>
          <w:rFonts w:ascii="Times New Roman" w:hAnsi="Times New Roman" w:cs="Times New Roman"/>
          <w:sz w:val="20"/>
          <w:szCs w:val="20"/>
        </w:rPr>
        <w:t xml:space="preserve">]. </w:t>
      </w:r>
      <w:r w:rsidR="00855AC3" w:rsidRPr="00D643B4">
        <w:rPr>
          <w:rFonts w:ascii="Times New Roman" w:hAnsi="Times New Roman" w:cs="Times New Roman"/>
          <w:iCs/>
          <w:color w:val="000000"/>
          <w:sz w:val="20"/>
          <w:szCs w:val="20"/>
        </w:rPr>
        <w:t>ISSN 1554-0200 (print); ISSN 2375-723X (online)</w:t>
      </w:r>
      <w:r w:rsidR="00855AC3" w:rsidRPr="00D643B4">
        <w:rPr>
          <w:rFonts w:ascii="Times New Roman" w:hAnsi="Times New Roman" w:cs="Times New Roman"/>
          <w:sz w:val="20"/>
          <w:szCs w:val="20"/>
        </w:rPr>
        <w:t xml:space="preserve">. </w:t>
      </w:r>
      <w:hyperlink r:id="rId8" w:history="1">
        <w:r w:rsidR="00855AC3" w:rsidRPr="00D643B4">
          <w:rPr>
            <w:rStyle w:val="Hyperlink"/>
            <w:rFonts w:ascii="Times New Roman" w:hAnsi="Times New Roman" w:cs="Times New Roman"/>
            <w:color w:val="0000FF"/>
            <w:sz w:val="20"/>
            <w:szCs w:val="20"/>
          </w:rPr>
          <w:t>http://www.sciencepub.net/newyork</w:t>
        </w:r>
      </w:hyperlink>
      <w:r w:rsidR="00855AC3" w:rsidRPr="00D643B4">
        <w:rPr>
          <w:rFonts w:ascii="Times New Roman" w:hAnsi="Times New Roman" w:cs="Times New Roman"/>
          <w:sz w:val="20"/>
          <w:szCs w:val="20"/>
        </w:rPr>
        <w:t xml:space="preserve">. </w:t>
      </w:r>
      <w:r w:rsidR="00855AC3" w:rsidRPr="00D643B4">
        <w:rPr>
          <w:rFonts w:ascii="Times New Roman" w:hAnsi="Times New Roman" w:cs="Times New Roman" w:hint="eastAsia"/>
          <w:sz w:val="20"/>
          <w:szCs w:val="20"/>
          <w:lang w:eastAsia="zh-CN"/>
        </w:rPr>
        <w:t>2</w:t>
      </w:r>
      <w:r w:rsidR="00855AC3" w:rsidRPr="00D643B4">
        <w:rPr>
          <w:rFonts w:ascii="Times New Roman" w:hAnsi="Times New Roman" w:cs="Times New Roman" w:hint="eastAsia"/>
          <w:sz w:val="20"/>
          <w:szCs w:val="20"/>
        </w:rPr>
        <w:t xml:space="preserve">. </w:t>
      </w:r>
      <w:r w:rsidR="00855AC3" w:rsidRPr="00D643B4">
        <w:rPr>
          <w:rFonts w:ascii="Times New Roman" w:hAnsi="Times New Roman" w:cs="Times New Roman"/>
          <w:color w:val="000000"/>
          <w:sz w:val="20"/>
          <w:szCs w:val="20"/>
          <w:shd w:val="clear" w:color="auto" w:fill="FFFFFF"/>
        </w:rPr>
        <w:t>doi:</w:t>
      </w:r>
      <w:hyperlink r:id="rId9" w:history="1">
        <w:r w:rsidR="00855AC3" w:rsidRPr="00D643B4">
          <w:rPr>
            <w:rStyle w:val="Hyperlink"/>
            <w:rFonts w:ascii="Times New Roman" w:hAnsi="Times New Roman" w:cs="Times New Roman"/>
            <w:color w:val="0000FF"/>
            <w:sz w:val="20"/>
            <w:szCs w:val="20"/>
            <w:shd w:val="clear" w:color="auto" w:fill="FFFFFF"/>
          </w:rPr>
          <w:t>10.7537/mars</w:t>
        </w:r>
        <w:r w:rsidR="00855AC3" w:rsidRPr="00D643B4">
          <w:rPr>
            <w:rStyle w:val="Hyperlink"/>
            <w:rFonts w:ascii="Times New Roman" w:hAnsi="Times New Roman" w:cs="Times New Roman" w:hint="eastAsia"/>
            <w:color w:val="0000FF"/>
            <w:sz w:val="20"/>
            <w:szCs w:val="20"/>
            <w:shd w:val="clear" w:color="auto" w:fill="FFFFFF"/>
          </w:rPr>
          <w:t>nys0912</w:t>
        </w:r>
        <w:r w:rsidR="00855AC3" w:rsidRPr="00D643B4">
          <w:rPr>
            <w:rStyle w:val="Hyperlink"/>
            <w:rFonts w:ascii="Times New Roman" w:hAnsi="Times New Roman" w:cs="Times New Roman"/>
            <w:color w:val="0000FF"/>
            <w:sz w:val="20"/>
            <w:szCs w:val="20"/>
            <w:shd w:val="clear" w:color="auto" w:fill="FFFFFF"/>
          </w:rPr>
          <w:t>1</w:t>
        </w:r>
        <w:r w:rsidR="00855AC3" w:rsidRPr="00D643B4">
          <w:rPr>
            <w:rStyle w:val="Hyperlink"/>
            <w:rFonts w:ascii="Times New Roman" w:hAnsi="Times New Roman" w:cs="Times New Roman" w:hint="eastAsia"/>
            <w:color w:val="0000FF"/>
            <w:sz w:val="20"/>
            <w:szCs w:val="20"/>
            <w:shd w:val="clear" w:color="auto" w:fill="FFFFFF"/>
          </w:rPr>
          <w:t>6.</w:t>
        </w:r>
        <w:r w:rsidR="00855AC3" w:rsidRPr="00D643B4">
          <w:rPr>
            <w:rStyle w:val="Hyperlink"/>
            <w:rFonts w:ascii="Times New Roman" w:hAnsi="Times New Roman" w:cs="Times New Roman"/>
            <w:color w:val="0000FF"/>
            <w:sz w:val="20"/>
            <w:szCs w:val="20"/>
            <w:shd w:val="clear" w:color="auto" w:fill="FFFFFF"/>
          </w:rPr>
          <w:t>0</w:t>
        </w:r>
        <w:r w:rsidR="00855AC3" w:rsidRPr="00D643B4">
          <w:rPr>
            <w:rStyle w:val="Hyperlink"/>
            <w:rFonts w:ascii="Times New Roman" w:hAnsi="Times New Roman" w:cs="Times New Roman" w:hint="eastAsia"/>
            <w:color w:val="0000FF"/>
            <w:sz w:val="20"/>
            <w:szCs w:val="20"/>
            <w:shd w:val="clear" w:color="auto" w:fill="FFFFFF"/>
            <w:lang w:eastAsia="zh-CN"/>
          </w:rPr>
          <w:t>2</w:t>
        </w:r>
      </w:hyperlink>
      <w:r w:rsidR="00855AC3" w:rsidRPr="00D643B4">
        <w:rPr>
          <w:rFonts w:ascii="Times New Roman" w:hAnsi="Times New Roman" w:cs="Times New Roman"/>
          <w:color w:val="000000"/>
          <w:sz w:val="20"/>
          <w:szCs w:val="20"/>
          <w:shd w:val="clear" w:color="auto" w:fill="FFFFFF"/>
        </w:rPr>
        <w:t>.</w:t>
      </w:r>
    </w:p>
    <w:p w:rsidR="00290577" w:rsidRPr="00D643B4" w:rsidRDefault="00290577" w:rsidP="00855AC3">
      <w:pPr>
        <w:bidi w:val="0"/>
        <w:snapToGrid w:val="0"/>
        <w:spacing w:after="0" w:line="240" w:lineRule="auto"/>
        <w:jc w:val="both"/>
        <w:rPr>
          <w:rFonts w:ascii="Times New Roman" w:hAnsi="Times New Roman" w:cs="Times New Roman"/>
          <w:sz w:val="20"/>
          <w:szCs w:val="20"/>
          <w:lang w:bidi="ar-EG"/>
        </w:rPr>
      </w:pPr>
    </w:p>
    <w:p w:rsidR="00D81A10" w:rsidRPr="00D643B4" w:rsidRDefault="00290577" w:rsidP="00855AC3">
      <w:pPr>
        <w:bidi w:val="0"/>
        <w:snapToGrid w:val="0"/>
        <w:spacing w:after="0" w:line="240" w:lineRule="auto"/>
        <w:jc w:val="both"/>
        <w:rPr>
          <w:rFonts w:ascii="Times New Roman" w:hAnsi="Times New Roman" w:cs="Times New Roman"/>
          <w:sz w:val="20"/>
          <w:szCs w:val="20"/>
          <w:lang w:bidi="ar-EG"/>
        </w:rPr>
      </w:pPr>
      <w:r w:rsidRPr="00D643B4">
        <w:rPr>
          <w:rFonts w:ascii="Times New Roman" w:hAnsi="Times New Roman" w:cs="Times New Roman"/>
          <w:b/>
          <w:bCs/>
          <w:sz w:val="20"/>
          <w:szCs w:val="20"/>
          <w:lang w:bidi="ar-EG"/>
        </w:rPr>
        <w:t>Keywords:</w:t>
      </w:r>
      <w:r w:rsidRPr="00D643B4">
        <w:rPr>
          <w:rFonts w:ascii="Times New Roman" w:hAnsi="Times New Roman" w:cs="Times New Roman"/>
          <w:sz w:val="20"/>
          <w:szCs w:val="20"/>
          <w:lang w:bidi="ar-EG"/>
        </w:rPr>
        <w:t xml:space="preserve"> diabetic cardiomyopathy - type I diabetes mellitus - ventricular function - speckle tracking echocardiography.</w:t>
      </w:r>
    </w:p>
    <w:p w:rsidR="00855AC3" w:rsidRPr="00D643B4" w:rsidRDefault="00855AC3" w:rsidP="00855AC3">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855AC3" w:rsidRPr="00D643B4" w:rsidRDefault="00855AC3" w:rsidP="00855AC3">
      <w:pPr>
        <w:autoSpaceDE w:val="0"/>
        <w:autoSpaceDN w:val="0"/>
        <w:bidi w:val="0"/>
        <w:adjustRightInd w:val="0"/>
        <w:snapToGrid w:val="0"/>
        <w:spacing w:after="0" w:line="240" w:lineRule="auto"/>
        <w:jc w:val="both"/>
        <w:rPr>
          <w:rFonts w:ascii="Times New Roman" w:hAnsi="Times New Roman" w:cs="Times New Roman"/>
          <w:b/>
          <w:bCs/>
          <w:sz w:val="20"/>
          <w:szCs w:val="20"/>
        </w:rPr>
        <w:sectPr w:rsidR="00855AC3" w:rsidRPr="00D643B4" w:rsidSect="0077476D">
          <w:headerReference w:type="default" r:id="rId10"/>
          <w:footerReference w:type="default" r:id="rId11"/>
          <w:type w:val="continuous"/>
          <w:pgSz w:w="12242" w:h="15842" w:code="1"/>
          <w:pgMar w:top="1440" w:right="1440" w:bottom="1440" w:left="1440" w:header="720" w:footer="720" w:gutter="0"/>
          <w:pgNumType w:start="8"/>
          <w:cols w:space="708"/>
          <w:bidi/>
          <w:docGrid w:linePitch="360"/>
        </w:sectPr>
      </w:pPr>
    </w:p>
    <w:p w:rsidR="00290577" w:rsidRPr="00D643B4" w:rsidRDefault="00290577" w:rsidP="00855AC3">
      <w:pPr>
        <w:autoSpaceDE w:val="0"/>
        <w:autoSpaceDN w:val="0"/>
        <w:bidi w:val="0"/>
        <w:adjustRightInd w:val="0"/>
        <w:snapToGrid w:val="0"/>
        <w:spacing w:after="0" w:line="240" w:lineRule="auto"/>
        <w:jc w:val="both"/>
        <w:rPr>
          <w:rFonts w:ascii="Times New Roman" w:hAnsi="Times New Roman" w:cs="Times New Roman"/>
          <w:sz w:val="20"/>
          <w:szCs w:val="20"/>
        </w:rPr>
      </w:pPr>
      <w:r w:rsidRPr="00D643B4">
        <w:rPr>
          <w:rFonts w:ascii="Times New Roman" w:hAnsi="Times New Roman" w:cs="Times New Roman"/>
          <w:b/>
          <w:bCs/>
          <w:sz w:val="20"/>
          <w:szCs w:val="20"/>
        </w:rPr>
        <w:lastRenderedPageBreak/>
        <w:t>1. Introduction</w:t>
      </w:r>
    </w:p>
    <w:p w:rsidR="00290577" w:rsidRPr="00D643B4" w:rsidRDefault="00290577" w:rsidP="00855AC3">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rPr>
      </w:pPr>
      <w:r w:rsidRPr="00D643B4">
        <w:rPr>
          <w:rFonts w:ascii="Times New Roman" w:eastAsia="Calibri" w:hAnsi="Times New Roman" w:cs="Times New Roman"/>
          <w:bCs/>
          <w:sz w:val="20"/>
          <w:szCs w:val="20"/>
          <w:lang w:bidi="ar-EG"/>
        </w:rPr>
        <w:t>Diabetes mellitus</w:t>
      </w:r>
      <w:r w:rsidRPr="00D643B4">
        <w:rPr>
          <w:rFonts w:ascii="Times New Roman" w:eastAsia="Calibri" w:hAnsi="Times New Roman" w:cs="Times New Roman"/>
          <w:sz w:val="20"/>
          <w:szCs w:val="20"/>
        </w:rPr>
        <w:t>(DM) may lead to diabetic cardiomyopathy which is defined as myocardial dysfunction independent of CAD and hypertension</w:t>
      </w:r>
      <w:r w:rsidRPr="00D643B4">
        <w:rPr>
          <w:rFonts w:ascii="Times New Roman" w:eastAsia="Calibri" w:hAnsi="Times New Roman" w:cs="Times New Roman"/>
          <w:sz w:val="20"/>
          <w:szCs w:val="20"/>
          <w:vertAlign w:val="superscript"/>
        </w:rPr>
        <w:t>1</w:t>
      </w:r>
      <w:r w:rsidR="00855AC3" w:rsidRPr="00D643B4">
        <w:rPr>
          <w:rFonts w:ascii="Times New Roman" w:eastAsia="Calibri" w:hAnsi="Times New Roman" w:cs="Times New Roman"/>
          <w:sz w:val="20"/>
          <w:szCs w:val="20"/>
        </w:rPr>
        <w:t>. T</w:t>
      </w:r>
      <w:r w:rsidRPr="00D643B4">
        <w:rPr>
          <w:rFonts w:ascii="Times New Roman" w:eastAsia="Calibri" w:hAnsi="Times New Roman" w:cs="Times New Roman"/>
          <w:sz w:val="20"/>
          <w:szCs w:val="20"/>
        </w:rPr>
        <w:t>he development of diabetic cardiomyopathy is associated with structural and functional cardiomyocyte alterations, coronary microangiopathy and autonomic neuropathy, which at first lead to hypertrophy and subclinical cardiac dysfunction and then to symptomatic heart failure</w:t>
      </w:r>
      <w:r w:rsidRPr="00D643B4">
        <w:rPr>
          <w:rFonts w:ascii="Times New Roman" w:eastAsia="Calibri" w:hAnsi="Times New Roman" w:cs="Times New Roman"/>
          <w:sz w:val="20"/>
          <w:szCs w:val="20"/>
          <w:vertAlign w:val="superscript"/>
        </w:rPr>
        <w:t>2</w:t>
      </w:r>
      <w:r w:rsidR="00855AC3" w:rsidRPr="00D643B4">
        <w:rPr>
          <w:rFonts w:ascii="Times New Roman" w:eastAsia="Calibri" w:hAnsi="Times New Roman" w:cs="Times New Roman"/>
          <w:sz w:val="20"/>
          <w:szCs w:val="20"/>
        </w:rPr>
        <w:t>. T</w:t>
      </w:r>
      <w:r w:rsidRPr="00D643B4">
        <w:rPr>
          <w:rFonts w:ascii="Times New Roman" w:eastAsia="Calibri" w:hAnsi="Times New Roman" w:cs="Times New Roman"/>
          <w:sz w:val="20"/>
          <w:szCs w:val="20"/>
        </w:rPr>
        <w:t>he pathogenesis of diabetic cardiomyopathy is multifactorial: hyperglycemia, increased free fatty acids, hyperinsulinemia, insulin resistance, and inflammatory cytokines change cellular metabolic pathways in cardiomyocytes and impair cardiac function</w:t>
      </w:r>
      <w:r w:rsidRPr="00D643B4">
        <w:rPr>
          <w:rFonts w:ascii="Times New Roman" w:eastAsia="Calibri" w:hAnsi="Times New Roman" w:cs="Times New Roman"/>
          <w:sz w:val="20"/>
          <w:szCs w:val="20"/>
          <w:vertAlign w:val="superscript"/>
        </w:rPr>
        <w:t>3</w:t>
      </w:r>
      <w:r w:rsidRPr="00D643B4">
        <w:rPr>
          <w:rFonts w:ascii="Times New Roman" w:eastAsia="Calibri" w:hAnsi="Times New Roman" w:cs="Times New Roman"/>
          <w:sz w:val="20"/>
          <w:szCs w:val="20"/>
        </w:rPr>
        <w:t>.</w:t>
      </w:r>
      <w:r w:rsidR="00855AC3" w:rsidRPr="00D643B4">
        <w:rPr>
          <w:rFonts w:ascii="Times New Roman" w:eastAsia="Calibri" w:hAnsi="Times New Roman" w:cs="Times New Roman"/>
          <w:sz w:val="20"/>
          <w:szCs w:val="20"/>
        </w:rPr>
        <w:t xml:space="preserve"> </w:t>
      </w:r>
      <w:r w:rsidRPr="00D643B4">
        <w:rPr>
          <w:rFonts w:ascii="Times New Roman" w:eastAsia="Calibri" w:hAnsi="Times New Roman" w:cs="Times New Roman"/>
          <w:sz w:val="20"/>
          <w:szCs w:val="20"/>
        </w:rPr>
        <w:t>Previous studies have confirmed subclinical LV and RV systolic dysfunction in type II DM</w:t>
      </w:r>
      <w:r w:rsidRPr="00D643B4">
        <w:rPr>
          <w:rFonts w:ascii="Times New Roman" w:eastAsia="Calibri" w:hAnsi="Times New Roman" w:cs="Times New Roman"/>
          <w:sz w:val="20"/>
          <w:szCs w:val="20"/>
          <w:vertAlign w:val="superscript"/>
        </w:rPr>
        <w:t>4</w:t>
      </w:r>
      <w:r w:rsidRPr="00D643B4">
        <w:rPr>
          <w:rFonts w:ascii="Times New Roman" w:eastAsia="Calibri" w:hAnsi="Times New Roman" w:cs="Times New Roman"/>
          <w:sz w:val="20"/>
          <w:szCs w:val="20"/>
        </w:rPr>
        <w:t xml:space="preserve">. However, the pathophysiological mechanisms of myocardial impairment in type I DM are slightly different as they are related mainly to hyperglycemia and free fatty acids, whereas in type II DM, the main harmful factor </w:t>
      </w:r>
      <w:r w:rsidRPr="00D643B4">
        <w:rPr>
          <w:rFonts w:ascii="Times New Roman" w:eastAsia="Calibri" w:hAnsi="Times New Roman" w:cs="Times New Roman"/>
          <w:sz w:val="20"/>
          <w:szCs w:val="20"/>
        </w:rPr>
        <w:lastRenderedPageBreak/>
        <w:t>is hyperinsulinemia and insulin resistance</w:t>
      </w:r>
      <w:r w:rsidRPr="00D643B4">
        <w:rPr>
          <w:rFonts w:ascii="Times New Roman" w:eastAsia="Calibri" w:hAnsi="Times New Roman" w:cs="Times New Roman"/>
          <w:sz w:val="20"/>
          <w:szCs w:val="20"/>
          <w:vertAlign w:val="superscript"/>
        </w:rPr>
        <w:t>5</w:t>
      </w:r>
      <w:r w:rsidR="00855AC3" w:rsidRPr="00D643B4">
        <w:rPr>
          <w:rFonts w:ascii="Times New Roman" w:eastAsia="Calibri" w:hAnsi="Times New Roman" w:cs="Times New Roman"/>
          <w:sz w:val="20"/>
          <w:szCs w:val="20"/>
        </w:rPr>
        <w:t>. F</w:t>
      </w:r>
      <w:r w:rsidRPr="00D643B4">
        <w:rPr>
          <w:rFonts w:ascii="Times New Roman" w:eastAsia="Calibri" w:hAnsi="Times New Roman" w:cs="Times New Roman"/>
          <w:sz w:val="20"/>
          <w:szCs w:val="20"/>
        </w:rPr>
        <w:t>ew studies have evaluated LV systolic function using 2D STE in type IDM</w:t>
      </w:r>
      <w:r w:rsidRPr="00D643B4">
        <w:rPr>
          <w:rFonts w:ascii="Times New Roman" w:eastAsia="Calibri" w:hAnsi="Times New Roman" w:cs="Times New Roman"/>
          <w:sz w:val="20"/>
          <w:szCs w:val="20"/>
          <w:vertAlign w:val="superscript"/>
        </w:rPr>
        <w:t>6</w:t>
      </w:r>
      <w:r w:rsidR="00855AC3" w:rsidRPr="00D643B4">
        <w:rPr>
          <w:rFonts w:ascii="Times New Roman" w:eastAsia="Calibri" w:hAnsi="Times New Roman" w:cs="Times New Roman"/>
          <w:sz w:val="20"/>
          <w:szCs w:val="20"/>
        </w:rPr>
        <w:t>. S</w:t>
      </w:r>
      <w:r w:rsidRPr="00D643B4">
        <w:rPr>
          <w:rFonts w:ascii="Times New Roman" w:eastAsia="Calibri" w:hAnsi="Times New Roman" w:cs="Times New Roman"/>
          <w:sz w:val="20"/>
          <w:szCs w:val="20"/>
        </w:rPr>
        <w:t xml:space="preserve">TE is a new echocardiographic technique that allows a precise evaluation of myocardial function. This method is accurate, reproducible, and angle independent, and it enables a complete assessment of regional and global function in three directions </w:t>
      </w:r>
      <w:r w:rsidRPr="00D643B4">
        <w:rPr>
          <w:rFonts w:ascii="Times New Roman" w:eastAsia="Calibri" w:hAnsi="Times New Roman" w:cs="Times New Roman"/>
          <w:sz w:val="20"/>
          <w:szCs w:val="20"/>
          <w:vertAlign w:val="superscript"/>
        </w:rPr>
        <w:t>7,8</w:t>
      </w:r>
      <w:r w:rsidR="00855AC3" w:rsidRPr="00D643B4">
        <w:rPr>
          <w:rFonts w:ascii="Times New Roman" w:eastAsia="Calibri" w:hAnsi="Times New Roman" w:cs="Times New Roman"/>
          <w:sz w:val="20"/>
          <w:szCs w:val="20"/>
        </w:rPr>
        <w:t xml:space="preserve">. </w:t>
      </w:r>
      <w:r w:rsidR="00855AC3" w:rsidRPr="00D643B4">
        <w:rPr>
          <w:rFonts w:ascii="Times New Roman" w:hAnsi="Times New Roman" w:cs="Times New Roman"/>
          <w:sz w:val="20"/>
          <w:szCs w:val="20"/>
        </w:rPr>
        <w:t>I</w:t>
      </w:r>
      <w:r w:rsidRPr="00D643B4">
        <w:rPr>
          <w:rFonts w:ascii="Times New Roman" w:hAnsi="Times New Roman" w:cs="Times New Roman"/>
          <w:sz w:val="20"/>
          <w:szCs w:val="20"/>
        </w:rPr>
        <w:t>n contrast, TDI is angle dependent, prone to noises, less accurate, and able to assess limited region of tissue</w:t>
      </w:r>
      <w:r w:rsidRPr="00D643B4">
        <w:rPr>
          <w:rFonts w:ascii="Times New Roman" w:hAnsi="Times New Roman" w:cs="Times New Roman"/>
          <w:sz w:val="20"/>
          <w:szCs w:val="20"/>
          <w:vertAlign w:val="superscript"/>
        </w:rPr>
        <w:t>7</w:t>
      </w:r>
      <w:r w:rsidR="00855AC3" w:rsidRPr="00D643B4">
        <w:rPr>
          <w:rFonts w:ascii="Times New Roman" w:hAnsi="Times New Roman" w:cs="Times New Roman"/>
          <w:sz w:val="20"/>
          <w:szCs w:val="20"/>
        </w:rPr>
        <w:t>. T</w:t>
      </w:r>
      <w:r w:rsidRPr="00D643B4">
        <w:rPr>
          <w:rFonts w:ascii="Times New Roman" w:hAnsi="Times New Roman" w:cs="Times New Roman"/>
          <w:sz w:val="20"/>
          <w:szCs w:val="20"/>
        </w:rPr>
        <w:t xml:space="preserve">his study aimed to assess LV and RV systolic function in type I diabetic patients using </w:t>
      </w:r>
      <w:r w:rsidR="00B55D7B" w:rsidRPr="00D643B4">
        <w:rPr>
          <w:rFonts w:ascii="Times New Roman" w:hAnsi="Times New Roman" w:cs="Times New Roman"/>
          <w:sz w:val="20"/>
          <w:szCs w:val="20"/>
        </w:rPr>
        <w:t>two-dimensional</w:t>
      </w:r>
      <w:r w:rsidRPr="00D643B4">
        <w:rPr>
          <w:rFonts w:ascii="Times New Roman" w:hAnsi="Times New Roman" w:cs="Times New Roman"/>
          <w:sz w:val="20"/>
          <w:szCs w:val="20"/>
        </w:rPr>
        <w:t xml:space="preserve"> speckle tracking Echocardiography.</w:t>
      </w:r>
    </w:p>
    <w:p w:rsidR="00290577" w:rsidRPr="00D643B4" w:rsidRDefault="00290577" w:rsidP="00855AC3">
      <w:pPr>
        <w:bidi w:val="0"/>
        <w:snapToGrid w:val="0"/>
        <w:spacing w:after="0" w:line="240" w:lineRule="auto"/>
        <w:jc w:val="both"/>
        <w:rPr>
          <w:rFonts w:ascii="Times New Roman" w:hAnsi="Times New Roman" w:cs="Times New Roman"/>
          <w:b/>
          <w:bCs/>
          <w:sz w:val="20"/>
          <w:szCs w:val="20"/>
        </w:rPr>
      </w:pPr>
    </w:p>
    <w:p w:rsidR="00290577" w:rsidRPr="00D643B4" w:rsidRDefault="00290577" w:rsidP="00855AC3">
      <w:pPr>
        <w:bidi w:val="0"/>
        <w:snapToGrid w:val="0"/>
        <w:spacing w:after="0" w:line="240" w:lineRule="auto"/>
        <w:jc w:val="both"/>
        <w:rPr>
          <w:rFonts w:ascii="Times New Roman" w:hAnsi="Times New Roman" w:cs="Times New Roman"/>
          <w:b/>
          <w:bCs/>
          <w:sz w:val="20"/>
          <w:szCs w:val="20"/>
        </w:rPr>
      </w:pPr>
      <w:r w:rsidRPr="00D643B4">
        <w:rPr>
          <w:rFonts w:ascii="Times New Roman" w:hAnsi="Times New Roman" w:cs="Times New Roman"/>
          <w:b/>
          <w:bCs/>
          <w:sz w:val="20"/>
          <w:szCs w:val="20"/>
        </w:rPr>
        <w:t>2. Material and methods</w:t>
      </w:r>
    </w:p>
    <w:p w:rsidR="00290577" w:rsidRPr="00D643B4" w:rsidRDefault="00290577" w:rsidP="00855AC3">
      <w:pPr>
        <w:bidi w:val="0"/>
        <w:snapToGrid w:val="0"/>
        <w:spacing w:after="0" w:line="240" w:lineRule="auto"/>
        <w:ind w:firstLine="425"/>
        <w:jc w:val="both"/>
        <w:rPr>
          <w:rFonts w:ascii="Times New Roman" w:hAnsi="Times New Roman" w:cs="Times New Roman"/>
          <w:b/>
          <w:bCs/>
          <w:sz w:val="20"/>
          <w:szCs w:val="20"/>
        </w:rPr>
      </w:pPr>
      <w:r w:rsidRPr="00D643B4">
        <w:rPr>
          <w:rFonts w:ascii="Times New Roman" w:eastAsia="Calibri" w:hAnsi="Times New Roman" w:cs="Times New Roman"/>
          <w:sz w:val="20"/>
          <w:szCs w:val="20"/>
        </w:rPr>
        <w:t>A prospective study was done on 40 Patients recruited from endocrinology clinic and internal medicine department of Al-Hussein University Hospital with mean age 28.55±5.37 years &amp; mean duration of diabetes is 16.5±5.3 years &amp; mean HbA1C 8.2±1.2 from October 2015 to September 2016 and 10</w:t>
      </w:r>
      <w:r w:rsidRPr="00D643B4">
        <w:rPr>
          <w:rFonts w:ascii="Times New Roman" w:eastAsia="Calibri" w:hAnsi="Times New Roman" w:cs="Times New Roman"/>
          <w:bCs/>
          <w:sz w:val="20"/>
          <w:szCs w:val="20"/>
          <w:lang w:bidi="ar-EG"/>
        </w:rPr>
        <w:t xml:space="preserve"> </w:t>
      </w:r>
      <w:r w:rsidRPr="00D643B4">
        <w:rPr>
          <w:rFonts w:ascii="Times New Roman" w:eastAsia="Calibri" w:hAnsi="Times New Roman" w:cs="Times New Roman"/>
          <w:bCs/>
          <w:sz w:val="20"/>
          <w:szCs w:val="20"/>
          <w:lang w:bidi="ar-EG"/>
        </w:rPr>
        <w:lastRenderedPageBreak/>
        <w:t xml:space="preserve">control subjects </w:t>
      </w:r>
      <w:r w:rsidRPr="00D643B4">
        <w:rPr>
          <w:rFonts w:ascii="Times New Roman" w:hAnsi="Times New Roman" w:cs="Times New Roman"/>
          <w:bCs/>
          <w:sz w:val="20"/>
          <w:szCs w:val="20"/>
        </w:rPr>
        <w:t>with mean age 26.6±3.66 years</w:t>
      </w:r>
      <w:r w:rsidR="00D643B4" w:rsidRPr="00D643B4">
        <w:rPr>
          <w:rFonts w:ascii="Times New Roman" w:hAnsi="Times New Roman" w:cs="Times New Roman" w:hint="eastAsia"/>
          <w:bCs/>
          <w:sz w:val="20"/>
          <w:szCs w:val="20"/>
          <w:lang w:eastAsia="zh-CN"/>
        </w:rPr>
        <w:t xml:space="preserve"> </w:t>
      </w:r>
      <w:r w:rsidRPr="00D643B4">
        <w:rPr>
          <w:rFonts w:ascii="Times New Roman" w:eastAsia="Calibri" w:hAnsi="Times New Roman" w:cs="Times New Roman"/>
          <w:bCs/>
          <w:sz w:val="20"/>
          <w:szCs w:val="20"/>
          <w:lang w:bidi="ar-EG"/>
        </w:rPr>
        <w:t>were evaluated</w:t>
      </w:r>
      <w:r w:rsidR="00855AC3" w:rsidRPr="00D643B4">
        <w:rPr>
          <w:rFonts w:ascii="Times New Roman" w:eastAsia="Calibri" w:hAnsi="Times New Roman" w:cs="Times New Roman"/>
          <w:sz w:val="20"/>
          <w:szCs w:val="20"/>
        </w:rPr>
        <w:t>, t</w:t>
      </w:r>
      <w:r w:rsidRPr="00D643B4">
        <w:rPr>
          <w:rFonts w:ascii="Times New Roman" w:eastAsia="Calibri" w:hAnsi="Times New Roman" w:cs="Times New Roman"/>
          <w:sz w:val="20"/>
          <w:szCs w:val="20"/>
        </w:rPr>
        <w:t>he study included p</w:t>
      </w:r>
      <w:r w:rsidRPr="00D643B4">
        <w:rPr>
          <w:rFonts w:ascii="Times New Roman" w:hAnsi="Times New Roman" w:cs="Times New Roman"/>
          <w:sz w:val="20"/>
          <w:szCs w:val="20"/>
        </w:rPr>
        <w:t>atients with type I DM with l</w:t>
      </w:r>
      <w:r w:rsidRPr="00D643B4">
        <w:rPr>
          <w:rFonts w:ascii="Times New Roman" w:eastAsia="Calibri" w:hAnsi="Times New Roman" w:cs="Times New Roman"/>
          <w:sz w:val="20"/>
          <w:szCs w:val="20"/>
        </w:rPr>
        <w:t>eft ventricular ejection fraction (LVEF) ≥ 53% by conventional Echocardiography&amp; normal resting ECG. The study excluded patients with t</w:t>
      </w:r>
      <w:r w:rsidRPr="00D643B4">
        <w:rPr>
          <w:rFonts w:ascii="Times New Roman" w:hAnsi="Times New Roman" w:cs="Times New Roman"/>
          <w:sz w:val="20"/>
          <w:szCs w:val="20"/>
        </w:rPr>
        <w:t xml:space="preserve">ype II DM, </w:t>
      </w:r>
      <w:r w:rsidRPr="00D643B4">
        <w:rPr>
          <w:rFonts w:ascii="Times New Roman" w:eastAsia="Calibri" w:hAnsi="Times New Roman" w:cs="Times New Roman"/>
          <w:sz w:val="20"/>
          <w:szCs w:val="20"/>
        </w:rPr>
        <w:t>hypertension, history or symptoms of CAD or regional wall motion abnormality suggestive of CAD, valvular heart disease</w:t>
      </w:r>
      <w:r w:rsidRPr="00D643B4">
        <w:rPr>
          <w:rFonts w:ascii="Times New Roman" w:hAnsi="Times New Roman" w:cs="Times New Roman"/>
          <w:sz w:val="20"/>
          <w:szCs w:val="20"/>
        </w:rPr>
        <w:t>,</w:t>
      </w:r>
      <w:r w:rsidRPr="00D643B4">
        <w:rPr>
          <w:rFonts w:ascii="Times New Roman" w:eastAsia="Calibri" w:hAnsi="Times New Roman" w:cs="Times New Roman"/>
          <w:sz w:val="20"/>
          <w:szCs w:val="20"/>
        </w:rPr>
        <w:t xml:space="preserve"> atrial fibrillation, congestive heart failure, cardiomyopathy</w:t>
      </w:r>
      <w:r w:rsidR="00855AC3" w:rsidRPr="00D643B4">
        <w:rPr>
          <w:rFonts w:ascii="Times New Roman" w:eastAsia="Calibri" w:hAnsi="Times New Roman" w:cs="Times New Roman"/>
          <w:sz w:val="20"/>
          <w:szCs w:val="20"/>
        </w:rPr>
        <w:t>, c</w:t>
      </w:r>
      <w:r w:rsidRPr="00D643B4">
        <w:rPr>
          <w:rFonts w:ascii="Times New Roman" w:eastAsia="Calibri" w:hAnsi="Times New Roman" w:cs="Times New Roman"/>
          <w:sz w:val="20"/>
          <w:szCs w:val="20"/>
        </w:rPr>
        <w:t>ongenital heart disease</w:t>
      </w:r>
      <w:r w:rsidR="00855AC3" w:rsidRPr="00D643B4">
        <w:rPr>
          <w:rFonts w:ascii="Times New Roman" w:eastAsia="Calibri" w:hAnsi="Times New Roman" w:cs="Times New Roman"/>
          <w:sz w:val="20"/>
          <w:szCs w:val="20"/>
        </w:rPr>
        <w:t>, e</w:t>
      </w:r>
      <w:r w:rsidRPr="00D643B4">
        <w:rPr>
          <w:rFonts w:ascii="Times New Roman" w:eastAsia="Calibri" w:hAnsi="Times New Roman" w:cs="Times New Roman"/>
          <w:sz w:val="20"/>
          <w:szCs w:val="20"/>
        </w:rPr>
        <w:t>ndocrine disease other than DM, renal failure</w:t>
      </w:r>
      <w:r w:rsidR="00D643B4" w:rsidRPr="00D643B4">
        <w:rPr>
          <w:rFonts w:ascii="Times New Roman" w:hAnsi="Times New Roman" w:cs="Times New Roman" w:hint="eastAsia"/>
          <w:sz w:val="20"/>
          <w:szCs w:val="20"/>
          <w:lang w:eastAsia="zh-CN"/>
        </w:rPr>
        <w:t xml:space="preserve"> </w:t>
      </w:r>
      <w:r w:rsidRPr="00D643B4">
        <w:rPr>
          <w:rFonts w:ascii="Times New Roman" w:eastAsia="Calibri" w:hAnsi="Times New Roman" w:cs="Times New Roman"/>
          <w:sz w:val="20"/>
          <w:szCs w:val="20"/>
        </w:rPr>
        <w:t>or poor Echo window</w:t>
      </w:r>
      <w:r w:rsidR="00855AC3" w:rsidRPr="00D643B4">
        <w:rPr>
          <w:rFonts w:ascii="Times New Roman" w:eastAsia="Calibri" w:hAnsi="Times New Roman" w:cs="Times New Roman"/>
          <w:sz w:val="20"/>
          <w:szCs w:val="20"/>
        </w:rPr>
        <w:t>. A</w:t>
      </w:r>
      <w:r w:rsidRPr="00D643B4">
        <w:rPr>
          <w:rFonts w:ascii="Times New Roman" w:eastAsia="Calibri" w:hAnsi="Times New Roman" w:cs="Times New Roman"/>
          <w:sz w:val="20"/>
          <w:szCs w:val="20"/>
        </w:rPr>
        <w:t>ll of them were subjected to full history taking, general and local clinical examination and 12 lead resting surface ECG. All examinations were performed using a commercially</w:t>
      </w:r>
      <w:r w:rsidR="00D643B4" w:rsidRPr="00D643B4">
        <w:rPr>
          <w:rFonts w:ascii="Times New Roman" w:hAnsi="Times New Roman" w:cs="Times New Roman" w:hint="eastAsia"/>
          <w:sz w:val="20"/>
          <w:szCs w:val="20"/>
          <w:lang w:eastAsia="zh-CN"/>
        </w:rPr>
        <w:t xml:space="preserve"> </w:t>
      </w:r>
      <w:r w:rsidRPr="00D643B4">
        <w:rPr>
          <w:rFonts w:ascii="Times New Roman" w:eastAsia="Calibri" w:hAnsi="Times New Roman" w:cs="Times New Roman"/>
          <w:sz w:val="20"/>
          <w:szCs w:val="20"/>
        </w:rPr>
        <w:t>available equipment (Philips iE33 X Matrix</w:t>
      </w:r>
      <w:r w:rsidR="00D643B4" w:rsidRPr="00D643B4">
        <w:rPr>
          <w:rFonts w:ascii="Times New Roman" w:hAnsi="Times New Roman" w:cs="Times New Roman" w:hint="eastAsia"/>
          <w:sz w:val="20"/>
          <w:szCs w:val="20"/>
          <w:lang w:eastAsia="zh-CN"/>
        </w:rPr>
        <w:t xml:space="preserve"> </w:t>
      </w:r>
      <w:r w:rsidRPr="00D643B4">
        <w:rPr>
          <w:rFonts w:ascii="Times New Roman" w:eastAsia="Calibri" w:hAnsi="Times New Roman" w:cs="Times New Roman"/>
          <w:sz w:val="20"/>
          <w:szCs w:val="20"/>
        </w:rPr>
        <w:t xml:space="preserve">ultrasound machine) using </w:t>
      </w:r>
      <w:r w:rsidRPr="00D643B4">
        <w:rPr>
          <w:rFonts w:ascii="Times New Roman" w:eastAsia="Calibri" w:hAnsi="Times New Roman" w:cs="Times New Roman"/>
          <w:sz w:val="20"/>
          <w:szCs w:val="20"/>
          <w:lang w:bidi="ar-EG"/>
        </w:rPr>
        <w:t>"</w:t>
      </w:r>
      <w:r w:rsidRPr="00D643B4">
        <w:rPr>
          <w:rFonts w:ascii="Times New Roman" w:eastAsia="Calibri" w:hAnsi="Times New Roman" w:cs="Times New Roman"/>
          <w:sz w:val="20"/>
          <w:szCs w:val="20"/>
        </w:rPr>
        <w:t>S5-1"</w:t>
      </w:r>
      <w:r w:rsidR="004F1941">
        <w:rPr>
          <w:rFonts w:ascii="Times New Roman" w:hAnsi="Times New Roman" w:cs="Times New Roman" w:hint="eastAsia"/>
          <w:sz w:val="20"/>
          <w:szCs w:val="20"/>
          <w:lang w:eastAsia="zh-CN"/>
        </w:rPr>
        <w:t xml:space="preserve"> </w:t>
      </w:r>
      <w:r w:rsidRPr="00D643B4">
        <w:rPr>
          <w:rFonts w:ascii="Times New Roman" w:eastAsia="Calibri" w:hAnsi="Times New Roman" w:cs="Times New Roman"/>
          <w:sz w:val="20"/>
          <w:szCs w:val="20"/>
        </w:rPr>
        <w:t>&amp;</w:t>
      </w:r>
      <w:r w:rsidR="004F1941">
        <w:rPr>
          <w:rFonts w:ascii="Times New Roman" w:hAnsi="Times New Roman" w:cs="Times New Roman" w:hint="eastAsia"/>
          <w:sz w:val="20"/>
          <w:szCs w:val="20"/>
          <w:lang w:eastAsia="zh-CN"/>
        </w:rPr>
        <w:t xml:space="preserve"> </w:t>
      </w:r>
      <w:r w:rsidRPr="00D643B4">
        <w:rPr>
          <w:rFonts w:ascii="Times New Roman" w:eastAsia="Calibri" w:hAnsi="Times New Roman" w:cs="Times New Roman"/>
          <w:sz w:val="20"/>
          <w:szCs w:val="20"/>
          <w:lang w:bidi="ar-EG"/>
        </w:rPr>
        <w:t>"</w:t>
      </w:r>
      <w:r w:rsidRPr="00D643B4">
        <w:rPr>
          <w:rFonts w:ascii="Times New Roman" w:eastAsia="Calibri" w:hAnsi="Times New Roman" w:cs="Times New Roman"/>
          <w:sz w:val="20"/>
          <w:szCs w:val="20"/>
        </w:rPr>
        <w:t>X5-1</w:t>
      </w:r>
      <w:r w:rsidRPr="00D643B4">
        <w:rPr>
          <w:rFonts w:ascii="Times New Roman" w:eastAsia="Calibri" w:hAnsi="Times New Roman" w:cs="Times New Roman"/>
          <w:sz w:val="20"/>
          <w:szCs w:val="20"/>
          <w:lang w:bidi="ar-EG"/>
        </w:rPr>
        <w:t>"</w:t>
      </w:r>
      <w:r w:rsidRPr="00D643B4">
        <w:rPr>
          <w:rFonts w:ascii="Times New Roman" w:eastAsia="Calibri" w:hAnsi="Times New Roman" w:cs="Times New Roman"/>
          <w:sz w:val="20"/>
          <w:szCs w:val="20"/>
        </w:rPr>
        <w:t xml:space="preserve"> matrix array transducers equipped with STE technology. All images were digitally stored from three cardiac cycles a</w:t>
      </w:r>
      <w:r w:rsidR="00D643B4" w:rsidRPr="00D643B4">
        <w:rPr>
          <w:rFonts w:ascii="Times New Roman" w:hAnsi="Times New Roman" w:cs="Times New Roman" w:hint="eastAsia"/>
          <w:sz w:val="20"/>
          <w:szCs w:val="20"/>
          <w:lang w:eastAsia="zh-CN"/>
        </w:rPr>
        <w:t xml:space="preserve"> </w:t>
      </w:r>
      <w:r w:rsidRPr="00D643B4">
        <w:rPr>
          <w:rFonts w:ascii="Times New Roman" w:eastAsia="Calibri" w:hAnsi="Times New Roman" w:cs="Times New Roman"/>
          <w:sz w:val="20"/>
          <w:szCs w:val="20"/>
        </w:rPr>
        <w:t>standard parasternal and apical views. All analyses were performed offline. Echocardiographic examination was done to all the study population including Two-dimensional echocardiography to measure LVESD, LVEDD from parasternal long axis view and EF was calculated using biplane Simpson method according the last American society of echocardiography recommendation. Tricuspid plane systolic excursion (TAPSE) from apical 4 chamber (4CH), RV fractional area change (FAC) in 4CH view</w:t>
      </w:r>
      <w:r w:rsidRPr="00D643B4">
        <w:rPr>
          <w:rFonts w:ascii="Times New Roman" w:hAnsi="Times New Roman" w:cs="Times New Roman"/>
          <w:sz w:val="20"/>
          <w:szCs w:val="20"/>
          <w:vertAlign w:val="superscript"/>
        </w:rPr>
        <w:t>9</w:t>
      </w:r>
      <w:r w:rsidRPr="00D643B4">
        <w:rPr>
          <w:rFonts w:ascii="Times New Roman" w:hAnsi="Times New Roman" w:cs="Times New Roman"/>
          <w:sz w:val="20"/>
          <w:szCs w:val="20"/>
        </w:rPr>
        <w:t>.</w:t>
      </w:r>
      <w:r w:rsidR="00D643B4">
        <w:rPr>
          <w:rFonts w:ascii="Times New Roman" w:hAnsi="Times New Roman" w:cs="Times New Roman" w:hint="eastAsia"/>
          <w:sz w:val="20"/>
          <w:szCs w:val="20"/>
          <w:lang w:eastAsia="zh-CN"/>
        </w:rPr>
        <w:t xml:space="preserve"> </w:t>
      </w:r>
      <w:r w:rsidRPr="00D643B4">
        <w:rPr>
          <w:rFonts w:ascii="Times New Roman" w:eastAsia="Calibri" w:hAnsi="Times New Roman" w:cs="Times New Roman"/>
          <w:sz w:val="20"/>
          <w:szCs w:val="20"/>
        </w:rPr>
        <w:t>2) 2D Speckle tracking echocardiography study: The patients were examined in the left lateral decubitus position in respiration at rest, and the evaluation was obtained in a calm exhalation to minimize translational motions of the heart. In compliance with the stated recommendations, the standardized 17-segment LV model was used for a detailed evaluation of the LV segments by all the applied methods</w:t>
      </w:r>
      <w:r w:rsidRPr="00D643B4">
        <w:rPr>
          <w:rFonts w:ascii="Times New Roman" w:eastAsia="Calibri" w:hAnsi="Times New Roman" w:cs="Times New Roman"/>
          <w:sz w:val="20"/>
          <w:szCs w:val="20"/>
          <w:vertAlign w:val="superscript"/>
        </w:rPr>
        <w:t>10</w:t>
      </w:r>
      <w:r w:rsidR="00855AC3" w:rsidRPr="00D643B4">
        <w:rPr>
          <w:rFonts w:ascii="Times New Roman" w:eastAsia="Calibri" w:hAnsi="Times New Roman" w:cs="Times New Roman"/>
          <w:sz w:val="20"/>
          <w:szCs w:val="20"/>
        </w:rPr>
        <w:t>. E</w:t>
      </w:r>
      <w:r w:rsidRPr="00D643B4">
        <w:rPr>
          <w:rFonts w:ascii="Times New Roman" w:eastAsia="Calibri" w:hAnsi="Times New Roman" w:cs="Times New Roman"/>
          <w:sz w:val="20"/>
          <w:szCs w:val="20"/>
        </w:rPr>
        <w:t xml:space="preserve">ach patient was studied in apical long axis, 2 and 4 chamber views with the examination synchronized with at least one ECG lead. In order to set an adequate timing for the beginning and end of </w:t>
      </w:r>
      <w:r w:rsidRPr="00D643B4">
        <w:rPr>
          <w:rFonts w:ascii="Times New Roman" w:hAnsi="Times New Roman" w:cs="Times New Roman"/>
          <w:sz w:val="20"/>
          <w:szCs w:val="20"/>
        </w:rPr>
        <w:t xml:space="preserve">a systolic ejection phase, the flow in the left ventricular outflow tract was registered, and subsequently the beginning (aortic valve opening - AVO) and end (aortic valve closure- AVC) of the LV </w:t>
      </w:r>
      <w:r w:rsidRPr="00D643B4">
        <w:rPr>
          <w:rFonts w:ascii="Times New Roman" w:hAnsi="Times New Roman" w:cs="Times New Roman"/>
          <w:sz w:val="20"/>
          <w:szCs w:val="20"/>
        </w:rPr>
        <w:lastRenderedPageBreak/>
        <w:t>ejection phase were indicated. From the above projections, we registered the B-mode second harmonic sequence with a frame rate setting optimized for the specific method (optimal frame rate 70s-1, range between 40-100s-1).</w:t>
      </w:r>
      <w:r w:rsidRPr="00D643B4">
        <w:rPr>
          <w:rFonts w:ascii="Times New Roman" w:eastAsia="Calibri" w:hAnsi="Times New Roman" w:cs="Times New Roman"/>
          <w:sz w:val="20"/>
          <w:szCs w:val="20"/>
        </w:rPr>
        <w:t xml:space="preserve"> Automated delineation of endocardial borders was obtained through marking the mitral annulus level and at the apex on each digital loop. And apical 4 chamber view was taken for later analysis of the right ventricle; Automated delineation of endocardial borders was obtained through marking the tricuspid annulus level and at the apex on the digital loop</w:t>
      </w:r>
      <w:r w:rsidRPr="00D643B4">
        <w:rPr>
          <w:rFonts w:ascii="Times New Roman" w:hAnsi="Times New Roman" w:cs="Times New Roman"/>
          <w:sz w:val="20"/>
          <w:szCs w:val="20"/>
          <w:vertAlign w:val="superscript"/>
        </w:rPr>
        <w:t>9</w:t>
      </w:r>
      <w:r w:rsidR="00855AC3" w:rsidRPr="00D643B4">
        <w:rPr>
          <w:rFonts w:ascii="Times New Roman" w:hAnsi="Times New Roman" w:cs="Times New Roman"/>
          <w:sz w:val="20"/>
          <w:szCs w:val="20"/>
        </w:rPr>
        <w:t xml:space="preserve">. </w:t>
      </w:r>
      <w:r w:rsidR="00855AC3" w:rsidRPr="00D643B4">
        <w:rPr>
          <w:rFonts w:ascii="Times New Roman" w:eastAsia="Calibri" w:hAnsi="Times New Roman" w:cs="Times New Roman"/>
          <w:sz w:val="20"/>
          <w:szCs w:val="20"/>
        </w:rPr>
        <w:t>A</w:t>
      </w:r>
      <w:r w:rsidRPr="00D643B4">
        <w:rPr>
          <w:rFonts w:ascii="Times New Roman" w:eastAsia="Calibri" w:hAnsi="Times New Roman" w:cs="Times New Roman"/>
          <w:sz w:val="20"/>
          <w:szCs w:val="20"/>
        </w:rPr>
        <w:t xml:space="preserve">ll data were collected and statistically </w:t>
      </w:r>
      <w:r w:rsidRPr="00D643B4">
        <w:rPr>
          <w:rFonts w:ascii="Times New Roman" w:hAnsi="Times New Roman" w:cs="Times New Roman"/>
          <w:sz w:val="20"/>
          <w:szCs w:val="20"/>
        </w:rPr>
        <w:t>analyzed using Chi-square test using SPSS (Statistical package for social science) software.</w:t>
      </w:r>
    </w:p>
    <w:p w:rsidR="00290577" w:rsidRPr="00D643B4" w:rsidRDefault="00290577" w:rsidP="00855AC3">
      <w:pPr>
        <w:pStyle w:val="Default"/>
        <w:snapToGrid w:val="0"/>
        <w:jc w:val="both"/>
        <w:rPr>
          <w:rFonts w:ascii="Times New Roman" w:eastAsia="Calibri" w:hAnsi="Times New Roman" w:cs="Times New Roman"/>
          <w:b/>
          <w:bCs/>
          <w:color w:val="auto"/>
          <w:sz w:val="20"/>
          <w:szCs w:val="20"/>
        </w:rPr>
      </w:pPr>
    </w:p>
    <w:p w:rsidR="00290577" w:rsidRPr="00D643B4" w:rsidRDefault="00290577" w:rsidP="00855AC3">
      <w:pPr>
        <w:pStyle w:val="Default"/>
        <w:snapToGrid w:val="0"/>
        <w:jc w:val="both"/>
        <w:rPr>
          <w:rFonts w:ascii="Times New Roman" w:eastAsia="Calibri" w:hAnsi="Times New Roman" w:cs="Times New Roman"/>
          <w:b/>
          <w:bCs/>
          <w:color w:val="auto"/>
          <w:sz w:val="20"/>
          <w:szCs w:val="20"/>
        </w:rPr>
      </w:pPr>
      <w:r w:rsidRPr="00D643B4">
        <w:rPr>
          <w:rFonts w:ascii="Times New Roman" w:eastAsia="Calibri" w:hAnsi="Times New Roman" w:cs="Times New Roman"/>
          <w:b/>
          <w:bCs/>
          <w:color w:val="auto"/>
          <w:sz w:val="20"/>
          <w:szCs w:val="20"/>
        </w:rPr>
        <w:t>3. Results</w:t>
      </w:r>
    </w:p>
    <w:p w:rsidR="00D643B4" w:rsidRDefault="00D643B4" w:rsidP="00855AC3">
      <w:pPr>
        <w:pStyle w:val="ListParagraph"/>
        <w:snapToGrid w:val="0"/>
        <w:spacing w:after="0" w:line="240" w:lineRule="auto"/>
        <w:ind w:left="0" w:firstLine="425"/>
        <w:jc w:val="both"/>
        <w:rPr>
          <w:rFonts w:ascii="Times New Roman" w:eastAsiaTheme="minorEastAsia" w:hAnsi="Times New Roman" w:cs="Times New Roman" w:hint="eastAsia"/>
          <w:sz w:val="20"/>
          <w:szCs w:val="20"/>
          <w:lang w:eastAsia="zh-CN"/>
        </w:rPr>
      </w:pPr>
      <w:r w:rsidRPr="00D643B4">
        <w:rPr>
          <w:rFonts w:ascii="Times New Roman" w:hAnsi="Times New Roman" w:cs="Times New Roman"/>
          <w:sz w:val="20"/>
          <w:szCs w:val="20"/>
        </w:rPr>
        <w:t>The present study included 40 cases with type I DM. The number of males in the studied patients was 21 patients (52.5%), while the female number was 19 patients (47.5%) &amp; 10 control subjects (5 males &amp; 5 females) that shown in table (1). Clinical characteristics are shown in Table (1) Mean diabetes duration was (16.5±5.3) years. Mean HbA1c level in the diabetic group was 8.2±1.2%. All patients were treated with insulin. There were no signiﬁcant differences between groups regarding Age, SBP, DBP, heart rate as shown in table (1). Standard echocardiographic parameters are summarized in Table (2)</w:t>
      </w:r>
      <w:r>
        <w:rPr>
          <w:rFonts w:ascii="Times New Roman" w:eastAsiaTheme="minorEastAsia" w:hAnsi="Times New Roman" w:cs="Times New Roman" w:hint="eastAsia"/>
          <w:sz w:val="20"/>
          <w:szCs w:val="20"/>
          <w:lang w:eastAsia="zh-CN"/>
        </w:rPr>
        <w:t xml:space="preserve"> </w:t>
      </w:r>
      <w:r w:rsidRPr="00D643B4">
        <w:rPr>
          <w:rFonts w:ascii="Times New Roman" w:hAnsi="Times New Roman" w:cs="Times New Roman"/>
          <w:sz w:val="20"/>
          <w:szCs w:val="20"/>
        </w:rPr>
        <w:t>LVEDD, LVESD &amp; LVEF did not differ between groups. RV functional parameters did not differ between groups as summarized in table (2). As shown in table (3), 2D speckle tracking analysis showed left ventricular GLS and right ventricular GLS were signiﬁcantly lower in diabetic group compared with</w:t>
      </w:r>
      <w:r>
        <w:rPr>
          <w:rFonts w:ascii="Times New Roman" w:hAnsi="Times New Roman" w:cs="Times New Roman"/>
          <w:sz w:val="20"/>
          <w:szCs w:val="20"/>
        </w:rPr>
        <w:t xml:space="preserve"> control group as LVGLS (-20.75</w:t>
      </w:r>
      <w:r w:rsidRPr="00D643B4">
        <w:rPr>
          <w:rFonts w:ascii="Times New Roman" w:hAnsi="Times New Roman" w:cs="Times New Roman"/>
          <w:sz w:val="20"/>
          <w:szCs w:val="20"/>
        </w:rPr>
        <w:t>±1.88 vs.-22.6±1.71, P=0.007) and RVGLS (-30.22±3.48 vs.-32.70±2.91, P=0.044). As in figure 1, there was good correlation between diabetes duration</w:t>
      </w:r>
      <w:r>
        <w:rPr>
          <w:rFonts w:ascii="Times New Roman" w:eastAsiaTheme="minorEastAsia" w:hAnsi="Times New Roman" w:cs="Times New Roman" w:hint="eastAsia"/>
          <w:sz w:val="20"/>
          <w:szCs w:val="20"/>
          <w:lang w:eastAsia="zh-CN"/>
        </w:rPr>
        <w:t xml:space="preserve"> </w:t>
      </w:r>
      <w:r w:rsidRPr="00D643B4">
        <w:rPr>
          <w:rFonts w:ascii="Times New Roman" w:hAnsi="Times New Roman" w:cs="Times New Roman"/>
          <w:sz w:val="20"/>
          <w:szCs w:val="20"/>
        </w:rPr>
        <w:t>and reduction of LVGLS (r=0.61, P=&lt;0.001). As in figure 2, there was moderate correlation between diabetes duration and reduction of RVGLS</w:t>
      </w:r>
      <w:r>
        <w:rPr>
          <w:rFonts w:ascii="Times New Roman" w:eastAsiaTheme="minorEastAsia" w:hAnsi="Times New Roman" w:cs="Times New Roman" w:hint="eastAsia"/>
          <w:sz w:val="20"/>
          <w:szCs w:val="20"/>
          <w:lang w:eastAsia="zh-CN"/>
        </w:rPr>
        <w:t xml:space="preserve"> </w:t>
      </w:r>
      <w:r w:rsidRPr="00D643B4">
        <w:rPr>
          <w:rFonts w:ascii="Times New Roman" w:hAnsi="Times New Roman" w:cs="Times New Roman"/>
          <w:sz w:val="20"/>
          <w:szCs w:val="20"/>
        </w:rPr>
        <w:t>(r=0.35, P=&lt;0.002). As shown in figure 3 and 4 there was moderate correlations</w:t>
      </w:r>
      <w:r>
        <w:rPr>
          <w:rFonts w:ascii="Times New Roman" w:eastAsiaTheme="minorEastAsia" w:hAnsi="Times New Roman" w:cs="Times New Roman" w:hint="eastAsia"/>
          <w:sz w:val="20"/>
          <w:szCs w:val="20"/>
          <w:lang w:eastAsia="zh-CN"/>
        </w:rPr>
        <w:t xml:space="preserve"> </w:t>
      </w:r>
      <w:r w:rsidRPr="00D643B4">
        <w:rPr>
          <w:rFonts w:ascii="Times New Roman" w:hAnsi="Times New Roman" w:cs="Times New Roman"/>
          <w:sz w:val="20"/>
          <w:szCs w:val="20"/>
        </w:rPr>
        <w:t>between Hb A1C, reduction of LVGLS (r=0.4, P=0.01) &amp;</w:t>
      </w:r>
      <w:r>
        <w:rPr>
          <w:rFonts w:ascii="Times New Roman" w:eastAsiaTheme="minorEastAsia" w:hAnsi="Times New Roman" w:cs="Times New Roman" w:hint="eastAsia"/>
          <w:sz w:val="20"/>
          <w:szCs w:val="20"/>
          <w:lang w:eastAsia="zh-CN"/>
        </w:rPr>
        <w:t xml:space="preserve"> </w:t>
      </w:r>
      <w:r w:rsidRPr="00D643B4">
        <w:rPr>
          <w:rFonts w:ascii="Times New Roman" w:hAnsi="Times New Roman" w:cs="Times New Roman"/>
          <w:sz w:val="20"/>
          <w:szCs w:val="20"/>
        </w:rPr>
        <w:t>RVGLS (r=0.326, P=0.04)</w:t>
      </w:r>
      <w:r>
        <w:rPr>
          <w:rFonts w:ascii="Times New Roman" w:eastAsiaTheme="minorEastAsia" w:hAnsi="Times New Roman" w:cs="Times New Roman" w:hint="eastAsia"/>
          <w:sz w:val="20"/>
          <w:szCs w:val="20"/>
          <w:lang w:eastAsia="zh-CN"/>
        </w:rPr>
        <w:t xml:space="preserve">. </w:t>
      </w:r>
    </w:p>
    <w:p w:rsidR="00D643B4" w:rsidRPr="00D643B4" w:rsidRDefault="00D643B4" w:rsidP="00855AC3">
      <w:pPr>
        <w:pStyle w:val="ListParagraph"/>
        <w:snapToGrid w:val="0"/>
        <w:spacing w:after="0" w:line="240" w:lineRule="auto"/>
        <w:ind w:left="0" w:firstLine="425"/>
        <w:jc w:val="both"/>
        <w:rPr>
          <w:rFonts w:ascii="Times New Roman" w:eastAsiaTheme="minorEastAsia" w:hAnsi="Times New Roman" w:cs="Times New Roman" w:hint="eastAsia"/>
          <w:sz w:val="20"/>
          <w:szCs w:val="20"/>
          <w:lang w:eastAsia="zh-CN"/>
        </w:rPr>
        <w:sectPr w:rsidR="00D643B4" w:rsidRPr="00D643B4" w:rsidSect="00855AC3">
          <w:headerReference w:type="default" r:id="rId12"/>
          <w:footerReference w:type="default" r:id="rId13"/>
          <w:type w:val="continuous"/>
          <w:pgSz w:w="12242" w:h="15842" w:code="1"/>
          <w:pgMar w:top="1440" w:right="1440" w:bottom="1440" w:left="1440" w:header="720" w:footer="720" w:gutter="0"/>
          <w:cols w:num="2" w:space="550"/>
          <w:docGrid w:linePitch="360"/>
        </w:sectPr>
      </w:pPr>
    </w:p>
    <w:p w:rsidR="00290577" w:rsidRPr="00D643B4" w:rsidRDefault="00290577" w:rsidP="00855AC3">
      <w:pPr>
        <w:pStyle w:val="ListParagraph"/>
        <w:snapToGrid w:val="0"/>
        <w:spacing w:after="0" w:line="240" w:lineRule="auto"/>
        <w:ind w:left="0"/>
        <w:jc w:val="center"/>
        <w:rPr>
          <w:rFonts w:ascii="Times New Roman" w:hAnsi="Times New Roman" w:cs="Times New Roman"/>
          <w:sz w:val="20"/>
          <w:szCs w:val="20"/>
        </w:rPr>
      </w:pPr>
    </w:p>
    <w:p w:rsidR="00290577" w:rsidRPr="00D643B4" w:rsidRDefault="00D643B4" w:rsidP="00855AC3">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 xml:space="preserve">Table </w:t>
      </w:r>
      <w:r w:rsidR="00290577" w:rsidRPr="00D643B4">
        <w:rPr>
          <w:rFonts w:ascii="Times New Roman" w:hAnsi="Times New Roman" w:cs="Times New Roman"/>
          <w:b/>
          <w:bCs/>
          <w:sz w:val="20"/>
          <w:szCs w:val="20"/>
        </w:rPr>
        <w:t>1</w:t>
      </w:r>
      <w:r>
        <w:rPr>
          <w:rFonts w:ascii="Times New Roman" w:eastAsiaTheme="minorEastAsia" w:hAnsi="Times New Roman" w:cs="Times New Roman" w:hint="eastAsia"/>
          <w:b/>
          <w:bCs/>
          <w:sz w:val="20"/>
          <w:szCs w:val="20"/>
          <w:lang w:eastAsia="zh-CN"/>
        </w:rPr>
        <w:t>.</w:t>
      </w:r>
      <w:r w:rsidR="00290577" w:rsidRPr="00D643B4">
        <w:rPr>
          <w:rFonts w:ascii="Times New Roman" w:hAnsi="Times New Roman" w:cs="Times New Roman"/>
          <w:b/>
          <w:bCs/>
          <w:sz w:val="20"/>
          <w:szCs w:val="20"/>
        </w:rPr>
        <w:t xml:space="preserve"> that shows baseline characteristics between diabetic and control groups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8"/>
      </w:tblGrid>
      <w:tr w:rsidR="00290577" w:rsidRPr="00D643B4" w:rsidTr="00855AC3">
        <w:trPr>
          <w:jc w:val="center"/>
        </w:trPr>
        <w:tc>
          <w:tcPr>
            <w:tcW w:w="9578" w:type="dxa"/>
          </w:tcPr>
          <w:tbl>
            <w:tblPr>
              <w:tblStyle w:val="GridTable5Dark-Accent51"/>
              <w:tblpPr w:leftFromText="180" w:rightFromText="180" w:vertAnchor="text"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8"/>
              <w:gridCol w:w="2231"/>
              <w:gridCol w:w="2200"/>
              <w:gridCol w:w="993"/>
            </w:tblGrid>
            <w:tr w:rsidR="00290577" w:rsidRPr="00D643B4" w:rsidTr="00D643B4">
              <w:trPr>
                <w:cnfStyle w:val="100000000000"/>
              </w:trPr>
              <w:tc>
                <w:tcPr>
                  <w:cnfStyle w:val="001000000000"/>
                  <w:tcW w:w="2100" w:type="pct"/>
                  <w:tcBorders>
                    <w:top w:val="none" w:sz="0" w:space="0" w:color="auto"/>
                    <w:left w:val="none" w:sz="0" w:space="0" w:color="auto"/>
                    <w:right w:val="none" w:sz="0" w:space="0" w:color="auto"/>
                  </w:tcBorders>
                  <w:vAlign w:val="center"/>
                  <w:hideMark/>
                </w:tcPr>
                <w:p w:rsidR="00290577" w:rsidRPr="00D643B4" w:rsidRDefault="00290577" w:rsidP="00855AC3">
                  <w:pPr>
                    <w:bidi w:val="0"/>
                    <w:snapToGrid w:val="0"/>
                    <w:jc w:val="both"/>
                    <w:rPr>
                      <w:b w:val="0"/>
                      <w:bCs w:val="0"/>
                      <w:color w:val="000000"/>
                    </w:rPr>
                  </w:pPr>
                  <w:r w:rsidRPr="00D643B4">
                    <w:rPr>
                      <w:color w:val="000000"/>
                    </w:rPr>
                    <w:t>Parameters</w:t>
                  </w:r>
                </w:p>
              </w:tc>
              <w:tc>
                <w:tcPr>
                  <w:tcW w:w="1193" w:type="pct"/>
                  <w:tcBorders>
                    <w:top w:val="none" w:sz="0" w:space="0" w:color="auto"/>
                    <w:left w:val="none" w:sz="0" w:space="0" w:color="auto"/>
                    <w:right w:val="none" w:sz="0" w:space="0" w:color="auto"/>
                  </w:tcBorders>
                  <w:vAlign w:val="center"/>
                </w:tcPr>
                <w:p w:rsidR="00290577" w:rsidRPr="00D643B4" w:rsidRDefault="00290577" w:rsidP="00855AC3">
                  <w:pPr>
                    <w:bidi w:val="0"/>
                    <w:snapToGrid w:val="0"/>
                    <w:jc w:val="both"/>
                    <w:cnfStyle w:val="100000000000"/>
                    <w:rPr>
                      <w:b w:val="0"/>
                      <w:bCs w:val="0"/>
                      <w:i/>
                      <w:iCs/>
                      <w:color w:val="000000"/>
                    </w:rPr>
                  </w:pPr>
                  <w:r w:rsidRPr="00D643B4">
                    <w:rPr>
                      <w:color w:val="000000"/>
                    </w:rPr>
                    <w:t>Patients</w:t>
                  </w:r>
                  <w:r w:rsidRPr="00D643B4">
                    <w:rPr>
                      <w:rFonts w:eastAsia="Calibri"/>
                      <w:b w:val="0"/>
                      <w:bCs w:val="0"/>
                      <w:color w:val="000000"/>
                    </w:rPr>
                    <w:t>(N=40)</w:t>
                  </w:r>
                </w:p>
              </w:tc>
              <w:tc>
                <w:tcPr>
                  <w:tcW w:w="1176" w:type="pct"/>
                  <w:tcBorders>
                    <w:top w:val="none" w:sz="0" w:space="0" w:color="auto"/>
                    <w:left w:val="none" w:sz="0" w:space="0" w:color="auto"/>
                    <w:right w:val="none" w:sz="0" w:space="0" w:color="auto"/>
                  </w:tcBorders>
                  <w:vAlign w:val="center"/>
                </w:tcPr>
                <w:p w:rsidR="00290577" w:rsidRPr="00D643B4" w:rsidRDefault="00290577" w:rsidP="00855AC3">
                  <w:pPr>
                    <w:bidi w:val="0"/>
                    <w:snapToGrid w:val="0"/>
                    <w:jc w:val="both"/>
                    <w:cnfStyle w:val="100000000000"/>
                    <w:rPr>
                      <w:b w:val="0"/>
                      <w:bCs w:val="0"/>
                      <w:i/>
                      <w:iCs/>
                      <w:color w:val="000000"/>
                    </w:rPr>
                  </w:pPr>
                  <w:r w:rsidRPr="00D643B4">
                    <w:rPr>
                      <w:color w:val="000000"/>
                    </w:rPr>
                    <w:t>Control</w:t>
                  </w:r>
                  <w:r w:rsidRPr="00D643B4">
                    <w:rPr>
                      <w:rFonts w:eastAsia="Calibri"/>
                      <w:b w:val="0"/>
                      <w:bCs w:val="0"/>
                      <w:color w:val="000000"/>
                    </w:rPr>
                    <w:t>(N=10)</w:t>
                  </w:r>
                </w:p>
              </w:tc>
              <w:tc>
                <w:tcPr>
                  <w:tcW w:w="531" w:type="pct"/>
                  <w:tcBorders>
                    <w:top w:val="none" w:sz="0" w:space="0" w:color="auto"/>
                    <w:left w:val="none" w:sz="0" w:space="0" w:color="auto"/>
                    <w:right w:val="none" w:sz="0" w:space="0" w:color="auto"/>
                  </w:tcBorders>
                  <w:vAlign w:val="center"/>
                </w:tcPr>
                <w:p w:rsidR="00290577" w:rsidRPr="00D643B4" w:rsidRDefault="00290577" w:rsidP="00855AC3">
                  <w:pPr>
                    <w:bidi w:val="0"/>
                    <w:snapToGrid w:val="0"/>
                    <w:jc w:val="both"/>
                    <w:cnfStyle w:val="100000000000"/>
                    <w:rPr>
                      <w:b w:val="0"/>
                      <w:bCs w:val="0"/>
                      <w:i/>
                      <w:iCs/>
                      <w:color w:val="000000"/>
                    </w:rPr>
                  </w:pPr>
                  <w:r w:rsidRPr="00D643B4">
                    <w:rPr>
                      <w:color w:val="000000"/>
                    </w:rPr>
                    <w:t>P</w:t>
                  </w:r>
                </w:p>
              </w:tc>
            </w:tr>
            <w:tr w:rsidR="00290577" w:rsidRPr="00D643B4" w:rsidTr="00D643B4">
              <w:trPr>
                <w:cnfStyle w:val="000000100000"/>
              </w:trPr>
              <w:tc>
                <w:tcPr>
                  <w:cnfStyle w:val="001000000000"/>
                  <w:tcW w:w="2100" w:type="pct"/>
                  <w:tcBorders>
                    <w:left w:val="none" w:sz="0" w:space="0" w:color="auto"/>
                  </w:tcBorders>
                  <w:vAlign w:val="center"/>
                  <w:hideMark/>
                </w:tcPr>
                <w:p w:rsidR="00290577" w:rsidRPr="00D643B4" w:rsidRDefault="00290577" w:rsidP="00855AC3">
                  <w:pPr>
                    <w:bidi w:val="0"/>
                    <w:snapToGrid w:val="0"/>
                    <w:jc w:val="both"/>
                    <w:rPr>
                      <w:i/>
                      <w:iCs/>
                      <w:color w:val="000000"/>
                    </w:rPr>
                  </w:pPr>
                  <w:r w:rsidRPr="00D643B4">
                    <w:rPr>
                      <w:color w:val="000000"/>
                    </w:rPr>
                    <w:t>Age</w:t>
                  </w:r>
                </w:p>
              </w:tc>
              <w:tc>
                <w:tcPr>
                  <w:tcW w:w="1193" w:type="pct"/>
                  <w:noWrap/>
                  <w:vAlign w:val="center"/>
                </w:tcPr>
                <w:p w:rsidR="00290577" w:rsidRPr="00D643B4" w:rsidRDefault="00290577" w:rsidP="00855AC3">
                  <w:pPr>
                    <w:bidi w:val="0"/>
                    <w:snapToGrid w:val="0"/>
                    <w:jc w:val="both"/>
                    <w:cnfStyle w:val="000000100000"/>
                    <w:rPr>
                      <w:color w:val="000000"/>
                    </w:rPr>
                  </w:pPr>
                  <w:r w:rsidRPr="00D643B4">
                    <w:rPr>
                      <w:color w:val="000000"/>
                    </w:rPr>
                    <w:t>28.55 ± 5.37</w:t>
                  </w:r>
                </w:p>
              </w:tc>
              <w:tc>
                <w:tcPr>
                  <w:tcW w:w="1176" w:type="pct"/>
                  <w:vAlign w:val="center"/>
                </w:tcPr>
                <w:p w:rsidR="00290577" w:rsidRPr="00D643B4" w:rsidRDefault="00290577" w:rsidP="00855AC3">
                  <w:pPr>
                    <w:bidi w:val="0"/>
                    <w:snapToGrid w:val="0"/>
                    <w:jc w:val="both"/>
                    <w:cnfStyle w:val="000000100000"/>
                    <w:rPr>
                      <w:color w:val="000000"/>
                    </w:rPr>
                  </w:pPr>
                  <w:r w:rsidRPr="00D643B4">
                    <w:rPr>
                      <w:color w:val="000000"/>
                    </w:rPr>
                    <w:t>26.60 ± 3.66</w:t>
                  </w:r>
                </w:p>
              </w:tc>
              <w:tc>
                <w:tcPr>
                  <w:tcW w:w="531" w:type="pct"/>
                  <w:vAlign w:val="center"/>
                </w:tcPr>
                <w:p w:rsidR="00290577" w:rsidRPr="00D643B4" w:rsidRDefault="00290577" w:rsidP="00855AC3">
                  <w:pPr>
                    <w:bidi w:val="0"/>
                    <w:snapToGrid w:val="0"/>
                    <w:jc w:val="both"/>
                    <w:cnfStyle w:val="000000100000"/>
                    <w:rPr>
                      <w:color w:val="000000"/>
                    </w:rPr>
                  </w:pPr>
                  <w:r w:rsidRPr="00D643B4">
                    <w:rPr>
                      <w:color w:val="000000"/>
                    </w:rPr>
                    <w:t>0.28</w:t>
                  </w:r>
                </w:p>
              </w:tc>
            </w:tr>
            <w:tr w:rsidR="00290577" w:rsidRPr="00D643B4" w:rsidTr="00D643B4">
              <w:tc>
                <w:tcPr>
                  <w:cnfStyle w:val="001000000000"/>
                  <w:tcW w:w="2100" w:type="pct"/>
                  <w:tcBorders>
                    <w:left w:val="none" w:sz="0" w:space="0" w:color="auto"/>
                  </w:tcBorders>
                  <w:vAlign w:val="center"/>
                </w:tcPr>
                <w:p w:rsidR="00290577" w:rsidRPr="00D643B4" w:rsidRDefault="00290577" w:rsidP="00855AC3">
                  <w:pPr>
                    <w:bidi w:val="0"/>
                    <w:snapToGrid w:val="0"/>
                    <w:jc w:val="both"/>
                    <w:rPr>
                      <w:color w:val="000000"/>
                    </w:rPr>
                  </w:pPr>
                  <w:r w:rsidRPr="00D643B4">
                    <w:rPr>
                      <w:color w:val="000000"/>
                    </w:rPr>
                    <w:t>Gender (male)</w:t>
                  </w:r>
                </w:p>
              </w:tc>
              <w:tc>
                <w:tcPr>
                  <w:tcW w:w="1193" w:type="pct"/>
                  <w:noWrap/>
                  <w:vAlign w:val="center"/>
                </w:tcPr>
                <w:p w:rsidR="00290577" w:rsidRPr="00D643B4" w:rsidRDefault="00290577" w:rsidP="00855AC3">
                  <w:pPr>
                    <w:bidi w:val="0"/>
                    <w:snapToGrid w:val="0"/>
                    <w:jc w:val="both"/>
                    <w:cnfStyle w:val="000000000000"/>
                    <w:rPr>
                      <w:color w:val="000000"/>
                    </w:rPr>
                  </w:pPr>
                  <w:r w:rsidRPr="00D643B4">
                    <w:rPr>
                      <w:rFonts w:eastAsia="Calibri"/>
                      <w:color w:val="000000"/>
                    </w:rPr>
                    <w:t>21 (52.5%)</w:t>
                  </w:r>
                </w:p>
              </w:tc>
              <w:tc>
                <w:tcPr>
                  <w:tcW w:w="1176" w:type="pct"/>
                  <w:vAlign w:val="center"/>
                </w:tcPr>
                <w:p w:rsidR="00290577" w:rsidRPr="00D643B4" w:rsidRDefault="00290577" w:rsidP="00855AC3">
                  <w:pPr>
                    <w:bidi w:val="0"/>
                    <w:snapToGrid w:val="0"/>
                    <w:jc w:val="both"/>
                    <w:cnfStyle w:val="000000000000"/>
                    <w:rPr>
                      <w:color w:val="000000"/>
                    </w:rPr>
                  </w:pPr>
                  <w:r w:rsidRPr="00D643B4">
                    <w:rPr>
                      <w:rFonts w:eastAsia="Calibri"/>
                      <w:color w:val="000000"/>
                    </w:rPr>
                    <w:t>5 (50.0%)</w:t>
                  </w:r>
                </w:p>
              </w:tc>
              <w:tc>
                <w:tcPr>
                  <w:tcW w:w="531" w:type="pct"/>
                  <w:vAlign w:val="center"/>
                </w:tcPr>
                <w:p w:rsidR="00290577" w:rsidRPr="00D643B4" w:rsidRDefault="00290577" w:rsidP="00855AC3">
                  <w:pPr>
                    <w:bidi w:val="0"/>
                    <w:snapToGrid w:val="0"/>
                    <w:jc w:val="both"/>
                    <w:cnfStyle w:val="000000000000"/>
                    <w:rPr>
                      <w:color w:val="000000"/>
                    </w:rPr>
                  </w:pPr>
                  <w:r w:rsidRPr="00D643B4">
                    <w:rPr>
                      <w:color w:val="000000"/>
                    </w:rPr>
                    <w:t>0.289</w:t>
                  </w:r>
                </w:p>
              </w:tc>
            </w:tr>
            <w:tr w:rsidR="00290577" w:rsidRPr="00D643B4" w:rsidTr="00D643B4">
              <w:trPr>
                <w:cnfStyle w:val="000000100000"/>
              </w:trPr>
              <w:tc>
                <w:tcPr>
                  <w:cnfStyle w:val="001000000000"/>
                  <w:tcW w:w="2100" w:type="pct"/>
                  <w:tcBorders>
                    <w:left w:val="none" w:sz="0" w:space="0" w:color="auto"/>
                  </w:tcBorders>
                  <w:vAlign w:val="center"/>
                  <w:hideMark/>
                </w:tcPr>
                <w:p w:rsidR="00290577" w:rsidRPr="00D643B4" w:rsidRDefault="00290577" w:rsidP="00855AC3">
                  <w:pPr>
                    <w:bidi w:val="0"/>
                    <w:snapToGrid w:val="0"/>
                    <w:jc w:val="both"/>
                    <w:rPr>
                      <w:i/>
                      <w:iCs/>
                      <w:color w:val="000000"/>
                    </w:rPr>
                  </w:pPr>
                  <w:r w:rsidRPr="00D643B4">
                    <w:rPr>
                      <w:color w:val="000000"/>
                    </w:rPr>
                    <w:t>SBP</w:t>
                  </w:r>
                </w:p>
              </w:tc>
              <w:tc>
                <w:tcPr>
                  <w:tcW w:w="1193" w:type="pct"/>
                  <w:noWrap/>
                  <w:vAlign w:val="center"/>
                </w:tcPr>
                <w:p w:rsidR="00290577" w:rsidRPr="00D643B4" w:rsidRDefault="00290577" w:rsidP="00855AC3">
                  <w:pPr>
                    <w:bidi w:val="0"/>
                    <w:snapToGrid w:val="0"/>
                    <w:jc w:val="both"/>
                    <w:cnfStyle w:val="000000100000"/>
                    <w:rPr>
                      <w:color w:val="000000"/>
                    </w:rPr>
                  </w:pPr>
                  <w:r w:rsidRPr="00D643B4">
                    <w:rPr>
                      <w:color w:val="000000"/>
                    </w:rPr>
                    <w:t>120.88 ± 10.31</w:t>
                  </w:r>
                </w:p>
              </w:tc>
              <w:tc>
                <w:tcPr>
                  <w:tcW w:w="1176" w:type="pct"/>
                  <w:vAlign w:val="center"/>
                </w:tcPr>
                <w:p w:rsidR="00290577" w:rsidRPr="00D643B4" w:rsidRDefault="00290577" w:rsidP="00855AC3">
                  <w:pPr>
                    <w:bidi w:val="0"/>
                    <w:snapToGrid w:val="0"/>
                    <w:jc w:val="both"/>
                    <w:cnfStyle w:val="000000100000"/>
                    <w:rPr>
                      <w:color w:val="000000"/>
                    </w:rPr>
                  </w:pPr>
                  <w:r w:rsidRPr="00D643B4">
                    <w:rPr>
                      <w:color w:val="000000"/>
                    </w:rPr>
                    <w:t>120 ± 6.67</w:t>
                  </w:r>
                </w:p>
              </w:tc>
              <w:tc>
                <w:tcPr>
                  <w:tcW w:w="531" w:type="pct"/>
                  <w:vAlign w:val="center"/>
                </w:tcPr>
                <w:p w:rsidR="00290577" w:rsidRPr="00D643B4" w:rsidRDefault="00290577" w:rsidP="00855AC3">
                  <w:pPr>
                    <w:bidi w:val="0"/>
                    <w:snapToGrid w:val="0"/>
                    <w:jc w:val="both"/>
                    <w:cnfStyle w:val="000000100000"/>
                    <w:rPr>
                      <w:color w:val="000000"/>
                    </w:rPr>
                  </w:pPr>
                  <w:r w:rsidRPr="00D643B4">
                    <w:rPr>
                      <w:color w:val="000000"/>
                    </w:rPr>
                    <w:t>0.089</w:t>
                  </w:r>
                </w:p>
              </w:tc>
            </w:tr>
            <w:tr w:rsidR="00290577" w:rsidRPr="00D643B4" w:rsidTr="00D643B4">
              <w:tc>
                <w:tcPr>
                  <w:cnfStyle w:val="001000000000"/>
                  <w:tcW w:w="2100" w:type="pct"/>
                  <w:tcBorders>
                    <w:left w:val="none" w:sz="0" w:space="0" w:color="auto"/>
                  </w:tcBorders>
                  <w:vAlign w:val="center"/>
                  <w:hideMark/>
                </w:tcPr>
                <w:p w:rsidR="00290577" w:rsidRPr="00D643B4" w:rsidRDefault="00290577" w:rsidP="00855AC3">
                  <w:pPr>
                    <w:bidi w:val="0"/>
                    <w:snapToGrid w:val="0"/>
                    <w:jc w:val="both"/>
                    <w:rPr>
                      <w:i/>
                      <w:iCs/>
                      <w:color w:val="000000"/>
                    </w:rPr>
                  </w:pPr>
                  <w:r w:rsidRPr="00D643B4">
                    <w:rPr>
                      <w:color w:val="000000"/>
                    </w:rPr>
                    <w:t>DBP</w:t>
                  </w:r>
                </w:p>
              </w:tc>
              <w:tc>
                <w:tcPr>
                  <w:tcW w:w="1193" w:type="pct"/>
                  <w:noWrap/>
                  <w:vAlign w:val="center"/>
                </w:tcPr>
                <w:p w:rsidR="00290577" w:rsidRPr="00D643B4" w:rsidRDefault="00290577" w:rsidP="00855AC3">
                  <w:pPr>
                    <w:bidi w:val="0"/>
                    <w:snapToGrid w:val="0"/>
                    <w:jc w:val="both"/>
                    <w:cnfStyle w:val="000000000000"/>
                    <w:rPr>
                      <w:color w:val="000000"/>
                    </w:rPr>
                  </w:pPr>
                  <w:r w:rsidRPr="00D643B4">
                    <w:rPr>
                      <w:color w:val="000000"/>
                    </w:rPr>
                    <w:t>71 ± 7.36</w:t>
                  </w:r>
                </w:p>
              </w:tc>
              <w:tc>
                <w:tcPr>
                  <w:tcW w:w="1176" w:type="pct"/>
                  <w:vAlign w:val="center"/>
                </w:tcPr>
                <w:p w:rsidR="00290577" w:rsidRPr="00D643B4" w:rsidRDefault="00290577" w:rsidP="00855AC3">
                  <w:pPr>
                    <w:bidi w:val="0"/>
                    <w:snapToGrid w:val="0"/>
                    <w:jc w:val="both"/>
                    <w:cnfStyle w:val="000000000000"/>
                    <w:rPr>
                      <w:color w:val="000000"/>
                    </w:rPr>
                  </w:pPr>
                  <w:r w:rsidRPr="00D643B4">
                    <w:rPr>
                      <w:color w:val="000000"/>
                    </w:rPr>
                    <w:t>71.5 ± 7.47</w:t>
                  </w:r>
                </w:p>
              </w:tc>
              <w:tc>
                <w:tcPr>
                  <w:tcW w:w="531" w:type="pct"/>
                  <w:vAlign w:val="center"/>
                </w:tcPr>
                <w:p w:rsidR="00290577" w:rsidRPr="00D643B4" w:rsidRDefault="00290577" w:rsidP="00855AC3">
                  <w:pPr>
                    <w:bidi w:val="0"/>
                    <w:snapToGrid w:val="0"/>
                    <w:jc w:val="both"/>
                    <w:cnfStyle w:val="000000000000"/>
                    <w:rPr>
                      <w:color w:val="000000"/>
                    </w:rPr>
                  </w:pPr>
                  <w:r w:rsidRPr="00D643B4">
                    <w:rPr>
                      <w:color w:val="000000"/>
                    </w:rPr>
                    <w:t>0.849</w:t>
                  </w:r>
                </w:p>
              </w:tc>
            </w:tr>
            <w:tr w:rsidR="00290577" w:rsidRPr="00D643B4" w:rsidTr="00D643B4">
              <w:trPr>
                <w:cnfStyle w:val="000000100000"/>
              </w:trPr>
              <w:tc>
                <w:tcPr>
                  <w:cnfStyle w:val="001000000000"/>
                  <w:tcW w:w="2100" w:type="pct"/>
                  <w:tcBorders>
                    <w:left w:val="none" w:sz="0" w:space="0" w:color="auto"/>
                  </w:tcBorders>
                  <w:vAlign w:val="center"/>
                  <w:hideMark/>
                </w:tcPr>
                <w:p w:rsidR="00290577" w:rsidRPr="00D643B4" w:rsidRDefault="00290577" w:rsidP="00855AC3">
                  <w:pPr>
                    <w:bidi w:val="0"/>
                    <w:snapToGrid w:val="0"/>
                    <w:jc w:val="both"/>
                    <w:rPr>
                      <w:i/>
                      <w:iCs/>
                      <w:color w:val="000000"/>
                    </w:rPr>
                  </w:pPr>
                  <w:r w:rsidRPr="00D643B4">
                    <w:rPr>
                      <w:color w:val="000000"/>
                    </w:rPr>
                    <w:t>HR</w:t>
                  </w:r>
                </w:p>
              </w:tc>
              <w:tc>
                <w:tcPr>
                  <w:tcW w:w="1193" w:type="pct"/>
                  <w:noWrap/>
                  <w:vAlign w:val="center"/>
                </w:tcPr>
                <w:p w:rsidR="00290577" w:rsidRPr="00D643B4" w:rsidRDefault="00290577" w:rsidP="00855AC3">
                  <w:pPr>
                    <w:bidi w:val="0"/>
                    <w:snapToGrid w:val="0"/>
                    <w:jc w:val="both"/>
                    <w:cnfStyle w:val="000000100000"/>
                    <w:rPr>
                      <w:color w:val="000000"/>
                    </w:rPr>
                  </w:pPr>
                  <w:r w:rsidRPr="00D643B4">
                    <w:rPr>
                      <w:color w:val="000000"/>
                    </w:rPr>
                    <w:t>71 ± 8.8</w:t>
                  </w:r>
                </w:p>
              </w:tc>
              <w:tc>
                <w:tcPr>
                  <w:tcW w:w="1176" w:type="pct"/>
                  <w:vAlign w:val="center"/>
                </w:tcPr>
                <w:p w:rsidR="00290577" w:rsidRPr="00D643B4" w:rsidRDefault="00290577" w:rsidP="00855AC3">
                  <w:pPr>
                    <w:bidi w:val="0"/>
                    <w:snapToGrid w:val="0"/>
                    <w:jc w:val="both"/>
                    <w:cnfStyle w:val="000000100000"/>
                    <w:rPr>
                      <w:color w:val="000000"/>
                    </w:rPr>
                  </w:pPr>
                  <w:r w:rsidRPr="00D643B4">
                    <w:rPr>
                      <w:color w:val="000000"/>
                    </w:rPr>
                    <w:t>71.8 ± 8.1</w:t>
                  </w:r>
                </w:p>
              </w:tc>
              <w:tc>
                <w:tcPr>
                  <w:tcW w:w="531" w:type="pct"/>
                  <w:vAlign w:val="center"/>
                </w:tcPr>
                <w:p w:rsidR="00290577" w:rsidRPr="00D643B4" w:rsidRDefault="00290577" w:rsidP="00855AC3">
                  <w:pPr>
                    <w:bidi w:val="0"/>
                    <w:snapToGrid w:val="0"/>
                    <w:jc w:val="both"/>
                    <w:cnfStyle w:val="000000100000"/>
                    <w:rPr>
                      <w:color w:val="000000"/>
                    </w:rPr>
                  </w:pPr>
                  <w:r w:rsidRPr="00D643B4">
                    <w:rPr>
                      <w:color w:val="000000"/>
                    </w:rPr>
                    <w:t>0.8</w:t>
                  </w:r>
                </w:p>
              </w:tc>
            </w:tr>
            <w:tr w:rsidR="00290577" w:rsidRPr="00D643B4" w:rsidTr="00D643B4">
              <w:tc>
                <w:tcPr>
                  <w:cnfStyle w:val="001000000000"/>
                  <w:tcW w:w="2100" w:type="pct"/>
                  <w:tcBorders>
                    <w:left w:val="none" w:sz="0" w:space="0" w:color="auto"/>
                  </w:tcBorders>
                  <w:vAlign w:val="center"/>
                </w:tcPr>
                <w:p w:rsidR="00290577" w:rsidRPr="00D643B4" w:rsidRDefault="00290577" w:rsidP="00855AC3">
                  <w:pPr>
                    <w:bidi w:val="0"/>
                    <w:snapToGrid w:val="0"/>
                    <w:jc w:val="both"/>
                    <w:rPr>
                      <w:i/>
                      <w:iCs/>
                      <w:color w:val="000000"/>
                    </w:rPr>
                  </w:pPr>
                  <w:r w:rsidRPr="00D643B4">
                    <w:rPr>
                      <w:color w:val="000000"/>
                    </w:rPr>
                    <w:t>Duration of Diabetes (years)</w:t>
                  </w:r>
                </w:p>
              </w:tc>
              <w:tc>
                <w:tcPr>
                  <w:tcW w:w="1193" w:type="pct"/>
                  <w:noWrap/>
                  <w:vAlign w:val="center"/>
                </w:tcPr>
                <w:p w:rsidR="00290577" w:rsidRPr="00D643B4" w:rsidRDefault="00290577" w:rsidP="00855AC3">
                  <w:pPr>
                    <w:bidi w:val="0"/>
                    <w:snapToGrid w:val="0"/>
                    <w:jc w:val="both"/>
                    <w:cnfStyle w:val="000000000000"/>
                    <w:rPr>
                      <w:color w:val="000000"/>
                    </w:rPr>
                  </w:pPr>
                  <w:r w:rsidRPr="00D643B4">
                    <w:rPr>
                      <w:color w:val="000000"/>
                    </w:rPr>
                    <w:t xml:space="preserve">16.5 </w:t>
                  </w:r>
                  <w:r w:rsidRPr="00D643B4">
                    <w:rPr>
                      <w:rFonts w:eastAsia="Calibri"/>
                      <w:color w:val="000000"/>
                    </w:rPr>
                    <w:t xml:space="preserve">± </w:t>
                  </w:r>
                  <w:r w:rsidRPr="00D643B4">
                    <w:rPr>
                      <w:color w:val="000000"/>
                    </w:rPr>
                    <w:t>5.3</w:t>
                  </w:r>
                </w:p>
              </w:tc>
              <w:tc>
                <w:tcPr>
                  <w:tcW w:w="1176" w:type="pct"/>
                  <w:vAlign w:val="center"/>
                </w:tcPr>
                <w:p w:rsidR="00290577" w:rsidRPr="00D643B4" w:rsidRDefault="00290577" w:rsidP="00855AC3">
                  <w:pPr>
                    <w:bidi w:val="0"/>
                    <w:snapToGrid w:val="0"/>
                    <w:jc w:val="both"/>
                    <w:cnfStyle w:val="000000000000"/>
                    <w:rPr>
                      <w:color w:val="000000"/>
                    </w:rPr>
                  </w:pPr>
                  <w:r w:rsidRPr="00D643B4">
                    <w:rPr>
                      <w:color w:val="000000"/>
                    </w:rPr>
                    <w:t>N/A</w:t>
                  </w:r>
                </w:p>
              </w:tc>
              <w:tc>
                <w:tcPr>
                  <w:tcW w:w="531" w:type="pct"/>
                  <w:vAlign w:val="center"/>
                </w:tcPr>
                <w:p w:rsidR="00290577" w:rsidRPr="00D643B4" w:rsidRDefault="00290577" w:rsidP="00855AC3">
                  <w:pPr>
                    <w:bidi w:val="0"/>
                    <w:snapToGrid w:val="0"/>
                    <w:jc w:val="both"/>
                    <w:cnfStyle w:val="000000000000"/>
                    <w:rPr>
                      <w:color w:val="000000"/>
                    </w:rPr>
                  </w:pPr>
                  <w:r w:rsidRPr="00D643B4">
                    <w:rPr>
                      <w:color w:val="000000"/>
                    </w:rPr>
                    <w:t>N/A</w:t>
                  </w:r>
                </w:p>
              </w:tc>
            </w:tr>
            <w:tr w:rsidR="00290577" w:rsidRPr="00D643B4" w:rsidTr="00D643B4">
              <w:trPr>
                <w:cnfStyle w:val="000000100000"/>
              </w:trPr>
              <w:tc>
                <w:tcPr>
                  <w:cnfStyle w:val="001000000000"/>
                  <w:tcW w:w="2100" w:type="pct"/>
                  <w:tcBorders>
                    <w:left w:val="none" w:sz="0" w:space="0" w:color="auto"/>
                    <w:bottom w:val="none" w:sz="0" w:space="0" w:color="auto"/>
                  </w:tcBorders>
                  <w:vAlign w:val="center"/>
                </w:tcPr>
                <w:p w:rsidR="00290577" w:rsidRPr="00D643B4" w:rsidRDefault="00290577" w:rsidP="00855AC3">
                  <w:pPr>
                    <w:bidi w:val="0"/>
                    <w:snapToGrid w:val="0"/>
                    <w:jc w:val="both"/>
                    <w:rPr>
                      <w:color w:val="000000"/>
                    </w:rPr>
                  </w:pPr>
                  <w:r w:rsidRPr="00D643B4">
                    <w:rPr>
                      <w:color w:val="000000"/>
                    </w:rPr>
                    <w:t>Hb A1 C</w:t>
                  </w:r>
                </w:p>
              </w:tc>
              <w:tc>
                <w:tcPr>
                  <w:tcW w:w="1193" w:type="pct"/>
                  <w:noWrap/>
                  <w:vAlign w:val="center"/>
                </w:tcPr>
                <w:p w:rsidR="00290577" w:rsidRPr="00D643B4" w:rsidRDefault="00290577" w:rsidP="00855AC3">
                  <w:pPr>
                    <w:bidi w:val="0"/>
                    <w:snapToGrid w:val="0"/>
                    <w:jc w:val="both"/>
                    <w:cnfStyle w:val="000000100000"/>
                    <w:rPr>
                      <w:color w:val="000000"/>
                    </w:rPr>
                  </w:pPr>
                  <w:r w:rsidRPr="00D643B4">
                    <w:rPr>
                      <w:color w:val="000000"/>
                    </w:rPr>
                    <w:t xml:space="preserve">8.2 </w:t>
                  </w:r>
                  <w:r w:rsidRPr="00D643B4">
                    <w:rPr>
                      <w:rFonts w:eastAsia="Calibri"/>
                      <w:color w:val="000000"/>
                    </w:rPr>
                    <w:t xml:space="preserve">± </w:t>
                  </w:r>
                  <w:r w:rsidRPr="00D643B4">
                    <w:rPr>
                      <w:color w:val="000000"/>
                    </w:rPr>
                    <w:t>1.2</w:t>
                  </w:r>
                </w:p>
              </w:tc>
              <w:tc>
                <w:tcPr>
                  <w:tcW w:w="1176" w:type="pct"/>
                  <w:vAlign w:val="center"/>
                </w:tcPr>
                <w:p w:rsidR="00290577" w:rsidRPr="00D643B4" w:rsidRDefault="00290577" w:rsidP="00855AC3">
                  <w:pPr>
                    <w:bidi w:val="0"/>
                    <w:snapToGrid w:val="0"/>
                    <w:jc w:val="both"/>
                    <w:cnfStyle w:val="000000100000"/>
                    <w:rPr>
                      <w:color w:val="000000"/>
                    </w:rPr>
                  </w:pPr>
                  <w:r w:rsidRPr="00D643B4">
                    <w:rPr>
                      <w:color w:val="000000"/>
                    </w:rPr>
                    <w:t>N/A</w:t>
                  </w:r>
                </w:p>
              </w:tc>
              <w:tc>
                <w:tcPr>
                  <w:tcW w:w="531" w:type="pct"/>
                  <w:vAlign w:val="center"/>
                </w:tcPr>
                <w:p w:rsidR="00290577" w:rsidRPr="00D643B4" w:rsidRDefault="00290577" w:rsidP="00855AC3">
                  <w:pPr>
                    <w:bidi w:val="0"/>
                    <w:snapToGrid w:val="0"/>
                    <w:jc w:val="both"/>
                    <w:cnfStyle w:val="000000100000"/>
                    <w:rPr>
                      <w:color w:val="000000"/>
                    </w:rPr>
                  </w:pPr>
                  <w:r w:rsidRPr="00D643B4">
                    <w:rPr>
                      <w:color w:val="000000"/>
                    </w:rPr>
                    <w:t>N/A</w:t>
                  </w:r>
                </w:p>
              </w:tc>
            </w:tr>
          </w:tbl>
          <w:p w:rsidR="00290577" w:rsidRPr="00D643B4" w:rsidRDefault="00290577" w:rsidP="00855AC3">
            <w:pPr>
              <w:pStyle w:val="ListParagraph"/>
              <w:snapToGrid w:val="0"/>
              <w:spacing w:after="0" w:line="240" w:lineRule="auto"/>
              <w:ind w:left="0"/>
              <w:jc w:val="both"/>
              <w:rPr>
                <w:rFonts w:ascii="Times New Roman" w:hAnsi="Times New Roman" w:cs="Times New Roman"/>
                <w:color w:val="000000"/>
                <w:sz w:val="20"/>
                <w:szCs w:val="20"/>
              </w:rPr>
            </w:pPr>
          </w:p>
        </w:tc>
      </w:tr>
    </w:tbl>
    <w:p w:rsidR="00290577" w:rsidRPr="00D643B4" w:rsidRDefault="00290577" w:rsidP="00855AC3">
      <w:pPr>
        <w:pStyle w:val="ListParagraph"/>
        <w:snapToGrid w:val="0"/>
        <w:spacing w:after="0" w:line="240" w:lineRule="auto"/>
        <w:ind w:left="0"/>
        <w:jc w:val="both"/>
        <w:rPr>
          <w:rFonts w:ascii="Times New Roman" w:hAnsi="Times New Roman" w:cs="Times New Roman"/>
          <w:sz w:val="20"/>
          <w:szCs w:val="20"/>
        </w:rPr>
      </w:pPr>
      <w:r w:rsidRPr="00D643B4">
        <w:rPr>
          <w:rFonts w:ascii="Times New Roman" w:hAnsi="Times New Roman" w:cs="Times New Roman"/>
          <w:sz w:val="20"/>
          <w:szCs w:val="20"/>
        </w:rPr>
        <w:t>N/A=not applicable</w:t>
      </w:r>
    </w:p>
    <w:p w:rsidR="00290577" w:rsidRPr="00D643B4" w:rsidRDefault="00290577" w:rsidP="00855AC3">
      <w:pPr>
        <w:pStyle w:val="ListParagraph"/>
        <w:snapToGrid w:val="0"/>
        <w:spacing w:after="0" w:line="240" w:lineRule="auto"/>
        <w:ind w:left="0"/>
        <w:jc w:val="center"/>
        <w:rPr>
          <w:rFonts w:ascii="Times New Roman" w:eastAsiaTheme="minorEastAsia" w:hAnsi="Times New Roman" w:cs="Times New Roman" w:hint="eastAsia"/>
          <w:b/>
          <w:bCs/>
          <w:sz w:val="20"/>
          <w:szCs w:val="20"/>
          <w:lang w:eastAsia="zh-CN"/>
        </w:rPr>
      </w:pPr>
      <w:r w:rsidRPr="00D643B4">
        <w:rPr>
          <w:rFonts w:ascii="Times New Roman" w:hAnsi="Times New Roman" w:cs="Times New Roman"/>
          <w:b/>
          <w:bCs/>
          <w:sz w:val="20"/>
          <w:szCs w:val="20"/>
        </w:rPr>
        <w:lastRenderedPageBreak/>
        <w:t>Table 2</w:t>
      </w:r>
      <w:r w:rsidR="00D643B4">
        <w:rPr>
          <w:rFonts w:ascii="Times New Roman" w:eastAsiaTheme="minorEastAsia" w:hAnsi="Times New Roman" w:cs="Times New Roman" w:hint="eastAsia"/>
          <w:b/>
          <w:bCs/>
          <w:sz w:val="20"/>
          <w:szCs w:val="20"/>
          <w:lang w:eastAsia="zh-CN"/>
        </w:rPr>
        <w:t>.</w:t>
      </w:r>
      <w:r w:rsidRPr="00D643B4">
        <w:rPr>
          <w:rFonts w:ascii="Times New Roman" w:hAnsi="Times New Roman" w:cs="Times New Roman"/>
          <w:b/>
          <w:bCs/>
          <w:sz w:val="20"/>
          <w:szCs w:val="20"/>
        </w:rPr>
        <w:t xml:space="preserve"> Comparison of some conventional echocardiographic parameters betw</w:t>
      </w:r>
      <w:r w:rsidR="00D643B4">
        <w:rPr>
          <w:rFonts w:ascii="Times New Roman" w:hAnsi="Times New Roman" w:cs="Times New Roman"/>
          <w:b/>
          <w:bCs/>
          <w:sz w:val="20"/>
          <w:szCs w:val="20"/>
        </w:rPr>
        <w:t>een control and patients groups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8"/>
      </w:tblGrid>
      <w:tr w:rsidR="00290577" w:rsidRPr="00D643B4" w:rsidTr="00290577">
        <w:trPr>
          <w:jc w:val="center"/>
        </w:trPr>
        <w:tc>
          <w:tcPr>
            <w:tcW w:w="9578" w:type="dxa"/>
          </w:tcPr>
          <w:tbl>
            <w:tblPr>
              <w:tblStyle w:val="GridTable5Dark-Accent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3"/>
              <w:gridCol w:w="2392"/>
              <w:gridCol w:w="2605"/>
              <w:gridCol w:w="1792"/>
            </w:tblGrid>
            <w:tr w:rsidR="00290577" w:rsidRPr="00D643B4" w:rsidTr="00D643B4">
              <w:trPr>
                <w:cnfStyle w:val="100000000000"/>
                <w:cantSplit/>
                <w:jc w:val="center"/>
              </w:trPr>
              <w:tc>
                <w:tcPr>
                  <w:cnfStyle w:val="001000000000"/>
                  <w:tcW w:w="1370" w:type="pct"/>
                  <w:tcBorders>
                    <w:top w:val="none" w:sz="0" w:space="0" w:color="auto"/>
                    <w:left w:val="none" w:sz="0" w:space="0" w:color="auto"/>
                    <w:right w:val="none" w:sz="0" w:space="0" w:color="auto"/>
                  </w:tcBorders>
                  <w:vAlign w:val="center"/>
                  <w:hideMark/>
                </w:tcPr>
                <w:p w:rsidR="00290577" w:rsidRPr="00D643B4" w:rsidRDefault="00290577" w:rsidP="00855AC3">
                  <w:pPr>
                    <w:bidi w:val="0"/>
                    <w:snapToGrid w:val="0"/>
                    <w:jc w:val="both"/>
                    <w:rPr>
                      <w:b w:val="0"/>
                      <w:bCs w:val="0"/>
                      <w:i/>
                      <w:iCs/>
                      <w:color w:val="000000"/>
                    </w:rPr>
                  </w:pPr>
                  <w:r w:rsidRPr="00D643B4">
                    <w:rPr>
                      <w:color w:val="000000"/>
                    </w:rPr>
                    <w:t>Parameters</w:t>
                  </w:r>
                </w:p>
              </w:tc>
              <w:tc>
                <w:tcPr>
                  <w:tcW w:w="1279" w:type="pct"/>
                  <w:tcBorders>
                    <w:top w:val="none" w:sz="0" w:space="0" w:color="auto"/>
                    <w:left w:val="none" w:sz="0" w:space="0" w:color="auto"/>
                    <w:right w:val="none" w:sz="0" w:space="0" w:color="auto"/>
                  </w:tcBorders>
                  <w:vAlign w:val="center"/>
                </w:tcPr>
                <w:p w:rsidR="00290577" w:rsidRPr="00D643B4" w:rsidRDefault="00290577" w:rsidP="00855AC3">
                  <w:pPr>
                    <w:bidi w:val="0"/>
                    <w:snapToGrid w:val="0"/>
                    <w:jc w:val="both"/>
                    <w:cnfStyle w:val="100000000000"/>
                    <w:rPr>
                      <w:b w:val="0"/>
                      <w:bCs w:val="0"/>
                      <w:i/>
                      <w:iCs/>
                      <w:color w:val="000000"/>
                    </w:rPr>
                  </w:pPr>
                  <w:r w:rsidRPr="00D643B4">
                    <w:rPr>
                      <w:color w:val="000000"/>
                    </w:rPr>
                    <w:t>Patients</w:t>
                  </w:r>
                </w:p>
              </w:tc>
              <w:tc>
                <w:tcPr>
                  <w:tcW w:w="1393" w:type="pct"/>
                  <w:tcBorders>
                    <w:top w:val="none" w:sz="0" w:space="0" w:color="auto"/>
                    <w:left w:val="none" w:sz="0" w:space="0" w:color="auto"/>
                    <w:right w:val="none" w:sz="0" w:space="0" w:color="auto"/>
                  </w:tcBorders>
                  <w:vAlign w:val="center"/>
                </w:tcPr>
                <w:p w:rsidR="00290577" w:rsidRPr="00D643B4" w:rsidRDefault="00290577" w:rsidP="00855AC3">
                  <w:pPr>
                    <w:bidi w:val="0"/>
                    <w:snapToGrid w:val="0"/>
                    <w:jc w:val="both"/>
                    <w:cnfStyle w:val="100000000000"/>
                    <w:rPr>
                      <w:b w:val="0"/>
                      <w:bCs w:val="0"/>
                      <w:i/>
                      <w:iCs/>
                      <w:color w:val="000000"/>
                    </w:rPr>
                  </w:pPr>
                  <w:r w:rsidRPr="00D643B4">
                    <w:rPr>
                      <w:color w:val="000000"/>
                    </w:rPr>
                    <w:t>Control</w:t>
                  </w:r>
                </w:p>
              </w:tc>
              <w:tc>
                <w:tcPr>
                  <w:tcW w:w="959" w:type="pct"/>
                  <w:tcBorders>
                    <w:top w:val="none" w:sz="0" w:space="0" w:color="auto"/>
                    <w:left w:val="none" w:sz="0" w:space="0" w:color="auto"/>
                    <w:right w:val="none" w:sz="0" w:space="0" w:color="auto"/>
                  </w:tcBorders>
                  <w:vAlign w:val="center"/>
                </w:tcPr>
                <w:p w:rsidR="00290577" w:rsidRPr="00D643B4" w:rsidRDefault="00290577" w:rsidP="00855AC3">
                  <w:pPr>
                    <w:bidi w:val="0"/>
                    <w:snapToGrid w:val="0"/>
                    <w:jc w:val="both"/>
                    <w:cnfStyle w:val="100000000000"/>
                    <w:rPr>
                      <w:b w:val="0"/>
                      <w:bCs w:val="0"/>
                      <w:i/>
                      <w:iCs/>
                      <w:color w:val="000000"/>
                    </w:rPr>
                  </w:pPr>
                  <w:r w:rsidRPr="00D643B4">
                    <w:rPr>
                      <w:color w:val="000000"/>
                    </w:rPr>
                    <w:t>P value</w:t>
                  </w:r>
                </w:p>
              </w:tc>
            </w:tr>
            <w:tr w:rsidR="00290577" w:rsidRPr="00D643B4" w:rsidTr="00D643B4">
              <w:trPr>
                <w:cnfStyle w:val="000000100000"/>
                <w:cantSplit/>
                <w:jc w:val="center"/>
              </w:trPr>
              <w:tc>
                <w:tcPr>
                  <w:cnfStyle w:val="001000000000"/>
                  <w:tcW w:w="1370" w:type="pct"/>
                  <w:tcBorders>
                    <w:left w:val="none" w:sz="0" w:space="0" w:color="auto"/>
                  </w:tcBorders>
                  <w:vAlign w:val="center"/>
                  <w:hideMark/>
                </w:tcPr>
                <w:p w:rsidR="00290577" w:rsidRPr="00D643B4" w:rsidRDefault="00290577" w:rsidP="00855AC3">
                  <w:pPr>
                    <w:bidi w:val="0"/>
                    <w:snapToGrid w:val="0"/>
                    <w:jc w:val="both"/>
                    <w:rPr>
                      <w:b w:val="0"/>
                      <w:bCs w:val="0"/>
                      <w:i/>
                      <w:iCs/>
                      <w:color w:val="000000"/>
                    </w:rPr>
                  </w:pPr>
                  <w:r w:rsidRPr="00D643B4">
                    <w:rPr>
                      <w:color w:val="000000"/>
                    </w:rPr>
                    <w:t>LVEDD</w:t>
                  </w:r>
                </w:p>
              </w:tc>
              <w:tc>
                <w:tcPr>
                  <w:tcW w:w="1279" w:type="pct"/>
                  <w:noWrap/>
                  <w:vAlign w:val="center"/>
                  <w:hideMark/>
                </w:tcPr>
                <w:p w:rsidR="00290577" w:rsidRPr="00D643B4" w:rsidRDefault="00290577" w:rsidP="00855AC3">
                  <w:pPr>
                    <w:bidi w:val="0"/>
                    <w:snapToGrid w:val="0"/>
                    <w:jc w:val="both"/>
                    <w:cnfStyle w:val="000000100000"/>
                    <w:rPr>
                      <w:color w:val="000000"/>
                    </w:rPr>
                  </w:pPr>
                  <w:r w:rsidRPr="00D643B4">
                    <w:rPr>
                      <w:color w:val="000000"/>
                    </w:rPr>
                    <w:t>4.46 ± 0.52</w:t>
                  </w:r>
                </w:p>
              </w:tc>
              <w:tc>
                <w:tcPr>
                  <w:tcW w:w="1393" w:type="pct"/>
                  <w:vAlign w:val="center"/>
                </w:tcPr>
                <w:p w:rsidR="00290577" w:rsidRPr="00D643B4" w:rsidRDefault="00290577" w:rsidP="00855AC3">
                  <w:pPr>
                    <w:bidi w:val="0"/>
                    <w:snapToGrid w:val="0"/>
                    <w:jc w:val="both"/>
                    <w:cnfStyle w:val="000000100000"/>
                    <w:rPr>
                      <w:color w:val="000000"/>
                    </w:rPr>
                  </w:pPr>
                  <w:r w:rsidRPr="00D643B4">
                    <w:rPr>
                      <w:color w:val="000000"/>
                    </w:rPr>
                    <w:t xml:space="preserve">4.57 </w:t>
                  </w:r>
                  <w:r w:rsidRPr="00D643B4">
                    <w:rPr>
                      <w:rFonts w:eastAsia="Calibri"/>
                      <w:color w:val="000000"/>
                    </w:rPr>
                    <w:t>±</w:t>
                  </w:r>
                  <w:r w:rsidRPr="00D643B4">
                    <w:rPr>
                      <w:color w:val="000000"/>
                    </w:rPr>
                    <w:t xml:space="preserve"> 0.63</w:t>
                  </w:r>
                </w:p>
              </w:tc>
              <w:tc>
                <w:tcPr>
                  <w:tcW w:w="959" w:type="pct"/>
                  <w:vAlign w:val="center"/>
                </w:tcPr>
                <w:p w:rsidR="00290577" w:rsidRPr="00D643B4" w:rsidRDefault="00290577" w:rsidP="00855AC3">
                  <w:pPr>
                    <w:bidi w:val="0"/>
                    <w:snapToGrid w:val="0"/>
                    <w:jc w:val="both"/>
                    <w:cnfStyle w:val="000000100000"/>
                    <w:rPr>
                      <w:color w:val="000000"/>
                    </w:rPr>
                  </w:pPr>
                  <w:r w:rsidRPr="00D643B4">
                    <w:rPr>
                      <w:color w:val="000000"/>
                    </w:rPr>
                    <w:t>0.563</w:t>
                  </w:r>
                </w:p>
              </w:tc>
            </w:tr>
            <w:tr w:rsidR="00290577" w:rsidRPr="00D643B4" w:rsidTr="00D643B4">
              <w:trPr>
                <w:cantSplit/>
                <w:jc w:val="center"/>
              </w:trPr>
              <w:tc>
                <w:tcPr>
                  <w:cnfStyle w:val="001000000000"/>
                  <w:tcW w:w="1370" w:type="pct"/>
                  <w:tcBorders>
                    <w:left w:val="none" w:sz="0" w:space="0" w:color="auto"/>
                  </w:tcBorders>
                  <w:vAlign w:val="center"/>
                  <w:hideMark/>
                </w:tcPr>
                <w:p w:rsidR="00290577" w:rsidRPr="00D643B4" w:rsidRDefault="00290577" w:rsidP="00855AC3">
                  <w:pPr>
                    <w:bidi w:val="0"/>
                    <w:snapToGrid w:val="0"/>
                    <w:jc w:val="both"/>
                    <w:rPr>
                      <w:b w:val="0"/>
                      <w:bCs w:val="0"/>
                      <w:i/>
                      <w:iCs/>
                      <w:color w:val="000000"/>
                    </w:rPr>
                  </w:pPr>
                  <w:r w:rsidRPr="00D643B4">
                    <w:rPr>
                      <w:color w:val="000000"/>
                    </w:rPr>
                    <w:t>LVESD</w:t>
                  </w:r>
                </w:p>
              </w:tc>
              <w:tc>
                <w:tcPr>
                  <w:tcW w:w="1279" w:type="pct"/>
                  <w:noWrap/>
                  <w:vAlign w:val="center"/>
                  <w:hideMark/>
                </w:tcPr>
                <w:p w:rsidR="00290577" w:rsidRPr="00D643B4" w:rsidRDefault="00290577" w:rsidP="00855AC3">
                  <w:pPr>
                    <w:bidi w:val="0"/>
                    <w:snapToGrid w:val="0"/>
                    <w:jc w:val="both"/>
                    <w:cnfStyle w:val="000000000000"/>
                    <w:rPr>
                      <w:color w:val="000000"/>
                    </w:rPr>
                  </w:pPr>
                  <w:r w:rsidRPr="00D643B4">
                    <w:rPr>
                      <w:color w:val="000000"/>
                    </w:rPr>
                    <w:t>2.9</w:t>
                  </w:r>
                  <w:r w:rsidRPr="00D643B4">
                    <w:rPr>
                      <w:rFonts w:eastAsia="Calibri"/>
                      <w:color w:val="000000"/>
                    </w:rPr>
                    <w:t>±</w:t>
                  </w:r>
                  <w:r w:rsidRPr="00D643B4">
                    <w:rPr>
                      <w:color w:val="000000"/>
                    </w:rPr>
                    <w:t>0.4</w:t>
                  </w:r>
                </w:p>
              </w:tc>
              <w:tc>
                <w:tcPr>
                  <w:tcW w:w="1393" w:type="pct"/>
                  <w:vAlign w:val="center"/>
                </w:tcPr>
                <w:p w:rsidR="00290577" w:rsidRPr="00D643B4" w:rsidRDefault="00290577" w:rsidP="00855AC3">
                  <w:pPr>
                    <w:bidi w:val="0"/>
                    <w:snapToGrid w:val="0"/>
                    <w:jc w:val="both"/>
                    <w:cnfStyle w:val="000000000000"/>
                    <w:rPr>
                      <w:color w:val="000000"/>
                    </w:rPr>
                  </w:pPr>
                  <w:r w:rsidRPr="00D643B4">
                    <w:rPr>
                      <w:color w:val="000000"/>
                    </w:rPr>
                    <w:t xml:space="preserve">3.04 </w:t>
                  </w:r>
                  <w:r w:rsidRPr="00D643B4">
                    <w:rPr>
                      <w:rFonts w:eastAsia="Calibri"/>
                      <w:color w:val="000000"/>
                    </w:rPr>
                    <w:t>±</w:t>
                  </w:r>
                  <w:r w:rsidRPr="00D643B4">
                    <w:rPr>
                      <w:color w:val="000000"/>
                    </w:rPr>
                    <w:t>0.53</w:t>
                  </w:r>
                </w:p>
              </w:tc>
              <w:tc>
                <w:tcPr>
                  <w:tcW w:w="959" w:type="pct"/>
                  <w:vAlign w:val="center"/>
                </w:tcPr>
                <w:p w:rsidR="00290577" w:rsidRPr="00D643B4" w:rsidRDefault="00290577" w:rsidP="00855AC3">
                  <w:pPr>
                    <w:bidi w:val="0"/>
                    <w:snapToGrid w:val="0"/>
                    <w:jc w:val="both"/>
                    <w:cnfStyle w:val="000000000000"/>
                    <w:rPr>
                      <w:color w:val="000000"/>
                    </w:rPr>
                  </w:pPr>
                  <w:r w:rsidRPr="00D643B4">
                    <w:rPr>
                      <w:color w:val="000000"/>
                    </w:rPr>
                    <w:t>0.347</w:t>
                  </w:r>
                </w:p>
              </w:tc>
            </w:tr>
            <w:tr w:rsidR="00290577" w:rsidRPr="00D643B4" w:rsidTr="00D643B4">
              <w:trPr>
                <w:cnfStyle w:val="000000100000"/>
                <w:cantSplit/>
                <w:jc w:val="center"/>
              </w:trPr>
              <w:tc>
                <w:tcPr>
                  <w:cnfStyle w:val="001000000000"/>
                  <w:tcW w:w="1370" w:type="pct"/>
                  <w:tcBorders>
                    <w:left w:val="none" w:sz="0" w:space="0" w:color="auto"/>
                  </w:tcBorders>
                  <w:vAlign w:val="center"/>
                  <w:hideMark/>
                </w:tcPr>
                <w:p w:rsidR="00290577" w:rsidRPr="00D643B4" w:rsidRDefault="00290577" w:rsidP="00855AC3">
                  <w:pPr>
                    <w:bidi w:val="0"/>
                    <w:snapToGrid w:val="0"/>
                    <w:jc w:val="both"/>
                    <w:rPr>
                      <w:b w:val="0"/>
                      <w:bCs w:val="0"/>
                      <w:i/>
                      <w:iCs/>
                      <w:color w:val="000000"/>
                    </w:rPr>
                  </w:pPr>
                  <w:r w:rsidRPr="00D643B4">
                    <w:rPr>
                      <w:color w:val="000000"/>
                    </w:rPr>
                    <w:t>EF</w:t>
                  </w:r>
                </w:p>
              </w:tc>
              <w:tc>
                <w:tcPr>
                  <w:tcW w:w="1279" w:type="pct"/>
                  <w:noWrap/>
                  <w:vAlign w:val="center"/>
                  <w:hideMark/>
                </w:tcPr>
                <w:p w:rsidR="00290577" w:rsidRPr="00D643B4" w:rsidRDefault="00290577" w:rsidP="00855AC3">
                  <w:pPr>
                    <w:bidi w:val="0"/>
                    <w:snapToGrid w:val="0"/>
                    <w:jc w:val="both"/>
                    <w:cnfStyle w:val="000000100000"/>
                    <w:rPr>
                      <w:color w:val="000000"/>
                    </w:rPr>
                  </w:pPr>
                  <w:r w:rsidRPr="00D643B4">
                    <w:rPr>
                      <w:color w:val="000000"/>
                    </w:rPr>
                    <w:t xml:space="preserve">64.22 </w:t>
                  </w:r>
                  <w:r w:rsidRPr="00D643B4">
                    <w:rPr>
                      <w:rFonts w:eastAsia="Calibri"/>
                      <w:color w:val="000000"/>
                    </w:rPr>
                    <w:t>±</w:t>
                  </w:r>
                  <w:r w:rsidRPr="00D643B4">
                    <w:rPr>
                      <w:color w:val="000000"/>
                    </w:rPr>
                    <w:t xml:space="preserve"> 3.3</w:t>
                  </w:r>
                </w:p>
              </w:tc>
              <w:tc>
                <w:tcPr>
                  <w:tcW w:w="1393" w:type="pct"/>
                  <w:vAlign w:val="center"/>
                </w:tcPr>
                <w:p w:rsidR="00290577" w:rsidRPr="00D643B4" w:rsidRDefault="00290577" w:rsidP="00855AC3">
                  <w:pPr>
                    <w:bidi w:val="0"/>
                    <w:snapToGrid w:val="0"/>
                    <w:jc w:val="both"/>
                    <w:cnfStyle w:val="000000100000"/>
                    <w:rPr>
                      <w:color w:val="000000"/>
                    </w:rPr>
                  </w:pPr>
                  <w:r w:rsidRPr="00D643B4">
                    <w:rPr>
                      <w:color w:val="000000"/>
                    </w:rPr>
                    <w:t>62.9</w:t>
                  </w:r>
                  <w:r w:rsidRPr="00D643B4">
                    <w:rPr>
                      <w:rFonts w:eastAsia="Calibri"/>
                      <w:color w:val="000000"/>
                    </w:rPr>
                    <w:t>±</w:t>
                  </w:r>
                  <w:r w:rsidRPr="00D643B4">
                    <w:rPr>
                      <w:color w:val="000000"/>
                    </w:rPr>
                    <w:t>4.95</w:t>
                  </w:r>
                </w:p>
              </w:tc>
              <w:tc>
                <w:tcPr>
                  <w:tcW w:w="959" w:type="pct"/>
                  <w:vAlign w:val="center"/>
                </w:tcPr>
                <w:p w:rsidR="00290577" w:rsidRPr="00D643B4" w:rsidRDefault="00290577" w:rsidP="00855AC3">
                  <w:pPr>
                    <w:bidi w:val="0"/>
                    <w:snapToGrid w:val="0"/>
                    <w:jc w:val="both"/>
                    <w:cnfStyle w:val="000000100000"/>
                    <w:rPr>
                      <w:color w:val="000000"/>
                    </w:rPr>
                  </w:pPr>
                  <w:r w:rsidRPr="00D643B4">
                    <w:rPr>
                      <w:color w:val="000000"/>
                    </w:rPr>
                    <w:t>0.313</w:t>
                  </w:r>
                </w:p>
              </w:tc>
            </w:tr>
            <w:tr w:rsidR="00290577" w:rsidRPr="00D643B4" w:rsidTr="00D643B4">
              <w:trPr>
                <w:cantSplit/>
                <w:jc w:val="center"/>
              </w:trPr>
              <w:tc>
                <w:tcPr>
                  <w:cnfStyle w:val="001000000000"/>
                  <w:tcW w:w="1370" w:type="pct"/>
                  <w:tcBorders>
                    <w:left w:val="none" w:sz="0" w:space="0" w:color="auto"/>
                  </w:tcBorders>
                  <w:vAlign w:val="center"/>
                  <w:hideMark/>
                </w:tcPr>
                <w:p w:rsidR="00290577" w:rsidRPr="00D643B4" w:rsidRDefault="00290577" w:rsidP="00855AC3">
                  <w:pPr>
                    <w:bidi w:val="0"/>
                    <w:snapToGrid w:val="0"/>
                    <w:jc w:val="both"/>
                    <w:rPr>
                      <w:b w:val="0"/>
                      <w:bCs w:val="0"/>
                      <w:i/>
                      <w:iCs/>
                      <w:color w:val="000000"/>
                    </w:rPr>
                  </w:pPr>
                  <w:r w:rsidRPr="00D643B4">
                    <w:rPr>
                      <w:color w:val="000000"/>
                    </w:rPr>
                    <w:t>TAPSE</w:t>
                  </w:r>
                </w:p>
              </w:tc>
              <w:tc>
                <w:tcPr>
                  <w:tcW w:w="1279" w:type="pct"/>
                  <w:noWrap/>
                  <w:vAlign w:val="center"/>
                </w:tcPr>
                <w:p w:rsidR="00290577" w:rsidRPr="00D643B4" w:rsidRDefault="00290577" w:rsidP="00855AC3">
                  <w:pPr>
                    <w:bidi w:val="0"/>
                    <w:snapToGrid w:val="0"/>
                    <w:jc w:val="both"/>
                    <w:cnfStyle w:val="000000000000"/>
                    <w:rPr>
                      <w:color w:val="000000"/>
                    </w:rPr>
                  </w:pPr>
                  <w:r w:rsidRPr="00D643B4">
                    <w:rPr>
                      <w:color w:val="000000"/>
                    </w:rPr>
                    <w:t xml:space="preserve">2.4 </w:t>
                  </w:r>
                  <w:r w:rsidRPr="00D643B4">
                    <w:rPr>
                      <w:rFonts w:eastAsia="Calibri"/>
                      <w:color w:val="000000"/>
                    </w:rPr>
                    <w:t>±</w:t>
                  </w:r>
                  <w:r w:rsidRPr="00D643B4">
                    <w:rPr>
                      <w:color w:val="000000"/>
                    </w:rPr>
                    <w:t xml:space="preserve"> 0.19</w:t>
                  </w:r>
                </w:p>
              </w:tc>
              <w:tc>
                <w:tcPr>
                  <w:tcW w:w="1393" w:type="pct"/>
                  <w:vAlign w:val="center"/>
                </w:tcPr>
                <w:p w:rsidR="00290577" w:rsidRPr="00D643B4" w:rsidRDefault="00290577" w:rsidP="00855AC3">
                  <w:pPr>
                    <w:bidi w:val="0"/>
                    <w:snapToGrid w:val="0"/>
                    <w:jc w:val="both"/>
                    <w:cnfStyle w:val="000000000000"/>
                    <w:rPr>
                      <w:color w:val="000000"/>
                    </w:rPr>
                  </w:pPr>
                  <w:r w:rsidRPr="00D643B4">
                    <w:rPr>
                      <w:color w:val="000000"/>
                    </w:rPr>
                    <w:t xml:space="preserve">2.49 </w:t>
                  </w:r>
                  <w:r w:rsidRPr="00D643B4">
                    <w:rPr>
                      <w:rFonts w:eastAsia="Calibri"/>
                      <w:color w:val="000000"/>
                    </w:rPr>
                    <w:t>±</w:t>
                  </w:r>
                  <w:r w:rsidRPr="00D643B4">
                    <w:rPr>
                      <w:color w:val="000000"/>
                    </w:rPr>
                    <w:t xml:space="preserve"> 0.19</w:t>
                  </w:r>
                </w:p>
              </w:tc>
              <w:tc>
                <w:tcPr>
                  <w:tcW w:w="959" w:type="pct"/>
                  <w:vAlign w:val="center"/>
                </w:tcPr>
                <w:p w:rsidR="00290577" w:rsidRPr="00D643B4" w:rsidRDefault="00290577" w:rsidP="00855AC3">
                  <w:pPr>
                    <w:bidi w:val="0"/>
                    <w:snapToGrid w:val="0"/>
                    <w:jc w:val="both"/>
                    <w:cnfStyle w:val="000000000000"/>
                    <w:rPr>
                      <w:color w:val="000000"/>
                    </w:rPr>
                  </w:pPr>
                  <w:r w:rsidRPr="00D643B4">
                    <w:rPr>
                      <w:color w:val="000000"/>
                    </w:rPr>
                    <w:t>0.162</w:t>
                  </w:r>
                </w:p>
              </w:tc>
            </w:tr>
            <w:tr w:rsidR="00290577" w:rsidRPr="00D643B4" w:rsidTr="00D643B4">
              <w:trPr>
                <w:cnfStyle w:val="000000100000"/>
                <w:cantSplit/>
                <w:jc w:val="center"/>
              </w:trPr>
              <w:tc>
                <w:tcPr>
                  <w:cnfStyle w:val="001000000000"/>
                  <w:tcW w:w="1370" w:type="pct"/>
                  <w:tcBorders>
                    <w:left w:val="none" w:sz="0" w:space="0" w:color="auto"/>
                    <w:bottom w:val="none" w:sz="0" w:space="0" w:color="auto"/>
                  </w:tcBorders>
                  <w:vAlign w:val="center"/>
                </w:tcPr>
                <w:p w:rsidR="00290577" w:rsidRPr="00D643B4" w:rsidRDefault="00290577" w:rsidP="00855AC3">
                  <w:pPr>
                    <w:bidi w:val="0"/>
                    <w:snapToGrid w:val="0"/>
                    <w:jc w:val="both"/>
                    <w:rPr>
                      <w:b w:val="0"/>
                      <w:bCs w:val="0"/>
                      <w:i/>
                      <w:iCs/>
                      <w:color w:val="000000"/>
                    </w:rPr>
                  </w:pPr>
                  <w:r w:rsidRPr="00D643B4">
                    <w:rPr>
                      <w:color w:val="000000"/>
                    </w:rPr>
                    <w:t>FAC</w:t>
                  </w:r>
                </w:p>
              </w:tc>
              <w:tc>
                <w:tcPr>
                  <w:tcW w:w="1279" w:type="pct"/>
                  <w:noWrap/>
                  <w:vAlign w:val="center"/>
                </w:tcPr>
                <w:p w:rsidR="00290577" w:rsidRPr="00D643B4" w:rsidRDefault="00290577" w:rsidP="00855AC3">
                  <w:pPr>
                    <w:bidi w:val="0"/>
                    <w:snapToGrid w:val="0"/>
                    <w:jc w:val="both"/>
                    <w:cnfStyle w:val="000000100000"/>
                    <w:rPr>
                      <w:color w:val="000000"/>
                    </w:rPr>
                  </w:pPr>
                  <w:r w:rsidRPr="00D643B4">
                    <w:rPr>
                      <w:color w:val="000000"/>
                    </w:rPr>
                    <w:t xml:space="preserve">46.67 </w:t>
                  </w:r>
                  <w:r w:rsidRPr="00D643B4">
                    <w:rPr>
                      <w:rFonts w:eastAsia="Calibri"/>
                      <w:color w:val="000000"/>
                    </w:rPr>
                    <w:t>±</w:t>
                  </w:r>
                  <w:r w:rsidRPr="00D643B4">
                    <w:rPr>
                      <w:color w:val="000000"/>
                    </w:rPr>
                    <w:t xml:space="preserve"> 6.4</w:t>
                  </w:r>
                </w:p>
              </w:tc>
              <w:tc>
                <w:tcPr>
                  <w:tcW w:w="1393" w:type="pct"/>
                  <w:vAlign w:val="center"/>
                </w:tcPr>
                <w:p w:rsidR="00290577" w:rsidRPr="00D643B4" w:rsidRDefault="00290577" w:rsidP="00855AC3">
                  <w:pPr>
                    <w:bidi w:val="0"/>
                    <w:snapToGrid w:val="0"/>
                    <w:jc w:val="both"/>
                    <w:cnfStyle w:val="000000100000"/>
                    <w:rPr>
                      <w:color w:val="000000"/>
                    </w:rPr>
                  </w:pPr>
                  <w:r w:rsidRPr="00D643B4">
                    <w:rPr>
                      <w:color w:val="000000"/>
                    </w:rPr>
                    <w:t xml:space="preserve">47.04 </w:t>
                  </w:r>
                  <w:r w:rsidRPr="00D643B4">
                    <w:rPr>
                      <w:rFonts w:eastAsia="Calibri"/>
                      <w:color w:val="000000"/>
                    </w:rPr>
                    <w:t>±</w:t>
                  </w:r>
                  <w:r w:rsidRPr="00D643B4">
                    <w:rPr>
                      <w:color w:val="000000"/>
                    </w:rPr>
                    <w:t xml:space="preserve"> 3.64</w:t>
                  </w:r>
                </w:p>
              </w:tc>
              <w:tc>
                <w:tcPr>
                  <w:tcW w:w="959" w:type="pct"/>
                  <w:vAlign w:val="center"/>
                </w:tcPr>
                <w:p w:rsidR="00290577" w:rsidRPr="00D643B4" w:rsidRDefault="00290577" w:rsidP="00855AC3">
                  <w:pPr>
                    <w:bidi w:val="0"/>
                    <w:snapToGrid w:val="0"/>
                    <w:jc w:val="both"/>
                    <w:cnfStyle w:val="000000100000"/>
                    <w:rPr>
                      <w:color w:val="000000"/>
                    </w:rPr>
                  </w:pPr>
                  <w:r w:rsidRPr="00D643B4">
                    <w:rPr>
                      <w:color w:val="000000"/>
                    </w:rPr>
                    <w:t>0.864</w:t>
                  </w:r>
                </w:p>
              </w:tc>
            </w:tr>
          </w:tbl>
          <w:p w:rsidR="00290577" w:rsidRPr="00D643B4" w:rsidRDefault="00290577" w:rsidP="00855AC3">
            <w:pPr>
              <w:pStyle w:val="ListParagraph"/>
              <w:snapToGrid w:val="0"/>
              <w:spacing w:after="0" w:line="240" w:lineRule="auto"/>
              <w:ind w:left="0"/>
              <w:jc w:val="both"/>
              <w:rPr>
                <w:rFonts w:ascii="Times New Roman" w:hAnsi="Times New Roman" w:cs="Times New Roman"/>
                <w:color w:val="000000"/>
                <w:sz w:val="20"/>
                <w:szCs w:val="20"/>
              </w:rPr>
            </w:pPr>
          </w:p>
        </w:tc>
      </w:tr>
    </w:tbl>
    <w:p w:rsidR="00855AC3" w:rsidRPr="00D643B4" w:rsidRDefault="00855AC3" w:rsidP="00855AC3">
      <w:pPr>
        <w:pStyle w:val="ListParagraph"/>
        <w:snapToGrid w:val="0"/>
        <w:spacing w:after="0" w:line="240" w:lineRule="auto"/>
        <w:ind w:left="0"/>
        <w:jc w:val="center"/>
        <w:rPr>
          <w:rFonts w:ascii="Times New Roman" w:eastAsiaTheme="minorEastAsia" w:hAnsi="Times New Roman" w:cs="Times New Roman"/>
          <w:sz w:val="20"/>
          <w:szCs w:val="20"/>
          <w:lang w:eastAsia="zh-CN"/>
        </w:rPr>
      </w:pPr>
    </w:p>
    <w:p w:rsidR="00290577" w:rsidRPr="00D643B4" w:rsidRDefault="00290577" w:rsidP="00855AC3">
      <w:pPr>
        <w:bidi w:val="0"/>
        <w:snapToGrid w:val="0"/>
        <w:spacing w:after="0" w:line="240" w:lineRule="auto"/>
        <w:jc w:val="center"/>
        <w:rPr>
          <w:rFonts w:ascii="Times New Roman" w:hAnsi="Times New Roman" w:cs="Times New Roman" w:hint="eastAsia"/>
          <w:b/>
          <w:bCs/>
          <w:sz w:val="20"/>
          <w:szCs w:val="20"/>
          <w:lang w:eastAsia="zh-CN"/>
        </w:rPr>
      </w:pPr>
      <w:r w:rsidRPr="00D643B4">
        <w:rPr>
          <w:rFonts w:ascii="Times New Roman" w:eastAsia="Calibri" w:hAnsi="Times New Roman" w:cs="Times New Roman"/>
          <w:b/>
          <w:bCs/>
          <w:sz w:val="20"/>
          <w:szCs w:val="20"/>
        </w:rPr>
        <w:t>Table 3</w:t>
      </w:r>
      <w:r w:rsidR="00D643B4">
        <w:rPr>
          <w:rFonts w:ascii="Times New Roman" w:hAnsi="Times New Roman" w:cs="Times New Roman" w:hint="eastAsia"/>
          <w:b/>
          <w:bCs/>
          <w:sz w:val="20"/>
          <w:szCs w:val="20"/>
          <w:lang w:eastAsia="zh-CN"/>
        </w:rPr>
        <w:t>.</w:t>
      </w:r>
      <w:r w:rsidRPr="00D643B4">
        <w:rPr>
          <w:rFonts w:ascii="Times New Roman" w:eastAsia="Calibri" w:hAnsi="Times New Roman" w:cs="Times New Roman"/>
          <w:b/>
          <w:bCs/>
          <w:sz w:val="20"/>
          <w:szCs w:val="20"/>
        </w:rPr>
        <w:t xml:space="preserve"> Comparison of some strain parameters between control and patients</w:t>
      </w:r>
      <w:r w:rsidR="00D643B4">
        <w:rPr>
          <w:rFonts w:ascii="Times New Roman" w:hAnsi="Times New Roman" w:cs="Times New Roman" w:hint="eastAsia"/>
          <w:b/>
          <w:bCs/>
          <w:sz w:val="20"/>
          <w:szCs w:val="20"/>
          <w:lang w:eastAsia="zh-CN"/>
        </w:rPr>
        <w:t xml:space="preserve"> </w:t>
      </w:r>
      <w:r w:rsidR="00D643B4">
        <w:rPr>
          <w:rFonts w:ascii="Times New Roman" w:eastAsia="Calibri" w:hAnsi="Times New Roman" w:cs="Times New Roman"/>
          <w:b/>
          <w:bCs/>
          <w:sz w:val="20"/>
          <w:szCs w:val="20"/>
        </w:rPr>
        <w:t>groups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8"/>
      </w:tblGrid>
      <w:tr w:rsidR="00290577" w:rsidRPr="00D643B4" w:rsidTr="00290577">
        <w:trPr>
          <w:jc w:val="center"/>
        </w:trPr>
        <w:tc>
          <w:tcPr>
            <w:tcW w:w="9578" w:type="dxa"/>
          </w:tcPr>
          <w:tbl>
            <w:tblPr>
              <w:tblStyle w:val="GridTable5Dark-Accent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3"/>
              <w:gridCol w:w="2673"/>
              <w:gridCol w:w="2402"/>
              <w:gridCol w:w="1644"/>
            </w:tblGrid>
            <w:tr w:rsidR="00290577" w:rsidRPr="00D643B4" w:rsidTr="00D643B4">
              <w:trPr>
                <w:cnfStyle w:val="100000000000"/>
                <w:cantSplit/>
                <w:jc w:val="center"/>
              </w:trPr>
              <w:tc>
                <w:tcPr>
                  <w:cnfStyle w:val="001000000000"/>
                  <w:tcW w:w="1408" w:type="pct"/>
                  <w:tcBorders>
                    <w:top w:val="none" w:sz="0" w:space="0" w:color="auto"/>
                    <w:left w:val="none" w:sz="0" w:space="0" w:color="auto"/>
                    <w:right w:val="none" w:sz="0" w:space="0" w:color="auto"/>
                  </w:tcBorders>
                  <w:hideMark/>
                </w:tcPr>
                <w:p w:rsidR="00290577" w:rsidRPr="00D643B4" w:rsidRDefault="00290577" w:rsidP="00855AC3">
                  <w:pPr>
                    <w:bidi w:val="0"/>
                    <w:snapToGrid w:val="0"/>
                    <w:jc w:val="both"/>
                    <w:rPr>
                      <w:color w:val="000000"/>
                    </w:rPr>
                  </w:pPr>
                  <w:r w:rsidRPr="00D643B4">
                    <w:rPr>
                      <w:color w:val="000000"/>
                    </w:rPr>
                    <w:t>Parameters</w:t>
                  </w:r>
                </w:p>
              </w:tc>
              <w:tc>
                <w:tcPr>
                  <w:tcW w:w="1429" w:type="pct"/>
                  <w:tcBorders>
                    <w:top w:val="none" w:sz="0" w:space="0" w:color="auto"/>
                    <w:left w:val="none" w:sz="0" w:space="0" w:color="auto"/>
                    <w:right w:val="none" w:sz="0" w:space="0" w:color="auto"/>
                  </w:tcBorders>
                </w:tcPr>
                <w:p w:rsidR="00290577" w:rsidRPr="00D643B4" w:rsidRDefault="00290577" w:rsidP="00855AC3">
                  <w:pPr>
                    <w:bidi w:val="0"/>
                    <w:snapToGrid w:val="0"/>
                    <w:jc w:val="both"/>
                    <w:cnfStyle w:val="100000000000"/>
                    <w:rPr>
                      <w:color w:val="000000"/>
                    </w:rPr>
                  </w:pPr>
                  <w:r w:rsidRPr="00D643B4">
                    <w:rPr>
                      <w:i/>
                      <w:iCs/>
                      <w:color w:val="000000"/>
                    </w:rPr>
                    <w:t>Patients</w:t>
                  </w:r>
                </w:p>
              </w:tc>
              <w:tc>
                <w:tcPr>
                  <w:tcW w:w="1284" w:type="pct"/>
                  <w:tcBorders>
                    <w:top w:val="none" w:sz="0" w:space="0" w:color="auto"/>
                    <w:left w:val="none" w:sz="0" w:space="0" w:color="auto"/>
                    <w:right w:val="none" w:sz="0" w:space="0" w:color="auto"/>
                  </w:tcBorders>
                </w:tcPr>
                <w:p w:rsidR="00290577" w:rsidRPr="00D643B4" w:rsidRDefault="00290577" w:rsidP="00855AC3">
                  <w:pPr>
                    <w:bidi w:val="0"/>
                    <w:snapToGrid w:val="0"/>
                    <w:jc w:val="both"/>
                    <w:cnfStyle w:val="100000000000"/>
                    <w:rPr>
                      <w:i/>
                      <w:iCs/>
                      <w:color w:val="000000"/>
                    </w:rPr>
                  </w:pPr>
                  <w:r w:rsidRPr="00D643B4">
                    <w:rPr>
                      <w:i/>
                      <w:iCs/>
                      <w:color w:val="000000"/>
                    </w:rPr>
                    <w:t>Control</w:t>
                  </w:r>
                </w:p>
              </w:tc>
              <w:tc>
                <w:tcPr>
                  <w:tcW w:w="879" w:type="pct"/>
                  <w:tcBorders>
                    <w:top w:val="none" w:sz="0" w:space="0" w:color="auto"/>
                    <w:left w:val="none" w:sz="0" w:space="0" w:color="auto"/>
                    <w:right w:val="none" w:sz="0" w:space="0" w:color="auto"/>
                  </w:tcBorders>
                </w:tcPr>
                <w:p w:rsidR="00290577" w:rsidRPr="00D643B4" w:rsidRDefault="00290577" w:rsidP="00855AC3">
                  <w:pPr>
                    <w:bidi w:val="0"/>
                    <w:snapToGrid w:val="0"/>
                    <w:jc w:val="both"/>
                    <w:cnfStyle w:val="100000000000"/>
                    <w:rPr>
                      <w:i/>
                      <w:iCs/>
                      <w:color w:val="000000"/>
                    </w:rPr>
                  </w:pPr>
                  <w:r w:rsidRPr="00D643B4">
                    <w:rPr>
                      <w:i/>
                      <w:iCs/>
                      <w:color w:val="000000"/>
                    </w:rPr>
                    <w:t>P</w:t>
                  </w:r>
                </w:p>
              </w:tc>
            </w:tr>
            <w:tr w:rsidR="00290577" w:rsidRPr="00D643B4" w:rsidTr="00D643B4">
              <w:trPr>
                <w:cnfStyle w:val="000000100000"/>
                <w:cantSplit/>
                <w:jc w:val="center"/>
              </w:trPr>
              <w:tc>
                <w:tcPr>
                  <w:cnfStyle w:val="001000000000"/>
                  <w:tcW w:w="1408" w:type="pct"/>
                  <w:tcBorders>
                    <w:left w:val="none" w:sz="0" w:space="0" w:color="auto"/>
                  </w:tcBorders>
                  <w:hideMark/>
                </w:tcPr>
                <w:p w:rsidR="00290577" w:rsidRPr="00D643B4" w:rsidRDefault="00290577" w:rsidP="00855AC3">
                  <w:pPr>
                    <w:bidi w:val="0"/>
                    <w:snapToGrid w:val="0"/>
                    <w:jc w:val="both"/>
                    <w:rPr>
                      <w:b w:val="0"/>
                      <w:bCs w:val="0"/>
                      <w:color w:val="000000"/>
                    </w:rPr>
                  </w:pPr>
                  <w:r w:rsidRPr="00D643B4">
                    <w:rPr>
                      <w:color w:val="000000"/>
                    </w:rPr>
                    <w:t>LVGLS</w:t>
                  </w:r>
                </w:p>
              </w:tc>
              <w:tc>
                <w:tcPr>
                  <w:tcW w:w="1429" w:type="pct"/>
                  <w:noWrap/>
                  <w:hideMark/>
                </w:tcPr>
                <w:p w:rsidR="00290577" w:rsidRPr="00D643B4" w:rsidRDefault="00290577" w:rsidP="00855AC3">
                  <w:pPr>
                    <w:bidi w:val="0"/>
                    <w:snapToGrid w:val="0"/>
                    <w:jc w:val="both"/>
                    <w:cnfStyle w:val="000000100000"/>
                    <w:rPr>
                      <w:b/>
                      <w:bCs/>
                      <w:color w:val="000000"/>
                    </w:rPr>
                  </w:pPr>
                  <w:r w:rsidRPr="00D643B4">
                    <w:rPr>
                      <w:b/>
                      <w:bCs/>
                      <w:color w:val="000000"/>
                    </w:rPr>
                    <w:t xml:space="preserve">– 20.75 </w:t>
                  </w:r>
                  <w:r w:rsidRPr="00D643B4">
                    <w:rPr>
                      <w:rFonts w:eastAsia="Calibri"/>
                      <w:b/>
                      <w:bCs/>
                      <w:color w:val="000000"/>
                    </w:rPr>
                    <w:t xml:space="preserve">± </w:t>
                  </w:r>
                  <w:r w:rsidRPr="00D643B4">
                    <w:rPr>
                      <w:b/>
                      <w:bCs/>
                      <w:color w:val="000000"/>
                    </w:rPr>
                    <w:t>1.88</w:t>
                  </w:r>
                </w:p>
              </w:tc>
              <w:tc>
                <w:tcPr>
                  <w:tcW w:w="1284" w:type="pct"/>
                </w:tcPr>
                <w:p w:rsidR="00290577" w:rsidRPr="00D643B4" w:rsidRDefault="00290577" w:rsidP="00855AC3">
                  <w:pPr>
                    <w:bidi w:val="0"/>
                    <w:snapToGrid w:val="0"/>
                    <w:jc w:val="both"/>
                    <w:cnfStyle w:val="000000100000"/>
                    <w:rPr>
                      <w:b/>
                      <w:bCs/>
                      <w:color w:val="000000"/>
                    </w:rPr>
                  </w:pPr>
                  <w:r w:rsidRPr="00D643B4">
                    <w:rPr>
                      <w:b/>
                      <w:bCs/>
                      <w:color w:val="000000"/>
                    </w:rPr>
                    <w:t>– 22.60 ± 1.71</w:t>
                  </w:r>
                </w:p>
              </w:tc>
              <w:tc>
                <w:tcPr>
                  <w:tcW w:w="879" w:type="pct"/>
                </w:tcPr>
                <w:p w:rsidR="00290577" w:rsidRPr="00D643B4" w:rsidRDefault="00290577" w:rsidP="00855AC3">
                  <w:pPr>
                    <w:bidi w:val="0"/>
                    <w:snapToGrid w:val="0"/>
                    <w:jc w:val="both"/>
                    <w:cnfStyle w:val="000000100000"/>
                    <w:rPr>
                      <w:b/>
                      <w:bCs/>
                      <w:color w:val="000000"/>
                    </w:rPr>
                  </w:pPr>
                  <w:r w:rsidRPr="00D643B4">
                    <w:rPr>
                      <w:b/>
                      <w:bCs/>
                      <w:color w:val="000000"/>
                    </w:rPr>
                    <w:t>0.007*</w:t>
                  </w:r>
                </w:p>
              </w:tc>
            </w:tr>
            <w:tr w:rsidR="00290577" w:rsidRPr="00D643B4" w:rsidTr="00D643B4">
              <w:trPr>
                <w:cantSplit/>
                <w:jc w:val="center"/>
              </w:trPr>
              <w:tc>
                <w:tcPr>
                  <w:cnfStyle w:val="001000000000"/>
                  <w:tcW w:w="1408" w:type="pct"/>
                  <w:tcBorders>
                    <w:left w:val="none" w:sz="0" w:space="0" w:color="auto"/>
                    <w:bottom w:val="none" w:sz="0" w:space="0" w:color="auto"/>
                  </w:tcBorders>
                  <w:hideMark/>
                </w:tcPr>
                <w:p w:rsidR="00290577" w:rsidRPr="00D643B4" w:rsidRDefault="00290577" w:rsidP="00855AC3">
                  <w:pPr>
                    <w:bidi w:val="0"/>
                    <w:snapToGrid w:val="0"/>
                    <w:jc w:val="both"/>
                    <w:rPr>
                      <w:b w:val="0"/>
                      <w:bCs w:val="0"/>
                      <w:color w:val="000000"/>
                    </w:rPr>
                  </w:pPr>
                  <w:r w:rsidRPr="00D643B4">
                    <w:rPr>
                      <w:color w:val="000000"/>
                    </w:rPr>
                    <w:t>RVGLS</w:t>
                  </w:r>
                </w:p>
              </w:tc>
              <w:tc>
                <w:tcPr>
                  <w:tcW w:w="1429" w:type="pct"/>
                  <w:noWrap/>
                  <w:hideMark/>
                </w:tcPr>
                <w:p w:rsidR="00290577" w:rsidRPr="00D643B4" w:rsidRDefault="00290577" w:rsidP="00855AC3">
                  <w:pPr>
                    <w:bidi w:val="0"/>
                    <w:snapToGrid w:val="0"/>
                    <w:jc w:val="both"/>
                    <w:cnfStyle w:val="000000000000"/>
                    <w:rPr>
                      <w:color w:val="000000"/>
                    </w:rPr>
                  </w:pPr>
                  <w:r w:rsidRPr="00D643B4">
                    <w:rPr>
                      <w:b/>
                      <w:bCs/>
                      <w:color w:val="000000"/>
                    </w:rPr>
                    <w:t>– 30.22 ± 3.48</w:t>
                  </w:r>
                </w:p>
              </w:tc>
              <w:tc>
                <w:tcPr>
                  <w:tcW w:w="1284" w:type="pct"/>
                </w:tcPr>
                <w:p w:rsidR="00290577" w:rsidRPr="00D643B4" w:rsidRDefault="00290577" w:rsidP="00855AC3">
                  <w:pPr>
                    <w:bidi w:val="0"/>
                    <w:snapToGrid w:val="0"/>
                    <w:jc w:val="both"/>
                    <w:cnfStyle w:val="000000000000"/>
                    <w:rPr>
                      <w:color w:val="000000"/>
                    </w:rPr>
                  </w:pPr>
                  <w:r w:rsidRPr="00D643B4">
                    <w:rPr>
                      <w:b/>
                      <w:bCs/>
                      <w:color w:val="000000"/>
                    </w:rPr>
                    <w:t>– 32.70 ± 2.91</w:t>
                  </w:r>
                </w:p>
              </w:tc>
              <w:tc>
                <w:tcPr>
                  <w:tcW w:w="879" w:type="pct"/>
                </w:tcPr>
                <w:p w:rsidR="00290577" w:rsidRPr="00D643B4" w:rsidRDefault="00290577" w:rsidP="00855AC3">
                  <w:pPr>
                    <w:bidi w:val="0"/>
                    <w:snapToGrid w:val="0"/>
                    <w:jc w:val="both"/>
                    <w:cnfStyle w:val="000000000000"/>
                    <w:rPr>
                      <w:color w:val="000000"/>
                    </w:rPr>
                  </w:pPr>
                  <w:r w:rsidRPr="00D643B4">
                    <w:rPr>
                      <w:b/>
                      <w:bCs/>
                      <w:color w:val="000000"/>
                    </w:rPr>
                    <w:t>0.044*</w:t>
                  </w:r>
                </w:p>
              </w:tc>
            </w:tr>
          </w:tbl>
          <w:p w:rsidR="00290577" w:rsidRPr="00D643B4" w:rsidRDefault="00290577" w:rsidP="00855AC3">
            <w:pPr>
              <w:bidi w:val="0"/>
              <w:snapToGrid w:val="0"/>
              <w:jc w:val="both"/>
              <w:rPr>
                <w:rFonts w:ascii="Times New Roman" w:hAnsi="Times New Roman" w:cs="Times New Roman"/>
                <w:b/>
                <w:bCs/>
                <w:color w:val="000000"/>
                <w:sz w:val="20"/>
                <w:szCs w:val="20"/>
              </w:rPr>
            </w:pPr>
          </w:p>
        </w:tc>
      </w:tr>
    </w:tbl>
    <w:p w:rsidR="00290577" w:rsidRPr="00D643B4" w:rsidRDefault="00290577" w:rsidP="00855AC3">
      <w:pPr>
        <w:bidi w:val="0"/>
        <w:snapToGrid w:val="0"/>
        <w:spacing w:after="0" w:line="240" w:lineRule="auto"/>
        <w:jc w:val="both"/>
        <w:rPr>
          <w:rFonts w:ascii="Times New Roman" w:hAnsi="Times New Roman" w:cs="Times New Roman"/>
          <w:b/>
          <w:bCs/>
          <w:sz w:val="20"/>
          <w:szCs w:val="20"/>
        </w:rPr>
      </w:pPr>
      <w:r w:rsidRPr="00D643B4">
        <w:rPr>
          <w:rFonts w:ascii="Times New Roman" w:hAnsi="Times New Roman" w:cs="Times New Roman"/>
          <w:b/>
          <w:bCs/>
          <w:sz w:val="20"/>
          <w:szCs w:val="20"/>
        </w:rPr>
        <w:t>*</w:t>
      </w:r>
      <w:r w:rsidRPr="00D643B4">
        <w:rPr>
          <w:rFonts w:ascii="Times New Roman" w:hAnsi="Times New Roman" w:cs="Times New Roman"/>
          <w:sz w:val="20"/>
          <w:szCs w:val="20"/>
        </w:rPr>
        <w:t>Highly significant</w:t>
      </w:r>
    </w:p>
    <w:p w:rsidR="00290577" w:rsidRPr="00D643B4" w:rsidRDefault="00290577" w:rsidP="00855AC3">
      <w:pPr>
        <w:bidi w:val="0"/>
        <w:snapToGrid w:val="0"/>
        <w:spacing w:after="0" w:line="240" w:lineRule="auto"/>
        <w:ind w:firstLine="425"/>
        <w:jc w:val="both"/>
        <w:rPr>
          <w:rFonts w:ascii="Times New Roman" w:eastAsia="Calibri" w:hAnsi="Times New Roman" w:cs="Times New Roman"/>
          <w:sz w:val="20"/>
          <w:szCs w:val="20"/>
        </w:rPr>
      </w:pPr>
    </w:p>
    <w:p w:rsidR="00290577" w:rsidRPr="00D643B4" w:rsidRDefault="00290577" w:rsidP="00855AC3">
      <w:pPr>
        <w:bidi w:val="0"/>
        <w:snapToGrid w:val="0"/>
        <w:spacing w:after="0" w:line="240" w:lineRule="auto"/>
        <w:ind w:firstLine="425"/>
        <w:jc w:val="both"/>
        <w:rPr>
          <w:rFonts w:ascii="Times New Roman" w:hAnsi="Times New Roman" w:cs="Times New Roman"/>
          <w:b/>
          <w:bCs/>
          <w:sz w:val="20"/>
          <w:szCs w:val="20"/>
        </w:rPr>
      </w:pPr>
      <w:r w:rsidRPr="00D643B4">
        <w:rPr>
          <w:rFonts w:ascii="Times New Roman" w:eastAsia="Calibri" w:hAnsi="Times New Roman" w:cs="Times New Roman"/>
          <w:sz w:val="20"/>
          <w:szCs w:val="20"/>
        </w:rPr>
        <w:t>There was statistically significant difference between the two groups as regard LVGLS &amp; RVGLS.</w:t>
      </w:r>
    </w:p>
    <w:p w:rsidR="00855AC3" w:rsidRPr="00D643B4" w:rsidRDefault="00855AC3" w:rsidP="00855AC3">
      <w:pPr>
        <w:bidi w:val="0"/>
        <w:snapToGrid w:val="0"/>
        <w:spacing w:after="0" w:line="240" w:lineRule="auto"/>
        <w:jc w:val="both"/>
        <w:rPr>
          <w:rFonts w:ascii="Times New Roman" w:hAnsi="Times New Roman" w:cs="Times New Roman"/>
          <w:b/>
          <w:bCs/>
          <w:sz w:val="20"/>
          <w:szCs w:val="20"/>
          <w:lang w:bidi="ar-EG"/>
        </w:rPr>
      </w:pPr>
    </w:p>
    <w:p w:rsidR="00855AC3" w:rsidRPr="00D643B4" w:rsidRDefault="00855AC3" w:rsidP="00855AC3">
      <w:pPr>
        <w:bidi w:val="0"/>
        <w:snapToGrid w:val="0"/>
        <w:spacing w:after="0" w:line="240" w:lineRule="auto"/>
        <w:jc w:val="both"/>
        <w:rPr>
          <w:rFonts w:ascii="Times New Roman" w:hAnsi="Times New Roman" w:cs="Times New Roman"/>
          <w:b/>
          <w:bCs/>
          <w:sz w:val="20"/>
          <w:szCs w:val="20"/>
          <w:lang w:bidi="ar-EG"/>
        </w:rPr>
        <w:sectPr w:rsidR="00855AC3" w:rsidRPr="00D643B4" w:rsidSect="00D95B77">
          <w:headerReference w:type="default" r:id="rId14"/>
          <w:footerReference w:type="default" r:id="rId15"/>
          <w:type w:val="continuous"/>
          <w:pgSz w:w="12242" w:h="15842" w:code="1"/>
          <w:pgMar w:top="1440" w:right="1440" w:bottom="1440" w:left="1440" w:header="720" w:footer="720" w:gutter="0"/>
          <w:cols w:space="708"/>
          <w:bidi/>
          <w:docGrid w:linePitch="360"/>
        </w:sectPr>
      </w:pPr>
    </w:p>
    <w:p w:rsidR="00290577" w:rsidRPr="00D643B4" w:rsidRDefault="00290577" w:rsidP="00855AC3">
      <w:pPr>
        <w:bidi w:val="0"/>
        <w:snapToGrid w:val="0"/>
        <w:spacing w:after="0" w:line="240" w:lineRule="auto"/>
        <w:jc w:val="center"/>
        <w:rPr>
          <w:rFonts w:ascii="Times New Roman" w:hAnsi="Times New Roman" w:cs="Times New Roman"/>
          <w:b/>
          <w:bCs/>
          <w:sz w:val="20"/>
          <w:szCs w:val="20"/>
          <w:lang w:bidi="ar-EG"/>
        </w:rPr>
      </w:pPr>
      <w:r w:rsidRPr="00D643B4">
        <w:rPr>
          <w:rFonts w:ascii="Times New Roman" w:hAnsi="Times New Roman" w:cs="Times New Roman"/>
          <w:b/>
          <w:bCs/>
          <w:noProof/>
          <w:color w:val="000000"/>
          <w:sz w:val="20"/>
          <w:szCs w:val="20"/>
          <w:lang w:eastAsia="zh-CN"/>
        </w:rPr>
        <w:lastRenderedPageBreak/>
        <w:drawing>
          <wp:inline distT="0" distB="0" distL="0" distR="0">
            <wp:extent cx="2935176" cy="2125683"/>
            <wp:effectExtent l="19050" t="0" r="17574" b="7917"/>
            <wp:docPr id="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90577" w:rsidRPr="00D643B4" w:rsidRDefault="00290577" w:rsidP="00855AC3">
      <w:pPr>
        <w:bidi w:val="0"/>
        <w:snapToGrid w:val="0"/>
        <w:spacing w:after="0" w:line="240" w:lineRule="auto"/>
        <w:jc w:val="both"/>
        <w:rPr>
          <w:rFonts w:ascii="Times New Roman" w:hAnsi="Times New Roman" w:cs="Times New Roman"/>
          <w:sz w:val="20"/>
          <w:szCs w:val="20"/>
        </w:rPr>
      </w:pPr>
      <w:r w:rsidRPr="00D643B4">
        <w:rPr>
          <w:rFonts w:ascii="Times New Roman" w:hAnsi="Times New Roman" w:cs="Times New Roman"/>
          <w:b/>
          <w:bCs/>
          <w:sz w:val="20"/>
          <w:szCs w:val="20"/>
          <w:lang w:bidi="ar-EG"/>
        </w:rPr>
        <w:t>Figure 1</w:t>
      </w:r>
      <w:r w:rsidR="00D643B4">
        <w:rPr>
          <w:rFonts w:ascii="Times New Roman" w:hAnsi="Times New Roman" w:cs="Times New Roman" w:hint="eastAsia"/>
          <w:b/>
          <w:bCs/>
          <w:sz w:val="20"/>
          <w:szCs w:val="20"/>
          <w:lang w:eastAsia="zh-CN" w:bidi="ar-EG"/>
        </w:rPr>
        <w:t>.</w:t>
      </w:r>
      <w:r w:rsidRPr="00D643B4">
        <w:rPr>
          <w:rFonts w:ascii="Times New Roman" w:hAnsi="Times New Roman" w:cs="Times New Roman"/>
          <w:b/>
          <w:bCs/>
          <w:sz w:val="20"/>
          <w:szCs w:val="20"/>
          <w:lang w:bidi="ar-EG"/>
        </w:rPr>
        <w:t xml:space="preserve"> </w:t>
      </w:r>
      <w:r w:rsidR="00D643B4">
        <w:rPr>
          <w:rFonts w:ascii="Times New Roman" w:hAnsi="Times New Roman" w:cs="Times New Roman" w:hint="eastAsia"/>
          <w:b/>
          <w:bCs/>
          <w:sz w:val="20"/>
          <w:szCs w:val="20"/>
          <w:lang w:eastAsia="zh-CN" w:bidi="ar-EG"/>
        </w:rPr>
        <w:t>T</w:t>
      </w:r>
      <w:r w:rsidRPr="00D643B4">
        <w:rPr>
          <w:rFonts w:ascii="Times New Roman" w:hAnsi="Times New Roman" w:cs="Times New Roman"/>
          <w:b/>
          <w:bCs/>
          <w:sz w:val="20"/>
          <w:szCs w:val="20"/>
          <w:lang w:bidi="ar-EG"/>
        </w:rPr>
        <w:t>here</w:t>
      </w:r>
      <w:r w:rsidRPr="00D643B4">
        <w:rPr>
          <w:rFonts w:ascii="Times New Roman" w:eastAsia="Calibri" w:hAnsi="Times New Roman" w:cs="Times New Roman"/>
          <w:b/>
          <w:bCs/>
          <w:sz w:val="20"/>
          <w:szCs w:val="20"/>
        </w:rPr>
        <w:t xml:space="preserve"> was </w:t>
      </w:r>
      <w:r w:rsidRPr="00D643B4">
        <w:rPr>
          <w:rFonts w:ascii="Times New Roman" w:hAnsi="Times New Roman" w:cs="Times New Roman"/>
          <w:b/>
          <w:bCs/>
          <w:sz w:val="20"/>
          <w:szCs w:val="20"/>
          <w:lang w:bidi="ar-EG"/>
        </w:rPr>
        <w:t>a positive correlation between LVGLS and the duration of diabetes</w:t>
      </w:r>
    </w:p>
    <w:p w:rsidR="00290577" w:rsidRPr="00D643B4" w:rsidRDefault="00290577" w:rsidP="00855AC3">
      <w:pPr>
        <w:bidi w:val="0"/>
        <w:snapToGrid w:val="0"/>
        <w:spacing w:after="0" w:line="240" w:lineRule="auto"/>
        <w:jc w:val="center"/>
        <w:rPr>
          <w:rFonts w:ascii="Times New Roman" w:hAnsi="Times New Roman" w:cs="Times New Roman"/>
          <w:b/>
          <w:bCs/>
          <w:sz w:val="20"/>
          <w:szCs w:val="20"/>
          <w:lang w:bidi="ar-EG"/>
        </w:rPr>
      </w:pPr>
      <w:r w:rsidRPr="00D643B4">
        <w:rPr>
          <w:rFonts w:ascii="Times New Roman" w:hAnsi="Times New Roman" w:cs="Times New Roman"/>
          <w:b/>
          <w:bCs/>
          <w:noProof/>
          <w:color w:val="000000"/>
          <w:sz w:val="20"/>
          <w:szCs w:val="20"/>
          <w:lang w:eastAsia="zh-CN"/>
        </w:rPr>
        <w:drawing>
          <wp:inline distT="0" distB="0" distL="0" distR="0">
            <wp:extent cx="2937906" cy="2511218"/>
            <wp:effectExtent l="19050" t="0" r="14844" b="3382"/>
            <wp:docPr id="2"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90577" w:rsidRPr="00D643B4" w:rsidRDefault="00D643B4" w:rsidP="00855AC3">
      <w:pPr>
        <w:bidi w:val="0"/>
        <w:snapToGrid w:val="0"/>
        <w:spacing w:after="0" w:line="240" w:lineRule="auto"/>
        <w:jc w:val="both"/>
        <w:rPr>
          <w:rFonts w:ascii="Times New Roman" w:hAnsi="Times New Roman" w:cs="Times New Roman"/>
          <w:b/>
          <w:bCs/>
          <w:sz w:val="20"/>
          <w:szCs w:val="20"/>
          <w:lang w:bidi="ar-EG"/>
        </w:rPr>
      </w:pPr>
      <w:r>
        <w:rPr>
          <w:rFonts w:ascii="Times New Roman" w:hAnsi="Times New Roman" w:cs="Times New Roman"/>
          <w:b/>
          <w:bCs/>
          <w:sz w:val="20"/>
          <w:szCs w:val="20"/>
          <w:lang w:bidi="ar-EG"/>
        </w:rPr>
        <w:t>Figure 2</w:t>
      </w:r>
      <w:r>
        <w:rPr>
          <w:rFonts w:ascii="Times New Roman" w:hAnsi="Times New Roman" w:cs="Times New Roman" w:hint="eastAsia"/>
          <w:b/>
          <w:bCs/>
          <w:sz w:val="20"/>
          <w:szCs w:val="20"/>
          <w:lang w:eastAsia="zh-CN" w:bidi="ar-EG"/>
        </w:rPr>
        <w:t>.</w:t>
      </w:r>
      <w:r w:rsidR="00290577" w:rsidRPr="00D643B4">
        <w:rPr>
          <w:rFonts w:ascii="Times New Roman" w:hAnsi="Times New Roman" w:cs="Times New Roman"/>
          <w:b/>
          <w:bCs/>
          <w:sz w:val="20"/>
          <w:szCs w:val="20"/>
          <w:lang w:bidi="ar-EG"/>
        </w:rPr>
        <w:t xml:space="preserve"> </w:t>
      </w:r>
      <w:r>
        <w:rPr>
          <w:rFonts w:ascii="Times New Roman" w:hAnsi="Times New Roman" w:cs="Times New Roman" w:hint="eastAsia"/>
          <w:b/>
          <w:bCs/>
          <w:sz w:val="20"/>
          <w:szCs w:val="20"/>
          <w:lang w:eastAsia="zh-CN" w:bidi="ar-EG"/>
        </w:rPr>
        <w:t>T</w:t>
      </w:r>
      <w:r w:rsidR="00290577" w:rsidRPr="00D643B4">
        <w:rPr>
          <w:rFonts w:ascii="Times New Roman" w:hAnsi="Times New Roman" w:cs="Times New Roman"/>
          <w:b/>
          <w:bCs/>
          <w:sz w:val="20"/>
          <w:szCs w:val="20"/>
          <w:lang w:bidi="ar-EG"/>
        </w:rPr>
        <w:t>here</w:t>
      </w:r>
      <w:r w:rsidR="00290577" w:rsidRPr="00D643B4">
        <w:rPr>
          <w:rFonts w:ascii="Times New Roman" w:eastAsia="Calibri" w:hAnsi="Times New Roman" w:cs="Times New Roman"/>
          <w:b/>
          <w:bCs/>
          <w:sz w:val="20"/>
          <w:szCs w:val="20"/>
        </w:rPr>
        <w:t xml:space="preserve"> was </w:t>
      </w:r>
      <w:r w:rsidR="00290577" w:rsidRPr="00D643B4">
        <w:rPr>
          <w:rFonts w:ascii="Times New Roman" w:hAnsi="Times New Roman" w:cs="Times New Roman"/>
          <w:b/>
          <w:bCs/>
          <w:sz w:val="20"/>
          <w:szCs w:val="20"/>
          <w:lang w:bidi="ar-EG"/>
        </w:rPr>
        <w:t>a positive correlation between RVGLS and the duration of diabetes</w:t>
      </w:r>
    </w:p>
    <w:p w:rsidR="00290577" w:rsidRPr="00D643B4" w:rsidRDefault="00290577" w:rsidP="00855AC3">
      <w:pPr>
        <w:bidi w:val="0"/>
        <w:snapToGrid w:val="0"/>
        <w:spacing w:after="0" w:line="240" w:lineRule="auto"/>
        <w:jc w:val="center"/>
        <w:rPr>
          <w:rFonts w:ascii="Times New Roman" w:hAnsi="Times New Roman" w:cs="Times New Roman"/>
          <w:b/>
          <w:bCs/>
          <w:sz w:val="20"/>
          <w:szCs w:val="20"/>
          <w:lang w:bidi="ar-EG"/>
        </w:rPr>
      </w:pPr>
      <w:r w:rsidRPr="00D643B4">
        <w:rPr>
          <w:rFonts w:ascii="Times New Roman" w:hAnsi="Times New Roman" w:cs="Times New Roman"/>
          <w:b/>
          <w:bCs/>
          <w:noProof/>
          <w:color w:val="000000"/>
          <w:sz w:val="20"/>
          <w:szCs w:val="20"/>
          <w:lang w:eastAsia="zh-CN"/>
        </w:rPr>
        <w:lastRenderedPageBreak/>
        <w:drawing>
          <wp:inline distT="0" distB="0" distL="0" distR="0">
            <wp:extent cx="3055835" cy="2125683"/>
            <wp:effectExtent l="19050" t="0" r="11215" b="7917"/>
            <wp:docPr id="3"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90577" w:rsidRPr="00D643B4" w:rsidRDefault="00D643B4" w:rsidP="00855AC3">
      <w:pPr>
        <w:bidi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lang w:bidi="ar-EG"/>
        </w:rPr>
        <w:t xml:space="preserve">Figure </w:t>
      </w:r>
      <w:r w:rsidR="00290577" w:rsidRPr="00D643B4">
        <w:rPr>
          <w:rFonts w:ascii="Times New Roman" w:hAnsi="Times New Roman" w:cs="Times New Roman"/>
          <w:b/>
          <w:bCs/>
          <w:sz w:val="20"/>
          <w:szCs w:val="20"/>
          <w:lang w:bidi="ar-EG"/>
        </w:rPr>
        <w:t>3</w:t>
      </w:r>
      <w:r>
        <w:rPr>
          <w:rFonts w:ascii="Times New Roman" w:hAnsi="Times New Roman" w:cs="Times New Roman" w:hint="eastAsia"/>
          <w:b/>
          <w:bCs/>
          <w:sz w:val="20"/>
          <w:szCs w:val="20"/>
          <w:lang w:eastAsia="zh-CN" w:bidi="ar-EG"/>
        </w:rPr>
        <w:t>.</w:t>
      </w:r>
      <w:r w:rsidR="00290577" w:rsidRPr="00D643B4">
        <w:rPr>
          <w:rFonts w:ascii="Times New Roman" w:hAnsi="Times New Roman" w:cs="Times New Roman"/>
          <w:b/>
          <w:bCs/>
          <w:sz w:val="20"/>
          <w:szCs w:val="20"/>
          <w:lang w:bidi="ar-EG"/>
        </w:rPr>
        <w:t xml:space="preserve"> </w:t>
      </w:r>
      <w:r>
        <w:rPr>
          <w:rFonts w:ascii="Times New Roman" w:hAnsi="Times New Roman" w:cs="Times New Roman" w:hint="eastAsia"/>
          <w:b/>
          <w:bCs/>
          <w:sz w:val="20"/>
          <w:szCs w:val="20"/>
          <w:lang w:eastAsia="zh-CN" w:bidi="ar-EG"/>
        </w:rPr>
        <w:t>T</w:t>
      </w:r>
      <w:r w:rsidR="00290577" w:rsidRPr="00D643B4">
        <w:rPr>
          <w:rFonts w:ascii="Times New Roman" w:hAnsi="Times New Roman" w:cs="Times New Roman"/>
          <w:b/>
          <w:bCs/>
          <w:sz w:val="20"/>
          <w:szCs w:val="20"/>
          <w:lang w:bidi="ar-EG"/>
        </w:rPr>
        <w:t>here</w:t>
      </w:r>
      <w:r w:rsidR="00290577" w:rsidRPr="00D643B4">
        <w:rPr>
          <w:rFonts w:ascii="Times New Roman" w:eastAsia="Calibri" w:hAnsi="Times New Roman" w:cs="Times New Roman"/>
          <w:b/>
          <w:bCs/>
          <w:sz w:val="20"/>
          <w:szCs w:val="20"/>
        </w:rPr>
        <w:t xml:space="preserve"> was </w:t>
      </w:r>
      <w:r w:rsidR="00290577" w:rsidRPr="00D643B4">
        <w:rPr>
          <w:rFonts w:ascii="Times New Roman" w:hAnsi="Times New Roman" w:cs="Times New Roman"/>
          <w:b/>
          <w:bCs/>
          <w:sz w:val="20"/>
          <w:szCs w:val="20"/>
          <w:lang w:bidi="ar-EG"/>
        </w:rPr>
        <w:t>a positive correlation between LVGLS and the HbA1c level</w:t>
      </w:r>
    </w:p>
    <w:p w:rsidR="00290577" w:rsidRPr="00D643B4" w:rsidRDefault="00290577" w:rsidP="00855AC3">
      <w:pPr>
        <w:bidi w:val="0"/>
        <w:snapToGrid w:val="0"/>
        <w:spacing w:after="0" w:line="240" w:lineRule="auto"/>
        <w:jc w:val="both"/>
        <w:rPr>
          <w:rFonts w:ascii="Times New Roman" w:hAnsi="Times New Roman" w:cs="Times New Roman"/>
          <w:b/>
          <w:bCs/>
          <w:sz w:val="20"/>
          <w:szCs w:val="20"/>
        </w:rPr>
      </w:pPr>
    </w:p>
    <w:p w:rsidR="00290577" w:rsidRPr="00D643B4" w:rsidRDefault="00290577" w:rsidP="00855AC3">
      <w:pPr>
        <w:bidi w:val="0"/>
        <w:snapToGrid w:val="0"/>
        <w:spacing w:after="0" w:line="240" w:lineRule="auto"/>
        <w:jc w:val="center"/>
        <w:rPr>
          <w:rFonts w:ascii="Times New Roman" w:hAnsi="Times New Roman" w:cs="Times New Roman"/>
          <w:b/>
          <w:bCs/>
          <w:sz w:val="20"/>
          <w:szCs w:val="20"/>
          <w:lang w:bidi="ar-EG"/>
        </w:rPr>
      </w:pPr>
      <w:r w:rsidRPr="00D643B4">
        <w:rPr>
          <w:rFonts w:ascii="Times New Roman" w:hAnsi="Times New Roman" w:cs="Times New Roman"/>
          <w:b/>
          <w:bCs/>
          <w:noProof/>
          <w:color w:val="000000"/>
          <w:sz w:val="20"/>
          <w:szCs w:val="20"/>
          <w:lang w:eastAsia="zh-CN"/>
        </w:rPr>
        <w:drawing>
          <wp:inline distT="0" distB="0" distL="0" distR="0">
            <wp:extent cx="3007249" cy="2509437"/>
            <wp:effectExtent l="19050" t="0" r="21701" b="5163"/>
            <wp:docPr id="4"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90577" w:rsidRPr="00D643B4" w:rsidRDefault="00D643B4" w:rsidP="00855AC3">
      <w:pPr>
        <w:bidi w:val="0"/>
        <w:snapToGrid w:val="0"/>
        <w:spacing w:after="0" w:line="240" w:lineRule="auto"/>
        <w:jc w:val="both"/>
        <w:rPr>
          <w:rFonts w:ascii="Times New Roman" w:hAnsi="Times New Roman" w:cs="Times New Roman"/>
          <w:b/>
          <w:bCs/>
          <w:sz w:val="20"/>
          <w:szCs w:val="20"/>
          <w:lang w:eastAsia="zh-CN" w:bidi="ar-EG"/>
        </w:rPr>
      </w:pPr>
      <w:r>
        <w:rPr>
          <w:rFonts w:ascii="Times New Roman" w:hAnsi="Times New Roman" w:cs="Times New Roman"/>
          <w:b/>
          <w:bCs/>
          <w:sz w:val="20"/>
          <w:szCs w:val="20"/>
          <w:lang w:bidi="ar-EG"/>
        </w:rPr>
        <w:t xml:space="preserve">Figure </w:t>
      </w:r>
      <w:r w:rsidR="00290577" w:rsidRPr="00D643B4">
        <w:rPr>
          <w:rFonts w:ascii="Times New Roman" w:hAnsi="Times New Roman" w:cs="Times New Roman"/>
          <w:b/>
          <w:bCs/>
          <w:sz w:val="20"/>
          <w:szCs w:val="20"/>
          <w:lang w:bidi="ar-EG"/>
        </w:rPr>
        <w:t>4</w:t>
      </w:r>
      <w:r>
        <w:rPr>
          <w:rFonts w:ascii="Times New Roman" w:hAnsi="Times New Roman" w:cs="Times New Roman" w:hint="eastAsia"/>
          <w:b/>
          <w:bCs/>
          <w:sz w:val="20"/>
          <w:szCs w:val="20"/>
          <w:lang w:eastAsia="zh-CN" w:bidi="ar-EG"/>
        </w:rPr>
        <w:t>.</w:t>
      </w:r>
      <w:r w:rsidR="00290577" w:rsidRPr="00D643B4">
        <w:rPr>
          <w:rFonts w:ascii="Times New Roman" w:hAnsi="Times New Roman" w:cs="Times New Roman"/>
          <w:b/>
          <w:bCs/>
          <w:sz w:val="20"/>
          <w:szCs w:val="20"/>
          <w:lang w:bidi="ar-EG"/>
        </w:rPr>
        <w:t xml:space="preserve"> </w:t>
      </w:r>
      <w:r>
        <w:rPr>
          <w:rFonts w:ascii="Times New Roman" w:hAnsi="Times New Roman" w:cs="Times New Roman" w:hint="eastAsia"/>
          <w:b/>
          <w:bCs/>
          <w:sz w:val="20"/>
          <w:szCs w:val="20"/>
          <w:lang w:eastAsia="zh-CN" w:bidi="ar-EG"/>
        </w:rPr>
        <w:t>T</w:t>
      </w:r>
      <w:r w:rsidR="00290577" w:rsidRPr="00D643B4">
        <w:rPr>
          <w:rFonts w:ascii="Times New Roman" w:hAnsi="Times New Roman" w:cs="Times New Roman"/>
          <w:b/>
          <w:bCs/>
          <w:sz w:val="20"/>
          <w:szCs w:val="20"/>
          <w:lang w:bidi="ar-EG"/>
        </w:rPr>
        <w:t>here</w:t>
      </w:r>
      <w:r w:rsidR="00290577" w:rsidRPr="00D643B4">
        <w:rPr>
          <w:rFonts w:ascii="Times New Roman" w:eastAsia="Calibri" w:hAnsi="Times New Roman" w:cs="Times New Roman"/>
          <w:b/>
          <w:bCs/>
          <w:sz w:val="20"/>
          <w:szCs w:val="20"/>
        </w:rPr>
        <w:t xml:space="preserve"> was </w:t>
      </w:r>
      <w:r w:rsidR="00290577" w:rsidRPr="00D643B4">
        <w:rPr>
          <w:rFonts w:ascii="Times New Roman" w:hAnsi="Times New Roman" w:cs="Times New Roman"/>
          <w:b/>
          <w:bCs/>
          <w:sz w:val="20"/>
          <w:szCs w:val="20"/>
          <w:lang w:bidi="ar-EG"/>
        </w:rPr>
        <w:t>a positive correlation between RVGLS and the HbA1C level</w:t>
      </w:r>
    </w:p>
    <w:p w:rsidR="00855AC3" w:rsidRDefault="00855AC3" w:rsidP="00855AC3">
      <w:pPr>
        <w:bidi w:val="0"/>
        <w:snapToGrid w:val="0"/>
        <w:spacing w:after="0" w:line="240" w:lineRule="auto"/>
        <w:jc w:val="both"/>
        <w:rPr>
          <w:rFonts w:ascii="Times New Roman" w:hAnsi="Times New Roman" w:cs="Times New Roman" w:hint="eastAsia"/>
          <w:b/>
          <w:bCs/>
          <w:sz w:val="20"/>
          <w:szCs w:val="20"/>
          <w:lang w:eastAsia="zh-CN" w:bidi="ar-EG"/>
        </w:rPr>
      </w:pPr>
    </w:p>
    <w:p w:rsidR="00D643B4" w:rsidRPr="00D643B4" w:rsidRDefault="00D643B4" w:rsidP="00D643B4">
      <w:pPr>
        <w:bidi w:val="0"/>
        <w:snapToGrid w:val="0"/>
        <w:spacing w:after="0" w:line="240" w:lineRule="auto"/>
        <w:jc w:val="both"/>
        <w:rPr>
          <w:rFonts w:ascii="Times New Roman" w:hAnsi="Times New Roman" w:cs="Times New Roman"/>
          <w:b/>
          <w:bCs/>
          <w:sz w:val="20"/>
          <w:szCs w:val="20"/>
          <w:lang w:eastAsia="zh-CN" w:bidi="ar-EG"/>
        </w:rPr>
      </w:pPr>
    </w:p>
    <w:p w:rsidR="00290577" w:rsidRPr="00D643B4" w:rsidRDefault="00290577" w:rsidP="00855AC3">
      <w:pPr>
        <w:bidi w:val="0"/>
        <w:snapToGrid w:val="0"/>
        <w:spacing w:after="0" w:line="240" w:lineRule="auto"/>
        <w:jc w:val="both"/>
        <w:rPr>
          <w:rFonts w:ascii="Times New Roman" w:hAnsi="Times New Roman" w:cs="Times New Roman"/>
          <w:b/>
          <w:bCs/>
          <w:sz w:val="20"/>
          <w:szCs w:val="20"/>
        </w:rPr>
      </w:pPr>
      <w:r w:rsidRPr="00D643B4">
        <w:rPr>
          <w:rFonts w:ascii="Times New Roman" w:hAnsi="Times New Roman" w:cs="Times New Roman"/>
          <w:b/>
          <w:bCs/>
          <w:sz w:val="20"/>
          <w:szCs w:val="20"/>
        </w:rPr>
        <w:lastRenderedPageBreak/>
        <w:t>4. Discussion</w:t>
      </w:r>
    </w:p>
    <w:p w:rsidR="00290577" w:rsidRPr="00D643B4" w:rsidRDefault="00290577" w:rsidP="00855AC3">
      <w:pPr>
        <w:pStyle w:val="Header"/>
        <w:snapToGrid w:val="0"/>
        <w:spacing w:after="0" w:line="240" w:lineRule="auto"/>
        <w:ind w:firstLine="425"/>
        <w:jc w:val="both"/>
        <w:rPr>
          <w:rFonts w:ascii="Times New Roman" w:hAnsi="Times New Roman"/>
          <w:b/>
          <w:bCs/>
          <w:sz w:val="20"/>
          <w:szCs w:val="20"/>
        </w:rPr>
      </w:pPr>
      <w:r w:rsidRPr="00D643B4">
        <w:rPr>
          <w:rFonts w:ascii="Times New Roman" w:hAnsi="Times New Roman"/>
          <w:sz w:val="20"/>
          <w:szCs w:val="20"/>
          <w:lang w:bidi="ar-EG"/>
        </w:rPr>
        <w:t>This study found that LVGLS is significantly lower in diabetic group than in control group denoting that type I DM is associated with subc</w:t>
      </w:r>
      <w:r w:rsidR="00D643B4">
        <w:rPr>
          <w:rFonts w:ascii="Times New Roman" w:hAnsi="Times New Roman"/>
          <w:sz w:val="20"/>
          <w:szCs w:val="20"/>
          <w:lang w:bidi="ar-EG"/>
        </w:rPr>
        <w:t>linical LV systolic dysfunction</w:t>
      </w:r>
      <w:r w:rsidR="00855AC3" w:rsidRPr="00D643B4">
        <w:rPr>
          <w:rFonts w:ascii="Times New Roman" w:hAnsi="Times New Roman"/>
          <w:sz w:val="20"/>
          <w:szCs w:val="20"/>
          <w:lang w:bidi="ar-EG"/>
        </w:rPr>
        <w:t xml:space="preserve"> </w:t>
      </w:r>
      <w:r w:rsidRPr="00D643B4">
        <w:rPr>
          <w:rFonts w:ascii="Times New Roman" w:hAnsi="Times New Roman"/>
          <w:sz w:val="20"/>
          <w:szCs w:val="20"/>
          <w:lang w:bidi="ar-EG"/>
        </w:rPr>
        <w:t>and this finding is concordant with the result of</w:t>
      </w:r>
      <w:r w:rsidR="00855AC3" w:rsidRPr="00D643B4">
        <w:rPr>
          <w:rFonts w:ascii="Times New Roman" w:eastAsiaTheme="minorEastAsia" w:hAnsi="Times New Roman" w:hint="eastAsia"/>
          <w:sz w:val="20"/>
          <w:szCs w:val="20"/>
          <w:lang w:eastAsia="zh-CN" w:bidi="ar-EG"/>
        </w:rPr>
        <w:t>.</w:t>
      </w:r>
      <w:r w:rsidRPr="00D643B4">
        <w:rPr>
          <w:rFonts w:ascii="Times New Roman" w:hAnsi="Times New Roman"/>
          <w:sz w:val="20"/>
          <w:szCs w:val="20"/>
          <w:lang w:bidi="ar-EG"/>
        </w:rPr>
        <w:t xml:space="preserve"> </w:t>
      </w:r>
      <w:r w:rsidRPr="00D643B4">
        <w:rPr>
          <w:rFonts w:ascii="Times New Roman" w:hAnsi="Times New Roman"/>
          <w:b/>
          <w:bCs/>
          <w:sz w:val="20"/>
          <w:szCs w:val="20"/>
          <w:lang w:bidi="ar-EG"/>
        </w:rPr>
        <w:t>(Nakai et al., 2009)</w:t>
      </w:r>
      <w:r w:rsidRPr="00D643B4">
        <w:rPr>
          <w:rFonts w:ascii="Times New Roman" w:hAnsi="Times New Roman"/>
          <w:sz w:val="20"/>
          <w:szCs w:val="20"/>
          <w:vertAlign w:val="superscript"/>
          <w:lang w:bidi="ar-EG"/>
        </w:rPr>
        <w:t>11</w:t>
      </w:r>
    </w:p>
    <w:p w:rsidR="00290577" w:rsidRPr="00D643B4" w:rsidRDefault="00290577" w:rsidP="00855AC3">
      <w:pPr>
        <w:pStyle w:val="Header"/>
        <w:snapToGrid w:val="0"/>
        <w:spacing w:after="0" w:line="240" w:lineRule="auto"/>
        <w:ind w:firstLine="425"/>
        <w:jc w:val="both"/>
        <w:rPr>
          <w:rFonts w:ascii="Times New Roman" w:hAnsi="Times New Roman"/>
          <w:sz w:val="20"/>
          <w:szCs w:val="20"/>
          <w:lang w:bidi="ar-EG"/>
        </w:rPr>
      </w:pPr>
      <w:r w:rsidRPr="00D643B4">
        <w:rPr>
          <w:rFonts w:ascii="Times New Roman" w:hAnsi="Times New Roman"/>
          <w:sz w:val="20"/>
          <w:szCs w:val="20"/>
          <w:lang w:bidi="ar-EG"/>
        </w:rPr>
        <w:t xml:space="preserve">Also, this is in agreement with the result of </w:t>
      </w:r>
      <w:r w:rsidRPr="00D643B4">
        <w:rPr>
          <w:rFonts w:ascii="Times New Roman" w:hAnsi="Times New Roman"/>
          <w:b/>
          <w:bCs/>
          <w:sz w:val="20"/>
          <w:szCs w:val="20"/>
          <w:lang w:bidi="ar-EG"/>
        </w:rPr>
        <w:t>(Labombarda et al., 2014)</w:t>
      </w:r>
      <w:r w:rsidRPr="00D643B4">
        <w:rPr>
          <w:rFonts w:ascii="Times New Roman" w:hAnsi="Times New Roman"/>
          <w:sz w:val="20"/>
          <w:szCs w:val="20"/>
          <w:vertAlign w:val="superscript"/>
          <w:lang w:bidi="ar-EG"/>
        </w:rPr>
        <w:t>12</w:t>
      </w:r>
      <w:r w:rsidR="00D643B4">
        <w:rPr>
          <w:rFonts w:ascii="Times New Roman" w:eastAsiaTheme="minorEastAsia" w:hAnsi="Times New Roman" w:hint="eastAsia"/>
          <w:sz w:val="20"/>
          <w:szCs w:val="20"/>
          <w:vertAlign w:val="superscript"/>
          <w:lang w:eastAsia="zh-CN" w:bidi="ar-EG"/>
        </w:rPr>
        <w:t xml:space="preserve"> </w:t>
      </w:r>
      <w:r w:rsidRPr="00D643B4">
        <w:rPr>
          <w:rFonts w:ascii="Times New Roman" w:hAnsi="Times New Roman"/>
          <w:sz w:val="20"/>
          <w:szCs w:val="20"/>
          <w:lang w:bidi="ar-EG"/>
        </w:rPr>
        <w:t xml:space="preserve">in which the Longitudinal left ventricular strain was impaired in type I diabetes children and adolescents by 2D speckle strain. Also, this is concordant with the result of </w:t>
      </w:r>
      <w:r w:rsidRPr="00D643B4">
        <w:rPr>
          <w:rFonts w:ascii="Times New Roman" w:hAnsi="Times New Roman"/>
          <w:b/>
          <w:bCs/>
          <w:sz w:val="20"/>
          <w:szCs w:val="20"/>
          <w:lang w:bidi="ar-EG"/>
        </w:rPr>
        <w:t>(Jedrzejewska et al., 2016)</w:t>
      </w:r>
      <w:r w:rsidRPr="00D643B4">
        <w:rPr>
          <w:rFonts w:ascii="Times New Roman" w:hAnsi="Times New Roman"/>
          <w:sz w:val="20"/>
          <w:szCs w:val="20"/>
          <w:vertAlign w:val="superscript"/>
          <w:lang w:bidi="ar-EG"/>
        </w:rPr>
        <w:t>13</w:t>
      </w:r>
      <w:r w:rsidRPr="00D643B4">
        <w:rPr>
          <w:rFonts w:ascii="Times New Roman" w:hAnsi="Times New Roman"/>
          <w:sz w:val="20"/>
          <w:szCs w:val="20"/>
          <w:lang w:bidi="ar-EG"/>
        </w:rPr>
        <w:t xml:space="preserve"> that demonstrated left and right ventricular systolic function impairment in type I diabetic young adults assessed by 2D speckle tracking echocardiography. And the result of </w:t>
      </w:r>
      <w:r w:rsidRPr="00D643B4">
        <w:rPr>
          <w:rFonts w:ascii="Times New Roman" w:hAnsi="Times New Roman"/>
          <w:b/>
          <w:bCs/>
          <w:sz w:val="20"/>
          <w:szCs w:val="20"/>
          <w:lang w:bidi="ar-EG"/>
        </w:rPr>
        <w:t>(Abdel-Salam et al., 2016)</w:t>
      </w:r>
      <w:r w:rsidRPr="00D643B4">
        <w:rPr>
          <w:rFonts w:ascii="Times New Roman" w:hAnsi="Times New Roman"/>
          <w:sz w:val="20"/>
          <w:szCs w:val="20"/>
          <w:vertAlign w:val="superscript"/>
          <w:lang w:bidi="ar-EG"/>
        </w:rPr>
        <w:t>14</w:t>
      </w:r>
      <w:r w:rsidRPr="00D643B4">
        <w:rPr>
          <w:rFonts w:ascii="Times New Roman" w:hAnsi="Times New Roman"/>
          <w:sz w:val="20"/>
          <w:szCs w:val="20"/>
          <w:lang w:bidi="ar-EG"/>
        </w:rPr>
        <w:t xml:space="preserve"> in their study, they reported early changes in longitudinal deformation indices in young asymptomatic patients with type I diabetes mellitus was assessed by speckle tracking echocardiography</w:t>
      </w:r>
      <w:r w:rsidR="00855AC3" w:rsidRPr="00D643B4">
        <w:rPr>
          <w:rFonts w:ascii="Times New Roman" w:hAnsi="Times New Roman"/>
          <w:sz w:val="20"/>
          <w:szCs w:val="20"/>
          <w:lang w:bidi="ar-EG"/>
        </w:rPr>
        <w:t>. O</w:t>
      </w:r>
      <w:r w:rsidRPr="00D643B4">
        <w:rPr>
          <w:rFonts w:ascii="Times New Roman" w:hAnsi="Times New Roman"/>
          <w:sz w:val="20"/>
          <w:szCs w:val="20"/>
          <w:lang w:bidi="ar-EG"/>
        </w:rPr>
        <w:t xml:space="preserve">ur study found that RV systolic function is worse in type I DM compared with control group. and this finding is concordant with the result of </w:t>
      </w:r>
      <w:r w:rsidRPr="00D643B4">
        <w:rPr>
          <w:rFonts w:ascii="Times New Roman" w:hAnsi="Times New Roman"/>
          <w:b/>
          <w:bCs/>
          <w:sz w:val="20"/>
          <w:szCs w:val="20"/>
          <w:lang w:bidi="ar-EG"/>
        </w:rPr>
        <w:t>(Kosmala et al., 2007)</w:t>
      </w:r>
      <w:r w:rsidRPr="00D643B4">
        <w:rPr>
          <w:rFonts w:ascii="Times New Roman" w:hAnsi="Times New Roman"/>
          <w:sz w:val="20"/>
          <w:szCs w:val="20"/>
          <w:vertAlign w:val="superscript"/>
          <w:lang w:bidi="ar-EG"/>
        </w:rPr>
        <w:t>15</w:t>
      </w:r>
      <w:r w:rsidR="00D643B4">
        <w:rPr>
          <w:rFonts w:ascii="Times New Roman" w:eastAsiaTheme="minorEastAsia" w:hAnsi="Times New Roman" w:hint="eastAsia"/>
          <w:sz w:val="20"/>
          <w:szCs w:val="20"/>
          <w:vertAlign w:val="superscript"/>
          <w:lang w:eastAsia="zh-CN" w:bidi="ar-EG"/>
        </w:rPr>
        <w:t xml:space="preserve"> </w:t>
      </w:r>
      <w:r w:rsidRPr="00D643B4">
        <w:rPr>
          <w:rFonts w:ascii="Times New Roman" w:hAnsi="Times New Roman"/>
          <w:sz w:val="20"/>
          <w:szCs w:val="20"/>
          <w:lang w:bidi="ar-EG"/>
        </w:rPr>
        <w:t>in which subclinical right ventricular dysfunction in DM was assessed using strain/strain rate.</w:t>
      </w:r>
    </w:p>
    <w:p w:rsidR="00290577" w:rsidRPr="00D643B4" w:rsidRDefault="00290577" w:rsidP="00855AC3">
      <w:pPr>
        <w:pStyle w:val="Header"/>
        <w:snapToGrid w:val="0"/>
        <w:spacing w:after="0" w:line="240" w:lineRule="auto"/>
        <w:ind w:firstLine="425"/>
        <w:jc w:val="both"/>
        <w:rPr>
          <w:rFonts w:ascii="Times New Roman" w:hAnsi="Times New Roman"/>
          <w:sz w:val="20"/>
          <w:szCs w:val="20"/>
          <w:lang w:bidi="ar-EG"/>
        </w:rPr>
      </w:pPr>
      <w:r w:rsidRPr="00D643B4">
        <w:rPr>
          <w:rFonts w:ascii="Times New Roman" w:hAnsi="Times New Roman"/>
          <w:sz w:val="20"/>
          <w:szCs w:val="20"/>
          <w:lang w:bidi="ar-EG"/>
        </w:rPr>
        <w:t xml:space="preserve">And in agreement with the result of </w:t>
      </w:r>
      <w:r w:rsidRPr="00D643B4">
        <w:rPr>
          <w:rFonts w:ascii="Times New Roman" w:hAnsi="Times New Roman"/>
          <w:b/>
          <w:bCs/>
          <w:sz w:val="20"/>
          <w:szCs w:val="20"/>
          <w:lang w:bidi="ar-EG"/>
        </w:rPr>
        <w:t>(Jedrzejewska et al., 2015)</w:t>
      </w:r>
      <w:r w:rsidRPr="00D643B4">
        <w:rPr>
          <w:rFonts w:ascii="Times New Roman" w:hAnsi="Times New Roman"/>
          <w:sz w:val="20"/>
          <w:szCs w:val="20"/>
          <w:vertAlign w:val="superscript"/>
          <w:lang w:bidi="ar-EG"/>
        </w:rPr>
        <w:t>13</w:t>
      </w:r>
      <w:r w:rsidR="00D643B4">
        <w:rPr>
          <w:rFonts w:ascii="Times New Roman" w:eastAsiaTheme="minorEastAsia" w:hAnsi="Times New Roman" w:hint="eastAsia"/>
          <w:sz w:val="20"/>
          <w:szCs w:val="20"/>
          <w:vertAlign w:val="superscript"/>
          <w:lang w:eastAsia="zh-CN" w:bidi="ar-EG"/>
        </w:rPr>
        <w:t xml:space="preserve"> </w:t>
      </w:r>
      <w:r w:rsidRPr="00D643B4">
        <w:rPr>
          <w:rFonts w:ascii="Times New Roman" w:hAnsi="Times New Roman"/>
          <w:sz w:val="20"/>
          <w:szCs w:val="20"/>
          <w:lang w:bidi="ar-EG"/>
        </w:rPr>
        <w:t>that evaluated Left and right ventricular systolic function impairment in type I diabetic young adults assessed by 2D speckle tracking echocardiography. They found that RVGLS</w:t>
      </w:r>
      <w:r w:rsidR="00D643B4">
        <w:rPr>
          <w:rFonts w:ascii="Times New Roman" w:eastAsiaTheme="minorEastAsia" w:hAnsi="Times New Roman" w:hint="eastAsia"/>
          <w:sz w:val="20"/>
          <w:szCs w:val="20"/>
          <w:lang w:eastAsia="zh-CN" w:bidi="ar-EG"/>
        </w:rPr>
        <w:t xml:space="preserve"> </w:t>
      </w:r>
      <w:r w:rsidRPr="00D643B4">
        <w:rPr>
          <w:rFonts w:ascii="Times New Roman" w:hAnsi="Times New Roman"/>
          <w:sz w:val="20"/>
          <w:szCs w:val="20"/>
          <w:lang w:bidi="ar-EG"/>
        </w:rPr>
        <w:t>were significantly lower compared with the control group.</w:t>
      </w:r>
    </w:p>
    <w:p w:rsidR="00290577" w:rsidRPr="00D643B4" w:rsidRDefault="00290577" w:rsidP="00855AC3">
      <w:pPr>
        <w:pStyle w:val="Header"/>
        <w:snapToGrid w:val="0"/>
        <w:spacing w:after="0" w:line="240" w:lineRule="auto"/>
        <w:ind w:firstLine="425"/>
        <w:jc w:val="both"/>
        <w:rPr>
          <w:rFonts w:ascii="Times New Roman" w:hAnsi="Times New Roman"/>
          <w:sz w:val="20"/>
          <w:szCs w:val="20"/>
          <w:lang w:bidi="ar-EG"/>
        </w:rPr>
      </w:pPr>
      <w:r w:rsidRPr="00D643B4">
        <w:rPr>
          <w:rFonts w:ascii="Times New Roman" w:hAnsi="Times New Roman"/>
          <w:sz w:val="20"/>
          <w:szCs w:val="20"/>
          <w:lang w:bidi="ar-EG"/>
        </w:rPr>
        <w:t xml:space="preserve">In our Study, there was a positive correlation between the reduction of the GLS of both Left and right ventricles using 2 D STE and the duration of diabetes. This finding is concordant with the result of </w:t>
      </w:r>
      <w:r w:rsidRPr="00D643B4">
        <w:rPr>
          <w:rFonts w:ascii="Times New Roman" w:hAnsi="Times New Roman"/>
          <w:b/>
          <w:bCs/>
          <w:sz w:val="20"/>
          <w:szCs w:val="20"/>
          <w:lang w:bidi="ar-EG"/>
        </w:rPr>
        <w:t>(Nakai et al., 2009)</w:t>
      </w:r>
      <w:r w:rsidRPr="00D643B4">
        <w:rPr>
          <w:rFonts w:ascii="Times New Roman" w:hAnsi="Times New Roman"/>
          <w:sz w:val="20"/>
          <w:szCs w:val="20"/>
          <w:vertAlign w:val="superscript"/>
          <w:lang w:bidi="ar-EG"/>
        </w:rPr>
        <w:t>11</w:t>
      </w:r>
      <w:r w:rsidRPr="00D643B4">
        <w:rPr>
          <w:rFonts w:ascii="Times New Roman" w:eastAsia="MS Mincho" w:hAnsi="Times New Roman"/>
          <w:sz w:val="20"/>
          <w:szCs w:val="20"/>
          <w:lang w:bidi="ar-EG"/>
        </w:rPr>
        <w:t xml:space="preserve"> as </w:t>
      </w:r>
      <w:r w:rsidRPr="00D643B4">
        <w:rPr>
          <w:rFonts w:ascii="Times New Roman" w:hAnsi="Times New Roman"/>
          <w:sz w:val="20"/>
          <w:szCs w:val="20"/>
          <w:lang w:bidi="ar-EG"/>
        </w:rPr>
        <w:t>they found that</w:t>
      </w:r>
      <w:r w:rsidR="00D643B4">
        <w:rPr>
          <w:rFonts w:ascii="Times New Roman" w:eastAsiaTheme="minorEastAsia" w:hAnsi="Times New Roman" w:hint="eastAsia"/>
          <w:sz w:val="20"/>
          <w:szCs w:val="20"/>
          <w:lang w:eastAsia="zh-CN" w:bidi="ar-EG"/>
        </w:rPr>
        <w:t xml:space="preserve"> </w:t>
      </w:r>
      <w:r w:rsidRPr="00D643B4">
        <w:rPr>
          <w:rFonts w:ascii="Times New Roman" w:hAnsi="Times New Roman"/>
          <w:sz w:val="20"/>
          <w:szCs w:val="20"/>
          <w:lang w:bidi="ar-EG"/>
        </w:rPr>
        <w:t>diabetes duration was the only independent confounder for the reduction of GLS</w:t>
      </w:r>
      <w:r w:rsidR="00855AC3" w:rsidRPr="00D643B4">
        <w:rPr>
          <w:rFonts w:ascii="Times New Roman" w:hAnsi="Times New Roman"/>
          <w:sz w:val="20"/>
          <w:szCs w:val="20"/>
          <w:lang w:bidi="ar-EG"/>
        </w:rPr>
        <w:t>. b</w:t>
      </w:r>
      <w:r w:rsidRPr="00D643B4">
        <w:rPr>
          <w:rFonts w:ascii="Times New Roman" w:hAnsi="Times New Roman"/>
          <w:sz w:val="20"/>
          <w:szCs w:val="20"/>
          <w:lang w:bidi="ar-EG"/>
        </w:rPr>
        <w:t>ut our study finding is</w:t>
      </w:r>
      <w:r w:rsidR="00D643B4">
        <w:rPr>
          <w:rFonts w:ascii="Times New Roman" w:eastAsiaTheme="minorEastAsia" w:hAnsi="Times New Roman" w:hint="eastAsia"/>
          <w:sz w:val="20"/>
          <w:szCs w:val="20"/>
          <w:lang w:eastAsia="zh-CN" w:bidi="ar-EG"/>
        </w:rPr>
        <w:t xml:space="preserve"> </w:t>
      </w:r>
      <w:r w:rsidRPr="00D643B4">
        <w:rPr>
          <w:rFonts w:ascii="Times New Roman" w:hAnsi="Times New Roman"/>
          <w:sz w:val="20"/>
          <w:szCs w:val="20"/>
          <w:lang w:bidi="ar-EG"/>
        </w:rPr>
        <w:t>discordant with the result of (</w:t>
      </w:r>
      <w:r w:rsidRPr="00D643B4">
        <w:rPr>
          <w:rFonts w:ascii="Times New Roman" w:hAnsi="Times New Roman"/>
          <w:b/>
          <w:bCs/>
          <w:sz w:val="20"/>
          <w:szCs w:val="20"/>
          <w:lang w:bidi="ar-EG"/>
        </w:rPr>
        <w:t>Jedrzejewska et al., 2016)</w:t>
      </w:r>
      <w:r w:rsidRPr="00D643B4">
        <w:rPr>
          <w:rFonts w:ascii="Times New Roman" w:hAnsi="Times New Roman"/>
          <w:sz w:val="20"/>
          <w:szCs w:val="20"/>
          <w:vertAlign w:val="superscript"/>
          <w:lang w:bidi="ar-EG"/>
        </w:rPr>
        <w:t>13</w:t>
      </w:r>
      <w:r w:rsidR="00D643B4">
        <w:rPr>
          <w:rFonts w:ascii="Times New Roman" w:eastAsiaTheme="minorEastAsia" w:hAnsi="Times New Roman" w:hint="eastAsia"/>
          <w:sz w:val="20"/>
          <w:szCs w:val="20"/>
          <w:vertAlign w:val="superscript"/>
          <w:lang w:eastAsia="zh-CN" w:bidi="ar-EG"/>
        </w:rPr>
        <w:t xml:space="preserve"> </w:t>
      </w:r>
      <w:r w:rsidRPr="00D643B4">
        <w:rPr>
          <w:rFonts w:ascii="Times New Roman" w:hAnsi="Times New Roman"/>
          <w:sz w:val="20"/>
          <w:szCs w:val="20"/>
          <w:lang w:bidi="ar-EG"/>
        </w:rPr>
        <w:t>as</w:t>
      </w:r>
      <w:r w:rsidR="00D643B4">
        <w:rPr>
          <w:rFonts w:ascii="Times New Roman" w:eastAsiaTheme="minorEastAsia" w:hAnsi="Times New Roman" w:hint="eastAsia"/>
          <w:sz w:val="20"/>
          <w:szCs w:val="20"/>
          <w:lang w:eastAsia="zh-CN" w:bidi="ar-EG"/>
        </w:rPr>
        <w:t xml:space="preserve"> </w:t>
      </w:r>
      <w:r w:rsidRPr="00D643B4">
        <w:rPr>
          <w:rFonts w:ascii="Times New Roman" w:hAnsi="Times New Roman"/>
          <w:sz w:val="20"/>
          <w:szCs w:val="20"/>
          <w:lang w:bidi="ar-EG"/>
        </w:rPr>
        <w:t>they</w:t>
      </w:r>
      <w:r w:rsidR="00D643B4">
        <w:rPr>
          <w:rFonts w:ascii="Times New Roman" w:eastAsiaTheme="minorEastAsia" w:hAnsi="Times New Roman" w:hint="eastAsia"/>
          <w:sz w:val="20"/>
          <w:szCs w:val="20"/>
          <w:lang w:eastAsia="zh-CN" w:bidi="ar-EG"/>
        </w:rPr>
        <w:t xml:space="preserve"> </w:t>
      </w:r>
      <w:r w:rsidRPr="00D643B4">
        <w:rPr>
          <w:rFonts w:ascii="Times New Roman" w:hAnsi="Times New Roman"/>
          <w:sz w:val="20"/>
          <w:szCs w:val="20"/>
          <w:lang w:bidi="ar-EG"/>
        </w:rPr>
        <w:t>found that there is no relationship between the reduction of LVGLS and diabetes duration and they assumed that was due to glycemic control of the whole diabetes duration was relatively good and this might partially explain the lack of the relationship of the diabetic duration and the reduction of LVGLS &amp;</w:t>
      </w:r>
      <w:r w:rsidR="00D643B4">
        <w:rPr>
          <w:rFonts w:ascii="Times New Roman" w:eastAsiaTheme="minorEastAsia" w:hAnsi="Times New Roman" w:hint="eastAsia"/>
          <w:sz w:val="20"/>
          <w:szCs w:val="20"/>
          <w:lang w:eastAsia="zh-CN" w:bidi="ar-EG"/>
        </w:rPr>
        <w:t xml:space="preserve"> </w:t>
      </w:r>
      <w:r w:rsidRPr="00D643B4">
        <w:rPr>
          <w:rFonts w:ascii="Times New Roman" w:hAnsi="Times New Roman"/>
          <w:sz w:val="20"/>
          <w:szCs w:val="20"/>
          <w:lang w:bidi="ar-EG"/>
        </w:rPr>
        <w:t>RVGLS.</w:t>
      </w:r>
    </w:p>
    <w:p w:rsidR="00290577" w:rsidRPr="00D643B4" w:rsidRDefault="00290577" w:rsidP="00855AC3">
      <w:pPr>
        <w:pStyle w:val="Header"/>
        <w:snapToGrid w:val="0"/>
        <w:spacing w:after="0" w:line="240" w:lineRule="auto"/>
        <w:ind w:firstLine="425"/>
        <w:jc w:val="both"/>
        <w:rPr>
          <w:rFonts w:ascii="Times New Roman" w:hAnsi="Times New Roman"/>
          <w:sz w:val="20"/>
          <w:szCs w:val="20"/>
          <w:lang w:bidi="ar-EG"/>
        </w:rPr>
      </w:pPr>
      <w:r w:rsidRPr="00D643B4">
        <w:rPr>
          <w:rFonts w:ascii="Times New Roman" w:hAnsi="Times New Roman"/>
          <w:sz w:val="20"/>
          <w:szCs w:val="20"/>
          <w:lang w:bidi="ar-EG"/>
        </w:rPr>
        <w:t>In our Study, there was a positive correlation between reduction of LV and RV GLS using 2 D speckle tracking Echocardiography and the level of HbA1C and this finding is concordant with the results of (</w:t>
      </w:r>
      <w:r w:rsidRPr="00D643B4">
        <w:rPr>
          <w:rFonts w:ascii="Times New Roman" w:hAnsi="Times New Roman"/>
          <w:b/>
          <w:bCs/>
          <w:sz w:val="20"/>
          <w:szCs w:val="20"/>
          <w:lang w:bidi="ar-EG"/>
        </w:rPr>
        <w:t>Labombarda et al., at 2014)</w:t>
      </w:r>
      <w:r w:rsidRPr="00D643B4">
        <w:rPr>
          <w:rFonts w:ascii="Times New Roman" w:hAnsi="Times New Roman"/>
          <w:sz w:val="20"/>
          <w:szCs w:val="20"/>
          <w:vertAlign w:val="superscript"/>
          <w:lang w:bidi="ar-EG"/>
        </w:rPr>
        <w:t>12</w:t>
      </w:r>
      <w:r w:rsidR="00D643B4">
        <w:rPr>
          <w:rFonts w:ascii="Times New Roman" w:eastAsiaTheme="minorEastAsia" w:hAnsi="Times New Roman" w:hint="eastAsia"/>
          <w:sz w:val="20"/>
          <w:szCs w:val="20"/>
          <w:vertAlign w:val="superscript"/>
          <w:lang w:eastAsia="zh-CN" w:bidi="ar-EG"/>
        </w:rPr>
        <w:t xml:space="preserve"> </w:t>
      </w:r>
      <w:r w:rsidRPr="00D643B4">
        <w:rPr>
          <w:rFonts w:ascii="Times New Roman" w:hAnsi="Times New Roman"/>
          <w:sz w:val="20"/>
          <w:szCs w:val="20"/>
          <w:lang w:bidi="ar-EG"/>
        </w:rPr>
        <w:t>and</w:t>
      </w:r>
      <w:r w:rsidR="00D643B4">
        <w:rPr>
          <w:rFonts w:ascii="Times New Roman" w:eastAsiaTheme="minorEastAsia" w:hAnsi="Times New Roman" w:hint="eastAsia"/>
          <w:sz w:val="20"/>
          <w:szCs w:val="20"/>
          <w:lang w:eastAsia="zh-CN" w:bidi="ar-EG"/>
        </w:rPr>
        <w:t xml:space="preserve"> </w:t>
      </w:r>
      <w:r w:rsidRPr="00D643B4">
        <w:rPr>
          <w:rFonts w:ascii="Times New Roman" w:hAnsi="Times New Roman"/>
          <w:sz w:val="20"/>
          <w:szCs w:val="20"/>
          <w:lang w:bidi="ar-EG"/>
        </w:rPr>
        <w:t>discordant to the result of (</w:t>
      </w:r>
      <w:r w:rsidRPr="00D643B4">
        <w:rPr>
          <w:rFonts w:ascii="Times New Roman" w:hAnsi="Times New Roman"/>
          <w:b/>
          <w:bCs/>
          <w:sz w:val="20"/>
          <w:szCs w:val="20"/>
          <w:lang w:bidi="ar-EG"/>
        </w:rPr>
        <w:t>Jedrzejewska et al., at 2016</w:t>
      </w:r>
      <w:r w:rsidRPr="00D643B4">
        <w:rPr>
          <w:rFonts w:ascii="Times New Roman" w:hAnsi="Times New Roman"/>
          <w:sz w:val="20"/>
          <w:szCs w:val="20"/>
          <w:lang w:bidi="ar-EG"/>
        </w:rPr>
        <w:t>)</w:t>
      </w:r>
      <w:r w:rsidRPr="00D643B4">
        <w:rPr>
          <w:rFonts w:ascii="Times New Roman" w:hAnsi="Times New Roman"/>
          <w:sz w:val="20"/>
          <w:szCs w:val="20"/>
          <w:vertAlign w:val="superscript"/>
          <w:lang w:bidi="ar-EG"/>
        </w:rPr>
        <w:t>13</w:t>
      </w:r>
      <w:r w:rsidRPr="00D643B4">
        <w:rPr>
          <w:rFonts w:ascii="Times New Roman" w:hAnsi="Times New Roman"/>
          <w:sz w:val="20"/>
          <w:szCs w:val="20"/>
          <w:lang w:bidi="ar-EG"/>
        </w:rPr>
        <w:t xml:space="preserve"> they did not ﬁnd any relationship between systolic or diastolic parameters and HbA1c. And </w:t>
      </w:r>
      <w:r w:rsidR="00B55D7B" w:rsidRPr="00D643B4">
        <w:rPr>
          <w:rFonts w:ascii="Times New Roman" w:hAnsi="Times New Roman"/>
          <w:sz w:val="20"/>
          <w:szCs w:val="20"/>
          <w:lang w:bidi="ar-EG"/>
        </w:rPr>
        <w:t>also,</w:t>
      </w:r>
      <w:r w:rsidRPr="00D643B4">
        <w:rPr>
          <w:rFonts w:ascii="Times New Roman" w:hAnsi="Times New Roman"/>
          <w:sz w:val="20"/>
          <w:szCs w:val="20"/>
          <w:lang w:bidi="ar-EG"/>
        </w:rPr>
        <w:t xml:space="preserve"> the finding is discordant with results of</w:t>
      </w:r>
      <w:r w:rsidR="00D643B4">
        <w:rPr>
          <w:rFonts w:ascii="Times New Roman" w:eastAsiaTheme="minorEastAsia" w:hAnsi="Times New Roman" w:hint="eastAsia"/>
          <w:sz w:val="20"/>
          <w:szCs w:val="20"/>
          <w:lang w:eastAsia="zh-CN" w:bidi="ar-EG"/>
        </w:rPr>
        <w:t xml:space="preserve"> </w:t>
      </w:r>
      <w:r w:rsidRPr="00D643B4">
        <w:rPr>
          <w:rFonts w:ascii="Times New Roman" w:hAnsi="Times New Roman"/>
          <w:sz w:val="20"/>
          <w:szCs w:val="20"/>
          <w:lang w:bidi="ar-EG"/>
        </w:rPr>
        <w:t>(</w:t>
      </w:r>
      <w:r w:rsidRPr="00D643B4">
        <w:rPr>
          <w:rFonts w:ascii="Times New Roman" w:hAnsi="Times New Roman"/>
          <w:b/>
          <w:bCs/>
          <w:sz w:val="20"/>
          <w:szCs w:val="20"/>
          <w:lang w:bidi="ar-EG"/>
        </w:rPr>
        <w:t>Di Cori et al., at 2007)</w:t>
      </w:r>
      <w:r w:rsidRPr="00D643B4">
        <w:rPr>
          <w:rFonts w:ascii="Times New Roman" w:hAnsi="Times New Roman"/>
          <w:sz w:val="20"/>
          <w:szCs w:val="20"/>
          <w:vertAlign w:val="superscript"/>
          <w:lang w:bidi="ar-EG"/>
        </w:rPr>
        <w:t>16</w:t>
      </w:r>
      <w:r w:rsidR="00D643B4">
        <w:rPr>
          <w:rFonts w:ascii="Times New Roman" w:eastAsiaTheme="minorEastAsia" w:hAnsi="Times New Roman" w:hint="eastAsia"/>
          <w:sz w:val="20"/>
          <w:szCs w:val="20"/>
          <w:vertAlign w:val="superscript"/>
          <w:lang w:eastAsia="zh-CN" w:bidi="ar-EG"/>
        </w:rPr>
        <w:t xml:space="preserve"> </w:t>
      </w:r>
      <w:r w:rsidRPr="00D643B4">
        <w:rPr>
          <w:rFonts w:ascii="Times New Roman" w:hAnsi="Times New Roman"/>
          <w:sz w:val="20"/>
          <w:szCs w:val="20"/>
          <w:lang w:bidi="ar-EG"/>
        </w:rPr>
        <w:t xml:space="preserve">who did not observe any correlation between HbA1c </w:t>
      </w:r>
      <w:r w:rsidRPr="00D643B4">
        <w:rPr>
          <w:rFonts w:ascii="Times New Roman" w:hAnsi="Times New Roman"/>
          <w:sz w:val="20"/>
          <w:szCs w:val="20"/>
          <w:lang w:bidi="ar-EG"/>
        </w:rPr>
        <w:lastRenderedPageBreak/>
        <w:t xml:space="preserve">and LV LS or diastolic parameters, and </w:t>
      </w:r>
      <w:r w:rsidRPr="00D643B4">
        <w:rPr>
          <w:rFonts w:ascii="Times New Roman" w:hAnsi="Times New Roman"/>
          <w:b/>
          <w:bCs/>
          <w:sz w:val="20"/>
          <w:szCs w:val="20"/>
          <w:lang w:bidi="ar-EG"/>
        </w:rPr>
        <w:t>(Kim et al.,</w:t>
      </w:r>
      <w:r w:rsidR="00D643B4">
        <w:rPr>
          <w:rFonts w:ascii="Times New Roman" w:eastAsiaTheme="minorEastAsia" w:hAnsi="Times New Roman" w:hint="eastAsia"/>
          <w:b/>
          <w:bCs/>
          <w:sz w:val="20"/>
          <w:szCs w:val="20"/>
          <w:lang w:eastAsia="zh-CN" w:bidi="ar-EG"/>
        </w:rPr>
        <w:t xml:space="preserve"> </w:t>
      </w:r>
      <w:r w:rsidRPr="00D643B4">
        <w:rPr>
          <w:rFonts w:ascii="Times New Roman" w:hAnsi="Times New Roman"/>
          <w:b/>
          <w:bCs/>
          <w:sz w:val="20"/>
          <w:szCs w:val="20"/>
          <w:lang w:bidi="ar-EG"/>
        </w:rPr>
        <w:t>2010)</w:t>
      </w:r>
      <w:r w:rsidRPr="00D643B4">
        <w:rPr>
          <w:rFonts w:ascii="Times New Roman" w:hAnsi="Times New Roman"/>
          <w:sz w:val="20"/>
          <w:szCs w:val="20"/>
          <w:vertAlign w:val="superscript"/>
          <w:lang w:bidi="ar-EG"/>
        </w:rPr>
        <w:t>17</w:t>
      </w:r>
      <w:r w:rsidR="00D643B4">
        <w:rPr>
          <w:rFonts w:ascii="Times New Roman" w:eastAsiaTheme="minorEastAsia" w:hAnsi="Times New Roman" w:hint="eastAsia"/>
          <w:sz w:val="20"/>
          <w:szCs w:val="20"/>
          <w:vertAlign w:val="superscript"/>
          <w:lang w:eastAsia="zh-CN" w:bidi="ar-EG"/>
        </w:rPr>
        <w:t xml:space="preserve"> </w:t>
      </w:r>
      <w:r w:rsidRPr="00D643B4">
        <w:rPr>
          <w:rFonts w:ascii="Times New Roman" w:hAnsi="Times New Roman"/>
          <w:sz w:val="20"/>
          <w:szCs w:val="20"/>
          <w:lang w:bidi="ar-EG"/>
        </w:rPr>
        <w:t>may be explained by the fact that HbA1c reﬂects the glucose level of only 4 preceding months. and it cannot show the relationship of glycaemiccontrol with cardiac function in long disease duration diabetic patients.</w:t>
      </w:r>
    </w:p>
    <w:p w:rsidR="00290577" w:rsidRPr="00D643B4" w:rsidRDefault="00290577" w:rsidP="00855AC3">
      <w:pPr>
        <w:pStyle w:val="Header"/>
        <w:snapToGrid w:val="0"/>
        <w:spacing w:after="0" w:line="240" w:lineRule="auto"/>
        <w:jc w:val="both"/>
        <w:rPr>
          <w:rFonts w:ascii="Times New Roman" w:hAnsi="Times New Roman"/>
          <w:b/>
          <w:bCs/>
          <w:sz w:val="20"/>
          <w:szCs w:val="20"/>
          <w:lang w:bidi="ar-EG"/>
        </w:rPr>
      </w:pPr>
    </w:p>
    <w:p w:rsidR="00290577" w:rsidRPr="00D643B4" w:rsidRDefault="00290577" w:rsidP="00855AC3">
      <w:pPr>
        <w:pStyle w:val="Header"/>
        <w:snapToGrid w:val="0"/>
        <w:spacing w:after="0" w:line="240" w:lineRule="auto"/>
        <w:jc w:val="both"/>
        <w:rPr>
          <w:rFonts w:ascii="Times New Roman" w:hAnsi="Times New Roman"/>
          <w:b/>
          <w:bCs/>
          <w:sz w:val="20"/>
          <w:szCs w:val="20"/>
          <w:lang w:bidi="ar-EG"/>
        </w:rPr>
      </w:pPr>
      <w:r w:rsidRPr="00D643B4">
        <w:rPr>
          <w:rFonts w:ascii="Times New Roman" w:hAnsi="Times New Roman"/>
          <w:b/>
          <w:bCs/>
          <w:sz w:val="20"/>
          <w:szCs w:val="20"/>
          <w:lang w:bidi="ar-EG"/>
        </w:rPr>
        <w:t>5. Conclusion</w:t>
      </w:r>
    </w:p>
    <w:p w:rsidR="00290577" w:rsidRPr="00D643B4" w:rsidRDefault="00290577" w:rsidP="00855AC3">
      <w:pPr>
        <w:pStyle w:val="Header"/>
        <w:snapToGrid w:val="0"/>
        <w:spacing w:after="0" w:line="240" w:lineRule="auto"/>
        <w:ind w:firstLine="425"/>
        <w:jc w:val="both"/>
        <w:rPr>
          <w:rFonts w:ascii="Times New Roman" w:eastAsia="Calibri" w:hAnsi="Times New Roman"/>
          <w:bCs/>
          <w:sz w:val="20"/>
          <w:szCs w:val="20"/>
          <w:lang w:bidi="ar-EG"/>
        </w:rPr>
      </w:pPr>
      <w:r w:rsidRPr="00D643B4">
        <w:rPr>
          <w:rFonts w:ascii="Times New Roman" w:hAnsi="Times New Roman"/>
          <w:sz w:val="20"/>
          <w:szCs w:val="20"/>
          <w:lang w:bidi="ar-EG"/>
        </w:rPr>
        <w:t>This study concluded that type I DM is associated with subclinical LV &amp; RV</w:t>
      </w:r>
      <w:r w:rsidR="00D643B4">
        <w:rPr>
          <w:rFonts w:ascii="Times New Roman" w:eastAsiaTheme="minorEastAsia" w:hAnsi="Times New Roman" w:hint="eastAsia"/>
          <w:sz w:val="20"/>
          <w:szCs w:val="20"/>
          <w:lang w:eastAsia="zh-CN" w:bidi="ar-EG"/>
        </w:rPr>
        <w:t xml:space="preserve"> </w:t>
      </w:r>
      <w:r w:rsidRPr="00D643B4">
        <w:rPr>
          <w:rFonts w:ascii="Times New Roman" w:hAnsi="Times New Roman"/>
          <w:sz w:val="20"/>
          <w:szCs w:val="20"/>
          <w:lang w:bidi="ar-EG"/>
        </w:rPr>
        <w:t>systolic dysfunction</w:t>
      </w:r>
      <w:r w:rsidR="00D643B4">
        <w:rPr>
          <w:rFonts w:ascii="Times New Roman" w:eastAsiaTheme="minorEastAsia" w:hAnsi="Times New Roman" w:hint="eastAsia"/>
          <w:sz w:val="20"/>
          <w:szCs w:val="20"/>
          <w:lang w:eastAsia="zh-CN" w:bidi="ar-EG"/>
        </w:rPr>
        <w:t xml:space="preserve"> </w:t>
      </w:r>
      <w:r w:rsidRPr="00D643B4">
        <w:rPr>
          <w:rFonts w:ascii="Times New Roman" w:hAnsi="Times New Roman"/>
          <w:sz w:val="20"/>
          <w:szCs w:val="20"/>
          <w:lang w:bidi="ar-EG"/>
        </w:rPr>
        <w:t>compared with control subjects</w:t>
      </w:r>
      <w:r w:rsidR="00D643B4">
        <w:rPr>
          <w:rFonts w:ascii="Times New Roman" w:eastAsiaTheme="minorEastAsia" w:hAnsi="Times New Roman" w:hint="eastAsia"/>
          <w:sz w:val="20"/>
          <w:szCs w:val="20"/>
          <w:lang w:eastAsia="zh-CN" w:bidi="ar-EG"/>
        </w:rPr>
        <w:t xml:space="preserve"> </w:t>
      </w:r>
      <w:r w:rsidRPr="00D643B4">
        <w:rPr>
          <w:rFonts w:ascii="Times New Roman" w:hAnsi="Times New Roman"/>
          <w:sz w:val="20"/>
          <w:szCs w:val="20"/>
        </w:rPr>
        <w:t xml:space="preserve">which can be </w:t>
      </w:r>
      <w:r w:rsidRPr="00D643B4">
        <w:rPr>
          <w:rFonts w:ascii="Times New Roman" w:eastAsia="Calibri" w:hAnsi="Times New Roman"/>
          <w:bCs/>
          <w:sz w:val="20"/>
          <w:szCs w:val="20"/>
          <w:lang w:bidi="ar-EG"/>
        </w:rPr>
        <w:t>detected with 2D STE. It is recommended that all type I DM should be repeatedly subjected to 2D STE to detect subclinical LV and RV systolic dysfunction for early diagnosis before overt clinical diabetic cardiomyopathy.</w:t>
      </w:r>
    </w:p>
    <w:p w:rsidR="00290577" w:rsidRPr="00D643B4" w:rsidRDefault="00290577" w:rsidP="00855AC3">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290577" w:rsidRPr="00D643B4" w:rsidRDefault="00290577" w:rsidP="00855AC3">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rPr>
      </w:pPr>
      <w:r w:rsidRPr="00D643B4">
        <w:rPr>
          <w:rFonts w:ascii="Times New Roman" w:hAnsi="Times New Roman" w:cs="Times New Roman"/>
          <w:b/>
          <w:bCs/>
          <w:sz w:val="20"/>
          <w:szCs w:val="20"/>
        </w:rPr>
        <w:t>References</w:t>
      </w:r>
    </w:p>
    <w:p w:rsidR="00290577" w:rsidRPr="00D643B4" w:rsidRDefault="00290577" w:rsidP="00855AC3">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643B4">
        <w:rPr>
          <w:rFonts w:ascii="Times New Roman" w:hAnsi="Times New Roman" w:cs="Times New Roman"/>
          <w:sz w:val="20"/>
          <w:szCs w:val="20"/>
        </w:rPr>
        <w:t>Voulgari C, Papadogiannis D, Tentolouris N. Diabetic cardiomyopathy (2010): from the pathophysiology of the cardiac myocytes to current diagnosis and management strategies</w:t>
      </w:r>
      <w:r w:rsidR="00855AC3" w:rsidRPr="00D643B4">
        <w:rPr>
          <w:rFonts w:ascii="Times New Roman" w:hAnsi="Times New Roman" w:cs="Times New Roman"/>
          <w:sz w:val="20"/>
          <w:szCs w:val="20"/>
        </w:rPr>
        <w:t>. V</w:t>
      </w:r>
      <w:r w:rsidRPr="00D643B4">
        <w:rPr>
          <w:rFonts w:ascii="Times New Roman" w:hAnsi="Times New Roman" w:cs="Times New Roman"/>
          <w:sz w:val="20"/>
          <w:szCs w:val="20"/>
        </w:rPr>
        <w:t>asc Health Risk Manag;6:883 – 903</w:t>
      </w:r>
      <w:r w:rsidR="00855AC3" w:rsidRPr="00D643B4">
        <w:rPr>
          <w:rFonts w:ascii="Times New Roman" w:eastAsiaTheme="minorEastAsia" w:hAnsi="Times New Roman" w:cs="Times New Roman" w:hint="eastAsia"/>
          <w:sz w:val="20"/>
          <w:szCs w:val="20"/>
          <w:lang w:eastAsia="zh-CN"/>
        </w:rPr>
        <w:t>.</w:t>
      </w:r>
    </w:p>
    <w:p w:rsidR="00290577" w:rsidRPr="00D643B4" w:rsidRDefault="00290577" w:rsidP="00855AC3">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D643B4">
        <w:rPr>
          <w:rFonts w:ascii="Times New Roman" w:hAnsi="Times New Roman" w:cs="Times New Roman"/>
          <w:sz w:val="20"/>
          <w:szCs w:val="20"/>
        </w:rPr>
        <w:t>Miki T, Yuda S, Kouzu H, Miura T (2013): Diabetic cardiomyopathy pathophysiology and clinical features</w:t>
      </w:r>
      <w:r w:rsidR="00855AC3" w:rsidRPr="00D643B4">
        <w:rPr>
          <w:rFonts w:ascii="Times New Roman" w:hAnsi="Times New Roman" w:cs="Times New Roman"/>
          <w:sz w:val="20"/>
          <w:szCs w:val="20"/>
        </w:rPr>
        <w:t>. H</w:t>
      </w:r>
      <w:r w:rsidRPr="00D643B4">
        <w:rPr>
          <w:rFonts w:ascii="Times New Roman" w:hAnsi="Times New Roman" w:cs="Times New Roman"/>
          <w:sz w:val="20"/>
          <w:szCs w:val="20"/>
        </w:rPr>
        <w:t>eart Fail Rev;</w:t>
      </w:r>
      <w:r w:rsidRPr="00D643B4">
        <w:rPr>
          <w:rFonts w:ascii="Times New Roman" w:hAnsi="Times New Roman" w:cs="Times New Roman"/>
          <w:bCs/>
          <w:sz w:val="20"/>
          <w:szCs w:val="20"/>
        </w:rPr>
        <w:t>18</w:t>
      </w:r>
      <w:r w:rsidRPr="00D643B4">
        <w:rPr>
          <w:rFonts w:ascii="Times New Roman" w:hAnsi="Times New Roman" w:cs="Times New Roman"/>
          <w:sz w:val="20"/>
          <w:szCs w:val="20"/>
        </w:rPr>
        <w:t>:149 – 66</w:t>
      </w:r>
      <w:r w:rsidR="00855AC3" w:rsidRPr="00D643B4">
        <w:rPr>
          <w:rFonts w:ascii="Times New Roman" w:eastAsiaTheme="minorEastAsia" w:hAnsi="Times New Roman" w:cs="Times New Roman" w:hint="eastAsia"/>
          <w:sz w:val="20"/>
          <w:szCs w:val="20"/>
          <w:lang w:eastAsia="zh-CN"/>
        </w:rPr>
        <w:t>.</w:t>
      </w:r>
    </w:p>
    <w:p w:rsidR="00290577" w:rsidRPr="00D643B4" w:rsidRDefault="00290577" w:rsidP="00855AC3">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D643B4">
        <w:rPr>
          <w:rFonts w:ascii="Times New Roman" w:hAnsi="Times New Roman" w:cs="Times New Roman"/>
          <w:sz w:val="20"/>
          <w:szCs w:val="20"/>
        </w:rPr>
        <w:t xml:space="preserve">Bugger H, Abel ED (2014): Molecular mechanisms of diabetic cardiomyopathy. Diabetologia; </w:t>
      </w:r>
      <w:r w:rsidRPr="00D643B4">
        <w:rPr>
          <w:rFonts w:ascii="Times New Roman" w:hAnsi="Times New Roman" w:cs="Times New Roman"/>
          <w:bCs/>
          <w:sz w:val="20"/>
          <w:szCs w:val="20"/>
        </w:rPr>
        <w:t>57</w:t>
      </w:r>
      <w:r w:rsidRPr="00D643B4">
        <w:rPr>
          <w:rFonts w:ascii="Times New Roman" w:hAnsi="Times New Roman" w:cs="Times New Roman"/>
          <w:sz w:val="20"/>
          <w:szCs w:val="20"/>
        </w:rPr>
        <w:t>:660 – 77.</w:t>
      </w:r>
    </w:p>
    <w:p w:rsidR="00290577" w:rsidRPr="00D643B4" w:rsidRDefault="00290577" w:rsidP="00855AC3">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643B4">
        <w:rPr>
          <w:rFonts w:ascii="Times New Roman" w:hAnsi="Times New Roman" w:cs="Times New Roman"/>
          <w:sz w:val="20"/>
          <w:szCs w:val="20"/>
        </w:rPr>
        <w:t>Ernande L, Rietzschel ER, Bergerot C, De Buyzere ML, Schnell F, Groisne L et al. (2010): Impaired myocardial radial function in</w:t>
      </w:r>
      <w:r w:rsidR="00855AC3" w:rsidRPr="00D643B4">
        <w:rPr>
          <w:rFonts w:ascii="Times New Roman" w:eastAsiaTheme="minorEastAsia" w:hAnsi="Times New Roman" w:cs="Times New Roman" w:hint="eastAsia"/>
          <w:sz w:val="20"/>
          <w:szCs w:val="20"/>
          <w:lang w:eastAsia="zh-CN"/>
        </w:rPr>
        <w:t xml:space="preserve"> </w:t>
      </w:r>
      <w:r w:rsidRPr="00D643B4">
        <w:rPr>
          <w:rFonts w:ascii="Times New Roman" w:hAnsi="Times New Roman" w:cs="Times New Roman"/>
          <w:sz w:val="20"/>
          <w:szCs w:val="20"/>
        </w:rPr>
        <w:t>asymptomatic patients with type II diabetes mellitus: a speckle-tracking imaging study</w:t>
      </w:r>
      <w:r w:rsidR="00855AC3" w:rsidRPr="00D643B4">
        <w:rPr>
          <w:rFonts w:ascii="Times New Roman" w:hAnsi="Times New Roman" w:cs="Times New Roman"/>
          <w:sz w:val="20"/>
          <w:szCs w:val="20"/>
        </w:rPr>
        <w:t>. J</w:t>
      </w:r>
      <w:r w:rsidRPr="00D643B4">
        <w:rPr>
          <w:rFonts w:ascii="Times New Roman" w:hAnsi="Times New Roman" w:cs="Times New Roman"/>
          <w:sz w:val="20"/>
          <w:szCs w:val="20"/>
        </w:rPr>
        <w:t xml:space="preserve"> Am S</w:t>
      </w:r>
      <w:r w:rsidR="00855AC3" w:rsidRPr="00D643B4">
        <w:rPr>
          <w:rFonts w:ascii="Times New Roman" w:hAnsi="Times New Roman" w:cs="Times New Roman"/>
          <w:sz w:val="20"/>
          <w:szCs w:val="20"/>
        </w:rPr>
        <w:t xml:space="preserve"> </w:t>
      </w:r>
      <w:r w:rsidRPr="00D643B4">
        <w:rPr>
          <w:rFonts w:ascii="Times New Roman" w:hAnsi="Times New Roman" w:cs="Times New Roman"/>
          <w:sz w:val="20"/>
          <w:szCs w:val="20"/>
        </w:rPr>
        <w:t xml:space="preserve">Echocardiogr; </w:t>
      </w:r>
      <w:r w:rsidRPr="00D643B4">
        <w:rPr>
          <w:rFonts w:ascii="Times New Roman" w:hAnsi="Times New Roman" w:cs="Times New Roman"/>
          <w:bCs/>
          <w:sz w:val="20"/>
          <w:szCs w:val="20"/>
        </w:rPr>
        <w:t>23:</w:t>
      </w:r>
      <w:r w:rsidRPr="00D643B4">
        <w:rPr>
          <w:rFonts w:ascii="Times New Roman" w:hAnsi="Times New Roman" w:cs="Times New Roman"/>
          <w:sz w:val="20"/>
          <w:szCs w:val="20"/>
        </w:rPr>
        <w:t>1266</w:t>
      </w:r>
      <w:r w:rsidR="00855AC3" w:rsidRPr="00D643B4">
        <w:rPr>
          <w:rFonts w:ascii="Times New Roman" w:hAnsi="Times New Roman" w:cs="Times New Roman"/>
          <w:sz w:val="20"/>
          <w:szCs w:val="20"/>
        </w:rPr>
        <w:t xml:space="preserve"> </w:t>
      </w:r>
      <w:r w:rsidRPr="00D643B4">
        <w:rPr>
          <w:rFonts w:ascii="Times New Roman" w:hAnsi="Times New Roman" w:cs="Times New Roman"/>
          <w:sz w:val="20"/>
          <w:szCs w:val="20"/>
        </w:rPr>
        <w:t>– 72.</w:t>
      </w:r>
    </w:p>
    <w:p w:rsidR="00290577" w:rsidRPr="00D643B4" w:rsidRDefault="00290577" w:rsidP="00855AC3">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D643B4">
        <w:rPr>
          <w:rFonts w:ascii="Times New Roman" w:hAnsi="Times New Roman" w:cs="Times New Roman"/>
          <w:sz w:val="20"/>
          <w:szCs w:val="20"/>
        </w:rPr>
        <w:t xml:space="preserve">Poornima IG, Parikh P, Shannon RP. Diabetic cardiomyopathy (2006): the search for a uni-fying hypothesis. Circ Res; </w:t>
      </w:r>
      <w:r w:rsidRPr="00D643B4">
        <w:rPr>
          <w:rFonts w:ascii="Times New Roman" w:hAnsi="Times New Roman" w:cs="Times New Roman"/>
          <w:bCs/>
          <w:sz w:val="20"/>
          <w:szCs w:val="20"/>
        </w:rPr>
        <w:t>98</w:t>
      </w:r>
      <w:r w:rsidRPr="00D643B4">
        <w:rPr>
          <w:rFonts w:ascii="Times New Roman" w:hAnsi="Times New Roman" w:cs="Times New Roman"/>
          <w:sz w:val="20"/>
          <w:szCs w:val="20"/>
        </w:rPr>
        <w:t>:596 – 605.</w:t>
      </w:r>
    </w:p>
    <w:p w:rsidR="00290577" w:rsidRPr="00D643B4" w:rsidRDefault="00290577" w:rsidP="00855AC3">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D643B4">
        <w:rPr>
          <w:rFonts w:ascii="Times New Roman" w:hAnsi="Times New Roman" w:cs="Times New Roman"/>
          <w:sz w:val="20"/>
          <w:szCs w:val="20"/>
        </w:rPr>
        <w:t>Sveen KA, Nerdrum T, Hanssen KF, Brekke M, Torjesen PA, Strauch CM et al., (2014): Impaired left ventricular function and myocardial blood flow reserve in patients with long-term type I diabetes and no significant coronary artery disease: associations with protein glycation</w:t>
      </w:r>
      <w:r w:rsidR="00855AC3" w:rsidRPr="00D643B4">
        <w:rPr>
          <w:rFonts w:ascii="Times New Roman" w:hAnsi="Times New Roman" w:cs="Times New Roman"/>
          <w:sz w:val="20"/>
          <w:szCs w:val="20"/>
        </w:rPr>
        <w:t>. D</w:t>
      </w:r>
      <w:r w:rsidRPr="00D643B4">
        <w:rPr>
          <w:rFonts w:ascii="Times New Roman" w:hAnsi="Times New Roman" w:cs="Times New Roman"/>
          <w:sz w:val="20"/>
          <w:szCs w:val="20"/>
        </w:rPr>
        <w:t>iab</w:t>
      </w:r>
      <w:r w:rsidR="00D643B4">
        <w:rPr>
          <w:rFonts w:ascii="Times New Roman" w:eastAsiaTheme="minorEastAsia" w:hAnsi="Times New Roman" w:cs="Times New Roman" w:hint="eastAsia"/>
          <w:sz w:val="20"/>
          <w:szCs w:val="20"/>
          <w:lang w:eastAsia="zh-CN"/>
        </w:rPr>
        <w:t xml:space="preserve"> </w:t>
      </w:r>
      <w:r w:rsidRPr="00D643B4">
        <w:rPr>
          <w:rFonts w:ascii="Times New Roman" w:hAnsi="Times New Roman" w:cs="Times New Roman"/>
          <w:sz w:val="20"/>
          <w:szCs w:val="20"/>
        </w:rPr>
        <w:t>Vasc Dis Res</w:t>
      </w:r>
      <w:r w:rsidRPr="00D643B4">
        <w:rPr>
          <w:rFonts w:ascii="Times New Roman" w:hAnsi="Times New Roman" w:cs="Times New Roman"/>
          <w:bCs/>
          <w:sz w:val="20"/>
          <w:szCs w:val="20"/>
        </w:rPr>
        <w:t>;11</w:t>
      </w:r>
      <w:r w:rsidRPr="00D643B4">
        <w:rPr>
          <w:rFonts w:ascii="Times New Roman" w:hAnsi="Times New Roman" w:cs="Times New Roman"/>
          <w:sz w:val="20"/>
          <w:szCs w:val="20"/>
        </w:rPr>
        <w:t>:84 – 91.</w:t>
      </w:r>
    </w:p>
    <w:p w:rsidR="00290577" w:rsidRPr="00D643B4" w:rsidRDefault="00290577" w:rsidP="00855AC3">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D643B4">
        <w:rPr>
          <w:rFonts w:ascii="Times New Roman" w:hAnsi="Times New Roman" w:cs="Times New Roman"/>
          <w:sz w:val="20"/>
          <w:szCs w:val="20"/>
        </w:rPr>
        <w:t>Mor-Avi V, Lang RM, Badano LP, Belohlavek M, Cardim NM, Derumeaux G et al., (2011): Current and evolving echocardiographic techniques for the quantitative evaluation of cardiac mechanics: ASE/EAE consensus statement on methodology and indications endorsed by the Japanese Society of Echocardiography. Eur J Echocardiogr</w:t>
      </w:r>
      <w:r w:rsidRPr="00D643B4">
        <w:rPr>
          <w:rFonts w:ascii="Times New Roman" w:hAnsi="Times New Roman" w:cs="Times New Roman"/>
          <w:bCs/>
          <w:sz w:val="20"/>
          <w:szCs w:val="20"/>
        </w:rPr>
        <w:t>; 12</w:t>
      </w:r>
      <w:r w:rsidRPr="00D643B4">
        <w:rPr>
          <w:rFonts w:ascii="Times New Roman" w:hAnsi="Times New Roman" w:cs="Times New Roman"/>
          <w:sz w:val="20"/>
          <w:szCs w:val="20"/>
        </w:rPr>
        <w:t>:167–205.</w:t>
      </w:r>
    </w:p>
    <w:p w:rsidR="00290577" w:rsidRPr="00D643B4" w:rsidRDefault="00290577" w:rsidP="00855AC3">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643B4">
        <w:rPr>
          <w:rFonts w:ascii="Times New Roman" w:hAnsi="Times New Roman" w:cs="Times New Roman"/>
          <w:sz w:val="20"/>
          <w:szCs w:val="20"/>
        </w:rPr>
        <w:t xml:space="preserve">Geyer H, Caracciolo G, Abe H, Wilansky S, Carerj S, Gentile F et al., (2010): Assessment of </w:t>
      </w:r>
      <w:r w:rsidRPr="00D643B4">
        <w:rPr>
          <w:rFonts w:ascii="Times New Roman" w:hAnsi="Times New Roman" w:cs="Times New Roman"/>
          <w:sz w:val="20"/>
          <w:szCs w:val="20"/>
        </w:rPr>
        <w:lastRenderedPageBreak/>
        <w:t xml:space="preserve">myocardial mechanics using speckle tracking echocardiography: fundamentals and clinical applications. J Am SocEchocardiogr; </w:t>
      </w:r>
      <w:r w:rsidRPr="00D643B4">
        <w:rPr>
          <w:rFonts w:ascii="Times New Roman" w:hAnsi="Times New Roman" w:cs="Times New Roman"/>
          <w:bCs/>
          <w:sz w:val="20"/>
          <w:szCs w:val="20"/>
        </w:rPr>
        <w:t>23</w:t>
      </w:r>
      <w:r w:rsidRPr="00D643B4">
        <w:rPr>
          <w:rFonts w:ascii="Times New Roman" w:hAnsi="Times New Roman" w:cs="Times New Roman"/>
          <w:sz w:val="20"/>
          <w:szCs w:val="20"/>
        </w:rPr>
        <w:t>:351–69; quiz 453-5</w:t>
      </w:r>
      <w:r w:rsidR="00855AC3" w:rsidRPr="00D643B4">
        <w:rPr>
          <w:rFonts w:ascii="Times New Roman" w:eastAsiaTheme="minorEastAsia" w:hAnsi="Times New Roman" w:cs="Times New Roman" w:hint="eastAsia"/>
          <w:sz w:val="20"/>
          <w:szCs w:val="20"/>
          <w:lang w:eastAsia="zh-CN"/>
        </w:rPr>
        <w:t>.</w:t>
      </w:r>
    </w:p>
    <w:p w:rsidR="00290577" w:rsidRPr="00D643B4" w:rsidRDefault="00290577" w:rsidP="00855AC3">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643B4">
        <w:rPr>
          <w:rFonts w:ascii="Times New Roman" w:hAnsi="Times New Roman" w:cs="Times New Roman"/>
          <w:sz w:val="20"/>
          <w:szCs w:val="20"/>
        </w:rPr>
        <w:t xml:space="preserve">Lang RM, Badano LP, Mor-Avi V, Aﬁlalo J, Armstrong A, Ernande L et al., (2015): Recommendations for cardiac chamber quantiﬁcation by echocardiography in adults: an update from the American society of echocardiography and the European association of cardiovascular imaging. Eur Heart J Cardiovasc Imaging; </w:t>
      </w:r>
      <w:r w:rsidRPr="00D643B4">
        <w:rPr>
          <w:rFonts w:ascii="Times New Roman" w:hAnsi="Times New Roman" w:cs="Times New Roman"/>
          <w:bCs/>
          <w:sz w:val="20"/>
          <w:szCs w:val="20"/>
        </w:rPr>
        <w:t>16:</w:t>
      </w:r>
      <w:r w:rsidRPr="00D643B4">
        <w:rPr>
          <w:rFonts w:ascii="Times New Roman" w:hAnsi="Times New Roman" w:cs="Times New Roman"/>
          <w:sz w:val="20"/>
          <w:szCs w:val="20"/>
        </w:rPr>
        <w:t>233–71.</w:t>
      </w:r>
    </w:p>
    <w:p w:rsidR="00290577" w:rsidRPr="00D643B4" w:rsidRDefault="00290577" w:rsidP="00855AC3">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643B4">
        <w:rPr>
          <w:rFonts w:ascii="Times New Roman" w:hAnsi="Times New Roman" w:cs="Times New Roman"/>
          <w:sz w:val="20"/>
          <w:szCs w:val="20"/>
        </w:rPr>
        <w:t>10.</w:t>
      </w:r>
      <w:r w:rsidR="00855AC3" w:rsidRPr="00D643B4">
        <w:rPr>
          <w:rFonts w:ascii="Times New Roman" w:hAnsi="Times New Roman" w:cs="Times New Roman"/>
          <w:sz w:val="20"/>
          <w:szCs w:val="20"/>
        </w:rPr>
        <w:t xml:space="preserve"> </w:t>
      </w:r>
      <w:r w:rsidRPr="00D643B4">
        <w:rPr>
          <w:rFonts w:ascii="Times New Roman" w:hAnsi="Times New Roman" w:cs="Times New Roman"/>
          <w:sz w:val="20"/>
          <w:szCs w:val="20"/>
        </w:rPr>
        <w:t>Cerqueira MD, Weissman NJ, Dilsizian V, Jacobs AK, Kaul S, Laskey WK, et. al., (2002): American Heart 13 Association Writing Group on Myocardial Segmentation and Registration for Cardiac Imaging. Standardized Myocardial Segmentation and</w:t>
      </w:r>
      <w:r w:rsidR="00855AC3" w:rsidRPr="00D643B4">
        <w:rPr>
          <w:rFonts w:ascii="Times New Roman" w:hAnsi="Times New Roman" w:cs="Times New Roman"/>
          <w:sz w:val="20"/>
          <w:szCs w:val="20"/>
        </w:rPr>
        <w:t xml:space="preserve"> </w:t>
      </w:r>
      <w:r w:rsidRPr="00D643B4">
        <w:rPr>
          <w:rFonts w:ascii="Times New Roman" w:hAnsi="Times New Roman" w:cs="Times New Roman"/>
          <w:sz w:val="20"/>
          <w:szCs w:val="20"/>
        </w:rPr>
        <w:t>Nomenclature for Tomographic Imaging of the Heart: A Statement for Healthcare Professionals from the Cardiac Imaging Committee of the Council on Clinical Cardiology of the American Heart Association. Circulation</w:t>
      </w:r>
      <w:r w:rsidRPr="00D643B4">
        <w:rPr>
          <w:rFonts w:ascii="Times New Roman" w:hAnsi="Times New Roman" w:cs="Times New Roman"/>
          <w:bCs/>
          <w:sz w:val="20"/>
          <w:szCs w:val="20"/>
        </w:rPr>
        <w:t>; 105</w:t>
      </w:r>
      <w:r w:rsidRPr="00D643B4">
        <w:rPr>
          <w:rFonts w:ascii="Times New Roman" w:hAnsi="Times New Roman" w:cs="Times New Roman"/>
          <w:sz w:val="20"/>
          <w:szCs w:val="20"/>
        </w:rPr>
        <w:t>:539-542.</w:t>
      </w:r>
    </w:p>
    <w:p w:rsidR="00290577" w:rsidRPr="00D643B4" w:rsidRDefault="00290577" w:rsidP="00855AC3">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643B4">
        <w:rPr>
          <w:rFonts w:ascii="Times New Roman" w:hAnsi="Times New Roman" w:cs="Times New Roman"/>
          <w:sz w:val="20"/>
          <w:szCs w:val="20"/>
        </w:rPr>
        <w:t xml:space="preserve">Nakai H, Takeuchi M, Nishikage T, et al., (2009): Subclinical left ventricular dysfunction in asymptomatic diabetic patients assessed by two-dimensional speckle echocardiography: correlation with diabetic duration. European Journal of Echocardiography; </w:t>
      </w:r>
      <w:r w:rsidRPr="00D643B4">
        <w:rPr>
          <w:rFonts w:ascii="Times New Roman" w:hAnsi="Times New Roman" w:cs="Times New Roman"/>
          <w:bCs/>
          <w:sz w:val="20"/>
          <w:szCs w:val="20"/>
        </w:rPr>
        <w:t>10</w:t>
      </w:r>
      <w:r w:rsidRPr="00D643B4">
        <w:rPr>
          <w:rFonts w:ascii="Times New Roman" w:hAnsi="Times New Roman" w:cs="Times New Roman"/>
          <w:sz w:val="20"/>
          <w:szCs w:val="20"/>
        </w:rPr>
        <w:t>:926–932.</w:t>
      </w:r>
    </w:p>
    <w:p w:rsidR="00290577" w:rsidRPr="00D643B4" w:rsidRDefault="00290577" w:rsidP="00855AC3">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643B4">
        <w:rPr>
          <w:rFonts w:ascii="Times New Roman" w:hAnsi="Times New Roman" w:cs="Times New Roman"/>
          <w:sz w:val="20"/>
          <w:szCs w:val="20"/>
        </w:rPr>
        <w:t xml:space="preserve">Labombarda F, Leport M, Morello R. et al., (2014): “Longitudinal left ventricular strain </w:t>
      </w:r>
      <w:r w:rsidRPr="00D643B4">
        <w:rPr>
          <w:rFonts w:ascii="Times New Roman" w:hAnsi="Times New Roman" w:cs="Times New Roman"/>
          <w:sz w:val="20"/>
          <w:szCs w:val="20"/>
        </w:rPr>
        <w:lastRenderedPageBreak/>
        <w:t xml:space="preserve">impairment in type I diabetes children and adolescents: a 2D speckle strain imaging study,” Diabetes and Metabolism, vol. </w:t>
      </w:r>
      <w:r w:rsidRPr="00D643B4">
        <w:rPr>
          <w:rFonts w:ascii="Times New Roman" w:hAnsi="Times New Roman" w:cs="Times New Roman"/>
          <w:bCs/>
          <w:sz w:val="20"/>
          <w:szCs w:val="20"/>
        </w:rPr>
        <w:t>40</w:t>
      </w:r>
      <w:r w:rsidRPr="00D643B4">
        <w:rPr>
          <w:rFonts w:ascii="Times New Roman" w:hAnsi="Times New Roman" w:cs="Times New Roman"/>
          <w:sz w:val="20"/>
          <w:szCs w:val="20"/>
        </w:rPr>
        <w:t>, no. 4, pp. 292–298.</w:t>
      </w:r>
    </w:p>
    <w:p w:rsidR="00290577" w:rsidRPr="00D643B4" w:rsidRDefault="00290577" w:rsidP="00855AC3">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643B4">
        <w:rPr>
          <w:rFonts w:ascii="Times New Roman" w:hAnsi="Times New Roman" w:cs="Times New Roman"/>
          <w:sz w:val="20"/>
          <w:szCs w:val="20"/>
        </w:rPr>
        <w:t>13. Jedrzejewska I, Krol W, Swiatowiec A, Wilczewska A, Łaniewska IG, Dłuzniewski M, Braksator W. Left and right ventricular systolic function impairment in type 1 diabetic young adults assessed by 2D speckle tracking</w:t>
      </w:r>
      <w:r w:rsidR="00855AC3" w:rsidRPr="00D643B4">
        <w:rPr>
          <w:rFonts w:ascii="Times New Roman" w:hAnsi="Times New Roman" w:cs="Times New Roman"/>
          <w:sz w:val="20"/>
          <w:szCs w:val="20"/>
        </w:rPr>
        <w:t xml:space="preserve"> </w:t>
      </w:r>
      <w:r w:rsidRPr="00D643B4">
        <w:rPr>
          <w:rFonts w:ascii="Times New Roman" w:hAnsi="Times New Roman" w:cs="Times New Roman"/>
          <w:sz w:val="20"/>
          <w:szCs w:val="20"/>
        </w:rPr>
        <w:t>echocardiography. Eur J Echocardiography.</w:t>
      </w:r>
      <w:r w:rsidR="00D643B4">
        <w:rPr>
          <w:rFonts w:ascii="Times New Roman" w:eastAsiaTheme="minorEastAsia" w:hAnsi="Times New Roman" w:cs="Times New Roman" w:hint="eastAsia"/>
          <w:sz w:val="20"/>
          <w:szCs w:val="20"/>
          <w:lang w:eastAsia="zh-CN"/>
        </w:rPr>
        <w:t xml:space="preserve"> </w:t>
      </w:r>
      <w:r w:rsidRPr="00D643B4">
        <w:rPr>
          <w:rFonts w:ascii="Times New Roman" w:hAnsi="Times New Roman" w:cs="Times New Roman"/>
          <w:sz w:val="20"/>
          <w:szCs w:val="20"/>
        </w:rPr>
        <w:t>2016;</w:t>
      </w:r>
      <w:r w:rsidRPr="00D643B4">
        <w:rPr>
          <w:rFonts w:ascii="Times New Roman" w:hAnsi="Times New Roman" w:cs="Times New Roman"/>
          <w:bCs/>
          <w:sz w:val="20"/>
          <w:szCs w:val="20"/>
        </w:rPr>
        <w:t>17(</w:t>
      </w:r>
      <w:r w:rsidRPr="00D643B4">
        <w:rPr>
          <w:rFonts w:ascii="Times New Roman" w:hAnsi="Times New Roman" w:cs="Times New Roman"/>
          <w:sz w:val="20"/>
          <w:szCs w:val="20"/>
        </w:rPr>
        <w:t>4):438-46.</w:t>
      </w:r>
    </w:p>
    <w:p w:rsidR="00290577" w:rsidRPr="00D643B4" w:rsidRDefault="00290577" w:rsidP="00855AC3">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D643B4">
        <w:rPr>
          <w:rFonts w:ascii="Times New Roman" w:hAnsi="Times New Roman" w:cs="Times New Roman"/>
          <w:sz w:val="20"/>
          <w:szCs w:val="20"/>
        </w:rPr>
        <w:t>Abdel-Salam Z, Khalifa M, Ayoub A, Hamdy A, Nammas.</w:t>
      </w:r>
      <w:r w:rsidR="00054D69">
        <w:rPr>
          <w:rFonts w:ascii="Times New Roman" w:eastAsiaTheme="minorEastAsia" w:hAnsi="Times New Roman" w:cs="Times New Roman" w:hint="eastAsia"/>
          <w:sz w:val="20"/>
          <w:szCs w:val="20"/>
          <w:lang w:eastAsia="zh-CN"/>
        </w:rPr>
        <w:t xml:space="preserve"> </w:t>
      </w:r>
      <w:r w:rsidRPr="00D643B4">
        <w:rPr>
          <w:rFonts w:ascii="Times New Roman" w:hAnsi="Times New Roman" w:cs="Times New Roman"/>
          <w:sz w:val="20"/>
          <w:szCs w:val="20"/>
        </w:rPr>
        <w:t>(2016):</w:t>
      </w:r>
      <w:r w:rsidR="00054D69">
        <w:rPr>
          <w:rFonts w:ascii="Times New Roman" w:eastAsiaTheme="minorEastAsia" w:hAnsi="Times New Roman" w:cs="Times New Roman" w:hint="eastAsia"/>
          <w:sz w:val="20"/>
          <w:szCs w:val="20"/>
          <w:lang w:eastAsia="zh-CN"/>
        </w:rPr>
        <w:t xml:space="preserve"> </w:t>
      </w:r>
      <w:r w:rsidRPr="00D643B4">
        <w:rPr>
          <w:rFonts w:ascii="Times New Roman" w:hAnsi="Times New Roman" w:cs="Times New Roman"/>
          <w:sz w:val="20"/>
          <w:szCs w:val="20"/>
        </w:rPr>
        <w:t>“Early changes in longitudinal deformation indices in young asymptomatic patients with type I diabetes mellitus</w:t>
      </w:r>
      <w:r w:rsidR="00855AC3" w:rsidRPr="00D643B4">
        <w:rPr>
          <w:rFonts w:ascii="Times New Roman" w:hAnsi="Times New Roman" w:cs="Times New Roman"/>
          <w:sz w:val="20"/>
          <w:szCs w:val="20"/>
        </w:rPr>
        <w:t>: a</w:t>
      </w:r>
      <w:r w:rsidRPr="00D643B4">
        <w:rPr>
          <w:rFonts w:ascii="Times New Roman" w:hAnsi="Times New Roman" w:cs="Times New Roman"/>
          <w:sz w:val="20"/>
          <w:szCs w:val="20"/>
        </w:rPr>
        <w:t>ssessment by speckle-tracking echocardiography,” Minerva Cardioangiologica</w:t>
      </w:r>
      <w:r w:rsidR="00855AC3" w:rsidRPr="00D643B4">
        <w:rPr>
          <w:rFonts w:ascii="Times New Roman" w:hAnsi="Times New Roman" w:cs="Times New Roman"/>
          <w:sz w:val="20"/>
          <w:szCs w:val="20"/>
        </w:rPr>
        <w:t>, I</w:t>
      </w:r>
      <w:r w:rsidRPr="00D643B4">
        <w:rPr>
          <w:rFonts w:ascii="Times New Roman" w:hAnsi="Times New Roman" w:cs="Times New Roman"/>
          <w:sz w:val="20"/>
          <w:szCs w:val="20"/>
        </w:rPr>
        <w:t>npress.</w:t>
      </w:r>
    </w:p>
    <w:p w:rsidR="00290577" w:rsidRPr="00D643B4" w:rsidRDefault="00290577" w:rsidP="00855AC3">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D643B4">
        <w:rPr>
          <w:rFonts w:ascii="Times New Roman" w:hAnsi="Times New Roman" w:cs="Times New Roman"/>
          <w:sz w:val="20"/>
          <w:szCs w:val="20"/>
        </w:rPr>
        <w:t>Kosmala W, Przewlocka-Kosmala M, Mazurek W. Subclinical right ventricular dysfunction</w:t>
      </w:r>
      <w:r w:rsidR="00D643B4">
        <w:rPr>
          <w:rFonts w:ascii="Times New Roman" w:eastAsiaTheme="minorEastAsia" w:hAnsi="Times New Roman" w:cs="Times New Roman" w:hint="eastAsia"/>
          <w:sz w:val="20"/>
          <w:szCs w:val="20"/>
          <w:lang w:eastAsia="zh-CN"/>
        </w:rPr>
        <w:t xml:space="preserve"> </w:t>
      </w:r>
      <w:r w:rsidRPr="00D643B4">
        <w:rPr>
          <w:rFonts w:ascii="Times New Roman" w:hAnsi="Times New Roman" w:cs="Times New Roman"/>
          <w:sz w:val="20"/>
          <w:szCs w:val="20"/>
        </w:rPr>
        <w:t>in diabetes mellitus—an ultrasonic strain/strain rate study. Diabet Med</w:t>
      </w:r>
      <w:bookmarkStart w:id="0" w:name="_GoBack"/>
      <w:bookmarkEnd w:id="0"/>
      <w:r w:rsidR="00D643B4">
        <w:rPr>
          <w:rFonts w:ascii="Times New Roman" w:eastAsiaTheme="minorEastAsia" w:hAnsi="Times New Roman" w:cs="Times New Roman" w:hint="eastAsia"/>
          <w:sz w:val="20"/>
          <w:szCs w:val="20"/>
          <w:lang w:eastAsia="zh-CN"/>
        </w:rPr>
        <w:t xml:space="preserve"> </w:t>
      </w:r>
      <w:r w:rsidRPr="00D643B4">
        <w:rPr>
          <w:rFonts w:ascii="Times New Roman" w:hAnsi="Times New Roman" w:cs="Times New Roman"/>
          <w:sz w:val="20"/>
          <w:szCs w:val="20"/>
        </w:rPr>
        <w:t xml:space="preserve">2007; </w:t>
      </w:r>
      <w:r w:rsidRPr="00D643B4">
        <w:rPr>
          <w:rFonts w:ascii="Times New Roman" w:hAnsi="Times New Roman" w:cs="Times New Roman"/>
          <w:bCs/>
          <w:sz w:val="20"/>
          <w:szCs w:val="20"/>
        </w:rPr>
        <w:t>24</w:t>
      </w:r>
      <w:r w:rsidRPr="00D643B4">
        <w:rPr>
          <w:rFonts w:ascii="Times New Roman" w:hAnsi="Times New Roman" w:cs="Times New Roman"/>
          <w:sz w:val="20"/>
          <w:szCs w:val="20"/>
        </w:rPr>
        <w:t>:656–63.</w:t>
      </w:r>
    </w:p>
    <w:p w:rsidR="00290577" w:rsidRPr="00D643B4" w:rsidRDefault="00290577" w:rsidP="00855AC3">
      <w:pPr>
        <w:pStyle w:val="ListParagraph"/>
        <w:numPr>
          <w:ilvl w:val="0"/>
          <w:numId w:val="1"/>
        </w:numPr>
        <w:snapToGrid w:val="0"/>
        <w:spacing w:after="0" w:line="240" w:lineRule="auto"/>
        <w:ind w:left="425" w:hanging="425"/>
        <w:jc w:val="both"/>
        <w:rPr>
          <w:rFonts w:ascii="Times New Roman" w:hAnsi="Times New Roman" w:cs="Times New Roman"/>
          <w:bCs/>
          <w:sz w:val="20"/>
          <w:szCs w:val="20"/>
        </w:rPr>
      </w:pPr>
      <w:r w:rsidRPr="00D643B4">
        <w:rPr>
          <w:rFonts w:ascii="Times New Roman" w:hAnsi="Times New Roman" w:cs="Times New Roman"/>
          <w:sz w:val="20"/>
          <w:szCs w:val="20"/>
        </w:rPr>
        <w:t xml:space="preserve">Di Cori A, Di Bello V, Miccoli R, Talini E, Palagi C, Delle Donne MG et al., (2007): Left ventricular function in normotensive young adults with well-controlled type I diabetes mellitus. Am J Cardiol; </w:t>
      </w:r>
      <w:r w:rsidRPr="00D643B4">
        <w:rPr>
          <w:rFonts w:ascii="Times New Roman" w:hAnsi="Times New Roman" w:cs="Times New Roman"/>
          <w:bCs/>
          <w:sz w:val="20"/>
          <w:szCs w:val="20"/>
        </w:rPr>
        <w:t>99</w:t>
      </w:r>
      <w:r w:rsidRPr="00D643B4">
        <w:rPr>
          <w:rFonts w:ascii="Times New Roman" w:hAnsi="Times New Roman" w:cs="Times New Roman"/>
          <w:sz w:val="20"/>
          <w:szCs w:val="20"/>
        </w:rPr>
        <w:t>:84–90</w:t>
      </w:r>
      <w:r w:rsidR="00855AC3" w:rsidRPr="00D643B4">
        <w:rPr>
          <w:rFonts w:ascii="Times New Roman" w:eastAsiaTheme="minorEastAsia" w:hAnsi="Times New Roman" w:cs="Times New Roman" w:hint="eastAsia"/>
          <w:sz w:val="20"/>
          <w:szCs w:val="20"/>
          <w:lang w:eastAsia="zh-CN"/>
        </w:rPr>
        <w:t>.</w:t>
      </w:r>
    </w:p>
    <w:p w:rsidR="00855AC3" w:rsidRPr="00D643B4" w:rsidRDefault="00290577" w:rsidP="00855AC3">
      <w:pPr>
        <w:pStyle w:val="ListParagraph"/>
        <w:numPr>
          <w:ilvl w:val="0"/>
          <w:numId w:val="1"/>
        </w:numPr>
        <w:snapToGrid w:val="0"/>
        <w:spacing w:after="0" w:line="240" w:lineRule="auto"/>
        <w:ind w:left="425" w:hanging="425"/>
        <w:jc w:val="both"/>
        <w:rPr>
          <w:rFonts w:ascii="Times New Roman" w:hAnsi="Times New Roman" w:cs="Times New Roman"/>
          <w:sz w:val="20"/>
          <w:szCs w:val="20"/>
          <w:lang w:bidi="ar-EG"/>
        </w:rPr>
      </w:pPr>
      <w:r w:rsidRPr="00D643B4">
        <w:rPr>
          <w:rFonts w:ascii="Times New Roman" w:hAnsi="Times New Roman" w:cs="Times New Roman"/>
          <w:sz w:val="20"/>
          <w:szCs w:val="20"/>
        </w:rPr>
        <w:t xml:space="preserve">Kim EH, Kim YH. (2010): Left ventricular function in children and adolescents with type I diabetes mellitus. Korean Circ J; </w:t>
      </w:r>
      <w:r w:rsidRPr="00D643B4">
        <w:rPr>
          <w:rFonts w:ascii="Times New Roman" w:hAnsi="Times New Roman" w:cs="Times New Roman"/>
          <w:bCs/>
          <w:sz w:val="20"/>
          <w:szCs w:val="20"/>
        </w:rPr>
        <w:t>40</w:t>
      </w:r>
      <w:r w:rsidRPr="00D643B4">
        <w:rPr>
          <w:rFonts w:ascii="Times New Roman" w:hAnsi="Times New Roman" w:cs="Times New Roman"/>
          <w:sz w:val="20"/>
          <w:szCs w:val="20"/>
        </w:rPr>
        <w:t>:125–30.</w:t>
      </w:r>
      <w:r w:rsidR="00D643B4" w:rsidRPr="00D643B4">
        <w:rPr>
          <w:rFonts w:ascii="Times New Roman" w:eastAsiaTheme="minorEastAsia" w:hAnsi="Times New Roman" w:cs="Times New Roman" w:hint="eastAsia"/>
          <w:sz w:val="20"/>
          <w:szCs w:val="20"/>
          <w:lang w:eastAsia="zh-CN"/>
        </w:rPr>
        <w:t xml:space="preserve"> </w:t>
      </w:r>
    </w:p>
    <w:p w:rsidR="00855AC3" w:rsidRPr="00D643B4" w:rsidRDefault="00855AC3" w:rsidP="00855AC3">
      <w:pPr>
        <w:bidi w:val="0"/>
        <w:snapToGrid w:val="0"/>
        <w:spacing w:after="0" w:line="240" w:lineRule="auto"/>
        <w:ind w:left="425" w:hanging="425"/>
        <w:jc w:val="both"/>
        <w:rPr>
          <w:rFonts w:ascii="Times New Roman" w:hAnsi="Times New Roman" w:cs="Times New Roman"/>
          <w:sz w:val="20"/>
          <w:szCs w:val="20"/>
          <w:lang w:bidi="ar-EG"/>
        </w:rPr>
        <w:sectPr w:rsidR="00855AC3" w:rsidRPr="00D643B4" w:rsidSect="00855AC3">
          <w:headerReference w:type="default" r:id="rId20"/>
          <w:footerReference w:type="default" r:id="rId21"/>
          <w:type w:val="continuous"/>
          <w:pgSz w:w="12242" w:h="15842" w:code="1"/>
          <w:pgMar w:top="1440" w:right="1440" w:bottom="1440" w:left="1440" w:header="720" w:footer="720" w:gutter="0"/>
          <w:cols w:num="2" w:space="550"/>
          <w:docGrid w:linePitch="360"/>
        </w:sectPr>
      </w:pPr>
    </w:p>
    <w:p w:rsidR="00855AC3" w:rsidRPr="00D643B4" w:rsidRDefault="00855AC3" w:rsidP="00855AC3">
      <w:pPr>
        <w:bidi w:val="0"/>
        <w:snapToGrid w:val="0"/>
        <w:spacing w:after="0" w:line="240" w:lineRule="auto"/>
        <w:ind w:left="425" w:hanging="425"/>
        <w:jc w:val="both"/>
        <w:rPr>
          <w:rFonts w:ascii="Times New Roman" w:hAnsi="Times New Roman" w:cs="Times New Roman"/>
          <w:sz w:val="20"/>
          <w:szCs w:val="20"/>
          <w:lang w:eastAsia="zh-CN" w:bidi="ar-EG"/>
        </w:rPr>
      </w:pPr>
    </w:p>
    <w:p w:rsidR="00855AC3" w:rsidRPr="00D643B4" w:rsidRDefault="00A85454" w:rsidP="00855AC3">
      <w:pPr>
        <w:bidi w:val="0"/>
        <w:snapToGrid w:val="0"/>
        <w:spacing w:after="0" w:line="240" w:lineRule="auto"/>
        <w:ind w:left="425" w:hanging="425"/>
        <w:jc w:val="both"/>
        <w:rPr>
          <w:rFonts w:ascii="Times New Roman" w:hAnsi="Times New Roman" w:cs="Times New Roman"/>
          <w:sz w:val="20"/>
          <w:szCs w:val="20"/>
          <w:lang w:eastAsia="zh-CN" w:bidi="ar-EG"/>
        </w:rPr>
      </w:pPr>
      <w:r w:rsidRPr="00D643B4">
        <w:rPr>
          <w:rFonts w:ascii="Times New Roman" w:hAnsi="Times New Roman" w:cs="Times New Roman" w:hint="eastAsia"/>
          <w:sz w:val="20"/>
          <w:szCs w:val="20"/>
          <w:lang w:eastAsia="zh-CN" w:bidi="ar-EG"/>
        </w:rPr>
        <w:t xml:space="preserve"> </w:t>
      </w:r>
    </w:p>
    <w:p w:rsidR="00855AC3" w:rsidRPr="00D643B4" w:rsidRDefault="00855AC3" w:rsidP="00855AC3">
      <w:pPr>
        <w:bidi w:val="0"/>
        <w:snapToGrid w:val="0"/>
        <w:spacing w:after="0" w:line="240" w:lineRule="auto"/>
        <w:ind w:left="425" w:hanging="425"/>
        <w:jc w:val="both"/>
        <w:rPr>
          <w:rFonts w:ascii="Times New Roman" w:hAnsi="Times New Roman" w:cs="Times New Roman"/>
          <w:sz w:val="20"/>
          <w:szCs w:val="20"/>
          <w:lang w:eastAsia="zh-CN" w:bidi="ar-EG"/>
        </w:rPr>
      </w:pPr>
    </w:p>
    <w:p w:rsidR="00290577" w:rsidRPr="00D643B4" w:rsidRDefault="00855AC3" w:rsidP="00855AC3">
      <w:pPr>
        <w:bidi w:val="0"/>
        <w:snapToGrid w:val="0"/>
        <w:spacing w:after="0" w:line="240" w:lineRule="auto"/>
        <w:ind w:left="425" w:hanging="425"/>
        <w:jc w:val="both"/>
        <w:rPr>
          <w:rFonts w:ascii="Times New Roman" w:hAnsi="Times New Roman" w:cs="Times New Roman"/>
          <w:sz w:val="20"/>
          <w:szCs w:val="20"/>
          <w:lang w:bidi="ar-EG"/>
        </w:rPr>
      </w:pPr>
      <w:r w:rsidRPr="00D643B4">
        <w:rPr>
          <w:rFonts w:ascii="Times New Roman" w:hAnsi="Times New Roman" w:cs="Times New Roman"/>
          <w:sz w:val="20"/>
          <w:szCs w:val="20"/>
          <w:lang w:bidi="ar-EG"/>
        </w:rPr>
        <w:t>11/29/2016</w:t>
      </w:r>
    </w:p>
    <w:sectPr w:rsidR="00290577" w:rsidRPr="00D643B4" w:rsidSect="00D95B77">
      <w:headerReference w:type="default" r:id="rId22"/>
      <w:footerReference w:type="default" r:id="rId23"/>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905" w:rsidRDefault="00740905" w:rsidP="00290577">
      <w:pPr>
        <w:spacing w:after="0" w:line="240" w:lineRule="auto"/>
      </w:pPr>
      <w:r>
        <w:separator/>
      </w:r>
    </w:p>
  </w:endnote>
  <w:endnote w:type="continuationSeparator" w:id="0">
    <w:p w:rsidR="00740905" w:rsidRDefault="00740905" w:rsidP="00290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C3" w:rsidRPr="00855AC3" w:rsidRDefault="00667710" w:rsidP="00855AC3">
    <w:pPr>
      <w:bidi w:val="0"/>
      <w:spacing w:after="0" w:line="240" w:lineRule="auto"/>
      <w:jc w:val="center"/>
      <w:rPr>
        <w:rFonts w:ascii="Times New Roman" w:hAnsi="Times New Roman" w:cs="Times New Roman"/>
        <w:sz w:val="20"/>
      </w:rPr>
    </w:pPr>
    <w:r w:rsidRPr="00855AC3">
      <w:rPr>
        <w:rFonts w:ascii="Times New Roman" w:hAnsi="Times New Roman" w:cs="Times New Roman"/>
        <w:sz w:val="20"/>
      </w:rPr>
      <w:fldChar w:fldCharType="begin"/>
    </w:r>
    <w:r w:rsidR="00855AC3" w:rsidRPr="00855AC3">
      <w:rPr>
        <w:rFonts w:ascii="Times New Roman" w:hAnsi="Times New Roman" w:cs="Times New Roman"/>
        <w:sz w:val="20"/>
      </w:rPr>
      <w:instrText xml:space="preserve"> page </w:instrText>
    </w:r>
    <w:r w:rsidRPr="00855AC3">
      <w:rPr>
        <w:rFonts w:ascii="Times New Roman" w:hAnsi="Times New Roman" w:cs="Times New Roman"/>
        <w:sz w:val="20"/>
      </w:rPr>
      <w:fldChar w:fldCharType="separate"/>
    </w:r>
    <w:r w:rsidR="004F1941">
      <w:rPr>
        <w:rFonts w:ascii="Times New Roman" w:hAnsi="Times New Roman" w:cs="Times New Roman"/>
        <w:noProof/>
        <w:sz w:val="20"/>
      </w:rPr>
      <w:t>8</w:t>
    </w:r>
    <w:r w:rsidRPr="00855AC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C3" w:rsidRPr="00855AC3" w:rsidRDefault="00667710" w:rsidP="00855AC3">
    <w:pPr>
      <w:bidi w:val="0"/>
      <w:spacing w:after="0" w:line="240" w:lineRule="auto"/>
      <w:jc w:val="center"/>
      <w:rPr>
        <w:rFonts w:ascii="Times New Roman" w:hAnsi="Times New Roman" w:cs="Times New Roman"/>
        <w:sz w:val="20"/>
      </w:rPr>
    </w:pPr>
    <w:r w:rsidRPr="00855AC3">
      <w:rPr>
        <w:rFonts w:ascii="Times New Roman" w:hAnsi="Times New Roman" w:cs="Times New Roman"/>
        <w:sz w:val="20"/>
      </w:rPr>
      <w:fldChar w:fldCharType="begin"/>
    </w:r>
    <w:r w:rsidR="00855AC3" w:rsidRPr="00855AC3">
      <w:rPr>
        <w:rFonts w:ascii="Times New Roman" w:hAnsi="Times New Roman" w:cs="Times New Roman"/>
        <w:sz w:val="20"/>
      </w:rPr>
      <w:instrText xml:space="preserve"> page </w:instrText>
    </w:r>
    <w:r w:rsidRPr="00855AC3">
      <w:rPr>
        <w:rFonts w:ascii="Times New Roman" w:hAnsi="Times New Roman" w:cs="Times New Roman"/>
        <w:sz w:val="20"/>
      </w:rPr>
      <w:fldChar w:fldCharType="separate"/>
    </w:r>
    <w:r w:rsidR="004F1941">
      <w:rPr>
        <w:rFonts w:ascii="Times New Roman" w:hAnsi="Times New Roman" w:cs="Times New Roman"/>
        <w:noProof/>
        <w:sz w:val="20"/>
      </w:rPr>
      <w:t>9</w:t>
    </w:r>
    <w:r w:rsidRPr="00855AC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C3" w:rsidRPr="00855AC3" w:rsidRDefault="00667710" w:rsidP="00855AC3">
    <w:pPr>
      <w:bidi w:val="0"/>
      <w:spacing w:after="0" w:line="240" w:lineRule="auto"/>
      <w:jc w:val="center"/>
      <w:rPr>
        <w:rFonts w:ascii="Times New Roman" w:hAnsi="Times New Roman" w:cs="Times New Roman"/>
        <w:sz w:val="20"/>
      </w:rPr>
    </w:pPr>
    <w:r w:rsidRPr="00855AC3">
      <w:rPr>
        <w:rFonts w:ascii="Times New Roman" w:hAnsi="Times New Roman" w:cs="Times New Roman"/>
        <w:sz w:val="20"/>
      </w:rPr>
      <w:fldChar w:fldCharType="begin"/>
    </w:r>
    <w:r w:rsidR="00855AC3" w:rsidRPr="00855AC3">
      <w:rPr>
        <w:rFonts w:ascii="Times New Roman" w:hAnsi="Times New Roman" w:cs="Times New Roman"/>
        <w:sz w:val="20"/>
      </w:rPr>
      <w:instrText xml:space="preserve"> page </w:instrText>
    </w:r>
    <w:r w:rsidRPr="00855AC3">
      <w:rPr>
        <w:rFonts w:ascii="Times New Roman" w:hAnsi="Times New Roman" w:cs="Times New Roman"/>
        <w:sz w:val="20"/>
      </w:rPr>
      <w:fldChar w:fldCharType="separate"/>
    </w:r>
    <w:r w:rsidR="004F1941">
      <w:rPr>
        <w:rFonts w:ascii="Times New Roman" w:hAnsi="Times New Roman" w:cs="Times New Roman"/>
        <w:noProof/>
        <w:sz w:val="20"/>
      </w:rPr>
      <w:t>10</w:t>
    </w:r>
    <w:r w:rsidRPr="00855AC3">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C3" w:rsidRPr="00855AC3" w:rsidRDefault="00667710" w:rsidP="00855AC3">
    <w:pPr>
      <w:bidi w:val="0"/>
      <w:spacing w:after="0" w:line="240" w:lineRule="auto"/>
      <w:jc w:val="center"/>
      <w:rPr>
        <w:rFonts w:ascii="Times New Roman" w:hAnsi="Times New Roman" w:cs="Times New Roman"/>
        <w:sz w:val="20"/>
      </w:rPr>
    </w:pPr>
    <w:r w:rsidRPr="00855AC3">
      <w:rPr>
        <w:rFonts w:ascii="Times New Roman" w:hAnsi="Times New Roman" w:cs="Times New Roman"/>
        <w:sz w:val="20"/>
      </w:rPr>
      <w:fldChar w:fldCharType="begin"/>
    </w:r>
    <w:r w:rsidR="00855AC3" w:rsidRPr="00855AC3">
      <w:rPr>
        <w:rFonts w:ascii="Times New Roman" w:hAnsi="Times New Roman" w:cs="Times New Roman"/>
        <w:sz w:val="20"/>
      </w:rPr>
      <w:instrText xml:space="preserve"> page </w:instrText>
    </w:r>
    <w:r w:rsidRPr="00855AC3">
      <w:rPr>
        <w:rFonts w:ascii="Times New Roman" w:hAnsi="Times New Roman" w:cs="Times New Roman"/>
        <w:sz w:val="20"/>
      </w:rPr>
      <w:fldChar w:fldCharType="separate"/>
    </w:r>
    <w:r w:rsidR="004F1941">
      <w:rPr>
        <w:rFonts w:ascii="Times New Roman" w:hAnsi="Times New Roman" w:cs="Times New Roman"/>
        <w:noProof/>
        <w:sz w:val="20"/>
      </w:rPr>
      <w:t>12</w:t>
    </w:r>
    <w:r w:rsidRPr="00855AC3">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40" w:rsidRPr="00855AC3" w:rsidRDefault="00667710" w:rsidP="00855AC3">
    <w:pPr>
      <w:bidi w:val="0"/>
      <w:spacing w:after="0" w:line="240" w:lineRule="auto"/>
      <w:jc w:val="center"/>
      <w:rPr>
        <w:rFonts w:ascii="Times New Roman" w:hAnsi="Times New Roman" w:cs="Times New Roman"/>
        <w:sz w:val="20"/>
      </w:rPr>
    </w:pPr>
    <w:r w:rsidRPr="00855AC3">
      <w:rPr>
        <w:rFonts w:ascii="Times New Roman" w:hAnsi="Times New Roman" w:cs="Times New Roman"/>
        <w:sz w:val="20"/>
      </w:rPr>
      <w:fldChar w:fldCharType="begin"/>
    </w:r>
    <w:r w:rsidR="00855AC3" w:rsidRPr="00855AC3">
      <w:rPr>
        <w:rFonts w:ascii="Times New Roman" w:hAnsi="Times New Roman" w:cs="Times New Roman"/>
        <w:sz w:val="20"/>
      </w:rPr>
      <w:instrText xml:space="preserve"> page </w:instrText>
    </w:r>
    <w:r w:rsidRPr="00855AC3">
      <w:rPr>
        <w:rFonts w:ascii="Times New Roman" w:hAnsi="Times New Roman" w:cs="Times New Roman"/>
        <w:sz w:val="20"/>
      </w:rPr>
      <w:fldChar w:fldCharType="separate"/>
    </w:r>
    <w:r w:rsidR="00855AC3">
      <w:rPr>
        <w:rFonts w:ascii="Times New Roman" w:hAnsi="Times New Roman" w:cs="Times New Roman"/>
        <w:noProof/>
        <w:sz w:val="20"/>
      </w:rPr>
      <w:t>6</w:t>
    </w:r>
    <w:r w:rsidRPr="00855AC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905" w:rsidRDefault="00740905" w:rsidP="00290577">
      <w:pPr>
        <w:spacing w:after="0" w:line="240" w:lineRule="auto"/>
      </w:pPr>
      <w:r>
        <w:separator/>
      </w:r>
    </w:p>
  </w:footnote>
  <w:footnote w:type="continuationSeparator" w:id="0">
    <w:p w:rsidR="00740905" w:rsidRDefault="00740905" w:rsidP="002905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C3" w:rsidRPr="00855AC3" w:rsidRDefault="00855AC3" w:rsidP="00855AC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55AC3">
      <w:rPr>
        <w:rFonts w:ascii="Times New Roman" w:hAnsi="Times New Roman" w:cs="Times New Roman" w:hint="eastAsia"/>
        <w:sz w:val="20"/>
        <w:szCs w:val="20"/>
      </w:rPr>
      <w:tab/>
    </w:r>
    <w:r w:rsidRPr="00855AC3">
      <w:rPr>
        <w:rFonts w:ascii="Times New Roman" w:hAnsi="Times New Roman" w:cs="Times New Roman"/>
        <w:sz w:val="20"/>
        <w:szCs w:val="20"/>
      </w:rPr>
      <w:t>New York Science Journal 201</w:t>
    </w:r>
    <w:r w:rsidRPr="00855AC3">
      <w:rPr>
        <w:rFonts w:ascii="Times New Roman" w:hAnsi="Times New Roman" w:cs="Times New Roman" w:hint="eastAsia"/>
        <w:sz w:val="20"/>
        <w:szCs w:val="20"/>
      </w:rPr>
      <w:t>6</w:t>
    </w:r>
    <w:r w:rsidRPr="00855AC3">
      <w:rPr>
        <w:rFonts w:ascii="Times New Roman" w:hAnsi="Times New Roman" w:cs="Times New Roman"/>
        <w:sz w:val="20"/>
        <w:szCs w:val="20"/>
      </w:rPr>
      <w:t>;</w:t>
    </w:r>
    <w:r w:rsidRPr="00855AC3">
      <w:rPr>
        <w:rFonts w:ascii="Times New Roman" w:hAnsi="Times New Roman" w:cs="Times New Roman" w:hint="eastAsia"/>
        <w:sz w:val="20"/>
        <w:szCs w:val="20"/>
      </w:rPr>
      <w:t>9</w:t>
    </w:r>
    <w:r w:rsidRPr="00855AC3">
      <w:rPr>
        <w:rFonts w:ascii="Times New Roman" w:hAnsi="Times New Roman" w:cs="Times New Roman"/>
        <w:sz w:val="20"/>
        <w:szCs w:val="20"/>
      </w:rPr>
      <w:t>(</w:t>
    </w:r>
    <w:r w:rsidRPr="00855AC3">
      <w:rPr>
        <w:rFonts w:ascii="Times New Roman" w:hAnsi="Times New Roman" w:cs="Times New Roman" w:hint="eastAsia"/>
        <w:sz w:val="20"/>
        <w:szCs w:val="20"/>
      </w:rPr>
      <w:t>12</w:t>
    </w:r>
    <w:r w:rsidRPr="00855AC3">
      <w:rPr>
        <w:rFonts w:ascii="Times New Roman" w:hAnsi="Times New Roman" w:cs="Times New Roman"/>
        <w:sz w:val="20"/>
        <w:szCs w:val="20"/>
      </w:rPr>
      <w:t>)</w:t>
    </w:r>
    <w:r w:rsidRPr="00855AC3">
      <w:rPr>
        <w:rFonts w:ascii="Times New Roman" w:hAnsi="Times New Roman" w:cs="Times New Roman"/>
        <w:iCs/>
        <w:sz w:val="20"/>
        <w:szCs w:val="20"/>
      </w:rPr>
      <w:t xml:space="preserve">     </w:t>
    </w:r>
    <w:r w:rsidRPr="00855AC3">
      <w:rPr>
        <w:rFonts w:ascii="Times New Roman" w:hAnsi="Times New Roman" w:cs="Times New Roman" w:hint="eastAsia"/>
        <w:iCs/>
        <w:sz w:val="20"/>
        <w:szCs w:val="20"/>
      </w:rPr>
      <w:tab/>
    </w:r>
    <w:r w:rsidRPr="00855AC3">
      <w:rPr>
        <w:rFonts w:ascii="Times New Roman" w:hAnsi="Times New Roman" w:cs="Times New Roman"/>
        <w:iCs/>
        <w:sz w:val="20"/>
        <w:szCs w:val="20"/>
      </w:rPr>
      <w:t xml:space="preserve"> </w:t>
    </w:r>
    <w:r w:rsidRPr="00855AC3">
      <w:rPr>
        <w:rFonts w:ascii="Times New Roman" w:hAnsi="Times New Roman" w:cs="Times New Roman" w:hint="eastAsia"/>
        <w:iCs/>
        <w:sz w:val="20"/>
        <w:szCs w:val="20"/>
      </w:rPr>
      <w:t xml:space="preserve"> </w:t>
    </w:r>
    <w:r w:rsidRPr="00855AC3">
      <w:rPr>
        <w:rFonts w:ascii="Times New Roman" w:hAnsi="Times New Roman" w:cs="Times New Roman"/>
        <w:iCs/>
        <w:sz w:val="20"/>
        <w:szCs w:val="20"/>
      </w:rPr>
      <w:t xml:space="preserve">   </w:t>
    </w:r>
    <w:hyperlink r:id="rId1" w:history="1">
      <w:r w:rsidRPr="00855AC3">
        <w:rPr>
          <w:rStyle w:val="Hyperlink"/>
          <w:rFonts w:ascii="Times New Roman" w:hAnsi="Times New Roman" w:cs="Times New Roman"/>
          <w:color w:val="0000FF"/>
          <w:sz w:val="20"/>
          <w:szCs w:val="20"/>
        </w:rPr>
        <w:t>http://www.sciencepub.net/newyork</w:t>
      </w:r>
    </w:hyperlink>
  </w:p>
  <w:p w:rsidR="00855AC3" w:rsidRPr="00855AC3" w:rsidRDefault="00855AC3" w:rsidP="00855AC3">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C3" w:rsidRPr="00855AC3" w:rsidRDefault="00855AC3" w:rsidP="00855AC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55AC3">
      <w:rPr>
        <w:rFonts w:ascii="Times New Roman" w:hAnsi="Times New Roman" w:cs="Times New Roman" w:hint="eastAsia"/>
        <w:sz w:val="20"/>
        <w:szCs w:val="20"/>
      </w:rPr>
      <w:tab/>
    </w:r>
    <w:r w:rsidRPr="00855AC3">
      <w:rPr>
        <w:rFonts w:ascii="Times New Roman" w:hAnsi="Times New Roman" w:cs="Times New Roman"/>
        <w:sz w:val="20"/>
        <w:szCs w:val="20"/>
      </w:rPr>
      <w:t>New York Science Journal 201</w:t>
    </w:r>
    <w:r w:rsidRPr="00855AC3">
      <w:rPr>
        <w:rFonts w:ascii="Times New Roman" w:hAnsi="Times New Roman" w:cs="Times New Roman" w:hint="eastAsia"/>
        <w:sz w:val="20"/>
        <w:szCs w:val="20"/>
      </w:rPr>
      <w:t>6</w:t>
    </w:r>
    <w:r w:rsidRPr="00855AC3">
      <w:rPr>
        <w:rFonts w:ascii="Times New Roman" w:hAnsi="Times New Roman" w:cs="Times New Roman"/>
        <w:sz w:val="20"/>
        <w:szCs w:val="20"/>
      </w:rPr>
      <w:t>;</w:t>
    </w:r>
    <w:r w:rsidRPr="00855AC3">
      <w:rPr>
        <w:rFonts w:ascii="Times New Roman" w:hAnsi="Times New Roman" w:cs="Times New Roman" w:hint="eastAsia"/>
        <w:sz w:val="20"/>
        <w:szCs w:val="20"/>
      </w:rPr>
      <w:t>9</w:t>
    </w:r>
    <w:r w:rsidRPr="00855AC3">
      <w:rPr>
        <w:rFonts w:ascii="Times New Roman" w:hAnsi="Times New Roman" w:cs="Times New Roman"/>
        <w:sz w:val="20"/>
        <w:szCs w:val="20"/>
      </w:rPr>
      <w:t>(</w:t>
    </w:r>
    <w:r w:rsidRPr="00855AC3">
      <w:rPr>
        <w:rFonts w:ascii="Times New Roman" w:hAnsi="Times New Roman" w:cs="Times New Roman" w:hint="eastAsia"/>
        <w:sz w:val="20"/>
        <w:szCs w:val="20"/>
      </w:rPr>
      <w:t>12</w:t>
    </w:r>
    <w:r w:rsidRPr="00855AC3">
      <w:rPr>
        <w:rFonts w:ascii="Times New Roman" w:hAnsi="Times New Roman" w:cs="Times New Roman"/>
        <w:sz w:val="20"/>
        <w:szCs w:val="20"/>
      </w:rPr>
      <w:t>)</w:t>
    </w:r>
    <w:r w:rsidRPr="00855AC3">
      <w:rPr>
        <w:rFonts w:ascii="Times New Roman" w:hAnsi="Times New Roman" w:cs="Times New Roman"/>
        <w:iCs/>
        <w:sz w:val="20"/>
        <w:szCs w:val="20"/>
      </w:rPr>
      <w:t xml:space="preserve">     </w:t>
    </w:r>
    <w:r w:rsidRPr="00855AC3">
      <w:rPr>
        <w:rFonts w:ascii="Times New Roman" w:hAnsi="Times New Roman" w:cs="Times New Roman" w:hint="eastAsia"/>
        <w:iCs/>
        <w:sz w:val="20"/>
        <w:szCs w:val="20"/>
      </w:rPr>
      <w:tab/>
    </w:r>
    <w:r w:rsidRPr="00855AC3">
      <w:rPr>
        <w:rFonts w:ascii="Times New Roman" w:hAnsi="Times New Roman" w:cs="Times New Roman"/>
        <w:iCs/>
        <w:sz w:val="20"/>
        <w:szCs w:val="20"/>
      </w:rPr>
      <w:t xml:space="preserve"> </w:t>
    </w:r>
    <w:r w:rsidRPr="00855AC3">
      <w:rPr>
        <w:rFonts w:ascii="Times New Roman" w:hAnsi="Times New Roman" w:cs="Times New Roman" w:hint="eastAsia"/>
        <w:iCs/>
        <w:sz w:val="20"/>
        <w:szCs w:val="20"/>
      </w:rPr>
      <w:t xml:space="preserve"> </w:t>
    </w:r>
    <w:r w:rsidRPr="00855AC3">
      <w:rPr>
        <w:rFonts w:ascii="Times New Roman" w:hAnsi="Times New Roman" w:cs="Times New Roman"/>
        <w:iCs/>
        <w:sz w:val="20"/>
        <w:szCs w:val="20"/>
      </w:rPr>
      <w:t xml:space="preserve">   </w:t>
    </w:r>
    <w:hyperlink r:id="rId1" w:history="1">
      <w:r w:rsidRPr="00855AC3">
        <w:rPr>
          <w:rStyle w:val="Hyperlink"/>
          <w:rFonts w:ascii="Times New Roman" w:hAnsi="Times New Roman" w:cs="Times New Roman"/>
          <w:color w:val="0000FF"/>
          <w:sz w:val="20"/>
          <w:szCs w:val="20"/>
        </w:rPr>
        <w:t>http://www.sciencepub.net/newyork</w:t>
      </w:r>
    </w:hyperlink>
  </w:p>
  <w:p w:rsidR="00855AC3" w:rsidRPr="00855AC3" w:rsidRDefault="00855AC3" w:rsidP="00855AC3">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C3" w:rsidRPr="00855AC3" w:rsidRDefault="00855AC3" w:rsidP="00855AC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55AC3">
      <w:rPr>
        <w:rFonts w:ascii="Times New Roman" w:hAnsi="Times New Roman" w:cs="Times New Roman" w:hint="eastAsia"/>
        <w:sz w:val="20"/>
        <w:szCs w:val="20"/>
      </w:rPr>
      <w:tab/>
    </w:r>
    <w:r w:rsidRPr="00855AC3">
      <w:rPr>
        <w:rFonts w:ascii="Times New Roman" w:hAnsi="Times New Roman" w:cs="Times New Roman"/>
        <w:sz w:val="20"/>
        <w:szCs w:val="20"/>
      </w:rPr>
      <w:t>New York Science Journal 201</w:t>
    </w:r>
    <w:r w:rsidRPr="00855AC3">
      <w:rPr>
        <w:rFonts w:ascii="Times New Roman" w:hAnsi="Times New Roman" w:cs="Times New Roman" w:hint="eastAsia"/>
        <w:sz w:val="20"/>
        <w:szCs w:val="20"/>
      </w:rPr>
      <w:t>6</w:t>
    </w:r>
    <w:r w:rsidRPr="00855AC3">
      <w:rPr>
        <w:rFonts w:ascii="Times New Roman" w:hAnsi="Times New Roman" w:cs="Times New Roman"/>
        <w:sz w:val="20"/>
        <w:szCs w:val="20"/>
      </w:rPr>
      <w:t>;</w:t>
    </w:r>
    <w:r w:rsidRPr="00855AC3">
      <w:rPr>
        <w:rFonts w:ascii="Times New Roman" w:hAnsi="Times New Roman" w:cs="Times New Roman" w:hint="eastAsia"/>
        <w:sz w:val="20"/>
        <w:szCs w:val="20"/>
      </w:rPr>
      <w:t>9</w:t>
    </w:r>
    <w:r w:rsidRPr="00855AC3">
      <w:rPr>
        <w:rFonts w:ascii="Times New Roman" w:hAnsi="Times New Roman" w:cs="Times New Roman"/>
        <w:sz w:val="20"/>
        <w:szCs w:val="20"/>
      </w:rPr>
      <w:t>(</w:t>
    </w:r>
    <w:r w:rsidRPr="00855AC3">
      <w:rPr>
        <w:rFonts w:ascii="Times New Roman" w:hAnsi="Times New Roman" w:cs="Times New Roman" w:hint="eastAsia"/>
        <w:sz w:val="20"/>
        <w:szCs w:val="20"/>
      </w:rPr>
      <w:t>12</w:t>
    </w:r>
    <w:r w:rsidRPr="00855AC3">
      <w:rPr>
        <w:rFonts w:ascii="Times New Roman" w:hAnsi="Times New Roman" w:cs="Times New Roman"/>
        <w:sz w:val="20"/>
        <w:szCs w:val="20"/>
      </w:rPr>
      <w:t>)</w:t>
    </w:r>
    <w:r w:rsidRPr="00855AC3">
      <w:rPr>
        <w:rFonts w:ascii="Times New Roman" w:hAnsi="Times New Roman" w:cs="Times New Roman"/>
        <w:iCs/>
        <w:sz w:val="20"/>
        <w:szCs w:val="20"/>
      </w:rPr>
      <w:t xml:space="preserve">     </w:t>
    </w:r>
    <w:r w:rsidRPr="00855AC3">
      <w:rPr>
        <w:rFonts w:ascii="Times New Roman" w:hAnsi="Times New Roman" w:cs="Times New Roman" w:hint="eastAsia"/>
        <w:iCs/>
        <w:sz w:val="20"/>
        <w:szCs w:val="20"/>
      </w:rPr>
      <w:tab/>
    </w:r>
    <w:r w:rsidRPr="00855AC3">
      <w:rPr>
        <w:rFonts w:ascii="Times New Roman" w:hAnsi="Times New Roman" w:cs="Times New Roman"/>
        <w:iCs/>
        <w:sz w:val="20"/>
        <w:szCs w:val="20"/>
      </w:rPr>
      <w:t xml:space="preserve"> </w:t>
    </w:r>
    <w:r w:rsidRPr="00855AC3">
      <w:rPr>
        <w:rFonts w:ascii="Times New Roman" w:hAnsi="Times New Roman" w:cs="Times New Roman" w:hint="eastAsia"/>
        <w:iCs/>
        <w:sz w:val="20"/>
        <w:szCs w:val="20"/>
      </w:rPr>
      <w:t xml:space="preserve"> </w:t>
    </w:r>
    <w:r w:rsidRPr="00855AC3">
      <w:rPr>
        <w:rFonts w:ascii="Times New Roman" w:hAnsi="Times New Roman" w:cs="Times New Roman"/>
        <w:iCs/>
        <w:sz w:val="20"/>
        <w:szCs w:val="20"/>
      </w:rPr>
      <w:t xml:space="preserve">   </w:t>
    </w:r>
    <w:hyperlink r:id="rId1" w:history="1">
      <w:r w:rsidRPr="00855AC3">
        <w:rPr>
          <w:rStyle w:val="Hyperlink"/>
          <w:rFonts w:ascii="Times New Roman" w:hAnsi="Times New Roman" w:cs="Times New Roman"/>
          <w:color w:val="0000FF"/>
          <w:sz w:val="20"/>
          <w:szCs w:val="20"/>
        </w:rPr>
        <w:t>http://www.sciencepub.net/newyork</w:t>
      </w:r>
    </w:hyperlink>
  </w:p>
  <w:p w:rsidR="00855AC3" w:rsidRPr="00855AC3" w:rsidRDefault="00855AC3" w:rsidP="00855AC3">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C3" w:rsidRPr="00855AC3" w:rsidRDefault="00855AC3" w:rsidP="00855AC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55AC3">
      <w:rPr>
        <w:rFonts w:ascii="Times New Roman" w:hAnsi="Times New Roman" w:cs="Times New Roman" w:hint="eastAsia"/>
        <w:sz w:val="20"/>
        <w:szCs w:val="20"/>
      </w:rPr>
      <w:tab/>
    </w:r>
    <w:r w:rsidRPr="00855AC3">
      <w:rPr>
        <w:rFonts w:ascii="Times New Roman" w:hAnsi="Times New Roman" w:cs="Times New Roman"/>
        <w:sz w:val="20"/>
        <w:szCs w:val="20"/>
      </w:rPr>
      <w:t>New York Science Journal 201</w:t>
    </w:r>
    <w:r w:rsidRPr="00855AC3">
      <w:rPr>
        <w:rFonts w:ascii="Times New Roman" w:hAnsi="Times New Roman" w:cs="Times New Roman" w:hint="eastAsia"/>
        <w:sz w:val="20"/>
        <w:szCs w:val="20"/>
      </w:rPr>
      <w:t>6</w:t>
    </w:r>
    <w:r w:rsidRPr="00855AC3">
      <w:rPr>
        <w:rFonts w:ascii="Times New Roman" w:hAnsi="Times New Roman" w:cs="Times New Roman"/>
        <w:sz w:val="20"/>
        <w:szCs w:val="20"/>
      </w:rPr>
      <w:t>;</w:t>
    </w:r>
    <w:r w:rsidRPr="00855AC3">
      <w:rPr>
        <w:rFonts w:ascii="Times New Roman" w:hAnsi="Times New Roman" w:cs="Times New Roman" w:hint="eastAsia"/>
        <w:sz w:val="20"/>
        <w:szCs w:val="20"/>
      </w:rPr>
      <w:t>9</w:t>
    </w:r>
    <w:r w:rsidRPr="00855AC3">
      <w:rPr>
        <w:rFonts w:ascii="Times New Roman" w:hAnsi="Times New Roman" w:cs="Times New Roman"/>
        <w:sz w:val="20"/>
        <w:szCs w:val="20"/>
      </w:rPr>
      <w:t>(</w:t>
    </w:r>
    <w:r w:rsidRPr="00855AC3">
      <w:rPr>
        <w:rFonts w:ascii="Times New Roman" w:hAnsi="Times New Roman" w:cs="Times New Roman" w:hint="eastAsia"/>
        <w:sz w:val="20"/>
        <w:szCs w:val="20"/>
      </w:rPr>
      <w:t>12</w:t>
    </w:r>
    <w:r w:rsidRPr="00855AC3">
      <w:rPr>
        <w:rFonts w:ascii="Times New Roman" w:hAnsi="Times New Roman" w:cs="Times New Roman"/>
        <w:sz w:val="20"/>
        <w:szCs w:val="20"/>
      </w:rPr>
      <w:t>)</w:t>
    </w:r>
    <w:r w:rsidRPr="00855AC3">
      <w:rPr>
        <w:rFonts w:ascii="Times New Roman" w:hAnsi="Times New Roman" w:cs="Times New Roman"/>
        <w:iCs/>
        <w:sz w:val="20"/>
        <w:szCs w:val="20"/>
      </w:rPr>
      <w:t xml:space="preserve">     </w:t>
    </w:r>
    <w:r w:rsidRPr="00855AC3">
      <w:rPr>
        <w:rFonts w:ascii="Times New Roman" w:hAnsi="Times New Roman" w:cs="Times New Roman" w:hint="eastAsia"/>
        <w:iCs/>
        <w:sz w:val="20"/>
        <w:szCs w:val="20"/>
      </w:rPr>
      <w:tab/>
    </w:r>
    <w:r w:rsidRPr="00855AC3">
      <w:rPr>
        <w:rFonts w:ascii="Times New Roman" w:hAnsi="Times New Roman" w:cs="Times New Roman"/>
        <w:iCs/>
        <w:sz w:val="20"/>
        <w:szCs w:val="20"/>
      </w:rPr>
      <w:t xml:space="preserve"> </w:t>
    </w:r>
    <w:r w:rsidRPr="00855AC3">
      <w:rPr>
        <w:rFonts w:ascii="Times New Roman" w:hAnsi="Times New Roman" w:cs="Times New Roman" w:hint="eastAsia"/>
        <w:iCs/>
        <w:sz w:val="20"/>
        <w:szCs w:val="20"/>
      </w:rPr>
      <w:t xml:space="preserve"> </w:t>
    </w:r>
    <w:r w:rsidRPr="00855AC3">
      <w:rPr>
        <w:rFonts w:ascii="Times New Roman" w:hAnsi="Times New Roman" w:cs="Times New Roman"/>
        <w:iCs/>
        <w:sz w:val="20"/>
        <w:szCs w:val="20"/>
      </w:rPr>
      <w:t xml:space="preserve">   </w:t>
    </w:r>
    <w:hyperlink r:id="rId1" w:history="1">
      <w:r w:rsidRPr="00855AC3">
        <w:rPr>
          <w:rStyle w:val="Hyperlink"/>
          <w:rFonts w:ascii="Times New Roman" w:hAnsi="Times New Roman" w:cs="Times New Roman"/>
          <w:color w:val="0000FF"/>
          <w:sz w:val="20"/>
          <w:szCs w:val="20"/>
        </w:rPr>
        <w:t>http://www.sciencepub.net/newyork</w:t>
      </w:r>
    </w:hyperlink>
  </w:p>
  <w:p w:rsidR="00855AC3" w:rsidRPr="00855AC3" w:rsidRDefault="00855AC3" w:rsidP="00855AC3">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C3" w:rsidRPr="00855AC3" w:rsidRDefault="00855AC3" w:rsidP="00855AC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55AC3">
      <w:rPr>
        <w:rFonts w:ascii="Times New Roman" w:hAnsi="Times New Roman" w:cs="Times New Roman" w:hint="eastAsia"/>
        <w:sz w:val="20"/>
        <w:szCs w:val="20"/>
      </w:rPr>
      <w:tab/>
    </w:r>
    <w:r w:rsidRPr="00855AC3">
      <w:rPr>
        <w:rFonts w:ascii="Times New Roman" w:hAnsi="Times New Roman" w:cs="Times New Roman"/>
        <w:sz w:val="20"/>
        <w:szCs w:val="20"/>
      </w:rPr>
      <w:t>New York Science Journal 201</w:t>
    </w:r>
    <w:r w:rsidRPr="00855AC3">
      <w:rPr>
        <w:rFonts w:ascii="Times New Roman" w:hAnsi="Times New Roman" w:cs="Times New Roman" w:hint="eastAsia"/>
        <w:sz w:val="20"/>
        <w:szCs w:val="20"/>
      </w:rPr>
      <w:t>6</w:t>
    </w:r>
    <w:r w:rsidRPr="00855AC3">
      <w:rPr>
        <w:rFonts w:ascii="Times New Roman" w:hAnsi="Times New Roman" w:cs="Times New Roman"/>
        <w:sz w:val="20"/>
        <w:szCs w:val="20"/>
      </w:rPr>
      <w:t>;</w:t>
    </w:r>
    <w:r w:rsidRPr="00855AC3">
      <w:rPr>
        <w:rFonts w:ascii="Times New Roman" w:hAnsi="Times New Roman" w:cs="Times New Roman" w:hint="eastAsia"/>
        <w:sz w:val="20"/>
        <w:szCs w:val="20"/>
      </w:rPr>
      <w:t>9</w:t>
    </w:r>
    <w:r w:rsidRPr="00855AC3">
      <w:rPr>
        <w:rFonts w:ascii="Times New Roman" w:hAnsi="Times New Roman" w:cs="Times New Roman"/>
        <w:sz w:val="20"/>
        <w:szCs w:val="20"/>
      </w:rPr>
      <w:t>(</w:t>
    </w:r>
    <w:r w:rsidRPr="00855AC3">
      <w:rPr>
        <w:rFonts w:ascii="Times New Roman" w:hAnsi="Times New Roman" w:cs="Times New Roman" w:hint="eastAsia"/>
        <w:sz w:val="20"/>
        <w:szCs w:val="20"/>
      </w:rPr>
      <w:t>12</w:t>
    </w:r>
    <w:r w:rsidRPr="00855AC3">
      <w:rPr>
        <w:rFonts w:ascii="Times New Roman" w:hAnsi="Times New Roman" w:cs="Times New Roman"/>
        <w:sz w:val="20"/>
        <w:szCs w:val="20"/>
      </w:rPr>
      <w:t>)</w:t>
    </w:r>
    <w:r w:rsidRPr="00855AC3">
      <w:rPr>
        <w:rFonts w:ascii="Times New Roman" w:hAnsi="Times New Roman" w:cs="Times New Roman"/>
        <w:iCs/>
        <w:sz w:val="20"/>
        <w:szCs w:val="20"/>
      </w:rPr>
      <w:t xml:space="preserve">     </w:t>
    </w:r>
    <w:r w:rsidRPr="00855AC3">
      <w:rPr>
        <w:rFonts w:ascii="Times New Roman" w:hAnsi="Times New Roman" w:cs="Times New Roman" w:hint="eastAsia"/>
        <w:iCs/>
        <w:sz w:val="20"/>
        <w:szCs w:val="20"/>
      </w:rPr>
      <w:tab/>
    </w:r>
    <w:r w:rsidRPr="00855AC3">
      <w:rPr>
        <w:rFonts w:ascii="Times New Roman" w:hAnsi="Times New Roman" w:cs="Times New Roman"/>
        <w:iCs/>
        <w:sz w:val="20"/>
        <w:szCs w:val="20"/>
      </w:rPr>
      <w:t xml:space="preserve"> </w:t>
    </w:r>
    <w:r w:rsidRPr="00855AC3">
      <w:rPr>
        <w:rFonts w:ascii="Times New Roman" w:hAnsi="Times New Roman" w:cs="Times New Roman" w:hint="eastAsia"/>
        <w:iCs/>
        <w:sz w:val="20"/>
        <w:szCs w:val="20"/>
      </w:rPr>
      <w:t xml:space="preserve"> </w:t>
    </w:r>
    <w:r w:rsidRPr="00855AC3">
      <w:rPr>
        <w:rFonts w:ascii="Times New Roman" w:hAnsi="Times New Roman" w:cs="Times New Roman"/>
        <w:iCs/>
        <w:sz w:val="20"/>
        <w:szCs w:val="20"/>
      </w:rPr>
      <w:t xml:space="preserve">   </w:t>
    </w:r>
    <w:hyperlink r:id="rId1" w:history="1">
      <w:r w:rsidRPr="00855AC3">
        <w:rPr>
          <w:rStyle w:val="Hyperlink"/>
          <w:rFonts w:ascii="Times New Roman" w:hAnsi="Times New Roman" w:cs="Times New Roman"/>
          <w:color w:val="0000FF"/>
          <w:sz w:val="20"/>
          <w:szCs w:val="20"/>
        </w:rPr>
        <w:t>http://www.sciencepub.net/newyork</w:t>
      </w:r>
    </w:hyperlink>
  </w:p>
  <w:p w:rsidR="00855AC3" w:rsidRPr="00855AC3" w:rsidRDefault="00855AC3" w:rsidP="00855AC3">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E1AA1"/>
    <w:multiLevelType w:val="hybridMultilevel"/>
    <w:tmpl w:val="95623B42"/>
    <w:lvl w:ilvl="0" w:tplc="ABD6B8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
  <w:rsids>
    <w:rsidRoot w:val="00290577"/>
    <w:rsid w:val="00054D69"/>
    <w:rsid w:val="000B2A2D"/>
    <w:rsid w:val="00133A99"/>
    <w:rsid w:val="00255ABF"/>
    <w:rsid w:val="00290577"/>
    <w:rsid w:val="00300128"/>
    <w:rsid w:val="003C2586"/>
    <w:rsid w:val="004178D3"/>
    <w:rsid w:val="004F1941"/>
    <w:rsid w:val="005E0D0A"/>
    <w:rsid w:val="00667710"/>
    <w:rsid w:val="00740905"/>
    <w:rsid w:val="0077476D"/>
    <w:rsid w:val="00792888"/>
    <w:rsid w:val="00855AC3"/>
    <w:rsid w:val="00883A53"/>
    <w:rsid w:val="008F782F"/>
    <w:rsid w:val="009419AD"/>
    <w:rsid w:val="00A85454"/>
    <w:rsid w:val="00A95BE6"/>
    <w:rsid w:val="00B55D7B"/>
    <w:rsid w:val="00B8338D"/>
    <w:rsid w:val="00D16DA8"/>
    <w:rsid w:val="00D643B4"/>
    <w:rsid w:val="00D95B77"/>
    <w:rsid w:val="00DB30DB"/>
    <w:rsid w:val="00F15140"/>
    <w:rsid w:val="00F93A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8D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577"/>
    <w:rPr>
      <w:color w:val="0000FF" w:themeColor="hyperlink"/>
      <w:u w:val="single"/>
    </w:rPr>
  </w:style>
  <w:style w:type="paragraph" w:styleId="Header">
    <w:name w:val="header"/>
    <w:basedOn w:val="Normal"/>
    <w:link w:val="HeaderChar1"/>
    <w:uiPriority w:val="99"/>
    <w:unhideWhenUsed/>
    <w:rsid w:val="00290577"/>
    <w:pPr>
      <w:tabs>
        <w:tab w:val="center" w:pos="4320"/>
        <w:tab w:val="right" w:pos="8640"/>
      </w:tabs>
      <w:bidi w:val="0"/>
    </w:pPr>
    <w:rPr>
      <w:rFonts w:ascii="Calibri" w:eastAsia="Times New Roman" w:hAnsi="Calibri" w:cs="Times New Roman"/>
    </w:rPr>
  </w:style>
  <w:style w:type="character" w:customStyle="1" w:styleId="HeaderChar">
    <w:name w:val="Header Char"/>
    <w:basedOn w:val="DefaultParagraphFont"/>
    <w:uiPriority w:val="99"/>
    <w:semiHidden/>
    <w:rsid w:val="00290577"/>
  </w:style>
  <w:style w:type="character" w:customStyle="1" w:styleId="HeaderChar1">
    <w:name w:val="Header Char1"/>
    <w:link w:val="Header"/>
    <w:uiPriority w:val="99"/>
    <w:rsid w:val="00290577"/>
    <w:rPr>
      <w:rFonts w:ascii="Calibri" w:eastAsia="Times New Roman" w:hAnsi="Calibri" w:cs="Times New Roman"/>
    </w:rPr>
  </w:style>
  <w:style w:type="paragraph" w:customStyle="1" w:styleId="Default">
    <w:name w:val="Default"/>
    <w:rsid w:val="00290577"/>
    <w:pPr>
      <w:autoSpaceDE w:val="0"/>
      <w:autoSpaceDN w:val="0"/>
      <w:adjustRightInd w:val="0"/>
      <w:spacing w:after="0" w:line="240" w:lineRule="auto"/>
    </w:pPr>
    <w:rPr>
      <w:rFonts w:ascii="Minion Pro" w:eastAsia="Times New Roman" w:hAnsi="Minion Pro" w:cs="Minion Pro"/>
      <w:color w:val="000000"/>
      <w:sz w:val="24"/>
      <w:szCs w:val="24"/>
    </w:rPr>
  </w:style>
  <w:style w:type="paragraph" w:styleId="ListParagraph">
    <w:name w:val="List Paragraph"/>
    <w:basedOn w:val="Normal"/>
    <w:uiPriority w:val="34"/>
    <w:qFormat/>
    <w:rsid w:val="00290577"/>
    <w:pPr>
      <w:bidi w:val="0"/>
      <w:spacing w:after="160" w:line="259" w:lineRule="auto"/>
      <w:ind w:left="720"/>
      <w:contextualSpacing/>
    </w:pPr>
    <w:rPr>
      <w:rFonts w:ascii="Calibri" w:eastAsia="Calibri" w:hAnsi="Calibri" w:cs="Arial"/>
    </w:rPr>
  </w:style>
  <w:style w:type="table" w:customStyle="1" w:styleId="GridTable5Dark-Accent51">
    <w:name w:val="Grid Table 5 Dark - Accent 51"/>
    <w:basedOn w:val="TableNormal"/>
    <w:uiPriority w:val="50"/>
    <w:rsid w:val="0029057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BalloonText">
    <w:name w:val="Balloon Text"/>
    <w:basedOn w:val="Normal"/>
    <w:link w:val="BalloonTextChar"/>
    <w:uiPriority w:val="99"/>
    <w:semiHidden/>
    <w:unhideWhenUsed/>
    <w:rsid w:val="00290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77"/>
    <w:rPr>
      <w:rFonts w:ascii="Tahoma" w:hAnsi="Tahoma" w:cs="Tahoma"/>
      <w:sz w:val="16"/>
      <w:szCs w:val="16"/>
    </w:rPr>
  </w:style>
  <w:style w:type="table" w:styleId="TableGrid">
    <w:name w:val="Table Grid"/>
    <w:basedOn w:val="TableNormal"/>
    <w:uiPriority w:val="59"/>
    <w:rsid w:val="002905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2905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05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drmahmod985@gmail.com" TargetMode="Externa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hyperlink" Target="http://www.dx.doi.org/10.7537/marsnys091216.02" TargetMode="External"/><Relationship Id="rId14" Type="http://schemas.openxmlformats.org/officeDocument/2006/relationships/header" Target="header3.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7.6168760057594584E-2"/>
          <c:y val="0.13914546797490671"/>
          <c:w val="0.88647491918958377"/>
          <c:h val="0.66663566944272235"/>
        </c:manualLayout>
      </c:layout>
      <c:scatterChart>
        <c:scatterStyle val="lineMarker"/>
        <c:ser>
          <c:idx val="0"/>
          <c:order val="0"/>
          <c:tx>
            <c:strRef>
              <c:f>Sheet1!$B$1</c:f>
              <c:strCache>
                <c:ptCount val="1"/>
                <c:pt idx="0">
                  <c:v>LVGLS</c:v>
                </c:pt>
              </c:strCache>
            </c:strRef>
          </c:tx>
          <c:spPr>
            <a:ln w="25400" cap="rnd">
              <a:noFill/>
              <a:round/>
            </a:ln>
            <a:effectLst/>
          </c:spPr>
          <c:marker>
            <c:symbol val="circle"/>
            <c:size val="6"/>
            <c:spPr>
              <a:solidFill>
                <a:schemeClr val="lt1"/>
              </a:solidFill>
              <a:ln w="38100">
                <a:solidFill>
                  <a:schemeClr val="accent1">
                    <a:alpha val="60000"/>
                  </a:schemeClr>
                </a:solidFill>
              </a:ln>
              <a:effectLst/>
            </c:spPr>
          </c:marker>
          <c:trendline>
            <c:spPr>
              <a:ln w="15875" cap="rnd">
                <a:solidFill>
                  <a:schemeClr val="accent1"/>
                </a:solidFill>
              </a:ln>
              <a:effectLst/>
            </c:spPr>
            <c:trendlineType val="linear"/>
          </c:trendline>
          <c:trendline>
            <c:spPr>
              <a:ln w="15875" cap="rnd">
                <a:solidFill>
                  <a:schemeClr val="accent1"/>
                </a:solidFill>
              </a:ln>
              <a:effectLst/>
            </c:spPr>
            <c:trendlineType val="linear"/>
          </c:trendline>
          <c:xVal>
            <c:numRef>
              <c:f>Sheet1!$A$2:$A$81</c:f>
              <c:numCache>
                <c:formatCode>General</c:formatCode>
                <c:ptCount val="80"/>
                <c:pt idx="0">
                  <c:v>20</c:v>
                </c:pt>
                <c:pt idx="1">
                  <c:v>22</c:v>
                </c:pt>
                <c:pt idx="2">
                  <c:v>21</c:v>
                </c:pt>
                <c:pt idx="3">
                  <c:v>14</c:v>
                </c:pt>
                <c:pt idx="4">
                  <c:v>15</c:v>
                </c:pt>
                <c:pt idx="5">
                  <c:v>16</c:v>
                </c:pt>
                <c:pt idx="6">
                  <c:v>26</c:v>
                </c:pt>
                <c:pt idx="7">
                  <c:v>7</c:v>
                </c:pt>
                <c:pt idx="8">
                  <c:v>9</c:v>
                </c:pt>
                <c:pt idx="9">
                  <c:v>20</c:v>
                </c:pt>
                <c:pt idx="10">
                  <c:v>21</c:v>
                </c:pt>
                <c:pt idx="11">
                  <c:v>22</c:v>
                </c:pt>
                <c:pt idx="12">
                  <c:v>17</c:v>
                </c:pt>
                <c:pt idx="13">
                  <c:v>16</c:v>
                </c:pt>
                <c:pt idx="14">
                  <c:v>15</c:v>
                </c:pt>
                <c:pt idx="15">
                  <c:v>18</c:v>
                </c:pt>
                <c:pt idx="16">
                  <c:v>11</c:v>
                </c:pt>
                <c:pt idx="17">
                  <c:v>8</c:v>
                </c:pt>
                <c:pt idx="18">
                  <c:v>23</c:v>
                </c:pt>
                <c:pt idx="19">
                  <c:v>20</c:v>
                </c:pt>
                <c:pt idx="20">
                  <c:v>23</c:v>
                </c:pt>
                <c:pt idx="21">
                  <c:v>14</c:v>
                </c:pt>
                <c:pt idx="22">
                  <c:v>14</c:v>
                </c:pt>
                <c:pt idx="23">
                  <c:v>18</c:v>
                </c:pt>
                <c:pt idx="24">
                  <c:v>11</c:v>
                </c:pt>
                <c:pt idx="25">
                  <c:v>7</c:v>
                </c:pt>
                <c:pt idx="26">
                  <c:v>10</c:v>
                </c:pt>
                <c:pt idx="27">
                  <c:v>20</c:v>
                </c:pt>
                <c:pt idx="28">
                  <c:v>21</c:v>
                </c:pt>
                <c:pt idx="29">
                  <c:v>20</c:v>
                </c:pt>
                <c:pt idx="30">
                  <c:v>15</c:v>
                </c:pt>
                <c:pt idx="31">
                  <c:v>16</c:v>
                </c:pt>
                <c:pt idx="32">
                  <c:v>14</c:v>
                </c:pt>
                <c:pt idx="33">
                  <c:v>11</c:v>
                </c:pt>
                <c:pt idx="34">
                  <c:v>8</c:v>
                </c:pt>
                <c:pt idx="35">
                  <c:v>10</c:v>
                </c:pt>
                <c:pt idx="36">
                  <c:v>22</c:v>
                </c:pt>
                <c:pt idx="37">
                  <c:v>25</c:v>
                </c:pt>
                <c:pt idx="38">
                  <c:v>23</c:v>
                </c:pt>
                <c:pt idx="39">
                  <c:v>17</c:v>
                </c:pt>
              </c:numCache>
            </c:numRef>
          </c:xVal>
          <c:yVal>
            <c:numRef>
              <c:f>Sheet1!$B$2:$B$81</c:f>
              <c:numCache>
                <c:formatCode>General</c:formatCode>
                <c:ptCount val="80"/>
                <c:pt idx="0">
                  <c:v>-20</c:v>
                </c:pt>
                <c:pt idx="1">
                  <c:v>-19</c:v>
                </c:pt>
                <c:pt idx="2">
                  <c:v>-19</c:v>
                </c:pt>
                <c:pt idx="3">
                  <c:v>-22</c:v>
                </c:pt>
                <c:pt idx="4">
                  <c:v>-21</c:v>
                </c:pt>
                <c:pt idx="5">
                  <c:v>-22</c:v>
                </c:pt>
                <c:pt idx="6">
                  <c:v>-18</c:v>
                </c:pt>
                <c:pt idx="7">
                  <c:v>-24</c:v>
                </c:pt>
                <c:pt idx="8">
                  <c:v>-23</c:v>
                </c:pt>
                <c:pt idx="9">
                  <c:v>-19</c:v>
                </c:pt>
                <c:pt idx="10">
                  <c:v>-20</c:v>
                </c:pt>
                <c:pt idx="11">
                  <c:v>-20</c:v>
                </c:pt>
                <c:pt idx="12">
                  <c:v>-22</c:v>
                </c:pt>
                <c:pt idx="13">
                  <c:v>-21</c:v>
                </c:pt>
                <c:pt idx="14">
                  <c:v>-21</c:v>
                </c:pt>
                <c:pt idx="15">
                  <c:v>-17</c:v>
                </c:pt>
                <c:pt idx="16">
                  <c:v>-23</c:v>
                </c:pt>
                <c:pt idx="17">
                  <c:v>-24</c:v>
                </c:pt>
                <c:pt idx="18">
                  <c:v>-19</c:v>
                </c:pt>
                <c:pt idx="19">
                  <c:v>-20</c:v>
                </c:pt>
                <c:pt idx="20">
                  <c:v>-19</c:v>
                </c:pt>
                <c:pt idx="21">
                  <c:v>-21</c:v>
                </c:pt>
                <c:pt idx="22">
                  <c:v>-22</c:v>
                </c:pt>
                <c:pt idx="23">
                  <c:v>-22</c:v>
                </c:pt>
                <c:pt idx="24">
                  <c:v>-18</c:v>
                </c:pt>
                <c:pt idx="25">
                  <c:v>-24</c:v>
                </c:pt>
                <c:pt idx="26">
                  <c:v>-23</c:v>
                </c:pt>
                <c:pt idx="27">
                  <c:v>-20</c:v>
                </c:pt>
                <c:pt idx="28">
                  <c:v>-20</c:v>
                </c:pt>
                <c:pt idx="29">
                  <c:v>-19</c:v>
                </c:pt>
                <c:pt idx="30">
                  <c:v>-22</c:v>
                </c:pt>
                <c:pt idx="31">
                  <c:v>-22</c:v>
                </c:pt>
                <c:pt idx="32">
                  <c:v>-21</c:v>
                </c:pt>
                <c:pt idx="33">
                  <c:v>-17</c:v>
                </c:pt>
                <c:pt idx="34">
                  <c:v>-23</c:v>
                </c:pt>
                <c:pt idx="35">
                  <c:v>-23</c:v>
                </c:pt>
                <c:pt idx="36">
                  <c:v>-20</c:v>
                </c:pt>
                <c:pt idx="37">
                  <c:v>-19</c:v>
                </c:pt>
                <c:pt idx="38">
                  <c:v>-20</c:v>
                </c:pt>
                <c:pt idx="39">
                  <c:v>-21</c:v>
                </c:pt>
              </c:numCache>
            </c:numRef>
          </c:yVal>
          <c:extLst xmlns:c16r2="http://schemas.microsoft.com/office/drawing/2015/06/chart">
            <c:ext xmlns:c16="http://schemas.microsoft.com/office/drawing/2014/chart" uri="{C3380CC4-5D6E-409C-BE32-E72D297353CC}">
              <c16:uniqueId val="{00000002-7AC8-4015-86FC-58E4D0DAFE56}"/>
            </c:ext>
          </c:extLst>
        </c:ser>
        <c:axId val="69925888"/>
        <c:axId val="72107136"/>
      </c:scatterChart>
      <c:valAx>
        <c:axId val="69925888"/>
        <c:scaling>
          <c:orientation val="minMax"/>
          <c:min val="5"/>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Duration of Diabetes</a:t>
                </a:r>
              </a:p>
            </c:rich>
          </c:tx>
          <c:layout/>
          <c:spPr>
            <a:noFill/>
            <a:ln>
              <a:noFill/>
            </a:ln>
            <a:effectLst/>
          </c:spPr>
        </c:title>
        <c:numFmt formatCode="General" sourceLinked="1"/>
        <c:majorTickMark val="none"/>
        <c:tickLblPos val="low"/>
        <c:spPr>
          <a:noFill/>
          <a:ln>
            <a:solidFill>
              <a:schemeClr val="tx1">
                <a:lumMod val="25000"/>
                <a:lumOff val="75000"/>
              </a:schemeClr>
            </a:solidFill>
          </a:ln>
          <a:effectLst/>
        </c:spPr>
        <c:txPr>
          <a:bodyPr rot="0" spcFirstLastPara="1" vertOverflow="ellipsis" wrap="square" anchor="ctr" anchorCtr="1"/>
          <a:lstStyle/>
          <a:p>
            <a:pPr>
              <a:defRPr lang="en-US" sz="900" b="0" i="0" u="none" strike="noStrike" kern="1200" spc="20" baseline="0">
                <a:solidFill>
                  <a:schemeClr val="tx1">
                    <a:lumMod val="65000"/>
                    <a:lumOff val="35000"/>
                  </a:schemeClr>
                </a:solidFill>
                <a:latin typeface="+mn-lt"/>
                <a:ea typeface="+mn-ea"/>
                <a:cs typeface="+mn-cs"/>
              </a:defRPr>
            </a:pPr>
            <a:endParaRPr lang="en-US"/>
          </a:p>
        </c:txPr>
        <c:crossAx val="72107136"/>
        <c:crosses val="autoZero"/>
        <c:crossBetween val="midCat"/>
      </c:valAx>
      <c:valAx>
        <c:axId val="72107136"/>
        <c:scaling>
          <c:orientation val="minMax"/>
          <c:max val="-15"/>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LVGLS</a:t>
                </a:r>
              </a:p>
            </c:rich>
          </c:tx>
          <c:layout>
            <c:manualLayout>
              <c:xMode val="edge"/>
              <c:yMode val="edge"/>
              <c:x val="0.11372064276885104"/>
              <c:y val="0.34976616559293827"/>
            </c:manualLayout>
          </c:layout>
          <c:spPr>
            <a:noFill/>
            <a:ln>
              <a:noFill/>
            </a:ln>
            <a:effectLst/>
          </c:spPr>
        </c:title>
        <c:numFmt formatCode="General" sourceLinked="1"/>
        <c:maj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lang="en-US" sz="900" b="0" i="0" u="none" strike="noStrike" kern="1200" spc="20" baseline="0">
                <a:solidFill>
                  <a:schemeClr val="tx1">
                    <a:lumMod val="65000"/>
                    <a:lumOff val="35000"/>
                  </a:schemeClr>
                </a:solidFill>
                <a:latin typeface="+mn-lt"/>
                <a:ea typeface="+mn-ea"/>
                <a:cs typeface="+mn-cs"/>
              </a:defRPr>
            </a:pPr>
            <a:endParaRPr lang="en-US"/>
          </a:p>
        </c:txPr>
        <c:crossAx val="69925888"/>
        <c:crosses val="autoZero"/>
        <c:crossBetween val="midCat"/>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7.616876005759457E-2"/>
          <c:y val="0.13914546797490671"/>
          <c:w val="0.88647491918958365"/>
          <c:h val="0.61900578543384732"/>
        </c:manualLayout>
      </c:layout>
      <c:scatterChart>
        <c:scatterStyle val="lineMarker"/>
        <c:ser>
          <c:idx val="0"/>
          <c:order val="0"/>
          <c:tx>
            <c:strRef>
              <c:f>Sheet1!$B$1</c:f>
              <c:strCache>
                <c:ptCount val="1"/>
                <c:pt idx="0">
                  <c:v>RVGLS</c:v>
                </c:pt>
              </c:strCache>
            </c:strRef>
          </c:tx>
          <c:spPr>
            <a:ln w="25400" cap="rnd">
              <a:noFill/>
              <a:round/>
            </a:ln>
            <a:effectLst/>
          </c:spPr>
          <c:marker>
            <c:symbol val="circle"/>
            <c:size val="6"/>
            <c:spPr>
              <a:solidFill>
                <a:schemeClr val="lt1"/>
              </a:solidFill>
              <a:ln w="38100">
                <a:solidFill>
                  <a:schemeClr val="accent1">
                    <a:alpha val="60000"/>
                  </a:schemeClr>
                </a:solidFill>
              </a:ln>
              <a:effectLst/>
            </c:spPr>
          </c:marker>
          <c:trendline>
            <c:spPr>
              <a:ln w="15875" cap="rnd">
                <a:solidFill>
                  <a:schemeClr val="accent1"/>
                </a:solidFill>
              </a:ln>
              <a:effectLst/>
            </c:spPr>
            <c:trendlineType val="linear"/>
          </c:trendline>
          <c:trendline>
            <c:spPr>
              <a:ln w="15875" cap="rnd">
                <a:solidFill>
                  <a:schemeClr val="accent1"/>
                </a:solidFill>
              </a:ln>
              <a:effectLst/>
            </c:spPr>
            <c:trendlineType val="linear"/>
          </c:trendline>
          <c:xVal>
            <c:numRef>
              <c:f>Sheet1!$A$2:$A$81</c:f>
              <c:numCache>
                <c:formatCode>General</c:formatCode>
                <c:ptCount val="80"/>
                <c:pt idx="0">
                  <c:v>20</c:v>
                </c:pt>
                <c:pt idx="1">
                  <c:v>22</c:v>
                </c:pt>
                <c:pt idx="2">
                  <c:v>21</c:v>
                </c:pt>
                <c:pt idx="3">
                  <c:v>14</c:v>
                </c:pt>
                <c:pt idx="4">
                  <c:v>15</c:v>
                </c:pt>
                <c:pt idx="5">
                  <c:v>16</c:v>
                </c:pt>
                <c:pt idx="6">
                  <c:v>26</c:v>
                </c:pt>
                <c:pt idx="7">
                  <c:v>7</c:v>
                </c:pt>
                <c:pt idx="8">
                  <c:v>9</c:v>
                </c:pt>
                <c:pt idx="9">
                  <c:v>20</c:v>
                </c:pt>
                <c:pt idx="10">
                  <c:v>21</c:v>
                </c:pt>
                <c:pt idx="11">
                  <c:v>22</c:v>
                </c:pt>
                <c:pt idx="12">
                  <c:v>17</c:v>
                </c:pt>
                <c:pt idx="13">
                  <c:v>16</c:v>
                </c:pt>
                <c:pt idx="14">
                  <c:v>15</c:v>
                </c:pt>
                <c:pt idx="15">
                  <c:v>18</c:v>
                </c:pt>
                <c:pt idx="16">
                  <c:v>11</c:v>
                </c:pt>
                <c:pt idx="17">
                  <c:v>8</c:v>
                </c:pt>
                <c:pt idx="18">
                  <c:v>23</c:v>
                </c:pt>
                <c:pt idx="19">
                  <c:v>20</c:v>
                </c:pt>
                <c:pt idx="20">
                  <c:v>23</c:v>
                </c:pt>
                <c:pt idx="21">
                  <c:v>14</c:v>
                </c:pt>
                <c:pt idx="22">
                  <c:v>14</c:v>
                </c:pt>
                <c:pt idx="23">
                  <c:v>18</c:v>
                </c:pt>
                <c:pt idx="24">
                  <c:v>11</c:v>
                </c:pt>
                <c:pt idx="25">
                  <c:v>7</c:v>
                </c:pt>
                <c:pt idx="26">
                  <c:v>10</c:v>
                </c:pt>
                <c:pt idx="27">
                  <c:v>20</c:v>
                </c:pt>
                <c:pt idx="28">
                  <c:v>21</c:v>
                </c:pt>
                <c:pt idx="29">
                  <c:v>20</c:v>
                </c:pt>
                <c:pt idx="30">
                  <c:v>15</c:v>
                </c:pt>
                <c:pt idx="31">
                  <c:v>16</c:v>
                </c:pt>
                <c:pt idx="32">
                  <c:v>14</c:v>
                </c:pt>
                <c:pt idx="33">
                  <c:v>11</c:v>
                </c:pt>
                <c:pt idx="34">
                  <c:v>8</c:v>
                </c:pt>
                <c:pt idx="35">
                  <c:v>10</c:v>
                </c:pt>
                <c:pt idx="36">
                  <c:v>22</c:v>
                </c:pt>
                <c:pt idx="37">
                  <c:v>25</c:v>
                </c:pt>
                <c:pt idx="38">
                  <c:v>23</c:v>
                </c:pt>
                <c:pt idx="39">
                  <c:v>17</c:v>
                </c:pt>
              </c:numCache>
            </c:numRef>
          </c:xVal>
          <c:yVal>
            <c:numRef>
              <c:f>Sheet1!$B$2:$B$81</c:f>
              <c:numCache>
                <c:formatCode>General</c:formatCode>
                <c:ptCount val="80"/>
                <c:pt idx="0">
                  <c:v>-27</c:v>
                </c:pt>
                <c:pt idx="1">
                  <c:v>-22</c:v>
                </c:pt>
                <c:pt idx="2">
                  <c:v>-28</c:v>
                </c:pt>
                <c:pt idx="3">
                  <c:v>-28</c:v>
                </c:pt>
                <c:pt idx="4">
                  <c:v>-32</c:v>
                </c:pt>
                <c:pt idx="5">
                  <c:v>-31</c:v>
                </c:pt>
                <c:pt idx="6">
                  <c:v>-24</c:v>
                </c:pt>
                <c:pt idx="7">
                  <c:v>-34</c:v>
                </c:pt>
                <c:pt idx="8">
                  <c:v>-34</c:v>
                </c:pt>
                <c:pt idx="9">
                  <c:v>-25</c:v>
                </c:pt>
                <c:pt idx="10">
                  <c:v>-28</c:v>
                </c:pt>
                <c:pt idx="11">
                  <c:v>-27</c:v>
                </c:pt>
                <c:pt idx="12">
                  <c:v>-33</c:v>
                </c:pt>
                <c:pt idx="13">
                  <c:v>-31</c:v>
                </c:pt>
                <c:pt idx="14">
                  <c:v>-31</c:v>
                </c:pt>
                <c:pt idx="15">
                  <c:v>-25</c:v>
                </c:pt>
                <c:pt idx="16">
                  <c:v>-30</c:v>
                </c:pt>
                <c:pt idx="17">
                  <c:v>-34</c:v>
                </c:pt>
                <c:pt idx="18">
                  <c:v>-34</c:v>
                </c:pt>
                <c:pt idx="19">
                  <c:v>-28</c:v>
                </c:pt>
                <c:pt idx="20">
                  <c:v>-32</c:v>
                </c:pt>
                <c:pt idx="21">
                  <c:v>-31</c:v>
                </c:pt>
                <c:pt idx="22">
                  <c:v>-31</c:v>
                </c:pt>
                <c:pt idx="23">
                  <c:v>-32</c:v>
                </c:pt>
                <c:pt idx="24">
                  <c:v>-25</c:v>
                </c:pt>
                <c:pt idx="25">
                  <c:v>-36</c:v>
                </c:pt>
                <c:pt idx="26">
                  <c:v>-36</c:v>
                </c:pt>
                <c:pt idx="27">
                  <c:v>-27</c:v>
                </c:pt>
                <c:pt idx="28">
                  <c:v>-30</c:v>
                </c:pt>
                <c:pt idx="29">
                  <c:v>-28</c:v>
                </c:pt>
                <c:pt idx="30">
                  <c:v>-33</c:v>
                </c:pt>
                <c:pt idx="31">
                  <c:v>-31</c:v>
                </c:pt>
                <c:pt idx="32">
                  <c:v>-31</c:v>
                </c:pt>
                <c:pt idx="33">
                  <c:v>-26</c:v>
                </c:pt>
                <c:pt idx="34">
                  <c:v>-34</c:v>
                </c:pt>
                <c:pt idx="35">
                  <c:v>-35</c:v>
                </c:pt>
                <c:pt idx="36">
                  <c:v>-29</c:v>
                </c:pt>
                <c:pt idx="37">
                  <c:v>-34</c:v>
                </c:pt>
                <c:pt idx="38">
                  <c:v>-30</c:v>
                </c:pt>
                <c:pt idx="39">
                  <c:v>-32</c:v>
                </c:pt>
              </c:numCache>
            </c:numRef>
          </c:yVal>
          <c:extLst xmlns:c16r2="http://schemas.microsoft.com/office/drawing/2015/06/chart">
            <c:ext xmlns:c16="http://schemas.microsoft.com/office/drawing/2014/chart" uri="{C3380CC4-5D6E-409C-BE32-E72D297353CC}">
              <c16:uniqueId val="{00000002-D071-40E5-A4F2-874657E9E48E}"/>
            </c:ext>
          </c:extLst>
        </c:ser>
        <c:axId val="72133248"/>
        <c:axId val="72557312"/>
      </c:scatterChart>
      <c:valAx>
        <c:axId val="72133248"/>
        <c:scaling>
          <c:orientation val="minMax"/>
          <c:min val="5"/>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Duration of Diabetes</a:t>
                </a:r>
              </a:p>
            </c:rich>
          </c:tx>
          <c:layout>
            <c:manualLayout>
              <c:xMode val="edge"/>
              <c:yMode val="edge"/>
              <c:x val="0.7335272473064447"/>
              <c:y val="0.68333133178496386"/>
            </c:manualLayout>
          </c:layout>
          <c:spPr>
            <a:noFill/>
            <a:ln>
              <a:noFill/>
            </a:ln>
            <a:effectLst/>
          </c:spPr>
        </c:title>
        <c:numFmt formatCode="General" sourceLinked="1"/>
        <c:majorTickMark val="none"/>
        <c:tickLblPos val="low"/>
        <c:spPr>
          <a:noFill/>
          <a:ln>
            <a:solidFill>
              <a:schemeClr val="tx1">
                <a:lumMod val="25000"/>
                <a:lumOff val="75000"/>
              </a:schemeClr>
            </a:solidFill>
          </a:ln>
          <a:effectLst/>
        </c:spPr>
        <c:txPr>
          <a:bodyPr rot="0" spcFirstLastPara="1" vertOverflow="ellipsis" wrap="square" anchor="ctr" anchorCtr="1"/>
          <a:lstStyle/>
          <a:p>
            <a:pPr>
              <a:defRPr lang="en-US" sz="900" b="0" i="0" u="none" strike="noStrike" kern="1200" spc="20" baseline="0">
                <a:solidFill>
                  <a:schemeClr val="tx1">
                    <a:lumMod val="65000"/>
                    <a:lumOff val="35000"/>
                  </a:schemeClr>
                </a:solidFill>
                <a:latin typeface="+mn-lt"/>
                <a:ea typeface="+mn-ea"/>
                <a:cs typeface="+mn-cs"/>
              </a:defRPr>
            </a:pPr>
            <a:endParaRPr lang="en-US"/>
          </a:p>
        </c:txPr>
        <c:crossAx val="72557312"/>
        <c:crosses val="autoZero"/>
        <c:crossBetween val="midCat"/>
      </c:valAx>
      <c:valAx>
        <c:axId val="72557312"/>
        <c:scaling>
          <c:orientation val="minMax"/>
          <c:max val="-15"/>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RVGLS</a:t>
                </a:r>
              </a:p>
            </c:rich>
          </c:tx>
          <c:layout>
            <c:manualLayout>
              <c:xMode val="edge"/>
              <c:yMode val="edge"/>
              <c:x val="8.1951219512195111E-2"/>
              <c:y val="0.32801453050307888"/>
            </c:manualLayout>
          </c:layout>
          <c:spPr>
            <a:noFill/>
            <a:ln>
              <a:noFill/>
            </a:ln>
            <a:effectLst/>
          </c:spPr>
        </c:title>
        <c:numFmt formatCode="General" sourceLinked="1"/>
        <c:maj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lang="en-US" sz="900" b="0" i="0" u="none" strike="noStrike" kern="1200" spc="20" baseline="0">
                <a:solidFill>
                  <a:schemeClr val="tx1">
                    <a:lumMod val="65000"/>
                    <a:lumOff val="35000"/>
                  </a:schemeClr>
                </a:solidFill>
                <a:latin typeface="+mn-lt"/>
                <a:ea typeface="+mn-ea"/>
                <a:cs typeface="+mn-cs"/>
              </a:defRPr>
            </a:pPr>
            <a:endParaRPr lang="en-US"/>
          </a:p>
        </c:txPr>
        <c:crossAx val="72133248"/>
        <c:crosses val="autoZero"/>
        <c:crossBetween val="midCat"/>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7.616876005759457E-2"/>
          <c:y val="3.5898821470845582E-2"/>
          <c:w val="0.88647491918958365"/>
          <c:h val="0.85761051927332665"/>
        </c:manualLayout>
      </c:layout>
      <c:scatterChart>
        <c:scatterStyle val="lineMarker"/>
        <c:ser>
          <c:idx val="0"/>
          <c:order val="0"/>
          <c:tx>
            <c:strRef>
              <c:f>Sheet1!$B$1</c:f>
              <c:strCache>
                <c:ptCount val="1"/>
                <c:pt idx="0">
                  <c:v>LVGLS</c:v>
                </c:pt>
              </c:strCache>
            </c:strRef>
          </c:tx>
          <c:spPr>
            <a:ln w="25400" cap="rnd">
              <a:noFill/>
              <a:round/>
            </a:ln>
            <a:effectLst/>
          </c:spPr>
          <c:marker>
            <c:symbol val="circle"/>
            <c:size val="6"/>
            <c:spPr>
              <a:solidFill>
                <a:schemeClr val="lt1"/>
              </a:solidFill>
              <a:ln w="38100">
                <a:solidFill>
                  <a:schemeClr val="accent1">
                    <a:alpha val="60000"/>
                  </a:schemeClr>
                </a:solidFill>
              </a:ln>
              <a:effectLst/>
            </c:spPr>
          </c:marker>
          <c:trendline>
            <c:spPr>
              <a:ln w="15875" cap="rnd">
                <a:solidFill>
                  <a:schemeClr val="accent1"/>
                </a:solidFill>
              </a:ln>
              <a:effectLst/>
            </c:spPr>
            <c:trendlineType val="linear"/>
          </c:trendline>
          <c:trendline>
            <c:spPr>
              <a:ln w="15875" cap="rnd">
                <a:solidFill>
                  <a:schemeClr val="accent1"/>
                </a:solidFill>
              </a:ln>
              <a:effectLst/>
            </c:spPr>
            <c:trendlineType val="linear"/>
          </c:trendline>
          <c:xVal>
            <c:numRef>
              <c:f>Sheet1!$A$2:$A$81</c:f>
              <c:numCache>
                <c:formatCode>General</c:formatCode>
                <c:ptCount val="80"/>
                <c:pt idx="0">
                  <c:v>7.9</c:v>
                </c:pt>
                <c:pt idx="1">
                  <c:v>9.7000000000000011</c:v>
                </c:pt>
                <c:pt idx="2">
                  <c:v>7.3</c:v>
                </c:pt>
                <c:pt idx="3">
                  <c:v>8</c:v>
                </c:pt>
                <c:pt idx="4">
                  <c:v>6.9</c:v>
                </c:pt>
                <c:pt idx="5">
                  <c:v>8.2000000000000011</c:v>
                </c:pt>
                <c:pt idx="6">
                  <c:v>11</c:v>
                </c:pt>
                <c:pt idx="7">
                  <c:v>7.2</c:v>
                </c:pt>
                <c:pt idx="8">
                  <c:v>8</c:v>
                </c:pt>
                <c:pt idx="9">
                  <c:v>7.8</c:v>
                </c:pt>
                <c:pt idx="10">
                  <c:v>9.4</c:v>
                </c:pt>
                <c:pt idx="11">
                  <c:v>6.8</c:v>
                </c:pt>
                <c:pt idx="12">
                  <c:v>8.7000000000000011</c:v>
                </c:pt>
                <c:pt idx="13">
                  <c:v>7.3</c:v>
                </c:pt>
                <c:pt idx="14">
                  <c:v>6.9</c:v>
                </c:pt>
                <c:pt idx="15">
                  <c:v>11</c:v>
                </c:pt>
                <c:pt idx="16">
                  <c:v>6.2</c:v>
                </c:pt>
                <c:pt idx="17">
                  <c:v>9.5</c:v>
                </c:pt>
                <c:pt idx="18">
                  <c:v>7.8</c:v>
                </c:pt>
                <c:pt idx="19">
                  <c:v>8.2000000000000011</c:v>
                </c:pt>
                <c:pt idx="20">
                  <c:v>7.5</c:v>
                </c:pt>
                <c:pt idx="21">
                  <c:v>9</c:v>
                </c:pt>
                <c:pt idx="22">
                  <c:v>7.1</c:v>
                </c:pt>
                <c:pt idx="23">
                  <c:v>9.7000000000000011</c:v>
                </c:pt>
                <c:pt idx="24">
                  <c:v>10</c:v>
                </c:pt>
                <c:pt idx="25">
                  <c:v>7.5</c:v>
                </c:pt>
                <c:pt idx="26">
                  <c:v>8.6</c:v>
                </c:pt>
                <c:pt idx="27">
                  <c:v>6.9</c:v>
                </c:pt>
                <c:pt idx="28">
                  <c:v>9.4</c:v>
                </c:pt>
                <c:pt idx="29">
                  <c:v>8.4</c:v>
                </c:pt>
                <c:pt idx="30">
                  <c:v>7.5</c:v>
                </c:pt>
                <c:pt idx="31">
                  <c:v>6.7</c:v>
                </c:pt>
                <c:pt idx="32">
                  <c:v>6.5</c:v>
                </c:pt>
                <c:pt idx="33">
                  <c:v>9.6</c:v>
                </c:pt>
                <c:pt idx="34">
                  <c:v>8.5</c:v>
                </c:pt>
                <c:pt idx="35">
                  <c:v>7.8</c:v>
                </c:pt>
                <c:pt idx="36">
                  <c:v>7.8</c:v>
                </c:pt>
                <c:pt idx="37">
                  <c:v>8.9</c:v>
                </c:pt>
                <c:pt idx="38">
                  <c:v>7.1</c:v>
                </c:pt>
                <c:pt idx="39">
                  <c:v>9.1</c:v>
                </c:pt>
              </c:numCache>
            </c:numRef>
          </c:xVal>
          <c:yVal>
            <c:numRef>
              <c:f>Sheet1!$B$2:$B$81</c:f>
              <c:numCache>
                <c:formatCode>General</c:formatCode>
                <c:ptCount val="80"/>
                <c:pt idx="0">
                  <c:v>-20</c:v>
                </c:pt>
                <c:pt idx="1">
                  <c:v>-19</c:v>
                </c:pt>
                <c:pt idx="2">
                  <c:v>-19</c:v>
                </c:pt>
                <c:pt idx="3">
                  <c:v>-22</c:v>
                </c:pt>
                <c:pt idx="4">
                  <c:v>-21</c:v>
                </c:pt>
                <c:pt idx="5">
                  <c:v>-22</c:v>
                </c:pt>
                <c:pt idx="6">
                  <c:v>-18</c:v>
                </c:pt>
                <c:pt idx="7">
                  <c:v>-24</c:v>
                </c:pt>
                <c:pt idx="8">
                  <c:v>-23</c:v>
                </c:pt>
                <c:pt idx="9">
                  <c:v>-19</c:v>
                </c:pt>
                <c:pt idx="10">
                  <c:v>-20</c:v>
                </c:pt>
                <c:pt idx="11">
                  <c:v>-20</c:v>
                </c:pt>
                <c:pt idx="12">
                  <c:v>-22</c:v>
                </c:pt>
                <c:pt idx="13">
                  <c:v>-21</c:v>
                </c:pt>
                <c:pt idx="14">
                  <c:v>-21</c:v>
                </c:pt>
                <c:pt idx="15">
                  <c:v>-17</c:v>
                </c:pt>
                <c:pt idx="16">
                  <c:v>-23</c:v>
                </c:pt>
                <c:pt idx="17">
                  <c:v>-24</c:v>
                </c:pt>
                <c:pt idx="18">
                  <c:v>-19</c:v>
                </c:pt>
                <c:pt idx="19">
                  <c:v>-20</c:v>
                </c:pt>
                <c:pt idx="20">
                  <c:v>-19</c:v>
                </c:pt>
                <c:pt idx="21">
                  <c:v>-21</c:v>
                </c:pt>
                <c:pt idx="22">
                  <c:v>-22</c:v>
                </c:pt>
                <c:pt idx="23">
                  <c:v>-22</c:v>
                </c:pt>
                <c:pt idx="24">
                  <c:v>-18</c:v>
                </c:pt>
                <c:pt idx="25">
                  <c:v>-24</c:v>
                </c:pt>
                <c:pt idx="26">
                  <c:v>-23</c:v>
                </c:pt>
                <c:pt idx="27">
                  <c:v>-20</c:v>
                </c:pt>
                <c:pt idx="28">
                  <c:v>-20</c:v>
                </c:pt>
                <c:pt idx="29">
                  <c:v>-19</c:v>
                </c:pt>
                <c:pt idx="30">
                  <c:v>-22</c:v>
                </c:pt>
                <c:pt idx="31">
                  <c:v>-22</c:v>
                </c:pt>
                <c:pt idx="32">
                  <c:v>-21</c:v>
                </c:pt>
                <c:pt idx="33">
                  <c:v>-17</c:v>
                </c:pt>
                <c:pt idx="34">
                  <c:v>-23</c:v>
                </c:pt>
                <c:pt idx="35">
                  <c:v>-23</c:v>
                </c:pt>
                <c:pt idx="36">
                  <c:v>-20</c:v>
                </c:pt>
                <c:pt idx="37">
                  <c:v>-19</c:v>
                </c:pt>
                <c:pt idx="38">
                  <c:v>-20</c:v>
                </c:pt>
                <c:pt idx="39">
                  <c:v>-21</c:v>
                </c:pt>
              </c:numCache>
            </c:numRef>
          </c:yVal>
          <c:extLst xmlns:c16r2="http://schemas.microsoft.com/office/drawing/2015/06/chart">
            <c:ext xmlns:c16="http://schemas.microsoft.com/office/drawing/2014/chart" uri="{C3380CC4-5D6E-409C-BE32-E72D297353CC}">
              <c16:uniqueId val="{00000002-BBF8-4165-821B-68969F2D1E1B}"/>
            </c:ext>
          </c:extLst>
        </c:ser>
        <c:axId val="72628096"/>
        <c:axId val="72634368"/>
      </c:scatterChart>
      <c:valAx>
        <c:axId val="72628096"/>
        <c:scaling>
          <c:orientation val="minMax"/>
          <c:max val="12"/>
          <c:min val="6"/>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hb a 1 c</a:t>
                </a:r>
              </a:p>
            </c:rich>
          </c:tx>
          <c:layout>
            <c:manualLayout>
              <c:xMode val="edge"/>
              <c:yMode val="edge"/>
              <c:x val="0.48440302490682957"/>
              <c:y val="0.79094745509752462"/>
            </c:manualLayout>
          </c:layout>
          <c:spPr>
            <a:noFill/>
            <a:ln>
              <a:noFill/>
            </a:ln>
            <a:effectLst/>
          </c:spPr>
        </c:title>
        <c:numFmt formatCode="General" sourceLinked="1"/>
        <c:majorTickMark val="none"/>
        <c:tickLblPos val="low"/>
        <c:spPr>
          <a:noFill/>
          <a:ln>
            <a:solidFill>
              <a:schemeClr val="tx1">
                <a:lumMod val="25000"/>
                <a:lumOff val="75000"/>
              </a:schemeClr>
            </a:solidFill>
          </a:ln>
          <a:effectLst/>
        </c:spPr>
        <c:txPr>
          <a:bodyPr rot="0" spcFirstLastPara="1" vertOverflow="ellipsis" wrap="square" anchor="ctr" anchorCtr="1"/>
          <a:lstStyle/>
          <a:p>
            <a:pPr>
              <a:defRPr lang="en-US" sz="900" b="0" i="0" u="none" strike="noStrike" kern="1200" spc="20" baseline="0">
                <a:solidFill>
                  <a:schemeClr val="tx1">
                    <a:lumMod val="65000"/>
                    <a:lumOff val="35000"/>
                  </a:schemeClr>
                </a:solidFill>
                <a:latin typeface="+mn-lt"/>
                <a:ea typeface="+mn-ea"/>
                <a:cs typeface="+mn-cs"/>
              </a:defRPr>
            </a:pPr>
            <a:endParaRPr lang="en-US"/>
          </a:p>
        </c:txPr>
        <c:crossAx val="72634368"/>
        <c:crosses val="autoZero"/>
        <c:crossBetween val="midCat"/>
      </c:valAx>
      <c:valAx>
        <c:axId val="7263436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lvgls</a:t>
                </a:r>
              </a:p>
            </c:rich>
          </c:tx>
          <c:layout>
            <c:manualLayout>
              <c:xMode val="edge"/>
              <c:yMode val="edge"/>
              <c:x val="8.5192697768762704E-2"/>
              <c:y val="0.34316175183984515"/>
            </c:manualLayout>
          </c:layout>
          <c:spPr>
            <a:noFill/>
            <a:ln>
              <a:noFill/>
            </a:ln>
            <a:effectLst/>
          </c:spPr>
        </c:title>
        <c:numFmt formatCode="General" sourceLinked="1"/>
        <c:maj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lang="en-US" sz="900" b="0" i="0" u="none" strike="noStrike" kern="1200" spc="20" baseline="0">
                <a:solidFill>
                  <a:schemeClr val="tx1">
                    <a:lumMod val="65000"/>
                    <a:lumOff val="35000"/>
                  </a:schemeClr>
                </a:solidFill>
                <a:latin typeface="+mn-lt"/>
                <a:ea typeface="+mn-ea"/>
                <a:cs typeface="+mn-cs"/>
              </a:defRPr>
            </a:pPr>
            <a:endParaRPr lang="en-US"/>
          </a:p>
        </c:txPr>
        <c:crossAx val="72628096"/>
        <c:crosses val="autoZero"/>
        <c:crossBetween val="midCat"/>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7.616876005759457E-2"/>
          <c:y val="0.13914546797490671"/>
          <c:w val="0.88647491918958365"/>
          <c:h val="0.7373630024494876"/>
        </c:manualLayout>
      </c:layout>
      <c:scatterChart>
        <c:scatterStyle val="lineMarker"/>
        <c:ser>
          <c:idx val="0"/>
          <c:order val="0"/>
          <c:tx>
            <c:strRef>
              <c:f>Sheet1!$B$1</c:f>
              <c:strCache>
                <c:ptCount val="1"/>
                <c:pt idx="0">
                  <c:v>RVGLS</c:v>
                </c:pt>
              </c:strCache>
            </c:strRef>
          </c:tx>
          <c:spPr>
            <a:ln w="25400" cap="rnd">
              <a:noFill/>
              <a:round/>
            </a:ln>
            <a:effectLst/>
          </c:spPr>
          <c:marker>
            <c:symbol val="circle"/>
            <c:size val="6"/>
            <c:spPr>
              <a:solidFill>
                <a:schemeClr val="lt1"/>
              </a:solidFill>
              <a:ln w="38100">
                <a:solidFill>
                  <a:schemeClr val="accent1">
                    <a:alpha val="60000"/>
                  </a:schemeClr>
                </a:solidFill>
              </a:ln>
              <a:effectLst/>
            </c:spPr>
          </c:marker>
          <c:trendline>
            <c:spPr>
              <a:ln w="15875" cap="rnd">
                <a:solidFill>
                  <a:schemeClr val="accent1"/>
                </a:solidFill>
              </a:ln>
              <a:effectLst/>
            </c:spPr>
            <c:trendlineType val="linear"/>
          </c:trendline>
          <c:trendline>
            <c:spPr>
              <a:ln w="15875" cap="rnd">
                <a:solidFill>
                  <a:schemeClr val="accent1"/>
                </a:solidFill>
              </a:ln>
              <a:effectLst/>
            </c:spPr>
            <c:trendlineType val="linear"/>
          </c:trendline>
          <c:xVal>
            <c:numRef>
              <c:f>Sheet1!$A$2:$A$81</c:f>
              <c:numCache>
                <c:formatCode>General</c:formatCode>
                <c:ptCount val="80"/>
                <c:pt idx="0">
                  <c:v>7.9</c:v>
                </c:pt>
                <c:pt idx="1">
                  <c:v>9.7000000000000011</c:v>
                </c:pt>
                <c:pt idx="2">
                  <c:v>7.3</c:v>
                </c:pt>
                <c:pt idx="3">
                  <c:v>8</c:v>
                </c:pt>
                <c:pt idx="4">
                  <c:v>6.9</c:v>
                </c:pt>
                <c:pt idx="5">
                  <c:v>8.2000000000000011</c:v>
                </c:pt>
                <c:pt idx="6">
                  <c:v>11</c:v>
                </c:pt>
                <c:pt idx="7">
                  <c:v>7.2</c:v>
                </c:pt>
                <c:pt idx="8">
                  <c:v>8</c:v>
                </c:pt>
                <c:pt idx="9">
                  <c:v>7.8</c:v>
                </c:pt>
                <c:pt idx="10">
                  <c:v>9.4</c:v>
                </c:pt>
                <c:pt idx="11">
                  <c:v>6.8</c:v>
                </c:pt>
                <c:pt idx="12">
                  <c:v>8.7000000000000011</c:v>
                </c:pt>
                <c:pt idx="13">
                  <c:v>7.3</c:v>
                </c:pt>
                <c:pt idx="14">
                  <c:v>6.9</c:v>
                </c:pt>
                <c:pt idx="15">
                  <c:v>11</c:v>
                </c:pt>
                <c:pt idx="16">
                  <c:v>6.2</c:v>
                </c:pt>
                <c:pt idx="17">
                  <c:v>9.5</c:v>
                </c:pt>
                <c:pt idx="18">
                  <c:v>7.8</c:v>
                </c:pt>
                <c:pt idx="19">
                  <c:v>8.2000000000000011</c:v>
                </c:pt>
                <c:pt idx="20">
                  <c:v>7.5</c:v>
                </c:pt>
                <c:pt idx="21">
                  <c:v>9</c:v>
                </c:pt>
                <c:pt idx="22">
                  <c:v>7.1</c:v>
                </c:pt>
                <c:pt idx="23">
                  <c:v>9.7000000000000011</c:v>
                </c:pt>
                <c:pt idx="24">
                  <c:v>10</c:v>
                </c:pt>
                <c:pt idx="25">
                  <c:v>7.5</c:v>
                </c:pt>
                <c:pt idx="26">
                  <c:v>8.6</c:v>
                </c:pt>
                <c:pt idx="27">
                  <c:v>6.9</c:v>
                </c:pt>
                <c:pt idx="28">
                  <c:v>9.4</c:v>
                </c:pt>
                <c:pt idx="29">
                  <c:v>8.4</c:v>
                </c:pt>
                <c:pt idx="30">
                  <c:v>7.5</c:v>
                </c:pt>
                <c:pt idx="31">
                  <c:v>6.7</c:v>
                </c:pt>
                <c:pt idx="32">
                  <c:v>6.5</c:v>
                </c:pt>
                <c:pt idx="33">
                  <c:v>9.6</c:v>
                </c:pt>
                <c:pt idx="34">
                  <c:v>8.5</c:v>
                </c:pt>
                <c:pt idx="35">
                  <c:v>7.8</c:v>
                </c:pt>
                <c:pt idx="36">
                  <c:v>7.8</c:v>
                </c:pt>
                <c:pt idx="37">
                  <c:v>8.9</c:v>
                </c:pt>
                <c:pt idx="38">
                  <c:v>7.1</c:v>
                </c:pt>
                <c:pt idx="39">
                  <c:v>9.1</c:v>
                </c:pt>
              </c:numCache>
            </c:numRef>
          </c:xVal>
          <c:yVal>
            <c:numRef>
              <c:f>Sheet1!$B$2:$B$81</c:f>
              <c:numCache>
                <c:formatCode>General</c:formatCode>
                <c:ptCount val="80"/>
                <c:pt idx="0">
                  <c:v>-27</c:v>
                </c:pt>
                <c:pt idx="1">
                  <c:v>-22</c:v>
                </c:pt>
                <c:pt idx="2">
                  <c:v>-28</c:v>
                </c:pt>
                <c:pt idx="3">
                  <c:v>-28</c:v>
                </c:pt>
                <c:pt idx="4">
                  <c:v>-32</c:v>
                </c:pt>
                <c:pt idx="5">
                  <c:v>-31</c:v>
                </c:pt>
                <c:pt idx="6">
                  <c:v>-24</c:v>
                </c:pt>
                <c:pt idx="7">
                  <c:v>-34</c:v>
                </c:pt>
                <c:pt idx="8">
                  <c:v>-34</c:v>
                </c:pt>
                <c:pt idx="9">
                  <c:v>-25</c:v>
                </c:pt>
                <c:pt idx="10">
                  <c:v>-28</c:v>
                </c:pt>
                <c:pt idx="11">
                  <c:v>-27</c:v>
                </c:pt>
                <c:pt idx="12">
                  <c:v>-33</c:v>
                </c:pt>
                <c:pt idx="13">
                  <c:v>-31</c:v>
                </c:pt>
                <c:pt idx="14">
                  <c:v>-31</c:v>
                </c:pt>
                <c:pt idx="15">
                  <c:v>-25</c:v>
                </c:pt>
                <c:pt idx="16">
                  <c:v>-30</c:v>
                </c:pt>
                <c:pt idx="17">
                  <c:v>-34</c:v>
                </c:pt>
                <c:pt idx="18">
                  <c:v>-34</c:v>
                </c:pt>
                <c:pt idx="19">
                  <c:v>-28</c:v>
                </c:pt>
                <c:pt idx="20">
                  <c:v>-32</c:v>
                </c:pt>
                <c:pt idx="21">
                  <c:v>-31</c:v>
                </c:pt>
                <c:pt idx="22">
                  <c:v>-31</c:v>
                </c:pt>
                <c:pt idx="23">
                  <c:v>-32</c:v>
                </c:pt>
                <c:pt idx="24">
                  <c:v>-25</c:v>
                </c:pt>
                <c:pt idx="25">
                  <c:v>-36</c:v>
                </c:pt>
                <c:pt idx="26">
                  <c:v>-36</c:v>
                </c:pt>
                <c:pt idx="27">
                  <c:v>-27</c:v>
                </c:pt>
                <c:pt idx="28">
                  <c:v>-30</c:v>
                </c:pt>
                <c:pt idx="29">
                  <c:v>-28</c:v>
                </c:pt>
                <c:pt idx="30">
                  <c:v>-33</c:v>
                </c:pt>
                <c:pt idx="31">
                  <c:v>-31</c:v>
                </c:pt>
                <c:pt idx="32">
                  <c:v>-31</c:v>
                </c:pt>
                <c:pt idx="33">
                  <c:v>-26</c:v>
                </c:pt>
                <c:pt idx="34">
                  <c:v>-34</c:v>
                </c:pt>
                <c:pt idx="35">
                  <c:v>-35</c:v>
                </c:pt>
                <c:pt idx="36">
                  <c:v>-29</c:v>
                </c:pt>
                <c:pt idx="37">
                  <c:v>-34</c:v>
                </c:pt>
                <c:pt idx="38">
                  <c:v>-30</c:v>
                </c:pt>
                <c:pt idx="39">
                  <c:v>-32</c:v>
                </c:pt>
              </c:numCache>
            </c:numRef>
          </c:yVal>
          <c:extLst xmlns:c16r2="http://schemas.microsoft.com/office/drawing/2015/06/chart">
            <c:ext xmlns:c16="http://schemas.microsoft.com/office/drawing/2014/chart" uri="{C3380CC4-5D6E-409C-BE32-E72D297353CC}">
              <c16:uniqueId val="{00000002-323A-4DCF-BF91-960F108B2900}"/>
            </c:ext>
          </c:extLst>
        </c:ser>
        <c:axId val="72672384"/>
        <c:axId val="72674304"/>
      </c:scatterChart>
      <c:valAx>
        <c:axId val="72672384"/>
        <c:scaling>
          <c:orientation val="minMax"/>
          <c:min val="6"/>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hb a 1 c</a:t>
                </a:r>
              </a:p>
            </c:rich>
          </c:tx>
          <c:layout/>
          <c:spPr>
            <a:noFill/>
            <a:ln>
              <a:noFill/>
            </a:ln>
            <a:effectLst/>
          </c:spPr>
        </c:title>
        <c:numFmt formatCode="General" sourceLinked="1"/>
        <c:majorTickMark val="none"/>
        <c:tickLblPos val="low"/>
        <c:spPr>
          <a:noFill/>
          <a:ln>
            <a:solidFill>
              <a:schemeClr val="tx1">
                <a:lumMod val="25000"/>
                <a:lumOff val="75000"/>
              </a:schemeClr>
            </a:solidFill>
          </a:ln>
          <a:effectLst/>
        </c:spPr>
        <c:txPr>
          <a:bodyPr rot="0" spcFirstLastPara="1" vertOverflow="ellipsis" wrap="square" anchor="ctr" anchorCtr="1"/>
          <a:lstStyle/>
          <a:p>
            <a:pPr>
              <a:defRPr lang="en-US" sz="900" b="0" i="0" u="none" strike="noStrike" kern="1200" spc="20" baseline="0">
                <a:solidFill>
                  <a:schemeClr val="tx1">
                    <a:lumMod val="65000"/>
                    <a:lumOff val="35000"/>
                  </a:schemeClr>
                </a:solidFill>
                <a:latin typeface="+mn-lt"/>
                <a:ea typeface="+mn-ea"/>
                <a:cs typeface="+mn-cs"/>
              </a:defRPr>
            </a:pPr>
            <a:endParaRPr lang="en-US"/>
          </a:p>
        </c:txPr>
        <c:crossAx val="72674304"/>
        <c:crosses val="autoZero"/>
        <c:crossBetween val="midCat"/>
      </c:valAx>
      <c:valAx>
        <c:axId val="7267430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rvgls</a:t>
                </a:r>
              </a:p>
            </c:rich>
          </c:tx>
          <c:layout>
            <c:manualLayout>
              <c:xMode val="edge"/>
              <c:yMode val="edge"/>
              <c:x val="9.4395280235988213E-2"/>
              <c:y val="0.42323305740628453"/>
            </c:manualLayout>
          </c:layout>
          <c:spPr>
            <a:noFill/>
            <a:ln>
              <a:noFill/>
            </a:ln>
            <a:effectLst/>
          </c:spPr>
        </c:title>
        <c:numFmt formatCode="General" sourceLinked="1"/>
        <c:maj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lang="en-US" sz="900" b="0" i="0" u="none" strike="noStrike" kern="1200" spc="20" baseline="0">
                <a:solidFill>
                  <a:schemeClr val="tx1">
                    <a:lumMod val="65000"/>
                    <a:lumOff val="35000"/>
                  </a:schemeClr>
                </a:solidFill>
                <a:latin typeface="+mn-lt"/>
                <a:ea typeface="+mn-ea"/>
                <a:cs typeface="+mn-cs"/>
              </a:defRPr>
            </a:pPr>
            <a:endParaRPr lang="en-US"/>
          </a:p>
        </c:txPr>
        <c:crossAx val="72672384"/>
        <c:crosses val="autoZero"/>
        <c:crossBetween val="midCat"/>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2016-12-01T21:23:00Z</cp:lastPrinted>
  <dcterms:created xsi:type="dcterms:W3CDTF">2016-12-02T11:05:00Z</dcterms:created>
  <dcterms:modified xsi:type="dcterms:W3CDTF">2016-12-01T22:07:00Z</dcterms:modified>
</cp:coreProperties>
</file>