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E1" w:rsidRPr="002E20DD" w:rsidRDefault="002C5901" w:rsidP="00EA2C42">
      <w:pPr>
        <w:tabs>
          <w:tab w:val="left" w:pos="7200"/>
        </w:tabs>
        <w:snapToGrid w:val="0"/>
        <w:jc w:val="center"/>
        <w:rPr>
          <w:b/>
          <w:sz w:val="20"/>
          <w:szCs w:val="20"/>
        </w:rPr>
      </w:pPr>
      <w:r w:rsidRPr="002E20DD">
        <w:rPr>
          <w:b/>
          <w:sz w:val="20"/>
          <w:szCs w:val="20"/>
        </w:rPr>
        <w:t>Assessment of Consumption Rate, Packaging and Storage System of Cassava Products in Ibadan South-West Local Government, Oyo State, Nigeria</w:t>
      </w:r>
    </w:p>
    <w:p w:rsidR="001618E1" w:rsidRPr="002E20DD" w:rsidRDefault="001618E1" w:rsidP="00EA2C42">
      <w:pPr>
        <w:snapToGrid w:val="0"/>
        <w:jc w:val="center"/>
        <w:rPr>
          <w:sz w:val="20"/>
          <w:szCs w:val="20"/>
          <w:lang w:eastAsia="zh-CN"/>
        </w:rPr>
      </w:pPr>
    </w:p>
    <w:p w:rsidR="002C5901" w:rsidRPr="002E20DD" w:rsidRDefault="002C5901" w:rsidP="00EA2C42">
      <w:pPr>
        <w:tabs>
          <w:tab w:val="left" w:pos="7200"/>
        </w:tabs>
        <w:snapToGrid w:val="0"/>
        <w:jc w:val="center"/>
        <w:rPr>
          <w:rFonts w:eastAsiaTheme="minorEastAsia" w:hint="eastAsia"/>
          <w:sz w:val="20"/>
          <w:szCs w:val="20"/>
          <w:lang w:eastAsia="zh-CN"/>
        </w:rPr>
      </w:pPr>
      <w:proofErr w:type="spellStart"/>
      <w:r w:rsidRPr="002E20DD">
        <w:rPr>
          <w:sz w:val="20"/>
          <w:szCs w:val="20"/>
        </w:rPr>
        <w:t>Makinde</w:t>
      </w:r>
      <w:proofErr w:type="spellEnd"/>
      <w:r w:rsidRPr="002E20DD">
        <w:rPr>
          <w:sz w:val="20"/>
          <w:szCs w:val="20"/>
        </w:rPr>
        <w:t>, O. O.</w:t>
      </w:r>
      <w:r w:rsidRPr="002E20DD">
        <w:rPr>
          <w:sz w:val="20"/>
          <w:szCs w:val="20"/>
          <w:vertAlign w:val="superscript"/>
        </w:rPr>
        <w:t>1</w:t>
      </w:r>
      <w:r w:rsidRPr="002E20DD">
        <w:rPr>
          <w:sz w:val="20"/>
          <w:szCs w:val="20"/>
        </w:rPr>
        <w:t>,</w:t>
      </w:r>
      <w:r w:rsidRPr="002E20DD">
        <w:rPr>
          <w:sz w:val="20"/>
          <w:szCs w:val="20"/>
          <w:vertAlign w:val="superscript"/>
        </w:rPr>
        <w:t xml:space="preserve"> </w:t>
      </w:r>
      <w:proofErr w:type="spellStart"/>
      <w:r w:rsidRPr="002E20DD">
        <w:rPr>
          <w:sz w:val="20"/>
          <w:szCs w:val="20"/>
        </w:rPr>
        <w:t>Adegbokan</w:t>
      </w:r>
      <w:proofErr w:type="spellEnd"/>
      <w:r w:rsidRPr="002E20DD">
        <w:rPr>
          <w:sz w:val="20"/>
          <w:szCs w:val="20"/>
        </w:rPr>
        <w:t>, O. B.</w:t>
      </w:r>
      <w:r w:rsidRPr="002E20DD">
        <w:rPr>
          <w:sz w:val="20"/>
          <w:szCs w:val="20"/>
          <w:vertAlign w:val="superscript"/>
        </w:rPr>
        <w:t>1</w:t>
      </w:r>
      <w:r w:rsidRPr="002E20DD">
        <w:rPr>
          <w:sz w:val="20"/>
          <w:szCs w:val="20"/>
        </w:rPr>
        <w:t xml:space="preserve">, </w:t>
      </w:r>
      <w:proofErr w:type="spellStart"/>
      <w:r w:rsidRPr="002E20DD">
        <w:rPr>
          <w:sz w:val="20"/>
          <w:szCs w:val="20"/>
        </w:rPr>
        <w:t>Fadele</w:t>
      </w:r>
      <w:proofErr w:type="spellEnd"/>
      <w:r w:rsidRPr="002E20DD">
        <w:rPr>
          <w:sz w:val="20"/>
          <w:szCs w:val="20"/>
        </w:rPr>
        <w:t>, N. T</w:t>
      </w:r>
      <w:r w:rsidRPr="002E20DD">
        <w:rPr>
          <w:sz w:val="20"/>
          <w:szCs w:val="20"/>
          <w:vertAlign w:val="superscript"/>
        </w:rPr>
        <w:t>1</w:t>
      </w:r>
      <w:r w:rsidRPr="002E20DD">
        <w:rPr>
          <w:sz w:val="20"/>
          <w:szCs w:val="20"/>
        </w:rPr>
        <w:t xml:space="preserve">., </w:t>
      </w:r>
      <w:proofErr w:type="spellStart"/>
      <w:r w:rsidRPr="002E20DD">
        <w:rPr>
          <w:sz w:val="20"/>
          <w:szCs w:val="20"/>
        </w:rPr>
        <w:t>Akinola</w:t>
      </w:r>
      <w:proofErr w:type="spellEnd"/>
      <w:r w:rsidRPr="002E20DD">
        <w:rPr>
          <w:sz w:val="20"/>
          <w:szCs w:val="20"/>
        </w:rPr>
        <w:t>, O. J.</w:t>
      </w:r>
      <w:r w:rsidRPr="002E20DD">
        <w:rPr>
          <w:sz w:val="20"/>
          <w:szCs w:val="20"/>
          <w:vertAlign w:val="superscript"/>
        </w:rPr>
        <w:t>1</w:t>
      </w:r>
      <w:r w:rsidRPr="002E20DD">
        <w:rPr>
          <w:sz w:val="20"/>
          <w:szCs w:val="20"/>
        </w:rPr>
        <w:t xml:space="preserve">, and </w:t>
      </w:r>
      <w:proofErr w:type="spellStart"/>
      <w:r w:rsidRPr="002E20DD">
        <w:rPr>
          <w:sz w:val="20"/>
          <w:szCs w:val="20"/>
        </w:rPr>
        <w:t>Aremu</w:t>
      </w:r>
      <w:proofErr w:type="spellEnd"/>
      <w:r w:rsidRPr="002E20DD">
        <w:rPr>
          <w:sz w:val="20"/>
          <w:szCs w:val="20"/>
        </w:rPr>
        <w:t>, D. O.</w:t>
      </w:r>
      <w:r w:rsidRPr="002E20DD">
        <w:rPr>
          <w:sz w:val="20"/>
          <w:szCs w:val="20"/>
          <w:vertAlign w:val="superscript"/>
        </w:rPr>
        <w:t>1</w:t>
      </w:r>
    </w:p>
    <w:p w:rsidR="001618E1" w:rsidRPr="002E20DD" w:rsidRDefault="001618E1" w:rsidP="00EA2C42">
      <w:pPr>
        <w:snapToGrid w:val="0"/>
        <w:jc w:val="center"/>
        <w:rPr>
          <w:sz w:val="20"/>
          <w:szCs w:val="20"/>
        </w:rPr>
      </w:pPr>
    </w:p>
    <w:p w:rsidR="004D6265" w:rsidRPr="002E20DD" w:rsidRDefault="004D6265" w:rsidP="00EA2C42">
      <w:pPr>
        <w:tabs>
          <w:tab w:val="left" w:pos="7200"/>
        </w:tabs>
        <w:snapToGrid w:val="0"/>
        <w:jc w:val="center"/>
        <w:rPr>
          <w:sz w:val="20"/>
          <w:szCs w:val="20"/>
        </w:rPr>
      </w:pPr>
      <w:r w:rsidRPr="002E20DD">
        <w:rPr>
          <w:sz w:val="20"/>
          <w:szCs w:val="20"/>
          <w:vertAlign w:val="superscript"/>
        </w:rPr>
        <w:t>1</w:t>
      </w:r>
      <w:r w:rsidRPr="002E20DD">
        <w:rPr>
          <w:sz w:val="20"/>
          <w:szCs w:val="20"/>
        </w:rPr>
        <w:t>Department of Agricultural and Environmental Engineering, University of Ibadan, Nigeria</w:t>
      </w:r>
    </w:p>
    <w:p w:rsidR="004D6265" w:rsidRPr="002E20DD" w:rsidRDefault="004D6265" w:rsidP="00EA2C42">
      <w:pPr>
        <w:tabs>
          <w:tab w:val="left" w:pos="7200"/>
        </w:tabs>
        <w:snapToGrid w:val="0"/>
        <w:jc w:val="center"/>
        <w:rPr>
          <w:sz w:val="20"/>
          <w:szCs w:val="20"/>
        </w:rPr>
      </w:pPr>
      <w:r w:rsidRPr="002E20DD">
        <w:rPr>
          <w:sz w:val="20"/>
          <w:szCs w:val="20"/>
          <w:vertAlign w:val="superscript"/>
        </w:rPr>
        <w:t>2</w:t>
      </w:r>
      <w:r w:rsidRPr="002E20DD">
        <w:rPr>
          <w:sz w:val="20"/>
          <w:szCs w:val="20"/>
        </w:rPr>
        <w:t xml:space="preserve"> Department of Agricultural Engineering, Federal college of Agriculture, Moor Plantation, Ibadan, Nigeria</w:t>
      </w:r>
    </w:p>
    <w:p w:rsidR="004D6265" w:rsidRPr="002E20DD" w:rsidRDefault="004D6265" w:rsidP="00EA2C42">
      <w:pPr>
        <w:snapToGrid w:val="0"/>
        <w:jc w:val="center"/>
        <w:rPr>
          <w:b/>
          <w:sz w:val="20"/>
          <w:szCs w:val="20"/>
        </w:rPr>
      </w:pPr>
    </w:p>
    <w:p w:rsidR="001618E1" w:rsidRPr="002E20DD" w:rsidRDefault="001618E1" w:rsidP="00EA2C42">
      <w:pPr>
        <w:snapToGrid w:val="0"/>
        <w:jc w:val="both"/>
        <w:rPr>
          <w:sz w:val="20"/>
          <w:szCs w:val="20"/>
        </w:rPr>
      </w:pPr>
      <w:r w:rsidRPr="002E20DD">
        <w:rPr>
          <w:b/>
          <w:sz w:val="20"/>
          <w:szCs w:val="20"/>
        </w:rPr>
        <w:t xml:space="preserve">Abstract: </w:t>
      </w:r>
      <w:bookmarkStart w:id="0" w:name="OLE_LINK1"/>
      <w:bookmarkStart w:id="1" w:name="OLE_LINK2"/>
      <w:r w:rsidR="002C5901" w:rsidRPr="002E20DD">
        <w:rPr>
          <w:sz w:val="20"/>
          <w:szCs w:val="20"/>
        </w:rPr>
        <w:t xml:space="preserve">Cassava is the third largest source of food carbohydrate in the tropic after rice and maize; consumption rate of cassava products varies with tribe, locality and culture. The main objective of this study was to assess the consumption rate, packaging, storage system and duration of cassava products. Cassava products assessed include </w:t>
      </w:r>
      <w:proofErr w:type="spellStart"/>
      <w:r w:rsidR="002C5901" w:rsidRPr="002E20DD">
        <w:rPr>
          <w:i/>
          <w:sz w:val="20"/>
          <w:szCs w:val="20"/>
        </w:rPr>
        <w:t>gari</w:t>
      </w:r>
      <w:proofErr w:type="spellEnd"/>
      <w:r w:rsidR="002C5901" w:rsidRPr="002E20DD">
        <w:rPr>
          <w:i/>
          <w:sz w:val="20"/>
          <w:szCs w:val="20"/>
        </w:rPr>
        <w:t xml:space="preserve">, </w:t>
      </w:r>
      <w:proofErr w:type="spellStart"/>
      <w:r w:rsidR="002C5901" w:rsidRPr="002E20DD">
        <w:rPr>
          <w:i/>
          <w:sz w:val="20"/>
          <w:szCs w:val="20"/>
        </w:rPr>
        <w:t>fufu</w:t>
      </w:r>
      <w:proofErr w:type="spellEnd"/>
      <w:r w:rsidR="002C5901" w:rsidRPr="002E20DD">
        <w:rPr>
          <w:i/>
          <w:sz w:val="20"/>
          <w:szCs w:val="20"/>
        </w:rPr>
        <w:t xml:space="preserve">, </w:t>
      </w:r>
      <w:proofErr w:type="spellStart"/>
      <w:r w:rsidR="002C5901" w:rsidRPr="002E20DD">
        <w:rPr>
          <w:i/>
          <w:sz w:val="20"/>
          <w:szCs w:val="20"/>
        </w:rPr>
        <w:t>lafun</w:t>
      </w:r>
      <w:proofErr w:type="spellEnd"/>
      <w:r w:rsidR="002C5901" w:rsidRPr="002E20DD">
        <w:rPr>
          <w:i/>
          <w:sz w:val="20"/>
          <w:szCs w:val="20"/>
        </w:rPr>
        <w:t>,</w:t>
      </w:r>
      <w:r w:rsidR="002C5901" w:rsidRPr="002E20DD">
        <w:rPr>
          <w:sz w:val="20"/>
          <w:szCs w:val="20"/>
        </w:rPr>
        <w:t xml:space="preserve"> starch, flour and chips. A case study of Ibadan south-west local government in Oyo state, Nigeria was selected for the study due to availability of people of the major tribes in Nigeria; the local government has 40 km</w:t>
      </w:r>
      <w:r w:rsidR="002C5901" w:rsidRPr="002E20DD">
        <w:rPr>
          <w:sz w:val="20"/>
          <w:szCs w:val="20"/>
          <w:vertAlign w:val="superscript"/>
        </w:rPr>
        <w:t>2</w:t>
      </w:r>
      <w:r w:rsidR="002C5901" w:rsidRPr="002E20DD">
        <w:rPr>
          <w:sz w:val="20"/>
          <w:szCs w:val="20"/>
        </w:rPr>
        <w:t xml:space="preserve"> area and population of 282,585. Data was collected for this study with the aid of well-structured questionnaire and personal interviews were also granted. Simple random techniques were used to select seventy five respondents from the study area and descriptive statistical tool was used to analyze the data obtained. The result showed that the most consumed product in the area is </w:t>
      </w:r>
      <w:proofErr w:type="spellStart"/>
      <w:r w:rsidR="002C5901" w:rsidRPr="002E20DD">
        <w:rPr>
          <w:i/>
          <w:sz w:val="20"/>
          <w:szCs w:val="20"/>
        </w:rPr>
        <w:t>fufu</w:t>
      </w:r>
      <w:proofErr w:type="spellEnd"/>
      <w:r w:rsidR="002C5901" w:rsidRPr="002E20DD">
        <w:rPr>
          <w:sz w:val="20"/>
          <w:szCs w:val="20"/>
        </w:rPr>
        <w:t xml:space="preserve"> with the highest cumulative (33%) followed by </w:t>
      </w:r>
      <w:proofErr w:type="spellStart"/>
      <w:r w:rsidR="002C5901" w:rsidRPr="002E20DD">
        <w:rPr>
          <w:i/>
          <w:sz w:val="20"/>
          <w:szCs w:val="20"/>
        </w:rPr>
        <w:t>gari</w:t>
      </w:r>
      <w:proofErr w:type="spellEnd"/>
      <w:r w:rsidR="002C5901" w:rsidRPr="002E20DD">
        <w:rPr>
          <w:i/>
          <w:sz w:val="20"/>
          <w:szCs w:val="20"/>
        </w:rPr>
        <w:t xml:space="preserve"> </w:t>
      </w:r>
      <w:r w:rsidR="002C5901" w:rsidRPr="002E20DD">
        <w:rPr>
          <w:sz w:val="20"/>
          <w:szCs w:val="20"/>
        </w:rPr>
        <w:t xml:space="preserve">with cumulative percentage of 24%. Cassava products are consumed daily in most households in this local government area most especially </w:t>
      </w:r>
      <w:proofErr w:type="spellStart"/>
      <w:r w:rsidR="002C5901" w:rsidRPr="002E20DD">
        <w:rPr>
          <w:i/>
          <w:sz w:val="20"/>
          <w:szCs w:val="20"/>
        </w:rPr>
        <w:t>gari</w:t>
      </w:r>
      <w:proofErr w:type="spellEnd"/>
      <w:r w:rsidR="002C5901" w:rsidRPr="002E20DD">
        <w:rPr>
          <w:sz w:val="20"/>
          <w:szCs w:val="20"/>
        </w:rPr>
        <w:t xml:space="preserve">. The packaging material mostly used for these products is nylon and </w:t>
      </w:r>
      <w:proofErr w:type="spellStart"/>
      <w:r w:rsidR="002C5901" w:rsidRPr="002E20DD">
        <w:rPr>
          <w:i/>
          <w:sz w:val="20"/>
          <w:szCs w:val="20"/>
        </w:rPr>
        <w:t>gari</w:t>
      </w:r>
      <w:proofErr w:type="spellEnd"/>
      <w:r w:rsidR="002C5901" w:rsidRPr="002E20DD">
        <w:rPr>
          <w:sz w:val="20"/>
          <w:szCs w:val="20"/>
        </w:rPr>
        <w:t xml:space="preserve"> was found to have the highest shelf life of about six month in well drained store. The study shows that many dwellers in Ibadan south-west local government depends on cassava products for their survival</w:t>
      </w:r>
      <w:r w:rsidRPr="002E20DD">
        <w:rPr>
          <w:sz w:val="20"/>
          <w:szCs w:val="20"/>
        </w:rPr>
        <w:t>.</w:t>
      </w:r>
      <w:bookmarkEnd w:id="0"/>
      <w:bookmarkEnd w:id="1"/>
    </w:p>
    <w:p w:rsidR="003541F7" w:rsidRPr="002E20DD" w:rsidRDefault="001618E1" w:rsidP="00EA2C42">
      <w:pPr>
        <w:snapToGrid w:val="0"/>
        <w:jc w:val="both"/>
        <w:rPr>
          <w:sz w:val="20"/>
          <w:szCs w:val="20"/>
        </w:rPr>
      </w:pPr>
      <w:r w:rsidRPr="002E20DD">
        <w:rPr>
          <w:sz w:val="20"/>
          <w:szCs w:val="20"/>
        </w:rPr>
        <w:t>[</w:t>
      </w:r>
      <w:proofErr w:type="spellStart"/>
      <w:r w:rsidR="004D6265" w:rsidRPr="002E20DD">
        <w:rPr>
          <w:sz w:val="20"/>
          <w:szCs w:val="20"/>
        </w:rPr>
        <w:t>Makinde</w:t>
      </w:r>
      <w:proofErr w:type="spellEnd"/>
      <w:r w:rsidR="004D6265" w:rsidRPr="002E20DD">
        <w:rPr>
          <w:sz w:val="20"/>
          <w:szCs w:val="20"/>
        </w:rPr>
        <w:t xml:space="preserve">, O. O., </w:t>
      </w:r>
      <w:proofErr w:type="spellStart"/>
      <w:r w:rsidR="004D6265" w:rsidRPr="002E20DD">
        <w:rPr>
          <w:sz w:val="20"/>
          <w:szCs w:val="20"/>
        </w:rPr>
        <w:t>Aegbokan</w:t>
      </w:r>
      <w:proofErr w:type="spellEnd"/>
      <w:r w:rsidR="004D6265" w:rsidRPr="002E20DD">
        <w:rPr>
          <w:sz w:val="20"/>
          <w:szCs w:val="20"/>
        </w:rPr>
        <w:t xml:space="preserve">, O. B., </w:t>
      </w:r>
      <w:proofErr w:type="spellStart"/>
      <w:r w:rsidR="004D6265" w:rsidRPr="002E20DD">
        <w:rPr>
          <w:sz w:val="20"/>
          <w:szCs w:val="20"/>
        </w:rPr>
        <w:t>Fadele</w:t>
      </w:r>
      <w:proofErr w:type="spellEnd"/>
      <w:r w:rsidR="004D6265" w:rsidRPr="002E20DD">
        <w:rPr>
          <w:sz w:val="20"/>
          <w:szCs w:val="20"/>
        </w:rPr>
        <w:t xml:space="preserve">, N. T., </w:t>
      </w:r>
      <w:proofErr w:type="spellStart"/>
      <w:r w:rsidR="004D6265" w:rsidRPr="002E20DD">
        <w:rPr>
          <w:sz w:val="20"/>
          <w:szCs w:val="20"/>
        </w:rPr>
        <w:t>Akinola</w:t>
      </w:r>
      <w:proofErr w:type="spellEnd"/>
      <w:r w:rsidR="004D6265" w:rsidRPr="002E20DD">
        <w:rPr>
          <w:sz w:val="20"/>
          <w:szCs w:val="20"/>
        </w:rPr>
        <w:t xml:space="preserve">, O. J., </w:t>
      </w:r>
      <w:proofErr w:type="spellStart"/>
      <w:r w:rsidR="004D6265" w:rsidRPr="002E20DD">
        <w:rPr>
          <w:sz w:val="20"/>
          <w:szCs w:val="20"/>
        </w:rPr>
        <w:t>Aremu</w:t>
      </w:r>
      <w:proofErr w:type="spellEnd"/>
      <w:r w:rsidR="004D6265" w:rsidRPr="002E20DD">
        <w:rPr>
          <w:sz w:val="20"/>
          <w:szCs w:val="20"/>
        </w:rPr>
        <w:t>, D. O.</w:t>
      </w:r>
      <w:r w:rsidRPr="002E20DD">
        <w:rPr>
          <w:sz w:val="20"/>
          <w:szCs w:val="20"/>
        </w:rPr>
        <w:t xml:space="preserve"> </w:t>
      </w:r>
      <w:r w:rsidR="004D6265" w:rsidRPr="002E20DD">
        <w:rPr>
          <w:b/>
          <w:sz w:val="20"/>
          <w:szCs w:val="20"/>
        </w:rPr>
        <w:t>Assessment of Consumption Rate, Packaging and Storage System of Cassava Products in Ibadan South-West Local Government, Oyo State, Nigeria</w:t>
      </w:r>
      <w:r w:rsidR="003541F7" w:rsidRPr="002E20DD">
        <w:rPr>
          <w:rFonts w:eastAsia="Times New Roman"/>
          <w:b/>
          <w:bCs/>
          <w:sz w:val="20"/>
          <w:szCs w:val="20"/>
          <w:lang w:bidi="fa-IR"/>
        </w:rPr>
        <w:t>.</w:t>
      </w:r>
      <w:r w:rsidR="003541F7" w:rsidRPr="002E20DD">
        <w:rPr>
          <w:bCs/>
          <w:i/>
          <w:sz w:val="20"/>
          <w:szCs w:val="20"/>
        </w:rPr>
        <w:t xml:space="preserve"> N Y </w:t>
      </w:r>
      <w:proofErr w:type="spellStart"/>
      <w:r w:rsidR="003541F7" w:rsidRPr="002E20DD">
        <w:rPr>
          <w:bCs/>
          <w:i/>
          <w:sz w:val="20"/>
          <w:szCs w:val="20"/>
        </w:rPr>
        <w:t>Sci</w:t>
      </w:r>
      <w:proofErr w:type="spellEnd"/>
      <w:r w:rsidR="003541F7" w:rsidRPr="002E20DD">
        <w:rPr>
          <w:bCs/>
          <w:i/>
          <w:sz w:val="20"/>
          <w:szCs w:val="20"/>
        </w:rPr>
        <w:t xml:space="preserve"> J</w:t>
      </w:r>
      <w:r w:rsidR="003541F7" w:rsidRPr="002E20DD">
        <w:rPr>
          <w:bCs/>
          <w:sz w:val="20"/>
          <w:szCs w:val="20"/>
        </w:rPr>
        <w:t xml:space="preserve"> </w:t>
      </w:r>
      <w:r w:rsidR="003541F7" w:rsidRPr="002E20DD">
        <w:rPr>
          <w:sz w:val="20"/>
          <w:szCs w:val="20"/>
        </w:rPr>
        <w:t>201</w:t>
      </w:r>
      <w:r w:rsidR="003541F7" w:rsidRPr="002E20DD">
        <w:rPr>
          <w:rFonts w:hint="eastAsia"/>
          <w:sz w:val="20"/>
          <w:szCs w:val="20"/>
        </w:rPr>
        <w:t>6</w:t>
      </w:r>
      <w:proofErr w:type="gramStart"/>
      <w:r w:rsidR="003541F7" w:rsidRPr="002E20DD">
        <w:rPr>
          <w:sz w:val="20"/>
          <w:szCs w:val="20"/>
        </w:rPr>
        <w:t>;</w:t>
      </w:r>
      <w:r w:rsidR="003541F7" w:rsidRPr="002E20DD">
        <w:rPr>
          <w:rFonts w:hint="eastAsia"/>
          <w:sz w:val="20"/>
          <w:szCs w:val="20"/>
        </w:rPr>
        <w:t>9</w:t>
      </w:r>
      <w:proofErr w:type="gramEnd"/>
      <w:r w:rsidR="003541F7" w:rsidRPr="002E20DD">
        <w:rPr>
          <w:sz w:val="20"/>
          <w:szCs w:val="20"/>
        </w:rPr>
        <w:t>(</w:t>
      </w:r>
      <w:r w:rsidR="003541F7" w:rsidRPr="002E20DD">
        <w:rPr>
          <w:rFonts w:hint="eastAsia"/>
          <w:sz w:val="20"/>
          <w:szCs w:val="20"/>
        </w:rPr>
        <w:t>12</w:t>
      </w:r>
      <w:r w:rsidR="003541F7" w:rsidRPr="002E20DD">
        <w:rPr>
          <w:sz w:val="20"/>
          <w:szCs w:val="20"/>
        </w:rPr>
        <w:t>):</w:t>
      </w:r>
      <w:r w:rsidR="000669D7" w:rsidRPr="002E20DD">
        <w:rPr>
          <w:noProof/>
          <w:color w:val="000000"/>
          <w:sz w:val="20"/>
          <w:szCs w:val="20"/>
        </w:rPr>
        <w:t>81</w:t>
      </w:r>
      <w:r w:rsidR="003541F7" w:rsidRPr="002E20DD">
        <w:rPr>
          <w:color w:val="000000"/>
          <w:sz w:val="20"/>
          <w:szCs w:val="20"/>
        </w:rPr>
        <w:t>-</w:t>
      </w:r>
      <w:r w:rsidR="000669D7" w:rsidRPr="002E20DD">
        <w:rPr>
          <w:noProof/>
          <w:color w:val="000000"/>
          <w:sz w:val="20"/>
          <w:szCs w:val="20"/>
        </w:rPr>
        <w:t>84</w:t>
      </w:r>
      <w:r w:rsidR="003541F7" w:rsidRPr="002E20DD">
        <w:rPr>
          <w:sz w:val="20"/>
          <w:szCs w:val="20"/>
        </w:rPr>
        <w:t xml:space="preserve">]. </w:t>
      </w:r>
      <w:proofErr w:type="gramStart"/>
      <w:r w:rsidR="003541F7" w:rsidRPr="002E20DD">
        <w:rPr>
          <w:iCs/>
          <w:color w:val="000000"/>
          <w:sz w:val="20"/>
          <w:szCs w:val="20"/>
        </w:rPr>
        <w:t>ISSN 1554-0200 (print); ISSN 2375-723X (online)</w:t>
      </w:r>
      <w:r w:rsidR="003541F7" w:rsidRPr="002E20DD">
        <w:rPr>
          <w:sz w:val="20"/>
          <w:szCs w:val="20"/>
        </w:rPr>
        <w:t>.</w:t>
      </w:r>
      <w:proofErr w:type="gramEnd"/>
      <w:r w:rsidR="003541F7" w:rsidRPr="002E20DD">
        <w:rPr>
          <w:sz w:val="20"/>
          <w:szCs w:val="20"/>
        </w:rPr>
        <w:t xml:space="preserve"> </w:t>
      </w:r>
      <w:hyperlink r:id="rId7" w:history="1">
        <w:r w:rsidR="003541F7" w:rsidRPr="002E20DD">
          <w:rPr>
            <w:rStyle w:val="Hyperlink"/>
            <w:sz w:val="20"/>
            <w:szCs w:val="20"/>
          </w:rPr>
          <w:t>http://www.sciencepub.net/newyork</w:t>
        </w:r>
      </w:hyperlink>
      <w:r w:rsidR="003541F7" w:rsidRPr="002E20DD">
        <w:rPr>
          <w:sz w:val="20"/>
          <w:szCs w:val="20"/>
        </w:rPr>
        <w:t xml:space="preserve">. </w:t>
      </w:r>
      <w:r w:rsidR="00EA2C42" w:rsidRPr="002E20DD">
        <w:rPr>
          <w:rFonts w:eastAsiaTheme="minorEastAsia" w:hint="eastAsia"/>
          <w:sz w:val="20"/>
          <w:szCs w:val="20"/>
          <w:lang w:eastAsia="zh-CN"/>
        </w:rPr>
        <w:t>14</w:t>
      </w:r>
      <w:r w:rsidR="003541F7" w:rsidRPr="002E20DD">
        <w:rPr>
          <w:rFonts w:hint="eastAsia"/>
          <w:sz w:val="20"/>
          <w:szCs w:val="20"/>
        </w:rPr>
        <w:t xml:space="preserve">. </w:t>
      </w:r>
      <w:proofErr w:type="gramStart"/>
      <w:r w:rsidR="003541F7" w:rsidRPr="002E20DD">
        <w:rPr>
          <w:color w:val="000000"/>
          <w:sz w:val="20"/>
          <w:szCs w:val="20"/>
          <w:shd w:val="clear" w:color="auto" w:fill="FFFFFF"/>
        </w:rPr>
        <w:t>doi</w:t>
      </w:r>
      <w:proofErr w:type="gramEnd"/>
      <w:r w:rsidR="003541F7" w:rsidRPr="002E20DD">
        <w:rPr>
          <w:color w:val="000000"/>
          <w:sz w:val="20"/>
          <w:szCs w:val="20"/>
          <w:shd w:val="clear" w:color="auto" w:fill="FFFFFF"/>
        </w:rPr>
        <w:t>:</w:t>
      </w:r>
      <w:hyperlink r:id="rId8" w:history="1">
        <w:r w:rsidR="003541F7" w:rsidRPr="002E20DD">
          <w:rPr>
            <w:rStyle w:val="Hyperlink"/>
            <w:sz w:val="20"/>
            <w:szCs w:val="20"/>
            <w:shd w:val="clear" w:color="auto" w:fill="FFFFFF"/>
          </w:rPr>
          <w:t>10.7537/mars</w:t>
        </w:r>
        <w:r w:rsidR="003541F7" w:rsidRPr="002E20DD">
          <w:rPr>
            <w:rStyle w:val="Hyperlink"/>
            <w:rFonts w:hint="eastAsia"/>
            <w:sz w:val="20"/>
            <w:szCs w:val="20"/>
            <w:shd w:val="clear" w:color="auto" w:fill="FFFFFF"/>
          </w:rPr>
          <w:t>nys0912</w:t>
        </w:r>
        <w:r w:rsidR="003541F7" w:rsidRPr="002E20DD">
          <w:rPr>
            <w:rStyle w:val="Hyperlink"/>
            <w:sz w:val="20"/>
            <w:szCs w:val="20"/>
            <w:shd w:val="clear" w:color="auto" w:fill="FFFFFF"/>
          </w:rPr>
          <w:t>1</w:t>
        </w:r>
        <w:r w:rsidR="003541F7" w:rsidRPr="002E20DD">
          <w:rPr>
            <w:rStyle w:val="Hyperlink"/>
            <w:rFonts w:hint="eastAsia"/>
            <w:sz w:val="20"/>
            <w:szCs w:val="20"/>
            <w:shd w:val="clear" w:color="auto" w:fill="FFFFFF"/>
          </w:rPr>
          <w:t>6.</w:t>
        </w:r>
        <w:r w:rsidR="00EA2C42" w:rsidRPr="002E20DD">
          <w:rPr>
            <w:rStyle w:val="Hyperlink"/>
            <w:rFonts w:eastAsiaTheme="minorEastAsia" w:hint="eastAsia"/>
            <w:sz w:val="20"/>
            <w:szCs w:val="20"/>
            <w:shd w:val="clear" w:color="auto" w:fill="FFFFFF"/>
            <w:lang w:eastAsia="zh-CN"/>
          </w:rPr>
          <w:t>14</w:t>
        </w:r>
      </w:hyperlink>
      <w:r w:rsidR="003541F7" w:rsidRPr="002E20DD">
        <w:rPr>
          <w:color w:val="000000"/>
          <w:sz w:val="20"/>
          <w:szCs w:val="20"/>
          <w:shd w:val="clear" w:color="auto" w:fill="FFFFFF"/>
        </w:rPr>
        <w:t>.</w:t>
      </w:r>
    </w:p>
    <w:p w:rsidR="001618E1" w:rsidRPr="002E20DD" w:rsidRDefault="001618E1" w:rsidP="00EA2C42">
      <w:pPr>
        <w:tabs>
          <w:tab w:val="left" w:pos="7200"/>
        </w:tabs>
        <w:snapToGrid w:val="0"/>
        <w:jc w:val="both"/>
        <w:rPr>
          <w:sz w:val="20"/>
          <w:szCs w:val="20"/>
        </w:rPr>
      </w:pPr>
    </w:p>
    <w:p w:rsidR="001618E1" w:rsidRPr="002E20DD" w:rsidRDefault="001618E1" w:rsidP="00EA2C42">
      <w:pPr>
        <w:snapToGrid w:val="0"/>
        <w:jc w:val="both"/>
        <w:rPr>
          <w:sz w:val="20"/>
          <w:szCs w:val="20"/>
        </w:rPr>
      </w:pPr>
      <w:r w:rsidRPr="002E20DD">
        <w:rPr>
          <w:b/>
          <w:sz w:val="20"/>
          <w:szCs w:val="20"/>
        </w:rPr>
        <w:t xml:space="preserve">Keywords: </w:t>
      </w:r>
      <w:r w:rsidR="008D328E" w:rsidRPr="002E20DD">
        <w:rPr>
          <w:sz w:val="20"/>
          <w:szCs w:val="20"/>
        </w:rPr>
        <w:t>Cassava products; consumption rate; packaging; storage system and duration</w:t>
      </w:r>
    </w:p>
    <w:p w:rsidR="00EA2C42" w:rsidRPr="002E20DD" w:rsidRDefault="00EA2C42" w:rsidP="00EA2C42">
      <w:pPr>
        <w:snapToGrid w:val="0"/>
        <w:jc w:val="both"/>
        <w:rPr>
          <w:b/>
          <w:sz w:val="20"/>
          <w:szCs w:val="20"/>
        </w:rPr>
      </w:pPr>
    </w:p>
    <w:p w:rsidR="00EA2C42" w:rsidRPr="002E20DD" w:rsidRDefault="00EA2C42" w:rsidP="00EA2C42">
      <w:pPr>
        <w:snapToGrid w:val="0"/>
        <w:jc w:val="both"/>
        <w:rPr>
          <w:b/>
          <w:sz w:val="20"/>
          <w:szCs w:val="20"/>
        </w:rPr>
        <w:sectPr w:rsidR="00EA2C42" w:rsidRPr="002E20DD" w:rsidSect="000669D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1"/>
          <w:cols w:space="720"/>
          <w:docGrid w:linePitch="360"/>
        </w:sectPr>
      </w:pPr>
    </w:p>
    <w:p w:rsidR="001618E1" w:rsidRPr="002E20DD" w:rsidRDefault="001618E1" w:rsidP="00EA2C42">
      <w:pPr>
        <w:snapToGrid w:val="0"/>
        <w:jc w:val="both"/>
        <w:rPr>
          <w:b/>
          <w:sz w:val="20"/>
          <w:szCs w:val="20"/>
        </w:rPr>
      </w:pPr>
      <w:r w:rsidRPr="002E20DD">
        <w:rPr>
          <w:b/>
          <w:sz w:val="20"/>
          <w:szCs w:val="20"/>
        </w:rPr>
        <w:lastRenderedPageBreak/>
        <w:t>1. Introduction</w:t>
      </w:r>
    </w:p>
    <w:p w:rsidR="001807A5" w:rsidRPr="002E20DD" w:rsidRDefault="008D328E" w:rsidP="00EA2C42">
      <w:pPr>
        <w:snapToGrid w:val="0"/>
        <w:ind w:firstLine="425"/>
        <w:jc w:val="both"/>
        <w:rPr>
          <w:sz w:val="20"/>
          <w:szCs w:val="20"/>
        </w:rPr>
      </w:pPr>
      <w:r w:rsidRPr="002E20DD">
        <w:rPr>
          <w:rFonts w:eastAsia="Calibri"/>
          <w:sz w:val="20"/>
          <w:szCs w:val="20"/>
        </w:rPr>
        <w:t xml:space="preserve">Cassava </w:t>
      </w:r>
      <w:r w:rsidRPr="002E20DD">
        <w:rPr>
          <w:rFonts w:eastAsia="Calibri"/>
          <w:i/>
          <w:sz w:val="20"/>
          <w:szCs w:val="20"/>
        </w:rPr>
        <w:t>(</w:t>
      </w:r>
      <w:proofErr w:type="spellStart"/>
      <w:r w:rsidRPr="002E20DD">
        <w:rPr>
          <w:rFonts w:eastAsia="Calibri"/>
          <w:i/>
          <w:sz w:val="20"/>
          <w:szCs w:val="20"/>
        </w:rPr>
        <w:t>Manihot</w:t>
      </w:r>
      <w:proofErr w:type="spellEnd"/>
      <w:r w:rsidRPr="002E20DD">
        <w:rPr>
          <w:rFonts w:eastAsia="Calibri"/>
          <w:i/>
          <w:sz w:val="20"/>
          <w:szCs w:val="20"/>
        </w:rPr>
        <w:t xml:space="preserve"> </w:t>
      </w:r>
      <w:proofErr w:type="spellStart"/>
      <w:r w:rsidRPr="002E20DD">
        <w:rPr>
          <w:rFonts w:eastAsia="Calibri"/>
          <w:i/>
          <w:sz w:val="20"/>
          <w:szCs w:val="20"/>
        </w:rPr>
        <w:t>esculenta</w:t>
      </w:r>
      <w:proofErr w:type="spellEnd"/>
      <w:r w:rsidRPr="002E20DD">
        <w:rPr>
          <w:rFonts w:eastAsia="Calibri"/>
          <w:i/>
          <w:sz w:val="20"/>
          <w:szCs w:val="20"/>
        </w:rPr>
        <w:t>)</w:t>
      </w:r>
      <w:r w:rsidRPr="002E20DD">
        <w:rPr>
          <w:rFonts w:eastAsia="Calibri"/>
          <w:sz w:val="20"/>
          <w:szCs w:val="20"/>
        </w:rPr>
        <w:t xml:space="preserve"> is the third largest source of food carbohydrate in the tropics after rice and maize. It is a major staple food in the developing world, providing basic diet for over half a billion people, it is one of the most drought-tolerant crops, capable of growing on marginal soil. It is classified as sweet or bitter; farmers often prefer the bitter variety because they deter pest, animal and thieves. Bitter and sweet varieties of cassava contain anti-nutritional factors and toxins. Improper preparation of cassava can leave enough residual cyanide to cause acute cyanide intoxication and goiters, and may ever cause ataxia or partial paralysis</w:t>
      </w:r>
      <w:r w:rsidR="001807A5" w:rsidRPr="002E20DD">
        <w:rPr>
          <w:rFonts w:eastAsia="Calibri"/>
          <w:sz w:val="20"/>
          <w:szCs w:val="20"/>
        </w:rPr>
        <w:t xml:space="preserve"> (</w:t>
      </w:r>
      <w:proofErr w:type="spellStart"/>
      <w:r w:rsidR="001807A5" w:rsidRPr="002E20DD">
        <w:rPr>
          <w:sz w:val="20"/>
          <w:szCs w:val="20"/>
        </w:rPr>
        <w:t>Aregheore</w:t>
      </w:r>
      <w:proofErr w:type="spellEnd"/>
      <w:r w:rsidR="001807A5" w:rsidRPr="002E20DD">
        <w:rPr>
          <w:sz w:val="20"/>
          <w:szCs w:val="20"/>
        </w:rPr>
        <w:t xml:space="preserve"> and </w:t>
      </w:r>
      <w:proofErr w:type="spellStart"/>
      <w:r w:rsidR="001807A5" w:rsidRPr="002E20DD">
        <w:rPr>
          <w:sz w:val="20"/>
          <w:szCs w:val="20"/>
        </w:rPr>
        <w:t>Agunbiade</w:t>
      </w:r>
      <w:proofErr w:type="spellEnd"/>
      <w:r w:rsidR="001807A5" w:rsidRPr="002E20DD">
        <w:rPr>
          <w:sz w:val="20"/>
          <w:szCs w:val="20"/>
        </w:rPr>
        <w:t>, 1991).</w:t>
      </w:r>
    </w:p>
    <w:p w:rsidR="008D328E" w:rsidRPr="002E20DD" w:rsidRDefault="008D328E" w:rsidP="00EA2C42">
      <w:pPr>
        <w:snapToGrid w:val="0"/>
        <w:ind w:firstLine="425"/>
        <w:jc w:val="both"/>
        <w:rPr>
          <w:rFonts w:eastAsia="Calibri"/>
          <w:sz w:val="20"/>
          <w:szCs w:val="20"/>
        </w:rPr>
      </w:pPr>
      <w:r w:rsidRPr="002E20DD">
        <w:rPr>
          <w:rFonts w:eastAsia="Calibri"/>
          <w:sz w:val="20"/>
          <w:szCs w:val="20"/>
        </w:rPr>
        <w:t>World production of cassava root was estimated to be 184 million tons in 2002, rising to 230 million tons in 2008; majority of production in 2002 was in Africa where 99.1million tons were grown; 51.5 million tons grown in Asia and 33.2 million tons in Latin America and the Caribbean. Nigeria is the largest producer of cassava in the world. Its production is currently about 34 million metric tons/year</w:t>
      </w:r>
      <w:r w:rsidR="00152865" w:rsidRPr="002E20DD">
        <w:rPr>
          <w:rFonts w:eastAsia="Calibri"/>
          <w:sz w:val="20"/>
          <w:szCs w:val="20"/>
        </w:rPr>
        <w:t xml:space="preserve"> (Asante-</w:t>
      </w:r>
      <w:proofErr w:type="spellStart"/>
      <w:r w:rsidR="00152865" w:rsidRPr="002E20DD">
        <w:rPr>
          <w:rFonts w:eastAsia="Calibri"/>
          <w:sz w:val="20"/>
          <w:szCs w:val="20"/>
        </w:rPr>
        <w:t>Pok</w:t>
      </w:r>
      <w:proofErr w:type="spellEnd"/>
      <w:r w:rsidR="00152865" w:rsidRPr="002E20DD">
        <w:rPr>
          <w:rFonts w:eastAsia="Calibri"/>
          <w:sz w:val="20"/>
          <w:szCs w:val="20"/>
        </w:rPr>
        <w:t>, 2013)</w:t>
      </w:r>
      <w:r w:rsidRPr="002E20DD">
        <w:rPr>
          <w:rFonts w:eastAsia="Calibri"/>
          <w:sz w:val="20"/>
          <w:szCs w:val="20"/>
        </w:rPr>
        <w:t>. Total area harvested of the crop in 2001 was 3.125 million ha with an average yield of 10.83 tons per ha</w:t>
      </w:r>
      <w:r w:rsidR="006C7A4D" w:rsidRPr="002E20DD">
        <w:rPr>
          <w:rFonts w:eastAsia="Calibri"/>
          <w:sz w:val="20"/>
          <w:szCs w:val="20"/>
        </w:rPr>
        <w:t xml:space="preserve"> (</w:t>
      </w:r>
      <w:proofErr w:type="spellStart"/>
      <w:r w:rsidR="006C7A4D" w:rsidRPr="002E20DD">
        <w:rPr>
          <w:rFonts w:eastAsia="Calibri"/>
          <w:sz w:val="20"/>
          <w:szCs w:val="20"/>
        </w:rPr>
        <w:t>Adekanye</w:t>
      </w:r>
      <w:proofErr w:type="spellEnd"/>
      <w:r w:rsidR="006C7A4D" w:rsidRPr="002E20DD">
        <w:rPr>
          <w:rFonts w:eastAsia="Calibri"/>
          <w:sz w:val="20"/>
          <w:szCs w:val="20"/>
        </w:rPr>
        <w:t xml:space="preserve"> et al. 2013)</w:t>
      </w:r>
      <w:r w:rsidRPr="002E20DD">
        <w:rPr>
          <w:rFonts w:eastAsia="Calibri"/>
          <w:sz w:val="20"/>
          <w:szCs w:val="20"/>
        </w:rPr>
        <w:t>.</w:t>
      </w:r>
    </w:p>
    <w:p w:rsidR="008D328E" w:rsidRPr="002E20DD" w:rsidRDefault="008D328E" w:rsidP="00EA2C42">
      <w:pPr>
        <w:snapToGrid w:val="0"/>
        <w:ind w:firstLine="425"/>
        <w:jc w:val="both"/>
        <w:rPr>
          <w:rFonts w:eastAsia="Calibri"/>
          <w:sz w:val="20"/>
          <w:szCs w:val="20"/>
        </w:rPr>
      </w:pPr>
      <w:r w:rsidRPr="002E20DD">
        <w:rPr>
          <w:rFonts w:eastAsia="Calibri"/>
          <w:sz w:val="20"/>
          <w:szCs w:val="20"/>
        </w:rPr>
        <w:t xml:space="preserve">Presently, cassava is primarily processed locally for food especially in the form of </w:t>
      </w:r>
      <w:proofErr w:type="spellStart"/>
      <w:r w:rsidRPr="002E20DD">
        <w:rPr>
          <w:rFonts w:eastAsia="Calibri"/>
          <w:i/>
          <w:sz w:val="20"/>
          <w:szCs w:val="20"/>
        </w:rPr>
        <w:t>gari</w:t>
      </w:r>
      <w:proofErr w:type="spellEnd"/>
      <w:r w:rsidRPr="002E20DD">
        <w:rPr>
          <w:rFonts w:eastAsia="Calibri"/>
          <w:i/>
          <w:sz w:val="20"/>
          <w:szCs w:val="20"/>
        </w:rPr>
        <w:t xml:space="preserve">, </w:t>
      </w:r>
      <w:proofErr w:type="spellStart"/>
      <w:r w:rsidRPr="002E20DD">
        <w:rPr>
          <w:rFonts w:eastAsia="Calibri"/>
          <w:i/>
          <w:sz w:val="20"/>
          <w:szCs w:val="20"/>
        </w:rPr>
        <w:t>lafun</w:t>
      </w:r>
      <w:proofErr w:type="spellEnd"/>
      <w:r w:rsidRPr="002E20DD">
        <w:rPr>
          <w:rFonts w:eastAsia="Calibri"/>
          <w:sz w:val="20"/>
          <w:szCs w:val="20"/>
        </w:rPr>
        <w:t xml:space="preserve"> and </w:t>
      </w:r>
      <w:proofErr w:type="spellStart"/>
      <w:r w:rsidRPr="002E20DD">
        <w:rPr>
          <w:rFonts w:eastAsia="Calibri"/>
          <w:i/>
          <w:sz w:val="20"/>
          <w:szCs w:val="20"/>
        </w:rPr>
        <w:t>fufu</w:t>
      </w:r>
      <w:proofErr w:type="spellEnd"/>
      <w:r w:rsidRPr="002E20DD">
        <w:rPr>
          <w:rFonts w:eastAsia="Calibri"/>
          <w:sz w:val="20"/>
          <w:szCs w:val="20"/>
        </w:rPr>
        <w:t xml:space="preserve"> </w:t>
      </w:r>
      <w:r w:rsidRPr="002E20DD">
        <w:rPr>
          <w:rFonts w:eastAsia="Calibri"/>
          <w:sz w:val="20"/>
          <w:szCs w:val="20"/>
        </w:rPr>
        <w:lastRenderedPageBreak/>
        <w:t xml:space="preserve">with little or no use in the agribusiness sector as an industrial raw material. But the crop can be processed into several secondary products include chips, pellets, flour, adhesives, alcohol, and starch, which are vital raw materials in the livestock feeds, alcohol/ethanol, textile, confectionary, food and soft drinks industries; they are also tradable in the international market. No continent depends as much on root and tuber crops in feeding its population as does Africa. Cassava food products are the most important staples of rural and urban households in Nigeria </w:t>
      </w:r>
      <w:r w:rsidR="00AB0151" w:rsidRPr="002E20DD">
        <w:rPr>
          <w:rFonts w:eastAsia="Calibri"/>
          <w:sz w:val="20"/>
          <w:szCs w:val="20"/>
        </w:rPr>
        <w:t>(</w:t>
      </w:r>
      <w:proofErr w:type="spellStart"/>
      <w:r w:rsidR="00B907C2" w:rsidRPr="002E20DD">
        <w:rPr>
          <w:rFonts w:eastAsia="Calibri"/>
          <w:sz w:val="20"/>
          <w:szCs w:val="20"/>
        </w:rPr>
        <w:t>Mattos</w:t>
      </w:r>
      <w:proofErr w:type="spellEnd"/>
      <w:r w:rsidR="00B907C2" w:rsidRPr="002E20DD">
        <w:rPr>
          <w:rFonts w:eastAsia="Calibri"/>
          <w:sz w:val="20"/>
          <w:szCs w:val="20"/>
        </w:rPr>
        <w:t xml:space="preserve">, 1996; </w:t>
      </w:r>
      <w:proofErr w:type="spellStart"/>
      <w:r w:rsidR="00AB0151" w:rsidRPr="002E20DD">
        <w:rPr>
          <w:rFonts w:eastAsia="Calibri"/>
          <w:sz w:val="20"/>
          <w:szCs w:val="20"/>
        </w:rPr>
        <w:t>Awoyemi</w:t>
      </w:r>
      <w:proofErr w:type="spellEnd"/>
      <w:r w:rsidR="00AB0151" w:rsidRPr="002E20DD">
        <w:rPr>
          <w:rFonts w:eastAsia="Calibri"/>
          <w:sz w:val="20"/>
          <w:szCs w:val="20"/>
        </w:rPr>
        <w:t xml:space="preserve">, and </w:t>
      </w:r>
      <w:proofErr w:type="spellStart"/>
      <w:r w:rsidR="00AB0151" w:rsidRPr="002E20DD">
        <w:rPr>
          <w:rFonts w:eastAsia="Calibri"/>
          <w:sz w:val="20"/>
          <w:szCs w:val="20"/>
        </w:rPr>
        <w:t>Amao</w:t>
      </w:r>
      <w:proofErr w:type="spellEnd"/>
      <w:r w:rsidR="00AB0151" w:rsidRPr="002E20DD">
        <w:rPr>
          <w:rFonts w:eastAsia="Calibri"/>
          <w:sz w:val="20"/>
          <w:szCs w:val="20"/>
        </w:rPr>
        <w:t xml:space="preserve">, 2012) </w:t>
      </w:r>
      <w:r w:rsidRPr="002E20DD">
        <w:rPr>
          <w:rFonts w:eastAsia="Calibri"/>
          <w:sz w:val="20"/>
          <w:szCs w:val="20"/>
        </w:rPr>
        <w:t>which as a result made the price of cassava rise significantly in the last half decade, and lower income people have turned to other carbohydrate reach foods such as rice.</w:t>
      </w:r>
    </w:p>
    <w:p w:rsidR="001618E1" w:rsidRPr="002E20DD" w:rsidRDefault="008D328E" w:rsidP="00EA2C42">
      <w:pPr>
        <w:snapToGrid w:val="0"/>
        <w:ind w:firstLine="425"/>
        <w:jc w:val="both"/>
        <w:rPr>
          <w:rFonts w:eastAsiaTheme="minorEastAsia"/>
          <w:sz w:val="20"/>
          <w:szCs w:val="20"/>
          <w:lang w:eastAsia="zh-CN"/>
        </w:rPr>
      </w:pPr>
      <w:r w:rsidRPr="002E20DD">
        <w:rPr>
          <w:rFonts w:eastAsia="Calibri"/>
          <w:sz w:val="20"/>
          <w:szCs w:val="20"/>
        </w:rPr>
        <w:t>Cassava plays an important role in agriculture in developing countries especially in sub Saharan Africa because it does well on poor soils and with low rainfall and it is also a perennial crop that can be harvested as required. Its wild harvesting allows it to act as a famine reserve and is available in managing labor schedules. It offers flexibility to resource poor farmer because it serves as either subsistence or cash crop. The crop contains nearly the maximum theoretical concentration of starch on a dry weight basis among food crops.</w:t>
      </w:r>
      <w:r w:rsidR="00BE2E48" w:rsidRPr="002E20DD">
        <w:rPr>
          <w:rFonts w:eastAsia="Calibri"/>
          <w:sz w:val="20"/>
          <w:szCs w:val="20"/>
        </w:rPr>
        <w:t xml:space="preserve"> </w:t>
      </w:r>
      <w:r w:rsidRPr="002E20DD">
        <w:rPr>
          <w:rFonts w:eastAsia="Calibri"/>
          <w:sz w:val="20"/>
          <w:szCs w:val="20"/>
        </w:rPr>
        <w:t>Fresh roots contain about 30% starch a major source of carbohydrate and very little protein</w:t>
      </w:r>
      <w:r w:rsidR="004A309F" w:rsidRPr="002E20DD">
        <w:rPr>
          <w:rFonts w:eastAsia="Calibri"/>
          <w:sz w:val="20"/>
          <w:szCs w:val="20"/>
        </w:rPr>
        <w:t xml:space="preserve"> (O’Hair, 1990</w:t>
      </w:r>
      <w:r w:rsidR="00C4649A" w:rsidRPr="002E20DD">
        <w:rPr>
          <w:rFonts w:eastAsia="Calibri"/>
          <w:sz w:val="20"/>
          <w:szCs w:val="20"/>
        </w:rPr>
        <w:t xml:space="preserve">; </w:t>
      </w:r>
      <w:proofErr w:type="spellStart"/>
      <w:r w:rsidR="00C4649A" w:rsidRPr="002E20DD">
        <w:rPr>
          <w:rFonts w:eastAsia="Calibri"/>
          <w:sz w:val="20"/>
          <w:szCs w:val="20"/>
        </w:rPr>
        <w:t>Oboh</w:t>
      </w:r>
      <w:proofErr w:type="spellEnd"/>
      <w:r w:rsidR="00C4649A" w:rsidRPr="002E20DD">
        <w:rPr>
          <w:rFonts w:eastAsia="Calibri"/>
          <w:sz w:val="20"/>
          <w:szCs w:val="20"/>
        </w:rPr>
        <w:t xml:space="preserve"> and </w:t>
      </w:r>
      <w:proofErr w:type="spellStart"/>
      <w:r w:rsidR="00C4649A" w:rsidRPr="002E20DD">
        <w:rPr>
          <w:rFonts w:eastAsia="Calibri"/>
          <w:sz w:val="20"/>
          <w:szCs w:val="20"/>
        </w:rPr>
        <w:t>Oladunmoye</w:t>
      </w:r>
      <w:proofErr w:type="spellEnd"/>
      <w:r w:rsidR="00C4649A" w:rsidRPr="002E20DD">
        <w:rPr>
          <w:rFonts w:eastAsia="Calibri"/>
          <w:sz w:val="20"/>
          <w:szCs w:val="20"/>
        </w:rPr>
        <w:t xml:space="preserve">, </w:t>
      </w:r>
      <w:r w:rsidR="00C4649A" w:rsidRPr="002E20DD">
        <w:rPr>
          <w:rFonts w:eastAsia="Calibri"/>
          <w:sz w:val="20"/>
          <w:szCs w:val="20"/>
        </w:rPr>
        <w:lastRenderedPageBreak/>
        <w:t>2007)</w:t>
      </w:r>
      <w:r w:rsidRPr="002E20DD">
        <w:rPr>
          <w:rFonts w:eastAsia="Calibri"/>
          <w:sz w:val="20"/>
          <w:szCs w:val="20"/>
        </w:rPr>
        <w:t xml:space="preserve">. It can be processed into several products of industrial market value and by-product such as </w:t>
      </w:r>
      <w:proofErr w:type="spellStart"/>
      <w:r w:rsidRPr="002E20DD">
        <w:rPr>
          <w:rFonts w:eastAsia="Calibri"/>
          <w:i/>
          <w:sz w:val="20"/>
          <w:szCs w:val="20"/>
        </w:rPr>
        <w:t>gari</w:t>
      </w:r>
      <w:proofErr w:type="spellEnd"/>
      <w:r w:rsidRPr="002E20DD">
        <w:rPr>
          <w:rFonts w:eastAsia="Calibri"/>
          <w:i/>
          <w:sz w:val="20"/>
          <w:szCs w:val="20"/>
        </w:rPr>
        <w:t xml:space="preserve">, </w:t>
      </w:r>
      <w:proofErr w:type="spellStart"/>
      <w:r w:rsidRPr="002E20DD">
        <w:rPr>
          <w:rFonts w:eastAsia="Calibri"/>
          <w:i/>
          <w:sz w:val="20"/>
          <w:szCs w:val="20"/>
        </w:rPr>
        <w:t>fufu</w:t>
      </w:r>
      <w:proofErr w:type="spellEnd"/>
      <w:r w:rsidRPr="002E20DD">
        <w:rPr>
          <w:rFonts w:eastAsia="Calibri"/>
          <w:i/>
          <w:sz w:val="20"/>
          <w:szCs w:val="20"/>
        </w:rPr>
        <w:t xml:space="preserve">, </w:t>
      </w:r>
      <w:proofErr w:type="spellStart"/>
      <w:r w:rsidRPr="002E20DD">
        <w:rPr>
          <w:rFonts w:eastAsia="Calibri"/>
          <w:i/>
          <w:sz w:val="20"/>
          <w:szCs w:val="20"/>
        </w:rPr>
        <w:t>lafun</w:t>
      </w:r>
      <w:proofErr w:type="spellEnd"/>
      <w:r w:rsidRPr="002E20DD">
        <w:rPr>
          <w:rFonts w:eastAsia="Calibri"/>
          <w:sz w:val="20"/>
          <w:szCs w:val="20"/>
        </w:rPr>
        <w:t xml:space="preserve">, starch, flour, chips, tapioca and so on. The roots can be peeled, boiled, packed or fried like potato. It is not recommended to eat cassava uncooked, because of potentially toxic concentrations of </w:t>
      </w:r>
      <w:proofErr w:type="spellStart"/>
      <w:r w:rsidRPr="002E20DD">
        <w:rPr>
          <w:rFonts w:eastAsia="Calibri"/>
          <w:sz w:val="20"/>
          <w:szCs w:val="20"/>
        </w:rPr>
        <w:t>cyanogenic</w:t>
      </w:r>
      <w:proofErr w:type="spellEnd"/>
      <w:r w:rsidRPr="002E20DD">
        <w:rPr>
          <w:rFonts w:eastAsia="Calibri"/>
          <w:sz w:val="20"/>
          <w:szCs w:val="20"/>
        </w:rPr>
        <w:t xml:space="preserve"> </w:t>
      </w:r>
      <w:proofErr w:type="spellStart"/>
      <w:r w:rsidRPr="002E20DD">
        <w:rPr>
          <w:rFonts w:eastAsia="Calibri"/>
          <w:sz w:val="20"/>
          <w:szCs w:val="20"/>
        </w:rPr>
        <w:t>glucoside</w:t>
      </w:r>
      <w:proofErr w:type="spellEnd"/>
      <w:r w:rsidRPr="002E20DD">
        <w:rPr>
          <w:rFonts w:eastAsia="Calibri"/>
          <w:sz w:val="20"/>
          <w:szCs w:val="20"/>
        </w:rPr>
        <w:t xml:space="preserve"> that are reduced to innocuous levels by processing</w:t>
      </w:r>
      <w:r w:rsidR="009870C2" w:rsidRPr="002E20DD">
        <w:rPr>
          <w:rFonts w:eastAsia="Calibri"/>
          <w:sz w:val="20"/>
          <w:szCs w:val="20"/>
        </w:rPr>
        <w:t xml:space="preserve"> (</w:t>
      </w:r>
      <w:proofErr w:type="spellStart"/>
      <w:r w:rsidR="009870C2" w:rsidRPr="002E20DD">
        <w:rPr>
          <w:rFonts w:eastAsia="Calibri"/>
          <w:sz w:val="20"/>
          <w:szCs w:val="20"/>
        </w:rPr>
        <w:t>Olumide</w:t>
      </w:r>
      <w:proofErr w:type="spellEnd"/>
      <w:r w:rsidR="009870C2" w:rsidRPr="002E20DD">
        <w:rPr>
          <w:rFonts w:eastAsia="Calibri"/>
          <w:sz w:val="20"/>
          <w:szCs w:val="20"/>
        </w:rPr>
        <w:t>, 2004)</w:t>
      </w:r>
      <w:r w:rsidRPr="002E20DD">
        <w:rPr>
          <w:rFonts w:eastAsia="Calibri"/>
          <w:sz w:val="20"/>
          <w:szCs w:val="20"/>
        </w:rPr>
        <w:t>.</w:t>
      </w:r>
      <w:r w:rsidR="00BE2E48" w:rsidRPr="002E20DD">
        <w:rPr>
          <w:rFonts w:eastAsia="Calibri"/>
          <w:sz w:val="20"/>
          <w:szCs w:val="20"/>
        </w:rPr>
        <w:t xml:space="preserve"> </w:t>
      </w:r>
      <w:r w:rsidRPr="002E20DD">
        <w:rPr>
          <w:rFonts w:eastAsia="Calibri"/>
          <w:sz w:val="20"/>
          <w:szCs w:val="20"/>
        </w:rPr>
        <w:t xml:space="preserve">The young tender leaves can be used to prepare </w:t>
      </w:r>
      <w:proofErr w:type="spellStart"/>
      <w:r w:rsidRPr="002E20DD">
        <w:rPr>
          <w:rFonts w:eastAsia="Calibri"/>
          <w:i/>
          <w:sz w:val="20"/>
          <w:szCs w:val="20"/>
        </w:rPr>
        <w:t>egusi</w:t>
      </w:r>
      <w:proofErr w:type="spellEnd"/>
      <w:r w:rsidRPr="002E20DD">
        <w:rPr>
          <w:rFonts w:eastAsia="Calibri"/>
          <w:sz w:val="20"/>
          <w:szCs w:val="20"/>
        </w:rPr>
        <w:t xml:space="preserve"> soup containing high level of protein (8-10%). Moreover, the shelf life of these products mainly depends on the type of packaging and storage system used for their preservation.</w:t>
      </w:r>
      <w:r w:rsidR="00BE2E48" w:rsidRPr="002E20DD">
        <w:rPr>
          <w:rFonts w:eastAsia="Calibri"/>
          <w:sz w:val="20"/>
          <w:szCs w:val="20"/>
        </w:rPr>
        <w:t xml:space="preserve"> </w:t>
      </w:r>
      <w:r w:rsidRPr="002E20DD">
        <w:rPr>
          <w:rFonts w:eastAsia="Calibri"/>
          <w:sz w:val="20"/>
          <w:szCs w:val="20"/>
        </w:rPr>
        <w:t>This aim of this research work was to access the types of cassava products commonly consumed in Ibadan South-West Local Government area and the packaging and storage structure used to increase their shelf life.</w:t>
      </w:r>
    </w:p>
    <w:p w:rsidR="00EA2C42" w:rsidRPr="002E20DD" w:rsidRDefault="00EA2C42" w:rsidP="00EA2C42">
      <w:pPr>
        <w:snapToGrid w:val="0"/>
        <w:jc w:val="both"/>
        <w:rPr>
          <w:rFonts w:eastAsiaTheme="minorEastAsia"/>
          <w:sz w:val="20"/>
          <w:szCs w:val="20"/>
          <w:lang w:eastAsia="zh-CN"/>
        </w:rPr>
      </w:pPr>
    </w:p>
    <w:p w:rsidR="001618E1" w:rsidRPr="002E20DD" w:rsidRDefault="001618E1" w:rsidP="00EA2C42">
      <w:pPr>
        <w:snapToGrid w:val="0"/>
        <w:jc w:val="both"/>
        <w:rPr>
          <w:b/>
          <w:sz w:val="20"/>
          <w:szCs w:val="20"/>
        </w:rPr>
      </w:pPr>
      <w:r w:rsidRPr="002E20DD">
        <w:rPr>
          <w:b/>
          <w:sz w:val="20"/>
          <w:szCs w:val="20"/>
        </w:rPr>
        <w:t>2. Material and Methods</w:t>
      </w:r>
    </w:p>
    <w:p w:rsidR="00BE2E48" w:rsidRDefault="00E94A85" w:rsidP="00EA2C42">
      <w:pPr>
        <w:snapToGrid w:val="0"/>
        <w:ind w:firstLine="425"/>
        <w:jc w:val="both"/>
        <w:rPr>
          <w:rFonts w:eastAsiaTheme="minorEastAsia" w:hint="eastAsia"/>
          <w:sz w:val="20"/>
          <w:szCs w:val="20"/>
          <w:lang w:eastAsia="zh-CN"/>
        </w:rPr>
      </w:pPr>
      <w:r w:rsidRPr="002E20DD">
        <w:rPr>
          <w:sz w:val="20"/>
          <w:szCs w:val="20"/>
        </w:rPr>
        <w:t>An assessment of consumption rate of cassava products was carried out within Ibadan South-West Local Government. The approach of this study involved personal interview and survey with the use of questionnaires, after which descriptive statistic reflected the respondents’ percentage and frequency of occurrenc</w:t>
      </w:r>
      <w:r w:rsidR="00BE2E48" w:rsidRPr="002E20DD">
        <w:rPr>
          <w:sz w:val="20"/>
          <w:szCs w:val="20"/>
        </w:rPr>
        <w:t>e.</w:t>
      </w:r>
    </w:p>
    <w:p w:rsidR="002E20DD" w:rsidRPr="002E20DD" w:rsidRDefault="002E20DD" w:rsidP="00EA2C42">
      <w:pPr>
        <w:snapToGrid w:val="0"/>
        <w:ind w:firstLine="425"/>
        <w:jc w:val="both"/>
        <w:rPr>
          <w:rFonts w:eastAsiaTheme="minorEastAsia" w:hint="eastAsia"/>
          <w:sz w:val="20"/>
          <w:szCs w:val="20"/>
          <w:lang w:eastAsia="zh-CN"/>
        </w:rPr>
      </w:pPr>
    </w:p>
    <w:p w:rsidR="002E20DD" w:rsidRDefault="00E94A85" w:rsidP="00EA2C42">
      <w:pPr>
        <w:snapToGrid w:val="0"/>
        <w:jc w:val="both"/>
        <w:rPr>
          <w:rFonts w:eastAsiaTheme="minorEastAsia" w:hint="eastAsia"/>
          <w:b/>
          <w:sz w:val="20"/>
          <w:szCs w:val="20"/>
          <w:lang w:eastAsia="zh-CN"/>
        </w:rPr>
      </w:pPr>
      <w:r w:rsidRPr="002E20DD">
        <w:rPr>
          <w:b/>
          <w:sz w:val="20"/>
          <w:szCs w:val="20"/>
        </w:rPr>
        <w:t xml:space="preserve">Sampling: </w:t>
      </w:r>
    </w:p>
    <w:p w:rsidR="00E94A85" w:rsidRPr="002E20DD" w:rsidRDefault="00E94A85" w:rsidP="002E20DD">
      <w:pPr>
        <w:snapToGrid w:val="0"/>
        <w:ind w:firstLine="720"/>
        <w:jc w:val="both"/>
        <w:rPr>
          <w:sz w:val="20"/>
          <w:szCs w:val="20"/>
        </w:rPr>
      </w:pPr>
      <w:r w:rsidRPr="002E20DD">
        <w:rPr>
          <w:sz w:val="20"/>
          <w:szCs w:val="20"/>
        </w:rPr>
        <w:t>Research was carried out on the consumption rate of some cassava products (</w:t>
      </w:r>
      <w:proofErr w:type="spellStart"/>
      <w:r w:rsidRPr="002E20DD">
        <w:rPr>
          <w:i/>
          <w:sz w:val="20"/>
          <w:szCs w:val="20"/>
        </w:rPr>
        <w:t>gari</w:t>
      </w:r>
      <w:proofErr w:type="spellEnd"/>
      <w:r w:rsidRPr="002E20DD">
        <w:rPr>
          <w:i/>
          <w:sz w:val="20"/>
          <w:szCs w:val="20"/>
        </w:rPr>
        <w:t xml:space="preserve">, </w:t>
      </w:r>
      <w:proofErr w:type="spellStart"/>
      <w:r w:rsidRPr="002E20DD">
        <w:rPr>
          <w:i/>
          <w:sz w:val="20"/>
          <w:szCs w:val="20"/>
        </w:rPr>
        <w:t>fufu</w:t>
      </w:r>
      <w:proofErr w:type="spellEnd"/>
      <w:r w:rsidRPr="002E20DD">
        <w:rPr>
          <w:i/>
          <w:sz w:val="20"/>
          <w:szCs w:val="20"/>
        </w:rPr>
        <w:t xml:space="preserve">, </w:t>
      </w:r>
      <w:proofErr w:type="spellStart"/>
      <w:r w:rsidRPr="002E20DD">
        <w:rPr>
          <w:i/>
          <w:sz w:val="20"/>
          <w:szCs w:val="20"/>
        </w:rPr>
        <w:t>lafun</w:t>
      </w:r>
      <w:proofErr w:type="spellEnd"/>
      <w:r w:rsidRPr="002E20DD">
        <w:rPr>
          <w:sz w:val="20"/>
          <w:szCs w:val="20"/>
        </w:rPr>
        <w:t>, starch, flour, and chips) and the suitable packaging and storage system used for the preservation of the products. 75 well-structured questionnaires were administered in the study area by consumers and processors of cassava moreover; personal interview was conducted to ensure that the information gathered were true representation of what should be obtained; reluctant respondents were persuaded with extensive explanation on the research work. The equal amounts of questionnaire were administered within the three major ethnic groups in Nigeria (Yoruba, Igbo and Hausa) all within Ibadan South-West local Government.</w:t>
      </w:r>
    </w:p>
    <w:p w:rsidR="002E20DD" w:rsidRDefault="002E20DD" w:rsidP="00EA2C42">
      <w:pPr>
        <w:snapToGrid w:val="0"/>
        <w:jc w:val="both"/>
        <w:rPr>
          <w:rFonts w:eastAsiaTheme="minorEastAsia" w:hint="eastAsia"/>
          <w:b/>
          <w:sz w:val="20"/>
          <w:szCs w:val="20"/>
          <w:lang w:eastAsia="zh-CN"/>
        </w:rPr>
      </w:pPr>
    </w:p>
    <w:p w:rsidR="002E20DD" w:rsidRDefault="00E94A85" w:rsidP="00EA2C42">
      <w:pPr>
        <w:snapToGrid w:val="0"/>
        <w:jc w:val="both"/>
        <w:rPr>
          <w:rFonts w:eastAsiaTheme="minorEastAsia" w:hint="eastAsia"/>
          <w:b/>
          <w:sz w:val="20"/>
          <w:szCs w:val="20"/>
          <w:lang w:eastAsia="zh-CN"/>
        </w:rPr>
      </w:pPr>
      <w:r w:rsidRPr="002E20DD">
        <w:rPr>
          <w:b/>
          <w:sz w:val="20"/>
          <w:szCs w:val="20"/>
        </w:rPr>
        <w:t xml:space="preserve">Measurement of Variable: </w:t>
      </w:r>
    </w:p>
    <w:p w:rsidR="00BE2E48" w:rsidRPr="002E20DD" w:rsidRDefault="002E20DD" w:rsidP="002E20DD">
      <w:pPr>
        <w:snapToGrid w:val="0"/>
        <w:ind w:firstLine="720"/>
        <w:jc w:val="both"/>
        <w:rPr>
          <w:sz w:val="20"/>
          <w:szCs w:val="20"/>
        </w:rPr>
      </w:pPr>
      <w:r w:rsidRPr="002E20DD">
        <w:rPr>
          <w:rFonts w:eastAsiaTheme="minorEastAsia" w:hint="eastAsia"/>
          <w:sz w:val="20"/>
          <w:szCs w:val="20"/>
          <w:lang w:eastAsia="zh-CN"/>
        </w:rPr>
        <w:t>D</w:t>
      </w:r>
      <w:r w:rsidR="00E94A85" w:rsidRPr="002E20DD">
        <w:rPr>
          <w:sz w:val="20"/>
          <w:szCs w:val="20"/>
        </w:rPr>
        <w:t xml:space="preserve">emographic characteristics of respondent; sex (measured and marked as; male or female), education (marked as; no formal education, primary, secondary or tertiary education); consumption Rate (measured based on level of preference as; not at all, preferred, more preferred and most preferred), frequency of consumption of cassava product (measured as daily, weekly, monthly, and yearly or No- response) for each cassava product, consumers choice of cassava product (measured based on reasons for consumption of the products and level of likeness </w:t>
      </w:r>
      <w:r w:rsidR="00E94A85" w:rsidRPr="002E20DD">
        <w:rPr>
          <w:sz w:val="20"/>
          <w:szCs w:val="20"/>
        </w:rPr>
        <w:lastRenderedPageBreak/>
        <w:t>using parameters like likeness, addicted, refreshment, situation, for clothing and No-response), packaging materials (nylon, sack, container or polythene bag); storage system (refrigerator, basket, platform, drained store); performance of storage system (good, better or best) and durability of storage system (1-3 days, 4-6 days, 1 week, 1-4 month, 6 months and No-response</w:t>
      </w:r>
      <w:r w:rsidR="00BE2E48" w:rsidRPr="002E20DD">
        <w:rPr>
          <w:sz w:val="20"/>
          <w:szCs w:val="20"/>
        </w:rPr>
        <w:t>).</w:t>
      </w:r>
    </w:p>
    <w:p w:rsidR="002E20DD" w:rsidRDefault="002E20DD" w:rsidP="00EA2C42">
      <w:pPr>
        <w:snapToGrid w:val="0"/>
        <w:jc w:val="both"/>
        <w:rPr>
          <w:rFonts w:eastAsiaTheme="minorEastAsia" w:hint="eastAsia"/>
          <w:b/>
          <w:sz w:val="20"/>
          <w:szCs w:val="20"/>
          <w:lang w:eastAsia="zh-CN"/>
        </w:rPr>
      </w:pPr>
    </w:p>
    <w:p w:rsidR="002E20DD" w:rsidRDefault="00E94A85" w:rsidP="00EA2C42">
      <w:pPr>
        <w:snapToGrid w:val="0"/>
        <w:jc w:val="both"/>
        <w:rPr>
          <w:rFonts w:eastAsiaTheme="minorEastAsia" w:hint="eastAsia"/>
          <w:b/>
          <w:sz w:val="20"/>
          <w:szCs w:val="20"/>
          <w:lang w:eastAsia="zh-CN"/>
        </w:rPr>
      </w:pPr>
      <w:r w:rsidRPr="002E20DD">
        <w:rPr>
          <w:b/>
          <w:sz w:val="20"/>
          <w:szCs w:val="20"/>
        </w:rPr>
        <w:t xml:space="preserve">Study Area: </w:t>
      </w:r>
    </w:p>
    <w:p w:rsidR="00E94A85" w:rsidRDefault="00E94A85" w:rsidP="002E20DD">
      <w:pPr>
        <w:snapToGrid w:val="0"/>
        <w:ind w:firstLine="720"/>
        <w:jc w:val="both"/>
        <w:rPr>
          <w:rFonts w:eastAsiaTheme="minorEastAsia" w:hint="eastAsia"/>
          <w:sz w:val="20"/>
          <w:szCs w:val="20"/>
          <w:lang w:eastAsia="zh-CN"/>
        </w:rPr>
      </w:pPr>
      <w:r w:rsidRPr="002E20DD">
        <w:rPr>
          <w:sz w:val="20"/>
          <w:szCs w:val="20"/>
        </w:rPr>
        <w:t>Ibadan South-West local government area in Oyo State, Nigeria was selected for this study; this is as a result of people of the major tribes living peacefully together in this area. The local government has an area of 40 km</w:t>
      </w:r>
      <w:r w:rsidRPr="002E20DD">
        <w:rPr>
          <w:sz w:val="20"/>
          <w:szCs w:val="20"/>
          <w:vertAlign w:val="superscript"/>
        </w:rPr>
        <w:t>2</w:t>
      </w:r>
      <w:r w:rsidRPr="002E20DD">
        <w:rPr>
          <w:sz w:val="20"/>
          <w:szCs w:val="20"/>
        </w:rPr>
        <w:t xml:space="preserve"> and a population of 282,585 at the 2006 census. There are twelve wards in the Local Government area.</w:t>
      </w:r>
    </w:p>
    <w:p w:rsidR="002E20DD" w:rsidRPr="002E20DD" w:rsidRDefault="002E20DD" w:rsidP="002E20DD">
      <w:pPr>
        <w:snapToGrid w:val="0"/>
        <w:ind w:firstLine="720"/>
        <w:jc w:val="both"/>
        <w:rPr>
          <w:rFonts w:eastAsiaTheme="minorEastAsia" w:hint="eastAsia"/>
          <w:sz w:val="20"/>
          <w:szCs w:val="20"/>
          <w:lang w:eastAsia="zh-CN"/>
        </w:rPr>
      </w:pPr>
    </w:p>
    <w:p w:rsidR="002E20DD" w:rsidRDefault="00E94A85" w:rsidP="00EA2C42">
      <w:pPr>
        <w:snapToGrid w:val="0"/>
        <w:jc w:val="both"/>
        <w:rPr>
          <w:rFonts w:eastAsiaTheme="minorEastAsia" w:hint="eastAsia"/>
          <w:b/>
          <w:sz w:val="20"/>
          <w:szCs w:val="20"/>
          <w:lang w:eastAsia="zh-CN"/>
        </w:rPr>
      </w:pPr>
      <w:r w:rsidRPr="002E20DD">
        <w:rPr>
          <w:b/>
          <w:sz w:val="20"/>
          <w:szCs w:val="20"/>
        </w:rPr>
        <w:t xml:space="preserve">Data Analysis and Evaluation: </w:t>
      </w:r>
    </w:p>
    <w:p w:rsidR="001618E1" w:rsidRPr="002E20DD" w:rsidRDefault="00E94A85" w:rsidP="002E20DD">
      <w:pPr>
        <w:snapToGrid w:val="0"/>
        <w:ind w:firstLine="720"/>
        <w:jc w:val="both"/>
        <w:rPr>
          <w:rFonts w:eastAsiaTheme="minorEastAsia"/>
          <w:sz w:val="20"/>
          <w:szCs w:val="20"/>
          <w:lang w:eastAsia="zh-CN"/>
        </w:rPr>
      </w:pPr>
      <w:r w:rsidRPr="002E20DD">
        <w:rPr>
          <w:sz w:val="20"/>
          <w:szCs w:val="20"/>
        </w:rPr>
        <w:t>Frequency distribution, percentage and descriptive statistics were used to evaluate the data obtained with Software Statistical Package for Social Science (SPSS), Version 17.</w:t>
      </w:r>
    </w:p>
    <w:p w:rsidR="00EA2C42" w:rsidRPr="002E20DD" w:rsidRDefault="00EA2C42" w:rsidP="00EA2C42">
      <w:pPr>
        <w:snapToGrid w:val="0"/>
        <w:jc w:val="both"/>
        <w:rPr>
          <w:rFonts w:eastAsiaTheme="minorEastAsia"/>
          <w:sz w:val="20"/>
          <w:szCs w:val="20"/>
          <w:lang w:eastAsia="zh-CN"/>
        </w:rPr>
      </w:pPr>
    </w:p>
    <w:p w:rsidR="001618E1" w:rsidRPr="002E20DD" w:rsidRDefault="001618E1" w:rsidP="00EA2C42">
      <w:pPr>
        <w:snapToGrid w:val="0"/>
        <w:jc w:val="both"/>
        <w:rPr>
          <w:b/>
          <w:sz w:val="20"/>
          <w:szCs w:val="20"/>
        </w:rPr>
      </w:pPr>
      <w:r w:rsidRPr="002E20DD">
        <w:rPr>
          <w:b/>
          <w:sz w:val="20"/>
          <w:szCs w:val="20"/>
        </w:rPr>
        <w:t>3. Results</w:t>
      </w:r>
    </w:p>
    <w:p w:rsidR="00543939" w:rsidRPr="002E20DD" w:rsidRDefault="00543939" w:rsidP="00EA2C42">
      <w:pPr>
        <w:snapToGrid w:val="0"/>
        <w:ind w:firstLine="425"/>
        <w:jc w:val="both"/>
        <w:rPr>
          <w:sz w:val="20"/>
          <w:szCs w:val="20"/>
        </w:rPr>
      </w:pPr>
      <w:r w:rsidRPr="002E20DD">
        <w:rPr>
          <w:sz w:val="20"/>
          <w:szCs w:val="20"/>
        </w:rPr>
        <w:t xml:space="preserve">A survey of the rate of cassava consumption was carried out in Ibadan South-West Local Government of Oyo State. The major cassava products consumed in this Local Government include; </w:t>
      </w:r>
      <w:proofErr w:type="spellStart"/>
      <w:r w:rsidRPr="002E20DD">
        <w:rPr>
          <w:i/>
          <w:sz w:val="20"/>
          <w:szCs w:val="20"/>
        </w:rPr>
        <w:t>gari</w:t>
      </w:r>
      <w:proofErr w:type="spellEnd"/>
      <w:r w:rsidRPr="002E20DD">
        <w:rPr>
          <w:i/>
          <w:sz w:val="20"/>
          <w:szCs w:val="20"/>
        </w:rPr>
        <w:t xml:space="preserve">, </w:t>
      </w:r>
      <w:proofErr w:type="spellStart"/>
      <w:r w:rsidRPr="002E20DD">
        <w:rPr>
          <w:i/>
          <w:sz w:val="20"/>
          <w:szCs w:val="20"/>
        </w:rPr>
        <w:t>fufu</w:t>
      </w:r>
      <w:proofErr w:type="spellEnd"/>
      <w:r w:rsidRPr="002E20DD">
        <w:rPr>
          <w:i/>
          <w:sz w:val="20"/>
          <w:szCs w:val="20"/>
        </w:rPr>
        <w:t xml:space="preserve">, </w:t>
      </w:r>
      <w:proofErr w:type="spellStart"/>
      <w:r w:rsidRPr="002E20DD">
        <w:rPr>
          <w:i/>
          <w:sz w:val="20"/>
          <w:szCs w:val="20"/>
        </w:rPr>
        <w:t>lafun</w:t>
      </w:r>
      <w:proofErr w:type="spellEnd"/>
      <w:r w:rsidRPr="002E20DD">
        <w:rPr>
          <w:sz w:val="20"/>
          <w:szCs w:val="20"/>
        </w:rPr>
        <w:t>, starch, flour, chips.</w:t>
      </w:r>
    </w:p>
    <w:p w:rsidR="00543939" w:rsidRPr="002E20DD" w:rsidRDefault="00543939" w:rsidP="00EA2C42">
      <w:pPr>
        <w:snapToGrid w:val="0"/>
        <w:ind w:firstLine="425"/>
        <w:jc w:val="both"/>
        <w:rPr>
          <w:sz w:val="20"/>
          <w:szCs w:val="20"/>
        </w:rPr>
      </w:pPr>
      <w:r w:rsidRPr="002E20DD">
        <w:rPr>
          <w:sz w:val="20"/>
          <w:szCs w:val="20"/>
        </w:rPr>
        <w:t>The following observations were made from the study;</w:t>
      </w:r>
    </w:p>
    <w:p w:rsidR="002E20DD" w:rsidRDefault="002E20DD" w:rsidP="00EA2C42">
      <w:pPr>
        <w:snapToGrid w:val="0"/>
        <w:jc w:val="both"/>
        <w:rPr>
          <w:rFonts w:eastAsiaTheme="minorEastAsia" w:hint="eastAsia"/>
          <w:b/>
          <w:sz w:val="20"/>
          <w:szCs w:val="20"/>
          <w:lang w:eastAsia="zh-CN"/>
        </w:rPr>
      </w:pPr>
    </w:p>
    <w:p w:rsidR="002E20DD" w:rsidRDefault="00543939" w:rsidP="00EA2C42">
      <w:pPr>
        <w:snapToGrid w:val="0"/>
        <w:jc w:val="both"/>
        <w:rPr>
          <w:rFonts w:eastAsiaTheme="minorEastAsia" w:hint="eastAsia"/>
          <w:b/>
          <w:sz w:val="20"/>
          <w:szCs w:val="20"/>
          <w:lang w:eastAsia="zh-CN"/>
        </w:rPr>
      </w:pPr>
      <w:r w:rsidRPr="002E20DD">
        <w:rPr>
          <w:b/>
          <w:sz w:val="20"/>
          <w:szCs w:val="20"/>
        </w:rPr>
        <w:t xml:space="preserve">Demographic Characteristics of Respondent </w:t>
      </w:r>
    </w:p>
    <w:p w:rsidR="00543939" w:rsidRDefault="00543939" w:rsidP="002E20DD">
      <w:pPr>
        <w:snapToGrid w:val="0"/>
        <w:ind w:firstLine="720"/>
        <w:jc w:val="both"/>
        <w:rPr>
          <w:rFonts w:eastAsiaTheme="minorEastAsia" w:hint="eastAsia"/>
          <w:sz w:val="20"/>
          <w:szCs w:val="20"/>
          <w:lang w:eastAsia="zh-CN"/>
        </w:rPr>
      </w:pPr>
      <w:r w:rsidRPr="002E20DD">
        <w:rPr>
          <w:sz w:val="20"/>
          <w:szCs w:val="20"/>
        </w:rPr>
        <w:t>It was observed that higher percentage of the respondent are male (54.7%) while 45.3% are female also, higher percentage of respondents has secondary education.</w:t>
      </w:r>
    </w:p>
    <w:p w:rsidR="002E20DD" w:rsidRPr="002E20DD" w:rsidRDefault="002E20DD" w:rsidP="002E20DD">
      <w:pPr>
        <w:snapToGrid w:val="0"/>
        <w:ind w:firstLine="720"/>
        <w:jc w:val="both"/>
        <w:rPr>
          <w:rFonts w:eastAsiaTheme="minorEastAsia" w:hint="eastAsia"/>
          <w:sz w:val="20"/>
          <w:szCs w:val="20"/>
          <w:lang w:eastAsia="zh-CN"/>
        </w:rPr>
      </w:pPr>
    </w:p>
    <w:p w:rsidR="00EA2C42" w:rsidRPr="002E20DD" w:rsidRDefault="00543939" w:rsidP="00EA2C42">
      <w:pPr>
        <w:snapToGrid w:val="0"/>
        <w:jc w:val="both"/>
        <w:rPr>
          <w:rFonts w:eastAsiaTheme="minorEastAsia"/>
          <w:sz w:val="20"/>
          <w:szCs w:val="20"/>
          <w:lang w:eastAsia="zh-CN"/>
        </w:rPr>
      </w:pPr>
      <w:r w:rsidRPr="002E20DD">
        <w:rPr>
          <w:b/>
          <w:sz w:val="20"/>
          <w:szCs w:val="20"/>
        </w:rPr>
        <w:t xml:space="preserve">Consumption of Cassava Products: </w:t>
      </w:r>
    </w:p>
    <w:p w:rsidR="00695A87" w:rsidRPr="002E20DD" w:rsidRDefault="00695A87" w:rsidP="00EA2C42">
      <w:pPr>
        <w:snapToGrid w:val="0"/>
        <w:jc w:val="center"/>
        <w:rPr>
          <w:sz w:val="20"/>
          <w:szCs w:val="20"/>
        </w:rPr>
      </w:pPr>
      <w:r w:rsidRPr="002E20DD">
        <w:rPr>
          <w:noProof/>
          <w:sz w:val="20"/>
          <w:szCs w:val="20"/>
          <w:lang w:eastAsia="zh-CN"/>
        </w:rPr>
        <w:drawing>
          <wp:inline distT="0" distB="0" distL="0" distR="0">
            <wp:extent cx="3213100" cy="197739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3939" w:rsidRPr="002E20DD" w:rsidRDefault="00543939" w:rsidP="00EA2C42">
      <w:pPr>
        <w:snapToGrid w:val="0"/>
        <w:jc w:val="both"/>
        <w:rPr>
          <w:b/>
          <w:sz w:val="20"/>
          <w:szCs w:val="20"/>
        </w:rPr>
      </w:pPr>
      <w:r w:rsidRPr="002E20DD">
        <w:rPr>
          <w:b/>
          <w:sz w:val="20"/>
          <w:szCs w:val="20"/>
        </w:rPr>
        <w:t>Figure 1: Frequency of Consumption by Respondent</w:t>
      </w:r>
    </w:p>
    <w:p w:rsidR="00695A87" w:rsidRPr="002E20DD" w:rsidRDefault="00695A87" w:rsidP="00EA2C42">
      <w:pPr>
        <w:snapToGrid w:val="0"/>
        <w:jc w:val="both"/>
        <w:rPr>
          <w:rFonts w:eastAsiaTheme="minorEastAsia"/>
          <w:b/>
          <w:sz w:val="20"/>
          <w:szCs w:val="20"/>
          <w:lang w:eastAsia="zh-CN"/>
        </w:rPr>
      </w:pPr>
    </w:p>
    <w:p w:rsidR="00EA2C42" w:rsidRPr="002E20DD" w:rsidRDefault="00EA2C42" w:rsidP="002E20DD">
      <w:pPr>
        <w:snapToGrid w:val="0"/>
        <w:ind w:firstLine="720"/>
        <w:jc w:val="both"/>
        <w:rPr>
          <w:sz w:val="20"/>
          <w:szCs w:val="20"/>
        </w:rPr>
      </w:pPr>
      <w:r w:rsidRPr="002E20DD">
        <w:rPr>
          <w:sz w:val="20"/>
          <w:szCs w:val="20"/>
        </w:rPr>
        <w:lastRenderedPageBreak/>
        <w:t xml:space="preserve">Cassava products commonly consumed by dwellers in Ibadan South-West Local government include </w:t>
      </w:r>
      <w:proofErr w:type="spellStart"/>
      <w:r w:rsidRPr="002E20DD">
        <w:rPr>
          <w:i/>
          <w:sz w:val="20"/>
          <w:szCs w:val="20"/>
        </w:rPr>
        <w:t>gari</w:t>
      </w:r>
      <w:proofErr w:type="spellEnd"/>
      <w:r w:rsidRPr="002E20DD">
        <w:rPr>
          <w:i/>
          <w:sz w:val="20"/>
          <w:szCs w:val="20"/>
        </w:rPr>
        <w:t xml:space="preserve">, </w:t>
      </w:r>
      <w:proofErr w:type="spellStart"/>
      <w:r w:rsidRPr="002E20DD">
        <w:rPr>
          <w:i/>
          <w:sz w:val="20"/>
          <w:szCs w:val="20"/>
        </w:rPr>
        <w:t>fufu</w:t>
      </w:r>
      <w:proofErr w:type="spellEnd"/>
      <w:r w:rsidRPr="002E20DD">
        <w:rPr>
          <w:i/>
          <w:sz w:val="20"/>
          <w:szCs w:val="20"/>
        </w:rPr>
        <w:t xml:space="preserve">, </w:t>
      </w:r>
      <w:proofErr w:type="spellStart"/>
      <w:r w:rsidRPr="002E20DD">
        <w:rPr>
          <w:i/>
          <w:sz w:val="20"/>
          <w:szCs w:val="20"/>
        </w:rPr>
        <w:t>lafun</w:t>
      </w:r>
      <w:proofErr w:type="spellEnd"/>
      <w:r w:rsidRPr="002E20DD">
        <w:rPr>
          <w:i/>
          <w:sz w:val="20"/>
          <w:szCs w:val="20"/>
        </w:rPr>
        <w:t>,</w:t>
      </w:r>
      <w:r w:rsidRPr="002E20DD">
        <w:rPr>
          <w:sz w:val="20"/>
          <w:szCs w:val="20"/>
        </w:rPr>
        <w:t xml:space="preserve"> starch, flour and chips but in varying proportions. However it was observed that the most preferred cassava food product is </w:t>
      </w:r>
      <w:proofErr w:type="spellStart"/>
      <w:r w:rsidRPr="002E20DD">
        <w:rPr>
          <w:i/>
          <w:sz w:val="20"/>
          <w:szCs w:val="20"/>
        </w:rPr>
        <w:t>fufu</w:t>
      </w:r>
      <w:proofErr w:type="spellEnd"/>
      <w:r w:rsidRPr="002E20DD">
        <w:rPr>
          <w:sz w:val="20"/>
          <w:szCs w:val="20"/>
        </w:rPr>
        <w:t xml:space="preserve"> (a solid food made from roasting of soaked cassava tubers). The cumulative frequency of cassava food products consumed in Ibadan South-West Local Government is presented in Figure 1. It was obtained that cassava products (especially </w:t>
      </w:r>
      <w:proofErr w:type="spellStart"/>
      <w:r w:rsidRPr="002E20DD">
        <w:rPr>
          <w:i/>
          <w:sz w:val="20"/>
          <w:szCs w:val="20"/>
        </w:rPr>
        <w:t>gari</w:t>
      </w:r>
      <w:proofErr w:type="spellEnd"/>
      <w:r w:rsidRPr="002E20DD">
        <w:rPr>
          <w:sz w:val="20"/>
          <w:szCs w:val="20"/>
        </w:rPr>
        <w:t xml:space="preserve">) consumed daily in most homes in Ibadan South-West Local government however, some families consume some other products weekly, monthly, and yearly </w:t>
      </w:r>
      <w:r w:rsidRPr="002E20DD">
        <w:rPr>
          <w:sz w:val="20"/>
          <w:szCs w:val="20"/>
          <w:lang w:val="en-GB"/>
        </w:rPr>
        <w:t>(Figure 1)</w:t>
      </w:r>
      <w:r w:rsidRPr="002E20DD">
        <w:rPr>
          <w:sz w:val="20"/>
          <w:szCs w:val="20"/>
        </w:rPr>
        <w:t xml:space="preserve"> this findings </w:t>
      </w:r>
      <w:r w:rsidRPr="002E20DD">
        <w:rPr>
          <w:sz w:val="20"/>
          <w:szCs w:val="20"/>
        </w:rPr>
        <w:lastRenderedPageBreak/>
        <w:t xml:space="preserve">can be attributed to findings of </w:t>
      </w:r>
      <w:proofErr w:type="spellStart"/>
      <w:r w:rsidRPr="002E20DD">
        <w:rPr>
          <w:sz w:val="20"/>
          <w:szCs w:val="20"/>
        </w:rPr>
        <w:t>Onwueme</w:t>
      </w:r>
      <w:proofErr w:type="spellEnd"/>
      <w:r w:rsidRPr="002E20DD">
        <w:rPr>
          <w:sz w:val="20"/>
          <w:szCs w:val="20"/>
        </w:rPr>
        <w:t xml:space="preserve"> (1998) who reported that cassava contain carbohydrate and little content of protein which makes it product acceptable within the populace and similar trends were reported by </w:t>
      </w:r>
      <w:proofErr w:type="spellStart"/>
      <w:r w:rsidRPr="002E20DD">
        <w:rPr>
          <w:sz w:val="20"/>
          <w:szCs w:val="20"/>
        </w:rPr>
        <w:t>Onyemanwa</w:t>
      </w:r>
      <w:proofErr w:type="spellEnd"/>
      <w:r w:rsidRPr="002E20DD">
        <w:rPr>
          <w:sz w:val="20"/>
          <w:szCs w:val="20"/>
        </w:rPr>
        <w:t xml:space="preserve"> (2010); </w:t>
      </w:r>
      <w:proofErr w:type="spellStart"/>
      <w:r w:rsidRPr="002E20DD">
        <w:rPr>
          <w:sz w:val="20"/>
          <w:szCs w:val="20"/>
        </w:rPr>
        <w:t>Ogunniyi</w:t>
      </w:r>
      <w:proofErr w:type="spellEnd"/>
      <w:r w:rsidRPr="002E20DD">
        <w:rPr>
          <w:sz w:val="20"/>
          <w:szCs w:val="20"/>
        </w:rPr>
        <w:t xml:space="preserve"> (2011).</w:t>
      </w:r>
    </w:p>
    <w:p w:rsidR="002E20DD" w:rsidRDefault="002E20DD" w:rsidP="00EA2C42">
      <w:pPr>
        <w:snapToGrid w:val="0"/>
        <w:jc w:val="both"/>
        <w:rPr>
          <w:rFonts w:eastAsiaTheme="minorEastAsia" w:hint="eastAsia"/>
          <w:b/>
          <w:sz w:val="20"/>
          <w:szCs w:val="20"/>
          <w:lang w:eastAsia="zh-CN"/>
        </w:rPr>
      </w:pPr>
    </w:p>
    <w:p w:rsidR="002E20DD" w:rsidRDefault="00543939" w:rsidP="00EA2C42">
      <w:pPr>
        <w:snapToGrid w:val="0"/>
        <w:jc w:val="both"/>
        <w:rPr>
          <w:rFonts w:eastAsiaTheme="minorEastAsia" w:hint="eastAsia"/>
          <w:b/>
          <w:sz w:val="20"/>
          <w:szCs w:val="20"/>
          <w:lang w:eastAsia="zh-CN"/>
        </w:rPr>
      </w:pPr>
      <w:r w:rsidRPr="002E20DD">
        <w:rPr>
          <w:b/>
          <w:sz w:val="20"/>
          <w:szCs w:val="20"/>
        </w:rPr>
        <w:t xml:space="preserve">Consumer Choice of Cassava Products: </w:t>
      </w:r>
    </w:p>
    <w:p w:rsidR="00543939" w:rsidRPr="002E20DD" w:rsidRDefault="00543939" w:rsidP="002E20DD">
      <w:pPr>
        <w:snapToGrid w:val="0"/>
        <w:ind w:firstLine="720"/>
        <w:jc w:val="both"/>
        <w:rPr>
          <w:b/>
          <w:sz w:val="20"/>
          <w:szCs w:val="20"/>
        </w:rPr>
      </w:pPr>
      <w:r w:rsidRPr="002E20DD">
        <w:rPr>
          <w:sz w:val="20"/>
          <w:szCs w:val="20"/>
        </w:rPr>
        <w:t>Most respondents consume cassava product because of its high carbohydrate (energetic) content, this has made them to have more likeness for the products. Major reasons why respondents consume cassava products is represented in Table 1.</w:t>
      </w:r>
    </w:p>
    <w:p w:rsidR="00EA2C42" w:rsidRPr="002E20DD" w:rsidRDefault="00EA2C42" w:rsidP="00EA2C42">
      <w:pPr>
        <w:snapToGrid w:val="0"/>
        <w:jc w:val="center"/>
        <w:rPr>
          <w:b/>
          <w:sz w:val="20"/>
          <w:szCs w:val="20"/>
        </w:rPr>
        <w:sectPr w:rsidR="00EA2C42" w:rsidRPr="002E20DD" w:rsidSect="00EA2C4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EA2C42" w:rsidRPr="002E20DD" w:rsidRDefault="00EA2C42" w:rsidP="00EA2C42">
      <w:pPr>
        <w:snapToGrid w:val="0"/>
        <w:jc w:val="center"/>
        <w:rPr>
          <w:rFonts w:eastAsiaTheme="minorEastAsia"/>
          <w:b/>
          <w:sz w:val="20"/>
          <w:szCs w:val="20"/>
          <w:lang w:eastAsia="zh-CN"/>
        </w:rPr>
      </w:pPr>
    </w:p>
    <w:p w:rsidR="00543939" w:rsidRPr="002E20DD" w:rsidRDefault="00543939" w:rsidP="00EA2C42">
      <w:pPr>
        <w:snapToGrid w:val="0"/>
        <w:jc w:val="center"/>
        <w:rPr>
          <w:b/>
          <w:sz w:val="20"/>
          <w:szCs w:val="20"/>
        </w:rPr>
      </w:pPr>
      <w:r w:rsidRPr="002E20DD">
        <w:rPr>
          <w:b/>
          <w:sz w:val="20"/>
          <w:szCs w:val="20"/>
        </w:rPr>
        <w:t>Table 1: Consumer choice of Cassava Product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927"/>
        <w:gridCol w:w="927"/>
        <w:gridCol w:w="1067"/>
        <w:gridCol w:w="1134"/>
        <w:gridCol w:w="1015"/>
        <w:gridCol w:w="1065"/>
      </w:tblGrid>
      <w:tr w:rsidR="00E72573" w:rsidRPr="002E20DD" w:rsidTr="002E20DD">
        <w:trPr>
          <w:jc w:val="center"/>
        </w:trPr>
        <w:tc>
          <w:tcPr>
            <w:tcW w:w="1797" w:type="pct"/>
            <w:shd w:val="clear" w:color="auto" w:fill="auto"/>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Purpose of Consumption</w:t>
            </w:r>
          </w:p>
        </w:tc>
        <w:tc>
          <w:tcPr>
            <w:tcW w:w="484" w:type="pct"/>
            <w:shd w:val="clear" w:color="auto" w:fill="auto"/>
            <w:noWrap/>
            <w:vAlign w:val="center"/>
            <w:hideMark/>
          </w:tcPr>
          <w:p w:rsidR="00543939" w:rsidRPr="002E20DD" w:rsidRDefault="00543939" w:rsidP="00EA2C42">
            <w:pPr>
              <w:snapToGrid w:val="0"/>
              <w:jc w:val="both"/>
              <w:rPr>
                <w:rFonts w:eastAsia="Times New Roman"/>
                <w:i/>
                <w:color w:val="000000"/>
                <w:sz w:val="20"/>
                <w:szCs w:val="20"/>
              </w:rPr>
            </w:pPr>
            <w:proofErr w:type="spellStart"/>
            <w:r w:rsidRPr="002E20DD">
              <w:rPr>
                <w:rFonts w:eastAsia="Times New Roman"/>
                <w:i/>
                <w:color w:val="000000"/>
                <w:sz w:val="20"/>
                <w:szCs w:val="20"/>
              </w:rPr>
              <w:t>Gari</w:t>
            </w:r>
            <w:proofErr w:type="spellEnd"/>
          </w:p>
        </w:tc>
        <w:tc>
          <w:tcPr>
            <w:tcW w:w="484" w:type="pct"/>
            <w:shd w:val="clear" w:color="auto" w:fill="auto"/>
            <w:noWrap/>
            <w:vAlign w:val="center"/>
            <w:hideMark/>
          </w:tcPr>
          <w:p w:rsidR="00543939" w:rsidRPr="002E20DD" w:rsidRDefault="00543939" w:rsidP="00EA2C42">
            <w:pPr>
              <w:snapToGrid w:val="0"/>
              <w:jc w:val="both"/>
              <w:rPr>
                <w:rFonts w:eastAsia="Times New Roman"/>
                <w:i/>
                <w:color w:val="000000"/>
                <w:sz w:val="20"/>
                <w:szCs w:val="20"/>
              </w:rPr>
            </w:pPr>
            <w:proofErr w:type="spellStart"/>
            <w:r w:rsidRPr="002E20DD">
              <w:rPr>
                <w:rFonts w:eastAsia="Times New Roman"/>
                <w:i/>
                <w:color w:val="000000"/>
                <w:sz w:val="20"/>
                <w:szCs w:val="20"/>
              </w:rPr>
              <w:t>Fufu</w:t>
            </w:r>
            <w:proofErr w:type="spellEnd"/>
          </w:p>
        </w:tc>
        <w:tc>
          <w:tcPr>
            <w:tcW w:w="557" w:type="pct"/>
            <w:shd w:val="clear" w:color="auto" w:fill="auto"/>
            <w:noWrap/>
            <w:vAlign w:val="center"/>
            <w:hideMark/>
          </w:tcPr>
          <w:p w:rsidR="00543939" w:rsidRPr="002E20DD" w:rsidRDefault="00543939" w:rsidP="00EA2C42">
            <w:pPr>
              <w:snapToGrid w:val="0"/>
              <w:jc w:val="both"/>
              <w:rPr>
                <w:rFonts w:eastAsia="Times New Roman"/>
                <w:i/>
                <w:color w:val="000000"/>
                <w:sz w:val="20"/>
                <w:szCs w:val="20"/>
              </w:rPr>
            </w:pPr>
            <w:proofErr w:type="spellStart"/>
            <w:r w:rsidRPr="002E20DD">
              <w:rPr>
                <w:rFonts w:eastAsia="Times New Roman"/>
                <w:i/>
                <w:color w:val="000000"/>
                <w:sz w:val="20"/>
                <w:szCs w:val="20"/>
              </w:rPr>
              <w:t>Lafun</w:t>
            </w:r>
            <w:proofErr w:type="spellEnd"/>
          </w:p>
        </w:tc>
        <w:tc>
          <w:tcPr>
            <w:tcW w:w="592"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Starch</w:t>
            </w:r>
          </w:p>
        </w:tc>
        <w:tc>
          <w:tcPr>
            <w:tcW w:w="530" w:type="pct"/>
            <w:shd w:val="clear" w:color="auto" w:fill="auto"/>
            <w:noWrap/>
            <w:vAlign w:val="center"/>
            <w:hideMark/>
          </w:tcPr>
          <w:p w:rsidR="00543939" w:rsidRPr="002E20DD" w:rsidRDefault="00543939" w:rsidP="00EA2C42">
            <w:pPr>
              <w:tabs>
                <w:tab w:val="left" w:pos="392"/>
                <w:tab w:val="right" w:pos="574"/>
              </w:tabs>
              <w:snapToGrid w:val="0"/>
              <w:jc w:val="both"/>
              <w:rPr>
                <w:rFonts w:eastAsia="Times New Roman"/>
                <w:color w:val="000000"/>
                <w:sz w:val="20"/>
                <w:szCs w:val="20"/>
              </w:rPr>
            </w:pPr>
            <w:r w:rsidRPr="002E20DD">
              <w:rPr>
                <w:rFonts w:eastAsia="Times New Roman"/>
                <w:color w:val="000000"/>
                <w:sz w:val="20"/>
                <w:szCs w:val="20"/>
              </w:rPr>
              <w:t>Flour</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Chips</w:t>
            </w:r>
          </w:p>
        </w:tc>
      </w:tr>
      <w:tr w:rsidR="00E72573" w:rsidRPr="002E20DD" w:rsidTr="002E20DD">
        <w:trPr>
          <w:jc w:val="center"/>
        </w:trPr>
        <w:tc>
          <w:tcPr>
            <w:tcW w:w="1797" w:type="pct"/>
            <w:shd w:val="clear" w:color="auto" w:fill="auto"/>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Likeness</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24</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41</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32</w:t>
            </w:r>
          </w:p>
        </w:tc>
        <w:tc>
          <w:tcPr>
            <w:tcW w:w="592"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3</w:t>
            </w:r>
          </w:p>
        </w:tc>
        <w:tc>
          <w:tcPr>
            <w:tcW w:w="530" w:type="pct"/>
            <w:shd w:val="clear" w:color="auto" w:fill="auto"/>
            <w:noWrap/>
            <w:vAlign w:val="center"/>
            <w:hideMark/>
          </w:tcPr>
          <w:p w:rsidR="00543939" w:rsidRPr="002E20DD" w:rsidRDefault="00543939" w:rsidP="00EA2C42">
            <w:pPr>
              <w:tabs>
                <w:tab w:val="left" w:pos="392"/>
                <w:tab w:val="right" w:pos="574"/>
              </w:tabs>
              <w:snapToGrid w:val="0"/>
              <w:jc w:val="both"/>
              <w:rPr>
                <w:rFonts w:eastAsia="Times New Roman"/>
                <w:color w:val="000000"/>
                <w:sz w:val="20"/>
                <w:szCs w:val="20"/>
              </w:rPr>
            </w:pPr>
            <w:r w:rsidRPr="002E20DD">
              <w:rPr>
                <w:rFonts w:eastAsia="Times New Roman"/>
                <w:color w:val="000000"/>
                <w:sz w:val="20"/>
                <w:szCs w:val="20"/>
              </w:rPr>
              <w:t>2</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3</w:t>
            </w:r>
          </w:p>
        </w:tc>
      </w:tr>
      <w:tr w:rsidR="00E72573" w:rsidRPr="002E20DD" w:rsidTr="002E20DD">
        <w:trPr>
          <w:jc w:val="center"/>
        </w:trPr>
        <w:tc>
          <w:tcPr>
            <w:tcW w:w="1797" w:type="pct"/>
            <w:shd w:val="clear" w:color="auto" w:fill="auto"/>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Addicted</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5</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5</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2</w:t>
            </w:r>
          </w:p>
        </w:tc>
        <w:tc>
          <w:tcPr>
            <w:tcW w:w="592"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c>
          <w:tcPr>
            <w:tcW w:w="530"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2</w:t>
            </w:r>
          </w:p>
        </w:tc>
      </w:tr>
      <w:tr w:rsidR="00E72573" w:rsidRPr="002E20DD" w:rsidTr="002E20DD">
        <w:trPr>
          <w:jc w:val="center"/>
        </w:trPr>
        <w:tc>
          <w:tcPr>
            <w:tcW w:w="1797" w:type="pct"/>
            <w:shd w:val="clear" w:color="auto" w:fill="auto"/>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Refreshment</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24</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1</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3</w:t>
            </w:r>
          </w:p>
        </w:tc>
        <w:tc>
          <w:tcPr>
            <w:tcW w:w="592"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c>
          <w:tcPr>
            <w:tcW w:w="530"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3</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19</w:t>
            </w:r>
          </w:p>
        </w:tc>
      </w:tr>
      <w:tr w:rsidR="00E72573" w:rsidRPr="002E20DD" w:rsidTr="002E20DD">
        <w:trPr>
          <w:jc w:val="center"/>
        </w:trPr>
        <w:tc>
          <w:tcPr>
            <w:tcW w:w="1797" w:type="pct"/>
            <w:shd w:val="clear" w:color="auto" w:fill="auto"/>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Situation</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17</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24</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21</w:t>
            </w:r>
          </w:p>
        </w:tc>
        <w:tc>
          <w:tcPr>
            <w:tcW w:w="592"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1</w:t>
            </w:r>
          </w:p>
        </w:tc>
        <w:tc>
          <w:tcPr>
            <w:tcW w:w="530"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1</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1</w:t>
            </w:r>
          </w:p>
        </w:tc>
      </w:tr>
      <w:tr w:rsidR="00E72573" w:rsidRPr="002E20DD" w:rsidTr="002E20DD">
        <w:trPr>
          <w:jc w:val="center"/>
        </w:trPr>
        <w:tc>
          <w:tcPr>
            <w:tcW w:w="1797" w:type="pct"/>
            <w:shd w:val="clear" w:color="auto" w:fill="auto"/>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For clothe</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c>
          <w:tcPr>
            <w:tcW w:w="592"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39</w:t>
            </w:r>
          </w:p>
        </w:tc>
        <w:tc>
          <w:tcPr>
            <w:tcW w:w="530"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w:t>
            </w:r>
          </w:p>
        </w:tc>
      </w:tr>
      <w:tr w:rsidR="00E72573" w:rsidRPr="002E20DD" w:rsidTr="002E20DD">
        <w:trPr>
          <w:jc w:val="center"/>
        </w:trPr>
        <w:tc>
          <w:tcPr>
            <w:tcW w:w="1797" w:type="pct"/>
            <w:shd w:val="clear" w:color="auto" w:fill="auto"/>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No response</w:t>
            </w:r>
          </w:p>
          <w:p w:rsidR="00543939" w:rsidRPr="002E20DD" w:rsidRDefault="00543939" w:rsidP="00EA2C42">
            <w:pPr>
              <w:snapToGrid w:val="0"/>
              <w:jc w:val="both"/>
              <w:rPr>
                <w:rFonts w:eastAsia="Times New Roman"/>
                <w:b/>
                <w:color w:val="000000"/>
                <w:sz w:val="20"/>
                <w:szCs w:val="20"/>
              </w:rPr>
            </w:pPr>
            <w:r w:rsidRPr="002E20DD">
              <w:rPr>
                <w:rFonts w:eastAsia="Times New Roman"/>
                <w:b/>
                <w:color w:val="000000"/>
                <w:sz w:val="20"/>
                <w:szCs w:val="20"/>
              </w:rPr>
              <w:t>Total</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5</w:t>
            </w:r>
          </w:p>
          <w:p w:rsidR="00543939" w:rsidRPr="002E20DD" w:rsidRDefault="00543939" w:rsidP="00EA2C42">
            <w:pPr>
              <w:snapToGrid w:val="0"/>
              <w:jc w:val="both"/>
              <w:rPr>
                <w:rFonts w:eastAsia="Times New Roman"/>
                <w:b/>
                <w:color w:val="000000"/>
                <w:sz w:val="20"/>
                <w:szCs w:val="20"/>
              </w:rPr>
            </w:pPr>
            <w:r w:rsidRPr="002E20DD">
              <w:rPr>
                <w:rFonts w:eastAsia="Times New Roman"/>
                <w:b/>
                <w:color w:val="000000"/>
                <w:sz w:val="20"/>
                <w:szCs w:val="20"/>
              </w:rPr>
              <w:t>75</w:t>
            </w:r>
          </w:p>
        </w:tc>
        <w:tc>
          <w:tcPr>
            <w:tcW w:w="484"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4</w:t>
            </w:r>
          </w:p>
          <w:p w:rsidR="00543939" w:rsidRPr="002E20DD" w:rsidRDefault="00543939" w:rsidP="00EA2C42">
            <w:pPr>
              <w:snapToGrid w:val="0"/>
              <w:jc w:val="both"/>
              <w:rPr>
                <w:rFonts w:eastAsia="Times New Roman"/>
                <w:b/>
                <w:color w:val="000000"/>
                <w:sz w:val="20"/>
                <w:szCs w:val="20"/>
              </w:rPr>
            </w:pPr>
            <w:r w:rsidRPr="002E20DD">
              <w:rPr>
                <w:rFonts w:eastAsia="Times New Roman"/>
                <w:b/>
                <w:color w:val="000000"/>
                <w:sz w:val="20"/>
                <w:szCs w:val="20"/>
              </w:rPr>
              <w:t>75</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17</w:t>
            </w:r>
          </w:p>
          <w:p w:rsidR="00543939" w:rsidRPr="002E20DD" w:rsidRDefault="00543939" w:rsidP="00EA2C42">
            <w:pPr>
              <w:snapToGrid w:val="0"/>
              <w:jc w:val="both"/>
              <w:rPr>
                <w:rFonts w:eastAsia="Times New Roman"/>
                <w:b/>
                <w:color w:val="000000"/>
                <w:sz w:val="20"/>
                <w:szCs w:val="20"/>
              </w:rPr>
            </w:pPr>
            <w:r w:rsidRPr="002E20DD">
              <w:rPr>
                <w:rFonts w:eastAsia="Times New Roman"/>
                <w:b/>
                <w:color w:val="000000"/>
                <w:sz w:val="20"/>
                <w:szCs w:val="20"/>
              </w:rPr>
              <w:t>75</w:t>
            </w:r>
          </w:p>
        </w:tc>
        <w:tc>
          <w:tcPr>
            <w:tcW w:w="592"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34</w:t>
            </w:r>
          </w:p>
          <w:p w:rsidR="00543939" w:rsidRPr="002E20DD" w:rsidRDefault="00543939" w:rsidP="00EA2C42">
            <w:pPr>
              <w:snapToGrid w:val="0"/>
              <w:jc w:val="both"/>
              <w:rPr>
                <w:rFonts w:eastAsia="Times New Roman"/>
                <w:b/>
                <w:color w:val="000000"/>
                <w:sz w:val="20"/>
                <w:szCs w:val="20"/>
              </w:rPr>
            </w:pPr>
            <w:r w:rsidRPr="002E20DD">
              <w:rPr>
                <w:rFonts w:eastAsia="Times New Roman"/>
                <w:b/>
                <w:color w:val="000000"/>
                <w:sz w:val="20"/>
                <w:szCs w:val="20"/>
              </w:rPr>
              <w:t>75</w:t>
            </w:r>
          </w:p>
        </w:tc>
        <w:tc>
          <w:tcPr>
            <w:tcW w:w="530"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69</w:t>
            </w:r>
          </w:p>
          <w:p w:rsidR="00543939" w:rsidRPr="002E20DD" w:rsidRDefault="00543939" w:rsidP="00EA2C42">
            <w:pPr>
              <w:snapToGrid w:val="0"/>
              <w:jc w:val="both"/>
              <w:rPr>
                <w:rFonts w:eastAsia="Times New Roman"/>
                <w:b/>
                <w:color w:val="000000"/>
                <w:sz w:val="20"/>
                <w:szCs w:val="20"/>
              </w:rPr>
            </w:pPr>
            <w:r w:rsidRPr="002E20DD">
              <w:rPr>
                <w:rFonts w:eastAsia="Times New Roman"/>
                <w:b/>
                <w:color w:val="000000"/>
                <w:sz w:val="20"/>
                <w:szCs w:val="20"/>
              </w:rPr>
              <w:t>75</w:t>
            </w:r>
          </w:p>
        </w:tc>
        <w:tc>
          <w:tcPr>
            <w:tcW w:w="557" w:type="pct"/>
            <w:shd w:val="clear" w:color="auto" w:fill="auto"/>
            <w:noWrap/>
            <w:vAlign w:val="center"/>
            <w:hideMark/>
          </w:tcPr>
          <w:p w:rsidR="00543939" w:rsidRPr="002E20DD" w:rsidRDefault="00543939" w:rsidP="00EA2C42">
            <w:pPr>
              <w:snapToGrid w:val="0"/>
              <w:jc w:val="both"/>
              <w:rPr>
                <w:rFonts w:eastAsia="Times New Roman"/>
                <w:color w:val="000000"/>
                <w:sz w:val="20"/>
                <w:szCs w:val="20"/>
              </w:rPr>
            </w:pPr>
            <w:r w:rsidRPr="002E20DD">
              <w:rPr>
                <w:rFonts w:eastAsia="Times New Roman"/>
                <w:color w:val="000000"/>
                <w:sz w:val="20"/>
                <w:szCs w:val="20"/>
              </w:rPr>
              <w:t>50</w:t>
            </w:r>
          </w:p>
          <w:p w:rsidR="00543939" w:rsidRPr="002E20DD" w:rsidRDefault="00543939" w:rsidP="00EA2C42">
            <w:pPr>
              <w:snapToGrid w:val="0"/>
              <w:jc w:val="both"/>
              <w:rPr>
                <w:rFonts w:eastAsia="Times New Roman"/>
                <w:b/>
                <w:color w:val="000000"/>
                <w:sz w:val="20"/>
                <w:szCs w:val="20"/>
              </w:rPr>
            </w:pPr>
            <w:r w:rsidRPr="002E20DD">
              <w:rPr>
                <w:rFonts w:eastAsia="Times New Roman"/>
                <w:b/>
                <w:color w:val="000000"/>
                <w:sz w:val="20"/>
                <w:szCs w:val="20"/>
              </w:rPr>
              <w:t>75</w:t>
            </w:r>
          </w:p>
        </w:tc>
      </w:tr>
    </w:tbl>
    <w:p w:rsidR="00EA2C42" w:rsidRPr="002E20DD" w:rsidRDefault="00EA2C42" w:rsidP="00EA2C42">
      <w:pPr>
        <w:snapToGrid w:val="0"/>
        <w:ind w:firstLine="425"/>
        <w:jc w:val="both"/>
        <w:rPr>
          <w:rFonts w:eastAsiaTheme="minorEastAsia"/>
          <w:b/>
          <w:sz w:val="20"/>
          <w:szCs w:val="20"/>
          <w:lang w:eastAsia="zh-CN"/>
        </w:rPr>
      </w:pPr>
    </w:p>
    <w:p w:rsidR="00EA2C42" w:rsidRPr="002E20DD" w:rsidRDefault="00EA2C42" w:rsidP="00EA2C42">
      <w:pPr>
        <w:snapToGrid w:val="0"/>
        <w:jc w:val="both"/>
        <w:rPr>
          <w:b/>
          <w:sz w:val="20"/>
          <w:szCs w:val="20"/>
        </w:rPr>
        <w:sectPr w:rsidR="00EA2C42" w:rsidRPr="002E20DD" w:rsidSect="00EA2C42">
          <w:footnotePr>
            <w:pos w:val="beneathText"/>
          </w:footnotePr>
          <w:type w:val="continuous"/>
          <w:pgSz w:w="12240" w:h="15840" w:code="1"/>
          <w:pgMar w:top="1440" w:right="1440" w:bottom="1440" w:left="1440" w:header="720" w:footer="720" w:gutter="0"/>
          <w:cols w:space="600"/>
          <w:docGrid w:linePitch="360"/>
        </w:sectPr>
      </w:pPr>
    </w:p>
    <w:p w:rsidR="00543939" w:rsidRPr="002E20DD" w:rsidRDefault="00543939" w:rsidP="00EA2C42">
      <w:pPr>
        <w:snapToGrid w:val="0"/>
        <w:jc w:val="center"/>
        <w:rPr>
          <w:b/>
          <w:sz w:val="20"/>
          <w:szCs w:val="20"/>
        </w:rPr>
      </w:pPr>
      <w:r w:rsidRPr="002E20DD">
        <w:rPr>
          <w:b/>
          <w:noProof/>
          <w:sz w:val="20"/>
          <w:szCs w:val="20"/>
          <w:lang w:eastAsia="zh-CN"/>
        </w:rPr>
        <w:lastRenderedPageBreak/>
        <w:drawing>
          <wp:inline distT="0" distB="0" distL="0" distR="0">
            <wp:extent cx="2658110" cy="1924050"/>
            <wp:effectExtent l="0" t="0" r="889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3F9B" w:rsidRPr="002E20DD" w:rsidRDefault="001F3F9B" w:rsidP="00EA2C42">
      <w:pPr>
        <w:snapToGrid w:val="0"/>
        <w:jc w:val="both"/>
        <w:rPr>
          <w:rFonts w:eastAsiaTheme="minorEastAsia"/>
          <w:b/>
          <w:sz w:val="20"/>
          <w:szCs w:val="20"/>
          <w:lang w:eastAsia="zh-CN"/>
        </w:rPr>
      </w:pPr>
      <w:r w:rsidRPr="002E20DD">
        <w:rPr>
          <w:b/>
          <w:sz w:val="20"/>
          <w:szCs w:val="20"/>
        </w:rPr>
        <w:t>Figure 2: Packaging Materials for Cassava Products</w:t>
      </w:r>
    </w:p>
    <w:p w:rsidR="00EA2C42" w:rsidRPr="002E20DD" w:rsidRDefault="00EA2C42" w:rsidP="00EA2C42">
      <w:pPr>
        <w:snapToGrid w:val="0"/>
        <w:jc w:val="both"/>
        <w:rPr>
          <w:rFonts w:eastAsiaTheme="minorEastAsia"/>
          <w:b/>
          <w:sz w:val="20"/>
          <w:szCs w:val="20"/>
          <w:lang w:eastAsia="zh-CN"/>
        </w:rPr>
      </w:pPr>
    </w:p>
    <w:p w:rsidR="00EA2C42" w:rsidRPr="002E20DD" w:rsidRDefault="00EA2C42" w:rsidP="00EA2C42">
      <w:pPr>
        <w:snapToGrid w:val="0"/>
        <w:jc w:val="both"/>
        <w:rPr>
          <w:rFonts w:eastAsiaTheme="minorEastAsia"/>
          <w:b/>
          <w:sz w:val="20"/>
          <w:szCs w:val="20"/>
          <w:lang w:eastAsia="zh-CN"/>
        </w:rPr>
      </w:pPr>
    </w:p>
    <w:p w:rsidR="002E20DD" w:rsidRDefault="00EA2C42" w:rsidP="00EA2C42">
      <w:pPr>
        <w:snapToGrid w:val="0"/>
        <w:jc w:val="both"/>
        <w:rPr>
          <w:rFonts w:eastAsiaTheme="minorEastAsia" w:hint="eastAsia"/>
          <w:b/>
          <w:sz w:val="20"/>
          <w:szCs w:val="20"/>
          <w:lang w:eastAsia="zh-CN"/>
        </w:rPr>
      </w:pPr>
      <w:r w:rsidRPr="002E20DD">
        <w:rPr>
          <w:b/>
          <w:sz w:val="20"/>
          <w:szCs w:val="20"/>
        </w:rPr>
        <w:t xml:space="preserve">Packaging Materials for Cassava Products: </w:t>
      </w:r>
    </w:p>
    <w:p w:rsidR="00EA2C42" w:rsidRDefault="002E20DD" w:rsidP="002E20DD">
      <w:pPr>
        <w:snapToGrid w:val="0"/>
        <w:ind w:firstLine="720"/>
        <w:jc w:val="both"/>
        <w:rPr>
          <w:rFonts w:eastAsiaTheme="minorEastAsia" w:hint="eastAsia"/>
          <w:sz w:val="20"/>
          <w:szCs w:val="20"/>
          <w:lang w:eastAsia="zh-CN"/>
        </w:rPr>
      </w:pPr>
      <w:r w:rsidRPr="002E20DD">
        <w:rPr>
          <w:rFonts w:eastAsiaTheme="minorEastAsia" w:hint="eastAsia"/>
          <w:sz w:val="20"/>
          <w:szCs w:val="20"/>
          <w:lang w:eastAsia="zh-CN"/>
        </w:rPr>
        <w:t>M</w:t>
      </w:r>
      <w:r w:rsidR="00EA2C42" w:rsidRPr="002E20DD">
        <w:rPr>
          <w:sz w:val="20"/>
          <w:szCs w:val="20"/>
        </w:rPr>
        <w:t xml:space="preserve">ost commonly used packaging materials for cassava product in Ibadan South-West Local Government is sack for packaging </w:t>
      </w:r>
      <w:proofErr w:type="spellStart"/>
      <w:r w:rsidR="00EA2C42" w:rsidRPr="002E20DD">
        <w:rPr>
          <w:i/>
          <w:sz w:val="20"/>
          <w:szCs w:val="20"/>
        </w:rPr>
        <w:t>gari</w:t>
      </w:r>
      <w:proofErr w:type="spellEnd"/>
      <w:r w:rsidR="00EA2C42" w:rsidRPr="002E20DD">
        <w:rPr>
          <w:sz w:val="20"/>
          <w:szCs w:val="20"/>
        </w:rPr>
        <w:t xml:space="preserve"> and nylon for </w:t>
      </w:r>
      <w:proofErr w:type="spellStart"/>
      <w:r w:rsidR="00EA2C42" w:rsidRPr="002E20DD">
        <w:rPr>
          <w:i/>
          <w:sz w:val="20"/>
          <w:szCs w:val="20"/>
        </w:rPr>
        <w:t>fufu</w:t>
      </w:r>
      <w:proofErr w:type="spellEnd"/>
      <w:r w:rsidR="00EA2C42" w:rsidRPr="002E20DD">
        <w:rPr>
          <w:i/>
          <w:sz w:val="20"/>
          <w:szCs w:val="20"/>
        </w:rPr>
        <w:t xml:space="preserve">, </w:t>
      </w:r>
      <w:proofErr w:type="spellStart"/>
      <w:r w:rsidR="00EA2C42" w:rsidRPr="002E20DD">
        <w:rPr>
          <w:i/>
          <w:sz w:val="20"/>
          <w:szCs w:val="20"/>
        </w:rPr>
        <w:t>lafun</w:t>
      </w:r>
      <w:proofErr w:type="spellEnd"/>
      <w:r w:rsidR="00EA2C42" w:rsidRPr="002E20DD">
        <w:rPr>
          <w:sz w:val="20"/>
          <w:szCs w:val="20"/>
        </w:rPr>
        <w:t>, starch and chips. Other packaging materials used include container and polythene bags as presented in Figure 2.</w:t>
      </w:r>
    </w:p>
    <w:p w:rsidR="002E20DD" w:rsidRPr="002E20DD" w:rsidRDefault="002E20DD" w:rsidP="002E20DD">
      <w:pPr>
        <w:snapToGrid w:val="0"/>
        <w:ind w:firstLine="720"/>
        <w:jc w:val="both"/>
        <w:rPr>
          <w:rFonts w:eastAsiaTheme="minorEastAsia" w:hint="eastAsia"/>
          <w:sz w:val="20"/>
          <w:szCs w:val="20"/>
          <w:lang w:eastAsia="zh-CN"/>
        </w:rPr>
      </w:pPr>
    </w:p>
    <w:p w:rsidR="002E20DD" w:rsidRDefault="00543939" w:rsidP="00EA2C42">
      <w:pPr>
        <w:snapToGrid w:val="0"/>
        <w:jc w:val="both"/>
        <w:rPr>
          <w:rFonts w:eastAsiaTheme="minorEastAsia" w:hint="eastAsia"/>
          <w:b/>
          <w:sz w:val="20"/>
          <w:szCs w:val="20"/>
          <w:lang w:eastAsia="zh-CN"/>
        </w:rPr>
      </w:pPr>
      <w:r w:rsidRPr="002E20DD">
        <w:rPr>
          <w:b/>
          <w:sz w:val="20"/>
          <w:szCs w:val="20"/>
        </w:rPr>
        <w:t xml:space="preserve">Storage of Cassava Products: </w:t>
      </w:r>
    </w:p>
    <w:p w:rsidR="00543939" w:rsidRPr="002E20DD" w:rsidRDefault="002E20DD" w:rsidP="002E20DD">
      <w:pPr>
        <w:snapToGrid w:val="0"/>
        <w:ind w:firstLine="720"/>
        <w:jc w:val="both"/>
        <w:rPr>
          <w:b/>
          <w:sz w:val="20"/>
          <w:szCs w:val="20"/>
        </w:rPr>
      </w:pPr>
      <w:r w:rsidRPr="002E20DD">
        <w:rPr>
          <w:rFonts w:eastAsiaTheme="minorEastAsia" w:hint="eastAsia"/>
          <w:sz w:val="20"/>
          <w:szCs w:val="20"/>
          <w:lang w:eastAsia="zh-CN"/>
        </w:rPr>
        <w:t>F</w:t>
      </w:r>
      <w:r w:rsidR="00543939" w:rsidRPr="002E20DD">
        <w:rPr>
          <w:sz w:val="20"/>
          <w:szCs w:val="20"/>
        </w:rPr>
        <w:t>requency of storage systems used for cassava products is presented in Table 2.</w:t>
      </w:r>
    </w:p>
    <w:p w:rsidR="00EA2C42" w:rsidRPr="002E20DD" w:rsidRDefault="00EA2C42" w:rsidP="00EA2C42">
      <w:pPr>
        <w:snapToGrid w:val="0"/>
        <w:jc w:val="center"/>
        <w:rPr>
          <w:rFonts w:eastAsiaTheme="minorEastAsia"/>
          <w:b/>
          <w:sz w:val="20"/>
          <w:szCs w:val="20"/>
          <w:lang w:eastAsia="zh-CN"/>
        </w:rPr>
        <w:sectPr w:rsidR="00EA2C42" w:rsidRPr="002E20DD" w:rsidSect="00EA2C42">
          <w:footnotePr>
            <w:pos w:val="beneathText"/>
          </w:footnotePr>
          <w:type w:val="continuous"/>
          <w:pgSz w:w="12240" w:h="15840" w:code="1"/>
          <w:pgMar w:top="1440" w:right="1440" w:bottom="1440" w:left="1440" w:header="720" w:footer="720" w:gutter="0"/>
          <w:cols w:num="2" w:space="600"/>
          <w:docGrid w:linePitch="360"/>
        </w:sectPr>
      </w:pPr>
    </w:p>
    <w:p w:rsidR="00EA2C42" w:rsidRPr="002E20DD" w:rsidRDefault="00EA2C42" w:rsidP="00EA2C42">
      <w:pPr>
        <w:snapToGrid w:val="0"/>
        <w:jc w:val="center"/>
        <w:rPr>
          <w:rFonts w:eastAsiaTheme="minorEastAsia"/>
          <w:b/>
          <w:sz w:val="20"/>
          <w:szCs w:val="20"/>
          <w:lang w:eastAsia="zh-CN"/>
        </w:rPr>
      </w:pPr>
    </w:p>
    <w:p w:rsidR="00543939" w:rsidRPr="002E20DD" w:rsidRDefault="00543939" w:rsidP="00EA2C42">
      <w:pPr>
        <w:snapToGrid w:val="0"/>
        <w:jc w:val="center"/>
        <w:rPr>
          <w:b/>
          <w:sz w:val="20"/>
          <w:szCs w:val="20"/>
        </w:rPr>
      </w:pPr>
      <w:r w:rsidRPr="002E20DD">
        <w:rPr>
          <w:b/>
          <w:sz w:val="20"/>
          <w:szCs w:val="20"/>
        </w:rPr>
        <w:t>Table 2: Storage-ability of Cassava Products</w:t>
      </w:r>
    </w:p>
    <w:tbl>
      <w:tblPr>
        <w:tblStyle w:val="TableGrid"/>
        <w:tblW w:w="5000" w:type="pct"/>
        <w:jc w:val="center"/>
        <w:tblLook w:val="04A0"/>
      </w:tblPr>
      <w:tblGrid>
        <w:gridCol w:w="2633"/>
        <w:gridCol w:w="1067"/>
        <w:gridCol w:w="948"/>
        <w:gridCol w:w="1228"/>
        <w:gridCol w:w="1306"/>
        <w:gridCol w:w="1168"/>
        <w:gridCol w:w="1226"/>
      </w:tblGrid>
      <w:tr w:rsidR="00347DCC" w:rsidRPr="002E20DD" w:rsidTr="002E20DD">
        <w:trPr>
          <w:jc w:val="center"/>
        </w:trPr>
        <w:tc>
          <w:tcPr>
            <w:tcW w:w="1375" w:type="pct"/>
            <w:vAlign w:val="center"/>
          </w:tcPr>
          <w:p w:rsidR="00543939" w:rsidRPr="002E20DD" w:rsidRDefault="00543939" w:rsidP="00BE2E48">
            <w:pPr>
              <w:snapToGrid w:val="0"/>
              <w:jc w:val="both"/>
              <w:rPr>
                <w:color w:val="000000"/>
                <w:sz w:val="20"/>
                <w:szCs w:val="20"/>
              </w:rPr>
            </w:pPr>
            <w:r w:rsidRPr="002E20DD">
              <w:rPr>
                <w:color w:val="000000"/>
                <w:sz w:val="20"/>
                <w:szCs w:val="20"/>
              </w:rPr>
              <w:t>Storage System</w:t>
            </w:r>
          </w:p>
        </w:tc>
        <w:tc>
          <w:tcPr>
            <w:tcW w:w="557" w:type="pct"/>
            <w:vAlign w:val="center"/>
          </w:tcPr>
          <w:p w:rsidR="00543939" w:rsidRPr="002E20DD" w:rsidRDefault="00543939" w:rsidP="00BE2E48">
            <w:pPr>
              <w:snapToGrid w:val="0"/>
              <w:jc w:val="both"/>
              <w:rPr>
                <w:color w:val="000000"/>
                <w:sz w:val="20"/>
                <w:szCs w:val="20"/>
              </w:rPr>
            </w:pPr>
            <w:proofErr w:type="spellStart"/>
            <w:r w:rsidRPr="002E20DD">
              <w:rPr>
                <w:i/>
                <w:color w:val="000000"/>
                <w:sz w:val="20"/>
                <w:szCs w:val="20"/>
              </w:rPr>
              <w:t>Gari</w:t>
            </w:r>
            <w:proofErr w:type="spellEnd"/>
          </w:p>
        </w:tc>
        <w:tc>
          <w:tcPr>
            <w:tcW w:w="495" w:type="pct"/>
            <w:vAlign w:val="center"/>
          </w:tcPr>
          <w:p w:rsidR="00543939" w:rsidRPr="002E20DD" w:rsidRDefault="00543939" w:rsidP="00BE2E48">
            <w:pPr>
              <w:snapToGrid w:val="0"/>
              <w:jc w:val="both"/>
              <w:rPr>
                <w:i/>
                <w:color w:val="000000"/>
                <w:sz w:val="20"/>
                <w:szCs w:val="20"/>
              </w:rPr>
            </w:pPr>
            <w:proofErr w:type="spellStart"/>
            <w:r w:rsidRPr="002E20DD">
              <w:rPr>
                <w:i/>
                <w:color w:val="000000"/>
                <w:sz w:val="20"/>
                <w:szCs w:val="20"/>
              </w:rPr>
              <w:t>fufu</w:t>
            </w:r>
            <w:proofErr w:type="spellEnd"/>
          </w:p>
        </w:tc>
        <w:tc>
          <w:tcPr>
            <w:tcW w:w="641" w:type="pct"/>
            <w:vAlign w:val="center"/>
          </w:tcPr>
          <w:p w:rsidR="00543939" w:rsidRPr="002E20DD" w:rsidRDefault="00543939" w:rsidP="00BE2E48">
            <w:pPr>
              <w:snapToGrid w:val="0"/>
              <w:jc w:val="both"/>
              <w:rPr>
                <w:color w:val="000000"/>
                <w:sz w:val="20"/>
                <w:szCs w:val="20"/>
              </w:rPr>
            </w:pPr>
            <w:proofErr w:type="spellStart"/>
            <w:r w:rsidRPr="002E20DD">
              <w:rPr>
                <w:i/>
                <w:color w:val="000000"/>
                <w:sz w:val="20"/>
                <w:szCs w:val="20"/>
              </w:rPr>
              <w:t>Lafun</w:t>
            </w:r>
            <w:proofErr w:type="spellEnd"/>
          </w:p>
        </w:tc>
        <w:tc>
          <w:tcPr>
            <w:tcW w:w="682" w:type="pct"/>
            <w:vAlign w:val="center"/>
          </w:tcPr>
          <w:p w:rsidR="00543939" w:rsidRPr="002E20DD" w:rsidRDefault="00543939" w:rsidP="00BE2E48">
            <w:pPr>
              <w:snapToGrid w:val="0"/>
              <w:jc w:val="both"/>
              <w:rPr>
                <w:color w:val="000000"/>
                <w:sz w:val="20"/>
                <w:szCs w:val="20"/>
              </w:rPr>
            </w:pPr>
            <w:r w:rsidRPr="002E20DD">
              <w:rPr>
                <w:color w:val="000000"/>
                <w:sz w:val="20"/>
                <w:szCs w:val="20"/>
              </w:rPr>
              <w:t>Starch</w:t>
            </w:r>
          </w:p>
        </w:tc>
        <w:tc>
          <w:tcPr>
            <w:tcW w:w="610" w:type="pct"/>
            <w:vAlign w:val="center"/>
          </w:tcPr>
          <w:p w:rsidR="00543939" w:rsidRPr="002E20DD" w:rsidRDefault="00543939" w:rsidP="00BE2E48">
            <w:pPr>
              <w:snapToGrid w:val="0"/>
              <w:jc w:val="both"/>
              <w:rPr>
                <w:color w:val="000000"/>
                <w:sz w:val="20"/>
                <w:szCs w:val="20"/>
              </w:rPr>
            </w:pPr>
            <w:r w:rsidRPr="002E20DD">
              <w:rPr>
                <w:color w:val="000000"/>
                <w:sz w:val="20"/>
                <w:szCs w:val="20"/>
              </w:rPr>
              <w:t>Flour</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Chips</w:t>
            </w:r>
          </w:p>
        </w:tc>
      </w:tr>
      <w:tr w:rsidR="00347DCC" w:rsidRPr="002E20DD" w:rsidTr="002E20DD">
        <w:trPr>
          <w:jc w:val="center"/>
        </w:trPr>
        <w:tc>
          <w:tcPr>
            <w:tcW w:w="1375" w:type="pct"/>
            <w:vAlign w:val="center"/>
          </w:tcPr>
          <w:p w:rsidR="00543939" w:rsidRPr="002E20DD" w:rsidRDefault="00543939" w:rsidP="00BE2E48">
            <w:pPr>
              <w:snapToGrid w:val="0"/>
              <w:jc w:val="both"/>
              <w:rPr>
                <w:color w:val="000000"/>
                <w:sz w:val="20"/>
                <w:szCs w:val="20"/>
              </w:rPr>
            </w:pPr>
            <w:r w:rsidRPr="002E20DD">
              <w:rPr>
                <w:color w:val="000000"/>
                <w:sz w:val="20"/>
                <w:szCs w:val="20"/>
              </w:rPr>
              <w:t>Refrigerator</w:t>
            </w:r>
          </w:p>
        </w:tc>
        <w:tc>
          <w:tcPr>
            <w:tcW w:w="557"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495"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82" w:type="pct"/>
            <w:vAlign w:val="center"/>
          </w:tcPr>
          <w:p w:rsidR="00543939" w:rsidRPr="002E20DD" w:rsidRDefault="00543939" w:rsidP="00BE2E48">
            <w:pPr>
              <w:snapToGrid w:val="0"/>
              <w:jc w:val="both"/>
              <w:rPr>
                <w:color w:val="000000"/>
                <w:sz w:val="20"/>
                <w:szCs w:val="20"/>
              </w:rPr>
            </w:pPr>
            <w:r w:rsidRPr="002E20DD">
              <w:rPr>
                <w:color w:val="000000"/>
                <w:sz w:val="20"/>
                <w:szCs w:val="20"/>
              </w:rPr>
              <w:t>11</w:t>
            </w:r>
          </w:p>
        </w:tc>
        <w:tc>
          <w:tcPr>
            <w:tcW w:w="610" w:type="pct"/>
            <w:vAlign w:val="center"/>
          </w:tcPr>
          <w:p w:rsidR="00543939" w:rsidRPr="002E20DD" w:rsidRDefault="00543939" w:rsidP="00BE2E48">
            <w:pPr>
              <w:snapToGrid w:val="0"/>
              <w:jc w:val="both"/>
              <w:rPr>
                <w:color w:val="000000"/>
                <w:sz w:val="20"/>
                <w:szCs w:val="20"/>
              </w:rPr>
            </w:pPr>
            <w:r w:rsidRPr="002E20DD">
              <w:rPr>
                <w:color w:val="000000"/>
                <w:sz w:val="20"/>
                <w:szCs w:val="20"/>
              </w:rPr>
              <w:t>1</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r>
      <w:tr w:rsidR="00347DCC" w:rsidRPr="002E20DD" w:rsidTr="002E20DD">
        <w:trPr>
          <w:jc w:val="center"/>
        </w:trPr>
        <w:tc>
          <w:tcPr>
            <w:tcW w:w="1375" w:type="pct"/>
            <w:vAlign w:val="center"/>
          </w:tcPr>
          <w:p w:rsidR="00543939" w:rsidRPr="002E20DD" w:rsidRDefault="00543939" w:rsidP="00BE2E48">
            <w:pPr>
              <w:snapToGrid w:val="0"/>
              <w:jc w:val="both"/>
              <w:rPr>
                <w:color w:val="000000"/>
                <w:sz w:val="20"/>
                <w:szCs w:val="20"/>
              </w:rPr>
            </w:pPr>
            <w:r w:rsidRPr="002E20DD">
              <w:rPr>
                <w:color w:val="000000"/>
                <w:sz w:val="20"/>
                <w:szCs w:val="20"/>
              </w:rPr>
              <w:t>Basket</w:t>
            </w:r>
          </w:p>
        </w:tc>
        <w:tc>
          <w:tcPr>
            <w:tcW w:w="557"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495" w:type="pct"/>
            <w:vAlign w:val="center"/>
          </w:tcPr>
          <w:p w:rsidR="00543939" w:rsidRPr="002E20DD" w:rsidRDefault="00543939" w:rsidP="00BE2E48">
            <w:pPr>
              <w:snapToGrid w:val="0"/>
              <w:jc w:val="both"/>
              <w:rPr>
                <w:color w:val="000000"/>
                <w:sz w:val="20"/>
                <w:szCs w:val="20"/>
              </w:rPr>
            </w:pPr>
            <w:r w:rsidRPr="002E20DD">
              <w:rPr>
                <w:color w:val="000000"/>
                <w:sz w:val="20"/>
                <w:szCs w:val="20"/>
              </w:rPr>
              <w:t>20</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14</w:t>
            </w:r>
          </w:p>
        </w:tc>
        <w:tc>
          <w:tcPr>
            <w:tcW w:w="682"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10"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r>
      <w:tr w:rsidR="00347DCC" w:rsidRPr="002E20DD" w:rsidTr="002E20DD">
        <w:trPr>
          <w:jc w:val="center"/>
        </w:trPr>
        <w:tc>
          <w:tcPr>
            <w:tcW w:w="1375" w:type="pct"/>
            <w:vAlign w:val="center"/>
          </w:tcPr>
          <w:p w:rsidR="00543939" w:rsidRPr="002E20DD" w:rsidRDefault="00543939" w:rsidP="00BE2E48">
            <w:pPr>
              <w:snapToGrid w:val="0"/>
              <w:jc w:val="both"/>
              <w:rPr>
                <w:color w:val="000000"/>
                <w:sz w:val="20"/>
                <w:szCs w:val="20"/>
              </w:rPr>
            </w:pPr>
            <w:r w:rsidRPr="002E20DD">
              <w:rPr>
                <w:color w:val="000000"/>
                <w:sz w:val="20"/>
                <w:szCs w:val="20"/>
              </w:rPr>
              <w:t>Platform</w:t>
            </w:r>
          </w:p>
        </w:tc>
        <w:tc>
          <w:tcPr>
            <w:tcW w:w="557"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495" w:type="pct"/>
            <w:vAlign w:val="center"/>
          </w:tcPr>
          <w:p w:rsidR="00543939" w:rsidRPr="002E20DD" w:rsidRDefault="00543939" w:rsidP="00BE2E48">
            <w:pPr>
              <w:snapToGrid w:val="0"/>
              <w:jc w:val="both"/>
              <w:rPr>
                <w:color w:val="000000"/>
                <w:sz w:val="20"/>
                <w:szCs w:val="20"/>
              </w:rPr>
            </w:pPr>
            <w:r w:rsidRPr="002E20DD">
              <w:rPr>
                <w:color w:val="000000"/>
                <w:sz w:val="20"/>
                <w:szCs w:val="20"/>
              </w:rPr>
              <w:t>5</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7</w:t>
            </w:r>
          </w:p>
        </w:tc>
        <w:tc>
          <w:tcPr>
            <w:tcW w:w="682" w:type="pct"/>
            <w:vAlign w:val="center"/>
          </w:tcPr>
          <w:p w:rsidR="00543939" w:rsidRPr="002E20DD" w:rsidRDefault="00543939" w:rsidP="00BE2E48">
            <w:pPr>
              <w:snapToGrid w:val="0"/>
              <w:jc w:val="both"/>
              <w:rPr>
                <w:color w:val="000000"/>
                <w:sz w:val="20"/>
                <w:szCs w:val="20"/>
              </w:rPr>
            </w:pPr>
            <w:r w:rsidRPr="002E20DD">
              <w:rPr>
                <w:color w:val="000000"/>
                <w:sz w:val="20"/>
                <w:szCs w:val="20"/>
              </w:rPr>
              <w:t>2</w:t>
            </w:r>
          </w:p>
        </w:tc>
        <w:tc>
          <w:tcPr>
            <w:tcW w:w="610"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3</w:t>
            </w:r>
          </w:p>
        </w:tc>
      </w:tr>
      <w:tr w:rsidR="00347DCC" w:rsidRPr="002E20DD" w:rsidTr="002E20DD">
        <w:trPr>
          <w:jc w:val="center"/>
        </w:trPr>
        <w:tc>
          <w:tcPr>
            <w:tcW w:w="1375" w:type="pct"/>
            <w:vAlign w:val="center"/>
          </w:tcPr>
          <w:p w:rsidR="00543939" w:rsidRPr="002E20DD" w:rsidRDefault="00543939" w:rsidP="00BE2E48">
            <w:pPr>
              <w:snapToGrid w:val="0"/>
              <w:jc w:val="both"/>
              <w:rPr>
                <w:color w:val="000000"/>
                <w:sz w:val="20"/>
                <w:szCs w:val="20"/>
              </w:rPr>
            </w:pPr>
            <w:r w:rsidRPr="002E20DD">
              <w:rPr>
                <w:color w:val="000000"/>
                <w:sz w:val="20"/>
                <w:szCs w:val="20"/>
              </w:rPr>
              <w:t>Drained Store</w:t>
            </w:r>
          </w:p>
        </w:tc>
        <w:tc>
          <w:tcPr>
            <w:tcW w:w="557" w:type="pct"/>
            <w:vAlign w:val="center"/>
          </w:tcPr>
          <w:p w:rsidR="00543939" w:rsidRPr="002E20DD" w:rsidRDefault="00543939" w:rsidP="00BE2E48">
            <w:pPr>
              <w:snapToGrid w:val="0"/>
              <w:jc w:val="both"/>
              <w:rPr>
                <w:color w:val="000000"/>
                <w:sz w:val="20"/>
                <w:szCs w:val="20"/>
              </w:rPr>
            </w:pPr>
            <w:r w:rsidRPr="002E20DD">
              <w:rPr>
                <w:color w:val="000000"/>
                <w:sz w:val="20"/>
                <w:szCs w:val="20"/>
              </w:rPr>
              <w:t>64</w:t>
            </w:r>
          </w:p>
        </w:tc>
        <w:tc>
          <w:tcPr>
            <w:tcW w:w="495"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82"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10"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w:t>
            </w:r>
          </w:p>
        </w:tc>
      </w:tr>
      <w:tr w:rsidR="00645E8C" w:rsidRPr="002E20DD" w:rsidTr="002E20DD">
        <w:trPr>
          <w:jc w:val="center"/>
        </w:trPr>
        <w:tc>
          <w:tcPr>
            <w:tcW w:w="1375" w:type="pct"/>
            <w:vAlign w:val="center"/>
          </w:tcPr>
          <w:p w:rsidR="00543939" w:rsidRPr="002E20DD" w:rsidRDefault="00543939" w:rsidP="00BE2E48">
            <w:pPr>
              <w:snapToGrid w:val="0"/>
              <w:jc w:val="both"/>
              <w:rPr>
                <w:color w:val="000000"/>
                <w:sz w:val="20"/>
                <w:szCs w:val="20"/>
              </w:rPr>
            </w:pPr>
            <w:r w:rsidRPr="002E20DD">
              <w:rPr>
                <w:color w:val="000000"/>
                <w:sz w:val="20"/>
                <w:szCs w:val="20"/>
              </w:rPr>
              <w:t>No response</w:t>
            </w:r>
          </w:p>
        </w:tc>
        <w:tc>
          <w:tcPr>
            <w:tcW w:w="557" w:type="pct"/>
            <w:vAlign w:val="center"/>
          </w:tcPr>
          <w:p w:rsidR="00543939" w:rsidRPr="002E20DD" w:rsidRDefault="00543939" w:rsidP="00BE2E48">
            <w:pPr>
              <w:snapToGrid w:val="0"/>
              <w:jc w:val="both"/>
              <w:rPr>
                <w:color w:val="000000"/>
                <w:sz w:val="20"/>
                <w:szCs w:val="20"/>
              </w:rPr>
            </w:pPr>
            <w:r w:rsidRPr="002E20DD">
              <w:rPr>
                <w:color w:val="000000"/>
                <w:sz w:val="20"/>
                <w:szCs w:val="20"/>
              </w:rPr>
              <w:t>11</w:t>
            </w:r>
          </w:p>
        </w:tc>
        <w:tc>
          <w:tcPr>
            <w:tcW w:w="495" w:type="pct"/>
            <w:vAlign w:val="center"/>
          </w:tcPr>
          <w:p w:rsidR="00543939" w:rsidRPr="002E20DD" w:rsidRDefault="00543939" w:rsidP="00BE2E48">
            <w:pPr>
              <w:snapToGrid w:val="0"/>
              <w:jc w:val="both"/>
              <w:rPr>
                <w:color w:val="000000"/>
                <w:sz w:val="20"/>
                <w:szCs w:val="20"/>
              </w:rPr>
            </w:pPr>
            <w:r w:rsidRPr="002E20DD">
              <w:rPr>
                <w:color w:val="000000"/>
                <w:sz w:val="20"/>
                <w:szCs w:val="20"/>
              </w:rPr>
              <w:t>50</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54</w:t>
            </w:r>
          </w:p>
        </w:tc>
        <w:tc>
          <w:tcPr>
            <w:tcW w:w="682" w:type="pct"/>
            <w:vAlign w:val="center"/>
          </w:tcPr>
          <w:p w:rsidR="00543939" w:rsidRPr="002E20DD" w:rsidRDefault="00543939" w:rsidP="00BE2E48">
            <w:pPr>
              <w:snapToGrid w:val="0"/>
              <w:jc w:val="both"/>
              <w:rPr>
                <w:color w:val="000000"/>
                <w:sz w:val="20"/>
                <w:szCs w:val="20"/>
              </w:rPr>
            </w:pPr>
            <w:r w:rsidRPr="002E20DD">
              <w:rPr>
                <w:color w:val="000000"/>
                <w:sz w:val="20"/>
                <w:szCs w:val="20"/>
              </w:rPr>
              <w:t>62</w:t>
            </w:r>
          </w:p>
        </w:tc>
        <w:tc>
          <w:tcPr>
            <w:tcW w:w="610" w:type="pct"/>
            <w:vAlign w:val="center"/>
          </w:tcPr>
          <w:p w:rsidR="00543939" w:rsidRPr="002E20DD" w:rsidRDefault="00543939" w:rsidP="00BE2E48">
            <w:pPr>
              <w:snapToGrid w:val="0"/>
              <w:jc w:val="both"/>
              <w:rPr>
                <w:color w:val="000000"/>
                <w:sz w:val="20"/>
                <w:szCs w:val="20"/>
              </w:rPr>
            </w:pPr>
            <w:r w:rsidRPr="002E20DD">
              <w:rPr>
                <w:color w:val="000000"/>
                <w:sz w:val="20"/>
                <w:szCs w:val="20"/>
              </w:rPr>
              <w:t>74</w:t>
            </w:r>
          </w:p>
        </w:tc>
        <w:tc>
          <w:tcPr>
            <w:tcW w:w="641" w:type="pct"/>
            <w:vAlign w:val="center"/>
          </w:tcPr>
          <w:p w:rsidR="00543939" w:rsidRPr="002E20DD" w:rsidRDefault="00543939" w:rsidP="00BE2E48">
            <w:pPr>
              <w:snapToGrid w:val="0"/>
              <w:jc w:val="both"/>
              <w:rPr>
                <w:color w:val="000000"/>
                <w:sz w:val="20"/>
                <w:szCs w:val="20"/>
              </w:rPr>
            </w:pPr>
            <w:r w:rsidRPr="002E20DD">
              <w:rPr>
                <w:color w:val="000000"/>
                <w:sz w:val="20"/>
                <w:szCs w:val="20"/>
              </w:rPr>
              <w:t>72</w:t>
            </w:r>
          </w:p>
        </w:tc>
      </w:tr>
    </w:tbl>
    <w:p w:rsidR="00543939" w:rsidRPr="002E20DD" w:rsidRDefault="00543939" w:rsidP="00EA2C42">
      <w:pPr>
        <w:snapToGrid w:val="0"/>
        <w:ind w:firstLine="425"/>
        <w:jc w:val="both"/>
        <w:rPr>
          <w:b/>
          <w:sz w:val="20"/>
          <w:szCs w:val="20"/>
        </w:rPr>
      </w:pPr>
    </w:p>
    <w:p w:rsidR="00EA2C42" w:rsidRPr="002E20DD" w:rsidRDefault="00EA2C42" w:rsidP="00EA2C42">
      <w:pPr>
        <w:snapToGrid w:val="0"/>
        <w:jc w:val="both"/>
        <w:rPr>
          <w:b/>
          <w:sz w:val="20"/>
          <w:szCs w:val="20"/>
        </w:rPr>
        <w:sectPr w:rsidR="00EA2C42" w:rsidRPr="002E20DD" w:rsidSect="00EA2C42">
          <w:footnotePr>
            <w:pos w:val="beneathText"/>
          </w:footnotePr>
          <w:type w:val="continuous"/>
          <w:pgSz w:w="12240" w:h="15840" w:code="1"/>
          <w:pgMar w:top="1440" w:right="1440" w:bottom="1440" w:left="1440" w:header="720" w:footer="720" w:gutter="0"/>
          <w:cols w:space="600"/>
          <w:docGrid w:linePitch="360"/>
        </w:sectPr>
      </w:pPr>
    </w:p>
    <w:p w:rsidR="002E20DD" w:rsidRDefault="00543939" w:rsidP="00EA2C42">
      <w:pPr>
        <w:snapToGrid w:val="0"/>
        <w:jc w:val="both"/>
        <w:rPr>
          <w:rFonts w:eastAsiaTheme="minorEastAsia" w:hint="eastAsia"/>
          <w:b/>
          <w:sz w:val="20"/>
          <w:szCs w:val="20"/>
          <w:lang w:eastAsia="zh-CN"/>
        </w:rPr>
      </w:pPr>
      <w:r w:rsidRPr="002E20DD">
        <w:rPr>
          <w:b/>
          <w:sz w:val="20"/>
          <w:szCs w:val="20"/>
        </w:rPr>
        <w:lastRenderedPageBreak/>
        <w:t xml:space="preserve">Duration of Storage System: </w:t>
      </w:r>
    </w:p>
    <w:p w:rsidR="00EA2C42" w:rsidRPr="002E20DD" w:rsidRDefault="00543939" w:rsidP="002E20DD">
      <w:pPr>
        <w:snapToGrid w:val="0"/>
        <w:ind w:firstLine="720"/>
        <w:jc w:val="both"/>
        <w:rPr>
          <w:rFonts w:eastAsiaTheme="minorEastAsia"/>
          <w:b/>
          <w:sz w:val="20"/>
          <w:szCs w:val="20"/>
          <w:lang w:eastAsia="zh-CN"/>
        </w:rPr>
      </w:pPr>
      <w:r w:rsidRPr="002E20DD">
        <w:rPr>
          <w:sz w:val="20"/>
          <w:szCs w:val="20"/>
        </w:rPr>
        <w:t xml:space="preserve">51% respondents submitted that </w:t>
      </w:r>
      <w:proofErr w:type="spellStart"/>
      <w:r w:rsidRPr="002E20DD">
        <w:rPr>
          <w:i/>
          <w:sz w:val="20"/>
          <w:szCs w:val="20"/>
        </w:rPr>
        <w:t>gari</w:t>
      </w:r>
      <w:proofErr w:type="spellEnd"/>
      <w:r w:rsidRPr="002E20DD">
        <w:rPr>
          <w:sz w:val="20"/>
          <w:szCs w:val="20"/>
        </w:rPr>
        <w:t xml:space="preserve"> takes up to 6 months in a drained store before deterioration occur, 24% respondents agreed that </w:t>
      </w:r>
      <w:proofErr w:type="spellStart"/>
      <w:r w:rsidRPr="002E20DD">
        <w:rPr>
          <w:i/>
          <w:sz w:val="20"/>
          <w:szCs w:val="20"/>
        </w:rPr>
        <w:t>fufu</w:t>
      </w:r>
      <w:proofErr w:type="spellEnd"/>
      <w:r w:rsidRPr="002E20DD">
        <w:rPr>
          <w:sz w:val="20"/>
          <w:szCs w:val="20"/>
        </w:rPr>
        <w:t xml:space="preserve"> deteriorates </w:t>
      </w:r>
      <w:r w:rsidRPr="002E20DD">
        <w:rPr>
          <w:sz w:val="20"/>
          <w:szCs w:val="20"/>
        </w:rPr>
        <w:lastRenderedPageBreak/>
        <w:t xml:space="preserve">within 4-6 days in basket and 28% respondents agreed that </w:t>
      </w:r>
      <w:proofErr w:type="spellStart"/>
      <w:r w:rsidRPr="002E20DD">
        <w:rPr>
          <w:i/>
          <w:sz w:val="20"/>
          <w:szCs w:val="20"/>
        </w:rPr>
        <w:t>lafun</w:t>
      </w:r>
      <w:proofErr w:type="spellEnd"/>
      <w:r w:rsidRPr="002E20DD">
        <w:rPr>
          <w:sz w:val="20"/>
          <w:szCs w:val="20"/>
        </w:rPr>
        <w:t xml:space="preserve"> deteriorates within 1-3 days, while 9% said starch</w:t>
      </w:r>
      <w:r w:rsidR="00BE2E48" w:rsidRPr="002E20DD">
        <w:rPr>
          <w:sz w:val="20"/>
          <w:szCs w:val="20"/>
        </w:rPr>
        <w:t xml:space="preserve"> </w:t>
      </w:r>
      <w:r w:rsidRPr="002E20DD">
        <w:rPr>
          <w:sz w:val="20"/>
          <w:szCs w:val="20"/>
        </w:rPr>
        <w:t>spent up to a month in refrigerator before deterioration takes place as presented in Table 3.</w:t>
      </w:r>
    </w:p>
    <w:p w:rsidR="00EA2C42" w:rsidRPr="002E20DD" w:rsidRDefault="00EA2C42" w:rsidP="00EA2C42">
      <w:pPr>
        <w:snapToGrid w:val="0"/>
        <w:jc w:val="center"/>
        <w:rPr>
          <w:b/>
          <w:sz w:val="20"/>
          <w:szCs w:val="20"/>
        </w:rPr>
        <w:sectPr w:rsidR="00EA2C42" w:rsidRPr="002E20DD" w:rsidSect="00EA2C42">
          <w:footnotePr>
            <w:pos w:val="beneathText"/>
          </w:footnotePr>
          <w:type w:val="continuous"/>
          <w:pgSz w:w="12240" w:h="15840" w:code="1"/>
          <w:pgMar w:top="1440" w:right="1440" w:bottom="1440" w:left="1440" w:header="720" w:footer="720" w:gutter="0"/>
          <w:cols w:num="2" w:space="600"/>
          <w:docGrid w:linePitch="360"/>
        </w:sectPr>
      </w:pPr>
    </w:p>
    <w:p w:rsidR="00EA2C42" w:rsidRPr="002E20DD" w:rsidRDefault="00EA2C42">
      <w:pPr>
        <w:suppressAutoHyphens w:val="0"/>
        <w:spacing w:after="200" w:line="276" w:lineRule="auto"/>
        <w:rPr>
          <w:b/>
          <w:sz w:val="20"/>
          <w:szCs w:val="20"/>
        </w:rPr>
      </w:pPr>
    </w:p>
    <w:p w:rsidR="002E20DD" w:rsidRDefault="002E20DD" w:rsidP="00EA2C42">
      <w:pPr>
        <w:snapToGrid w:val="0"/>
        <w:jc w:val="center"/>
        <w:rPr>
          <w:rFonts w:eastAsiaTheme="minorEastAsia" w:hint="eastAsia"/>
          <w:b/>
          <w:sz w:val="20"/>
          <w:szCs w:val="20"/>
          <w:lang w:eastAsia="zh-CN"/>
        </w:rPr>
      </w:pPr>
    </w:p>
    <w:p w:rsidR="00543939" w:rsidRPr="002E20DD" w:rsidRDefault="00543939" w:rsidP="00EA2C42">
      <w:pPr>
        <w:snapToGrid w:val="0"/>
        <w:jc w:val="center"/>
        <w:rPr>
          <w:b/>
          <w:sz w:val="20"/>
          <w:szCs w:val="20"/>
        </w:rPr>
      </w:pPr>
      <w:r w:rsidRPr="002E20DD">
        <w:rPr>
          <w:b/>
          <w:sz w:val="20"/>
          <w:szCs w:val="20"/>
        </w:rPr>
        <w:lastRenderedPageBreak/>
        <w:t>Table 3: Duration of Storage System</w:t>
      </w:r>
    </w:p>
    <w:tbl>
      <w:tblPr>
        <w:tblStyle w:val="TableGrid"/>
        <w:tblW w:w="5000" w:type="pct"/>
        <w:jc w:val="center"/>
        <w:tblLook w:val="04A0"/>
      </w:tblPr>
      <w:tblGrid>
        <w:gridCol w:w="2893"/>
        <w:gridCol w:w="1010"/>
        <w:gridCol w:w="1009"/>
        <w:gridCol w:w="1161"/>
        <w:gridCol w:w="1237"/>
        <w:gridCol w:w="1105"/>
        <w:gridCol w:w="1161"/>
      </w:tblGrid>
      <w:tr w:rsidR="00543939" w:rsidRPr="002E20DD" w:rsidTr="002E20DD">
        <w:trPr>
          <w:jc w:val="center"/>
        </w:trPr>
        <w:tc>
          <w:tcPr>
            <w:tcW w:w="1510" w:type="pct"/>
            <w:vAlign w:val="center"/>
          </w:tcPr>
          <w:p w:rsidR="00543939" w:rsidRPr="002E20DD" w:rsidRDefault="00543939" w:rsidP="00EA2C42">
            <w:pPr>
              <w:snapToGrid w:val="0"/>
              <w:jc w:val="both"/>
              <w:rPr>
                <w:b/>
                <w:color w:val="000000"/>
                <w:sz w:val="20"/>
                <w:szCs w:val="20"/>
              </w:rPr>
            </w:pPr>
            <w:r w:rsidRPr="002E20DD">
              <w:rPr>
                <w:b/>
                <w:color w:val="000000"/>
                <w:sz w:val="20"/>
                <w:szCs w:val="20"/>
              </w:rPr>
              <w:t>Storage Duration</w:t>
            </w:r>
          </w:p>
        </w:tc>
        <w:tc>
          <w:tcPr>
            <w:tcW w:w="527" w:type="pct"/>
            <w:vAlign w:val="center"/>
          </w:tcPr>
          <w:p w:rsidR="00543939" w:rsidRPr="002E20DD" w:rsidRDefault="00543939" w:rsidP="00EA2C42">
            <w:pPr>
              <w:snapToGrid w:val="0"/>
              <w:jc w:val="both"/>
              <w:rPr>
                <w:i/>
                <w:color w:val="000000"/>
                <w:sz w:val="20"/>
                <w:szCs w:val="20"/>
              </w:rPr>
            </w:pPr>
            <w:proofErr w:type="spellStart"/>
            <w:r w:rsidRPr="002E20DD">
              <w:rPr>
                <w:i/>
                <w:color w:val="000000"/>
                <w:sz w:val="20"/>
                <w:szCs w:val="20"/>
              </w:rPr>
              <w:t>Gari</w:t>
            </w:r>
            <w:proofErr w:type="spellEnd"/>
          </w:p>
        </w:tc>
        <w:tc>
          <w:tcPr>
            <w:tcW w:w="527" w:type="pct"/>
            <w:vAlign w:val="center"/>
          </w:tcPr>
          <w:p w:rsidR="00543939" w:rsidRPr="002E20DD" w:rsidRDefault="00543939" w:rsidP="00EA2C42">
            <w:pPr>
              <w:snapToGrid w:val="0"/>
              <w:jc w:val="both"/>
              <w:rPr>
                <w:i/>
                <w:color w:val="000000"/>
                <w:sz w:val="20"/>
                <w:szCs w:val="20"/>
              </w:rPr>
            </w:pPr>
            <w:proofErr w:type="spellStart"/>
            <w:r w:rsidRPr="002E20DD">
              <w:rPr>
                <w:i/>
                <w:color w:val="000000"/>
                <w:sz w:val="20"/>
                <w:szCs w:val="20"/>
              </w:rPr>
              <w:t>Fufu</w:t>
            </w:r>
            <w:proofErr w:type="spellEnd"/>
          </w:p>
        </w:tc>
        <w:tc>
          <w:tcPr>
            <w:tcW w:w="606" w:type="pct"/>
            <w:vAlign w:val="center"/>
          </w:tcPr>
          <w:p w:rsidR="00543939" w:rsidRPr="002E20DD" w:rsidRDefault="00543939" w:rsidP="00EA2C42">
            <w:pPr>
              <w:snapToGrid w:val="0"/>
              <w:jc w:val="both"/>
              <w:rPr>
                <w:i/>
                <w:color w:val="000000"/>
                <w:sz w:val="20"/>
                <w:szCs w:val="20"/>
              </w:rPr>
            </w:pPr>
            <w:proofErr w:type="spellStart"/>
            <w:r w:rsidRPr="002E20DD">
              <w:rPr>
                <w:i/>
                <w:color w:val="000000"/>
                <w:sz w:val="20"/>
                <w:szCs w:val="20"/>
              </w:rPr>
              <w:t>Lafun</w:t>
            </w:r>
            <w:proofErr w:type="spellEnd"/>
          </w:p>
        </w:tc>
        <w:tc>
          <w:tcPr>
            <w:tcW w:w="646" w:type="pct"/>
            <w:vAlign w:val="center"/>
          </w:tcPr>
          <w:p w:rsidR="00543939" w:rsidRPr="002E20DD" w:rsidRDefault="00543939" w:rsidP="00EA2C42">
            <w:pPr>
              <w:snapToGrid w:val="0"/>
              <w:jc w:val="both"/>
              <w:rPr>
                <w:color w:val="000000"/>
                <w:sz w:val="20"/>
                <w:szCs w:val="20"/>
              </w:rPr>
            </w:pPr>
            <w:r w:rsidRPr="002E20DD">
              <w:rPr>
                <w:color w:val="000000"/>
                <w:sz w:val="20"/>
                <w:szCs w:val="20"/>
              </w:rPr>
              <w:t>Starch</w:t>
            </w:r>
          </w:p>
        </w:tc>
        <w:tc>
          <w:tcPr>
            <w:tcW w:w="577" w:type="pct"/>
            <w:vAlign w:val="center"/>
          </w:tcPr>
          <w:p w:rsidR="00543939" w:rsidRPr="002E20DD" w:rsidRDefault="00543939" w:rsidP="00EA2C42">
            <w:pPr>
              <w:snapToGrid w:val="0"/>
              <w:jc w:val="both"/>
              <w:rPr>
                <w:color w:val="000000"/>
                <w:sz w:val="20"/>
                <w:szCs w:val="20"/>
              </w:rPr>
            </w:pPr>
            <w:r w:rsidRPr="002E20DD">
              <w:rPr>
                <w:color w:val="000000"/>
                <w:sz w:val="20"/>
                <w:szCs w:val="20"/>
              </w:rPr>
              <w:t>Flour</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Chips</w:t>
            </w:r>
          </w:p>
        </w:tc>
      </w:tr>
      <w:tr w:rsidR="00543939" w:rsidRPr="002E20DD" w:rsidTr="002E20DD">
        <w:trPr>
          <w:jc w:val="center"/>
        </w:trPr>
        <w:tc>
          <w:tcPr>
            <w:tcW w:w="1510" w:type="pct"/>
            <w:vAlign w:val="center"/>
          </w:tcPr>
          <w:p w:rsidR="00543939" w:rsidRPr="002E20DD" w:rsidRDefault="00543939" w:rsidP="00EA2C42">
            <w:pPr>
              <w:snapToGrid w:val="0"/>
              <w:jc w:val="both"/>
              <w:rPr>
                <w:color w:val="000000"/>
                <w:sz w:val="20"/>
                <w:szCs w:val="20"/>
              </w:rPr>
            </w:pPr>
            <w:r w:rsidRPr="002E20DD">
              <w:rPr>
                <w:color w:val="000000"/>
                <w:sz w:val="20"/>
                <w:szCs w:val="20"/>
              </w:rPr>
              <w:t>1 -3 days</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5</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21</w:t>
            </w:r>
          </w:p>
        </w:tc>
        <w:tc>
          <w:tcPr>
            <w:tcW w:w="64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57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r>
      <w:tr w:rsidR="00543939" w:rsidRPr="002E20DD" w:rsidTr="002E20DD">
        <w:trPr>
          <w:jc w:val="center"/>
        </w:trPr>
        <w:tc>
          <w:tcPr>
            <w:tcW w:w="1510" w:type="pct"/>
            <w:vAlign w:val="center"/>
          </w:tcPr>
          <w:p w:rsidR="00543939" w:rsidRPr="002E20DD" w:rsidRDefault="00543939" w:rsidP="00EA2C42">
            <w:pPr>
              <w:snapToGrid w:val="0"/>
              <w:jc w:val="both"/>
              <w:rPr>
                <w:color w:val="000000"/>
                <w:sz w:val="20"/>
                <w:szCs w:val="20"/>
              </w:rPr>
            </w:pPr>
            <w:r w:rsidRPr="002E20DD">
              <w:rPr>
                <w:color w:val="000000"/>
                <w:sz w:val="20"/>
                <w:szCs w:val="20"/>
              </w:rPr>
              <w:t>4 – 6 days</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18</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46" w:type="pct"/>
            <w:vAlign w:val="center"/>
          </w:tcPr>
          <w:p w:rsidR="00543939" w:rsidRPr="002E20DD" w:rsidRDefault="00543939" w:rsidP="00EA2C42">
            <w:pPr>
              <w:snapToGrid w:val="0"/>
              <w:jc w:val="both"/>
              <w:rPr>
                <w:color w:val="000000"/>
                <w:sz w:val="20"/>
                <w:szCs w:val="20"/>
              </w:rPr>
            </w:pPr>
            <w:r w:rsidRPr="002E20DD">
              <w:rPr>
                <w:color w:val="000000"/>
                <w:sz w:val="20"/>
                <w:szCs w:val="20"/>
              </w:rPr>
              <w:t>3</w:t>
            </w:r>
          </w:p>
        </w:tc>
        <w:tc>
          <w:tcPr>
            <w:tcW w:w="57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2</w:t>
            </w:r>
          </w:p>
        </w:tc>
      </w:tr>
      <w:tr w:rsidR="00543939" w:rsidRPr="002E20DD" w:rsidTr="002E20DD">
        <w:trPr>
          <w:jc w:val="center"/>
        </w:trPr>
        <w:tc>
          <w:tcPr>
            <w:tcW w:w="1510" w:type="pct"/>
            <w:vAlign w:val="center"/>
          </w:tcPr>
          <w:p w:rsidR="00543939" w:rsidRPr="002E20DD" w:rsidRDefault="00543939" w:rsidP="00EA2C42">
            <w:pPr>
              <w:snapToGrid w:val="0"/>
              <w:jc w:val="both"/>
              <w:rPr>
                <w:color w:val="000000"/>
                <w:sz w:val="20"/>
                <w:szCs w:val="20"/>
              </w:rPr>
            </w:pPr>
            <w:r w:rsidRPr="002E20DD">
              <w:rPr>
                <w:color w:val="000000"/>
                <w:sz w:val="20"/>
                <w:szCs w:val="20"/>
              </w:rPr>
              <w:t>1 week</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2</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46" w:type="pct"/>
            <w:vAlign w:val="center"/>
          </w:tcPr>
          <w:p w:rsidR="00543939" w:rsidRPr="002E20DD" w:rsidRDefault="00543939" w:rsidP="00EA2C42">
            <w:pPr>
              <w:snapToGrid w:val="0"/>
              <w:jc w:val="both"/>
              <w:rPr>
                <w:color w:val="000000"/>
                <w:sz w:val="20"/>
                <w:szCs w:val="20"/>
              </w:rPr>
            </w:pPr>
            <w:r w:rsidRPr="002E20DD">
              <w:rPr>
                <w:color w:val="000000"/>
                <w:sz w:val="20"/>
                <w:szCs w:val="20"/>
              </w:rPr>
              <w:t>3</w:t>
            </w:r>
          </w:p>
        </w:tc>
        <w:tc>
          <w:tcPr>
            <w:tcW w:w="577" w:type="pct"/>
            <w:vAlign w:val="center"/>
          </w:tcPr>
          <w:p w:rsidR="00543939" w:rsidRPr="002E20DD" w:rsidRDefault="00543939" w:rsidP="00EA2C42">
            <w:pPr>
              <w:snapToGrid w:val="0"/>
              <w:jc w:val="both"/>
              <w:rPr>
                <w:color w:val="000000"/>
                <w:sz w:val="20"/>
                <w:szCs w:val="20"/>
              </w:rPr>
            </w:pPr>
            <w:r w:rsidRPr="002E20DD">
              <w:rPr>
                <w:color w:val="000000"/>
                <w:sz w:val="20"/>
                <w:szCs w:val="20"/>
              </w:rPr>
              <w:t>1</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1</w:t>
            </w:r>
          </w:p>
        </w:tc>
      </w:tr>
      <w:tr w:rsidR="00543939" w:rsidRPr="002E20DD" w:rsidTr="002E20DD">
        <w:trPr>
          <w:jc w:val="center"/>
        </w:trPr>
        <w:tc>
          <w:tcPr>
            <w:tcW w:w="1510" w:type="pct"/>
            <w:vAlign w:val="center"/>
          </w:tcPr>
          <w:p w:rsidR="00543939" w:rsidRPr="002E20DD" w:rsidRDefault="00543939" w:rsidP="00EA2C42">
            <w:pPr>
              <w:snapToGrid w:val="0"/>
              <w:jc w:val="both"/>
              <w:rPr>
                <w:color w:val="000000"/>
                <w:sz w:val="20"/>
                <w:szCs w:val="20"/>
              </w:rPr>
            </w:pPr>
            <w:r w:rsidRPr="002E20DD">
              <w:rPr>
                <w:color w:val="000000"/>
                <w:sz w:val="20"/>
                <w:szCs w:val="20"/>
              </w:rPr>
              <w:t>1 – 4 months</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26</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46" w:type="pct"/>
            <w:vAlign w:val="center"/>
          </w:tcPr>
          <w:p w:rsidR="00543939" w:rsidRPr="002E20DD" w:rsidRDefault="00543939" w:rsidP="00EA2C42">
            <w:pPr>
              <w:snapToGrid w:val="0"/>
              <w:jc w:val="both"/>
              <w:rPr>
                <w:color w:val="000000"/>
                <w:sz w:val="20"/>
                <w:szCs w:val="20"/>
              </w:rPr>
            </w:pPr>
            <w:r w:rsidRPr="002E20DD">
              <w:rPr>
                <w:color w:val="000000"/>
                <w:sz w:val="20"/>
                <w:szCs w:val="20"/>
              </w:rPr>
              <w:t>7</w:t>
            </w:r>
          </w:p>
        </w:tc>
        <w:tc>
          <w:tcPr>
            <w:tcW w:w="57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r>
      <w:tr w:rsidR="00543939" w:rsidRPr="002E20DD" w:rsidTr="002E20DD">
        <w:trPr>
          <w:jc w:val="center"/>
        </w:trPr>
        <w:tc>
          <w:tcPr>
            <w:tcW w:w="1510" w:type="pct"/>
            <w:vAlign w:val="center"/>
          </w:tcPr>
          <w:p w:rsidR="00543939" w:rsidRPr="002E20DD" w:rsidRDefault="00543939" w:rsidP="00EA2C42">
            <w:pPr>
              <w:snapToGrid w:val="0"/>
              <w:jc w:val="both"/>
              <w:rPr>
                <w:color w:val="000000"/>
                <w:sz w:val="20"/>
                <w:szCs w:val="20"/>
              </w:rPr>
            </w:pPr>
            <w:r w:rsidRPr="002E20DD">
              <w:rPr>
                <w:color w:val="000000"/>
                <w:sz w:val="20"/>
                <w:szCs w:val="20"/>
              </w:rPr>
              <w:t>6 months</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38</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4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577"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w:t>
            </w:r>
          </w:p>
        </w:tc>
      </w:tr>
      <w:tr w:rsidR="00543939" w:rsidRPr="002E20DD" w:rsidTr="002E20DD">
        <w:trPr>
          <w:jc w:val="center"/>
        </w:trPr>
        <w:tc>
          <w:tcPr>
            <w:tcW w:w="1510" w:type="pct"/>
            <w:vAlign w:val="center"/>
          </w:tcPr>
          <w:p w:rsidR="00543939" w:rsidRPr="002E20DD" w:rsidRDefault="00543939" w:rsidP="00EA2C42">
            <w:pPr>
              <w:snapToGrid w:val="0"/>
              <w:jc w:val="both"/>
              <w:rPr>
                <w:color w:val="000000"/>
                <w:sz w:val="20"/>
                <w:szCs w:val="20"/>
              </w:rPr>
            </w:pPr>
            <w:r w:rsidRPr="002E20DD">
              <w:rPr>
                <w:color w:val="000000"/>
                <w:sz w:val="20"/>
                <w:szCs w:val="20"/>
              </w:rPr>
              <w:t>No response</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11</w:t>
            </w:r>
          </w:p>
        </w:tc>
        <w:tc>
          <w:tcPr>
            <w:tcW w:w="527" w:type="pct"/>
            <w:vAlign w:val="center"/>
          </w:tcPr>
          <w:p w:rsidR="00543939" w:rsidRPr="002E20DD" w:rsidRDefault="00543939" w:rsidP="00EA2C42">
            <w:pPr>
              <w:snapToGrid w:val="0"/>
              <w:jc w:val="both"/>
              <w:rPr>
                <w:color w:val="000000"/>
                <w:sz w:val="20"/>
                <w:szCs w:val="20"/>
              </w:rPr>
            </w:pPr>
            <w:r w:rsidRPr="002E20DD">
              <w:rPr>
                <w:color w:val="000000"/>
                <w:sz w:val="20"/>
                <w:szCs w:val="20"/>
              </w:rPr>
              <w:t>50</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54</w:t>
            </w:r>
          </w:p>
        </w:tc>
        <w:tc>
          <w:tcPr>
            <w:tcW w:w="646" w:type="pct"/>
            <w:vAlign w:val="center"/>
          </w:tcPr>
          <w:p w:rsidR="00543939" w:rsidRPr="002E20DD" w:rsidRDefault="00543939" w:rsidP="00EA2C42">
            <w:pPr>
              <w:snapToGrid w:val="0"/>
              <w:jc w:val="both"/>
              <w:rPr>
                <w:color w:val="000000"/>
                <w:sz w:val="20"/>
                <w:szCs w:val="20"/>
              </w:rPr>
            </w:pPr>
            <w:r w:rsidRPr="002E20DD">
              <w:rPr>
                <w:color w:val="000000"/>
                <w:sz w:val="20"/>
                <w:szCs w:val="20"/>
              </w:rPr>
              <w:t>62</w:t>
            </w:r>
          </w:p>
        </w:tc>
        <w:tc>
          <w:tcPr>
            <w:tcW w:w="577" w:type="pct"/>
            <w:vAlign w:val="center"/>
          </w:tcPr>
          <w:p w:rsidR="00543939" w:rsidRPr="002E20DD" w:rsidRDefault="00543939" w:rsidP="00EA2C42">
            <w:pPr>
              <w:snapToGrid w:val="0"/>
              <w:jc w:val="both"/>
              <w:rPr>
                <w:color w:val="000000"/>
                <w:sz w:val="20"/>
                <w:szCs w:val="20"/>
              </w:rPr>
            </w:pPr>
            <w:r w:rsidRPr="002E20DD">
              <w:rPr>
                <w:color w:val="000000"/>
                <w:sz w:val="20"/>
                <w:szCs w:val="20"/>
              </w:rPr>
              <w:t>74</w:t>
            </w:r>
          </w:p>
        </w:tc>
        <w:tc>
          <w:tcPr>
            <w:tcW w:w="606" w:type="pct"/>
            <w:vAlign w:val="center"/>
          </w:tcPr>
          <w:p w:rsidR="00543939" w:rsidRPr="002E20DD" w:rsidRDefault="00543939" w:rsidP="00EA2C42">
            <w:pPr>
              <w:snapToGrid w:val="0"/>
              <w:jc w:val="both"/>
              <w:rPr>
                <w:color w:val="000000"/>
                <w:sz w:val="20"/>
                <w:szCs w:val="20"/>
              </w:rPr>
            </w:pPr>
            <w:r w:rsidRPr="002E20DD">
              <w:rPr>
                <w:color w:val="000000"/>
                <w:sz w:val="20"/>
                <w:szCs w:val="20"/>
              </w:rPr>
              <w:t>72</w:t>
            </w:r>
          </w:p>
        </w:tc>
      </w:tr>
    </w:tbl>
    <w:p w:rsidR="00543939" w:rsidRPr="002E20DD" w:rsidRDefault="00543939" w:rsidP="00EA2C42">
      <w:pPr>
        <w:snapToGrid w:val="0"/>
        <w:ind w:firstLine="425"/>
        <w:jc w:val="both"/>
        <w:rPr>
          <w:b/>
          <w:sz w:val="20"/>
          <w:szCs w:val="20"/>
        </w:rPr>
      </w:pPr>
    </w:p>
    <w:p w:rsidR="00EA2C42" w:rsidRPr="002E20DD" w:rsidRDefault="00EA2C42" w:rsidP="00EA2C42">
      <w:pPr>
        <w:snapToGrid w:val="0"/>
        <w:jc w:val="both"/>
        <w:rPr>
          <w:b/>
          <w:sz w:val="20"/>
          <w:szCs w:val="20"/>
        </w:rPr>
        <w:sectPr w:rsidR="00EA2C42" w:rsidRPr="002E20DD" w:rsidSect="00EA2C42">
          <w:footnotePr>
            <w:pos w:val="beneathText"/>
          </w:footnotePr>
          <w:type w:val="continuous"/>
          <w:pgSz w:w="12240" w:h="15840" w:code="1"/>
          <w:pgMar w:top="1440" w:right="1440" w:bottom="1440" w:left="1440" w:header="720" w:footer="720" w:gutter="0"/>
          <w:cols w:space="600"/>
          <w:docGrid w:linePitch="360"/>
        </w:sectPr>
      </w:pPr>
    </w:p>
    <w:p w:rsidR="00543939" w:rsidRPr="002E20DD" w:rsidRDefault="00A02C92" w:rsidP="00EA2C42">
      <w:pPr>
        <w:snapToGrid w:val="0"/>
        <w:jc w:val="both"/>
        <w:rPr>
          <w:b/>
          <w:sz w:val="20"/>
          <w:szCs w:val="20"/>
        </w:rPr>
      </w:pPr>
      <w:r w:rsidRPr="002E20DD">
        <w:rPr>
          <w:b/>
          <w:sz w:val="20"/>
          <w:szCs w:val="20"/>
        </w:rPr>
        <w:lastRenderedPageBreak/>
        <w:t>4</w:t>
      </w:r>
      <w:r w:rsidR="00F717F7" w:rsidRPr="002E20DD">
        <w:rPr>
          <w:b/>
          <w:sz w:val="20"/>
          <w:szCs w:val="20"/>
        </w:rPr>
        <w:t>. Conclusion</w:t>
      </w:r>
    </w:p>
    <w:p w:rsidR="00543939" w:rsidRPr="002E20DD" w:rsidRDefault="00543939" w:rsidP="00EA2C42">
      <w:pPr>
        <w:snapToGrid w:val="0"/>
        <w:ind w:firstLine="425"/>
        <w:jc w:val="both"/>
        <w:rPr>
          <w:sz w:val="20"/>
          <w:szCs w:val="20"/>
        </w:rPr>
      </w:pPr>
      <w:r w:rsidRPr="002E20DD">
        <w:rPr>
          <w:sz w:val="20"/>
          <w:szCs w:val="20"/>
        </w:rPr>
        <w:t xml:space="preserve">Cassava products are one of the most consumed food products because of it availability, nutrient content and low cost. The most commonly used packaging material for cassava products is Nylon because of its relative availability, ease of use and cost while the most commonly consumed cassava products is </w:t>
      </w:r>
      <w:proofErr w:type="spellStart"/>
      <w:r w:rsidRPr="002E20DD">
        <w:rPr>
          <w:i/>
          <w:sz w:val="20"/>
          <w:szCs w:val="20"/>
        </w:rPr>
        <w:t>Gari</w:t>
      </w:r>
      <w:proofErr w:type="spellEnd"/>
      <w:r w:rsidRPr="002E20DD">
        <w:rPr>
          <w:sz w:val="20"/>
          <w:szCs w:val="20"/>
        </w:rPr>
        <w:t xml:space="preserve"> because it is a fast food that some people consume for refreshment before taking any other food. </w:t>
      </w:r>
      <w:proofErr w:type="spellStart"/>
      <w:r w:rsidRPr="002E20DD">
        <w:rPr>
          <w:i/>
          <w:sz w:val="20"/>
          <w:szCs w:val="20"/>
        </w:rPr>
        <w:t>Fufu</w:t>
      </w:r>
      <w:proofErr w:type="spellEnd"/>
      <w:r w:rsidRPr="002E20DD">
        <w:rPr>
          <w:sz w:val="20"/>
          <w:szCs w:val="20"/>
        </w:rPr>
        <w:t xml:space="preserve"> is mostly consumed by </w:t>
      </w:r>
      <w:r w:rsidRPr="002E20DD">
        <w:rPr>
          <w:i/>
          <w:sz w:val="20"/>
          <w:szCs w:val="20"/>
        </w:rPr>
        <w:t>Igbo</w:t>
      </w:r>
      <w:r w:rsidRPr="002E20DD">
        <w:rPr>
          <w:sz w:val="20"/>
          <w:szCs w:val="20"/>
        </w:rPr>
        <w:t xml:space="preserve"> ethnic group in Ibadan South-West Local Government because of its satisfaction and solidity while starch is used for clothing. </w:t>
      </w:r>
      <w:proofErr w:type="spellStart"/>
      <w:r w:rsidRPr="002E20DD">
        <w:rPr>
          <w:i/>
          <w:sz w:val="20"/>
          <w:szCs w:val="20"/>
        </w:rPr>
        <w:t>Lafun</w:t>
      </w:r>
      <w:proofErr w:type="spellEnd"/>
      <w:r w:rsidRPr="002E20DD">
        <w:rPr>
          <w:sz w:val="20"/>
          <w:szCs w:val="20"/>
        </w:rPr>
        <w:t xml:space="preserve"> is mostly consumed by Yoruba ethnic group in Ibadan South-West Local Government.</w:t>
      </w:r>
    </w:p>
    <w:p w:rsidR="00EC1399" w:rsidRPr="002E20DD" w:rsidRDefault="00EC1399" w:rsidP="00EA2C42">
      <w:pPr>
        <w:snapToGrid w:val="0"/>
        <w:jc w:val="both"/>
        <w:rPr>
          <w:b/>
          <w:sz w:val="20"/>
          <w:szCs w:val="20"/>
        </w:rPr>
      </w:pPr>
    </w:p>
    <w:p w:rsidR="001618E1" w:rsidRPr="002E20DD" w:rsidRDefault="001618E1" w:rsidP="00EA2C42">
      <w:pPr>
        <w:snapToGrid w:val="0"/>
        <w:jc w:val="both"/>
        <w:rPr>
          <w:b/>
          <w:sz w:val="20"/>
          <w:szCs w:val="20"/>
        </w:rPr>
      </w:pPr>
      <w:r w:rsidRPr="002E20DD">
        <w:rPr>
          <w:b/>
          <w:sz w:val="20"/>
          <w:szCs w:val="20"/>
        </w:rPr>
        <w:t>Acknowledgements:</w:t>
      </w:r>
    </w:p>
    <w:p w:rsidR="001618E1" w:rsidRPr="002E20DD" w:rsidRDefault="001618E1" w:rsidP="00EA2C42">
      <w:pPr>
        <w:snapToGrid w:val="0"/>
        <w:ind w:firstLine="425"/>
        <w:jc w:val="both"/>
        <w:rPr>
          <w:sz w:val="20"/>
          <w:szCs w:val="20"/>
        </w:rPr>
      </w:pPr>
      <w:r w:rsidRPr="002E20DD">
        <w:rPr>
          <w:sz w:val="20"/>
          <w:szCs w:val="20"/>
        </w:rPr>
        <w:t xml:space="preserve">Authors are </w:t>
      </w:r>
      <w:r w:rsidR="00EC1399" w:rsidRPr="002E20DD">
        <w:rPr>
          <w:sz w:val="20"/>
          <w:szCs w:val="20"/>
        </w:rPr>
        <w:t xml:space="preserve">sincerely </w:t>
      </w:r>
      <w:r w:rsidRPr="002E20DD">
        <w:rPr>
          <w:sz w:val="20"/>
          <w:szCs w:val="20"/>
        </w:rPr>
        <w:t xml:space="preserve">grateful to the Department of </w:t>
      </w:r>
      <w:r w:rsidR="00EC1399" w:rsidRPr="002E20DD">
        <w:rPr>
          <w:sz w:val="20"/>
          <w:szCs w:val="20"/>
        </w:rPr>
        <w:t>Agricultural Engineering</w:t>
      </w:r>
      <w:r w:rsidRPr="002E20DD">
        <w:rPr>
          <w:sz w:val="20"/>
          <w:szCs w:val="20"/>
        </w:rPr>
        <w:t xml:space="preserve">, </w:t>
      </w:r>
      <w:r w:rsidR="00EC1399" w:rsidRPr="002E20DD">
        <w:rPr>
          <w:sz w:val="20"/>
          <w:szCs w:val="20"/>
        </w:rPr>
        <w:t xml:space="preserve">Federal College of Agriculture, Moor </w:t>
      </w:r>
      <w:proofErr w:type="spellStart"/>
      <w:r w:rsidR="00EC1399" w:rsidRPr="002E20DD">
        <w:rPr>
          <w:sz w:val="20"/>
          <w:szCs w:val="20"/>
        </w:rPr>
        <w:t>Planataionm</w:t>
      </w:r>
      <w:proofErr w:type="spellEnd"/>
      <w:r w:rsidR="00EC1399" w:rsidRPr="002E20DD">
        <w:rPr>
          <w:sz w:val="20"/>
          <w:szCs w:val="20"/>
        </w:rPr>
        <w:t xml:space="preserve">, </w:t>
      </w:r>
      <w:proofErr w:type="spellStart"/>
      <w:r w:rsidR="00EC1399" w:rsidRPr="002E20DD">
        <w:rPr>
          <w:sz w:val="20"/>
          <w:szCs w:val="20"/>
        </w:rPr>
        <w:t>Apata</w:t>
      </w:r>
      <w:proofErr w:type="spellEnd"/>
      <w:r w:rsidR="00EC1399" w:rsidRPr="002E20DD">
        <w:rPr>
          <w:sz w:val="20"/>
          <w:szCs w:val="20"/>
        </w:rPr>
        <w:t xml:space="preserve">, Ibadan, Nigeria and </w:t>
      </w:r>
      <w:r w:rsidR="000E6715" w:rsidRPr="002E20DD">
        <w:rPr>
          <w:sz w:val="20"/>
          <w:szCs w:val="20"/>
        </w:rPr>
        <w:t xml:space="preserve">the entire indigenes of </w:t>
      </w:r>
      <w:r w:rsidR="00EC1399" w:rsidRPr="002E20DD">
        <w:rPr>
          <w:sz w:val="20"/>
          <w:szCs w:val="20"/>
        </w:rPr>
        <w:t xml:space="preserve">Ibadan </w:t>
      </w:r>
      <w:r w:rsidR="00987D09" w:rsidRPr="002E20DD">
        <w:rPr>
          <w:sz w:val="20"/>
          <w:szCs w:val="20"/>
        </w:rPr>
        <w:t xml:space="preserve">South </w:t>
      </w:r>
      <w:r w:rsidR="000E6715" w:rsidRPr="002E20DD">
        <w:rPr>
          <w:sz w:val="20"/>
          <w:szCs w:val="20"/>
        </w:rPr>
        <w:t xml:space="preserve">West local government of Oyo State, Nigeria </w:t>
      </w:r>
      <w:r w:rsidRPr="002E20DD">
        <w:rPr>
          <w:sz w:val="20"/>
          <w:szCs w:val="20"/>
        </w:rPr>
        <w:t xml:space="preserve">for </w:t>
      </w:r>
      <w:r w:rsidR="000E6715" w:rsidRPr="002E20DD">
        <w:rPr>
          <w:sz w:val="20"/>
          <w:szCs w:val="20"/>
        </w:rPr>
        <w:t xml:space="preserve">their </w:t>
      </w:r>
      <w:r w:rsidRPr="002E20DD">
        <w:rPr>
          <w:sz w:val="20"/>
          <w:szCs w:val="20"/>
        </w:rPr>
        <w:t xml:space="preserve">support </w:t>
      </w:r>
      <w:r w:rsidR="000E6715" w:rsidRPr="002E20DD">
        <w:rPr>
          <w:sz w:val="20"/>
          <w:szCs w:val="20"/>
        </w:rPr>
        <w:t>in the course of executing this research.</w:t>
      </w:r>
    </w:p>
    <w:p w:rsidR="001618E1" w:rsidRPr="002E20DD" w:rsidRDefault="00BE2E48" w:rsidP="00EA2C42">
      <w:pPr>
        <w:snapToGrid w:val="0"/>
        <w:jc w:val="both"/>
        <w:rPr>
          <w:rFonts w:eastAsiaTheme="minorEastAsia"/>
          <w:sz w:val="20"/>
          <w:szCs w:val="20"/>
          <w:lang w:eastAsia="zh-CN"/>
        </w:rPr>
      </w:pPr>
      <w:r w:rsidRPr="002E20DD">
        <w:rPr>
          <w:rFonts w:eastAsiaTheme="minorEastAsia" w:hint="eastAsia"/>
          <w:sz w:val="20"/>
          <w:szCs w:val="20"/>
          <w:lang w:eastAsia="zh-CN"/>
        </w:rPr>
        <w:t xml:space="preserve"> </w:t>
      </w:r>
    </w:p>
    <w:p w:rsidR="001618E1" w:rsidRPr="002E20DD" w:rsidRDefault="001618E1" w:rsidP="00EA2C42">
      <w:pPr>
        <w:snapToGrid w:val="0"/>
        <w:jc w:val="both"/>
        <w:rPr>
          <w:b/>
          <w:sz w:val="20"/>
          <w:szCs w:val="20"/>
        </w:rPr>
      </w:pPr>
      <w:r w:rsidRPr="002E20DD">
        <w:rPr>
          <w:b/>
          <w:sz w:val="20"/>
          <w:szCs w:val="20"/>
        </w:rPr>
        <w:t>Corresponding Author:</w:t>
      </w:r>
    </w:p>
    <w:p w:rsidR="001618E1" w:rsidRPr="002E20DD" w:rsidRDefault="00DF6144" w:rsidP="00EA2C42">
      <w:pPr>
        <w:snapToGrid w:val="0"/>
        <w:jc w:val="both"/>
        <w:rPr>
          <w:sz w:val="20"/>
          <w:szCs w:val="20"/>
        </w:rPr>
      </w:pPr>
      <w:proofErr w:type="spellStart"/>
      <w:r w:rsidRPr="002E20DD">
        <w:rPr>
          <w:sz w:val="20"/>
          <w:szCs w:val="20"/>
        </w:rPr>
        <w:t>Makinde</w:t>
      </w:r>
      <w:proofErr w:type="spellEnd"/>
      <w:r w:rsidRPr="002E20DD">
        <w:rPr>
          <w:sz w:val="20"/>
          <w:szCs w:val="20"/>
        </w:rPr>
        <w:t xml:space="preserve">, </w:t>
      </w:r>
      <w:proofErr w:type="spellStart"/>
      <w:r w:rsidRPr="002E20DD">
        <w:rPr>
          <w:sz w:val="20"/>
          <w:szCs w:val="20"/>
        </w:rPr>
        <w:t>Oluyemi</w:t>
      </w:r>
      <w:proofErr w:type="spellEnd"/>
      <w:r w:rsidR="00395768" w:rsidRPr="002E20DD">
        <w:rPr>
          <w:sz w:val="20"/>
          <w:szCs w:val="20"/>
        </w:rPr>
        <w:t xml:space="preserve"> </w:t>
      </w:r>
      <w:proofErr w:type="spellStart"/>
      <w:r w:rsidR="00395768" w:rsidRPr="002E20DD">
        <w:rPr>
          <w:sz w:val="20"/>
          <w:szCs w:val="20"/>
        </w:rPr>
        <w:t>Olusegun</w:t>
      </w:r>
      <w:proofErr w:type="spellEnd"/>
    </w:p>
    <w:p w:rsidR="00DF6144" w:rsidRPr="002E20DD" w:rsidRDefault="001618E1" w:rsidP="00EA2C42">
      <w:pPr>
        <w:snapToGrid w:val="0"/>
        <w:jc w:val="both"/>
        <w:rPr>
          <w:sz w:val="20"/>
          <w:szCs w:val="20"/>
        </w:rPr>
      </w:pPr>
      <w:r w:rsidRPr="002E20DD">
        <w:rPr>
          <w:sz w:val="20"/>
          <w:szCs w:val="20"/>
        </w:rPr>
        <w:t xml:space="preserve">Department of </w:t>
      </w:r>
      <w:r w:rsidR="00DF6144" w:rsidRPr="002E20DD">
        <w:rPr>
          <w:sz w:val="20"/>
          <w:szCs w:val="20"/>
        </w:rPr>
        <w:t>Agricultural and Environmental Engineering,</w:t>
      </w:r>
      <w:r w:rsidR="00EA2C42" w:rsidRPr="002E20DD">
        <w:rPr>
          <w:rFonts w:eastAsiaTheme="minorEastAsia" w:hint="eastAsia"/>
          <w:sz w:val="20"/>
          <w:szCs w:val="20"/>
          <w:lang w:eastAsia="zh-CN"/>
        </w:rPr>
        <w:t xml:space="preserve"> </w:t>
      </w:r>
      <w:r w:rsidR="00DF6144" w:rsidRPr="002E20DD">
        <w:rPr>
          <w:sz w:val="20"/>
          <w:szCs w:val="20"/>
        </w:rPr>
        <w:t>University of Ibadan, Ibadan, Nigeria</w:t>
      </w:r>
    </w:p>
    <w:p w:rsidR="001618E1" w:rsidRPr="002E20DD" w:rsidRDefault="001618E1" w:rsidP="00EA2C42">
      <w:pPr>
        <w:snapToGrid w:val="0"/>
        <w:jc w:val="both"/>
        <w:rPr>
          <w:sz w:val="20"/>
          <w:szCs w:val="20"/>
        </w:rPr>
      </w:pPr>
    </w:p>
    <w:p w:rsidR="001618E1" w:rsidRPr="002E20DD" w:rsidRDefault="001618E1" w:rsidP="00EA2C42">
      <w:pPr>
        <w:snapToGrid w:val="0"/>
        <w:jc w:val="both"/>
        <w:rPr>
          <w:b/>
          <w:sz w:val="20"/>
          <w:szCs w:val="20"/>
        </w:rPr>
      </w:pPr>
      <w:r w:rsidRPr="002E20DD">
        <w:rPr>
          <w:b/>
          <w:sz w:val="20"/>
          <w:szCs w:val="20"/>
        </w:rPr>
        <w:t>References</w:t>
      </w:r>
    </w:p>
    <w:p w:rsidR="00BE2E48" w:rsidRPr="002E20DD" w:rsidRDefault="009C60E0" w:rsidP="00EA2C42">
      <w:pPr>
        <w:numPr>
          <w:ilvl w:val="0"/>
          <w:numId w:val="1"/>
        </w:numPr>
        <w:tabs>
          <w:tab w:val="clear" w:pos="720"/>
        </w:tabs>
        <w:snapToGrid w:val="0"/>
        <w:ind w:left="425" w:hanging="425"/>
        <w:jc w:val="both"/>
        <w:rPr>
          <w:sz w:val="20"/>
          <w:szCs w:val="20"/>
        </w:rPr>
      </w:pPr>
      <w:proofErr w:type="spellStart"/>
      <w:r w:rsidRPr="002E20DD">
        <w:rPr>
          <w:sz w:val="20"/>
          <w:szCs w:val="20"/>
        </w:rPr>
        <w:t>Aregheore</w:t>
      </w:r>
      <w:proofErr w:type="spellEnd"/>
      <w:r w:rsidRPr="002E20DD">
        <w:rPr>
          <w:sz w:val="20"/>
          <w:szCs w:val="20"/>
        </w:rPr>
        <w:t xml:space="preserve">, E. M. and </w:t>
      </w:r>
      <w:proofErr w:type="spellStart"/>
      <w:r w:rsidRPr="002E20DD">
        <w:rPr>
          <w:sz w:val="20"/>
          <w:szCs w:val="20"/>
        </w:rPr>
        <w:t>Agunbiade</w:t>
      </w:r>
      <w:proofErr w:type="spellEnd"/>
      <w:r w:rsidRPr="002E20DD">
        <w:rPr>
          <w:sz w:val="20"/>
          <w:szCs w:val="20"/>
        </w:rPr>
        <w:t>, O. O. (1991):</w:t>
      </w:r>
      <w:r w:rsidR="00BE2E48" w:rsidRPr="002E20DD">
        <w:rPr>
          <w:sz w:val="20"/>
          <w:szCs w:val="20"/>
        </w:rPr>
        <w:t xml:space="preserve"> </w:t>
      </w:r>
      <w:r w:rsidRPr="002E20DD">
        <w:rPr>
          <w:sz w:val="20"/>
          <w:szCs w:val="20"/>
        </w:rPr>
        <w:t>The toxic effect of cassava (</w:t>
      </w:r>
      <w:proofErr w:type="spellStart"/>
      <w:r w:rsidRPr="002E20DD">
        <w:rPr>
          <w:i/>
          <w:sz w:val="20"/>
          <w:szCs w:val="20"/>
        </w:rPr>
        <w:t>Manihot</w:t>
      </w:r>
      <w:proofErr w:type="spellEnd"/>
      <w:r w:rsidRPr="002E20DD">
        <w:rPr>
          <w:i/>
          <w:sz w:val="20"/>
          <w:szCs w:val="20"/>
        </w:rPr>
        <w:t xml:space="preserve"> </w:t>
      </w:r>
      <w:proofErr w:type="spellStart"/>
      <w:r w:rsidRPr="002E20DD">
        <w:rPr>
          <w:i/>
          <w:sz w:val="20"/>
          <w:szCs w:val="20"/>
        </w:rPr>
        <w:t>esculenta</w:t>
      </w:r>
      <w:proofErr w:type="spellEnd"/>
      <w:r w:rsidRPr="002E20DD">
        <w:rPr>
          <w:sz w:val="20"/>
          <w:szCs w:val="20"/>
        </w:rPr>
        <w:t xml:space="preserve"> </w:t>
      </w:r>
      <w:proofErr w:type="spellStart"/>
      <w:r w:rsidRPr="002E20DD">
        <w:rPr>
          <w:sz w:val="20"/>
          <w:szCs w:val="20"/>
        </w:rPr>
        <w:t>grantz</w:t>
      </w:r>
      <w:proofErr w:type="spellEnd"/>
      <w:r w:rsidRPr="002E20DD">
        <w:rPr>
          <w:sz w:val="20"/>
          <w:szCs w:val="20"/>
        </w:rPr>
        <w:t>) diet on human: Nigeria Journal of Metabolic Brain Disease. 33(3): 27</w:t>
      </w:r>
      <w:r w:rsidR="00BE2E48" w:rsidRPr="002E20DD">
        <w:rPr>
          <w:sz w:val="20"/>
          <w:szCs w:val="20"/>
        </w:rPr>
        <w:t>4.</w:t>
      </w:r>
    </w:p>
    <w:p w:rsidR="009C60E0" w:rsidRPr="002E20DD" w:rsidRDefault="009C60E0" w:rsidP="00EA2C42">
      <w:pPr>
        <w:numPr>
          <w:ilvl w:val="0"/>
          <w:numId w:val="1"/>
        </w:numPr>
        <w:tabs>
          <w:tab w:val="clear" w:pos="720"/>
        </w:tabs>
        <w:snapToGrid w:val="0"/>
        <w:ind w:left="425" w:hanging="425"/>
        <w:jc w:val="both"/>
        <w:rPr>
          <w:sz w:val="20"/>
          <w:szCs w:val="20"/>
        </w:rPr>
      </w:pPr>
      <w:r w:rsidRPr="002E20DD">
        <w:rPr>
          <w:sz w:val="20"/>
          <w:szCs w:val="20"/>
        </w:rPr>
        <w:t>Asante-</w:t>
      </w:r>
      <w:proofErr w:type="spellStart"/>
      <w:r w:rsidRPr="002E20DD">
        <w:rPr>
          <w:sz w:val="20"/>
          <w:szCs w:val="20"/>
        </w:rPr>
        <w:t>Pok</w:t>
      </w:r>
      <w:proofErr w:type="spellEnd"/>
      <w:r w:rsidRPr="002E20DD">
        <w:rPr>
          <w:sz w:val="20"/>
          <w:szCs w:val="20"/>
        </w:rPr>
        <w:t xml:space="preserve"> A. (2013). Analysis of Incentives and Disincentives for cassava in Nigeria. International Journal of Agricultural Science. 5(5): 818-819.</w:t>
      </w:r>
    </w:p>
    <w:p w:rsidR="009C60E0" w:rsidRPr="002E20DD" w:rsidRDefault="009C60E0" w:rsidP="00EA2C42">
      <w:pPr>
        <w:numPr>
          <w:ilvl w:val="0"/>
          <w:numId w:val="1"/>
        </w:numPr>
        <w:tabs>
          <w:tab w:val="clear" w:pos="720"/>
        </w:tabs>
        <w:snapToGrid w:val="0"/>
        <w:ind w:left="425" w:hanging="425"/>
        <w:jc w:val="both"/>
        <w:rPr>
          <w:sz w:val="20"/>
          <w:szCs w:val="20"/>
        </w:rPr>
      </w:pPr>
      <w:proofErr w:type="spellStart"/>
      <w:r w:rsidRPr="002E20DD">
        <w:rPr>
          <w:sz w:val="20"/>
          <w:szCs w:val="20"/>
        </w:rPr>
        <w:t>Adekanye</w:t>
      </w:r>
      <w:proofErr w:type="spellEnd"/>
      <w:r w:rsidRPr="002E20DD">
        <w:rPr>
          <w:sz w:val="20"/>
          <w:szCs w:val="20"/>
        </w:rPr>
        <w:t xml:space="preserve">, T. A; </w:t>
      </w:r>
      <w:proofErr w:type="spellStart"/>
      <w:r w:rsidRPr="002E20DD">
        <w:rPr>
          <w:sz w:val="20"/>
          <w:szCs w:val="20"/>
        </w:rPr>
        <w:t>Ogunjimi</w:t>
      </w:r>
      <w:proofErr w:type="spellEnd"/>
      <w:r w:rsidRPr="002E20DD">
        <w:rPr>
          <w:sz w:val="20"/>
          <w:szCs w:val="20"/>
        </w:rPr>
        <w:t xml:space="preserve"> S.I and </w:t>
      </w:r>
      <w:proofErr w:type="spellStart"/>
      <w:r w:rsidRPr="002E20DD">
        <w:rPr>
          <w:sz w:val="20"/>
          <w:szCs w:val="20"/>
        </w:rPr>
        <w:t>Ajala</w:t>
      </w:r>
      <w:proofErr w:type="spellEnd"/>
      <w:r w:rsidRPr="002E20DD">
        <w:rPr>
          <w:sz w:val="20"/>
          <w:szCs w:val="20"/>
        </w:rPr>
        <w:t>, A. O. (2013):</w:t>
      </w:r>
      <w:r w:rsidR="00BE2E48" w:rsidRPr="002E20DD">
        <w:rPr>
          <w:sz w:val="20"/>
          <w:szCs w:val="20"/>
        </w:rPr>
        <w:t xml:space="preserve"> </w:t>
      </w:r>
      <w:r w:rsidRPr="002E20DD">
        <w:rPr>
          <w:sz w:val="20"/>
          <w:szCs w:val="20"/>
        </w:rPr>
        <w:t xml:space="preserve">“An assessment of cassava processing </w:t>
      </w:r>
      <w:r w:rsidRPr="002E20DD">
        <w:rPr>
          <w:sz w:val="20"/>
          <w:szCs w:val="20"/>
        </w:rPr>
        <w:lastRenderedPageBreak/>
        <w:t xml:space="preserve">plants in </w:t>
      </w:r>
      <w:proofErr w:type="spellStart"/>
      <w:r w:rsidRPr="002E20DD">
        <w:rPr>
          <w:sz w:val="20"/>
          <w:szCs w:val="20"/>
        </w:rPr>
        <w:t>Irepodun</w:t>
      </w:r>
      <w:proofErr w:type="spellEnd"/>
      <w:r w:rsidRPr="002E20DD">
        <w:rPr>
          <w:sz w:val="20"/>
          <w:szCs w:val="20"/>
        </w:rPr>
        <w:t xml:space="preserve"> local government area, </w:t>
      </w:r>
      <w:proofErr w:type="spellStart"/>
      <w:r w:rsidRPr="002E20DD">
        <w:rPr>
          <w:sz w:val="20"/>
          <w:szCs w:val="20"/>
        </w:rPr>
        <w:t>Kwara</w:t>
      </w:r>
      <w:proofErr w:type="spellEnd"/>
      <w:r w:rsidRPr="002E20DD">
        <w:rPr>
          <w:sz w:val="20"/>
          <w:szCs w:val="20"/>
        </w:rPr>
        <w:t xml:space="preserve"> State Nigeria” World Journal of Agricultural Research. 1(1): 14-17.</w:t>
      </w:r>
    </w:p>
    <w:p w:rsidR="009C60E0" w:rsidRPr="002E20DD" w:rsidRDefault="009C60E0" w:rsidP="00EA2C42">
      <w:pPr>
        <w:numPr>
          <w:ilvl w:val="0"/>
          <w:numId w:val="1"/>
        </w:numPr>
        <w:tabs>
          <w:tab w:val="clear" w:pos="720"/>
        </w:tabs>
        <w:snapToGrid w:val="0"/>
        <w:ind w:left="425" w:hanging="425"/>
        <w:jc w:val="both"/>
        <w:rPr>
          <w:sz w:val="20"/>
          <w:szCs w:val="20"/>
        </w:rPr>
      </w:pPr>
      <w:proofErr w:type="spellStart"/>
      <w:r w:rsidRPr="002E20DD">
        <w:rPr>
          <w:sz w:val="20"/>
          <w:szCs w:val="20"/>
        </w:rPr>
        <w:t>Mattos</w:t>
      </w:r>
      <w:proofErr w:type="spellEnd"/>
      <w:r w:rsidRPr="002E20DD">
        <w:rPr>
          <w:sz w:val="20"/>
          <w:szCs w:val="20"/>
        </w:rPr>
        <w:t>, M. C. (1996):</w:t>
      </w:r>
      <w:r w:rsidR="00BE2E48" w:rsidRPr="002E20DD">
        <w:rPr>
          <w:sz w:val="20"/>
          <w:szCs w:val="20"/>
        </w:rPr>
        <w:t xml:space="preserve"> </w:t>
      </w:r>
      <w:r w:rsidRPr="002E20DD">
        <w:rPr>
          <w:sz w:val="20"/>
          <w:szCs w:val="20"/>
        </w:rPr>
        <w:t>The toxic compound of cassava: International Journal of Venomous Animals and Toxin. 2(1): 6-12.</w:t>
      </w:r>
    </w:p>
    <w:p w:rsidR="009C60E0" w:rsidRPr="002E20DD" w:rsidRDefault="00943A74" w:rsidP="00EA2C42">
      <w:pPr>
        <w:numPr>
          <w:ilvl w:val="0"/>
          <w:numId w:val="1"/>
        </w:numPr>
        <w:tabs>
          <w:tab w:val="clear" w:pos="720"/>
        </w:tabs>
        <w:snapToGrid w:val="0"/>
        <w:ind w:left="425" w:hanging="425"/>
        <w:jc w:val="both"/>
        <w:rPr>
          <w:sz w:val="20"/>
          <w:szCs w:val="20"/>
        </w:rPr>
      </w:pPr>
      <w:proofErr w:type="spellStart"/>
      <w:r w:rsidRPr="002E20DD">
        <w:rPr>
          <w:sz w:val="20"/>
          <w:szCs w:val="20"/>
        </w:rPr>
        <w:t>Awoyemi</w:t>
      </w:r>
      <w:proofErr w:type="spellEnd"/>
      <w:r w:rsidRPr="002E20DD">
        <w:rPr>
          <w:sz w:val="20"/>
          <w:szCs w:val="20"/>
        </w:rPr>
        <w:t xml:space="preserve">, T. T and </w:t>
      </w:r>
      <w:proofErr w:type="spellStart"/>
      <w:r w:rsidRPr="002E20DD">
        <w:rPr>
          <w:sz w:val="20"/>
          <w:szCs w:val="20"/>
        </w:rPr>
        <w:t>Amao</w:t>
      </w:r>
      <w:proofErr w:type="spellEnd"/>
      <w:r w:rsidRPr="002E20DD">
        <w:rPr>
          <w:sz w:val="20"/>
          <w:szCs w:val="20"/>
        </w:rPr>
        <w:t>, J. O. (2012):</w:t>
      </w:r>
      <w:r w:rsidR="00BE2E48" w:rsidRPr="002E20DD">
        <w:rPr>
          <w:sz w:val="20"/>
          <w:szCs w:val="20"/>
        </w:rPr>
        <w:t xml:space="preserve"> </w:t>
      </w:r>
      <w:r w:rsidRPr="002E20DD">
        <w:rPr>
          <w:sz w:val="20"/>
          <w:szCs w:val="20"/>
        </w:rPr>
        <w:t xml:space="preserve">Households cassava consumption pattern in </w:t>
      </w:r>
      <w:proofErr w:type="spellStart"/>
      <w:r w:rsidRPr="002E20DD">
        <w:rPr>
          <w:sz w:val="20"/>
          <w:szCs w:val="20"/>
        </w:rPr>
        <w:t>Ogun</w:t>
      </w:r>
      <w:proofErr w:type="spellEnd"/>
      <w:r w:rsidRPr="002E20DD">
        <w:rPr>
          <w:sz w:val="20"/>
          <w:szCs w:val="20"/>
        </w:rPr>
        <w:t xml:space="preserve"> State Nigeria. International Journal of Agricultural Economics and Extension. 87: 369.</w:t>
      </w:r>
    </w:p>
    <w:p w:rsidR="00B603DE" w:rsidRPr="002E20DD" w:rsidRDefault="00943A74" w:rsidP="00EA2C42">
      <w:pPr>
        <w:numPr>
          <w:ilvl w:val="0"/>
          <w:numId w:val="1"/>
        </w:numPr>
        <w:tabs>
          <w:tab w:val="clear" w:pos="720"/>
        </w:tabs>
        <w:snapToGrid w:val="0"/>
        <w:ind w:left="425" w:hanging="425"/>
        <w:jc w:val="both"/>
        <w:rPr>
          <w:sz w:val="20"/>
          <w:szCs w:val="20"/>
        </w:rPr>
      </w:pPr>
      <w:r w:rsidRPr="002E20DD">
        <w:rPr>
          <w:sz w:val="20"/>
          <w:szCs w:val="20"/>
        </w:rPr>
        <w:t>O’Hair, S. K. (1990):</w:t>
      </w:r>
      <w:r w:rsidR="00BE2E48" w:rsidRPr="002E20DD">
        <w:rPr>
          <w:sz w:val="20"/>
          <w:szCs w:val="20"/>
        </w:rPr>
        <w:t xml:space="preserve"> </w:t>
      </w:r>
      <w:r w:rsidRPr="002E20DD">
        <w:rPr>
          <w:sz w:val="20"/>
          <w:szCs w:val="20"/>
        </w:rPr>
        <w:t xml:space="preserve">Tropical root and tuber crop: Tropical Research and Education center, University of Florida 18905 S.W. 280 Street, Homestead, FL 33031. Tel. 305-246-7025: fax 305-246-7003; E-mail: </w:t>
      </w:r>
      <w:proofErr w:type="spellStart"/>
      <w:r w:rsidRPr="002E20DD">
        <w:rPr>
          <w:sz w:val="20"/>
          <w:szCs w:val="20"/>
        </w:rPr>
        <w:t>sko</w:t>
      </w:r>
      <w:proofErr w:type="spellEnd"/>
      <w:r w:rsidRPr="002E20DD">
        <w:rPr>
          <w:sz w:val="20"/>
          <w:szCs w:val="20"/>
        </w:rPr>
        <w:t xml:space="preserve"> at gnv.Ifas.ufl.edu.</w:t>
      </w:r>
    </w:p>
    <w:p w:rsidR="00821A72" w:rsidRPr="002E20DD" w:rsidRDefault="00B603DE" w:rsidP="00EA2C42">
      <w:pPr>
        <w:numPr>
          <w:ilvl w:val="0"/>
          <w:numId w:val="1"/>
        </w:numPr>
        <w:tabs>
          <w:tab w:val="clear" w:pos="720"/>
        </w:tabs>
        <w:snapToGrid w:val="0"/>
        <w:ind w:left="425" w:hanging="425"/>
        <w:jc w:val="both"/>
        <w:rPr>
          <w:sz w:val="20"/>
          <w:szCs w:val="20"/>
        </w:rPr>
      </w:pPr>
      <w:proofErr w:type="spellStart"/>
      <w:r w:rsidRPr="002E20DD">
        <w:rPr>
          <w:sz w:val="20"/>
          <w:szCs w:val="20"/>
        </w:rPr>
        <w:t>Oboh</w:t>
      </w:r>
      <w:proofErr w:type="spellEnd"/>
      <w:r w:rsidRPr="002E20DD">
        <w:rPr>
          <w:sz w:val="20"/>
          <w:szCs w:val="20"/>
        </w:rPr>
        <w:t xml:space="preserve">, G and </w:t>
      </w:r>
      <w:proofErr w:type="spellStart"/>
      <w:r w:rsidRPr="002E20DD">
        <w:rPr>
          <w:sz w:val="20"/>
          <w:szCs w:val="20"/>
        </w:rPr>
        <w:t>Oladunmoye</w:t>
      </w:r>
      <w:proofErr w:type="spellEnd"/>
      <w:r w:rsidRPr="002E20DD">
        <w:rPr>
          <w:sz w:val="20"/>
          <w:szCs w:val="20"/>
        </w:rPr>
        <w:t xml:space="preserve"> M. K, (2007): Biochemical changes in micro-fungi fermented cassava flour produce from low and medium-cyanide variety of cassava tuber. International Journal of Nutrition and Health. 18 (4): 355 - 367.</w:t>
      </w:r>
    </w:p>
    <w:p w:rsidR="00821A72" w:rsidRPr="002E20DD" w:rsidRDefault="00821A72" w:rsidP="00EA2C42">
      <w:pPr>
        <w:numPr>
          <w:ilvl w:val="0"/>
          <w:numId w:val="1"/>
        </w:numPr>
        <w:tabs>
          <w:tab w:val="clear" w:pos="720"/>
        </w:tabs>
        <w:snapToGrid w:val="0"/>
        <w:ind w:left="425" w:hanging="425"/>
        <w:jc w:val="both"/>
        <w:rPr>
          <w:sz w:val="20"/>
          <w:szCs w:val="20"/>
        </w:rPr>
      </w:pPr>
      <w:proofErr w:type="spellStart"/>
      <w:r w:rsidRPr="002E20DD">
        <w:rPr>
          <w:sz w:val="20"/>
          <w:szCs w:val="20"/>
        </w:rPr>
        <w:t>Olumide</w:t>
      </w:r>
      <w:proofErr w:type="spellEnd"/>
      <w:r w:rsidRPr="002E20DD">
        <w:rPr>
          <w:sz w:val="20"/>
          <w:szCs w:val="20"/>
        </w:rPr>
        <w:t>, O. T. (2004):</w:t>
      </w:r>
      <w:r w:rsidR="00BE2E48" w:rsidRPr="002E20DD">
        <w:rPr>
          <w:sz w:val="20"/>
          <w:szCs w:val="20"/>
        </w:rPr>
        <w:t xml:space="preserve"> </w:t>
      </w:r>
      <w:r w:rsidRPr="002E20DD">
        <w:rPr>
          <w:sz w:val="20"/>
          <w:szCs w:val="20"/>
        </w:rPr>
        <w:t>Composition of two local cassava varieties and the effect of processing on their hydrocyanic acid content and nutrient utilization by the rat. Nigerian Journal of Animal Production. 3(2): 60-66.</w:t>
      </w:r>
    </w:p>
    <w:p w:rsidR="00943A74" w:rsidRPr="002E20DD" w:rsidRDefault="00821A72" w:rsidP="00EA2C42">
      <w:pPr>
        <w:numPr>
          <w:ilvl w:val="0"/>
          <w:numId w:val="1"/>
        </w:numPr>
        <w:tabs>
          <w:tab w:val="clear" w:pos="720"/>
        </w:tabs>
        <w:snapToGrid w:val="0"/>
        <w:ind w:left="425" w:hanging="425"/>
        <w:jc w:val="both"/>
        <w:rPr>
          <w:sz w:val="20"/>
          <w:szCs w:val="20"/>
        </w:rPr>
      </w:pPr>
      <w:proofErr w:type="spellStart"/>
      <w:r w:rsidRPr="002E20DD">
        <w:rPr>
          <w:sz w:val="20"/>
          <w:szCs w:val="20"/>
        </w:rPr>
        <w:t>Onwueme</w:t>
      </w:r>
      <w:proofErr w:type="spellEnd"/>
      <w:r w:rsidRPr="002E20DD">
        <w:rPr>
          <w:sz w:val="20"/>
          <w:szCs w:val="20"/>
        </w:rPr>
        <w:t>, I. C. (1998):</w:t>
      </w:r>
      <w:r w:rsidR="00BE2E48" w:rsidRPr="002E20DD">
        <w:rPr>
          <w:sz w:val="20"/>
          <w:szCs w:val="20"/>
        </w:rPr>
        <w:t xml:space="preserve"> </w:t>
      </w:r>
      <w:r w:rsidRPr="002E20DD">
        <w:rPr>
          <w:sz w:val="20"/>
          <w:szCs w:val="20"/>
        </w:rPr>
        <w:t>The tropical tuber crop; yam, cassava, sweet potato and cocoyam. International Journal of Tropical Agriculture. 47 (1-2): 87-88.</w:t>
      </w:r>
    </w:p>
    <w:p w:rsidR="00AA3668" w:rsidRPr="002E20DD" w:rsidRDefault="00AA3668" w:rsidP="00EA2C42">
      <w:pPr>
        <w:numPr>
          <w:ilvl w:val="0"/>
          <w:numId w:val="1"/>
        </w:numPr>
        <w:tabs>
          <w:tab w:val="clear" w:pos="720"/>
        </w:tabs>
        <w:snapToGrid w:val="0"/>
        <w:ind w:left="425" w:hanging="425"/>
        <w:jc w:val="both"/>
        <w:rPr>
          <w:sz w:val="20"/>
          <w:szCs w:val="20"/>
        </w:rPr>
      </w:pPr>
      <w:proofErr w:type="spellStart"/>
      <w:r w:rsidRPr="002E20DD">
        <w:rPr>
          <w:sz w:val="20"/>
          <w:szCs w:val="20"/>
        </w:rPr>
        <w:t>Onyemanwa</w:t>
      </w:r>
      <w:proofErr w:type="spellEnd"/>
      <w:r w:rsidRPr="002E20DD">
        <w:rPr>
          <w:sz w:val="20"/>
          <w:szCs w:val="20"/>
        </w:rPr>
        <w:t>, C. S. (2010):</w:t>
      </w:r>
      <w:r w:rsidR="00BE2E48" w:rsidRPr="002E20DD">
        <w:rPr>
          <w:sz w:val="20"/>
          <w:szCs w:val="20"/>
        </w:rPr>
        <w:t xml:space="preserve"> </w:t>
      </w:r>
      <w:r w:rsidRPr="002E20DD">
        <w:rPr>
          <w:sz w:val="20"/>
          <w:szCs w:val="20"/>
        </w:rPr>
        <w:t xml:space="preserve">Analysis of household consumption of cassava products in </w:t>
      </w:r>
      <w:proofErr w:type="spellStart"/>
      <w:r w:rsidRPr="002E20DD">
        <w:rPr>
          <w:sz w:val="20"/>
          <w:szCs w:val="20"/>
        </w:rPr>
        <w:t>Ohaozara</w:t>
      </w:r>
      <w:proofErr w:type="spellEnd"/>
      <w:r w:rsidRPr="002E20DD">
        <w:rPr>
          <w:sz w:val="20"/>
          <w:szCs w:val="20"/>
        </w:rPr>
        <w:t xml:space="preserve">, </w:t>
      </w:r>
      <w:proofErr w:type="spellStart"/>
      <w:r w:rsidRPr="002E20DD">
        <w:rPr>
          <w:sz w:val="20"/>
          <w:szCs w:val="20"/>
        </w:rPr>
        <w:t>Ebonyi</w:t>
      </w:r>
      <w:proofErr w:type="spellEnd"/>
      <w:r w:rsidRPr="002E20DD">
        <w:rPr>
          <w:sz w:val="20"/>
          <w:szCs w:val="20"/>
        </w:rPr>
        <w:t xml:space="preserve"> State, South-East Nigeria. International Journal of Agricultural Economics. 5(2): 1-6.</w:t>
      </w:r>
    </w:p>
    <w:p w:rsidR="00EA2C42" w:rsidRPr="002E20DD" w:rsidRDefault="00FB6B01" w:rsidP="00EA2C42">
      <w:pPr>
        <w:numPr>
          <w:ilvl w:val="0"/>
          <w:numId w:val="1"/>
        </w:numPr>
        <w:tabs>
          <w:tab w:val="clear" w:pos="720"/>
        </w:tabs>
        <w:snapToGrid w:val="0"/>
        <w:ind w:left="425" w:hanging="425"/>
        <w:jc w:val="both"/>
        <w:rPr>
          <w:sz w:val="20"/>
          <w:szCs w:val="20"/>
        </w:rPr>
      </w:pPr>
      <w:proofErr w:type="spellStart"/>
      <w:r w:rsidRPr="002E20DD">
        <w:rPr>
          <w:sz w:val="20"/>
          <w:szCs w:val="20"/>
        </w:rPr>
        <w:t>Ogunniyi</w:t>
      </w:r>
      <w:proofErr w:type="spellEnd"/>
      <w:r w:rsidRPr="002E20DD">
        <w:rPr>
          <w:sz w:val="20"/>
          <w:szCs w:val="20"/>
        </w:rPr>
        <w:t>, L. T. (2011):</w:t>
      </w:r>
      <w:r w:rsidR="00BE2E48" w:rsidRPr="002E20DD">
        <w:rPr>
          <w:sz w:val="20"/>
          <w:szCs w:val="20"/>
        </w:rPr>
        <w:t xml:space="preserve"> </w:t>
      </w:r>
      <w:r w:rsidRPr="002E20DD">
        <w:rPr>
          <w:sz w:val="20"/>
          <w:szCs w:val="20"/>
        </w:rPr>
        <w:t>Assessment of consumption rate of cassava products in Oyo State. Global Journal of Science Frontier Research. 11(5): 1-7.</w:t>
      </w:r>
      <w:r w:rsidR="002E20DD" w:rsidRPr="002E20DD">
        <w:rPr>
          <w:rFonts w:eastAsiaTheme="minorEastAsia" w:hint="eastAsia"/>
          <w:sz w:val="20"/>
          <w:szCs w:val="20"/>
          <w:lang w:eastAsia="zh-CN"/>
        </w:rPr>
        <w:t xml:space="preserve"> </w:t>
      </w:r>
    </w:p>
    <w:p w:rsidR="00EA2C42" w:rsidRPr="002E20DD" w:rsidRDefault="00EA2C42" w:rsidP="00EA2C42">
      <w:pPr>
        <w:snapToGrid w:val="0"/>
        <w:ind w:left="425" w:hanging="425"/>
        <w:jc w:val="both"/>
        <w:rPr>
          <w:sz w:val="20"/>
          <w:szCs w:val="20"/>
        </w:rPr>
        <w:sectPr w:rsidR="00EA2C42" w:rsidRPr="002E20DD" w:rsidSect="00EA2C42">
          <w:footnotePr>
            <w:pos w:val="beneathText"/>
          </w:footnotePr>
          <w:type w:val="continuous"/>
          <w:pgSz w:w="12240" w:h="15840" w:code="1"/>
          <w:pgMar w:top="1440" w:right="1440" w:bottom="1440" w:left="1440" w:header="720" w:footer="720" w:gutter="0"/>
          <w:cols w:num="2" w:space="600"/>
          <w:docGrid w:linePitch="360"/>
        </w:sectPr>
      </w:pPr>
    </w:p>
    <w:p w:rsidR="001618E1" w:rsidRPr="002E20DD" w:rsidRDefault="001618E1" w:rsidP="00EA2C42">
      <w:pPr>
        <w:snapToGrid w:val="0"/>
        <w:ind w:left="425" w:hanging="425"/>
        <w:jc w:val="both"/>
        <w:rPr>
          <w:sz w:val="20"/>
          <w:szCs w:val="20"/>
        </w:rPr>
      </w:pPr>
    </w:p>
    <w:p w:rsidR="00975560" w:rsidRPr="002E20DD" w:rsidRDefault="003541F7" w:rsidP="00EA2C42">
      <w:pPr>
        <w:snapToGrid w:val="0"/>
        <w:ind w:left="425" w:hanging="425"/>
        <w:jc w:val="both"/>
        <w:rPr>
          <w:sz w:val="20"/>
          <w:szCs w:val="20"/>
        </w:rPr>
      </w:pPr>
      <w:r w:rsidRPr="002E20DD">
        <w:rPr>
          <w:sz w:val="20"/>
          <w:szCs w:val="20"/>
        </w:rPr>
        <w:t>12/1</w:t>
      </w:r>
      <w:r w:rsidR="00EA2C42" w:rsidRPr="002E20DD">
        <w:rPr>
          <w:rFonts w:eastAsiaTheme="minorEastAsia" w:hint="eastAsia"/>
          <w:sz w:val="20"/>
          <w:szCs w:val="20"/>
          <w:lang w:eastAsia="zh-CN"/>
        </w:rPr>
        <w:t>6</w:t>
      </w:r>
      <w:r w:rsidRPr="002E20DD">
        <w:rPr>
          <w:sz w:val="20"/>
          <w:szCs w:val="20"/>
        </w:rPr>
        <w:t>/2016</w:t>
      </w:r>
    </w:p>
    <w:sectPr w:rsidR="00975560" w:rsidRPr="002E20DD" w:rsidSect="00F11012">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689" w:rsidRDefault="00774689" w:rsidP="00EC38D2">
      <w:r>
        <w:separator/>
      </w:r>
    </w:p>
  </w:endnote>
  <w:endnote w:type="continuationSeparator" w:id="0">
    <w:p w:rsidR="00774689" w:rsidRDefault="00774689" w:rsidP="00EC3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42" w:rsidRDefault="00D74A24" w:rsidP="00B3167C">
    <w:pPr>
      <w:pStyle w:val="Footer"/>
      <w:framePr w:wrap="around" w:vAnchor="text" w:hAnchor="margin" w:xAlign="center" w:y="1"/>
      <w:rPr>
        <w:rStyle w:val="PageNumber"/>
      </w:rPr>
    </w:pPr>
    <w:r>
      <w:rPr>
        <w:rStyle w:val="PageNumber"/>
      </w:rPr>
      <w:fldChar w:fldCharType="begin"/>
    </w:r>
    <w:r w:rsidR="00EA2C42">
      <w:rPr>
        <w:rStyle w:val="PageNumber"/>
      </w:rPr>
      <w:instrText xml:space="preserve">PAGE  </w:instrText>
    </w:r>
    <w:r>
      <w:rPr>
        <w:rStyle w:val="PageNumber"/>
      </w:rPr>
      <w:fldChar w:fldCharType="end"/>
    </w:r>
  </w:p>
  <w:p w:rsidR="00EA2C42" w:rsidRDefault="00EA2C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42" w:rsidRPr="003541F7" w:rsidRDefault="00D74A24" w:rsidP="003541F7">
    <w:pPr>
      <w:jc w:val="center"/>
      <w:rPr>
        <w:sz w:val="20"/>
      </w:rPr>
    </w:pPr>
    <w:r w:rsidRPr="003541F7">
      <w:rPr>
        <w:sz w:val="20"/>
      </w:rPr>
      <w:fldChar w:fldCharType="begin"/>
    </w:r>
    <w:r w:rsidR="00EA2C42" w:rsidRPr="003541F7">
      <w:rPr>
        <w:sz w:val="20"/>
      </w:rPr>
      <w:instrText xml:space="preserve"> page </w:instrText>
    </w:r>
    <w:r w:rsidRPr="003541F7">
      <w:rPr>
        <w:sz w:val="20"/>
      </w:rPr>
      <w:fldChar w:fldCharType="separate"/>
    </w:r>
    <w:r w:rsidR="002E20DD">
      <w:rPr>
        <w:noProof/>
        <w:sz w:val="20"/>
      </w:rPr>
      <w:t>81</w:t>
    </w:r>
    <w:r w:rsidRPr="003541F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42" w:rsidRDefault="00D74A24" w:rsidP="00B3167C">
    <w:pPr>
      <w:pStyle w:val="Footer"/>
      <w:framePr w:wrap="around" w:vAnchor="text" w:hAnchor="margin" w:xAlign="center" w:y="1"/>
      <w:rPr>
        <w:rStyle w:val="PageNumber"/>
      </w:rPr>
    </w:pPr>
    <w:r>
      <w:rPr>
        <w:rStyle w:val="PageNumber"/>
      </w:rPr>
      <w:fldChar w:fldCharType="begin"/>
    </w:r>
    <w:r w:rsidR="00EA2C42">
      <w:rPr>
        <w:rStyle w:val="PageNumber"/>
      </w:rPr>
      <w:instrText xml:space="preserve">PAGE  </w:instrText>
    </w:r>
    <w:r>
      <w:rPr>
        <w:rStyle w:val="PageNumber"/>
      </w:rPr>
      <w:fldChar w:fldCharType="end"/>
    </w:r>
  </w:p>
  <w:p w:rsidR="00EA2C42" w:rsidRDefault="00EA2C4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42" w:rsidRPr="003541F7" w:rsidRDefault="00D74A24" w:rsidP="003541F7">
    <w:pPr>
      <w:jc w:val="center"/>
      <w:rPr>
        <w:sz w:val="20"/>
      </w:rPr>
    </w:pPr>
    <w:r w:rsidRPr="003541F7">
      <w:rPr>
        <w:sz w:val="20"/>
      </w:rPr>
      <w:fldChar w:fldCharType="begin"/>
    </w:r>
    <w:r w:rsidR="00EA2C42" w:rsidRPr="003541F7">
      <w:rPr>
        <w:sz w:val="20"/>
      </w:rPr>
      <w:instrText xml:space="preserve"> page </w:instrText>
    </w:r>
    <w:r w:rsidRPr="003541F7">
      <w:rPr>
        <w:sz w:val="20"/>
      </w:rPr>
      <w:fldChar w:fldCharType="separate"/>
    </w:r>
    <w:r w:rsidR="002E20DD">
      <w:rPr>
        <w:noProof/>
        <w:sz w:val="20"/>
      </w:rPr>
      <w:t>84</w:t>
    </w:r>
    <w:r w:rsidRPr="003541F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74A24" w:rsidP="00B3167C">
    <w:pPr>
      <w:pStyle w:val="Footer"/>
      <w:framePr w:wrap="around" w:vAnchor="text" w:hAnchor="margin" w:xAlign="center" w:y="1"/>
      <w:rPr>
        <w:rStyle w:val="PageNumber"/>
      </w:rPr>
    </w:pPr>
    <w:r>
      <w:rPr>
        <w:rStyle w:val="PageNumber"/>
      </w:rPr>
      <w:fldChar w:fldCharType="begin"/>
    </w:r>
    <w:r w:rsidR="00395768">
      <w:rPr>
        <w:rStyle w:val="PageNumber"/>
      </w:rPr>
      <w:instrText xml:space="preserve">PAGE  </w:instrText>
    </w:r>
    <w:r>
      <w:rPr>
        <w:rStyle w:val="PageNumber"/>
      </w:rPr>
      <w:fldChar w:fldCharType="end"/>
    </w:r>
  </w:p>
  <w:p w:rsidR="00471E57" w:rsidRDefault="002E20D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541F7" w:rsidRDefault="00D74A24" w:rsidP="003541F7">
    <w:pPr>
      <w:jc w:val="center"/>
      <w:rPr>
        <w:sz w:val="20"/>
      </w:rPr>
    </w:pPr>
    <w:r w:rsidRPr="003541F7">
      <w:rPr>
        <w:sz w:val="20"/>
      </w:rPr>
      <w:fldChar w:fldCharType="begin"/>
    </w:r>
    <w:r w:rsidR="003541F7" w:rsidRPr="003541F7">
      <w:rPr>
        <w:sz w:val="20"/>
      </w:rPr>
      <w:instrText xml:space="preserve"> page </w:instrText>
    </w:r>
    <w:r w:rsidRPr="003541F7">
      <w:rPr>
        <w:sz w:val="20"/>
      </w:rPr>
      <w:fldChar w:fldCharType="separate"/>
    </w:r>
    <w:r w:rsidR="00EA2C42">
      <w:rPr>
        <w:noProof/>
        <w:sz w:val="20"/>
      </w:rPr>
      <w:t>5</w:t>
    </w:r>
    <w:r w:rsidRPr="003541F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689" w:rsidRDefault="00774689" w:rsidP="00EC38D2">
      <w:r>
        <w:separator/>
      </w:r>
    </w:p>
  </w:footnote>
  <w:footnote w:type="continuationSeparator" w:id="0">
    <w:p w:rsidR="00774689" w:rsidRDefault="00774689" w:rsidP="00EC3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42" w:rsidRPr="003541F7" w:rsidRDefault="00EA2C42" w:rsidP="003541F7">
    <w:pPr>
      <w:pBdr>
        <w:bottom w:val="thinThickMediumGap" w:sz="12" w:space="1" w:color="auto"/>
      </w:pBdr>
      <w:tabs>
        <w:tab w:val="left" w:pos="851"/>
        <w:tab w:val="right" w:pos="8364"/>
      </w:tabs>
      <w:adjustRightInd w:val="0"/>
      <w:snapToGrid w:val="0"/>
      <w:jc w:val="both"/>
      <w:rPr>
        <w:iCs/>
        <w:sz w:val="20"/>
        <w:szCs w:val="20"/>
      </w:rPr>
    </w:pPr>
    <w:r w:rsidRPr="003541F7">
      <w:rPr>
        <w:rFonts w:hint="eastAsia"/>
        <w:sz w:val="20"/>
        <w:szCs w:val="20"/>
      </w:rPr>
      <w:tab/>
    </w:r>
    <w:r w:rsidRPr="003541F7">
      <w:rPr>
        <w:sz w:val="20"/>
        <w:szCs w:val="20"/>
      </w:rPr>
      <w:t>New York Science Journal 201</w:t>
    </w:r>
    <w:r w:rsidRPr="003541F7">
      <w:rPr>
        <w:rFonts w:hint="eastAsia"/>
        <w:sz w:val="20"/>
        <w:szCs w:val="20"/>
      </w:rPr>
      <w:t>6</w:t>
    </w:r>
    <w:proofErr w:type="gramStart"/>
    <w:r w:rsidRPr="003541F7">
      <w:rPr>
        <w:sz w:val="20"/>
        <w:szCs w:val="20"/>
      </w:rPr>
      <w:t>;</w:t>
    </w:r>
    <w:r w:rsidRPr="003541F7">
      <w:rPr>
        <w:rFonts w:hint="eastAsia"/>
        <w:sz w:val="20"/>
        <w:szCs w:val="20"/>
      </w:rPr>
      <w:t>9</w:t>
    </w:r>
    <w:proofErr w:type="gramEnd"/>
    <w:r w:rsidRPr="003541F7">
      <w:rPr>
        <w:sz w:val="20"/>
        <w:szCs w:val="20"/>
      </w:rPr>
      <w:t>(</w:t>
    </w:r>
    <w:r w:rsidRPr="003541F7">
      <w:rPr>
        <w:rFonts w:hint="eastAsia"/>
        <w:sz w:val="20"/>
        <w:szCs w:val="20"/>
      </w:rPr>
      <w:t>12</w:t>
    </w:r>
    <w:r w:rsidRPr="003541F7">
      <w:rPr>
        <w:sz w:val="20"/>
        <w:szCs w:val="20"/>
      </w:rPr>
      <w:t>)</w:t>
    </w:r>
    <w:r w:rsidRPr="003541F7">
      <w:rPr>
        <w:iCs/>
        <w:sz w:val="20"/>
        <w:szCs w:val="20"/>
      </w:rPr>
      <w:t xml:space="preserve">     </w:t>
    </w:r>
    <w:r w:rsidRPr="003541F7">
      <w:rPr>
        <w:rFonts w:hint="eastAsia"/>
        <w:iCs/>
        <w:sz w:val="20"/>
        <w:szCs w:val="20"/>
      </w:rPr>
      <w:tab/>
    </w:r>
    <w:r w:rsidRPr="003541F7">
      <w:rPr>
        <w:iCs/>
        <w:sz w:val="20"/>
        <w:szCs w:val="20"/>
      </w:rPr>
      <w:t xml:space="preserve"> </w:t>
    </w:r>
    <w:r w:rsidRPr="003541F7">
      <w:rPr>
        <w:rFonts w:hint="eastAsia"/>
        <w:iCs/>
        <w:sz w:val="20"/>
        <w:szCs w:val="20"/>
      </w:rPr>
      <w:t xml:space="preserve"> </w:t>
    </w:r>
    <w:r w:rsidRPr="003541F7">
      <w:rPr>
        <w:iCs/>
        <w:sz w:val="20"/>
        <w:szCs w:val="20"/>
      </w:rPr>
      <w:t xml:space="preserve">   </w:t>
    </w:r>
    <w:hyperlink r:id="rId1" w:history="1">
      <w:r w:rsidRPr="003541F7">
        <w:rPr>
          <w:rStyle w:val="Hyperlink"/>
          <w:sz w:val="20"/>
          <w:szCs w:val="20"/>
        </w:rPr>
        <w:t>http://www.sciencepub.net/newyork</w:t>
      </w:r>
    </w:hyperlink>
  </w:p>
  <w:p w:rsidR="00EA2C42" w:rsidRPr="003541F7" w:rsidRDefault="00EA2C42" w:rsidP="003541F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42" w:rsidRPr="003541F7" w:rsidRDefault="00EA2C42" w:rsidP="003541F7">
    <w:pPr>
      <w:pBdr>
        <w:bottom w:val="thinThickMediumGap" w:sz="12" w:space="1" w:color="auto"/>
      </w:pBdr>
      <w:tabs>
        <w:tab w:val="left" w:pos="851"/>
        <w:tab w:val="right" w:pos="8364"/>
      </w:tabs>
      <w:adjustRightInd w:val="0"/>
      <w:snapToGrid w:val="0"/>
      <w:jc w:val="both"/>
      <w:rPr>
        <w:iCs/>
        <w:sz w:val="20"/>
        <w:szCs w:val="20"/>
      </w:rPr>
    </w:pPr>
    <w:r w:rsidRPr="003541F7">
      <w:rPr>
        <w:rFonts w:hint="eastAsia"/>
        <w:sz w:val="20"/>
        <w:szCs w:val="20"/>
      </w:rPr>
      <w:tab/>
    </w:r>
    <w:r w:rsidRPr="003541F7">
      <w:rPr>
        <w:sz w:val="20"/>
        <w:szCs w:val="20"/>
      </w:rPr>
      <w:t>New York Science Journal 201</w:t>
    </w:r>
    <w:r w:rsidRPr="003541F7">
      <w:rPr>
        <w:rFonts w:hint="eastAsia"/>
        <w:sz w:val="20"/>
        <w:szCs w:val="20"/>
      </w:rPr>
      <w:t>6</w:t>
    </w:r>
    <w:proofErr w:type="gramStart"/>
    <w:r w:rsidRPr="003541F7">
      <w:rPr>
        <w:sz w:val="20"/>
        <w:szCs w:val="20"/>
      </w:rPr>
      <w:t>;</w:t>
    </w:r>
    <w:r w:rsidRPr="003541F7">
      <w:rPr>
        <w:rFonts w:hint="eastAsia"/>
        <w:sz w:val="20"/>
        <w:szCs w:val="20"/>
      </w:rPr>
      <w:t>9</w:t>
    </w:r>
    <w:proofErr w:type="gramEnd"/>
    <w:r w:rsidRPr="003541F7">
      <w:rPr>
        <w:sz w:val="20"/>
        <w:szCs w:val="20"/>
      </w:rPr>
      <w:t>(</w:t>
    </w:r>
    <w:r w:rsidRPr="003541F7">
      <w:rPr>
        <w:rFonts w:hint="eastAsia"/>
        <w:sz w:val="20"/>
        <w:szCs w:val="20"/>
      </w:rPr>
      <w:t>12</w:t>
    </w:r>
    <w:r w:rsidRPr="003541F7">
      <w:rPr>
        <w:sz w:val="20"/>
        <w:szCs w:val="20"/>
      </w:rPr>
      <w:t>)</w:t>
    </w:r>
    <w:r w:rsidRPr="003541F7">
      <w:rPr>
        <w:iCs/>
        <w:sz w:val="20"/>
        <w:szCs w:val="20"/>
      </w:rPr>
      <w:t xml:space="preserve">     </w:t>
    </w:r>
    <w:r w:rsidRPr="003541F7">
      <w:rPr>
        <w:rFonts w:hint="eastAsia"/>
        <w:iCs/>
        <w:sz w:val="20"/>
        <w:szCs w:val="20"/>
      </w:rPr>
      <w:tab/>
    </w:r>
    <w:r w:rsidRPr="003541F7">
      <w:rPr>
        <w:iCs/>
        <w:sz w:val="20"/>
        <w:szCs w:val="20"/>
      </w:rPr>
      <w:t xml:space="preserve"> </w:t>
    </w:r>
    <w:r w:rsidRPr="003541F7">
      <w:rPr>
        <w:rFonts w:hint="eastAsia"/>
        <w:iCs/>
        <w:sz w:val="20"/>
        <w:szCs w:val="20"/>
      </w:rPr>
      <w:t xml:space="preserve"> </w:t>
    </w:r>
    <w:r w:rsidRPr="003541F7">
      <w:rPr>
        <w:iCs/>
        <w:sz w:val="20"/>
        <w:szCs w:val="20"/>
      </w:rPr>
      <w:t xml:space="preserve">   </w:t>
    </w:r>
    <w:hyperlink r:id="rId1" w:history="1">
      <w:r w:rsidRPr="003541F7">
        <w:rPr>
          <w:rStyle w:val="Hyperlink"/>
          <w:sz w:val="20"/>
          <w:szCs w:val="20"/>
        </w:rPr>
        <w:t>http://www.sciencepub.net/newyork</w:t>
      </w:r>
    </w:hyperlink>
  </w:p>
  <w:p w:rsidR="00EA2C42" w:rsidRPr="003541F7" w:rsidRDefault="00EA2C42" w:rsidP="003541F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F7" w:rsidRPr="003541F7" w:rsidRDefault="003541F7" w:rsidP="003541F7">
    <w:pPr>
      <w:pBdr>
        <w:bottom w:val="thinThickMediumGap" w:sz="12" w:space="1" w:color="auto"/>
      </w:pBdr>
      <w:tabs>
        <w:tab w:val="left" w:pos="851"/>
        <w:tab w:val="right" w:pos="8364"/>
      </w:tabs>
      <w:adjustRightInd w:val="0"/>
      <w:snapToGrid w:val="0"/>
      <w:jc w:val="both"/>
      <w:rPr>
        <w:iCs/>
        <w:sz w:val="20"/>
        <w:szCs w:val="20"/>
      </w:rPr>
    </w:pPr>
    <w:r w:rsidRPr="003541F7">
      <w:rPr>
        <w:rFonts w:hint="eastAsia"/>
        <w:sz w:val="20"/>
        <w:szCs w:val="20"/>
      </w:rPr>
      <w:tab/>
    </w:r>
    <w:r w:rsidRPr="003541F7">
      <w:rPr>
        <w:sz w:val="20"/>
        <w:szCs w:val="20"/>
      </w:rPr>
      <w:t>New York Science Journal 201</w:t>
    </w:r>
    <w:r w:rsidRPr="003541F7">
      <w:rPr>
        <w:rFonts w:hint="eastAsia"/>
        <w:sz w:val="20"/>
        <w:szCs w:val="20"/>
      </w:rPr>
      <w:t>6</w:t>
    </w:r>
    <w:proofErr w:type="gramStart"/>
    <w:r w:rsidRPr="003541F7">
      <w:rPr>
        <w:sz w:val="20"/>
        <w:szCs w:val="20"/>
      </w:rPr>
      <w:t>;</w:t>
    </w:r>
    <w:r w:rsidRPr="003541F7">
      <w:rPr>
        <w:rFonts w:hint="eastAsia"/>
        <w:sz w:val="20"/>
        <w:szCs w:val="20"/>
      </w:rPr>
      <w:t>9</w:t>
    </w:r>
    <w:proofErr w:type="gramEnd"/>
    <w:r w:rsidRPr="003541F7">
      <w:rPr>
        <w:sz w:val="20"/>
        <w:szCs w:val="20"/>
      </w:rPr>
      <w:t>(</w:t>
    </w:r>
    <w:r w:rsidRPr="003541F7">
      <w:rPr>
        <w:rFonts w:hint="eastAsia"/>
        <w:sz w:val="20"/>
        <w:szCs w:val="20"/>
      </w:rPr>
      <w:t>12</w:t>
    </w:r>
    <w:r w:rsidRPr="003541F7">
      <w:rPr>
        <w:sz w:val="20"/>
        <w:szCs w:val="20"/>
      </w:rPr>
      <w:t>)</w:t>
    </w:r>
    <w:r w:rsidRPr="003541F7">
      <w:rPr>
        <w:iCs/>
        <w:sz w:val="20"/>
        <w:szCs w:val="20"/>
      </w:rPr>
      <w:t xml:space="preserve">     </w:t>
    </w:r>
    <w:r w:rsidRPr="003541F7">
      <w:rPr>
        <w:rFonts w:hint="eastAsia"/>
        <w:iCs/>
        <w:sz w:val="20"/>
        <w:szCs w:val="20"/>
      </w:rPr>
      <w:tab/>
    </w:r>
    <w:r w:rsidRPr="003541F7">
      <w:rPr>
        <w:iCs/>
        <w:sz w:val="20"/>
        <w:szCs w:val="20"/>
      </w:rPr>
      <w:t xml:space="preserve"> </w:t>
    </w:r>
    <w:r w:rsidRPr="003541F7">
      <w:rPr>
        <w:rFonts w:hint="eastAsia"/>
        <w:iCs/>
        <w:sz w:val="20"/>
        <w:szCs w:val="20"/>
      </w:rPr>
      <w:t xml:space="preserve"> </w:t>
    </w:r>
    <w:r w:rsidRPr="003541F7">
      <w:rPr>
        <w:iCs/>
        <w:sz w:val="20"/>
        <w:szCs w:val="20"/>
      </w:rPr>
      <w:t xml:space="preserve">   </w:t>
    </w:r>
    <w:hyperlink r:id="rId1" w:history="1">
      <w:r w:rsidRPr="003541F7">
        <w:rPr>
          <w:rStyle w:val="Hyperlink"/>
          <w:sz w:val="20"/>
          <w:szCs w:val="20"/>
        </w:rPr>
        <w:t>http://www.sciencepub.net/newyork</w:t>
      </w:r>
    </w:hyperlink>
  </w:p>
  <w:p w:rsidR="003541F7" w:rsidRPr="003541F7" w:rsidRDefault="003541F7" w:rsidP="003541F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pos w:val="beneathText"/>
    <w:footnote w:id="-1"/>
    <w:footnote w:id="0"/>
  </w:footnotePr>
  <w:endnotePr>
    <w:endnote w:id="-1"/>
    <w:endnote w:id="0"/>
  </w:endnotePr>
  <w:compat>
    <w:useFELayout/>
  </w:compat>
  <w:rsids>
    <w:rsidRoot w:val="001618E1"/>
    <w:rsid w:val="0001089C"/>
    <w:rsid w:val="000669D7"/>
    <w:rsid w:val="000A261D"/>
    <w:rsid w:val="000C0345"/>
    <w:rsid w:val="000E6715"/>
    <w:rsid w:val="00150988"/>
    <w:rsid w:val="00152865"/>
    <w:rsid w:val="001618E1"/>
    <w:rsid w:val="001807A5"/>
    <w:rsid w:val="001913FD"/>
    <w:rsid w:val="001F3F9B"/>
    <w:rsid w:val="002C5901"/>
    <w:rsid w:val="002E20DD"/>
    <w:rsid w:val="00347DCC"/>
    <w:rsid w:val="003541F7"/>
    <w:rsid w:val="00395768"/>
    <w:rsid w:val="003D67CF"/>
    <w:rsid w:val="0042686A"/>
    <w:rsid w:val="004A309F"/>
    <w:rsid w:val="004B1A9D"/>
    <w:rsid w:val="004D6265"/>
    <w:rsid w:val="00543939"/>
    <w:rsid w:val="00545ABF"/>
    <w:rsid w:val="00597ECD"/>
    <w:rsid w:val="005C0BCF"/>
    <w:rsid w:val="00645E8C"/>
    <w:rsid w:val="00695A87"/>
    <w:rsid w:val="006C7A4D"/>
    <w:rsid w:val="0076741C"/>
    <w:rsid w:val="00774689"/>
    <w:rsid w:val="00821A72"/>
    <w:rsid w:val="0085450F"/>
    <w:rsid w:val="008A3730"/>
    <w:rsid w:val="008D328E"/>
    <w:rsid w:val="0091319C"/>
    <w:rsid w:val="00943A74"/>
    <w:rsid w:val="009870C2"/>
    <w:rsid w:val="00987D09"/>
    <w:rsid w:val="009A0AD1"/>
    <w:rsid w:val="009C60E0"/>
    <w:rsid w:val="00A02C92"/>
    <w:rsid w:val="00A309BF"/>
    <w:rsid w:val="00AA3668"/>
    <w:rsid w:val="00AB0151"/>
    <w:rsid w:val="00AF7BFA"/>
    <w:rsid w:val="00B603DE"/>
    <w:rsid w:val="00B907C2"/>
    <w:rsid w:val="00BE2E48"/>
    <w:rsid w:val="00C25CB6"/>
    <w:rsid w:val="00C4649A"/>
    <w:rsid w:val="00D74A24"/>
    <w:rsid w:val="00DF6144"/>
    <w:rsid w:val="00E72573"/>
    <w:rsid w:val="00E73298"/>
    <w:rsid w:val="00E94A85"/>
    <w:rsid w:val="00EA2C42"/>
    <w:rsid w:val="00EA57D4"/>
    <w:rsid w:val="00EC1399"/>
    <w:rsid w:val="00EC38D2"/>
    <w:rsid w:val="00F11012"/>
    <w:rsid w:val="00F717F7"/>
    <w:rsid w:val="00FB6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E1"/>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161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618E1"/>
  </w:style>
  <w:style w:type="character" w:styleId="Hyperlink">
    <w:name w:val="Hyperlink"/>
    <w:basedOn w:val="DefaultParagraphFont"/>
    <w:rsid w:val="001618E1"/>
    <w:rPr>
      <w:color w:val="0000FF"/>
      <w:u w:val="single"/>
    </w:rPr>
  </w:style>
  <w:style w:type="paragraph" w:styleId="Header">
    <w:name w:val="header"/>
    <w:basedOn w:val="Normal"/>
    <w:next w:val="Heading1"/>
    <w:link w:val="HeaderChar"/>
    <w:rsid w:val="001618E1"/>
    <w:pPr>
      <w:tabs>
        <w:tab w:val="center" w:pos="4320"/>
        <w:tab w:val="right" w:pos="8640"/>
      </w:tabs>
    </w:pPr>
  </w:style>
  <w:style w:type="character" w:customStyle="1" w:styleId="HeaderChar">
    <w:name w:val="Header Char"/>
    <w:basedOn w:val="DefaultParagraphFont"/>
    <w:link w:val="Header"/>
    <w:rsid w:val="001618E1"/>
    <w:rPr>
      <w:rFonts w:ascii="Times New Roman" w:eastAsia="SimSun" w:hAnsi="Times New Roman" w:cs="Times New Roman"/>
      <w:sz w:val="24"/>
      <w:szCs w:val="24"/>
      <w:lang w:val="en-US" w:eastAsia="ar-SA"/>
    </w:rPr>
  </w:style>
  <w:style w:type="paragraph" w:styleId="Footer">
    <w:name w:val="footer"/>
    <w:basedOn w:val="Normal"/>
    <w:link w:val="FooterChar"/>
    <w:rsid w:val="001618E1"/>
    <w:pPr>
      <w:tabs>
        <w:tab w:val="center" w:pos="4320"/>
        <w:tab w:val="right" w:pos="8640"/>
      </w:tabs>
    </w:pPr>
    <w:rPr>
      <w:sz w:val="32"/>
    </w:rPr>
  </w:style>
  <w:style w:type="character" w:customStyle="1" w:styleId="FooterChar">
    <w:name w:val="Footer Char"/>
    <w:basedOn w:val="DefaultParagraphFont"/>
    <w:link w:val="Footer"/>
    <w:rsid w:val="001618E1"/>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1618E1"/>
    <w:rPr>
      <w:rFonts w:asciiTheme="majorHAnsi" w:eastAsiaTheme="majorEastAsia" w:hAnsiTheme="majorHAnsi" w:cstheme="majorBidi"/>
      <w:b/>
      <w:bCs/>
      <w:color w:val="365F91" w:themeColor="accent1" w:themeShade="BF"/>
      <w:sz w:val="28"/>
      <w:szCs w:val="28"/>
      <w:lang w:val="en-US" w:eastAsia="ar-SA"/>
    </w:rPr>
  </w:style>
  <w:style w:type="table" w:styleId="TableGrid">
    <w:name w:val="Table Grid"/>
    <w:basedOn w:val="TableNormal"/>
    <w:uiPriority w:val="59"/>
    <w:rsid w:val="0054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0E0"/>
    <w:pPr>
      <w:ind w:left="720"/>
      <w:contextualSpacing/>
    </w:pPr>
  </w:style>
  <w:style w:type="paragraph" w:styleId="BalloonText">
    <w:name w:val="Balloon Text"/>
    <w:basedOn w:val="Normal"/>
    <w:link w:val="BalloonTextChar"/>
    <w:uiPriority w:val="99"/>
    <w:semiHidden/>
    <w:unhideWhenUsed/>
    <w:rsid w:val="002E20DD"/>
    <w:rPr>
      <w:rFonts w:ascii="Tahoma" w:hAnsi="Tahoma" w:cs="Tahoma"/>
      <w:sz w:val="16"/>
      <w:szCs w:val="16"/>
    </w:rPr>
  </w:style>
  <w:style w:type="character" w:customStyle="1" w:styleId="BalloonTextChar">
    <w:name w:val="Balloon Text Char"/>
    <w:basedOn w:val="DefaultParagraphFont"/>
    <w:link w:val="BalloonText"/>
    <w:uiPriority w:val="99"/>
    <w:semiHidden/>
    <w:rsid w:val="002E20DD"/>
    <w:rPr>
      <w:rFonts w:ascii="Tahoma" w:eastAsia="SimSu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1216.14"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66907261592301E-2"/>
          <c:y val="0.15937077172284159"/>
          <c:w val="0.79774868766404605"/>
          <c:h val="0.7494611193402807"/>
        </c:manualLayout>
      </c:layout>
      <c:barChart>
        <c:barDir val="col"/>
        <c:grouping val="clustered"/>
        <c:ser>
          <c:idx val="0"/>
          <c:order val="0"/>
          <c:tx>
            <c:strRef>
              <c:f>Sheet1!$B$1</c:f>
              <c:strCache>
                <c:ptCount val="1"/>
                <c:pt idx="0">
                  <c:v>Gari</c:v>
                </c:pt>
              </c:strCache>
            </c:strRef>
          </c:tx>
          <c:cat>
            <c:strRef>
              <c:f>Sheet1!$A$2:$A$6</c:f>
              <c:strCache>
                <c:ptCount val="5"/>
                <c:pt idx="0">
                  <c:v>Daily</c:v>
                </c:pt>
                <c:pt idx="1">
                  <c:v>Weekly</c:v>
                </c:pt>
                <c:pt idx="2">
                  <c:v>Monthly</c:v>
                </c:pt>
                <c:pt idx="3">
                  <c:v>Yearly</c:v>
                </c:pt>
                <c:pt idx="4">
                  <c:v>No reponse</c:v>
                </c:pt>
              </c:strCache>
            </c:strRef>
          </c:cat>
          <c:val>
            <c:numRef>
              <c:f>Sheet1!$B$2:$B$6</c:f>
              <c:numCache>
                <c:formatCode>General</c:formatCode>
                <c:ptCount val="5"/>
                <c:pt idx="0">
                  <c:v>30</c:v>
                </c:pt>
                <c:pt idx="1">
                  <c:v>35</c:v>
                </c:pt>
                <c:pt idx="2">
                  <c:v>4</c:v>
                </c:pt>
                <c:pt idx="3">
                  <c:v>1</c:v>
                </c:pt>
                <c:pt idx="4">
                  <c:v>5</c:v>
                </c:pt>
              </c:numCache>
            </c:numRef>
          </c:val>
        </c:ser>
        <c:ser>
          <c:idx val="1"/>
          <c:order val="1"/>
          <c:tx>
            <c:strRef>
              <c:f>Sheet1!$C$1</c:f>
              <c:strCache>
                <c:ptCount val="1"/>
                <c:pt idx="0">
                  <c:v>Fufu</c:v>
                </c:pt>
              </c:strCache>
            </c:strRef>
          </c:tx>
          <c:cat>
            <c:strRef>
              <c:f>Sheet1!$A$2:$A$6</c:f>
              <c:strCache>
                <c:ptCount val="5"/>
                <c:pt idx="0">
                  <c:v>Daily</c:v>
                </c:pt>
                <c:pt idx="1">
                  <c:v>Weekly</c:v>
                </c:pt>
                <c:pt idx="2">
                  <c:v>Monthly</c:v>
                </c:pt>
                <c:pt idx="3">
                  <c:v>Yearly</c:v>
                </c:pt>
                <c:pt idx="4">
                  <c:v>No reponse</c:v>
                </c:pt>
              </c:strCache>
            </c:strRef>
          </c:cat>
          <c:val>
            <c:numRef>
              <c:f>Sheet1!$C$2:$C$6</c:f>
              <c:numCache>
                <c:formatCode>General</c:formatCode>
                <c:ptCount val="5"/>
                <c:pt idx="0">
                  <c:v>29</c:v>
                </c:pt>
                <c:pt idx="1">
                  <c:v>26</c:v>
                </c:pt>
                <c:pt idx="2">
                  <c:v>13</c:v>
                </c:pt>
                <c:pt idx="3">
                  <c:v>1</c:v>
                </c:pt>
                <c:pt idx="4">
                  <c:v>6</c:v>
                </c:pt>
              </c:numCache>
            </c:numRef>
          </c:val>
        </c:ser>
        <c:ser>
          <c:idx val="2"/>
          <c:order val="2"/>
          <c:tx>
            <c:strRef>
              <c:f>Sheet1!$D$1</c:f>
              <c:strCache>
                <c:ptCount val="1"/>
                <c:pt idx="0">
                  <c:v>Lafun</c:v>
                </c:pt>
              </c:strCache>
            </c:strRef>
          </c:tx>
          <c:cat>
            <c:strRef>
              <c:f>Sheet1!$A$2:$A$6</c:f>
              <c:strCache>
                <c:ptCount val="5"/>
                <c:pt idx="0">
                  <c:v>Daily</c:v>
                </c:pt>
                <c:pt idx="1">
                  <c:v>Weekly</c:v>
                </c:pt>
                <c:pt idx="2">
                  <c:v>Monthly</c:v>
                </c:pt>
                <c:pt idx="3">
                  <c:v>Yearly</c:v>
                </c:pt>
                <c:pt idx="4">
                  <c:v>No reponse</c:v>
                </c:pt>
              </c:strCache>
            </c:strRef>
          </c:cat>
          <c:val>
            <c:numRef>
              <c:f>Sheet1!$D$2:$D$6</c:f>
              <c:numCache>
                <c:formatCode>General</c:formatCode>
                <c:ptCount val="5"/>
                <c:pt idx="0">
                  <c:v>16</c:v>
                </c:pt>
                <c:pt idx="1">
                  <c:v>31</c:v>
                </c:pt>
                <c:pt idx="2">
                  <c:v>12</c:v>
                </c:pt>
                <c:pt idx="4">
                  <c:v>16</c:v>
                </c:pt>
              </c:numCache>
            </c:numRef>
          </c:val>
        </c:ser>
        <c:ser>
          <c:idx val="3"/>
          <c:order val="3"/>
          <c:tx>
            <c:strRef>
              <c:f>Sheet1!$E$1</c:f>
              <c:strCache>
                <c:ptCount val="1"/>
                <c:pt idx="0">
                  <c:v>Starch</c:v>
                </c:pt>
              </c:strCache>
            </c:strRef>
          </c:tx>
          <c:cat>
            <c:strRef>
              <c:f>Sheet1!$A$2:$A$6</c:f>
              <c:strCache>
                <c:ptCount val="5"/>
                <c:pt idx="0">
                  <c:v>Daily</c:v>
                </c:pt>
                <c:pt idx="1">
                  <c:v>Weekly</c:v>
                </c:pt>
                <c:pt idx="2">
                  <c:v>Monthly</c:v>
                </c:pt>
                <c:pt idx="3">
                  <c:v>Yearly</c:v>
                </c:pt>
                <c:pt idx="4">
                  <c:v>No reponse</c:v>
                </c:pt>
              </c:strCache>
            </c:strRef>
          </c:cat>
          <c:val>
            <c:numRef>
              <c:f>Sheet1!$E$2:$E$6</c:f>
              <c:numCache>
                <c:formatCode>General</c:formatCode>
                <c:ptCount val="5"/>
                <c:pt idx="0">
                  <c:v>1</c:v>
                </c:pt>
                <c:pt idx="1">
                  <c:v>23</c:v>
                </c:pt>
                <c:pt idx="2">
                  <c:v>15</c:v>
                </c:pt>
                <c:pt idx="3">
                  <c:v>1</c:v>
                </c:pt>
                <c:pt idx="4">
                  <c:v>35</c:v>
                </c:pt>
              </c:numCache>
            </c:numRef>
          </c:val>
        </c:ser>
        <c:ser>
          <c:idx val="4"/>
          <c:order val="4"/>
          <c:tx>
            <c:strRef>
              <c:f>Sheet1!$F$1</c:f>
              <c:strCache>
                <c:ptCount val="1"/>
                <c:pt idx="0">
                  <c:v>Flour</c:v>
                </c:pt>
              </c:strCache>
            </c:strRef>
          </c:tx>
          <c:cat>
            <c:strRef>
              <c:f>Sheet1!$A$2:$A$6</c:f>
              <c:strCache>
                <c:ptCount val="5"/>
                <c:pt idx="0">
                  <c:v>Daily</c:v>
                </c:pt>
                <c:pt idx="1">
                  <c:v>Weekly</c:v>
                </c:pt>
                <c:pt idx="2">
                  <c:v>Monthly</c:v>
                </c:pt>
                <c:pt idx="3">
                  <c:v>Yearly</c:v>
                </c:pt>
                <c:pt idx="4">
                  <c:v>No reponse</c:v>
                </c:pt>
              </c:strCache>
            </c:strRef>
          </c:cat>
          <c:val>
            <c:numRef>
              <c:f>Sheet1!$F$2:$F$6</c:f>
              <c:numCache>
                <c:formatCode>General</c:formatCode>
                <c:ptCount val="5"/>
                <c:pt idx="1">
                  <c:v>4</c:v>
                </c:pt>
                <c:pt idx="2">
                  <c:v>2</c:v>
                </c:pt>
                <c:pt idx="4">
                  <c:v>69</c:v>
                </c:pt>
              </c:numCache>
            </c:numRef>
          </c:val>
        </c:ser>
        <c:ser>
          <c:idx val="5"/>
          <c:order val="5"/>
          <c:tx>
            <c:strRef>
              <c:f>Sheet1!$G$1</c:f>
              <c:strCache>
                <c:ptCount val="1"/>
                <c:pt idx="0">
                  <c:v>Chips</c:v>
                </c:pt>
              </c:strCache>
            </c:strRef>
          </c:tx>
          <c:cat>
            <c:strRef>
              <c:f>Sheet1!$A$2:$A$6</c:f>
              <c:strCache>
                <c:ptCount val="5"/>
                <c:pt idx="0">
                  <c:v>Daily</c:v>
                </c:pt>
                <c:pt idx="1">
                  <c:v>Weekly</c:v>
                </c:pt>
                <c:pt idx="2">
                  <c:v>Monthly</c:v>
                </c:pt>
                <c:pt idx="3">
                  <c:v>Yearly</c:v>
                </c:pt>
                <c:pt idx="4">
                  <c:v>No reponse</c:v>
                </c:pt>
              </c:strCache>
            </c:strRef>
          </c:cat>
          <c:val>
            <c:numRef>
              <c:f>Sheet1!$G$2:$G$6</c:f>
              <c:numCache>
                <c:formatCode>General</c:formatCode>
                <c:ptCount val="5"/>
                <c:pt idx="0">
                  <c:v>8</c:v>
                </c:pt>
                <c:pt idx="1">
                  <c:v>7</c:v>
                </c:pt>
                <c:pt idx="2">
                  <c:v>3</c:v>
                </c:pt>
                <c:pt idx="3">
                  <c:v>7</c:v>
                </c:pt>
                <c:pt idx="4">
                  <c:v>50</c:v>
                </c:pt>
              </c:numCache>
            </c:numRef>
          </c:val>
        </c:ser>
        <c:axId val="74047872"/>
        <c:axId val="74049408"/>
      </c:barChart>
      <c:catAx>
        <c:axId val="74047872"/>
        <c:scaling>
          <c:orientation val="minMax"/>
        </c:scaling>
        <c:axPos val="b"/>
        <c:majorTickMark val="none"/>
        <c:tickLblPos val="nextTo"/>
        <c:txPr>
          <a:bodyPr/>
          <a:lstStyle/>
          <a:p>
            <a:pPr>
              <a:defRPr lang="en-US" sz="800" b="0">
                <a:latin typeface="Times New Roman" pitchFamily="18" charset="0"/>
                <a:cs typeface="Times New Roman" pitchFamily="18" charset="0"/>
              </a:defRPr>
            </a:pPr>
            <a:endParaRPr lang="en-US"/>
          </a:p>
        </c:txPr>
        <c:crossAx val="74049408"/>
        <c:crosses val="autoZero"/>
        <c:auto val="1"/>
        <c:lblAlgn val="ctr"/>
        <c:lblOffset val="100"/>
      </c:catAx>
      <c:valAx>
        <c:axId val="74049408"/>
        <c:scaling>
          <c:orientation val="minMax"/>
        </c:scaling>
        <c:axPos val="l"/>
        <c:numFmt formatCode="General" sourceLinked="1"/>
        <c:tickLblPos val="nextTo"/>
        <c:txPr>
          <a:bodyPr/>
          <a:lstStyle/>
          <a:p>
            <a:pPr>
              <a:defRPr lang="en-US" b="0"/>
            </a:pPr>
            <a:endParaRPr lang="en-US"/>
          </a:p>
        </c:txPr>
        <c:crossAx val="74047872"/>
        <c:crosses val="autoZero"/>
        <c:crossBetween val="between"/>
      </c:valAx>
    </c:plotArea>
    <c:legend>
      <c:legendPos val="r"/>
      <c:layout>
        <c:manualLayout>
          <c:xMode val="edge"/>
          <c:yMode val="edge"/>
          <c:x val="0.5682268668148247"/>
          <c:y val="3.1692786956543782E-2"/>
          <c:w val="0.11858223972003518"/>
          <c:h val="0.50230314960629519"/>
        </c:manualLayout>
      </c:layout>
      <c:txPr>
        <a:bodyPr/>
        <a:lstStyle/>
        <a:p>
          <a:pPr>
            <a:defRPr lang="en-US" sz="800" b="0">
              <a:latin typeface="Times New Roman" pitchFamily="18" charset="0"/>
              <a:cs typeface="Times New Roman" pitchFamily="18" charset="0"/>
            </a:defRPr>
          </a:pPr>
          <a:endParaRPr lang="en-US"/>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6.9960778612283198E-2"/>
          <c:y val="5.7636887608069162E-2"/>
          <c:w val="0.87821676507809576"/>
          <c:h val="0.81692428608855294"/>
        </c:manualLayout>
      </c:layout>
      <c:barChart>
        <c:barDir val="col"/>
        <c:grouping val="clustered"/>
        <c:ser>
          <c:idx val="0"/>
          <c:order val="0"/>
          <c:tx>
            <c:strRef>
              <c:f>Sheet1!$A$2</c:f>
              <c:strCache>
                <c:ptCount val="1"/>
                <c:pt idx="0">
                  <c:v>Sack</c:v>
                </c:pt>
              </c:strCache>
            </c:strRef>
          </c:tx>
          <c:cat>
            <c:strRef>
              <c:f>Sheet1!$B$1:$G$1</c:f>
              <c:strCache>
                <c:ptCount val="6"/>
                <c:pt idx="0">
                  <c:v>Gari</c:v>
                </c:pt>
                <c:pt idx="1">
                  <c:v>Fufu</c:v>
                </c:pt>
                <c:pt idx="2">
                  <c:v>Lafun</c:v>
                </c:pt>
                <c:pt idx="3">
                  <c:v>Starch</c:v>
                </c:pt>
                <c:pt idx="4">
                  <c:v>Flour</c:v>
                </c:pt>
                <c:pt idx="5">
                  <c:v>Chips</c:v>
                </c:pt>
              </c:strCache>
            </c:strRef>
          </c:cat>
          <c:val>
            <c:numRef>
              <c:f>Sheet1!$B$2:$G$2</c:f>
              <c:numCache>
                <c:formatCode>General</c:formatCode>
                <c:ptCount val="6"/>
                <c:pt idx="0">
                  <c:v>47</c:v>
                </c:pt>
                <c:pt idx="3">
                  <c:v>2</c:v>
                </c:pt>
              </c:numCache>
            </c:numRef>
          </c:val>
        </c:ser>
        <c:ser>
          <c:idx val="1"/>
          <c:order val="1"/>
          <c:tx>
            <c:strRef>
              <c:f>Sheet1!$A$3</c:f>
              <c:strCache>
                <c:ptCount val="1"/>
                <c:pt idx="0">
                  <c:v>Nylon</c:v>
                </c:pt>
              </c:strCache>
            </c:strRef>
          </c:tx>
          <c:cat>
            <c:strRef>
              <c:f>Sheet1!$B$1:$G$1</c:f>
              <c:strCache>
                <c:ptCount val="6"/>
                <c:pt idx="0">
                  <c:v>Gari</c:v>
                </c:pt>
                <c:pt idx="1">
                  <c:v>Fufu</c:v>
                </c:pt>
                <c:pt idx="2">
                  <c:v>Lafun</c:v>
                </c:pt>
                <c:pt idx="3">
                  <c:v>Starch</c:v>
                </c:pt>
                <c:pt idx="4">
                  <c:v>Flour</c:v>
                </c:pt>
                <c:pt idx="5">
                  <c:v>Chips</c:v>
                </c:pt>
              </c:strCache>
            </c:strRef>
          </c:cat>
          <c:val>
            <c:numRef>
              <c:f>Sheet1!$B$3:$G$3</c:f>
              <c:numCache>
                <c:formatCode>General</c:formatCode>
                <c:ptCount val="6"/>
                <c:pt idx="0">
                  <c:v>2</c:v>
                </c:pt>
                <c:pt idx="1">
                  <c:v>52</c:v>
                </c:pt>
                <c:pt idx="2">
                  <c:v>47</c:v>
                </c:pt>
                <c:pt idx="3">
                  <c:v>37</c:v>
                </c:pt>
                <c:pt idx="4">
                  <c:v>6</c:v>
                </c:pt>
                <c:pt idx="5">
                  <c:v>25</c:v>
                </c:pt>
              </c:numCache>
            </c:numRef>
          </c:val>
        </c:ser>
        <c:ser>
          <c:idx val="2"/>
          <c:order val="2"/>
          <c:tx>
            <c:strRef>
              <c:f>Sheet1!$A$4</c:f>
              <c:strCache>
                <c:ptCount val="1"/>
                <c:pt idx="0">
                  <c:v>Container</c:v>
                </c:pt>
              </c:strCache>
            </c:strRef>
          </c:tx>
          <c:cat>
            <c:strRef>
              <c:f>Sheet1!$B$1:$G$1</c:f>
              <c:strCache>
                <c:ptCount val="6"/>
                <c:pt idx="0">
                  <c:v>Gari</c:v>
                </c:pt>
                <c:pt idx="1">
                  <c:v>Fufu</c:v>
                </c:pt>
                <c:pt idx="2">
                  <c:v>Lafun</c:v>
                </c:pt>
                <c:pt idx="3">
                  <c:v>Starch</c:v>
                </c:pt>
                <c:pt idx="4">
                  <c:v>Flour</c:v>
                </c:pt>
                <c:pt idx="5">
                  <c:v>Chips</c:v>
                </c:pt>
              </c:strCache>
            </c:strRef>
          </c:cat>
          <c:val>
            <c:numRef>
              <c:f>Sheet1!$B$4:$G$4</c:f>
              <c:numCache>
                <c:formatCode>General</c:formatCode>
                <c:ptCount val="6"/>
                <c:pt idx="0">
                  <c:v>11</c:v>
                </c:pt>
                <c:pt idx="1">
                  <c:v>19</c:v>
                </c:pt>
                <c:pt idx="2">
                  <c:v>10</c:v>
                </c:pt>
                <c:pt idx="3">
                  <c:v>1</c:v>
                </c:pt>
              </c:numCache>
            </c:numRef>
          </c:val>
        </c:ser>
        <c:ser>
          <c:idx val="3"/>
          <c:order val="3"/>
          <c:tx>
            <c:strRef>
              <c:f>Sheet1!$A$5</c:f>
              <c:strCache>
                <c:ptCount val="1"/>
                <c:pt idx="0">
                  <c:v>Polythene bag</c:v>
                </c:pt>
              </c:strCache>
            </c:strRef>
          </c:tx>
          <c:cat>
            <c:strRef>
              <c:f>Sheet1!$B$1:$G$1</c:f>
              <c:strCache>
                <c:ptCount val="6"/>
                <c:pt idx="0">
                  <c:v>Gari</c:v>
                </c:pt>
                <c:pt idx="1">
                  <c:v>Fufu</c:v>
                </c:pt>
                <c:pt idx="2">
                  <c:v>Lafun</c:v>
                </c:pt>
                <c:pt idx="3">
                  <c:v>Starch</c:v>
                </c:pt>
                <c:pt idx="4">
                  <c:v>Flour</c:v>
                </c:pt>
                <c:pt idx="5">
                  <c:v>Chips</c:v>
                </c:pt>
              </c:strCache>
            </c:strRef>
          </c:cat>
          <c:val>
            <c:numRef>
              <c:f>Sheet1!$B$5:$G$5</c:f>
              <c:numCache>
                <c:formatCode>General</c:formatCode>
                <c:ptCount val="6"/>
                <c:pt idx="0">
                  <c:v>10</c:v>
                </c:pt>
              </c:numCache>
            </c:numRef>
          </c:val>
        </c:ser>
        <c:ser>
          <c:idx val="4"/>
          <c:order val="4"/>
          <c:tx>
            <c:strRef>
              <c:f>Sheet1!$A$6</c:f>
              <c:strCache>
                <c:ptCount val="1"/>
                <c:pt idx="0">
                  <c:v>No response</c:v>
                </c:pt>
              </c:strCache>
            </c:strRef>
          </c:tx>
          <c:cat>
            <c:strRef>
              <c:f>Sheet1!$B$1:$G$1</c:f>
              <c:strCache>
                <c:ptCount val="6"/>
                <c:pt idx="0">
                  <c:v>Gari</c:v>
                </c:pt>
                <c:pt idx="1">
                  <c:v>Fufu</c:v>
                </c:pt>
                <c:pt idx="2">
                  <c:v>Lafun</c:v>
                </c:pt>
                <c:pt idx="3">
                  <c:v>Starch</c:v>
                </c:pt>
                <c:pt idx="4">
                  <c:v>Flour</c:v>
                </c:pt>
                <c:pt idx="5">
                  <c:v>Chips</c:v>
                </c:pt>
              </c:strCache>
            </c:strRef>
          </c:cat>
          <c:val>
            <c:numRef>
              <c:f>Sheet1!$B$6:$G$6</c:f>
              <c:numCache>
                <c:formatCode>General</c:formatCode>
                <c:ptCount val="6"/>
                <c:pt idx="0">
                  <c:v>5</c:v>
                </c:pt>
                <c:pt idx="1">
                  <c:v>4</c:v>
                </c:pt>
                <c:pt idx="2">
                  <c:v>18</c:v>
                </c:pt>
                <c:pt idx="3">
                  <c:v>35</c:v>
                </c:pt>
                <c:pt idx="4">
                  <c:v>69</c:v>
                </c:pt>
                <c:pt idx="5">
                  <c:v>50</c:v>
                </c:pt>
              </c:numCache>
            </c:numRef>
          </c:val>
        </c:ser>
        <c:axId val="74142848"/>
        <c:axId val="74144384"/>
      </c:barChart>
      <c:catAx>
        <c:axId val="74142848"/>
        <c:scaling>
          <c:orientation val="minMax"/>
        </c:scaling>
        <c:axPos val="b"/>
        <c:tickLblPos val="nextTo"/>
        <c:txPr>
          <a:bodyPr/>
          <a:lstStyle/>
          <a:p>
            <a:pPr>
              <a:defRPr lang="en-US" sz="1000" b="0"/>
            </a:pPr>
            <a:endParaRPr lang="en-US"/>
          </a:p>
        </c:txPr>
        <c:crossAx val="74144384"/>
        <c:crosses val="autoZero"/>
        <c:auto val="1"/>
        <c:lblAlgn val="ctr"/>
        <c:lblOffset val="100"/>
      </c:catAx>
      <c:valAx>
        <c:axId val="74144384"/>
        <c:scaling>
          <c:orientation val="minMax"/>
        </c:scaling>
        <c:axPos val="l"/>
        <c:numFmt formatCode="General" sourceLinked="1"/>
        <c:tickLblPos val="nextTo"/>
        <c:txPr>
          <a:bodyPr/>
          <a:lstStyle/>
          <a:p>
            <a:pPr>
              <a:defRPr lang="en-US" sz="1000" b="1"/>
            </a:pPr>
            <a:endParaRPr lang="en-US"/>
          </a:p>
        </c:txPr>
        <c:crossAx val="74142848"/>
        <c:crosses val="autoZero"/>
        <c:crossBetween val="between"/>
      </c:valAx>
    </c:plotArea>
    <c:legend>
      <c:legendPos val="r"/>
      <c:layout>
        <c:manualLayout>
          <c:xMode val="edge"/>
          <c:yMode val="edge"/>
          <c:x val="0.38199047793444635"/>
          <c:y val="7.6446754835252591E-5"/>
          <c:w val="0.26044985655862779"/>
          <c:h val="0.3460865052945184"/>
        </c:manualLayout>
      </c:layout>
      <c:txPr>
        <a:bodyPr/>
        <a:lstStyle/>
        <a:p>
          <a:pPr>
            <a:defRPr lang="en-US" sz="700" b="0"/>
          </a:pPr>
          <a:endParaRPr lang="en-US"/>
        </a:p>
      </c:txPr>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4</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Administrator</cp:lastModifiedBy>
  <cp:revision>3</cp:revision>
  <dcterms:created xsi:type="dcterms:W3CDTF">2016-12-19T08:55:00Z</dcterms:created>
  <dcterms:modified xsi:type="dcterms:W3CDTF">2016-12-18T21:30:00Z</dcterms:modified>
</cp:coreProperties>
</file>