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0E" w:rsidRPr="00C05EB6" w:rsidRDefault="00505D6D" w:rsidP="00BD7DE8">
      <w:pPr>
        <w:snapToGrid w:val="0"/>
        <w:jc w:val="center"/>
        <w:rPr>
          <w:b/>
          <w:bCs/>
          <w:sz w:val="20"/>
          <w:szCs w:val="20"/>
        </w:rPr>
      </w:pPr>
      <w:r w:rsidRPr="00C05EB6">
        <w:rPr>
          <w:b/>
          <w:bCs/>
          <w:sz w:val="20"/>
          <w:szCs w:val="20"/>
        </w:rPr>
        <w:t xml:space="preserve">Study of profile of status </w:t>
      </w:r>
      <w:r w:rsidR="003F2D38" w:rsidRPr="00C05EB6">
        <w:rPr>
          <w:b/>
          <w:bCs/>
          <w:sz w:val="20"/>
          <w:szCs w:val="20"/>
        </w:rPr>
        <w:t xml:space="preserve">Epilepticus </w:t>
      </w:r>
      <w:r w:rsidRPr="00C05EB6">
        <w:rPr>
          <w:b/>
          <w:bCs/>
          <w:sz w:val="20"/>
          <w:szCs w:val="20"/>
        </w:rPr>
        <w:t>in a sample of Egyptian patients treated in Al-Azhar university hospitals</w:t>
      </w:r>
    </w:p>
    <w:p w:rsidR="00FA2A7F" w:rsidRPr="00C05EB6" w:rsidRDefault="00FA2A7F" w:rsidP="00BD7DE8">
      <w:pPr>
        <w:pStyle w:val="Default"/>
        <w:snapToGrid w:val="0"/>
        <w:jc w:val="center"/>
        <w:rPr>
          <w:sz w:val="20"/>
          <w:szCs w:val="20"/>
        </w:rPr>
      </w:pPr>
    </w:p>
    <w:p w:rsidR="00505D6D" w:rsidRPr="00C05EB6" w:rsidRDefault="00D6040E" w:rsidP="00BD7DE8">
      <w:pPr>
        <w:pStyle w:val="Default"/>
        <w:snapToGrid w:val="0"/>
        <w:jc w:val="center"/>
        <w:rPr>
          <w:sz w:val="20"/>
          <w:szCs w:val="20"/>
        </w:rPr>
      </w:pPr>
      <w:r w:rsidRPr="00C05EB6">
        <w:rPr>
          <w:sz w:val="20"/>
          <w:szCs w:val="20"/>
        </w:rPr>
        <w:t>Fath</w:t>
      </w:r>
      <w:r w:rsidR="009E6D5B" w:rsidRPr="00C05EB6">
        <w:rPr>
          <w:sz w:val="20"/>
          <w:szCs w:val="20"/>
        </w:rPr>
        <w:t>y</w:t>
      </w:r>
      <w:r w:rsidRPr="00C05EB6">
        <w:rPr>
          <w:sz w:val="20"/>
          <w:szCs w:val="20"/>
        </w:rPr>
        <w:t xml:space="preserve"> Mahmoud Afifi, </w:t>
      </w:r>
      <w:r w:rsidR="00505D6D" w:rsidRPr="00C05EB6">
        <w:rPr>
          <w:sz w:val="20"/>
          <w:szCs w:val="20"/>
        </w:rPr>
        <w:t>Emad Fawzy Shahin</w:t>
      </w:r>
      <w:r w:rsidRPr="00C05EB6">
        <w:rPr>
          <w:sz w:val="20"/>
          <w:szCs w:val="20"/>
        </w:rPr>
        <w:t xml:space="preserve">, </w:t>
      </w:r>
      <w:r w:rsidR="00505D6D" w:rsidRPr="00C05EB6">
        <w:rPr>
          <w:sz w:val="20"/>
          <w:szCs w:val="20"/>
        </w:rPr>
        <w:t>Mohie El-Din Tharwat Mohamed</w:t>
      </w:r>
      <w:r w:rsidR="00FA2A7F" w:rsidRPr="00C05EB6">
        <w:rPr>
          <w:sz w:val="20"/>
          <w:szCs w:val="20"/>
        </w:rPr>
        <w:t xml:space="preserve"> and</w:t>
      </w:r>
      <w:r w:rsidR="00505D6D" w:rsidRPr="00C05EB6">
        <w:rPr>
          <w:sz w:val="20"/>
          <w:szCs w:val="20"/>
        </w:rPr>
        <w:t>El-Noamany Nader Abd-Elhamid</w:t>
      </w:r>
    </w:p>
    <w:p w:rsidR="00D6040E" w:rsidRPr="00C05EB6" w:rsidRDefault="00D6040E" w:rsidP="00BD7DE8">
      <w:pPr>
        <w:pStyle w:val="Normal1"/>
        <w:snapToGrid w:val="0"/>
        <w:jc w:val="center"/>
        <w:rPr>
          <w:color w:val="000000"/>
          <w:sz w:val="20"/>
          <w:szCs w:val="20"/>
        </w:rPr>
      </w:pPr>
      <w:r w:rsidRPr="00C05EB6">
        <w:rPr>
          <w:color w:val="000000"/>
          <w:sz w:val="20"/>
          <w:szCs w:val="20"/>
        </w:rPr>
        <w:t>Neurology Department, Faculty of Medicine</w:t>
      </w:r>
      <w:r w:rsidR="00FA2A7F" w:rsidRPr="00C05EB6">
        <w:rPr>
          <w:color w:val="000000"/>
          <w:sz w:val="20"/>
          <w:szCs w:val="20"/>
        </w:rPr>
        <w:t>, Al</w:t>
      </w:r>
      <w:r w:rsidRPr="00C05EB6">
        <w:rPr>
          <w:color w:val="000000"/>
          <w:sz w:val="20"/>
          <w:szCs w:val="20"/>
        </w:rPr>
        <w:t>-Azhar University</w:t>
      </w:r>
      <w:r w:rsidR="00FA2A7F" w:rsidRPr="00C05EB6">
        <w:rPr>
          <w:color w:val="000000"/>
          <w:sz w:val="20"/>
          <w:szCs w:val="20"/>
        </w:rPr>
        <w:t>,</w:t>
      </w:r>
      <w:r w:rsidR="00314DDD" w:rsidRPr="00C05EB6">
        <w:rPr>
          <w:color w:val="000000"/>
          <w:sz w:val="20"/>
          <w:szCs w:val="20"/>
        </w:rPr>
        <w:t xml:space="preserve"> Cairo</w:t>
      </w:r>
      <w:r w:rsidR="00FA2A7F" w:rsidRPr="00C05EB6">
        <w:rPr>
          <w:color w:val="000000"/>
          <w:sz w:val="20"/>
          <w:szCs w:val="20"/>
        </w:rPr>
        <w:t>, Egypt.</w:t>
      </w:r>
    </w:p>
    <w:p w:rsidR="00B74D8C" w:rsidRPr="00C05EB6" w:rsidRDefault="000C52FE" w:rsidP="00BD7DE8">
      <w:pPr>
        <w:pStyle w:val="Default"/>
        <w:snapToGrid w:val="0"/>
        <w:jc w:val="center"/>
        <w:rPr>
          <w:color w:val="0000CC"/>
          <w:sz w:val="20"/>
          <w:szCs w:val="20"/>
        </w:rPr>
      </w:pPr>
      <w:hyperlink r:id="rId8" w:history="1">
        <w:r w:rsidR="00B74D8C" w:rsidRPr="00C05EB6">
          <w:rPr>
            <w:color w:val="0000CC"/>
            <w:sz w:val="20"/>
            <w:szCs w:val="20"/>
            <w:u w:val="single"/>
          </w:rPr>
          <w:t>noamanyna@yahoo.com</w:t>
        </w:r>
      </w:hyperlink>
    </w:p>
    <w:p w:rsidR="0067459C" w:rsidRPr="0067459C" w:rsidRDefault="0067459C" w:rsidP="0067459C">
      <w:pPr>
        <w:spacing w:before="120" w:after="120"/>
        <w:jc w:val="both"/>
        <w:rPr>
          <w:rFonts w:eastAsia="Times New Roman"/>
          <w:sz w:val="22"/>
          <w:szCs w:val="22"/>
        </w:rPr>
      </w:pPr>
      <w:r w:rsidRPr="0067459C">
        <w:rPr>
          <w:rFonts w:eastAsia="Times New Roman"/>
          <w:b/>
          <w:bCs/>
          <w:spacing w:val="-2"/>
          <w:sz w:val="22"/>
          <w:szCs w:val="22"/>
        </w:rPr>
        <w:t xml:space="preserve">Background: </w:t>
      </w:r>
      <w:r w:rsidRPr="0067459C">
        <w:rPr>
          <w:rFonts w:eastAsia="Times New Roman"/>
          <w:spacing w:val="-2"/>
          <w:sz w:val="22"/>
          <w:szCs w:val="22"/>
        </w:rPr>
        <w:t>Status epilepticus (SE) is a medical emergency that can lead to serious sequelae if left untreated, SE was defined as an ongoing seizure lasting more than 5 minutes, or by repeated seizure without complete recovery in between</w:t>
      </w:r>
      <w:r w:rsidRPr="0067459C">
        <w:rPr>
          <w:rFonts w:eastAsia="Times New Roman"/>
          <w:b/>
          <w:bCs/>
          <w:spacing w:val="-2"/>
          <w:sz w:val="22"/>
          <w:szCs w:val="22"/>
        </w:rPr>
        <w:t xml:space="preserve">. </w:t>
      </w:r>
      <w:r w:rsidRPr="0067459C">
        <w:rPr>
          <w:rFonts w:eastAsia="Times New Roman"/>
          <w:spacing w:val="-2"/>
          <w:sz w:val="22"/>
          <w:szCs w:val="22"/>
        </w:rPr>
        <w:t xml:space="preserve">Identification of clinical parameters and etiological factors for SE can be used for early diagnosis, management and improve outcome. </w:t>
      </w:r>
      <w:r w:rsidRPr="0067459C">
        <w:rPr>
          <w:rFonts w:eastAsia="Times New Roman"/>
          <w:b/>
          <w:bCs/>
          <w:sz w:val="22"/>
          <w:szCs w:val="22"/>
        </w:rPr>
        <w:t>Objective:</w:t>
      </w:r>
      <w:r w:rsidRPr="0067459C">
        <w:rPr>
          <w:rFonts w:eastAsia="Times New Roman"/>
          <w:sz w:val="22"/>
          <w:szCs w:val="22"/>
        </w:rPr>
        <w:t xml:space="preserve"> evaluate the clinical parameters and etiological factors of status epilepticus in a sample of Egyptian patients admitted at Al- Azhar university hospitals. </w:t>
      </w:r>
      <w:r w:rsidRPr="0067459C">
        <w:rPr>
          <w:rFonts w:eastAsia="Times New Roman"/>
          <w:b/>
          <w:bCs/>
          <w:spacing w:val="-6"/>
          <w:sz w:val="22"/>
          <w:szCs w:val="22"/>
        </w:rPr>
        <w:t>Methods:</w:t>
      </w:r>
      <w:r w:rsidRPr="0067459C">
        <w:rPr>
          <w:rFonts w:eastAsia="Times New Roman"/>
          <w:spacing w:val="-6"/>
          <w:sz w:val="22"/>
          <w:szCs w:val="22"/>
        </w:rPr>
        <w:t xml:space="preserve"> Data on all consecutive patients with status epilepticus of all etiologies admitted to Al Azhar university hospitals included detailed medical and neurological history, detailed history of epilepsy (type of seizure, frequency of seizure, anti-epileptic drugs use and etiology of epilepsy), history of status epilepticus (Type, etiology, trigger factors, duration of SE, recurrent SE or not, Anti-epileptic drugs for treatment of SE and outcome), after neurologic evaluation. Patients were subjected to relevant laboratory, neuroimaging and electroencephalographic </w:t>
      </w:r>
      <w:r w:rsidRPr="0067459C">
        <w:rPr>
          <w:rFonts w:eastAsia="Times New Roman"/>
          <w:sz w:val="22"/>
          <w:szCs w:val="22"/>
        </w:rPr>
        <w:t xml:space="preserve">studies and incase of nonconvulsive status epilepticus, EEG criteria were used. Etiological factors and detailed clinical data about SE and detailed clinical data about history of epilepsy in epileptic patients had been documented and all these data </w:t>
      </w:r>
      <w:r w:rsidRPr="0067459C">
        <w:rPr>
          <w:rFonts w:eastAsia="Times New Roman"/>
          <w:color w:val="000000"/>
          <w:sz w:val="22"/>
          <w:szCs w:val="22"/>
        </w:rPr>
        <w:t xml:space="preserve">tabulated and statistically managed. </w:t>
      </w:r>
      <w:r w:rsidRPr="0067459C">
        <w:rPr>
          <w:rFonts w:eastAsia="Times New Roman"/>
          <w:b/>
          <w:bCs/>
          <w:color w:val="000000"/>
          <w:sz w:val="22"/>
          <w:szCs w:val="22"/>
        </w:rPr>
        <w:t>Results:</w:t>
      </w:r>
      <w:r w:rsidRPr="0067459C">
        <w:rPr>
          <w:rFonts w:eastAsia="Times New Roman"/>
          <w:sz w:val="22"/>
          <w:szCs w:val="22"/>
        </w:rPr>
        <w:t xml:space="preserve">The most common cause of SE in epileptic patients was poor compliance to AED and the cause of SE in non-epileptic was vascular cause. Marital status and family support had an important role in compliance on AED,commonest cause of death wasvascular cause and commonest cause of disability was CNS infection. Drug abuse precipitate recurrence of SE.  Patients with history of recurrent SE develop SE needs longer time and more drugs to be controlled. Mortality rate due to SE was 12.5%. idiopathic etiology offered the best chance for good clinical outcome. </w:t>
      </w:r>
      <w:r w:rsidRPr="0067459C">
        <w:rPr>
          <w:rFonts w:eastAsia="Times New Roman"/>
          <w:b/>
          <w:bCs/>
          <w:sz w:val="22"/>
          <w:szCs w:val="22"/>
        </w:rPr>
        <w:t>Conclusion</w:t>
      </w:r>
      <w:r w:rsidRPr="0067459C">
        <w:rPr>
          <w:rFonts w:eastAsia="Times New Roman"/>
          <w:sz w:val="22"/>
          <w:szCs w:val="22"/>
        </w:rPr>
        <w:t>: Status epilepticus is a complex clinical syndrome that requires immediate and careful evaluation. SE caused by a variety of diseases of different outcomes, so cases of SE should be investigated thoroughly and need urgent evaluation. Social and family support plays an important role in drug compliance and development of SE.</w:t>
      </w:r>
    </w:p>
    <w:p w:rsidR="00D43264" w:rsidRPr="00C05EB6" w:rsidRDefault="00FA2A7F" w:rsidP="0067459C">
      <w:pPr>
        <w:snapToGrid w:val="0"/>
        <w:jc w:val="both"/>
        <w:rPr>
          <w:sz w:val="20"/>
          <w:szCs w:val="20"/>
        </w:rPr>
      </w:pPr>
      <w:r w:rsidRPr="00C05EB6">
        <w:rPr>
          <w:sz w:val="20"/>
          <w:szCs w:val="20"/>
          <w:lang w:bidi="ar-EG"/>
        </w:rPr>
        <w:t>[</w:t>
      </w:r>
      <w:r w:rsidRPr="00C05EB6">
        <w:rPr>
          <w:sz w:val="20"/>
          <w:szCs w:val="20"/>
        </w:rPr>
        <w:t xml:space="preserve">Fathy Mahmoud Afifi, Emad Fawzy Shahin, Mohie El-Din Tharwat Mohamed and El-Noamany Nader Abd-Elhamid. </w:t>
      </w:r>
      <w:r w:rsidRPr="00C05EB6">
        <w:rPr>
          <w:b/>
          <w:bCs/>
          <w:sz w:val="20"/>
          <w:szCs w:val="20"/>
        </w:rPr>
        <w:t>Study of profile of status Epilepticus in a sample of Egyptian patients treated in Al-Azhar university hospitals</w:t>
      </w:r>
      <w:r w:rsidR="00D43264" w:rsidRPr="00C05EB6">
        <w:rPr>
          <w:rFonts w:eastAsia="Times New Roman"/>
          <w:b/>
          <w:bCs/>
          <w:sz w:val="20"/>
          <w:szCs w:val="20"/>
          <w:lang w:bidi="fa-IR"/>
        </w:rPr>
        <w:t>.</w:t>
      </w:r>
      <w:r w:rsidR="00D43264" w:rsidRPr="00C05EB6">
        <w:rPr>
          <w:bCs/>
          <w:i/>
          <w:sz w:val="20"/>
          <w:szCs w:val="20"/>
        </w:rPr>
        <w:t xml:space="preserve"> N Y Sci J</w:t>
      </w:r>
      <w:r w:rsidR="00D43264" w:rsidRPr="00C05EB6">
        <w:rPr>
          <w:sz w:val="20"/>
          <w:szCs w:val="20"/>
        </w:rPr>
        <w:t>201</w:t>
      </w:r>
      <w:r w:rsidR="00D43264" w:rsidRPr="00C05EB6">
        <w:rPr>
          <w:rFonts w:hint="eastAsia"/>
          <w:sz w:val="20"/>
          <w:szCs w:val="20"/>
        </w:rPr>
        <w:t>6</w:t>
      </w:r>
      <w:r w:rsidR="00D43264" w:rsidRPr="00C05EB6">
        <w:rPr>
          <w:sz w:val="20"/>
          <w:szCs w:val="20"/>
        </w:rPr>
        <w:t>;</w:t>
      </w:r>
      <w:r w:rsidR="00D43264" w:rsidRPr="00C05EB6">
        <w:rPr>
          <w:rFonts w:hint="eastAsia"/>
          <w:sz w:val="20"/>
          <w:szCs w:val="20"/>
        </w:rPr>
        <w:t>9</w:t>
      </w:r>
      <w:r w:rsidR="00D43264" w:rsidRPr="00C05EB6">
        <w:rPr>
          <w:sz w:val="20"/>
          <w:szCs w:val="20"/>
        </w:rPr>
        <w:t>(</w:t>
      </w:r>
      <w:r w:rsidR="00D43264" w:rsidRPr="00C05EB6">
        <w:rPr>
          <w:rFonts w:hint="eastAsia"/>
          <w:sz w:val="20"/>
          <w:szCs w:val="20"/>
        </w:rPr>
        <w:t>12</w:t>
      </w:r>
      <w:r w:rsidR="00D43264" w:rsidRPr="00C05EB6">
        <w:rPr>
          <w:sz w:val="20"/>
          <w:szCs w:val="20"/>
        </w:rPr>
        <w:t>):</w:t>
      </w:r>
      <w:r w:rsidR="00A10C4D" w:rsidRPr="00C05EB6">
        <w:rPr>
          <w:noProof/>
          <w:color w:val="000000"/>
          <w:sz w:val="20"/>
          <w:szCs w:val="20"/>
        </w:rPr>
        <w:t>12</w:t>
      </w:r>
      <w:r w:rsidR="00C05EB6" w:rsidRPr="00C05EB6">
        <w:rPr>
          <w:rFonts w:hint="eastAsia"/>
          <w:noProof/>
          <w:color w:val="000000"/>
          <w:sz w:val="20"/>
          <w:szCs w:val="20"/>
          <w:lang w:eastAsia="zh-CN"/>
        </w:rPr>
        <w:t>2</w:t>
      </w:r>
      <w:r w:rsidR="00D43264" w:rsidRPr="00C05EB6">
        <w:rPr>
          <w:color w:val="000000"/>
          <w:sz w:val="20"/>
          <w:szCs w:val="20"/>
        </w:rPr>
        <w:t>-</w:t>
      </w:r>
      <w:r w:rsidR="00A10C4D" w:rsidRPr="00C05EB6">
        <w:rPr>
          <w:noProof/>
          <w:color w:val="000000"/>
          <w:sz w:val="20"/>
          <w:szCs w:val="20"/>
        </w:rPr>
        <w:t>13</w:t>
      </w:r>
      <w:r w:rsidR="00262AD6">
        <w:rPr>
          <w:rFonts w:hint="eastAsia"/>
          <w:noProof/>
          <w:color w:val="000000"/>
          <w:sz w:val="20"/>
          <w:szCs w:val="20"/>
          <w:lang w:eastAsia="zh-CN"/>
        </w:rPr>
        <w:t>1</w:t>
      </w:r>
      <w:r w:rsidR="00D43264" w:rsidRPr="00C05EB6">
        <w:rPr>
          <w:sz w:val="20"/>
          <w:szCs w:val="20"/>
        </w:rPr>
        <w:t xml:space="preserve">]. </w:t>
      </w:r>
      <w:r w:rsidR="00D43264" w:rsidRPr="00C05EB6">
        <w:rPr>
          <w:iCs/>
          <w:color w:val="000000"/>
          <w:sz w:val="20"/>
          <w:szCs w:val="20"/>
        </w:rPr>
        <w:t>ISSN 1554-0200 (print); ISSN 2375-723X (online)</w:t>
      </w:r>
      <w:r w:rsidR="00D43264" w:rsidRPr="00C05EB6">
        <w:rPr>
          <w:sz w:val="20"/>
          <w:szCs w:val="20"/>
        </w:rPr>
        <w:t xml:space="preserve">. </w:t>
      </w:r>
      <w:hyperlink r:id="rId9" w:history="1">
        <w:r w:rsidR="00D43264" w:rsidRPr="00C05EB6">
          <w:rPr>
            <w:rStyle w:val="Hyperlink"/>
            <w:sz w:val="20"/>
            <w:szCs w:val="20"/>
          </w:rPr>
          <w:t>http://www.sciencepub.net/newyork</w:t>
        </w:r>
      </w:hyperlink>
      <w:r w:rsidR="00D43264" w:rsidRPr="00C05EB6">
        <w:rPr>
          <w:sz w:val="20"/>
          <w:szCs w:val="20"/>
        </w:rPr>
        <w:t xml:space="preserve">. </w:t>
      </w:r>
      <w:r w:rsidR="00BD7DE8" w:rsidRPr="00C05EB6">
        <w:rPr>
          <w:rFonts w:hint="eastAsia"/>
          <w:sz w:val="20"/>
          <w:szCs w:val="20"/>
          <w:lang w:eastAsia="zh-CN"/>
        </w:rPr>
        <w:t>22</w:t>
      </w:r>
      <w:r w:rsidR="00D43264" w:rsidRPr="00C05EB6">
        <w:rPr>
          <w:rFonts w:hint="eastAsia"/>
          <w:sz w:val="20"/>
          <w:szCs w:val="20"/>
        </w:rPr>
        <w:t xml:space="preserve">. </w:t>
      </w:r>
      <w:r w:rsidR="00D43264" w:rsidRPr="00C05EB6">
        <w:rPr>
          <w:color w:val="000000"/>
          <w:sz w:val="20"/>
          <w:szCs w:val="20"/>
          <w:shd w:val="clear" w:color="auto" w:fill="FFFFFF"/>
        </w:rPr>
        <w:t>doi:</w:t>
      </w:r>
      <w:hyperlink r:id="rId10" w:history="1">
        <w:r w:rsidR="00D43264" w:rsidRPr="00C05EB6">
          <w:rPr>
            <w:rStyle w:val="Hyperlink"/>
            <w:sz w:val="20"/>
            <w:szCs w:val="20"/>
            <w:shd w:val="clear" w:color="auto" w:fill="FFFFFF"/>
          </w:rPr>
          <w:t>10.7537/mars</w:t>
        </w:r>
        <w:r w:rsidR="00D43264" w:rsidRPr="00C05EB6">
          <w:rPr>
            <w:rStyle w:val="Hyperlink"/>
            <w:rFonts w:hint="eastAsia"/>
            <w:sz w:val="20"/>
            <w:szCs w:val="20"/>
            <w:shd w:val="clear" w:color="auto" w:fill="FFFFFF"/>
          </w:rPr>
          <w:t>nys0912</w:t>
        </w:r>
        <w:r w:rsidR="00D43264" w:rsidRPr="00C05EB6">
          <w:rPr>
            <w:rStyle w:val="Hyperlink"/>
            <w:sz w:val="20"/>
            <w:szCs w:val="20"/>
            <w:shd w:val="clear" w:color="auto" w:fill="FFFFFF"/>
          </w:rPr>
          <w:t>1</w:t>
        </w:r>
        <w:r w:rsidR="00D43264" w:rsidRPr="00C05EB6">
          <w:rPr>
            <w:rStyle w:val="Hyperlink"/>
            <w:rFonts w:hint="eastAsia"/>
            <w:sz w:val="20"/>
            <w:szCs w:val="20"/>
            <w:shd w:val="clear" w:color="auto" w:fill="FFFFFF"/>
          </w:rPr>
          <w:t>6.</w:t>
        </w:r>
        <w:r w:rsidR="00BD7DE8" w:rsidRPr="00C05EB6">
          <w:rPr>
            <w:rStyle w:val="Hyperlink"/>
            <w:rFonts w:hint="eastAsia"/>
            <w:sz w:val="20"/>
            <w:szCs w:val="20"/>
            <w:shd w:val="clear" w:color="auto" w:fill="FFFFFF"/>
            <w:lang w:eastAsia="zh-CN"/>
          </w:rPr>
          <w:t>22</w:t>
        </w:r>
      </w:hyperlink>
      <w:r w:rsidR="00D43264" w:rsidRPr="00C05EB6">
        <w:rPr>
          <w:color w:val="000000"/>
          <w:sz w:val="20"/>
          <w:szCs w:val="20"/>
          <w:shd w:val="clear" w:color="auto" w:fill="FFFFFF"/>
        </w:rPr>
        <w:t>.</w:t>
      </w:r>
    </w:p>
    <w:p w:rsidR="00FA2A7F" w:rsidRPr="00C05EB6" w:rsidRDefault="00FA2A7F" w:rsidP="00BD7DE8">
      <w:pPr>
        <w:snapToGrid w:val="0"/>
        <w:jc w:val="both"/>
        <w:rPr>
          <w:b/>
          <w:bCs/>
          <w:sz w:val="20"/>
          <w:szCs w:val="20"/>
        </w:rPr>
      </w:pPr>
    </w:p>
    <w:p w:rsidR="003B3E25" w:rsidRPr="00C05EB6" w:rsidRDefault="003B3E25" w:rsidP="00BD7DE8">
      <w:pPr>
        <w:snapToGrid w:val="0"/>
        <w:jc w:val="both"/>
        <w:rPr>
          <w:sz w:val="20"/>
          <w:szCs w:val="20"/>
        </w:rPr>
      </w:pPr>
      <w:r w:rsidRPr="00C05EB6">
        <w:rPr>
          <w:b/>
          <w:bCs/>
          <w:sz w:val="20"/>
          <w:szCs w:val="20"/>
        </w:rPr>
        <w:t xml:space="preserve">Key </w:t>
      </w:r>
      <w:r w:rsidR="00E3357A" w:rsidRPr="00C05EB6">
        <w:rPr>
          <w:b/>
          <w:bCs/>
          <w:sz w:val="20"/>
          <w:szCs w:val="20"/>
        </w:rPr>
        <w:t>words:</w:t>
      </w:r>
      <w:r w:rsidR="00E3357A" w:rsidRPr="00C05EB6">
        <w:rPr>
          <w:sz w:val="20"/>
          <w:szCs w:val="20"/>
        </w:rPr>
        <w:t xml:space="preserve"> Status</w:t>
      </w:r>
      <w:r w:rsidRPr="00C05EB6">
        <w:rPr>
          <w:sz w:val="20"/>
          <w:szCs w:val="20"/>
        </w:rPr>
        <w:t xml:space="preserve"> epilepticus; profile; Egyptian </w:t>
      </w:r>
      <w:r w:rsidR="00E3357A" w:rsidRPr="00C05EB6">
        <w:rPr>
          <w:sz w:val="20"/>
          <w:szCs w:val="20"/>
        </w:rPr>
        <w:t>patients;</w:t>
      </w:r>
      <w:r w:rsidRPr="00C05EB6">
        <w:rPr>
          <w:sz w:val="20"/>
          <w:szCs w:val="20"/>
        </w:rPr>
        <w:t xml:space="preserve"> drug </w:t>
      </w:r>
      <w:r w:rsidR="00E3357A" w:rsidRPr="00C05EB6">
        <w:rPr>
          <w:sz w:val="20"/>
          <w:szCs w:val="20"/>
        </w:rPr>
        <w:t>compliance;</w:t>
      </w:r>
      <w:r w:rsidRPr="00C05EB6">
        <w:rPr>
          <w:sz w:val="20"/>
          <w:szCs w:val="20"/>
        </w:rPr>
        <w:t xml:space="preserve"> family </w:t>
      </w:r>
      <w:r w:rsidR="00E3357A" w:rsidRPr="00C05EB6">
        <w:rPr>
          <w:sz w:val="20"/>
          <w:szCs w:val="20"/>
        </w:rPr>
        <w:t>support.</w:t>
      </w:r>
    </w:p>
    <w:p w:rsidR="00BD7DE8" w:rsidRPr="00C05EB6" w:rsidRDefault="00BD7DE8" w:rsidP="00BD7DE8">
      <w:pPr>
        <w:snapToGrid w:val="0"/>
        <w:jc w:val="both"/>
        <w:rPr>
          <w:b/>
          <w:sz w:val="20"/>
          <w:szCs w:val="20"/>
          <w:lang w:bidi="ar-EG"/>
        </w:rPr>
      </w:pPr>
    </w:p>
    <w:p w:rsidR="00BD7DE8" w:rsidRPr="00C05EB6" w:rsidRDefault="00BD7DE8" w:rsidP="00BD7DE8">
      <w:pPr>
        <w:snapToGrid w:val="0"/>
        <w:jc w:val="both"/>
        <w:rPr>
          <w:b/>
          <w:sz w:val="20"/>
          <w:szCs w:val="20"/>
          <w:lang w:bidi="ar-EG"/>
        </w:rPr>
        <w:sectPr w:rsidR="00BD7DE8" w:rsidRPr="00C05EB6" w:rsidSect="00C05EB6">
          <w:headerReference w:type="default" r:id="rId11"/>
          <w:footerReference w:type="default" r:id="rId12"/>
          <w:type w:val="continuous"/>
          <w:pgSz w:w="12242" w:h="15842" w:code="1"/>
          <w:pgMar w:top="1440" w:right="1440" w:bottom="1440" w:left="1440" w:header="720" w:footer="720" w:gutter="0"/>
          <w:pgNumType w:start="122"/>
          <w:cols w:space="720"/>
          <w:docGrid w:linePitch="360"/>
        </w:sectPr>
      </w:pPr>
    </w:p>
    <w:p w:rsidR="0067459C" w:rsidRPr="00F32E8A" w:rsidRDefault="00F32E8A" w:rsidP="0067459C">
      <w:pPr>
        <w:spacing w:line="420" w:lineRule="exact"/>
        <w:rPr>
          <w:b/>
          <w:sz w:val="20"/>
          <w:szCs w:val="20"/>
          <w:lang w:bidi="ar-EG"/>
        </w:rPr>
      </w:pPr>
      <w:r w:rsidRPr="00F32E8A">
        <w:rPr>
          <w:b/>
          <w:sz w:val="20"/>
          <w:szCs w:val="20"/>
          <w:lang w:bidi="ar-EG"/>
        </w:rPr>
        <w:lastRenderedPageBreak/>
        <w:t xml:space="preserve">Introduction </w:t>
      </w:r>
    </w:p>
    <w:p w:rsidR="0067459C" w:rsidRPr="0067459C" w:rsidRDefault="0067459C" w:rsidP="0067459C">
      <w:pPr>
        <w:spacing w:line="276" w:lineRule="auto"/>
        <w:ind w:firstLine="720"/>
        <w:jc w:val="lowKashida"/>
        <w:rPr>
          <w:b/>
          <w:bCs/>
          <w:i/>
          <w:iCs/>
          <w:sz w:val="20"/>
          <w:szCs w:val="20"/>
          <w:lang w:bidi="ar-EG"/>
        </w:rPr>
      </w:pPr>
      <w:r w:rsidRPr="0067459C">
        <w:rPr>
          <w:sz w:val="20"/>
          <w:szCs w:val="20"/>
        </w:rPr>
        <w:t xml:space="preserve">Status epilepticus is defined as an epileptic state of a prolonged seizure (lasting for more than 5 minutes) or repeating seizures without regaining consciousness between them </w:t>
      </w:r>
      <w:r w:rsidRPr="0067459C">
        <w:rPr>
          <w:b/>
          <w:bCs/>
          <w:i/>
          <w:iCs/>
          <w:sz w:val="20"/>
          <w:szCs w:val="20"/>
          <w:vertAlign w:val="superscript"/>
          <w:lang w:bidi="ar-EG"/>
        </w:rPr>
        <w:t>1</w:t>
      </w:r>
      <w:r w:rsidRPr="0067459C">
        <w:rPr>
          <w:b/>
          <w:bCs/>
          <w:i/>
          <w:iCs/>
          <w:sz w:val="20"/>
          <w:szCs w:val="20"/>
          <w:lang w:bidi="ar-EG"/>
        </w:rPr>
        <w:t>.</w:t>
      </w:r>
    </w:p>
    <w:p w:rsidR="0067459C" w:rsidRPr="0067459C" w:rsidRDefault="0067459C" w:rsidP="0067459C">
      <w:pPr>
        <w:spacing w:line="276" w:lineRule="auto"/>
        <w:ind w:firstLine="720"/>
        <w:jc w:val="lowKashida"/>
        <w:rPr>
          <w:b/>
          <w:bCs/>
          <w:i/>
          <w:iCs/>
          <w:sz w:val="20"/>
          <w:szCs w:val="20"/>
        </w:rPr>
      </w:pPr>
      <w:r w:rsidRPr="0067459C">
        <w:rPr>
          <w:sz w:val="20"/>
          <w:szCs w:val="20"/>
        </w:rPr>
        <w:t xml:space="preserve">Non-convulsive status epilepticus (NCSE) may be defined as "an enduring epileptic condition with reduced or altered consciousness, behavioral and vegetative abnormalities, or merely subjective symptoms without major convulsive movements" </w:t>
      </w:r>
      <w:r w:rsidRPr="0067459C">
        <w:rPr>
          <w:b/>
          <w:bCs/>
          <w:i/>
          <w:iCs/>
          <w:sz w:val="20"/>
          <w:szCs w:val="20"/>
          <w:vertAlign w:val="superscript"/>
        </w:rPr>
        <w:t>2</w:t>
      </w:r>
      <w:r w:rsidRPr="0067459C">
        <w:rPr>
          <w:b/>
          <w:bCs/>
          <w:i/>
          <w:iCs/>
          <w:sz w:val="20"/>
          <w:szCs w:val="20"/>
        </w:rPr>
        <w:t xml:space="preserve">. </w:t>
      </w:r>
    </w:p>
    <w:p w:rsidR="0067459C" w:rsidRPr="0067459C" w:rsidRDefault="0067459C" w:rsidP="0067459C">
      <w:pPr>
        <w:spacing w:line="276" w:lineRule="auto"/>
        <w:ind w:firstLine="720"/>
        <w:jc w:val="both"/>
        <w:rPr>
          <w:b/>
          <w:bCs/>
          <w:sz w:val="20"/>
          <w:szCs w:val="20"/>
          <w:lang w:bidi="ar-EG"/>
        </w:rPr>
      </w:pPr>
      <w:r w:rsidRPr="0067459C">
        <w:rPr>
          <w:sz w:val="20"/>
          <w:szCs w:val="20"/>
        </w:rPr>
        <w:t>Status epilepticus (SE) is a life threatening condition of ongoing or repetitive seizures, which carries high mortality and severe disability</w:t>
      </w:r>
      <w:r w:rsidRPr="0067459C">
        <w:rPr>
          <w:b/>
          <w:bCs/>
          <w:i/>
          <w:iCs/>
          <w:sz w:val="20"/>
          <w:szCs w:val="20"/>
          <w:vertAlign w:val="superscript"/>
          <w:lang w:bidi="ar-EG"/>
        </w:rPr>
        <w:t>3</w:t>
      </w:r>
      <w:r w:rsidRPr="0067459C">
        <w:rPr>
          <w:b/>
          <w:bCs/>
          <w:i/>
          <w:iCs/>
          <w:sz w:val="20"/>
          <w:szCs w:val="20"/>
          <w:lang w:bidi="ar-EG"/>
        </w:rPr>
        <w:t>.</w:t>
      </w:r>
      <w:r w:rsidRPr="0067459C">
        <w:rPr>
          <w:sz w:val="20"/>
          <w:szCs w:val="20"/>
        </w:rPr>
        <w:t xml:space="preserve"> The incidence of status epilepticus is 6.8 to 41 cases per 100,000 persons annually </w:t>
      </w:r>
      <w:r w:rsidRPr="0067459C">
        <w:rPr>
          <w:b/>
          <w:bCs/>
          <w:i/>
          <w:iCs/>
          <w:sz w:val="20"/>
          <w:szCs w:val="20"/>
          <w:vertAlign w:val="superscript"/>
          <w:lang w:bidi="ar-EG"/>
        </w:rPr>
        <w:t>4</w:t>
      </w:r>
      <w:r w:rsidRPr="0067459C">
        <w:rPr>
          <w:b/>
          <w:bCs/>
          <w:i/>
          <w:iCs/>
          <w:sz w:val="20"/>
          <w:szCs w:val="20"/>
          <w:lang w:bidi="ar-EG"/>
        </w:rPr>
        <w:t>.</w:t>
      </w:r>
    </w:p>
    <w:p w:rsidR="0067459C" w:rsidRPr="0067459C" w:rsidRDefault="0067459C" w:rsidP="0067459C">
      <w:pPr>
        <w:spacing w:line="276" w:lineRule="auto"/>
        <w:ind w:firstLine="720"/>
        <w:jc w:val="both"/>
        <w:rPr>
          <w:sz w:val="20"/>
          <w:szCs w:val="20"/>
        </w:rPr>
      </w:pPr>
      <w:r w:rsidRPr="0067459C">
        <w:rPr>
          <w:sz w:val="20"/>
          <w:szCs w:val="20"/>
        </w:rPr>
        <w:lastRenderedPageBreak/>
        <w:t xml:space="preserve">Status Epilepticus may be classified broadly as convulsive SE and nonconvulsive SE. Convulsive SE (CSE) can be further classified into (a) tonic-clonic, (b) tonic, (c) clonic and (d) myoclonic. Generalized tonic-clonic SE is the most common form. Nonconvulsive SE (NCSE) refers to continuous generalized electrical seizure activity lasting for at least 30 min, but without physical convulsions. CSE may evolve into the nonconvulsive form after treatment or NCSE may arise de novo. NCSE is characterized by abnormal mental status, unresponsiveness, ocular motor abnormalities, persistent electrographic seizures, and possible response to anticonvulsants. All patients with prolonged postictal confusion or unexplained coma should undergo EEG monitoring for confirmation. </w:t>
      </w:r>
      <w:r w:rsidRPr="0067459C">
        <w:rPr>
          <w:sz w:val="20"/>
          <w:szCs w:val="20"/>
        </w:rPr>
        <w:lastRenderedPageBreak/>
        <w:t xml:space="preserve">NCSE has long been divided into two main categories: absence SE (ASE) and complex partial SE (CPSE) </w:t>
      </w:r>
      <w:r w:rsidRPr="0067459C">
        <w:rPr>
          <w:b/>
          <w:bCs/>
          <w:i/>
          <w:iCs/>
          <w:sz w:val="20"/>
          <w:szCs w:val="20"/>
          <w:vertAlign w:val="superscript"/>
        </w:rPr>
        <w:t>5</w:t>
      </w:r>
      <w:r w:rsidRPr="0067459C">
        <w:rPr>
          <w:sz w:val="20"/>
          <w:szCs w:val="20"/>
        </w:rPr>
        <w:t>.</w:t>
      </w:r>
    </w:p>
    <w:p w:rsidR="0067459C" w:rsidRPr="0067459C" w:rsidRDefault="0067459C" w:rsidP="0067459C">
      <w:pPr>
        <w:spacing w:line="276" w:lineRule="auto"/>
        <w:ind w:firstLine="720"/>
        <w:jc w:val="both"/>
        <w:rPr>
          <w:b/>
          <w:bCs/>
          <w:i/>
          <w:iCs/>
          <w:sz w:val="20"/>
          <w:szCs w:val="20"/>
        </w:rPr>
      </w:pPr>
      <w:r w:rsidRPr="0067459C">
        <w:rPr>
          <w:sz w:val="20"/>
          <w:szCs w:val="20"/>
        </w:rPr>
        <w:t xml:space="preserve"> Outcome in refractory status epilepticus is poor; mortality is almost 50%, and only a minority of patients (primarily those with preexisting epilepsy and no acute brain process) return to their premorbid functional baseline </w:t>
      </w:r>
      <w:r w:rsidRPr="0067459C">
        <w:rPr>
          <w:b/>
          <w:bCs/>
          <w:i/>
          <w:iCs/>
          <w:sz w:val="20"/>
          <w:szCs w:val="20"/>
          <w:vertAlign w:val="superscript"/>
          <w:lang w:bidi="ar-EG"/>
        </w:rPr>
        <w:t>6</w:t>
      </w:r>
      <w:r w:rsidRPr="0067459C">
        <w:rPr>
          <w:b/>
          <w:bCs/>
          <w:i/>
          <w:iCs/>
          <w:sz w:val="20"/>
          <w:szCs w:val="20"/>
          <w:lang w:bidi="ar-EG"/>
        </w:rPr>
        <w:t>.</w:t>
      </w:r>
    </w:p>
    <w:p w:rsidR="0067459C" w:rsidRPr="0067459C" w:rsidRDefault="0067459C" w:rsidP="0067459C">
      <w:pPr>
        <w:spacing w:line="276" w:lineRule="auto"/>
        <w:ind w:firstLine="720"/>
        <w:jc w:val="both"/>
        <w:rPr>
          <w:b/>
          <w:bCs/>
          <w:sz w:val="20"/>
          <w:szCs w:val="20"/>
        </w:rPr>
      </w:pPr>
      <w:r w:rsidRPr="0067459C">
        <w:rPr>
          <w:sz w:val="20"/>
          <w:szCs w:val="20"/>
        </w:rPr>
        <w:t>The aim of this study is to evaluate the clinical parameters and etiological factors of status epilepticus in a sample of Egyptian patients admitted at Al- Azhar university hospitals.</w:t>
      </w:r>
    </w:p>
    <w:p w:rsidR="0067459C" w:rsidRPr="0067459C" w:rsidRDefault="0067459C" w:rsidP="0067459C">
      <w:pPr>
        <w:spacing w:line="276" w:lineRule="auto"/>
        <w:jc w:val="both"/>
        <w:rPr>
          <w:b/>
          <w:bCs/>
          <w:sz w:val="20"/>
          <w:szCs w:val="20"/>
          <w:u w:val="single"/>
        </w:rPr>
      </w:pPr>
      <w:r w:rsidRPr="0067459C">
        <w:rPr>
          <w:b/>
          <w:bCs/>
          <w:sz w:val="20"/>
          <w:szCs w:val="20"/>
          <w:u w:val="single"/>
        </w:rPr>
        <w:t>PATIENTS AND METHODS:</w:t>
      </w:r>
    </w:p>
    <w:p w:rsidR="0067459C" w:rsidRPr="0067459C" w:rsidRDefault="0067459C" w:rsidP="0067459C">
      <w:pPr>
        <w:spacing w:line="276" w:lineRule="auto"/>
        <w:jc w:val="both"/>
        <w:rPr>
          <w:sz w:val="20"/>
          <w:szCs w:val="20"/>
        </w:rPr>
      </w:pPr>
      <w:r w:rsidRPr="0067459C">
        <w:rPr>
          <w:sz w:val="20"/>
          <w:szCs w:val="20"/>
        </w:rPr>
        <w:t xml:space="preserve">      The present study was conducted on 40 patients with status epilepticus (SE) between beginning of January 2016 to end of June 2016 who admitted at general and neurology intensive care units at Al- Azhar university hospitals (Al-Hussein and Bab Al-Sharea).  All patients presented with status epilepticus included in the present study.  All patients were subjected to the following procedures:  </w:t>
      </w:r>
    </w:p>
    <w:p w:rsidR="0067459C" w:rsidRPr="0067459C" w:rsidRDefault="0067459C" w:rsidP="0067459C">
      <w:pPr>
        <w:spacing w:line="276" w:lineRule="auto"/>
        <w:jc w:val="both"/>
        <w:rPr>
          <w:b/>
          <w:bCs/>
          <w:sz w:val="20"/>
          <w:szCs w:val="20"/>
        </w:rPr>
      </w:pPr>
      <w:r w:rsidRPr="0067459C">
        <w:rPr>
          <w:b/>
          <w:bCs/>
          <w:sz w:val="20"/>
          <w:szCs w:val="20"/>
        </w:rPr>
        <w:t xml:space="preserve">(I) Detailed medical and neurological history </w:t>
      </w:r>
      <w:r w:rsidRPr="0067459C">
        <w:rPr>
          <w:sz w:val="20"/>
          <w:szCs w:val="20"/>
        </w:rPr>
        <w:t xml:space="preserve">including personal history, family history including history of epilepsy and social history.   </w:t>
      </w:r>
    </w:p>
    <w:p w:rsidR="0067459C" w:rsidRPr="0067459C" w:rsidRDefault="0067459C" w:rsidP="0067459C">
      <w:pPr>
        <w:spacing w:line="276" w:lineRule="auto"/>
        <w:jc w:val="both"/>
        <w:rPr>
          <w:b/>
          <w:bCs/>
          <w:sz w:val="20"/>
          <w:szCs w:val="20"/>
        </w:rPr>
      </w:pPr>
      <w:r w:rsidRPr="0067459C">
        <w:rPr>
          <w:b/>
          <w:bCs/>
          <w:sz w:val="20"/>
          <w:szCs w:val="20"/>
        </w:rPr>
        <w:t xml:space="preserve">(II) Detailed history of epilepsy: </w:t>
      </w:r>
    </w:p>
    <w:p w:rsidR="0067459C" w:rsidRPr="0067459C" w:rsidRDefault="0067459C" w:rsidP="0067459C">
      <w:pPr>
        <w:spacing w:line="276" w:lineRule="auto"/>
        <w:jc w:val="both"/>
        <w:rPr>
          <w:sz w:val="20"/>
          <w:szCs w:val="20"/>
        </w:rPr>
      </w:pPr>
      <w:r w:rsidRPr="0067459C">
        <w:rPr>
          <w:sz w:val="20"/>
          <w:szCs w:val="20"/>
        </w:rPr>
        <w:t xml:space="preserve">The history taking included: -  </w:t>
      </w:r>
    </w:p>
    <w:p w:rsidR="0067459C" w:rsidRPr="0067459C" w:rsidRDefault="0067459C" w:rsidP="0067459C">
      <w:pPr>
        <w:spacing w:line="276" w:lineRule="auto"/>
        <w:jc w:val="both"/>
        <w:rPr>
          <w:sz w:val="20"/>
          <w:szCs w:val="20"/>
        </w:rPr>
      </w:pPr>
      <w:r w:rsidRPr="0067459C">
        <w:rPr>
          <w:sz w:val="20"/>
          <w:szCs w:val="20"/>
        </w:rPr>
        <w:t>(1) Type of seizures. (Generalized, Partial and Polymorphic)</w:t>
      </w:r>
    </w:p>
    <w:p w:rsidR="0067459C" w:rsidRPr="0067459C" w:rsidRDefault="0067459C" w:rsidP="0067459C">
      <w:pPr>
        <w:spacing w:line="276" w:lineRule="auto"/>
        <w:jc w:val="both"/>
        <w:rPr>
          <w:sz w:val="20"/>
          <w:szCs w:val="20"/>
        </w:rPr>
      </w:pPr>
      <w:r w:rsidRPr="0067459C">
        <w:rPr>
          <w:sz w:val="20"/>
          <w:szCs w:val="20"/>
        </w:rPr>
        <w:t>(2) Frequency of seizures: (frequent or infrequent)</w:t>
      </w:r>
    </w:p>
    <w:p w:rsidR="0067459C" w:rsidRPr="0067459C" w:rsidRDefault="0067459C" w:rsidP="0067459C">
      <w:pPr>
        <w:spacing w:line="276" w:lineRule="auto"/>
        <w:jc w:val="both"/>
        <w:rPr>
          <w:sz w:val="20"/>
          <w:szCs w:val="20"/>
        </w:rPr>
      </w:pPr>
      <w:r w:rsidRPr="0067459C">
        <w:rPr>
          <w:sz w:val="20"/>
          <w:szCs w:val="20"/>
        </w:rPr>
        <w:t>(3) Anti-epileptic drugs use: (number of drugs and serum drug level).</w:t>
      </w:r>
    </w:p>
    <w:p w:rsidR="0067459C" w:rsidRPr="0067459C" w:rsidRDefault="0067459C" w:rsidP="0067459C">
      <w:pPr>
        <w:spacing w:line="276" w:lineRule="auto"/>
        <w:jc w:val="both"/>
        <w:rPr>
          <w:sz w:val="20"/>
          <w:szCs w:val="20"/>
        </w:rPr>
      </w:pPr>
      <w:r w:rsidRPr="0067459C">
        <w:rPr>
          <w:sz w:val="20"/>
          <w:szCs w:val="20"/>
        </w:rPr>
        <w:t>(4) Etiology of epilepsy such as: History suggestive of CNS infection, head trauma, stroke.</w:t>
      </w:r>
    </w:p>
    <w:p w:rsidR="0067459C" w:rsidRPr="0067459C" w:rsidRDefault="0067459C" w:rsidP="0067459C">
      <w:pPr>
        <w:spacing w:line="276" w:lineRule="auto"/>
        <w:jc w:val="both"/>
        <w:rPr>
          <w:b/>
          <w:bCs/>
          <w:sz w:val="20"/>
          <w:szCs w:val="20"/>
        </w:rPr>
      </w:pPr>
      <w:r w:rsidRPr="0067459C">
        <w:rPr>
          <w:b/>
          <w:bCs/>
          <w:sz w:val="20"/>
          <w:szCs w:val="20"/>
        </w:rPr>
        <w:t>(III) Detailed history of status epilepticus:</w:t>
      </w:r>
    </w:p>
    <w:p w:rsidR="0067459C" w:rsidRPr="0067459C" w:rsidRDefault="0067459C" w:rsidP="0067459C">
      <w:pPr>
        <w:spacing w:line="276" w:lineRule="auto"/>
        <w:jc w:val="both"/>
        <w:rPr>
          <w:sz w:val="20"/>
          <w:szCs w:val="20"/>
        </w:rPr>
      </w:pPr>
      <w:r w:rsidRPr="0067459C">
        <w:rPr>
          <w:sz w:val="20"/>
          <w:szCs w:val="20"/>
        </w:rPr>
        <w:t>(a) Type of SE: (convulsive or non-convulsive)</w:t>
      </w:r>
    </w:p>
    <w:p w:rsidR="0067459C" w:rsidRPr="0067459C" w:rsidRDefault="0067459C" w:rsidP="0067459C">
      <w:pPr>
        <w:spacing w:line="276" w:lineRule="auto"/>
        <w:jc w:val="both"/>
        <w:rPr>
          <w:sz w:val="20"/>
          <w:szCs w:val="20"/>
        </w:rPr>
      </w:pPr>
      <w:r w:rsidRPr="0067459C">
        <w:rPr>
          <w:sz w:val="20"/>
          <w:szCs w:val="20"/>
        </w:rPr>
        <w:t>(b) Etiology of SE:</w:t>
      </w:r>
    </w:p>
    <w:p w:rsidR="0067459C" w:rsidRPr="0067459C" w:rsidRDefault="0067459C" w:rsidP="0067459C">
      <w:pPr>
        <w:spacing w:line="276" w:lineRule="auto"/>
        <w:jc w:val="both"/>
        <w:rPr>
          <w:sz w:val="20"/>
          <w:szCs w:val="20"/>
        </w:rPr>
      </w:pPr>
      <w:r w:rsidRPr="0067459C">
        <w:rPr>
          <w:sz w:val="20"/>
          <w:szCs w:val="20"/>
        </w:rPr>
        <w:t>Idiopathic, vascular, CNS infection, metabolic &amp; electrolyte disturbance, tumor , traumatic brain injury and febrile convulsion.</w:t>
      </w:r>
    </w:p>
    <w:p w:rsidR="0067459C" w:rsidRPr="0067459C" w:rsidRDefault="0067459C" w:rsidP="0067459C">
      <w:pPr>
        <w:spacing w:line="276" w:lineRule="auto"/>
        <w:jc w:val="both"/>
        <w:rPr>
          <w:sz w:val="20"/>
          <w:szCs w:val="20"/>
        </w:rPr>
      </w:pPr>
      <w:r w:rsidRPr="0067459C">
        <w:rPr>
          <w:sz w:val="20"/>
          <w:szCs w:val="20"/>
        </w:rPr>
        <w:t xml:space="preserve">(c) Trigger factors for SE: (poor compliance, infection and fever, drug abuse, trauma, metabolic and electrolyte disturbance, sleep deprivation or unknown). </w:t>
      </w:r>
    </w:p>
    <w:p w:rsidR="0067459C" w:rsidRPr="0067459C" w:rsidRDefault="0067459C" w:rsidP="0067459C">
      <w:pPr>
        <w:spacing w:line="276" w:lineRule="auto"/>
        <w:jc w:val="both"/>
        <w:rPr>
          <w:sz w:val="20"/>
          <w:szCs w:val="20"/>
        </w:rPr>
      </w:pPr>
      <w:r w:rsidRPr="0067459C">
        <w:rPr>
          <w:sz w:val="20"/>
          <w:szCs w:val="20"/>
        </w:rPr>
        <w:t>(d) Duration of SE:(less than 60 minutes, 60 minutes to 24 hours, more than 24 hours)</w:t>
      </w:r>
    </w:p>
    <w:p w:rsidR="0067459C" w:rsidRPr="0067459C" w:rsidRDefault="0067459C" w:rsidP="0067459C">
      <w:pPr>
        <w:spacing w:line="276" w:lineRule="auto"/>
        <w:jc w:val="both"/>
        <w:rPr>
          <w:sz w:val="20"/>
          <w:szCs w:val="20"/>
        </w:rPr>
      </w:pPr>
      <w:r w:rsidRPr="0067459C">
        <w:rPr>
          <w:sz w:val="20"/>
          <w:szCs w:val="20"/>
        </w:rPr>
        <w:t xml:space="preserve">(e)  Recurrent SE or not.  </w:t>
      </w:r>
    </w:p>
    <w:p w:rsidR="0067459C" w:rsidRPr="0067459C" w:rsidRDefault="0067459C" w:rsidP="0067459C">
      <w:pPr>
        <w:spacing w:line="276" w:lineRule="auto"/>
        <w:jc w:val="both"/>
        <w:rPr>
          <w:sz w:val="20"/>
          <w:szCs w:val="20"/>
        </w:rPr>
      </w:pPr>
      <w:r w:rsidRPr="0067459C">
        <w:rPr>
          <w:sz w:val="20"/>
          <w:szCs w:val="20"/>
        </w:rPr>
        <w:t xml:space="preserve">(f) Anti-Epileptic Drugs for treatment of Status Epilepticus (diazepam and phenytoin or combination </w:t>
      </w:r>
      <w:r w:rsidRPr="0067459C">
        <w:rPr>
          <w:sz w:val="20"/>
          <w:szCs w:val="20"/>
        </w:rPr>
        <w:lastRenderedPageBreak/>
        <w:t xml:space="preserve">of AED (diazepam, phenytoin, midazolam, Propofol and thiopental) </w:t>
      </w:r>
    </w:p>
    <w:p w:rsidR="0067459C" w:rsidRPr="0067459C" w:rsidRDefault="0067459C" w:rsidP="0067459C">
      <w:pPr>
        <w:spacing w:line="276" w:lineRule="auto"/>
        <w:jc w:val="both"/>
        <w:rPr>
          <w:sz w:val="20"/>
          <w:szCs w:val="20"/>
        </w:rPr>
      </w:pPr>
      <w:r w:rsidRPr="0067459C">
        <w:rPr>
          <w:sz w:val="20"/>
          <w:szCs w:val="20"/>
        </w:rPr>
        <w:t>(g) Outcome of patient at hospital discharge (dead, disability and good outcome)</w:t>
      </w:r>
    </w:p>
    <w:p w:rsidR="0067459C" w:rsidRPr="0067459C" w:rsidRDefault="0067459C" w:rsidP="0067459C">
      <w:pPr>
        <w:spacing w:line="276" w:lineRule="auto"/>
        <w:jc w:val="both"/>
        <w:rPr>
          <w:b/>
          <w:bCs/>
          <w:sz w:val="20"/>
          <w:szCs w:val="20"/>
        </w:rPr>
      </w:pPr>
      <w:r w:rsidRPr="0067459C">
        <w:rPr>
          <w:b/>
          <w:bCs/>
          <w:sz w:val="20"/>
          <w:szCs w:val="20"/>
        </w:rPr>
        <w:t>(IV) Full general and neurological examination.</w:t>
      </w:r>
    </w:p>
    <w:p w:rsidR="0067459C" w:rsidRPr="0067459C" w:rsidRDefault="0067459C" w:rsidP="0067459C">
      <w:pPr>
        <w:spacing w:line="276" w:lineRule="auto"/>
        <w:jc w:val="both"/>
        <w:rPr>
          <w:b/>
          <w:bCs/>
          <w:sz w:val="20"/>
          <w:szCs w:val="20"/>
        </w:rPr>
      </w:pPr>
      <w:r w:rsidRPr="0067459C">
        <w:rPr>
          <w:b/>
          <w:bCs/>
          <w:sz w:val="20"/>
          <w:szCs w:val="20"/>
        </w:rPr>
        <w:t>(V) Routine blood investigations: -</w:t>
      </w:r>
    </w:p>
    <w:p w:rsidR="0067459C" w:rsidRPr="0067459C" w:rsidRDefault="0067459C" w:rsidP="0067459C">
      <w:pPr>
        <w:spacing w:line="276" w:lineRule="auto"/>
        <w:jc w:val="both"/>
        <w:rPr>
          <w:sz w:val="20"/>
          <w:szCs w:val="20"/>
        </w:rPr>
      </w:pPr>
      <w:r w:rsidRPr="0067459C">
        <w:rPr>
          <w:sz w:val="20"/>
          <w:szCs w:val="20"/>
        </w:rPr>
        <w:t>-Complete blood count, blood glucose levels, serum electrolytes, liver and kidney function tests, arterial blood gas. Lumbar puncture (LP) and CSF analysis were performed in patients presented with symptoms and signs suggesting CNS infection.  Other relevant investigations performed when needed.</w:t>
      </w:r>
    </w:p>
    <w:p w:rsidR="0067459C" w:rsidRPr="0067459C" w:rsidRDefault="0067459C" w:rsidP="0067459C">
      <w:pPr>
        <w:spacing w:line="276" w:lineRule="auto"/>
        <w:jc w:val="both"/>
        <w:rPr>
          <w:b/>
          <w:bCs/>
          <w:sz w:val="20"/>
          <w:szCs w:val="20"/>
        </w:rPr>
      </w:pPr>
      <w:r w:rsidRPr="0067459C">
        <w:rPr>
          <w:b/>
          <w:bCs/>
          <w:sz w:val="20"/>
          <w:szCs w:val="20"/>
        </w:rPr>
        <w:t>(VI) Serum levels of conventional antiepileptic drugs.</w:t>
      </w:r>
    </w:p>
    <w:p w:rsidR="0067459C" w:rsidRPr="0067459C" w:rsidRDefault="0067459C" w:rsidP="0067459C">
      <w:pPr>
        <w:spacing w:line="276" w:lineRule="auto"/>
        <w:jc w:val="both"/>
        <w:rPr>
          <w:b/>
          <w:bCs/>
          <w:sz w:val="20"/>
          <w:szCs w:val="20"/>
        </w:rPr>
      </w:pPr>
      <w:r w:rsidRPr="0067459C">
        <w:rPr>
          <w:b/>
          <w:bCs/>
          <w:sz w:val="20"/>
          <w:szCs w:val="20"/>
        </w:rPr>
        <w:t>(VII) Neurophysiological assessment by using conventional Electro-encephalography (EEG) after SE management.</w:t>
      </w:r>
    </w:p>
    <w:p w:rsidR="0067459C" w:rsidRPr="0067459C" w:rsidRDefault="0067459C" w:rsidP="0067459C">
      <w:pPr>
        <w:spacing w:line="276" w:lineRule="auto"/>
        <w:jc w:val="both"/>
        <w:rPr>
          <w:b/>
          <w:bCs/>
          <w:sz w:val="20"/>
          <w:szCs w:val="20"/>
        </w:rPr>
      </w:pPr>
      <w:r w:rsidRPr="0067459C">
        <w:rPr>
          <w:b/>
          <w:bCs/>
          <w:sz w:val="20"/>
          <w:szCs w:val="20"/>
        </w:rPr>
        <w:t>(VIII) Brain Magnetic Resonance Imaging (MRI) and/or CT Brain: for detection of any structural abnormalities.</w:t>
      </w:r>
    </w:p>
    <w:p w:rsidR="0067459C" w:rsidRPr="0067459C" w:rsidRDefault="0067459C" w:rsidP="0067459C">
      <w:pPr>
        <w:spacing w:line="276" w:lineRule="auto"/>
        <w:jc w:val="both"/>
        <w:rPr>
          <w:b/>
          <w:bCs/>
          <w:sz w:val="20"/>
          <w:szCs w:val="20"/>
        </w:rPr>
      </w:pPr>
      <w:r w:rsidRPr="0067459C">
        <w:rPr>
          <w:b/>
          <w:bCs/>
          <w:sz w:val="20"/>
          <w:szCs w:val="20"/>
        </w:rPr>
        <w:t xml:space="preserve">(IX) Treatment paradigm for status epilepticus: </w:t>
      </w:r>
    </w:p>
    <w:p w:rsidR="0067459C" w:rsidRPr="0067459C" w:rsidRDefault="0067459C" w:rsidP="0067459C">
      <w:pPr>
        <w:spacing w:line="276" w:lineRule="auto"/>
        <w:jc w:val="both"/>
        <w:rPr>
          <w:sz w:val="20"/>
          <w:szCs w:val="20"/>
        </w:rPr>
      </w:pPr>
      <w:r w:rsidRPr="0067459C">
        <w:rPr>
          <w:sz w:val="20"/>
          <w:szCs w:val="20"/>
        </w:rPr>
        <w:t>All patients were subjected to a standard treatment protocol according to duration of seizures</w:t>
      </w:r>
      <w:r w:rsidRPr="0067459C">
        <w:rPr>
          <w:b/>
          <w:bCs/>
          <w:sz w:val="20"/>
          <w:szCs w:val="20"/>
          <w:vertAlign w:val="superscript"/>
        </w:rPr>
        <w:t>7</w:t>
      </w:r>
      <w:r w:rsidRPr="0067459C">
        <w:rPr>
          <w:b/>
          <w:bCs/>
          <w:sz w:val="20"/>
          <w:szCs w:val="20"/>
        </w:rPr>
        <w:t>.</w:t>
      </w:r>
    </w:p>
    <w:p w:rsidR="0067459C" w:rsidRPr="00275EDA" w:rsidRDefault="0067459C" w:rsidP="0067459C">
      <w:pPr>
        <w:spacing w:line="276" w:lineRule="auto"/>
        <w:jc w:val="both"/>
        <w:rPr>
          <w:b/>
          <w:bCs/>
          <w:sz w:val="26"/>
          <w:szCs w:val="26"/>
        </w:rPr>
      </w:pPr>
      <w:r w:rsidRPr="0067459C">
        <w:rPr>
          <w:b/>
          <w:bCs/>
          <w:sz w:val="20"/>
          <w:szCs w:val="20"/>
        </w:rPr>
        <w:t xml:space="preserve">(X) Statistics: </w:t>
      </w:r>
      <w:r w:rsidRPr="0067459C">
        <w:rPr>
          <w:sz w:val="20"/>
          <w:szCs w:val="20"/>
        </w:rPr>
        <w:t>All data tabulated and statistically managed. Statistical presentation and analysis of the study results were conducted, using the mean and Chi-square by statistical package for social science (SPSS version, 17).</w:t>
      </w:r>
    </w:p>
    <w:p w:rsidR="00360AE1" w:rsidRPr="00C05EB6" w:rsidRDefault="00FA2A7F" w:rsidP="00BD7DE8">
      <w:pPr>
        <w:snapToGrid w:val="0"/>
        <w:jc w:val="both"/>
        <w:rPr>
          <w:b/>
          <w:bCs/>
          <w:sz w:val="20"/>
          <w:szCs w:val="20"/>
        </w:rPr>
      </w:pPr>
      <w:r w:rsidRPr="00C05EB6">
        <w:rPr>
          <w:b/>
          <w:bCs/>
          <w:sz w:val="20"/>
          <w:szCs w:val="20"/>
        </w:rPr>
        <w:t xml:space="preserve">3. </w:t>
      </w:r>
      <w:r w:rsidR="00ED3109" w:rsidRPr="00C05EB6">
        <w:rPr>
          <w:b/>
          <w:bCs/>
          <w:sz w:val="20"/>
          <w:szCs w:val="20"/>
        </w:rPr>
        <w:t>Results</w:t>
      </w:r>
    </w:p>
    <w:p w:rsidR="00ED3109" w:rsidRPr="00C05EB6" w:rsidRDefault="00ED3109" w:rsidP="00BD7DE8">
      <w:pPr>
        <w:snapToGrid w:val="0"/>
        <w:ind w:firstLine="425"/>
        <w:jc w:val="both"/>
        <w:rPr>
          <w:sz w:val="20"/>
          <w:szCs w:val="20"/>
          <w:lang w:bidi="ar-EG"/>
        </w:rPr>
      </w:pPr>
      <w:r w:rsidRPr="00C05EB6">
        <w:rPr>
          <w:sz w:val="20"/>
          <w:szCs w:val="20"/>
          <w:lang w:bidi="ar-EG"/>
        </w:rPr>
        <w:t xml:space="preserve">In the present study, a total </w:t>
      </w:r>
      <w:r w:rsidR="00314DDD" w:rsidRPr="00C05EB6">
        <w:rPr>
          <w:sz w:val="20"/>
          <w:szCs w:val="20"/>
          <w:lang w:bidi="ar-EG"/>
        </w:rPr>
        <w:t xml:space="preserve">of </w:t>
      </w:r>
      <w:r w:rsidRPr="00C05EB6">
        <w:rPr>
          <w:sz w:val="20"/>
          <w:szCs w:val="20"/>
          <w:lang w:bidi="ar-EG"/>
        </w:rPr>
        <w:t xml:space="preserve">40 patients with Status epilepticus were seen and managed at Al-Azhar University Hospitals (Al-Hussein and Bab Al-Sharea) between beginning of </w:t>
      </w:r>
      <w:r w:rsidR="00340397" w:rsidRPr="00C05EB6">
        <w:rPr>
          <w:sz w:val="20"/>
          <w:szCs w:val="20"/>
          <w:lang w:bidi="ar-EG"/>
        </w:rPr>
        <w:t>January 2016</w:t>
      </w:r>
      <w:r w:rsidRPr="00C05EB6">
        <w:rPr>
          <w:sz w:val="20"/>
          <w:szCs w:val="20"/>
          <w:lang w:bidi="ar-EG"/>
        </w:rPr>
        <w:t xml:space="preserve"> to end of </w:t>
      </w:r>
      <w:r w:rsidR="00340397" w:rsidRPr="00C05EB6">
        <w:rPr>
          <w:sz w:val="20"/>
          <w:szCs w:val="20"/>
          <w:lang w:bidi="ar-EG"/>
        </w:rPr>
        <w:t>June 2016</w:t>
      </w:r>
      <w:r w:rsidRPr="00C05EB6">
        <w:rPr>
          <w:sz w:val="20"/>
          <w:szCs w:val="20"/>
          <w:lang w:bidi="ar-EG"/>
        </w:rPr>
        <w:t>.</w:t>
      </w:r>
    </w:p>
    <w:p w:rsidR="002C5099" w:rsidRPr="00C05EB6" w:rsidRDefault="00ED3109" w:rsidP="00BD7DE8">
      <w:pPr>
        <w:snapToGrid w:val="0"/>
        <w:ind w:firstLine="425"/>
        <w:jc w:val="both"/>
        <w:rPr>
          <w:sz w:val="20"/>
          <w:szCs w:val="20"/>
          <w:lang w:bidi="ar-EG"/>
        </w:rPr>
      </w:pPr>
      <w:r w:rsidRPr="00C05EB6">
        <w:rPr>
          <w:sz w:val="20"/>
          <w:szCs w:val="20"/>
          <w:lang w:bidi="ar-EG"/>
        </w:rPr>
        <w:t xml:space="preserve">In the present study, </w:t>
      </w:r>
      <w:r w:rsidR="00314DDD" w:rsidRPr="00C05EB6">
        <w:rPr>
          <w:sz w:val="20"/>
          <w:szCs w:val="20"/>
          <w:lang w:bidi="ar-EG"/>
        </w:rPr>
        <w:t>as regarding age, their ages ranged from 3 to 67 years. A</w:t>
      </w:r>
      <w:r w:rsidRPr="00C05EB6">
        <w:rPr>
          <w:sz w:val="20"/>
          <w:szCs w:val="20"/>
          <w:lang w:bidi="ar-EG"/>
        </w:rPr>
        <w:t xml:space="preserve">s regarding sex, 16 (40.0 %) patients were females and 24 (60.0%) were males. As regarding residency, 36 (90.0%) were living in urban areas and 4 (10.0%) were living in rural areas. As regarding marital history and sexual relationships, 17(42.5%) were married and had legal sexual relationships except 1 (2.5%) had extra-marital relationship and 23 (57.5%) patients were not. As regarding drug abuse, three (7.5%) patients had a history of drug abuse. As regarding income, 16 (40.0%) patients had good income. </w:t>
      </w:r>
      <w:r w:rsidR="00340397" w:rsidRPr="00C05EB6">
        <w:rPr>
          <w:sz w:val="20"/>
          <w:szCs w:val="20"/>
          <w:lang w:bidi="ar-EG"/>
        </w:rPr>
        <w:t>Twenty-three (</w:t>
      </w:r>
      <w:r w:rsidRPr="00C05EB6">
        <w:rPr>
          <w:sz w:val="20"/>
          <w:szCs w:val="20"/>
          <w:lang w:bidi="ar-EG"/>
        </w:rPr>
        <w:t xml:space="preserve">57.5%) patients </w:t>
      </w:r>
      <w:r w:rsidR="004E4B10" w:rsidRPr="00C05EB6">
        <w:rPr>
          <w:sz w:val="20"/>
          <w:szCs w:val="20"/>
          <w:lang w:bidi="ar-EG"/>
        </w:rPr>
        <w:t xml:space="preserve">were epileptic. Twenty (50.0%) patients had normal </w:t>
      </w:r>
      <w:r w:rsidRPr="00C05EB6">
        <w:rPr>
          <w:sz w:val="20"/>
          <w:szCs w:val="20"/>
          <w:lang w:bidi="ar-EG"/>
        </w:rPr>
        <w:t>neurological examination. As regard MRI brain, 19 (47.5%) patients had normal findings</w:t>
      </w:r>
      <w:r w:rsidR="00ED53E6" w:rsidRPr="00C05EB6">
        <w:rPr>
          <w:sz w:val="20"/>
          <w:szCs w:val="20"/>
          <w:lang w:bidi="ar-EG"/>
        </w:rPr>
        <w:t>.</w:t>
      </w:r>
    </w:p>
    <w:p w:rsidR="00360AE1" w:rsidRPr="00C05EB6" w:rsidRDefault="00ED53E6" w:rsidP="00BD7DE8">
      <w:pPr>
        <w:snapToGrid w:val="0"/>
        <w:ind w:firstLine="425"/>
        <w:jc w:val="both"/>
        <w:rPr>
          <w:sz w:val="20"/>
          <w:szCs w:val="20"/>
          <w:lang w:bidi="ar-EG"/>
        </w:rPr>
      </w:pPr>
      <w:r w:rsidRPr="00C05EB6">
        <w:rPr>
          <w:sz w:val="20"/>
          <w:szCs w:val="20"/>
          <w:lang w:bidi="ar-EG"/>
        </w:rPr>
        <w:t xml:space="preserve">As regarding clinical profile of </w:t>
      </w:r>
      <w:r w:rsidR="00FD04B1" w:rsidRPr="00C05EB6">
        <w:rPr>
          <w:sz w:val="20"/>
          <w:szCs w:val="20"/>
          <w:lang w:bidi="ar-EG"/>
        </w:rPr>
        <w:t>k</w:t>
      </w:r>
      <w:r w:rsidRPr="00C05EB6">
        <w:rPr>
          <w:sz w:val="20"/>
          <w:szCs w:val="20"/>
          <w:lang w:bidi="ar-EG"/>
        </w:rPr>
        <w:t>nown epileptic patients</w:t>
      </w:r>
      <w:r w:rsidR="002C5099" w:rsidRPr="00C05EB6">
        <w:rPr>
          <w:sz w:val="20"/>
          <w:szCs w:val="20"/>
          <w:lang w:bidi="ar-EG"/>
        </w:rPr>
        <w:t xml:space="preserve">, </w:t>
      </w:r>
      <w:r w:rsidRPr="00C05EB6">
        <w:rPr>
          <w:sz w:val="20"/>
          <w:szCs w:val="20"/>
          <w:lang w:bidi="ar-EG"/>
        </w:rPr>
        <w:t>ther</w:t>
      </w:r>
      <w:r w:rsidR="002C5099" w:rsidRPr="00C05EB6">
        <w:rPr>
          <w:sz w:val="20"/>
          <w:szCs w:val="20"/>
          <w:lang w:bidi="ar-EG"/>
        </w:rPr>
        <w:t xml:space="preserve">e were 14(60.9%) patients had </w:t>
      </w:r>
      <w:r w:rsidR="002C5099" w:rsidRPr="00C05EB6">
        <w:rPr>
          <w:sz w:val="20"/>
          <w:szCs w:val="20"/>
          <w:lang w:bidi="ar-EG"/>
        </w:rPr>
        <w:lastRenderedPageBreak/>
        <w:t>generalized tonic clonic seizures, 6 (26.1%) had partial type, 3 (13.0%) had polymorphic type. As regarding cause of epilepsy, 13 (56.5%) had idiopathic causes, 3(13.0%) had CNS infection, 3(13.0%) had vascular causes, 3(13.0%) had brain tumor and finally 1(4.3%) had history of trauma. As regarding the serum drug level, 12 (52.2%) had low serum level, 2 (8.7%) had AED level within therapeutic range but serum drug level couldn’t be assessed in 9 (39.1%) patients. Nine (39.1%) patients were treated by one anti-epileptic drug (AED), 4(17.4%) were treated by 2 AEDs and 9 (39.1%) were treated by more than 2 AEDs. Seizures were frequent in 17 (73.9%) patients but they weren’t in 6 (26.1%)</w:t>
      </w:r>
      <w:r w:rsidR="00BD7DE8" w:rsidRPr="00C05EB6">
        <w:rPr>
          <w:sz w:val="20"/>
          <w:szCs w:val="20"/>
          <w:lang w:bidi="ar-EG"/>
        </w:rPr>
        <w:t>.</w:t>
      </w:r>
    </w:p>
    <w:p w:rsidR="00C05EB6" w:rsidRPr="00C05EB6" w:rsidRDefault="00C05EB6" w:rsidP="00C05EB6">
      <w:pPr>
        <w:snapToGrid w:val="0"/>
        <w:jc w:val="both"/>
        <w:rPr>
          <w:sz w:val="20"/>
          <w:szCs w:val="20"/>
          <w:lang w:bidi="ar-EG"/>
        </w:rPr>
      </w:pPr>
      <w:r w:rsidRPr="00C05EB6">
        <w:rPr>
          <w:b/>
          <w:bCs/>
          <w:sz w:val="20"/>
          <w:szCs w:val="20"/>
        </w:rPr>
        <w:t xml:space="preserve">Table (1): </w:t>
      </w:r>
      <w:r w:rsidRPr="00C05EB6">
        <w:rPr>
          <w:sz w:val="20"/>
          <w:szCs w:val="20"/>
          <w:lang w:bidi="ar-EG"/>
        </w:rPr>
        <w:t>Demographic data, social history, examination, MRI brain and history of epilepsy in studied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3"/>
        <w:gridCol w:w="1309"/>
        <w:gridCol w:w="1745"/>
      </w:tblGrid>
      <w:tr w:rsidR="00C05EB6" w:rsidRPr="00F32E8A" w:rsidTr="00C05EB6">
        <w:trPr>
          <w:cantSplit/>
          <w:jc w:val="center"/>
        </w:trPr>
        <w:tc>
          <w:tcPr>
            <w:tcW w:w="3101" w:type="pct"/>
            <w:gridSpan w:val="2"/>
            <w:shd w:val="clear" w:color="auto" w:fill="auto"/>
            <w:noWrap/>
            <w:vAlign w:val="bottom"/>
          </w:tcPr>
          <w:p w:rsidR="00C05EB6" w:rsidRPr="00F32E8A" w:rsidRDefault="00C05EB6" w:rsidP="00C05EB6">
            <w:pPr>
              <w:snapToGrid w:val="0"/>
              <w:jc w:val="center"/>
              <w:rPr>
                <w:b/>
                <w:bCs/>
                <w:color w:val="000000"/>
                <w:sz w:val="16"/>
                <w:szCs w:val="16"/>
                <w:lang w:bidi="ar-EG"/>
              </w:rPr>
            </w:pPr>
          </w:p>
        </w:tc>
        <w:tc>
          <w:tcPr>
            <w:tcW w:w="1899" w:type="pct"/>
            <w:shd w:val="clear" w:color="auto" w:fill="auto"/>
            <w:noWrap/>
            <w:vAlign w:val="bottom"/>
          </w:tcPr>
          <w:p w:rsidR="00C05EB6" w:rsidRPr="00F32E8A" w:rsidRDefault="00C05EB6" w:rsidP="00C05EB6">
            <w:pPr>
              <w:snapToGrid w:val="0"/>
              <w:jc w:val="center"/>
              <w:rPr>
                <w:b/>
                <w:bCs/>
                <w:color w:val="000000"/>
                <w:sz w:val="16"/>
                <w:szCs w:val="16"/>
                <w:lang w:bidi="ar-EG"/>
              </w:rPr>
            </w:pPr>
            <w:r w:rsidRPr="00F32E8A">
              <w:rPr>
                <w:b/>
                <w:bCs/>
                <w:color w:val="000000"/>
                <w:sz w:val="16"/>
                <w:szCs w:val="16"/>
                <w:lang w:bidi="ar-EG"/>
              </w:rPr>
              <w:t xml:space="preserve">Total no. = </w:t>
            </w:r>
            <w:smartTag w:uri="urn:schemas-microsoft-com:office:smarttags" w:element="metricconverter">
              <w:smartTagPr>
                <w:attr w:name="ProductID" w:val="40 pts"/>
              </w:smartTagPr>
              <w:r w:rsidRPr="00F32E8A">
                <w:rPr>
                  <w:b/>
                  <w:bCs/>
                  <w:color w:val="000000"/>
                  <w:sz w:val="16"/>
                  <w:szCs w:val="16"/>
                  <w:lang w:bidi="ar-EG"/>
                </w:rPr>
                <w:t>40 pts</w:t>
              </w:r>
            </w:smartTag>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Age</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Mean ±SD</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34.99 ± 19.17</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Range</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 – 67</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Sex</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Females</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16 (40.0%)</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Males</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24 (60.0%)</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Residence</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Rural</w:t>
            </w:r>
          </w:p>
        </w:tc>
        <w:tc>
          <w:tcPr>
            <w:tcW w:w="1899"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4 (10.0%)</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Urban</w:t>
            </w:r>
          </w:p>
        </w:tc>
        <w:tc>
          <w:tcPr>
            <w:tcW w:w="1899"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36 (90.0%)</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Marriage</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No</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23 (57.5%)</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Yes</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17 (42.5%)</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Drug abuse</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No</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37 (92.5%)</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Yes</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 (7.5%)</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Sexual history</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Multiple partner</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 (2.5%)</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No</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23 (57.5%)</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Within marriage</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16 (40.0%)</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Income</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Good</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16 (40.0%)</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Low</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24 (60.0%)</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Examination</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Abnormal</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20 (50.0%)</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Normal</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20 (50.0%)</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MRI brain</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Abnormal</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21 (52.5%)</w:t>
            </w:r>
          </w:p>
        </w:tc>
      </w:tr>
      <w:tr w:rsidR="00C05EB6" w:rsidRPr="00F32E8A" w:rsidTr="00C05EB6">
        <w:trPr>
          <w:cantSplit/>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Normal</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19 (47.5%)</w:t>
            </w:r>
          </w:p>
        </w:tc>
      </w:tr>
      <w:tr w:rsidR="00C05EB6" w:rsidRPr="00F32E8A" w:rsidTr="00C05EB6">
        <w:trPr>
          <w:cantSplit/>
          <w:jc w:val="center"/>
        </w:trPr>
        <w:tc>
          <w:tcPr>
            <w:tcW w:w="1678"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History of epilepsy</w:t>
            </w: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No</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17 (42.5%)</w:t>
            </w:r>
          </w:p>
        </w:tc>
      </w:tr>
      <w:tr w:rsidR="00C05EB6" w:rsidRPr="00F32E8A" w:rsidTr="00C05EB6">
        <w:trPr>
          <w:cantSplit/>
          <w:trHeight w:val="25"/>
          <w:jc w:val="center"/>
        </w:trPr>
        <w:tc>
          <w:tcPr>
            <w:tcW w:w="1678"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424" w:type="pc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Yes</w:t>
            </w:r>
          </w:p>
        </w:tc>
        <w:tc>
          <w:tcPr>
            <w:tcW w:w="189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23 (57.5%)</w:t>
            </w:r>
          </w:p>
        </w:tc>
      </w:tr>
    </w:tbl>
    <w:p w:rsidR="00C05EB6" w:rsidRDefault="00C05EB6" w:rsidP="00C05EB6">
      <w:pPr>
        <w:snapToGrid w:val="0"/>
        <w:jc w:val="center"/>
        <w:rPr>
          <w:b/>
          <w:bCs/>
          <w:sz w:val="20"/>
          <w:szCs w:val="20"/>
          <w:lang w:eastAsia="zh-CN"/>
        </w:rPr>
      </w:pPr>
      <w:bookmarkStart w:id="0" w:name="_Toc465541446"/>
    </w:p>
    <w:p w:rsidR="00C05EB6" w:rsidRPr="00C05EB6" w:rsidRDefault="00C05EB6" w:rsidP="00C05EB6">
      <w:pPr>
        <w:snapToGrid w:val="0"/>
        <w:ind w:firstLine="425"/>
        <w:jc w:val="both"/>
        <w:rPr>
          <w:sz w:val="20"/>
          <w:szCs w:val="20"/>
          <w:lang w:bidi="ar-EG"/>
        </w:rPr>
      </w:pPr>
      <w:r w:rsidRPr="00C05EB6">
        <w:rPr>
          <w:sz w:val="20"/>
          <w:szCs w:val="20"/>
          <w:lang w:bidi="ar-EG"/>
        </w:rPr>
        <w:t>As regarding clinical profile of all patients who developed SE, 13 (32.5%) patients had idiopathic cause and it is the most common cause, 10 (25.0%) had vascular causes. Six (15.0%) patients had CNS infection, 4 (10.0%) had metabolic &amp; electrolyte disturbance, 3(7.50%) had brain tumor, 2(5.0%) had febrile convulsion and 2(5.0%) had traumatic brain injury. As regarding type of SE, 36 (90%) patients had convulsive SE. As regarding SE duration, 18 (45.0%) patients had SE lasted less than 60 minutes, 13 (32.5%) had SE lasted 60 minutes to 24 hours but SE duration was more than 24 hours in 9(22.5%). Studied patients treated with diazepam and phenytoin in 18(45.0%) patients and patients treated by combination of AED (Diazepam, phenytoin, midazolam, propofol, and general anesthesia) were22 (55.0%) patients. As regarding trigger factors for developing SE, 15 (37.50%) patients had poor compliance and it was the commonest trigger factor.</w:t>
      </w:r>
    </w:p>
    <w:p w:rsidR="00C05EB6" w:rsidRPr="00C05EB6" w:rsidRDefault="00C05EB6" w:rsidP="00C05EB6">
      <w:pPr>
        <w:snapToGrid w:val="0"/>
        <w:ind w:firstLine="425"/>
        <w:jc w:val="both"/>
        <w:rPr>
          <w:sz w:val="20"/>
          <w:szCs w:val="20"/>
          <w:lang w:bidi="ar-EG"/>
        </w:rPr>
      </w:pPr>
      <w:r w:rsidRPr="00C05EB6">
        <w:rPr>
          <w:sz w:val="20"/>
          <w:szCs w:val="20"/>
          <w:lang w:bidi="ar-EG"/>
        </w:rPr>
        <w:lastRenderedPageBreak/>
        <w:t>In the current study, five (12.5%) patients died, 6 (15.0%) had disability and 29 (72.5%) had good outcome. As regarding EEG findings,6(15.0%) patients had abnormal epileptiform discharge, 29 (72.5%) had normal findings and cannot be assessed in 5 (12.5%) patients</w:t>
      </w:r>
      <w:r w:rsidRPr="00C05EB6">
        <w:rPr>
          <w:sz w:val="20"/>
          <w:szCs w:val="20"/>
        </w:rPr>
        <w:t>.</w:t>
      </w:r>
    </w:p>
    <w:p w:rsidR="00C05EB6" w:rsidRPr="00C05EB6" w:rsidRDefault="00C05EB6" w:rsidP="00C05EB6">
      <w:pPr>
        <w:snapToGrid w:val="0"/>
        <w:ind w:firstLine="425"/>
        <w:jc w:val="both"/>
        <w:rPr>
          <w:sz w:val="20"/>
          <w:szCs w:val="20"/>
          <w:lang w:bidi="ar-EG"/>
        </w:rPr>
      </w:pPr>
      <w:r w:rsidRPr="00C05EB6">
        <w:rPr>
          <w:sz w:val="20"/>
          <w:szCs w:val="20"/>
          <w:lang w:bidi="ar-EG"/>
        </w:rPr>
        <w:t>There was high statistically significant difference between epileptic and non-epileptic patients as regarding idiopathic cause of SE and Poor compliance as a trigger for SE (P-value 0.000)</w:t>
      </w:r>
      <w:r w:rsidRPr="00C05EB6">
        <w:rPr>
          <w:b/>
          <w:bCs/>
          <w:sz w:val="20"/>
          <w:szCs w:val="20"/>
          <w:lang w:bidi="ar-EG"/>
        </w:rPr>
        <w:t>.</w:t>
      </w:r>
    </w:p>
    <w:p w:rsidR="00C05EB6" w:rsidRDefault="00C05EB6" w:rsidP="00C05EB6">
      <w:pPr>
        <w:snapToGrid w:val="0"/>
        <w:ind w:firstLine="425"/>
        <w:jc w:val="both"/>
        <w:rPr>
          <w:b/>
          <w:bCs/>
          <w:sz w:val="20"/>
          <w:szCs w:val="20"/>
          <w:lang w:eastAsia="zh-CN" w:bidi="ar-EG"/>
        </w:rPr>
      </w:pPr>
      <w:r w:rsidRPr="00C05EB6">
        <w:rPr>
          <w:sz w:val="20"/>
          <w:szCs w:val="20"/>
          <w:lang w:bidi="ar-EG"/>
        </w:rPr>
        <w:t>There was statistically significant difference between epileptic and non-epileptic patients as regarding marital history, SE etiology (idiopathic causes and vascular causes), trigger factors (poor compliance to AED and infection and fever), SE duration and Outcome of SE patients(P-value &lt; 0.05)</w:t>
      </w:r>
      <w:r w:rsidRPr="00C05EB6">
        <w:rPr>
          <w:b/>
          <w:bCs/>
          <w:sz w:val="20"/>
          <w:szCs w:val="20"/>
          <w:lang w:bidi="ar-EG"/>
        </w:rPr>
        <w:t>.</w:t>
      </w:r>
    </w:p>
    <w:p w:rsidR="00C05EB6" w:rsidRPr="00C05EB6" w:rsidRDefault="00C05EB6" w:rsidP="00C05EB6">
      <w:pPr>
        <w:snapToGrid w:val="0"/>
        <w:jc w:val="center"/>
        <w:rPr>
          <w:sz w:val="20"/>
          <w:szCs w:val="20"/>
          <w:lang w:bidi="ar-EG"/>
        </w:rPr>
      </w:pPr>
      <w:r w:rsidRPr="00C05EB6">
        <w:rPr>
          <w:b/>
          <w:bCs/>
          <w:sz w:val="20"/>
          <w:szCs w:val="20"/>
        </w:rPr>
        <w:t xml:space="preserve">Table (2): </w:t>
      </w:r>
      <w:r w:rsidRPr="00C05EB6">
        <w:rPr>
          <w:sz w:val="20"/>
          <w:szCs w:val="20"/>
          <w:lang w:bidi="ar-EG"/>
        </w:rPr>
        <w:t>Clinical data of epilepsy history:</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710"/>
        <w:gridCol w:w="630"/>
        <w:gridCol w:w="799"/>
      </w:tblGrid>
      <w:tr w:rsidR="00C05EB6" w:rsidRPr="00F32E8A" w:rsidTr="001278F3">
        <w:trPr>
          <w:jc w:val="center"/>
        </w:trPr>
        <w:tc>
          <w:tcPr>
            <w:tcW w:w="3446" w:type="pct"/>
            <w:gridSpan w:val="2"/>
            <w:shd w:val="clear" w:color="auto" w:fill="auto"/>
            <w:noWrap/>
            <w:vAlign w:val="bottom"/>
          </w:tcPr>
          <w:p w:rsidR="00C05EB6" w:rsidRPr="00F32E8A" w:rsidRDefault="00C05EB6" w:rsidP="00C05EB6">
            <w:pPr>
              <w:snapToGrid w:val="0"/>
              <w:jc w:val="center"/>
              <w:rPr>
                <w:b/>
                <w:bCs/>
                <w:color w:val="000000"/>
                <w:sz w:val="16"/>
                <w:szCs w:val="16"/>
                <w:lang w:bidi="ar-EG"/>
              </w:rPr>
            </w:pPr>
          </w:p>
        </w:tc>
        <w:tc>
          <w:tcPr>
            <w:tcW w:w="685" w:type="pct"/>
            <w:shd w:val="clear" w:color="auto" w:fill="auto"/>
            <w:noWrap/>
            <w:vAlign w:val="bottom"/>
          </w:tcPr>
          <w:p w:rsidR="00C05EB6" w:rsidRPr="00F32E8A" w:rsidRDefault="00C05EB6" w:rsidP="00C05EB6">
            <w:pPr>
              <w:snapToGrid w:val="0"/>
              <w:jc w:val="center"/>
              <w:rPr>
                <w:b/>
                <w:bCs/>
                <w:color w:val="000000"/>
                <w:sz w:val="16"/>
                <w:szCs w:val="16"/>
                <w:lang w:bidi="ar-EG"/>
              </w:rPr>
            </w:pPr>
            <w:r w:rsidRPr="00F32E8A">
              <w:rPr>
                <w:b/>
                <w:bCs/>
                <w:color w:val="000000"/>
                <w:sz w:val="16"/>
                <w:szCs w:val="16"/>
                <w:lang w:bidi="ar-EG"/>
              </w:rPr>
              <w:t>No.</w:t>
            </w:r>
          </w:p>
        </w:tc>
        <w:tc>
          <w:tcPr>
            <w:tcW w:w="869" w:type="pct"/>
            <w:shd w:val="clear" w:color="auto" w:fill="auto"/>
            <w:noWrap/>
            <w:vAlign w:val="bottom"/>
          </w:tcPr>
          <w:p w:rsidR="00C05EB6" w:rsidRPr="00F32E8A" w:rsidRDefault="00C05EB6" w:rsidP="00C05EB6">
            <w:pPr>
              <w:snapToGrid w:val="0"/>
              <w:jc w:val="center"/>
              <w:rPr>
                <w:b/>
                <w:bCs/>
                <w:color w:val="000000"/>
                <w:sz w:val="16"/>
                <w:szCs w:val="16"/>
                <w:lang w:bidi="ar-EG"/>
              </w:rPr>
            </w:pPr>
            <w:r w:rsidRPr="00F32E8A">
              <w:rPr>
                <w:b/>
                <w:bCs/>
                <w:color w:val="000000"/>
                <w:sz w:val="16"/>
                <w:szCs w:val="16"/>
                <w:lang w:bidi="ar-EG"/>
              </w:rPr>
              <w:t>%</w:t>
            </w:r>
          </w:p>
        </w:tc>
      </w:tr>
      <w:tr w:rsidR="00C05EB6" w:rsidRPr="00F32E8A" w:rsidTr="001278F3">
        <w:trPr>
          <w:jc w:val="center"/>
        </w:trPr>
        <w:tc>
          <w:tcPr>
            <w:tcW w:w="1586"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Type of seizure</w:t>
            </w: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Generalized</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14</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60.9%</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Polymorphic</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13.0%</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Partial</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6</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26.1%</w:t>
            </w:r>
          </w:p>
        </w:tc>
      </w:tr>
      <w:tr w:rsidR="00C05EB6" w:rsidRPr="00F32E8A" w:rsidTr="001278F3">
        <w:trPr>
          <w:jc w:val="center"/>
        </w:trPr>
        <w:tc>
          <w:tcPr>
            <w:tcW w:w="1586"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AED</w:t>
            </w: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Mono</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9</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39.1%</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Two</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4</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17.4%</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Poly</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9</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39.1%</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Untreated</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4.3%</w:t>
            </w:r>
          </w:p>
        </w:tc>
      </w:tr>
      <w:tr w:rsidR="00C05EB6" w:rsidRPr="00F32E8A" w:rsidTr="001278F3">
        <w:trPr>
          <w:jc w:val="center"/>
        </w:trPr>
        <w:tc>
          <w:tcPr>
            <w:tcW w:w="1586"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Drug level</w:t>
            </w: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Therapeutic</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8.7%</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Sub therapeutic</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12</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52.2%</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Cannot be assessed</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9</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39.1%</w:t>
            </w:r>
          </w:p>
        </w:tc>
      </w:tr>
      <w:tr w:rsidR="00C05EB6" w:rsidRPr="00F32E8A" w:rsidTr="001278F3">
        <w:trPr>
          <w:jc w:val="center"/>
        </w:trPr>
        <w:tc>
          <w:tcPr>
            <w:tcW w:w="1586"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Cause</w:t>
            </w: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Idiopathic</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13</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56.5%</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CNS infection</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13.0%</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Vascular</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13.0%</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Tumor</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3</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13.0%</w:t>
            </w:r>
          </w:p>
        </w:tc>
      </w:tr>
      <w:tr w:rsidR="00C05EB6" w:rsidRPr="00F32E8A" w:rsidTr="001278F3">
        <w:trPr>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Trauma</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4.3%</w:t>
            </w:r>
          </w:p>
        </w:tc>
      </w:tr>
      <w:tr w:rsidR="00C05EB6" w:rsidRPr="00F32E8A" w:rsidTr="001278F3">
        <w:trPr>
          <w:trHeight w:val="91"/>
          <w:jc w:val="center"/>
        </w:trPr>
        <w:tc>
          <w:tcPr>
            <w:tcW w:w="1586" w:type="pct"/>
            <w:vMerge w:val="restart"/>
            <w:shd w:val="clear" w:color="auto" w:fill="auto"/>
            <w:noWrap/>
            <w:vAlign w:val="center"/>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Frequency of seizures before SE</w:t>
            </w: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Infrequent</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6</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26.1%</w:t>
            </w:r>
          </w:p>
        </w:tc>
      </w:tr>
      <w:tr w:rsidR="00C05EB6" w:rsidRPr="00F32E8A" w:rsidTr="001278F3">
        <w:trPr>
          <w:trHeight w:val="25"/>
          <w:jc w:val="center"/>
        </w:trPr>
        <w:tc>
          <w:tcPr>
            <w:tcW w:w="1586" w:type="pct"/>
            <w:vMerge/>
            <w:shd w:val="clear" w:color="auto" w:fill="auto"/>
            <w:vAlign w:val="center"/>
          </w:tcPr>
          <w:p w:rsidR="00C05EB6" w:rsidRPr="00F32E8A" w:rsidRDefault="00C05EB6" w:rsidP="00C05EB6">
            <w:pPr>
              <w:snapToGrid w:val="0"/>
              <w:jc w:val="center"/>
              <w:rPr>
                <w:color w:val="000000"/>
                <w:sz w:val="16"/>
                <w:szCs w:val="16"/>
                <w:lang w:bidi="ar-EG"/>
              </w:rPr>
            </w:pPr>
          </w:p>
        </w:tc>
        <w:tc>
          <w:tcPr>
            <w:tcW w:w="1860"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Frequent</w:t>
            </w:r>
          </w:p>
        </w:tc>
        <w:tc>
          <w:tcPr>
            <w:tcW w:w="685"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17</w:t>
            </w:r>
          </w:p>
        </w:tc>
        <w:tc>
          <w:tcPr>
            <w:tcW w:w="869" w:type="pct"/>
            <w:shd w:val="clear" w:color="auto" w:fill="auto"/>
            <w:noWrap/>
            <w:vAlign w:val="bottom"/>
          </w:tcPr>
          <w:p w:rsidR="00C05EB6" w:rsidRPr="00F32E8A" w:rsidRDefault="00C05EB6" w:rsidP="00C05EB6">
            <w:pPr>
              <w:snapToGrid w:val="0"/>
              <w:jc w:val="center"/>
              <w:rPr>
                <w:color w:val="000000"/>
                <w:sz w:val="16"/>
                <w:szCs w:val="16"/>
                <w:lang w:bidi="ar-EG"/>
              </w:rPr>
            </w:pPr>
            <w:r w:rsidRPr="00F32E8A">
              <w:rPr>
                <w:color w:val="000000"/>
                <w:sz w:val="16"/>
                <w:szCs w:val="16"/>
                <w:lang w:bidi="ar-EG"/>
              </w:rPr>
              <w:t>73.9%</w:t>
            </w:r>
          </w:p>
        </w:tc>
      </w:tr>
    </w:tbl>
    <w:p w:rsidR="00C05EB6" w:rsidRPr="00C05EB6" w:rsidRDefault="00C05EB6" w:rsidP="00C05EB6">
      <w:pPr>
        <w:snapToGrid w:val="0"/>
        <w:jc w:val="center"/>
        <w:rPr>
          <w:sz w:val="20"/>
          <w:szCs w:val="20"/>
          <w:lang w:bidi="ar-EG"/>
        </w:rPr>
      </w:pPr>
      <w:bookmarkStart w:id="1" w:name="_Toc465541447"/>
      <w:r w:rsidRPr="00C05EB6">
        <w:rPr>
          <w:b/>
          <w:bCs/>
          <w:sz w:val="20"/>
          <w:szCs w:val="20"/>
        </w:rPr>
        <w:t xml:space="preserve">Table (3): </w:t>
      </w:r>
      <w:r w:rsidRPr="00C05EB6">
        <w:rPr>
          <w:sz w:val="20"/>
          <w:szCs w:val="20"/>
          <w:lang w:bidi="ar-EG"/>
        </w:rPr>
        <w:t>Clinical data of status epilepticus</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80"/>
        <w:gridCol w:w="630"/>
        <w:gridCol w:w="799"/>
      </w:tblGrid>
      <w:tr w:rsidR="00C05EB6" w:rsidRPr="00F32E8A" w:rsidTr="001278F3">
        <w:trPr>
          <w:jc w:val="center"/>
        </w:trPr>
        <w:tc>
          <w:tcPr>
            <w:tcW w:w="3446" w:type="pct"/>
            <w:gridSpan w:val="2"/>
            <w:shd w:val="clear" w:color="auto" w:fill="auto"/>
            <w:noWrap/>
            <w:vAlign w:val="bottom"/>
          </w:tcPr>
          <w:p w:rsidR="00C05EB6" w:rsidRPr="00F32E8A" w:rsidRDefault="00C05EB6" w:rsidP="00C05EB6">
            <w:pPr>
              <w:snapToGrid w:val="0"/>
              <w:jc w:val="both"/>
              <w:rPr>
                <w:b/>
                <w:bCs/>
                <w:color w:val="000000"/>
                <w:sz w:val="16"/>
                <w:szCs w:val="16"/>
                <w:lang w:bidi="ar-EG"/>
              </w:rPr>
            </w:pPr>
          </w:p>
        </w:tc>
        <w:tc>
          <w:tcPr>
            <w:tcW w:w="685" w:type="pct"/>
            <w:shd w:val="clear" w:color="auto" w:fill="auto"/>
            <w:noWrap/>
            <w:vAlign w:val="bottom"/>
          </w:tcPr>
          <w:p w:rsidR="00C05EB6" w:rsidRPr="00F32E8A" w:rsidRDefault="00C05EB6" w:rsidP="00C05EB6">
            <w:pPr>
              <w:snapToGrid w:val="0"/>
              <w:jc w:val="both"/>
              <w:rPr>
                <w:b/>
                <w:bCs/>
                <w:color w:val="000000"/>
                <w:sz w:val="16"/>
                <w:szCs w:val="16"/>
                <w:lang w:bidi="ar-EG"/>
              </w:rPr>
            </w:pPr>
            <w:r w:rsidRPr="00F32E8A">
              <w:rPr>
                <w:b/>
                <w:bCs/>
                <w:color w:val="000000"/>
                <w:sz w:val="16"/>
                <w:szCs w:val="16"/>
                <w:lang w:bidi="ar-EG"/>
              </w:rPr>
              <w:t>No.</w:t>
            </w:r>
          </w:p>
        </w:tc>
        <w:tc>
          <w:tcPr>
            <w:tcW w:w="869" w:type="pct"/>
            <w:shd w:val="clear" w:color="auto" w:fill="auto"/>
            <w:noWrap/>
            <w:vAlign w:val="bottom"/>
          </w:tcPr>
          <w:p w:rsidR="00C05EB6" w:rsidRPr="00F32E8A" w:rsidRDefault="00C05EB6" w:rsidP="00C05EB6">
            <w:pPr>
              <w:snapToGrid w:val="0"/>
              <w:jc w:val="both"/>
              <w:rPr>
                <w:b/>
                <w:bCs/>
                <w:color w:val="000000"/>
                <w:sz w:val="16"/>
                <w:szCs w:val="16"/>
                <w:lang w:bidi="ar-EG"/>
              </w:rPr>
            </w:pPr>
            <w:r w:rsidRPr="00F32E8A">
              <w:rPr>
                <w:b/>
                <w:bCs/>
                <w:color w:val="000000"/>
                <w:sz w:val="16"/>
                <w:szCs w:val="16"/>
                <w:lang w:bidi="ar-EG"/>
              </w:rPr>
              <w:t>%</w:t>
            </w:r>
          </w:p>
        </w:tc>
      </w:tr>
      <w:tr w:rsidR="00C05EB6" w:rsidRPr="00F32E8A" w:rsidTr="001278F3">
        <w:trPr>
          <w:jc w:val="center"/>
        </w:trPr>
        <w:tc>
          <w:tcPr>
            <w:tcW w:w="1292" w:type="pct"/>
            <w:vMerge w:val="restar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Type SE</w:t>
            </w: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Convulsive</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36</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90.0%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Non convulsive</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4</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10.0%</w:t>
            </w:r>
          </w:p>
        </w:tc>
      </w:tr>
      <w:tr w:rsidR="00C05EB6" w:rsidRPr="00F32E8A" w:rsidTr="001278F3">
        <w:trPr>
          <w:jc w:val="center"/>
        </w:trPr>
        <w:tc>
          <w:tcPr>
            <w:tcW w:w="1292" w:type="pct"/>
            <w:vMerge w:val="restar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Cause SE</w:t>
            </w: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Idiopathic</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13</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32.5%</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Vascular</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10</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CNS infection</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6</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Metabolic &amp; electrolyte disturbance</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4</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10.0%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Tumor</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3</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7.50%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Febrile convulsion</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Trauma</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5.0%</w:t>
            </w:r>
          </w:p>
        </w:tc>
      </w:tr>
      <w:tr w:rsidR="00C05EB6" w:rsidRPr="00F32E8A" w:rsidTr="001278F3">
        <w:trPr>
          <w:jc w:val="center"/>
        </w:trPr>
        <w:tc>
          <w:tcPr>
            <w:tcW w:w="1292" w:type="pct"/>
            <w:vMerge w:val="restar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Trigger factors</w:t>
            </w: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Ischemia</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Sleep deprivation</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5.00%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Trauma</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5.00%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Drug abuse</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3</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7.50%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Metabolic and electrolyte disturbance</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5</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12.50%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Unknown</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5</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12.50%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Infection &amp; fever</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7</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17.50%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Poor compliance</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15</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37.50%</w:t>
            </w:r>
          </w:p>
        </w:tc>
      </w:tr>
      <w:tr w:rsidR="00C05EB6" w:rsidRPr="00F32E8A" w:rsidTr="001278F3">
        <w:trPr>
          <w:jc w:val="center"/>
        </w:trPr>
        <w:tc>
          <w:tcPr>
            <w:tcW w:w="1292" w:type="pct"/>
            <w:vMerge w:val="restar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Recurrent SE</w:t>
            </w: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No</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32</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80.0%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Yes</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8</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20.0%</w:t>
            </w:r>
          </w:p>
        </w:tc>
      </w:tr>
      <w:tr w:rsidR="00C05EB6" w:rsidRPr="00F32E8A" w:rsidTr="001278F3">
        <w:trPr>
          <w:jc w:val="center"/>
        </w:trPr>
        <w:tc>
          <w:tcPr>
            <w:tcW w:w="1292" w:type="pct"/>
            <w:vMerge w:val="restar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SE duration</w:t>
            </w: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&lt;</w:t>
            </w:r>
            <w:smartTag w:uri="urn:schemas-microsoft-com:office:smarttags" w:element="metricconverter">
              <w:smartTagPr>
                <w:attr w:name="ProductID" w:val="60 m"/>
              </w:smartTagPr>
              <w:r w:rsidRPr="00F32E8A">
                <w:rPr>
                  <w:color w:val="000000"/>
                  <w:sz w:val="16"/>
                  <w:szCs w:val="16"/>
                  <w:lang w:bidi="ar-EG"/>
                </w:rPr>
                <w:t>60 m</w:t>
              </w:r>
            </w:smartTag>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18</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45.0%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60m -24hours</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13</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32.5%</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&gt; 24 hours</w:t>
            </w:r>
          </w:p>
        </w:tc>
        <w:tc>
          <w:tcPr>
            <w:tcW w:w="685"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9</w:t>
            </w:r>
          </w:p>
        </w:tc>
        <w:tc>
          <w:tcPr>
            <w:tcW w:w="869" w:type="pct"/>
            <w:shd w:val="clear" w:color="auto" w:fill="auto"/>
            <w:noWrap/>
            <w:vAlign w:val="bottom"/>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22.5%</w:t>
            </w:r>
          </w:p>
        </w:tc>
      </w:tr>
      <w:tr w:rsidR="00C05EB6" w:rsidRPr="00F32E8A" w:rsidTr="001278F3">
        <w:trPr>
          <w:jc w:val="center"/>
        </w:trPr>
        <w:tc>
          <w:tcPr>
            <w:tcW w:w="1292" w:type="pct"/>
            <w:vMerge w:val="restar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AEDs for SE treatment</w:t>
            </w:r>
          </w:p>
        </w:tc>
        <w:tc>
          <w:tcPr>
            <w:tcW w:w="2154" w:type="pc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combination</w:t>
            </w:r>
          </w:p>
        </w:tc>
        <w:tc>
          <w:tcPr>
            <w:tcW w:w="685" w:type="pc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22</w:t>
            </w:r>
          </w:p>
        </w:tc>
        <w:tc>
          <w:tcPr>
            <w:tcW w:w="869" w:type="pc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55.0%</w:t>
            </w:r>
          </w:p>
        </w:tc>
      </w:tr>
      <w:tr w:rsidR="00C05EB6" w:rsidRPr="00F32E8A" w:rsidTr="001278F3">
        <w:trPr>
          <w:jc w:val="center"/>
        </w:trPr>
        <w:tc>
          <w:tcPr>
            <w:tcW w:w="1292" w:type="pct"/>
            <w:vMerge/>
            <w:shd w:val="clear" w:color="auto" w:fill="auto"/>
            <w:vAlign w:val="center"/>
          </w:tcPr>
          <w:p w:rsidR="00C05EB6" w:rsidRPr="00F32E8A" w:rsidRDefault="00C05EB6" w:rsidP="001278F3">
            <w:pPr>
              <w:snapToGrid w:val="0"/>
              <w:jc w:val="center"/>
              <w:rPr>
                <w:color w:val="000000"/>
                <w:sz w:val="16"/>
                <w:szCs w:val="16"/>
                <w:lang w:bidi="ar-EG"/>
              </w:rPr>
            </w:pPr>
          </w:p>
        </w:tc>
        <w:tc>
          <w:tcPr>
            <w:tcW w:w="2154" w:type="pc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Diazepam &amp; phenytoin</w:t>
            </w:r>
          </w:p>
        </w:tc>
        <w:tc>
          <w:tcPr>
            <w:tcW w:w="685" w:type="pc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18</w:t>
            </w:r>
          </w:p>
        </w:tc>
        <w:tc>
          <w:tcPr>
            <w:tcW w:w="869" w:type="pct"/>
            <w:shd w:val="clear" w:color="auto" w:fill="auto"/>
            <w:noWrap/>
            <w:vAlign w:val="center"/>
          </w:tcPr>
          <w:p w:rsidR="00C05EB6" w:rsidRPr="00F32E8A" w:rsidRDefault="00C05EB6" w:rsidP="001278F3">
            <w:pPr>
              <w:snapToGrid w:val="0"/>
              <w:jc w:val="center"/>
              <w:rPr>
                <w:color w:val="000000"/>
                <w:sz w:val="16"/>
                <w:szCs w:val="16"/>
                <w:lang w:bidi="ar-EG"/>
              </w:rPr>
            </w:pPr>
            <w:r w:rsidRPr="00F32E8A">
              <w:rPr>
                <w:color w:val="000000"/>
                <w:sz w:val="16"/>
                <w:szCs w:val="16"/>
                <w:lang w:bidi="ar-EG"/>
              </w:rPr>
              <w:t>45.0%</w:t>
            </w:r>
          </w:p>
        </w:tc>
      </w:tr>
    </w:tbl>
    <w:p w:rsidR="00C05EB6" w:rsidRPr="00C05EB6" w:rsidRDefault="00C05EB6" w:rsidP="00C05EB6">
      <w:pPr>
        <w:snapToGrid w:val="0"/>
        <w:ind w:firstLine="425"/>
        <w:jc w:val="both"/>
        <w:rPr>
          <w:sz w:val="20"/>
          <w:szCs w:val="20"/>
          <w:lang w:bidi="ar-EG"/>
        </w:rPr>
      </w:pPr>
      <w:r w:rsidRPr="00C05EB6">
        <w:rPr>
          <w:sz w:val="20"/>
          <w:szCs w:val="20"/>
          <w:lang w:bidi="ar-EG"/>
        </w:rPr>
        <w:lastRenderedPageBreak/>
        <w:t xml:space="preserve">There was statistically significant relation between recurrence of SE and the following parameters: history of epilepsy, drug abuse, SE </w:t>
      </w:r>
      <w:r w:rsidRPr="00C05EB6">
        <w:rPr>
          <w:sz w:val="20"/>
          <w:szCs w:val="20"/>
          <w:lang w:bidi="ar-EG"/>
        </w:rPr>
        <w:lastRenderedPageBreak/>
        <w:t>duration, AEDs used for treatment of SE, EEG findings and frequency of seizures (P-value &lt; 0.05).</w:t>
      </w:r>
    </w:p>
    <w:p w:rsidR="00C05EB6" w:rsidRDefault="00C05EB6" w:rsidP="00BD7DE8">
      <w:pPr>
        <w:snapToGrid w:val="0"/>
        <w:ind w:firstLine="425"/>
        <w:jc w:val="both"/>
        <w:rPr>
          <w:sz w:val="20"/>
          <w:szCs w:val="20"/>
          <w:lang w:eastAsia="zh-CN" w:bidi="ar-EG"/>
        </w:rPr>
      </w:pPr>
      <w:r w:rsidRPr="00C05EB6">
        <w:rPr>
          <w:sz w:val="20"/>
          <w:szCs w:val="20"/>
          <w:lang w:bidi="ar-EG"/>
        </w:rPr>
        <w:t>There was statistically significant relation between cause of SE and SE duration (P-value &lt;0.05).</w:t>
      </w:r>
    </w:p>
    <w:p w:rsidR="00C05EB6" w:rsidRPr="00C05EB6" w:rsidRDefault="00C05EB6" w:rsidP="00BD7DE8">
      <w:pPr>
        <w:snapToGrid w:val="0"/>
        <w:ind w:firstLine="425"/>
        <w:jc w:val="both"/>
        <w:rPr>
          <w:sz w:val="20"/>
          <w:szCs w:val="20"/>
          <w:lang w:eastAsia="zh-CN" w:bidi="ar-EG"/>
        </w:rPr>
        <w:sectPr w:rsidR="00C05EB6" w:rsidRPr="00C05EB6" w:rsidSect="00BD7DE8">
          <w:headerReference w:type="default" r:id="rId13"/>
          <w:footerReference w:type="default" r:id="rId14"/>
          <w:type w:val="continuous"/>
          <w:pgSz w:w="12242" w:h="15842" w:code="1"/>
          <w:pgMar w:top="1440" w:right="1440" w:bottom="1440" w:left="1440" w:header="720" w:footer="720" w:gutter="0"/>
          <w:cols w:num="2" w:space="600"/>
          <w:docGrid w:linePitch="360"/>
        </w:sectPr>
      </w:pPr>
    </w:p>
    <w:p w:rsidR="00E63FDF" w:rsidRPr="00C05EB6" w:rsidRDefault="00E63FDF" w:rsidP="00BD7DE8">
      <w:pPr>
        <w:snapToGrid w:val="0"/>
        <w:jc w:val="center"/>
        <w:rPr>
          <w:sz w:val="20"/>
          <w:szCs w:val="20"/>
          <w:lang w:bidi="ar-EG"/>
        </w:rPr>
      </w:pPr>
      <w:bookmarkStart w:id="2" w:name="_Toc465541452"/>
      <w:r w:rsidRPr="00C05EB6">
        <w:rPr>
          <w:b/>
          <w:bCs/>
          <w:sz w:val="20"/>
          <w:szCs w:val="20"/>
        </w:rPr>
        <w:lastRenderedPageBreak/>
        <w:t xml:space="preserve">Table (4): </w:t>
      </w:r>
      <w:r w:rsidRPr="00C05EB6">
        <w:rPr>
          <w:sz w:val="20"/>
          <w:szCs w:val="20"/>
          <w:lang w:bidi="ar-EG"/>
        </w:rPr>
        <w:t>Comparison between epileptic and non-epileptic patients regarding history of status epilepticus</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3059"/>
        <w:gridCol w:w="774"/>
        <w:gridCol w:w="937"/>
        <w:gridCol w:w="808"/>
        <w:gridCol w:w="990"/>
        <w:gridCol w:w="990"/>
        <w:gridCol w:w="1010"/>
      </w:tblGrid>
      <w:tr w:rsidR="00E63FDF" w:rsidRPr="00C05EB6" w:rsidTr="001643A3">
        <w:trPr>
          <w:cantSplit/>
          <w:jc w:val="center"/>
        </w:trPr>
        <w:tc>
          <w:tcPr>
            <w:tcW w:w="2124" w:type="pct"/>
            <w:gridSpan w:val="2"/>
            <w:vMerge w:val="restart"/>
            <w:shd w:val="clear" w:color="auto" w:fill="auto"/>
            <w:noWrap/>
            <w:vAlign w:val="bottom"/>
          </w:tcPr>
          <w:p w:rsidR="00E63FDF" w:rsidRPr="00C05EB6" w:rsidRDefault="00E63FDF" w:rsidP="00C05EB6">
            <w:pPr>
              <w:snapToGrid w:val="0"/>
              <w:jc w:val="center"/>
              <w:rPr>
                <w:b/>
                <w:bCs/>
                <w:color w:val="000000"/>
                <w:sz w:val="18"/>
                <w:szCs w:val="18"/>
                <w:lang w:bidi="ar-EG"/>
              </w:rPr>
            </w:pPr>
          </w:p>
        </w:tc>
        <w:tc>
          <w:tcPr>
            <w:tcW w:w="893" w:type="pct"/>
            <w:gridSpan w:val="2"/>
            <w:shd w:val="clear" w:color="auto" w:fill="auto"/>
            <w:noWrap/>
            <w:vAlign w:val="center"/>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No history of epilepsy</w:t>
            </w:r>
          </w:p>
        </w:tc>
        <w:tc>
          <w:tcPr>
            <w:tcW w:w="939" w:type="pct"/>
            <w:gridSpan w:val="2"/>
            <w:shd w:val="clear" w:color="auto" w:fill="auto"/>
            <w:noWrap/>
            <w:vAlign w:val="center"/>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Positive history of epilepsy</w:t>
            </w:r>
          </w:p>
        </w:tc>
        <w:tc>
          <w:tcPr>
            <w:tcW w:w="1044" w:type="pct"/>
            <w:gridSpan w:val="2"/>
            <w:shd w:val="clear" w:color="auto" w:fill="auto"/>
            <w:noWrap/>
            <w:vAlign w:val="center"/>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Chi-square test</w:t>
            </w:r>
          </w:p>
        </w:tc>
      </w:tr>
      <w:tr w:rsidR="00E63FDF" w:rsidRPr="00C05EB6" w:rsidTr="001643A3">
        <w:trPr>
          <w:cantSplit/>
          <w:jc w:val="center"/>
        </w:trPr>
        <w:tc>
          <w:tcPr>
            <w:tcW w:w="2124" w:type="pct"/>
            <w:gridSpan w:val="2"/>
            <w:vMerge/>
            <w:shd w:val="clear" w:color="auto" w:fill="auto"/>
            <w:vAlign w:val="center"/>
          </w:tcPr>
          <w:p w:rsidR="00E63FDF" w:rsidRPr="00C05EB6" w:rsidRDefault="00E63FDF" w:rsidP="00C05EB6">
            <w:pPr>
              <w:snapToGrid w:val="0"/>
              <w:jc w:val="center"/>
              <w:rPr>
                <w:b/>
                <w:bCs/>
                <w:color w:val="000000"/>
                <w:sz w:val="18"/>
                <w:szCs w:val="18"/>
                <w:lang w:bidi="ar-EG"/>
              </w:rPr>
            </w:pPr>
          </w:p>
        </w:tc>
        <w:tc>
          <w:tcPr>
            <w:tcW w:w="404" w:type="pct"/>
            <w:shd w:val="clear" w:color="auto" w:fill="auto"/>
            <w:noWrap/>
            <w:vAlign w:val="bottom"/>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No.</w:t>
            </w:r>
          </w:p>
        </w:tc>
        <w:tc>
          <w:tcPr>
            <w:tcW w:w="489" w:type="pct"/>
            <w:shd w:val="clear" w:color="auto" w:fill="auto"/>
            <w:noWrap/>
            <w:vAlign w:val="bottom"/>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w:t>
            </w:r>
          </w:p>
        </w:tc>
        <w:tc>
          <w:tcPr>
            <w:tcW w:w="422" w:type="pct"/>
            <w:shd w:val="clear" w:color="auto" w:fill="auto"/>
            <w:noWrap/>
            <w:vAlign w:val="bottom"/>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No.</w:t>
            </w:r>
          </w:p>
        </w:tc>
        <w:tc>
          <w:tcPr>
            <w:tcW w:w="517" w:type="pct"/>
            <w:shd w:val="clear" w:color="auto" w:fill="auto"/>
            <w:noWrap/>
            <w:vAlign w:val="bottom"/>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w:t>
            </w:r>
          </w:p>
        </w:tc>
        <w:tc>
          <w:tcPr>
            <w:tcW w:w="517" w:type="pct"/>
            <w:shd w:val="clear" w:color="auto" w:fill="auto"/>
            <w:noWrap/>
            <w:vAlign w:val="bottom"/>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X</w:t>
            </w:r>
            <w:r w:rsidRPr="00C05EB6">
              <w:rPr>
                <w:b/>
                <w:bCs/>
                <w:color w:val="000000"/>
                <w:sz w:val="18"/>
                <w:szCs w:val="18"/>
                <w:vertAlign w:val="superscript"/>
                <w:lang w:bidi="ar-EG"/>
              </w:rPr>
              <w:t>2</w:t>
            </w:r>
          </w:p>
        </w:tc>
        <w:tc>
          <w:tcPr>
            <w:tcW w:w="527" w:type="pct"/>
            <w:shd w:val="clear" w:color="auto" w:fill="auto"/>
            <w:noWrap/>
            <w:vAlign w:val="bottom"/>
          </w:tcPr>
          <w:p w:rsidR="00E63FDF" w:rsidRPr="00C05EB6" w:rsidRDefault="00E63FDF" w:rsidP="00C05EB6">
            <w:pPr>
              <w:snapToGrid w:val="0"/>
              <w:jc w:val="center"/>
              <w:rPr>
                <w:b/>
                <w:bCs/>
                <w:color w:val="000000"/>
                <w:sz w:val="18"/>
                <w:szCs w:val="18"/>
                <w:lang w:bidi="ar-EG"/>
              </w:rPr>
            </w:pPr>
            <w:r w:rsidRPr="00C05EB6">
              <w:rPr>
                <w:b/>
                <w:bCs/>
                <w:color w:val="000000"/>
                <w:sz w:val="18"/>
                <w:szCs w:val="18"/>
                <w:lang w:bidi="ar-EG"/>
              </w:rPr>
              <w:t>P-value</w:t>
            </w:r>
          </w:p>
        </w:tc>
      </w:tr>
      <w:tr w:rsidR="00C05EB6" w:rsidRPr="00C05EB6" w:rsidTr="001643A3">
        <w:trPr>
          <w:cantSplit/>
          <w:jc w:val="center"/>
        </w:trPr>
        <w:tc>
          <w:tcPr>
            <w:tcW w:w="527" w:type="pct"/>
            <w:vMerge w:val="restar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Type SE</w:t>
            </w: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Convulsive</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16</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94.1%</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20</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87.0%</w:t>
            </w:r>
          </w:p>
        </w:tc>
        <w:tc>
          <w:tcPr>
            <w:tcW w:w="517" w:type="pct"/>
            <w:vMerge w:val="restar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0.557</w:t>
            </w:r>
          </w:p>
        </w:tc>
        <w:tc>
          <w:tcPr>
            <w:tcW w:w="527" w:type="pct"/>
            <w:vMerge w:val="restar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0.455</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non convulsive</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5.9%</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13.0%</w:t>
            </w:r>
          </w:p>
        </w:tc>
        <w:tc>
          <w:tcPr>
            <w:tcW w:w="51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r>
      <w:tr w:rsidR="00C05EB6" w:rsidRPr="00C05EB6" w:rsidTr="001643A3">
        <w:trPr>
          <w:cantSplit/>
          <w:jc w:val="center"/>
        </w:trPr>
        <w:tc>
          <w:tcPr>
            <w:tcW w:w="527" w:type="pct"/>
            <w:vMerge w:val="restar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Cause SE</w:t>
            </w:r>
          </w:p>
        </w:tc>
        <w:tc>
          <w:tcPr>
            <w:tcW w:w="159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Idiopathic</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13</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56.5%</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14.235</w:t>
            </w:r>
          </w:p>
        </w:tc>
        <w:tc>
          <w:tcPr>
            <w:tcW w:w="527" w:type="pct"/>
            <w:shd w:val="clear" w:color="auto" w:fill="E7E6E6"/>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0.000</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Vascular</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7</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41.2%</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13.0%</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4.126</w:t>
            </w:r>
          </w:p>
        </w:tc>
        <w:tc>
          <w:tcPr>
            <w:tcW w:w="527" w:type="pct"/>
            <w:shd w:val="clear" w:color="auto" w:fill="E7E6E6"/>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0.042</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CNS infection</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23.5%</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8.7%</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1.687</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0.194</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Metabolic &amp; electrolyte disturbance</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17.6%</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4.3%</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1.921</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0.166</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Tumor</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13.0%</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3.285</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0.070</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Febrile convulsion</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11.8%</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2.848</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0.091</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Trauma</w:t>
            </w:r>
          </w:p>
        </w:tc>
        <w:tc>
          <w:tcPr>
            <w:tcW w:w="404"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w:t>
            </w:r>
          </w:p>
        </w:tc>
        <w:tc>
          <w:tcPr>
            <w:tcW w:w="489"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5.9%</w:t>
            </w:r>
          </w:p>
        </w:tc>
        <w:tc>
          <w:tcPr>
            <w:tcW w:w="422"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w:t>
            </w:r>
          </w:p>
        </w:tc>
        <w:tc>
          <w:tcPr>
            <w:tcW w:w="517" w:type="pct"/>
            <w:shd w:val="clear" w:color="auto" w:fill="auto"/>
            <w:noWrap/>
            <w:vAlign w:val="bottom"/>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4.3%</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1.388</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0.239</w:t>
            </w:r>
          </w:p>
        </w:tc>
      </w:tr>
      <w:tr w:rsidR="00C05EB6" w:rsidRPr="00C05EB6" w:rsidTr="001643A3">
        <w:trPr>
          <w:cantSplit/>
          <w:jc w:val="center"/>
        </w:trPr>
        <w:tc>
          <w:tcPr>
            <w:tcW w:w="527" w:type="pct"/>
            <w:vMerge w:val="restar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Trigger factors</w:t>
            </w: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Drug abuse</w:t>
            </w:r>
          </w:p>
        </w:tc>
        <w:tc>
          <w:tcPr>
            <w:tcW w:w="404"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w:t>
            </w:r>
          </w:p>
        </w:tc>
        <w:tc>
          <w:tcPr>
            <w:tcW w:w="489"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w:t>
            </w:r>
          </w:p>
        </w:tc>
        <w:tc>
          <w:tcPr>
            <w:tcW w:w="422"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13.0%</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2.397</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0.122</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Poor compliance</w:t>
            </w:r>
          </w:p>
        </w:tc>
        <w:tc>
          <w:tcPr>
            <w:tcW w:w="404"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w:t>
            </w:r>
          </w:p>
        </w:tc>
        <w:tc>
          <w:tcPr>
            <w:tcW w:w="489"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w:t>
            </w:r>
          </w:p>
        </w:tc>
        <w:tc>
          <w:tcPr>
            <w:tcW w:w="422"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15</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65.2%</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17.739</w:t>
            </w:r>
          </w:p>
        </w:tc>
        <w:tc>
          <w:tcPr>
            <w:tcW w:w="527" w:type="pct"/>
            <w:shd w:val="clear" w:color="auto" w:fill="E7E6E6"/>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0.000</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Infection &amp; fever</w:t>
            </w:r>
          </w:p>
        </w:tc>
        <w:tc>
          <w:tcPr>
            <w:tcW w:w="404"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6</w:t>
            </w:r>
          </w:p>
        </w:tc>
        <w:tc>
          <w:tcPr>
            <w:tcW w:w="489"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35.3%</w:t>
            </w:r>
          </w:p>
        </w:tc>
        <w:tc>
          <w:tcPr>
            <w:tcW w:w="422"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4.3%</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6.484</w:t>
            </w:r>
          </w:p>
        </w:tc>
        <w:tc>
          <w:tcPr>
            <w:tcW w:w="527" w:type="pct"/>
            <w:shd w:val="clear" w:color="auto" w:fill="E7E6E6"/>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0.011</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Ischemia</w:t>
            </w:r>
          </w:p>
        </w:tc>
        <w:tc>
          <w:tcPr>
            <w:tcW w:w="404"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w:t>
            </w:r>
          </w:p>
        </w:tc>
        <w:tc>
          <w:tcPr>
            <w:tcW w:w="489"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5.9%</w:t>
            </w:r>
          </w:p>
        </w:tc>
        <w:tc>
          <w:tcPr>
            <w:tcW w:w="422"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1.388</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0.239</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Metabolic and electrolyte disturbance</w:t>
            </w:r>
          </w:p>
        </w:tc>
        <w:tc>
          <w:tcPr>
            <w:tcW w:w="404"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w:t>
            </w:r>
          </w:p>
        </w:tc>
        <w:tc>
          <w:tcPr>
            <w:tcW w:w="489"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23.5%</w:t>
            </w:r>
          </w:p>
        </w:tc>
        <w:tc>
          <w:tcPr>
            <w:tcW w:w="422"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4.3%</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3.288</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0.070</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Sleep deprivation</w:t>
            </w:r>
          </w:p>
        </w:tc>
        <w:tc>
          <w:tcPr>
            <w:tcW w:w="404"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w:t>
            </w:r>
          </w:p>
        </w:tc>
        <w:tc>
          <w:tcPr>
            <w:tcW w:w="489"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w:t>
            </w:r>
          </w:p>
        </w:tc>
        <w:tc>
          <w:tcPr>
            <w:tcW w:w="422"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8.7%</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1.556</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0.212</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Trauma</w:t>
            </w:r>
          </w:p>
        </w:tc>
        <w:tc>
          <w:tcPr>
            <w:tcW w:w="404"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w:t>
            </w:r>
          </w:p>
        </w:tc>
        <w:tc>
          <w:tcPr>
            <w:tcW w:w="489"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11.8%</w:t>
            </w:r>
          </w:p>
        </w:tc>
        <w:tc>
          <w:tcPr>
            <w:tcW w:w="422"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2.848</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0.091</w:t>
            </w:r>
          </w:p>
        </w:tc>
      </w:tr>
      <w:tr w:rsidR="00C05EB6" w:rsidRPr="00C05EB6" w:rsidTr="001643A3">
        <w:trPr>
          <w:cantSplit/>
          <w:jc w:val="center"/>
        </w:trPr>
        <w:tc>
          <w:tcPr>
            <w:tcW w:w="527" w:type="pct"/>
            <w:vMerge/>
            <w:shd w:val="clear" w:color="auto" w:fill="auto"/>
            <w:vAlign w:val="center"/>
          </w:tcPr>
          <w:p w:rsidR="00E63FDF" w:rsidRPr="00C05EB6" w:rsidRDefault="00E63FDF" w:rsidP="00C05EB6">
            <w:pPr>
              <w:snapToGrid w:val="0"/>
              <w:jc w:val="center"/>
              <w:rPr>
                <w:color w:val="000000"/>
                <w:sz w:val="18"/>
                <w:szCs w:val="18"/>
                <w:lang w:bidi="ar-EG"/>
              </w:rPr>
            </w:pPr>
          </w:p>
        </w:tc>
        <w:tc>
          <w:tcPr>
            <w:tcW w:w="159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Unknown</w:t>
            </w:r>
          </w:p>
        </w:tc>
        <w:tc>
          <w:tcPr>
            <w:tcW w:w="404"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w:t>
            </w:r>
          </w:p>
        </w:tc>
        <w:tc>
          <w:tcPr>
            <w:tcW w:w="489"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23.5%</w:t>
            </w:r>
          </w:p>
        </w:tc>
        <w:tc>
          <w:tcPr>
            <w:tcW w:w="422"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1</w:t>
            </w:r>
          </w:p>
        </w:tc>
        <w:tc>
          <w:tcPr>
            <w:tcW w:w="517" w:type="pct"/>
            <w:shd w:val="clear" w:color="auto" w:fill="auto"/>
            <w:noWrap/>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4.3%</w:t>
            </w:r>
          </w:p>
        </w:tc>
        <w:tc>
          <w:tcPr>
            <w:tcW w:w="51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3.288</w:t>
            </w:r>
          </w:p>
        </w:tc>
        <w:tc>
          <w:tcPr>
            <w:tcW w:w="527" w:type="pct"/>
            <w:shd w:val="clear" w:color="auto" w:fill="auto"/>
            <w:vAlign w:val="center"/>
          </w:tcPr>
          <w:p w:rsidR="00E63FDF" w:rsidRPr="00C05EB6" w:rsidRDefault="00E63FDF" w:rsidP="00C05EB6">
            <w:pPr>
              <w:snapToGrid w:val="0"/>
              <w:jc w:val="center"/>
              <w:rPr>
                <w:color w:val="000000"/>
                <w:sz w:val="18"/>
                <w:szCs w:val="18"/>
                <w:lang w:bidi="ar-EG"/>
              </w:rPr>
            </w:pPr>
            <w:r w:rsidRPr="00C05EB6">
              <w:rPr>
                <w:color w:val="000000"/>
                <w:sz w:val="18"/>
                <w:szCs w:val="18"/>
                <w:lang w:bidi="ar-EG"/>
              </w:rPr>
              <w:t>0.070</w:t>
            </w:r>
          </w:p>
        </w:tc>
      </w:tr>
    </w:tbl>
    <w:p w:rsidR="001278F3" w:rsidRPr="00C05EB6" w:rsidRDefault="001278F3" w:rsidP="00BD7DE8">
      <w:pPr>
        <w:snapToGrid w:val="0"/>
        <w:ind w:firstLine="425"/>
        <w:jc w:val="both"/>
        <w:rPr>
          <w:sz w:val="20"/>
          <w:szCs w:val="20"/>
          <w:lang w:eastAsia="zh-CN"/>
        </w:rPr>
      </w:pPr>
    </w:p>
    <w:p w:rsidR="00E63FDF" w:rsidRPr="00C05EB6" w:rsidRDefault="00E81198" w:rsidP="00BD7DE8">
      <w:pPr>
        <w:snapToGrid w:val="0"/>
        <w:jc w:val="center"/>
        <w:rPr>
          <w:b/>
          <w:bCs/>
          <w:sz w:val="20"/>
          <w:szCs w:val="20"/>
          <w:lang w:bidi="ar-EG"/>
        </w:rPr>
      </w:pPr>
      <w:r w:rsidRPr="00C05EB6">
        <w:rPr>
          <w:b/>
          <w:bCs/>
          <w:noProof/>
          <w:sz w:val="20"/>
          <w:szCs w:val="20"/>
          <w:lang w:val="en-GB" w:eastAsia="en-GB"/>
        </w:rPr>
        <w:drawing>
          <wp:inline distT="0" distB="0" distL="0" distR="0">
            <wp:extent cx="3306936" cy="1811547"/>
            <wp:effectExtent l="19050" t="0" r="7764"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12152" t="2183" r="8479" b="21403"/>
                    <a:stretch>
                      <a:fillRect/>
                    </a:stretch>
                  </pic:blipFill>
                  <pic:spPr bwMode="auto">
                    <a:xfrm>
                      <a:off x="0" y="0"/>
                      <a:ext cx="3306936" cy="1811547"/>
                    </a:xfrm>
                    <a:prstGeom prst="rect">
                      <a:avLst/>
                    </a:prstGeom>
                    <a:noFill/>
                    <a:ln w="9525">
                      <a:noFill/>
                      <a:miter lim="800000"/>
                      <a:headEnd/>
                      <a:tailEnd/>
                    </a:ln>
                  </pic:spPr>
                </pic:pic>
              </a:graphicData>
            </a:graphic>
          </wp:inline>
        </w:drawing>
      </w:r>
    </w:p>
    <w:p w:rsidR="00E63FDF" w:rsidRPr="00C05EB6" w:rsidRDefault="00E63FDF" w:rsidP="00BD7DE8">
      <w:pPr>
        <w:snapToGrid w:val="0"/>
        <w:jc w:val="center"/>
        <w:rPr>
          <w:sz w:val="20"/>
          <w:szCs w:val="20"/>
          <w:lang w:bidi="ar-EG"/>
        </w:rPr>
      </w:pPr>
      <w:bookmarkStart w:id="3" w:name="_Toc465541506"/>
      <w:r w:rsidRPr="00C05EB6">
        <w:rPr>
          <w:b/>
          <w:bCs/>
          <w:sz w:val="20"/>
          <w:szCs w:val="20"/>
        </w:rPr>
        <w:t>Figure (1):</w:t>
      </w:r>
      <w:r w:rsidRPr="00C05EB6">
        <w:rPr>
          <w:sz w:val="20"/>
          <w:szCs w:val="20"/>
          <w:lang w:bidi="ar-EG"/>
        </w:rPr>
        <w:t>Outcome of SE in studied patients.</w:t>
      </w:r>
      <w:bookmarkEnd w:id="3"/>
    </w:p>
    <w:p w:rsidR="00E63FDF" w:rsidRPr="00C05EB6" w:rsidRDefault="00E81198" w:rsidP="00BD7DE8">
      <w:pPr>
        <w:snapToGrid w:val="0"/>
        <w:jc w:val="center"/>
        <w:rPr>
          <w:b/>
          <w:bCs/>
          <w:sz w:val="20"/>
          <w:szCs w:val="20"/>
          <w:lang w:bidi="ar-EG"/>
        </w:rPr>
      </w:pPr>
      <w:r w:rsidRPr="00C05EB6">
        <w:rPr>
          <w:b/>
          <w:bCs/>
          <w:noProof/>
          <w:sz w:val="20"/>
          <w:szCs w:val="20"/>
          <w:lang w:val="en-GB" w:eastAsia="en-GB"/>
        </w:rPr>
        <w:drawing>
          <wp:inline distT="0" distB="0" distL="0" distR="0">
            <wp:extent cx="4182158" cy="22820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182307" cy="2282106"/>
                    </a:xfrm>
                    <a:prstGeom prst="rect">
                      <a:avLst/>
                    </a:prstGeom>
                    <a:noFill/>
                    <a:ln w="9525">
                      <a:noFill/>
                      <a:miter lim="800000"/>
                      <a:headEnd/>
                      <a:tailEnd/>
                    </a:ln>
                  </pic:spPr>
                </pic:pic>
              </a:graphicData>
            </a:graphic>
          </wp:inline>
        </w:drawing>
      </w:r>
    </w:p>
    <w:p w:rsidR="00E63FDF" w:rsidRPr="00C05EB6" w:rsidRDefault="00E63FDF" w:rsidP="00BD7DE8">
      <w:pPr>
        <w:snapToGrid w:val="0"/>
        <w:jc w:val="center"/>
        <w:rPr>
          <w:sz w:val="20"/>
          <w:szCs w:val="20"/>
          <w:lang w:eastAsia="zh-CN" w:bidi="ar-EG"/>
        </w:rPr>
      </w:pPr>
      <w:bookmarkStart w:id="4" w:name="_Toc465541507"/>
      <w:r w:rsidRPr="00C05EB6">
        <w:rPr>
          <w:b/>
          <w:bCs/>
          <w:sz w:val="20"/>
          <w:szCs w:val="20"/>
        </w:rPr>
        <w:t>Figure (2):</w:t>
      </w:r>
      <w:r w:rsidRPr="00C05EB6">
        <w:rPr>
          <w:sz w:val="20"/>
          <w:szCs w:val="20"/>
          <w:lang w:bidi="ar-EG"/>
        </w:rPr>
        <w:t>EEG findings in studied patients.</w:t>
      </w:r>
      <w:bookmarkEnd w:id="4"/>
    </w:p>
    <w:p w:rsidR="00BD7DE8" w:rsidRPr="00C05EB6" w:rsidRDefault="00BD7DE8" w:rsidP="00BD7DE8">
      <w:pPr>
        <w:snapToGrid w:val="0"/>
        <w:jc w:val="both"/>
        <w:rPr>
          <w:sz w:val="20"/>
          <w:szCs w:val="20"/>
          <w:lang w:eastAsia="zh-CN" w:bidi="ar-EG"/>
        </w:rPr>
      </w:pPr>
    </w:p>
    <w:p w:rsidR="00FA2A7F" w:rsidRPr="00C05EB6" w:rsidRDefault="00E81198" w:rsidP="00BD7DE8">
      <w:pPr>
        <w:snapToGrid w:val="0"/>
        <w:jc w:val="center"/>
        <w:rPr>
          <w:sz w:val="20"/>
          <w:szCs w:val="20"/>
          <w:lang w:bidi="ar-EG"/>
        </w:rPr>
      </w:pPr>
      <w:r w:rsidRPr="00C05EB6">
        <w:rPr>
          <w:b/>
          <w:bCs/>
          <w:noProof/>
          <w:sz w:val="20"/>
          <w:szCs w:val="20"/>
          <w:lang w:val="en-GB" w:eastAsia="en-GB"/>
        </w:rPr>
        <w:lastRenderedPageBreak/>
        <w:drawing>
          <wp:inline distT="0" distB="0" distL="0" distR="0">
            <wp:extent cx="4513193" cy="2346486"/>
            <wp:effectExtent l="19050" t="0" r="20707" b="0"/>
            <wp:docPr id="645" name="对象 6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5" w:name="_Toc465541508"/>
    </w:p>
    <w:p w:rsidR="00E63FDF" w:rsidRPr="00C05EB6" w:rsidRDefault="00E63FDF" w:rsidP="00BD7DE8">
      <w:pPr>
        <w:snapToGrid w:val="0"/>
        <w:jc w:val="center"/>
        <w:rPr>
          <w:b/>
          <w:bCs/>
          <w:sz w:val="20"/>
          <w:szCs w:val="20"/>
          <w:lang w:eastAsia="zh-CN" w:bidi="ar-EG"/>
        </w:rPr>
      </w:pPr>
      <w:r w:rsidRPr="00C05EB6">
        <w:rPr>
          <w:b/>
          <w:bCs/>
          <w:sz w:val="20"/>
          <w:szCs w:val="20"/>
        </w:rPr>
        <w:t xml:space="preserve">Figure (3): </w:t>
      </w:r>
      <w:r w:rsidRPr="00C05EB6">
        <w:rPr>
          <w:sz w:val="20"/>
          <w:szCs w:val="20"/>
          <w:lang w:bidi="ar-EG"/>
        </w:rPr>
        <w:t>Marital history in studied patients</w:t>
      </w:r>
      <w:r w:rsidRPr="00C05EB6">
        <w:rPr>
          <w:b/>
          <w:bCs/>
          <w:sz w:val="20"/>
          <w:szCs w:val="20"/>
          <w:lang w:bidi="ar-EG"/>
        </w:rPr>
        <w:t>.</w:t>
      </w:r>
      <w:bookmarkEnd w:id="5"/>
    </w:p>
    <w:p w:rsidR="00BD7DE8" w:rsidRPr="00C05EB6" w:rsidRDefault="00BD7DE8" w:rsidP="00BD7DE8">
      <w:pPr>
        <w:snapToGrid w:val="0"/>
        <w:jc w:val="center"/>
        <w:rPr>
          <w:b/>
          <w:bCs/>
          <w:sz w:val="20"/>
          <w:szCs w:val="20"/>
          <w:lang w:eastAsia="zh-CN" w:bidi="ar-EG"/>
        </w:rPr>
      </w:pPr>
    </w:p>
    <w:p w:rsidR="008D295D" w:rsidRPr="00C05EB6" w:rsidRDefault="00E81198" w:rsidP="00BD7DE8">
      <w:pPr>
        <w:snapToGrid w:val="0"/>
        <w:jc w:val="center"/>
        <w:rPr>
          <w:sz w:val="20"/>
          <w:szCs w:val="20"/>
          <w:lang w:bidi="ar-EG"/>
        </w:rPr>
      </w:pPr>
      <w:r w:rsidRPr="00C05EB6">
        <w:rPr>
          <w:noProof/>
          <w:sz w:val="20"/>
          <w:szCs w:val="20"/>
          <w:lang w:val="en-GB" w:eastAsia="en-GB"/>
        </w:rPr>
        <w:drawing>
          <wp:inline distT="0" distB="0" distL="0" distR="0">
            <wp:extent cx="4452731" cy="256804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53058" cy="2568237"/>
                    </a:xfrm>
                    <a:prstGeom prst="rect">
                      <a:avLst/>
                    </a:prstGeom>
                    <a:noFill/>
                    <a:ln w="9525">
                      <a:noFill/>
                      <a:miter lim="800000"/>
                      <a:headEnd/>
                      <a:tailEnd/>
                    </a:ln>
                  </pic:spPr>
                </pic:pic>
              </a:graphicData>
            </a:graphic>
          </wp:inline>
        </w:drawing>
      </w:r>
    </w:p>
    <w:p w:rsidR="008D295D" w:rsidRPr="00C05EB6" w:rsidRDefault="008D295D" w:rsidP="005E53D1">
      <w:pPr>
        <w:snapToGrid w:val="0"/>
        <w:jc w:val="center"/>
        <w:rPr>
          <w:sz w:val="20"/>
          <w:szCs w:val="20"/>
          <w:lang w:bidi="ar-EG"/>
        </w:rPr>
      </w:pPr>
      <w:bookmarkStart w:id="6" w:name="_Toc465541510"/>
      <w:r w:rsidRPr="00C05EB6">
        <w:rPr>
          <w:b/>
          <w:bCs/>
          <w:sz w:val="20"/>
          <w:szCs w:val="20"/>
        </w:rPr>
        <w:t>Figure (</w:t>
      </w:r>
      <w:r w:rsidR="005E53D1">
        <w:rPr>
          <w:b/>
          <w:bCs/>
          <w:sz w:val="20"/>
          <w:szCs w:val="20"/>
        </w:rPr>
        <w:t>4</w:t>
      </w:r>
      <w:r w:rsidRPr="00C05EB6">
        <w:rPr>
          <w:b/>
          <w:bCs/>
          <w:sz w:val="20"/>
          <w:szCs w:val="20"/>
        </w:rPr>
        <w:t xml:space="preserve">): </w:t>
      </w:r>
      <w:r w:rsidRPr="00C05EB6">
        <w:rPr>
          <w:sz w:val="20"/>
          <w:szCs w:val="20"/>
          <w:lang w:bidi="ar-EG"/>
        </w:rPr>
        <w:t>Outcome of epileptic and non-epileptic patients.</w:t>
      </w:r>
      <w:bookmarkEnd w:id="6"/>
    </w:p>
    <w:p w:rsidR="008D295D" w:rsidRPr="00C05EB6" w:rsidRDefault="00E81198" w:rsidP="00BD7DE8">
      <w:pPr>
        <w:snapToGrid w:val="0"/>
        <w:jc w:val="center"/>
        <w:rPr>
          <w:sz w:val="20"/>
          <w:szCs w:val="20"/>
          <w:lang w:bidi="ar-EG"/>
        </w:rPr>
      </w:pPr>
      <w:r w:rsidRPr="00C05EB6">
        <w:rPr>
          <w:noProof/>
          <w:sz w:val="20"/>
          <w:szCs w:val="20"/>
          <w:lang w:val="en-GB" w:eastAsia="en-GB"/>
        </w:rPr>
        <w:drawing>
          <wp:inline distT="0" distB="0" distL="0" distR="0">
            <wp:extent cx="4468101" cy="2286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469941" cy="2286941"/>
                    </a:xfrm>
                    <a:prstGeom prst="rect">
                      <a:avLst/>
                    </a:prstGeom>
                    <a:noFill/>
                    <a:ln w="9525">
                      <a:noFill/>
                      <a:miter lim="800000"/>
                      <a:headEnd/>
                      <a:tailEnd/>
                    </a:ln>
                  </pic:spPr>
                </pic:pic>
              </a:graphicData>
            </a:graphic>
          </wp:inline>
        </w:drawing>
      </w:r>
    </w:p>
    <w:p w:rsidR="008D295D" w:rsidRDefault="008D295D" w:rsidP="005E53D1">
      <w:pPr>
        <w:snapToGrid w:val="0"/>
        <w:jc w:val="center"/>
        <w:rPr>
          <w:sz w:val="20"/>
          <w:szCs w:val="20"/>
          <w:lang w:eastAsia="zh-CN" w:bidi="ar-EG"/>
        </w:rPr>
      </w:pPr>
      <w:bookmarkStart w:id="7" w:name="_Toc465541511"/>
      <w:r w:rsidRPr="00C05EB6">
        <w:rPr>
          <w:b/>
          <w:bCs/>
          <w:sz w:val="20"/>
          <w:szCs w:val="20"/>
        </w:rPr>
        <w:t>Figure (</w:t>
      </w:r>
      <w:r w:rsidR="005E53D1">
        <w:rPr>
          <w:b/>
          <w:bCs/>
          <w:sz w:val="20"/>
          <w:szCs w:val="20"/>
        </w:rPr>
        <w:t>5</w:t>
      </w:r>
      <w:r w:rsidRPr="00C05EB6">
        <w:rPr>
          <w:b/>
          <w:bCs/>
          <w:sz w:val="20"/>
          <w:szCs w:val="20"/>
        </w:rPr>
        <w:t xml:space="preserve">): </w:t>
      </w:r>
      <w:r w:rsidRPr="00C05EB6">
        <w:rPr>
          <w:sz w:val="20"/>
          <w:szCs w:val="20"/>
          <w:lang w:bidi="ar-EG"/>
        </w:rPr>
        <w:t>Recurrence of SE in epileptic and non-epileptic patients.</w:t>
      </w:r>
      <w:bookmarkEnd w:id="7"/>
    </w:p>
    <w:p w:rsidR="00595A8C" w:rsidRPr="00C05EB6" w:rsidRDefault="00595A8C" w:rsidP="00BD7DE8">
      <w:pPr>
        <w:snapToGrid w:val="0"/>
        <w:ind w:firstLine="425"/>
        <w:jc w:val="both"/>
        <w:rPr>
          <w:sz w:val="20"/>
          <w:szCs w:val="20"/>
          <w:lang w:bidi="ar-EG"/>
        </w:rPr>
      </w:pPr>
    </w:p>
    <w:p w:rsidR="008D295D" w:rsidRPr="00C05EB6" w:rsidRDefault="00E81198" w:rsidP="00BD7DE8">
      <w:pPr>
        <w:snapToGrid w:val="0"/>
        <w:jc w:val="center"/>
        <w:rPr>
          <w:sz w:val="20"/>
          <w:szCs w:val="20"/>
          <w:lang w:bidi="ar-EG"/>
        </w:rPr>
      </w:pPr>
      <w:r w:rsidRPr="00C05EB6">
        <w:rPr>
          <w:noProof/>
          <w:sz w:val="20"/>
          <w:szCs w:val="20"/>
          <w:lang w:val="en-GB" w:eastAsia="en-GB"/>
        </w:rPr>
        <w:lastRenderedPageBreak/>
        <w:drawing>
          <wp:inline distT="0" distB="0" distL="0" distR="0">
            <wp:extent cx="4497628" cy="254441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497931" cy="2544588"/>
                    </a:xfrm>
                    <a:prstGeom prst="rect">
                      <a:avLst/>
                    </a:prstGeom>
                    <a:noFill/>
                    <a:ln w="9525">
                      <a:noFill/>
                      <a:miter lim="800000"/>
                      <a:headEnd/>
                      <a:tailEnd/>
                    </a:ln>
                  </pic:spPr>
                </pic:pic>
              </a:graphicData>
            </a:graphic>
          </wp:inline>
        </w:drawing>
      </w:r>
    </w:p>
    <w:p w:rsidR="008D295D" w:rsidRPr="00C05EB6" w:rsidRDefault="008D295D" w:rsidP="005E53D1">
      <w:pPr>
        <w:snapToGrid w:val="0"/>
        <w:jc w:val="center"/>
        <w:rPr>
          <w:sz w:val="20"/>
          <w:szCs w:val="20"/>
          <w:lang w:eastAsia="zh-CN" w:bidi="ar-EG"/>
        </w:rPr>
      </w:pPr>
      <w:bookmarkStart w:id="8" w:name="_Toc465541515"/>
      <w:r w:rsidRPr="00C05EB6">
        <w:rPr>
          <w:b/>
          <w:bCs/>
          <w:sz w:val="20"/>
          <w:szCs w:val="20"/>
        </w:rPr>
        <w:t>Figure (</w:t>
      </w:r>
      <w:r w:rsidR="005E53D1">
        <w:rPr>
          <w:b/>
          <w:bCs/>
          <w:sz w:val="20"/>
          <w:szCs w:val="20"/>
        </w:rPr>
        <w:t>6</w:t>
      </w:r>
      <w:r w:rsidRPr="00C05EB6">
        <w:rPr>
          <w:b/>
          <w:bCs/>
          <w:sz w:val="20"/>
          <w:szCs w:val="20"/>
        </w:rPr>
        <w:t>):</w:t>
      </w:r>
      <w:r w:rsidRPr="00C05EB6">
        <w:rPr>
          <w:sz w:val="20"/>
          <w:szCs w:val="20"/>
          <w:lang w:bidi="ar-EG"/>
        </w:rPr>
        <w:t xml:space="preserve"> Relation between history of frequency of seizures and history of recurrence of SE:</w:t>
      </w:r>
      <w:bookmarkEnd w:id="8"/>
    </w:p>
    <w:p w:rsidR="00BD7DE8" w:rsidRPr="00C05EB6" w:rsidRDefault="00BD7DE8" w:rsidP="00BD7DE8">
      <w:pPr>
        <w:snapToGrid w:val="0"/>
        <w:jc w:val="both"/>
        <w:rPr>
          <w:sz w:val="20"/>
          <w:szCs w:val="20"/>
          <w:lang w:eastAsia="zh-CN" w:bidi="ar-EG"/>
        </w:rPr>
      </w:pPr>
    </w:p>
    <w:p w:rsidR="008D295D" w:rsidRPr="00C05EB6" w:rsidRDefault="00E81198" w:rsidP="00BD7DE8">
      <w:pPr>
        <w:snapToGrid w:val="0"/>
        <w:jc w:val="center"/>
        <w:rPr>
          <w:sz w:val="20"/>
          <w:szCs w:val="20"/>
          <w:lang w:bidi="ar-EG"/>
        </w:rPr>
      </w:pPr>
      <w:r w:rsidRPr="00C05EB6">
        <w:rPr>
          <w:noProof/>
          <w:sz w:val="20"/>
          <w:szCs w:val="20"/>
          <w:lang w:val="en-GB" w:eastAsia="en-GB"/>
        </w:rPr>
        <w:drawing>
          <wp:inline distT="0" distB="0" distL="0" distR="0">
            <wp:extent cx="4831249" cy="243309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4834717" cy="2434846"/>
                    </a:xfrm>
                    <a:prstGeom prst="rect">
                      <a:avLst/>
                    </a:prstGeom>
                    <a:noFill/>
                    <a:ln w="9525">
                      <a:noFill/>
                      <a:miter lim="800000"/>
                      <a:headEnd/>
                      <a:tailEnd/>
                    </a:ln>
                  </pic:spPr>
                </pic:pic>
              </a:graphicData>
            </a:graphic>
          </wp:inline>
        </w:drawing>
      </w:r>
    </w:p>
    <w:p w:rsidR="00237117" w:rsidRPr="00C05EB6" w:rsidRDefault="008D295D" w:rsidP="005E53D1">
      <w:pPr>
        <w:snapToGrid w:val="0"/>
        <w:jc w:val="center"/>
        <w:rPr>
          <w:sz w:val="20"/>
          <w:szCs w:val="20"/>
          <w:lang w:bidi="ar-EG"/>
        </w:rPr>
      </w:pPr>
      <w:bookmarkStart w:id="9" w:name="_Toc465541516"/>
      <w:r w:rsidRPr="00C05EB6">
        <w:rPr>
          <w:b/>
          <w:bCs/>
          <w:sz w:val="20"/>
          <w:szCs w:val="20"/>
        </w:rPr>
        <w:t>Figure (</w:t>
      </w:r>
      <w:r w:rsidR="005E53D1">
        <w:rPr>
          <w:b/>
          <w:bCs/>
          <w:sz w:val="20"/>
          <w:szCs w:val="20"/>
        </w:rPr>
        <w:t>7</w:t>
      </w:r>
      <w:r w:rsidRPr="00C05EB6">
        <w:rPr>
          <w:b/>
          <w:bCs/>
          <w:sz w:val="20"/>
          <w:szCs w:val="20"/>
        </w:rPr>
        <w:t xml:space="preserve">): </w:t>
      </w:r>
      <w:r w:rsidRPr="00C05EB6">
        <w:rPr>
          <w:sz w:val="20"/>
          <w:szCs w:val="20"/>
          <w:lang w:bidi="ar-EG"/>
        </w:rPr>
        <w:t>Relation between residence and outcome of SE.</w:t>
      </w:r>
      <w:bookmarkEnd w:id="9"/>
    </w:p>
    <w:p w:rsidR="008D295D" w:rsidRPr="00C05EB6" w:rsidRDefault="00E81198" w:rsidP="00BD7DE8">
      <w:pPr>
        <w:snapToGrid w:val="0"/>
        <w:jc w:val="center"/>
        <w:rPr>
          <w:sz w:val="20"/>
          <w:szCs w:val="20"/>
          <w:lang w:bidi="ar-EG"/>
        </w:rPr>
      </w:pPr>
      <w:r w:rsidRPr="00C05EB6">
        <w:rPr>
          <w:noProof/>
          <w:sz w:val="20"/>
          <w:szCs w:val="20"/>
          <w:lang w:val="en-GB" w:eastAsia="en-GB"/>
        </w:rPr>
        <w:drawing>
          <wp:inline distT="0" distB="0" distL="0" distR="0">
            <wp:extent cx="4755574" cy="23774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4756358" cy="2377832"/>
                    </a:xfrm>
                    <a:prstGeom prst="rect">
                      <a:avLst/>
                    </a:prstGeom>
                    <a:noFill/>
                    <a:ln w="9525">
                      <a:noFill/>
                      <a:miter lim="800000"/>
                      <a:headEnd/>
                      <a:tailEnd/>
                    </a:ln>
                  </pic:spPr>
                </pic:pic>
              </a:graphicData>
            </a:graphic>
          </wp:inline>
        </w:drawing>
      </w:r>
    </w:p>
    <w:p w:rsidR="008D295D" w:rsidRPr="00C05EB6" w:rsidRDefault="008D295D" w:rsidP="005E53D1">
      <w:pPr>
        <w:snapToGrid w:val="0"/>
        <w:jc w:val="center"/>
        <w:rPr>
          <w:sz w:val="20"/>
          <w:szCs w:val="20"/>
          <w:lang w:eastAsia="zh-CN" w:bidi="ar-EG"/>
        </w:rPr>
      </w:pPr>
      <w:bookmarkStart w:id="10" w:name="_Toc465541517"/>
      <w:r w:rsidRPr="00C05EB6">
        <w:rPr>
          <w:b/>
          <w:bCs/>
          <w:sz w:val="20"/>
          <w:szCs w:val="20"/>
        </w:rPr>
        <w:t>Figure (</w:t>
      </w:r>
      <w:r w:rsidR="005E53D1">
        <w:rPr>
          <w:b/>
          <w:bCs/>
          <w:sz w:val="20"/>
          <w:szCs w:val="20"/>
        </w:rPr>
        <w:t>8</w:t>
      </w:r>
      <w:r w:rsidRPr="00C05EB6">
        <w:rPr>
          <w:b/>
          <w:bCs/>
          <w:sz w:val="20"/>
          <w:szCs w:val="20"/>
        </w:rPr>
        <w:t>):</w:t>
      </w:r>
      <w:r w:rsidRPr="00C05EB6">
        <w:rPr>
          <w:sz w:val="20"/>
          <w:szCs w:val="20"/>
          <w:lang w:bidi="ar-EG"/>
        </w:rPr>
        <w:t>Relation between neurological examination and outcome.</w:t>
      </w:r>
      <w:bookmarkEnd w:id="10"/>
    </w:p>
    <w:p w:rsidR="00BD7DE8" w:rsidRDefault="00BD7DE8" w:rsidP="00BD7DE8">
      <w:pPr>
        <w:snapToGrid w:val="0"/>
        <w:jc w:val="center"/>
        <w:rPr>
          <w:sz w:val="20"/>
          <w:szCs w:val="20"/>
          <w:lang w:eastAsia="zh-CN" w:bidi="ar-EG"/>
        </w:rPr>
      </w:pPr>
    </w:p>
    <w:p w:rsidR="00FC7199" w:rsidRPr="00C05EB6" w:rsidRDefault="00E81198" w:rsidP="00BD7DE8">
      <w:pPr>
        <w:snapToGrid w:val="0"/>
        <w:jc w:val="center"/>
        <w:rPr>
          <w:sz w:val="20"/>
          <w:szCs w:val="20"/>
          <w:lang w:eastAsia="zh-CN" w:bidi="ar-EG"/>
        </w:rPr>
      </w:pPr>
      <w:r w:rsidRPr="00C05EB6">
        <w:rPr>
          <w:noProof/>
          <w:sz w:val="20"/>
          <w:szCs w:val="20"/>
          <w:lang w:val="en-GB" w:eastAsia="en-GB"/>
        </w:rPr>
        <w:lastRenderedPageBreak/>
        <w:drawing>
          <wp:inline distT="0" distB="0" distL="0" distR="0">
            <wp:extent cx="4826635" cy="2628900"/>
            <wp:effectExtent l="0" t="0" r="0" b="0"/>
            <wp:docPr id="9" name="图片 9"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aa"/>
                    <pic:cNvPicPr>
                      <a:picLocks noChangeAspect="1" noChangeArrowheads="1"/>
                    </pic:cNvPicPr>
                  </pic:nvPicPr>
                  <pic:blipFill>
                    <a:blip r:embed="rId23" cstate="print"/>
                    <a:srcRect l="1465" t="2010" b="6731"/>
                    <a:stretch>
                      <a:fillRect/>
                    </a:stretch>
                  </pic:blipFill>
                  <pic:spPr bwMode="auto">
                    <a:xfrm>
                      <a:off x="0" y="0"/>
                      <a:ext cx="4826635" cy="2628900"/>
                    </a:xfrm>
                    <a:prstGeom prst="rect">
                      <a:avLst/>
                    </a:prstGeom>
                    <a:noFill/>
                    <a:ln w="9525">
                      <a:noFill/>
                      <a:miter lim="800000"/>
                      <a:headEnd/>
                      <a:tailEnd/>
                    </a:ln>
                  </pic:spPr>
                </pic:pic>
              </a:graphicData>
            </a:graphic>
          </wp:inline>
        </w:drawing>
      </w:r>
    </w:p>
    <w:p w:rsidR="00BD7DE8" w:rsidRPr="00C05EB6" w:rsidRDefault="00BD7DE8" w:rsidP="00BD7DE8">
      <w:pPr>
        <w:snapToGrid w:val="0"/>
        <w:jc w:val="center"/>
        <w:rPr>
          <w:sz w:val="20"/>
          <w:szCs w:val="20"/>
          <w:lang w:eastAsia="zh-CN" w:bidi="ar-EG"/>
        </w:rPr>
      </w:pPr>
    </w:p>
    <w:p w:rsidR="00124C80" w:rsidRPr="00C05EB6" w:rsidRDefault="00E81198" w:rsidP="00BD7DE8">
      <w:pPr>
        <w:snapToGrid w:val="0"/>
        <w:jc w:val="center"/>
        <w:rPr>
          <w:sz w:val="20"/>
          <w:szCs w:val="20"/>
        </w:rPr>
      </w:pPr>
      <w:r w:rsidRPr="00C05EB6">
        <w:rPr>
          <w:noProof/>
          <w:sz w:val="20"/>
          <w:szCs w:val="20"/>
          <w:lang w:val="en-GB" w:eastAsia="en-GB"/>
        </w:rPr>
        <w:drawing>
          <wp:inline distT="0" distB="0" distL="0" distR="0">
            <wp:extent cx="5025390" cy="2152650"/>
            <wp:effectExtent l="0" t="0" r="0" b="0"/>
            <wp:docPr id="10" name="图片 10" descr="eeg-encefalopati-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eg-encefalopati-37-638"/>
                    <pic:cNvPicPr>
                      <a:picLocks noChangeAspect="1" noChangeArrowheads="1"/>
                    </pic:cNvPicPr>
                  </pic:nvPicPr>
                  <pic:blipFill>
                    <a:blip r:embed="rId24" cstate="print"/>
                    <a:srcRect/>
                    <a:stretch>
                      <a:fillRect/>
                    </a:stretch>
                  </pic:blipFill>
                  <pic:spPr bwMode="auto">
                    <a:xfrm>
                      <a:off x="0" y="0"/>
                      <a:ext cx="5025390" cy="2152650"/>
                    </a:xfrm>
                    <a:prstGeom prst="rect">
                      <a:avLst/>
                    </a:prstGeom>
                    <a:noFill/>
                    <a:ln w="9525">
                      <a:noFill/>
                      <a:miter lim="800000"/>
                      <a:headEnd/>
                      <a:tailEnd/>
                    </a:ln>
                  </pic:spPr>
                </pic:pic>
              </a:graphicData>
            </a:graphic>
          </wp:inline>
        </w:drawing>
      </w:r>
    </w:p>
    <w:p w:rsidR="00FC7199" w:rsidRPr="00C05EB6" w:rsidRDefault="00124C80" w:rsidP="005E53D1">
      <w:pPr>
        <w:snapToGrid w:val="0"/>
        <w:jc w:val="both"/>
        <w:rPr>
          <w:sz w:val="20"/>
          <w:szCs w:val="20"/>
        </w:rPr>
      </w:pPr>
      <w:r w:rsidRPr="00C05EB6">
        <w:rPr>
          <w:b/>
          <w:bCs/>
          <w:sz w:val="20"/>
          <w:szCs w:val="20"/>
        </w:rPr>
        <w:t>Figure (</w:t>
      </w:r>
      <w:r w:rsidR="005E53D1">
        <w:rPr>
          <w:b/>
          <w:bCs/>
          <w:sz w:val="20"/>
          <w:szCs w:val="20"/>
        </w:rPr>
        <w:t>9</w:t>
      </w:r>
      <w:r w:rsidRPr="00C05EB6">
        <w:rPr>
          <w:b/>
          <w:bCs/>
          <w:sz w:val="20"/>
          <w:szCs w:val="20"/>
        </w:rPr>
        <w:t>):</w:t>
      </w:r>
      <w:r w:rsidRPr="00C05EB6">
        <w:rPr>
          <w:sz w:val="20"/>
          <w:szCs w:val="20"/>
        </w:rPr>
        <w:t xml:space="preserve"> male child 3 years old presented with status epilep</w:t>
      </w:r>
      <w:r w:rsidR="00E26A41" w:rsidRPr="00C05EB6">
        <w:rPr>
          <w:sz w:val="20"/>
          <w:szCs w:val="20"/>
        </w:rPr>
        <w:t>ticus due to febrile convulsion (A), male patient 55 years old presented with hepatic encephalopathy, EEG shows triphasic waves (B).</w:t>
      </w:r>
    </w:p>
    <w:p w:rsidR="00BD7DE8" w:rsidRPr="00C05EB6" w:rsidRDefault="00BD7DE8" w:rsidP="00BD7DE8">
      <w:pPr>
        <w:snapToGrid w:val="0"/>
        <w:jc w:val="both"/>
        <w:rPr>
          <w:b/>
          <w:bCs/>
          <w:sz w:val="20"/>
          <w:szCs w:val="20"/>
        </w:rPr>
      </w:pPr>
    </w:p>
    <w:p w:rsidR="00BD7DE8" w:rsidRPr="00C05EB6" w:rsidRDefault="00BD7DE8" w:rsidP="00BD7DE8">
      <w:pPr>
        <w:snapToGrid w:val="0"/>
        <w:jc w:val="both"/>
        <w:rPr>
          <w:b/>
          <w:bCs/>
          <w:sz w:val="20"/>
          <w:szCs w:val="20"/>
        </w:rPr>
        <w:sectPr w:rsidR="00BD7DE8" w:rsidRPr="00C05EB6" w:rsidSect="007B2D11">
          <w:headerReference w:type="default" r:id="rId25"/>
          <w:footerReference w:type="default" r:id="rId26"/>
          <w:type w:val="continuous"/>
          <w:pgSz w:w="12242" w:h="15842" w:code="1"/>
          <w:pgMar w:top="1440" w:right="1440" w:bottom="1440" w:left="1440" w:header="720" w:footer="720" w:gutter="0"/>
          <w:cols w:space="720"/>
          <w:docGrid w:linePitch="360"/>
        </w:sectPr>
      </w:pPr>
    </w:p>
    <w:p w:rsidR="004E12CE" w:rsidRDefault="004E12CE" w:rsidP="00BD7DE8">
      <w:pPr>
        <w:snapToGrid w:val="0"/>
        <w:jc w:val="both"/>
        <w:rPr>
          <w:b/>
          <w:bCs/>
          <w:sz w:val="20"/>
          <w:szCs w:val="20"/>
        </w:rPr>
      </w:pPr>
    </w:p>
    <w:p w:rsidR="004E12CE" w:rsidRDefault="004E12CE" w:rsidP="00BD7DE8">
      <w:pPr>
        <w:snapToGrid w:val="0"/>
        <w:jc w:val="both"/>
        <w:rPr>
          <w:b/>
          <w:bCs/>
          <w:sz w:val="20"/>
          <w:szCs w:val="20"/>
        </w:rPr>
      </w:pPr>
    </w:p>
    <w:p w:rsidR="00C00D51" w:rsidRPr="00C05EB6" w:rsidRDefault="00FA2A7F" w:rsidP="00DC7F96">
      <w:pPr>
        <w:snapToGrid w:val="0"/>
        <w:jc w:val="both"/>
        <w:rPr>
          <w:b/>
          <w:bCs/>
          <w:sz w:val="20"/>
          <w:szCs w:val="20"/>
          <w:lang w:bidi="ar-EG"/>
        </w:rPr>
      </w:pPr>
      <w:r w:rsidRPr="00C05EB6">
        <w:rPr>
          <w:b/>
          <w:bCs/>
          <w:sz w:val="20"/>
          <w:szCs w:val="20"/>
        </w:rPr>
        <w:t>4. Discussion</w:t>
      </w:r>
    </w:p>
    <w:p w:rsidR="004E12CE" w:rsidRPr="004E12CE" w:rsidRDefault="004E12CE" w:rsidP="00F32E8A">
      <w:pPr>
        <w:ind w:firstLine="426"/>
        <w:jc w:val="lowKashida"/>
        <w:rPr>
          <w:b/>
          <w:sz w:val="20"/>
          <w:szCs w:val="20"/>
          <w:lang w:bidi="ar-EG"/>
        </w:rPr>
      </w:pPr>
      <w:r w:rsidRPr="004E12CE">
        <w:rPr>
          <w:bCs/>
          <w:sz w:val="20"/>
          <w:szCs w:val="20"/>
          <w:lang w:bidi="ar-EG"/>
        </w:rPr>
        <w:t xml:space="preserve">In the current study, it was found that SE was more common in males. This is in agreement with number of studies, notably in </w:t>
      </w:r>
      <w:r w:rsidRPr="004E12CE">
        <w:rPr>
          <w:b/>
          <w:i/>
          <w:iCs/>
          <w:sz w:val="20"/>
          <w:szCs w:val="20"/>
          <w:lang w:bidi="ar-EG"/>
        </w:rPr>
        <w:t>Koubeissi and Alshekhlee 2007</w:t>
      </w:r>
      <w:r w:rsidRPr="004E12CE">
        <w:rPr>
          <w:bCs/>
          <w:i/>
          <w:iCs/>
          <w:sz w:val="20"/>
          <w:szCs w:val="20"/>
          <w:lang w:bidi="ar-EG"/>
        </w:rPr>
        <w:t xml:space="preserve"> and in </w:t>
      </w:r>
      <w:r w:rsidRPr="004E12CE">
        <w:rPr>
          <w:bCs/>
          <w:sz w:val="20"/>
          <w:szCs w:val="20"/>
          <w:lang w:bidi="ar-EG"/>
        </w:rPr>
        <w:t xml:space="preserve">a prospective population-based study from Switzerland </w:t>
      </w:r>
      <w:r w:rsidRPr="004E12CE">
        <w:rPr>
          <w:b/>
          <w:sz w:val="20"/>
          <w:szCs w:val="20"/>
          <w:vertAlign w:val="superscript"/>
          <w:lang w:bidi="ar-EG"/>
        </w:rPr>
        <w:t>8,9</w:t>
      </w:r>
      <w:r w:rsidRPr="004E12CE">
        <w:rPr>
          <w:b/>
          <w:sz w:val="20"/>
          <w:szCs w:val="20"/>
          <w:lang w:bidi="ar-EG"/>
        </w:rPr>
        <w:t>.</w:t>
      </w:r>
    </w:p>
    <w:p w:rsidR="004E12CE" w:rsidRPr="004E12CE" w:rsidRDefault="004E12CE" w:rsidP="00F32E8A">
      <w:pPr>
        <w:ind w:firstLine="426"/>
        <w:jc w:val="lowKashida"/>
        <w:rPr>
          <w:bCs/>
          <w:sz w:val="20"/>
          <w:szCs w:val="20"/>
          <w:lang w:bidi="ar-EG"/>
        </w:rPr>
      </w:pPr>
      <w:r w:rsidRPr="004E12CE">
        <w:rPr>
          <w:bCs/>
          <w:sz w:val="20"/>
          <w:szCs w:val="20"/>
          <w:lang w:bidi="ar-EG"/>
        </w:rPr>
        <w:t xml:space="preserve"> In the study of </w:t>
      </w:r>
      <w:r w:rsidRPr="004E12CE">
        <w:rPr>
          <w:b/>
          <w:i/>
          <w:iCs/>
          <w:sz w:val="20"/>
          <w:szCs w:val="20"/>
          <w:lang w:bidi="ar-EG"/>
        </w:rPr>
        <w:t>Coeyetaux et al. 2000</w:t>
      </w:r>
      <w:r w:rsidRPr="004E12CE">
        <w:rPr>
          <w:bCs/>
          <w:sz w:val="20"/>
          <w:szCs w:val="20"/>
          <w:lang w:bidi="ar-EG"/>
        </w:rPr>
        <w:t xml:space="preserve">from Switzerland, the age-adjusted rate for status epilepticus was 7.8/100,000 for females and 12.1/100,000 for males. That the greater incidence of status epilepticus in men could be partially explained by (1) the fact that men are at greater risk of acute symptomatic and remote symptomatic insults (cerebrovascular disease, head trauma, alcoholism, CNS infections) than women </w:t>
      </w:r>
      <w:r w:rsidRPr="004E12CE">
        <w:rPr>
          <w:b/>
          <w:i/>
          <w:iCs/>
          <w:sz w:val="20"/>
          <w:szCs w:val="20"/>
          <w:vertAlign w:val="superscript"/>
          <w:lang w:bidi="ar-EG"/>
        </w:rPr>
        <w:t>10,11</w:t>
      </w:r>
      <w:r w:rsidRPr="004E12CE">
        <w:rPr>
          <w:b/>
          <w:i/>
          <w:iCs/>
          <w:sz w:val="20"/>
          <w:szCs w:val="20"/>
        </w:rPr>
        <w:t xml:space="preserve">. </w:t>
      </w:r>
      <w:r w:rsidRPr="004E12CE">
        <w:rPr>
          <w:bCs/>
          <w:sz w:val="20"/>
          <w:szCs w:val="20"/>
          <w:lang w:bidi="ar-EG"/>
        </w:rPr>
        <w:t xml:space="preserve">(2) The gender difference in seizure threshold possibly mediated by the GABA-sensitive substantia nigra, which is under </w:t>
      </w:r>
      <w:r w:rsidRPr="004E12CE">
        <w:rPr>
          <w:bCs/>
          <w:sz w:val="20"/>
          <w:szCs w:val="20"/>
          <w:lang w:bidi="ar-EG"/>
        </w:rPr>
        <w:lastRenderedPageBreak/>
        <w:t xml:space="preserve">the influence of sex hormones, and which may be involved in the expression of seizures. </w:t>
      </w:r>
    </w:p>
    <w:p w:rsidR="004E12CE" w:rsidRPr="004E12CE" w:rsidRDefault="004E12CE" w:rsidP="00F32E8A">
      <w:pPr>
        <w:ind w:firstLine="426"/>
        <w:jc w:val="lowKashida"/>
        <w:rPr>
          <w:bCs/>
          <w:sz w:val="20"/>
          <w:szCs w:val="20"/>
          <w:lang w:bidi="ar-EG"/>
        </w:rPr>
      </w:pPr>
      <w:r w:rsidRPr="004E12CE">
        <w:rPr>
          <w:bCs/>
          <w:sz w:val="20"/>
          <w:szCs w:val="20"/>
          <w:lang w:bidi="ar-EG"/>
        </w:rPr>
        <w:t xml:space="preserve">Mean age in the present study was 34.99 ± 19.17 but in a large US study done by </w:t>
      </w:r>
      <w:r w:rsidRPr="004E12CE">
        <w:rPr>
          <w:b/>
          <w:bCs/>
          <w:i/>
          <w:iCs/>
          <w:sz w:val="20"/>
          <w:szCs w:val="20"/>
          <w:lang w:bidi="ar-EG"/>
        </w:rPr>
        <w:t xml:space="preserve">Koubeissi and Alshekhlee 2007, </w:t>
      </w:r>
      <w:r w:rsidRPr="004E12CE">
        <w:rPr>
          <w:bCs/>
          <w:sz w:val="20"/>
          <w:szCs w:val="20"/>
          <w:lang w:bidi="ar-EG"/>
        </w:rPr>
        <w:t xml:space="preserve">they found that mean age was 39 ± 25.6 years </w:t>
      </w:r>
      <w:r w:rsidRPr="004E12CE">
        <w:rPr>
          <w:b/>
          <w:i/>
          <w:iCs/>
          <w:sz w:val="20"/>
          <w:szCs w:val="20"/>
          <w:vertAlign w:val="superscript"/>
          <w:lang w:bidi="ar-EG"/>
        </w:rPr>
        <w:t>8</w:t>
      </w:r>
      <w:r w:rsidRPr="004E12CE">
        <w:rPr>
          <w:bCs/>
          <w:sz w:val="20"/>
          <w:szCs w:val="20"/>
          <w:lang w:bidi="ar-EG"/>
        </w:rPr>
        <w:t>.</w:t>
      </w:r>
    </w:p>
    <w:p w:rsidR="004E12CE" w:rsidRPr="004E12CE" w:rsidRDefault="004E12CE" w:rsidP="00F32E8A">
      <w:pPr>
        <w:ind w:firstLine="426"/>
        <w:jc w:val="both"/>
        <w:rPr>
          <w:bCs/>
          <w:sz w:val="20"/>
          <w:szCs w:val="20"/>
          <w:lang w:bidi="ar-EG"/>
        </w:rPr>
      </w:pPr>
      <w:r w:rsidRPr="004E12CE">
        <w:rPr>
          <w:bCs/>
          <w:sz w:val="20"/>
          <w:szCs w:val="20"/>
          <w:lang w:bidi="ar-EG"/>
        </w:rPr>
        <w:t xml:space="preserve">In the current study, the incidence rate of SE was higher in urban areas going with </w:t>
      </w:r>
      <w:r w:rsidRPr="004E12CE">
        <w:rPr>
          <w:b/>
          <w:bCs/>
          <w:i/>
          <w:iCs/>
          <w:sz w:val="20"/>
          <w:szCs w:val="20"/>
          <w:lang w:bidi="ar-EG"/>
        </w:rPr>
        <w:t>Coeytaux et al.,2000</w:t>
      </w:r>
      <w:r w:rsidRPr="004E12CE">
        <w:rPr>
          <w:bCs/>
          <w:sz w:val="20"/>
          <w:szCs w:val="20"/>
          <w:lang w:bidi="ar-EG"/>
        </w:rPr>
        <w:t xml:space="preserve">. We noticed that the urban recruitment was higher than rural recruitment because Al-Azhar university hospitals serve urban areas and the cost of transference from rural areas are high and consume a lot of time that can be used for urgent treatment of SE in nearby hospitals </w:t>
      </w:r>
      <w:r w:rsidRPr="004E12CE">
        <w:rPr>
          <w:b/>
          <w:i/>
          <w:iCs/>
          <w:sz w:val="20"/>
          <w:szCs w:val="20"/>
          <w:vertAlign w:val="superscript"/>
          <w:lang w:bidi="ar-EG"/>
        </w:rPr>
        <w:t>10</w:t>
      </w:r>
      <w:r w:rsidRPr="004E12CE">
        <w:rPr>
          <w:bCs/>
          <w:sz w:val="20"/>
          <w:szCs w:val="20"/>
          <w:lang w:bidi="ar-EG"/>
        </w:rPr>
        <w:t xml:space="preserve">.  </w:t>
      </w:r>
    </w:p>
    <w:p w:rsidR="004E12CE" w:rsidRPr="004E12CE" w:rsidRDefault="004E12CE" w:rsidP="00F32E8A">
      <w:pPr>
        <w:ind w:firstLine="426"/>
        <w:jc w:val="both"/>
        <w:rPr>
          <w:bCs/>
          <w:sz w:val="20"/>
          <w:szCs w:val="20"/>
          <w:lang w:bidi="ar-EG"/>
        </w:rPr>
      </w:pPr>
      <w:r w:rsidRPr="004E12CE">
        <w:rPr>
          <w:bCs/>
          <w:sz w:val="20"/>
          <w:szCs w:val="20"/>
          <w:lang w:bidi="ar-EG"/>
        </w:rPr>
        <w:t xml:space="preserve">There was significant difference between epileptic and non-epileptic patients as regard marital history as we found that 17 (73.9%) of epileptic patients weren’t married (P-value&lt;0.05) and this may suggest a relation between marital history and poor </w:t>
      </w:r>
      <w:r w:rsidRPr="004E12CE">
        <w:rPr>
          <w:bCs/>
          <w:sz w:val="20"/>
          <w:szCs w:val="20"/>
          <w:lang w:bidi="ar-EG"/>
        </w:rPr>
        <w:lastRenderedPageBreak/>
        <w:t xml:space="preserve">compliance in development of SE in epileptic patients. According to </w:t>
      </w:r>
      <w:r w:rsidRPr="004E12CE">
        <w:rPr>
          <w:b/>
          <w:bCs/>
          <w:i/>
          <w:iCs/>
          <w:sz w:val="20"/>
          <w:szCs w:val="20"/>
          <w:lang w:bidi="ar-EG"/>
        </w:rPr>
        <w:t>Choi et al., 2003,</w:t>
      </w:r>
      <w:r w:rsidRPr="004E12CE">
        <w:rPr>
          <w:bCs/>
          <w:sz w:val="20"/>
          <w:szCs w:val="20"/>
          <w:lang w:bidi="ar-EG"/>
        </w:rPr>
        <w:t xml:space="preserve"> they found that social and family life dissatisfaction affect compliance of drugs. Also they can explain the incidence of marital state by those people consider that epilepsy is an inherited disorder and that marriage with those patients should be avoided. In addition, they consider epilepsy as an untreatable disease </w:t>
      </w:r>
      <w:r w:rsidRPr="004E12CE">
        <w:rPr>
          <w:b/>
          <w:i/>
          <w:iCs/>
          <w:sz w:val="20"/>
          <w:szCs w:val="20"/>
          <w:vertAlign w:val="superscript"/>
          <w:lang w:bidi="ar-EG"/>
        </w:rPr>
        <w:t>12</w:t>
      </w:r>
      <w:r w:rsidRPr="004E12CE">
        <w:rPr>
          <w:bCs/>
          <w:sz w:val="20"/>
          <w:szCs w:val="20"/>
          <w:lang w:bidi="ar-EG"/>
        </w:rPr>
        <w:t>.</w:t>
      </w:r>
    </w:p>
    <w:p w:rsidR="004E12CE" w:rsidRPr="004E12CE" w:rsidRDefault="004E12CE" w:rsidP="00F32E8A">
      <w:pPr>
        <w:ind w:firstLine="426"/>
        <w:jc w:val="lowKashida"/>
        <w:rPr>
          <w:bCs/>
          <w:sz w:val="20"/>
          <w:szCs w:val="20"/>
          <w:lang w:bidi="ar-EG"/>
        </w:rPr>
      </w:pPr>
      <w:r w:rsidRPr="004E12CE">
        <w:rPr>
          <w:sz w:val="20"/>
          <w:szCs w:val="20"/>
          <w:lang w:bidi="ar-EG"/>
        </w:rPr>
        <w:t>In the current study, as regarding causes of SE, 13 (32.5%) patients had idiopathic cause and it is the most common cause, 10 (25.0%) had vascular causes. Six (15.0%) had CNS infection, 4 (10.0%) had metabolic &amp; electrolyte disturbance, 3(7.50%) had brain tumor, 2(5.0%) had febrile convulsion and 2(5.0%) had traumatic brain injury. As regarding trigger factors for developing SE, 15 (37.50%) patients had poor compliance and it was the commonest trigger factor</w:t>
      </w:r>
      <w:r w:rsidRPr="004E12CE">
        <w:rPr>
          <w:bCs/>
          <w:sz w:val="20"/>
          <w:szCs w:val="20"/>
          <w:lang w:bidi="ar-EG"/>
        </w:rPr>
        <w:t xml:space="preserve">. But this is not going with </w:t>
      </w:r>
      <w:r w:rsidRPr="004E12CE">
        <w:rPr>
          <w:b/>
          <w:bCs/>
          <w:i/>
          <w:iCs/>
          <w:sz w:val="20"/>
          <w:szCs w:val="20"/>
          <w:lang w:bidi="ar-EG"/>
        </w:rPr>
        <w:t>Hui et al., 2003 ,</w:t>
      </w:r>
      <w:r w:rsidRPr="004E12CE">
        <w:rPr>
          <w:b/>
          <w:i/>
          <w:iCs/>
          <w:sz w:val="20"/>
          <w:szCs w:val="20"/>
          <w:lang w:bidi="ar-EG"/>
        </w:rPr>
        <w:t xml:space="preserve"> Vignatelli et al., 2003</w:t>
      </w:r>
      <w:r w:rsidRPr="004E12CE">
        <w:rPr>
          <w:bCs/>
          <w:sz w:val="20"/>
          <w:szCs w:val="20"/>
          <w:lang w:bidi="ar-EG"/>
        </w:rPr>
        <w:t xml:space="preserve">, </w:t>
      </w:r>
      <w:r w:rsidRPr="004E12CE">
        <w:rPr>
          <w:b/>
          <w:i/>
          <w:iCs/>
          <w:sz w:val="20"/>
          <w:szCs w:val="20"/>
          <w:lang w:bidi="ar-EG"/>
        </w:rPr>
        <w:t>Vignatelli et al., 2005</w:t>
      </w:r>
      <w:r w:rsidRPr="004E12CE">
        <w:rPr>
          <w:sz w:val="20"/>
          <w:szCs w:val="20"/>
          <w:lang w:bidi="ar-EG"/>
        </w:rPr>
        <w:t>,</w:t>
      </w:r>
      <w:r w:rsidRPr="004E12CE">
        <w:rPr>
          <w:b/>
          <w:bCs/>
          <w:i/>
          <w:iCs/>
          <w:sz w:val="20"/>
          <w:szCs w:val="20"/>
          <w:lang w:bidi="ar-EG"/>
        </w:rPr>
        <w:t>Koubeissi and Alshekhlee 2007,</w:t>
      </w:r>
      <w:r w:rsidRPr="004E12CE">
        <w:rPr>
          <w:b/>
          <w:i/>
          <w:iCs/>
          <w:sz w:val="20"/>
          <w:szCs w:val="20"/>
          <w:lang w:bidi="ar-EG"/>
        </w:rPr>
        <w:t xml:space="preserve"> Canouï Poitrine et al., 2011, Sánchez</w:t>
      </w:r>
      <w:r w:rsidRPr="004E12CE">
        <w:rPr>
          <w:b/>
          <w:bCs/>
          <w:i/>
          <w:iCs/>
          <w:sz w:val="20"/>
          <w:szCs w:val="20"/>
          <w:lang w:bidi="ar-EG"/>
        </w:rPr>
        <w:t xml:space="preserve"> and Rincon 2016 </w:t>
      </w:r>
      <w:r w:rsidRPr="004E12CE">
        <w:rPr>
          <w:sz w:val="20"/>
          <w:szCs w:val="20"/>
          <w:lang w:bidi="ar-EG"/>
        </w:rPr>
        <w:t>they</w:t>
      </w:r>
      <w:r w:rsidRPr="004E12CE">
        <w:rPr>
          <w:bCs/>
          <w:sz w:val="20"/>
          <w:szCs w:val="20"/>
          <w:lang w:bidi="ar-EG"/>
        </w:rPr>
        <w:t xml:space="preserve"> found that major etiologies of SE were cerebro-vascular events, withdrawal or changes in AEDs, as well as remote symptomatic epilepsy. The differences in their results may be due to availability of AED and health awareness of epilepsy and SE in developed countries play an important role in drug compliance, so epileptic patients are less vulnerable to develop SE and other causes are more common to produce SE </w:t>
      </w:r>
      <w:r w:rsidRPr="004E12CE">
        <w:rPr>
          <w:b/>
          <w:i/>
          <w:iCs/>
          <w:sz w:val="20"/>
          <w:szCs w:val="20"/>
          <w:vertAlign w:val="superscript"/>
          <w:lang w:bidi="ar-EG"/>
        </w:rPr>
        <w:t>13,14,15,8,16,17</w:t>
      </w:r>
      <w:r w:rsidRPr="004E12CE">
        <w:rPr>
          <w:bCs/>
          <w:sz w:val="20"/>
          <w:szCs w:val="20"/>
          <w:lang w:bidi="ar-EG"/>
        </w:rPr>
        <w:t>.</w:t>
      </w:r>
    </w:p>
    <w:p w:rsidR="004E12CE" w:rsidRPr="004E12CE" w:rsidRDefault="004E12CE" w:rsidP="00F32E8A">
      <w:pPr>
        <w:ind w:firstLine="426"/>
        <w:jc w:val="lowKashida"/>
        <w:rPr>
          <w:bCs/>
          <w:sz w:val="20"/>
          <w:szCs w:val="20"/>
          <w:rtl/>
          <w:lang w:bidi="ar-EG"/>
        </w:rPr>
      </w:pPr>
      <w:r w:rsidRPr="004E12CE">
        <w:rPr>
          <w:bCs/>
          <w:sz w:val="20"/>
          <w:szCs w:val="20"/>
          <w:lang w:bidi="ar-EG"/>
        </w:rPr>
        <w:t xml:space="preserve"> In the current study, as regarding causes of SE, the results are going with a prospective study in Sao Paolo, Brazil, recollected data from 102 patients with SE admitted to a local hospital emergency department. Patients were subdivided into two groups: A, consisting of epileptic patients, and B, individuals with no previous history of epilepsy. In Group A, the main causes of SE were non-compliance with AEDs (31.8%) and undetermined etiology (39%) (p &lt; 0.05). In Group B, three etiologies predominated: CNS infection (26.6%), stroke (24.4%) and metabolic disturbances (17.7%) (p &lt; 0.05) </w:t>
      </w:r>
      <w:r w:rsidRPr="004E12CE">
        <w:rPr>
          <w:b/>
          <w:i/>
          <w:iCs/>
          <w:sz w:val="20"/>
          <w:szCs w:val="20"/>
          <w:vertAlign w:val="superscript"/>
          <w:lang w:bidi="ar-EG"/>
        </w:rPr>
        <w:t>18</w:t>
      </w:r>
      <w:r w:rsidRPr="004E12CE">
        <w:rPr>
          <w:bCs/>
          <w:sz w:val="20"/>
          <w:szCs w:val="20"/>
          <w:lang w:bidi="ar-EG"/>
        </w:rPr>
        <w:t>,</w:t>
      </w:r>
      <w:r w:rsidRPr="004E12CE">
        <w:rPr>
          <w:sz w:val="20"/>
          <w:szCs w:val="20"/>
          <w:lang w:bidi="ar-EG"/>
        </w:rPr>
        <w:t xml:space="preserve"> and </w:t>
      </w:r>
      <w:r w:rsidRPr="004E12CE">
        <w:rPr>
          <w:bCs/>
          <w:sz w:val="20"/>
          <w:szCs w:val="20"/>
          <w:lang w:bidi="ar-EG"/>
        </w:rPr>
        <w:t xml:space="preserve">other studies from Central and South America </w:t>
      </w:r>
      <w:r w:rsidRPr="004E12CE">
        <w:rPr>
          <w:b/>
          <w:i/>
          <w:iCs/>
          <w:sz w:val="20"/>
          <w:szCs w:val="20"/>
          <w:vertAlign w:val="superscript"/>
          <w:lang w:bidi="ar-EG"/>
        </w:rPr>
        <w:t>19</w:t>
      </w:r>
      <w:r w:rsidRPr="004E12CE">
        <w:rPr>
          <w:b/>
          <w:i/>
          <w:iCs/>
          <w:sz w:val="20"/>
          <w:szCs w:val="20"/>
          <w:lang w:bidi="ar-EG"/>
        </w:rPr>
        <w:t>.</w:t>
      </w:r>
      <w:r w:rsidRPr="004E12CE">
        <w:rPr>
          <w:b/>
          <w:bCs/>
          <w:i/>
          <w:iCs/>
          <w:sz w:val="20"/>
          <w:szCs w:val="20"/>
          <w:lang w:bidi="ar-EG"/>
        </w:rPr>
        <w:t>Sadarangani et al., 2008</w:t>
      </w:r>
      <w:r w:rsidRPr="004E12CE">
        <w:rPr>
          <w:bCs/>
          <w:sz w:val="20"/>
          <w:szCs w:val="20"/>
          <w:lang w:bidi="ar-EG"/>
        </w:rPr>
        <w:t xml:space="preserve"> reported in their cohort study of Kenyan children, found that 71% of SE cases had an infectious cause, 53% attributed to malaria. Likewise </w:t>
      </w:r>
      <w:r w:rsidRPr="004E12CE">
        <w:rPr>
          <w:b/>
          <w:i/>
          <w:iCs/>
          <w:sz w:val="20"/>
          <w:szCs w:val="20"/>
          <w:vertAlign w:val="superscript"/>
          <w:lang w:bidi="ar-EG"/>
        </w:rPr>
        <w:t>20</w:t>
      </w:r>
      <w:r w:rsidRPr="004E12CE">
        <w:rPr>
          <w:bCs/>
          <w:sz w:val="20"/>
          <w:szCs w:val="20"/>
          <w:lang w:bidi="ar-EG"/>
        </w:rPr>
        <w:t xml:space="preserve">, </w:t>
      </w:r>
      <w:r w:rsidRPr="004E12CE">
        <w:rPr>
          <w:b/>
          <w:bCs/>
          <w:i/>
          <w:iCs/>
          <w:sz w:val="20"/>
          <w:szCs w:val="20"/>
          <w:lang w:bidi="ar-EG"/>
        </w:rPr>
        <w:t>Amare et al. 2008</w:t>
      </w:r>
      <w:r w:rsidRPr="004E12CE">
        <w:rPr>
          <w:bCs/>
          <w:sz w:val="20"/>
          <w:szCs w:val="20"/>
          <w:lang w:bidi="ar-EG"/>
        </w:rPr>
        <w:t xml:space="preserve"> described CNS infections as the primary source of SE episodes in 119 Ethiopian patients aged 13 or older. The specific etiologies for these CNS infections were cerebral toxoplasmosis and meningitis </w:t>
      </w:r>
      <w:r w:rsidRPr="004E12CE">
        <w:rPr>
          <w:b/>
          <w:i/>
          <w:iCs/>
          <w:sz w:val="20"/>
          <w:szCs w:val="20"/>
          <w:vertAlign w:val="superscript"/>
          <w:lang w:bidi="ar-EG"/>
        </w:rPr>
        <w:t>21</w:t>
      </w:r>
      <w:r w:rsidRPr="004E12CE">
        <w:rPr>
          <w:bCs/>
          <w:sz w:val="20"/>
          <w:szCs w:val="20"/>
          <w:lang w:bidi="ar-EG"/>
        </w:rPr>
        <w:t xml:space="preserve"> . </w:t>
      </w:r>
    </w:p>
    <w:p w:rsidR="004E12CE" w:rsidRPr="004E12CE" w:rsidRDefault="004E12CE" w:rsidP="00F32E8A">
      <w:pPr>
        <w:ind w:firstLine="426"/>
        <w:jc w:val="lowKashida"/>
        <w:rPr>
          <w:sz w:val="20"/>
          <w:szCs w:val="20"/>
        </w:rPr>
      </w:pPr>
      <w:r w:rsidRPr="004E12CE">
        <w:rPr>
          <w:sz w:val="20"/>
          <w:szCs w:val="20"/>
        </w:rPr>
        <w:t xml:space="preserve">These results can be explained by the patients with status epilepticus in developing countries encounter several significant barriers to adequate treatment. These include poor health care infrastructure, nonavailability of injectable </w:t>
      </w:r>
      <w:r w:rsidRPr="004E12CE">
        <w:rPr>
          <w:sz w:val="20"/>
          <w:szCs w:val="20"/>
        </w:rPr>
        <w:lastRenderedPageBreak/>
        <w:t xml:space="preserve">formulations of antiepileptic drugs, and lack of personnel with neurologic expertise who can recognize and appropriately treat patients with status epilepticus. In spite of these limitations, the mortality related to status epilepticus is quite comparable to that reported in developed countries. </w:t>
      </w:r>
    </w:p>
    <w:p w:rsidR="004E12CE" w:rsidRPr="004E12CE" w:rsidRDefault="004E12CE" w:rsidP="00F32E8A">
      <w:pPr>
        <w:ind w:firstLine="426"/>
        <w:jc w:val="lowKashida"/>
        <w:rPr>
          <w:bCs/>
          <w:sz w:val="20"/>
          <w:szCs w:val="20"/>
          <w:lang w:bidi="ar-EG"/>
        </w:rPr>
      </w:pPr>
      <w:r w:rsidRPr="004E12CE">
        <w:rPr>
          <w:b/>
          <w:bCs/>
          <w:i/>
          <w:iCs/>
          <w:sz w:val="20"/>
          <w:szCs w:val="20"/>
          <w:lang w:bidi="ar-EG"/>
        </w:rPr>
        <w:t>Rossetti et al. 2006</w:t>
      </w:r>
      <w:r w:rsidRPr="004E12CE">
        <w:rPr>
          <w:bCs/>
          <w:sz w:val="20"/>
          <w:szCs w:val="20"/>
          <w:lang w:bidi="ar-EG"/>
        </w:rPr>
        <w:t xml:space="preserve"> reported that etiology has repeatedly been proven to be the major determinant of SE outcome. In the present series, idiopathic/cryptogenic etiological group carried the best results towards good neurological and functional outcome </w:t>
      </w:r>
      <w:r w:rsidRPr="004E12CE">
        <w:rPr>
          <w:b/>
          <w:i/>
          <w:iCs/>
          <w:sz w:val="20"/>
          <w:szCs w:val="20"/>
          <w:vertAlign w:val="superscript"/>
          <w:lang w:bidi="ar-EG"/>
        </w:rPr>
        <w:t>22</w:t>
      </w:r>
      <w:r w:rsidRPr="004E12CE">
        <w:rPr>
          <w:bCs/>
          <w:sz w:val="20"/>
          <w:szCs w:val="20"/>
          <w:lang w:bidi="ar-EG"/>
        </w:rPr>
        <w:t xml:space="preserve">. A study reported by </w:t>
      </w:r>
      <w:r w:rsidRPr="004E12CE">
        <w:rPr>
          <w:b/>
          <w:bCs/>
          <w:i/>
          <w:iCs/>
          <w:sz w:val="20"/>
          <w:szCs w:val="20"/>
          <w:lang w:bidi="ar-EG"/>
        </w:rPr>
        <w:t>Amare et al 2008</w:t>
      </w:r>
      <w:r w:rsidRPr="004E12CE">
        <w:rPr>
          <w:bCs/>
          <w:sz w:val="20"/>
          <w:szCs w:val="20"/>
          <w:lang w:bidi="ar-EG"/>
        </w:rPr>
        <w:t xml:space="preserve">   supported the current data. Idiopathic group almost always includes non-evident etiologically fatal causes and mostly comprises patients non-compliant on antiepileptic drugs which has been suggested to carry excellent outcome.</w:t>
      </w:r>
    </w:p>
    <w:p w:rsidR="004E12CE" w:rsidRPr="004E12CE" w:rsidRDefault="004E12CE" w:rsidP="00F32E8A">
      <w:pPr>
        <w:ind w:firstLine="426"/>
        <w:jc w:val="lowKashida"/>
        <w:rPr>
          <w:bCs/>
          <w:sz w:val="20"/>
          <w:szCs w:val="20"/>
          <w:lang w:bidi="ar-EG"/>
        </w:rPr>
      </w:pPr>
      <w:r w:rsidRPr="004E12CE">
        <w:rPr>
          <w:bCs/>
          <w:sz w:val="20"/>
          <w:szCs w:val="20"/>
          <w:lang w:bidi="ar-EG"/>
        </w:rPr>
        <w:t xml:space="preserve">In the current study, no significance association between sex, age marital history drug abuse, sexual relations, income, type of SE and outcome of SE, and this is in agreement with </w:t>
      </w:r>
      <w:r w:rsidRPr="004E12CE">
        <w:rPr>
          <w:b/>
          <w:bCs/>
          <w:i/>
          <w:iCs/>
          <w:sz w:val="20"/>
          <w:szCs w:val="20"/>
          <w:lang w:bidi="ar-EG"/>
        </w:rPr>
        <w:t xml:space="preserve">Moghaddasi et al., 2015 </w:t>
      </w:r>
      <w:r w:rsidRPr="004E12CE">
        <w:rPr>
          <w:bCs/>
          <w:sz w:val="20"/>
          <w:szCs w:val="20"/>
          <w:lang w:bidi="ar-EG"/>
        </w:rPr>
        <w:t xml:space="preserve">cleared that </w:t>
      </w:r>
      <w:r w:rsidRPr="004E12CE">
        <w:rPr>
          <w:sz w:val="20"/>
          <w:szCs w:val="20"/>
          <w:lang w:bidi="ar-EG"/>
        </w:rPr>
        <w:t>age</w:t>
      </w:r>
      <w:r w:rsidRPr="004E12CE">
        <w:rPr>
          <w:bCs/>
          <w:sz w:val="20"/>
          <w:szCs w:val="20"/>
          <w:lang w:bidi="ar-EG"/>
        </w:rPr>
        <w:t xml:space="preserve">, sex were not associated with mortality </w:t>
      </w:r>
      <w:r w:rsidRPr="004E12CE">
        <w:rPr>
          <w:b/>
          <w:i/>
          <w:iCs/>
          <w:sz w:val="20"/>
          <w:szCs w:val="20"/>
          <w:vertAlign w:val="superscript"/>
          <w:lang w:bidi="ar-EG"/>
        </w:rPr>
        <w:t>23</w:t>
      </w:r>
      <w:r w:rsidRPr="004E12CE">
        <w:rPr>
          <w:bCs/>
          <w:sz w:val="20"/>
          <w:szCs w:val="20"/>
          <w:lang w:bidi="ar-EG"/>
        </w:rPr>
        <w:t>.</w:t>
      </w:r>
    </w:p>
    <w:p w:rsidR="004E12CE" w:rsidRPr="004E12CE" w:rsidRDefault="004E12CE" w:rsidP="00F32E8A">
      <w:pPr>
        <w:ind w:firstLine="426"/>
        <w:jc w:val="both"/>
        <w:rPr>
          <w:bCs/>
          <w:sz w:val="20"/>
          <w:szCs w:val="20"/>
          <w:lang w:bidi="ar-EG"/>
        </w:rPr>
      </w:pPr>
      <w:r w:rsidRPr="004E12CE">
        <w:rPr>
          <w:bCs/>
          <w:sz w:val="20"/>
          <w:szCs w:val="20"/>
          <w:lang w:bidi="ar-EG"/>
        </w:rPr>
        <w:t xml:space="preserve">In the present study, poor outcome was significant associated with symptomatic SE, vascular and traumatic brain injury cause death while CNS infection associated with disability in agreement with </w:t>
      </w:r>
      <w:r w:rsidRPr="004E12CE">
        <w:rPr>
          <w:b/>
          <w:bCs/>
          <w:i/>
          <w:iCs/>
          <w:sz w:val="20"/>
          <w:szCs w:val="20"/>
          <w:lang w:bidi="ar-EG"/>
        </w:rPr>
        <w:t>Joyalakshmi et al. 2014; Kang et al. 2014; Kumar et al. 2014</w:t>
      </w:r>
      <w:r w:rsidRPr="004E12CE">
        <w:rPr>
          <w:b/>
          <w:bCs/>
          <w:sz w:val="20"/>
          <w:szCs w:val="20"/>
          <w:lang w:bidi="ar-EG"/>
        </w:rPr>
        <w:t>,</w:t>
      </w:r>
      <w:r w:rsidRPr="004E12CE">
        <w:rPr>
          <w:b/>
          <w:bCs/>
          <w:i/>
          <w:iCs/>
          <w:sz w:val="20"/>
          <w:szCs w:val="20"/>
          <w:lang w:bidi="ar-EG"/>
        </w:rPr>
        <w:t xml:space="preserve"> Vooturi et al., 2014and Tsetsou et al. 2015, </w:t>
      </w:r>
      <w:r w:rsidRPr="004E12CE">
        <w:rPr>
          <w:sz w:val="20"/>
          <w:szCs w:val="20"/>
          <w:lang w:bidi="ar-EG"/>
        </w:rPr>
        <w:t>they</w:t>
      </w:r>
      <w:r w:rsidRPr="004E12CE">
        <w:rPr>
          <w:bCs/>
          <w:sz w:val="20"/>
          <w:szCs w:val="20"/>
          <w:lang w:bidi="ar-EG"/>
        </w:rPr>
        <w:t xml:space="preserve">showed thatpoor SE outcome associated with encephalitis and stroke being the most frequent causes and according to </w:t>
      </w:r>
      <w:r w:rsidRPr="004E12CE">
        <w:rPr>
          <w:b/>
          <w:bCs/>
          <w:i/>
          <w:iCs/>
          <w:sz w:val="20"/>
          <w:szCs w:val="20"/>
          <w:lang w:bidi="ar-EG"/>
        </w:rPr>
        <w:t>Dhakar et al. 2015</w:t>
      </w:r>
      <w:r w:rsidRPr="004E12CE">
        <w:rPr>
          <w:bCs/>
          <w:sz w:val="20"/>
          <w:szCs w:val="20"/>
          <w:lang w:bidi="ar-EG"/>
        </w:rPr>
        <w:t xml:space="preserve">,  reported that  generalized convulsive SE (GCSE) in traumatic brain injury (TBI) patients was associated with worse outcome.These results can be explained by certain etiologies might be a direct determinant of the natural duration of SE and influence the relative resistance of status epilepticus to treatment </w:t>
      </w:r>
      <w:r w:rsidRPr="004E12CE">
        <w:rPr>
          <w:b/>
          <w:i/>
          <w:iCs/>
          <w:sz w:val="20"/>
          <w:szCs w:val="20"/>
          <w:vertAlign w:val="superscript"/>
          <w:lang w:bidi="ar-EG"/>
        </w:rPr>
        <w:t>24,25,26,27,1,28</w:t>
      </w:r>
      <w:r w:rsidRPr="004E12CE">
        <w:rPr>
          <w:bCs/>
          <w:sz w:val="20"/>
          <w:szCs w:val="20"/>
          <w:lang w:bidi="ar-EG"/>
        </w:rPr>
        <w:t>.</w:t>
      </w:r>
    </w:p>
    <w:p w:rsidR="004E12CE" w:rsidRPr="004E12CE" w:rsidRDefault="004E12CE" w:rsidP="00F32E8A">
      <w:pPr>
        <w:ind w:firstLine="426"/>
        <w:jc w:val="lowKashida"/>
        <w:rPr>
          <w:bCs/>
          <w:sz w:val="20"/>
          <w:szCs w:val="20"/>
          <w:lang w:bidi="ar-EG"/>
        </w:rPr>
      </w:pPr>
      <w:r w:rsidRPr="004E12CE">
        <w:rPr>
          <w:bCs/>
          <w:sz w:val="20"/>
          <w:szCs w:val="20"/>
          <w:lang w:bidi="ar-EG"/>
        </w:rPr>
        <w:t xml:space="preserve">In the present study, epileptic patients who developed SE had good outcome, this is in agreement with </w:t>
      </w:r>
      <w:r w:rsidRPr="004E12CE">
        <w:rPr>
          <w:b/>
          <w:bCs/>
          <w:i/>
          <w:iCs/>
          <w:sz w:val="20"/>
          <w:szCs w:val="20"/>
          <w:lang w:bidi="ar-EG"/>
        </w:rPr>
        <w:t xml:space="preserve">Moghaddasi et al. 2015, </w:t>
      </w:r>
      <w:r w:rsidRPr="004E12CE">
        <w:rPr>
          <w:sz w:val="20"/>
          <w:szCs w:val="20"/>
          <w:lang w:bidi="ar-EG"/>
        </w:rPr>
        <w:t>they</w:t>
      </w:r>
      <w:r w:rsidRPr="004E12CE">
        <w:rPr>
          <w:bCs/>
          <w:sz w:val="20"/>
          <w:szCs w:val="20"/>
          <w:lang w:bidi="ar-EG"/>
        </w:rPr>
        <w:t xml:space="preserve"> cleared that those with negative history of epilepsy had higher mortality rate.  Furthermore, from another aspect they found that patients with negative history of epilepsy had significant higher mortality rate that may be explained by refractory SE and its sequelae are may be because of an underlying cause </w:t>
      </w:r>
      <w:r w:rsidRPr="004E12CE">
        <w:rPr>
          <w:b/>
          <w:i/>
          <w:iCs/>
          <w:sz w:val="20"/>
          <w:szCs w:val="20"/>
          <w:vertAlign w:val="superscript"/>
          <w:lang w:bidi="ar-EG"/>
        </w:rPr>
        <w:t>23</w:t>
      </w:r>
      <w:r w:rsidRPr="004E12CE">
        <w:rPr>
          <w:bCs/>
          <w:sz w:val="20"/>
          <w:szCs w:val="20"/>
          <w:lang w:bidi="ar-EG"/>
        </w:rPr>
        <w:t xml:space="preserve">. </w:t>
      </w:r>
    </w:p>
    <w:p w:rsidR="004E12CE" w:rsidRPr="004E12CE" w:rsidRDefault="004E12CE" w:rsidP="00F32E8A">
      <w:pPr>
        <w:ind w:firstLine="426"/>
        <w:jc w:val="lowKashida"/>
        <w:rPr>
          <w:bCs/>
          <w:sz w:val="20"/>
          <w:szCs w:val="20"/>
          <w:lang w:bidi="ar-EG"/>
        </w:rPr>
      </w:pPr>
      <w:r w:rsidRPr="004E12CE">
        <w:rPr>
          <w:bCs/>
          <w:sz w:val="20"/>
          <w:szCs w:val="20"/>
          <w:lang w:bidi="ar-EG"/>
        </w:rPr>
        <w:t xml:space="preserve">In the present study, patients with prolonged SE duration showed poor outcome in contrast to </w:t>
      </w:r>
      <w:r w:rsidRPr="004E12CE">
        <w:rPr>
          <w:b/>
          <w:bCs/>
          <w:i/>
          <w:iCs/>
          <w:sz w:val="20"/>
          <w:szCs w:val="20"/>
          <w:lang w:bidi="ar-EG"/>
        </w:rPr>
        <w:t>Moghaddasi et al. 2015,</w:t>
      </w:r>
      <w:r w:rsidRPr="004E12CE">
        <w:rPr>
          <w:bCs/>
          <w:sz w:val="20"/>
          <w:szCs w:val="20"/>
          <w:lang w:bidi="ar-EG"/>
        </w:rPr>
        <w:t xml:space="preserve"> they cleared that duration of SE was not associated with poor outcome. In the other hand, patients who needed more drugs to control SE showed poor outcome, this is in agreement with </w:t>
      </w:r>
      <w:r w:rsidRPr="004E12CE">
        <w:rPr>
          <w:b/>
          <w:bCs/>
          <w:i/>
          <w:iCs/>
          <w:sz w:val="20"/>
          <w:szCs w:val="20"/>
          <w:lang w:bidi="ar-EG"/>
        </w:rPr>
        <w:t xml:space="preserve">Treiman et al. 1998, </w:t>
      </w:r>
      <w:r w:rsidRPr="004E12CE">
        <w:rPr>
          <w:sz w:val="20"/>
          <w:szCs w:val="20"/>
          <w:lang w:bidi="ar-EG"/>
        </w:rPr>
        <w:t xml:space="preserve">they </w:t>
      </w:r>
      <w:r w:rsidRPr="004E12CE">
        <w:rPr>
          <w:bCs/>
          <w:sz w:val="20"/>
          <w:szCs w:val="20"/>
          <w:lang w:bidi="ar-EG"/>
        </w:rPr>
        <w:t>stated that mortality rate was significantly less in patients who responded to less treatment</w:t>
      </w:r>
      <w:r w:rsidRPr="004E12CE">
        <w:rPr>
          <w:b/>
          <w:i/>
          <w:iCs/>
          <w:sz w:val="20"/>
          <w:szCs w:val="20"/>
          <w:vertAlign w:val="superscript"/>
          <w:lang w:bidi="ar-EG"/>
        </w:rPr>
        <w:t>23,29</w:t>
      </w:r>
      <w:r w:rsidRPr="004E12CE">
        <w:rPr>
          <w:bCs/>
          <w:sz w:val="20"/>
          <w:szCs w:val="20"/>
          <w:lang w:bidi="ar-EG"/>
        </w:rPr>
        <w:t>.</w:t>
      </w:r>
    </w:p>
    <w:p w:rsidR="004E12CE" w:rsidRPr="004E12CE" w:rsidRDefault="004E12CE" w:rsidP="00F32E8A">
      <w:pPr>
        <w:ind w:firstLine="426"/>
        <w:jc w:val="lowKashida"/>
        <w:rPr>
          <w:b/>
          <w:bCs/>
          <w:i/>
          <w:iCs/>
          <w:sz w:val="20"/>
          <w:szCs w:val="20"/>
          <w:lang w:bidi="ar-EG"/>
        </w:rPr>
      </w:pPr>
      <w:r w:rsidRPr="004E12CE">
        <w:rPr>
          <w:bCs/>
          <w:sz w:val="20"/>
          <w:szCs w:val="20"/>
          <w:lang w:bidi="ar-EG"/>
        </w:rPr>
        <w:lastRenderedPageBreak/>
        <w:t>In the present study, etiology of SE played an important role in determining SE duration, response to AED and outcome of patients and this is in agreement with,</w:t>
      </w:r>
      <w:r w:rsidRPr="004E12CE">
        <w:rPr>
          <w:b/>
          <w:bCs/>
          <w:i/>
          <w:iCs/>
          <w:sz w:val="20"/>
          <w:szCs w:val="20"/>
          <w:lang w:bidi="ar-EG"/>
        </w:rPr>
        <w:t xml:space="preserve">Treiman et al. 1998, Joyalakshmi et al. 2014; Kang et al., 2014; Kumar et al., 2014, Vooturi et al. 2014, Moghaddasi et al, 2015 and Tsetsou et al. 2015. </w:t>
      </w:r>
      <w:r w:rsidRPr="004E12CE">
        <w:rPr>
          <w:b/>
          <w:bCs/>
          <w:i/>
          <w:iCs/>
          <w:sz w:val="20"/>
          <w:szCs w:val="20"/>
          <w:vertAlign w:val="superscript"/>
          <w:lang w:bidi="ar-EG"/>
        </w:rPr>
        <w:t>29,24,25,26,27,23,1</w:t>
      </w:r>
      <w:r w:rsidRPr="004E12CE">
        <w:rPr>
          <w:b/>
          <w:bCs/>
          <w:i/>
          <w:iCs/>
          <w:sz w:val="20"/>
          <w:szCs w:val="20"/>
          <w:lang w:bidi="ar-EG"/>
        </w:rPr>
        <w:t>.</w:t>
      </w:r>
    </w:p>
    <w:p w:rsidR="004E12CE" w:rsidRPr="004E12CE" w:rsidRDefault="004E12CE" w:rsidP="00F32E8A">
      <w:pPr>
        <w:ind w:firstLine="426"/>
        <w:jc w:val="both"/>
        <w:rPr>
          <w:sz w:val="20"/>
          <w:szCs w:val="20"/>
          <w:lang w:bidi="ar-EG"/>
        </w:rPr>
      </w:pPr>
      <w:r w:rsidRPr="004E12CE">
        <w:rPr>
          <w:sz w:val="20"/>
          <w:szCs w:val="20"/>
          <w:lang w:bidi="ar-EG"/>
        </w:rPr>
        <w:t>Longer duration of SE is unlikely to be a positive prognostic factor, but proving that it is a significant negative prognostic factor independent of etiology is very difficult. The etiology is still by far the most important prognostic factor. Patients with exacerbations of earlier epilepsy do better, and those with anoxia almost always die. Type of seizure are correlated with outcome but probably related to etiology as well. After the first several hours, there is no substantial drop-off in survival with any particular duration of SE and, once etiology is accounted for, there is no major effect of duration on outcome in SE. When the etiology is considered at least permissive of a reasonable recovery, some patients with particularly long durations of SE can still be treated successfully.</w:t>
      </w:r>
    </w:p>
    <w:p w:rsidR="004E12CE" w:rsidRPr="004E12CE" w:rsidRDefault="004E12CE" w:rsidP="00F32E8A">
      <w:pPr>
        <w:ind w:firstLine="426"/>
        <w:jc w:val="lowKashida"/>
        <w:rPr>
          <w:bCs/>
          <w:sz w:val="20"/>
          <w:szCs w:val="20"/>
          <w:lang w:bidi="ar-EG"/>
        </w:rPr>
      </w:pPr>
      <w:r w:rsidRPr="004E12CE">
        <w:rPr>
          <w:bCs/>
          <w:sz w:val="20"/>
          <w:szCs w:val="20"/>
          <w:lang w:bidi="ar-EG"/>
        </w:rPr>
        <w:t xml:space="preserve">In the current study, five (12.5%) patients died according to </w:t>
      </w:r>
      <w:r w:rsidRPr="004E12CE">
        <w:rPr>
          <w:b/>
          <w:bCs/>
          <w:i/>
          <w:iCs/>
          <w:sz w:val="20"/>
          <w:szCs w:val="20"/>
          <w:lang w:bidi="ar-EG"/>
        </w:rPr>
        <w:t>Rossetti et al. 2006</w:t>
      </w:r>
      <w:r w:rsidRPr="004E12CE">
        <w:rPr>
          <w:bCs/>
          <w:sz w:val="20"/>
          <w:szCs w:val="20"/>
          <w:lang w:bidi="ar-EG"/>
        </w:rPr>
        <w:t xml:space="preserve">, they found Mortality rate was 15.6% and range between 7.6% and 39% and in the study of </w:t>
      </w:r>
      <w:r w:rsidRPr="004E12CE">
        <w:rPr>
          <w:b/>
          <w:sz w:val="20"/>
          <w:szCs w:val="20"/>
          <w:lang w:bidi="ar-EG"/>
        </w:rPr>
        <w:t>Koubeissi</w:t>
      </w:r>
      <w:r w:rsidRPr="004E12CE">
        <w:rPr>
          <w:b/>
          <w:bCs/>
          <w:i/>
          <w:iCs/>
          <w:sz w:val="20"/>
          <w:szCs w:val="20"/>
          <w:lang w:bidi="ar-EG"/>
        </w:rPr>
        <w:t>et al. 2007,</w:t>
      </w:r>
      <w:r w:rsidRPr="004E12CE">
        <w:rPr>
          <w:bCs/>
          <w:sz w:val="20"/>
          <w:szCs w:val="20"/>
          <w:lang w:bidi="ar-EG"/>
        </w:rPr>
        <w:t xml:space="preserve"> female patients had significantly greater mortality rate. In the study of </w:t>
      </w:r>
      <w:r w:rsidRPr="004E12CE">
        <w:rPr>
          <w:b/>
          <w:bCs/>
          <w:sz w:val="20"/>
          <w:szCs w:val="20"/>
          <w:lang w:bidi="ar-EG"/>
        </w:rPr>
        <w:t>Moghaddasi et al. 2015</w:t>
      </w:r>
      <w:r w:rsidRPr="004E12CE">
        <w:rPr>
          <w:bCs/>
          <w:sz w:val="20"/>
          <w:szCs w:val="20"/>
          <w:lang w:bidi="ar-EG"/>
        </w:rPr>
        <w:t xml:space="preserve">, total mortality rate was 16.9% and slightly higher in females; however, the difference was not statistically significant </w:t>
      </w:r>
      <w:r w:rsidRPr="004E12CE">
        <w:rPr>
          <w:b/>
          <w:i/>
          <w:iCs/>
          <w:sz w:val="20"/>
          <w:szCs w:val="20"/>
          <w:vertAlign w:val="superscript"/>
          <w:lang w:bidi="ar-EG"/>
        </w:rPr>
        <w:t>8,23.</w:t>
      </w:r>
    </w:p>
    <w:p w:rsidR="004E12CE" w:rsidRPr="004E12CE" w:rsidRDefault="004E12CE" w:rsidP="00F32E8A">
      <w:pPr>
        <w:ind w:firstLine="426"/>
        <w:jc w:val="both"/>
        <w:rPr>
          <w:sz w:val="20"/>
          <w:szCs w:val="20"/>
          <w:lang w:bidi="ar-EG"/>
        </w:rPr>
      </w:pPr>
      <w:r w:rsidRPr="004E12CE">
        <w:rPr>
          <w:sz w:val="20"/>
          <w:szCs w:val="20"/>
          <w:lang w:bidi="ar-EG"/>
        </w:rPr>
        <w:t xml:space="preserve">In the present study, drug abuse had significant association with development of SE, this is in agreement with </w:t>
      </w:r>
      <w:r w:rsidRPr="004E12CE">
        <w:rPr>
          <w:b/>
          <w:bCs/>
          <w:sz w:val="20"/>
          <w:szCs w:val="20"/>
          <w:lang w:bidi="ar-EG"/>
        </w:rPr>
        <w:t>Thundiyil et al. 2007,</w:t>
      </w:r>
      <w:r w:rsidRPr="004E12CE">
        <w:rPr>
          <w:sz w:val="20"/>
          <w:szCs w:val="20"/>
          <w:lang w:bidi="ar-EG"/>
        </w:rPr>
        <w:t xml:space="preserve"> they demonstrated the role of drug abuse in developing seizures and SE. Many of these drugs are widely available, used extensively and induce brain seizures as many studies have determined</w:t>
      </w:r>
      <w:r w:rsidRPr="004E12CE">
        <w:rPr>
          <w:bCs/>
          <w:sz w:val="20"/>
          <w:szCs w:val="20"/>
          <w:lang w:bidi="ar-EG"/>
        </w:rPr>
        <w:t xml:space="preserve"> that up to 9% of cases of status epilepticus presenting to the emergency department may result from drug toxicity</w:t>
      </w:r>
      <w:r w:rsidRPr="004E12CE">
        <w:rPr>
          <w:b/>
          <w:bCs/>
          <w:i/>
          <w:iCs/>
          <w:sz w:val="20"/>
          <w:szCs w:val="20"/>
          <w:lang w:bidi="ar-EG"/>
        </w:rPr>
        <w:t>(</w:t>
      </w:r>
      <w:r w:rsidRPr="004E12CE">
        <w:rPr>
          <w:rFonts w:cs="Arial"/>
          <w:b/>
          <w:bCs/>
          <w:i/>
          <w:iCs/>
          <w:sz w:val="20"/>
          <w:szCs w:val="20"/>
        </w:rPr>
        <w:t>Lowenstein D</w:t>
      </w:r>
      <w:r w:rsidRPr="004E12CE">
        <w:rPr>
          <w:b/>
          <w:bCs/>
          <w:i/>
          <w:iCs/>
          <w:sz w:val="20"/>
          <w:szCs w:val="20"/>
        </w:rPr>
        <w:t xml:space="preserve"> and Alldredge</w:t>
      </w:r>
      <w:r w:rsidRPr="004E12CE">
        <w:rPr>
          <w:rFonts w:cs="Arial"/>
          <w:b/>
          <w:bCs/>
          <w:i/>
          <w:iCs/>
          <w:sz w:val="20"/>
          <w:szCs w:val="20"/>
        </w:rPr>
        <w:t xml:space="preserve"> B, 1993</w:t>
      </w:r>
      <w:r w:rsidRPr="004E12CE">
        <w:rPr>
          <w:b/>
          <w:bCs/>
          <w:i/>
          <w:iCs/>
          <w:sz w:val="20"/>
          <w:szCs w:val="20"/>
          <w:lang w:bidi="ar-EG"/>
        </w:rPr>
        <w:t>).</w:t>
      </w:r>
      <w:r w:rsidRPr="004E12CE">
        <w:rPr>
          <w:b/>
          <w:bCs/>
          <w:i/>
          <w:iCs/>
          <w:sz w:val="20"/>
          <w:szCs w:val="20"/>
          <w:vertAlign w:val="superscript"/>
          <w:lang w:bidi="ar-EG"/>
        </w:rPr>
        <w:t>30,31.</w:t>
      </w:r>
    </w:p>
    <w:p w:rsidR="004E12CE" w:rsidRPr="004E12CE" w:rsidRDefault="004E12CE" w:rsidP="00F32E8A">
      <w:pPr>
        <w:ind w:firstLine="426"/>
        <w:jc w:val="both"/>
        <w:rPr>
          <w:bCs/>
          <w:sz w:val="20"/>
          <w:szCs w:val="20"/>
          <w:lang w:bidi="ar-EG"/>
        </w:rPr>
      </w:pPr>
      <w:r w:rsidRPr="004E12CE">
        <w:rPr>
          <w:bCs/>
          <w:sz w:val="20"/>
          <w:szCs w:val="20"/>
          <w:lang w:bidi="ar-EG"/>
        </w:rPr>
        <w:t xml:space="preserve">Eight (20.0%) of studied patients had history of recurrent SE. Recurrent SE more common with idiopathic epilepsy, vascular causes, CNS infection and brain tumors, so those patients with different causes more refractory to treatment and showed failure of response to AED, Study reported by </w:t>
      </w:r>
      <w:r w:rsidRPr="004E12CE">
        <w:rPr>
          <w:b/>
          <w:bCs/>
          <w:i/>
          <w:iCs/>
          <w:sz w:val="20"/>
          <w:szCs w:val="20"/>
          <w:lang w:bidi="ar-EG"/>
        </w:rPr>
        <w:t>Tsetsou et al. 2015</w:t>
      </w:r>
      <w:r w:rsidRPr="004E12CE">
        <w:rPr>
          <w:bCs/>
          <w:sz w:val="20"/>
          <w:szCs w:val="20"/>
          <w:lang w:bidi="ar-EG"/>
        </w:rPr>
        <w:t xml:space="preserve">, showed some points of disagreement with our study as they reported that SE recurrences involve 32% of patients over 4-year study and this also similar to another study that reported which retrospectively found a recurrence of 32% over 10 years and these important differences probably related to different methodologies </w:t>
      </w:r>
      <w:r w:rsidRPr="004E12CE">
        <w:rPr>
          <w:b/>
          <w:i/>
          <w:iCs/>
          <w:sz w:val="20"/>
          <w:szCs w:val="20"/>
          <w:vertAlign w:val="superscript"/>
          <w:lang w:bidi="ar-EG"/>
        </w:rPr>
        <w:t>1</w:t>
      </w:r>
      <w:r w:rsidRPr="004E12CE">
        <w:rPr>
          <w:bCs/>
          <w:sz w:val="20"/>
          <w:szCs w:val="20"/>
          <w:lang w:bidi="ar-EG"/>
        </w:rPr>
        <w:t xml:space="preserve">. </w:t>
      </w:r>
    </w:p>
    <w:p w:rsidR="004E12CE" w:rsidRPr="004E12CE" w:rsidRDefault="004E12CE" w:rsidP="00F32E8A">
      <w:pPr>
        <w:ind w:firstLine="426"/>
        <w:jc w:val="lowKashida"/>
        <w:rPr>
          <w:bCs/>
          <w:sz w:val="20"/>
          <w:szCs w:val="20"/>
          <w:lang w:bidi="ar-EG"/>
        </w:rPr>
      </w:pPr>
      <w:r w:rsidRPr="004E12CE">
        <w:rPr>
          <w:bCs/>
          <w:sz w:val="20"/>
          <w:szCs w:val="20"/>
          <w:lang w:bidi="ar-EG"/>
        </w:rPr>
        <w:t xml:space="preserve">Also </w:t>
      </w:r>
      <w:r w:rsidRPr="004E12CE">
        <w:rPr>
          <w:b/>
          <w:bCs/>
          <w:i/>
          <w:iCs/>
          <w:sz w:val="20"/>
          <w:szCs w:val="20"/>
          <w:lang w:bidi="ar-EG"/>
        </w:rPr>
        <w:t>Tsetsou et al. 2015,</w:t>
      </w:r>
      <w:r w:rsidRPr="004E12CE">
        <w:rPr>
          <w:bCs/>
          <w:sz w:val="20"/>
          <w:szCs w:val="20"/>
          <w:lang w:bidi="ar-EG"/>
        </w:rPr>
        <w:t xml:space="preserve">reported that survival was higher among patients with recurrent SE episodes and this is in agreement with our study as outcome not </w:t>
      </w:r>
      <w:r w:rsidRPr="004E12CE">
        <w:rPr>
          <w:bCs/>
          <w:sz w:val="20"/>
          <w:szCs w:val="20"/>
          <w:lang w:bidi="ar-EG"/>
        </w:rPr>
        <w:lastRenderedPageBreak/>
        <w:t xml:space="preserve">significantly associated with recurrent SE, so we can conclude that mortality and morbidity following SE are related to the underlying clinical profile of the patient, but not SE recurrence itself </w:t>
      </w:r>
      <w:r w:rsidRPr="004E12CE">
        <w:rPr>
          <w:b/>
          <w:i/>
          <w:iCs/>
          <w:sz w:val="20"/>
          <w:szCs w:val="20"/>
          <w:vertAlign w:val="superscript"/>
          <w:lang w:bidi="ar-EG"/>
        </w:rPr>
        <w:t>1</w:t>
      </w:r>
      <w:r w:rsidRPr="004E12CE">
        <w:rPr>
          <w:bCs/>
          <w:sz w:val="20"/>
          <w:szCs w:val="20"/>
          <w:lang w:bidi="ar-EG"/>
        </w:rPr>
        <w:t>.</w:t>
      </w:r>
    </w:p>
    <w:p w:rsidR="00FA2A7F" w:rsidRPr="00C05EB6" w:rsidRDefault="00FA2A7F" w:rsidP="00BD7DE8">
      <w:pPr>
        <w:snapToGrid w:val="0"/>
        <w:jc w:val="both"/>
        <w:rPr>
          <w:b/>
          <w:bCs/>
          <w:sz w:val="20"/>
          <w:szCs w:val="20"/>
        </w:rPr>
      </w:pPr>
    </w:p>
    <w:p w:rsidR="00D747C8" w:rsidRPr="00C05EB6" w:rsidRDefault="00FA2A7F" w:rsidP="00BD7DE8">
      <w:pPr>
        <w:snapToGrid w:val="0"/>
        <w:jc w:val="both"/>
        <w:rPr>
          <w:rFonts w:eastAsia="AdvP4BD05C"/>
          <w:b/>
          <w:bCs/>
          <w:sz w:val="20"/>
          <w:szCs w:val="20"/>
        </w:rPr>
      </w:pPr>
      <w:r w:rsidRPr="00C05EB6">
        <w:rPr>
          <w:b/>
          <w:bCs/>
          <w:sz w:val="20"/>
          <w:szCs w:val="20"/>
        </w:rPr>
        <w:t xml:space="preserve">5. </w:t>
      </w:r>
      <w:r w:rsidR="003F2D38" w:rsidRPr="00C05EB6">
        <w:rPr>
          <w:b/>
          <w:bCs/>
          <w:sz w:val="20"/>
          <w:szCs w:val="20"/>
        </w:rPr>
        <w:t>Conclusion:</w:t>
      </w:r>
    </w:p>
    <w:p w:rsidR="00BD7DE8" w:rsidRPr="00C05EB6" w:rsidRDefault="00D747C8" w:rsidP="00BD7DE8">
      <w:pPr>
        <w:snapToGrid w:val="0"/>
        <w:ind w:firstLine="425"/>
        <w:jc w:val="both"/>
        <w:rPr>
          <w:rFonts w:eastAsia="AdvP4BD05C"/>
          <w:sz w:val="20"/>
          <w:szCs w:val="20"/>
        </w:rPr>
      </w:pPr>
      <w:r w:rsidRPr="00C05EB6">
        <w:rPr>
          <w:rFonts w:eastAsia="AdvP4BD05C"/>
          <w:sz w:val="20"/>
          <w:szCs w:val="20"/>
        </w:rPr>
        <w:t>Status epilepticus is a complex clinical syndrome that requires immediate and careful evaluation. SE caused by variety of diseases of different outcomes, so cases of SE should be investigated thoroughly and need urgent evaluation. Social and family support plays an important role in drug compliance and development of S</w:t>
      </w:r>
      <w:r w:rsidR="00BD7DE8" w:rsidRPr="00C05EB6">
        <w:rPr>
          <w:rFonts w:eastAsia="AdvP4BD05C"/>
          <w:sz w:val="20"/>
          <w:szCs w:val="20"/>
        </w:rPr>
        <w:t>E.</w:t>
      </w:r>
    </w:p>
    <w:p w:rsidR="00FA2A7F" w:rsidRPr="00C05EB6" w:rsidRDefault="00FA2A7F" w:rsidP="00BD7DE8">
      <w:pPr>
        <w:snapToGrid w:val="0"/>
        <w:jc w:val="both"/>
        <w:rPr>
          <w:b/>
          <w:bCs/>
          <w:sz w:val="20"/>
          <w:szCs w:val="20"/>
        </w:rPr>
      </w:pPr>
    </w:p>
    <w:p w:rsidR="001F4095" w:rsidRPr="00C05EB6" w:rsidRDefault="00D57242" w:rsidP="00BD7DE8">
      <w:pPr>
        <w:snapToGrid w:val="0"/>
        <w:jc w:val="both"/>
        <w:rPr>
          <w:rFonts w:eastAsia="AdvP4BD05C"/>
          <w:sz w:val="20"/>
          <w:szCs w:val="20"/>
        </w:rPr>
      </w:pPr>
      <w:r w:rsidRPr="00C05EB6">
        <w:rPr>
          <w:b/>
          <w:bCs/>
          <w:sz w:val="20"/>
          <w:szCs w:val="20"/>
        </w:rPr>
        <w:t>Recommendations:</w:t>
      </w:r>
    </w:p>
    <w:p w:rsidR="00F32E8A" w:rsidRDefault="001F4095" w:rsidP="00F32E8A">
      <w:pPr>
        <w:snapToGrid w:val="0"/>
        <w:ind w:firstLine="425"/>
        <w:jc w:val="both"/>
        <w:rPr>
          <w:sz w:val="20"/>
          <w:szCs w:val="20"/>
        </w:rPr>
      </w:pPr>
      <w:r w:rsidRPr="00C05EB6">
        <w:rPr>
          <w:rFonts w:eastAsia="AdvP4BD05C"/>
          <w:sz w:val="20"/>
          <w:szCs w:val="20"/>
        </w:rPr>
        <w:t>E</w:t>
      </w:r>
      <w:r w:rsidR="002F26A6" w:rsidRPr="00C05EB6">
        <w:rPr>
          <w:rFonts w:eastAsia="AdvP4BD05C"/>
          <w:sz w:val="20"/>
          <w:szCs w:val="20"/>
        </w:rPr>
        <w:t>ducational programs for both medical staff and general populations about importance of early diagnosis, rapid and proper management of patients with SE</w:t>
      </w:r>
      <w:r w:rsidR="000C0E32" w:rsidRPr="00C05EB6">
        <w:rPr>
          <w:rFonts w:eastAsia="AdvP4BD05C"/>
          <w:sz w:val="20"/>
          <w:szCs w:val="20"/>
        </w:rPr>
        <w:t xml:space="preserve"> and i</w:t>
      </w:r>
      <w:r w:rsidR="002F26A6" w:rsidRPr="00C05EB6">
        <w:rPr>
          <w:sz w:val="20"/>
          <w:szCs w:val="20"/>
        </w:rPr>
        <w:t xml:space="preserve">t is critical for </w:t>
      </w:r>
      <w:r w:rsidR="000C0E32" w:rsidRPr="00C05EB6">
        <w:rPr>
          <w:sz w:val="20"/>
          <w:szCs w:val="20"/>
        </w:rPr>
        <w:t>physicians to</w:t>
      </w:r>
      <w:r w:rsidR="002F26A6" w:rsidRPr="00C05EB6">
        <w:rPr>
          <w:sz w:val="20"/>
          <w:szCs w:val="20"/>
        </w:rPr>
        <w:t xml:space="preserve"> diagnose the cause of status epilepticus as soon as possible, for effective treatment. More studies should be done about non convulsive SE and more studies should be done about </w:t>
      </w:r>
      <w:r w:rsidR="00706935" w:rsidRPr="00C05EB6">
        <w:rPr>
          <w:sz w:val="20"/>
          <w:szCs w:val="20"/>
        </w:rPr>
        <w:t>relation between</w:t>
      </w:r>
      <w:r w:rsidR="002F26A6" w:rsidRPr="00C05EB6">
        <w:rPr>
          <w:sz w:val="20"/>
          <w:szCs w:val="20"/>
        </w:rPr>
        <w:t xml:space="preserve"> substance abuse and SE</w:t>
      </w:r>
      <w:r w:rsidR="00F04282" w:rsidRPr="00C05EB6">
        <w:rPr>
          <w:sz w:val="20"/>
          <w:szCs w:val="20"/>
        </w:rPr>
        <w:t>.</w:t>
      </w:r>
      <w:bookmarkStart w:id="11" w:name="_GoBack"/>
    </w:p>
    <w:p w:rsidR="00F32E8A" w:rsidRDefault="00F32E8A" w:rsidP="00F32E8A">
      <w:pPr>
        <w:snapToGrid w:val="0"/>
        <w:ind w:firstLine="425"/>
        <w:jc w:val="both"/>
        <w:rPr>
          <w:sz w:val="20"/>
          <w:szCs w:val="20"/>
        </w:rPr>
      </w:pPr>
    </w:p>
    <w:p w:rsidR="00582588" w:rsidRPr="00F32E8A" w:rsidRDefault="00582588" w:rsidP="00F32E8A">
      <w:pPr>
        <w:snapToGrid w:val="0"/>
        <w:jc w:val="both"/>
        <w:rPr>
          <w:sz w:val="20"/>
          <w:szCs w:val="20"/>
        </w:rPr>
      </w:pPr>
      <w:r w:rsidRPr="004E12CE">
        <w:rPr>
          <w:rFonts w:asciiTheme="majorBidi" w:hAnsiTheme="majorBidi" w:cstheme="majorBidi"/>
          <w:b/>
          <w:bCs/>
          <w:sz w:val="20"/>
          <w:szCs w:val="20"/>
        </w:rPr>
        <w:t>References</w:t>
      </w:r>
    </w:p>
    <w:p w:rsidR="00582588" w:rsidRPr="00F32E8A" w:rsidRDefault="00582588" w:rsidP="00F32E8A">
      <w:pPr>
        <w:pStyle w:val="ListParagraph"/>
        <w:keepLines/>
        <w:widowControl w:val="0"/>
        <w:numPr>
          <w:ilvl w:val="0"/>
          <w:numId w:val="1"/>
        </w:numPr>
        <w:spacing w:after="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Tsetsou S, Novy J and Rossetti A. </w:t>
      </w:r>
      <w:r w:rsidRPr="00F32E8A">
        <w:rPr>
          <w:rFonts w:asciiTheme="majorBidi" w:hAnsiTheme="majorBidi" w:cstheme="majorBidi"/>
          <w:sz w:val="18"/>
          <w:szCs w:val="18"/>
        </w:rPr>
        <w:t>Recurrence of status epilepticus: Prognostic role and outcome predictors. Epilepsia.2015; 56(3):473-478.</w:t>
      </w:r>
    </w:p>
    <w:p w:rsidR="00582588" w:rsidRPr="00F32E8A" w:rsidRDefault="00582588" w:rsidP="00F32E8A">
      <w:pPr>
        <w:pStyle w:val="ListParagraph"/>
        <w:keepLines/>
        <w:widowControl w:val="0"/>
        <w:numPr>
          <w:ilvl w:val="0"/>
          <w:numId w:val="1"/>
        </w:numPr>
        <w:autoSpaceDE w:val="0"/>
        <w:autoSpaceDN w:val="0"/>
        <w:adjustRightInd w:val="0"/>
        <w:spacing w:after="0" w:line="240" w:lineRule="auto"/>
        <w:ind w:left="426"/>
        <w:jc w:val="both"/>
        <w:rPr>
          <w:rFonts w:asciiTheme="majorBidi" w:hAnsiTheme="majorBidi" w:cstheme="majorBidi"/>
          <w:color w:val="000000"/>
          <w:sz w:val="18"/>
          <w:szCs w:val="18"/>
        </w:rPr>
      </w:pPr>
      <w:r w:rsidRPr="00F32E8A">
        <w:rPr>
          <w:rFonts w:asciiTheme="majorBidi" w:hAnsiTheme="majorBidi" w:cstheme="majorBidi"/>
          <w:b/>
          <w:bCs/>
          <w:color w:val="000000"/>
          <w:sz w:val="18"/>
          <w:szCs w:val="18"/>
        </w:rPr>
        <w:t>Drislane F.</w:t>
      </w:r>
      <w:r w:rsidRPr="00F32E8A">
        <w:rPr>
          <w:rFonts w:asciiTheme="majorBidi" w:hAnsiTheme="majorBidi" w:cstheme="majorBidi"/>
          <w:color w:val="000000"/>
          <w:sz w:val="18"/>
          <w:szCs w:val="18"/>
        </w:rPr>
        <w:t xml:space="preserve"> Presentation, Evaluation, and Treatment of Nonconvulsive Status Epilepticus. Epilepsy Behav 2000; 1: 301–14.</w:t>
      </w:r>
    </w:p>
    <w:p w:rsidR="00582588" w:rsidRPr="00F32E8A" w:rsidRDefault="00582588" w:rsidP="00F32E8A">
      <w:pPr>
        <w:pStyle w:val="ListParagraph"/>
        <w:keepLines/>
        <w:widowControl w:val="0"/>
        <w:numPr>
          <w:ilvl w:val="0"/>
          <w:numId w:val="1"/>
        </w:numPr>
        <w:spacing w:after="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Besli G, Saltik S, Erguven M,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Status epilepticus in children: causes, clinical features and short-term outcome. Pediatr Int. 2010; 52(5):749-753</w:t>
      </w:r>
      <w:r w:rsidRPr="00F32E8A">
        <w:rPr>
          <w:rFonts w:asciiTheme="majorBidi" w:hAnsiTheme="majorBidi" w:cstheme="majorBidi"/>
          <w:sz w:val="18"/>
          <w:szCs w:val="18"/>
          <w:rtl/>
        </w:rPr>
        <w:t>.</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Bhavpreet S and Hunter K.,</w:t>
      </w:r>
      <w:r w:rsidRPr="00F32E8A">
        <w:rPr>
          <w:rFonts w:asciiTheme="majorBidi" w:hAnsiTheme="majorBidi" w:cstheme="majorBidi"/>
          <w:sz w:val="18"/>
          <w:szCs w:val="18"/>
        </w:rPr>
        <w:t xml:space="preserve"> The epidemiology of status epilepticus in the United States. Neurocritical care, 2014; 20(3): 476-483.</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Husain A, Horn G, Jacobson M.,</w:t>
      </w:r>
      <w:r w:rsidRPr="00F32E8A">
        <w:rPr>
          <w:rFonts w:asciiTheme="majorBidi" w:hAnsiTheme="majorBidi" w:cstheme="majorBidi"/>
          <w:sz w:val="18"/>
          <w:szCs w:val="18"/>
        </w:rPr>
        <w:t xml:space="preserve"> Non-convulsive status epilepticus: usefulness of clinical features in selecting patients for urgent EEG. J Neurology Neurosurgery Psychiatry 2003; 74: 189–91.</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Logroscino G, Hesdorffer D, Cascino G,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 xml:space="preserve"> Mortality after a first episode of status epilepticus in the United States and Europe. Epilepsia 2005; 46(Suppl. 11):46-48.</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Betjemann J and Daniel H.,</w:t>
      </w:r>
      <w:r w:rsidRPr="00F32E8A">
        <w:rPr>
          <w:rFonts w:asciiTheme="majorBidi" w:hAnsiTheme="majorBidi" w:cstheme="majorBidi"/>
          <w:sz w:val="18"/>
          <w:szCs w:val="18"/>
        </w:rPr>
        <w:t xml:space="preserve"> "Status epilepticus in adults." The Lancet Neurology 2015; 14(6): 615-624.</w:t>
      </w:r>
      <w:r w:rsidRPr="00F32E8A">
        <w:rPr>
          <w:rFonts w:asciiTheme="majorBidi" w:hAnsiTheme="majorBidi" w:cstheme="majorBidi"/>
          <w:sz w:val="18"/>
          <w:szCs w:val="18"/>
          <w:rtl/>
        </w:rPr>
        <w:t xml:space="preserve"> ‏</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tl/>
        </w:rPr>
      </w:pPr>
      <w:r w:rsidRPr="00F32E8A">
        <w:rPr>
          <w:rFonts w:asciiTheme="majorBidi" w:hAnsiTheme="majorBidi" w:cstheme="majorBidi"/>
          <w:b/>
          <w:bCs/>
          <w:sz w:val="18"/>
          <w:szCs w:val="18"/>
        </w:rPr>
        <w:t xml:space="preserve">Koubeissi M and Alshekhlee A. </w:t>
      </w:r>
      <w:r w:rsidRPr="00F32E8A">
        <w:rPr>
          <w:rFonts w:asciiTheme="majorBidi" w:hAnsiTheme="majorBidi" w:cstheme="majorBidi"/>
          <w:sz w:val="18"/>
          <w:szCs w:val="18"/>
        </w:rPr>
        <w:t>In-hospital mortality of generalized convulsive status epilepticus. A large US sample. Neurology 2007; 69: 886–893</w:t>
      </w:r>
      <w:r w:rsidRPr="00F32E8A">
        <w:rPr>
          <w:rFonts w:asciiTheme="majorBidi" w:hAnsiTheme="majorBidi" w:cstheme="majorBidi"/>
          <w:sz w:val="18"/>
          <w:szCs w:val="18"/>
          <w:rtl/>
        </w:rPr>
        <w:t>.</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Hesdorffer D, Logroscino G, Cascino G, </w:t>
      </w:r>
      <w:r w:rsidRPr="00F32E8A">
        <w:rPr>
          <w:rFonts w:asciiTheme="majorBidi" w:hAnsiTheme="majorBidi" w:cstheme="majorBidi"/>
          <w:b/>
          <w:bCs/>
          <w:i/>
          <w:iCs/>
          <w:sz w:val="18"/>
          <w:szCs w:val="18"/>
        </w:rPr>
        <w:t>et al</w:t>
      </w:r>
      <w:r w:rsidRPr="00F32E8A">
        <w:rPr>
          <w:rFonts w:asciiTheme="majorBidi" w:hAnsiTheme="majorBidi" w:cstheme="majorBidi"/>
          <w:b/>
          <w:bCs/>
          <w:sz w:val="18"/>
          <w:szCs w:val="18"/>
        </w:rPr>
        <w:t xml:space="preserve">. </w:t>
      </w:r>
      <w:r w:rsidRPr="00F32E8A">
        <w:rPr>
          <w:rFonts w:asciiTheme="majorBidi" w:hAnsiTheme="majorBidi" w:cstheme="majorBidi"/>
          <w:sz w:val="18"/>
          <w:szCs w:val="18"/>
        </w:rPr>
        <w:t>Recurrence of afebrile status epilepticus in a population-based study in Rochester, Minnesota. Neurology 2007; 69:73–78</w:t>
      </w:r>
      <w:r w:rsidRPr="00F32E8A">
        <w:rPr>
          <w:rFonts w:asciiTheme="majorBidi" w:hAnsiTheme="majorBidi" w:cstheme="majorBidi"/>
          <w:sz w:val="18"/>
          <w:szCs w:val="18"/>
          <w:rtl/>
        </w:rPr>
        <w:t>.</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tl/>
        </w:rPr>
      </w:pPr>
      <w:r w:rsidRPr="00F32E8A">
        <w:rPr>
          <w:rFonts w:asciiTheme="majorBidi" w:hAnsiTheme="majorBidi" w:cstheme="majorBidi"/>
          <w:b/>
          <w:bCs/>
          <w:sz w:val="18"/>
          <w:szCs w:val="18"/>
        </w:rPr>
        <w:t>Coeytaux A, Jallon P, Galobardes B</w:t>
      </w:r>
      <w:r w:rsidRPr="00F32E8A">
        <w:rPr>
          <w:rFonts w:asciiTheme="majorBidi" w:hAnsiTheme="majorBidi" w:cstheme="majorBidi"/>
          <w:b/>
          <w:bCs/>
          <w:i/>
          <w:iCs/>
          <w:sz w:val="18"/>
          <w:szCs w:val="18"/>
        </w:rPr>
        <w:t>, et al</w:t>
      </w:r>
      <w:r w:rsidRPr="00F32E8A">
        <w:rPr>
          <w:rFonts w:asciiTheme="majorBidi" w:hAnsiTheme="majorBidi" w:cstheme="majorBidi"/>
          <w:b/>
          <w:bCs/>
          <w:sz w:val="18"/>
          <w:szCs w:val="18"/>
        </w:rPr>
        <w:t xml:space="preserve">. </w:t>
      </w:r>
      <w:r w:rsidRPr="00F32E8A">
        <w:rPr>
          <w:rFonts w:asciiTheme="majorBidi" w:hAnsiTheme="majorBidi" w:cstheme="majorBidi"/>
          <w:sz w:val="18"/>
          <w:szCs w:val="18"/>
        </w:rPr>
        <w:t>Incidence of status epilepticus in French-speaking Switzerland (EPISTAR). Neurology 2000;(55):693–697</w:t>
      </w:r>
      <w:r w:rsidRPr="00F32E8A">
        <w:rPr>
          <w:rFonts w:asciiTheme="majorBidi" w:hAnsiTheme="majorBidi" w:cstheme="majorBidi"/>
          <w:sz w:val="18"/>
          <w:szCs w:val="18"/>
          <w:rtl/>
        </w:rPr>
        <w:t>.</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lastRenderedPageBreak/>
        <w:t xml:space="preserve">McHugh, John C. and Norman D. </w:t>
      </w:r>
      <w:r w:rsidRPr="00F32E8A">
        <w:rPr>
          <w:rFonts w:asciiTheme="majorBidi" w:hAnsiTheme="majorBidi" w:cstheme="majorBidi"/>
          <w:sz w:val="18"/>
          <w:szCs w:val="18"/>
        </w:rPr>
        <w:t>"Epidemiology and classification of epilepsy: gender comparisons." International review of neurobiology 2008:83; 11-26.</w:t>
      </w:r>
      <w:r w:rsidRPr="00F32E8A">
        <w:rPr>
          <w:rFonts w:asciiTheme="majorBidi" w:hAnsiTheme="majorBidi" w:cstheme="majorBidi"/>
          <w:sz w:val="18"/>
          <w:szCs w:val="18"/>
          <w:rtl/>
        </w:rPr>
        <w:t xml:space="preserve"> ‏</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Choi</w:t>
      </w:r>
      <w:r w:rsidRPr="00F32E8A">
        <w:rPr>
          <w:rFonts w:ascii="Cambria Math" w:hAnsi="Cambria Math" w:cstheme="majorBidi"/>
          <w:b/>
          <w:bCs/>
          <w:sz w:val="18"/>
          <w:szCs w:val="18"/>
        </w:rPr>
        <w:t>‐</w:t>
      </w:r>
      <w:r w:rsidRPr="00F32E8A">
        <w:rPr>
          <w:rFonts w:asciiTheme="majorBidi" w:hAnsiTheme="majorBidi" w:cstheme="majorBidi"/>
          <w:b/>
          <w:bCs/>
          <w:sz w:val="18"/>
          <w:szCs w:val="18"/>
        </w:rPr>
        <w:t xml:space="preserve">Kwon S, Chung C, Kim H,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Factors affecting the quality of life in patients with epilepsy in Seoul, South Korea. Acta Neurological Scandinavica 2003; 108(6): 428-434.</w:t>
      </w:r>
      <w:r w:rsidRPr="00F32E8A">
        <w:rPr>
          <w:rFonts w:asciiTheme="majorBidi" w:hAnsiTheme="majorBidi" w:cstheme="majorBidi"/>
          <w:sz w:val="18"/>
          <w:szCs w:val="18"/>
          <w:rtl/>
        </w:rPr>
        <w:t xml:space="preserve"> ‏</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tl/>
        </w:rPr>
      </w:pPr>
      <w:r w:rsidRPr="00F32E8A">
        <w:rPr>
          <w:rFonts w:asciiTheme="majorBidi" w:hAnsiTheme="majorBidi" w:cstheme="majorBidi"/>
          <w:b/>
          <w:bCs/>
          <w:sz w:val="18"/>
          <w:szCs w:val="18"/>
        </w:rPr>
        <w:t xml:space="preserve">Hui A, Joynt G, Huan L,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Status epilepticus in Hong Kong Chinese: Etiology, outcome and predictors of death and morbidity. Seizure 2003; 12: 478–482</w:t>
      </w:r>
      <w:r w:rsidRPr="00F32E8A">
        <w:rPr>
          <w:rFonts w:asciiTheme="majorBidi" w:hAnsiTheme="majorBidi" w:cstheme="majorBidi"/>
          <w:sz w:val="18"/>
          <w:szCs w:val="18"/>
          <w:rtl/>
        </w:rPr>
        <w:t>.</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Vignatelli L, Tonon C, D’Alessandro R. </w:t>
      </w:r>
      <w:r w:rsidRPr="00F32E8A">
        <w:rPr>
          <w:rFonts w:asciiTheme="majorBidi" w:hAnsiTheme="majorBidi" w:cstheme="majorBidi"/>
          <w:sz w:val="18"/>
          <w:szCs w:val="18"/>
        </w:rPr>
        <w:t>Incidence and short-term prognosis of status epilepticus in adults in Bologna, Italy. Epilepsia 2003; 44: 964–968</w:t>
      </w:r>
      <w:r w:rsidRPr="00F32E8A">
        <w:rPr>
          <w:rFonts w:asciiTheme="majorBidi" w:hAnsiTheme="majorBidi" w:cstheme="majorBidi"/>
          <w:sz w:val="18"/>
          <w:szCs w:val="18"/>
          <w:rtl/>
        </w:rPr>
        <w:t>.</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Vignatelli L, Rinaldi R, Galeotti M,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Epidemiology of Status Epilepticus in a rural area of northern Italy: A 2-year population based study. Eur. J. Neurology 2005; 12: 897–902</w:t>
      </w:r>
      <w:r w:rsidRPr="00F32E8A">
        <w:rPr>
          <w:rFonts w:asciiTheme="majorBidi" w:hAnsiTheme="majorBidi" w:cstheme="majorBidi"/>
          <w:sz w:val="18"/>
          <w:szCs w:val="18"/>
          <w:rtl/>
        </w:rPr>
        <w:t>.</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tl/>
        </w:rPr>
      </w:pPr>
      <w:r w:rsidRPr="00F32E8A">
        <w:rPr>
          <w:rFonts w:asciiTheme="majorBidi" w:hAnsiTheme="majorBidi" w:cstheme="majorBidi"/>
          <w:b/>
          <w:bCs/>
          <w:sz w:val="18"/>
          <w:szCs w:val="18"/>
        </w:rPr>
        <w:t>Canouï</w:t>
      </w:r>
      <w:r w:rsidRPr="00F32E8A">
        <w:rPr>
          <w:rFonts w:ascii="Cambria Math" w:hAnsi="Cambria Math" w:cstheme="majorBidi"/>
          <w:b/>
          <w:bCs/>
          <w:sz w:val="18"/>
          <w:szCs w:val="18"/>
        </w:rPr>
        <w:t>‐</w:t>
      </w:r>
      <w:r w:rsidRPr="00F32E8A">
        <w:rPr>
          <w:rFonts w:asciiTheme="majorBidi" w:hAnsiTheme="majorBidi" w:cstheme="majorBidi"/>
          <w:b/>
          <w:bCs/>
          <w:sz w:val="18"/>
          <w:szCs w:val="18"/>
        </w:rPr>
        <w:t>Poitrine F, Bastuji</w:t>
      </w:r>
      <w:r w:rsidRPr="00F32E8A">
        <w:rPr>
          <w:rFonts w:ascii="Cambria Math" w:hAnsi="Cambria Math" w:cstheme="majorBidi"/>
          <w:b/>
          <w:bCs/>
          <w:sz w:val="18"/>
          <w:szCs w:val="18"/>
        </w:rPr>
        <w:t>‐</w:t>
      </w:r>
      <w:r w:rsidRPr="00F32E8A">
        <w:rPr>
          <w:rFonts w:asciiTheme="majorBidi" w:hAnsiTheme="majorBidi" w:cstheme="majorBidi"/>
          <w:b/>
          <w:bCs/>
          <w:sz w:val="18"/>
          <w:szCs w:val="18"/>
        </w:rPr>
        <w:t xml:space="preserve">Garin S, Alonso E,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Risk and prognostic factors of status epilepticus in the elderly: a case-control study. Epilepsia 2011; 52(10): 1849-1856</w:t>
      </w:r>
      <w:r w:rsidRPr="00F32E8A">
        <w:rPr>
          <w:rFonts w:asciiTheme="majorBidi" w:hAnsiTheme="majorBidi" w:cstheme="majorBidi"/>
          <w:sz w:val="18"/>
          <w:szCs w:val="18"/>
          <w:rtl/>
        </w:rPr>
        <w:t>. ‏</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Sánchez S and Rincon F. </w:t>
      </w:r>
      <w:r w:rsidRPr="00F32E8A">
        <w:rPr>
          <w:rFonts w:asciiTheme="majorBidi" w:hAnsiTheme="majorBidi" w:cstheme="majorBidi"/>
          <w:sz w:val="18"/>
          <w:szCs w:val="18"/>
        </w:rPr>
        <w:t>Status Epilepticus: Epidemiology and Public Health Needs. Journal of Clinical Medicine 2016; 5(8): 71-82</w:t>
      </w:r>
      <w:r w:rsidRPr="00F32E8A">
        <w:rPr>
          <w:rFonts w:asciiTheme="majorBidi" w:hAnsiTheme="majorBidi" w:cstheme="majorBidi"/>
          <w:sz w:val="18"/>
          <w:szCs w:val="18"/>
          <w:rtl/>
        </w:rPr>
        <w:t>.</w:t>
      </w:r>
    </w:p>
    <w:p w:rsidR="00582588" w:rsidRPr="00F32E8A" w:rsidRDefault="00582588" w:rsidP="00F32E8A">
      <w:pPr>
        <w:pStyle w:val="ListParagraph"/>
        <w:numPr>
          <w:ilvl w:val="0"/>
          <w:numId w:val="1"/>
        </w:numPr>
        <w:spacing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Chen J and Wasterlain C. </w:t>
      </w:r>
      <w:r w:rsidRPr="00F32E8A">
        <w:rPr>
          <w:rFonts w:asciiTheme="majorBidi" w:hAnsiTheme="majorBidi" w:cstheme="majorBidi"/>
          <w:sz w:val="18"/>
          <w:szCs w:val="18"/>
        </w:rPr>
        <w:t>Status epilepticus: pathophysiology and     management in adults. Lancet Neurology 2006; 5:246–56</w:t>
      </w:r>
      <w:r w:rsidRPr="00F32E8A">
        <w:rPr>
          <w:rFonts w:asciiTheme="majorBidi" w:hAnsiTheme="majorBidi" w:cstheme="majorBidi"/>
          <w:sz w:val="18"/>
          <w:szCs w:val="18"/>
          <w:rtl/>
        </w:rPr>
        <w:t>.</w:t>
      </w:r>
    </w:p>
    <w:p w:rsidR="00582588" w:rsidRPr="00F32E8A" w:rsidRDefault="00582588" w:rsidP="00F32E8A">
      <w:pPr>
        <w:pStyle w:val="ListParagraph"/>
        <w:numPr>
          <w:ilvl w:val="0"/>
          <w:numId w:val="1"/>
        </w:numPr>
        <w:spacing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Maldonado A, Ramos W, Pérez J,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Convulsive status epilepticus: Clinico-epidemiologic characteristics and risk factors in Peru. Neurologia 2010; 25: 478–484.</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tl/>
        </w:rPr>
      </w:pPr>
      <w:r w:rsidRPr="00F32E8A">
        <w:rPr>
          <w:rFonts w:asciiTheme="majorBidi" w:hAnsiTheme="majorBidi" w:cstheme="majorBidi"/>
          <w:b/>
          <w:bCs/>
          <w:sz w:val="18"/>
          <w:szCs w:val="18"/>
        </w:rPr>
        <w:t xml:space="preserve">Sadarangani M, Seaton C, Scott J,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Incidence and outcome of convulsive status epilepticus in Kenyan children: a cohort study. Lancet Neurology 2008; 7:145–150</w:t>
      </w:r>
      <w:r w:rsidRPr="00F32E8A">
        <w:rPr>
          <w:rFonts w:asciiTheme="majorBidi" w:hAnsiTheme="majorBidi" w:cstheme="majorBidi"/>
          <w:sz w:val="18"/>
          <w:szCs w:val="18"/>
          <w:rtl/>
        </w:rPr>
        <w:t>.</w:t>
      </w:r>
    </w:p>
    <w:p w:rsidR="00582588" w:rsidRPr="00F32E8A" w:rsidRDefault="00582588" w:rsidP="00F32E8A">
      <w:pPr>
        <w:pStyle w:val="ListParagraph"/>
        <w:numPr>
          <w:ilvl w:val="0"/>
          <w:numId w:val="1"/>
        </w:numPr>
        <w:spacing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Amare A, Zenebe G, Hammack J,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 xml:space="preserve"> Status epilepticus: Clinical presentation, cause outcome, and predictors of death in Ethiopian patients. Epilepsia, 2008; 49: 600-607.</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b/>
          <w:bCs/>
          <w:sz w:val="18"/>
          <w:szCs w:val="18"/>
        </w:rPr>
      </w:pPr>
      <w:r w:rsidRPr="00F32E8A">
        <w:rPr>
          <w:rFonts w:asciiTheme="majorBidi" w:hAnsiTheme="majorBidi" w:cstheme="majorBidi"/>
          <w:b/>
          <w:bCs/>
          <w:sz w:val="18"/>
          <w:szCs w:val="18"/>
        </w:rPr>
        <w:lastRenderedPageBreak/>
        <w:t xml:space="preserve">Rossetti A, Hurwitz, G Logroscino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 xml:space="preserve"> Prognosis of status epilepticus: role of etiology, age, and consciousness impairment at presentation. J Neurology Neurosurgery Psychiatry 2006; 77:611–615.</w:t>
      </w:r>
    </w:p>
    <w:p w:rsidR="00582588" w:rsidRPr="00F32E8A" w:rsidRDefault="00582588" w:rsidP="00F32E8A">
      <w:pPr>
        <w:pStyle w:val="ListParagraph"/>
        <w:numPr>
          <w:ilvl w:val="0"/>
          <w:numId w:val="1"/>
        </w:numPr>
        <w:spacing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Moghaddasi M, Joodat R and Ataei E. </w:t>
      </w:r>
      <w:r w:rsidRPr="00F32E8A">
        <w:rPr>
          <w:rFonts w:asciiTheme="majorBidi" w:hAnsiTheme="majorBidi" w:cstheme="majorBidi"/>
          <w:sz w:val="18"/>
          <w:szCs w:val="18"/>
        </w:rPr>
        <w:t>Evaluation of short-term mortality of status epilepticus and its risk factors. Journal of epilepsy research 2015; 5(1): 13-15.</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Joyalakshmi S, Ruikar D, Sudhindra V,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Determinants and predictors of outcome in super refractory status epilepticus-A developing country perspective. Epilepsy Res 2014; 108(9):1609-1617.</w:t>
      </w:r>
    </w:p>
    <w:p w:rsidR="00582588" w:rsidRPr="00F32E8A" w:rsidRDefault="00582588" w:rsidP="00F32E8A">
      <w:pPr>
        <w:pStyle w:val="ListParagraph"/>
        <w:numPr>
          <w:ilvl w:val="0"/>
          <w:numId w:val="1"/>
        </w:numPr>
        <w:spacing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Kang B, Jhang Y, Kim Y,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 xml:space="preserve"> Etiology and prognosis of nonconvulsive status epilepticus. J Clin Neurosci 2014; 21(11):1915-1919</w:t>
      </w:r>
      <w:r w:rsidRPr="00F32E8A">
        <w:rPr>
          <w:rFonts w:asciiTheme="majorBidi" w:hAnsiTheme="majorBidi" w:cstheme="majorBidi"/>
          <w:sz w:val="18"/>
          <w:szCs w:val="18"/>
          <w:rtl/>
        </w:rPr>
        <w:t>.</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Kumar M, Kumari R, Narain N. </w:t>
      </w:r>
      <w:r w:rsidRPr="00F32E8A">
        <w:rPr>
          <w:rFonts w:asciiTheme="majorBidi" w:hAnsiTheme="majorBidi" w:cstheme="majorBidi"/>
          <w:sz w:val="18"/>
          <w:szCs w:val="18"/>
        </w:rPr>
        <w:t>Clinical Profile of Status Epilepticus (SE) in Children in a Tertiary Care Hospital in Bihar. J Clin Diagnosis Res 2014; 8(7):14-17.</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Vooturi S, Jayalakshmi S, Sahu S,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Prognosis and predictors of outcome of refractory generalized convulsive status epilepticus in adults treated in neurointensive care unit. Clin Neurology Neurosurgery 2014; 126:7-10.</w:t>
      </w:r>
    </w:p>
    <w:p w:rsidR="00582588" w:rsidRPr="00F32E8A" w:rsidRDefault="00582588" w:rsidP="00F32E8A">
      <w:pPr>
        <w:pStyle w:val="ListParagraph"/>
        <w:numPr>
          <w:ilvl w:val="0"/>
          <w:numId w:val="1"/>
        </w:numPr>
        <w:spacing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Dhakar M, Sivakumar S, Bhattacharya P,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A retrospective cross-sectional study of the prevalence of generalized convulsive status epilepticus in traumatic brain injury: United States 2002–2010. Seizure 2015; 32: 16-22.</w:t>
      </w:r>
      <w:r w:rsidRPr="00F32E8A">
        <w:rPr>
          <w:rFonts w:asciiTheme="majorBidi" w:hAnsiTheme="majorBidi" w:cstheme="majorBidi"/>
          <w:sz w:val="18"/>
          <w:szCs w:val="18"/>
          <w:rtl/>
        </w:rPr>
        <w:t xml:space="preserve"> ‏</w:t>
      </w:r>
    </w:p>
    <w:p w:rsidR="00582588" w:rsidRPr="00F32E8A" w:rsidRDefault="00582588" w:rsidP="00F32E8A">
      <w:pPr>
        <w:pStyle w:val="ListParagraph"/>
        <w:numPr>
          <w:ilvl w:val="0"/>
          <w:numId w:val="1"/>
        </w:numPr>
        <w:spacing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Treiman D, Meyers P, Walton N, </w:t>
      </w:r>
      <w:r w:rsidRPr="00F32E8A">
        <w:rPr>
          <w:rFonts w:asciiTheme="majorBidi" w:hAnsiTheme="majorBidi" w:cstheme="majorBidi"/>
          <w:b/>
          <w:bCs/>
          <w:i/>
          <w:iCs/>
          <w:sz w:val="18"/>
          <w:szCs w:val="18"/>
        </w:rPr>
        <w:t>et al.</w:t>
      </w:r>
      <w:r w:rsidRPr="00F32E8A">
        <w:rPr>
          <w:rFonts w:asciiTheme="majorBidi" w:hAnsiTheme="majorBidi" w:cstheme="majorBidi"/>
          <w:sz w:val="18"/>
          <w:szCs w:val="18"/>
        </w:rPr>
        <w:t>A comparison of four treatments for generalized convulsive status epilepticus. Veterans Affairs Status Epilepticus Cooperative Study Group. N Engl J Med 1998; 339: 792-8.</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Thundiyil J, Kearney T, Olson K. </w:t>
      </w:r>
      <w:r w:rsidRPr="00F32E8A">
        <w:rPr>
          <w:rFonts w:asciiTheme="majorBidi" w:hAnsiTheme="majorBidi" w:cstheme="majorBidi"/>
          <w:sz w:val="18"/>
          <w:szCs w:val="18"/>
        </w:rPr>
        <w:t>Evolving epidemiology of drug induced seizures reported to a poison control center system. J Med Toxicology. 2007; 3:15–19.</w:t>
      </w:r>
    </w:p>
    <w:p w:rsidR="00582588" w:rsidRPr="00F32E8A" w:rsidRDefault="00582588" w:rsidP="00F32E8A">
      <w:pPr>
        <w:pStyle w:val="ListParagraph"/>
        <w:keepLines/>
        <w:widowControl w:val="0"/>
        <w:numPr>
          <w:ilvl w:val="0"/>
          <w:numId w:val="1"/>
        </w:numPr>
        <w:spacing w:before="240" w:line="240" w:lineRule="auto"/>
        <w:ind w:left="426"/>
        <w:jc w:val="both"/>
        <w:rPr>
          <w:rFonts w:asciiTheme="majorBidi" w:hAnsiTheme="majorBidi" w:cstheme="majorBidi"/>
          <w:sz w:val="18"/>
          <w:szCs w:val="18"/>
        </w:rPr>
      </w:pPr>
      <w:r w:rsidRPr="00F32E8A">
        <w:rPr>
          <w:rFonts w:asciiTheme="majorBidi" w:hAnsiTheme="majorBidi" w:cstheme="majorBidi"/>
          <w:b/>
          <w:bCs/>
          <w:sz w:val="18"/>
          <w:szCs w:val="18"/>
        </w:rPr>
        <w:t xml:space="preserve">Lowenstein D and Alldredge B. </w:t>
      </w:r>
      <w:r w:rsidRPr="00F32E8A">
        <w:rPr>
          <w:rFonts w:asciiTheme="majorBidi" w:hAnsiTheme="majorBidi" w:cstheme="majorBidi"/>
          <w:sz w:val="18"/>
          <w:szCs w:val="18"/>
        </w:rPr>
        <w:t>Status epilepticus at an urban public hospital in the 1980s. Neurology1993; 43:483–8.</w:t>
      </w:r>
    </w:p>
    <w:bookmarkEnd w:id="11"/>
    <w:p w:rsidR="00BD7DE8" w:rsidRPr="00F32E8A" w:rsidRDefault="00BD7DE8" w:rsidP="00F32E8A">
      <w:pPr>
        <w:pStyle w:val="ListParagraph"/>
        <w:widowControl w:val="0"/>
        <w:snapToGrid w:val="0"/>
        <w:spacing w:after="0" w:line="240" w:lineRule="auto"/>
        <w:ind w:left="426" w:hanging="425"/>
        <w:jc w:val="both"/>
        <w:rPr>
          <w:rFonts w:asciiTheme="majorBidi" w:hAnsiTheme="majorBidi" w:cstheme="majorBidi"/>
          <w:sz w:val="18"/>
          <w:szCs w:val="18"/>
        </w:rPr>
        <w:sectPr w:rsidR="00BD7DE8" w:rsidRPr="00F32E8A" w:rsidSect="00BD7DE8">
          <w:headerReference w:type="default" r:id="rId27"/>
          <w:footerReference w:type="default" r:id="rId28"/>
          <w:type w:val="continuous"/>
          <w:pgSz w:w="12242" w:h="15842" w:code="1"/>
          <w:pgMar w:top="1440" w:right="1440" w:bottom="1440" w:left="1440" w:header="720" w:footer="720" w:gutter="0"/>
          <w:cols w:num="2" w:space="600"/>
          <w:docGrid w:linePitch="360"/>
        </w:sectPr>
      </w:pPr>
    </w:p>
    <w:p w:rsidR="00F32E8A" w:rsidRDefault="00F32E8A" w:rsidP="00F32E8A">
      <w:pPr>
        <w:snapToGrid w:val="0"/>
        <w:ind w:left="426" w:hanging="425"/>
        <w:jc w:val="both"/>
        <w:rPr>
          <w:rFonts w:asciiTheme="majorBidi" w:hAnsiTheme="majorBidi" w:cstheme="majorBidi"/>
          <w:sz w:val="18"/>
          <w:szCs w:val="18"/>
          <w:lang w:bidi="ar-EG"/>
        </w:rPr>
      </w:pPr>
    </w:p>
    <w:p w:rsidR="00300BA5" w:rsidRPr="00F32E8A" w:rsidRDefault="00D43264" w:rsidP="00F32E8A">
      <w:pPr>
        <w:snapToGrid w:val="0"/>
        <w:ind w:left="426" w:hanging="425"/>
        <w:jc w:val="both"/>
        <w:rPr>
          <w:rFonts w:asciiTheme="majorBidi" w:hAnsiTheme="majorBidi" w:cstheme="majorBidi"/>
          <w:sz w:val="18"/>
          <w:szCs w:val="18"/>
          <w:lang w:bidi="ar-EG"/>
        </w:rPr>
      </w:pPr>
      <w:r w:rsidRPr="00F32E8A">
        <w:rPr>
          <w:rFonts w:asciiTheme="majorBidi" w:hAnsiTheme="majorBidi" w:cstheme="majorBidi"/>
          <w:sz w:val="18"/>
          <w:szCs w:val="18"/>
          <w:lang w:bidi="ar-EG"/>
        </w:rPr>
        <w:t>12/2</w:t>
      </w:r>
      <w:r w:rsidR="00C05EB6" w:rsidRPr="00F32E8A">
        <w:rPr>
          <w:rFonts w:asciiTheme="majorBidi" w:hAnsiTheme="majorBidi" w:cstheme="majorBidi"/>
          <w:sz w:val="18"/>
          <w:szCs w:val="18"/>
          <w:lang w:eastAsia="zh-CN" w:bidi="ar-EG"/>
        </w:rPr>
        <w:t>5</w:t>
      </w:r>
      <w:r w:rsidRPr="00F32E8A">
        <w:rPr>
          <w:rFonts w:asciiTheme="majorBidi" w:hAnsiTheme="majorBidi" w:cstheme="majorBidi"/>
          <w:sz w:val="18"/>
          <w:szCs w:val="18"/>
          <w:lang w:bidi="ar-EG"/>
        </w:rPr>
        <w:t>/2016</w:t>
      </w:r>
    </w:p>
    <w:sectPr w:rsidR="00300BA5" w:rsidRPr="00F32E8A" w:rsidSect="007B2D11">
      <w:headerReference w:type="default" r:id="rId29"/>
      <w:footerReference w:type="default" r:id="rId30"/>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E0B" w:rsidRDefault="00477E0B">
      <w:r>
        <w:separator/>
      </w:r>
    </w:p>
  </w:endnote>
  <w:endnote w:type="continuationSeparator" w:id="1">
    <w:p w:rsidR="00477E0B" w:rsidRDefault="00477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4BD05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0C52FE" w:rsidP="00D43264">
    <w:pPr>
      <w:jc w:val="center"/>
      <w:rPr>
        <w:sz w:val="20"/>
      </w:rPr>
    </w:pPr>
    <w:r w:rsidRPr="00D43264">
      <w:rPr>
        <w:sz w:val="20"/>
      </w:rPr>
      <w:fldChar w:fldCharType="begin"/>
    </w:r>
    <w:r w:rsidR="0067459C" w:rsidRPr="00D43264">
      <w:rPr>
        <w:sz w:val="20"/>
      </w:rPr>
      <w:instrText xml:space="preserve"> page </w:instrText>
    </w:r>
    <w:r w:rsidRPr="00D43264">
      <w:rPr>
        <w:sz w:val="20"/>
      </w:rPr>
      <w:fldChar w:fldCharType="separate"/>
    </w:r>
    <w:r w:rsidR="00F32E8A">
      <w:rPr>
        <w:noProof/>
        <w:sz w:val="20"/>
      </w:rPr>
      <w:t>122</w:t>
    </w:r>
    <w:r w:rsidRPr="00D4326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0C52FE" w:rsidP="00D43264">
    <w:pPr>
      <w:jc w:val="center"/>
      <w:rPr>
        <w:sz w:val="20"/>
      </w:rPr>
    </w:pPr>
    <w:r w:rsidRPr="00D43264">
      <w:rPr>
        <w:sz w:val="20"/>
      </w:rPr>
      <w:fldChar w:fldCharType="begin"/>
    </w:r>
    <w:r w:rsidR="0067459C" w:rsidRPr="00D43264">
      <w:rPr>
        <w:sz w:val="20"/>
      </w:rPr>
      <w:instrText xml:space="preserve"> page </w:instrText>
    </w:r>
    <w:r w:rsidRPr="00D43264">
      <w:rPr>
        <w:sz w:val="20"/>
      </w:rPr>
      <w:fldChar w:fldCharType="separate"/>
    </w:r>
    <w:r w:rsidR="00F32E8A">
      <w:rPr>
        <w:noProof/>
        <w:sz w:val="20"/>
      </w:rPr>
      <w:t>125</w:t>
    </w:r>
    <w:r w:rsidRPr="00D4326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0C52FE" w:rsidP="00D43264">
    <w:pPr>
      <w:jc w:val="center"/>
      <w:rPr>
        <w:sz w:val="20"/>
      </w:rPr>
    </w:pPr>
    <w:r w:rsidRPr="00D43264">
      <w:rPr>
        <w:sz w:val="20"/>
      </w:rPr>
      <w:fldChar w:fldCharType="begin"/>
    </w:r>
    <w:r w:rsidR="0067459C" w:rsidRPr="00D43264">
      <w:rPr>
        <w:sz w:val="20"/>
      </w:rPr>
      <w:instrText xml:space="preserve"> page </w:instrText>
    </w:r>
    <w:r w:rsidRPr="00D43264">
      <w:rPr>
        <w:sz w:val="20"/>
      </w:rPr>
      <w:fldChar w:fldCharType="separate"/>
    </w:r>
    <w:r w:rsidR="00F32E8A">
      <w:rPr>
        <w:noProof/>
        <w:sz w:val="20"/>
      </w:rPr>
      <w:t>128</w:t>
    </w:r>
    <w:r w:rsidRPr="00D43264">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0C52FE" w:rsidP="00D43264">
    <w:pPr>
      <w:jc w:val="center"/>
      <w:rPr>
        <w:sz w:val="20"/>
      </w:rPr>
    </w:pPr>
    <w:r w:rsidRPr="00D43264">
      <w:rPr>
        <w:sz w:val="20"/>
      </w:rPr>
      <w:fldChar w:fldCharType="begin"/>
    </w:r>
    <w:r w:rsidR="0067459C" w:rsidRPr="00D43264">
      <w:rPr>
        <w:sz w:val="20"/>
      </w:rPr>
      <w:instrText xml:space="preserve"> page </w:instrText>
    </w:r>
    <w:r w:rsidRPr="00D43264">
      <w:rPr>
        <w:sz w:val="20"/>
      </w:rPr>
      <w:fldChar w:fldCharType="separate"/>
    </w:r>
    <w:r w:rsidR="00F32E8A">
      <w:rPr>
        <w:noProof/>
        <w:sz w:val="20"/>
      </w:rPr>
      <w:t>131</w:t>
    </w:r>
    <w:r w:rsidRPr="00D4326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0C52FE" w:rsidP="00D43264">
    <w:pPr>
      <w:jc w:val="center"/>
      <w:rPr>
        <w:sz w:val="20"/>
      </w:rPr>
    </w:pPr>
    <w:r w:rsidRPr="00D43264">
      <w:rPr>
        <w:sz w:val="20"/>
      </w:rPr>
      <w:fldChar w:fldCharType="begin"/>
    </w:r>
    <w:r w:rsidR="0067459C" w:rsidRPr="00D43264">
      <w:rPr>
        <w:sz w:val="20"/>
      </w:rPr>
      <w:instrText xml:space="preserve"> page </w:instrText>
    </w:r>
    <w:r w:rsidRPr="00D43264">
      <w:rPr>
        <w:sz w:val="20"/>
      </w:rPr>
      <w:fldChar w:fldCharType="separate"/>
    </w:r>
    <w:r w:rsidR="00F32E8A">
      <w:rPr>
        <w:noProof/>
        <w:sz w:val="20"/>
      </w:rPr>
      <w:t>132</w:t>
    </w:r>
    <w:r w:rsidRPr="00D4326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E0B" w:rsidRDefault="00477E0B">
      <w:r>
        <w:separator/>
      </w:r>
    </w:p>
  </w:footnote>
  <w:footnote w:type="continuationSeparator" w:id="1">
    <w:p w:rsidR="00477E0B" w:rsidRDefault="00477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67459C" w:rsidP="00D43264">
    <w:pPr>
      <w:pBdr>
        <w:bottom w:val="thinThickMediumGap" w:sz="12" w:space="1" w:color="auto"/>
      </w:pBdr>
      <w:tabs>
        <w:tab w:val="left" w:pos="851"/>
        <w:tab w:val="right" w:pos="8364"/>
      </w:tabs>
      <w:adjustRightInd w:val="0"/>
      <w:snapToGrid w:val="0"/>
      <w:jc w:val="both"/>
      <w:rPr>
        <w:iCs/>
        <w:sz w:val="20"/>
        <w:szCs w:val="20"/>
      </w:rPr>
    </w:pPr>
    <w:r w:rsidRPr="00D43264">
      <w:rPr>
        <w:rFonts w:hint="eastAsia"/>
        <w:sz w:val="20"/>
        <w:szCs w:val="20"/>
      </w:rPr>
      <w:tab/>
    </w:r>
    <w:r w:rsidRPr="00D43264">
      <w:rPr>
        <w:sz w:val="20"/>
        <w:szCs w:val="20"/>
      </w:rPr>
      <w:t>New York Science Journal 201</w:t>
    </w:r>
    <w:r w:rsidRPr="00D43264">
      <w:rPr>
        <w:rFonts w:hint="eastAsia"/>
        <w:sz w:val="20"/>
        <w:szCs w:val="20"/>
      </w:rPr>
      <w:t>6</w:t>
    </w:r>
    <w:r w:rsidRPr="00D43264">
      <w:rPr>
        <w:sz w:val="20"/>
        <w:szCs w:val="20"/>
      </w:rPr>
      <w:t>;</w:t>
    </w:r>
    <w:r w:rsidRPr="00D43264">
      <w:rPr>
        <w:rFonts w:hint="eastAsia"/>
        <w:sz w:val="20"/>
        <w:szCs w:val="20"/>
      </w:rPr>
      <w:t>9</w:t>
    </w:r>
    <w:r w:rsidRPr="00D43264">
      <w:rPr>
        <w:sz w:val="20"/>
        <w:szCs w:val="20"/>
      </w:rPr>
      <w:t>(</w:t>
    </w:r>
    <w:r w:rsidRPr="00D43264">
      <w:rPr>
        <w:rFonts w:hint="eastAsia"/>
        <w:sz w:val="20"/>
        <w:szCs w:val="20"/>
      </w:rPr>
      <w:t>12</w:t>
    </w:r>
    <w:r w:rsidRPr="00D43264">
      <w:rPr>
        <w:sz w:val="20"/>
        <w:szCs w:val="20"/>
      </w:rPr>
      <w:t>)</w:t>
    </w:r>
    <w:r w:rsidRPr="00D43264">
      <w:rPr>
        <w:rFonts w:hint="eastAsia"/>
        <w:iCs/>
        <w:sz w:val="20"/>
        <w:szCs w:val="20"/>
      </w:rPr>
      <w:tab/>
    </w:r>
    <w:hyperlink r:id="rId1" w:history="1">
      <w:r w:rsidRPr="00D43264">
        <w:rPr>
          <w:rStyle w:val="Hyperlink"/>
          <w:sz w:val="20"/>
          <w:szCs w:val="20"/>
        </w:rPr>
        <w:t>http://www.sciencepub.net/newyork</w:t>
      </w:r>
    </w:hyperlink>
  </w:p>
  <w:p w:rsidR="0067459C" w:rsidRPr="00D43264" w:rsidRDefault="0067459C" w:rsidP="00D4326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67459C" w:rsidP="00D43264">
    <w:pPr>
      <w:pBdr>
        <w:bottom w:val="thinThickMediumGap" w:sz="12" w:space="1" w:color="auto"/>
      </w:pBdr>
      <w:tabs>
        <w:tab w:val="left" w:pos="851"/>
        <w:tab w:val="right" w:pos="8364"/>
      </w:tabs>
      <w:adjustRightInd w:val="0"/>
      <w:snapToGrid w:val="0"/>
      <w:jc w:val="both"/>
      <w:rPr>
        <w:iCs/>
        <w:sz w:val="20"/>
        <w:szCs w:val="20"/>
      </w:rPr>
    </w:pPr>
    <w:r w:rsidRPr="00D43264">
      <w:rPr>
        <w:rFonts w:hint="eastAsia"/>
        <w:sz w:val="20"/>
        <w:szCs w:val="20"/>
      </w:rPr>
      <w:tab/>
    </w:r>
    <w:r w:rsidRPr="00D43264">
      <w:rPr>
        <w:sz w:val="20"/>
        <w:szCs w:val="20"/>
      </w:rPr>
      <w:t>New York Science Journal 201</w:t>
    </w:r>
    <w:r w:rsidRPr="00D43264">
      <w:rPr>
        <w:rFonts w:hint="eastAsia"/>
        <w:sz w:val="20"/>
        <w:szCs w:val="20"/>
      </w:rPr>
      <w:t>6</w:t>
    </w:r>
    <w:r w:rsidRPr="00D43264">
      <w:rPr>
        <w:sz w:val="20"/>
        <w:szCs w:val="20"/>
      </w:rPr>
      <w:t>;</w:t>
    </w:r>
    <w:r w:rsidRPr="00D43264">
      <w:rPr>
        <w:rFonts w:hint="eastAsia"/>
        <w:sz w:val="20"/>
        <w:szCs w:val="20"/>
      </w:rPr>
      <w:t>9</w:t>
    </w:r>
    <w:r w:rsidRPr="00D43264">
      <w:rPr>
        <w:sz w:val="20"/>
        <w:szCs w:val="20"/>
      </w:rPr>
      <w:t>(</w:t>
    </w:r>
    <w:r w:rsidRPr="00D43264">
      <w:rPr>
        <w:rFonts w:hint="eastAsia"/>
        <w:sz w:val="20"/>
        <w:szCs w:val="20"/>
      </w:rPr>
      <w:t>12</w:t>
    </w:r>
    <w:r w:rsidRPr="00D43264">
      <w:rPr>
        <w:sz w:val="20"/>
        <w:szCs w:val="20"/>
      </w:rPr>
      <w:t>)</w:t>
    </w:r>
    <w:r w:rsidRPr="00D43264">
      <w:rPr>
        <w:rFonts w:hint="eastAsia"/>
        <w:iCs/>
        <w:sz w:val="20"/>
        <w:szCs w:val="20"/>
      </w:rPr>
      <w:tab/>
    </w:r>
    <w:hyperlink r:id="rId1" w:history="1">
      <w:r w:rsidRPr="00D43264">
        <w:rPr>
          <w:rStyle w:val="Hyperlink"/>
          <w:sz w:val="20"/>
          <w:szCs w:val="20"/>
        </w:rPr>
        <w:t>http://www.sciencepub.net/newyork</w:t>
      </w:r>
    </w:hyperlink>
  </w:p>
  <w:p w:rsidR="0067459C" w:rsidRPr="00D43264" w:rsidRDefault="0067459C" w:rsidP="00D4326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67459C" w:rsidP="00D43264">
    <w:pPr>
      <w:pBdr>
        <w:bottom w:val="thinThickMediumGap" w:sz="12" w:space="1" w:color="auto"/>
      </w:pBdr>
      <w:tabs>
        <w:tab w:val="left" w:pos="851"/>
        <w:tab w:val="right" w:pos="8364"/>
      </w:tabs>
      <w:adjustRightInd w:val="0"/>
      <w:snapToGrid w:val="0"/>
      <w:jc w:val="both"/>
      <w:rPr>
        <w:iCs/>
        <w:sz w:val="20"/>
        <w:szCs w:val="20"/>
      </w:rPr>
    </w:pPr>
    <w:r w:rsidRPr="00D43264">
      <w:rPr>
        <w:rFonts w:hint="eastAsia"/>
        <w:sz w:val="20"/>
        <w:szCs w:val="20"/>
      </w:rPr>
      <w:tab/>
    </w:r>
    <w:r w:rsidRPr="00D43264">
      <w:rPr>
        <w:sz w:val="20"/>
        <w:szCs w:val="20"/>
      </w:rPr>
      <w:t>New York Science Journal 201</w:t>
    </w:r>
    <w:r w:rsidRPr="00D43264">
      <w:rPr>
        <w:rFonts w:hint="eastAsia"/>
        <w:sz w:val="20"/>
        <w:szCs w:val="20"/>
      </w:rPr>
      <w:t>6</w:t>
    </w:r>
    <w:r w:rsidRPr="00D43264">
      <w:rPr>
        <w:sz w:val="20"/>
        <w:szCs w:val="20"/>
      </w:rPr>
      <w:t>;</w:t>
    </w:r>
    <w:r w:rsidRPr="00D43264">
      <w:rPr>
        <w:rFonts w:hint="eastAsia"/>
        <w:sz w:val="20"/>
        <w:szCs w:val="20"/>
      </w:rPr>
      <w:t>9</w:t>
    </w:r>
    <w:r w:rsidRPr="00D43264">
      <w:rPr>
        <w:sz w:val="20"/>
        <w:szCs w:val="20"/>
      </w:rPr>
      <w:t>(</w:t>
    </w:r>
    <w:r w:rsidRPr="00D43264">
      <w:rPr>
        <w:rFonts w:hint="eastAsia"/>
        <w:sz w:val="20"/>
        <w:szCs w:val="20"/>
      </w:rPr>
      <w:t>12</w:t>
    </w:r>
    <w:r w:rsidRPr="00D43264">
      <w:rPr>
        <w:sz w:val="20"/>
        <w:szCs w:val="20"/>
      </w:rPr>
      <w:t>)</w:t>
    </w:r>
    <w:r w:rsidRPr="00D43264">
      <w:rPr>
        <w:rFonts w:hint="eastAsia"/>
        <w:iCs/>
        <w:sz w:val="20"/>
        <w:szCs w:val="20"/>
      </w:rPr>
      <w:tab/>
    </w:r>
    <w:hyperlink r:id="rId1" w:history="1">
      <w:r w:rsidRPr="00D43264">
        <w:rPr>
          <w:rStyle w:val="Hyperlink"/>
          <w:sz w:val="20"/>
          <w:szCs w:val="20"/>
        </w:rPr>
        <w:t>http://www.sciencepub.net/newyork</w:t>
      </w:r>
    </w:hyperlink>
  </w:p>
  <w:p w:rsidR="0067459C" w:rsidRPr="00D43264" w:rsidRDefault="0067459C" w:rsidP="00D43264">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67459C" w:rsidP="00D43264">
    <w:pPr>
      <w:pBdr>
        <w:bottom w:val="thinThickMediumGap" w:sz="12" w:space="1" w:color="auto"/>
      </w:pBdr>
      <w:tabs>
        <w:tab w:val="left" w:pos="851"/>
        <w:tab w:val="right" w:pos="8364"/>
      </w:tabs>
      <w:adjustRightInd w:val="0"/>
      <w:snapToGrid w:val="0"/>
      <w:jc w:val="both"/>
      <w:rPr>
        <w:iCs/>
        <w:sz w:val="20"/>
        <w:szCs w:val="20"/>
      </w:rPr>
    </w:pPr>
    <w:r w:rsidRPr="00D43264">
      <w:rPr>
        <w:rFonts w:hint="eastAsia"/>
        <w:sz w:val="20"/>
        <w:szCs w:val="20"/>
      </w:rPr>
      <w:tab/>
    </w:r>
    <w:r w:rsidRPr="00D43264">
      <w:rPr>
        <w:sz w:val="20"/>
        <w:szCs w:val="20"/>
      </w:rPr>
      <w:t>New York Science Journal 201</w:t>
    </w:r>
    <w:r w:rsidRPr="00D43264">
      <w:rPr>
        <w:rFonts w:hint="eastAsia"/>
        <w:sz w:val="20"/>
        <w:szCs w:val="20"/>
      </w:rPr>
      <w:t>6</w:t>
    </w:r>
    <w:r w:rsidRPr="00D43264">
      <w:rPr>
        <w:sz w:val="20"/>
        <w:szCs w:val="20"/>
      </w:rPr>
      <w:t>;</w:t>
    </w:r>
    <w:r w:rsidRPr="00D43264">
      <w:rPr>
        <w:rFonts w:hint="eastAsia"/>
        <w:sz w:val="20"/>
        <w:szCs w:val="20"/>
      </w:rPr>
      <w:t>9</w:t>
    </w:r>
    <w:r w:rsidRPr="00D43264">
      <w:rPr>
        <w:sz w:val="20"/>
        <w:szCs w:val="20"/>
      </w:rPr>
      <w:t>(</w:t>
    </w:r>
    <w:r w:rsidRPr="00D43264">
      <w:rPr>
        <w:rFonts w:hint="eastAsia"/>
        <w:sz w:val="20"/>
        <w:szCs w:val="20"/>
      </w:rPr>
      <w:t>12</w:t>
    </w:r>
    <w:r w:rsidRPr="00D43264">
      <w:rPr>
        <w:sz w:val="20"/>
        <w:szCs w:val="20"/>
      </w:rPr>
      <w:t>)</w:t>
    </w:r>
    <w:r w:rsidRPr="00D43264">
      <w:rPr>
        <w:rFonts w:hint="eastAsia"/>
        <w:iCs/>
        <w:sz w:val="20"/>
        <w:szCs w:val="20"/>
      </w:rPr>
      <w:tab/>
    </w:r>
    <w:hyperlink r:id="rId1" w:history="1">
      <w:r w:rsidRPr="00D43264">
        <w:rPr>
          <w:rStyle w:val="Hyperlink"/>
          <w:sz w:val="20"/>
          <w:szCs w:val="20"/>
        </w:rPr>
        <w:t>http://www.sciencepub.net/newyork</w:t>
      </w:r>
    </w:hyperlink>
  </w:p>
  <w:p w:rsidR="0067459C" w:rsidRPr="00D43264" w:rsidRDefault="0067459C" w:rsidP="00D43264">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C" w:rsidRPr="00D43264" w:rsidRDefault="0067459C" w:rsidP="00D43264">
    <w:pPr>
      <w:pBdr>
        <w:bottom w:val="thinThickMediumGap" w:sz="12" w:space="1" w:color="auto"/>
      </w:pBdr>
      <w:tabs>
        <w:tab w:val="left" w:pos="851"/>
        <w:tab w:val="right" w:pos="8364"/>
      </w:tabs>
      <w:adjustRightInd w:val="0"/>
      <w:snapToGrid w:val="0"/>
      <w:jc w:val="both"/>
      <w:rPr>
        <w:iCs/>
        <w:sz w:val="20"/>
        <w:szCs w:val="20"/>
      </w:rPr>
    </w:pPr>
    <w:r w:rsidRPr="00D43264">
      <w:rPr>
        <w:rFonts w:hint="eastAsia"/>
        <w:sz w:val="20"/>
        <w:szCs w:val="20"/>
      </w:rPr>
      <w:tab/>
    </w:r>
    <w:r w:rsidRPr="00D43264">
      <w:rPr>
        <w:sz w:val="20"/>
        <w:szCs w:val="20"/>
      </w:rPr>
      <w:t>New York Science Journal 201</w:t>
    </w:r>
    <w:r w:rsidRPr="00D43264">
      <w:rPr>
        <w:rFonts w:hint="eastAsia"/>
        <w:sz w:val="20"/>
        <w:szCs w:val="20"/>
      </w:rPr>
      <w:t>6</w:t>
    </w:r>
    <w:r w:rsidRPr="00D43264">
      <w:rPr>
        <w:sz w:val="20"/>
        <w:szCs w:val="20"/>
      </w:rPr>
      <w:t>;</w:t>
    </w:r>
    <w:r w:rsidRPr="00D43264">
      <w:rPr>
        <w:rFonts w:hint="eastAsia"/>
        <w:sz w:val="20"/>
        <w:szCs w:val="20"/>
      </w:rPr>
      <w:t>9</w:t>
    </w:r>
    <w:r w:rsidRPr="00D43264">
      <w:rPr>
        <w:sz w:val="20"/>
        <w:szCs w:val="20"/>
      </w:rPr>
      <w:t>(</w:t>
    </w:r>
    <w:r w:rsidRPr="00D43264">
      <w:rPr>
        <w:rFonts w:hint="eastAsia"/>
        <w:sz w:val="20"/>
        <w:szCs w:val="20"/>
      </w:rPr>
      <w:t>12</w:t>
    </w:r>
    <w:r w:rsidRPr="00D43264">
      <w:rPr>
        <w:sz w:val="20"/>
        <w:szCs w:val="20"/>
      </w:rPr>
      <w:t>)</w:t>
    </w:r>
    <w:r w:rsidRPr="00D43264">
      <w:rPr>
        <w:rFonts w:hint="eastAsia"/>
        <w:iCs/>
        <w:sz w:val="20"/>
        <w:szCs w:val="20"/>
      </w:rPr>
      <w:tab/>
    </w:r>
    <w:hyperlink r:id="rId1" w:history="1">
      <w:r w:rsidRPr="00D43264">
        <w:rPr>
          <w:rStyle w:val="Hyperlink"/>
          <w:sz w:val="20"/>
          <w:szCs w:val="20"/>
        </w:rPr>
        <w:t>http://www.sciencepub.net/newyork</w:t>
      </w:r>
    </w:hyperlink>
  </w:p>
  <w:p w:rsidR="0067459C" w:rsidRPr="00D43264" w:rsidRDefault="0067459C" w:rsidP="00D4326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874C6"/>
    <w:multiLevelType w:val="hybridMultilevel"/>
    <w:tmpl w:val="38B273F0"/>
    <w:lvl w:ilvl="0" w:tplc="317600D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8194">
      <o:colormru v:ext="edit" colors="#eaeaea"/>
    </o:shapedefaults>
  </w:hdrShapeDefaults>
  <w:footnotePr>
    <w:footnote w:id="0"/>
    <w:footnote w:id="1"/>
  </w:footnotePr>
  <w:endnotePr>
    <w:endnote w:id="0"/>
    <w:endnote w:id="1"/>
  </w:endnotePr>
  <w:compat>
    <w:useFELayout/>
  </w:compat>
  <w:rsids>
    <w:rsidRoot w:val="00CC34D6"/>
    <w:rsid w:val="000172E9"/>
    <w:rsid w:val="00017E78"/>
    <w:rsid w:val="00021856"/>
    <w:rsid w:val="00036696"/>
    <w:rsid w:val="00043D4D"/>
    <w:rsid w:val="000476A7"/>
    <w:rsid w:val="000524C8"/>
    <w:rsid w:val="00052FDA"/>
    <w:rsid w:val="00062A23"/>
    <w:rsid w:val="00072EFC"/>
    <w:rsid w:val="00081D84"/>
    <w:rsid w:val="00082331"/>
    <w:rsid w:val="0009548F"/>
    <w:rsid w:val="000A08A0"/>
    <w:rsid w:val="000A654D"/>
    <w:rsid w:val="000A7D5C"/>
    <w:rsid w:val="000B543E"/>
    <w:rsid w:val="000C0E32"/>
    <w:rsid w:val="000C52FE"/>
    <w:rsid w:val="000D0EA6"/>
    <w:rsid w:val="000D19D6"/>
    <w:rsid w:val="000D39C5"/>
    <w:rsid w:val="000D553A"/>
    <w:rsid w:val="000D5D3D"/>
    <w:rsid w:val="000D7398"/>
    <w:rsid w:val="000E076B"/>
    <w:rsid w:val="000E08DD"/>
    <w:rsid w:val="000E54F0"/>
    <w:rsid w:val="000F3A11"/>
    <w:rsid w:val="000F4C02"/>
    <w:rsid w:val="001118EF"/>
    <w:rsid w:val="00111913"/>
    <w:rsid w:val="0011270A"/>
    <w:rsid w:val="001175AA"/>
    <w:rsid w:val="001178A2"/>
    <w:rsid w:val="00124C80"/>
    <w:rsid w:val="00125F63"/>
    <w:rsid w:val="001269C8"/>
    <w:rsid w:val="001278F3"/>
    <w:rsid w:val="0013007C"/>
    <w:rsid w:val="00141060"/>
    <w:rsid w:val="001521A0"/>
    <w:rsid w:val="00153A7C"/>
    <w:rsid w:val="0016048D"/>
    <w:rsid w:val="00163F76"/>
    <w:rsid w:val="001643A3"/>
    <w:rsid w:val="001756F0"/>
    <w:rsid w:val="001859D9"/>
    <w:rsid w:val="00185B31"/>
    <w:rsid w:val="00196058"/>
    <w:rsid w:val="001A3403"/>
    <w:rsid w:val="001A3E25"/>
    <w:rsid w:val="001A588F"/>
    <w:rsid w:val="001A5B70"/>
    <w:rsid w:val="001A6FBD"/>
    <w:rsid w:val="001B6D00"/>
    <w:rsid w:val="001C02EA"/>
    <w:rsid w:val="001D7768"/>
    <w:rsid w:val="001E1CAE"/>
    <w:rsid w:val="001E2988"/>
    <w:rsid w:val="001E5D56"/>
    <w:rsid w:val="001F0691"/>
    <w:rsid w:val="001F4095"/>
    <w:rsid w:val="0020545C"/>
    <w:rsid w:val="0021337E"/>
    <w:rsid w:val="00215EBA"/>
    <w:rsid w:val="00221065"/>
    <w:rsid w:val="002232E8"/>
    <w:rsid w:val="00230D0B"/>
    <w:rsid w:val="00230D26"/>
    <w:rsid w:val="00232FC2"/>
    <w:rsid w:val="00233AC7"/>
    <w:rsid w:val="00233EED"/>
    <w:rsid w:val="00237117"/>
    <w:rsid w:val="00241C8D"/>
    <w:rsid w:val="00244CD5"/>
    <w:rsid w:val="00250EEA"/>
    <w:rsid w:val="002536DC"/>
    <w:rsid w:val="00262AD6"/>
    <w:rsid w:val="00262B82"/>
    <w:rsid w:val="00272038"/>
    <w:rsid w:val="00275EDA"/>
    <w:rsid w:val="00282286"/>
    <w:rsid w:val="002826A2"/>
    <w:rsid w:val="00283B41"/>
    <w:rsid w:val="002A7314"/>
    <w:rsid w:val="002C1EBF"/>
    <w:rsid w:val="002C38BB"/>
    <w:rsid w:val="002C5099"/>
    <w:rsid w:val="002D06EF"/>
    <w:rsid w:val="002D2352"/>
    <w:rsid w:val="002D5A71"/>
    <w:rsid w:val="002D72C4"/>
    <w:rsid w:val="002E21FB"/>
    <w:rsid w:val="002F26A6"/>
    <w:rsid w:val="002F7A42"/>
    <w:rsid w:val="002F7CF0"/>
    <w:rsid w:val="00300BA5"/>
    <w:rsid w:val="00305D39"/>
    <w:rsid w:val="0031457F"/>
    <w:rsid w:val="00314DDD"/>
    <w:rsid w:val="00316DD7"/>
    <w:rsid w:val="00322164"/>
    <w:rsid w:val="00322CB5"/>
    <w:rsid w:val="0033667E"/>
    <w:rsid w:val="00340397"/>
    <w:rsid w:val="00342023"/>
    <w:rsid w:val="003452EF"/>
    <w:rsid w:val="00355F85"/>
    <w:rsid w:val="003566C2"/>
    <w:rsid w:val="003569DA"/>
    <w:rsid w:val="00356F9D"/>
    <w:rsid w:val="00360AE1"/>
    <w:rsid w:val="00360B10"/>
    <w:rsid w:val="00361C15"/>
    <w:rsid w:val="00363DC4"/>
    <w:rsid w:val="00365579"/>
    <w:rsid w:val="00372FF0"/>
    <w:rsid w:val="0037655D"/>
    <w:rsid w:val="0038611D"/>
    <w:rsid w:val="00392689"/>
    <w:rsid w:val="00396343"/>
    <w:rsid w:val="003A3044"/>
    <w:rsid w:val="003A365B"/>
    <w:rsid w:val="003A5A96"/>
    <w:rsid w:val="003A77D3"/>
    <w:rsid w:val="003B021D"/>
    <w:rsid w:val="003B3E25"/>
    <w:rsid w:val="003B4220"/>
    <w:rsid w:val="003B75FB"/>
    <w:rsid w:val="003C454D"/>
    <w:rsid w:val="003C6CB9"/>
    <w:rsid w:val="003D08AD"/>
    <w:rsid w:val="003D18CF"/>
    <w:rsid w:val="003D33FA"/>
    <w:rsid w:val="003E41D5"/>
    <w:rsid w:val="003F2A09"/>
    <w:rsid w:val="003F2D38"/>
    <w:rsid w:val="00403D82"/>
    <w:rsid w:val="00404B62"/>
    <w:rsid w:val="00406CF5"/>
    <w:rsid w:val="004143FF"/>
    <w:rsid w:val="004168F0"/>
    <w:rsid w:val="004178F5"/>
    <w:rsid w:val="00425D13"/>
    <w:rsid w:val="004276A0"/>
    <w:rsid w:val="0044280D"/>
    <w:rsid w:val="00443362"/>
    <w:rsid w:val="00446258"/>
    <w:rsid w:val="0045263A"/>
    <w:rsid w:val="0045462B"/>
    <w:rsid w:val="0045713B"/>
    <w:rsid w:val="004606CD"/>
    <w:rsid w:val="00462599"/>
    <w:rsid w:val="00463652"/>
    <w:rsid w:val="00463825"/>
    <w:rsid w:val="00466135"/>
    <w:rsid w:val="0047112B"/>
    <w:rsid w:val="00473630"/>
    <w:rsid w:val="00477E0B"/>
    <w:rsid w:val="00480C1F"/>
    <w:rsid w:val="00481289"/>
    <w:rsid w:val="00481E3B"/>
    <w:rsid w:val="004949C3"/>
    <w:rsid w:val="00496B4B"/>
    <w:rsid w:val="00496FE1"/>
    <w:rsid w:val="004A6508"/>
    <w:rsid w:val="004B5564"/>
    <w:rsid w:val="004C41CB"/>
    <w:rsid w:val="004C5997"/>
    <w:rsid w:val="004D5BCD"/>
    <w:rsid w:val="004D711D"/>
    <w:rsid w:val="004E12CE"/>
    <w:rsid w:val="004E15EB"/>
    <w:rsid w:val="004E4B10"/>
    <w:rsid w:val="00502D89"/>
    <w:rsid w:val="00505D6D"/>
    <w:rsid w:val="0051148D"/>
    <w:rsid w:val="005118A0"/>
    <w:rsid w:val="00515183"/>
    <w:rsid w:val="0052120E"/>
    <w:rsid w:val="00526FB7"/>
    <w:rsid w:val="00533795"/>
    <w:rsid w:val="00534FB4"/>
    <w:rsid w:val="00537373"/>
    <w:rsid w:val="005406FA"/>
    <w:rsid w:val="00540EAA"/>
    <w:rsid w:val="0054561E"/>
    <w:rsid w:val="00550DA6"/>
    <w:rsid w:val="005525A8"/>
    <w:rsid w:val="005659B6"/>
    <w:rsid w:val="005768A1"/>
    <w:rsid w:val="00577F5E"/>
    <w:rsid w:val="00582588"/>
    <w:rsid w:val="005831B6"/>
    <w:rsid w:val="0058670A"/>
    <w:rsid w:val="005907F3"/>
    <w:rsid w:val="00593B16"/>
    <w:rsid w:val="00595A8C"/>
    <w:rsid w:val="005A3F1F"/>
    <w:rsid w:val="005A45A8"/>
    <w:rsid w:val="005A4A91"/>
    <w:rsid w:val="005A55B8"/>
    <w:rsid w:val="005A7BF0"/>
    <w:rsid w:val="005B133E"/>
    <w:rsid w:val="005B32C7"/>
    <w:rsid w:val="005C035E"/>
    <w:rsid w:val="005C1A35"/>
    <w:rsid w:val="005C5631"/>
    <w:rsid w:val="005D1A98"/>
    <w:rsid w:val="005E0426"/>
    <w:rsid w:val="005E4317"/>
    <w:rsid w:val="005E53D1"/>
    <w:rsid w:val="005F0272"/>
    <w:rsid w:val="005F2A8B"/>
    <w:rsid w:val="006026B8"/>
    <w:rsid w:val="00621B8E"/>
    <w:rsid w:val="006343D2"/>
    <w:rsid w:val="006424D3"/>
    <w:rsid w:val="0065456B"/>
    <w:rsid w:val="0066081C"/>
    <w:rsid w:val="006743D6"/>
    <w:rsid w:val="0067459C"/>
    <w:rsid w:val="00680B43"/>
    <w:rsid w:val="00685E22"/>
    <w:rsid w:val="00694FDD"/>
    <w:rsid w:val="00695567"/>
    <w:rsid w:val="00696089"/>
    <w:rsid w:val="00696ADC"/>
    <w:rsid w:val="006A1E6A"/>
    <w:rsid w:val="006C0E12"/>
    <w:rsid w:val="006C28C9"/>
    <w:rsid w:val="006C304D"/>
    <w:rsid w:val="006C3EDD"/>
    <w:rsid w:val="006C417C"/>
    <w:rsid w:val="006D0787"/>
    <w:rsid w:val="006E026D"/>
    <w:rsid w:val="006E0810"/>
    <w:rsid w:val="006E18C2"/>
    <w:rsid w:val="006E6BCF"/>
    <w:rsid w:val="006E7D11"/>
    <w:rsid w:val="006F161D"/>
    <w:rsid w:val="00706935"/>
    <w:rsid w:val="00724424"/>
    <w:rsid w:val="00735DAA"/>
    <w:rsid w:val="00741E1E"/>
    <w:rsid w:val="0074204A"/>
    <w:rsid w:val="00743F05"/>
    <w:rsid w:val="00753367"/>
    <w:rsid w:val="00762D72"/>
    <w:rsid w:val="007716CA"/>
    <w:rsid w:val="00771E3C"/>
    <w:rsid w:val="007825BF"/>
    <w:rsid w:val="00794536"/>
    <w:rsid w:val="00795D77"/>
    <w:rsid w:val="007A4517"/>
    <w:rsid w:val="007B1E3E"/>
    <w:rsid w:val="007B2D11"/>
    <w:rsid w:val="007B3AD5"/>
    <w:rsid w:val="007B3AE5"/>
    <w:rsid w:val="007B45AF"/>
    <w:rsid w:val="007B5729"/>
    <w:rsid w:val="007E4440"/>
    <w:rsid w:val="007E522F"/>
    <w:rsid w:val="007E6CA3"/>
    <w:rsid w:val="007E7FCC"/>
    <w:rsid w:val="00815A6E"/>
    <w:rsid w:val="008272A3"/>
    <w:rsid w:val="00835D07"/>
    <w:rsid w:val="00841EEF"/>
    <w:rsid w:val="00842562"/>
    <w:rsid w:val="00844F14"/>
    <w:rsid w:val="0084500B"/>
    <w:rsid w:val="00856C8A"/>
    <w:rsid w:val="008653AF"/>
    <w:rsid w:val="008704B7"/>
    <w:rsid w:val="0087086E"/>
    <w:rsid w:val="0087564B"/>
    <w:rsid w:val="0087706D"/>
    <w:rsid w:val="008802A1"/>
    <w:rsid w:val="00881E6F"/>
    <w:rsid w:val="008856EA"/>
    <w:rsid w:val="00885D0B"/>
    <w:rsid w:val="00892307"/>
    <w:rsid w:val="008976D0"/>
    <w:rsid w:val="008A1E1F"/>
    <w:rsid w:val="008B1407"/>
    <w:rsid w:val="008B54BE"/>
    <w:rsid w:val="008B6382"/>
    <w:rsid w:val="008B6D18"/>
    <w:rsid w:val="008C02B2"/>
    <w:rsid w:val="008C0F74"/>
    <w:rsid w:val="008C77CE"/>
    <w:rsid w:val="008C7D5B"/>
    <w:rsid w:val="008D295D"/>
    <w:rsid w:val="008D4357"/>
    <w:rsid w:val="008E2894"/>
    <w:rsid w:val="008E2F9D"/>
    <w:rsid w:val="008E5F61"/>
    <w:rsid w:val="00903C5B"/>
    <w:rsid w:val="00911FCF"/>
    <w:rsid w:val="00915CFF"/>
    <w:rsid w:val="0092172F"/>
    <w:rsid w:val="0092633D"/>
    <w:rsid w:val="009321E4"/>
    <w:rsid w:val="0093430C"/>
    <w:rsid w:val="0093627F"/>
    <w:rsid w:val="0094456F"/>
    <w:rsid w:val="009522C1"/>
    <w:rsid w:val="009658E1"/>
    <w:rsid w:val="00967C45"/>
    <w:rsid w:val="0097301E"/>
    <w:rsid w:val="00993122"/>
    <w:rsid w:val="009A0E9B"/>
    <w:rsid w:val="009A1745"/>
    <w:rsid w:val="009A7C24"/>
    <w:rsid w:val="009B1DD8"/>
    <w:rsid w:val="009B258A"/>
    <w:rsid w:val="009C1B32"/>
    <w:rsid w:val="009C6590"/>
    <w:rsid w:val="009D078C"/>
    <w:rsid w:val="009D109C"/>
    <w:rsid w:val="009D1980"/>
    <w:rsid w:val="009D73C5"/>
    <w:rsid w:val="009E32A2"/>
    <w:rsid w:val="009E3F95"/>
    <w:rsid w:val="009E6D5B"/>
    <w:rsid w:val="00A0355B"/>
    <w:rsid w:val="00A07B61"/>
    <w:rsid w:val="00A10691"/>
    <w:rsid w:val="00A10C4D"/>
    <w:rsid w:val="00A1235E"/>
    <w:rsid w:val="00A23781"/>
    <w:rsid w:val="00A25A4A"/>
    <w:rsid w:val="00A26521"/>
    <w:rsid w:val="00A30D8A"/>
    <w:rsid w:val="00A3132A"/>
    <w:rsid w:val="00A35F7E"/>
    <w:rsid w:val="00A50978"/>
    <w:rsid w:val="00A521F3"/>
    <w:rsid w:val="00A5357F"/>
    <w:rsid w:val="00A53D01"/>
    <w:rsid w:val="00A64F12"/>
    <w:rsid w:val="00A66A57"/>
    <w:rsid w:val="00A87C7E"/>
    <w:rsid w:val="00AB225A"/>
    <w:rsid w:val="00AB3B09"/>
    <w:rsid w:val="00AC1FB8"/>
    <w:rsid w:val="00AC50D5"/>
    <w:rsid w:val="00AD4812"/>
    <w:rsid w:val="00AD4F42"/>
    <w:rsid w:val="00AD6B3D"/>
    <w:rsid w:val="00AE2836"/>
    <w:rsid w:val="00AE3498"/>
    <w:rsid w:val="00AE52AA"/>
    <w:rsid w:val="00AF0D62"/>
    <w:rsid w:val="00AF0EAC"/>
    <w:rsid w:val="00AF4EFB"/>
    <w:rsid w:val="00B05AE3"/>
    <w:rsid w:val="00B163A7"/>
    <w:rsid w:val="00B205AE"/>
    <w:rsid w:val="00B21B7C"/>
    <w:rsid w:val="00B30DF3"/>
    <w:rsid w:val="00B45271"/>
    <w:rsid w:val="00B4612D"/>
    <w:rsid w:val="00B56806"/>
    <w:rsid w:val="00B61E47"/>
    <w:rsid w:val="00B72628"/>
    <w:rsid w:val="00B74D8C"/>
    <w:rsid w:val="00B77725"/>
    <w:rsid w:val="00B822DA"/>
    <w:rsid w:val="00B84A3A"/>
    <w:rsid w:val="00B877D0"/>
    <w:rsid w:val="00B91391"/>
    <w:rsid w:val="00B91F9D"/>
    <w:rsid w:val="00B92023"/>
    <w:rsid w:val="00B93AE0"/>
    <w:rsid w:val="00B95A06"/>
    <w:rsid w:val="00B971EC"/>
    <w:rsid w:val="00BA34A4"/>
    <w:rsid w:val="00BA59A0"/>
    <w:rsid w:val="00BB27FD"/>
    <w:rsid w:val="00BB782A"/>
    <w:rsid w:val="00BC27B8"/>
    <w:rsid w:val="00BD7DE8"/>
    <w:rsid w:val="00BE01FF"/>
    <w:rsid w:val="00BE2C20"/>
    <w:rsid w:val="00BE669B"/>
    <w:rsid w:val="00BF1247"/>
    <w:rsid w:val="00BF1780"/>
    <w:rsid w:val="00BF27EC"/>
    <w:rsid w:val="00BF333C"/>
    <w:rsid w:val="00C00D51"/>
    <w:rsid w:val="00C0359F"/>
    <w:rsid w:val="00C05DFF"/>
    <w:rsid w:val="00C05EB6"/>
    <w:rsid w:val="00C07111"/>
    <w:rsid w:val="00C14505"/>
    <w:rsid w:val="00C246B3"/>
    <w:rsid w:val="00C341F2"/>
    <w:rsid w:val="00C40ACD"/>
    <w:rsid w:val="00C41BC7"/>
    <w:rsid w:val="00C46C03"/>
    <w:rsid w:val="00C724BC"/>
    <w:rsid w:val="00C73F60"/>
    <w:rsid w:val="00C75187"/>
    <w:rsid w:val="00C81671"/>
    <w:rsid w:val="00C86A72"/>
    <w:rsid w:val="00C91880"/>
    <w:rsid w:val="00C936F1"/>
    <w:rsid w:val="00C94A0E"/>
    <w:rsid w:val="00CA18BA"/>
    <w:rsid w:val="00CA363F"/>
    <w:rsid w:val="00CA4FD8"/>
    <w:rsid w:val="00CC1D92"/>
    <w:rsid w:val="00CC34D6"/>
    <w:rsid w:val="00CC70D4"/>
    <w:rsid w:val="00CD56E3"/>
    <w:rsid w:val="00CE0F20"/>
    <w:rsid w:val="00CE79DD"/>
    <w:rsid w:val="00CF02C0"/>
    <w:rsid w:val="00D01FA8"/>
    <w:rsid w:val="00D03EE2"/>
    <w:rsid w:val="00D04F3A"/>
    <w:rsid w:val="00D04F84"/>
    <w:rsid w:val="00D11244"/>
    <w:rsid w:val="00D12B5A"/>
    <w:rsid w:val="00D24CF5"/>
    <w:rsid w:val="00D25EBE"/>
    <w:rsid w:val="00D25FAE"/>
    <w:rsid w:val="00D414ED"/>
    <w:rsid w:val="00D417AD"/>
    <w:rsid w:val="00D4198C"/>
    <w:rsid w:val="00D426B4"/>
    <w:rsid w:val="00D43264"/>
    <w:rsid w:val="00D5175B"/>
    <w:rsid w:val="00D57242"/>
    <w:rsid w:val="00D57F2A"/>
    <w:rsid w:val="00D6040E"/>
    <w:rsid w:val="00D60AD7"/>
    <w:rsid w:val="00D65A06"/>
    <w:rsid w:val="00D67FF1"/>
    <w:rsid w:val="00D70B0C"/>
    <w:rsid w:val="00D715AC"/>
    <w:rsid w:val="00D73865"/>
    <w:rsid w:val="00D74525"/>
    <w:rsid w:val="00D74704"/>
    <w:rsid w:val="00D747C8"/>
    <w:rsid w:val="00D74C78"/>
    <w:rsid w:val="00D773CE"/>
    <w:rsid w:val="00D80568"/>
    <w:rsid w:val="00D81EFD"/>
    <w:rsid w:val="00D85EE2"/>
    <w:rsid w:val="00DA122B"/>
    <w:rsid w:val="00DA48CC"/>
    <w:rsid w:val="00DB22B7"/>
    <w:rsid w:val="00DB2E02"/>
    <w:rsid w:val="00DB7BB5"/>
    <w:rsid w:val="00DC7F96"/>
    <w:rsid w:val="00DD5FAD"/>
    <w:rsid w:val="00DD6EE3"/>
    <w:rsid w:val="00DE0544"/>
    <w:rsid w:val="00DE24B0"/>
    <w:rsid w:val="00DE2C0D"/>
    <w:rsid w:val="00DF3198"/>
    <w:rsid w:val="00DF6001"/>
    <w:rsid w:val="00DF7C31"/>
    <w:rsid w:val="00E01419"/>
    <w:rsid w:val="00E02929"/>
    <w:rsid w:val="00E07F19"/>
    <w:rsid w:val="00E13760"/>
    <w:rsid w:val="00E26A41"/>
    <w:rsid w:val="00E319A6"/>
    <w:rsid w:val="00E3330B"/>
    <w:rsid w:val="00E3357A"/>
    <w:rsid w:val="00E36729"/>
    <w:rsid w:val="00E4610A"/>
    <w:rsid w:val="00E46E75"/>
    <w:rsid w:val="00E47799"/>
    <w:rsid w:val="00E535F1"/>
    <w:rsid w:val="00E63FDF"/>
    <w:rsid w:val="00E651C2"/>
    <w:rsid w:val="00E70986"/>
    <w:rsid w:val="00E80037"/>
    <w:rsid w:val="00E81198"/>
    <w:rsid w:val="00E83BE8"/>
    <w:rsid w:val="00E84CAC"/>
    <w:rsid w:val="00E86AA4"/>
    <w:rsid w:val="00E916D6"/>
    <w:rsid w:val="00EA292E"/>
    <w:rsid w:val="00EA5104"/>
    <w:rsid w:val="00EB7B95"/>
    <w:rsid w:val="00EB7DD7"/>
    <w:rsid w:val="00ED3109"/>
    <w:rsid w:val="00ED53E6"/>
    <w:rsid w:val="00EE15B2"/>
    <w:rsid w:val="00EE7931"/>
    <w:rsid w:val="00EF1D36"/>
    <w:rsid w:val="00EF24A8"/>
    <w:rsid w:val="00EF4623"/>
    <w:rsid w:val="00F04282"/>
    <w:rsid w:val="00F272DC"/>
    <w:rsid w:val="00F3119D"/>
    <w:rsid w:val="00F312FD"/>
    <w:rsid w:val="00F313A5"/>
    <w:rsid w:val="00F32E8A"/>
    <w:rsid w:val="00F369A2"/>
    <w:rsid w:val="00F438B6"/>
    <w:rsid w:val="00F4435F"/>
    <w:rsid w:val="00F44625"/>
    <w:rsid w:val="00F50C4E"/>
    <w:rsid w:val="00F511E4"/>
    <w:rsid w:val="00F530EF"/>
    <w:rsid w:val="00F54F92"/>
    <w:rsid w:val="00F55FEC"/>
    <w:rsid w:val="00F57EA8"/>
    <w:rsid w:val="00F6128E"/>
    <w:rsid w:val="00F62120"/>
    <w:rsid w:val="00F6422E"/>
    <w:rsid w:val="00F67CEF"/>
    <w:rsid w:val="00F73300"/>
    <w:rsid w:val="00F8314F"/>
    <w:rsid w:val="00F846A9"/>
    <w:rsid w:val="00F86CA3"/>
    <w:rsid w:val="00F95DF2"/>
    <w:rsid w:val="00FA2A7F"/>
    <w:rsid w:val="00FB734D"/>
    <w:rsid w:val="00FC02BB"/>
    <w:rsid w:val="00FC2914"/>
    <w:rsid w:val="00FC42FD"/>
    <w:rsid w:val="00FC7199"/>
    <w:rsid w:val="00FD04B1"/>
    <w:rsid w:val="00FD6EBC"/>
    <w:rsid w:val="00FE24AD"/>
    <w:rsid w:val="00FE39AB"/>
    <w:rsid w:val="00FE4091"/>
    <w:rsid w:val="00FE4879"/>
    <w:rsid w:val="00FF2EC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E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21065"/>
    <w:rPr>
      <w:b/>
      <w:bCs/>
    </w:rPr>
  </w:style>
  <w:style w:type="paragraph" w:styleId="Header">
    <w:name w:val="header"/>
    <w:aliases w:val="Char, Char"/>
    <w:basedOn w:val="Normal"/>
    <w:link w:val="HeaderChar"/>
    <w:uiPriority w:val="99"/>
    <w:rsid w:val="005406FA"/>
    <w:pPr>
      <w:tabs>
        <w:tab w:val="center" w:pos="4320"/>
        <w:tab w:val="right" w:pos="8640"/>
      </w:tabs>
    </w:pPr>
  </w:style>
  <w:style w:type="paragraph" w:styleId="Footer">
    <w:name w:val="footer"/>
    <w:basedOn w:val="Normal"/>
    <w:link w:val="FooterChar"/>
    <w:uiPriority w:val="99"/>
    <w:rsid w:val="005406FA"/>
    <w:pPr>
      <w:tabs>
        <w:tab w:val="center" w:pos="4320"/>
        <w:tab w:val="right" w:pos="8640"/>
      </w:tabs>
    </w:pPr>
  </w:style>
  <w:style w:type="paragraph" w:styleId="Caption">
    <w:name w:val="caption"/>
    <w:basedOn w:val="Normal"/>
    <w:next w:val="Normal"/>
    <w:qFormat/>
    <w:rsid w:val="00A0355B"/>
    <w:rPr>
      <w:b/>
      <w:bCs/>
      <w:sz w:val="20"/>
      <w:szCs w:val="20"/>
    </w:rPr>
  </w:style>
  <w:style w:type="character" w:styleId="Hyperlink">
    <w:name w:val="Hyperlink"/>
    <w:rsid w:val="00017E78"/>
    <w:rPr>
      <w:color w:val="0000FF"/>
      <w:u w:val="single"/>
    </w:rPr>
  </w:style>
  <w:style w:type="character" w:customStyle="1" w:styleId="FooterChar">
    <w:name w:val="Footer Char"/>
    <w:link w:val="Footer"/>
    <w:uiPriority w:val="99"/>
    <w:rsid w:val="00F62120"/>
    <w:rPr>
      <w:sz w:val="24"/>
      <w:szCs w:val="24"/>
    </w:rPr>
  </w:style>
  <w:style w:type="character" w:customStyle="1" w:styleId="HeaderChar">
    <w:name w:val="Header Char"/>
    <w:aliases w:val="Char Char1, Char Char1"/>
    <w:link w:val="Header"/>
    <w:uiPriority w:val="99"/>
    <w:rsid w:val="009C6590"/>
    <w:rPr>
      <w:sz w:val="24"/>
      <w:szCs w:val="24"/>
    </w:rPr>
  </w:style>
  <w:style w:type="paragraph" w:customStyle="1" w:styleId="Default">
    <w:name w:val="Default"/>
    <w:rsid w:val="00505D6D"/>
    <w:pPr>
      <w:autoSpaceDE w:val="0"/>
      <w:autoSpaceDN w:val="0"/>
      <w:adjustRightInd w:val="0"/>
    </w:pPr>
    <w:rPr>
      <w:color w:val="000000"/>
      <w:sz w:val="24"/>
      <w:szCs w:val="24"/>
      <w:lang w:eastAsia="en-US"/>
    </w:rPr>
  </w:style>
  <w:style w:type="paragraph" w:customStyle="1" w:styleId="Normal1">
    <w:name w:val="Normal+1"/>
    <w:basedOn w:val="Default"/>
    <w:next w:val="Default"/>
    <w:rsid w:val="00505D6D"/>
    <w:rPr>
      <w:rFonts w:eastAsia="SimSun"/>
      <w:color w:val="auto"/>
      <w:lang w:eastAsia="zh-CN"/>
    </w:rPr>
  </w:style>
  <w:style w:type="paragraph" w:styleId="ListParagraph">
    <w:name w:val="List Paragraph"/>
    <w:basedOn w:val="Normal"/>
    <w:uiPriority w:val="34"/>
    <w:qFormat/>
    <w:rsid w:val="00505D6D"/>
    <w:pPr>
      <w:spacing w:after="200" w:line="276" w:lineRule="auto"/>
      <w:ind w:left="720"/>
      <w:contextualSpacing/>
    </w:pPr>
    <w:rPr>
      <w:rFonts w:ascii="Calibri" w:hAnsi="Calibri" w:cs="Arial"/>
      <w:sz w:val="22"/>
      <w:szCs w:val="22"/>
    </w:rPr>
  </w:style>
  <w:style w:type="character" w:customStyle="1" w:styleId="HeaderChar1">
    <w:name w:val="Header Char1"/>
    <w:aliases w:val="Char Char, Char Char"/>
    <w:rsid w:val="00D57242"/>
    <w:rPr>
      <w:sz w:val="24"/>
      <w:szCs w:val="24"/>
      <w:lang w:val="en-US" w:eastAsia="en-US" w:bidi="ar-SA"/>
    </w:rPr>
  </w:style>
  <w:style w:type="paragraph" w:customStyle="1" w:styleId="msolistparagraph0">
    <w:name w:val="msolistparagraph"/>
    <w:basedOn w:val="Normal"/>
    <w:rsid w:val="00021856"/>
    <w:pPr>
      <w:bidi/>
      <w:spacing w:after="200" w:line="276" w:lineRule="auto"/>
      <w:ind w:left="720"/>
      <w:contextualSpacing/>
    </w:pPr>
    <w:rPr>
      <w:rFonts w:ascii="Calibri" w:hAnsi="Calibri" w:cs="Arial"/>
      <w:sz w:val="22"/>
      <w:szCs w:val="22"/>
    </w:rPr>
  </w:style>
  <w:style w:type="paragraph" w:styleId="BalloonText">
    <w:name w:val="Balloon Text"/>
    <w:basedOn w:val="Normal"/>
    <w:link w:val="BalloonTextChar"/>
    <w:uiPriority w:val="99"/>
    <w:semiHidden/>
    <w:unhideWhenUsed/>
    <w:rsid w:val="00C05EB6"/>
    <w:rPr>
      <w:rFonts w:ascii="Tahoma" w:hAnsi="Tahoma" w:cs="Tahoma"/>
      <w:sz w:val="16"/>
      <w:szCs w:val="16"/>
    </w:rPr>
  </w:style>
  <w:style w:type="character" w:customStyle="1" w:styleId="BalloonTextChar">
    <w:name w:val="Balloon Text Char"/>
    <w:basedOn w:val="DefaultParagraphFont"/>
    <w:link w:val="BalloonText"/>
    <w:uiPriority w:val="99"/>
    <w:semiHidden/>
    <w:rsid w:val="00C05EB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5052754">
      <w:bodyDiv w:val="1"/>
      <w:marLeft w:val="0"/>
      <w:marRight w:val="0"/>
      <w:marTop w:val="0"/>
      <w:marBottom w:val="0"/>
      <w:divBdr>
        <w:top w:val="none" w:sz="0" w:space="0" w:color="auto"/>
        <w:left w:val="none" w:sz="0" w:space="0" w:color="auto"/>
        <w:bottom w:val="none" w:sz="0" w:space="0" w:color="auto"/>
        <w:right w:val="none" w:sz="0" w:space="0" w:color="auto"/>
      </w:divBdr>
      <w:divsChild>
        <w:div w:id="148060068">
          <w:marLeft w:val="0"/>
          <w:marRight w:val="0"/>
          <w:marTop w:val="0"/>
          <w:marBottom w:val="0"/>
          <w:divBdr>
            <w:top w:val="none" w:sz="0" w:space="0" w:color="auto"/>
            <w:left w:val="none" w:sz="0" w:space="0" w:color="auto"/>
            <w:bottom w:val="none" w:sz="0" w:space="0" w:color="auto"/>
            <w:right w:val="none" w:sz="0" w:space="0" w:color="auto"/>
          </w:divBdr>
        </w:div>
        <w:div w:id="185363738">
          <w:marLeft w:val="0"/>
          <w:marRight w:val="0"/>
          <w:marTop w:val="0"/>
          <w:marBottom w:val="0"/>
          <w:divBdr>
            <w:top w:val="none" w:sz="0" w:space="0" w:color="auto"/>
            <w:left w:val="none" w:sz="0" w:space="0" w:color="auto"/>
            <w:bottom w:val="none" w:sz="0" w:space="0" w:color="auto"/>
            <w:right w:val="none" w:sz="0" w:space="0" w:color="auto"/>
          </w:divBdr>
        </w:div>
        <w:div w:id="369111855">
          <w:marLeft w:val="0"/>
          <w:marRight w:val="0"/>
          <w:marTop w:val="0"/>
          <w:marBottom w:val="0"/>
          <w:divBdr>
            <w:top w:val="none" w:sz="0" w:space="0" w:color="auto"/>
            <w:left w:val="none" w:sz="0" w:space="0" w:color="auto"/>
            <w:bottom w:val="none" w:sz="0" w:space="0" w:color="auto"/>
            <w:right w:val="none" w:sz="0" w:space="0" w:color="auto"/>
          </w:divBdr>
        </w:div>
        <w:div w:id="416368265">
          <w:marLeft w:val="0"/>
          <w:marRight w:val="0"/>
          <w:marTop w:val="0"/>
          <w:marBottom w:val="0"/>
          <w:divBdr>
            <w:top w:val="none" w:sz="0" w:space="0" w:color="auto"/>
            <w:left w:val="none" w:sz="0" w:space="0" w:color="auto"/>
            <w:bottom w:val="none" w:sz="0" w:space="0" w:color="auto"/>
            <w:right w:val="none" w:sz="0" w:space="0" w:color="auto"/>
          </w:divBdr>
        </w:div>
        <w:div w:id="711687374">
          <w:marLeft w:val="0"/>
          <w:marRight w:val="0"/>
          <w:marTop w:val="0"/>
          <w:marBottom w:val="0"/>
          <w:divBdr>
            <w:top w:val="none" w:sz="0" w:space="0" w:color="auto"/>
            <w:left w:val="none" w:sz="0" w:space="0" w:color="auto"/>
            <w:bottom w:val="none" w:sz="0" w:space="0" w:color="auto"/>
            <w:right w:val="none" w:sz="0" w:space="0" w:color="auto"/>
          </w:divBdr>
        </w:div>
        <w:div w:id="797990390">
          <w:marLeft w:val="0"/>
          <w:marRight w:val="0"/>
          <w:marTop w:val="0"/>
          <w:marBottom w:val="0"/>
          <w:divBdr>
            <w:top w:val="none" w:sz="0" w:space="0" w:color="auto"/>
            <w:left w:val="none" w:sz="0" w:space="0" w:color="auto"/>
            <w:bottom w:val="none" w:sz="0" w:space="0" w:color="auto"/>
            <w:right w:val="none" w:sz="0" w:space="0" w:color="auto"/>
          </w:divBdr>
        </w:div>
        <w:div w:id="1483695889">
          <w:marLeft w:val="0"/>
          <w:marRight w:val="0"/>
          <w:marTop w:val="0"/>
          <w:marBottom w:val="0"/>
          <w:divBdr>
            <w:top w:val="none" w:sz="0" w:space="0" w:color="auto"/>
            <w:left w:val="none" w:sz="0" w:space="0" w:color="auto"/>
            <w:bottom w:val="none" w:sz="0" w:space="0" w:color="auto"/>
            <w:right w:val="none" w:sz="0" w:space="0" w:color="auto"/>
          </w:divBdr>
        </w:div>
      </w:divsChild>
    </w:div>
    <w:div w:id="683944353">
      <w:bodyDiv w:val="1"/>
      <w:marLeft w:val="0"/>
      <w:marRight w:val="0"/>
      <w:marTop w:val="0"/>
      <w:marBottom w:val="0"/>
      <w:divBdr>
        <w:top w:val="none" w:sz="0" w:space="0" w:color="auto"/>
        <w:left w:val="none" w:sz="0" w:space="0" w:color="auto"/>
        <w:bottom w:val="none" w:sz="0" w:space="0" w:color="auto"/>
        <w:right w:val="none" w:sz="0" w:space="0" w:color="auto"/>
      </w:divBdr>
      <w:divsChild>
        <w:div w:id="781145021">
          <w:marLeft w:val="0"/>
          <w:marRight w:val="0"/>
          <w:marTop w:val="0"/>
          <w:marBottom w:val="0"/>
          <w:divBdr>
            <w:top w:val="none" w:sz="0" w:space="0" w:color="auto"/>
            <w:left w:val="none" w:sz="0" w:space="0" w:color="auto"/>
            <w:bottom w:val="none" w:sz="0" w:space="0" w:color="auto"/>
            <w:right w:val="none" w:sz="0" w:space="0" w:color="auto"/>
          </w:divBdr>
        </w:div>
      </w:divsChild>
    </w:div>
    <w:div w:id="875507243">
      <w:bodyDiv w:val="1"/>
      <w:marLeft w:val="0"/>
      <w:marRight w:val="0"/>
      <w:marTop w:val="0"/>
      <w:marBottom w:val="0"/>
      <w:divBdr>
        <w:top w:val="none" w:sz="0" w:space="0" w:color="auto"/>
        <w:left w:val="none" w:sz="0" w:space="0" w:color="auto"/>
        <w:bottom w:val="none" w:sz="0" w:space="0" w:color="auto"/>
        <w:right w:val="none" w:sz="0" w:space="0" w:color="auto"/>
      </w:divBdr>
      <w:divsChild>
        <w:div w:id="1409187360">
          <w:marLeft w:val="0"/>
          <w:marRight w:val="0"/>
          <w:marTop w:val="0"/>
          <w:marBottom w:val="0"/>
          <w:divBdr>
            <w:top w:val="none" w:sz="0" w:space="0" w:color="auto"/>
            <w:left w:val="none" w:sz="0" w:space="0" w:color="auto"/>
            <w:bottom w:val="none" w:sz="0" w:space="0" w:color="auto"/>
            <w:right w:val="none" w:sz="0" w:space="0" w:color="auto"/>
          </w:divBdr>
        </w:div>
      </w:divsChild>
    </w:div>
    <w:div w:id="1059212034">
      <w:bodyDiv w:val="1"/>
      <w:marLeft w:val="0"/>
      <w:marRight w:val="0"/>
      <w:marTop w:val="0"/>
      <w:marBottom w:val="0"/>
      <w:divBdr>
        <w:top w:val="none" w:sz="0" w:space="0" w:color="auto"/>
        <w:left w:val="none" w:sz="0" w:space="0" w:color="auto"/>
        <w:bottom w:val="none" w:sz="0" w:space="0" w:color="auto"/>
        <w:right w:val="none" w:sz="0" w:space="0" w:color="auto"/>
      </w:divBdr>
      <w:divsChild>
        <w:div w:id="1017121477">
          <w:marLeft w:val="0"/>
          <w:marRight w:val="0"/>
          <w:marTop w:val="0"/>
          <w:marBottom w:val="0"/>
          <w:divBdr>
            <w:top w:val="none" w:sz="0" w:space="0" w:color="auto"/>
            <w:left w:val="none" w:sz="0" w:space="0" w:color="auto"/>
            <w:bottom w:val="none" w:sz="0" w:space="0" w:color="auto"/>
            <w:right w:val="none" w:sz="0" w:space="0" w:color="auto"/>
          </w:divBdr>
        </w:div>
      </w:divsChild>
    </w:div>
    <w:div w:id="1064377951">
      <w:bodyDiv w:val="1"/>
      <w:marLeft w:val="0"/>
      <w:marRight w:val="0"/>
      <w:marTop w:val="0"/>
      <w:marBottom w:val="0"/>
      <w:divBdr>
        <w:top w:val="none" w:sz="0" w:space="0" w:color="auto"/>
        <w:left w:val="none" w:sz="0" w:space="0" w:color="auto"/>
        <w:bottom w:val="none" w:sz="0" w:space="0" w:color="auto"/>
        <w:right w:val="none" w:sz="0" w:space="0" w:color="auto"/>
      </w:divBdr>
      <w:divsChild>
        <w:div w:id="1154223090">
          <w:marLeft w:val="0"/>
          <w:marRight w:val="0"/>
          <w:marTop w:val="0"/>
          <w:marBottom w:val="0"/>
          <w:divBdr>
            <w:top w:val="none" w:sz="0" w:space="0" w:color="auto"/>
            <w:left w:val="none" w:sz="0" w:space="0" w:color="auto"/>
            <w:bottom w:val="none" w:sz="0" w:space="0" w:color="auto"/>
            <w:right w:val="none" w:sz="0" w:space="0" w:color="auto"/>
          </w:divBdr>
        </w:div>
      </w:divsChild>
    </w:div>
    <w:div w:id="1181818943">
      <w:bodyDiv w:val="1"/>
      <w:marLeft w:val="0"/>
      <w:marRight w:val="0"/>
      <w:marTop w:val="0"/>
      <w:marBottom w:val="0"/>
      <w:divBdr>
        <w:top w:val="none" w:sz="0" w:space="0" w:color="auto"/>
        <w:left w:val="none" w:sz="0" w:space="0" w:color="auto"/>
        <w:bottom w:val="none" w:sz="0" w:space="0" w:color="auto"/>
        <w:right w:val="none" w:sz="0" w:space="0" w:color="auto"/>
      </w:divBdr>
      <w:divsChild>
        <w:div w:id="201869149">
          <w:marLeft w:val="0"/>
          <w:marRight w:val="0"/>
          <w:marTop w:val="0"/>
          <w:marBottom w:val="0"/>
          <w:divBdr>
            <w:top w:val="none" w:sz="0" w:space="0" w:color="auto"/>
            <w:left w:val="none" w:sz="0" w:space="0" w:color="auto"/>
            <w:bottom w:val="none" w:sz="0" w:space="0" w:color="auto"/>
            <w:right w:val="none" w:sz="0" w:space="0" w:color="auto"/>
          </w:divBdr>
        </w:div>
        <w:div w:id="606231096">
          <w:marLeft w:val="0"/>
          <w:marRight w:val="0"/>
          <w:marTop w:val="0"/>
          <w:marBottom w:val="0"/>
          <w:divBdr>
            <w:top w:val="none" w:sz="0" w:space="0" w:color="auto"/>
            <w:left w:val="none" w:sz="0" w:space="0" w:color="auto"/>
            <w:bottom w:val="none" w:sz="0" w:space="0" w:color="auto"/>
            <w:right w:val="none" w:sz="0" w:space="0" w:color="auto"/>
          </w:divBdr>
        </w:div>
        <w:div w:id="1469087440">
          <w:marLeft w:val="0"/>
          <w:marRight w:val="0"/>
          <w:marTop w:val="0"/>
          <w:marBottom w:val="0"/>
          <w:divBdr>
            <w:top w:val="none" w:sz="0" w:space="0" w:color="auto"/>
            <w:left w:val="none" w:sz="0" w:space="0" w:color="auto"/>
            <w:bottom w:val="none" w:sz="0" w:space="0" w:color="auto"/>
            <w:right w:val="none" w:sz="0" w:space="0" w:color="auto"/>
          </w:divBdr>
        </w:div>
      </w:divsChild>
    </w:div>
    <w:div w:id="1384255155">
      <w:bodyDiv w:val="1"/>
      <w:marLeft w:val="0"/>
      <w:marRight w:val="0"/>
      <w:marTop w:val="0"/>
      <w:marBottom w:val="0"/>
      <w:divBdr>
        <w:top w:val="none" w:sz="0" w:space="0" w:color="auto"/>
        <w:left w:val="none" w:sz="0" w:space="0" w:color="auto"/>
        <w:bottom w:val="none" w:sz="0" w:space="0" w:color="auto"/>
        <w:right w:val="none" w:sz="0" w:space="0" w:color="auto"/>
      </w:divBdr>
      <w:divsChild>
        <w:div w:id="303046226">
          <w:marLeft w:val="0"/>
          <w:marRight w:val="0"/>
          <w:marTop w:val="0"/>
          <w:marBottom w:val="0"/>
          <w:divBdr>
            <w:top w:val="none" w:sz="0" w:space="0" w:color="auto"/>
            <w:left w:val="none" w:sz="0" w:space="0" w:color="auto"/>
            <w:bottom w:val="none" w:sz="0" w:space="0" w:color="auto"/>
            <w:right w:val="none" w:sz="0" w:space="0" w:color="auto"/>
          </w:divBdr>
        </w:div>
      </w:divsChild>
    </w:div>
    <w:div w:id="1407655645">
      <w:bodyDiv w:val="1"/>
      <w:marLeft w:val="0"/>
      <w:marRight w:val="0"/>
      <w:marTop w:val="0"/>
      <w:marBottom w:val="0"/>
      <w:divBdr>
        <w:top w:val="none" w:sz="0" w:space="0" w:color="auto"/>
        <w:left w:val="none" w:sz="0" w:space="0" w:color="auto"/>
        <w:bottom w:val="none" w:sz="0" w:space="0" w:color="auto"/>
        <w:right w:val="none" w:sz="0" w:space="0" w:color="auto"/>
      </w:divBdr>
      <w:divsChild>
        <w:div w:id="132410677">
          <w:marLeft w:val="0"/>
          <w:marRight w:val="0"/>
          <w:marTop w:val="0"/>
          <w:marBottom w:val="0"/>
          <w:divBdr>
            <w:top w:val="none" w:sz="0" w:space="0" w:color="auto"/>
            <w:left w:val="none" w:sz="0" w:space="0" w:color="auto"/>
            <w:bottom w:val="none" w:sz="0" w:space="0" w:color="auto"/>
            <w:right w:val="none" w:sz="0" w:space="0" w:color="auto"/>
          </w:divBdr>
        </w:div>
        <w:div w:id="358120250">
          <w:marLeft w:val="0"/>
          <w:marRight w:val="0"/>
          <w:marTop w:val="0"/>
          <w:marBottom w:val="0"/>
          <w:divBdr>
            <w:top w:val="none" w:sz="0" w:space="0" w:color="auto"/>
            <w:left w:val="none" w:sz="0" w:space="0" w:color="auto"/>
            <w:bottom w:val="none" w:sz="0" w:space="0" w:color="auto"/>
            <w:right w:val="none" w:sz="0" w:space="0" w:color="auto"/>
          </w:divBdr>
        </w:div>
        <w:div w:id="1066803041">
          <w:marLeft w:val="0"/>
          <w:marRight w:val="0"/>
          <w:marTop w:val="0"/>
          <w:marBottom w:val="0"/>
          <w:divBdr>
            <w:top w:val="none" w:sz="0" w:space="0" w:color="auto"/>
            <w:left w:val="none" w:sz="0" w:space="0" w:color="auto"/>
            <w:bottom w:val="none" w:sz="0" w:space="0" w:color="auto"/>
            <w:right w:val="none" w:sz="0" w:space="0" w:color="auto"/>
          </w:divBdr>
        </w:div>
      </w:divsChild>
    </w:div>
    <w:div w:id="2106536050">
      <w:bodyDiv w:val="1"/>
      <w:marLeft w:val="0"/>
      <w:marRight w:val="0"/>
      <w:marTop w:val="0"/>
      <w:marBottom w:val="0"/>
      <w:divBdr>
        <w:top w:val="none" w:sz="0" w:space="0" w:color="auto"/>
        <w:left w:val="none" w:sz="0" w:space="0" w:color="auto"/>
        <w:bottom w:val="none" w:sz="0" w:space="0" w:color="auto"/>
        <w:right w:val="none" w:sz="0" w:space="0" w:color="auto"/>
      </w:divBdr>
      <w:divsChild>
        <w:div w:id="161247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amanyna@yahoo.com" TargetMode="Externa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jpeg"/><Relationship Id="rId28" Type="http://schemas.openxmlformats.org/officeDocument/2006/relationships/footer" Target="footer4.xml"/><Relationship Id="rId10" Type="http://schemas.openxmlformats.org/officeDocument/2006/relationships/hyperlink" Target="http://www.dx.doi.org/10.7537/marsnys091216.22"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header" Target="header4.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view3D>
      <c:hPercent val="42"/>
      <c:depthPercent val="100"/>
      <c:rAngAx val="1"/>
    </c:view3D>
    <c:floor>
      <c:spPr>
        <a:solidFill>
          <a:srgbClr val="FFFFCC"/>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3778580024067402E-2"/>
          <c:y val="0.10606060606060624"/>
          <c:w val="0.92298435619735253"/>
          <c:h val="0.69191919191919249"/>
        </c:manualLayout>
      </c:layout>
      <c:bar3DChart>
        <c:barDir val="col"/>
        <c:grouping val="clustered"/>
        <c:ser>
          <c:idx val="0"/>
          <c:order val="0"/>
          <c:tx>
            <c:strRef>
              <c:f>Sheet2!$J$24</c:f>
              <c:strCache>
                <c:ptCount val="1"/>
                <c:pt idx="0">
                  <c:v>No history of epilepsy</c:v>
                </c:pt>
              </c:strCache>
            </c:strRef>
          </c:tx>
          <c:spPr>
            <a:solidFill>
              <a:srgbClr val="9999FF"/>
            </a:solidFill>
            <a:ln w="12680">
              <a:solidFill>
                <a:srgbClr val="000000"/>
              </a:solidFill>
              <a:prstDash val="solid"/>
            </a:ln>
          </c:spPr>
          <c:dLbls>
            <c:dLbl>
              <c:idx val="0"/>
              <c:layout>
                <c:manualLayout>
                  <c:x val="6.7597146024617027E-2"/>
                  <c:y val="-2.024974150958441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371-40A2-813F-532E21569496}"/>
                </c:ext>
              </c:extLst>
            </c:dLbl>
            <c:dLbl>
              <c:idx val="1"/>
              <c:layout>
                <c:manualLayout>
                  <c:x val="0.12807135570147599"/>
                  <c:y val="-4.303083326705373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371-40A2-813F-532E21569496}"/>
                </c:ext>
              </c:extLst>
            </c:dLbl>
            <c:numFmt formatCode="0.0%" sourceLinked="0"/>
            <c:spPr>
              <a:noFill/>
              <a:ln w="25360">
                <a:noFill/>
              </a:ln>
            </c:spPr>
            <c:txPr>
              <a:bodyPr/>
              <a:lstStyle/>
              <a:p>
                <a:pPr>
                  <a:defRPr lang="en-US" sz="1248" b="0" i="0" u="none" strike="noStrike" baseline="0">
                    <a:solidFill>
                      <a:srgbClr val="000000"/>
                    </a:solidFill>
                    <a:latin typeface="Arial"/>
                    <a:ea typeface="Arial"/>
                    <a:cs typeface="Arial"/>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Sheet2!$H$25:$I$26</c:f>
              <c:multiLvlStrCache>
                <c:ptCount val="2"/>
                <c:lvl>
                  <c:pt idx="0">
                    <c:v>No</c:v>
                  </c:pt>
                  <c:pt idx="1">
                    <c:v>Yes</c:v>
                  </c:pt>
                </c:lvl>
                <c:lvl>
                  <c:pt idx="0">
                    <c:v>Marriage</c:v>
                  </c:pt>
                </c:lvl>
              </c:multiLvlStrCache>
            </c:multiLvlStrRef>
          </c:cat>
          <c:val>
            <c:numRef>
              <c:f>Sheet2!$J$25:$J$26</c:f>
              <c:numCache>
                <c:formatCode>0.00%</c:formatCode>
                <c:ptCount val="2"/>
                <c:pt idx="0">
                  <c:v>0.35300000000000031</c:v>
                </c:pt>
                <c:pt idx="1">
                  <c:v>0.64700000000000124</c:v>
                </c:pt>
              </c:numCache>
            </c:numRef>
          </c:val>
          <c:extLst xmlns:c16r2="http://schemas.microsoft.com/office/drawing/2015/06/chart">
            <c:ext xmlns:c16="http://schemas.microsoft.com/office/drawing/2014/chart" uri="{C3380CC4-5D6E-409C-BE32-E72D297353CC}">
              <c16:uniqueId val="{00000002-0371-40A2-813F-532E21569496}"/>
            </c:ext>
          </c:extLst>
        </c:ser>
        <c:ser>
          <c:idx val="1"/>
          <c:order val="1"/>
          <c:tx>
            <c:strRef>
              <c:f>Sheet2!$K$24</c:f>
              <c:strCache>
                <c:ptCount val="1"/>
                <c:pt idx="0">
                  <c:v>Positive history of epilepsy</c:v>
                </c:pt>
              </c:strCache>
            </c:strRef>
          </c:tx>
          <c:spPr>
            <a:solidFill>
              <a:srgbClr val="CCFFCC"/>
            </a:solidFill>
            <a:ln w="12680">
              <a:solidFill>
                <a:srgbClr val="000000"/>
              </a:solidFill>
              <a:prstDash val="solid"/>
            </a:ln>
          </c:spPr>
          <c:dLbls>
            <c:dLbl>
              <c:idx val="0"/>
              <c:layout>
                <c:manualLayout>
                  <c:x val="-9.0816427729927277E-2"/>
                  <c:y val="-4.67751000821867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371-40A2-813F-532E21569496}"/>
                </c:ext>
              </c:extLst>
            </c:dLbl>
            <c:dLbl>
              <c:idx val="1"/>
              <c:layout>
                <c:manualLayout>
                  <c:x val="-2.6732109749819242E-2"/>
                  <c:y val="4.244545189427052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371-40A2-813F-532E21569496}"/>
                </c:ext>
              </c:extLst>
            </c:dLbl>
            <c:numFmt formatCode="0.0%" sourceLinked="0"/>
            <c:spPr>
              <a:noFill/>
              <a:ln w="25360">
                <a:noFill/>
              </a:ln>
            </c:spPr>
            <c:txPr>
              <a:bodyPr/>
              <a:lstStyle/>
              <a:p>
                <a:pPr>
                  <a:defRPr lang="en-US" sz="1248" b="0" i="0" u="none" strike="noStrike" baseline="0">
                    <a:solidFill>
                      <a:srgbClr val="000000"/>
                    </a:solidFill>
                    <a:latin typeface="Arial"/>
                    <a:ea typeface="Arial"/>
                    <a:cs typeface="Arial"/>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Sheet2!$H$25:$I$26</c:f>
              <c:multiLvlStrCache>
                <c:ptCount val="2"/>
                <c:lvl>
                  <c:pt idx="0">
                    <c:v>No</c:v>
                  </c:pt>
                  <c:pt idx="1">
                    <c:v>Yes</c:v>
                  </c:pt>
                </c:lvl>
                <c:lvl>
                  <c:pt idx="0">
                    <c:v>Marriage</c:v>
                  </c:pt>
                </c:lvl>
              </c:multiLvlStrCache>
            </c:multiLvlStrRef>
          </c:cat>
          <c:val>
            <c:numRef>
              <c:f>Sheet2!$K$25:$K$26</c:f>
              <c:numCache>
                <c:formatCode>0.00%</c:formatCode>
                <c:ptCount val="2"/>
                <c:pt idx="0">
                  <c:v>0.7390000000000011</c:v>
                </c:pt>
                <c:pt idx="1">
                  <c:v>0.26100000000000001</c:v>
                </c:pt>
              </c:numCache>
            </c:numRef>
          </c:val>
          <c:extLst xmlns:c16r2="http://schemas.microsoft.com/office/drawing/2015/06/chart">
            <c:ext xmlns:c16="http://schemas.microsoft.com/office/drawing/2014/chart" uri="{C3380CC4-5D6E-409C-BE32-E72D297353CC}">
              <c16:uniqueId val="{00000005-0371-40A2-813F-532E21569496}"/>
            </c:ext>
          </c:extLst>
        </c:ser>
        <c:dLbls>
          <c:showVal val="1"/>
        </c:dLbls>
        <c:shape val="box"/>
        <c:axId val="116103808"/>
        <c:axId val="117093120"/>
        <c:axId val="0"/>
      </c:bar3DChart>
      <c:catAx>
        <c:axId val="116103808"/>
        <c:scaling>
          <c:orientation val="minMax"/>
        </c:scaling>
        <c:axPos val="b"/>
        <c:numFmt formatCode="General" sourceLinked="1"/>
        <c:tickLblPos val="low"/>
        <c:spPr>
          <a:ln w="3170">
            <a:solidFill>
              <a:srgbClr val="000000"/>
            </a:solidFill>
            <a:prstDash val="solid"/>
          </a:ln>
        </c:spPr>
        <c:txPr>
          <a:bodyPr rot="0" vert="horz"/>
          <a:lstStyle/>
          <a:p>
            <a:pPr>
              <a:defRPr lang="en-US" sz="1248" b="0" i="0" u="none" strike="noStrike" baseline="0">
                <a:solidFill>
                  <a:srgbClr val="000000"/>
                </a:solidFill>
                <a:latin typeface="Arial"/>
                <a:ea typeface="Arial"/>
                <a:cs typeface="Arial"/>
              </a:defRPr>
            </a:pPr>
            <a:endParaRPr lang="en-US"/>
          </a:p>
        </c:txPr>
        <c:crossAx val="117093120"/>
        <c:crosses val="autoZero"/>
        <c:auto val="1"/>
        <c:lblAlgn val="ctr"/>
        <c:lblOffset val="100"/>
        <c:tickLblSkip val="1"/>
        <c:tickMarkSkip val="1"/>
      </c:catAx>
      <c:valAx>
        <c:axId val="117093120"/>
        <c:scaling>
          <c:orientation val="minMax"/>
        </c:scaling>
        <c:axPos val="l"/>
        <c:numFmt formatCode="0%" sourceLinked="0"/>
        <c:tickLblPos val="nextTo"/>
        <c:spPr>
          <a:ln w="3170">
            <a:solidFill>
              <a:srgbClr val="000000"/>
            </a:solidFill>
            <a:prstDash val="solid"/>
          </a:ln>
        </c:spPr>
        <c:txPr>
          <a:bodyPr rot="0" vert="horz"/>
          <a:lstStyle/>
          <a:p>
            <a:pPr>
              <a:defRPr lang="en-US" sz="1248" b="0" i="0" u="none" strike="noStrike" baseline="0">
                <a:solidFill>
                  <a:srgbClr val="000000"/>
                </a:solidFill>
                <a:latin typeface="Arial"/>
                <a:ea typeface="Arial"/>
                <a:cs typeface="Arial"/>
              </a:defRPr>
            </a:pPr>
            <a:endParaRPr lang="en-US"/>
          </a:p>
        </c:txPr>
        <c:crossAx val="116103808"/>
        <c:crosses val="autoZero"/>
        <c:crossBetween val="between"/>
      </c:valAx>
      <c:spPr>
        <a:noFill/>
        <a:ln w="25360">
          <a:noFill/>
        </a:ln>
      </c:spPr>
    </c:plotArea>
    <c:legend>
      <c:legendPos val="t"/>
      <c:layout>
        <c:manualLayout>
          <c:xMode val="edge"/>
          <c:yMode val="edge"/>
          <c:x val="0.25631774052616374"/>
          <c:y val="1.0101311306759305E-2"/>
          <c:w val="0.48736474316588596"/>
          <c:h val="7.070742506677577E-2"/>
        </c:manualLayout>
      </c:layout>
      <c:spPr>
        <a:solidFill>
          <a:srgbClr val="FFFFFF"/>
        </a:solidFill>
        <a:ln w="3170">
          <a:solidFill>
            <a:srgbClr val="000000"/>
          </a:solidFill>
          <a:prstDash val="solid"/>
        </a:ln>
      </c:spPr>
      <c:txPr>
        <a:bodyPr/>
        <a:lstStyle/>
        <a:p>
          <a:pPr>
            <a:defRPr lang="en-US" sz="1053"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25360">
      <a:solidFill>
        <a:srgbClr val="000000"/>
      </a:solidFill>
      <a:prstDash val="solid"/>
    </a:ln>
  </c:spPr>
  <c:txPr>
    <a:bodyPr/>
    <a:lstStyle/>
    <a:p>
      <a:pPr>
        <a:defRPr sz="1248"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692B-7A3A-434E-8403-23F86127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PHARMACOLOGICAL EFFECTS OF GEMFIBROZIL ON SOME ISOLATED SMOOTH MUSCLE PREPARATIONS OF EXPERIMENTAL ANIMALS</vt:lpstr>
    </vt:vector>
  </TitlesOfParts>
  <Company>Grizli777</Company>
  <LinksUpToDate>false</LinksUpToDate>
  <CharactersWithSpaces>31043</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6553671</vt:i4>
      </vt:variant>
      <vt:variant>
        <vt:i4>0</vt:i4>
      </vt:variant>
      <vt:variant>
        <vt:i4>0</vt:i4>
      </vt:variant>
      <vt:variant>
        <vt:i4>5</vt:i4>
      </vt:variant>
      <vt:variant>
        <vt:lpwstr>mailto:noamanyna@yahoo.com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PHARMACOLOGICAL EFFECTS OF GEMFIBROZIL ON SOME ISOLATED SMOOTH MUSCLE PREPARATIONS OF EXPERIMENTAL ANIMALS</dc:title>
  <dc:creator>Hema</dc:creator>
  <cp:lastModifiedBy>drmonazaki</cp:lastModifiedBy>
  <cp:revision>2</cp:revision>
  <cp:lastPrinted>2016-10-30T08:58:00Z</cp:lastPrinted>
  <dcterms:created xsi:type="dcterms:W3CDTF">2017-02-21T12:41:00Z</dcterms:created>
  <dcterms:modified xsi:type="dcterms:W3CDTF">2017-02-21T12:41:00Z</dcterms:modified>
</cp:coreProperties>
</file>