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3F" w:rsidRPr="00392CE2" w:rsidRDefault="0085413F" w:rsidP="00392CE2">
      <w:pPr>
        <w:bidi w:val="0"/>
        <w:snapToGrid w:val="0"/>
        <w:jc w:val="center"/>
        <w:rPr>
          <w:b/>
          <w:bCs/>
          <w:sz w:val="20"/>
          <w:szCs w:val="20"/>
          <w:lang w:bidi="ar-EG"/>
        </w:rPr>
      </w:pPr>
      <w:proofErr w:type="spellStart"/>
      <w:r w:rsidRPr="00392CE2">
        <w:rPr>
          <w:b/>
          <w:bCs/>
          <w:sz w:val="20"/>
          <w:szCs w:val="20"/>
          <w:lang w:bidi="ar-EG"/>
        </w:rPr>
        <w:t>Homocysteine</w:t>
      </w:r>
      <w:proofErr w:type="spellEnd"/>
      <w:r w:rsidRPr="00392CE2">
        <w:rPr>
          <w:b/>
          <w:bCs/>
          <w:sz w:val="20"/>
          <w:szCs w:val="20"/>
          <w:lang w:bidi="ar-EG"/>
        </w:rPr>
        <w:t xml:space="preserve"> Serum Status in Patients with Psoriasis </w:t>
      </w:r>
      <w:proofErr w:type="spellStart"/>
      <w:r w:rsidRPr="00392CE2">
        <w:rPr>
          <w:b/>
          <w:bCs/>
          <w:sz w:val="20"/>
          <w:szCs w:val="20"/>
          <w:lang w:bidi="ar-EG"/>
        </w:rPr>
        <w:t>Vulgaris</w:t>
      </w:r>
      <w:proofErr w:type="spellEnd"/>
    </w:p>
    <w:p w:rsidR="00606722" w:rsidRPr="00392CE2" w:rsidRDefault="00606722" w:rsidP="00392CE2">
      <w:pPr>
        <w:bidi w:val="0"/>
        <w:snapToGrid w:val="0"/>
        <w:jc w:val="center"/>
        <w:rPr>
          <w:b/>
          <w:bCs/>
          <w:sz w:val="20"/>
          <w:szCs w:val="20"/>
          <w:lang w:bidi="ar-EG"/>
        </w:rPr>
      </w:pPr>
    </w:p>
    <w:p w:rsidR="0085413F" w:rsidRPr="00392CE2" w:rsidRDefault="0085413F" w:rsidP="00392CE2">
      <w:pPr>
        <w:bidi w:val="0"/>
        <w:snapToGrid w:val="0"/>
        <w:jc w:val="center"/>
        <w:rPr>
          <w:sz w:val="20"/>
          <w:szCs w:val="20"/>
          <w:lang w:bidi="ar-EG"/>
        </w:rPr>
      </w:pPr>
      <w:proofErr w:type="spellStart"/>
      <w:r w:rsidRPr="00392CE2">
        <w:rPr>
          <w:sz w:val="20"/>
          <w:szCs w:val="20"/>
          <w:lang w:bidi="ar-EG"/>
        </w:rPr>
        <w:t>Mamoun</w:t>
      </w:r>
      <w:proofErr w:type="spellEnd"/>
      <w:r w:rsidR="00606722" w:rsidRPr="00392CE2">
        <w:rPr>
          <w:sz w:val="20"/>
          <w:szCs w:val="20"/>
          <w:lang w:bidi="ar-EG"/>
        </w:rPr>
        <w:t xml:space="preserve"> </w:t>
      </w:r>
      <w:r w:rsidRPr="00392CE2">
        <w:rPr>
          <w:sz w:val="20"/>
          <w:szCs w:val="20"/>
          <w:lang w:bidi="ar-EG"/>
        </w:rPr>
        <w:t>El</w:t>
      </w:r>
      <w:r w:rsidR="007F4D2C">
        <w:rPr>
          <w:rFonts w:eastAsiaTheme="minorEastAsia" w:hint="eastAsia"/>
          <w:sz w:val="20"/>
          <w:szCs w:val="20"/>
          <w:lang w:eastAsia="zh-CN" w:bidi="ar-EG"/>
        </w:rPr>
        <w:t xml:space="preserve"> </w:t>
      </w:r>
      <w:proofErr w:type="spellStart"/>
      <w:r w:rsidRPr="00392CE2">
        <w:rPr>
          <w:sz w:val="20"/>
          <w:szCs w:val="20"/>
          <w:lang w:bidi="ar-EG"/>
        </w:rPr>
        <w:t>Sayed</w:t>
      </w:r>
      <w:proofErr w:type="spellEnd"/>
      <w:r w:rsidR="00606722" w:rsidRPr="00392CE2">
        <w:rPr>
          <w:sz w:val="20"/>
          <w:szCs w:val="20"/>
          <w:lang w:bidi="ar-EG"/>
        </w:rPr>
        <w:t xml:space="preserve"> </w:t>
      </w:r>
      <w:r w:rsidRPr="00392CE2">
        <w:rPr>
          <w:sz w:val="20"/>
          <w:szCs w:val="20"/>
          <w:lang w:bidi="ar-EG"/>
        </w:rPr>
        <w:t>Shalaby</w:t>
      </w:r>
      <w:r w:rsidR="00606722" w:rsidRPr="00392CE2">
        <w:rPr>
          <w:sz w:val="20"/>
          <w:szCs w:val="20"/>
          <w:vertAlign w:val="superscript"/>
          <w:lang w:bidi="ar-EG"/>
        </w:rPr>
        <w:t>1</w:t>
      </w:r>
      <w:r w:rsidR="00606722" w:rsidRPr="00392CE2">
        <w:rPr>
          <w:sz w:val="20"/>
          <w:szCs w:val="20"/>
          <w:lang w:bidi="ar-EG"/>
        </w:rPr>
        <w:t>, Mohammed Ibrahim Aref</w:t>
      </w:r>
      <w:r w:rsidR="00606722" w:rsidRPr="00392CE2">
        <w:rPr>
          <w:sz w:val="20"/>
          <w:szCs w:val="20"/>
          <w:vertAlign w:val="superscript"/>
          <w:lang w:bidi="ar-EG"/>
        </w:rPr>
        <w:t>2</w:t>
      </w:r>
      <w:r w:rsidR="00606722" w:rsidRPr="00392CE2">
        <w:rPr>
          <w:sz w:val="20"/>
          <w:szCs w:val="20"/>
          <w:lang w:bidi="ar-EG"/>
        </w:rPr>
        <w:t xml:space="preserve"> </w:t>
      </w:r>
      <w:r w:rsidRPr="00392CE2">
        <w:rPr>
          <w:sz w:val="20"/>
          <w:szCs w:val="20"/>
          <w:lang w:bidi="ar-EG"/>
        </w:rPr>
        <w:t xml:space="preserve">and Ahmed Mohamed </w:t>
      </w:r>
      <w:proofErr w:type="spellStart"/>
      <w:r w:rsidRPr="00392CE2">
        <w:rPr>
          <w:sz w:val="20"/>
          <w:szCs w:val="20"/>
          <w:lang w:bidi="ar-EG"/>
        </w:rPr>
        <w:t>Ibrahem</w:t>
      </w:r>
      <w:proofErr w:type="spellEnd"/>
      <w:r w:rsidR="00606722" w:rsidRPr="00392CE2">
        <w:rPr>
          <w:sz w:val="20"/>
          <w:szCs w:val="20"/>
          <w:lang w:bidi="ar-EG"/>
        </w:rPr>
        <w:t xml:space="preserve"> </w:t>
      </w:r>
      <w:r w:rsidRPr="00392CE2">
        <w:rPr>
          <w:sz w:val="20"/>
          <w:szCs w:val="20"/>
          <w:lang w:bidi="ar-EG"/>
        </w:rPr>
        <w:t>Gohar</w:t>
      </w:r>
      <w:r w:rsidR="00606722" w:rsidRPr="00392CE2">
        <w:rPr>
          <w:sz w:val="20"/>
          <w:szCs w:val="20"/>
          <w:vertAlign w:val="superscript"/>
          <w:lang w:bidi="ar-EG"/>
        </w:rPr>
        <w:t>1</w:t>
      </w:r>
      <w:r w:rsidRPr="00392CE2">
        <w:rPr>
          <w:sz w:val="20"/>
          <w:szCs w:val="20"/>
          <w:lang w:bidi="ar-EG"/>
        </w:rPr>
        <w:t>.</w:t>
      </w:r>
    </w:p>
    <w:p w:rsidR="00606722" w:rsidRPr="00392CE2" w:rsidRDefault="00606722" w:rsidP="00392CE2">
      <w:pPr>
        <w:bidi w:val="0"/>
        <w:snapToGrid w:val="0"/>
        <w:jc w:val="center"/>
        <w:rPr>
          <w:sz w:val="20"/>
          <w:szCs w:val="20"/>
          <w:lang w:bidi="ar-EG"/>
        </w:rPr>
      </w:pPr>
    </w:p>
    <w:p w:rsidR="001479A5" w:rsidRPr="00392CE2" w:rsidRDefault="0085413F" w:rsidP="00392CE2">
      <w:pPr>
        <w:bidi w:val="0"/>
        <w:snapToGrid w:val="0"/>
        <w:jc w:val="center"/>
        <w:rPr>
          <w:sz w:val="20"/>
          <w:szCs w:val="20"/>
          <w:lang w:bidi="ar-EG"/>
        </w:rPr>
      </w:pPr>
      <w:r w:rsidRPr="00392CE2">
        <w:rPr>
          <w:sz w:val="20"/>
          <w:szCs w:val="20"/>
          <w:lang w:bidi="ar-EG"/>
        </w:rPr>
        <w:t>Departments of Dermatology, Venereology</w:t>
      </w:r>
      <w:r w:rsidR="00606722" w:rsidRPr="00392CE2">
        <w:rPr>
          <w:sz w:val="20"/>
          <w:szCs w:val="20"/>
          <w:lang w:bidi="ar-EG"/>
        </w:rPr>
        <w:t>1</w:t>
      </w:r>
      <w:r w:rsidRPr="00392CE2">
        <w:rPr>
          <w:sz w:val="20"/>
          <w:szCs w:val="20"/>
          <w:lang w:bidi="ar-EG"/>
        </w:rPr>
        <w:t xml:space="preserve"> </w:t>
      </w:r>
      <w:r w:rsidR="001479A5" w:rsidRPr="00392CE2">
        <w:rPr>
          <w:sz w:val="20"/>
          <w:szCs w:val="20"/>
          <w:lang w:bidi="ar-EG"/>
        </w:rPr>
        <w:t xml:space="preserve">and </w:t>
      </w:r>
      <w:r w:rsidR="00606722" w:rsidRPr="00392CE2">
        <w:rPr>
          <w:sz w:val="20"/>
          <w:szCs w:val="20"/>
          <w:lang w:bidi="ar-EG"/>
        </w:rPr>
        <w:t>C</w:t>
      </w:r>
      <w:r w:rsidR="001479A5" w:rsidRPr="00392CE2">
        <w:rPr>
          <w:sz w:val="20"/>
          <w:szCs w:val="20"/>
          <w:lang w:bidi="ar-EG"/>
        </w:rPr>
        <w:t xml:space="preserve">linical </w:t>
      </w:r>
      <w:r w:rsidR="00606722" w:rsidRPr="00392CE2">
        <w:rPr>
          <w:sz w:val="20"/>
          <w:szCs w:val="20"/>
          <w:lang w:bidi="ar-EG"/>
        </w:rPr>
        <w:t>P</w:t>
      </w:r>
      <w:r w:rsidR="001479A5" w:rsidRPr="00392CE2">
        <w:rPr>
          <w:sz w:val="20"/>
          <w:szCs w:val="20"/>
          <w:lang w:bidi="ar-EG"/>
        </w:rPr>
        <w:t>athology</w:t>
      </w:r>
      <w:r w:rsidR="00606722" w:rsidRPr="00392CE2">
        <w:rPr>
          <w:sz w:val="20"/>
          <w:szCs w:val="20"/>
          <w:vertAlign w:val="superscript"/>
          <w:lang w:bidi="ar-EG"/>
        </w:rPr>
        <w:t>2</w:t>
      </w:r>
      <w:r w:rsidR="001479A5" w:rsidRPr="00392CE2">
        <w:rPr>
          <w:sz w:val="20"/>
          <w:szCs w:val="20"/>
          <w:lang w:bidi="ar-EG"/>
        </w:rPr>
        <w:t>,</w:t>
      </w:r>
      <w:r w:rsidR="00606722" w:rsidRPr="00392CE2">
        <w:rPr>
          <w:sz w:val="20"/>
          <w:szCs w:val="20"/>
          <w:lang w:bidi="ar-EG"/>
        </w:rPr>
        <w:t xml:space="preserve"> Faculty of Medicine.</w:t>
      </w:r>
      <w:r w:rsidR="00BA08FE" w:rsidRPr="00392CE2">
        <w:rPr>
          <w:sz w:val="20"/>
          <w:szCs w:val="20"/>
          <w:lang w:bidi="ar-EG"/>
        </w:rPr>
        <w:t xml:space="preserve"> </w:t>
      </w:r>
      <w:r w:rsidR="001479A5" w:rsidRPr="00392CE2">
        <w:rPr>
          <w:sz w:val="20"/>
          <w:szCs w:val="20"/>
          <w:lang w:bidi="ar-EG"/>
        </w:rPr>
        <w:t>Al-</w:t>
      </w:r>
      <w:proofErr w:type="spellStart"/>
      <w:r w:rsidR="001479A5" w:rsidRPr="00392CE2">
        <w:rPr>
          <w:sz w:val="20"/>
          <w:szCs w:val="20"/>
          <w:lang w:bidi="ar-EG"/>
        </w:rPr>
        <w:t>Azhar</w:t>
      </w:r>
      <w:proofErr w:type="spellEnd"/>
      <w:r w:rsidR="00606722" w:rsidRPr="00392CE2">
        <w:rPr>
          <w:sz w:val="20"/>
          <w:szCs w:val="20"/>
          <w:lang w:bidi="ar-EG"/>
        </w:rPr>
        <w:t xml:space="preserve"> University, Egypt.</w:t>
      </w:r>
    </w:p>
    <w:p w:rsidR="0085413F" w:rsidRPr="00392CE2" w:rsidRDefault="007E23C1" w:rsidP="00392CE2">
      <w:pPr>
        <w:bidi w:val="0"/>
        <w:snapToGrid w:val="0"/>
        <w:jc w:val="center"/>
        <w:rPr>
          <w:sz w:val="20"/>
          <w:szCs w:val="20"/>
          <w:lang w:bidi="ar-EG"/>
        </w:rPr>
      </w:pPr>
      <w:hyperlink r:id="rId7" w:history="1">
        <w:r w:rsidR="00606722" w:rsidRPr="00392CE2">
          <w:rPr>
            <w:rStyle w:val="Hyperlink"/>
            <w:sz w:val="20"/>
            <w:szCs w:val="20"/>
            <w:lang w:bidi="ar-EG"/>
          </w:rPr>
          <w:t>dr.ahmedgohar@yahoo.com</w:t>
        </w:r>
      </w:hyperlink>
    </w:p>
    <w:p w:rsidR="00606722" w:rsidRPr="00392CE2" w:rsidRDefault="00606722" w:rsidP="00392CE2">
      <w:pPr>
        <w:bidi w:val="0"/>
        <w:snapToGrid w:val="0"/>
        <w:jc w:val="center"/>
        <w:rPr>
          <w:sz w:val="20"/>
          <w:szCs w:val="20"/>
          <w:lang w:bidi="ar-EG"/>
        </w:rPr>
      </w:pPr>
    </w:p>
    <w:p w:rsidR="0085413F" w:rsidRPr="00392CE2" w:rsidRDefault="0085413F" w:rsidP="00392CE2">
      <w:pPr>
        <w:bidi w:val="0"/>
        <w:snapToGrid w:val="0"/>
        <w:jc w:val="both"/>
        <w:rPr>
          <w:b/>
          <w:bCs/>
          <w:sz w:val="20"/>
          <w:szCs w:val="20"/>
          <w:lang w:bidi="ar-EG"/>
        </w:rPr>
      </w:pPr>
      <w:r w:rsidRPr="00392CE2">
        <w:rPr>
          <w:b/>
          <w:bCs/>
          <w:sz w:val="20"/>
          <w:szCs w:val="20"/>
          <w:lang w:bidi="ar-EG"/>
        </w:rPr>
        <w:t>A</w:t>
      </w:r>
      <w:r w:rsidR="00606722" w:rsidRPr="00392CE2">
        <w:rPr>
          <w:b/>
          <w:bCs/>
          <w:sz w:val="20"/>
          <w:szCs w:val="20"/>
          <w:lang w:bidi="ar-EG"/>
        </w:rPr>
        <w:t xml:space="preserve">bstract: </w:t>
      </w:r>
      <w:r w:rsidRPr="00392CE2">
        <w:rPr>
          <w:b/>
          <w:bCs/>
          <w:sz w:val="20"/>
          <w:szCs w:val="20"/>
          <w:lang w:bidi="ar-EG"/>
        </w:rPr>
        <w:t>Background:</w:t>
      </w:r>
      <w:r w:rsidRPr="00392CE2">
        <w:rPr>
          <w:sz w:val="20"/>
          <w:szCs w:val="20"/>
          <w:lang w:bidi="ar-EG"/>
        </w:rPr>
        <w:t xml:space="preserve"> Psoriasis is a chronic inflammatory skin disorder affecting 2–3% of population. Associations between psoriasis and higher cardiovascular morbidity and mortality have been reported.</w:t>
      </w:r>
      <w:r w:rsidR="00606722" w:rsidRPr="00392CE2">
        <w:rPr>
          <w:b/>
          <w:bCs/>
          <w:sz w:val="20"/>
          <w:szCs w:val="20"/>
          <w:lang w:bidi="ar-EG"/>
        </w:rPr>
        <w:t xml:space="preserve"> </w:t>
      </w:r>
      <w:r w:rsidRPr="00392CE2">
        <w:rPr>
          <w:b/>
          <w:bCs/>
          <w:sz w:val="20"/>
          <w:szCs w:val="20"/>
          <w:lang w:bidi="ar-EG"/>
        </w:rPr>
        <w:t xml:space="preserve">Objective: </w:t>
      </w:r>
      <w:r w:rsidRPr="00392CE2">
        <w:rPr>
          <w:sz w:val="20"/>
          <w:szCs w:val="20"/>
          <w:lang w:bidi="ar-EG"/>
        </w:rPr>
        <w:t xml:space="preserve">Assess serum </w:t>
      </w:r>
      <w:proofErr w:type="spellStart"/>
      <w:r w:rsidRPr="00392CE2">
        <w:rPr>
          <w:sz w:val="20"/>
          <w:szCs w:val="20"/>
          <w:lang w:bidi="ar-EG"/>
        </w:rPr>
        <w:t>homocysteine</w:t>
      </w:r>
      <w:proofErr w:type="spellEnd"/>
      <w:r w:rsidRPr="00392CE2">
        <w:rPr>
          <w:sz w:val="20"/>
          <w:szCs w:val="20"/>
          <w:lang w:bidi="ar-EG"/>
        </w:rPr>
        <w:t xml:space="preserve"> levels in patients with psoriasis </w:t>
      </w:r>
      <w:proofErr w:type="spellStart"/>
      <w:r w:rsidRPr="00392CE2">
        <w:rPr>
          <w:sz w:val="20"/>
          <w:szCs w:val="20"/>
          <w:lang w:bidi="ar-EG"/>
        </w:rPr>
        <w:t>vulgaris</w:t>
      </w:r>
      <w:proofErr w:type="spellEnd"/>
      <w:r w:rsidRPr="00392CE2">
        <w:rPr>
          <w:sz w:val="20"/>
          <w:szCs w:val="20"/>
          <w:lang w:bidi="ar-EG"/>
        </w:rPr>
        <w:t>.</w:t>
      </w:r>
      <w:r w:rsidR="00606722" w:rsidRPr="00392CE2">
        <w:rPr>
          <w:b/>
          <w:bCs/>
          <w:sz w:val="20"/>
          <w:szCs w:val="20"/>
          <w:lang w:bidi="ar-EG"/>
        </w:rPr>
        <w:t xml:space="preserve"> </w:t>
      </w:r>
      <w:r w:rsidRPr="00392CE2">
        <w:rPr>
          <w:b/>
          <w:bCs/>
          <w:sz w:val="20"/>
          <w:szCs w:val="20"/>
          <w:lang w:bidi="ar-EG"/>
        </w:rPr>
        <w:t xml:space="preserve">Patients and methods: </w:t>
      </w:r>
      <w:r w:rsidRPr="00392CE2">
        <w:rPr>
          <w:sz w:val="20"/>
          <w:szCs w:val="20"/>
          <w:lang w:bidi="ar-EG"/>
        </w:rPr>
        <w:t>The current study was carried out on 80 individuals attending the outpatient clinic of Dermatology, Al-</w:t>
      </w:r>
      <w:proofErr w:type="spellStart"/>
      <w:r w:rsidRPr="00392CE2">
        <w:rPr>
          <w:sz w:val="20"/>
          <w:szCs w:val="20"/>
          <w:lang w:bidi="ar-EG"/>
        </w:rPr>
        <w:t>Azhar</w:t>
      </w:r>
      <w:proofErr w:type="spellEnd"/>
      <w:r w:rsidRPr="00392CE2">
        <w:rPr>
          <w:sz w:val="20"/>
          <w:szCs w:val="20"/>
          <w:lang w:bidi="ar-EG"/>
        </w:rPr>
        <w:t xml:space="preserve"> University Hospitals.</w:t>
      </w:r>
      <w:r w:rsidR="00606722" w:rsidRPr="00392CE2">
        <w:rPr>
          <w:b/>
          <w:bCs/>
          <w:sz w:val="20"/>
          <w:szCs w:val="20"/>
          <w:lang w:bidi="ar-EG"/>
        </w:rPr>
        <w:t xml:space="preserve"> </w:t>
      </w:r>
      <w:r w:rsidRPr="00392CE2">
        <w:rPr>
          <w:sz w:val="20"/>
          <w:szCs w:val="20"/>
          <w:lang w:bidi="ar-EG"/>
        </w:rPr>
        <w:t>Selected individuals were divided into 2 equal groups:</w:t>
      </w:r>
      <w:r w:rsidR="00606722" w:rsidRPr="00392CE2">
        <w:rPr>
          <w:b/>
          <w:bCs/>
          <w:sz w:val="20"/>
          <w:szCs w:val="20"/>
          <w:lang w:bidi="ar-EG"/>
        </w:rPr>
        <w:t xml:space="preserve"> </w:t>
      </w:r>
      <w:r w:rsidRPr="00392CE2">
        <w:rPr>
          <w:b/>
          <w:bCs/>
          <w:sz w:val="20"/>
          <w:szCs w:val="20"/>
          <w:lang w:bidi="ar-EG"/>
        </w:rPr>
        <w:t>Group I</w:t>
      </w:r>
      <w:r w:rsidRPr="00392CE2">
        <w:rPr>
          <w:sz w:val="20"/>
          <w:szCs w:val="20"/>
          <w:lang w:bidi="ar-EG"/>
        </w:rPr>
        <w:t xml:space="preserve">: Individuals with psoriasis </w:t>
      </w:r>
      <w:proofErr w:type="spellStart"/>
      <w:r w:rsidRPr="00392CE2">
        <w:rPr>
          <w:sz w:val="20"/>
          <w:szCs w:val="20"/>
          <w:lang w:bidi="ar-EG"/>
        </w:rPr>
        <w:t>vulgaris</w:t>
      </w:r>
      <w:proofErr w:type="spellEnd"/>
      <w:r w:rsidRPr="00392CE2">
        <w:rPr>
          <w:sz w:val="20"/>
          <w:szCs w:val="20"/>
          <w:lang w:bidi="ar-EG"/>
        </w:rPr>
        <w:t>.</w:t>
      </w:r>
      <w:r w:rsidR="00606722" w:rsidRPr="00392CE2">
        <w:rPr>
          <w:b/>
          <w:bCs/>
          <w:sz w:val="20"/>
          <w:szCs w:val="20"/>
          <w:lang w:bidi="ar-EG"/>
        </w:rPr>
        <w:t xml:space="preserve"> </w:t>
      </w:r>
      <w:r w:rsidRPr="00392CE2">
        <w:rPr>
          <w:b/>
          <w:bCs/>
          <w:sz w:val="20"/>
          <w:szCs w:val="20"/>
          <w:lang w:bidi="ar-EG"/>
        </w:rPr>
        <w:t>Group II</w:t>
      </w:r>
      <w:r w:rsidRPr="00392CE2">
        <w:rPr>
          <w:sz w:val="20"/>
          <w:szCs w:val="20"/>
          <w:lang w:bidi="ar-EG"/>
        </w:rPr>
        <w:t>: Matched healthy individuals as controls.</w:t>
      </w:r>
      <w:r w:rsidR="00606722" w:rsidRPr="00392CE2">
        <w:rPr>
          <w:b/>
          <w:bCs/>
          <w:sz w:val="20"/>
          <w:szCs w:val="20"/>
          <w:lang w:bidi="ar-EG"/>
        </w:rPr>
        <w:t xml:space="preserve"> </w:t>
      </w:r>
      <w:r w:rsidRPr="00392CE2">
        <w:rPr>
          <w:sz w:val="20"/>
          <w:szCs w:val="20"/>
          <w:lang w:bidi="ar-EG"/>
        </w:rPr>
        <w:t>All patients were subjected to full history taking including detailed history, complete general examination, Complete dermatological examination and evaluation of psoriasis severity in psoriatic patients by (PASI) score.</w:t>
      </w:r>
      <w:r w:rsidR="00606722" w:rsidRPr="00392CE2">
        <w:rPr>
          <w:b/>
          <w:bCs/>
          <w:sz w:val="20"/>
          <w:szCs w:val="20"/>
          <w:lang w:bidi="ar-EG"/>
        </w:rPr>
        <w:t xml:space="preserve"> </w:t>
      </w:r>
      <w:r w:rsidRPr="00392CE2">
        <w:rPr>
          <w:b/>
          <w:bCs/>
          <w:sz w:val="20"/>
          <w:szCs w:val="20"/>
          <w:lang w:bidi="ar-EG"/>
        </w:rPr>
        <w:t>Results:</w:t>
      </w:r>
      <w:r w:rsidR="00606722" w:rsidRPr="00392CE2">
        <w:rPr>
          <w:b/>
          <w:bCs/>
          <w:sz w:val="20"/>
          <w:szCs w:val="20"/>
          <w:lang w:bidi="ar-EG"/>
        </w:rPr>
        <w:t xml:space="preserve"> </w:t>
      </w:r>
      <w:r w:rsidRPr="00392CE2">
        <w:rPr>
          <w:sz w:val="20"/>
          <w:szCs w:val="20"/>
          <w:lang w:bidi="ar-EG"/>
        </w:rPr>
        <w:t xml:space="preserve">There was a statistically highly significant difference between patients and controls as regard serum </w:t>
      </w:r>
      <w:proofErr w:type="spellStart"/>
      <w:r w:rsidRPr="00392CE2">
        <w:rPr>
          <w:sz w:val="20"/>
          <w:szCs w:val="20"/>
          <w:lang w:bidi="ar-EG"/>
        </w:rPr>
        <w:t>homocysteine</w:t>
      </w:r>
      <w:proofErr w:type="spellEnd"/>
      <w:r w:rsidRPr="00392CE2">
        <w:rPr>
          <w:sz w:val="20"/>
          <w:szCs w:val="20"/>
          <w:lang w:bidi="ar-EG"/>
        </w:rPr>
        <w:t xml:space="preserve">. By comparing the </w:t>
      </w:r>
      <w:proofErr w:type="spellStart"/>
      <w:r w:rsidRPr="00392CE2">
        <w:rPr>
          <w:sz w:val="20"/>
          <w:szCs w:val="20"/>
          <w:lang w:bidi="ar-EG"/>
        </w:rPr>
        <w:t>homocytiene</w:t>
      </w:r>
      <w:proofErr w:type="spellEnd"/>
      <w:r w:rsidRPr="00392CE2">
        <w:rPr>
          <w:sz w:val="20"/>
          <w:szCs w:val="20"/>
          <w:lang w:bidi="ar-EG"/>
        </w:rPr>
        <w:t xml:space="preserve"> level in both groups as regards the age, our results reported significant direct correlation between the age and </w:t>
      </w:r>
      <w:proofErr w:type="spellStart"/>
      <w:r w:rsidRPr="00392CE2">
        <w:rPr>
          <w:sz w:val="20"/>
          <w:szCs w:val="20"/>
          <w:lang w:bidi="ar-EG"/>
        </w:rPr>
        <w:t>homocysteine</w:t>
      </w:r>
      <w:proofErr w:type="spellEnd"/>
      <w:r w:rsidRPr="00392CE2">
        <w:rPr>
          <w:sz w:val="20"/>
          <w:szCs w:val="20"/>
          <w:lang w:bidi="ar-EG"/>
        </w:rPr>
        <w:t xml:space="preserve"> l</w:t>
      </w:r>
      <w:r w:rsidR="006C349C" w:rsidRPr="00392CE2">
        <w:rPr>
          <w:sz w:val="20"/>
          <w:szCs w:val="20"/>
          <w:lang w:bidi="ar-EG"/>
        </w:rPr>
        <w:t xml:space="preserve">evel in patients and controls. </w:t>
      </w:r>
      <w:r w:rsidRPr="00392CE2">
        <w:rPr>
          <w:sz w:val="20"/>
          <w:szCs w:val="20"/>
          <w:lang w:bidi="ar-EG"/>
        </w:rPr>
        <w:t xml:space="preserve">By comparing the </w:t>
      </w:r>
      <w:proofErr w:type="spellStart"/>
      <w:r w:rsidRPr="00392CE2">
        <w:rPr>
          <w:sz w:val="20"/>
          <w:szCs w:val="20"/>
          <w:lang w:bidi="ar-EG"/>
        </w:rPr>
        <w:t>homocytiene</w:t>
      </w:r>
      <w:proofErr w:type="spellEnd"/>
      <w:r w:rsidRPr="00392CE2">
        <w:rPr>
          <w:sz w:val="20"/>
          <w:szCs w:val="20"/>
          <w:lang w:bidi="ar-EG"/>
        </w:rPr>
        <w:t xml:space="preserve"> level in group I as regards to the duration, our results reported significant correlation between the duration of psoriasis and </w:t>
      </w:r>
      <w:proofErr w:type="spellStart"/>
      <w:r w:rsidRPr="00392CE2">
        <w:rPr>
          <w:sz w:val="20"/>
          <w:szCs w:val="20"/>
          <w:lang w:bidi="ar-EG"/>
        </w:rPr>
        <w:t>homocysteine</w:t>
      </w:r>
      <w:proofErr w:type="spellEnd"/>
      <w:r w:rsidRPr="00392CE2">
        <w:rPr>
          <w:sz w:val="20"/>
          <w:szCs w:val="20"/>
          <w:lang w:bidi="ar-EG"/>
        </w:rPr>
        <w:t xml:space="preserve"> level.</w:t>
      </w:r>
      <w:r w:rsidR="006C349C" w:rsidRPr="00392CE2">
        <w:rPr>
          <w:b/>
          <w:bCs/>
          <w:sz w:val="20"/>
          <w:szCs w:val="20"/>
          <w:lang w:bidi="ar-EG"/>
        </w:rPr>
        <w:t xml:space="preserve"> </w:t>
      </w:r>
      <w:r w:rsidRPr="00392CE2">
        <w:rPr>
          <w:sz w:val="20"/>
          <w:szCs w:val="20"/>
          <w:lang w:bidi="ar-EG"/>
        </w:rPr>
        <w:t xml:space="preserve">There was statistically significant relation between </w:t>
      </w:r>
      <w:proofErr w:type="spellStart"/>
      <w:r w:rsidRPr="00392CE2">
        <w:rPr>
          <w:sz w:val="20"/>
          <w:szCs w:val="20"/>
          <w:lang w:bidi="ar-EG"/>
        </w:rPr>
        <w:t>homocystine</w:t>
      </w:r>
      <w:proofErr w:type="spellEnd"/>
      <w:r w:rsidRPr="00392CE2">
        <w:rPr>
          <w:sz w:val="20"/>
          <w:szCs w:val="20"/>
          <w:lang w:bidi="ar-EG"/>
        </w:rPr>
        <w:t xml:space="preserve"> level and sex of both groups as </w:t>
      </w:r>
      <w:proofErr w:type="spellStart"/>
      <w:r w:rsidRPr="00392CE2">
        <w:rPr>
          <w:sz w:val="20"/>
          <w:szCs w:val="20"/>
          <w:lang w:bidi="ar-EG"/>
        </w:rPr>
        <w:t>homocysteine</w:t>
      </w:r>
      <w:proofErr w:type="spellEnd"/>
      <w:r w:rsidRPr="00392CE2">
        <w:rPr>
          <w:sz w:val="20"/>
          <w:szCs w:val="20"/>
          <w:lang w:bidi="ar-EG"/>
        </w:rPr>
        <w:t xml:space="preserve"> level increased in males than in females. By comparing the </w:t>
      </w:r>
      <w:proofErr w:type="spellStart"/>
      <w:r w:rsidRPr="00392CE2">
        <w:rPr>
          <w:sz w:val="20"/>
          <w:szCs w:val="20"/>
          <w:lang w:bidi="ar-EG"/>
        </w:rPr>
        <w:t>homocytiene</w:t>
      </w:r>
      <w:proofErr w:type="spellEnd"/>
      <w:r w:rsidRPr="00392CE2">
        <w:rPr>
          <w:sz w:val="20"/>
          <w:szCs w:val="20"/>
          <w:lang w:bidi="ar-EG"/>
        </w:rPr>
        <w:t xml:space="preserve"> level in Group I in relation to the </w:t>
      </w:r>
      <w:proofErr w:type="spellStart"/>
      <w:r w:rsidRPr="00392CE2">
        <w:rPr>
          <w:sz w:val="20"/>
          <w:szCs w:val="20"/>
          <w:lang w:bidi="ar-EG"/>
        </w:rPr>
        <w:t>severty</w:t>
      </w:r>
      <w:proofErr w:type="spellEnd"/>
      <w:r w:rsidRPr="00392CE2">
        <w:rPr>
          <w:sz w:val="20"/>
          <w:szCs w:val="20"/>
          <w:lang w:bidi="ar-EG"/>
        </w:rPr>
        <w:t xml:space="preserve"> of psoriasis (PASI score), our results showed statistically increase in </w:t>
      </w:r>
      <w:proofErr w:type="spellStart"/>
      <w:r w:rsidRPr="00392CE2">
        <w:rPr>
          <w:sz w:val="20"/>
          <w:szCs w:val="20"/>
          <w:lang w:bidi="ar-EG"/>
        </w:rPr>
        <w:t>homocysteine</w:t>
      </w:r>
      <w:proofErr w:type="spellEnd"/>
      <w:r w:rsidRPr="00392CE2">
        <w:rPr>
          <w:sz w:val="20"/>
          <w:szCs w:val="20"/>
          <w:lang w:bidi="ar-EG"/>
        </w:rPr>
        <w:t xml:space="preserve"> level as regards severity of psoriasis in patients (PASI score).</w:t>
      </w:r>
      <w:r w:rsidR="000D320B">
        <w:rPr>
          <w:sz w:val="20"/>
          <w:szCs w:val="20"/>
          <w:lang w:bidi="ar-EG"/>
        </w:rPr>
        <w:t xml:space="preserve"> </w:t>
      </w:r>
      <w:r w:rsidRPr="00392CE2">
        <w:rPr>
          <w:sz w:val="20"/>
          <w:szCs w:val="20"/>
          <w:lang w:bidi="ar-EG"/>
        </w:rPr>
        <w:t xml:space="preserve">By comparing the </w:t>
      </w:r>
      <w:proofErr w:type="spellStart"/>
      <w:r w:rsidRPr="00392CE2">
        <w:rPr>
          <w:sz w:val="20"/>
          <w:szCs w:val="20"/>
          <w:lang w:bidi="ar-EG"/>
        </w:rPr>
        <w:t>homocytiene</w:t>
      </w:r>
      <w:proofErr w:type="spellEnd"/>
      <w:r w:rsidRPr="00392CE2">
        <w:rPr>
          <w:sz w:val="20"/>
          <w:szCs w:val="20"/>
          <w:lang w:bidi="ar-EG"/>
        </w:rPr>
        <w:t xml:space="preserve"> level in both groups as regards the BMI, our results reported significant direct correlation between the BMI and </w:t>
      </w:r>
      <w:proofErr w:type="spellStart"/>
      <w:r w:rsidRPr="00392CE2">
        <w:rPr>
          <w:sz w:val="20"/>
          <w:szCs w:val="20"/>
          <w:lang w:bidi="ar-EG"/>
        </w:rPr>
        <w:t>homocysteine</w:t>
      </w:r>
      <w:proofErr w:type="spellEnd"/>
      <w:r w:rsidRPr="00392CE2">
        <w:rPr>
          <w:sz w:val="20"/>
          <w:szCs w:val="20"/>
          <w:lang w:bidi="ar-EG"/>
        </w:rPr>
        <w:t xml:space="preserve"> level in patients and controls.</w:t>
      </w:r>
      <w:r w:rsidR="00606722" w:rsidRPr="00392CE2">
        <w:rPr>
          <w:sz w:val="20"/>
          <w:szCs w:val="20"/>
          <w:lang w:bidi="ar-EG"/>
        </w:rPr>
        <w:t xml:space="preserve"> </w:t>
      </w:r>
      <w:r w:rsidR="001479A5" w:rsidRPr="00392CE2">
        <w:rPr>
          <w:b/>
          <w:bCs/>
          <w:sz w:val="20"/>
          <w:szCs w:val="20"/>
        </w:rPr>
        <w:t xml:space="preserve">Conclusion: </w:t>
      </w:r>
      <w:r w:rsidRPr="00392CE2">
        <w:rPr>
          <w:sz w:val="20"/>
          <w:szCs w:val="20"/>
        </w:rPr>
        <w:t xml:space="preserve">Psoriatic patients have higher </w:t>
      </w:r>
      <w:proofErr w:type="spellStart"/>
      <w:r w:rsidRPr="00392CE2">
        <w:rPr>
          <w:sz w:val="20"/>
          <w:szCs w:val="20"/>
        </w:rPr>
        <w:t>Hcy</w:t>
      </w:r>
      <w:proofErr w:type="spellEnd"/>
      <w:r w:rsidRPr="00392CE2">
        <w:rPr>
          <w:sz w:val="20"/>
          <w:szCs w:val="20"/>
        </w:rPr>
        <w:t xml:space="preserve"> levels, regardless disease severity, and are associated with increased risk of cardiovascular morbidity. Our study suggests that psoriatic patients should be routinely investigated for CVD by Echo.</w:t>
      </w:r>
    </w:p>
    <w:p w:rsidR="00392CE2" w:rsidRPr="00392CE2" w:rsidRDefault="00606722" w:rsidP="00392CE2">
      <w:pPr>
        <w:bidi w:val="0"/>
        <w:snapToGrid w:val="0"/>
        <w:jc w:val="both"/>
        <w:rPr>
          <w:sz w:val="20"/>
          <w:szCs w:val="20"/>
        </w:rPr>
      </w:pPr>
      <w:r w:rsidRPr="00392CE2">
        <w:rPr>
          <w:b/>
          <w:bCs/>
          <w:sz w:val="20"/>
          <w:szCs w:val="20"/>
          <w:lang w:bidi="ar-EG"/>
        </w:rPr>
        <w:t>[</w:t>
      </w:r>
      <w:proofErr w:type="spellStart"/>
      <w:r w:rsidRPr="00392CE2">
        <w:rPr>
          <w:sz w:val="20"/>
          <w:szCs w:val="20"/>
          <w:lang w:bidi="ar-EG"/>
        </w:rPr>
        <w:t>Mamoun</w:t>
      </w:r>
      <w:proofErr w:type="spellEnd"/>
      <w:r w:rsidRPr="00392CE2">
        <w:rPr>
          <w:sz w:val="20"/>
          <w:szCs w:val="20"/>
          <w:lang w:bidi="ar-EG"/>
        </w:rPr>
        <w:t xml:space="preserve"> </w:t>
      </w:r>
      <w:proofErr w:type="spellStart"/>
      <w:r w:rsidRPr="00392CE2">
        <w:rPr>
          <w:sz w:val="20"/>
          <w:szCs w:val="20"/>
          <w:lang w:bidi="ar-EG"/>
        </w:rPr>
        <w:t>ElSayed</w:t>
      </w:r>
      <w:proofErr w:type="spellEnd"/>
      <w:r w:rsidRPr="00392CE2">
        <w:rPr>
          <w:sz w:val="20"/>
          <w:szCs w:val="20"/>
          <w:lang w:bidi="ar-EG"/>
        </w:rPr>
        <w:t xml:space="preserve"> </w:t>
      </w:r>
      <w:proofErr w:type="spellStart"/>
      <w:r w:rsidRPr="00392CE2">
        <w:rPr>
          <w:sz w:val="20"/>
          <w:szCs w:val="20"/>
          <w:lang w:bidi="ar-EG"/>
        </w:rPr>
        <w:t>Shalaby</w:t>
      </w:r>
      <w:proofErr w:type="spellEnd"/>
      <w:r w:rsidRPr="00392CE2">
        <w:rPr>
          <w:sz w:val="20"/>
          <w:szCs w:val="20"/>
          <w:lang w:bidi="ar-EG"/>
        </w:rPr>
        <w:t xml:space="preserve">, Mohammed Ibrahim </w:t>
      </w:r>
      <w:proofErr w:type="spellStart"/>
      <w:r w:rsidRPr="00392CE2">
        <w:rPr>
          <w:sz w:val="20"/>
          <w:szCs w:val="20"/>
          <w:lang w:bidi="ar-EG"/>
        </w:rPr>
        <w:t>Aref</w:t>
      </w:r>
      <w:proofErr w:type="spellEnd"/>
      <w:r w:rsidRPr="00392CE2">
        <w:rPr>
          <w:sz w:val="20"/>
          <w:szCs w:val="20"/>
          <w:lang w:bidi="ar-EG"/>
        </w:rPr>
        <w:t xml:space="preserve"> and Ahmed Mohamed </w:t>
      </w:r>
      <w:proofErr w:type="spellStart"/>
      <w:r w:rsidRPr="00392CE2">
        <w:rPr>
          <w:sz w:val="20"/>
          <w:szCs w:val="20"/>
          <w:lang w:bidi="ar-EG"/>
        </w:rPr>
        <w:t>Ibrahem</w:t>
      </w:r>
      <w:proofErr w:type="spellEnd"/>
      <w:r w:rsidRPr="00392CE2">
        <w:rPr>
          <w:sz w:val="20"/>
          <w:szCs w:val="20"/>
          <w:lang w:bidi="ar-EG"/>
        </w:rPr>
        <w:t xml:space="preserve"> </w:t>
      </w:r>
      <w:proofErr w:type="spellStart"/>
      <w:r w:rsidRPr="00392CE2">
        <w:rPr>
          <w:sz w:val="20"/>
          <w:szCs w:val="20"/>
          <w:lang w:bidi="ar-EG"/>
        </w:rPr>
        <w:t>Gohar</w:t>
      </w:r>
      <w:proofErr w:type="spellEnd"/>
      <w:r w:rsidRPr="00392CE2">
        <w:rPr>
          <w:sz w:val="20"/>
          <w:szCs w:val="20"/>
          <w:lang w:bidi="ar-EG"/>
        </w:rPr>
        <w:t>.</w:t>
      </w:r>
      <w:r w:rsidRPr="00392CE2">
        <w:rPr>
          <w:b/>
          <w:bCs/>
          <w:sz w:val="20"/>
          <w:szCs w:val="20"/>
          <w:lang w:bidi="ar-EG"/>
        </w:rPr>
        <w:t xml:space="preserve"> </w:t>
      </w:r>
      <w:proofErr w:type="spellStart"/>
      <w:r w:rsidRPr="00392CE2">
        <w:rPr>
          <w:b/>
          <w:bCs/>
          <w:sz w:val="20"/>
          <w:szCs w:val="20"/>
          <w:lang w:bidi="ar-EG"/>
        </w:rPr>
        <w:t>Homocysteine</w:t>
      </w:r>
      <w:proofErr w:type="spellEnd"/>
      <w:r w:rsidRPr="00392CE2">
        <w:rPr>
          <w:b/>
          <w:bCs/>
          <w:sz w:val="20"/>
          <w:szCs w:val="20"/>
          <w:lang w:bidi="ar-EG"/>
        </w:rPr>
        <w:t xml:space="preserve"> Serum Status in Patients with Psoriasis </w:t>
      </w:r>
      <w:proofErr w:type="spellStart"/>
      <w:r w:rsidRPr="00392CE2">
        <w:rPr>
          <w:b/>
          <w:bCs/>
          <w:sz w:val="20"/>
          <w:szCs w:val="20"/>
          <w:lang w:bidi="ar-EG"/>
        </w:rPr>
        <w:t>Vulgaris</w:t>
      </w:r>
      <w:proofErr w:type="spellEnd"/>
      <w:r w:rsidR="00392CE2" w:rsidRPr="00392CE2">
        <w:rPr>
          <w:b/>
          <w:bCs/>
          <w:sz w:val="20"/>
          <w:szCs w:val="20"/>
          <w:lang w:bidi="fa-IR"/>
        </w:rPr>
        <w:t>.</w:t>
      </w:r>
      <w:r w:rsidR="00392CE2" w:rsidRPr="00392CE2">
        <w:rPr>
          <w:bCs/>
          <w:i/>
          <w:sz w:val="20"/>
          <w:szCs w:val="20"/>
        </w:rPr>
        <w:t xml:space="preserve"> N Y </w:t>
      </w:r>
      <w:proofErr w:type="spellStart"/>
      <w:r w:rsidR="00392CE2" w:rsidRPr="00392CE2">
        <w:rPr>
          <w:bCs/>
          <w:i/>
          <w:sz w:val="20"/>
          <w:szCs w:val="20"/>
        </w:rPr>
        <w:t>Sci</w:t>
      </w:r>
      <w:proofErr w:type="spellEnd"/>
      <w:r w:rsidR="00392CE2" w:rsidRPr="00392CE2">
        <w:rPr>
          <w:bCs/>
          <w:i/>
          <w:sz w:val="20"/>
          <w:szCs w:val="20"/>
        </w:rPr>
        <w:t xml:space="preserve"> J</w:t>
      </w:r>
      <w:r w:rsidR="00392CE2" w:rsidRPr="00392CE2">
        <w:rPr>
          <w:bCs/>
          <w:sz w:val="20"/>
          <w:szCs w:val="20"/>
        </w:rPr>
        <w:t xml:space="preserve"> </w:t>
      </w:r>
      <w:r w:rsidR="00392CE2" w:rsidRPr="00392CE2">
        <w:rPr>
          <w:sz w:val="20"/>
          <w:szCs w:val="20"/>
        </w:rPr>
        <w:t>201</w:t>
      </w:r>
      <w:r w:rsidR="00392CE2" w:rsidRPr="00392CE2">
        <w:rPr>
          <w:rFonts w:hint="eastAsia"/>
          <w:sz w:val="20"/>
          <w:szCs w:val="20"/>
        </w:rPr>
        <w:t>7</w:t>
      </w:r>
      <w:r w:rsidR="00392CE2" w:rsidRPr="00392CE2">
        <w:rPr>
          <w:sz w:val="20"/>
          <w:szCs w:val="20"/>
        </w:rPr>
        <w:t>;</w:t>
      </w:r>
      <w:r w:rsidR="00392CE2" w:rsidRPr="00392CE2">
        <w:rPr>
          <w:rFonts w:hint="eastAsia"/>
          <w:sz w:val="20"/>
          <w:szCs w:val="20"/>
        </w:rPr>
        <w:t>10</w:t>
      </w:r>
      <w:r w:rsidR="00392CE2" w:rsidRPr="00392CE2">
        <w:rPr>
          <w:sz w:val="20"/>
          <w:szCs w:val="20"/>
        </w:rPr>
        <w:t>(</w:t>
      </w:r>
      <w:r w:rsidR="00392CE2" w:rsidRPr="00392CE2">
        <w:rPr>
          <w:rFonts w:hint="eastAsia"/>
          <w:sz w:val="20"/>
          <w:szCs w:val="20"/>
        </w:rPr>
        <w:t>1</w:t>
      </w:r>
      <w:r w:rsidR="00392CE2" w:rsidRPr="00392CE2">
        <w:rPr>
          <w:sz w:val="20"/>
          <w:szCs w:val="20"/>
        </w:rPr>
        <w:t>):</w:t>
      </w:r>
      <w:r w:rsidR="008F0D36">
        <w:rPr>
          <w:noProof/>
          <w:color w:val="000000"/>
          <w:sz w:val="20"/>
          <w:szCs w:val="20"/>
        </w:rPr>
        <w:t>29</w:t>
      </w:r>
      <w:r w:rsidR="00392CE2" w:rsidRPr="00392CE2">
        <w:rPr>
          <w:color w:val="000000"/>
          <w:sz w:val="20"/>
          <w:szCs w:val="20"/>
        </w:rPr>
        <w:t>-</w:t>
      </w:r>
      <w:r w:rsidR="008F0D36">
        <w:rPr>
          <w:noProof/>
          <w:color w:val="000000"/>
          <w:sz w:val="20"/>
          <w:szCs w:val="20"/>
        </w:rPr>
        <w:t>32</w:t>
      </w:r>
      <w:r w:rsidR="00392CE2" w:rsidRPr="00392CE2">
        <w:rPr>
          <w:sz w:val="20"/>
          <w:szCs w:val="20"/>
        </w:rPr>
        <w:t xml:space="preserve">]. </w:t>
      </w:r>
      <w:r w:rsidR="00392CE2" w:rsidRPr="00392CE2">
        <w:rPr>
          <w:iCs/>
          <w:color w:val="000000"/>
          <w:sz w:val="20"/>
          <w:szCs w:val="20"/>
        </w:rPr>
        <w:t>ISSN 1554-0200 (print); ISSN 2375-723X (online)</w:t>
      </w:r>
      <w:r w:rsidR="00392CE2" w:rsidRPr="00392CE2">
        <w:rPr>
          <w:sz w:val="20"/>
          <w:szCs w:val="20"/>
        </w:rPr>
        <w:t xml:space="preserve">. </w:t>
      </w:r>
      <w:hyperlink r:id="rId8" w:history="1">
        <w:r w:rsidR="00392CE2" w:rsidRPr="00392CE2">
          <w:rPr>
            <w:rStyle w:val="Hyperlink"/>
            <w:color w:val="0000FF"/>
            <w:sz w:val="20"/>
            <w:szCs w:val="20"/>
          </w:rPr>
          <w:t>http://www.sciencepub.net/newyork</w:t>
        </w:r>
      </w:hyperlink>
      <w:r w:rsidR="00392CE2" w:rsidRPr="00392CE2">
        <w:rPr>
          <w:sz w:val="20"/>
          <w:szCs w:val="20"/>
        </w:rPr>
        <w:t xml:space="preserve">. </w:t>
      </w:r>
      <w:r w:rsidR="00392CE2">
        <w:rPr>
          <w:rFonts w:eastAsiaTheme="minorEastAsia" w:hint="eastAsia"/>
          <w:sz w:val="20"/>
          <w:szCs w:val="20"/>
          <w:lang w:eastAsia="zh-CN"/>
        </w:rPr>
        <w:t>5</w:t>
      </w:r>
      <w:r w:rsidR="00392CE2" w:rsidRPr="00392CE2">
        <w:rPr>
          <w:rFonts w:hint="eastAsia"/>
          <w:sz w:val="20"/>
          <w:szCs w:val="20"/>
        </w:rPr>
        <w:t xml:space="preserve">. </w:t>
      </w:r>
      <w:r w:rsidR="00392CE2" w:rsidRPr="00392CE2">
        <w:rPr>
          <w:color w:val="000000"/>
          <w:sz w:val="20"/>
          <w:szCs w:val="20"/>
          <w:shd w:val="clear" w:color="auto" w:fill="FFFFFF"/>
        </w:rPr>
        <w:t>doi:</w:t>
      </w:r>
      <w:hyperlink r:id="rId9" w:history="1">
        <w:r w:rsidR="00392CE2" w:rsidRPr="00392CE2">
          <w:rPr>
            <w:rStyle w:val="Hyperlink"/>
            <w:color w:val="0000FF"/>
            <w:sz w:val="20"/>
            <w:szCs w:val="20"/>
            <w:shd w:val="clear" w:color="auto" w:fill="FFFFFF"/>
          </w:rPr>
          <w:t>10.7537/mars</w:t>
        </w:r>
        <w:r w:rsidR="00392CE2" w:rsidRPr="00392CE2">
          <w:rPr>
            <w:rStyle w:val="Hyperlink"/>
            <w:rFonts w:hint="eastAsia"/>
            <w:color w:val="0000FF"/>
            <w:sz w:val="20"/>
            <w:szCs w:val="20"/>
            <w:shd w:val="clear" w:color="auto" w:fill="FFFFFF"/>
          </w:rPr>
          <w:t>nys100117.</w:t>
        </w:r>
        <w:r w:rsidR="00392CE2" w:rsidRPr="00392CE2">
          <w:rPr>
            <w:rStyle w:val="Hyperlink"/>
            <w:color w:val="0000FF"/>
            <w:sz w:val="20"/>
            <w:szCs w:val="20"/>
            <w:shd w:val="clear" w:color="auto" w:fill="FFFFFF"/>
          </w:rPr>
          <w:t>0</w:t>
        </w:r>
        <w:r w:rsidR="00392CE2">
          <w:rPr>
            <w:rStyle w:val="Hyperlink"/>
            <w:rFonts w:eastAsiaTheme="minorEastAsia" w:hint="eastAsia"/>
            <w:color w:val="0000FF"/>
            <w:sz w:val="20"/>
            <w:szCs w:val="20"/>
            <w:shd w:val="clear" w:color="auto" w:fill="FFFFFF"/>
            <w:lang w:eastAsia="zh-CN"/>
          </w:rPr>
          <w:t>5</w:t>
        </w:r>
      </w:hyperlink>
      <w:r w:rsidR="00392CE2" w:rsidRPr="00392CE2">
        <w:rPr>
          <w:color w:val="000000"/>
          <w:sz w:val="20"/>
          <w:szCs w:val="20"/>
          <w:shd w:val="clear" w:color="auto" w:fill="FFFFFF"/>
        </w:rPr>
        <w:t>.</w:t>
      </w:r>
    </w:p>
    <w:p w:rsidR="00606722" w:rsidRPr="00392CE2" w:rsidRDefault="00606722" w:rsidP="00392CE2">
      <w:pPr>
        <w:bidi w:val="0"/>
        <w:snapToGrid w:val="0"/>
        <w:jc w:val="both"/>
        <w:rPr>
          <w:b/>
          <w:bCs/>
          <w:sz w:val="20"/>
          <w:szCs w:val="20"/>
          <w:lang w:bidi="ar-EG"/>
        </w:rPr>
      </w:pPr>
    </w:p>
    <w:p w:rsidR="00606722" w:rsidRPr="00392CE2" w:rsidRDefault="00606722" w:rsidP="00392CE2">
      <w:pPr>
        <w:bidi w:val="0"/>
        <w:snapToGrid w:val="0"/>
        <w:jc w:val="both"/>
        <w:rPr>
          <w:b/>
          <w:bCs/>
          <w:sz w:val="20"/>
          <w:szCs w:val="20"/>
          <w:lang w:bidi="ar-EG"/>
        </w:rPr>
      </w:pPr>
      <w:r w:rsidRPr="00392CE2">
        <w:rPr>
          <w:b/>
          <w:bCs/>
          <w:sz w:val="20"/>
          <w:szCs w:val="20"/>
          <w:lang w:bidi="ar-EG"/>
        </w:rPr>
        <w:t xml:space="preserve">Key words: </w:t>
      </w:r>
      <w:proofErr w:type="spellStart"/>
      <w:r w:rsidRPr="00392CE2">
        <w:rPr>
          <w:sz w:val="20"/>
          <w:szCs w:val="20"/>
          <w:lang w:bidi="ar-EG"/>
        </w:rPr>
        <w:t>Homocysteine</w:t>
      </w:r>
      <w:proofErr w:type="spellEnd"/>
      <w:r w:rsidRPr="00392CE2">
        <w:rPr>
          <w:sz w:val="20"/>
          <w:szCs w:val="20"/>
          <w:lang w:bidi="ar-EG"/>
        </w:rPr>
        <w:t xml:space="preserve">, Psoriasis </w:t>
      </w:r>
      <w:proofErr w:type="spellStart"/>
      <w:r w:rsidRPr="00392CE2">
        <w:rPr>
          <w:sz w:val="20"/>
          <w:szCs w:val="20"/>
          <w:lang w:bidi="ar-EG"/>
        </w:rPr>
        <w:t>Vulgaris</w:t>
      </w:r>
      <w:proofErr w:type="spellEnd"/>
      <w:r w:rsidRPr="00392CE2">
        <w:rPr>
          <w:sz w:val="20"/>
          <w:szCs w:val="20"/>
          <w:lang w:bidi="ar-EG"/>
        </w:rPr>
        <w:t>, chronic inflammatory</w:t>
      </w:r>
      <w:r w:rsidRPr="00392CE2">
        <w:rPr>
          <w:b/>
          <w:bCs/>
          <w:sz w:val="20"/>
          <w:szCs w:val="20"/>
          <w:lang w:bidi="ar-EG"/>
        </w:rPr>
        <w:t xml:space="preserve">, </w:t>
      </w:r>
      <w:r w:rsidRPr="00392CE2">
        <w:rPr>
          <w:sz w:val="20"/>
          <w:szCs w:val="20"/>
          <w:lang w:bidi="ar-EG"/>
        </w:rPr>
        <w:t>cardiovascular</w:t>
      </w:r>
      <w:r w:rsidR="00AF7EB0" w:rsidRPr="00392CE2">
        <w:rPr>
          <w:sz w:val="20"/>
          <w:szCs w:val="20"/>
          <w:lang w:bidi="ar-EG"/>
        </w:rPr>
        <w:t xml:space="preserve"> and</w:t>
      </w:r>
      <w:r w:rsidR="00AF7EB0" w:rsidRPr="00392CE2">
        <w:rPr>
          <w:b/>
          <w:bCs/>
          <w:sz w:val="20"/>
          <w:szCs w:val="20"/>
          <w:lang w:bidi="ar-EG"/>
        </w:rPr>
        <w:t xml:space="preserve"> </w:t>
      </w:r>
      <w:proofErr w:type="spellStart"/>
      <w:r w:rsidR="00AF7EB0" w:rsidRPr="00392CE2">
        <w:rPr>
          <w:sz w:val="20"/>
          <w:szCs w:val="20"/>
          <w:lang w:bidi="ar-EG"/>
        </w:rPr>
        <w:t>homocysteine</w:t>
      </w:r>
      <w:proofErr w:type="spellEnd"/>
      <w:r w:rsidR="00AF7EB0" w:rsidRPr="00392CE2">
        <w:rPr>
          <w:b/>
          <w:bCs/>
          <w:sz w:val="20"/>
          <w:szCs w:val="20"/>
          <w:lang w:bidi="ar-EG"/>
        </w:rPr>
        <w:t>.</w:t>
      </w:r>
    </w:p>
    <w:p w:rsidR="00392CE2" w:rsidRDefault="00392CE2" w:rsidP="00392CE2">
      <w:pPr>
        <w:bidi w:val="0"/>
        <w:snapToGrid w:val="0"/>
        <w:jc w:val="both"/>
        <w:rPr>
          <w:b/>
          <w:bCs/>
          <w:sz w:val="20"/>
          <w:szCs w:val="20"/>
          <w:lang w:bidi="ar-EG"/>
        </w:rPr>
      </w:pPr>
    </w:p>
    <w:p w:rsidR="00392CE2" w:rsidRPr="00392CE2" w:rsidRDefault="00392CE2" w:rsidP="00392CE2">
      <w:pPr>
        <w:bidi w:val="0"/>
        <w:snapToGrid w:val="0"/>
        <w:jc w:val="both"/>
        <w:rPr>
          <w:b/>
          <w:bCs/>
          <w:sz w:val="20"/>
          <w:szCs w:val="20"/>
          <w:lang w:bidi="ar-EG"/>
        </w:rPr>
        <w:sectPr w:rsidR="00392CE2" w:rsidRPr="00392CE2" w:rsidSect="008F0D36">
          <w:headerReference w:type="default" r:id="rId10"/>
          <w:footerReference w:type="default" r:id="rId11"/>
          <w:type w:val="continuous"/>
          <w:pgSz w:w="12242" w:h="15842" w:code="1"/>
          <w:pgMar w:top="1440" w:right="1440" w:bottom="1440" w:left="1440" w:header="720" w:footer="720" w:gutter="0"/>
          <w:pgNumType w:start="29"/>
          <w:cols w:space="708"/>
          <w:bidi/>
          <w:docGrid w:linePitch="360"/>
        </w:sectPr>
      </w:pPr>
    </w:p>
    <w:p w:rsidR="0085413F" w:rsidRPr="00392CE2" w:rsidRDefault="00606722" w:rsidP="00392CE2">
      <w:pPr>
        <w:bidi w:val="0"/>
        <w:snapToGrid w:val="0"/>
        <w:jc w:val="both"/>
        <w:rPr>
          <w:b/>
          <w:bCs/>
          <w:sz w:val="20"/>
          <w:szCs w:val="20"/>
          <w:lang w:bidi="ar-EG"/>
        </w:rPr>
      </w:pPr>
      <w:r w:rsidRPr="00392CE2">
        <w:rPr>
          <w:b/>
          <w:bCs/>
          <w:sz w:val="20"/>
          <w:szCs w:val="20"/>
          <w:lang w:bidi="ar-EG"/>
        </w:rPr>
        <w:lastRenderedPageBreak/>
        <w:t>1. Introduction</w:t>
      </w:r>
    </w:p>
    <w:p w:rsidR="008D6135" w:rsidRPr="00392CE2" w:rsidRDefault="0085413F" w:rsidP="00392CE2">
      <w:pPr>
        <w:bidi w:val="0"/>
        <w:snapToGrid w:val="0"/>
        <w:ind w:firstLine="425"/>
        <w:jc w:val="both"/>
        <w:rPr>
          <w:sz w:val="20"/>
          <w:szCs w:val="20"/>
          <w:lang w:bidi="ar-EG"/>
        </w:rPr>
      </w:pPr>
      <w:r w:rsidRPr="00392CE2">
        <w:rPr>
          <w:sz w:val="20"/>
          <w:szCs w:val="20"/>
        </w:rPr>
        <w:t xml:space="preserve">Psoriasis is a common; chronic inflammatory multisystem disease with predominantly skin and joint manifestations results from a polygenic predisposition combined with triggering factors e.g. trauma, infection or medications </w:t>
      </w:r>
      <w:r w:rsidRPr="00392CE2">
        <w:rPr>
          <w:b/>
          <w:bCs/>
          <w:sz w:val="20"/>
          <w:szCs w:val="20"/>
        </w:rPr>
        <w:t>(</w:t>
      </w:r>
      <w:r w:rsidR="008D6135" w:rsidRPr="00392CE2">
        <w:rPr>
          <w:b/>
          <w:bCs/>
          <w:sz w:val="20"/>
          <w:szCs w:val="20"/>
          <w:lang w:bidi="ar-EG"/>
        </w:rPr>
        <w:t xml:space="preserve">Roberson and </w:t>
      </w:r>
      <w:proofErr w:type="spellStart"/>
      <w:r w:rsidR="008D6135" w:rsidRPr="00392CE2">
        <w:rPr>
          <w:b/>
          <w:bCs/>
          <w:sz w:val="20"/>
          <w:szCs w:val="20"/>
          <w:lang w:bidi="ar-EG"/>
        </w:rPr>
        <w:t>Bowcock</w:t>
      </w:r>
      <w:proofErr w:type="spellEnd"/>
      <w:r w:rsidR="008D6135" w:rsidRPr="00392CE2">
        <w:rPr>
          <w:b/>
          <w:bCs/>
          <w:sz w:val="20"/>
          <w:szCs w:val="20"/>
          <w:lang w:bidi="ar-EG"/>
        </w:rPr>
        <w:t>, 2010).</w:t>
      </w:r>
    </w:p>
    <w:p w:rsidR="0085413F" w:rsidRPr="00392CE2" w:rsidRDefault="0085413F" w:rsidP="00392CE2">
      <w:pPr>
        <w:bidi w:val="0"/>
        <w:snapToGrid w:val="0"/>
        <w:ind w:firstLine="425"/>
        <w:jc w:val="both"/>
        <w:rPr>
          <w:b/>
          <w:bCs/>
          <w:sz w:val="20"/>
          <w:szCs w:val="20"/>
          <w:lang w:bidi="ar-EG"/>
        </w:rPr>
      </w:pPr>
      <w:proofErr w:type="spellStart"/>
      <w:r w:rsidRPr="00392CE2">
        <w:rPr>
          <w:sz w:val="20"/>
          <w:szCs w:val="20"/>
          <w:lang w:bidi="ar-EG"/>
        </w:rPr>
        <w:t>Homocysteine</w:t>
      </w:r>
      <w:proofErr w:type="spellEnd"/>
      <w:r w:rsidRPr="00392CE2">
        <w:rPr>
          <w:sz w:val="20"/>
          <w:szCs w:val="20"/>
          <w:lang w:bidi="ar-EG"/>
        </w:rPr>
        <w:t xml:space="preserve"> is a </w:t>
      </w:r>
      <w:proofErr w:type="spellStart"/>
      <w:r w:rsidRPr="00392CE2">
        <w:rPr>
          <w:sz w:val="20"/>
          <w:szCs w:val="20"/>
          <w:lang w:bidi="ar-EG"/>
        </w:rPr>
        <w:t>sulphur</w:t>
      </w:r>
      <w:proofErr w:type="spellEnd"/>
      <w:r w:rsidRPr="00392CE2">
        <w:rPr>
          <w:sz w:val="20"/>
          <w:szCs w:val="20"/>
          <w:lang w:bidi="ar-EG"/>
        </w:rPr>
        <w:t xml:space="preserve">-containing amino acid that is not obtained from diet. Instead, it is biosynthesized from </w:t>
      </w:r>
      <w:proofErr w:type="spellStart"/>
      <w:r w:rsidRPr="00392CE2">
        <w:rPr>
          <w:sz w:val="20"/>
          <w:szCs w:val="20"/>
          <w:lang w:bidi="ar-EG"/>
        </w:rPr>
        <w:t>methionine</w:t>
      </w:r>
      <w:proofErr w:type="spellEnd"/>
      <w:r w:rsidRPr="00392CE2">
        <w:rPr>
          <w:sz w:val="20"/>
          <w:szCs w:val="20"/>
          <w:lang w:bidi="ar-EG"/>
        </w:rPr>
        <w:t xml:space="preserve">, which is one of the essential amino acids that cannot be synthesized de novo and therefore must be supplied in diet. </w:t>
      </w:r>
      <w:proofErr w:type="spellStart"/>
      <w:r w:rsidRPr="00392CE2">
        <w:rPr>
          <w:sz w:val="20"/>
          <w:szCs w:val="20"/>
          <w:lang w:bidi="ar-EG"/>
        </w:rPr>
        <w:t>Homocysteine</w:t>
      </w:r>
      <w:proofErr w:type="spellEnd"/>
      <w:r w:rsidRPr="00392CE2">
        <w:rPr>
          <w:sz w:val="20"/>
          <w:szCs w:val="20"/>
          <w:lang w:bidi="ar-EG"/>
        </w:rPr>
        <w:t xml:space="preserve"> is metabolized by </w:t>
      </w:r>
      <w:proofErr w:type="spellStart"/>
      <w:r w:rsidRPr="00392CE2">
        <w:rPr>
          <w:sz w:val="20"/>
          <w:szCs w:val="20"/>
          <w:lang w:bidi="ar-EG"/>
        </w:rPr>
        <w:t>remethylation</w:t>
      </w:r>
      <w:proofErr w:type="spellEnd"/>
      <w:r w:rsidRPr="00392CE2">
        <w:rPr>
          <w:sz w:val="20"/>
          <w:szCs w:val="20"/>
          <w:lang w:bidi="ar-EG"/>
        </w:rPr>
        <w:t xml:space="preserve"> to </w:t>
      </w:r>
      <w:proofErr w:type="spellStart"/>
      <w:r w:rsidRPr="00392CE2">
        <w:rPr>
          <w:sz w:val="20"/>
          <w:szCs w:val="20"/>
          <w:lang w:bidi="ar-EG"/>
        </w:rPr>
        <w:t>methionine</w:t>
      </w:r>
      <w:proofErr w:type="spellEnd"/>
      <w:r w:rsidRPr="00392CE2">
        <w:rPr>
          <w:sz w:val="20"/>
          <w:szCs w:val="20"/>
          <w:lang w:bidi="ar-EG"/>
        </w:rPr>
        <w:t xml:space="preserve"> via folic acid or by </w:t>
      </w:r>
      <w:proofErr w:type="spellStart"/>
      <w:r w:rsidRPr="00392CE2">
        <w:rPr>
          <w:sz w:val="20"/>
          <w:szCs w:val="20"/>
          <w:lang w:bidi="ar-EG"/>
        </w:rPr>
        <w:t>transsulphuration</w:t>
      </w:r>
      <w:proofErr w:type="spellEnd"/>
      <w:r w:rsidRPr="00392CE2">
        <w:rPr>
          <w:sz w:val="20"/>
          <w:szCs w:val="20"/>
          <w:lang w:bidi="ar-EG"/>
        </w:rPr>
        <w:t xml:space="preserve"> to </w:t>
      </w:r>
      <w:proofErr w:type="spellStart"/>
      <w:r w:rsidRPr="00392CE2">
        <w:rPr>
          <w:sz w:val="20"/>
          <w:szCs w:val="20"/>
          <w:lang w:bidi="ar-EG"/>
        </w:rPr>
        <w:t>cysteine</w:t>
      </w:r>
      <w:proofErr w:type="spellEnd"/>
      <w:r w:rsidRPr="00392CE2">
        <w:rPr>
          <w:sz w:val="20"/>
          <w:szCs w:val="20"/>
          <w:lang w:bidi="ar-EG"/>
        </w:rPr>
        <w:t xml:space="preserve"> via </w:t>
      </w:r>
      <w:proofErr w:type="spellStart"/>
      <w:r w:rsidRPr="00392CE2">
        <w:rPr>
          <w:sz w:val="20"/>
          <w:szCs w:val="20"/>
          <w:lang w:bidi="ar-EG"/>
        </w:rPr>
        <w:t>cystathionine</w:t>
      </w:r>
      <w:proofErr w:type="spellEnd"/>
      <w:r w:rsidR="007F4D2C">
        <w:rPr>
          <w:rFonts w:eastAsiaTheme="minorEastAsia" w:hint="eastAsia"/>
          <w:sz w:val="20"/>
          <w:szCs w:val="20"/>
          <w:lang w:eastAsia="zh-CN" w:bidi="ar-EG"/>
        </w:rPr>
        <w:t xml:space="preserve"> </w:t>
      </w:r>
      <w:r w:rsidRPr="00392CE2">
        <w:rPr>
          <w:b/>
          <w:bCs/>
          <w:sz w:val="20"/>
          <w:szCs w:val="20"/>
          <w:lang w:bidi="ar-EG"/>
        </w:rPr>
        <w:t>(</w:t>
      </w:r>
      <w:proofErr w:type="spellStart"/>
      <w:r w:rsidRPr="00392CE2">
        <w:rPr>
          <w:b/>
          <w:bCs/>
          <w:sz w:val="20"/>
          <w:szCs w:val="20"/>
          <w:lang w:bidi="ar-EG"/>
        </w:rPr>
        <w:t>Selhub</w:t>
      </w:r>
      <w:proofErr w:type="spellEnd"/>
      <w:r w:rsidRPr="00392CE2">
        <w:rPr>
          <w:b/>
          <w:bCs/>
          <w:sz w:val="20"/>
          <w:szCs w:val="20"/>
          <w:lang w:bidi="ar-EG"/>
        </w:rPr>
        <w:t>, 2011).</w:t>
      </w:r>
    </w:p>
    <w:p w:rsidR="0085413F" w:rsidRPr="00392CE2" w:rsidRDefault="0085413F" w:rsidP="00392CE2">
      <w:pPr>
        <w:bidi w:val="0"/>
        <w:snapToGrid w:val="0"/>
        <w:ind w:firstLine="425"/>
        <w:jc w:val="both"/>
        <w:rPr>
          <w:sz w:val="20"/>
          <w:szCs w:val="20"/>
          <w:lang w:bidi="ar-EG"/>
        </w:rPr>
      </w:pPr>
      <w:r w:rsidRPr="00392CE2">
        <w:rPr>
          <w:sz w:val="20"/>
          <w:szCs w:val="20"/>
          <w:lang w:bidi="ar-EG"/>
        </w:rPr>
        <w:t xml:space="preserve">Plasma </w:t>
      </w:r>
      <w:proofErr w:type="spellStart"/>
      <w:r w:rsidRPr="00392CE2">
        <w:rPr>
          <w:sz w:val="20"/>
          <w:szCs w:val="20"/>
          <w:lang w:bidi="ar-EG"/>
        </w:rPr>
        <w:t>homocysteine</w:t>
      </w:r>
      <w:proofErr w:type="spellEnd"/>
      <w:r w:rsidRPr="00392CE2">
        <w:rPr>
          <w:sz w:val="20"/>
          <w:szCs w:val="20"/>
          <w:lang w:bidi="ar-EG"/>
        </w:rPr>
        <w:t xml:space="preserve"> level was found to be directly correlated with psoriasis severity (PASI) and was inversely correlated with plasma folic acid levels, suggesting that patients with psoriasis might have low plasma </w:t>
      </w:r>
      <w:proofErr w:type="spellStart"/>
      <w:r w:rsidRPr="00392CE2">
        <w:rPr>
          <w:sz w:val="20"/>
          <w:szCs w:val="20"/>
          <w:lang w:bidi="ar-EG"/>
        </w:rPr>
        <w:t>folate</w:t>
      </w:r>
      <w:proofErr w:type="spellEnd"/>
      <w:r w:rsidRPr="00392CE2">
        <w:rPr>
          <w:sz w:val="20"/>
          <w:szCs w:val="20"/>
          <w:lang w:bidi="ar-EG"/>
        </w:rPr>
        <w:t xml:space="preserve"> level and a tendency to develop </w:t>
      </w:r>
      <w:proofErr w:type="spellStart"/>
      <w:r w:rsidRPr="00392CE2">
        <w:rPr>
          <w:sz w:val="20"/>
          <w:szCs w:val="20"/>
          <w:lang w:bidi="ar-EG"/>
        </w:rPr>
        <w:t>hyperhomocysteinaemia</w:t>
      </w:r>
      <w:proofErr w:type="spellEnd"/>
      <w:r w:rsidRPr="00392CE2">
        <w:rPr>
          <w:sz w:val="20"/>
          <w:szCs w:val="20"/>
          <w:lang w:bidi="ar-EG"/>
        </w:rPr>
        <w:t>, which might predispose them to higher cardiovascular risk (</w:t>
      </w:r>
      <w:proofErr w:type="spellStart"/>
      <w:r w:rsidRPr="00392CE2">
        <w:rPr>
          <w:b/>
          <w:bCs/>
          <w:sz w:val="20"/>
          <w:szCs w:val="20"/>
          <w:lang w:bidi="ar-EG"/>
        </w:rPr>
        <w:t>Malerba</w:t>
      </w:r>
      <w:proofErr w:type="spellEnd"/>
      <w:r w:rsidRPr="00392CE2">
        <w:rPr>
          <w:b/>
          <w:bCs/>
          <w:sz w:val="20"/>
          <w:szCs w:val="20"/>
          <w:lang w:bidi="ar-EG"/>
        </w:rPr>
        <w:t xml:space="preserve"> et al.,</w:t>
      </w:r>
      <w:r w:rsidR="007F4D2C">
        <w:rPr>
          <w:rFonts w:eastAsiaTheme="minorEastAsia" w:hint="eastAsia"/>
          <w:b/>
          <w:bCs/>
          <w:sz w:val="20"/>
          <w:szCs w:val="20"/>
          <w:lang w:eastAsia="zh-CN" w:bidi="ar-EG"/>
        </w:rPr>
        <w:t xml:space="preserve"> </w:t>
      </w:r>
      <w:r w:rsidRPr="00392CE2">
        <w:rPr>
          <w:b/>
          <w:bCs/>
          <w:sz w:val="20"/>
          <w:szCs w:val="20"/>
          <w:lang w:bidi="ar-EG"/>
        </w:rPr>
        <w:t>2006)</w:t>
      </w:r>
      <w:r w:rsidRPr="00392CE2">
        <w:rPr>
          <w:sz w:val="20"/>
          <w:szCs w:val="20"/>
          <w:lang w:bidi="ar-EG"/>
        </w:rPr>
        <w:t>.</w:t>
      </w:r>
    </w:p>
    <w:p w:rsidR="0085413F" w:rsidRPr="00392CE2" w:rsidRDefault="0085413F" w:rsidP="00392CE2">
      <w:pPr>
        <w:bidi w:val="0"/>
        <w:snapToGrid w:val="0"/>
        <w:ind w:firstLine="425"/>
        <w:jc w:val="both"/>
        <w:rPr>
          <w:rFonts w:eastAsia="Arial Unicode MS"/>
          <w:sz w:val="20"/>
          <w:szCs w:val="20"/>
          <w:lang w:bidi="ar-EG"/>
        </w:rPr>
      </w:pPr>
      <w:r w:rsidRPr="00392CE2">
        <w:rPr>
          <w:rFonts w:eastAsia="Arial Unicode MS"/>
          <w:sz w:val="20"/>
          <w:szCs w:val="20"/>
          <w:lang w:bidi="ar-EG"/>
        </w:rPr>
        <w:lastRenderedPageBreak/>
        <w:t xml:space="preserve">Increased </w:t>
      </w:r>
      <w:proofErr w:type="spellStart"/>
      <w:r w:rsidRPr="00392CE2">
        <w:rPr>
          <w:rFonts w:eastAsia="Arial Unicode MS"/>
          <w:sz w:val="20"/>
          <w:szCs w:val="20"/>
          <w:lang w:bidi="ar-EG"/>
        </w:rPr>
        <w:t>homocysteine</w:t>
      </w:r>
      <w:proofErr w:type="spellEnd"/>
      <w:r w:rsidRPr="00392CE2">
        <w:rPr>
          <w:rFonts w:eastAsia="Arial Unicode MS"/>
          <w:sz w:val="20"/>
          <w:szCs w:val="20"/>
          <w:lang w:bidi="ar-EG"/>
        </w:rPr>
        <w:t xml:space="preserve"> level in patients with psoriasis might be due to reduced folic acid absorption from the gut and/or increased folic acid consumption in the </w:t>
      </w:r>
      <w:proofErr w:type="spellStart"/>
      <w:r w:rsidRPr="00392CE2">
        <w:rPr>
          <w:rFonts w:eastAsia="Arial Unicode MS"/>
          <w:sz w:val="20"/>
          <w:szCs w:val="20"/>
          <w:lang w:bidi="ar-EG"/>
        </w:rPr>
        <w:t>skinin</w:t>
      </w:r>
      <w:proofErr w:type="spellEnd"/>
      <w:r w:rsidRPr="00392CE2">
        <w:rPr>
          <w:rFonts w:eastAsia="Arial Unicode MS"/>
          <w:sz w:val="20"/>
          <w:szCs w:val="20"/>
          <w:lang w:bidi="ar-EG"/>
        </w:rPr>
        <w:t xml:space="preserve"> cell replication and skin turnover so as </w:t>
      </w:r>
      <w:proofErr w:type="spellStart"/>
      <w:r w:rsidRPr="00392CE2">
        <w:rPr>
          <w:rFonts w:eastAsia="Arial Unicode MS"/>
          <w:sz w:val="20"/>
          <w:szCs w:val="20"/>
          <w:lang w:bidi="ar-EG"/>
        </w:rPr>
        <w:t>homocysteine</w:t>
      </w:r>
      <w:proofErr w:type="spellEnd"/>
      <w:r w:rsidRPr="00392CE2">
        <w:rPr>
          <w:rFonts w:eastAsia="Arial Unicode MS"/>
          <w:sz w:val="20"/>
          <w:szCs w:val="20"/>
          <w:lang w:bidi="ar-EG"/>
        </w:rPr>
        <w:t xml:space="preserve"> is metabolized via folic acid to </w:t>
      </w:r>
      <w:proofErr w:type="spellStart"/>
      <w:r w:rsidRPr="00392CE2">
        <w:rPr>
          <w:rFonts w:eastAsia="Arial Unicode MS"/>
          <w:sz w:val="20"/>
          <w:szCs w:val="20"/>
          <w:lang w:bidi="ar-EG"/>
        </w:rPr>
        <w:t>methionine</w:t>
      </w:r>
      <w:proofErr w:type="spellEnd"/>
      <w:r w:rsidRPr="00392CE2">
        <w:rPr>
          <w:rFonts w:eastAsia="Arial Unicode MS"/>
          <w:sz w:val="20"/>
          <w:szCs w:val="20"/>
          <w:lang w:bidi="ar-EG"/>
        </w:rPr>
        <w:t xml:space="preserve"> so the level of </w:t>
      </w:r>
      <w:proofErr w:type="spellStart"/>
      <w:r w:rsidRPr="00392CE2">
        <w:rPr>
          <w:rFonts w:eastAsia="Arial Unicode MS"/>
          <w:sz w:val="20"/>
          <w:szCs w:val="20"/>
          <w:lang w:bidi="ar-EG"/>
        </w:rPr>
        <w:t>homocysteine</w:t>
      </w:r>
      <w:proofErr w:type="spellEnd"/>
      <w:r w:rsidRPr="00392CE2">
        <w:rPr>
          <w:rFonts w:eastAsia="Arial Unicode MS"/>
          <w:sz w:val="20"/>
          <w:szCs w:val="20"/>
          <w:lang w:bidi="ar-EG"/>
        </w:rPr>
        <w:t xml:space="preserve"> is increased </w:t>
      </w:r>
      <w:proofErr w:type="spellStart"/>
      <w:r w:rsidRPr="00392CE2">
        <w:rPr>
          <w:rFonts w:eastAsia="Arial Unicode MS"/>
          <w:sz w:val="20"/>
          <w:szCs w:val="20"/>
          <w:lang w:bidi="ar-EG"/>
        </w:rPr>
        <w:t>inpsoriasis</w:t>
      </w:r>
      <w:proofErr w:type="spellEnd"/>
      <w:r w:rsidRPr="00392CE2">
        <w:rPr>
          <w:rFonts w:eastAsia="Arial Unicode MS"/>
          <w:sz w:val="20"/>
          <w:szCs w:val="20"/>
          <w:lang w:bidi="ar-EG"/>
        </w:rPr>
        <w:t xml:space="preserve"> patients </w:t>
      </w:r>
      <w:r w:rsidRPr="00392CE2">
        <w:rPr>
          <w:rFonts w:eastAsia="Arial Unicode MS"/>
          <w:b/>
          <w:bCs/>
          <w:sz w:val="20"/>
          <w:szCs w:val="20"/>
          <w:lang w:bidi="ar-EG"/>
        </w:rPr>
        <w:t>(</w:t>
      </w:r>
      <w:proofErr w:type="spellStart"/>
      <w:r w:rsidRPr="00392CE2">
        <w:rPr>
          <w:rFonts w:eastAsia="Arial Unicode MS"/>
          <w:b/>
          <w:bCs/>
          <w:sz w:val="20"/>
          <w:szCs w:val="20"/>
          <w:lang w:bidi="ar-EG"/>
        </w:rPr>
        <w:t>Refsum</w:t>
      </w:r>
      <w:proofErr w:type="spellEnd"/>
      <w:r w:rsidRPr="00392CE2">
        <w:rPr>
          <w:rFonts w:eastAsia="Arial Unicode MS"/>
          <w:b/>
          <w:bCs/>
          <w:sz w:val="20"/>
          <w:szCs w:val="20"/>
          <w:lang w:bidi="ar-EG"/>
        </w:rPr>
        <w:t xml:space="preserve"> et al.,</w:t>
      </w:r>
      <w:r w:rsidR="007F4D2C">
        <w:rPr>
          <w:rFonts w:eastAsiaTheme="minorEastAsia" w:hint="eastAsia"/>
          <w:b/>
          <w:bCs/>
          <w:sz w:val="20"/>
          <w:szCs w:val="20"/>
          <w:lang w:eastAsia="zh-CN" w:bidi="ar-EG"/>
        </w:rPr>
        <w:t xml:space="preserve"> </w:t>
      </w:r>
      <w:r w:rsidRPr="00392CE2">
        <w:rPr>
          <w:rFonts w:eastAsia="Arial Unicode MS"/>
          <w:b/>
          <w:bCs/>
          <w:sz w:val="20"/>
          <w:szCs w:val="20"/>
          <w:lang w:bidi="ar-EG"/>
        </w:rPr>
        <w:t>1989).</w:t>
      </w:r>
    </w:p>
    <w:p w:rsidR="0085413F" w:rsidRPr="00392CE2" w:rsidRDefault="0085413F" w:rsidP="00392CE2">
      <w:pPr>
        <w:bidi w:val="0"/>
        <w:snapToGrid w:val="0"/>
        <w:ind w:firstLine="425"/>
        <w:jc w:val="both"/>
        <w:rPr>
          <w:sz w:val="20"/>
          <w:szCs w:val="20"/>
          <w:lang w:bidi="ar-EG"/>
        </w:rPr>
      </w:pPr>
      <w:proofErr w:type="spellStart"/>
      <w:r w:rsidRPr="00392CE2">
        <w:rPr>
          <w:sz w:val="20"/>
          <w:szCs w:val="20"/>
          <w:lang w:bidi="ar-EG"/>
        </w:rPr>
        <w:t>Hyperhomocysteinaemia</w:t>
      </w:r>
      <w:proofErr w:type="spellEnd"/>
      <w:r w:rsidRPr="00392CE2">
        <w:rPr>
          <w:sz w:val="20"/>
          <w:szCs w:val="20"/>
          <w:lang w:bidi="ar-EG"/>
        </w:rPr>
        <w:t xml:space="preserve"> was found to be related with atherosclerotic cardiovascular diseases, stroke, peripheral arterial occlusive disease and venous thrombosis </w:t>
      </w:r>
      <w:r w:rsidRPr="00392CE2">
        <w:rPr>
          <w:b/>
          <w:bCs/>
          <w:sz w:val="20"/>
          <w:szCs w:val="20"/>
          <w:lang w:bidi="ar-EG"/>
        </w:rPr>
        <w:t>(Hermann, 2001).</w:t>
      </w:r>
    </w:p>
    <w:p w:rsidR="0085413F" w:rsidRPr="00392CE2" w:rsidRDefault="0085413F" w:rsidP="00392CE2">
      <w:pPr>
        <w:bidi w:val="0"/>
        <w:snapToGrid w:val="0"/>
        <w:ind w:firstLine="425"/>
        <w:jc w:val="both"/>
        <w:rPr>
          <w:b/>
          <w:bCs/>
          <w:sz w:val="20"/>
          <w:szCs w:val="20"/>
          <w:lang w:bidi="ar-EG"/>
        </w:rPr>
      </w:pPr>
      <w:r w:rsidRPr="00392CE2">
        <w:rPr>
          <w:sz w:val="20"/>
          <w:szCs w:val="20"/>
          <w:lang w:bidi="ar-EG"/>
        </w:rPr>
        <w:t xml:space="preserve">Dietary improvement or a short-term supplementation with folic acid and antioxidant vitamins might be suggested to psoriasis patients to prevent coronary cardiovascular disease by lowering blood </w:t>
      </w:r>
      <w:proofErr w:type="spellStart"/>
      <w:r w:rsidRPr="00392CE2">
        <w:rPr>
          <w:sz w:val="20"/>
          <w:szCs w:val="20"/>
          <w:lang w:bidi="ar-EG"/>
        </w:rPr>
        <w:t>homocysteine</w:t>
      </w:r>
      <w:proofErr w:type="spellEnd"/>
      <w:r w:rsidRPr="00392CE2">
        <w:rPr>
          <w:sz w:val="20"/>
          <w:szCs w:val="20"/>
          <w:lang w:bidi="ar-EG"/>
        </w:rPr>
        <w:t xml:space="preserve"> levels </w:t>
      </w:r>
      <w:r w:rsidRPr="00392CE2">
        <w:rPr>
          <w:b/>
          <w:bCs/>
          <w:sz w:val="20"/>
          <w:szCs w:val="20"/>
          <w:lang w:bidi="ar-EG"/>
        </w:rPr>
        <w:t>(</w:t>
      </w:r>
      <w:proofErr w:type="spellStart"/>
      <w:r w:rsidRPr="00392CE2">
        <w:rPr>
          <w:b/>
          <w:bCs/>
          <w:sz w:val="20"/>
          <w:szCs w:val="20"/>
          <w:lang w:bidi="ar-EG"/>
        </w:rPr>
        <w:t>McCully</w:t>
      </w:r>
      <w:proofErr w:type="spellEnd"/>
      <w:r w:rsidRPr="00392CE2">
        <w:rPr>
          <w:b/>
          <w:bCs/>
          <w:sz w:val="20"/>
          <w:szCs w:val="20"/>
          <w:lang w:bidi="ar-EG"/>
        </w:rPr>
        <w:t>, 2007).</w:t>
      </w:r>
    </w:p>
    <w:p w:rsidR="00606722" w:rsidRPr="00392CE2" w:rsidRDefault="00606722" w:rsidP="00392CE2">
      <w:pPr>
        <w:pStyle w:val="Header"/>
        <w:bidi w:val="0"/>
        <w:snapToGrid w:val="0"/>
        <w:jc w:val="both"/>
        <w:rPr>
          <w:b/>
          <w:bCs/>
          <w:sz w:val="20"/>
          <w:szCs w:val="20"/>
        </w:rPr>
      </w:pPr>
    </w:p>
    <w:p w:rsidR="0085413F" w:rsidRPr="00392CE2" w:rsidRDefault="00606722" w:rsidP="00392CE2">
      <w:pPr>
        <w:pStyle w:val="Header"/>
        <w:bidi w:val="0"/>
        <w:snapToGrid w:val="0"/>
        <w:jc w:val="both"/>
        <w:rPr>
          <w:sz w:val="20"/>
          <w:szCs w:val="20"/>
          <w:lang w:bidi="ar-EG"/>
        </w:rPr>
      </w:pPr>
      <w:r w:rsidRPr="00392CE2">
        <w:rPr>
          <w:b/>
          <w:bCs/>
          <w:sz w:val="20"/>
          <w:szCs w:val="20"/>
        </w:rPr>
        <w:t xml:space="preserve">2. </w:t>
      </w:r>
      <w:r w:rsidR="0085413F" w:rsidRPr="00392CE2">
        <w:rPr>
          <w:b/>
          <w:bCs/>
          <w:sz w:val="20"/>
          <w:szCs w:val="20"/>
        </w:rPr>
        <w:t>Patients and methods</w:t>
      </w:r>
    </w:p>
    <w:p w:rsidR="0085413F" w:rsidRPr="00392CE2" w:rsidRDefault="0085413F" w:rsidP="00392CE2">
      <w:pPr>
        <w:pStyle w:val="Header"/>
        <w:bidi w:val="0"/>
        <w:snapToGrid w:val="0"/>
        <w:ind w:firstLine="425"/>
        <w:jc w:val="both"/>
        <w:rPr>
          <w:sz w:val="20"/>
          <w:szCs w:val="20"/>
          <w:lang w:bidi="ar-EG"/>
        </w:rPr>
      </w:pPr>
      <w:r w:rsidRPr="00392CE2">
        <w:rPr>
          <w:sz w:val="20"/>
          <w:szCs w:val="20"/>
          <w:lang w:bidi="ar-EG"/>
        </w:rPr>
        <w:t>This study included two groups:</w:t>
      </w:r>
    </w:p>
    <w:p w:rsidR="0085413F" w:rsidRPr="00392CE2" w:rsidRDefault="0085413F" w:rsidP="00392CE2">
      <w:pPr>
        <w:numPr>
          <w:ilvl w:val="0"/>
          <w:numId w:val="1"/>
        </w:numPr>
        <w:tabs>
          <w:tab w:val="clear" w:pos="720"/>
          <w:tab w:val="num" w:pos="426"/>
        </w:tabs>
        <w:bidi w:val="0"/>
        <w:snapToGrid w:val="0"/>
        <w:ind w:left="0" w:firstLine="0"/>
        <w:jc w:val="both"/>
        <w:rPr>
          <w:b/>
          <w:bCs/>
          <w:sz w:val="20"/>
          <w:szCs w:val="20"/>
          <w:lang w:bidi="ar-EG"/>
        </w:rPr>
      </w:pPr>
      <w:r w:rsidRPr="00392CE2">
        <w:rPr>
          <w:b/>
          <w:bCs/>
          <w:sz w:val="20"/>
          <w:szCs w:val="20"/>
          <w:lang w:bidi="ar-EG"/>
        </w:rPr>
        <w:t xml:space="preserve">Group I: Forty individuals with psoriasis </w:t>
      </w:r>
      <w:proofErr w:type="spellStart"/>
      <w:r w:rsidRPr="00392CE2">
        <w:rPr>
          <w:b/>
          <w:bCs/>
          <w:sz w:val="20"/>
          <w:szCs w:val="20"/>
          <w:lang w:bidi="ar-EG"/>
        </w:rPr>
        <w:t>vulgaris</w:t>
      </w:r>
      <w:proofErr w:type="spellEnd"/>
      <w:r w:rsidRPr="00392CE2">
        <w:rPr>
          <w:b/>
          <w:bCs/>
          <w:sz w:val="20"/>
          <w:szCs w:val="20"/>
          <w:lang w:bidi="ar-EG"/>
        </w:rPr>
        <w:t>.</w:t>
      </w:r>
    </w:p>
    <w:p w:rsidR="0085413F" w:rsidRPr="00392CE2" w:rsidRDefault="0085413F" w:rsidP="00392CE2">
      <w:pPr>
        <w:numPr>
          <w:ilvl w:val="0"/>
          <w:numId w:val="1"/>
        </w:numPr>
        <w:tabs>
          <w:tab w:val="clear" w:pos="720"/>
          <w:tab w:val="num" w:pos="426"/>
        </w:tabs>
        <w:bidi w:val="0"/>
        <w:snapToGrid w:val="0"/>
        <w:ind w:left="0" w:firstLine="0"/>
        <w:jc w:val="both"/>
        <w:rPr>
          <w:b/>
          <w:bCs/>
          <w:sz w:val="20"/>
          <w:szCs w:val="20"/>
          <w:lang w:bidi="ar-EG"/>
        </w:rPr>
      </w:pPr>
      <w:r w:rsidRPr="00392CE2">
        <w:rPr>
          <w:b/>
          <w:bCs/>
          <w:sz w:val="20"/>
          <w:szCs w:val="20"/>
          <w:lang w:bidi="ar-EG"/>
        </w:rPr>
        <w:t>Group II: Forty ages and sex matched healthy individuals as controls.</w:t>
      </w:r>
    </w:p>
    <w:p w:rsidR="0085413F" w:rsidRPr="00392CE2" w:rsidRDefault="0085413F" w:rsidP="00392CE2">
      <w:pPr>
        <w:bidi w:val="0"/>
        <w:snapToGrid w:val="0"/>
        <w:jc w:val="both"/>
        <w:rPr>
          <w:sz w:val="20"/>
          <w:szCs w:val="20"/>
          <w:lang w:bidi="ar-EG"/>
        </w:rPr>
      </w:pPr>
      <w:r w:rsidRPr="00392CE2">
        <w:rPr>
          <w:b/>
          <w:bCs/>
          <w:sz w:val="20"/>
          <w:szCs w:val="20"/>
          <w:lang w:bidi="ar-EG"/>
        </w:rPr>
        <w:lastRenderedPageBreak/>
        <w:t>Exclusion criteria:-</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Patients and controls less than 18 years old.</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Pregnancy.</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Menopause.</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Malignancy.</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Chronic hepatic or renal</w:t>
      </w:r>
      <w:r w:rsidR="001479A5" w:rsidRPr="00392CE2">
        <w:rPr>
          <w:sz w:val="20"/>
          <w:szCs w:val="20"/>
          <w:lang w:bidi="ar-EG"/>
        </w:rPr>
        <w:t xml:space="preserve"> disease</w:t>
      </w:r>
      <w:r w:rsidRPr="00392CE2">
        <w:rPr>
          <w:sz w:val="20"/>
          <w:szCs w:val="20"/>
          <w:lang w:bidi="ar-EG"/>
        </w:rPr>
        <w:t>.</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Hypothyroidism.</w:t>
      </w:r>
    </w:p>
    <w:p w:rsidR="0085413F" w:rsidRPr="00392CE2"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 xml:space="preserve">Systemic lupus </w:t>
      </w:r>
      <w:proofErr w:type="spellStart"/>
      <w:r w:rsidRPr="00392CE2">
        <w:rPr>
          <w:sz w:val="20"/>
          <w:szCs w:val="20"/>
          <w:lang w:bidi="ar-EG"/>
        </w:rPr>
        <w:t>erythematosus</w:t>
      </w:r>
      <w:proofErr w:type="spellEnd"/>
      <w:r w:rsidRPr="00392CE2">
        <w:rPr>
          <w:sz w:val="20"/>
          <w:szCs w:val="20"/>
          <w:lang w:bidi="ar-EG"/>
        </w:rPr>
        <w:t>.</w:t>
      </w:r>
    </w:p>
    <w:p w:rsidR="000D320B"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 xml:space="preserve">Patients receiving oral </w:t>
      </w:r>
      <w:proofErr w:type="spellStart"/>
      <w:r w:rsidRPr="00392CE2">
        <w:rPr>
          <w:sz w:val="20"/>
          <w:szCs w:val="20"/>
          <w:lang w:bidi="ar-EG"/>
        </w:rPr>
        <w:t>antipsoriatic</w:t>
      </w:r>
      <w:proofErr w:type="spellEnd"/>
      <w:r w:rsidRPr="00392CE2">
        <w:rPr>
          <w:sz w:val="20"/>
          <w:szCs w:val="20"/>
          <w:lang w:bidi="ar-EG"/>
        </w:rPr>
        <w:t xml:space="preserve"> drug</w:t>
      </w:r>
      <w:r w:rsidR="000D320B" w:rsidRPr="00392CE2">
        <w:rPr>
          <w:sz w:val="20"/>
          <w:szCs w:val="20"/>
          <w:lang w:bidi="ar-EG"/>
        </w:rPr>
        <w:t>s</w:t>
      </w:r>
      <w:r w:rsidR="000D320B">
        <w:rPr>
          <w:sz w:val="20"/>
          <w:szCs w:val="20"/>
          <w:lang w:bidi="ar-EG"/>
        </w:rPr>
        <w:t>.</w:t>
      </w:r>
    </w:p>
    <w:p w:rsidR="000D320B" w:rsidRDefault="0085413F" w:rsidP="00392CE2">
      <w:pPr>
        <w:pStyle w:val="ListParagraph"/>
        <w:numPr>
          <w:ilvl w:val="0"/>
          <w:numId w:val="6"/>
        </w:numPr>
        <w:snapToGrid w:val="0"/>
        <w:ind w:left="0" w:firstLine="425"/>
        <w:jc w:val="both"/>
        <w:rPr>
          <w:sz w:val="20"/>
          <w:szCs w:val="20"/>
          <w:lang w:bidi="ar-EG"/>
        </w:rPr>
      </w:pPr>
      <w:r w:rsidRPr="00392CE2">
        <w:rPr>
          <w:sz w:val="20"/>
          <w:szCs w:val="20"/>
          <w:lang w:bidi="ar-EG"/>
        </w:rPr>
        <w:t>Patients or controls receiving oral contraceptive</w:t>
      </w:r>
      <w:r w:rsidR="000D320B" w:rsidRPr="00392CE2">
        <w:rPr>
          <w:sz w:val="20"/>
          <w:szCs w:val="20"/>
          <w:lang w:bidi="ar-EG"/>
        </w:rPr>
        <w:t>s</w:t>
      </w:r>
      <w:r w:rsidR="000D320B">
        <w:rPr>
          <w:sz w:val="20"/>
          <w:szCs w:val="20"/>
          <w:lang w:bidi="ar-EG"/>
        </w:rPr>
        <w:t>.</w:t>
      </w:r>
    </w:p>
    <w:p w:rsidR="0085413F" w:rsidRPr="00392CE2" w:rsidRDefault="0085413F" w:rsidP="00392CE2">
      <w:pPr>
        <w:bidi w:val="0"/>
        <w:snapToGrid w:val="0"/>
        <w:ind w:firstLine="425"/>
        <w:jc w:val="both"/>
        <w:rPr>
          <w:b/>
          <w:bCs/>
          <w:sz w:val="20"/>
          <w:szCs w:val="20"/>
          <w:lang w:bidi="ar-EG"/>
        </w:rPr>
      </w:pPr>
      <w:r w:rsidRPr="00392CE2">
        <w:rPr>
          <w:sz w:val="20"/>
          <w:szCs w:val="20"/>
          <w:lang w:bidi="ar-EG"/>
        </w:rPr>
        <w:t>Each subject was submitted to detailed history,</w:t>
      </w:r>
      <w:r w:rsidR="000D320B">
        <w:rPr>
          <w:rFonts w:eastAsiaTheme="minorEastAsia" w:hint="eastAsia"/>
          <w:sz w:val="20"/>
          <w:szCs w:val="20"/>
          <w:lang w:eastAsia="zh-CN" w:bidi="ar-EG"/>
        </w:rPr>
        <w:t xml:space="preserve"> </w:t>
      </w:r>
      <w:r w:rsidRPr="00392CE2">
        <w:rPr>
          <w:sz w:val="20"/>
          <w:szCs w:val="20"/>
          <w:lang w:bidi="ar-EG"/>
        </w:rPr>
        <w:t xml:space="preserve">complete general examination, complete dermatological examination, serum sample collection to assess the level of </w:t>
      </w:r>
      <w:proofErr w:type="spellStart"/>
      <w:r w:rsidRPr="00392CE2">
        <w:rPr>
          <w:sz w:val="20"/>
          <w:szCs w:val="20"/>
          <w:lang w:bidi="ar-EG"/>
        </w:rPr>
        <w:t>homocysteine</w:t>
      </w:r>
      <w:proofErr w:type="spellEnd"/>
      <w:r w:rsidRPr="00392CE2">
        <w:rPr>
          <w:sz w:val="20"/>
          <w:szCs w:val="20"/>
          <w:lang w:bidi="ar-EG"/>
        </w:rPr>
        <w:t xml:space="preserve"> and evaluation of psoriasis severity in psoriatic patients by Psoriasis Area and Severity Index (PASI) score </w:t>
      </w:r>
      <w:r w:rsidRPr="00392CE2">
        <w:rPr>
          <w:b/>
          <w:bCs/>
          <w:i/>
          <w:iCs/>
          <w:sz w:val="20"/>
          <w:szCs w:val="20"/>
          <w:lang w:bidi="ar-EG"/>
        </w:rPr>
        <w:t>(</w:t>
      </w:r>
      <w:proofErr w:type="spellStart"/>
      <w:r w:rsidRPr="00392CE2">
        <w:rPr>
          <w:b/>
          <w:bCs/>
          <w:i/>
          <w:iCs/>
          <w:sz w:val="20"/>
          <w:szCs w:val="20"/>
          <w:lang w:bidi="ar-EG"/>
        </w:rPr>
        <w:t>Fredriksson</w:t>
      </w:r>
      <w:proofErr w:type="spellEnd"/>
      <w:r w:rsidRPr="00392CE2">
        <w:rPr>
          <w:b/>
          <w:bCs/>
          <w:i/>
          <w:iCs/>
          <w:sz w:val="20"/>
          <w:szCs w:val="20"/>
          <w:lang w:bidi="ar-EG"/>
        </w:rPr>
        <w:t xml:space="preserve"> and </w:t>
      </w:r>
      <w:proofErr w:type="spellStart"/>
      <w:r w:rsidRPr="00392CE2">
        <w:rPr>
          <w:b/>
          <w:bCs/>
          <w:i/>
          <w:iCs/>
          <w:sz w:val="20"/>
          <w:szCs w:val="20"/>
          <w:lang w:bidi="ar-EG"/>
        </w:rPr>
        <w:t>Petterson</w:t>
      </w:r>
      <w:proofErr w:type="spellEnd"/>
      <w:r w:rsidRPr="00392CE2">
        <w:rPr>
          <w:b/>
          <w:bCs/>
          <w:i/>
          <w:iCs/>
          <w:sz w:val="20"/>
          <w:szCs w:val="20"/>
          <w:lang w:bidi="ar-EG"/>
        </w:rPr>
        <w:t>, 1978).</w:t>
      </w:r>
    </w:p>
    <w:p w:rsidR="0085413F" w:rsidRPr="00392CE2" w:rsidRDefault="0085413F" w:rsidP="00392CE2">
      <w:pPr>
        <w:bidi w:val="0"/>
        <w:snapToGrid w:val="0"/>
        <w:ind w:firstLine="425"/>
        <w:jc w:val="both"/>
        <w:rPr>
          <w:sz w:val="20"/>
          <w:szCs w:val="20"/>
          <w:lang w:bidi="ar-EG"/>
        </w:rPr>
      </w:pPr>
      <w:r w:rsidRPr="00392CE2">
        <w:rPr>
          <w:sz w:val="20"/>
          <w:szCs w:val="20"/>
          <w:lang w:bidi="ar-EG"/>
        </w:rPr>
        <w:lastRenderedPageBreak/>
        <w:t xml:space="preserve">Serum </w:t>
      </w:r>
      <w:proofErr w:type="spellStart"/>
      <w:r w:rsidRPr="00392CE2">
        <w:rPr>
          <w:sz w:val="20"/>
          <w:szCs w:val="20"/>
          <w:lang w:bidi="ar-EG"/>
        </w:rPr>
        <w:t>homocysteine</w:t>
      </w:r>
      <w:proofErr w:type="spellEnd"/>
      <w:r w:rsidRPr="00392CE2">
        <w:rPr>
          <w:sz w:val="20"/>
          <w:szCs w:val="20"/>
          <w:lang w:bidi="ar-EG"/>
        </w:rPr>
        <w:t xml:space="preserve"> estimated ELISA.</w:t>
      </w:r>
    </w:p>
    <w:p w:rsidR="0085413F" w:rsidRPr="00392CE2" w:rsidRDefault="001479A5" w:rsidP="00392CE2">
      <w:pPr>
        <w:bidi w:val="0"/>
        <w:snapToGrid w:val="0"/>
        <w:ind w:firstLine="425"/>
        <w:jc w:val="both"/>
        <w:rPr>
          <w:sz w:val="20"/>
          <w:szCs w:val="20"/>
          <w:lang w:bidi="ar-EG"/>
        </w:rPr>
      </w:pPr>
      <w:r w:rsidRPr="00392CE2">
        <w:rPr>
          <w:sz w:val="20"/>
          <w:szCs w:val="20"/>
          <w:lang w:bidi="ar-EG"/>
        </w:rPr>
        <w:t>W</w:t>
      </w:r>
      <w:r w:rsidR="0085413F" w:rsidRPr="00392CE2">
        <w:rPr>
          <w:sz w:val="20"/>
          <w:szCs w:val="20"/>
          <w:lang w:bidi="ar-EG"/>
        </w:rPr>
        <w:t>ritten informed consent was obtained from all studied subjects after complete description of the study.</w:t>
      </w:r>
    </w:p>
    <w:p w:rsidR="0085413F" w:rsidRPr="00392CE2" w:rsidRDefault="0085413F" w:rsidP="00392CE2">
      <w:pPr>
        <w:bidi w:val="0"/>
        <w:snapToGrid w:val="0"/>
        <w:ind w:firstLine="425"/>
        <w:jc w:val="both"/>
        <w:rPr>
          <w:sz w:val="20"/>
          <w:szCs w:val="20"/>
          <w:lang w:bidi="ar-EG"/>
        </w:rPr>
      </w:pPr>
      <w:r w:rsidRPr="00392CE2">
        <w:rPr>
          <w:sz w:val="20"/>
          <w:szCs w:val="20"/>
          <w:lang w:bidi="ar-EG"/>
        </w:rPr>
        <w:t>Data were analyzed using SPSS software version 20.0. Quantitative data were expressed as mean, standard deviation and median.</w:t>
      </w:r>
    </w:p>
    <w:p w:rsidR="0085413F" w:rsidRPr="00392CE2" w:rsidRDefault="0085413F" w:rsidP="00392CE2">
      <w:pPr>
        <w:bidi w:val="0"/>
        <w:snapToGrid w:val="0"/>
        <w:ind w:firstLine="425"/>
        <w:jc w:val="both"/>
        <w:rPr>
          <w:sz w:val="20"/>
          <w:szCs w:val="20"/>
          <w:lang w:bidi="ar-EG"/>
        </w:rPr>
      </w:pPr>
      <w:r w:rsidRPr="00392CE2">
        <w:rPr>
          <w:sz w:val="20"/>
          <w:szCs w:val="20"/>
          <w:lang w:bidi="ar-EG"/>
        </w:rPr>
        <w:t xml:space="preserve">Chi-square test, </w:t>
      </w:r>
      <w:r w:rsidR="001479A5" w:rsidRPr="00392CE2">
        <w:rPr>
          <w:sz w:val="20"/>
          <w:szCs w:val="20"/>
          <w:lang w:bidi="ar-EG"/>
        </w:rPr>
        <w:t>Student t-test</w:t>
      </w:r>
      <w:r w:rsidRPr="00392CE2">
        <w:rPr>
          <w:sz w:val="20"/>
          <w:szCs w:val="20"/>
          <w:lang w:bidi="ar-EG"/>
        </w:rPr>
        <w:t xml:space="preserve">, Mann Whitney test, </w:t>
      </w:r>
      <w:proofErr w:type="spellStart"/>
      <w:r w:rsidRPr="00392CE2">
        <w:rPr>
          <w:sz w:val="20"/>
          <w:szCs w:val="20"/>
          <w:lang w:bidi="ar-EG"/>
        </w:rPr>
        <w:t>Kruskal</w:t>
      </w:r>
      <w:proofErr w:type="spellEnd"/>
      <w:r w:rsidRPr="00392CE2">
        <w:rPr>
          <w:sz w:val="20"/>
          <w:szCs w:val="20"/>
          <w:lang w:bidi="ar-EG"/>
        </w:rPr>
        <w:t xml:space="preserve"> Wallis test and Spearman coefficient were applied. The level of significance was taken at P&lt; 0.05.</w:t>
      </w:r>
    </w:p>
    <w:p w:rsidR="00606722" w:rsidRPr="00392CE2" w:rsidRDefault="00606722" w:rsidP="00392CE2">
      <w:pPr>
        <w:bidi w:val="0"/>
        <w:snapToGrid w:val="0"/>
        <w:jc w:val="both"/>
        <w:rPr>
          <w:b/>
          <w:bCs/>
          <w:sz w:val="20"/>
          <w:szCs w:val="20"/>
          <w:lang w:bidi="ar-EG"/>
        </w:rPr>
      </w:pPr>
    </w:p>
    <w:p w:rsidR="0085413F" w:rsidRPr="00392CE2" w:rsidRDefault="00606722" w:rsidP="00392CE2">
      <w:pPr>
        <w:bidi w:val="0"/>
        <w:snapToGrid w:val="0"/>
        <w:jc w:val="both"/>
        <w:rPr>
          <w:b/>
          <w:bCs/>
          <w:sz w:val="20"/>
          <w:szCs w:val="20"/>
          <w:lang w:bidi="ar-EG"/>
        </w:rPr>
      </w:pPr>
      <w:r w:rsidRPr="00392CE2">
        <w:rPr>
          <w:b/>
          <w:bCs/>
          <w:sz w:val="20"/>
          <w:szCs w:val="20"/>
          <w:lang w:bidi="ar-EG"/>
        </w:rPr>
        <w:t>3. Results</w:t>
      </w:r>
    </w:p>
    <w:p w:rsidR="0085413F" w:rsidRPr="00392CE2" w:rsidRDefault="0085413F" w:rsidP="00392CE2">
      <w:pPr>
        <w:bidi w:val="0"/>
        <w:snapToGrid w:val="0"/>
        <w:ind w:firstLine="425"/>
        <w:jc w:val="both"/>
        <w:rPr>
          <w:sz w:val="20"/>
          <w:szCs w:val="20"/>
          <w:lang w:bidi="ar-EG"/>
        </w:rPr>
      </w:pPr>
      <w:r w:rsidRPr="00392CE2">
        <w:rPr>
          <w:sz w:val="20"/>
          <w:szCs w:val="20"/>
          <w:lang w:bidi="ar-EG"/>
        </w:rPr>
        <w:t xml:space="preserve">This study was conducted on 40 psoriatic patients and 40 healthy age and sex matched controls. The demographic, anthropometric and clinical data of patients and controls were summarized in </w:t>
      </w:r>
      <w:r w:rsidRPr="00392CE2">
        <w:rPr>
          <w:b/>
          <w:bCs/>
          <w:sz w:val="20"/>
          <w:szCs w:val="20"/>
          <w:lang w:bidi="ar-EG"/>
        </w:rPr>
        <w:t>Table (1)</w:t>
      </w:r>
      <w:r w:rsidRPr="00392CE2">
        <w:rPr>
          <w:sz w:val="20"/>
          <w:szCs w:val="20"/>
          <w:lang w:bidi="ar-EG"/>
        </w:rPr>
        <w:t>.</w:t>
      </w:r>
    </w:p>
    <w:p w:rsidR="00392CE2" w:rsidRPr="00392CE2" w:rsidRDefault="00392CE2" w:rsidP="00392CE2">
      <w:pPr>
        <w:pStyle w:val="ListParagraph"/>
        <w:snapToGrid w:val="0"/>
        <w:ind w:left="0" w:firstLine="425"/>
        <w:jc w:val="both"/>
        <w:rPr>
          <w:sz w:val="20"/>
          <w:szCs w:val="20"/>
          <w:lang w:bidi="ar-EG"/>
        </w:rPr>
        <w:sectPr w:rsidR="00392CE2" w:rsidRPr="00392CE2" w:rsidSect="00392CE2">
          <w:headerReference w:type="default" r:id="rId12"/>
          <w:footerReference w:type="default" r:id="rId13"/>
          <w:type w:val="continuous"/>
          <w:pgSz w:w="12242" w:h="15842" w:code="1"/>
          <w:pgMar w:top="1440" w:right="1440" w:bottom="1440" w:left="1440" w:header="720" w:footer="720" w:gutter="0"/>
          <w:cols w:num="2" w:space="600"/>
          <w:docGrid w:linePitch="360"/>
        </w:sectPr>
      </w:pPr>
    </w:p>
    <w:p w:rsidR="00066665" w:rsidRPr="00392CE2" w:rsidRDefault="00066665" w:rsidP="00392CE2">
      <w:pPr>
        <w:pStyle w:val="ListParagraph"/>
        <w:snapToGrid w:val="0"/>
        <w:ind w:left="0"/>
        <w:jc w:val="center"/>
        <w:rPr>
          <w:sz w:val="20"/>
          <w:szCs w:val="10"/>
          <w:lang w:bidi="ar-EG"/>
        </w:rPr>
      </w:pPr>
    </w:p>
    <w:p w:rsidR="007F4D2C" w:rsidRDefault="007F4D2C" w:rsidP="00392CE2">
      <w:pPr>
        <w:bidi w:val="0"/>
        <w:snapToGrid w:val="0"/>
        <w:jc w:val="center"/>
        <w:rPr>
          <w:rFonts w:eastAsiaTheme="minorEastAsia" w:hint="eastAsia"/>
          <w:b/>
          <w:bCs/>
          <w:sz w:val="20"/>
          <w:szCs w:val="20"/>
          <w:lang w:eastAsia="zh-CN" w:bidi="ar-EG"/>
        </w:rPr>
      </w:pPr>
    </w:p>
    <w:p w:rsidR="0085413F" w:rsidRPr="00392CE2" w:rsidRDefault="0085413F" w:rsidP="007F4D2C">
      <w:pPr>
        <w:bidi w:val="0"/>
        <w:snapToGrid w:val="0"/>
        <w:jc w:val="center"/>
        <w:rPr>
          <w:sz w:val="20"/>
          <w:szCs w:val="20"/>
          <w:lang w:bidi="ar-EG"/>
        </w:rPr>
      </w:pPr>
      <w:r w:rsidRPr="00392CE2">
        <w:rPr>
          <w:b/>
          <w:bCs/>
          <w:sz w:val="20"/>
          <w:szCs w:val="20"/>
          <w:lang w:bidi="ar-EG"/>
        </w:rPr>
        <w:t>Table (1):</w:t>
      </w:r>
      <w:r w:rsidRPr="00392CE2">
        <w:rPr>
          <w:sz w:val="20"/>
          <w:szCs w:val="20"/>
          <w:lang w:bidi="ar-EG"/>
        </w:rPr>
        <w:t xml:space="preserve"> Demographic, anthropometric and clinical data of patients and controls.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5"/>
        <w:gridCol w:w="1745"/>
        <w:gridCol w:w="1764"/>
        <w:gridCol w:w="2186"/>
        <w:gridCol w:w="868"/>
      </w:tblGrid>
      <w:tr w:rsidR="0085413F" w:rsidRPr="00392CE2" w:rsidTr="0013097F">
        <w:trPr>
          <w:trHeight w:val="376"/>
          <w:jc w:val="center"/>
        </w:trPr>
        <w:tc>
          <w:tcPr>
            <w:tcW w:w="1502" w:type="pct"/>
            <w:tcBorders>
              <w:top w:val="thinThickSmallGap" w:sz="24" w:space="0" w:color="auto"/>
              <w:left w:val="thinThickSmallGap" w:sz="24" w:space="0" w:color="auto"/>
              <w:bottom w:val="thinThickSmallGap" w:sz="24" w:space="0" w:color="auto"/>
              <w:right w:val="single" w:sz="12" w:space="0" w:color="auto"/>
              <w:tl2br w:val="single" w:sz="12" w:space="0" w:color="auto"/>
            </w:tcBorders>
          </w:tcPr>
          <w:p w:rsidR="0085413F" w:rsidRPr="00392CE2" w:rsidRDefault="00836237" w:rsidP="00392CE2">
            <w:pPr>
              <w:tabs>
                <w:tab w:val="left" w:pos="2154"/>
              </w:tabs>
              <w:bidi w:val="0"/>
              <w:snapToGrid w:val="0"/>
              <w:jc w:val="both"/>
              <w:rPr>
                <w:b/>
                <w:bCs/>
                <w:color w:val="000000"/>
                <w:sz w:val="20"/>
                <w:szCs w:val="20"/>
                <w:lang w:bidi="ar-EG"/>
              </w:rPr>
            </w:pPr>
            <w:r>
              <w:rPr>
                <w:rFonts w:eastAsiaTheme="minorEastAsia" w:hint="eastAsia"/>
                <w:b/>
                <w:bCs/>
                <w:color w:val="000000"/>
                <w:sz w:val="20"/>
                <w:szCs w:val="20"/>
                <w:lang w:eastAsia="zh-CN" w:bidi="ar-EG"/>
              </w:rPr>
              <w:tab/>
            </w:r>
            <w:r w:rsidR="0085413F" w:rsidRPr="00392CE2">
              <w:rPr>
                <w:b/>
                <w:bCs/>
                <w:color w:val="000000"/>
                <w:sz w:val="20"/>
                <w:szCs w:val="20"/>
                <w:lang w:bidi="ar-EG"/>
              </w:rPr>
              <w:t>Groups</w:t>
            </w:r>
          </w:p>
          <w:p w:rsidR="0085413F" w:rsidRPr="00392CE2" w:rsidRDefault="0085413F" w:rsidP="00392CE2">
            <w:pPr>
              <w:tabs>
                <w:tab w:val="left" w:pos="2154"/>
              </w:tabs>
              <w:bidi w:val="0"/>
              <w:snapToGrid w:val="0"/>
              <w:jc w:val="both"/>
              <w:rPr>
                <w:b/>
                <w:bCs/>
                <w:color w:val="000000"/>
                <w:sz w:val="20"/>
                <w:szCs w:val="20"/>
                <w:lang w:bidi="ar-EG"/>
              </w:rPr>
            </w:pPr>
            <w:r w:rsidRPr="00392CE2">
              <w:rPr>
                <w:b/>
                <w:bCs/>
                <w:color w:val="000000"/>
                <w:sz w:val="20"/>
                <w:szCs w:val="20"/>
                <w:lang w:bidi="ar-EG"/>
              </w:rPr>
              <w:t>Items</w:t>
            </w:r>
          </w:p>
        </w:tc>
        <w:tc>
          <w:tcPr>
            <w:tcW w:w="929" w:type="pct"/>
            <w:tcBorders>
              <w:top w:val="thinThickSmallGap" w:sz="24" w:space="0" w:color="auto"/>
              <w:left w:val="single" w:sz="12" w:space="0" w:color="auto"/>
              <w:bottom w:val="thinThickSmallGap" w:sz="24"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Patients</w:t>
            </w:r>
          </w:p>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(N</w:t>
            </w:r>
            <w:r w:rsidRPr="00392CE2">
              <w:rPr>
                <w:b/>
                <w:bCs/>
                <w:color w:val="000000"/>
                <w:sz w:val="20"/>
                <w:szCs w:val="20"/>
                <w:vertAlign w:val="superscript"/>
                <w:lang w:bidi="ar-EG"/>
              </w:rPr>
              <w:t>o</w:t>
            </w:r>
            <w:r w:rsidRPr="00392CE2">
              <w:rPr>
                <w:b/>
                <w:bCs/>
                <w:color w:val="000000"/>
                <w:sz w:val="20"/>
                <w:szCs w:val="20"/>
                <w:lang w:bidi="ar-EG"/>
              </w:rPr>
              <w:t xml:space="preserve"> =40)</w:t>
            </w:r>
          </w:p>
        </w:tc>
        <w:tc>
          <w:tcPr>
            <w:tcW w:w="939" w:type="pct"/>
            <w:tcBorders>
              <w:top w:val="thinThickSmallGap" w:sz="24" w:space="0" w:color="auto"/>
              <w:left w:val="single" w:sz="12" w:space="0" w:color="auto"/>
              <w:bottom w:val="thinThickSmallGap" w:sz="24"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Controls</w:t>
            </w:r>
          </w:p>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(N</w:t>
            </w:r>
            <w:r w:rsidRPr="00392CE2">
              <w:rPr>
                <w:b/>
                <w:bCs/>
                <w:color w:val="000000"/>
                <w:sz w:val="20"/>
                <w:szCs w:val="20"/>
                <w:vertAlign w:val="superscript"/>
                <w:lang w:bidi="ar-EG"/>
              </w:rPr>
              <w:t>o</w:t>
            </w:r>
            <w:r w:rsidRPr="00392CE2">
              <w:rPr>
                <w:b/>
                <w:bCs/>
                <w:color w:val="000000"/>
                <w:sz w:val="20"/>
                <w:szCs w:val="20"/>
                <w:lang w:bidi="ar-EG"/>
              </w:rPr>
              <w:t xml:space="preserve"> =40)</w:t>
            </w:r>
          </w:p>
        </w:tc>
        <w:tc>
          <w:tcPr>
            <w:tcW w:w="1159" w:type="pct"/>
            <w:tcBorders>
              <w:top w:val="thinThickSmallGap" w:sz="24" w:space="0" w:color="auto"/>
              <w:left w:val="single" w:sz="12" w:space="0" w:color="auto"/>
              <w:bottom w:val="thinThickSmallGap" w:sz="24"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Significant</w:t>
            </w:r>
          </w:p>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Test</w:t>
            </w:r>
          </w:p>
        </w:tc>
        <w:tc>
          <w:tcPr>
            <w:tcW w:w="471" w:type="pct"/>
            <w:tcBorders>
              <w:top w:val="thinThickSmallGap" w:sz="24" w:space="0" w:color="auto"/>
              <w:left w:val="single" w:sz="12" w:space="0" w:color="auto"/>
              <w:bottom w:val="thinThickSmallGap" w:sz="24" w:space="0" w:color="auto"/>
              <w:right w:val="thinThickSmallGap" w:sz="24"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P-</w:t>
            </w:r>
          </w:p>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Value</w:t>
            </w:r>
          </w:p>
        </w:tc>
      </w:tr>
      <w:tr w:rsidR="0085413F" w:rsidRPr="00392CE2" w:rsidTr="0013097F">
        <w:trPr>
          <w:trHeight w:val="587"/>
          <w:jc w:val="center"/>
        </w:trPr>
        <w:tc>
          <w:tcPr>
            <w:tcW w:w="1502" w:type="pct"/>
            <w:tcBorders>
              <w:top w:val="thinThickSmallGap" w:sz="24" w:space="0" w:color="auto"/>
              <w:left w:val="thinThickSmallGap" w:sz="24" w:space="0" w:color="auto"/>
              <w:bottom w:val="single" w:sz="12"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Age (years)</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Range</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 xml:space="preserve">Mean </w:t>
            </w:r>
            <w:r w:rsidRPr="00392CE2">
              <w:rPr>
                <w:color w:val="000000"/>
                <w:sz w:val="20"/>
                <w:szCs w:val="20"/>
                <w:shd w:val="clear" w:color="auto" w:fill="FFFFFF"/>
              </w:rPr>
              <w:t>±</w:t>
            </w:r>
            <w:r w:rsidRPr="00392CE2">
              <w:rPr>
                <w:b/>
                <w:bCs/>
                <w:color w:val="000000"/>
                <w:sz w:val="20"/>
                <w:szCs w:val="20"/>
                <w:lang w:bidi="ar-EG"/>
              </w:rPr>
              <w:t>SD</w:t>
            </w:r>
          </w:p>
        </w:tc>
        <w:tc>
          <w:tcPr>
            <w:tcW w:w="929" w:type="pct"/>
            <w:tcBorders>
              <w:top w:val="thinThickSmallGap" w:sz="24"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p>
          <w:p w:rsidR="0085413F" w:rsidRPr="00392CE2" w:rsidRDefault="0085413F" w:rsidP="00392CE2">
            <w:pPr>
              <w:bidi w:val="0"/>
              <w:snapToGrid w:val="0"/>
              <w:jc w:val="both"/>
              <w:rPr>
                <w:color w:val="000000"/>
                <w:sz w:val="20"/>
                <w:szCs w:val="20"/>
              </w:rPr>
            </w:pPr>
            <w:r w:rsidRPr="00392CE2">
              <w:rPr>
                <w:color w:val="000000"/>
                <w:sz w:val="20"/>
                <w:szCs w:val="20"/>
              </w:rPr>
              <w:t>18-75</w:t>
            </w:r>
          </w:p>
          <w:p w:rsidR="0085413F" w:rsidRPr="00392CE2" w:rsidRDefault="0085413F" w:rsidP="00392CE2">
            <w:pPr>
              <w:bidi w:val="0"/>
              <w:snapToGrid w:val="0"/>
              <w:jc w:val="both"/>
              <w:rPr>
                <w:color w:val="000000"/>
                <w:sz w:val="20"/>
                <w:szCs w:val="20"/>
              </w:rPr>
            </w:pPr>
            <w:r w:rsidRPr="00392CE2">
              <w:rPr>
                <w:color w:val="000000"/>
                <w:sz w:val="20"/>
                <w:szCs w:val="20"/>
              </w:rPr>
              <w:t>36.30 ± 14.61</w:t>
            </w:r>
          </w:p>
        </w:tc>
        <w:tc>
          <w:tcPr>
            <w:tcW w:w="939" w:type="pct"/>
            <w:tcBorders>
              <w:top w:val="thinThickSmallGap" w:sz="24"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p>
          <w:p w:rsidR="0085413F" w:rsidRPr="00392CE2" w:rsidRDefault="0085413F" w:rsidP="00392CE2">
            <w:pPr>
              <w:bidi w:val="0"/>
              <w:snapToGrid w:val="0"/>
              <w:jc w:val="both"/>
              <w:rPr>
                <w:color w:val="000000"/>
                <w:sz w:val="20"/>
                <w:szCs w:val="20"/>
              </w:rPr>
            </w:pPr>
            <w:r w:rsidRPr="00392CE2">
              <w:rPr>
                <w:color w:val="000000"/>
                <w:sz w:val="20"/>
                <w:szCs w:val="20"/>
              </w:rPr>
              <w:t>19-70</w:t>
            </w:r>
          </w:p>
          <w:p w:rsidR="0085413F" w:rsidRPr="00392CE2" w:rsidRDefault="0085413F" w:rsidP="00392CE2">
            <w:pPr>
              <w:bidi w:val="0"/>
              <w:snapToGrid w:val="0"/>
              <w:jc w:val="both"/>
              <w:rPr>
                <w:color w:val="000000"/>
                <w:sz w:val="20"/>
                <w:szCs w:val="20"/>
              </w:rPr>
            </w:pPr>
            <w:r w:rsidRPr="00392CE2">
              <w:rPr>
                <w:color w:val="000000"/>
                <w:sz w:val="20"/>
                <w:szCs w:val="20"/>
              </w:rPr>
              <w:t>35.05 ± 13.37</w:t>
            </w:r>
          </w:p>
        </w:tc>
        <w:tc>
          <w:tcPr>
            <w:tcW w:w="1159" w:type="pct"/>
            <w:tcBorders>
              <w:top w:val="thinThickSmallGap" w:sz="24"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t-test=0.270</w:t>
            </w:r>
          </w:p>
        </w:tc>
        <w:tc>
          <w:tcPr>
            <w:tcW w:w="471" w:type="pct"/>
            <w:tcBorders>
              <w:top w:val="thinThickSmallGap" w:sz="24" w:space="0" w:color="auto"/>
              <w:left w:val="single" w:sz="12" w:space="0" w:color="auto"/>
              <w:bottom w:val="single" w:sz="12" w:space="0" w:color="auto"/>
              <w:right w:val="thinThickSmallGap" w:sz="24"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0.787</w:t>
            </w:r>
          </w:p>
        </w:tc>
      </w:tr>
      <w:tr w:rsidR="0085413F" w:rsidRPr="00392CE2" w:rsidTr="0013097F">
        <w:trPr>
          <w:trHeight w:val="465"/>
          <w:jc w:val="center"/>
        </w:trPr>
        <w:tc>
          <w:tcPr>
            <w:tcW w:w="1502" w:type="pct"/>
            <w:tcBorders>
              <w:top w:val="single" w:sz="12" w:space="0" w:color="auto"/>
              <w:left w:val="thinThickSmallGap" w:sz="24" w:space="0" w:color="auto"/>
              <w:bottom w:val="single" w:sz="12"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Sex</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Male</w:t>
            </w:r>
            <w:r w:rsidR="000D320B">
              <w:rPr>
                <w:b/>
                <w:bCs/>
                <w:color w:val="000000"/>
                <w:sz w:val="20"/>
                <w:szCs w:val="20"/>
                <w:lang w:bidi="ar-EG"/>
              </w:rPr>
              <w:t xml:space="preserve"> </w:t>
            </w:r>
            <w:r w:rsidRPr="00392CE2">
              <w:rPr>
                <w:b/>
                <w:bCs/>
                <w:color w:val="000000"/>
                <w:sz w:val="20"/>
                <w:szCs w:val="20"/>
                <w:lang w:bidi="ar-EG"/>
              </w:rPr>
              <w:t>N</w:t>
            </w:r>
            <w:r w:rsidRPr="00392CE2">
              <w:rPr>
                <w:b/>
                <w:bCs/>
                <w:color w:val="000000"/>
                <w:sz w:val="20"/>
                <w:szCs w:val="20"/>
                <w:vertAlign w:val="superscript"/>
                <w:lang w:bidi="ar-EG"/>
              </w:rPr>
              <w:t>o</w:t>
            </w:r>
            <w:r w:rsidR="000D320B">
              <w:rPr>
                <w:b/>
                <w:bCs/>
                <w:color w:val="000000"/>
                <w:sz w:val="20"/>
                <w:szCs w:val="20"/>
                <w:vertAlign w:val="superscript"/>
                <w:lang w:bidi="ar-EG"/>
              </w:rPr>
              <w:t xml:space="preserve"> </w:t>
            </w:r>
            <w:r w:rsidRPr="00392CE2">
              <w:rPr>
                <w:b/>
                <w:bCs/>
                <w:color w:val="000000"/>
                <w:sz w:val="20"/>
                <w:szCs w:val="20"/>
                <w:lang w:bidi="ar-EG"/>
              </w:rPr>
              <w:t>(%)</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Female N</w:t>
            </w:r>
            <w:r w:rsidRPr="00392CE2">
              <w:rPr>
                <w:b/>
                <w:bCs/>
                <w:color w:val="000000"/>
                <w:sz w:val="20"/>
                <w:szCs w:val="20"/>
                <w:vertAlign w:val="superscript"/>
                <w:lang w:bidi="ar-EG"/>
              </w:rPr>
              <w:t>o</w:t>
            </w:r>
            <w:r w:rsidRPr="00392CE2">
              <w:rPr>
                <w:b/>
                <w:bCs/>
                <w:color w:val="000000"/>
                <w:sz w:val="20"/>
                <w:szCs w:val="20"/>
                <w:lang w:bidi="ar-EG"/>
              </w:rPr>
              <w:t xml:space="preserve"> (%)</w:t>
            </w:r>
          </w:p>
        </w:tc>
        <w:tc>
          <w:tcPr>
            <w:tcW w:w="929" w:type="pct"/>
            <w:tcBorders>
              <w:top w:val="single" w:sz="12"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p>
          <w:p w:rsidR="0085413F" w:rsidRPr="00392CE2" w:rsidRDefault="0085413F" w:rsidP="00392CE2">
            <w:pPr>
              <w:bidi w:val="0"/>
              <w:snapToGrid w:val="0"/>
              <w:jc w:val="both"/>
              <w:rPr>
                <w:color w:val="000000"/>
                <w:sz w:val="20"/>
                <w:szCs w:val="20"/>
              </w:rPr>
            </w:pPr>
            <w:r w:rsidRPr="00392CE2">
              <w:rPr>
                <w:color w:val="000000"/>
                <w:sz w:val="20"/>
                <w:szCs w:val="20"/>
              </w:rPr>
              <w:t>27 (67.5%)</w:t>
            </w:r>
          </w:p>
          <w:p w:rsidR="0085413F" w:rsidRPr="00392CE2" w:rsidRDefault="0085413F" w:rsidP="00392CE2">
            <w:pPr>
              <w:bidi w:val="0"/>
              <w:snapToGrid w:val="0"/>
              <w:jc w:val="both"/>
              <w:rPr>
                <w:color w:val="000000"/>
                <w:sz w:val="20"/>
                <w:szCs w:val="20"/>
              </w:rPr>
            </w:pPr>
            <w:r w:rsidRPr="00392CE2">
              <w:rPr>
                <w:color w:val="000000"/>
                <w:sz w:val="20"/>
                <w:szCs w:val="20"/>
              </w:rPr>
              <w:t>13 (32.5%)</w:t>
            </w:r>
          </w:p>
        </w:tc>
        <w:tc>
          <w:tcPr>
            <w:tcW w:w="939" w:type="pct"/>
            <w:tcBorders>
              <w:top w:val="single" w:sz="12"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p>
          <w:p w:rsidR="0085413F" w:rsidRPr="00392CE2" w:rsidRDefault="0085413F" w:rsidP="00392CE2">
            <w:pPr>
              <w:bidi w:val="0"/>
              <w:snapToGrid w:val="0"/>
              <w:jc w:val="both"/>
              <w:rPr>
                <w:color w:val="000000"/>
                <w:sz w:val="20"/>
                <w:szCs w:val="20"/>
              </w:rPr>
            </w:pPr>
            <w:r w:rsidRPr="00392CE2">
              <w:rPr>
                <w:color w:val="000000"/>
                <w:sz w:val="20"/>
                <w:szCs w:val="20"/>
              </w:rPr>
              <w:t>23 (57.5%)</w:t>
            </w:r>
          </w:p>
          <w:p w:rsidR="0085413F" w:rsidRPr="00392CE2" w:rsidRDefault="0085413F" w:rsidP="00392CE2">
            <w:pPr>
              <w:bidi w:val="0"/>
              <w:snapToGrid w:val="0"/>
              <w:jc w:val="both"/>
              <w:rPr>
                <w:color w:val="000000"/>
                <w:sz w:val="20"/>
                <w:szCs w:val="20"/>
              </w:rPr>
            </w:pPr>
            <w:r w:rsidRPr="00392CE2">
              <w:rPr>
                <w:color w:val="000000"/>
                <w:sz w:val="20"/>
                <w:szCs w:val="20"/>
              </w:rPr>
              <w:t>17 (42.5%)</w:t>
            </w:r>
          </w:p>
        </w:tc>
        <w:tc>
          <w:tcPr>
            <w:tcW w:w="1159" w:type="pct"/>
            <w:tcBorders>
              <w:top w:val="single" w:sz="12"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w:t>
            </w:r>
            <w:r w:rsidRPr="00392CE2">
              <w:rPr>
                <w:color w:val="000000"/>
                <w:sz w:val="20"/>
                <w:szCs w:val="20"/>
                <w:vertAlign w:val="superscript"/>
              </w:rPr>
              <w:t></w:t>
            </w:r>
            <w:r w:rsidRPr="00392CE2">
              <w:rPr>
                <w:color w:val="000000"/>
                <w:sz w:val="20"/>
                <w:szCs w:val="20"/>
              </w:rPr>
              <w:t></w:t>
            </w:r>
            <w:r w:rsidRPr="00392CE2">
              <w:rPr>
                <w:color w:val="000000"/>
                <w:sz w:val="20"/>
                <w:szCs w:val="20"/>
              </w:rPr>
              <w:t></w:t>
            </w:r>
            <w:r w:rsidRPr="00392CE2">
              <w:rPr>
                <w:color w:val="000000"/>
                <w:sz w:val="20"/>
                <w:szCs w:val="20"/>
              </w:rPr>
              <w:t></w:t>
            </w:r>
            <w:r w:rsidRPr="00392CE2">
              <w:rPr>
                <w:color w:val="000000"/>
                <w:sz w:val="20"/>
                <w:szCs w:val="20"/>
              </w:rPr>
              <w:t></w:t>
            </w:r>
            <w:r w:rsidRPr="00392CE2">
              <w:rPr>
                <w:color w:val="000000"/>
                <w:sz w:val="20"/>
                <w:szCs w:val="20"/>
              </w:rPr>
              <w:t></w:t>
            </w:r>
            <w:r w:rsidRPr="00392CE2">
              <w:rPr>
                <w:color w:val="000000"/>
                <w:sz w:val="20"/>
                <w:szCs w:val="20"/>
              </w:rPr>
              <w:t></w:t>
            </w:r>
          </w:p>
        </w:tc>
        <w:tc>
          <w:tcPr>
            <w:tcW w:w="471" w:type="pct"/>
            <w:tcBorders>
              <w:top w:val="single" w:sz="12" w:space="0" w:color="auto"/>
              <w:left w:val="single" w:sz="12" w:space="0" w:color="auto"/>
              <w:bottom w:val="single" w:sz="12" w:space="0" w:color="auto"/>
              <w:right w:val="thinThickSmallGap" w:sz="24"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0.356</w:t>
            </w:r>
          </w:p>
        </w:tc>
      </w:tr>
      <w:tr w:rsidR="0085413F" w:rsidRPr="00392CE2" w:rsidTr="0013097F">
        <w:trPr>
          <w:trHeight w:val="793"/>
          <w:jc w:val="center"/>
        </w:trPr>
        <w:tc>
          <w:tcPr>
            <w:tcW w:w="1502" w:type="pct"/>
            <w:tcBorders>
              <w:top w:val="single" w:sz="12" w:space="0" w:color="auto"/>
              <w:left w:val="thinThickSmallGap" w:sz="24" w:space="0" w:color="auto"/>
              <w:bottom w:val="single" w:sz="12"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BMI (wt/ht</w:t>
            </w:r>
            <w:r w:rsidRPr="00392CE2">
              <w:rPr>
                <w:b/>
                <w:bCs/>
                <w:color w:val="000000"/>
                <w:sz w:val="20"/>
                <w:szCs w:val="20"/>
                <w:vertAlign w:val="superscript"/>
              </w:rPr>
              <w:t></w:t>
            </w:r>
            <w:r w:rsidRPr="00392CE2">
              <w:rPr>
                <w:b/>
                <w:bCs/>
                <w:color w:val="000000"/>
                <w:sz w:val="20"/>
                <w:szCs w:val="20"/>
                <w:lang w:bidi="ar-EG"/>
              </w:rPr>
              <w:t>) (%)</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Underweight N</w:t>
            </w:r>
            <w:r w:rsidRPr="00392CE2">
              <w:rPr>
                <w:b/>
                <w:bCs/>
                <w:color w:val="000000"/>
                <w:sz w:val="20"/>
                <w:szCs w:val="20"/>
                <w:vertAlign w:val="superscript"/>
                <w:lang w:bidi="ar-EG"/>
              </w:rPr>
              <w:t>o</w:t>
            </w:r>
          </w:p>
          <w:p w:rsidR="0085413F" w:rsidRPr="00392CE2" w:rsidRDefault="0085413F" w:rsidP="00392CE2">
            <w:pPr>
              <w:pStyle w:val="ListParagraph"/>
              <w:numPr>
                <w:ilvl w:val="0"/>
                <w:numId w:val="9"/>
              </w:numPr>
              <w:snapToGrid w:val="0"/>
              <w:ind w:left="0" w:firstLine="0"/>
              <w:jc w:val="both"/>
              <w:rPr>
                <w:color w:val="000000"/>
                <w:sz w:val="20"/>
                <w:szCs w:val="20"/>
                <w:lang w:bidi="ar-EG"/>
              </w:rPr>
            </w:pPr>
            <w:r w:rsidRPr="00392CE2">
              <w:rPr>
                <w:b/>
                <w:bCs/>
                <w:color w:val="000000"/>
                <w:sz w:val="20"/>
                <w:szCs w:val="20"/>
                <w:lang w:bidi="ar-EG"/>
              </w:rPr>
              <w:t>Normal</w:t>
            </w:r>
            <w:r w:rsidR="000D320B">
              <w:rPr>
                <w:b/>
                <w:bCs/>
                <w:color w:val="000000"/>
                <w:sz w:val="20"/>
                <w:szCs w:val="20"/>
                <w:lang w:bidi="ar-EG"/>
              </w:rPr>
              <w:t xml:space="preserve"> </w:t>
            </w:r>
            <w:r w:rsidRPr="00392CE2">
              <w:rPr>
                <w:b/>
                <w:bCs/>
                <w:color w:val="000000"/>
                <w:sz w:val="20"/>
                <w:szCs w:val="20"/>
                <w:lang w:bidi="ar-EG"/>
              </w:rPr>
              <w:t>N</w:t>
            </w:r>
            <w:r w:rsidRPr="00392CE2">
              <w:rPr>
                <w:b/>
                <w:bCs/>
                <w:color w:val="000000"/>
                <w:sz w:val="20"/>
                <w:szCs w:val="20"/>
                <w:vertAlign w:val="superscript"/>
                <w:lang w:bidi="ar-EG"/>
              </w:rPr>
              <w:t>o</w:t>
            </w:r>
          </w:p>
          <w:p w:rsidR="0085413F" w:rsidRPr="00392CE2" w:rsidRDefault="0085413F" w:rsidP="00392CE2">
            <w:pPr>
              <w:pStyle w:val="ListParagraph"/>
              <w:numPr>
                <w:ilvl w:val="0"/>
                <w:numId w:val="9"/>
              </w:numPr>
              <w:snapToGrid w:val="0"/>
              <w:ind w:left="0" w:firstLine="0"/>
              <w:jc w:val="both"/>
              <w:rPr>
                <w:color w:val="000000"/>
                <w:sz w:val="20"/>
                <w:szCs w:val="20"/>
                <w:lang w:bidi="ar-EG"/>
              </w:rPr>
            </w:pPr>
            <w:r w:rsidRPr="00392CE2">
              <w:rPr>
                <w:b/>
                <w:bCs/>
                <w:color w:val="000000"/>
                <w:sz w:val="20"/>
                <w:szCs w:val="20"/>
                <w:lang w:bidi="ar-EG"/>
              </w:rPr>
              <w:t>Overweight N</w:t>
            </w:r>
            <w:r w:rsidRPr="00392CE2">
              <w:rPr>
                <w:b/>
                <w:bCs/>
                <w:color w:val="000000"/>
                <w:sz w:val="20"/>
                <w:szCs w:val="20"/>
                <w:vertAlign w:val="superscript"/>
                <w:lang w:bidi="ar-EG"/>
              </w:rPr>
              <w:t>o</w:t>
            </w:r>
          </w:p>
          <w:p w:rsidR="0085413F" w:rsidRPr="00392CE2" w:rsidRDefault="0085413F" w:rsidP="00392CE2">
            <w:pPr>
              <w:pStyle w:val="ListParagraph"/>
              <w:numPr>
                <w:ilvl w:val="0"/>
                <w:numId w:val="9"/>
              </w:numPr>
              <w:snapToGrid w:val="0"/>
              <w:ind w:left="0" w:firstLine="0"/>
              <w:jc w:val="both"/>
              <w:rPr>
                <w:color w:val="000000"/>
                <w:sz w:val="20"/>
                <w:szCs w:val="20"/>
                <w:lang w:bidi="ar-EG"/>
              </w:rPr>
            </w:pPr>
            <w:r w:rsidRPr="00392CE2">
              <w:rPr>
                <w:b/>
                <w:bCs/>
                <w:color w:val="000000"/>
                <w:sz w:val="20"/>
                <w:szCs w:val="20"/>
                <w:lang w:bidi="ar-EG"/>
              </w:rPr>
              <w:t>Obese</w:t>
            </w:r>
            <w:r w:rsidR="000D320B">
              <w:rPr>
                <w:b/>
                <w:bCs/>
                <w:color w:val="000000"/>
                <w:sz w:val="20"/>
                <w:szCs w:val="20"/>
                <w:lang w:bidi="ar-EG"/>
              </w:rPr>
              <w:t xml:space="preserve"> </w:t>
            </w:r>
            <w:r w:rsidRPr="00392CE2">
              <w:rPr>
                <w:b/>
                <w:bCs/>
                <w:color w:val="000000"/>
                <w:sz w:val="20"/>
                <w:szCs w:val="20"/>
                <w:lang w:bidi="ar-EG"/>
              </w:rPr>
              <w:t>N</w:t>
            </w:r>
            <w:r w:rsidRPr="00392CE2">
              <w:rPr>
                <w:b/>
                <w:bCs/>
                <w:color w:val="000000"/>
                <w:sz w:val="20"/>
                <w:szCs w:val="20"/>
                <w:vertAlign w:val="superscript"/>
                <w:lang w:bidi="ar-EG"/>
              </w:rPr>
              <w:t>o</w:t>
            </w:r>
          </w:p>
        </w:tc>
        <w:tc>
          <w:tcPr>
            <w:tcW w:w="929" w:type="pct"/>
            <w:tcBorders>
              <w:top w:val="single" w:sz="12"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1 (2.5%)</w:t>
            </w:r>
          </w:p>
          <w:p w:rsidR="0085413F" w:rsidRPr="00392CE2" w:rsidRDefault="0085413F" w:rsidP="00392CE2">
            <w:pPr>
              <w:bidi w:val="0"/>
              <w:snapToGrid w:val="0"/>
              <w:jc w:val="both"/>
              <w:rPr>
                <w:color w:val="000000"/>
                <w:sz w:val="20"/>
                <w:szCs w:val="20"/>
              </w:rPr>
            </w:pPr>
            <w:r w:rsidRPr="00392CE2">
              <w:rPr>
                <w:color w:val="000000"/>
                <w:sz w:val="20"/>
                <w:szCs w:val="20"/>
              </w:rPr>
              <w:t>8 (20%)</w:t>
            </w:r>
          </w:p>
          <w:p w:rsidR="0085413F" w:rsidRPr="00392CE2" w:rsidRDefault="0085413F" w:rsidP="00392CE2">
            <w:pPr>
              <w:bidi w:val="0"/>
              <w:snapToGrid w:val="0"/>
              <w:jc w:val="both"/>
              <w:rPr>
                <w:color w:val="000000"/>
                <w:sz w:val="20"/>
                <w:szCs w:val="20"/>
              </w:rPr>
            </w:pPr>
            <w:r w:rsidRPr="00392CE2">
              <w:rPr>
                <w:color w:val="000000"/>
                <w:sz w:val="20"/>
                <w:szCs w:val="20"/>
              </w:rPr>
              <w:t>18 (45%)</w:t>
            </w:r>
          </w:p>
          <w:p w:rsidR="0085413F" w:rsidRPr="00392CE2" w:rsidRDefault="0085413F" w:rsidP="00392CE2">
            <w:pPr>
              <w:bidi w:val="0"/>
              <w:snapToGrid w:val="0"/>
              <w:jc w:val="both"/>
              <w:rPr>
                <w:color w:val="000000"/>
                <w:sz w:val="20"/>
                <w:szCs w:val="20"/>
              </w:rPr>
            </w:pPr>
            <w:r w:rsidRPr="00392CE2">
              <w:rPr>
                <w:color w:val="000000"/>
                <w:sz w:val="20"/>
                <w:szCs w:val="20"/>
              </w:rPr>
              <w:t>13(32.5%)</w:t>
            </w:r>
          </w:p>
        </w:tc>
        <w:tc>
          <w:tcPr>
            <w:tcW w:w="939" w:type="pct"/>
            <w:tcBorders>
              <w:top w:val="single" w:sz="12"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3 (10%)</w:t>
            </w:r>
          </w:p>
          <w:p w:rsidR="0085413F" w:rsidRPr="00392CE2" w:rsidRDefault="0085413F" w:rsidP="00392CE2">
            <w:pPr>
              <w:bidi w:val="0"/>
              <w:snapToGrid w:val="0"/>
              <w:jc w:val="both"/>
              <w:rPr>
                <w:color w:val="000000"/>
                <w:sz w:val="20"/>
                <w:szCs w:val="20"/>
              </w:rPr>
            </w:pPr>
            <w:r w:rsidRPr="00392CE2">
              <w:rPr>
                <w:color w:val="000000"/>
                <w:sz w:val="20"/>
                <w:szCs w:val="20"/>
              </w:rPr>
              <w:t>12 (40%)</w:t>
            </w:r>
          </w:p>
          <w:p w:rsidR="0085413F" w:rsidRPr="00392CE2" w:rsidRDefault="0085413F" w:rsidP="00392CE2">
            <w:pPr>
              <w:bidi w:val="0"/>
              <w:snapToGrid w:val="0"/>
              <w:jc w:val="both"/>
              <w:rPr>
                <w:color w:val="000000"/>
                <w:sz w:val="20"/>
                <w:szCs w:val="20"/>
              </w:rPr>
            </w:pPr>
            <w:r w:rsidRPr="00392CE2">
              <w:rPr>
                <w:color w:val="000000"/>
                <w:sz w:val="20"/>
                <w:szCs w:val="20"/>
              </w:rPr>
              <w:t>18 (45%)</w:t>
            </w:r>
          </w:p>
          <w:p w:rsidR="0085413F" w:rsidRPr="00392CE2" w:rsidRDefault="0085413F" w:rsidP="00392CE2">
            <w:pPr>
              <w:bidi w:val="0"/>
              <w:snapToGrid w:val="0"/>
              <w:jc w:val="both"/>
              <w:rPr>
                <w:color w:val="000000"/>
                <w:sz w:val="20"/>
                <w:szCs w:val="20"/>
              </w:rPr>
            </w:pPr>
            <w:r w:rsidRPr="00392CE2">
              <w:rPr>
                <w:color w:val="000000"/>
                <w:sz w:val="20"/>
                <w:szCs w:val="20"/>
              </w:rPr>
              <w:t>4 (10%)</w:t>
            </w:r>
          </w:p>
        </w:tc>
        <w:tc>
          <w:tcPr>
            <w:tcW w:w="1159" w:type="pct"/>
            <w:tcBorders>
              <w:top w:val="single" w:sz="12" w:space="0" w:color="auto"/>
              <w:left w:val="single" w:sz="12" w:space="0" w:color="auto"/>
              <w:bottom w:val="single" w:sz="12" w:space="0" w:color="auto"/>
              <w:right w:val="single" w:sz="12"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Z= 7.997</w:t>
            </w:r>
          </w:p>
        </w:tc>
        <w:tc>
          <w:tcPr>
            <w:tcW w:w="471" w:type="pct"/>
            <w:tcBorders>
              <w:top w:val="single" w:sz="12" w:space="0" w:color="auto"/>
              <w:left w:val="single" w:sz="12" w:space="0" w:color="auto"/>
              <w:bottom w:val="single" w:sz="12" w:space="0" w:color="auto"/>
              <w:right w:val="thinThickSmallGap" w:sz="24"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0.042</w:t>
            </w:r>
          </w:p>
        </w:tc>
      </w:tr>
      <w:tr w:rsidR="0085413F" w:rsidRPr="00392CE2" w:rsidTr="0013097F">
        <w:trPr>
          <w:trHeight w:val="544"/>
          <w:jc w:val="center"/>
        </w:trPr>
        <w:tc>
          <w:tcPr>
            <w:tcW w:w="1502" w:type="pct"/>
            <w:tcBorders>
              <w:top w:val="single" w:sz="12" w:space="0" w:color="auto"/>
              <w:left w:val="thinThickSmallGap" w:sz="24" w:space="0" w:color="auto"/>
              <w:bottom w:val="thinThickSmallGap" w:sz="24" w:space="0" w:color="auto"/>
              <w:right w:val="single" w:sz="12" w:space="0" w:color="auto"/>
            </w:tcBorders>
          </w:tcPr>
          <w:p w:rsidR="0085413F" w:rsidRPr="00392CE2" w:rsidRDefault="0085413F" w:rsidP="00392CE2">
            <w:pPr>
              <w:bidi w:val="0"/>
              <w:snapToGrid w:val="0"/>
              <w:jc w:val="both"/>
              <w:rPr>
                <w:b/>
                <w:bCs/>
                <w:color w:val="000000"/>
                <w:sz w:val="20"/>
                <w:szCs w:val="20"/>
                <w:lang w:bidi="ar-EG"/>
              </w:rPr>
            </w:pPr>
            <w:r w:rsidRPr="00392CE2">
              <w:rPr>
                <w:b/>
                <w:bCs/>
                <w:color w:val="000000"/>
                <w:sz w:val="20"/>
                <w:szCs w:val="20"/>
                <w:lang w:bidi="ar-EG"/>
              </w:rPr>
              <w:t>Duration of psoriasis</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Range</w:t>
            </w:r>
          </w:p>
          <w:p w:rsidR="0085413F" w:rsidRPr="00392CE2" w:rsidRDefault="0085413F" w:rsidP="00392CE2">
            <w:pPr>
              <w:pStyle w:val="ListParagraph"/>
              <w:numPr>
                <w:ilvl w:val="0"/>
                <w:numId w:val="9"/>
              </w:numPr>
              <w:snapToGrid w:val="0"/>
              <w:ind w:left="0" w:firstLine="0"/>
              <w:jc w:val="both"/>
              <w:rPr>
                <w:b/>
                <w:bCs/>
                <w:color w:val="000000"/>
                <w:sz w:val="20"/>
                <w:szCs w:val="20"/>
                <w:lang w:bidi="ar-EG"/>
              </w:rPr>
            </w:pPr>
            <w:r w:rsidRPr="00392CE2">
              <w:rPr>
                <w:b/>
                <w:bCs/>
                <w:color w:val="000000"/>
                <w:sz w:val="20"/>
                <w:szCs w:val="20"/>
                <w:lang w:bidi="ar-EG"/>
              </w:rPr>
              <w:t xml:space="preserve">Mean </w:t>
            </w:r>
            <w:r w:rsidRPr="00392CE2">
              <w:rPr>
                <w:color w:val="000000"/>
                <w:sz w:val="20"/>
                <w:szCs w:val="20"/>
                <w:shd w:val="clear" w:color="auto" w:fill="FFFFFF"/>
              </w:rPr>
              <w:t>±</w:t>
            </w:r>
            <w:r w:rsidRPr="00392CE2">
              <w:rPr>
                <w:b/>
                <w:bCs/>
                <w:color w:val="000000"/>
                <w:sz w:val="20"/>
                <w:szCs w:val="20"/>
                <w:lang w:bidi="ar-EG"/>
              </w:rPr>
              <w:t>SD</w:t>
            </w:r>
          </w:p>
        </w:tc>
        <w:tc>
          <w:tcPr>
            <w:tcW w:w="929" w:type="pct"/>
            <w:tcBorders>
              <w:top w:val="single" w:sz="12" w:space="0" w:color="auto"/>
              <w:left w:val="single" w:sz="12" w:space="0" w:color="auto"/>
              <w:bottom w:val="thinThickSmallGap" w:sz="24" w:space="0" w:color="auto"/>
              <w:right w:val="single" w:sz="12" w:space="0" w:color="auto"/>
            </w:tcBorders>
            <w:vAlign w:val="center"/>
          </w:tcPr>
          <w:p w:rsidR="0085413F" w:rsidRPr="00392CE2" w:rsidRDefault="0085413F" w:rsidP="00392CE2">
            <w:pPr>
              <w:bidi w:val="0"/>
              <w:snapToGrid w:val="0"/>
              <w:jc w:val="both"/>
              <w:rPr>
                <w:color w:val="000000"/>
                <w:sz w:val="20"/>
                <w:szCs w:val="20"/>
              </w:rPr>
            </w:pPr>
            <w:r w:rsidRPr="00392CE2">
              <w:rPr>
                <w:color w:val="000000"/>
                <w:sz w:val="20"/>
                <w:szCs w:val="20"/>
              </w:rPr>
              <w:t>2.0 – 30.0</w:t>
            </w:r>
          </w:p>
          <w:p w:rsidR="0085413F" w:rsidRPr="00392CE2" w:rsidRDefault="0085413F" w:rsidP="00392CE2">
            <w:pPr>
              <w:bidi w:val="0"/>
              <w:snapToGrid w:val="0"/>
              <w:jc w:val="both"/>
              <w:rPr>
                <w:color w:val="000000"/>
                <w:sz w:val="20"/>
                <w:szCs w:val="20"/>
              </w:rPr>
            </w:pPr>
            <w:r w:rsidRPr="00392CE2">
              <w:rPr>
                <w:color w:val="000000"/>
                <w:sz w:val="20"/>
                <w:szCs w:val="20"/>
              </w:rPr>
              <w:t>10.78 ± 7.14</w:t>
            </w:r>
          </w:p>
        </w:tc>
        <w:tc>
          <w:tcPr>
            <w:tcW w:w="939" w:type="pct"/>
            <w:tcBorders>
              <w:top w:val="single" w:sz="12" w:space="0" w:color="auto"/>
              <w:left w:val="single" w:sz="12" w:space="0" w:color="auto"/>
              <w:bottom w:val="thinThickSmallGap" w:sz="24" w:space="0" w:color="auto"/>
              <w:right w:val="single" w:sz="12" w:space="0" w:color="auto"/>
            </w:tcBorders>
            <w:vAlign w:val="center"/>
          </w:tcPr>
          <w:p w:rsidR="0085413F" w:rsidRPr="00392CE2" w:rsidRDefault="0085413F" w:rsidP="00392CE2">
            <w:pPr>
              <w:bidi w:val="0"/>
              <w:snapToGrid w:val="0"/>
              <w:jc w:val="both"/>
              <w:rPr>
                <w:color w:val="000000"/>
                <w:sz w:val="20"/>
                <w:szCs w:val="20"/>
              </w:rPr>
            </w:pPr>
          </w:p>
        </w:tc>
        <w:tc>
          <w:tcPr>
            <w:tcW w:w="1159" w:type="pct"/>
            <w:tcBorders>
              <w:top w:val="single" w:sz="12" w:space="0" w:color="auto"/>
              <w:left w:val="single" w:sz="12" w:space="0" w:color="auto"/>
              <w:bottom w:val="thinThickSmallGap" w:sz="24" w:space="0" w:color="auto"/>
              <w:right w:val="single" w:sz="12" w:space="0" w:color="auto"/>
            </w:tcBorders>
            <w:vAlign w:val="center"/>
          </w:tcPr>
          <w:p w:rsidR="0085413F" w:rsidRPr="00392CE2" w:rsidRDefault="0085413F" w:rsidP="00392CE2">
            <w:pPr>
              <w:bidi w:val="0"/>
              <w:snapToGrid w:val="0"/>
              <w:jc w:val="both"/>
              <w:rPr>
                <w:color w:val="000000"/>
                <w:sz w:val="20"/>
                <w:szCs w:val="20"/>
              </w:rPr>
            </w:pPr>
          </w:p>
        </w:tc>
        <w:tc>
          <w:tcPr>
            <w:tcW w:w="471" w:type="pct"/>
            <w:tcBorders>
              <w:top w:val="single" w:sz="12" w:space="0" w:color="auto"/>
              <w:left w:val="single" w:sz="12" w:space="0" w:color="auto"/>
              <w:bottom w:val="thinThickSmallGap" w:sz="24" w:space="0" w:color="auto"/>
              <w:right w:val="thinThickSmallGap" w:sz="24" w:space="0" w:color="auto"/>
            </w:tcBorders>
            <w:vAlign w:val="center"/>
          </w:tcPr>
          <w:p w:rsidR="0085413F" w:rsidRPr="00392CE2" w:rsidRDefault="0085413F" w:rsidP="00392CE2">
            <w:pPr>
              <w:bidi w:val="0"/>
              <w:snapToGrid w:val="0"/>
              <w:jc w:val="both"/>
              <w:rPr>
                <w:color w:val="000000"/>
                <w:sz w:val="20"/>
                <w:szCs w:val="20"/>
              </w:rPr>
            </w:pPr>
          </w:p>
        </w:tc>
      </w:tr>
    </w:tbl>
    <w:p w:rsidR="0013097F" w:rsidRDefault="0013097F" w:rsidP="0013097F">
      <w:pPr>
        <w:bidi w:val="0"/>
        <w:snapToGrid w:val="0"/>
        <w:jc w:val="both"/>
        <w:rPr>
          <w:rFonts w:eastAsiaTheme="minorEastAsia"/>
          <w:sz w:val="20"/>
          <w:szCs w:val="20"/>
          <w:lang w:eastAsia="zh-CN" w:bidi="ar-EG"/>
        </w:rPr>
      </w:pPr>
    </w:p>
    <w:p w:rsidR="0085413F" w:rsidRPr="00392CE2" w:rsidRDefault="0085413F" w:rsidP="0013097F">
      <w:pPr>
        <w:bidi w:val="0"/>
        <w:snapToGrid w:val="0"/>
        <w:ind w:firstLine="425"/>
        <w:jc w:val="both"/>
        <w:rPr>
          <w:sz w:val="20"/>
          <w:szCs w:val="20"/>
          <w:lang w:bidi="ar-EG"/>
        </w:rPr>
      </w:pPr>
      <w:r w:rsidRPr="00392CE2">
        <w:rPr>
          <w:sz w:val="20"/>
          <w:szCs w:val="20"/>
          <w:lang w:bidi="ar-EG"/>
        </w:rPr>
        <w:t xml:space="preserve">There was a statistically significant higher level of </w:t>
      </w:r>
      <w:proofErr w:type="spellStart"/>
      <w:r w:rsidRPr="00392CE2">
        <w:rPr>
          <w:sz w:val="20"/>
          <w:szCs w:val="20"/>
          <w:lang w:bidi="ar-EG"/>
        </w:rPr>
        <w:t>Hcy</w:t>
      </w:r>
      <w:proofErr w:type="spellEnd"/>
      <w:r w:rsidRPr="00392CE2">
        <w:rPr>
          <w:sz w:val="20"/>
          <w:szCs w:val="20"/>
          <w:lang w:bidi="ar-EG"/>
        </w:rPr>
        <w:t xml:space="preserve"> in Group I compared with Group II (P &lt; 0.001) (Table 2).</w:t>
      </w:r>
    </w:p>
    <w:p w:rsidR="00606722" w:rsidRPr="00392CE2" w:rsidRDefault="00606722" w:rsidP="00392CE2">
      <w:pPr>
        <w:bidi w:val="0"/>
        <w:snapToGrid w:val="0"/>
        <w:jc w:val="center"/>
        <w:rPr>
          <w:b/>
          <w:bCs/>
          <w:sz w:val="20"/>
          <w:szCs w:val="20"/>
        </w:rPr>
      </w:pPr>
    </w:p>
    <w:p w:rsidR="0085413F" w:rsidRPr="00392CE2" w:rsidRDefault="0085413F" w:rsidP="00392CE2">
      <w:pPr>
        <w:bidi w:val="0"/>
        <w:snapToGrid w:val="0"/>
        <w:jc w:val="center"/>
        <w:rPr>
          <w:rFonts w:eastAsia="SimSun"/>
          <w:b/>
          <w:bCs/>
          <w:sz w:val="20"/>
          <w:szCs w:val="20"/>
          <w:lang w:eastAsia="zh-CN" w:bidi="ar-EG"/>
        </w:rPr>
      </w:pPr>
      <w:r w:rsidRPr="00392CE2">
        <w:rPr>
          <w:b/>
          <w:bCs/>
          <w:sz w:val="20"/>
          <w:szCs w:val="20"/>
        </w:rPr>
        <w:t>Table (2):</w:t>
      </w:r>
      <w:r w:rsidR="00606722" w:rsidRPr="00392CE2">
        <w:rPr>
          <w:b/>
          <w:bCs/>
          <w:sz w:val="20"/>
          <w:szCs w:val="20"/>
        </w:rPr>
        <w:t xml:space="preserve"> </w:t>
      </w:r>
      <w:r w:rsidRPr="00392CE2">
        <w:rPr>
          <w:b/>
          <w:bCs/>
          <w:sz w:val="20"/>
          <w:szCs w:val="20"/>
        </w:rPr>
        <w:t xml:space="preserve">Comparison between </w:t>
      </w:r>
      <w:proofErr w:type="spellStart"/>
      <w:r w:rsidR="000762F4" w:rsidRPr="00392CE2">
        <w:rPr>
          <w:b/>
          <w:bCs/>
          <w:sz w:val="20"/>
          <w:szCs w:val="20"/>
        </w:rPr>
        <w:t>patients</w:t>
      </w:r>
      <w:r w:rsidRPr="00392CE2">
        <w:rPr>
          <w:b/>
          <w:bCs/>
          <w:sz w:val="20"/>
          <w:szCs w:val="20"/>
        </w:rPr>
        <w:t>&amp;</w:t>
      </w:r>
      <w:r w:rsidR="000762F4" w:rsidRPr="00392CE2">
        <w:rPr>
          <w:b/>
          <w:bCs/>
          <w:sz w:val="20"/>
          <w:szCs w:val="20"/>
        </w:rPr>
        <w:t>control</w:t>
      </w:r>
      <w:r w:rsidR="00705FA1" w:rsidRPr="00392CE2">
        <w:rPr>
          <w:b/>
          <w:bCs/>
          <w:sz w:val="20"/>
          <w:szCs w:val="20"/>
        </w:rPr>
        <w:t>according</w:t>
      </w:r>
      <w:proofErr w:type="spellEnd"/>
      <w:r w:rsidR="00705FA1" w:rsidRPr="00392CE2">
        <w:rPr>
          <w:b/>
          <w:bCs/>
          <w:sz w:val="20"/>
          <w:szCs w:val="20"/>
        </w:rPr>
        <w:t xml:space="preserve"> to </w:t>
      </w:r>
      <w:proofErr w:type="spellStart"/>
      <w:r w:rsidRPr="00392CE2">
        <w:rPr>
          <w:b/>
          <w:bCs/>
          <w:sz w:val="20"/>
          <w:szCs w:val="20"/>
        </w:rPr>
        <w:t>homocysteine</w:t>
      </w:r>
      <w:proofErr w:type="spellEnd"/>
      <w:r w:rsidRPr="00392CE2">
        <w:rPr>
          <w:b/>
          <w:bCs/>
          <w:sz w:val="20"/>
          <w:szCs w:val="20"/>
        </w:rPr>
        <w:t xml:space="preserve"> level</w:t>
      </w:r>
    </w:p>
    <w:tbl>
      <w:tblPr>
        <w:tblW w:w="9215"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4A0"/>
      </w:tblPr>
      <w:tblGrid>
        <w:gridCol w:w="2318"/>
        <w:gridCol w:w="2268"/>
        <w:gridCol w:w="2004"/>
        <w:gridCol w:w="1208"/>
        <w:gridCol w:w="1417"/>
      </w:tblGrid>
      <w:tr w:rsidR="0085413F" w:rsidRPr="00392CE2" w:rsidTr="000F48AE">
        <w:trPr>
          <w:jc w:val="center"/>
        </w:trPr>
        <w:tc>
          <w:tcPr>
            <w:tcW w:w="2318" w:type="dxa"/>
            <w:tcBorders>
              <w:top w:val="thinThickSmallGap" w:sz="18" w:space="0" w:color="auto"/>
              <w:bottom w:val="single" w:sz="12" w:space="0" w:color="auto"/>
              <w:right w:val="single" w:sz="12" w:space="0" w:color="auto"/>
            </w:tcBorders>
            <w:vAlign w:val="center"/>
          </w:tcPr>
          <w:p w:rsidR="0085413F" w:rsidRPr="00392CE2" w:rsidRDefault="0085413F" w:rsidP="00392CE2">
            <w:pPr>
              <w:bidi w:val="0"/>
              <w:snapToGrid w:val="0"/>
              <w:contextualSpacing/>
              <w:jc w:val="both"/>
              <w:rPr>
                <w:b/>
                <w:bCs/>
                <w:color w:val="000000"/>
                <w:sz w:val="20"/>
                <w:szCs w:val="20"/>
              </w:rPr>
            </w:pPr>
            <w:proofErr w:type="spellStart"/>
            <w:r w:rsidRPr="00392CE2">
              <w:rPr>
                <w:b/>
                <w:bCs/>
                <w:color w:val="000000"/>
                <w:sz w:val="20"/>
                <w:szCs w:val="20"/>
              </w:rPr>
              <w:t>Homocysteine</w:t>
            </w:r>
            <w:proofErr w:type="spellEnd"/>
          </w:p>
        </w:tc>
        <w:tc>
          <w:tcPr>
            <w:tcW w:w="2268" w:type="dxa"/>
            <w:tcBorders>
              <w:top w:val="thinThickSmallGap" w:sz="18" w:space="0" w:color="auto"/>
              <w:left w:val="single" w:sz="12" w:space="0" w:color="auto"/>
              <w:bottom w:val="single" w:sz="12" w:space="0" w:color="auto"/>
            </w:tcBorders>
            <w:vAlign w:val="center"/>
          </w:tcPr>
          <w:p w:rsidR="0085413F" w:rsidRPr="00392CE2" w:rsidRDefault="000F48AE" w:rsidP="007F4D2C">
            <w:pPr>
              <w:bidi w:val="0"/>
              <w:snapToGrid w:val="0"/>
              <w:contextualSpacing/>
              <w:jc w:val="both"/>
              <w:rPr>
                <w:b/>
                <w:bCs/>
                <w:color w:val="000000"/>
                <w:sz w:val="20"/>
                <w:szCs w:val="20"/>
              </w:rPr>
            </w:pPr>
            <w:r w:rsidRPr="00392CE2">
              <w:rPr>
                <w:b/>
                <w:bCs/>
                <w:color w:val="000000"/>
                <w:sz w:val="20"/>
                <w:szCs w:val="20"/>
                <w:lang w:bidi="ar-EG"/>
              </w:rPr>
              <w:t>Patients</w:t>
            </w:r>
            <w:r w:rsidR="007F4D2C">
              <w:rPr>
                <w:rFonts w:eastAsiaTheme="minorEastAsia" w:hint="eastAsia"/>
                <w:b/>
                <w:bCs/>
                <w:color w:val="000000"/>
                <w:sz w:val="20"/>
                <w:szCs w:val="20"/>
                <w:lang w:eastAsia="zh-CN" w:bidi="ar-EG"/>
              </w:rPr>
              <w:t xml:space="preserve"> </w:t>
            </w:r>
            <w:r w:rsidR="0085413F" w:rsidRPr="00392CE2">
              <w:rPr>
                <w:b/>
                <w:bCs/>
                <w:color w:val="000000"/>
                <w:sz w:val="20"/>
                <w:szCs w:val="20"/>
              </w:rPr>
              <w:t>(n = 40)</w:t>
            </w:r>
          </w:p>
        </w:tc>
        <w:tc>
          <w:tcPr>
            <w:tcW w:w="2004" w:type="dxa"/>
            <w:tcBorders>
              <w:top w:val="thinThickSmallGap" w:sz="18" w:space="0" w:color="auto"/>
              <w:bottom w:val="single" w:sz="12" w:space="0" w:color="auto"/>
              <w:right w:val="single" w:sz="12" w:space="0" w:color="auto"/>
            </w:tcBorders>
            <w:vAlign w:val="center"/>
          </w:tcPr>
          <w:p w:rsidR="0085413F" w:rsidRPr="00392CE2" w:rsidRDefault="000F48AE" w:rsidP="007F4D2C">
            <w:pPr>
              <w:bidi w:val="0"/>
              <w:snapToGrid w:val="0"/>
              <w:contextualSpacing/>
              <w:jc w:val="both"/>
              <w:rPr>
                <w:b/>
                <w:bCs/>
                <w:color w:val="000000"/>
                <w:sz w:val="20"/>
                <w:szCs w:val="20"/>
              </w:rPr>
            </w:pPr>
            <w:r w:rsidRPr="00392CE2">
              <w:rPr>
                <w:b/>
                <w:bCs/>
                <w:color w:val="000000"/>
                <w:sz w:val="20"/>
                <w:szCs w:val="20"/>
              </w:rPr>
              <w:t>Control</w:t>
            </w:r>
            <w:r w:rsidR="007F4D2C">
              <w:rPr>
                <w:rFonts w:eastAsiaTheme="minorEastAsia" w:hint="eastAsia"/>
                <w:b/>
                <w:bCs/>
                <w:color w:val="000000"/>
                <w:sz w:val="20"/>
                <w:szCs w:val="20"/>
                <w:lang w:eastAsia="zh-CN"/>
              </w:rPr>
              <w:t xml:space="preserve"> </w:t>
            </w:r>
            <w:r w:rsidR="0085413F" w:rsidRPr="00392CE2">
              <w:rPr>
                <w:b/>
                <w:bCs/>
                <w:color w:val="000000"/>
                <w:sz w:val="20"/>
                <w:szCs w:val="20"/>
              </w:rPr>
              <w:t>(n = 40)</w:t>
            </w:r>
          </w:p>
        </w:tc>
        <w:tc>
          <w:tcPr>
            <w:tcW w:w="1208" w:type="dxa"/>
            <w:tcBorders>
              <w:top w:val="thinThickSmallGap" w:sz="18" w:space="0" w:color="auto"/>
              <w:left w:val="single" w:sz="12" w:space="0" w:color="auto"/>
              <w:bottom w:val="single" w:sz="12" w:space="0" w:color="auto"/>
            </w:tcBorders>
            <w:vAlign w:val="center"/>
          </w:tcPr>
          <w:p w:rsidR="0085413F" w:rsidRPr="00392CE2" w:rsidRDefault="0085413F" w:rsidP="00392CE2">
            <w:pPr>
              <w:bidi w:val="0"/>
              <w:snapToGrid w:val="0"/>
              <w:contextualSpacing/>
              <w:jc w:val="both"/>
              <w:rPr>
                <w:b/>
                <w:bCs/>
                <w:color w:val="000000"/>
                <w:sz w:val="20"/>
                <w:szCs w:val="20"/>
              </w:rPr>
            </w:pPr>
            <w:r w:rsidRPr="00392CE2">
              <w:rPr>
                <w:b/>
                <w:bCs/>
                <w:color w:val="000000"/>
                <w:sz w:val="20"/>
                <w:szCs w:val="20"/>
              </w:rPr>
              <w:t>Z</w:t>
            </w:r>
          </w:p>
        </w:tc>
        <w:tc>
          <w:tcPr>
            <w:tcW w:w="1417" w:type="dxa"/>
            <w:tcBorders>
              <w:top w:val="thinThickSmallGap" w:sz="18" w:space="0" w:color="auto"/>
              <w:bottom w:val="single" w:sz="12" w:space="0" w:color="auto"/>
            </w:tcBorders>
            <w:vAlign w:val="center"/>
          </w:tcPr>
          <w:p w:rsidR="0085413F" w:rsidRPr="00392CE2" w:rsidRDefault="0085413F" w:rsidP="00392CE2">
            <w:pPr>
              <w:bidi w:val="0"/>
              <w:snapToGrid w:val="0"/>
              <w:contextualSpacing/>
              <w:jc w:val="both"/>
              <w:rPr>
                <w:b/>
                <w:bCs/>
                <w:color w:val="000000"/>
                <w:sz w:val="20"/>
                <w:szCs w:val="20"/>
              </w:rPr>
            </w:pPr>
            <w:r w:rsidRPr="00392CE2">
              <w:rPr>
                <w:b/>
                <w:bCs/>
                <w:color w:val="000000"/>
                <w:sz w:val="20"/>
                <w:szCs w:val="20"/>
              </w:rPr>
              <w:t>P</w:t>
            </w:r>
          </w:p>
        </w:tc>
      </w:tr>
      <w:tr w:rsidR="0085413F" w:rsidRPr="00392CE2" w:rsidTr="000F48AE">
        <w:trPr>
          <w:jc w:val="center"/>
        </w:trPr>
        <w:tc>
          <w:tcPr>
            <w:tcW w:w="2318" w:type="dxa"/>
            <w:tcBorders>
              <w:top w:val="nil"/>
              <w:bottom w:val="nil"/>
              <w:right w:val="single" w:sz="12"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Min. – Max.</w:t>
            </w:r>
          </w:p>
        </w:tc>
        <w:tc>
          <w:tcPr>
            <w:tcW w:w="2268" w:type="dxa"/>
            <w:tcBorders>
              <w:top w:val="nil"/>
              <w:left w:val="single" w:sz="12" w:space="0" w:color="auto"/>
              <w:bottom w:val="nil"/>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0.50 – 10.50</w:t>
            </w:r>
          </w:p>
        </w:tc>
        <w:tc>
          <w:tcPr>
            <w:tcW w:w="2004" w:type="dxa"/>
            <w:tcBorders>
              <w:top w:val="nil"/>
              <w:bottom w:val="nil"/>
              <w:right w:val="single" w:sz="12"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0.16 – 4.80</w:t>
            </w:r>
          </w:p>
        </w:tc>
        <w:tc>
          <w:tcPr>
            <w:tcW w:w="1208" w:type="dxa"/>
            <w:vMerge w:val="restart"/>
            <w:tcBorders>
              <w:top w:val="nil"/>
              <w:left w:val="single" w:sz="12"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5.346</w:t>
            </w:r>
            <w:r w:rsidRPr="00392CE2">
              <w:rPr>
                <w:color w:val="000000"/>
                <w:sz w:val="20"/>
                <w:szCs w:val="20"/>
                <w:vertAlign w:val="superscript"/>
              </w:rPr>
              <w:t>*</w:t>
            </w:r>
          </w:p>
        </w:tc>
        <w:tc>
          <w:tcPr>
            <w:tcW w:w="1417" w:type="dxa"/>
            <w:vMerge w:val="restart"/>
            <w:tcBorders>
              <w:top w:val="nil"/>
            </w:tcBorders>
            <w:vAlign w:val="center"/>
          </w:tcPr>
          <w:p w:rsidR="0085413F" w:rsidRPr="00392CE2" w:rsidRDefault="0085413F" w:rsidP="00392CE2">
            <w:pPr>
              <w:bidi w:val="0"/>
              <w:snapToGrid w:val="0"/>
              <w:contextualSpacing/>
              <w:jc w:val="both"/>
              <w:rPr>
                <w:color w:val="000000"/>
                <w:sz w:val="20"/>
                <w:szCs w:val="20"/>
                <w:vertAlign w:val="superscript"/>
              </w:rPr>
            </w:pPr>
            <w:r w:rsidRPr="00392CE2">
              <w:rPr>
                <w:color w:val="000000"/>
                <w:sz w:val="20"/>
                <w:szCs w:val="20"/>
              </w:rPr>
              <w:t>&lt;0.001</w:t>
            </w:r>
            <w:r w:rsidRPr="00392CE2">
              <w:rPr>
                <w:color w:val="000000"/>
                <w:sz w:val="20"/>
                <w:szCs w:val="20"/>
                <w:vertAlign w:val="superscript"/>
              </w:rPr>
              <w:t>*</w:t>
            </w:r>
          </w:p>
        </w:tc>
      </w:tr>
      <w:tr w:rsidR="0085413F" w:rsidRPr="00392CE2" w:rsidTr="000F48AE">
        <w:trPr>
          <w:jc w:val="center"/>
        </w:trPr>
        <w:tc>
          <w:tcPr>
            <w:tcW w:w="2318" w:type="dxa"/>
            <w:tcBorders>
              <w:top w:val="nil"/>
              <w:bottom w:val="nil"/>
              <w:right w:val="single" w:sz="12"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Mean ± SD.</w:t>
            </w:r>
          </w:p>
        </w:tc>
        <w:tc>
          <w:tcPr>
            <w:tcW w:w="2268" w:type="dxa"/>
            <w:tcBorders>
              <w:top w:val="nil"/>
              <w:left w:val="single" w:sz="12" w:space="0" w:color="auto"/>
              <w:bottom w:val="nil"/>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4.42 ± 3.13</w:t>
            </w:r>
          </w:p>
        </w:tc>
        <w:tc>
          <w:tcPr>
            <w:tcW w:w="2004" w:type="dxa"/>
            <w:tcBorders>
              <w:top w:val="nil"/>
              <w:bottom w:val="nil"/>
              <w:right w:val="single" w:sz="12"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1.24 ± 1.05</w:t>
            </w:r>
          </w:p>
        </w:tc>
        <w:tc>
          <w:tcPr>
            <w:tcW w:w="1208" w:type="dxa"/>
            <w:vMerge/>
            <w:tcBorders>
              <w:left w:val="single" w:sz="12" w:space="0" w:color="auto"/>
            </w:tcBorders>
            <w:vAlign w:val="center"/>
          </w:tcPr>
          <w:p w:rsidR="0085413F" w:rsidRPr="00392CE2" w:rsidRDefault="0085413F" w:rsidP="00392CE2">
            <w:pPr>
              <w:bidi w:val="0"/>
              <w:snapToGrid w:val="0"/>
              <w:contextualSpacing/>
              <w:jc w:val="both"/>
              <w:rPr>
                <w:b/>
                <w:bCs/>
                <w:color w:val="000000"/>
                <w:sz w:val="20"/>
                <w:szCs w:val="20"/>
                <w:highlight w:val="yellow"/>
              </w:rPr>
            </w:pPr>
          </w:p>
        </w:tc>
        <w:tc>
          <w:tcPr>
            <w:tcW w:w="1417" w:type="dxa"/>
            <w:vMerge/>
            <w:vAlign w:val="center"/>
          </w:tcPr>
          <w:p w:rsidR="0085413F" w:rsidRPr="00392CE2" w:rsidRDefault="0085413F" w:rsidP="00392CE2">
            <w:pPr>
              <w:bidi w:val="0"/>
              <w:snapToGrid w:val="0"/>
              <w:contextualSpacing/>
              <w:jc w:val="both"/>
              <w:rPr>
                <w:b/>
                <w:bCs/>
                <w:color w:val="000000"/>
                <w:sz w:val="20"/>
                <w:szCs w:val="20"/>
              </w:rPr>
            </w:pPr>
          </w:p>
        </w:tc>
      </w:tr>
      <w:tr w:rsidR="0085413F" w:rsidRPr="00392CE2" w:rsidTr="000F48AE">
        <w:trPr>
          <w:jc w:val="center"/>
        </w:trPr>
        <w:tc>
          <w:tcPr>
            <w:tcW w:w="2318" w:type="dxa"/>
            <w:tcBorders>
              <w:top w:val="nil"/>
              <w:bottom w:val="thickThinSmallGap" w:sz="18" w:space="0" w:color="auto"/>
              <w:right w:val="single" w:sz="12" w:space="0" w:color="auto"/>
            </w:tcBorders>
            <w:vAlign w:val="center"/>
          </w:tcPr>
          <w:p w:rsidR="0085413F" w:rsidRPr="00392CE2" w:rsidRDefault="0085413F" w:rsidP="00392CE2">
            <w:pPr>
              <w:bidi w:val="0"/>
              <w:snapToGrid w:val="0"/>
              <w:contextualSpacing/>
              <w:jc w:val="both"/>
              <w:rPr>
                <w:color w:val="000000"/>
                <w:sz w:val="20"/>
                <w:szCs w:val="20"/>
                <w:lang w:bidi="ar-EG"/>
              </w:rPr>
            </w:pPr>
            <w:r w:rsidRPr="00392CE2">
              <w:rPr>
                <w:color w:val="000000"/>
                <w:sz w:val="20"/>
                <w:szCs w:val="20"/>
              </w:rPr>
              <w:t>Median</w:t>
            </w:r>
          </w:p>
        </w:tc>
        <w:tc>
          <w:tcPr>
            <w:tcW w:w="2268" w:type="dxa"/>
            <w:tcBorders>
              <w:top w:val="nil"/>
              <w:left w:val="single" w:sz="12" w:space="0" w:color="auto"/>
              <w:bottom w:val="thickThinSmallGap" w:sz="18"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3.85</w:t>
            </w:r>
          </w:p>
        </w:tc>
        <w:tc>
          <w:tcPr>
            <w:tcW w:w="2004" w:type="dxa"/>
            <w:tcBorders>
              <w:top w:val="nil"/>
              <w:bottom w:val="thickThinSmallGap" w:sz="18" w:space="0" w:color="auto"/>
              <w:right w:val="single" w:sz="12" w:space="0" w:color="auto"/>
            </w:tcBorders>
            <w:vAlign w:val="center"/>
          </w:tcPr>
          <w:p w:rsidR="0085413F" w:rsidRPr="00392CE2" w:rsidRDefault="0085413F" w:rsidP="00392CE2">
            <w:pPr>
              <w:bidi w:val="0"/>
              <w:snapToGrid w:val="0"/>
              <w:contextualSpacing/>
              <w:jc w:val="both"/>
              <w:rPr>
                <w:color w:val="000000"/>
                <w:sz w:val="20"/>
                <w:szCs w:val="20"/>
              </w:rPr>
            </w:pPr>
            <w:r w:rsidRPr="00392CE2">
              <w:rPr>
                <w:color w:val="000000"/>
                <w:sz w:val="20"/>
                <w:szCs w:val="20"/>
              </w:rPr>
              <w:t>0.90</w:t>
            </w:r>
          </w:p>
        </w:tc>
        <w:tc>
          <w:tcPr>
            <w:tcW w:w="1208" w:type="dxa"/>
            <w:vMerge/>
            <w:tcBorders>
              <w:left w:val="single" w:sz="12" w:space="0" w:color="auto"/>
              <w:bottom w:val="thickThinSmallGap" w:sz="18" w:space="0" w:color="auto"/>
            </w:tcBorders>
            <w:vAlign w:val="center"/>
          </w:tcPr>
          <w:p w:rsidR="0085413F" w:rsidRPr="00392CE2" w:rsidRDefault="0085413F" w:rsidP="00392CE2">
            <w:pPr>
              <w:bidi w:val="0"/>
              <w:snapToGrid w:val="0"/>
              <w:contextualSpacing/>
              <w:jc w:val="both"/>
              <w:rPr>
                <w:b/>
                <w:bCs/>
                <w:color w:val="000000"/>
                <w:sz w:val="20"/>
                <w:szCs w:val="20"/>
                <w:highlight w:val="yellow"/>
              </w:rPr>
            </w:pPr>
          </w:p>
        </w:tc>
        <w:tc>
          <w:tcPr>
            <w:tcW w:w="1417" w:type="dxa"/>
            <w:vMerge/>
            <w:tcBorders>
              <w:bottom w:val="thickThinSmallGap" w:sz="18" w:space="0" w:color="auto"/>
            </w:tcBorders>
            <w:vAlign w:val="center"/>
          </w:tcPr>
          <w:p w:rsidR="0085413F" w:rsidRPr="00392CE2" w:rsidRDefault="0085413F" w:rsidP="00392CE2">
            <w:pPr>
              <w:bidi w:val="0"/>
              <w:snapToGrid w:val="0"/>
              <w:contextualSpacing/>
              <w:jc w:val="both"/>
              <w:rPr>
                <w:b/>
                <w:bCs/>
                <w:color w:val="000000"/>
                <w:sz w:val="20"/>
                <w:szCs w:val="20"/>
              </w:rPr>
            </w:pPr>
          </w:p>
        </w:tc>
      </w:tr>
    </w:tbl>
    <w:p w:rsidR="0013097F" w:rsidRDefault="0013097F" w:rsidP="00392CE2">
      <w:pPr>
        <w:tabs>
          <w:tab w:val="left" w:pos="3315"/>
        </w:tabs>
        <w:bidi w:val="0"/>
        <w:snapToGrid w:val="0"/>
        <w:ind w:firstLine="425"/>
        <w:jc w:val="both"/>
        <w:rPr>
          <w:rFonts w:eastAsiaTheme="minorEastAsia"/>
          <w:sz w:val="20"/>
          <w:szCs w:val="20"/>
          <w:lang w:eastAsia="zh-CN" w:bidi="ar-EG"/>
        </w:rPr>
      </w:pPr>
    </w:p>
    <w:p w:rsidR="000F48AE" w:rsidRPr="00392CE2" w:rsidRDefault="000F48AE" w:rsidP="0013097F">
      <w:pPr>
        <w:tabs>
          <w:tab w:val="left" w:pos="3315"/>
        </w:tabs>
        <w:bidi w:val="0"/>
        <w:snapToGrid w:val="0"/>
        <w:ind w:firstLine="425"/>
        <w:jc w:val="both"/>
        <w:rPr>
          <w:sz w:val="20"/>
          <w:szCs w:val="20"/>
          <w:lang w:bidi="ar-EG"/>
        </w:rPr>
      </w:pPr>
      <w:r w:rsidRPr="00392CE2">
        <w:rPr>
          <w:sz w:val="20"/>
          <w:szCs w:val="20"/>
          <w:lang w:bidi="ar-EG"/>
        </w:rPr>
        <w:t xml:space="preserve">By correlating the </w:t>
      </w:r>
      <w:proofErr w:type="spellStart"/>
      <w:r w:rsidRPr="00392CE2">
        <w:rPr>
          <w:sz w:val="20"/>
          <w:szCs w:val="20"/>
          <w:lang w:bidi="ar-EG"/>
        </w:rPr>
        <w:t>homocystiene</w:t>
      </w:r>
      <w:proofErr w:type="spellEnd"/>
      <w:r w:rsidRPr="00392CE2">
        <w:rPr>
          <w:sz w:val="20"/>
          <w:szCs w:val="20"/>
          <w:lang w:bidi="ar-EG"/>
        </w:rPr>
        <w:t xml:space="preserve"> level with the clinical data of patients</w:t>
      </w:r>
      <w:r w:rsidR="000D320B" w:rsidRPr="00392CE2">
        <w:rPr>
          <w:sz w:val="20"/>
          <w:szCs w:val="20"/>
          <w:lang w:bidi="ar-EG"/>
        </w:rPr>
        <w:t>,</w:t>
      </w:r>
      <w:r w:rsidR="000D320B">
        <w:rPr>
          <w:sz w:val="20"/>
          <w:szCs w:val="20"/>
          <w:lang w:bidi="ar-EG"/>
        </w:rPr>
        <w:t xml:space="preserve"> </w:t>
      </w:r>
      <w:r w:rsidR="000D320B" w:rsidRPr="00392CE2">
        <w:rPr>
          <w:sz w:val="20"/>
          <w:szCs w:val="20"/>
          <w:lang w:bidi="ar-EG"/>
        </w:rPr>
        <w:t>t</w:t>
      </w:r>
      <w:r w:rsidRPr="00392CE2">
        <w:rPr>
          <w:sz w:val="20"/>
          <w:szCs w:val="20"/>
          <w:lang w:bidi="ar-EG"/>
        </w:rPr>
        <w:t xml:space="preserve">here was statistically significant correlation between </w:t>
      </w:r>
      <w:proofErr w:type="spellStart"/>
      <w:r w:rsidRPr="00392CE2">
        <w:rPr>
          <w:sz w:val="20"/>
          <w:szCs w:val="20"/>
          <w:lang w:bidi="ar-EG"/>
        </w:rPr>
        <w:t>homocystienelevel</w:t>
      </w:r>
      <w:proofErr w:type="spellEnd"/>
      <w:r w:rsidRPr="00392CE2">
        <w:rPr>
          <w:sz w:val="20"/>
          <w:szCs w:val="20"/>
          <w:lang w:bidi="ar-EG"/>
        </w:rPr>
        <w:t xml:space="preserve"> and age, BMI, duration of psoriasis and PASI score of the patients</w:t>
      </w:r>
      <w:r w:rsidRPr="00392CE2">
        <w:rPr>
          <w:b/>
          <w:bCs/>
          <w:sz w:val="20"/>
          <w:szCs w:val="20"/>
          <w:lang w:bidi="ar-EG"/>
        </w:rPr>
        <w:t>(Table 3).</w:t>
      </w:r>
    </w:p>
    <w:p w:rsidR="0013097F" w:rsidRDefault="0013097F">
      <w:pPr>
        <w:bidi w:val="0"/>
        <w:spacing w:after="200" w:line="276" w:lineRule="auto"/>
        <w:rPr>
          <w:rFonts w:eastAsiaTheme="minorEastAsia" w:hint="eastAsia"/>
          <w:b/>
          <w:bCs/>
          <w:sz w:val="20"/>
          <w:szCs w:val="20"/>
          <w:lang w:eastAsia="zh-CN"/>
        </w:rPr>
      </w:pPr>
    </w:p>
    <w:p w:rsidR="007F4D2C" w:rsidRPr="007F4D2C" w:rsidRDefault="007F4D2C" w:rsidP="007F4D2C">
      <w:pPr>
        <w:bidi w:val="0"/>
        <w:spacing w:after="200" w:line="276" w:lineRule="auto"/>
        <w:rPr>
          <w:rFonts w:eastAsiaTheme="minorEastAsia" w:hint="eastAsia"/>
          <w:b/>
          <w:bCs/>
          <w:sz w:val="20"/>
          <w:szCs w:val="20"/>
          <w:lang w:eastAsia="zh-CN"/>
        </w:rPr>
      </w:pPr>
    </w:p>
    <w:p w:rsidR="000F48AE" w:rsidRPr="00392CE2" w:rsidRDefault="000F48AE" w:rsidP="00392CE2">
      <w:pPr>
        <w:bidi w:val="0"/>
        <w:snapToGrid w:val="0"/>
        <w:jc w:val="center"/>
        <w:rPr>
          <w:b/>
          <w:bCs/>
          <w:sz w:val="20"/>
          <w:szCs w:val="20"/>
        </w:rPr>
      </w:pPr>
      <w:r w:rsidRPr="00392CE2">
        <w:rPr>
          <w:b/>
          <w:bCs/>
          <w:sz w:val="20"/>
          <w:szCs w:val="20"/>
        </w:rPr>
        <w:lastRenderedPageBreak/>
        <w:t>Table (3):</w:t>
      </w:r>
      <w:r w:rsidR="00606722" w:rsidRPr="00392CE2">
        <w:rPr>
          <w:b/>
          <w:bCs/>
          <w:sz w:val="20"/>
          <w:szCs w:val="20"/>
        </w:rPr>
        <w:t xml:space="preserve"> </w:t>
      </w:r>
      <w:r w:rsidRPr="00392CE2">
        <w:rPr>
          <w:b/>
          <w:bCs/>
          <w:sz w:val="20"/>
          <w:szCs w:val="20"/>
        </w:rPr>
        <w:t xml:space="preserve">Correlation between </w:t>
      </w:r>
      <w:r w:rsidRPr="00392CE2">
        <w:rPr>
          <w:b/>
          <w:bCs/>
          <w:sz w:val="20"/>
          <w:szCs w:val="20"/>
        </w:rPr>
        <w:tab/>
      </w:r>
      <w:proofErr w:type="spellStart"/>
      <w:r w:rsidRPr="00392CE2">
        <w:rPr>
          <w:b/>
          <w:bCs/>
          <w:sz w:val="20"/>
          <w:szCs w:val="20"/>
        </w:rPr>
        <w:t>homocysteine</w:t>
      </w:r>
      <w:proofErr w:type="spellEnd"/>
      <w:r w:rsidRPr="00392CE2">
        <w:rPr>
          <w:b/>
          <w:bCs/>
          <w:sz w:val="20"/>
          <w:szCs w:val="20"/>
        </w:rPr>
        <w:t xml:space="preserve"> level and different parameters in patients</w:t>
      </w:r>
      <w:r w:rsidR="007F4D2C">
        <w:rPr>
          <w:rFonts w:eastAsiaTheme="minorEastAsia" w:hint="eastAsia"/>
          <w:b/>
          <w:bCs/>
          <w:sz w:val="20"/>
          <w:szCs w:val="20"/>
          <w:lang w:eastAsia="zh-CN"/>
        </w:rPr>
        <w:t xml:space="preserve"> </w:t>
      </w:r>
      <w:r w:rsidRPr="00392CE2">
        <w:rPr>
          <w:b/>
          <w:bCs/>
          <w:sz w:val="20"/>
          <w:szCs w:val="20"/>
        </w:rPr>
        <w:t>(n = 40)</w:t>
      </w:r>
    </w:p>
    <w:tbl>
      <w:tblPr>
        <w:tblW w:w="0" w:type="auto"/>
        <w:jc w:val="center"/>
        <w:tblInd w:w="1099" w:type="dxa"/>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4A0"/>
      </w:tblPr>
      <w:tblGrid>
        <w:gridCol w:w="2182"/>
        <w:gridCol w:w="2048"/>
        <w:gridCol w:w="2713"/>
      </w:tblGrid>
      <w:tr w:rsidR="000F48AE" w:rsidRPr="00392CE2" w:rsidTr="00392CE2">
        <w:trPr>
          <w:trHeight w:val="14"/>
          <w:jc w:val="center"/>
        </w:trPr>
        <w:tc>
          <w:tcPr>
            <w:tcW w:w="2182" w:type="dxa"/>
            <w:tcBorders>
              <w:top w:val="thinThickSmallGap" w:sz="18" w:space="0" w:color="auto"/>
              <w:bottom w:val="nil"/>
              <w:right w:val="single" w:sz="12" w:space="0" w:color="auto"/>
            </w:tcBorders>
            <w:vAlign w:val="center"/>
          </w:tcPr>
          <w:p w:rsidR="000F48AE" w:rsidRPr="00392CE2" w:rsidRDefault="000F48AE" w:rsidP="00392CE2">
            <w:pPr>
              <w:bidi w:val="0"/>
              <w:snapToGrid w:val="0"/>
              <w:contextualSpacing/>
              <w:jc w:val="both"/>
              <w:rPr>
                <w:b/>
                <w:bCs/>
                <w:color w:val="000000"/>
                <w:sz w:val="20"/>
                <w:szCs w:val="20"/>
                <w:lang w:bidi="ar-EG"/>
              </w:rPr>
            </w:pPr>
          </w:p>
        </w:tc>
        <w:tc>
          <w:tcPr>
            <w:tcW w:w="4761" w:type="dxa"/>
            <w:gridSpan w:val="2"/>
            <w:tcBorders>
              <w:top w:val="thinThickSmallGap" w:sz="18" w:space="0" w:color="auto"/>
              <w:left w:val="single" w:sz="12" w:space="0" w:color="auto"/>
              <w:bottom w:val="single" w:sz="4" w:space="0" w:color="auto"/>
              <w:right w:val="thickThinSmallGap" w:sz="18" w:space="0" w:color="auto"/>
            </w:tcBorders>
            <w:vAlign w:val="center"/>
          </w:tcPr>
          <w:p w:rsidR="000F48AE" w:rsidRPr="00392CE2" w:rsidRDefault="000F48AE" w:rsidP="00392CE2">
            <w:pPr>
              <w:bidi w:val="0"/>
              <w:snapToGrid w:val="0"/>
              <w:contextualSpacing/>
              <w:jc w:val="both"/>
              <w:rPr>
                <w:b/>
                <w:bCs/>
                <w:color w:val="000000"/>
                <w:sz w:val="20"/>
                <w:szCs w:val="20"/>
              </w:rPr>
            </w:pPr>
            <w:proofErr w:type="spellStart"/>
            <w:r w:rsidRPr="00392CE2">
              <w:rPr>
                <w:b/>
                <w:bCs/>
                <w:color w:val="000000"/>
                <w:sz w:val="20"/>
                <w:szCs w:val="20"/>
              </w:rPr>
              <w:t>Homocysteine</w:t>
            </w:r>
            <w:proofErr w:type="spellEnd"/>
            <w:r w:rsidRPr="00392CE2">
              <w:rPr>
                <w:b/>
                <w:bCs/>
                <w:color w:val="000000"/>
                <w:sz w:val="20"/>
                <w:szCs w:val="20"/>
              </w:rPr>
              <w:t xml:space="preserve"> level</w:t>
            </w:r>
          </w:p>
        </w:tc>
      </w:tr>
      <w:tr w:rsidR="000F48AE" w:rsidRPr="00392CE2" w:rsidTr="00392CE2">
        <w:trPr>
          <w:trHeight w:val="65"/>
          <w:jc w:val="center"/>
        </w:trPr>
        <w:tc>
          <w:tcPr>
            <w:tcW w:w="2182" w:type="dxa"/>
            <w:tcBorders>
              <w:top w:val="nil"/>
              <w:bottom w:val="single" w:sz="12" w:space="0" w:color="auto"/>
              <w:right w:val="single" w:sz="12" w:space="0" w:color="auto"/>
            </w:tcBorders>
            <w:vAlign w:val="center"/>
          </w:tcPr>
          <w:p w:rsidR="000F48AE" w:rsidRPr="00392CE2" w:rsidRDefault="000F48AE" w:rsidP="00392CE2">
            <w:pPr>
              <w:bidi w:val="0"/>
              <w:snapToGrid w:val="0"/>
              <w:contextualSpacing/>
              <w:jc w:val="both"/>
              <w:rPr>
                <w:b/>
                <w:bCs/>
                <w:color w:val="000000"/>
                <w:sz w:val="20"/>
                <w:szCs w:val="20"/>
                <w:lang w:bidi="ar-EG"/>
              </w:rPr>
            </w:pPr>
          </w:p>
        </w:tc>
        <w:tc>
          <w:tcPr>
            <w:tcW w:w="2048" w:type="dxa"/>
            <w:tcBorders>
              <w:top w:val="single" w:sz="4" w:space="0" w:color="auto"/>
              <w:left w:val="single" w:sz="12" w:space="0" w:color="auto"/>
              <w:bottom w:val="single" w:sz="12" w:space="0" w:color="auto"/>
              <w:right w:val="single" w:sz="4" w:space="0" w:color="auto"/>
            </w:tcBorders>
            <w:vAlign w:val="center"/>
          </w:tcPr>
          <w:p w:rsidR="000F48AE" w:rsidRPr="00392CE2" w:rsidRDefault="000F48AE" w:rsidP="00392CE2">
            <w:pPr>
              <w:bidi w:val="0"/>
              <w:snapToGrid w:val="0"/>
              <w:contextualSpacing/>
              <w:jc w:val="both"/>
              <w:rPr>
                <w:b/>
                <w:bCs/>
                <w:color w:val="000000"/>
                <w:sz w:val="20"/>
                <w:szCs w:val="20"/>
              </w:rPr>
            </w:pPr>
            <w:proofErr w:type="spellStart"/>
            <w:r w:rsidRPr="00392CE2">
              <w:rPr>
                <w:b/>
                <w:bCs/>
                <w:color w:val="000000"/>
                <w:sz w:val="20"/>
                <w:szCs w:val="20"/>
              </w:rPr>
              <w:t>r</w:t>
            </w:r>
            <w:r w:rsidRPr="00392CE2">
              <w:rPr>
                <w:b/>
                <w:bCs/>
                <w:color w:val="000000"/>
                <w:sz w:val="20"/>
                <w:szCs w:val="20"/>
                <w:vertAlign w:val="subscript"/>
              </w:rPr>
              <w:t>s</w:t>
            </w:r>
            <w:proofErr w:type="spellEnd"/>
          </w:p>
        </w:tc>
        <w:tc>
          <w:tcPr>
            <w:tcW w:w="2713" w:type="dxa"/>
            <w:tcBorders>
              <w:top w:val="single" w:sz="4" w:space="0" w:color="auto"/>
              <w:left w:val="single" w:sz="4" w:space="0" w:color="auto"/>
              <w:bottom w:val="single" w:sz="12" w:space="0" w:color="auto"/>
              <w:right w:val="thickThinSmallGap" w:sz="18" w:space="0" w:color="auto"/>
            </w:tcBorders>
            <w:vAlign w:val="center"/>
          </w:tcPr>
          <w:p w:rsidR="000F48AE" w:rsidRPr="00392CE2" w:rsidRDefault="000F48AE" w:rsidP="00392CE2">
            <w:pPr>
              <w:bidi w:val="0"/>
              <w:snapToGrid w:val="0"/>
              <w:contextualSpacing/>
              <w:jc w:val="both"/>
              <w:rPr>
                <w:b/>
                <w:bCs/>
                <w:color w:val="000000"/>
                <w:sz w:val="20"/>
                <w:szCs w:val="20"/>
              </w:rPr>
            </w:pPr>
            <w:r w:rsidRPr="00392CE2">
              <w:rPr>
                <w:b/>
                <w:bCs/>
                <w:color w:val="000000"/>
                <w:sz w:val="20"/>
                <w:szCs w:val="20"/>
              </w:rPr>
              <w:t>P</w:t>
            </w:r>
          </w:p>
        </w:tc>
      </w:tr>
      <w:tr w:rsidR="000F48AE" w:rsidRPr="00392CE2" w:rsidTr="00392CE2">
        <w:trPr>
          <w:trHeight w:val="45"/>
          <w:jc w:val="center"/>
        </w:trPr>
        <w:tc>
          <w:tcPr>
            <w:tcW w:w="2182" w:type="dxa"/>
            <w:tcBorders>
              <w:top w:val="nil"/>
              <w:bottom w:val="single" w:sz="4" w:space="0" w:color="auto"/>
              <w:right w:val="single" w:sz="12" w:space="0" w:color="auto"/>
            </w:tcBorders>
            <w:vAlign w:val="center"/>
          </w:tcPr>
          <w:p w:rsidR="000F48AE" w:rsidRPr="00392CE2" w:rsidRDefault="000F48AE" w:rsidP="00392CE2">
            <w:pPr>
              <w:bidi w:val="0"/>
              <w:snapToGrid w:val="0"/>
              <w:contextualSpacing/>
              <w:jc w:val="both"/>
              <w:rPr>
                <w:color w:val="000000"/>
                <w:sz w:val="20"/>
                <w:szCs w:val="20"/>
                <w:highlight w:val="yellow"/>
                <w:lang w:bidi="ar-EG"/>
              </w:rPr>
            </w:pPr>
            <w:r w:rsidRPr="00392CE2">
              <w:rPr>
                <w:b/>
                <w:bCs/>
                <w:color w:val="000000"/>
                <w:sz w:val="20"/>
                <w:szCs w:val="20"/>
              </w:rPr>
              <w:t>Age (years)</w:t>
            </w:r>
          </w:p>
        </w:tc>
        <w:tc>
          <w:tcPr>
            <w:tcW w:w="2048" w:type="dxa"/>
            <w:tcBorders>
              <w:top w:val="single" w:sz="12" w:space="0" w:color="auto"/>
              <w:left w:val="single" w:sz="12" w:space="0" w:color="auto"/>
              <w:bottom w:val="single" w:sz="4" w:space="0" w:color="auto"/>
              <w:right w:val="single" w:sz="4" w:space="0" w:color="auto"/>
            </w:tcBorders>
            <w:vAlign w:val="center"/>
          </w:tcPr>
          <w:p w:rsidR="000F48AE" w:rsidRPr="00392CE2" w:rsidRDefault="000F48AE" w:rsidP="00392CE2">
            <w:pPr>
              <w:bidi w:val="0"/>
              <w:snapToGrid w:val="0"/>
              <w:contextualSpacing/>
              <w:jc w:val="both"/>
              <w:rPr>
                <w:color w:val="000000"/>
                <w:sz w:val="20"/>
                <w:szCs w:val="20"/>
                <w:vertAlign w:val="superscript"/>
              </w:rPr>
            </w:pPr>
            <w:r w:rsidRPr="00392CE2">
              <w:rPr>
                <w:color w:val="000000"/>
                <w:sz w:val="20"/>
                <w:szCs w:val="20"/>
              </w:rPr>
              <w:t>0.787</w:t>
            </w:r>
            <w:r w:rsidRPr="00392CE2">
              <w:rPr>
                <w:color w:val="000000"/>
                <w:sz w:val="20"/>
                <w:szCs w:val="20"/>
                <w:vertAlign w:val="superscript"/>
              </w:rPr>
              <w:t>*</w:t>
            </w:r>
          </w:p>
        </w:tc>
        <w:tc>
          <w:tcPr>
            <w:tcW w:w="2713" w:type="dxa"/>
            <w:tcBorders>
              <w:top w:val="single" w:sz="12" w:space="0" w:color="auto"/>
              <w:left w:val="single" w:sz="4" w:space="0" w:color="auto"/>
              <w:bottom w:val="single" w:sz="4" w:space="0" w:color="auto"/>
              <w:right w:val="thickThinSmallGap" w:sz="18" w:space="0" w:color="auto"/>
            </w:tcBorders>
            <w:vAlign w:val="center"/>
          </w:tcPr>
          <w:p w:rsidR="000F48AE" w:rsidRPr="00392CE2" w:rsidRDefault="000F48AE" w:rsidP="00392CE2">
            <w:pPr>
              <w:bidi w:val="0"/>
              <w:snapToGrid w:val="0"/>
              <w:contextualSpacing/>
              <w:jc w:val="both"/>
              <w:rPr>
                <w:color w:val="000000"/>
                <w:sz w:val="20"/>
                <w:szCs w:val="20"/>
                <w:vertAlign w:val="superscript"/>
              </w:rPr>
            </w:pPr>
            <w:r w:rsidRPr="00392CE2">
              <w:rPr>
                <w:color w:val="000000"/>
                <w:sz w:val="20"/>
                <w:szCs w:val="20"/>
              </w:rPr>
              <w:t>&lt;0.001</w:t>
            </w:r>
            <w:r w:rsidRPr="00392CE2">
              <w:rPr>
                <w:color w:val="000000"/>
                <w:sz w:val="20"/>
                <w:szCs w:val="20"/>
                <w:vertAlign w:val="superscript"/>
              </w:rPr>
              <w:t>*</w:t>
            </w:r>
          </w:p>
        </w:tc>
      </w:tr>
      <w:tr w:rsidR="000F48AE" w:rsidRPr="00392CE2" w:rsidTr="00392CE2">
        <w:trPr>
          <w:trHeight w:val="65"/>
          <w:jc w:val="center"/>
        </w:trPr>
        <w:tc>
          <w:tcPr>
            <w:tcW w:w="2182" w:type="dxa"/>
            <w:tcBorders>
              <w:top w:val="single" w:sz="4" w:space="0" w:color="auto"/>
              <w:bottom w:val="single" w:sz="4" w:space="0" w:color="auto"/>
              <w:right w:val="single" w:sz="12" w:space="0" w:color="auto"/>
            </w:tcBorders>
            <w:vAlign w:val="center"/>
          </w:tcPr>
          <w:p w:rsidR="000F48AE" w:rsidRPr="00392CE2" w:rsidRDefault="000F48AE" w:rsidP="00392CE2">
            <w:pPr>
              <w:bidi w:val="0"/>
              <w:snapToGrid w:val="0"/>
              <w:contextualSpacing/>
              <w:jc w:val="both"/>
              <w:rPr>
                <w:color w:val="000000"/>
                <w:sz w:val="20"/>
                <w:szCs w:val="20"/>
                <w:highlight w:val="yellow"/>
                <w:lang w:bidi="ar-EG"/>
              </w:rPr>
            </w:pPr>
            <w:r w:rsidRPr="00392CE2">
              <w:rPr>
                <w:b/>
                <w:bCs/>
                <w:color w:val="000000"/>
                <w:sz w:val="20"/>
                <w:szCs w:val="20"/>
              </w:rPr>
              <w:t>Duration (years)</w:t>
            </w:r>
          </w:p>
        </w:tc>
        <w:tc>
          <w:tcPr>
            <w:tcW w:w="2048" w:type="dxa"/>
            <w:tcBorders>
              <w:top w:val="single" w:sz="4" w:space="0" w:color="auto"/>
              <w:left w:val="single" w:sz="12" w:space="0" w:color="auto"/>
              <w:bottom w:val="single" w:sz="4" w:space="0" w:color="auto"/>
              <w:right w:val="single" w:sz="4" w:space="0" w:color="auto"/>
            </w:tcBorders>
            <w:vAlign w:val="center"/>
          </w:tcPr>
          <w:p w:rsidR="000F48AE" w:rsidRPr="00392CE2" w:rsidRDefault="000F48AE" w:rsidP="00392CE2">
            <w:pPr>
              <w:bidi w:val="0"/>
              <w:snapToGrid w:val="0"/>
              <w:contextualSpacing/>
              <w:jc w:val="both"/>
              <w:rPr>
                <w:color w:val="000000"/>
                <w:sz w:val="20"/>
                <w:szCs w:val="20"/>
                <w:vertAlign w:val="superscript"/>
              </w:rPr>
            </w:pPr>
            <w:r w:rsidRPr="00392CE2">
              <w:rPr>
                <w:color w:val="000000"/>
                <w:sz w:val="20"/>
                <w:szCs w:val="20"/>
              </w:rPr>
              <w:t>0.617</w:t>
            </w:r>
            <w:r w:rsidRPr="00392CE2">
              <w:rPr>
                <w:color w:val="000000"/>
                <w:sz w:val="20"/>
                <w:szCs w:val="20"/>
                <w:vertAlign w:val="superscript"/>
              </w:rPr>
              <w:t>*</w:t>
            </w:r>
          </w:p>
        </w:tc>
        <w:tc>
          <w:tcPr>
            <w:tcW w:w="2713" w:type="dxa"/>
            <w:tcBorders>
              <w:top w:val="single" w:sz="4" w:space="0" w:color="auto"/>
              <w:left w:val="single" w:sz="4" w:space="0" w:color="auto"/>
              <w:bottom w:val="single" w:sz="4" w:space="0" w:color="auto"/>
              <w:right w:val="thickThinSmallGap" w:sz="18" w:space="0" w:color="auto"/>
            </w:tcBorders>
          </w:tcPr>
          <w:p w:rsidR="000F48AE" w:rsidRPr="00392CE2" w:rsidRDefault="000F48AE" w:rsidP="00392CE2">
            <w:pPr>
              <w:bidi w:val="0"/>
              <w:snapToGrid w:val="0"/>
              <w:contextualSpacing/>
              <w:jc w:val="both"/>
              <w:rPr>
                <w:color w:val="000000"/>
                <w:sz w:val="20"/>
                <w:szCs w:val="20"/>
              </w:rPr>
            </w:pPr>
            <w:r w:rsidRPr="00392CE2">
              <w:rPr>
                <w:color w:val="000000"/>
                <w:sz w:val="20"/>
                <w:szCs w:val="20"/>
              </w:rPr>
              <w:t>&lt;0.001</w:t>
            </w:r>
            <w:r w:rsidRPr="00392CE2">
              <w:rPr>
                <w:color w:val="000000"/>
                <w:sz w:val="20"/>
                <w:szCs w:val="20"/>
                <w:vertAlign w:val="superscript"/>
              </w:rPr>
              <w:t>*</w:t>
            </w:r>
          </w:p>
        </w:tc>
      </w:tr>
      <w:tr w:rsidR="000F48AE" w:rsidRPr="00392CE2" w:rsidTr="00392CE2">
        <w:trPr>
          <w:trHeight w:val="65"/>
          <w:jc w:val="center"/>
        </w:trPr>
        <w:tc>
          <w:tcPr>
            <w:tcW w:w="2182" w:type="dxa"/>
            <w:tcBorders>
              <w:top w:val="single" w:sz="4" w:space="0" w:color="auto"/>
              <w:bottom w:val="single" w:sz="4" w:space="0" w:color="auto"/>
              <w:right w:val="single" w:sz="12" w:space="0" w:color="auto"/>
            </w:tcBorders>
            <w:vAlign w:val="center"/>
          </w:tcPr>
          <w:p w:rsidR="000F48AE" w:rsidRPr="00392CE2" w:rsidRDefault="000F48AE" w:rsidP="00392CE2">
            <w:pPr>
              <w:bidi w:val="0"/>
              <w:snapToGrid w:val="0"/>
              <w:contextualSpacing/>
              <w:jc w:val="both"/>
              <w:rPr>
                <w:b/>
                <w:bCs/>
                <w:color w:val="000000"/>
                <w:sz w:val="20"/>
                <w:szCs w:val="20"/>
                <w:highlight w:val="yellow"/>
              </w:rPr>
            </w:pPr>
            <w:r w:rsidRPr="00392CE2">
              <w:rPr>
                <w:b/>
                <w:bCs/>
                <w:color w:val="000000"/>
                <w:sz w:val="20"/>
                <w:szCs w:val="20"/>
              </w:rPr>
              <w:t>PASI score</w:t>
            </w:r>
          </w:p>
        </w:tc>
        <w:tc>
          <w:tcPr>
            <w:tcW w:w="2048" w:type="dxa"/>
            <w:tcBorders>
              <w:top w:val="single" w:sz="4" w:space="0" w:color="auto"/>
              <w:left w:val="single" w:sz="12" w:space="0" w:color="auto"/>
              <w:bottom w:val="single" w:sz="4" w:space="0" w:color="auto"/>
              <w:right w:val="single" w:sz="4" w:space="0" w:color="auto"/>
            </w:tcBorders>
            <w:vAlign w:val="center"/>
          </w:tcPr>
          <w:p w:rsidR="000F48AE" w:rsidRPr="00392CE2" w:rsidRDefault="000F48AE" w:rsidP="00392CE2">
            <w:pPr>
              <w:bidi w:val="0"/>
              <w:snapToGrid w:val="0"/>
              <w:contextualSpacing/>
              <w:jc w:val="both"/>
              <w:rPr>
                <w:color w:val="000000"/>
                <w:sz w:val="20"/>
                <w:szCs w:val="20"/>
                <w:vertAlign w:val="superscript"/>
              </w:rPr>
            </w:pPr>
            <w:r w:rsidRPr="00392CE2">
              <w:rPr>
                <w:color w:val="000000"/>
                <w:sz w:val="20"/>
                <w:szCs w:val="20"/>
              </w:rPr>
              <w:t>0.715</w:t>
            </w:r>
            <w:r w:rsidRPr="00392CE2">
              <w:rPr>
                <w:color w:val="000000"/>
                <w:sz w:val="20"/>
                <w:szCs w:val="20"/>
                <w:vertAlign w:val="superscript"/>
              </w:rPr>
              <w:t>*</w:t>
            </w:r>
          </w:p>
        </w:tc>
        <w:tc>
          <w:tcPr>
            <w:tcW w:w="2713" w:type="dxa"/>
            <w:tcBorders>
              <w:top w:val="single" w:sz="4" w:space="0" w:color="auto"/>
              <w:left w:val="single" w:sz="4" w:space="0" w:color="auto"/>
              <w:bottom w:val="single" w:sz="4" w:space="0" w:color="auto"/>
              <w:right w:val="thickThinSmallGap" w:sz="18" w:space="0" w:color="auto"/>
            </w:tcBorders>
          </w:tcPr>
          <w:p w:rsidR="000F48AE" w:rsidRPr="00392CE2" w:rsidRDefault="000F48AE" w:rsidP="00392CE2">
            <w:pPr>
              <w:bidi w:val="0"/>
              <w:snapToGrid w:val="0"/>
              <w:contextualSpacing/>
              <w:jc w:val="both"/>
              <w:rPr>
                <w:color w:val="000000"/>
                <w:sz w:val="20"/>
                <w:szCs w:val="20"/>
              </w:rPr>
            </w:pPr>
            <w:r w:rsidRPr="00392CE2">
              <w:rPr>
                <w:color w:val="000000"/>
                <w:sz w:val="20"/>
                <w:szCs w:val="20"/>
              </w:rPr>
              <w:t>&lt;0.001</w:t>
            </w:r>
            <w:r w:rsidRPr="00392CE2">
              <w:rPr>
                <w:color w:val="000000"/>
                <w:sz w:val="20"/>
                <w:szCs w:val="20"/>
                <w:vertAlign w:val="superscript"/>
              </w:rPr>
              <w:t>*</w:t>
            </w:r>
          </w:p>
        </w:tc>
      </w:tr>
      <w:tr w:rsidR="000F48AE" w:rsidRPr="00392CE2" w:rsidTr="00392CE2">
        <w:trPr>
          <w:trHeight w:val="65"/>
          <w:jc w:val="center"/>
        </w:trPr>
        <w:tc>
          <w:tcPr>
            <w:tcW w:w="2182" w:type="dxa"/>
            <w:tcBorders>
              <w:top w:val="single" w:sz="4" w:space="0" w:color="auto"/>
              <w:bottom w:val="thickThinSmallGap" w:sz="18" w:space="0" w:color="auto"/>
              <w:right w:val="single" w:sz="12" w:space="0" w:color="auto"/>
            </w:tcBorders>
            <w:vAlign w:val="center"/>
          </w:tcPr>
          <w:p w:rsidR="000F48AE" w:rsidRPr="00392CE2" w:rsidRDefault="000F48AE" w:rsidP="00392CE2">
            <w:pPr>
              <w:bidi w:val="0"/>
              <w:snapToGrid w:val="0"/>
              <w:contextualSpacing/>
              <w:jc w:val="both"/>
              <w:rPr>
                <w:b/>
                <w:bCs/>
                <w:color w:val="000000"/>
                <w:sz w:val="20"/>
                <w:szCs w:val="20"/>
                <w:highlight w:val="yellow"/>
              </w:rPr>
            </w:pPr>
            <w:r w:rsidRPr="00392CE2">
              <w:rPr>
                <w:b/>
                <w:bCs/>
                <w:color w:val="000000"/>
                <w:sz w:val="20"/>
                <w:szCs w:val="20"/>
              </w:rPr>
              <w:t>BMI</w:t>
            </w:r>
          </w:p>
        </w:tc>
        <w:tc>
          <w:tcPr>
            <w:tcW w:w="2048" w:type="dxa"/>
            <w:tcBorders>
              <w:top w:val="single" w:sz="4" w:space="0" w:color="auto"/>
              <w:left w:val="single" w:sz="12" w:space="0" w:color="auto"/>
              <w:bottom w:val="thickThinSmallGap" w:sz="18" w:space="0" w:color="auto"/>
              <w:right w:val="single" w:sz="4" w:space="0" w:color="auto"/>
            </w:tcBorders>
            <w:vAlign w:val="center"/>
          </w:tcPr>
          <w:p w:rsidR="000F48AE" w:rsidRPr="00392CE2" w:rsidRDefault="000F48AE" w:rsidP="00392CE2">
            <w:pPr>
              <w:bidi w:val="0"/>
              <w:snapToGrid w:val="0"/>
              <w:contextualSpacing/>
              <w:jc w:val="both"/>
              <w:rPr>
                <w:color w:val="000000"/>
                <w:sz w:val="20"/>
                <w:szCs w:val="20"/>
              </w:rPr>
            </w:pPr>
            <w:r w:rsidRPr="00392CE2">
              <w:rPr>
                <w:color w:val="000000"/>
                <w:sz w:val="20"/>
                <w:szCs w:val="20"/>
              </w:rPr>
              <w:t>0.659</w:t>
            </w:r>
            <w:r w:rsidRPr="00392CE2">
              <w:rPr>
                <w:color w:val="000000"/>
                <w:sz w:val="20"/>
                <w:szCs w:val="20"/>
                <w:vertAlign w:val="superscript"/>
              </w:rPr>
              <w:t>*</w:t>
            </w:r>
          </w:p>
        </w:tc>
        <w:tc>
          <w:tcPr>
            <w:tcW w:w="2713" w:type="dxa"/>
            <w:tcBorders>
              <w:top w:val="single" w:sz="4" w:space="0" w:color="auto"/>
              <w:left w:val="single" w:sz="4" w:space="0" w:color="auto"/>
              <w:bottom w:val="thickThinSmallGap" w:sz="18" w:space="0" w:color="auto"/>
              <w:right w:val="thickThinSmallGap" w:sz="18" w:space="0" w:color="auto"/>
            </w:tcBorders>
          </w:tcPr>
          <w:p w:rsidR="000F48AE" w:rsidRPr="00392CE2" w:rsidRDefault="000F48AE" w:rsidP="00392CE2">
            <w:pPr>
              <w:bidi w:val="0"/>
              <w:snapToGrid w:val="0"/>
              <w:contextualSpacing/>
              <w:jc w:val="both"/>
              <w:rPr>
                <w:color w:val="000000"/>
                <w:sz w:val="20"/>
                <w:szCs w:val="20"/>
              </w:rPr>
            </w:pPr>
            <w:r w:rsidRPr="00392CE2">
              <w:rPr>
                <w:color w:val="000000"/>
                <w:sz w:val="20"/>
                <w:szCs w:val="20"/>
              </w:rPr>
              <w:t>&lt;0.001</w:t>
            </w:r>
            <w:r w:rsidRPr="00392CE2">
              <w:rPr>
                <w:color w:val="000000"/>
                <w:sz w:val="20"/>
                <w:szCs w:val="20"/>
                <w:vertAlign w:val="superscript"/>
              </w:rPr>
              <w:t>*</w:t>
            </w:r>
          </w:p>
        </w:tc>
      </w:tr>
    </w:tbl>
    <w:p w:rsidR="00392CE2" w:rsidRDefault="00392CE2" w:rsidP="00392CE2">
      <w:pPr>
        <w:bidi w:val="0"/>
        <w:snapToGrid w:val="0"/>
        <w:jc w:val="both"/>
        <w:rPr>
          <w:rFonts w:eastAsiaTheme="minorEastAsia" w:hint="eastAsia"/>
          <w:b/>
          <w:bCs/>
          <w:sz w:val="20"/>
          <w:szCs w:val="20"/>
          <w:lang w:eastAsia="zh-CN" w:bidi="ar-EG"/>
        </w:rPr>
      </w:pPr>
    </w:p>
    <w:p w:rsidR="007F4D2C" w:rsidRPr="007F4D2C" w:rsidRDefault="007F4D2C" w:rsidP="007F4D2C">
      <w:pPr>
        <w:bidi w:val="0"/>
        <w:snapToGrid w:val="0"/>
        <w:jc w:val="both"/>
        <w:rPr>
          <w:rFonts w:eastAsiaTheme="minorEastAsia" w:hint="eastAsia"/>
          <w:b/>
          <w:bCs/>
          <w:sz w:val="20"/>
          <w:szCs w:val="20"/>
          <w:lang w:eastAsia="zh-CN" w:bidi="ar-EG"/>
        </w:rPr>
      </w:pPr>
    </w:p>
    <w:p w:rsidR="00392CE2" w:rsidRPr="00392CE2" w:rsidRDefault="00392CE2" w:rsidP="00392CE2">
      <w:pPr>
        <w:bidi w:val="0"/>
        <w:snapToGrid w:val="0"/>
        <w:jc w:val="both"/>
        <w:rPr>
          <w:b/>
          <w:bCs/>
          <w:sz w:val="20"/>
          <w:szCs w:val="20"/>
          <w:lang w:bidi="ar-EG"/>
        </w:rPr>
        <w:sectPr w:rsidR="00392CE2" w:rsidRPr="00392CE2" w:rsidSect="004758F4">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85413F" w:rsidRPr="00392CE2" w:rsidRDefault="00606722" w:rsidP="00392CE2">
      <w:pPr>
        <w:bidi w:val="0"/>
        <w:snapToGrid w:val="0"/>
        <w:jc w:val="both"/>
        <w:rPr>
          <w:b/>
          <w:bCs/>
          <w:sz w:val="20"/>
          <w:szCs w:val="20"/>
          <w:lang w:bidi="ar-EG"/>
        </w:rPr>
      </w:pPr>
      <w:r w:rsidRPr="00392CE2">
        <w:rPr>
          <w:b/>
          <w:bCs/>
          <w:sz w:val="20"/>
          <w:szCs w:val="20"/>
          <w:lang w:bidi="ar-EG"/>
        </w:rPr>
        <w:lastRenderedPageBreak/>
        <w:t>4. Discussion</w:t>
      </w:r>
    </w:p>
    <w:p w:rsidR="0085413F" w:rsidRPr="00392CE2" w:rsidRDefault="0085413F" w:rsidP="00392CE2">
      <w:pPr>
        <w:bidi w:val="0"/>
        <w:snapToGrid w:val="0"/>
        <w:ind w:firstLine="425"/>
        <w:jc w:val="both"/>
        <w:rPr>
          <w:sz w:val="20"/>
          <w:szCs w:val="20"/>
          <w:lang w:bidi="ar-EG"/>
        </w:rPr>
      </w:pPr>
      <w:r w:rsidRPr="00392CE2">
        <w:rPr>
          <w:sz w:val="20"/>
          <w:szCs w:val="20"/>
          <w:lang w:bidi="ar-EG"/>
        </w:rPr>
        <w:t xml:space="preserve">There was higher level of </w:t>
      </w:r>
      <w:proofErr w:type="spellStart"/>
      <w:r w:rsidRPr="00392CE2">
        <w:rPr>
          <w:sz w:val="20"/>
          <w:szCs w:val="20"/>
          <w:lang w:bidi="ar-EG"/>
        </w:rPr>
        <w:t>Hcy</w:t>
      </w:r>
      <w:proofErr w:type="spellEnd"/>
      <w:r w:rsidRPr="00392CE2">
        <w:rPr>
          <w:sz w:val="20"/>
          <w:szCs w:val="20"/>
          <w:lang w:bidi="ar-EG"/>
        </w:rPr>
        <w:t xml:space="preserve"> in psoriatic patients compared with controls in this study (Table 2). In agreement with our result, </w:t>
      </w:r>
      <w:proofErr w:type="spellStart"/>
      <w:r w:rsidRPr="00392CE2">
        <w:rPr>
          <w:sz w:val="20"/>
          <w:szCs w:val="20"/>
          <w:lang w:bidi="ar-EG"/>
        </w:rPr>
        <w:t>hyperhomocysteinaemia</w:t>
      </w:r>
      <w:proofErr w:type="spellEnd"/>
      <w:r w:rsidRPr="00392CE2">
        <w:rPr>
          <w:sz w:val="20"/>
          <w:szCs w:val="20"/>
          <w:lang w:bidi="ar-EG"/>
        </w:rPr>
        <w:t xml:space="preserve"> in psoriasis was reported by several previous studies done by </w:t>
      </w:r>
      <w:r w:rsidRPr="00392CE2">
        <w:rPr>
          <w:b/>
          <w:bCs/>
          <w:sz w:val="20"/>
          <w:szCs w:val="20"/>
          <w:lang w:bidi="ar-EG"/>
        </w:rPr>
        <w:t xml:space="preserve">(Tobin et al., 2011; </w:t>
      </w:r>
      <w:proofErr w:type="spellStart"/>
      <w:r w:rsidRPr="00392CE2">
        <w:rPr>
          <w:b/>
          <w:bCs/>
          <w:sz w:val="20"/>
          <w:szCs w:val="20"/>
          <w:lang w:bidi="ar-EG"/>
        </w:rPr>
        <w:t>Barzzelli</w:t>
      </w:r>
      <w:proofErr w:type="spellEnd"/>
      <w:r w:rsidRPr="00392CE2">
        <w:rPr>
          <w:b/>
          <w:bCs/>
          <w:sz w:val="20"/>
          <w:szCs w:val="20"/>
          <w:lang w:bidi="ar-EG"/>
        </w:rPr>
        <w:t xml:space="preserve"> et al., 2010; </w:t>
      </w:r>
      <w:proofErr w:type="spellStart"/>
      <w:r w:rsidRPr="00392CE2">
        <w:rPr>
          <w:b/>
          <w:bCs/>
          <w:sz w:val="20"/>
          <w:szCs w:val="20"/>
          <w:lang w:bidi="ar-EG"/>
        </w:rPr>
        <w:t>Malerba</w:t>
      </w:r>
      <w:proofErr w:type="spellEnd"/>
      <w:r w:rsidRPr="00392CE2">
        <w:rPr>
          <w:b/>
          <w:bCs/>
          <w:sz w:val="20"/>
          <w:szCs w:val="20"/>
          <w:lang w:bidi="ar-EG"/>
        </w:rPr>
        <w:t xml:space="preserve"> et al., 2006)</w:t>
      </w:r>
      <w:r w:rsidRPr="00392CE2">
        <w:rPr>
          <w:sz w:val="20"/>
          <w:szCs w:val="20"/>
          <w:lang w:bidi="ar-EG"/>
        </w:rPr>
        <w:t xml:space="preserve">. On the other hand, studies done by </w:t>
      </w:r>
      <w:proofErr w:type="spellStart"/>
      <w:r w:rsidRPr="00392CE2">
        <w:rPr>
          <w:b/>
          <w:bCs/>
          <w:sz w:val="20"/>
          <w:szCs w:val="20"/>
          <w:lang w:bidi="ar-EG"/>
        </w:rPr>
        <w:t>Uslu</w:t>
      </w:r>
      <w:proofErr w:type="spellEnd"/>
      <w:r w:rsidRPr="00392CE2">
        <w:rPr>
          <w:b/>
          <w:bCs/>
          <w:sz w:val="20"/>
          <w:szCs w:val="20"/>
          <w:lang w:bidi="ar-EG"/>
        </w:rPr>
        <w:t xml:space="preserve"> et al. (2013)</w:t>
      </w:r>
      <w:r w:rsidRPr="00392CE2">
        <w:rPr>
          <w:sz w:val="20"/>
          <w:szCs w:val="20"/>
          <w:lang w:bidi="ar-EG"/>
        </w:rPr>
        <w:t xml:space="preserve"> did not find any statistically significant difference in </w:t>
      </w:r>
      <w:proofErr w:type="spellStart"/>
      <w:r w:rsidRPr="00392CE2">
        <w:rPr>
          <w:sz w:val="20"/>
          <w:szCs w:val="20"/>
          <w:lang w:bidi="ar-EG"/>
        </w:rPr>
        <w:t>Hcy</w:t>
      </w:r>
      <w:proofErr w:type="spellEnd"/>
      <w:r w:rsidRPr="00392CE2">
        <w:rPr>
          <w:sz w:val="20"/>
          <w:szCs w:val="20"/>
          <w:lang w:bidi="ar-EG"/>
        </w:rPr>
        <w:t xml:space="preserve"> level between psoriatic patients compared to control group. The discrepancy in the result may be attributed to genetic polymorphisms of the enzymes regulating the </w:t>
      </w:r>
      <w:proofErr w:type="spellStart"/>
      <w:r w:rsidRPr="00392CE2">
        <w:rPr>
          <w:sz w:val="20"/>
          <w:szCs w:val="20"/>
          <w:lang w:bidi="ar-EG"/>
        </w:rPr>
        <w:t>homocysteine</w:t>
      </w:r>
      <w:proofErr w:type="spellEnd"/>
      <w:r w:rsidRPr="00392CE2">
        <w:rPr>
          <w:sz w:val="20"/>
          <w:szCs w:val="20"/>
          <w:lang w:bidi="ar-EG"/>
        </w:rPr>
        <w:t xml:space="preserve"> metabolism in the different studied populations.</w:t>
      </w:r>
    </w:p>
    <w:p w:rsidR="0085413F" w:rsidRPr="00392CE2" w:rsidRDefault="0085413F" w:rsidP="00392CE2">
      <w:pPr>
        <w:bidi w:val="0"/>
        <w:snapToGrid w:val="0"/>
        <w:ind w:firstLine="425"/>
        <w:jc w:val="both"/>
        <w:rPr>
          <w:b/>
          <w:bCs/>
          <w:sz w:val="20"/>
          <w:szCs w:val="20"/>
        </w:rPr>
      </w:pPr>
      <w:r w:rsidRPr="00392CE2">
        <w:rPr>
          <w:sz w:val="20"/>
          <w:szCs w:val="20"/>
        </w:rPr>
        <w:t xml:space="preserve">As regards the age, our results reported higher </w:t>
      </w:r>
      <w:proofErr w:type="spellStart"/>
      <w:r w:rsidRPr="00392CE2">
        <w:rPr>
          <w:sz w:val="20"/>
          <w:szCs w:val="20"/>
        </w:rPr>
        <w:t>Hcy</w:t>
      </w:r>
      <w:proofErr w:type="spellEnd"/>
      <w:r w:rsidRPr="00392CE2">
        <w:rPr>
          <w:sz w:val="20"/>
          <w:szCs w:val="20"/>
        </w:rPr>
        <w:t xml:space="preserve"> level by increasing the age of psoriatic patients </w:t>
      </w:r>
      <w:r w:rsidRPr="00392CE2">
        <w:rPr>
          <w:sz w:val="20"/>
          <w:szCs w:val="20"/>
          <w:lang w:bidi="ar-EG"/>
        </w:rPr>
        <w:t>(Table 3)</w:t>
      </w:r>
      <w:r w:rsidRPr="00392CE2">
        <w:rPr>
          <w:sz w:val="20"/>
          <w:szCs w:val="20"/>
        </w:rPr>
        <w:t xml:space="preserve">. This may be linked to the presence of geriatric diseases such as </w:t>
      </w:r>
      <w:proofErr w:type="spellStart"/>
      <w:r w:rsidRPr="00392CE2">
        <w:rPr>
          <w:sz w:val="20"/>
          <w:szCs w:val="20"/>
        </w:rPr>
        <w:t>malabsorption</w:t>
      </w:r>
      <w:proofErr w:type="spellEnd"/>
      <w:r w:rsidRPr="00392CE2">
        <w:rPr>
          <w:sz w:val="20"/>
          <w:szCs w:val="20"/>
        </w:rPr>
        <w:t xml:space="preserve"> disorder, renal diseases, malignancy and rheumatic disease which contribute to impaired </w:t>
      </w:r>
      <w:proofErr w:type="spellStart"/>
      <w:r w:rsidRPr="00392CE2">
        <w:rPr>
          <w:sz w:val="20"/>
          <w:szCs w:val="20"/>
        </w:rPr>
        <w:t>folate</w:t>
      </w:r>
      <w:proofErr w:type="spellEnd"/>
      <w:r w:rsidRPr="00392CE2">
        <w:rPr>
          <w:sz w:val="20"/>
          <w:szCs w:val="20"/>
        </w:rPr>
        <w:t xml:space="preserve"> status as stated by</w:t>
      </w:r>
      <w:r w:rsidR="007F4D2C">
        <w:rPr>
          <w:rFonts w:eastAsiaTheme="minorEastAsia" w:hint="eastAsia"/>
          <w:sz w:val="20"/>
          <w:szCs w:val="20"/>
          <w:lang w:eastAsia="zh-CN"/>
        </w:rPr>
        <w:t xml:space="preserve"> </w:t>
      </w:r>
      <w:proofErr w:type="spellStart"/>
      <w:r w:rsidRPr="00392CE2">
        <w:rPr>
          <w:b/>
          <w:bCs/>
          <w:sz w:val="20"/>
          <w:szCs w:val="20"/>
        </w:rPr>
        <w:t>Brazzelli</w:t>
      </w:r>
      <w:proofErr w:type="spellEnd"/>
      <w:r w:rsidRPr="00392CE2">
        <w:rPr>
          <w:b/>
          <w:bCs/>
          <w:sz w:val="20"/>
          <w:szCs w:val="20"/>
        </w:rPr>
        <w:t xml:space="preserve"> et al. (2010).</w:t>
      </w:r>
    </w:p>
    <w:p w:rsidR="0085413F" w:rsidRPr="00392CE2" w:rsidRDefault="0085413F" w:rsidP="00392CE2">
      <w:pPr>
        <w:bidi w:val="0"/>
        <w:snapToGrid w:val="0"/>
        <w:ind w:firstLine="425"/>
        <w:jc w:val="both"/>
        <w:rPr>
          <w:sz w:val="20"/>
          <w:szCs w:val="20"/>
        </w:rPr>
      </w:pPr>
      <w:r w:rsidRPr="00392CE2">
        <w:rPr>
          <w:sz w:val="20"/>
          <w:szCs w:val="20"/>
        </w:rPr>
        <w:t xml:space="preserve">Our results reveled higher </w:t>
      </w:r>
      <w:proofErr w:type="spellStart"/>
      <w:r w:rsidRPr="00392CE2">
        <w:rPr>
          <w:sz w:val="20"/>
          <w:szCs w:val="20"/>
        </w:rPr>
        <w:t>Hcy</w:t>
      </w:r>
      <w:proofErr w:type="spellEnd"/>
      <w:r w:rsidRPr="00392CE2">
        <w:rPr>
          <w:sz w:val="20"/>
          <w:szCs w:val="20"/>
        </w:rPr>
        <w:t xml:space="preserve"> level in males than females in both patients and controls </w:t>
      </w:r>
      <w:r w:rsidR="000F48AE" w:rsidRPr="00392CE2">
        <w:rPr>
          <w:b/>
          <w:bCs/>
          <w:sz w:val="20"/>
          <w:szCs w:val="20"/>
          <w:lang w:bidi="ar-EG"/>
        </w:rPr>
        <w:t>(Table 3</w:t>
      </w:r>
      <w:r w:rsidRPr="00392CE2">
        <w:rPr>
          <w:b/>
          <w:bCs/>
          <w:sz w:val="20"/>
          <w:szCs w:val="20"/>
          <w:lang w:bidi="ar-EG"/>
        </w:rPr>
        <w:t>)</w:t>
      </w:r>
      <w:r w:rsidRPr="00392CE2">
        <w:rPr>
          <w:sz w:val="20"/>
          <w:szCs w:val="20"/>
        </w:rPr>
        <w:t xml:space="preserve">. Compatible with our findings, </w:t>
      </w:r>
      <w:proofErr w:type="spellStart"/>
      <w:r w:rsidRPr="00392CE2">
        <w:rPr>
          <w:b/>
          <w:bCs/>
          <w:sz w:val="20"/>
          <w:szCs w:val="20"/>
        </w:rPr>
        <w:t>Brazzelli</w:t>
      </w:r>
      <w:proofErr w:type="spellEnd"/>
      <w:r w:rsidRPr="00392CE2">
        <w:rPr>
          <w:b/>
          <w:bCs/>
          <w:sz w:val="20"/>
          <w:szCs w:val="20"/>
        </w:rPr>
        <w:t xml:space="preserve"> et al. (2010) </w:t>
      </w:r>
      <w:r w:rsidRPr="00392CE2">
        <w:rPr>
          <w:sz w:val="20"/>
          <w:szCs w:val="20"/>
        </w:rPr>
        <w:t xml:space="preserve">study showed significantly higher </w:t>
      </w:r>
      <w:proofErr w:type="spellStart"/>
      <w:r w:rsidRPr="00392CE2">
        <w:rPr>
          <w:sz w:val="20"/>
          <w:szCs w:val="20"/>
        </w:rPr>
        <w:t>Hcy</w:t>
      </w:r>
      <w:proofErr w:type="spellEnd"/>
      <w:r w:rsidRPr="00392CE2">
        <w:rPr>
          <w:sz w:val="20"/>
          <w:szCs w:val="20"/>
        </w:rPr>
        <w:t xml:space="preserve"> levels in males than in females in psoriatic patients but not in the control group. </w:t>
      </w:r>
      <w:proofErr w:type="spellStart"/>
      <w:r w:rsidRPr="00392CE2">
        <w:rPr>
          <w:sz w:val="20"/>
          <w:szCs w:val="20"/>
        </w:rPr>
        <w:t>Homocysteine</w:t>
      </w:r>
      <w:proofErr w:type="spellEnd"/>
      <w:r w:rsidRPr="00392CE2">
        <w:rPr>
          <w:sz w:val="20"/>
          <w:szCs w:val="20"/>
        </w:rPr>
        <w:t xml:space="preserve"> concentrations were suggested to be higher in men than in women due to larger muscle mass and greater </w:t>
      </w:r>
      <w:proofErr w:type="spellStart"/>
      <w:r w:rsidRPr="00392CE2">
        <w:rPr>
          <w:sz w:val="20"/>
          <w:szCs w:val="20"/>
        </w:rPr>
        <w:t>creatine</w:t>
      </w:r>
      <w:proofErr w:type="spellEnd"/>
      <w:r w:rsidRPr="00392CE2">
        <w:rPr>
          <w:sz w:val="20"/>
          <w:szCs w:val="20"/>
        </w:rPr>
        <w:t xml:space="preserve"> phosphate synthesis in men. Lowering effect of estrogens in women could be additional causes </w:t>
      </w:r>
      <w:r w:rsidRPr="00392CE2">
        <w:rPr>
          <w:b/>
          <w:bCs/>
          <w:sz w:val="20"/>
          <w:szCs w:val="20"/>
        </w:rPr>
        <w:t>(</w:t>
      </w:r>
      <w:proofErr w:type="spellStart"/>
      <w:r w:rsidRPr="00392CE2">
        <w:rPr>
          <w:b/>
          <w:bCs/>
          <w:sz w:val="20"/>
          <w:szCs w:val="20"/>
        </w:rPr>
        <w:t>Giltay</w:t>
      </w:r>
      <w:proofErr w:type="spellEnd"/>
      <w:r w:rsidRPr="00392CE2">
        <w:rPr>
          <w:b/>
          <w:bCs/>
          <w:sz w:val="20"/>
          <w:szCs w:val="20"/>
        </w:rPr>
        <w:t xml:space="preserve"> et al., 1998).</w:t>
      </w:r>
    </w:p>
    <w:p w:rsidR="0085413F" w:rsidRPr="00392CE2" w:rsidRDefault="0085413F" w:rsidP="00392CE2">
      <w:pPr>
        <w:bidi w:val="0"/>
        <w:snapToGrid w:val="0"/>
        <w:ind w:firstLine="425"/>
        <w:jc w:val="both"/>
        <w:rPr>
          <w:b/>
          <w:bCs/>
          <w:sz w:val="20"/>
          <w:szCs w:val="20"/>
        </w:rPr>
      </w:pPr>
      <w:r w:rsidRPr="00392CE2">
        <w:rPr>
          <w:sz w:val="20"/>
          <w:szCs w:val="20"/>
        </w:rPr>
        <w:t xml:space="preserve">Furthermore, there was statistically significant positive correlation between </w:t>
      </w:r>
      <w:proofErr w:type="spellStart"/>
      <w:r w:rsidRPr="00392CE2">
        <w:rPr>
          <w:sz w:val="20"/>
          <w:szCs w:val="20"/>
        </w:rPr>
        <w:t>Hcy</w:t>
      </w:r>
      <w:proofErr w:type="spellEnd"/>
      <w:r w:rsidRPr="00392CE2">
        <w:rPr>
          <w:sz w:val="20"/>
          <w:szCs w:val="20"/>
        </w:rPr>
        <w:t xml:space="preserve"> level and both disease severity by PASI score </w:t>
      </w:r>
      <w:r w:rsidRPr="00392CE2">
        <w:rPr>
          <w:b/>
          <w:bCs/>
          <w:sz w:val="20"/>
          <w:szCs w:val="20"/>
          <w:lang w:bidi="ar-EG"/>
        </w:rPr>
        <w:t xml:space="preserve">(Table </w:t>
      </w:r>
      <w:r w:rsidR="000F48AE" w:rsidRPr="00392CE2">
        <w:rPr>
          <w:b/>
          <w:bCs/>
          <w:sz w:val="20"/>
          <w:szCs w:val="20"/>
          <w:lang w:bidi="ar-EG"/>
        </w:rPr>
        <w:t>3</w:t>
      </w:r>
      <w:r w:rsidRPr="00392CE2">
        <w:rPr>
          <w:b/>
          <w:bCs/>
          <w:sz w:val="20"/>
          <w:szCs w:val="20"/>
          <w:lang w:bidi="ar-EG"/>
        </w:rPr>
        <w:t xml:space="preserve">) </w:t>
      </w:r>
      <w:r w:rsidRPr="00392CE2">
        <w:rPr>
          <w:sz w:val="20"/>
          <w:szCs w:val="20"/>
        </w:rPr>
        <w:t xml:space="preserve">and the duration of the psoriasis </w:t>
      </w:r>
      <w:r w:rsidRPr="00392CE2">
        <w:rPr>
          <w:b/>
          <w:bCs/>
          <w:sz w:val="20"/>
          <w:szCs w:val="20"/>
          <w:lang w:bidi="ar-EG"/>
        </w:rPr>
        <w:t xml:space="preserve">(Table </w:t>
      </w:r>
      <w:r w:rsidR="000F48AE" w:rsidRPr="00392CE2">
        <w:rPr>
          <w:b/>
          <w:bCs/>
          <w:sz w:val="20"/>
          <w:szCs w:val="20"/>
          <w:lang w:bidi="ar-EG"/>
        </w:rPr>
        <w:t>3</w:t>
      </w:r>
      <w:r w:rsidRPr="00392CE2">
        <w:rPr>
          <w:b/>
          <w:bCs/>
          <w:sz w:val="20"/>
          <w:szCs w:val="20"/>
          <w:lang w:bidi="ar-EG"/>
        </w:rPr>
        <w:t>)</w:t>
      </w:r>
      <w:r w:rsidRPr="00392CE2">
        <w:rPr>
          <w:sz w:val="20"/>
          <w:szCs w:val="20"/>
        </w:rPr>
        <w:t xml:space="preserve">. This was controversial to the studies done by </w:t>
      </w:r>
      <w:proofErr w:type="spellStart"/>
      <w:r w:rsidRPr="00392CE2">
        <w:rPr>
          <w:b/>
          <w:bCs/>
          <w:sz w:val="20"/>
          <w:szCs w:val="20"/>
        </w:rPr>
        <w:t>Uslu</w:t>
      </w:r>
      <w:proofErr w:type="spellEnd"/>
      <w:r w:rsidRPr="00392CE2">
        <w:rPr>
          <w:b/>
          <w:bCs/>
          <w:sz w:val="20"/>
          <w:szCs w:val="20"/>
        </w:rPr>
        <w:t xml:space="preserve"> et al. (2013), Tobin et al. (2011) and </w:t>
      </w:r>
      <w:proofErr w:type="spellStart"/>
      <w:r w:rsidRPr="00392CE2">
        <w:rPr>
          <w:b/>
          <w:bCs/>
          <w:sz w:val="20"/>
          <w:szCs w:val="20"/>
        </w:rPr>
        <w:t>Brazzelli</w:t>
      </w:r>
      <w:proofErr w:type="spellEnd"/>
      <w:r w:rsidRPr="00392CE2">
        <w:rPr>
          <w:b/>
          <w:bCs/>
          <w:sz w:val="20"/>
          <w:szCs w:val="20"/>
        </w:rPr>
        <w:t xml:space="preserve"> et al. (2010) </w:t>
      </w:r>
      <w:r w:rsidRPr="00392CE2">
        <w:rPr>
          <w:sz w:val="20"/>
          <w:szCs w:val="20"/>
        </w:rPr>
        <w:t xml:space="preserve">which showed that there was no statistically significant correlation between </w:t>
      </w:r>
      <w:proofErr w:type="spellStart"/>
      <w:r w:rsidRPr="00392CE2">
        <w:rPr>
          <w:sz w:val="20"/>
          <w:szCs w:val="20"/>
        </w:rPr>
        <w:t>Hcy</w:t>
      </w:r>
      <w:proofErr w:type="spellEnd"/>
      <w:r w:rsidRPr="00392CE2">
        <w:rPr>
          <w:sz w:val="20"/>
          <w:szCs w:val="20"/>
        </w:rPr>
        <w:t xml:space="preserve"> level and either disease severity by PASI score or the duration of the psoriasis. It was in agreement with the studies done by </w:t>
      </w:r>
      <w:proofErr w:type="spellStart"/>
      <w:r w:rsidRPr="00392CE2">
        <w:rPr>
          <w:b/>
          <w:bCs/>
          <w:sz w:val="20"/>
          <w:szCs w:val="20"/>
        </w:rPr>
        <w:t>Malebra</w:t>
      </w:r>
      <w:proofErr w:type="spellEnd"/>
      <w:r w:rsidRPr="00392CE2">
        <w:rPr>
          <w:b/>
          <w:bCs/>
          <w:sz w:val="20"/>
          <w:szCs w:val="20"/>
        </w:rPr>
        <w:t xml:space="preserve"> et al. (2006) </w:t>
      </w:r>
      <w:r w:rsidRPr="00392CE2">
        <w:rPr>
          <w:sz w:val="20"/>
          <w:szCs w:val="20"/>
        </w:rPr>
        <w:t xml:space="preserve">who reported that </w:t>
      </w:r>
      <w:proofErr w:type="spellStart"/>
      <w:r w:rsidRPr="00392CE2">
        <w:rPr>
          <w:sz w:val="20"/>
          <w:szCs w:val="20"/>
        </w:rPr>
        <w:t>Hcy</w:t>
      </w:r>
      <w:proofErr w:type="spellEnd"/>
      <w:r w:rsidRPr="00392CE2">
        <w:rPr>
          <w:sz w:val="20"/>
          <w:szCs w:val="20"/>
        </w:rPr>
        <w:t xml:space="preserve"> level positively correlated with PASI</w:t>
      </w:r>
      <w:r w:rsidR="007F4D2C">
        <w:rPr>
          <w:rFonts w:eastAsiaTheme="minorEastAsia" w:hint="eastAsia"/>
          <w:sz w:val="20"/>
          <w:szCs w:val="20"/>
          <w:lang w:eastAsia="zh-CN"/>
        </w:rPr>
        <w:t xml:space="preserve"> </w:t>
      </w:r>
      <w:r w:rsidRPr="00392CE2">
        <w:rPr>
          <w:sz w:val="20"/>
          <w:szCs w:val="20"/>
        </w:rPr>
        <w:t>score of psoriatic patients.</w:t>
      </w:r>
    </w:p>
    <w:p w:rsidR="0085413F" w:rsidRPr="00392CE2" w:rsidRDefault="0085413F" w:rsidP="00392CE2">
      <w:pPr>
        <w:bidi w:val="0"/>
        <w:snapToGrid w:val="0"/>
        <w:ind w:firstLine="425"/>
        <w:jc w:val="both"/>
        <w:rPr>
          <w:sz w:val="20"/>
          <w:szCs w:val="20"/>
        </w:rPr>
      </w:pPr>
      <w:r w:rsidRPr="00392CE2">
        <w:rPr>
          <w:sz w:val="20"/>
          <w:szCs w:val="20"/>
        </w:rPr>
        <w:t xml:space="preserve">Also, in the present study, there was direct relation between cardiovascular risk by increased </w:t>
      </w:r>
      <w:proofErr w:type="spellStart"/>
      <w:r w:rsidRPr="00392CE2">
        <w:rPr>
          <w:sz w:val="20"/>
          <w:szCs w:val="20"/>
        </w:rPr>
        <w:lastRenderedPageBreak/>
        <w:t>homocysteine</w:t>
      </w:r>
      <w:proofErr w:type="spellEnd"/>
      <w:r w:rsidRPr="00392CE2">
        <w:rPr>
          <w:sz w:val="20"/>
          <w:szCs w:val="20"/>
        </w:rPr>
        <w:t xml:space="preserve"> and severity of psoriasis. This result is in agreement with </w:t>
      </w:r>
      <w:r w:rsidRPr="00392CE2">
        <w:rPr>
          <w:b/>
          <w:bCs/>
          <w:sz w:val="20"/>
          <w:szCs w:val="20"/>
        </w:rPr>
        <w:t>(Gaeta et al., 2013),</w:t>
      </w:r>
      <w:r w:rsidRPr="00392CE2">
        <w:rPr>
          <w:sz w:val="20"/>
          <w:szCs w:val="20"/>
        </w:rPr>
        <w:t xml:space="preserve"> who showed that patients with severe psoriasis presented with a 28% excess risk of cardiovascular disease as compared with patients with mild psoriasis. But it was controversial with </w:t>
      </w:r>
      <w:r w:rsidRPr="00392CE2">
        <w:rPr>
          <w:b/>
          <w:bCs/>
          <w:sz w:val="20"/>
          <w:szCs w:val="20"/>
        </w:rPr>
        <w:t>(</w:t>
      </w:r>
      <w:proofErr w:type="spellStart"/>
      <w:r w:rsidRPr="00392CE2">
        <w:rPr>
          <w:b/>
          <w:bCs/>
          <w:sz w:val="20"/>
          <w:szCs w:val="20"/>
        </w:rPr>
        <w:t>Gunes</w:t>
      </w:r>
      <w:proofErr w:type="spellEnd"/>
      <w:r w:rsidRPr="00392CE2">
        <w:rPr>
          <w:b/>
          <w:bCs/>
          <w:sz w:val="20"/>
          <w:szCs w:val="20"/>
        </w:rPr>
        <w:t xml:space="preserve"> et al., 2008)</w:t>
      </w:r>
      <w:r w:rsidRPr="00392CE2">
        <w:rPr>
          <w:sz w:val="20"/>
          <w:szCs w:val="20"/>
        </w:rPr>
        <w:t xml:space="preserve"> who showed that presence of pulmonary hypertension was not correlated with neither disease duration nor PASI score.</w:t>
      </w:r>
    </w:p>
    <w:p w:rsidR="0085413F" w:rsidRPr="00392CE2" w:rsidRDefault="0085413F" w:rsidP="00392CE2">
      <w:pPr>
        <w:bidi w:val="0"/>
        <w:snapToGrid w:val="0"/>
        <w:ind w:firstLine="425"/>
        <w:jc w:val="both"/>
        <w:rPr>
          <w:sz w:val="20"/>
          <w:szCs w:val="20"/>
        </w:rPr>
      </w:pPr>
      <w:r w:rsidRPr="00392CE2">
        <w:rPr>
          <w:sz w:val="20"/>
          <w:szCs w:val="20"/>
        </w:rPr>
        <w:t xml:space="preserve">Obesity has been associated with elevated </w:t>
      </w:r>
      <w:proofErr w:type="spellStart"/>
      <w:r w:rsidRPr="00392CE2">
        <w:rPr>
          <w:sz w:val="20"/>
          <w:szCs w:val="20"/>
        </w:rPr>
        <w:t>Hcy</w:t>
      </w:r>
      <w:proofErr w:type="spellEnd"/>
      <w:r w:rsidRPr="00392CE2">
        <w:rPr>
          <w:sz w:val="20"/>
          <w:szCs w:val="20"/>
        </w:rPr>
        <w:t xml:space="preserve"> by lowering </w:t>
      </w:r>
      <w:proofErr w:type="spellStart"/>
      <w:r w:rsidRPr="00392CE2">
        <w:rPr>
          <w:sz w:val="20"/>
          <w:szCs w:val="20"/>
        </w:rPr>
        <w:t>folate</w:t>
      </w:r>
      <w:proofErr w:type="spellEnd"/>
      <w:r w:rsidRPr="00392CE2">
        <w:rPr>
          <w:sz w:val="20"/>
          <w:szCs w:val="20"/>
        </w:rPr>
        <w:t xml:space="preserve"> levels </w:t>
      </w:r>
      <w:r w:rsidRPr="00392CE2">
        <w:rPr>
          <w:b/>
          <w:bCs/>
          <w:sz w:val="20"/>
          <w:szCs w:val="20"/>
        </w:rPr>
        <w:t>(</w:t>
      </w:r>
      <w:proofErr w:type="spellStart"/>
      <w:r w:rsidRPr="00392CE2">
        <w:rPr>
          <w:b/>
          <w:bCs/>
          <w:sz w:val="20"/>
          <w:szCs w:val="20"/>
        </w:rPr>
        <w:t>Kimmons</w:t>
      </w:r>
      <w:proofErr w:type="spellEnd"/>
      <w:r w:rsidRPr="00392CE2">
        <w:rPr>
          <w:b/>
          <w:bCs/>
          <w:sz w:val="20"/>
          <w:szCs w:val="20"/>
        </w:rPr>
        <w:t xml:space="preserve"> et al., 2006). </w:t>
      </w:r>
      <w:r w:rsidRPr="00392CE2">
        <w:rPr>
          <w:sz w:val="20"/>
          <w:szCs w:val="20"/>
        </w:rPr>
        <w:t xml:space="preserve">Also our results show the same correlation between BMI and </w:t>
      </w:r>
      <w:proofErr w:type="spellStart"/>
      <w:r w:rsidRPr="00392CE2">
        <w:rPr>
          <w:sz w:val="20"/>
          <w:szCs w:val="20"/>
        </w:rPr>
        <w:t>Hcy</w:t>
      </w:r>
      <w:proofErr w:type="spellEnd"/>
      <w:r w:rsidRPr="00392CE2">
        <w:rPr>
          <w:sz w:val="20"/>
          <w:szCs w:val="20"/>
        </w:rPr>
        <w:t xml:space="preserve"> levels in agreement with </w:t>
      </w:r>
      <w:r w:rsidRPr="00392CE2">
        <w:rPr>
          <w:b/>
          <w:bCs/>
          <w:sz w:val="20"/>
          <w:szCs w:val="20"/>
        </w:rPr>
        <w:t>(</w:t>
      </w:r>
      <w:proofErr w:type="spellStart"/>
      <w:r w:rsidRPr="00392CE2">
        <w:rPr>
          <w:b/>
          <w:bCs/>
          <w:sz w:val="20"/>
          <w:szCs w:val="20"/>
        </w:rPr>
        <w:t>Kimmons</w:t>
      </w:r>
      <w:proofErr w:type="spellEnd"/>
      <w:r w:rsidRPr="00392CE2">
        <w:rPr>
          <w:b/>
          <w:bCs/>
          <w:sz w:val="20"/>
          <w:szCs w:val="20"/>
        </w:rPr>
        <w:t xml:space="preserve"> et al. (2006) </w:t>
      </w:r>
      <w:r w:rsidRPr="00392CE2">
        <w:rPr>
          <w:b/>
          <w:bCs/>
          <w:sz w:val="20"/>
          <w:szCs w:val="20"/>
          <w:lang w:bidi="ar-EG"/>
        </w:rPr>
        <w:t xml:space="preserve">(Table </w:t>
      </w:r>
      <w:r w:rsidR="000F48AE" w:rsidRPr="00392CE2">
        <w:rPr>
          <w:b/>
          <w:bCs/>
          <w:sz w:val="20"/>
          <w:szCs w:val="20"/>
          <w:lang w:bidi="ar-EG"/>
        </w:rPr>
        <w:t>3</w:t>
      </w:r>
      <w:r w:rsidRPr="00392CE2">
        <w:rPr>
          <w:b/>
          <w:bCs/>
          <w:sz w:val="20"/>
          <w:szCs w:val="20"/>
          <w:lang w:bidi="ar-EG"/>
        </w:rPr>
        <w:t>)</w:t>
      </w:r>
      <w:r w:rsidR="000D320B" w:rsidRPr="00392CE2">
        <w:rPr>
          <w:sz w:val="20"/>
          <w:szCs w:val="20"/>
        </w:rPr>
        <w:t>.</w:t>
      </w:r>
      <w:r w:rsidR="000D320B">
        <w:rPr>
          <w:sz w:val="20"/>
          <w:szCs w:val="20"/>
        </w:rPr>
        <w:t xml:space="preserve"> </w:t>
      </w:r>
      <w:r w:rsidR="000D320B" w:rsidRPr="00392CE2">
        <w:rPr>
          <w:sz w:val="20"/>
          <w:szCs w:val="20"/>
        </w:rPr>
        <w:t>C</w:t>
      </w:r>
      <w:r w:rsidRPr="00392CE2">
        <w:rPr>
          <w:sz w:val="20"/>
          <w:szCs w:val="20"/>
        </w:rPr>
        <w:t>ontrary</w:t>
      </w:r>
      <w:r w:rsidR="000D320B" w:rsidRPr="00392CE2">
        <w:rPr>
          <w:sz w:val="20"/>
          <w:szCs w:val="20"/>
        </w:rPr>
        <w:t>,</w:t>
      </w:r>
      <w:r w:rsidR="000D320B">
        <w:rPr>
          <w:sz w:val="20"/>
          <w:szCs w:val="20"/>
        </w:rPr>
        <w:t xml:space="preserve"> </w:t>
      </w:r>
      <w:r w:rsidR="000D320B" w:rsidRPr="00392CE2">
        <w:rPr>
          <w:b/>
          <w:bCs/>
          <w:sz w:val="20"/>
          <w:szCs w:val="20"/>
          <w:lang w:bidi="ar-EG"/>
        </w:rPr>
        <w:t>T</w:t>
      </w:r>
      <w:r w:rsidRPr="00392CE2">
        <w:rPr>
          <w:b/>
          <w:bCs/>
          <w:sz w:val="20"/>
          <w:szCs w:val="20"/>
          <w:lang w:bidi="ar-EG"/>
        </w:rPr>
        <w:t>obin et al. (2011)</w:t>
      </w:r>
      <w:r w:rsidRPr="00392CE2">
        <w:rPr>
          <w:sz w:val="20"/>
          <w:szCs w:val="20"/>
        </w:rPr>
        <w:t xml:space="preserve"> did not find any association between obesity and </w:t>
      </w:r>
      <w:proofErr w:type="spellStart"/>
      <w:r w:rsidRPr="00392CE2">
        <w:rPr>
          <w:sz w:val="20"/>
          <w:szCs w:val="20"/>
        </w:rPr>
        <w:t>Hcy</w:t>
      </w:r>
      <w:proofErr w:type="spellEnd"/>
      <w:r w:rsidRPr="00392CE2">
        <w:rPr>
          <w:sz w:val="20"/>
          <w:szCs w:val="20"/>
        </w:rPr>
        <w:t xml:space="preserve"> levels in psoriatic patients</w:t>
      </w:r>
      <w:r w:rsidRPr="00392CE2">
        <w:rPr>
          <w:b/>
          <w:bCs/>
          <w:sz w:val="20"/>
          <w:szCs w:val="20"/>
          <w:lang w:bidi="ar-EG"/>
        </w:rPr>
        <w:t>.</w:t>
      </w:r>
    </w:p>
    <w:p w:rsidR="000F48AE" w:rsidRPr="00392CE2" w:rsidRDefault="0085413F" w:rsidP="00392CE2">
      <w:pPr>
        <w:bidi w:val="0"/>
        <w:snapToGrid w:val="0"/>
        <w:ind w:firstLine="425"/>
        <w:jc w:val="both"/>
        <w:rPr>
          <w:b/>
          <w:bCs/>
          <w:sz w:val="20"/>
          <w:szCs w:val="20"/>
        </w:rPr>
      </w:pPr>
      <w:r w:rsidRPr="00392CE2">
        <w:rPr>
          <w:sz w:val="20"/>
          <w:szCs w:val="20"/>
        </w:rPr>
        <w:t xml:space="preserve">From above discussion, elevated serum </w:t>
      </w:r>
      <w:proofErr w:type="spellStart"/>
      <w:r w:rsidRPr="00392CE2">
        <w:rPr>
          <w:sz w:val="20"/>
          <w:szCs w:val="20"/>
        </w:rPr>
        <w:t>homocysteine</w:t>
      </w:r>
      <w:proofErr w:type="spellEnd"/>
      <w:r w:rsidRPr="00392CE2">
        <w:rPr>
          <w:sz w:val="20"/>
          <w:szCs w:val="20"/>
        </w:rPr>
        <w:t xml:space="preserve"> level in psoriatic patients was found in this </w:t>
      </w:r>
      <w:r w:rsidR="00606722" w:rsidRPr="00392CE2">
        <w:rPr>
          <w:sz w:val="20"/>
          <w:szCs w:val="20"/>
        </w:rPr>
        <w:t>study which</w:t>
      </w:r>
      <w:r w:rsidRPr="00392CE2">
        <w:rPr>
          <w:sz w:val="20"/>
          <w:szCs w:val="20"/>
        </w:rPr>
        <w:t xml:space="preserve"> had been linked to inadequate status of </w:t>
      </w:r>
      <w:proofErr w:type="spellStart"/>
      <w:r w:rsidRPr="00392CE2">
        <w:rPr>
          <w:sz w:val="20"/>
          <w:szCs w:val="20"/>
        </w:rPr>
        <w:t>folate</w:t>
      </w:r>
      <w:proofErr w:type="spellEnd"/>
      <w:r w:rsidRPr="00392CE2">
        <w:rPr>
          <w:sz w:val="20"/>
          <w:szCs w:val="20"/>
        </w:rPr>
        <w:t xml:space="preserve">, so dietary supplementation of </w:t>
      </w:r>
      <w:proofErr w:type="spellStart"/>
      <w:r w:rsidRPr="00392CE2">
        <w:rPr>
          <w:sz w:val="20"/>
          <w:szCs w:val="20"/>
        </w:rPr>
        <w:t>folate</w:t>
      </w:r>
      <w:proofErr w:type="spellEnd"/>
      <w:r w:rsidR="000D320B" w:rsidRPr="00392CE2">
        <w:rPr>
          <w:sz w:val="20"/>
          <w:szCs w:val="20"/>
        </w:rPr>
        <w:t>,</w:t>
      </w:r>
      <w:r w:rsidR="000D320B">
        <w:rPr>
          <w:sz w:val="20"/>
          <w:szCs w:val="20"/>
        </w:rPr>
        <w:t xml:space="preserve"> </w:t>
      </w:r>
      <w:r w:rsidR="000D320B" w:rsidRPr="00392CE2">
        <w:rPr>
          <w:sz w:val="20"/>
          <w:szCs w:val="20"/>
        </w:rPr>
        <w:t>i</w:t>
      </w:r>
      <w:r w:rsidRPr="00392CE2">
        <w:rPr>
          <w:sz w:val="20"/>
          <w:szCs w:val="20"/>
        </w:rPr>
        <w:t xml:space="preserve">s essential in psoriatic patients </w:t>
      </w:r>
      <w:r w:rsidRPr="00392CE2">
        <w:rPr>
          <w:b/>
          <w:bCs/>
          <w:sz w:val="20"/>
          <w:szCs w:val="20"/>
        </w:rPr>
        <w:t>(</w:t>
      </w:r>
      <w:proofErr w:type="spellStart"/>
      <w:r w:rsidRPr="00392CE2">
        <w:rPr>
          <w:b/>
          <w:bCs/>
          <w:sz w:val="20"/>
          <w:szCs w:val="20"/>
        </w:rPr>
        <w:t>Malerba</w:t>
      </w:r>
      <w:proofErr w:type="spellEnd"/>
      <w:r w:rsidRPr="00392CE2">
        <w:rPr>
          <w:b/>
          <w:bCs/>
          <w:sz w:val="20"/>
          <w:szCs w:val="20"/>
        </w:rPr>
        <w:t xml:space="preserve"> et al., 2006).</w:t>
      </w:r>
    </w:p>
    <w:p w:rsidR="00606722" w:rsidRPr="00392CE2" w:rsidRDefault="00606722" w:rsidP="00392CE2">
      <w:pPr>
        <w:bidi w:val="0"/>
        <w:snapToGrid w:val="0"/>
        <w:jc w:val="both"/>
        <w:rPr>
          <w:b/>
          <w:bCs/>
          <w:sz w:val="20"/>
          <w:szCs w:val="20"/>
        </w:rPr>
      </w:pPr>
    </w:p>
    <w:p w:rsidR="0085413F" w:rsidRPr="00392CE2" w:rsidRDefault="00606722" w:rsidP="00392CE2">
      <w:pPr>
        <w:bidi w:val="0"/>
        <w:snapToGrid w:val="0"/>
        <w:jc w:val="both"/>
        <w:rPr>
          <w:sz w:val="20"/>
          <w:szCs w:val="20"/>
        </w:rPr>
      </w:pPr>
      <w:r w:rsidRPr="00392CE2">
        <w:rPr>
          <w:b/>
          <w:bCs/>
          <w:sz w:val="20"/>
          <w:szCs w:val="20"/>
        </w:rPr>
        <w:t>Conclusion</w:t>
      </w:r>
    </w:p>
    <w:p w:rsidR="000F48AE" w:rsidRPr="00392CE2" w:rsidRDefault="000F48AE" w:rsidP="00392CE2">
      <w:pPr>
        <w:bidi w:val="0"/>
        <w:snapToGrid w:val="0"/>
        <w:ind w:firstLine="425"/>
        <w:jc w:val="both"/>
        <w:rPr>
          <w:sz w:val="20"/>
          <w:szCs w:val="20"/>
        </w:rPr>
      </w:pPr>
      <w:r w:rsidRPr="00392CE2">
        <w:rPr>
          <w:sz w:val="20"/>
          <w:szCs w:val="20"/>
        </w:rPr>
        <w:t xml:space="preserve">Psoriatic patients have higher </w:t>
      </w:r>
      <w:proofErr w:type="spellStart"/>
      <w:r w:rsidRPr="00392CE2">
        <w:rPr>
          <w:sz w:val="20"/>
          <w:szCs w:val="20"/>
        </w:rPr>
        <w:t>Hcy</w:t>
      </w:r>
      <w:proofErr w:type="spellEnd"/>
      <w:r w:rsidRPr="00392CE2">
        <w:rPr>
          <w:sz w:val="20"/>
          <w:szCs w:val="20"/>
        </w:rPr>
        <w:t xml:space="preserve"> levels, regardless disease severity, and are associated with increased risk of cardiovascular morbidity. Our study suggests that psoriatic patients should be routinely investigated for CVD by Echocardiography due to increased occurrence of pulmonary hypertension in psoriatic patients.</w:t>
      </w:r>
    </w:p>
    <w:p w:rsidR="00606722" w:rsidRPr="00392CE2" w:rsidRDefault="00606722" w:rsidP="00392CE2">
      <w:pPr>
        <w:bidi w:val="0"/>
        <w:snapToGrid w:val="0"/>
        <w:jc w:val="both"/>
        <w:rPr>
          <w:b/>
          <w:bCs/>
          <w:sz w:val="20"/>
          <w:szCs w:val="20"/>
        </w:rPr>
      </w:pPr>
    </w:p>
    <w:p w:rsidR="0085413F" w:rsidRPr="00392CE2" w:rsidRDefault="00606722" w:rsidP="00392CE2">
      <w:pPr>
        <w:bidi w:val="0"/>
        <w:snapToGrid w:val="0"/>
        <w:jc w:val="both"/>
        <w:rPr>
          <w:b/>
          <w:bCs/>
          <w:sz w:val="20"/>
          <w:szCs w:val="20"/>
        </w:rPr>
      </w:pPr>
      <w:r w:rsidRPr="00392CE2">
        <w:rPr>
          <w:b/>
          <w:bCs/>
          <w:sz w:val="20"/>
          <w:szCs w:val="20"/>
        </w:rPr>
        <w:t>References</w:t>
      </w:r>
    </w:p>
    <w:p w:rsidR="0085413F" w:rsidRPr="0013097F" w:rsidRDefault="0085413F" w:rsidP="0013097F">
      <w:pPr>
        <w:pStyle w:val="ListParagraph"/>
        <w:numPr>
          <w:ilvl w:val="0"/>
          <w:numId w:val="11"/>
        </w:numPr>
        <w:snapToGrid w:val="0"/>
        <w:jc w:val="both"/>
        <w:rPr>
          <w:sz w:val="20"/>
          <w:szCs w:val="20"/>
        </w:rPr>
      </w:pPr>
      <w:proofErr w:type="spellStart"/>
      <w:r w:rsidRPr="0013097F">
        <w:rPr>
          <w:bCs/>
          <w:sz w:val="20"/>
          <w:szCs w:val="20"/>
        </w:rPr>
        <w:t>Brazzelli</w:t>
      </w:r>
      <w:proofErr w:type="spellEnd"/>
      <w:r w:rsidRPr="0013097F">
        <w:rPr>
          <w:bCs/>
          <w:sz w:val="20"/>
          <w:szCs w:val="20"/>
        </w:rPr>
        <w:t xml:space="preserve"> V, Grasso V and </w:t>
      </w:r>
      <w:proofErr w:type="spellStart"/>
      <w:r w:rsidRPr="0013097F">
        <w:rPr>
          <w:bCs/>
          <w:sz w:val="20"/>
          <w:szCs w:val="20"/>
        </w:rPr>
        <w:t>Fornara</w:t>
      </w:r>
      <w:proofErr w:type="spellEnd"/>
      <w:r w:rsidRPr="0013097F">
        <w:rPr>
          <w:bCs/>
          <w:sz w:val="20"/>
          <w:szCs w:val="20"/>
        </w:rPr>
        <w:t xml:space="preserve"> (2010)</w:t>
      </w:r>
      <w:r w:rsidR="000D320B" w:rsidRPr="0013097F">
        <w:rPr>
          <w:bCs/>
          <w:sz w:val="20"/>
          <w:szCs w:val="20"/>
        </w:rPr>
        <w:t>:</w:t>
      </w:r>
      <w:r w:rsidR="000D320B">
        <w:rPr>
          <w:bCs/>
          <w:sz w:val="20"/>
          <w:szCs w:val="20"/>
        </w:rPr>
        <w:t xml:space="preserve"> </w:t>
      </w:r>
      <w:proofErr w:type="spellStart"/>
      <w:r w:rsidR="000D320B" w:rsidRPr="0013097F">
        <w:rPr>
          <w:sz w:val="20"/>
          <w:szCs w:val="20"/>
        </w:rPr>
        <w:t>H</w:t>
      </w:r>
      <w:r w:rsidRPr="0013097F">
        <w:rPr>
          <w:sz w:val="20"/>
          <w:szCs w:val="20"/>
        </w:rPr>
        <w:t>omocysteine</w:t>
      </w:r>
      <w:proofErr w:type="spellEnd"/>
      <w:r w:rsidRPr="0013097F">
        <w:rPr>
          <w:sz w:val="20"/>
          <w:szCs w:val="20"/>
        </w:rPr>
        <w:t xml:space="preserve">, vitamin B12 and folic acid levels in psoriasis patients and correlation with disease severity. </w:t>
      </w:r>
      <w:proofErr w:type="spellStart"/>
      <w:r w:rsidRPr="0013097F">
        <w:rPr>
          <w:sz w:val="20"/>
          <w:szCs w:val="20"/>
        </w:rPr>
        <w:t>Int</w:t>
      </w:r>
      <w:proofErr w:type="spellEnd"/>
      <w:r w:rsidRPr="0013097F">
        <w:rPr>
          <w:sz w:val="20"/>
          <w:szCs w:val="20"/>
        </w:rPr>
        <w:t xml:space="preserve"> J </w:t>
      </w:r>
      <w:proofErr w:type="spellStart"/>
      <w:r w:rsidRPr="0013097F">
        <w:rPr>
          <w:sz w:val="20"/>
          <w:szCs w:val="20"/>
        </w:rPr>
        <w:t>Immunopathol</w:t>
      </w:r>
      <w:proofErr w:type="spellEnd"/>
      <w:r w:rsidR="007F4D2C">
        <w:rPr>
          <w:rFonts w:eastAsiaTheme="minorEastAsia" w:hint="eastAsia"/>
          <w:sz w:val="20"/>
          <w:szCs w:val="20"/>
          <w:lang w:eastAsia="zh-CN"/>
        </w:rPr>
        <w:t xml:space="preserve"> </w:t>
      </w:r>
      <w:proofErr w:type="spellStart"/>
      <w:r w:rsidRPr="0013097F">
        <w:rPr>
          <w:sz w:val="20"/>
          <w:szCs w:val="20"/>
        </w:rPr>
        <w:t>Pharmacol</w:t>
      </w:r>
      <w:proofErr w:type="spellEnd"/>
      <w:r w:rsidR="000D320B" w:rsidRPr="0013097F">
        <w:rPr>
          <w:sz w:val="20"/>
          <w:szCs w:val="20"/>
        </w:rPr>
        <w:t>;</w:t>
      </w:r>
      <w:r w:rsidRPr="0013097F">
        <w:rPr>
          <w:sz w:val="20"/>
          <w:szCs w:val="20"/>
        </w:rPr>
        <w:t xml:space="preserve"> 23: 911-6.</w:t>
      </w:r>
    </w:p>
    <w:p w:rsidR="0085413F" w:rsidRPr="0013097F" w:rsidRDefault="0085413F" w:rsidP="0013097F">
      <w:pPr>
        <w:pStyle w:val="ListParagraph"/>
        <w:numPr>
          <w:ilvl w:val="0"/>
          <w:numId w:val="11"/>
        </w:numPr>
        <w:snapToGrid w:val="0"/>
        <w:jc w:val="both"/>
        <w:rPr>
          <w:sz w:val="20"/>
          <w:szCs w:val="20"/>
        </w:rPr>
      </w:pPr>
      <w:proofErr w:type="spellStart"/>
      <w:r w:rsidRPr="0013097F">
        <w:rPr>
          <w:bCs/>
          <w:sz w:val="20"/>
          <w:szCs w:val="20"/>
        </w:rPr>
        <w:t>Fredriksson</w:t>
      </w:r>
      <w:proofErr w:type="spellEnd"/>
      <w:r w:rsidRPr="0013097F">
        <w:rPr>
          <w:bCs/>
          <w:sz w:val="20"/>
          <w:szCs w:val="20"/>
        </w:rPr>
        <w:t xml:space="preserve"> T and </w:t>
      </w:r>
      <w:proofErr w:type="spellStart"/>
      <w:r w:rsidRPr="0013097F">
        <w:rPr>
          <w:bCs/>
          <w:sz w:val="20"/>
          <w:szCs w:val="20"/>
        </w:rPr>
        <w:t>Pettersson</w:t>
      </w:r>
      <w:proofErr w:type="spellEnd"/>
      <w:r w:rsidRPr="0013097F">
        <w:rPr>
          <w:bCs/>
          <w:sz w:val="20"/>
          <w:szCs w:val="20"/>
        </w:rPr>
        <w:t xml:space="preserve"> U (1978): </w:t>
      </w:r>
      <w:r w:rsidRPr="0013097F">
        <w:rPr>
          <w:sz w:val="20"/>
          <w:szCs w:val="20"/>
        </w:rPr>
        <w:t xml:space="preserve">Severe psoriasis oral therapy with a new retinoid. </w:t>
      </w:r>
      <w:proofErr w:type="spellStart"/>
      <w:r w:rsidRPr="0013097F">
        <w:rPr>
          <w:sz w:val="20"/>
          <w:szCs w:val="20"/>
        </w:rPr>
        <w:t>Dermatologica</w:t>
      </w:r>
      <w:proofErr w:type="spellEnd"/>
      <w:r w:rsidRPr="0013097F">
        <w:rPr>
          <w:sz w:val="20"/>
          <w:szCs w:val="20"/>
        </w:rPr>
        <w:t>; 157:238-44.</w:t>
      </w:r>
    </w:p>
    <w:p w:rsidR="0085413F" w:rsidRPr="0013097F" w:rsidRDefault="0085413F" w:rsidP="0013097F">
      <w:pPr>
        <w:pStyle w:val="ListParagraph"/>
        <w:numPr>
          <w:ilvl w:val="0"/>
          <w:numId w:val="11"/>
        </w:numPr>
        <w:snapToGrid w:val="0"/>
        <w:jc w:val="both"/>
        <w:rPr>
          <w:sz w:val="20"/>
          <w:szCs w:val="20"/>
        </w:rPr>
      </w:pPr>
      <w:r w:rsidRPr="0013097F">
        <w:rPr>
          <w:bCs/>
          <w:sz w:val="20"/>
          <w:szCs w:val="20"/>
        </w:rPr>
        <w:t xml:space="preserve">Gaeta M, </w:t>
      </w:r>
      <w:proofErr w:type="spellStart"/>
      <w:r w:rsidRPr="0013097F">
        <w:rPr>
          <w:bCs/>
          <w:sz w:val="20"/>
          <w:szCs w:val="20"/>
        </w:rPr>
        <w:t>Castelvechio</w:t>
      </w:r>
      <w:proofErr w:type="spellEnd"/>
      <w:r w:rsidRPr="0013097F">
        <w:rPr>
          <w:bCs/>
          <w:sz w:val="20"/>
          <w:szCs w:val="20"/>
        </w:rPr>
        <w:t xml:space="preserve"> S. Ricci C, </w:t>
      </w:r>
      <w:proofErr w:type="spellStart"/>
      <w:r w:rsidRPr="0013097F">
        <w:rPr>
          <w:bCs/>
          <w:sz w:val="20"/>
          <w:szCs w:val="20"/>
        </w:rPr>
        <w:t>Pigatto</w:t>
      </w:r>
      <w:proofErr w:type="spellEnd"/>
      <w:r w:rsidRPr="0013097F">
        <w:rPr>
          <w:bCs/>
          <w:sz w:val="20"/>
          <w:szCs w:val="20"/>
        </w:rPr>
        <w:t xml:space="preserve"> P, </w:t>
      </w:r>
      <w:proofErr w:type="spellStart"/>
      <w:r w:rsidRPr="0013097F">
        <w:rPr>
          <w:bCs/>
          <w:sz w:val="20"/>
          <w:szCs w:val="20"/>
        </w:rPr>
        <w:t>Pelissero</w:t>
      </w:r>
      <w:proofErr w:type="spellEnd"/>
      <w:r w:rsidRPr="0013097F">
        <w:rPr>
          <w:bCs/>
          <w:sz w:val="20"/>
          <w:szCs w:val="20"/>
        </w:rPr>
        <w:t xml:space="preserve"> G and </w:t>
      </w:r>
      <w:proofErr w:type="spellStart"/>
      <w:r w:rsidRPr="0013097F">
        <w:rPr>
          <w:bCs/>
          <w:sz w:val="20"/>
          <w:szCs w:val="20"/>
        </w:rPr>
        <w:t>Cappato</w:t>
      </w:r>
      <w:proofErr w:type="spellEnd"/>
      <w:r w:rsidRPr="0013097F">
        <w:rPr>
          <w:bCs/>
          <w:sz w:val="20"/>
          <w:szCs w:val="20"/>
        </w:rPr>
        <w:t xml:space="preserve"> R (2013</w:t>
      </w:r>
      <w:r w:rsidRPr="0013097F">
        <w:rPr>
          <w:sz w:val="20"/>
          <w:szCs w:val="20"/>
        </w:rPr>
        <w:t>): Role of psoriasis as independent predictor of cardiovascular disease: A meta-</w:t>
      </w:r>
      <w:bookmarkStart w:id="0" w:name="_GoBack"/>
      <w:bookmarkEnd w:id="0"/>
      <w:r w:rsidRPr="0013097F">
        <w:rPr>
          <w:sz w:val="20"/>
          <w:szCs w:val="20"/>
        </w:rPr>
        <w:t xml:space="preserve">regression analysis. J </w:t>
      </w:r>
      <w:proofErr w:type="spellStart"/>
      <w:r w:rsidRPr="0013097F">
        <w:rPr>
          <w:sz w:val="20"/>
          <w:szCs w:val="20"/>
        </w:rPr>
        <w:t>Int</w:t>
      </w:r>
      <w:proofErr w:type="spellEnd"/>
      <w:r w:rsidRPr="0013097F">
        <w:rPr>
          <w:sz w:val="20"/>
          <w:szCs w:val="20"/>
        </w:rPr>
        <w:t xml:space="preserve"> Card; 168:2282-8.</w:t>
      </w:r>
    </w:p>
    <w:p w:rsidR="0085413F" w:rsidRPr="0013097F" w:rsidRDefault="0085413F" w:rsidP="0013097F">
      <w:pPr>
        <w:pStyle w:val="ListParagraph"/>
        <w:numPr>
          <w:ilvl w:val="0"/>
          <w:numId w:val="11"/>
        </w:numPr>
        <w:snapToGrid w:val="0"/>
        <w:jc w:val="both"/>
        <w:rPr>
          <w:sz w:val="20"/>
          <w:szCs w:val="20"/>
        </w:rPr>
      </w:pPr>
      <w:proofErr w:type="spellStart"/>
      <w:r w:rsidRPr="0013097F">
        <w:rPr>
          <w:bCs/>
          <w:sz w:val="20"/>
          <w:szCs w:val="20"/>
        </w:rPr>
        <w:lastRenderedPageBreak/>
        <w:t>Giltay</w:t>
      </w:r>
      <w:proofErr w:type="spellEnd"/>
      <w:r w:rsidRPr="0013097F">
        <w:rPr>
          <w:bCs/>
          <w:sz w:val="20"/>
          <w:szCs w:val="20"/>
        </w:rPr>
        <w:t xml:space="preserve"> EJ, </w:t>
      </w:r>
      <w:proofErr w:type="spellStart"/>
      <w:r w:rsidRPr="0013097F">
        <w:rPr>
          <w:bCs/>
          <w:sz w:val="20"/>
          <w:szCs w:val="20"/>
        </w:rPr>
        <w:t>Hoogeveen</w:t>
      </w:r>
      <w:proofErr w:type="spellEnd"/>
      <w:r w:rsidRPr="0013097F">
        <w:rPr>
          <w:bCs/>
          <w:sz w:val="20"/>
          <w:szCs w:val="20"/>
        </w:rPr>
        <w:t xml:space="preserve"> EK, </w:t>
      </w:r>
      <w:proofErr w:type="spellStart"/>
      <w:r w:rsidRPr="0013097F">
        <w:rPr>
          <w:bCs/>
          <w:sz w:val="20"/>
          <w:szCs w:val="20"/>
        </w:rPr>
        <w:t>Elbers</w:t>
      </w:r>
      <w:proofErr w:type="spellEnd"/>
      <w:r w:rsidRPr="0013097F">
        <w:rPr>
          <w:bCs/>
          <w:sz w:val="20"/>
          <w:szCs w:val="20"/>
        </w:rPr>
        <w:t xml:space="preserve"> JM, </w:t>
      </w:r>
      <w:proofErr w:type="spellStart"/>
      <w:r w:rsidRPr="0013097F">
        <w:rPr>
          <w:bCs/>
          <w:sz w:val="20"/>
          <w:szCs w:val="20"/>
        </w:rPr>
        <w:t>Gooren</w:t>
      </w:r>
      <w:proofErr w:type="spellEnd"/>
      <w:r w:rsidRPr="0013097F">
        <w:rPr>
          <w:bCs/>
          <w:sz w:val="20"/>
          <w:szCs w:val="20"/>
        </w:rPr>
        <w:t xml:space="preserve"> LJ, </w:t>
      </w:r>
      <w:proofErr w:type="spellStart"/>
      <w:r w:rsidRPr="0013097F">
        <w:rPr>
          <w:bCs/>
          <w:sz w:val="20"/>
          <w:szCs w:val="20"/>
        </w:rPr>
        <w:t>Asscheman</w:t>
      </w:r>
      <w:proofErr w:type="spellEnd"/>
      <w:r w:rsidRPr="0013097F">
        <w:rPr>
          <w:bCs/>
          <w:sz w:val="20"/>
          <w:szCs w:val="20"/>
        </w:rPr>
        <w:t xml:space="preserve"> H and </w:t>
      </w:r>
      <w:proofErr w:type="spellStart"/>
      <w:r w:rsidRPr="0013097F">
        <w:rPr>
          <w:bCs/>
          <w:sz w:val="20"/>
          <w:szCs w:val="20"/>
        </w:rPr>
        <w:t>Stehouwer</w:t>
      </w:r>
      <w:proofErr w:type="spellEnd"/>
      <w:r w:rsidRPr="0013097F">
        <w:rPr>
          <w:bCs/>
          <w:sz w:val="20"/>
          <w:szCs w:val="20"/>
        </w:rPr>
        <w:t xml:space="preserve"> CD. (1998): </w:t>
      </w:r>
      <w:r w:rsidRPr="0013097F">
        <w:rPr>
          <w:sz w:val="20"/>
          <w:szCs w:val="20"/>
        </w:rPr>
        <w:t xml:space="preserve">Effects of sex steroids on plasma total </w:t>
      </w:r>
      <w:proofErr w:type="spellStart"/>
      <w:r w:rsidRPr="0013097F">
        <w:rPr>
          <w:sz w:val="20"/>
          <w:szCs w:val="20"/>
        </w:rPr>
        <w:t>homocysteine</w:t>
      </w:r>
      <w:proofErr w:type="spellEnd"/>
      <w:r w:rsidRPr="0013097F">
        <w:rPr>
          <w:sz w:val="20"/>
          <w:szCs w:val="20"/>
        </w:rPr>
        <w:t xml:space="preserve"> levels: a study in transsexual males and females. J </w:t>
      </w:r>
      <w:proofErr w:type="spellStart"/>
      <w:r w:rsidRPr="0013097F">
        <w:rPr>
          <w:sz w:val="20"/>
          <w:szCs w:val="20"/>
        </w:rPr>
        <w:t>Clin</w:t>
      </w:r>
      <w:proofErr w:type="spellEnd"/>
      <w:r w:rsidRPr="0013097F">
        <w:rPr>
          <w:sz w:val="20"/>
          <w:szCs w:val="20"/>
        </w:rPr>
        <w:t xml:space="preserve"> Endocrinal </w:t>
      </w:r>
      <w:proofErr w:type="spellStart"/>
      <w:r w:rsidRPr="0013097F">
        <w:rPr>
          <w:sz w:val="20"/>
          <w:szCs w:val="20"/>
        </w:rPr>
        <w:t>Metab</w:t>
      </w:r>
      <w:proofErr w:type="spellEnd"/>
      <w:r w:rsidRPr="0013097F">
        <w:rPr>
          <w:sz w:val="20"/>
          <w:szCs w:val="20"/>
        </w:rPr>
        <w:t>; 83:550-3.</w:t>
      </w:r>
    </w:p>
    <w:p w:rsidR="0085413F" w:rsidRPr="0013097F" w:rsidRDefault="0085413F" w:rsidP="0013097F">
      <w:pPr>
        <w:pStyle w:val="ListParagraph"/>
        <w:numPr>
          <w:ilvl w:val="0"/>
          <w:numId w:val="11"/>
        </w:numPr>
        <w:snapToGrid w:val="0"/>
        <w:jc w:val="both"/>
        <w:rPr>
          <w:sz w:val="20"/>
          <w:szCs w:val="20"/>
        </w:rPr>
      </w:pPr>
      <w:proofErr w:type="spellStart"/>
      <w:r w:rsidRPr="0013097F">
        <w:rPr>
          <w:bCs/>
          <w:sz w:val="20"/>
          <w:szCs w:val="20"/>
        </w:rPr>
        <w:t>Gunes</w:t>
      </w:r>
      <w:proofErr w:type="spellEnd"/>
      <w:r w:rsidRPr="0013097F">
        <w:rPr>
          <w:bCs/>
          <w:sz w:val="20"/>
          <w:szCs w:val="20"/>
        </w:rPr>
        <w:t xml:space="preserve"> Y, </w:t>
      </w:r>
      <w:proofErr w:type="spellStart"/>
      <w:r w:rsidRPr="0013097F">
        <w:rPr>
          <w:bCs/>
          <w:sz w:val="20"/>
          <w:szCs w:val="20"/>
        </w:rPr>
        <w:t>Tuncer</w:t>
      </w:r>
      <w:proofErr w:type="spellEnd"/>
      <w:r w:rsidRPr="0013097F">
        <w:rPr>
          <w:bCs/>
          <w:sz w:val="20"/>
          <w:szCs w:val="20"/>
        </w:rPr>
        <w:t xml:space="preserve"> M, </w:t>
      </w:r>
      <w:proofErr w:type="spellStart"/>
      <w:r w:rsidRPr="0013097F">
        <w:rPr>
          <w:bCs/>
          <w:sz w:val="20"/>
          <w:szCs w:val="20"/>
        </w:rPr>
        <w:t>Calka</w:t>
      </w:r>
      <w:proofErr w:type="spellEnd"/>
      <w:r w:rsidRPr="0013097F">
        <w:rPr>
          <w:bCs/>
          <w:sz w:val="20"/>
          <w:szCs w:val="20"/>
        </w:rPr>
        <w:t xml:space="preserve"> O, </w:t>
      </w:r>
      <w:proofErr w:type="spellStart"/>
      <w:r w:rsidRPr="0013097F">
        <w:rPr>
          <w:bCs/>
          <w:sz w:val="20"/>
          <w:szCs w:val="20"/>
        </w:rPr>
        <w:t>Guntekin</w:t>
      </w:r>
      <w:proofErr w:type="spellEnd"/>
      <w:r w:rsidRPr="0013097F">
        <w:rPr>
          <w:bCs/>
          <w:sz w:val="20"/>
          <w:szCs w:val="20"/>
        </w:rPr>
        <w:t xml:space="preserve"> U, </w:t>
      </w:r>
      <w:proofErr w:type="spellStart"/>
      <w:r w:rsidRPr="0013097F">
        <w:rPr>
          <w:bCs/>
          <w:sz w:val="20"/>
          <w:szCs w:val="20"/>
        </w:rPr>
        <w:t>Akdeniz</w:t>
      </w:r>
      <w:proofErr w:type="spellEnd"/>
      <w:r w:rsidRPr="0013097F">
        <w:rPr>
          <w:bCs/>
          <w:sz w:val="20"/>
          <w:szCs w:val="20"/>
        </w:rPr>
        <w:t xml:space="preserve"> N and </w:t>
      </w:r>
      <w:proofErr w:type="spellStart"/>
      <w:r w:rsidRPr="0013097F">
        <w:rPr>
          <w:bCs/>
          <w:sz w:val="20"/>
          <w:szCs w:val="20"/>
        </w:rPr>
        <w:t>Simsek</w:t>
      </w:r>
      <w:proofErr w:type="spellEnd"/>
      <w:r w:rsidRPr="0013097F">
        <w:rPr>
          <w:bCs/>
          <w:sz w:val="20"/>
          <w:szCs w:val="20"/>
        </w:rPr>
        <w:t xml:space="preserve"> H (2008):</w:t>
      </w:r>
      <w:r w:rsidRPr="0013097F">
        <w:rPr>
          <w:sz w:val="20"/>
          <w:szCs w:val="20"/>
        </w:rPr>
        <w:t xml:space="preserve"> Increased frequency of pulmonary hypertension in psoriasis patients. Arch </w:t>
      </w:r>
      <w:proofErr w:type="spellStart"/>
      <w:r w:rsidRPr="0013097F">
        <w:rPr>
          <w:sz w:val="20"/>
          <w:szCs w:val="20"/>
        </w:rPr>
        <w:t>Dermatol</w:t>
      </w:r>
      <w:proofErr w:type="spellEnd"/>
      <w:r w:rsidRPr="0013097F">
        <w:rPr>
          <w:sz w:val="20"/>
          <w:szCs w:val="20"/>
        </w:rPr>
        <w:t xml:space="preserve"> Res; 300: 435-40.</w:t>
      </w:r>
    </w:p>
    <w:p w:rsidR="0085413F" w:rsidRPr="0013097F" w:rsidRDefault="0085413F" w:rsidP="0013097F">
      <w:pPr>
        <w:pStyle w:val="ListParagraph"/>
        <w:numPr>
          <w:ilvl w:val="0"/>
          <w:numId w:val="11"/>
        </w:numPr>
        <w:snapToGrid w:val="0"/>
        <w:jc w:val="both"/>
        <w:rPr>
          <w:sz w:val="20"/>
          <w:szCs w:val="20"/>
          <w:lang w:bidi="ar-EG"/>
        </w:rPr>
      </w:pPr>
      <w:r w:rsidRPr="0013097F">
        <w:rPr>
          <w:bCs/>
          <w:sz w:val="20"/>
          <w:szCs w:val="20"/>
          <w:lang w:bidi="ar-EG"/>
        </w:rPr>
        <w:t>Hermann W (2001):</w:t>
      </w:r>
      <w:r w:rsidRPr="0013097F">
        <w:rPr>
          <w:sz w:val="20"/>
          <w:szCs w:val="20"/>
          <w:lang w:bidi="ar-EG"/>
        </w:rPr>
        <w:t xml:space="preserve"> The importance of </w:t>
      </w:r>
      <w:proofErr w:type="spellStart"/>
      <w:r w:rsidRPr="0013097F">
        <w:rPr>
          <w:sz w:val="20"/>
          <w:szCs w:val="20"/>
          <w:lang w:bidi="ar-EG"/>
        </w:rPr>
        <w:t>hyperhomocysteinemia</w:t>
      </w:r>
      <w:proofErr w:type="spellEnd"/>
      <w:r w:rsidRPr="0013097F">
        <w:rPr>
          <w:sz w:val="20"/>
          <w:szCs w:val="20"/>
          <w:lang w:bidi="ar-EG"/>
        </w:rPr>
        <w:t xml:space="preserve"> as a risk factor for diseases: an overview. </w:t>
      </w:r>
      <w:proofErr w:type="spellStart"/>
      <w:r w:rsidRPr="0013097F">
        <w:rPr>
          <w:sz w:val="20"/>
          <w:szCs w:val="20"/>
          <w:lang w:bidi="ar-EG"/>
        </w:rPr>
        <w:t>Clin</w:t>
      </w:r>
      <w:proofErr w:type="spellEnd"/>
      <w:r w:rsidR="007F4D2C">
        <w:rPr>
          <w:rFonts w:eastAsiaTheme="minorEastAsia" w:hint="eastAsia"/>
          <w:sz w:val="20"/>
          <w:szCs w:val="20"/>
          <w:lang w:eastAsia="zh-CN" w:bidi="ar-EG"/>
        </w:rPr>
        <w:t xml:space="preserve"> </w:t>
      </w:r>
      <w:proofErr w:type="spellStart"/>
      <w:r w:rsidRPr="0013097F">
        <w:rPr>
          <w:sz w:val="20"/>
          <w:szCs w:val="20"/>
          <w:lang w:bidi="ar-EG"/>
        </w:rPr>
        <w:t>Chem</w:t>
      </w:r>
      <w:proofErr w:type="spellEnd"/>
      <w:r w:rsidRPr="0013097F">
        <w:rPr>
          <w:sz w:val="20"/>
          <w:szCs w:val="20"/>
          <w:lang w:bidi="ar-EG"/>
        </w:rPr>
        <w:t xml:space="preserve"> Lab Med; 39: 666–674.</w:t>
      </w:r>
    </w:p>
    <w:p w:rsidR="0085413F" w:rsidRPr="0013097F" w:rsidRDefault="0085413F" w:rsidP="0013097F">
      <w:pPr>
        <w:pStyle w:val="ListParagraph"/>
        <w:numPr>
          <w:ilvl w:val="0"/>
          <w:numId w:val="11"/>
        </w:numPr>
        <w:snapToGrid w:val="0"/>
        <w:jc w:val="both"/>
        <w:rPr>
          <w:sz w:val="20"/>
          <w:szCs w:val="20"/>
          <w:lang w:bidi="ar-EG"/>
        </w:rPr>
      </w:pPr>
      <w:proofErr w:type="spellStart"/>
      <w:r w:rsidRPr="0013097F">
        <w:rPr>
          <w:bCs/>
          <w:sz w:val="20"/>
          <w:szCs w:val="20"/>
          <w:lang w:bidi="ar-EG"/>
        </w:rPr>
        <w:t>Kimmons</w:t>
      </w:r>
      <w:proofErr w:type="spellEnd"/>
      <w:r w:rsidRPr="0013097F">
        <w:rPr>
          <w:bCs/>
          <w:sz w:val="20"/>
          <w:szCs w:val="20"/>
          <w:lang w:bidi="ar-EG"/>
        </w:rPr>
        <w:t xml:space="preserve"> JE, </w:t>
      </w:r>
      <w:proofErr w:type="spellStart"/>
      <w:r w:rsidRPr="0013097F">
        <w:rPr>
          <w:bCs/>
          <w:sz w:val="20"/>
          <w:szCs w:val="20"/>
          <w:lang w:bidi="ar-EG"/>
        </w:rPr>
        <w:t>Blanck</w:t>
      </w:r>
      <w:proofErr w:type="spellEnd"/>
      <w:r w:rsidRPr="0013097F">
        <w:rPr>
          <w:bCs/>
          <w:sz w:val="20"/>
          <w:szCs w:val="20"/>
          <w:lang w:bidi="ar-EG"/>
        </w:rPr>
        <w:t xml:space="preserve"> HM and </w:t>
      </w:r>
      <w:proofErr w:type="spellStart"/>
      <w:r w:rsidRPr="0013097F">
        <w:rPr>
          <w:bCs/>
          <w:sz w:val="20"/>
          <w:szCs w:val="20"/>
          <w:lang w:bidi="ar-EG"/>
        </w:rPr>
        <w:t>Tohill</w:t>
      </w:r>
      <w:proofErr w:type="spellEnd"/>
      <w:r w:rsidRPr="0013097F">
        <w:rPr>
          <w:bCs/>
          <w:sz w:val="20"/>
          <w:szCs w:val="20"/>
          <w:lang w:bidi="ar-EG"/>
        </w:rPr>
        <w:t xml:space="preserve"> BC (2006):</w:t>
      </w:r>
      <w:r w:rsidRPr="0013097F">
        <w:rPr>
          <w:sz w:val="20"/>
          <w:szCs w:val="20"/>
          <w:lang w:bidi="ar-EG"/>
        </w:rPr>
        <w:t xml:space="preserve"> Associations between body mass index and prevalence of low micronutrient levels among US adults. Med</w:t>
      </w:r>
      <w:r w:rsidR="007F4D2C">
        <w:rPr>
          <w:rFonts w:eastAsiaTheme="minorEastAsia" w:hint="eastAsia"/>
          <w:sz w:val="20"/>
          <w:szCs w:val="20"/>
          <w:lang w:eastAsia="zh-CN" w:bidi="ar-EG"/>
        </w:rPr>
        <w:t xml:space="preserve"> </w:t>
      </w:r>
      <w:r w:rsidRPr="0013097F">
        <w:rPr>
          <w:sz w:val="20"/>
          <w:szCs w:val="20"/>
          <w:lang w:bidi="ar-EG"/>
        </w:rPr>
        <w:t>Gen</w:t>
      </w:r>
      <w:r w:rsidR="007F4D2C">
        <w:rPr>
          <w:rFonts w:eastAsiaTheme="minorEastAsia" w:hint="eastAsia"/>
          <w:sz w:val="20"/>
          <w:szCs w:val="20"/>
          <w:lang w:eastAsia="zh-CN" w:bidi="ar-EG"/>
        </w:rPr>
        <w:t xml:space="preserve"> </w:t>
      </w:r>
      <w:r w:rsidRPr="0013097F">
        <w:rPr>
          <w:sz w:val="20"/>
          <w:szCs w:val="20"/>
          <w:lang w:bidi="ar-EG"/>
        </w:rPr>
        <w:t>Med</w:t>
      </w:r>
      <w:r w:rsidR="000D320B" w:rsidRPr="0013097F">
        <w:rPr>
          <w:sz w:val="20"/>
          <w:szCs w:val="20"/>
          <w:lang w:bidi="ar-EG"/>
        </w:rPr>
        <w:t>;</w:t>
      </w:r>
      <w:r w:rsidRPr="0013097F">
        <w:rPr>
          <w:sz w:val="20"/>
          <w:szCs w:val="20"/>
          <w:lang w:bidi="ar-EG"/>
        </w:rPr>
        <w:t xml:space="preserve"> 8: 59.</w:t>
      </w:r>
    </w:p>
    <w:p w:rsidR="0085413F" w:rsidRPr="0013097F" w:rsidRDefault="0085413F" w:rsidP="0013097F">
      <w:pPr>
        <w:pStyle w:val="ListParagraph"/>
        <w:numPr>
          <w:ilvl w:val="0"/>
          <w:numId w:val="11"/>
        </w:numPr>
        <w:snapToGrid w:val="0"/>
        <w:jc w:val="both"/>
        <w:rPr>
          <w:sz w:val="20"/>
          <w:szCs w:val="20"/>
          <w:lang w:bidi="ar-EG"/>
        </w:rPr>
      </w:pPr>
      <w:proofErr w:type="spellStart"/>
      <w:r w:rsidRPr="0013097F">
        <w:rPr>
          <w:bCs/>
          <w:sz w:val="20"/>
          <w:szCs w:val="20"/>
          <w:lang w:bidi="ar-EG"/>
        </w:rPr>
        <w:t>Malerba</w:t>
      </w:r>
      <w:proofErr w:type="spellEnd"/>
      <w:r w:rsidRPr="0013097F">
        <w:rPr>
          <w:bCs/>
          <w:sz w:val="20"/>
          <w:szCs w:val="20"/>
          <w:lang w:bidi="ar-EG"/>
        </w:rPr>
        <w:t xml:space="preserve"> M, </w:t>
      </w:r>
      <w:proofErr w:type="spellStart"/>
      <w:r w:rsidRPr="0013097F">
        <w:rPr>
          <w:bCs/>
          <w:sz w:val="20"/>
          <w:szCs w:val="20"/>
          <w:lang w:bidi="ar-EG"/>
        </w:rPr>
        <w:t>Gisondi</w:t>
      </w:r>
      <w:proofErr w:type="spellEnd"/>
      <w:r w:rsidRPr="0013097F">
        <w:rPr>
          <w:bCs/>
          <w:sz w:val="20"/>
          <w:szCs w:val="20"/>
          <w:lang w:bidi="ar-EG"/>
        </w:rPr>
        <w:t xml:space="preserve"> P, </w:t>
      </w:r>
      <w:proofErr w:type="spellStart"/>
      <w:r w:rsidRPr="0013097F">
        <w:rPr>
          <w:bCs/>
          <w:sz w:val="20"/>
          <w:szCs w:val="20"/>
          <w:lang w:bidi="ar-EG"/>
        </w:rPr>
        <w:t>Radaeli</w:t>
      </w:r>
      <w:proofErr w:type="spellEnd"/>
      <w:r w:rsidRPr="0013097F">
        <w:rPr>
          <w:bCs/>
          <w:sz w:val="20"/>
          <w:szCs w:val="20"/>
          <w:lang w:bidi="ar-EG"/>
        </w:rPr>
        <w:t xml:space="preserve"> A, </w:t>
      </w:r>
      <w:proofErr w:type="spellStart"/>
      <w:r w:rsidRPr="0013097F">
        <w:rPr>
          <w:bCs/>
          <w:sz w:val="20"/>
          <w:szCs w:val="20"/>
          <w:lang w:bidi="ar-EG"/>
        </w:rPr>
        <w:t>Sala</w:t>
      </w:r>
      <w:proofErr w:type="spellEnd"/>
      <w:r w:rsidRPr="0013097F">
        <w:rPr>
          <w:bCs/>
          <w:sz w:val="20"/>
          <w:szCs w:val="20"/>
          <w:lang w:bidi="ar-EG"/>
        </w:rPr>
        <w:t xml:space="preserve"> R, </w:t>
      </w:r>
      <w:proofErr w:type="spellStart"/>
      <w:r w:rsidRPr="0013097F">
        <w:rPr>
          <w:bCs/>
          <w:sz w:val="20"/>
          <w:szCs w:val="20"/>
          <w:lang w:bidi="ar-EG"/>
        </w:rPr>
        <w:t>Calzavarapinton</w:t>
      </w:r>
      <w:proofErr w:type="spellEnd"/>
      <w:r w:rsidRPr="0013097F">
        <w:rPr>
          <w:bCs/>
          <w:sz w:val="20"/>
          <w:szCs w:val="20"/>
          <w:lang w:bidi="ar-EG"/>
        </w:rPr>
        <w:t xml:space="preserve"> PG and </w:t>
      </w:r>
      <w:proofErr w:type="spellStart"/>
      <w:r w:rsidRPr="0013097F">
        <w:rPr>
          <w:bCs/>
          <w:sz w:val="20"/>
          <w:szCs w:val="20"/>
          <w:lang w:bidi="ar-EG"/>
        </w:rPr>
        <w:t>Girolomoni</w:t>
      </w:r>
      <w:proofErr w:type="spellEnd"/>
      <w:r w:rsidRPr="0013097F">
        <w:rPr>
          <w:bCs/>
          <w:sz w:val="20"/>
          <w:szCs w:val="20"/>
          <w:lang w:bidi="ar-EG"/>
        </w:rPr>
        <w:t xml:space="preserve"> G (2006):</w:t>
      </w:r>
      <w:r w:rsidRPr="0013097F">
        <w:rPr>
          <w:sz w:val="20"/>
          <w:szCs w:val="20"/>
          <w:lang w:bidi="ar-EG"/>
        </w:rPr>
        <w:t xml:space="preserve"> Plasma </w:t>
      </w:r>
      <w:proofErr w:type="spellStart"/>
      <w:r w:rsidRPr="0013097F">
        <w:rPr>
          <w:sz w:val="20"/>
          <w:szCs w:val="20"/>
          <w:lang w:bidi="ar-EG"/>
        </w:rPr>
        <w:t>homocysteine</w:t>
      </w:r>
      <w:proofErr w:type="spellEnd"/>
      <w:r w:rsidRPr="0013097F">
        <w:rPr>
          <w:sz w:val="20"/>
          <w:szCs w:val="20"/>
          <w:lang w:bidi="ar-EG"/>
        </w:rPr>
        <w:t xml:space="preserve"> and </w:t>
      </w:r>
      <w:proofErr w:type="spellStart"/>
      <w:r w:rsidRPr="0013097F">
        <w:rPr>
          <w:sz w:val="20"/>
          <w:szCs w:val="20"/>
          <w:lang w:bidi="ar-EG"/>
        </w:rPr>
        <w:t>folate</w:t>
      </w:r>
      <w:proofErr w:type="spellEnd"/>
      <w:r w:rsidRPr="0013097F">
        <w:rPr>
          <w:sz w:val="20"/>
          <w:szCs w:val="20"/>
          <w:lang w:bidi="ar-EG"/>
        </w:rPr>
        <w:t xml:space="preserve"> levels in patients with chronic plaque psoriasis. Br J </w:t>
      </w:r>
      <w:proofErr w:type="spellStart"/>
      <w:r w:rsidRPr="0013097F">
        <w:rPr>
          <w:sz w:val="20"/>
          <w:szCs w:val="20"/>
          <w:lang w:bidi="ar-EG"/>
        </w:rPr>
        <w:t>Dermatol</w:t>
      </w:r>
      <w:proofErr w:type="spellEnd"/>
      <w:r w:rsidRPr="0013097F">
        <w:rPr>
          <w:sz w:val="20"/>
          <w:szCs w:val="20"/>
          <w:lang w:bidi="ar-EG"/>
        </w:rPr>
        <w:t>; 155</w:t>
      </w:r>
      <w:r w:rsidR="000D320B" w:rsidRPr="0013097F">
        <w:rPr>
          <w:sz w:val="20"/>
          <w:szCs w:val="20"/>
          <w:lang w:bidi="ar-EG"/>
        </w:rPr>
        <w:t>:</w:t>
      </w:r>
      <w:r w:rsidRPr="0013097F">
        <w:rPr>
          <w:sz w:val="20"/>
          <w:szCs w:val="20"/>
          <w:lang w:bidi="ar-EG"/>
        </w:rPr>
        <w:t xml:space="preserve"> 1165-9.</w:t>
      </w:r>
    </w:p>
    <w:p w:rsidR="0085413F" w:rsidRPr="0013097F" w:rsidRDefault="0085413F" w:rsidP="0013097F">
      <w:pPr>
        <w:pStyle w:val="ListParagraph"/>
        <w:numPr>
          <w:ilvl w:val="0"/>
          <w:numId w:val="11"/>
        </w:numPr>
        <w:snapToGrid w:val="0"/>
        <w:jc w:val="both"/>
        <w:rPr>
          <w:sz w:val="20"/>
          <w:szCs w:val="20"/>
          <w:lang w:bidi="ar-EG"/>
        </w:rPr>
      </w:pPr>
      <w:proofErr w:type="spellStart"/>
      <w:r w:rsidRPr="0013097F">
        <w:rPr>
          <w:bCs/>
          <w:sz w:val="20"/>
          <w:szCs w:val="20"/>
          <w:lang w:bidi="ar-EG"/>
        </w:rPr>
        <w:lastRenderedPageBreak/>
        <w:t>McCully</w:t>
      </w:r>
      <w:proofErr w:type="spellEnd"/>
      <w:r w:rsidRPr="0013097F">
        <w:rPr>
          <w:bCs/>
          <w:sz w:val="20"/>
          <w:szCs w:val="20"/>
          <w:lang w:bidi="ar-EG"/>
        </w:rPr>
        <w:t xml:space="preserve"> KS (2007)</w:t>
      </w:r>
      <w:r w:rsidR="000D320B" w:rsidRPr="0013097F">
        <w:rPr>
          <w:bCs/>
          <w:sz w:val="20"/>
          <w:szCs w:val="20"/>
          <w:lang w:bidi="ar-EG"/>
        </w:rPr>
        <w:t>:</w:t>
      </w:r>
      <w:r w:rsidR="000D320B">
        <w:rPr>
          <w:bCs/>
          <w:sz w:val="20"/>
          <w:szCs w:val="20"/>
          <w:lang w:bidi="ar-EG"/>
        </w:rPr>
        <w:t xml:space="preserve"> </w:t>
      </w:r>
      <w:proofErr w:type="spellStart"/>
      <w:r w:rsidR="000D320B" w:rsidRPr="0013097F">
        <w:rPr>
          <w:sz w:val="20"/>
          <w:szCs w:val="20"/>
          <w:lang w:bidi="ar-EG"/>
        </w:rPr>
        <w:t>H</w:t>
      </w:r>
      <w:r w:rsidRPr="0013097F">
        <w:rPr>
          <w:sz w:val="20"/>
          <w:szCs w:val="20"/>
          <w:lang w:bidi="ar-EG"/>
        </w:rPr>
        <w:t>omocysteine</w:t>
      </w:r>
      <w:proofErr w:type="spellEnd"/>
      <w:r w:rsidRPr="0013097F">
        <w:rPr>
          <w:sz w:val="20"/>
          <w:szCs w:val="20"/>
          <w:lang w:bidi="ar-EG"/>
        </w:rPr>
        <w:t xml:space="preserve">, vitamins, and vascular disease prevention. Am J </w:t>
      </w:r>
      <w:proofErr w:type="spellStart"/>
      <w:r w:rsidRPr="0013097F">
        <w:rPr>
          <w:sz w:val="20"/>
          <w:szCs w:val="20"/>
          <w:lang w:bidi="ar-EG"/>
        </w:rPr>
        <w:t>ClinNutr</w:t>
      </w:r>
      <w:proofErr w:type="spellEnd"/>
      <w:r w:rsidRPr="0013097F">
        <w:rPr>
          <w:sz w:val="20"/>
          <w:szCs w:val="20"/>
          <w:lang w:bidi="ar-EG"/>
        </w:rPr>
        <w:t>; 86: 1653–1658.</w:t>
      </w:r>
    </w:p>
    <w:p w:rsidR="0085413F" w:rsidRPr="0013097F" w:rsidRDefault="0085413F" w:rsidP="0013097F">
      <w:pPr>
        <w:pStyle w:val="ListParagraph"/>
        <w:numPr>
          <w:ilvl w:val="0"/>
          <w:numId w:val="11"/>
        </w:numPr>
        <w:snapToGrid w:val="0"/>
        <w:jc w:val="both"/>
        <w:rPr>
          <w:sz w:val="20"/>
          <w:szCs w:val="20"/>
          <w:lang w:bidi="ar-EG"/>
        </w:rPr>
      </w:pPr>
      <w:proofErr w:type="spellStart"/>
      <w:r w:rsidRPr="0013097F">
        <w:rPr>
          <w:bCs/>
          <w:sz w:val="20"/>
          <w:szCs w:val="20"/>
          <w:lang w:bidi="ar-EG"/>
        </w:rPr>
        <w:t>Refsum</w:t>
      </w:r>
      <w:proofErr w:type="spellEnd"/>
      <w:r w:rsidRPr="0013097F">
        <w:rPr>
          <w:bCs/>
          <w:sz w:val="20"/>
          <w:szCs w:val="20"/>
          <w:lang w:bidi="ar-EG"/>
        </w:rPr>
        <w:t xml:space="preserve"> H, </w:t>
      </w:r>
      <w:proofErr w:type="spellStart"/>
      <w:r w:rsidRPr="0013097F">
        <w:rPr>
          <w:bCs/>
          <w:sz w:val="20"/>
          <w:szCs w:val="20"/>
          <w:lang w:bidi="ar-EG"/>
        </w:rPr>
        <w:t>Helland</w:t>
      </w:r>
      <w:proofErr w:type="spellEnd"/>
      <w:r w:rsidRPr="0013097F">
        <w:rPr>
          <w:bCs/>
          <w:sz w:val="20"/>
          <w:szCs w:val="20"/>
          <w:lang w:bidi="ar-EG"/>
        </w:rPr>
        <w:t xml:space="preserve"> S and </w:t>
      </w:r>
      <w:proofErr w:type="spellStart"/>
      <w:r w:rsidRPr="0013097F">
        <w:rPr>
          <w:bCs/>
          <w:sz w:val="20"/>
          <w:szCs w:val="20"/>
          <w:lang w:bidi="ar-EG"/>
        </w:rPr>
        <w:t>Ueland</w:t>
      </w:r>
      <w:proofErr w:type="spellEnd"/>
      <w:r w:rsidRPr="0013097F">
        <w:rPr>
          <w:bCs/>
          <w:sz w:val="20"/>
          <w:szCs w:val="20"/>
          <w:lang w:bidi="ar-EG"/>
        </w:rPr>
        <w:t xml:space="preserve"> PM (1989)</w:t>
      </w:r>
      <w:r w:rsidR="000D320B" w:rsidRPr="0013097F">
        <w:rPr>
          <w:bCs/>
          <w:sz w:val="20"/>
          <w:szCs w:val="20"/>
          <w:lang w:bidi="ar-EG"/>
        </w:rPr>
        <w:t>:</w:t>
      </w:r>
      <w:r w:rsidR="000D320B">
        <w:rPr>
          <w:bCs/>
          <w:sz w:val="20"/>
          <w:szCs w:val="20"/>
          <w:lang w:bidi="ar-EG"/>
        </w:rPr>
        <w:t xml:space="preserve"> </w:t>
      </w:r>
      <w:r w:rsidR="000D320B" w:rsidRPr="0013097F">
        <w:rPr>
          <w:sz w:val="20"/>
          <w:szCs w:val="20"/>
          <w:lang w:bidi="ar-EG"/>
        </w:rPr>
        <w:t>F</w:t>
      </w:r>
      <w:r w:rsidRPr="0013097F">
        <w:rPr>
          <w:sz w:val="20"/>
          <w:szCs w:val="20"/>
          <w:lang w:bidi="ar-EG"/>
        </w:rPr>
        <w:t xml:space="preserve">asting plasma </w:t>
      </w:r>
      <w:proofErr w:type="spellStart"/>
      <w:r w:rsidRPr="0013097F">
        <w:rPr>
          <w:sz w:val="20"/>
          <w:szCs w:val="20"/>
          <w:lang w:bidi="ar-EG"/>
        </w:rPr>
        <w:t>homocysteine</w:t>
      </w:r>
      <w:proofErr w:type="spellEnd"/>
      <w:r w:rsidRPr="0013097F">
        <w:rPr>
          <w:sz w:val="20"/>
          <w:szCs w:val="20"/>
          <w:lang w:bidi="ar-EG"/>
        </w:rPr>
        <w:t xml:space="preserve"> as a sensitive parameter of </w:t>
      </w:r>
      <w:proofErr w:type="spellStart"/>
      <w:r w:rsidRPr="0013097F">
        <w:rPr>
          <w:sz w:val="20"/>
          <w:szCs w:val="20"/>
          <w:lang w:bidi="ar-EG"/>
        </w:rPr>
        <w:t>antifolate</w:t>
      </w:r>
      <w:proofErr w:type="spellEnd"/>
      <w:r w:rsidRPr="0013097F">
        <w:rPr>
          <w:sz w:val="20"/>
          <w:szCs w:val="20"/>
          <w:lang w:bidi="ar-EG"/>
        </w:rPr>
        <w:t xml:space="preserve"> effect: a study of psoriasis patients receiving low-dose </w:t>
      </w:r>
      <w:proofErr w:type="spellStart"/>
      <w:r w:rsidRPr="0013097F">
        <w:rPr>
          <w:sz w:val="20"/>
          <w:szCs w:val="20"/>
          <w:lang w:bidi="ar-EG"/>
        </w:rPr>
        <w:t>methotrexate</w:t>
      </w:r>
      <w:proofErr w:type="spellEnd"/>
      <w:r w:rsidRPr="0013097F">
        <w:rPr>
          <w:sz w:val="20"/>
          <w:szCs w:val="20"/>
          <w:lang w:bidi="ar-EG"/>
        </w:rPr>
        <w:t xml:space="preserve"> treatment. </w:t>
      </w:r>
      <w:proofErr w:type="spellStart"/>
      <w:r w:rsidRPr="0013097F">
        <w:rPr>
          <w:sz w:val="20"/>
          <w:szCs w:val="20"/>
          <w:lang w:bidi="ar-EG"/>
        </w:rPr>
        <w:t>Clin</w:t>
      </w:r>
      <w:proofErr w:type="spellEnd"/>
      <w:r w:rsidR="007F4D2C">
        <w:rPr>
          <w:rFonts w:eastAsiaTheme="minorEastAsia" w:hint="eastAsia"/>
          <w:sz w:val="20"/>
          <w:szCs w:val="20"/>
          <w:lang w:eastAsia="zh-CN" w:bidi="ar-EG"/>
        </w:rPr>
        <w:t xml:space="preserve"> </w:t>
      </w:r>
      <w:proofErr w:type="spellStart"/>
      <w:r w:rsidRPr="0013097F">
        <w:rPr>
          <w:sz w:val="20"/>
          <w:szCs w:val="20"/>
          <w:lang w:bidi="ar-EG"/>
        </w:rPr>
        <w:t>Pharmacol</w:t>
      </w:r>
      <w:proofErr w:type="spellEnd"/>
      <w:r w:rsidR="007F4D2C">
        <w:rPr>
          <w:rFonts w:eastAsiaTheme="minorEastAsia" w:hint="eastAsia"/>
          <w:sz w:val="20"/>
          <w:szCs w:val="20"/>
          <w:lang w:eastAsia="zh-CN" w:bidi="ar-EG"/>
        </w:rPr>
        <w:t xml:space="preserve"> </w:t>
      </w:r>
      <w:proofErr w:type="spellStart"/>
      <w:r w:rsidRPr="0013097F">
        <w:rPr>
          <w:sz w:val="20"/>
          <w:szCs w:val="20"/>
          <w:lang w:bidi="ar-EG"/>
        </w:rPr>
        <w:t>Ther</w:t>
      </w:r>
      <w:proofErr w:type="spellEnd"/>
      <w:r w:rsidRPr="0013097F">
        <w:rPr>
          <w:sz w:val="20"/>
          <w:szCs w:val="20"/>
          <w:lang w:bidi="ar-EG"/>
        </w:rPr>
        <w:t>; 46: 510–520.</w:t>
      </w:r>
    </w:p>
    <w:p w:rsidR="008D6135" w:rsidRPr="0013097F" w:rsidRDefault="008D6135" w:rsidP="0013097F">
      <w:pPr>
        <w:pStyle w:val="ListParagraph"/>
        <w:numPr>
          <w:ilvl w:val="0"/>
          <w:numId w:val="11"/>
        </w:numPr>
        <w:snapToGrid w:val="0"/>
        <w:jc w:val="both"/>
        <w:rPr>
          <w:sz w:val="20"/>
          <w:szCs w:val="20"/>
          <w:lang w:bidi="ar-EG"/>
        </w:rPr>
      </w:pPr>
      <w:r w:rsidRPr="0013097F">
        <w:rPr>
          <w:bCs/>
          <w:sz w:val="20"/>
          <w:szCs w:val="20"/>
          <w:lang w:bidi="ar-EG"/>
        </w:rPr>
        <w:t xml:space="preserve">Roberson E and </w:t>
      </w:r>
      <w:proofErr w:type="spellStart"/>
      <w:r w:rsidRPr="0013097F">
        <w:rPr>
          <w:bCs/>
          <w:sz w:val="20"/>
          <w:szCs w:val="20"/>
          <w:lang w:bidi="ar-EG"/>
        </w:rPr>
        <w:t>Bowcock</w:t>
      </w:r>
      <w:proofErr w:type="spellEnd"/>
      <w:r w:rsidRPr="0013097F">
        <w:rPr>
          <w:bCs/>
          <w:sz w:val="20"/>
          <w:szCs w:val="20"/>
          <w:lang w:bidi="ar-EG"/>
        </w:rPr>
        <w:t xml:space="preserve"> A (2010):</w:t>
      </w:r>
      <w:r w:rsidRPr="0013097F">
        <w:rPr>
          <w:sz w:val="20"/>
          <w:szCs w:val="20"/>
          <w:lang w:bidi="ar-EG"/>
        </w:rPr>
        <w:t xml:space="preserve"> Psoriasis genetics: breaking the barrier. Trends in Genetics; 26:415-23.</w:t>
      </w:r>
    </w:p>
    <w:p w:rsidR="0085413F" w:rsidRPr="0013097F" w:rsidRDefault="0085413F" w:rsidP="0013097F">
      <w:pPr>
        <w:pStyle w:val="ListParagraph"/>
        <w:numPr>
          <w:ilvl w:val="0"/>
          <w:numId w:val="11"/>
        </w:numPr>
        <w:snapToGrid w:val="0"/>
        <w:jc w:val="both"/>
        <w:rPr>
          <w:sz w:val="20"/>
          <w:szCs w:val="20"/>
          <w:lang w:bidi="ar-EG"/>
        </w:rPr>
      </w:pPr>
      <w:proofErr w:type="spellStart"/>
      <w:r w:rsidRPr="0013097F">
        <w:rPr>
          <w:bCs/>
          <w:sz w:val="20"/>
          <w:szCs w:val="20"/>
          <w:lang w:bidi="ar-EG"/>
        </w:rPr>
        <w:t>Selhub</w:t>
      </w:r>
      <w:proofErr w:type="spellEnd"/>
      <w:r w:rsidRPr="0013097F">
        <w:rPr>
          <w:bCs/>
          <w:sz w:val="20"/>
          <w:szCs w:val="20"/>
          <w:lang w:bidi="ar-EG"/>
        </w:rPr>
        <w:t xml:space="preserve"> J (2011)</w:t>
      </w:r>
      <w:r w:rsidR="000D320B" w:rsidRPr="0013097F">
        <w:rPr>
          <w:bCs/>
          <w:sz w:val="20"/>
          <w:szCs w:val="20"/>
          <w:lang w:bidi="ar-EG"/>
        </w:rPr>
        <w:t>:</w:t>
      </w:r>
      <w:r w:rsidR="000D320B">
        <w:rPr>
          <w:bCs/>
          <w:sz w:val="20"/>
          <w:szCs w:val="20"/>
          <w:lang w:bidi="ar-EG"/>
        </w:rPr>
        <w:t xml:space="preserve"> </w:t>
      </w:r>
      <w:proofErr w:type="spellStart"/>
      <w:r w:rsidR="000D320B" w:rsidRPr="0013097F">
        <w:rPr>
          <w:sz w:val="20"/>
          <w:szCs w:val="20"/>
          <w:lang w:bidi="ar-EG"/>
        </w:rPr>
        <w:t>H</w:t>
      </w:r>
      <w:r w:rsidRPr="0013097F">
        <w:rPr>
          <w:sz w:val="20"/>
          <w:szCs w:val="20"/>
          <w:lang w:bidi="ar-EG"/>
        </w:rPr>
        <w:t>omocysteine</w:t>
      </w:r>
      <w:proofErr w:type="spellEnd"/>
      <w:r w:rsidRPr="0013097F">
        <w:rPr>
          <w:sz w:val="20"/>
          <w:szCs w:val="20"/>
          <w:lang w:bidi="ar-EG"/>
        </w:rPr>
        <w:t xml:space="preserve"> metabolism. </w:t>
      </w:r>
      <w:proofErr w:type="spellStart"/>
      <w:r w:rsidRPr="0013097F">
        <w:rPr>
          <w:sz w:val="20"/>
          <w:szCs w:val="20"/>
          <w:lang w:bidi="ar-EG"/>
        </w:rPr>
        <w:t>Annu</w:t>
      </w:r>
      <w:proofErr w:type="spellEnd"/>
      <w:r w:rsidRPr="0013097F">
        <w:rPr>
          <w:sz w:val="20"/>
          <w:szCs w:val="20"/>
          <w:lang w:bidi="ar-EG"/>
        </w:rPr>
        <w:t xml:space="preserve"> Rev </w:t>
      </w:r>
      <w:proofErr w:type="spellStart"/>
      <w:r w:rsidRPr="0013097F">
        <w:rPr>
          <w:sz w:val="20"/>
          <w:szCs w:val="20"/>
          <w:lang w:bidi="ar-EG"/>
        </w:rPr>
        <w:t>Nutr</w:t>
      </w:r>
      <w:proofErr w:type="spellEnd"/>
      <w:r w:rsidRPr="0013097F">
        <w:rPr>
          <w:sz w:val="20"/>
          <w:szCs w:val="20"/>
          <w:lang w:bidi="ar-EG"/>
        </w:rPr>
        <w:t>; 19: 217-46.</w:t>
      </w:r>
    </w:p>
    <w:p w:rsidR="0085413F" w:rsidRPr="0013097F" w:rsidRDefault="0085413F" w:rsidP="0013097F">
      <w:pPr>
        <w:pStyle w:val="ListParagraph"/>
        <w:numPr>
          <w:ilvl w:val="0"/>
          <w:numId w:val="11"/>
        </w:numPr>
        <w:snapToGrid w:val="0"/>
        <w:jc w:val="both"/>
        <w:rPr>
          <w:sz w:val="20"/>
          <w:szCs w:val="20"/>
        </w:rPr>
      </w:pPr>
      <w:r w:rsidRPr="0013097F">
        <w:rPr>
          <w:bCs/>
          <w:sz w:val="20"/>
          <w:szCs w:val="20"/>
        </w:rPr>
        <w:t xml:space="preserve">Tobin AM, Hughes R, Hand EB, Leong T, </w:t>
      </w:r>
      <w:proofErr w:type="spellStart"/>
      <w:r w:rsidRPr="0013097F">
        <w:rPr>
          <w:bCs/>
          <w:sz w:val="20"/>
          <w:szCs w:val="20"/>
        </w:rPr>
        <w:t>Grahm</w:t>
      </w:r>
      <w:proofErr w:type="spellEnd"/>
      <w:r w:rsidRPr="0013097F">
        <w:rPr>
          <w:bCs/>
          <w:sz w:val="20"/>
          <w:szCs w:val="20"/>
        </w:rPr>
        <w:t xml:space="preserve"> IM and Kirby B (2011)</w:t>
      </w:r>
      <w:r w:rsidR="000D320B" w:rsidRPr="0013097F">
        <w:rPr>
          <w:bCs/>
          <w:sz w:val="20"/>
          <w:szCs w:val="20"/>
        </w:rPr>
        <w:t>:</w:t>
      </w:r>
      <w:r w:rsidR="000D320B">
        <w:rPr>
          <w:bCs/>
          <w:sz w:val="20"/>
          <w:szCs w:val="20"/>
        </w:rPr>
        <w:t xml:space="preserve"> </w:t>
      </w:r>
      <w:proofErr w:type="spellStart"/>
      <w:r w:rsidR="000D320B" w:rsidRPr="0013097F">
        <w:rPr>
          <w:sz w:val="20"/>
          <w:szCs w:val="20"/>
        </w:rPr>
        <w:t>H</w:t>
      </w:r>
      <w:r w:rsidRPr="0013097F">
        <w:rPr>
          <w:sz w:val="20"/>
          <w:szCs w:val="20"/>
        </w:rPr>
        <w:t>omocysteine</w:t>
      </w:r>
      <w:proofErr w:type="spellEnd"/>
      <w:r w:rsidRPr="0013097F">
        <w:rPr>
          <w:sz w:val="20"/>
          <w:szCs w:val="20"/>
        </w:rPr>
        <w:t xml:space="preserve"> status and cardiovascular risk factors in patients with psoriasis a case-control study. </w:t>
      </w:r>
      <w:proofErr w:type="spellStart"/>
      <w:r w:rsidRPr="0013097F">
        <w:rPr>
          <w:sz w:val="20"/>
          <w:szCs w:val="20"/>
        </w:rPr>
        <w:t>Clin</w:t>
      </w:r>
      <w:proofErr w:type="spellEnd"/>
      <w:r w:rsidR="007F4D2C">
        <w:rPr>
          <w:rFonts w:eastAsiaTheme="minorEastAsia" w:hint="eastAsia"/>
          <w:sz w:val="20"/>
          <w:szCs w:val="20"/>
          <w:lang w:eastAsia="zh-CN"/>
        </w:rPr>
        <w:t xml:space="preserve"> </w:t>
      </w:r>
      <w:r w:rsidRPr="0013097F">
        <w:rPr>
          <w:sz w:val="20"/>
          <w:szCs w:val="20"/>
        </w:rPr>
        <w:t>Exp</w:t>
      </w:r>
      <w:r w:rsidR="007F4D2C">
        <w:rPr>
          <w:rFonts w:eastAsiaTheme="minorEastAsia" w:hint="eastAsia"/>
          <w:sz w:val="20"/>
          <w:szCs w:val="20"/>
          <w:lang w:eastAsia="zh-CN"/>
        </w:rPr>
        <w:t xml:space="preserve"> </w:t>
      </w:r>
      <w:proofErr w:type="spellStart"/>
      <w:r w:rsidRPr="0013097F">
        <w:rPr>
          <w:sz w:val="20"/>
          <w:szCs w:val="20"/>
        </w:rPr>
        <w:t>Dermatol</w:t>
      </w:r>
      <w:proofErr w:type="spellEnd"/>
      <w:r w:rsidR="000D320B" w:rsidRPr="0013097F">
        <w:rPr>
          <w:sz w:val="20"/>
          <w:szCs w:val="20"/>
        </w:rPr>
        <w:t>;</w:t>
      </w:r>
      <w:r w:rsidRPr="0013097F">
        <w:rPr>
          <w:sz w:val="20"/>
          <w:szCs w:val="20"/>
        </w:rPr>
        <w:t xml:space="preserve"> 36</w:t>
      </w:r>
      <w:r w:rsidR="000D320B" w:rsidRPr="0013097F">
        <w:rPr>
          <w:sz w:val="20"/>
          <w:szCs w:val="20"/>
        </w:rPr>
        <w:t>:</w:t>
      </w:r>
      <w:r w:rsidRPr="0013097F">
        <w:rPr>
          <w:sz w:val="20"/>
          <w:szCs w:val="20"/>
        </w:rPr>
        <w:t>19-23.</w:t>
      </w:r>
    </w:p>
    <w:p w:rsidR="00392CE2" w:rsidRPr="007F4D2C" w:rsidRDefault="0085413F" w:rsidP="00392CE2">
      <w:pPr>
        <w:pStyle w:val="ListParagraph"/>
        <w:numPr>
          <w:ilvl w:val="0"/>
          <w:numId w:val="11"/>
        </w:numPr>
        <w:snapToGrid w:val="0"/>
        <w:ind w:left="425" w:hanging="425"/>
        <w:jc w:val="both"/>
        <w:rPr>
          <w:rStyle w:val="Emphasis"/>
          <w:sz w:val="20"/>
          <w:szCs w:val="20"/>
        </w:rPr>
      </w:pPr>
      <w:proofErr w:type="spellStart"/>
      <w:r w:rsidRPr="007F4D2C">
        <w:rPr>
          <w:bCs/>
          <w:sz w:val="20"/>
          <w:szCs w:val="20"/>
        </w:rPr>
        <w:t>Uslu</w:t>
      </w:r>
      <w:proofErr w:type="spellEnd"/>
      <w:r w:rsidRPr="007F4D2C">
        <w:rPr>
          <w:bCs/>
          <w:sz w:val="20"/>
          <w:szCs w:val="20"/>
        </w:rPr>
        <w:t xml:space="preserve"> M, </w:t>
      </w:r>
      <w:proofErr w:type="spellStart"/>
      <w:r w:rsidRPr="007F4D2C">
        <w:rPr>
          <w:bCs/>
          <w:sz w:val="20"/>
          <w:szCs w:val="20"/>
        </w:rPr>
        <w:t>Karul</w:t>
      </w:r>
      <w:proofErr w:type="spellEnd"/>
      <w:r w:rsidRPr="007F4D2C">
        <w:rPr>
          <w:bCs/>
          <w:sz w:val="20"/>
          <w:szCs w:val="20"/>
        </w:rPr>
        <w:t xml:space="preserve"> A, </w:t>
      </w:r>
      <w:proofErr w:type="spellStart"/>
      <w:r w:rsidRPr="007F4D2C">
        <w:rPr>
          <w:bCs/>
          <w:sz w:val="20"/>
          <w:szCs w:val="20"/>
        </w:rPr>
        <w:t>Gokbulut</w:t>
      </w:r>
      <w:proofErr w:type="spellEnd"/>
      <w:r w:rsidRPr="007F4D2C">
        <w:rPr>
          <w:bCs/>
          <w:sz w:val="20"/>
          <w:szCs w:val="20"/>
        </w:rPr>
        <w:t xml:space="preserve"> C, </w:t>
      </w:r>
      <w:proofErr w:type="spellStart"/>
      <w:r w:rsidRPr="007F4D2C">
        <w:rPr>
          <w:bCs/>
          <w:sz w:val="20"/>
          <w:szCs w:val="20"/>
        </w:rPr>
        <w:t>Kozaci</w:t>
      </w:r>
      <w:proofErr w:type="spellEnd"/>
      <w:r w:rsidRPr="007F4D2C">
        <w:rPr>
          <w:bCs/>
          <w:sz w:val="20"/>
          <w:szCs w:val="20"/>
        </w:rPr>
        <w:t xml:space="preserve"> D and </w:t>
      </w:r>
      <w:proofErr w:type="spellStart"/>
      <w:r w:rsidRPr="007F4D2C">
        <w:rPr>
          <w:bCs/>
          <w:sz w:val="20"/>
          <w:szCs w:val="20"/>
        </w:rPr>
        <w:t>Savk</w:t>
      </w:r>
      <w:proofErr w:type="spellEnd"/>
      <w:r w:rsidRPr="007F4D2C">
        <w:rPr>
          <w:bCs/>
          <w:sz w:val="20"/>
          <w:szCs w:val="20"/>
        </w:rPr>
        <w:t xml:space="preserve"> E (2013):</w:t>
      </w:r>
      <w:r w:rsidRPr="007F4D2C">
        <w:rPr>
          <w:sz w:val="20"/>
          <w:szCs w:val="20"/>
        </w:rPr>
        <w:t xml:space="preserve"> Investigation of the plasma </w:t>
      </w:r>
      <w:proofErr w:type="spellStart"/>
      <w:r w:rsidRPr="007F4D2C">
        <w:rPr>
          <w:sz w:val="20"/>
          <w:szCs w:val="20"/>
        </w:rPr>
        <w:t>homocysteine</w:t>
      </w:r>
      <w:proofErr w:type="spellEnd"/>
      <w:r w:rsidRPr="007F4D2C">
        <w:rPr>
          <w:sz w:val="20"/>
          <w:szCs w:val="20"/>
        </w:rPr>
        <w:t xml:space="preserve"> levels in patients with psoriasis. J Am </w:t>
      </w:r>
      <w:proofErr w:type="spellStart"/>
      <w:r w:rsidRPr="007F4D2C">
        <w:rPr>
          <w:sz w:val="20"/>
          <w:szCs w:val="20"/>
        </w:rPr>
        <w:t>Acad</w:t>
      </w:r>
      <w:proofErr w:type="spellEnd"/>
      <w:r w:rsidR="007F4D2C">
        <w:rPr>
          <w:rFonts w:eastAsiaTheme="minorEastAsia" w:hint="eastAsia"/>
          <w:sz w:val="20"/>
          <w:szCs w:val="20"/>
          <w:lang w:eastAsia="zh-CN"/>
        </w:rPr>
        <w:t xml:space="preserve"> </w:t>
      </w:r>
      <w:proofErr w:type="spellStart"/>
      <w:r w:rsidRPr="007F4D2C">
        <w:rPr>
          <w:sz w:val="20"/>
          <w:szCs w:val="20"/>
        </w:rPr>
        <w:t>Dermatol</w:t>
      </w:r>
      <w:proofErr w:type="spellEnd"/>
      <w:r w:rsidR="000D320B" w:rsidRPr="007F4D2C">
        <w:rPr>
          <w:sz w:val="20"/>
          <w:szCs w:val="20"/>
        </w:rPr>
        <w:t>;</w:t>
      </w:r>
      <w:r w:rsidRPr="007F4D2C">
        <w:rPr>
          <w:sz w:val="20"/>
          <w:szCs w:val="20"/>
        </w:rPr>
        <w:t xml:space="preserve"> 204: 6927.</w:t>
      </w:r>
      <w:r w:rsidR="007F4D2C" w:rsidRPr="007F4D2C">
        <w:rPr>
          <w:rFonts w:eastAsiaTheme="minorEastAsia" w:hint="eastAsia"/>
          <w:sz w:val="20"/>
          <w:szCs w:val="20"/>
          <w:lang w:eastAsia="zh-CN"/>
        </w:rPr>
        <w:t xml:space="preserve"> </w:t>
      </w:r>
    </w:p>
    <w:p w:rsidR="00392CE2" w:rsidRPr="00392CE2" w:rsidRDefault="00392CE2" w:rsidP="00392CE2">
      <w:pPr>
        <w:pStyle w:val="Heading1"/>
        <w:keepNext w:val="0"/>
        <w:bidi w:val="0"/>
        <w:snapToGrid w:val="0"/>
        <w:spacing w:before="0" w:after="0"/>
        <w:ind w:left="425" w:hanging="425"/>
        <w:jc w:val="both"/>
        <w:rPr>
          <w:rStyle w:val="Emphasis"/>
          <w:rFonts w:ascii="Times New Roman" w:hAnsi="Times New Roman"/>
          <w:kern w:val="0"/>
          <w:sz w:val="20"/>
          <w:szCs w:val="20"/>
        </w:rPr>
        <w:sectPr w:rsidR="00392CE2" w:rsidRPr="00392CE2" w:rsidSect="00392CE2">
          <w:headerReference w:type="default" r:id="rId16"/>
          <w:footerReference w:type="default" r:id="rId17"/>
          <w:type w:val="continuous"/>
          <w:pgSz w:w="12242" w:h="15842" w:code="1"/>
          <w:pgMar w:top="1440" w:right="1440" w:bottom="1440" w:left="1440" w:header="720" w:footer="720" w:gutter="0"/>
          <w:cols w:num="2" w:space="600"/>
          <w:docGrid w:linePitch="360"/>
        </w:sectPr>
      </w:pPr>
    </w:p>
    <w:p w:rsidR="00392CE2" w:rsidRDefault="00392CE2" w:rsidP="00392CE2">
      <w:pPr>
        <w:bidi w:val="0"/>
        <w:snapToGrid w:val="0"/>
        <w:ind w:left="425" w:hanging="425"/>
        <w:jc w:val="both"/>
        <w:rPr>
          <w:sz w:val="20"/>
          <w:szCs w:val="20"/>
          <w:lang w:bidi="ar-EG"/>
        </w:rPr>
      </w:pPr>
    </w:p>
    <w:p w:rsidR="00392CE2" w:rsidRDefault="00392CE2" w:rsidP="00392CE2">
      <w:pPr>
        <w:bidi w:val="0"/>
        <w:snapToGrid w:val="0"/>
        <w:ind w:left="425" w:hanging="425"/>
        <w:jc w:val="both"/>
        <w:rPr>
          <w:rFonts w:eastAsiaTheme="minorEastAsia"/>
          <w:sz w:val="20"/>
          <w:szCs w:val="20"/>
          <w:lang w:eastAsia="zh-CN" w:bidi="ar-EG"/>
        </w:rPr>
      </w:pPr>
    </w:p>
    <w:p w:rsidR="00392CE2" w:rsidRPr="00392CE2" w:rsidRDefault="00392CE2" w:rsidP="00392CE2">
      <w:pPr>
        <w:bidi w:val="0"/>
        <w:snapToGrid w:val="0"/>
        <w:ind w:left="425" w:hanging="425"/>
        <w:jc w:val="both"/>
        <w:rPr>
          <w:rFonts w:eastAsiaTheme="minorEastAsia"/>
          <w:sz w:val="20"/>
          <w:szCs w:val="20"/>
          <w:lang w:eastAsia="zh-CN" w:bidi="ar-EG"/>
        </w:rPr>
      </w:pPr>
    </w:p>
    <w:p w:rsidR="00765251" w:rsidRPr="00392CE2" w:rsidRDefault="00392CE2" w:rsidP="00392CE2">
      <w:pPr>
        <w:bidi w:val="0"/>
        <w:snapToGrid w:val="0"/>
        <w:ind w:left="425" w:hanging="425"/>
        <w:jc w:val="both"/>
        <w:rPr>
          <w:sz w:val="20"/>
          <w:szCs w:val="20"/>
          <w:lang w:bidi="ar-EG"/>
        </w:rPr>
      </w:pPr>
      <w:r w:rsidRPr="00392CE2">
        <w:rPr>
          <w:sz w:val="20"/>
          <w:szCs w:val="20"/>
          <w:lang w:bidi="ar-EG"/>
        </w:rPr>
        <w:t>1/1/2017</w:t>
      </w:r>
    </w:p>
    <w:sectPr w:rsidR="00765251" w:rsidRPr="00392CE2" w:rsidSect="004758F4">
      <w:headerReference w:type="default" r:id="rId18"/>
      <w:footerReference w:type="default" r:id="rId1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7B" w:rsidRDefault="00B3577B" w:rsidP="00606722">
      <w:r>
        <w:separator/>
      </w:r>
    </w:p>
  </w:endnote>
  <w:endnote w:type="continuationSeparator" w:id="0">
    <w:p w:rsidR="00B3577B" w:rsidRDefault="00B3577B" w:rsidP="006067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7E23C1" w:rsidP="00392CE2">
    <w:pPr>
      <w:bidi w:val="0"/>
      <w:jc w:val="center"/>
      <w:rPr>
        <w:sz w:val="20"/>
      </w:rPr>
    </w:pPr>
    <w:r w:rsidRPr="00392CE2">
      <w:rPr>
        <w:sz w:val="20"/>
      </w:rPr>
      <w:fldChar w:fldCharType="begin"/>
    </w:r>
    <w:r w:rsidR="00392CE2" w:rsidRPr="00392CE2">
      <w:rPr>
        <w:sz w:val="20"/>
      </w:rPr>
      <w:instrText xml:space="preserve"> page </w:instrText>
    </w:r>
    <w:r w:rsidRPr="00392CE2">
      <w:rPr>
        <w:sz w:val="20"/>
      </w:rPr>
      <w:fldChar w:fldCharType="separate"/>
    </w:r>
    <w:r w:rsidR="007F4D2C">
      <w:rPr>
        <w:noProof/>
        <w:sz w:val="20"/>
      </w:rPr>
      <w:t>29</w:t>
    </w:r>
    <w:r w:rsidRPr="00392CE2">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7E23C1" w:rsidP="00392CE2">
    <w:pPr>
      <w:bidi w:val="0"/>
      <w:jc w:val="center"/>
      <w:rPr>
        <w:sz w:val="20"/>
      </w:rPr>
    </w:pPr>
    <w:r w:rsidRPr="00392CE2">
      <w:rPr>
        <w:sz w:val="20"/>
      </w:rPr>
      <w:fldChar w:fldCharType="begin"/>
    </w:r>
    <w:r w:rsidR="00392CE2" w:rsidRPr="00392CE2">
      <w:rPr>
        <w:sz w:val="20"/>
      </w:rPr>
      <w:instrText xml:space="preserve"> page </w:instrText>
    </w:r>
    <w:r w:rsidRPr="00392CE2">
      <w:rPr>
        <w:sz w:val="20"/>
      </w:rPr>
      <w:fldChar w:fldCharType="separate"/>
    </w:r>
    <w:r w:rsidR="007F4D2C">
      <w:rPr>
        <w:noProof/>
        <w:sz w:val="20"/>
      </w:rPr>
      <w:t>30</w:t>
    </w:r>
    <w:r w:rsidRPr="00392CE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7E23C1" w:rsidP="00392CE2">
    <w:pPr>
      <w:bidi w:val="0"/>
      <w:jc w:val="center"/>
      <w:rPr>
        <w:sz w:val="20"/>
      </w:rPr>
    </w:pPr>
    <w:r w:rsidRPr="00392CE2">
      <w:rPr>
        <w:sz w:val="20"/>
      </w:rPr>
      <w:fldChar w:fldCharType="begin"/>
    </w:r>
    <w:r w:rsidR="00392CE2" w:rsidRPr="00392CE2">
      <w:rPr>
        <w:sz w:val="20"/>
      </w:rPr>
      <w:instrText xml:space="preserve"> page </w:instrText>
    </w:r>
    <w:r w:rsidRPr="00392CE2">
      <w:rPr>
        <w:sz w:val="20"/>
      </w:rPr>
      <w:fldChar w:fldCharType="separate"/>
    </w:r>
    <w:r w:rsidR="007F4D2C">
      <w:rPr>
        <w:noProof/>
        <w:sz w:val="20"/>
      </w:rPr>
      <w:t>31</w:t>
    </w:r>
    <w:r w:rsidRPr="00392CE2">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7E23C1" w:rsidP="00392CE2">
    <w:pPr>
      <w:bidi w:val="0"/>
      <w:jc w:val="center"/>
      <w:rPr>
        <w:sz w:val="20"/>
      </w:rPr>
    </w:pPr>
    <w:r w:rsidRPr="00392CE2">
      <w:rPr>
        <w:sz w:val="20"/>
      </w:rPr>
      <w:fldChar w:fldCharType="begin"/>
    </w:r>
    <w:r w:rsidR="00392CE2" w:rsidRPr="00392CE2">
      <w:rPr>
        <w:sz w:val="20"/>
      </w:rPr>
      <w:instrText xml:space="preserve"> page </w:instrText>
    </w:r>
    <w:r w:rsidRPr="00392CE2">
      <w:rPr>
        <w:sz w:val="20"/>
      </w:rPr>
      <w:fldChar w:fldCharType="separate"/>
    </w:r>
    <w:r w:rsidR="007F4D2C">
      <w:rPr>
        <w:noProof/>
        <w:sz w:val="20"/>
      </w:rPr>
      <w:t>32</w:t>
    </w:r>
    <w:r w:rsidRPr="00392CE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7E23C1" w:rsidP="00392CE2">
    <w:pPr>
      <w:bidi w:val="0"/>
      <w:jc w:val="center"/>
      <w:rPr>
        <w:sz w:val="20"/>
      </w:rPr>
    </w:pPr>
    <w:r w:rsidRPr="00392CE2">
      <w:rPr>
        <w:sz w:val="20"/>
      </w:rPr>
      <w:fldChar w:fldCharType="begin"/>
    </w:r>
    <w:r w:rsidR="00392CE2" w:rsidRPr="00392CE2">
      <w:rPr>
        <w:sz w:val="20"/>
      </w:rPr>
      <w:instrText xml:space="preserve"> page </w:instrText>
    </w:r>
    <w:r w:rsidRPr="00392CE2">
      <w:rPr>
        <w:sz w:val="20"/>
      </w:rPr>
      <w:fldChar w:fldCharType="separate"/>
    </w:r>
    <w:r w:rsidR="00392CE2">
      <w:rPr>
        <w:noProof/>
        <w:sz w:val="20"/>
      </w:rPr>
      <w:t>1</w:t>
    </w:r>
    <w:r w:rsidRPr="00392CE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7B" w:rsidRDefault="00B3577B" w:rsidP="00606722">
      <w:r>
        <w:separator/>
      </w:r>
    </w:p>
  </w:footnote>
  <w:footnote w:type="continuationSeparator" w:id="0">
    <w:p w:rsidR="00B3577B" w:rsidRDefault="00B3577B" w:rsidP="00606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392CE2" w:rsidP="00392CE2">
    <w:pPr>
      <w:pBdr>
        <w:bottom w:val="thinThickMediumGap" w:sz="12" w:space="1" w:color="auto"/>
      </w:pBdr>
      <w:tabs>
        <w:tab w:val="left" w:pos="851"/>
        <w:tab w:val="right" w:pos="8364"/>
      </w:tabs>
      <w:bidi w:val="0"/>
      <w:adjustRightInd w:val="0"/>
      <w:snapToGrid w:val="0"/>
      <w:jc w:val="both"/>
      <w:rPr>
        <w:iCs/>
        <w:sz w:val="20"/>
        <w:szCs w:val="20"/>
      </w:rPr>
    </w:pPr>
    <w:r w:rsidRPr="00392CE2">
      <w:rPr>
        <w:rFonts w:hint="eastAsia"/>
        <w:sz w:val="20"/>
        <w:szCs w:val="20"/>
      </w:rPr>
      <w:tab/>
    </w:r>
    <w:r w:rsidRPr="00392CE2">
      <w:rPr>
        <w:sz w:val="20"/>
        <w:szCs w:val="20"/>
      </w:rPr>
      <w:t>New York Science Journal 201</w:t>
    </w:r>
    <w:r w:rsidRPr="00392CE2">
      <w:rPr>
        <w:rFonts w:hint="eastAsia"/>
        <w:sz w:val="20"/>
        <w:szCs w:val="20"/>
      </w:rPr>
      <w:t>7</w:t>
    </w:r>
    <w:r w:rsidRPr="00392CE2">
      <w:rPr>
        <w:sz w:val="20"/>
        <w:szCs w:val="20"/>
      </w:rPr>
      <w:t>;</w:t>
    </w:r>
    <w:r w:rsidRPr="00392CE2">
      <w:rPr>
        <w:rFonts w:hint="eastAsia"/>
        <w:sz w:val="20"/>
        <w:szCs w:val="20"/>
      </w:rPr>
      <w:t>10</w:t>
    </w:r>
    <w:r w:rsidRPr="00392CE2">
      <w:rPr>
        <w:sz w:val="20"/>
        <w:szCs w:val="20"/>
      </w:rPr>
      <w:t>(</w:t>
    </w:r>
    <w:r w:rsidRPr="00392CE2">
      <w:rPr>
        <w:rFonts w:hint="eastAsia"/>
        <w:sz w:val="20"/>
        <w:szCs w:val="20"/>
      </w:rPr>
      <w:t>1</w:t>
    </w:r>
    <w:r w:rsidRPr="00392CE2">
      <w:rPr>
        <w:sz w:val="20"/>
        <w:szCs w:val="20"/>
      </w:rPr>
      <w:t>)</w:t>
    </w:r>
    <w:r w:rsidRPr="00392CE2">
      <w:rPr>
        <w:iCs/>
        <w:sz w:val="20"/>
        <w:szCs w:val="20"/>
      </w:rPr>
      <w:t xml:space="preserve">     </w:t>
    </w:r>
    <w:r w:rsidRPr="00392CE2">
      <w:rPr>
        <w:rFonts w:hint="eastAsia"/>
        <w:iCs/>
        <w:sz w:val="20"/>
        <w:szCs w:val="20"/>
      </w:rPr>
      <w:tab/>
    </w:r>
    <w:r w:rsidRPr="00392CE2">
      <w:rPr>
        <w:iCs/>
        <w:sz w:val="20"/>
        <w:szCs w:val="20"/>
      </w:rPr>
      <w:t xml:space="preserve"> </w:t>
    </w:r>
    <w:r w:rsidRPr="00392CE2">
      <w:rPr>
        <w:rFonts w:hint="eastAsia"/>
        <w:iCs/>
        <w:sz w:val="20"/>
        <w:szCs w:val="20"/>
      </w:rPr>
      <w:t xml:space="preserve"> </w:t>
    </w:r>
    <w:r w:rsidRPr="00392CE2">
      <w:rPr>
        <w:iCs/>
        <w:sz w:val="20"/>
        <w:szCs w:val="20"/>
      </w:rPr>
      <w:t xml:space="preserve">   </w:t>
    </w:r>
    <w:hyperlink r:id="rId1" w:history="1">
      <w:r w:rsidRPr="00392CE2">
        <w:rPr>
          <w:rStyle w:val="Hyperlink"/>
          <w:color w:val="0000FF"/>
          <w:sz w:val="20"/>
          <w:szCs w:val="20"/>
        </w:rPr>
        <w:t>http://www.sciencepub.net/newyork</w:t>
      </w:r>
    </w:hyperlink>
  </w:p>
  <w:p w:rsidR="00392CE2" w:rsidRPr="00392CE2" w:rsidRDefault="00392CE2" w:rsidP="00392CE2">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392CE2" w:rsidP="00392CE2">
    <w:pPr>
      <w:pBdr>
        <w:bottom w:val="thinThickMediumGap" w:sz="12" w:space="1" w:color="auto"/>
      </w:pBdr>
      <w:tabs>
        <w:tab w:val="left" w:pos="851"/>
        <w:tab w:val="right" w:pos="8364"/>
      </w:tabs>
      <w:bidi w:val="0"/>
      <w:adjustRightInd w:val="0"/>
      <w:snapToGrid w:val="0"/>
      <w:jc w:val="both"/>
      <w:rPr>
        <w:iCs/>
        <w:sz w:val="20"/>
        <w:szCs w:val="20"/>
      </w:rPr>
    </w:pPr>
    <w:r w:rsidRPr="00392CE2">
      <w:rPr>
        <w:rFonts w:hint="eastAsia"/>
        <w:sz w:val="20"/>
        <w:szCs w:val="20"/>
      </w:rPr>
      <w:tab/>
    </w:r>
    <w:r w:rsidRPr="00392CE2">
      <w:rPr>
        <w:sz w:val="20"/>
        <w:szCs w:val="20"/>
      </w:rPr>
      <w:t>New York Science Journal 201</w:t>
    </w:r>
    <w:r w:rsidRPr="00392CE2">
      <w:rPr>
        <w:rFonts w:hint="eastAsia"/>
        <w:sz w:val="20"/>
        <w:szCs w:val="20"/>
      </w:rPr>
      <w:t>7</w:t>
    </w:r>
    <w:r w:rsidRPr="00392CE2">
      <w:rPr>
        <w:sz w:val="20"/>
        <w:szCs w:val="20"/>
      </w:rPr>
      <w:t>;</w:t>
    </w:r>
    <w:r w:rsidRPr="00392CE2">
      <w:rPr>
        <w:rFonts w:hint="eastAsia"/>
        <w:sz w:val="20"/>
        <w:szCs w:val="20"/>
      </w:rPr>
      <w:t>10</w:t>
    </w:r>
    <w:r w:rsidRPr="00392CE2">
      <w:rPr>
        <w:sz w:val="20"/>
        <w:szCs w:val="20"/>
      </w:rPr>
      <w:t>(</w:t>
    </w:r>
    <w:r w:rsidRPr="00392CE2">
      <w:rPr>
        <w:rFonts w:hint="eastAsia"/>
        <w:sz w:val="20"/>
        <w:szCs w:val="20"/>
      </w:rPr>
      <w:t>1</w:t>
    </w:r>
    <w:r w:rsidRPr="00392CE2">
      <w:rPr>
        <w:sz w:val="20"/>
        <w:szCs w:val="20"/>
      </w:rPr>
      <w:t>)</w:t>
    </w:r>
    <w:r w:rsidRPr="00392CE2">
      <w:rPr>
        <w:iCs/>
        <w:sz w:val="20"/>
        <w:szCs w:val="20"/>
      </w:rPr>
      <w:t xml:space="preserve">     </w:t>
    </w:r>
    <w:r w:rsidRPr="00392CE2">
      <w:rPr>
        <w:rFonts w:hint="eastAsia"/>
        <w:iCs/>
        <w:sz w:val="20"/>
        <w:szCs w:val="20"/>
      </w:rPr>
      <w:tab/>
    </w:r>
    <w:r w:rsidRPr="00392CE2">
      <w:rPr>
        <w:iCs/>
        <w:sz w:val="20"/>
        <w:szCs w:val="20"/>
      </w:rPr>
      <w:t xml:space="preserve"> </w:t>
    </w:r>
    <w:r w:rsidRPr="00392CE2">
      <w:rPr>
        <w:rFonts w:hint="eastAsia"/>
        <w:iCs/>
        <w:sz w:val="20"/>
        <w:szCs w:val="20"/>
      </w:rPr>
      <w:t xml:space="preserve"> </w:t>
    </w:r>
    <w:r w:rsidRPr="00392CE2">
      <w:rPr>
        <w:iCs/>
        <w:sz w:val="20"/>
        <w:szCs w:val="20"/>
      </w:rPr>
      <w:t xml:space="preserve">   </w:t>
    </w:r>
    <w:hyperlink r:id="rId1" w:history="1">
      <w:r w:rsidRPr="00392CE2">
        <w:rPr>
          <w:rStyle w:val="Hyperlink"/>
          <w:color w:val="0000FF"/>
          <w:sz w:val="20"/>
          <w:szCs w:val="20"/>
        </w:rPr>
        <w:t>http://www.sciencepub.net/newyork</w:t>
      </w:r>
    </w:hyperlink>
  </w:p>
  <w:p w:rsidR="00392CE2" w:rsidRPr="00392CE2" w:rsidRDefault="00392CE2" w:rsidP="00392CE2">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392CE2" w:rsidP="00392CE2">
    <w:pPr>
      <w:pBdr>
        <w:bottom w:val="thinThickMediumGap" w:sz="12" w:space="1" w:color="auto"/>
      </w:pBdr>
      <w:tabs>
        <w:tab w:val="left" w:pos="851"/>
        <w:tab w:val="right" w:pos="8364"/>
      </w:tabs>
      <w:bidi w:val="0"/>
      <w:adjustRightInd w:val="0"/>
      <w:snapToGrid w:val="0"/>
      <w:jc w:val="both"/>
      <w:rPr>
        <w:iCs/>
        <w:sz w:val="20"/>
        <w:szCs w:val="20"/>
      </w:rPr>
    </w:pPr>
    <w:r w:rsidRPr="00392CE2">
      <w:rPr>
        <w:rFonts w:hint="eastAsia"/>
        <w:sz w:val="20"/>
        <w:szCs w:val="20"/>
      </w:rPr>
      <w:tab/>
    </w:r>
    <w:r w:rsidRPr="00392CE2">
      <w:rPr>
        <w:sz w:val="20"/>
        <w:szCs w:val="20"/>
      </w:rPr>
      <w:t>New York Science Journal 201</w:t>
    </w:r>
    <w:r w:rsidRPr="00392CE2">
      <w:rPr>
        <w:rFonts w:hint="eastAsia"/>
        <w:sz w:val="20"/>
        <w:szCs w:val="20"/>
      </w:rPr>
      <w:t>7</w:t>
    </w:r>
    <w:r w:rsidRPr="00392CE2">
      <w:rPr>
        <w:sz w:val="20"/>
        <w:szCs w:val="20"/>
      </w:rPr>
      <w:t>;</w:t>
    </w:r>
    <w:r w:rsidRPr="00392CE2">
      <w:rPr>
        <w:rFonts w:hint="eastAsia"/>
        <w:sz w:val="20"/>
        <w:szCs w:val="20"/>
      </w:rPr>
      <w:t>10</w:t>
    </w:r>
    <w:r w:rsidRPr="00392CE2">
      <w:rPr>
        <w:sz w:val="20"/>
        <w:szCs w:val="20"/>
      </w:rPr>
      <w:t>(</w:t>
    </w:r>
    <w:r w:rsidRPr="00392CE2">
      <w:rPr>
        <w:rFonts w:hint="eastAsia"/>
        <w:sz w:val="20"/>
        <w:szCs w:val="20"/>
      </w:rPr>
      <w:t>1</w:t>
    </w:r>
    <w:r w:rsidRPr="00392CE2">
      <w:rPr>
        <w:sz w:val="20"/>
        <w:szCs w:val="20"/>
      </w:rPr>
      <w:t>)</w:t>
    </w:r>
    <w:r w:rsidRPr="00392CE2">
      <w:rPr>
        <w:iCs/>
        <w:sz w:val="20"/>
        <w:szCs w:val="20"/>
      </w:rPr>
      <w:t xml:space="preserve">     </w:t>
    </w:r>
    <w:r w:rsidRPr="00392CE2">
      <w:rPr>
        <w:rFonts w:hint="eastAsia"/>
        <w:iCs/>
        <w:sz w:val="20"/>
        <w:szCs w:val="20"/>
      </w:rPr>
      <w:tab/>
    </w:r>
    <w:r w:rsidRPr="00392CE2">
      <w:rPr>
        <w:iCs/>
        <w:sz w:val="20"/>
        <w:szCs w:val="20"/>
      </w:rPr>
      <w:t xml:space="preserve"> </w:t>
    </w:r>
    <w:r w:rsidRPr="00392CE2">
      <w:rPr>
        <w:rFonts w:hint="eastAsia"/>
        <w:iCs/>
        <w:sz w:val="20"/>
        <w:szCs w:val="20"/>
      </w:rPr>
      <w:t xml:space="preserve"> </w:t>
    </w:r>
    <w:r w:rsidRPr="00392CE2">
      <w:rPr>
        <w:iCs/>
        <w:sz w:val="20"/>
        <w:szCs w:val="20"/>
      </w:rPr>
      <w:t xml:space="preserve">   </w:t>
    </w:r>
    <w:hyperlink r:id="rId1" w:history="1">
      <w:r w:rsidRPr="00392CE2">
        <w:rPr>
          <w:rStyle w:val="Hyperlink"/>
          <w:color w:val="0000FF"/>
          <w:sz w:val="20"/>
          <w:szCs w:val="20"/>
        </w:rPr>
        <w:t>http://www.sciencepub.net/newyork</w:t>
      </w:r>
    </w:hyperlink>
  </w:p>
  <w:p w:rsidR="00392CE2" w:rsidRPr="00392CE2" w:rsidRDefault="00392CE2" w:rsidP="00392CE2">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392CE2" w:rsidP="00392CE2">
    <w:pPr>
      <w:pBdr>
        <w:bottom w:val="thinThickMediumGap" w:sz="12" w:space="1" w:color="auto"/>
      </w:pBdr>
      <w:tabs>
        <w:tab w:val="left" w:pos="851"/>
        <w:tab w:val="right" w:pos="8364"/>
      </w:tabs>
      <w:bidi w:val="0"/>
      <w:adjustRightInd w:val="0"/>
      <w:snapToGrid w:val="0"/>
      <w:jc w:val="both"/>
      <w:rPr>
        <w:iCs/>
        <w:sz w:val="20"/>
        <w:szCs w:val="20"/>
      </w:rPr>
    </w:pPr>
    <w:r w:rsidRPr="00392CE2">
      <w:rPr>
        <w:rFonts w:hint="eastAsia"/>
        <w:sz w:val="20"/>
        <w:szCs w:val="20"/>
      </w:rPr>
      <w:tab/>
    </w:r>
    <w:r w:rsidRPr="00392CE2">
      <w:rPr>
        <w:sz w:val="20"/>
        <w:szCs w:val="20"/>
      </w:rPr>
      <w:t>New York Science Journal 201</w:t>
    </w:r>
    <w:r w:rsidRPr="00392CE2">
      <w:rPr>
        <w:rFonts w:hint="eastAsia"/>
        <w:sz w:val="20"/>
        <w:szCs w:val="20"/>
      </w:rPr>
      <w:t>7</w:t>
    </w:r>
    <w:r w:rsidRPr="00392CE2">
      <w:rPr>
        <w:sz w:val="20"/>
        <w:szCs w:val="20"/>
      </w:rPr>
      <w:t>;</w:t>
    </w:r>
    <w:r w:rsidRPr="00392CE2">
      <w:rPr>
        <w:rFonts w:hint="eastAsia"/>
        <w:sz w:val="20"/>
        <w:szCs w:val="20"/>
      </w:rPr>
      <w:t>10</w:t>
    </w:r>
    <w:r w:rsidRPr="00392CE2">
      <w:rPr>
        <w:sz w:val="20"/>
        <w:szCs w:val="20"/>
      </w:rPr>
      <w:t>(</w:t>
    </w:r>
    <w:r w:rsidRPr="00392CE2">
      <w:rPr>
        <w:rFonts w:hint="eastAsia"/>
        <w:sz w:val="20"/>
        <w:szCs w:val="20"/>
      </w:rPr>
      <w:t>1</w:t>
    </w:r>
    <w:r w:rsidRPr="00392CE2">
      <w:rPr>
        <w:sz w:val="20"/>
        <w:szCs w:val="20"/>
      </w:rPr>
      <w:t>)</w:t>
    </w:r>
    <w:r w:rsidRPr="00392CE2">
      <w:rPr>
        <w:iCs/>
        <w:sz w:val="20"/>
        <w:szCs w:val="20"/>
      </w:rPr>
      <w:t xml:space="preserve">     </w:t>
    </w:r>
    <w:r w:rsidRPr="00392CE2">
      <w:rPr>
        <w:rFonts w:hint="eastAsia"/>
        <w:iCs/>
        <w:sz w:val="20"/>
        <w:szCs w:val="20"/>
      </w:rPr>
      <w:tab/>
    </w:r>
    <w:r w:rsidRPr="00392CE2">
      <w:rPr>
        <w:iCs/>
        <w:sz w:val="20"/>
        <w:szCs w:val="20"/>
      </w:rPr>
      <w:t xml:space="preserve"> </w:t>
    </w:r>
    <w:r w:rsidRPr="00392CE2">
      <w:rPr>
        <w:rFonts w:hint="eastAsia"/>
        <w:iCs/>
        <w:sz w:val="20"/>
        <w:szCs w:val="20"/>
      </w:rPr>
      <w:t xml:space="preserve"> </w:t>
    </w:r>
    <w:r w:rsidRPr="00392CE2">
      <w:rPr>
        <w:iCs/>
        <w:sz w:val="20"/>
        <w:szCs w:val="20"/>
      </w:rPr>
      <w:t xml:space="preserve">   </w:t>
    </w:r>
    <w:hyperlink r:id="rId1" w:history="1">
      <w:r w:rsidRPr="00392CE2">
        <w:rPr>
          <w:rStyle w:val="Hyperlink"/>
          <w:color w:val="0000FF"/>
          <w:sz w:val="20"/>
          <w:szCs w:val="20"/>
        </w:rPr>
        <w:t>http://www.sciencepub.net/newyork</w:t>
      </w:r>
    </w:hyperlink>
  </w:p>
  <w:p w:rsidR="00392CE2" w:rsidRPr="00392CE2" w:rsidRDefault="00392CE2" w:rsidP="00392CE2">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2" w:rsidRPr="00392CE2" w:rsidRDefault="00392CE2" w:rsidP="00392CE2">
    <w:pPr>
      <w:pBdr>
        <w:bottom w:val="thinThickMediumGap" w:sz="12" w:space="1" w:color="auto"/>
      </w:pBdr>
      <w:tabs>
        <w:tab w:val="left" w:pos="851"/>
        <w:tab w:val="right" w:pos="8364"/>
      </w:tabs>
      <w:bidi w:val="0"/>
      <w:adjustRightInd w:val="0"/>
      <w:snapToGrid w:val="0"/>
      <w:jc w:val="both"/>
      <w:rPr>
        <w:iCs/>
        <w:sz w:val="20"/>
        <w:szCs w:val="20"/>
      </w:rPr>
    </w:pPr>
    <w:r w:rsidRPr="00392CE2">
      <w:rPr>
        <w:rFonts w:hint="eastAsia"/>
        <w:sz w:val="20"/>
        <w:szCs w:val="20"/>
      </w:rPr>
      <w:tab/>
    </w:r>
    <w:r w:rsidRPr="00392CE2">
      <w:rPr>
        <w:sz w:val="20"/>
        <w:szCs w:val="20"/>
      </w:rPr>
      <w:t>New York Science Journal 201</w:t>
    </w:r>
    <w:r w:rsidRPr="00392CE2">
      <w:rPr>
        <w:rFonts w:hint="eastAsia"/>
        <w:sz w:val="20"/>
        <w:szCs w:val="20"/>
      </w:rPr>
      <w:t>7</w:t>
    </w:r>
    <w:r w:rsidRPr="00392CE2">
      <w:rPr>
        <w:sz w:val="20"/>
        <w:szCs w:val="20"/>
      </w:rPr>
      <w:t>;</w:t>
    </w:r>
    <w:r w:rsidRPr="00392CE2">
      <w:rPr>
        <w:rFonts w:hint="eastAsia"/>
        <w:sz w:val="20"/>
        <w:szCs w:val="20"/>
      </w:rPr>
      <w:t>10</w:t>
    </w:r>
    <w:r w:rsidRPr="00392CE2">
      <w:rPr>
        <w:sz w:val="20"/>
        <w:szCs w:val="20"/>
      </w:rPr>
      <w:t>(</w:t>
    </w:r>
    <w:r w:rsidRPr="00392CE2">
      <w:rPr>
        <w:rFonts w:hint="eastAsia"/>
        <w:sz w:val="20"/>
        <w:szCs w:val="20"/>
      </w:rPr>
      <w:t>1</w:t>
    </w:r>
    <w:r w:rsidRPr="00392CE2">
      <w:rPr>
        <w:sz w:val="20"/>
        <w:szCs w:val="20"/>
      </w:rPr>
      <w:t>)</w:t>
    </w:r>
    <w:r w:rsidRPr="00392CE2">
      <w:rPr>
        <w:iCs/>
        <w:sz w:val="20"/>
        <w:szCs w:val="20"/>
      </w:rPr>
      <w:t xml:space="preserve">     </w:t>
    </w:r>
    <w:r w:rsidRPr="00392CE2">
      <w:rPr>
        <w:rFonts w:hint="eastAsia"/>
        <w:iCs/>
        <w:sz w:val="20"/>
        <w:szCs w:val="20"/>
      </w:rPr>
      <w:tab/>
    </w:r>
    <w:r w:rsidRPr="00392CE2">
      <w:rPr>
        <w:iCs/>
        <w:sz w:val="20"/>
        <w:szCs w:val="20"/>
      </w:rPr>
      <w:t xml:space="preserve"> </w:t>
    </w:r>
    <w:r w:rsidRPr="00392CE2">
      <w:rPr>
        <w:rFonts w:hint="eastAsia"/>
        <w:iCs/>
        <w:sz w:val="20"/>
        <w:szCs w:val="20"/>
      </w:rPr>
      <w:t xml:space="preserve"> </w:t>
    </w:r>
    <w:r w:rsidRPr="00392CE2">
      <w:rPr>
        <w:iCs/>
        <w:sz w:val="20"/>
        <w:szCs w:val="20"/>
      </w:rPr>
      <w:t xml:space="preserve">   </w:t>
    </w:r>
    <w:hyperlink r:id="rId1" w:history="1">
      <w:r w:rsidRPr="00392CE2">
        <w:rPr>
          <w:rStyle w:val="Hyperlink"/>
          <w:color w:val="0000FF"/>
          <w:sz w:val="20"/>
          <w:szCs w:val="20"/>
        </w:rPr>
        <w:t>http://www.sciencepub.net/newyork</w:t>
      </w:r>
    </w:hyperlink>
  </w:p>
  <w:p w:rsidR="00392CE2" w:rsidRPr="00392CE2" w:rsidRDefault="00392CE2" w:rsidP="00392CE2">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5FC"/>
    <w:multiLevelType w:val="hybridMultilevel"/>
    <w:tmpl w:val="709695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493D3A"/>
    <w:multiLevelType w:val="hybridMultilevel"/>
    <w:tmpl w:val="4B625D22"/>
    <w:lvl w:ilvl="0" w:tplc="404E5C7E">
      <w:start w:val="1"/>
      <w:numFmt w:val="bullet"/>
      <w:lvlText w:val="•"/>
      <w:lvlJc w:val="left"/>
      <w:pPr>
        <w:tabs>
          <w:tab w:val="num" w:pos="720"/>
        </w:tabs>
        <w:ind w:left="720" w:hanging="360"/>
      </w:pPr>
      <w:rPr>
        <w:rFonts w:ascii="Arial" w:hAnsi="Arial" w:hint="default"/>
      </w:rPr>
    </w:lvl>
    <w:lvl w:ilvl="1" w:tplc="DD6CFFCA" w:tentative="1">
      <w:start w:val="1"/>
      <w:numFmt w:val="bullet"/>
      <w:lvlText w:val="•"/>
      <w:lvlJc w:val="left"/>
      <w:pPr>
        <w:tabs>
          <w:tab w:val="num" w:pos="1440"/>
        </w:tabs>
        <w:ind w:left="1440" w:hanging="360"/>
      </w:pPr>
      <w:rPr>
        <w:rFonts w:ascii="Arial" w:hAnsi="Arial" w:hint="default"/>
      </w:rPr>
    </w:lvl>
    <w:lvl w:ilvl="2" w:tplc="78689C7C" w:tentative="1">
      <w:start w:val="1"/>
      <w:numFmt w:val="bullet"/>
      <w:lvlText w:val="•"/>
      <w:lvlJc w:val="left"/>
      <w:pPr>
        <w:tabs>
          <w:tab w:val="num" w:pos="2160"/>
        </w:tabs>
        <w:ind w:left="2160" w:hanging="360"/>
      </w:pPr>
      <w:rPr>
        <w:rFonts w:ascii="Arial" w:hAnsi="Arial" w:hint="default"/>
      </w:rPr>
    </w:lvl>
    <w:lvl w:ilvl="3" w:tplc="A7C474B4" w:tentative="1">
      <w:start w:val="1"/>
      <w:numFmt w:val="bullet"/>
      <w:lvlText w:val="•"/>
      <w:lvlJc w:val="left"/>
      <w:pPr>
        <w:tabs>
          <w:tab w:val="num" w:pos="2880"/>
        </w:tabs>
        <w:ind w:left="2880" w:hanging="360"/>
      </w:pPr>
      <w:rPr>
        <w:rFonts w:ascii="Arial" w:hAnsi="Arial" w:hint="default"/>
      </w:rPr>
    </w:lvl>
    <w:lvl w:ilvl="4" w:tplc="AECC4F66" w:tentative="1">
      <w:start w:val="1"/>
      <w:numFmt w:val="bullet"/>
      <w:lvlText w:val="•"/>
      <w:lvlJc w:val="left"/>
      <w:pPr>
        <w:tabs>
          <w:tab w:val="num" w:pos="3600"/>
        </w:tabs>
        <w:ind w:left="3600" w:hanging="360"/>
      </w:pPr>
      <w:rPr>
        <w:rFonts w:ascii="Arial" w:hAnsi="Arial" w:hint="default"/>
      </w:rPr>
    </w:lvl>
    <w:lvl w:ilvl="5" w:tplc="55005360" w:tentative="1">
      <w:start w:val="1"/>
      <w:numFmt w:val="bullet"/>
      <w:lvlText w:val="•"/>
      <w:lvlJc w:val="left"/>
      <w:pPr>
        <w:tabs>
          <w:tab w:val="num" w:pos="4320"/>
        </w:tabs>
        <w:ind w:left="4320" w:hanging="360"/>
      </w:pPr>
      <w:rPr>
        <w:rFonts w:ascii="Arial" w:hAnsi="Arial" w:hint="default"/>
      </w:rPr>
    </w:lvl>
    <w:lvl w:ilvl="6" w:tplc="E1F2872A" w:tentative="1">
      <w:start w:val="1"/>
      <w:numFmt w:val="bullet"/>
      <w:lvlText w:val="•"/>
      <w:lvlJc w:val="left"/>
      <w:pPr>
        <w:tabs>
          <w:tab w:val="num" w:pos="5040"/>
        </w:tabs>
        <w:ind w:left="5040" w:hanging="360"/>
      </w:pPr>
      <w:rPr>
        <w:rFonts w:ascii="Arial" w:hAnsi="Arial" w:hint="default"/>
      </w:rPr>
    </w:lvl>
    <w:lvl w:ilvl="7" w:tplc="DD746B8C" w:tentative="1">
      <w:start w:val="1"/>
      <w:numFmt w:val="bullet"/>
      <w:lvlText w:val="•"/>
      <w:lvlJc w:val="left"/>
      <w:pPr>
        <w:tabs>
          <w:tab w:val="num" w:pos="5760"/>
        </w:tabs>
        <w:ind w:left="5760" w:hanging="360"/>
      </w:pPr>
      <w:rPr>
        <w:rFonts w:ascii="Arial" w:hAnsi="Arial" w:hint="default"/>
      </w:rPr>
    </w:lvl>
    <w:lvl w:ilvl="8" w:tplc="69BCA7E8" w:tentative="1">
      <w:start w:val="1"/>
      <w:numFmt w:val="bullet"/>
      <w:lvlText w:val="•"/>
      <w:lvlJc w:val="left"/>
      <w:pPr>
        <w:tabs>
          <w:tab w:val="num" w:pos="6480"/>
        </w:tabs>
        <w:ind w:left="6480" w:hanging="360"/>
      </w:pPr>
      <w:rPr>
        <w:rFonts w:ascii="Arial" w:hAnsi="Arial" w:hint="default"/>
      </w:rPr>
    </w:lvl>
  </w:abstractNum>
  <w:abstractNum w:abstractNumId="2">
    <w:nsid w:val="0B2B1E87"/>
    <w:multiLevelType w:val="hybridMultilevel"/>
    <w:tmpl w:val="D2A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C49B4"/>
    <w:multiLevelType w:val="hybridMultilevel"/>
    <w:tmpl w:val="A5E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708D2"/>
    <w:multiLevelType w:val="hybridMultilevel"/>
    <w:tmpl w:val="36E09448"/>
    <w:lvl w:ilvl="0" w:tplc="1EE4648C">
      <w:start w:val="1"/>
      <w:numFmt w:val="bullet"/>
      <w:lvlText w:val="•"/>
      <w:lvlJc w:val="left"/>
      <w:pPr>
        <w:tabs>
          <w:tab w:val="num" w:pos="720"/>
        </w:tabs>
        <w:ind w:left="720" w:hanging="360"/>
      </w:pPr>
      <w:rPr>
        <w:rFonts w:ascii="Arial" w:hAnsi="Arial" w:hint="default"/>
      </w:rPr>
    </w:lvl>
    <w:lvl w:ilvl="1" w:tplc="AF249AC8">
      <w:start w:val="1"/>
      <w:numFmt w:val="bullet"/>
      <w:lvlText w:val="•"/>
      <w:lvlJc w:val="left"/>
      <w:pPr>
        <w:tabs>
          <w:tab w:val="num" w:pos="1440"/>
        </w:tabs>
        <w:ind w:left="1440" w:hanging="360"/>
      </w:pPr>
      <w:rPr>
        <w:rFonts w:ascii="Arial" w:hAnsi="Arial" w:hint="default"/>
      </w:rPr>
    </w:lvl>
    <w:lvl w:ilvl="2" w:tplc="78ACFA2C">
      <w:start w:val="1"/>
      <w:numFmt w:val="bullet"/>
      <w:lvlText w:val="•"/>
      <w:lvlJc w:val="left"/>
      <w:pPr>
        <w:tabs>
          <w:tab w:val="num" w:pos="2160"/>
        </w:tabs>
        <w:ind w:left="2160" w:hanging="360"/>
      </w:pPr>
      <w:rPr>
        <w:rFonts w:ascii="Arial" w:hAnsi="Arial" w:hint="default"/>
      </w:rPr>
    </w:lvl>
    <w:lvl w:ilvl="3" w:tplc="F2BA56DE" w:tentative="1">
      <w:start w:val="1"/>
      <w:numFmt w:val="bullet"/>
      <w:lvlText w:val="•"/>
      <w:lvlJc w:val="left"/>
      <w:pPr>
        <w:tabs>
          <w:tab w:val="num" w:pos="2880"/>
        </w:tabs>
        <w:ind w:left="2880" w:hanging="360"/>
      </w:pPr>
      <w:rPr>
        <w:rFonts w:ascii="Arial" w:hAnsi="Arial" w:hint="default"/>
      </w:rPr>
    </w:lvl>
    <w:lvl w:ilvl="4" w:tplc="14A45780" w:tentative="1">
      <w:start w:val="1"/>
      <w:numFmt w:val="bullet"/>
      <w:lvlText w:val="•"/>
      <w:lvlJc w:val="left"/>
      <w:pPr>
        <w:tabs>
          <w:tab w:val="num" w:pos="3600"/>
        </w:tabs>
        <w:ind w:left="3600" w:hanging="360"/>
      </w:pPr>
      <w:rPr>
        <w:rFonts w:ascii="Arial" w:hAnsi="Arial" w:hint="default"/>
      </w:rPr>
    </w:lvl>
    <w:lvl w:ilvl="5" w:tplc="296EECC2" w:tentative="1">
      <w:start w:val="1"/>
      <w:numFmt w:val="bullet"/>
      <w:lvlText w:val="•"/>
      <w:lvlJc w:val="left"/>
      <w:pPr>
        <w:tabs>
          <w:tab w:val="num" w:pos="4320"/>
        </w:tabs>
        <w:ind w:left="4320" w:hanging="360"/>
      </w:pPr>
      <w:rPr>
        <w:rFonts w:ascii="Arial" w:hAnsi="Arial" w:hint="default"/>
      </w:rPr>
    </w:lvl>
    <w:lvl w:ilvl="6" w:tplc="611AB5AA" w:tentative="1">
      <w:start w:val="1"/>
      <w:numFmt w:val="bullet"/>
      <w:lvlText w:val="•"/>
      <w:lvlJc w:val="left"/>
      <w:pPr>
        <w:tabs>
          <w:tab w:val="num" w:pos="5040"/>
        </w:tabs>
        <w:ind w:left="5040" w:hanging="360"/>
      </w:pPr>
      <w:rPr>
        <w:rFonts w:ascii="Arial" w:hAnsi="Arial" w:hint="default"/>
      </w:rPr>
    </w:lvl>
    <w:lvl w:ilvl="7" w:tplc="AEAEBF4A" w:tentative="1">
      <w:start w:val="1"/>
      <w:numFmt w:val="bullet"/>
      <w:lvlText w:val="•"/>
      <w:lvlJc w:val="left"/>
      <w:pPr>
        <w:tabs>
          <w:tab w:val="num" w:pos="5760"/>
        </w:tabs>
        <w:ind w:left="5760" w:hanging="360"/>
      </w:pPr>
      <w:rPr>
        <w:rFonts w:ascii="Arial" w:hAnsi="Arial" w:hint="default"/>
      </w:rPr>
    </w:lvl>
    <w:lvl w:ilvl="8" w:tplc="E9563CB2" w:tentative="1">
      <w:start w:val="1"/>
      <w:numFmt w:val="bullet"/>
      <w:lvlText w:val="•"/>
      <w:lvlJc w:val="left"/>
      <w:pPr>
        <w:tabs>
          <w:tab w:val="num" w:pos="6480"/>
        </w:tabs>
        <w:ind w:left="6480" w:hanging="360"/>
      </w:pPr>
      <w:rPr>
        <w:rFonts w:ascii="Arial" w:hAnsi="Arial" w:hint="default"/>
      </w:rPr>
    </w:lvl>
  </w:abstractNum>
  <w:abstractNum w:abstractNumId="5">
    <w:nsid w:val="436F313F"/>
    <w:multiLevelType w:val="hybridMultilevel"/>
    <w:tmpl w:val="FBB4B018"/>
    <w:lvl w:ilvl="0" w:tplc="689EDF1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54868"/>
    <w:multiLevelType w:val="hybridMultilevel"/>
    <w:tmpl w:val="D520A65A"/>
    <w:lvl w:ilvl="0" w:tplc="3BF214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09"/>
    <w:multiLevelType w:val="hybridMultilevel"/>
    <w:tmpl w:val="40E884F8"/>
    <w:lvl w:ilvl="0" w:tplc="C81C8768">
      <w:start w:val="1"/>
      <w:numFmt w:val="bullet"/>
      <w:lvlText w:val="•"/>
      <w:lvlJc w:val="left"/>
      <w:pPr>
        <w:tabs>
          <w:tab w:val="num" w:pos="720"/>
        </w:tabs>
        <w:ind w:left="720" w:hanging="360"/>
      </w:pPr>
      <w:rPr>
        <w:rFonts w:ascii="Arial" w:hAnsi="Arial" w:hint="default"/>
      </w:rPr>
    </w:lvl>
    <w:lvl w:ilvl="1" w:tplc="2A88F876" w:tentative="1">
      <w:start w:val="1"/>
      <w:numFmt w:val="bullet"/>
      <w:lvlText w:val="•"/>
      <w:lvlJc w:val="left"/>
      <w:pPr>
        <w:tabs>
          <w:tab w:val="num" w:pos="1440"/>
        </w:tabs>
        <w:ind w:left="1440" w:hanging="360"/>
      </w:pPr>
      <w:rPr>
        <w:rFonts w:ascii="Arial" w:hAnsi="Arial" w:hint="default"/>
      </w:rPr>
    </w:lvl>
    <w:lvl w:ilvl="2" w:tplc="57D8934E" w:tentative="1">
      <w:start w:val="1"/>
      <w:numFmt w:val="bullet"/>
      <w:lvlText w:val="•"/>
      <w:lvlJc w:val="left"/>
      <w:pPr>
        <w:tabs>
          <w:tab w:val="num" w:pos="2160"/>
        </w:tabs>
        <w:ind w:left="2160" w:hanging="360"/>
      </w:pPr>
      <w:rPr>
        <w:rFonts w:ascii="Arial" w:hAnsi="Arial" w:hint="default"/>
      </w:rPr>
    </w:lvl>
    <w:lvl w:ilvl="3" w:tplc="8E08407C" w:tentative="1">
      <w:start w:val="1"/>
      <w:numFmt w:val="bullet"/>
      <w:lvlText w:val="•"/>
      <w:lvlJc w:val="left"/>
      <w:pPr>
        <w:tabs>
          <w:tab w:val="num" w:pos="2880"/>
        </w:tabs>
        <w:ind w:left="2880" w:hanging="360"/>
      </w:pPr>
      <w:rPr>
        <w:rFonts w:ascii="Arial" w:hAnsi="Arial" w:hint="default"/>
      </w:rPr>
    </w:lvl>
    <w:lvl w:ilvl="4" w:tplc="56C2C76A" w:tentative="1">
      <w:start w:val="1"/>
      <w:numFmt w:val="bullet"/>
      <w:lvlText w:val="•"/>
      <w:lvlJc w:val="left"/>
      <w:pPr>
        <w:tabs>
          <w:tab w:val="num" w:pos="3600"/>
        </w:tabs>
        <w:ind w:left="3600" w:hanging="360"/>
      </w:pPr>
      <w:rPr>
        <w:rFonts w:ascii="Arial" w:hAnsi="Arial" w:hint="default"/>
      </w:rPr>
    </w:lvl>
    <w:lvl w:ilvl="5" w:tplc="B7BC2526" w:tentative="1">
      <w:start w:val="1"/>
      <w:numFmt w:val="bullet"/>
      <w:lvlText w:val="•"/>
      <w:lvlJc w:val="left"/>
      <w:pPr>
        <w:tabs>
          <w:tab w:val="num" w:pos="4320"/>
        </w:tabs>
        <w:ind w:left="4320" w:hanging="360"/>
      </w:pPr>
      <w:rPr>
        <w:rFonts w:ascii="Arial" w:hAnsi="Arial" w:hint="default"/>
      </w:rPr>
    </w:lvl>
    <w:lvl w:ilvl="6" w:tplc="743C7AF6" w:tentative="1">
      <w:start w:val="1"/>
      <w:numFmt w:val="bullet"/>
      <w:lvlText w:val="•"/>
      <w:lvlJc w:val="left"/>
      <w:pPr>
        <w:tabs>
          <w:tab w:val="num" w:pos="5040"/>
        </w:tabs>
        <w:ind w:left="5040" w:hanging="360"/>
      </w:pPr>
      <w:rPr>
        <w:rFonts w:ascii="Arial" w:hAnsi="Arial" w:hint="default"/>
      </w:rPr>
    </w:lvl>
    <w:lvl w:ilvl="7" w:tplc="ABD8279E" w:tentative="1">
      <w:start w:val="1"/>
      <w:numFmt w:val="bullet"/>
      <w:lvlText w:val="•"/>
      <w:lvlJc w:val="left"/>
      <w:pPr>
        <w:tabs>
          <w:tab w:val="num" w:pos="5760"/>
        </w:tabs>
        <w:ind w:left="5760" w:hanging="360"/>
      </w:pPr>
      <w:rPr>
        <w:rFonts w:ascii="Arial" w:hAnsi="Arial" w:hint="default"/>
      </w:rPr>
    </w:lvl>
    <w:lvl w:ilvl="8" w:tplc="3D684B0C" w:tentative="1">
      <w:start w:val="1"/>
      <w:numFmt w:val="bullet"/>
      <w:lvlText w:val="•"/>
      <w:lvlJc w:val="left"/>
      <w:pPr>
        <w:tabs>
          <w:tab w:val="num" w:pos="6480"/>
        </w:tabs>
        <w:ind w:left="6480" w:hanging="360"/>
      </w:pPr>
      <w:rPr>
        <w:rFonts w:ascii="Arial" w:hAnsi="Arial" w:hint="default"/>
      </w:rPr>
    </w:lvl>
  </w:abstractNum>
  <w:abstractNum w:abstractNumId="8">
    <w:nsid w:val="66E810E9"/>
    <w:multiLevelType w:val="hybridMultilevel"/>
    <w:tmpl w:val="DFE628D0"/>
    <w:lvl w:ilvl="0" w:tplc="19402DE4">
      <w:start w:val="1"/>
      <w:numFmt w:val="bullet"/>
      <w:lvlText w:val="•"/>
      <w:lvlJc w:val="left"/>
      <w:pPr>
        <w:tabs>
          <w:tab w:val="num" w:pos="720"/>
        </w:tabs>
        <w:ind w:left="720" w:hanging="360"/>
      </w:pPr>
      <w:rPr>
        <w:rFonts w:ascii="Arial" w:hAnsi="Arial" w:hint="default"/>
      </w:rPr>
    </w:lvl>
    <w:lvl w:ilvl="1" w:tplc="E9F4CC4E" w:tentative="1">
      <w:start w:val="1"/>
      <w:numFmt w:val="bullet"/>
      <w:lvlText w:val="•"/>
      <w:lvlJc w:val="left"/>
      <w:pPr>
        <w:tabs>
          <w:tab w:val="num" w:pos="1440"/>
        </w:tabs>
        <w:ind w:left="1440" w:hanging="360"/>
      </w:pPr>
      <w:rPr>
        <w:rFonts w:ascii="Arial" w:hAnsi="Arial" w:hint="default"/>
      </w:rPr>
    </w:lvl>
    <w:lvl w:ilvl="2" w:tplc="6220FE28" w:tentative="1">
      <w:start w:val="1"/>
      <w:numFmt w:val="bullet"/>
      <w:lvlText w:val="•"/>
      <w:lvlJc w:val="left"/>
      <w:pPr>
        <w:tabs>
          <w:tab w:val="num" w:pos="2160"/>
        </w:tabs>
        <w:ind w:left="2160" w:hanging="360"/>
      </w:pPr>
      <w:rPr>
        <w:rFonts w:ascii="Arial" w:hAnsi="Arial" w:hint="default"/>
      </w:rPr>
    </w:lvl>
    <w:lvl w:ilvl="3" w:tplc="F9D061A8" w:tentative="1">
      <w:start w:val="1"/>
      <w:numFmt w:val="bullet"/>
      <w:lvlText w:val="•"/>
      <w:lvlJc w:val="left"/>
      <w:pPr>
        <w:tabs>
          <w:tab w:val="num" w:pos="2880"/>
        </w:tabs>
        <w:ind w:left="2880" w:hanging="360"/>
      </w:pPr>
      <w:rPr>
        <w:rFonts w:ascii="Arial" w:hAnsi="Arial" w:hint="default"/>
      </w:rPr>
    </w:lvl>
    <w:lvl w:ilvl="4" w:tplc="ED82259C" w:tentative="1">
      <w:start w:val="1"/>
      <w:numFmt w:val="bullet"/>
      <w:lvlText w:val="•"/>
      <w:lvlJc w:val="left"/>
      <w:pPr>
        <w:tabs>
          <w:tab w:val="num" w:pos="3600"/>
        </w:tabs>
        <w:ind w:left="3600" w:hanging="360"/>
      </w:pPr>
      <w:rPr>
        <w:rFonts w:ascii="Arial" w:hAnsi="Arial" w:hint="default"/>
      </w:rPr>
    </w:lvl>
    <w:lvl w:ilvl="5" w:tplc="1EEED4F4" w:tentative="1">
      <w:start w:val="1"/>
      <w:numFmt w:val="bullet"/>
      <w:lvlText w:val="•"/>
      <w:lvlJc w:val="left"/>
      <w:pPr>
        <w:tabs>
          <w:tab w:val="num" w:pos="4320"/>
        </w:tabs>
        <w:ind w:left="4320" w:hanging="360"/>
      </w:pPr>
      <w:rPr>
        <w:rFonts w:ascii="Arial" w:hAnsi="Arial" w:hint="default"/>
      </w:rPr>
    </w:lvl>
    <w:lvl w:ilvl="6" w:tplc="25F469CE" w:tentative="1">
      <w:start w:val="1"/>
      <w:numFmt w:val="bullet"/>
      <w:lvlText w:val="•"/>
      <w:lvlJc w:val="left"/>
      <w:pPr>
        <w:tabs>
          <w:tab w:val="num" w:pos="5040"/>
        </w:tabs>
        <w:ind w:left="5040" w:hanging="360"/>
      </w:pPr>
      <w:rPr>
        <w:rFonts w:ascii="Arial" w:hAnsi="Arial" w:hint="default"/>
      </w:rPr>
    </w:lvl>
    <w:lvl w:ilvl="7" w:tplc="85FC8BCA" w:tentative="1">
      <w:start w:val="1"/>
      <w:numFmt w:val="bullet"/>
      <w:lvlText w:val="•"/>
      <w:lvlJc w:val="left"/>
      <w:pPr>
        <w:tabs>
          <w:tab w:val="num" w:pos="5760"/>
        </w:tabs>
        <w:ind w:left="5760" w:hanging="360"/>
      </w:pPr>
      <w:rPr>
        <w:rFonts w:ascii="Arial" w:hAnsi="Arial" w:hint="default"/>
      </w:rPr>
    </w:lvl>
    <w:lvl w:ilvl="8" w:tplc="25601754" w:tentative="1">
      <w:start w:val="1"/>
      <w:numFmt w:val="bullet"/>
      <w:lvlText w:val="•"/>
      <w:lvlJc w:val="left"/>
      <w:pPr>
        <w:tabs>
          <w:tab w:val="num" w:pos="6480"/>
        </w:tabs>
        <w:ind w:left="6480" w:hanging="360"/>
      </w:pPr>
      <w:rPr>
        <w:rFonts w:ascii="Arial" w:hAnsi="Arial" w:hint="default"/>
      </w:rPr>
    </w:lvl>
  </w:abstractNum>
  <w:abstractNum w:abstractNumId="9">
    <w:nsid w:val="6E8816B8"/>
    <w:multiLevelType w:val="hybridMultilevel"/>
    <w:tmpl w:val="B120C6AC"/>
    <w:lvl w:ilvl="0" w:tplc="69CAD3E6">
      <w:start w:val="1"/>
      <w:numFmt w:val="bullet"/>
      <w:lvlText w:val="•"/>
      <w:lvlJc w:val="left"/>
      <w:pPr>
        <w:tabs>
          <w:tab w:val="num" w:pos="720"/>
        </w:tabs>
        <w:ind w:left="720" w:hanging="360"/>
      </w:pPr>
      <w:rPr>
        <w:rFonts w:ascii="Arial" w:hAnsi="Arial" w:hint="default"/>
      </w:rPr>
    </w:lvl>
    <w:lvl w:ilvl="1" w:tplc="A53EB6A6" w:tentative="1">
      <w:start w:val="1"/>
      <w:numFmt w:val="bullet"/>
      <w:lvlText w:val="•"/>
      <w:lvlJc w:val="left"/>
      <w:pPr>
        <w:tabs>
          <w:tab w:val="num" w:pos="1440"/>
        </w:tabs>
        <w:ind w:left="1440" w:hanging="360"/>
      </w:pPr>
      <w:rPr>
        <w:rFonts w:ascii="Arial" w:hAnsi="Arial" w:hint="default"/>
      </w:rPr>
    </w:lvl>
    <w:lvl w:ilvl="2" w:tplc="A136471E" w:tentative="1">
      <w:start w:val="1"/>
      <w:numFmt w:val="bullet"/>
      <w:lvlText w:val="•"/>
      <w:lvlJc w:val="left"/>
      <w:pPr>
        <w:tabs>
          <w:tab w:val="num" w:pos="2160"/>
        </w:tabs>
        <w:ind w:left="2160" w:hanging="360"/>
      </w:pPr>
      <w:rPr>
        <w:rFonts w:ascii="Arial" w:hAnsi="Arial" w:hint="default"/>
      </w:rPr>
    </w:lvl>
    <w:lvl w:ilvl="3" w:tplc="B0261B84" w:tentative="1">
      <w:start w:val="1"/>
      <w:numFmt w:val="bullet"/>
      <w:lvlText w:val="•"/>
      <w:lvlJc w:val="left"/>
      <w:pPr>
        <w:tabs>
          <w:tab w:val="num" w:pos="2880"/>
        </w:tabs>
        <w:ind w:left="2880" w:hanging="360"/>
      </w:pPr>
      <w:rPr>
        <w:rFonts w:ascii="Arial" w:hAnsi="Arial" w:hint="default"/>
      </w:rPr>
    </w:lvl>
    <w:lvl w:ilvl="4" w:tplc="E2BE3B28" w:tentative="1">
      <w:start w:val="1"/>
      <w:numFmt w:val="bullet"/>
      <w:lvlText w:val="•"/>
      <w:lvlJc w:val="left"/>
      <w:pPr>
        <w:tabs>
          <w:tab w:val="num" w:pos="3600"/>
        </w:tabs>
        <w:ind w:left="3600" w:hanging="360"/>
      </w:pPr>
      <w:rPr>
        <w:rFonts w:ascii="Arial" w:hAnsi="Arial" w:hint="default"/>
      </w:rPr>
    </w:lvl>
    <w:lvl w:ilvl="5" w:tplc="EB548B4E" w:tentative="1">
      <w:start w:val="1"/>
      <w:numFmt w:val="bullet"/>
      <w:lvlText w:val="•"/>
      <w:lvlJc w:val="left"/>
      <w:pPr>
        <w:tabs>
          <w:tab w:val="num" w:pos="4320"/>
        </w:tabs>
        <w:ind w:left="4320" w:hanging="360"/>
      </w:pPr>
      <w:rPr>
        <w:rFonts w:ascii="Arial" w:hAnsi="Arial" w:hint="default"/>
      </w:rPr>
    </w:lvl>
    <w:lvl w:ilvl="6" w:tplc="B23E9F2E" w:tentative="1">
      <w:start w:val="1"/>
      <w:numFmt w:val="bullet"/>
      <w:lvlText w:val="•"/>
      <w:lvlJc w:val="left"/>
      <w:pPr>
        <w:tabs>
          <w:tab w:val="num" w:pos="5040"/>
        </w:tabs>
        <w:ind w:left="5040" w:hanging="360"/>
      </w:pPr>
      <w:rPr>
        <w:rFonts w:ascii="Arial" w:hAnsi="Arial" w:hint="default"/>
      </w:rPr>
    </w:lvl>
    <w:lvl w:ilvl="7" w:tplc="4F6A2FF6" w:tentative="1">
      <w:start w:val="1"/>
      <w:numFmt w:val="bullet"/>
      <w:lvlText w:val="•"/>
      <w:lvlJc w:val="left"/>
      <w:pPr>
        <w:tabs>
          <w:tab w:val="num" w:pos="5760"/>
        </w:tabs>
        <w:ind w:left="5760" w:hanging="360"/>
      </w:pPr>
      <w:rPr>
        <w:rFonts w:ascii="Arial" w:hAnsi="Arial" w:hint="default"/>
      </w:rPr>
    </w:lvl>
    <w:lvl w:ilvl="8" w:tplc="7F42A326" w:tentative="1">
      <w:start w:val="1"/>
      <w:numFmt w:val="bullet"/>
      <w:lvlText w:val="•"/>
      <w:lvlJc w:val="left"/>
      <w:pPr>
        <w:tabs>
          <w:tab w:val="num" w:pos="6480"/>
        </w:tabs>
        <w:ind w:left="6480" w:hanging="360"/>
      </w:pPr>
      <w:rPr>
        <w:rFonts w:ascii="Arial" w:hAnsi="Arial" w:hint="default"/>
      </w:rPr>
    </w:lvl>
  </w:abstractNum>
  <w:abstractNum w:abstractNumId="10">
    <w:nsid w:val="77B7766D"/>
    <w:multiLevelType w:val="hybridMultilevel"/>
    <w:tmpl w:val="F756636C"/>
    <w:lvl w:ilvl="0" w:tplc="BFF22948">
      <w:start w:val="1"/>
      <w:numFmt w:val="bullet"/>
      <w:lvlText w:val="•"/>
      <w:lvlJc w:val="left"/>
      <w:pPr>
        <w:tabs>
          <w:tab w:val="num" w:pos="720"/>
        </w:tabs>
        <w:ind w:left="720" w:hanging="360"/>
      </w:pPr>
      <w:rPr>
        <w:rFonts w:ascii="Arial" w:hAnsi="Arial" w:hint="default"/>
      </w:rPr>
    </w:lvl>
    <w:lvl w:ilvl="1" w:tplc="085030E0" w:tentative="1">
      <w:start w:val="1"/>
      <w:numFmt w:val="bullet"/>
      <w:lvlText w:val="•"/>
      <w:lvlJc w:val="left"/>
      <w:pPr>
        <w:tabs>
          <w:tab w:val="num" w:pos="1440"/>
        </w:tabs>
        <w:ind w:left="1440" w:hanging="360"/>
      </w:pPr>
      <w:rPr>
        <w:rFonts w:ascii="Arial" w:hAnsi="Arial" w:hint="default"/>
      </w:rPr>
    </w:lvl>
    <w:lvl w:ilvl="2" w:tplc="510EFF08" w:tentative="1">
      <w:start w:val="1"/>
      <w:numFmt w:val="bullet"/>
      <w:lvlText w:val="•"/>
      <w:lvlJc w:val="left"/>
      <w:pPr>
        <w:tabs>
          <w:tab w:val="num" w:pos="2160"/>
        </w:tabs>
        <w:ind w:left="2160" w:hanging="360"/>
      </w:pPr>
      <w:rPr>
        <w:rFonts w:ascii="Arial" w:hAnsi="Arial" w:hint="default"/>
      </w:rPr>
    </w:lvl>
    <w:lvl w:ilvl="3" w:tplc="8E748956" w:tentative="1">
      <w:start w:val="1"/>
      <w:numFmt w:val="bullet"/>
      <w:lvlText w:val="•"/>
      <w:lvlJc w:val="left"/>
      <w:pPr>
        <w:tabs>
          <w:tab w:val="num" w:pos="2880"/>
        </w:tabs>
        <w:ind w:left="2880" w:hanging="360"/>
      </w:pPr>
      <w:rPr>
        <w:rFonts w:ascii="Arial" w:hAnsi="Arial" w:hint="default"/>
      </w:rPr>
    </w:lvl>
    <w:lvl w:ilvl="4" w:tplc="211805CE" w:tentative="1">
      <w:start w:val="1"/>
      <w:numFmt w:val="bullet"/>
      <w:lvlText w:val="•"/>
      <w:lvlJc w:val="left"/>
      <w:pPr>
        <w:tabs>
          <w:tab w:val="num" w:pos="3600"/>
        </w:tabs>
        <w:ind w:left="3600" w:hanging="360"/>
      </w:pPr>
      <w:rPr>
        <w:rFonts w:ascii="Arial" w:hAnsi="Arial" w:hint="default"/>
      </w:rPr>
    </w:lvl>
    <w:lvl w:ilvl="5" w:tplc="21BC806A" w:tentative="1">
      <w:start w:val="1"/>
      <w:numFmt w:val="bullet"/>
      <w:lvlText w:val="•"/>
      <w:lvlJc w:val="left"/>
      <w:pPr>
        <w:tabs>
          <w:tab w:val="num" w:pos="4320"/>
        </w:tabs>
        <w:ind w:left="4320" w:hanging="360"/>
      </w:pPr>
      <w:rPr>
        <w:rFonts w:ascii="Arial" w:hAnsi="Arial" w:hint="default"/>
      </w:rPr>
    </w:lvl>
    <w:lvl w:ilvl="6" w:tplc="F6BAFC28" w:tentative="1">
      <w:start w:val="1"/>
      <w:numFmt w:val="bullet"/>
      <w:lvlText w:val="•"/>
      <w:lvlJc w:val="left"/>
      <w:pPr>
        <w:tabs>
          <w:tab w:val="num" w:pos="5040"/>
        </w:tabs>
        <w:ind w:left="5040" w:hanging="360"/>
      </w:pPr>
      <w:rPr>
        <w:rFonts w:ascii="Arial" w:hAnsi="Arial" w:hint="default"/>
      </w:rPr>
    </w:lvl>
    <w:lvl w:ilvl="7" w:tplc="584AA02A" w:tentative="1">
      <w:start w:val="1"/>
      <w:numFmt w:val="bullet"/>
      <w:lvlText w:val="•"/>
      <w:lvlJc w:val="left"/>
      <w:pPr>
        <w:tabs>
          <w:tab w:val="num" w:pos="5760"/>
        </w:tabs>
        <w:ind w:left="5760" w:hanging="360"/>
      </w:pPr>
      <w:rPr>
        <w:rFonts w:ascii="Arial" w:hAnsi="Arial" w:hint="default"/>
      </w:rPr>
    </w:lvl>
    <w:lvl w:ilvl="8" w:tplc="17928DE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8"/>
  </w:num>
  <w:num w:numId="4">
    <w:abstractNumId w:val="9"/>
  </w:num>
  <w:num w:numId="5">
    <w:abstractNumId w:val="2"/>
  </w:num>
  <w:num w:numId="6">
    <w:abstractNumId w:val="3"/>
  </w:num>
  <w:num w:numId="7">
    <w:abstractNumId w:val="10"/>
  </w:num>
  <w:num w:numId="8">
    <w:abstractNumId w:val="1"/>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7640BD"/>
    <w:rsid w:val="00066665"/>
    <w:rsid w:val="000762F4"/>
    <w:rsid w:val="000D320B"/>
    <w:rsid w:val="000F48AE"/>
    <w:rsid w:val="0013097F"/>
    <w:rsid w:val="001479A5"/>
    <w:rsid w:val="00257CC9"/>
    <w:rsid w:val="003301D4"/>
    <w:rsid w:val="00392CE2"/>
    <w:rsid w:val="003E505E"/>
    <w:rsid w:val="00433062"/>
    <w:rsid w:val="004758F4"/>
    <w:rsid w:val="00606722"/>
    <w:rsid w:val="00656C40"/>
    <w:rsid w:val="006A31DD"/>
    <w:rsid w:val="006C349C"/>
    <w:rsid w:val="006F2CA1"/>
    <w:rsid w:val="00705FA1"/>
    <w:rsid w:val="007640BD"/>
    <w:rsid w:val="00765251"/>
    <w:rsid w:val="007E23C1"/>
    <w:rsid w:val="007F4D2C"/>
    <w:rsid w:val="00836237"/>
    <w:rsid w:val="0085413F"/>
    <w:rsid w:val="008D6135"/>
    <w:rsid w:val="008F0D36"/>
    <w:rsid w:val="00916112"/>
    <w:rsid w:val="009349C8"/>
    <w:rsid w:val="009C413F"/>
    <w:rsid w:val="00AF7EB0"/>
    <w:rsid w:val="00B3577B"/>
    <w:rsid w:val="00BA08FE"/>
    <w:rsid w:val="00D84534"/>
    <w:rsid w:val="00DE4D3D"/>
    <w:rsid w:val="00DE4D88"/>
    <w:rsid w:val="00ED0EB0"/>
    <w:rsid w:val="00F31E29"/>
    <w:rsid w:val="00F64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3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413F"/>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85413F"/>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13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8541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413F"/>
    <w:pPr>
      <w:bidi w:val="0"/>
      <w:spacing w:before="100" w:beforeAutospacing="1" w:after="100" w:afterAutospacing="1"/>
    </w:pPr>
  </w:style>
  <w:style w:type="paragraph" w:styleId="ListParagraph">
    <w:name w:val="List Paragraph"/>
    <w:basedOn w:val="Normal"/>
    <w:uiPriority w:val="34"/>
    <w:qFormat/>
    <w:rsid w:val="0085413F"/>
    <w:pPr>
      <w:bidi w:val="0"/>
      <w:ind w:left="720"/>
      <w:contextualSpacing/>
    </w:pPr>
  </w:style>
  <w:style w:type="paragraph" w:styleId="Header">
    <w:name w:val="header"/>
    <w:basedOn w:val="Normal"/>
    <w:link w:val="HeaderChar"/>
    <w:uiPriority w:val="99"/>
    <w:unhideWhenUsed/>
    <w:rsid w:val="0085413F"/>
    <w:pPr>
      <w:tabs>
        <w:tab w:val="center" w:pos="4153"/>
        <w:tab w:val="right" w:pos="8306"/>
      </w:tabs>
    </w:pPr>
  </w:style>
  <w:style w:type="character" w:customStyle="1" w:styleId="HeaderChar">
    <w:name w:val="Header Char"/>
    <w:basedOn w:val="DefaultParagraphFont"/>
    <w:link w:val="Header"/>
    <w:uiPriority w:val="99"/>
    <w:rsid w:val="008541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13F"/>
    <w:pPr>
      <w:tabs>
        <w:tab w:val="center" w:pos="4153"/>
        <w:tab w:val="right" w:pos="8306"/>
      </w:tabs>
    </w:pPr>
  </w:style>
  <w:style w:type="character" w:customStyle="1" w:styleId="FooterChar">
    <w:name w:val="Footer Char"/>
    <w:basedOn w:val="DefaultParagraphFont"/>
    <w:link w:val="Footer"/>
    <w:uiPriority w:val="99"/>
    <w:rsid w:val="0085413F"/>
    <w:rPr>
      <w:rFonts w:ascii="Times New Roman" w:eastAsia="Times New Roman" w:hAnsi="Times New Roman" w:cs="Times New Roman"/>
      <w:sz w:val="24"/>
      <w:szCs w:val="24"/>
    </w:rPr>
  </w:style>
  <w:style w:type="character" w:styleId="Emphasis">
    <w:name w:val="Emphasis"/>
    <w:uiPriority w:val="20"/>
    <w:qFormat/>
    <w:rsid w:val="0085413F"/>
    <w:rPr>
      <w:i/>
      <w:iCs/>
    </w:rPr>
  </w:style>
  <w:style w:type="paragraph" w:styleId="HTMLPreformatted">
    <w:name w:val="HTML Preformatted"/>
    <w:basedOn w:val="Normal"/>
    <w:link w:val="HTMLPreformattedChar"/>
    <w:uiPriority w:val="99"/>
    <w:semiHidden/>
    <w:unhideWhenUsed/>
    <w:rsid w:val="0085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413F"/>
    <w:rPr>
      <w:rFonts w:ascii="Courier New" w:eastAsia="Times New Roman" w:hAnsi="Courier New" w:cs="Courier New"/>
      <w:sz w:val="20"/>
      <w:szCs w:val="20"/>
    </w:rPr>
  </w:style>
  <w:style w:type="character" w:customStyle="1" w:styleId="apple-converted-space">
    <w:name w:val="apple-converted-space"/>
    <w:basedOn w:val="DefaultParagraphFont"/>
    <w:rsid w:val="0085413F"/>
  </w:style>
  <w:style w:type="character" w:customStyle="1" w:styleId="ref-vol">
    <w:name w:val="ref-vol"/>
    <w:basedOn w:val="DefaultParagraphFont"/>
    <w:rsid w:val="0085413F"/>
  </w:style>
  <w:style w:type="character" w:styleId="Hyperlink">
    <w:name w:val="Hyperlink"/>
    <w:basedOn w:val="DefaultParagraphFont"/>
    <w:uiPriority w:val="99"/>
    <w:unhideWhenUsed/>
    <w:rsid w:val="00BA0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3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413F"/>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85413F"/>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13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8541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413F"/>
    <w:pPr>
      <w:bidi w:val="0"/>
      <w:spacing w:before="100" w:beforeAutospacing="1" w:after="100" w:afterAutospacing="1"/>
    </w:pPr>
  </w:style>
  <w:style w:type="paragraph" w:styleId="ListParagraph">
    <w:name w:val="List Paragraph"/>
    <w:basedOn w:val="Normal"/>
    <w:uiPriority w:val="34"/>
    <w:qFormat/>
    <w:rsid w:val="0085413F"/>
    <w:pPr>
      <w:bidi w:val="0"/>
      <w:ind w:left="720"/>
      <w:contextualSpacing/>
    </w:pPr>
  </w:style>
  <w:style w:type="paragraph" w:styleId="Header">
    <w:name w:val="header"/>
    <w:basedOn w:val="Normal"/>
    <w:link w:val="HeaderChar"/>
    <w:uiPriority w:val="99"/>
    <w:unhideWhenUsed/>
    <w:rsid w:val="0085413F"/>
    <w:pPr>
      <w:tabs>
        <w:tab w:val="center" w:pos="4153"/>
        <w:tab w:val="right" w:pos="8306"/>
      </w:tabs>
    </w:pPr>
  </w:style>
  <w:style w:type="character" w:customStyle="1" w:styleId="HeaderChar">
    <w:name w:val="Header Char"/>
    <w:basedOn w:val="DefaultParagraphFont"/>
    <w:link w:val="Header"/>
    <w:uiPriority w:val="99"/>
    <w:rsid w:val="008541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13F"/>
    <w:pPr>
      <w:tabs>
        <w:tab w:val="center" w:pos="4153"/>
        <w:tab w:val="right" w:pos="8306"/>
      </w:tabs>
    </w:pPr>
  </w:style>
  <w:style w:type="character" w:customStyle="1" w:styleId="FooterChar">
    <w:name w:val="Footer Char"/>
    <w:basedOn w:val="DefaultParagraphFont"/>
    <w:link w:val="Footer"/>
    <w:uiPriority w:val="99"/>
    <w:rsid w:val="0085413F"/>
    <w:rPr>
      <w:rFonts w:ascii="Times New Roman" w:eastAsia="Times New Roman" w:hAnsi="Times New Roman" w:cs="Times New Roman"/>
      <w:sz w:val="24"/>
      <w:szCs w:val="24"/>
    </w:rPr>
  </w:style>
  <w:style w:type="character" w:styleId="Emphasis">
    <w:name w:val="Emphasis"/>
    <w:uiPriority w:val="20"/>
    <w:qFormat/>
    <w:rsid w:val="0085413F"/>
    <w:rPr>
      <w:i/>
      <w:iCs/>
    </w:rPr>
  </w:style>
  <w:style w:type="paragraph" w:styleId="HTMLPreformatted">
    <w:name w:val="HTML Preformatted"/>
    <w:basedOn w:val="Normal"/>
    <w:link w:val="HTMLPreformattedChar"/>
    <w:uiPriority w:val="99"/>
    <w:semiHidden/>
    <w:unhideWhenUsed/>
    <w:rsid w:val="0085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413F"/>
    <w:rPr>
      <w:rFonts w:ascii="Courier New" w:eastAsia="Times New Roman" w:hAnsi="Courier New" w:cs="Courier New"/>
      <w:sz w:val="20"/>
      <w:szCs w:val="20"/>
    </w:rPr>
  </w:style>
  <w:style w:type="character" w:customStyle="1" w:styleId="apple-converted-space">
    <w:name w:val="apple-converted-space"/>
    <w:basedOn w:val="DefaultParagraphFont"/>
    <w:rsid w:val="0085413F"/>
  </w:style>
  <w:style w:type="character" w:customStyle="1" w:styleId="ref-vol">
    <w:name w:val="ref-vol"/>
    <w:basedOn w:val="DefaultParagraphFont"/>
    <w:rsid w:val="0085413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r.ahmedgohar@yahoo.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100117.05"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WEST</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Okda</dc:creator>
  <cp:lastModifiedBy>Administrator</cp:lastModifiedBy>
  <cp:revision>3</cp:revision>
  <dcterms:created xsi:type="dcterms:W3CDTF">2017-01-02T13:49:00Z</dcterms:created>
  <dcterms:modified xsi:type="dcterms:W3CDTF">2017-01-03T00:50:00Z</dcterms:modified>
</cp:coreProperties>
</file>