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65" w:rsidRPr="00AC7833" w:rsidRDefault="004B1D65" w:rsidP="00AC7833">
      <w:pPr>
        <w:snapToGrid w:val="0"/>
        <w:jc w:val="center"/>
        <w:rPr>
          <w:b/>
          <w:bCs/>
          <w:sz w:val="20"/>
          <w:szCs w:val="20"/>
        </w:rPr>
      </w:pPr>
      <w:proofErr w:type="spellStart"/>
      <w:r w:rsidRPr="00AC7833">
        <w:rPr>
          <w:b/>
          <w:bCs/>
          <w:sz w:val="20"/>
          <w:szCs w:val="20"/>
        </w:rPr>
        <w:t>Clomiphene</w:t>
      </w:r>
      <w:proofErr w:type="spellEnd"/>
      <w:r w:rsidRPr="00AC7833">
        <w:rPr>
          <w:b/>
          <w:bCs/>
          <w:sz w:val="20"/>
          <w:szCs w:val="20"/>
        </w:rPr>
        <w:t xml:space="preserve"> citrate ‘stair-step’ protocol vs. traditional protocol in patients with polycystic ovary syndrome: a randomized controlled trial</w:t>
      </w:r>
    </w:p>
    <w:p w:rsidR="006A3258" w:rsidRPr="00AC7833" w:rsidRDefault="006A3258" w:rsidP="00AC7833">
      <w:pPr>
        <w:snapToGrid w:val="0"/>
        <w:jc w:val="center"/>
        <w:rPr>
          <w:sz w:val="20"/>
          <w:szCs w:val="20"/>
        </w:rPr>
      </w:pPr>
    </w:p>
    <w:p w:rsidR="004B1D65" w:rsidRPr="00AC7833" w:rsidRDefault="004B1D65" w:rsidP="00AC7833">
      <w:pPr>
        <w:snapToGrid w:val="0"/>
        <w:jc w:val="center"/>
        <w:rPr>
          <w:sz w:val="20"/>
          <w:szCs w:val="20"/>
          <w:vertAlign w:val="superscript"/>
          <w:lang w:eastAsia="zh-CN"/>
        </w:rPr>
      </w:pPr>
      <w:proofErr w:type="spellStart"/>
      <w:r w:rsidRPr="00AC7833">
        <w:rPr>
          <w:sz w:val="20"/>
          <w:szCs w:val="20"/>
        </w:rPr>
        <w:t>Waffa</w:t>
      </w:r>
      <w:proofErr w:type="spellEnd"/>
      <w:r w:rsidRPr="00AC7833">
        <w:rPr>
          <w:sz w:val="20"/>
          <w:szCs w:val="20"/>
        </w:rPr>
        <w:t xml:space="preserve"> Y.</w:t>
      </w:r>
      <w:r w:rsidR="00C76E4C" w:rsidRPr="00AC7833">
        <w:rPr>
          <w:sz w:val="20"/>
          <w:szCs w:val="20"/>
        </w:rPr>
        <w:t xml:space="preserve"> </w:t>
      </w:r>
      <w:proofErr w:type="spellStart"/>
      <w:r w:rsidRPr="00AC7833">
        <w:rPr>
          <w:sz w:val="20"/>
          <w:szCs w:val="20"/>
        </w:rPr>
        <w:t>Abd</w:t>
      </w:r>
      <w:proofErr w:type="spellEnd"/>
      <w:r w:rsidRPr="00AC7833">
        <w:rPr>
          <w:sz w:val="20"/>
          <w:szCs w:val="20"/>
        </w:rPr>
        <w:t xml:space="preserve"> Elsalam</w:t>
      </w:r>
      <w:r w:rsidR="00C76E4C" w:rsidRPr="00AC7833">
        <w:rPr>
          <w:sz w:val="20"/>
          <w:szCs w:val="20"/>
          <w:vertAlign w:val="superscript"/>
        </w:rPr>
        <w:t>1</w:t>
      </w:r>
      <w:r w:rsidR="00C76E4C" w:rsidRPr="00743061">
        <w:rPr>
          <w:sz w:val="20"/>
          <w:szCs w:val="20"/>
        </w:rPr>
        <w:t xml:space="preserve">, </w:t>
      </w:r>
      <w:proofErr w:type="spellStart"/>
      <w:r w:rsidRPr="00AC7833">
        <w:rPr>
          <w:sz w:val="20"/>
          <w:szCs w:val="20"/>
        </w:rPr>
        <w:t>Eissa</w:t>
      </w:r>
      <w:proofErr w:type="spellEnd"/>
      <w:r w:rsidRPr="00AC7833">
        <w:rPr>
          <w:sz w:val="20"/>
          <w:szCs w:val="20"/>
        </w:rPr>
        <w:t xml:space="preserve"> </w:t>
      </w:r>
      <w:proofErr w:type="spellStart"/>
      <w:r w:rsidRPr="00AC7833">
        <w:rPr>
          <w:sz w:val="20"/>
          <w:szCs w:val="20"/>
        </w:rPr>
        <w:t>Maged</w:t>
      </w:r>
      <w:proofErr w:type="spellEnd"/>
      <w:r w:rsidRPr="00AC7833">
        <w:rPr>
          <w:sz w:val="20"/>
          <w:szCs w:val="20"/>
        </w:rPr>
        <w:t xml:space="preserve"> Mohammed</w:t>
      </w:r>
      <w:r w:rsidR="00C76E4C" w:rsidRPr="00AC7833">
        <w:rPr>
          <w:sz w:val="20"/>
          <w:szCs w:val="20"/>
          <w:vertAlign w:val="superscript"/>
        </w:rPr>
        <w:t>2</w:t>
      </w:r>
      <w:r w:rsidR="00C76E4C" w:rsidRPr="00AC7833">
        <w:rPr>
          <w:sz w:val="20"/>
          <w:szCs w:val="20"/>
        </w:rPr>
        <w:t xml:space="preserve">, </w:t>
      </w:r>
      <w:r w:rsidRPr="00AC7833">
        <w:rPr>
          <w:sz w:val="20"/>
          <w:szCs w:val="20"/>
        </w:rPr>
        <w:t>Hassan Ibrahim Safwat</w:t>
      </w:r>
      <w:r w:rsidR="00C76E4C" w:rsidRPr="00AC7833">
        <w:rPr>
          <w:sz w:val="20"/>
          <w:szCs w:val="20"/>
          <w:vertAlign w:val="superscript"/>
        </w:rPr>
        <w:t>2</w:t>
      </w:r>
    </w:p>
    <w:p w:rsidR="00AC7833" w:rsidRPr="00AC7833" w:rsidRDefault="00AC7833" w:rsidP="00AC7833">
      <w:pPr>
        <w:snapToGrid w:val="0"/>
        <w:jc w:val="center"/>
        <w:rPr>
          <w:sz w:val="20"/>
          <w:szCs w:val="20"/>
          <w:lang w:eastAsia="zh-CN"/>
        </w:rPr>
      </w:pPr>
    </w:p>
    <w:p w:rsidR="00C76E4C" w:rsidRPr="00AC7833" w:rsidRDefault="00C76E4C" w:rsidP="00AC7833">
      <w:pPr>
        <w:snapToGrid w:val="0"/>
        <w:jc w:val="center"/>
        <w:rPr>
          <w:sz w:val="20"/>
          <w:szCs w:val="20"/>
        </w:rPr>
      </w:pPr>
      <w:r w:rsidRPr="00AC7833">
        <w:rPr>
          <w:sz w:val="20"/>
          <w:szCs w:val="20"/>
          <w:vertAlign w:val="superscript"/>
        </w:rPr>
        <w:t>1</w:t>
      </w:r>
      <w:r w:rsidRPr="00AC7833">
        <w:rPr>
          <w:sz w:val="20"/>
          <w:szCs w:val="20"/>
        </w:rPr>
        <w:t>Obstetrics and Gynecology Department, Faculty of Medicine, Al-</w:t>
      </w:r>
      <w:proofErr w:type="spellStart"/>
      <w:r w:rsidRPr="00AC7833">
        <w:rPr>
          <w:sz w:val="20"/>
          <w:szCs w:val="20"/>
        </w:rPr>
        <w:t>Azahar</w:t>
      </w:r>
      <w:proofErr w:type="spellEnd"/>
      <w:r w:rsidRPr="00AC7833">
        <w:rPr>
          <w:sz w:val="20"/>
          <w:szCs w:val="20"/>
        </w:rPr>
        <w:t xml:space="preserve"> University, Cairo, Egypt</w:t>
      </w:r>
    </w:p>
    <w:p w:rsidR="00C76E4C" w:rsidRPr="00AC7833" w:rsidRDefault="00C76E4C" w:rsidP="00AC7833">
      <w:pPr>
        <w:snapToGrid w:val="0"/>
        <w:jc w:val="center"/>
        <w:rPr>
          <w:sz w:val="20"/>
          <w:szCs w:val="20"/>
        </w:rPr>
      </w:pPr>
      <w:r w:rsidRPr="00AC7833">
        <w:rPr>
          <w:sz w:val="20"/>
          <w:szCs w:val="20"/>
          <w:vertAlign w:val="superscript"/>
        </w:rPr>
        <w:t>2</w:t>
      </w:r>
      <w:r w:rsidRPr="00AC7833">
        <w:rPr>
          <w:sz w:val="20"/>
          <w:szCs w:val="20"/>
        </w:rPr>
        <w:t xml:space="preserve">Obstetrics and Gynecology Department, AL </w:t>
      </w:r>
      <w:proofErr w:type="spellStart"/>
      <w:r w:rsidRPr="00AC7833">
        <w:rPr>
          <w:sz w:val="20"/>
          <w:szCs w:val="20"/>
        </w:rPr>
        <w:t>Maadi</w:t>
      </w:r>
      <w:proofErr w:type="spellEnd"/>
      <w:r w:rsidRPr="00AC7833">
        <w:rPr>
          <w:sz w:val="20"/>
          <w:szCs w:val="20"/>
        </w:rPr>
        <w:t xml:space="preserve"> Military Hospital, Cairo, Egypt</w:t>
      </w:r>
    </w:p>
    <w:p w:rsidR="006353CB" w:rsidRPr="00AC7833" w:rsidRDefault="006353CB" w:rsidP="00AC7833">
      <w:pPr>
        <w:snapToGrid w:val="0"/>
        <w:jc w:val="center"/>
        <w:rPr>
          <w:bCs/>
          <w:color w:val="0000FF"/>
          <w:sz w:val="20"/>
          <w:szCs w:val="20"/>
        </w:rPr>
      </w:pPr>
      <w:r w:rsidRPr="00AC7833">
        <w:rPr>
          <w:bCs/>
          <w:color w:val="0000FF"/>
          <w:sz w:val="20"/>
          <w:szCs w:val="20"/>
          <w:u w:val="single"/>
        </w:rPr>
        <w:t>dribrahimelqtaly89@gmail.com</w:t>
      </w:r>
    </w:p>
    <w:p w:rsidR="006353CB" w:rsidRPr="00AC7833" w:rsidRDefault="006353CB" w:rsidP="00AC7833">
      <w:pPr>
        <w:snapToGrid w:val="0"/>
        <w:jc w:val="center"/>
        <w:rPr>
          <w:b/>
          <w:bCs/>
          <w:sz w:val="20"/>
          <w:szCs w:val="20"/>
        </w:rPr>
      </w:pPr>
    </w:p>
    <w:p w:rsidR="006A3258" w:rsidRPr="00AC7833" w:rsidRDefault="004B1D65" w:rsidP="00AC7833">
      <w:pPr>
        <w:snapToGrid w:val="0"/>
        <w:jc w:val="both"/>
        <w:rPr>
          <w:sz w:val="20"/>
          <w:szCs w:val="20"/>
        </w:rPr>
      </w:pPr>
      <w:r w:rsidRPr="00AC7833">
        <w:rPr>
          <w:b/>
          <w:bCs/>
          <w:sz w:val="20"/>
          <w:szCs w:val="20"/>
        </w:rPr>
        <w:t>Abstract</w:t>
      </w:r>
      <w:r w:rsidR="006A3258" w:rsidRPr="00AC7833">
        <w:rPr>
          <w:b/>
          <w:bCs/>
          <w:sz w:val="20"/>
          <w:szCs w:val="20"/>
        </w:rPr>
        <w:t xml:space="preserve">: </w:t>
      </w:r>
      <w:r w:rsidRPr="00AC7833">
        <w:rPr>
          <w:sz w:val="20"/>
          <w:szCs w:val="20"/>
        </w:rPr>
        <w:t xml:space="preserve">Purpose The aim of this work is to evaluate the efficacy of the stair-step protocol using </w:t>
      </w:r>
      <w:proofErr w:type="spellStart"/>
      <w:r w:rsidRPr="00AC7833">
        <w:rPr>
          <w:sz w:val="20"/>
          <w:szCs w:val="20"/>
        </w:rPr>
        <w:t>clomiphene</w:t>
      </w:r>
      <w:proofErr w:type="spellEnd"/>
      <w:r w:rsidRPr="00AC7833">
        <w:rPr>
          <w:sz w:val="20"/>
          <w:szCs w:val="20"/>
        </w:rPr>
        <w:t xml:space="preserve"> citrate (CC) in ovulation induction in patients with PCOS and to assess the uterine and systemic side effects of this protocol.</w:t>
      </w:r>
      <w:r w:rsidR="00CC3B3D" w:rsidRPr="00AC7833">
        <w:rPr>
          <w:sz w:val="20"/>
          <w:szCs w:val="20"/>
        </w:rPr>
        <w:t xml:space="preserve"> </w:t>
      </w:r>
      <w:r w:rsidRPr="00AC7833">
        <w:rPr>
          <w:b/>
          <w:bCs/>
          <w:sz w:val="20"/>
          <w:szCs w:val="20"/>
        </w:rPr>
        <w:t>Methods</w:t>
      </w:r>
      <w:r w:rsidRPr="00AC7833">
        <w:rPr>
          <w:sz w:val="20"/>
          <w:szCs w:val="20"/>
        </w:rPr>
        <w:t xml:space="preserve"> A total of 60 PCOS patients who failed to respond to 50 mg/day for 5 days of CC treatment within the cycle were randomly allocated to the control (</w:t>
      </w:r>
      <w:r w:rsidR="00C76E4C" w:rsidRPr="00AC7833">
        <w:rPr>
          <w:sz w:val="20"/>
          <w:szCs w:val="20"/>
        </w:rPr>
        <w:t>traditional protocol</w:t>
      </w:r>
      <w:r w:rsidRPr="00AC7833">
        <w:rPr>
          <w:sz w:val="20"/>
          <w:szCs w:val="20"/>
        </w:rPr>
        <w:t xml:space="preserve">) and study (stair-step protocol) groups. In the stair-step protocol, patients were treated with CC 50 mg/day for 5 days and then in nonresponsive patients, the dosage was increased to 100 mg/day for 5 days in the same cycle. Patients who failed the 50 mg/day CC treatment in the previous cycle were stimulated with 100 mg/ day CC and were accepted as the control group. Ovulation and pregnancy rates, duration of treatment and uterine and systemic side effects were evaluated. </w:t>
      </w:r>
      <w:r w:rsidRPr="00AC7833">
        <w:rPr>
          <w:b/>
          <w:bCs/>
          <w:sz w:val="20"/>
          <w:szCs w:val="20"/>
        </w:rPr>
        <w:t>Results</w:t>
      </w:r>
      <w:r w:rsidRPr="00AC7833">
        <w:rPr>
          <w:sz w:val="20"/>
          <w:szCs w:val="20"/>
        </w:rPr>
        <w:t xml:space="preserve"> Ovulation and pregnancy rates were similar between the stair-step and the control group (46.7 vs. 30 %, respectively) (20% vs. 6.7 %, respectively). The duration of treatment was significantly shorter in stair-step compared to traditional protocol (19.2±3.0 vs. 47.4±1.7 days, respectively). There were no significant differences in the systemic side effects between the groups. Uterine side effects were evaluated with endometrial thickness and uterine artery Doppler ultrasound; no significant differences were observed in stair-step compared to traditional protocol. Conclusions The present study demonstrated that ovarian stimulation using the stair-step protocol revealed shorter time period to reach to ovulation and/or decision resistance to CC without any detrimental effect on the ovulation and maternal and systemic side effects.</w:t>
      </w:r>
    </w:p>
    <w:p w:rsidR="00AC7833" w:rsidRPr="00AC7833" w:rsidRDefault="00AC7833" w:rsidP="00AC7833">
      <w:pPr>
        <w:snapToGrid w:val="0"/>
        <w:jc w:val="both"/>
        <w:rPr>
          <w:sz w:val="20"/>
          <w:szCs w:val="20"/>
        </w:rPr>
      </w:pPr>
      <w:r w:rsidRPr="00AC7833">
        <w:rPr>
          <w:rFonts w:hint="eastAsia"/>
          <w:sz w:val="20"/>
          <w:szCs w:val="20"/>
          <w:lang w:eastAsia="zh-CN"/>
        </w:rPr>
        <w:t>[</w:t>
      </w:r>
      <w:proofErr w:type="spellStart"/>
      <w:r w:rsidR="006A3258" w:rsidRPr="00AC7833">
        <w:rPr>
          <w:sz w:val="20"/>
          <w:szCs w:val="20"/>
        </w:rPr>
        <w:t>Waffa</w:t>
      </w:r>
      <w:proofErr w:type="spellEnd"/>
      <w:r w:rsidR="006A3258" w:rsidRPr="00AC7833">
        <w:rPr>
          <w:sz w:val="20"/>
          <w:szCs w:val="20"/>
        </w:rPr>
        <w:t xml:space="preserve"> Y. </w:t>
      </w:r>
      <w:proofErr w:type="spellStart"/>
      <w:r w:rsidR="006A3258" w:rsidRPr="00AC7833">
        <w:rPr>
          <w:sz w:val="20"/>
          <w:szCs w:val="20"/>
        </w:rPr>
        <w:t>Abd</w:t>
      </w:r>
      <w:proofErr w:type="spellEnd"/>
      <w:r w:rsidR="006A3258" w:rsidRPr="00AC7833">
        <w:rPr>
          <w:sz w:val="20"/>
          <w:szCs w:val="20"/>
        </w:rPr>
        <w:t xml:space="preserve"> </w:t>
      </w:r>
      <w:proofErr w:type="spellStart"/>
      <w:r w:rsidR="006A3258" w:rsidRPr="00AC7833">
        <w:rPr>
          <w:sz w:val="20"/>
          <w:szCs w:val="20"/>
        </w:rPr>
        <w:t>Elsalam</w:t>
      </w:r>
      <w:proofErr w:type="spellEnd"/>
      <w:r w:rsidR="006A3258" w:rsidRPr="00AC7833">
        <w:rPr>
          <w:sz w:val="20"/>
          <w:szCs w:val="20"/>
        </w:rPr>
        <w:t>,</w:t>
      </w:r>
      <w:r w:rsidR="006A3258" w:rsidRPr="00AC7833">
        <w:rPr>
          <w:sz w:val="20"/>
          <w:szCs w:val="20"/>
          <w:vertAlign w:val="superscript"/>
        </w:rPr>
        <w:t xml:space="preserve"> </w:t>
      </w:r>
      <w:proofErr w:type="spellStart"/>
      <w:r w:rsidR="006A3258" w:rsidRPr="00AC7833">
        <w:rPr>
          <w:sz w:val="20"/>
          <w:szCs w:val="20"/>
        </w:rPr>
        <w:t>Eissa</w:t>
      </w:r>
      <w:proofErr w:type="spellEnd"/>
      <w:r w:rsidR="006A3258" w:rsidRPr="00AC7833">
        <w:rPr>
          <w:sz w:val="20"/>
          <w:szCs w:val="20"/>
        </w:rPr>
        <w:t xml:space="preserve"> </w:t>
      </w:r>
      <w:proofErr w:type="spellStart"/>
      <w:r w:rsidR="006A3258" w:rsidRPr="00AC7833">
        <w:rPr>
          <w:sz w:val="20"/>
          <w:szCs w:val="20"/>
        </w:rPr>
        <w:t>Maged</w:t>
      </w:r>
      <w:proofErr w:type="spellEnd"/>
      <w:r w:rsidR="006A3258" w:rsidRPr="00AC7833">
        <w:rPr>
          <w:sz w:val="20"/>
          <w:szCs w:val="20"/>
        </w:rPr>
        <w:t xml:space="preserve"> Mohammed, Hassan Ibrahim </w:t>
      </w:r>
      <w:proofErr w:type="spellStart"/>
      <w:r w:rsidR="006A3258" w:rsidRPr="00AC7833">
        <w:rPr>
          <w:sz w:val="20"/>
          <w:szCs w:val="20"/>
        </w:rPr>
        <w:t>Safwat</w:t>
      </w:r>
      <w:proofErr w:type="spellEnd"/>
      <w:r w:rsidRPr="00AC7833">
        <w:rPr>
          <w:rFonts w:hint="eastAsia"/>
          <w:sz w:val="20"/>
          <w:szCs w:val="20"/>
          <w:lang w:eastAsia="zh-CN"/>
        </w:rPr>
        <w:t>.</w:t>
      </w:r>
      <w:r w:rsidR="006A3258" w:rsidRPr="00AC7833">
        <w:rPr>
          <w:sz w:val="20"/>
          <w:szCs w:val="20"/>
          <w:vertAlign w:val="superscript"/>
        </w:rPr>
        <w:t xml:space="preserve"> </w:t>
      </w:r>
      <w:proofErr w:type="spellStart"/>
      <w:r w:rsidR="006A3258" w:rsidRPr="00AC7833">
        <w:rPr>
          <w:b/>
          <w:bCs/>
          <w:sz w:val="20"/>
          <w:szCs w:val="20"/>
        </w:rPr>
        <w:t>Clomiphene</w:t>
      </w:r>
      <w:proofErr w:type="spellEnd"/>
      <w:r w:rsidR="006A3258" w:rsidRPr="00AC7833">
        <w:rPr>
          <w:b/>
          <w:bCs/>
          <w:sz w:val="20"/>
          <w:szCs w:val="20"/>
        </w:rPr>
        <w:t xml:space="preserve"> citrate ‘stair-step’ protocol vs. traditional protocol in patients with polycystic ovary syndrome: a randomized controlled trial</w:t>
      </w:r>
      <w:r w:rsidRPr="00AC7833">
        <w:rPr>
          <w:rFonts w:eastAsia="Times New Roman"/>
          <w:b/>
          <w:bCs/>
          <w:sz w:val="20"/>
          <w:szCs w:val="20"/>
          <w:lang w:bidi="fa-IR"/>
        </w:rPr>
        <w:t>.</w:t>
      </w:r>
      <w:r w:rsidRPr="00AC7833">
        <w:rPr>
          <w:bCs/>
          <w:i/>
          <w:sz w:val="20"/>
          <w:szCs w:val="20"/>
        </w:rPr>
        <w:t xml:space="preserve"> N Y </w:t>
      </w:r>
      <w:proofErr w:type="spellStart"/>
      <w:r w:rsidRPr="00AC7833">
        <w:rPr>
          <w:bCs/>
          <w:i/>
          <w:sz w:val="20"/>
          <w:szCs w:val="20"/>
        </w:rPr>
        <w:t>Sci</w:t>
      </w:r>
      <w:proofErr w:type="spellEnd"/>
      <w:r w:rsidRPr="00AC7833">
        <w:rPr>
          <w:bCs/>
          <w:i/>
          <w:sz w:val="20"/>
          <w:szCs w:val="20"/>
        </w:rPr>
        <w:t xml:space="preserve"> J</w:t>
      </w:r>
      <w:r w:rsidRPr="00AC7833">
        <w:rPr>
          <w:bCs/>
          <w:sz w:val="20"/>
          <w:szCs w:val="20"/>
        </w:rPr>
        <w:t xml:space="preserve"> </w:t>
      </w:r>
      <w:r w:rsidRPr="00AC7833">
        <w:rPr>
          <w:sz w:val="20"/>
          <w:szCs w:val="20"/>
        </w:rPr>
        <w:t>201</w:t>
      </w:r>
      <w:r w:rsidRPr="00AC7833">
        <w:rPr>
          <w:rFonts w:hint="eastAsia"/>
          <w:sz w:val="20"/>
          <w:szCs w:val="20"/>
        </w:rPr>
        <w:t>7</w:t>
      </w:r>
      <w:r w:rsidRPr="00AC7833">
        <w:rPr>
          <w:sz w:val="20"/>
          <w:szCs w:val="20"/>
        </w:rPr>
        <w:t>;</w:t>
      </w:r>
      <w:r w:rsidRPr="00AC7833">
        <w:rPr>
          <w:rFonts w:hint="eastAsia"/>
          <w:sz w:val="20"/>
          <w:szCs w:val="20"/>
        </w:rPr>
        <w:t>10</w:t>
      </w:r>
      <w:r w:rsidRPr="00AC7833">
        <w:rPr>
          <w:sz w:val="20"/>
          <w:szCs w:val="20"/>
        </w:rPr>
        <w:t>(</w:t>
      </w:r>
      <w:r w:rsidRPr="00AC7833">
        <w:rPr>
          <w:rFonts w:hint="eastAsia"/>
          <w:sz w:val="20"/>
          <w:szCs w:val="20"/>
        </w:rPr>
        <w:t>1</w:t>
      </w:r>
      <w:r w:rsidRPr="00AC7833">
        <w:rPr>
          <w:sz w:val="20"/>
          <w:szCs w:val="20"/>
        </w:rPr>
        <w:t>):</w:t>
      </w:r>
      <w:r w:rsidR="00A21737">
        <w:rPr>
          <w:noProof/>
          <w:color w:val="000000"/>
          <w:sz w:val="20"/>
          <w:szCs w:val="20"/>
        </w:rPr>
        <w:t>113</w:t>
      </w:r>
      <w:r w:rsidRPr="00AC7833">
        <w:rPr>
          <w:color w:val="000000"/>
          <w:sz w:val="20"/>
          <w:szCs w:val="20"/>
        </w:rPr>
        <w:t>-</w:t>
      </w:r>
      <w:r w:rsidR="00A21737">
        <w:rPr>
          <w:noProof/>
          <w:color w:val="000000"/>
          <w:sz w:val="20"/>
          <w:szCs w:val="20"/>
        </w:rPr>
        <w:t>119</w:t>
      </w:r>
      <w:r w:rsidRPr="00AC7833">
        <w:rPr>
          <w:sz w:val="20"/>
          <w:szCs w:val="20"/>
        </w:rPr>
        <w:t xml:space="preserve">]. </w:t>
      </w:r>
      <w:r w:rsidRPr="00AC7833">
        <w:rPr>
          <w:iCs/>
          <w:color w:val="000000"/>
          <w:sz w:val="20"/>
          <w:szCs w:val="20"/>
        </w:rPr>
        <w:t>ISSN 1554-0200 (print); ISSN 2375-723X (online)</w:t>
      </w:r>
      <w:r w:rsidRPr="00AC7833">
        <w:rPr>
          <w:sz w:val="20"/>
          <w:szCs w:val="20"/>
        </w:rPr>
        <w:t xml:space="preserve">. </w:t>
      </w:r>
      <w:hyperlink r:id="rId7" w:history="1">
        <w:r w:rsidRPr="00AC7833">
          <w:rPr>
            <w:rStyle w:val="Hyperlink"/>
            <w:color w:val="0000FF"/>
            <w:sz w:val="20"/>
            <w:szCs w:val="20"/>
          </w:rPr>
          <w:t>http://www.sciencepub.net/newyork</w:t>
        </w:r>
      </w:hyperlink>
      <w:r w:rsidRPr="00AC7833">
        <w:rPr>
          <w:sz w:val="20"/>
          <w:szCs w:val="20"/>
        </w:rPr>
        <w:t xml:space="preserve">. </w:t>
      </w:r>
      <w:r w:rsidRPr="00AC7833">
        <w:rPr>
          <w:rFonts w:hint="eastAsia"/>
          <w:sz w:val="20"/>
          <w:szCs w:val="20"/>
          <w:lang w:eastAsia="zh-CN"/>
        </w:rPr>
        <w:t>19</w:t>
      </w:r>
      <w:r w:rsidRPr="00AC7833">
        <w:rPr>
          <w:rFonts w:hint="eastAsia"/>
          <w:sz w:val="20"/>
          <w:szCs w:val="20"/>
        </w:rPr>
        <w:t xml:space="preserve">. </w:t>
      </w:r>
      <w:r w:rsidRPr="00AC7833">
        <w:rPr>
          <w:color w:val="000000"/>
          <w:sz w:val="20"/>
          <w:szCs w:val="20"/>
          <w:shd w:val="clear" w:color="auto" w:fill="FFFFFF"/>
        </w:rPr>
        <w:t>doi:</w:t>
      </w:r>
      <w:hyperlink r:id="rId8" w:history="1">
        <w:r w:rsidRPr="00AC7833">
          <w:rPr>
            <w:rStyle w:val="Hyperlink"/>
            <w:color w:val="0000FF"/>
            <w:sz w:val="20"/>
            <w:szCs w:val="20"/>
            <w:shd w:val="clear" w:color="auto" w:fill="FFFFFF"/>
          </w:rPr>
          <w:t>10.7537/mars</w:t>
        </w:r>
        <w:r w:rsidRPr="00AC7833">
          <w:rPr>
            <w:rStyle w:val="Hyperlink"/>
            <w:rFonts w:hint="eastAsia"/>
            <w:color w:val="0000FF"/>
            <w:sz w:val="20"/>
            <w:szCs w:val="20"/>
            <w:shd w:val="clear" w:color="auto" w:fill="FFFFFF"/>
          </w:rPr>
          <w:t>nys100117.</w:t>
        </w:r>
        <w:r w:rsidRPr="00AC7833">
          <w:rPr>
            <w:rStyle w:val="Hyperlink"/>
            <w:rFonts w:hint="eastAsia"/>
            <w:color w:val="0000FF"/>
            <w:sz w:val="20"/>
            <w:szCs w:val="20"/>
            <w:shd w:val="clear" w:color="auto" w:fill="FFFFFF"/>
            <w:lang w:eastAsia="zh-CN"/>
          </w:rPr>
          <w:t>19</w:t>
        </w:r>
      </w:hyperlink>
      <w:r w:rsidRPr="00AC7833">
        <w:rPr>
          <w:color w:val="000000"/>
          <w:sz w:val="20"/>
          <w:szCs w:val="20"/>
          <w:shd w:val="clear" w:color="auto" w:fill="FFFFFF"/>
        </w:rPr>
        <w:t>.</w:t>
      </w:r>
    </w:p>
    <w:p w:rsidR="006A3258" w:rsidRPr="00AC7833" w:rsidRDefault="006A3258" w:rsidP="00AC7833">
      <w:pPr>
        <w:autoSpaceDE w:val="0"/>
        <w:autoSpaceDN w:val="0"/>
        <w:adjustRightInd w:val="0"/>
        <w:snapToGrid w:val="0"/>
        <w:jc w:val="both"/>
        <w:rPr>
          <w:sz w:val="20"/>
          <w:szCs w:val="20"/>
        </w:rPr>
      </w:pPr>
    </w:p>
    <w:p w:rsidR="004B1D65" w:rsidRPr="00AC7833" w:rsidRDefault="004B1D65" w:rsidP="00AC7833">
      <w:pPr>
        <w:snapToGrid w:val="0"/>
        <w:jc w:val="both"/>
        <w:rPr>
          <w:sz w:val="20"/>
          <w:szCs w:val="20"/>
        </w:rPr>
      </w:pPr>
      <w:r w:rsidRPr="00AC7833">
        <w:rPr>
          <w:b/>
          <w:bCs/>
          <w:sz w:val="20"/>
          <w:szCs w:val="20"/>
        </w:rPr>
        <w:t>Keywords:</w:t>
      </w:r>
      <w:r w:rsidRPr="00AC7833">
        <w:rPr>
          <w:sz w:val="20"/>
          <w:szCs w:val="20"/>
        </w:rPr>
        <w:t xml:space="preserve"> </w:t>
      </w:r>
      <w:proofErr w:type="spellStart"/>
      <w:r w:rsidRPr="00AC7833">
        <w:rPr>
          <w:sz w:val="20"/>
          <w:szCs w:val="20"/>
        </w:rPr>
        <w:t>Clomiphene</w:t>
      </w:r>
      <w:proofErr w:type="spellEnd"/>
      <w:r w:rsidRPr="00AC7833">
        <w:rPr>
          <w:sz w:val="20"/>
          <w:szCs w:val="20"/>
        </w:rPr>
        <w:t xml:space="preserve"> citrate - Stair-step protocol - Traditional protocol - Polycystic ovary syndrome</w:t>
      </w:r>
    </w:p>
    <w:p w:rsidR="00AC7833" w:rsidRDefault="00AC7833" w:rsidP="00AC7833">
      <w:pPr>
        <w:snapToGrid w:val="0"/>
        <w:jc w:val="both"/>
        <w:rPr>
          <w:b/>
          <w:bCs/>
          <w:sz w:val="20"/>
          <w:szCs w:val="20"/>
        </w:rPr>
      </w:pPr>
    </w:p>
    <w:p w:rsidR="00AC7833" w:rsidRPr="00AC7833" w:rsidRDefault="00AC7833" w:rsidP="00AC7833">
      <w:pPr>
        <w:snapToGrid w:val="0"/>
        <w:jc w:val="both"/>
        <w:rPr>
          <w:b/>
          <w:bCs/>
          <w:sz w:val="20"/>
          <w:szCs w:val="20"/>
        </w:rPr>
        <w:sectPr w:rsidR="00AC7833" w:rsidRPr="00AC7833" w:rsidSect="00A21737">
          <w:headerReference w:type="default" r:id="rId9"/>
          <w:footerReference w:type="even" r:id="rId10"/>
          <w:footerReference w:type="default" r:id="rId11"/>
          <w:type w:val="continuous"/>
          <w:pgSz w:w="12240" w:h="15840" w:code="1"/>
          <w:pgMar w:top="1440" w:right="1440" w:bottom="1440" w:left="1440" w:header="720" w:footer="720" w:gutter="0"/>
          <w:pgNumType w:start="113"/>
          <w:cols w:space="720"/>
          <w:docGrid w:linePitch="360"/>
        </w:sectPr>
      </w:pPr>
    </w:p>
    <w:p w:rsidR="004B1D65" w:rsidRPr="00AC7833" w:rsidRDefault="00240DA3" w:rsidP="00AC7833">
      <w:pPr>
        <w:snapToGrid w:val="0"/>
        <w:jc w:val="both"/>
        <w:rPr>
          <w:b/>
          <w:bCs/>
          <w:sz w:val="20"/>
          <w:szCs w:val="20"/>
        </w:rPr>
      </w:pPr>
      <w:r w:rsidRPr="00AC7833">
        <w:rPr>
          <w:b/>
          <w:bCs/>
          <w:sz w:val="20"/>
          <w:szCs w:val="20"/>
        </w:rPr>
        <w:lastRenderedPageBreak/>
        <w:t xml:space="preserve">1. </w:t>
      </w:r>
      <w:r w:rsidR="004B1D65" w:rsidRPr="00AC7833">
        <w:rPr>
          <w:b/>
          <w:bCs/>
          <w:sz w:val="20"/>
          <w:szCs w:val="20"/>
        </w:rPr>
        <w:t>Introduction</w:t>
      </w:r>
    </w:p>
    <w:p w:rsidR="00AC7833" w:rsidRDefault="004B1D65" w:rsidP="00AC7833">
      <w:pPr>
        <w:snapToGrid w:val="0"/>
        <w:ind w:firstLine="425"/>
        <w:jc w:val="both"/>
        <w:rPr>
          <w:b/>
          <w:bCs/>
          <w:i/>
          <w:iCs/>
          <w:sz w:val="20"/>
          <w:szCs w:val="20"/>
        </w:rPr>
      </w:pPr>
      <w:r w:rsidRPr="00AC7833">
        <w:rPr>
          <w:sz w:val="20"/>
          <w:szCs w:val="20"/>
        </w:rPr>
        <w:t xml:space="preserve">Infertility is defined as failure to achieve a clinical pregnancy after 12 months or more of regular unprotected sexual intercourse </w:t>
      </w:r>
      <w:r w:rsidRPr="00AC7833">
        <w:rPr>
          <w:b/>
          <w:bCs/>
          <w:i/>
          <w:iCs/>
          <w:sz w:val="20"/>
          <w:szCs w:val="20"/>
        </w:rPr>
        <w:t>(WHO-ICMAR</w:t>
      </w:r>
      <w:r w:rsidR="00743061">
        <w:rPr>
          <w:rFonts w:hint="eastAsia"/>
          <w:b/>
          <w:bCs/>
          <w:i/>
          <w:iCs/>
          <w:sz w:val="20"/>
          <w:szCs w:val="20"/>
          <w:lang w:eastAsia="zh-CN"/>
        </w:rPr>
        <w:t xml:space="preserve"> </w:t>
      </w:r>
      <w:proofErr w:type="spellStart"/>
      <w:r w:rsidRPr="00AC7833">
        <w:rPr>
          <w:b/>
          <w:bCs/>
          <w:i/>
          <w:iCs/>
          <w:sz w:val="20"/>
          <w:szCs w:val="20"/>
        </w:rPr>
        <w:t>Tglossary</w:t>
      </w:r>
      <w:proofErr w:type="spellEnd"/>
      <w:r w:rsidRPr="00AC7833">
        <w:rPr>
          <w:b/>
          <w:bCs/>
          <w:i/>
          <w:iCs/>
          <w:sz w:val="20"/>
          <w:szCs w:val="20"/>
        </w:rPr>
        <w:t>, 2009</w:t>
      </w:r>
      <w:r w:rsidR="00AC7833" w:rsidRPr="00AC7833">
        <w:rPr>
          <w:b/>
          <w:bCs/>
          <w:i/>
          <w:iCs/>
          <w:sz w:val="20"/>
          <w:szCs w:val="20"/>
        </w:rPr>
        <w:t>)</w:t>
      </w:r>
      <w:r w:rsidR="00AC7833">
        <w:rPr>
          <w:b/>
          <w:bCs/>
          <w:i/>
          <w:iCs/>
          <w:sz w:val="20"/>
          <w:szCs w:val="20"/>
        </w:rPr>
        <w:t>.</w:t>
      </w:r>
    </w:p>
    <w:p w:rsidR="004B1D65" w:rsidRPr="00AC7833" w:rsidRDefault="004B1D65" w:rsidP="00AC7833">
      <w:pPr>
        <w:snapToGrid w:val="0"/>
        <w:ind w:firstLine="425"/>
        <w:jc w:val="both"/>
        <w:rPr>
          <w:sz w:val="20"/>
          <w:szCs w:val="20"/>
        </w:rPr>
      </w:pPr>
      <w:proofErr w:type="spellStart"/>
      <w:r w:rsidRPr="00AC7833">
        <w:rPr>
          <w:sz w:val="20"/>
          <w:szCs w:val="20"/>
        </w:rPr>
        <w:t>Anovulatory</w:t>
      </w:r>
      <w:proofErr w:type="spellEnd"/>
      <w:r w:rsidRPr="00AC7833">
        <w:rPr>
          <w:sz w:val="20"/>
          <w:szCs w:val="20"/>
        </w:rPr>
        <w:t xml:space="preserve"> dysfunction is a common problem and is responsible for 40% of all female infertilities. Polycystic ovary syndrome (PCOS)is the most common endocrine disorder of reproductive-aged women and the most common cause of </w:t>
      </w:r>
      <w:proofErr w:type="spellStart"/>
      <w:r w:rsidRPr="00AC7833">
        <w:rPr>
          <w:sz w:val="20"/>
          <w:szCs w:val="20"/>
        </w:rPr>
        <w:t>anovulatory</w:t>
      </w:r>
      <w:proofErr w:type="spellEnd"/>
      <w:r w:rsidRPr="00AC7833">
        <w:rPr>
          <w:sz w:val="20"/>
          <w:szCs w:val="20"/>
        </w:rPr>
        <w:t xml:space="preserve"> infertility </w:t>
      </w:r>
      <w:r w:rsidRPr="00AC7833">
        <w:rPr>
          <w:b/>
          <w:bCs/>
          <w:i/>
          <w:iCs/>
          <w:sz w:val="20"/>
          <w:szCs w:val="20"/>
        </w:rPr>
        <w:t>(</w:t>
      </w:r>
      <w:proofErr w:type="spellStart"/>
      <w:r w:rsidRPr="00AC7833">
        <w:rPr>
          <w:b/>
          <w:bCs/>
          <w:i/>
          <w:iCs/>
          <w:sz w:val="20"/>
          <w:szCs w:val="20"/>
        </w:rPr>
        <w:t>Sirmans</w:t>
      </w:r>
      <w:proofErr w:type="spellEnd"/>
      <w:r w:rsidRPr="00AC7833">
        <w:rPr>
          <w:b/>
          <w:bCs/>
          <w:i/>
          <w:iCs/>
          <w:sz w:val="20"/>
          <w:szCs w:val="20"/>
        </w:rPr>
        <w:t xml:space="preserve"> and Pate,</w:t>
      </w:r>
      <w:r w:rsidR="00743061">
        <w:rPr>
          <w:rFonts w:hint="eastAsia"/>
          <w:b/>
          <w:bCs/>
          <w:i/>
          <w:iCs/>
          <w:sz w:val="20"/>
          <w:szCs w:val="20"/>
          <w:lang w:eastAsia="zh-CN"/>
        </w:rPr>
        <w:t xml:space="preserve"> </w:t>
      </w:r>
      <w:r w:rsidRPr="00AC7833">
        <w:rPr>
          <w:b/>
          <w:bCs/>
          <w:i/>
          <w:iCs/>
          <w:sz w:val="20"/>
          <w:szCs w:val="20"/>
        </w:rPr>
        <w:t>2013).</w:t>
      </w:r>
      <w:r w:rsidRPr="00AC7833">
        <w:rPr>
          <w:sz w:val="20"/>
          <w:szCs w:val="20"/>
        </w:rPr>
        <w:t xml:space="preserve"> It is a heterogeneous endocrine condition that affects approximately 5% to 10% of women in the reproductive age group </w:t>
      </w:r>
      <w:r w:rsidRPr="00AC7833">
        <w:rPr>
          <w:b/>
          <w:bCs/>
          <w:i/>
          <w:iCs/>
          <w:sz w:val="20"/>
          <w:szCs w:val="20"/>
        </w:rPr>
        <w:t>(</w:t>
      </w:r>
      <w:proofErr w:type="spellStart"/>
      <w:r w:rsidRPr="00AC7833">
        <w:rPr>
          <w:b/>
          <w:bCs/>
          <w:i/>
          <w:iCs/>
          <w:sz w:val="20"/>
          <w:szCs w:val="20"/>
        </w:rPr>
        <w:t>Tannys</w:t>
      </w:r>
      <w:proofErr w:type="spellEnd"/>
      <w:r w:rsidRPr="00AC7833">
        <w:rPr>
          <w:b/>
          <w:bCs/>
          <w:i/>
          <w:iCs/>
          <w:sz w:val="20"/>
          <w:szCs w:val="20"/>
        </w:rPr>
        <w:t xml:space="preserve"> and Anthony, 2010).</w:t>
      </w:r>
      <w:r w:rsidRPr="00AC7833">
        <w:rPr>
          <w:sz w:val="20"/>
          <w:szCs w:val="20"/>
        </w:rPr>
        <w:t xml:space="preserve"> An increased awareness of this disorder in the general population and medical communities has taken place in recent years with the knowledge that women with polycystic ovary syndrome are susceptible to metabolic syndrome and its associated co-morbidities </w:t>
      </w:r>
      <w:r w:rsidRPr="00AC7833">
        <w:rPr>
          <w:b/>
          <w:bCs/>
          <w:i/>
          <w:iCs/>
          <w:sz w:val="20"/>
          <w:szCs w:val="20"/>
        </w:rPr>
        <w:t>(</w:t>
      </w:r>
      <w:proofErr w:type="spellStart"/>
      <w:r w:rsidRPr="00AC7833">
        <w:rPr>
          <w:b/>
          <w:bCs/>
          <w:i/>
          <w:iCs/>
          <w:sz w:val="20"/>
          <w:szCs w:val="20"/>
        </w:rPr>
        <w:t>Saha</w:t>
      </w:r>
      <w:proofErr w:type="spellEnd"/>
      <w:r w:rsidRPr="00AC7833">
        <w:rPr>
          <w:b/>
          <w:bCs/>
          <w:i/>
          <w:iCs/>
          <w:sz w:val="20"/>
          <w:szCs w:val="20"/>
        </w:rPr>
        <w:t xml:space="preserve"> et al., 2012).</w:t>
      </w:r>
    </w:p>
    <w:p w:rsidR="004B1D65" w:rsidRPr="00AC7833" w:rsidRDefault="004B1D65" w:rsidP="00AC7833">
      <w:pPr>
        <w:snapToGrid w:val="0"/>
        <w:ind w:firstLine="425"/>
        <w:jc w:val="both"/>
        <w:rPr>
          <w:sz w:val="20"/>
          <w:szCs w:val="20"/>
        </w:rPr>
      </w:pPr>
      <w:r w:rsidRPr="00AC7833">
        <w:rPr>
          <w:sz w:val="20"/>
          <w:szCs w:val="20"/>
        </w:rPr>
        <w:t xml:space="preserve">According to Rotterdam criteria PCOS is characterized by two of the following three criteria: </w:t>
      </w:r>
      <w:proofErr w:type="spellStart"/>
      <w:r w:rsidRPr="00AC7833">
        <w:rPr>
          <w:sz w:val="20"/>
          <w:szCs w:val="20"/>
        </w:rPr>
        <w:t>Oligo-anovulation</w:t>
      </w:r>
      <w:proofErr w:type="spellEnd"/>
      <w:r w:rsidRPr="00AC7833">
        <w:rPr>
          <w:sz w:val="20"/>
          <w:szCs w:val="20"/>
        </w:rPr>
        <w:t xml:space="preserve">, </w:t>
      </w:r>
      <w:proofErr w:type="spellStart"/>
      <w:r w:rsidRPr="00AC7833">
        <w:rPr>
          <w:sz w:val="20"/>
          <w:szCs w:val="20"/>
        </w:rPr>
        <w:t>ultrasonographically</w:t>
      </w:r>
      <w:proofErr w:type="spellEnd"/>
      <w:r w:rsidRPr="00AC7833">
        <w:rPr>
          <w:sz w:val="20"/>
          <w:szCs w:val="20"/>
        </w:rPr>
        <w:t xml:space="preserve"> defined polycystic ovaries (12 or more follicles measuring 2-</w:t>
      </w:r>
      <w:smartTag w:uri="urn:schemas-microsoft-com:office:smarttags" w:element="metricconverter">
        <w:smartTagPr>
          <w:attr w:name="ProductID" w:val="9 mm"/>
        </w:smartTagPr>
        <w:r w:rsidRPr="00AC7833">
          <w:rPr>
            <w:sz w:val="20"/>
            <w:szCs w:val="20"/>
          </w:rPr>
          <w:t xml:space="preserve">9 </w:t>
        </w:r>
        <w:r w:rsidRPr="00AC7833">
          <w:rPr>
            <w:sz w:val="20"/>
            <w:szCs w:val="20"/>
          </w:rPr>
          <w:lastRenderedPageBreak/>
          <w:t>mm</w:t>
        </w:r>
      </w:smartTag>
      <w:r w:rsidRPr="00AC7833">
        <w:rPr>
          <w:sz w:val="20"/>
          <w:szCs w:val="20"/>
        </w:rPr>
        <w:t xml:space="preserve"> in diameter or increased ovarian volume more than 10cm3) and clinical or biochemical signs of </w:t>
      </w:r>
      <w:proofErr w:type="spellStart"/>
      <w:r w:rsidRPr="00AC7833">
        <w:rPr>
          <w:sz w:val="20"/>
          <w:szCs w:val="20"/>
        </w:rPr>
        <w:t>hyperandrogenism</w:t>
      </w:r>
      <w:proofErr w:type="spellEnd"/>
      <w:r w:rsidRPr="00AC7833">
        <w:rPr>
          <w:sz w:val="20"/>
          <w:szCs w:val="20"/>
        </w:rPr>
        <w:t xml:space="preserve"> with the exclusion of other androgen excess disorders </w:t>
      </w:r>
      <w:r w:rsidRPr="00AC7833">
        <w:rPr>
          <w:b/>
          <w:bCs/>
          <w:i/>
          <w:iCs/>
          <w:sz w:val="20"/>
          <w:szCs w:val="20"/>
        </w:rPr>
        <w:t>(Rotterdam, 2004).</w:t>
      </w:r>
    </w:p>
    <w:p w:rsidR="00240DA3" w:rsidRPr="00AC7833" w:rsidRDefault="004B1D65" w:rsidP="00AC7833">
      <w:pPr>
        <w:snapToGrid w:val="0"/>
        <w:ind w:firstLine="425"/>
        <w:jc w:val="both"/>
        <w:rPr>
          <w:sz w:val="20"/>
          <w:szCs w:val="20"/>
        </w:rPr>
      </w:pPr>
      <w:proofErr w:type="spellStart"/>
      <w:r w:rsidRPr="00AC7833">
        <w:rPr>
          <w:sz w:val="20"/>
          <w:szCs w:val="20"/>
        </w:rPr>
        <w:t>Clomiphene</w:t>
      </w:r>
      <w:proofErr w:type="spellEnd"/>
      <w:r w:rsidRPr="00AC7833">
        <w:rPr>
          <w:sz w:val="20"/>
          <w:szCs w:val="20"/>
        </w:rPr>
        <w:t xml:space="preserve"> citrate is the first drug of choice in management of infertility in PCOS because it is readily available, inexpensive, well tolerated, safe, and efficacious </w:t>
      </w:r>
      <w:r w:rsidRPr="00AC7833">
        <w:rPr>
          <w:b/>
          <w:bCs/>
          <w:i/>
          <w:iCs/>
          <w:sz w:val="20"/>
          <w:szCs w:val="20"/>
        </w:rPr>
        <w:t>(Thessaloniki, 2008).</w:t>
      </w:r>
      <w:r w:rsidRPr="00AC7833">
        <w:rPr>
          <w:sz w:val="20"/>
          <w:szCs w:val="20"/>
        </w:rPr>
        <w:t xml:space="preserve"> As a selective estrogen receptor modulator, CC acts by binding to estrogen receptors and inhibiting the negative feedback of estrogen on the hypothalamus </w:t>
      </w:r>
      <w:r w:rsidRPr="00AC7833">
        <w:rPr>
          <w:b/>
          <w:bCs/>
          <w:i/>
          <w:iCs/>
          <w:sz w:val="20"/>
          <w:szCs w:val="20"/>
        </w:rPr>
        <w:t>(The American Society for Reproductive Medicine, 2013)</w:t>
      </w:r>
      <w:r w:rsidRPr="00AC7833">
        <w:rPr>
          <w:sz w:val="20"/>
          <w:szCs w:val="20"/>
        </w:rPr>
        <w:t xml:space="preserve">. This causes a compensatory increase in follicle-stimulating hormone levels, thereby stimulating follicular development and subsequent ovulation. Although CC is known to have a relatively long half-life, approximately 85% of the drug is excreted from the body after 7 days </w:t>
      </w:r>
      <w:r w:rsidRPr="00AC7833">
        <w:rPr>
          <w:b/>
          <w:bCs/>
          <w:i/>
          <w:iCs/>
          <w:sz w:val="20"/>
          <w:szCs w:val="20"/>
        </w:rPr>
        <w:t>(</w:t>
      </w:r>
      <w:proofErr w:type="spellStart"/>
      <w:r w:rsidRPr="00AC7833">
        <w:rPr>
          <w:b/>
          <w:bCs/>
          <w:i/>
          <w:iCs/>
          <w:sz w:val="20"/>
          <w:szCs w:val="20"/>
        </w:rPr>
        <w:t>Mikkelson</w:t>
      </w:r>
      <w:proofErr w:type="spellEnd"/>
      <w:r w:rsidRPr="00AC7833">
        <w:rPr>
          <w:b/>
          <w:bCs/>
          <w:i/>
          <w:iCs/>
          <w:sz w:val="20"/>
          <w:szCs w:val="20"/>
        </w:rPr>
        <w:t xml:space="preserve"> et al., 1986).</w:t>
      </w:r>
      <w:r w:rsidRPr="00AC7833">
        <w:rPr>
          <w:sz w:val="20"/>
          <w:szCs w:val="20"/>
        </w:rPr>
        <w:t xml:space="preserve"> A commonly used CC protocol for ovulation induction involves a starting dose of 50 mg per day for 5 days during the follicular phase. If ovulation does not occur, the dose is often increased by 50 mg in the next cycle after a progesterone-induced withdrawal period </w:t>
      </w:r>
      <w:r w:rsidRPr="00AC7833">
        <w:rPr>
          <w:b/>
          <w:bCs/>
          <w:i/>
          <w:iCs/>
          <w:sz w:val="20"/>
          <w:szCs w:val="20"/>
        </w:rPr>
        <w:t>(</w:t>
      </w:r>
      <w:proofErr w:type="spellStart"/>
      <w:r w:rsidRPr="00AC7833">
        <w:rPr>
          <w:b/>
          <w:bCs/>
          <w:i/>
          <w:iCs/>
          <w:sz w:val="20"/>
          <w:szCs w:val="20"/>
        </w:rPr>
        <w:t>Sirmans</w:t>
      </w:r>
      <w:proofErr w:type="spellEnd"/>
      <w:r w:rsidRPr="00AC7833">
        <w:rPr>
          <w:b/>
          <w:bCs/>
          <w:i/>
          <w:iCs/>
          <w:sz w:val="20"/>
          <w:szCs w:val="20"/>
        </w:rPr>
        <w:t xml:space="preserve"> and Pate, 2013).</w:t>
      </w:r>
      <w:r w:rsidRPr="00AC7833">
        <w:rPr>
          <w:sz w:val="20"/>
          <w:szCs w:val="20"/>
        </w:rPr>
        <w:t xml:space="preserve"> With this protocol it has </w:t>
      </w:r>
      <w:r w:rsidRPr="00AC7833">
        <w:rPr>
          <w:sz w:val="20"/>
          <w:szCs w:val="20"/>
        </w:rPr>
        <w:lastRenderedPageBreak/>
        <w:t xml:space="preserve">been reported that 46% of patients ovulate with a CC dose of 50 mg/day, 21% with 100mg/day, 8% with 150mg/day </w:t>
      </w:r>
      <w:r w:rsidRPr="00AC7833">
        <w:rPr>
          <w:b/>
          <w:bCs/>
          <w:i/>
          <w:iCs/>
          <w:sz w:val="20"/>
          <w:szCs w:val="20"/>
        </w:rPr>
        <w:t>(</w:t>
      </w:r>
      <w:proofErr w:type="spellStart"/>
      <w:r w:rsidRPr="00AC7833">
        <w:rPr>
          <w:b/>
          <w:bCs/>
          <w:i/>
          <w:iCs/>
          <w:sz w:val="20"/>
          <w:szCs w:val="20"/>
        </w:rPr>
        <w:t>Rostami</w:t>
      </w:r>
      <w:proofErr w:type="spellEnd"/>
      <w:r w:rsidRPr="00AC7833">
        <w:rPr>
          <w:b/>
          <w:bCs/>
          <w:i/>
          <w:iCs/>
          <w:sz w:val="20"/>
          <w:szCs w:val="20"/>
        </w:rPr>
        <w:t xml:space="preserve"> et al., 2004).</w:t>
      </w:r>
      <w:r w:rsidRPr="00AC7833">
        <w:rPr>
          <w:sz w:val="20"/>
          <w:szCs w:val="20"/>
        </w:rPr>
        <w:t xml:space="preserve"> Approximately 20% of patients are refractory to CC regimen </w:t>
      </w:r>
      <w:r w:rsidRPr="00AC7833">
        <w:rPr>
          <w:b/>
          <w:bCs/>
          <w:i/>
          <w:iCs/>
          <w:sz w:val="20"/>
          <w:szCs w:val="20"/>
        </w:rPr>
        <w:t>(</w:t>
      </w:r>
      <w:proofErr w:type="spellStart"/>
      <w:r w:rsidRPr="00AC7833">
        <w:rPr>
          <w:b/>
          <w:bCs/>
          <w:i/>
          <w:iCs/>
          <w:sz w:val="20"/>
          <w:szCs w:val="20"/>
        </w:rPr>
        <w:t>Imani</w:t>
      </w:r>
      <w:proofErr w:type="spellEnd"/>
      <w:r w:rsidRPr="00AC7833">
        <w:rPr>
          <w:b/>
          <w:bCs/>
          <w:i/>
          <w:iCs/>
          <w:sz w:val="20"/>
          <w:szCs w:val="20"/>
        </w:rPr>
        <w:t xml:space="preserve"> et al., 2002).</w:t>
      </w:r>
      <w:r w:rsidRPr="00AC7833">
        <w:rPr>
          <w:sz w:val="20"/>
          <w:szCs w:val="20"/>
        </w:rPr>
        <w:t xml:space="preserve"> Although the maximum dose of CC is 250 mg/day, clinicians prefer not to use doses above 150 mg/day to avoid </w:t>
      </w:r>
      <w:r w:rsidR="005829B0" w:rsidRPr="00AC7833">
        <w:rPr>
          <w:sz w:val="20"/>
          <w:szCs w:val="20"/>
        </w:rPr>
        <w:t>p</w:t>
      </w:r>
      <w:r w:rsidRPr="00AC7833">
        <w:rPr>
          <w:sz w:val="20"/>
          <w:szCs w:val="20"/>
        </w:rPr>
        <w:t xml:space="preserve">otentially adverse effects of the cumulative doses in the same cycle on the </w:t>
      </w:r>
      <w:proofErr w:type="spellStart"/>
      <w:r w:rsidRPr="00AC7833">
        <w:rPr>
          <w:sz w:val="20"/>
          <w:szCs w:val="20"/>
        </w:rPr>
        <w:t>endometrium</w:t>
      </w:r>
      <w:proofErr w:type="spellEnd"/>
      <w:r w:rsidRPr="00AC7833">
        <w:rPr>
          <w:sz w:val="20"/>
          <w:szCs w:val="20"/>
        </w:rPr>
        <w:t xml:space="preserve"> and on systemic side effects </w:t>
      </w:r>
      <w:r w:rsidRPr="00AC7833">
        <w:rPr>
          <w:b/>
          <w:bCs/>
          <w:i/>
          <w:iCs/>
          <w:sz w:val="20"/>
          <w:szCs w:val="20"/>
        </w:rPr>
        <w:t>(ACOG Practice Bulletin 2002).</w:t>
      </w:r>
      <w:r w:rsidRPr="00AC7833">
        <w:rPr>
          <w:sz w:val="20"/>
          <w:szCs w:val="20"/>
        </w:rPr>
        <w:t xml:space="preserve"> A new protocol is the stair-step protocol in which the increasing daily CC dose is administered without intervening menses between the dosages </w:t>
      </w:r>
      <w:r w:rsidRPr="00AC7833">
        <w:rPr>
          <w:b/>
          <w:bCs/>
          <w:i/>
          <w:iCs/>
          <w:sz w:val="20"/>
          <w:szCs w:val="20"/>
        </w:rPr>
        <w:t>(Hurst et al., 2009).</w:t>
      </w:r>
      <w:r w:rsidRPr="00AC7833">
        <w:rPr>
          <w:sz w:val="20"/>
          <w:szCs w:val="20"/>
        </w:rPr>
        <w:t xml:space="preserve"> The potential advantage of stair-step protocol is the lack of a waiting period until the next menstruation. Potentially adverse effects of the cumulative doses in the same cycle on the </w:t>
      </w:r>
      <w:proofErr w:type="spellStart"/>
      <w:r w:rsidRPr="00AC7833">
        <w:rPr>
          <w:sz w:val="20"/>
          <w:szCs w:val="20"/>
        </w:rPr>
        <w:t>endometrium</w:t>
      </w:r>
      <w:proofErr w:type="spellEnd"/>
      <w:r w:rsidRPr="00AC7833">
        <w:rPr>
          <w:sz w:val="20"/>
          <w:szCs w:val="20"/>
        </w:rPr>
        <w:t xml:space="preserve"> and on systemic side effects may be disadvantages of stair-step protocol </w:t>
      </w:r>
      <w:r w:rsidRPr="00AC7833">
        <w:rPr>
          <w:b/>
          <w:bCs/>
          <w:i/>
          <w:iCs/>
          <w:sz w:val="20"/>
          <w:szCs w:val="20"/>
        </w:rPr>
        <w:t>(Cannon et al., 2014).</w:t>
      </w:r>
    </w:p>
    <w:p w:rsidR="00240DA3" w:rsidRPr="00AC7833" w:rsidRDefault="00240DA3" w:rsidP="00AC7833">
      <w:pPr>
        <w:snapToGrid w:val="0"/>
        <w:jc w:val="both"/>
        <w:rPr>
          <w:sz w:val="20"/>
          <w:szCs w:val="20"/>
        </w:rPr>
      </w:pPr>
    </w:p>
    <w:p w:rsidR="00240DA3" w:rsidRPr="00AC7833" w:rsidRDefault="00240DA3" w:rsidP="00AC7833">
      <w:pPr>
        <w:snapToGrid w:val="0"/>
        <w:jc w:val="both"/>
        <w:rPr>
          <w:b/>
          <w:bCs/>
          <w:sz w:val="20"/>
          <w:szCs w:val="20"/>
        </w:rPr>
      </w:pPr>
      <w:r w:rsidRPr="00AC7833">
        <w:rPr>
          <w:b/>
          <w:bCs/>
          <w:sz w:val="20"/>
          <w:szCs w:val="20"/>
        </w:rPr>
        <w:t xml:space="preserve">2. </w:t>
      </w:r>
      <w:r w:rsidR="004B1D65" w:rsidRPr="00AC7833">
        <w:rPr>
          <w:b/>
          <w:bCs/>
          <w:sz w:val="20"/>
          <w:szCs w:val="20"/>
        </w:rPr>
        <w:t>Materials and methods</w:t>
      </w:r>
    </w:p>
    <w:p w:rsidR="004B1D65" w:rsidRPr="00AC7833" w:rsidRDefault="004B1D65" w:rsidP="00AC7833">
      <w:pPr>
        <w:snapToGrid w:val="0"/>
        <w:ind w:firstLine="425"/>
        <w:jc w:val="both"/>
        <w:rPr>
          <w:sz w:val="20"/>
          <w:szCs w:val="20"/>
        </w:rPr>
      </w:pPr>
      <w:r w:rsidRPr="00AC7833">
        <w:rPr>
          <w:sz w:val="20"/>
          <w:szCs w:val="20"/>
        </w:rPr>
        <w:t xml:space="preserve">This randomized controlled prospective study was carried on 60 patients with PCOS attending the infertility clinic at Al- </w:t>
      </w:r>
      <w:proofErr w:type="spellStart"/>
      <w:r w:rsidRPr="00AC7833">
        <w:rPr>
          <w:sz w:val="20"/>
          <w:szCs w:val="20"/>
        </w:rPr>
        <w:t>Maadi</w:t>
      </w:r>
      <w:proofErr w:type="spellEnd"/>
      <w:r w:rsidRPr="00AC7833">
        <w:rPr>
          <w:sz w:val="20"/>
          <w:szCs w:val="20"/>
        </w:rPr>
        <w:t xml:space="preserve"> Military Hospital from January 2016 till September 2016. The study was approved by the Ethical Committee of the hospital. Informed consent was obtained from all the cases enrolled in the study.</w:t>
      </w:r>
    </w:p>
    <w:p w:rsidR="004B1D65" w:rsidRPr="00AC7833" w:rsidRDefault="004B1D65" w:rsidP="00AC7833">
      <w:pPr>
        <w:snapToGrid w:val="0"/>
        <w:jc w:val="both"/>
        <w:rPr>
          <w:b/>
          <w:bCs/>
          <w:sz w:val="20"/>
          <w:szCs w:val="20"/>
        </w:rPr>
      </w:pPr>
      <w:r w:rsidRPr="00AC7833">
        <w:rPr>
          <w:b/>
          <w:bCs/>
          <w:sz w:val="20"/>
          <w:szCs w:val="20"/>
        </w:rPr>
        <w:t>The inclusion criteria were as follows:</w:t>
      </w:r>
    </w:p>
    <w:p w:rsidR="004B1D65" w:rsidRPr="00AC7833" w:rsidRDefault="004B1D65" w:rsidP="00AC7833">
      <w:pPr>
        <w:numPr>
          <w:ilvl w:val="0"/>
          <w:numId w:val="3"/>
        </w:numPr>
        <w:tabs>
          <w:tab w:val="clear" w:pos="1440"/>
        </w:tabs>
        <w:snapToGrid w:val="0"/>
        <w:ind w:left="0" w:firstLine="425"/>
        <w:jc w:val="both"/>
        <w:rPr>
          <w:sz w:val="20"/>
          <w:szCs w:val="20"/>
        </w:rPr>
      </w:pPr>
      <w:r w:rsidRPr="00AC7833">
        <w:rPr>
          <w:sz w:val="20"/>
          <w:szCs w:val="20"/>
        </w:rPr>
        <w:t>Women aged 20-35 years.</w:t>
      </w:r>
    </w:p>
    <w:p w:rsidR="004B1D65" w:rsidRPr="00AC7833" w:rsidRDefault="004B1D65" w:rsidP="00AC7833">
      <w:pPr>
        <w:numPr>
          <w:ilvl w:val="0"/>
          <w:numId w:val="3"/>
        </w:numPr>
        <w:tabs>
          <w:tab w:val="clear" w:pos="1440"/>
        </w:tabs>
        <w:snapToGrid w:val="0"/>
        <w:ind w:left="0" w:firstLine="425"/>
        <w:jc w:val="both"/>
        <w:rPr>
          <w:sz w:val="20"/>
          <w:szCs w:val="20"/>
        </w:rPr>
      </w:pPr>
      <w:r w:rsidRPr="00AC7833">
        <w:rPr>
          <w:sz w:val="20"/>
          <w:szCs w:val="20"/>
        </w:rPr>
        <w:t xml:space="preserve">Tubal patency confirmed by either </w:t>
      </w:r>
      <w:proofErr w:type="spellStart"/>
      <w:r w:rsidRPr="00AC7833">
        <w:rPr>
          <w:sz w:val="20"/>
          <w:szCs w:val="20"/>
        </w:rPr>
        <w:t>hysterosalpingogram</w:t>
      </w:r>
      <w:proofErr w:type="spellEnd"/>
      <w:r w:rsidRPr="00AC7833">
        <w:rPr>
          <w:sz w:val="20"/>
          <w:szCs w:val="20"/>
        </w:rPr>
        <w:t xml:space="preserve"> or during diagnostic laparoscopy.</w:t>
      </w:r>
    </w:p>
    <w:p w:rsidR="004B1D65" w:rsidRPr="00AC7833" w:rsidRDefault="004B1D65" w:rsidP="00AC7833">
      <w:pPr>
        <w:numPr>
          <w:ilvl w:val="0"/>
          <w:numId w:val="3"/>
        </w:numPr>
        <w:tabs>
          <w:tab w:val="clear" w:pos="1440"/>
        </w:tabs>
        <w:snapToGrid w:val="0"/>
        <w:ind w:left="0" w:firstLine="425"/>
        <w:jc w:val="both"/>
        <w:rPr>
          <w:sz w:val="20"/>
          <w:szCs w:val="20"/>
        </w:rPr>
      </w:pPr>
      <w:r w:rsidRPr="00AC7833">
        <w:rPr>
          <w:sz w:val="20"/>
          <w:szCs w:val="20"/>
        </w:rPr>
        <w:t>Normal semen analysis according to WHO criteria</w:t>
      </w:r>
      <w:r w:rsidR="005829B0" w:rsidRPr="00AC7833">
        <w:rPr>
          <w:sz w:val="20"/>
          <w:szCs w:val="20"/>
        </w:rPr>
        <w:t xml:space="preserve"> </w:t>
      </w:r>
      <w:r w:rsidRPr="00AC7833">
        <w:rPr>
          <w:sz w:val="20"/>
          <w:szCs w:val="20"/>
        </w:rPr>
        <w:t>(2010).</w:t>
      </w:r>
    </w:p>
    <w:p w:rsidR="004B1D65" w:rsidRPr="00AC7833" w:rsidRDefault="004B1D65" w:rsidP="00AC7833">
      <w:pPr>
        <w:numPr>
          <w:ilvl w:val="0"/>
          <w:numId w:val="3"/>
        </w:numPr>
        <w:tabs>
          <w:tab w:val="clear" w:pos="1440"/>
        </w:tabs>
        <w:snapToGrid w:val="0"/>
        <w:ind w:left="0" w:firstLine="425"/>
        <w:jc w:val="both"/>
        <w:rPr>
          <w:sz w:val="20"/>
          <w:szCs w:val="20"/>
        </w:rPr>
      </w:pPr>
      <w:r w:rsidRPr="00AC7833">
        <w:rPr>
          <w:sz w:val="20"/>
          <w:szCs w:val="20"/>
        </w:rPr>
        <w:t xml:space="preserve">Diagnosis of PCOS, by two of the following three criteria according to Rotterdam criteria(2004): </w:t>
      </w:r>
      <w:proofErr w:type="spellStart"/>
      <w:r w:rsidRPr="00AC7833">
        <w:rPr>
          <w:sz w:val="20"/>
          <w:szCs w:val="20"/>
        </w:rPr>
        <w:t>Oligo-anovulation</w:t>
      </w:r>
      <w:proofErr w:type="spellEnd"/>
      <w:r w:rsidRPr="00AC7833">
        <w:rPr>
          <w:sz w:val="20"/>
          <w:szCs w:val="20"/>
        </w:rPr>
        <w:t xml:space="preserve">, </w:t>
      </w:r>
      <w:proofErr w:type="spellStart"/>
      <w:r w:rsidRPr="00AC7833">
        <w:rPr>
          <w:sz w:val="20"/>
          <w:szCs w:val="20"/>
        </w:rPr>
        <w:t>ultrasonographically</w:t>
      </w:r>
      <w:proofErr w:type="spellEnd"/>
      <w:r w:rsidRPr="00AC7833">
        <w:rPr>
          <w:sz w:val="20"/>
          <w:szCs w:val="20"/>
        </w:rPr>
        <w:t xml:space="preserve"> defined polycystic ovaries (12 or more follicles measuring 2-</w:t>
      </w:r>
      <w:smartTag w:uri="urn:schemas-microsoft-com:office:smarttags" w:element="metricconverter">
        <w:smartTagPr>
          <w:attr w:name="ProductID" w:val="9 mm"/>
        </w:smartTagPr>
        <w:r w:rsidRPr="00AC7833">
          <w:rPr>
            <w:sz w:val="20"/>
            <w:szCs w:val="20"/>
          </w:rPr>
          <w:t>9 mm</w:t>
        </w:r>
      </w:smartTag>
      <w:r w:rsidRPr="00AC7833">
        <w:rPr>
          <w:sz w:val="20"/>
          <w:szCs w:val="20"/>
        </w:rPr>
        <w:t xml:space="preserve"> in diameter or increased ovarian volume more than 10cm3) and clinical or biochemical signs of </w:t>
      </w:r>
      <w:proofErr w:type="spellStart"/>
      <w:r w:rsidRPr="00AC7833">
        <w:rPr>
          <w:sz w:val="20"/>
          <w:szCs w:val="20"/>
        </w:rPr>
        <w:t>hyperandrogenism</w:t>
      </w:r>
      <w:proofErr w:type="spellEnd"/>
      <w:r w:rsidRPr="00AC7833">
        <w:rPr>
          <w:sz w:val="20"/>
          <w:szCs w:val="20"/>
        </w:rPr>
        <w:t xml:space="preserve"> with the exclusion of other androgen excess disorders, were enrolled in this study.</w:t>
      </w:r>
    </w:p>
    <w:p w:rsidR="004B1D65" w:rsidRPr="00AC7833" w:rsidRDefault="004B1D65" w:rsidP="00AC7833">
      <w:pPr>
        <w:snapToGrid w:val="0"/>
        <w:jc w:val="both"/>
        <w:rPr>
          <w:b/>
          <w:bCs/>
          <w:sz w:val="20"/>
          <w:szCs w:val="20"/>
        </w:rPr>
      </w:pPr>
      <w:r w:rsidRPr="00AC7833">
        <w:rPr>
          <w:b/>
          <w:bCs/>
          <w:sz w:val="20"/>
          <w:szCs w:val="20"/>
        </w:rPr>
        <w:t>The exclusion criteria were as follows:</w:t>
      </w:r>
    </w:p>
    <w:p w:rsidR="004B1D65" w:rsidRPr="00AC7833" w:rsidRDefault="004B1D65" w:rsidP="00AC7833">
      <w:pPr>
        <w:numPr>
          <w:ilvl w:val="0"/>
          <w:numId w:val="4"/>
        </w:numPr>
        <w:tabs>
          <w:tab w:val="clear" w:pos="1440"/>
        </w:tabs>
        <w:snapToGrid w:val="0"/>
        <w:ind w:left="0" w:firstLine="425"/>
        <w:jc w:val="both"/>
        <w:rPr>
          <w:sz w:val="20"/>
          <w:szCs w:val="20"/>
        </w:rPr>
      </w:pPr>
      <w:proofErr w:type="spellStart"/>
      <w:r w:rsidRPr="00AC7833">
        <w:rPr>
          <w:sz w:val="20"/>
          <w:szCs w:val="20"/>
        </w:rPr>
        <w:t>Womens</w:t>
      </w:r>
      <w:proofErr w:type="spellEnd"/>
      <w:r w:rsidRPr="00AC7833">
        <w:rPr>
          <w:sz w:val="20"/>
          <w:szCs w:val="20"/>
        </w:rPr>
        <w:t xml:space="preserve"> aged &gt;35 years old.</w:t>
      </w:r>
    </w:p>
    <w:p w:rsidR="004B1D65" w:rsidRPr="00AC7833" w:rsidRDefault="004B1D65" w:rsidP="00AC7833">
      <w:pPr>
        <w:numPr>
          <w:ilvl w:val="0"/>
          <w:numId w:val="4"/>
        </w:numPr>
        <w:tabs>
          <w:tab w:val="clear" w:pos="1440"/>
        </w:tabs>
        <w:snapToGrid w:val="0"/>
        <w:ind w:left="0" w:firstLine="425"/>
        <w:jc w:val="both"/>
        <w:rPr>
          <w:sz w:val="20"/>
          <w:szCs w:val="20"/>
        </w:rPr>
      </w:pPr>
      <w:r w:rsidRPr="00AC7833">
        <w:rPr>
          <w:sz w:val="20"/>
          <w:szCs w:val="20"/>
        </w:rPr>
        <w:t xml:space="preserve">Female with bilateral tubal blockage diagnosed either by </w:t>
      </w:r>
      <w:proofErr w:type="spellStart"/>
      <w:r w:rsidRPr="00AC7833">
        <w:rPr>
          <w:sz w:val="20"/>
          <w:szCs w:val="20"/>
        </w:rPr>
        <w:t>hysterosalpingogram</w:t>
      </w:r>
      <w:proofErr w:type="spellEnd"/>
      <w:r w:rsidRPr="00AC7833">
        <w:rPr>
          <w:sz w:val="20"/>
          <w:szCs w:val="20"/>
        </w:rPr>
        <w:t xml:space="preserve"> or during diagnostic laparoscopy.</w:t>
      </w:r>
    </w:p>
    <w:p w:rsidR="00AC7833" w:rsidRDefault="004B1D65" w:rsidP="00AC7833">
      <w:pPr>
        <w:numPr>
          <w:ilvl w:val="0"/>
          <w:numId w:val="4"/>
        </w:numPr>
        <w:tabs>
          <w:tab w:val="clear" w:pos="1440"/>
        </w:tabs>
        <w:snapToGrid w:val="0"/>
        <w:ind w:left="0" w:firstLine="425"/>
        <w:jc w:val="both"/>
        <w:rPr>
          <w:sz w:val="20"/>
          <w:szCs w:val="20"/>
        </w:rPr>
      </w:pPr>
      <w:proofErr w:type="spellStart"/>
      <w:r w:rsidRPr="00AC7833">
        <w:rPr>
          <w:sz w:val="20"/>
          <w:szCs w:val="20"/>
        </w:rPr>
        <w:t>Endocrinolgical</w:t>
      </w:r>
      <w:proofErr w:type="spellEnd"/>
      <w:r w:rsidRPr="00AC7833">
        <w:rPr>
          <w:sz w:val="20"/>
          <w:szCs w:val="20"/>
        </w:rPr>
        <w:t xml:space="preserve"> disorder</w:t>
      </w:r>
      <w:r w:rsidR="00AC7833" w:rsidRPr="00AC7833">
        <w:rPr>
          <w:sz w:val="20"/>
          <w:szCs w:val="20"/>
        </w:rPr>
        <w:t>s</w:t>
      </w:r>
      <w:r w:rsidR="00AC7833">
        <w:rPr>
          <w:sz w:val="20"/>
          <w:szCs w:val="20"/>
        </w:rPr>
        <w:t>.</w:t>
      </w:r>
    </w:p>
    <w:p w:rsidR="004B1D65" w:rsidRPr="00AC7833" w:rsidRDefault="004B1D65" w:rsidP="00AC7833">
      <w:pPr>
        <w:numPr>
          <w:ilvl w:val="0"/>
          <w:numId w:val="4"/>
        </w:numPr>
        <w:tabs>
          <w:tab w:val="clear" w:pos="1440"/>
        </w:tabs>
        <w:snapToGrid w:val="0"/>
        <w:ind w:left="0" w:firstLine="425"/>
        <w:jc w:val="both"/>
        <w:rPr>
          <w:sz w:val="20"/>
          <w:szCs w:val="20"/>
        </w:rPr>
      </w:pPr>
      <w:r w:rsidRPr="00AC7833">
        <w:rPr>
          <w:sz w:val="20"/>
          <w:szCs w:val="20"/>
        </w:rPr>
        <w:t>Previous gynecological operations.</w:t>
      </w:r>
    </w:p>
    <w:p w:rsidR="004B1D65" w:rsidRPr="00AC7833" w:rsidRDefault="004B1D65" w:rsidP="00AC7833">
      <w:pPr>
        <w:snapToGrid w:val="0"/>
        <w:jc w:val="both"/>
        <w:rPr>
          <w:b/>
          <w:bCs/>
          <w:sz w:val="20"/>
          <w:szCs w:val="20"/>
        </w:rPr>
      </w:pPr>
      <w:r w:rsidRPr="00AC7833">
        <w:rPr>
          <w:b/>
          <w:bCs/>
          <w:sz w:val="20"/>
          <w:szCs w:val="20"/>
        </w:rPr>
        <w:t>All patients participated were subjected to the following:</w:t>
      </w:r>
    </w:p>
    <w:p w:rsidR="004B1D65" w:rsidRPr="00AC7833" w:rsidRDefault="004B1D65" w:rsidP="00AC7833">
      <w:pPr>
        <w:numPr>
          <w:ilvl w:val="0"/>
          <w:numId w:val="1"/>
        </w:numPr>
        <w:tabs>
          <w:tab w:val="clear" w:pos="927"/>
        </w:tabs>
        <w:snapToGrid w:val="0"/>
        <w:ind w:left="0" w:firstLine="425"/>
        <w:jc w:val="both"/>
        <w:rPr>
          <w:sz w:val="20"/>
          <w:szCs w:val="20"/>
        </w:rPr>
      </w:pPr>
      <w:r w:rsidRPr="00AC7833">
        <w:rPr>
          <w:sz w:val="20"/>
          <w:szCs w:val="20"/>
        </w:rPr>
        <w:t>Written informed consent.</w:t>
      </w:r>
    </w:p>
    <w:p w:rsidR="004B1D65" w:rsidRPr="00AC7833" w:rsidRDefault="004B1D65" w:rsidP="00AC7833">
      <w:pPr>
        <w:numPr>
          <w:ilvl w:val="0"/>
          <w:numId w:val="1"/>
        </w:numPr>
        <w:tabs>
          <w:tab w:val="clear" w:pos="927"/>
        </w:tabs>
        <w:snapToGrid w:val="0"/>
        <w:ind w:left="0" w:firstLine="425"/>
        <w:jc w:val="both"/>
        <w:rPr>
          <w:sz w:val="20"/>
          <w:szCs w:val="20"/>
        </w:rPr>
      </w:pPr>
      <w:r w:rsidRPr="00AC7833">
        <w:rPr>
          <w:sz w:val="20"/>
          <w:szCs w:val="20"/>
        </w:rPr>
        <w:t>Thorough History taking; including menstrual history, obstetric history,</w:t>
      </w:r>
      <w:r w:rsidR="000E5F1B" w:rsidRPr="00AC7833">
        <w:rPr>
          <w:sz w:val="20"/>
          <w:szCs w:val="20"/>
        </w:rPr>
        <w:t xml:space="preserve"> </w:t>
      </w:r>
      <w:r w:rsidRPr="00AC7833">
        <w:rPr>
          <w:sz w:val="20"/>
          <w:szCs w:val="20"/>
        </w:rPr>
        <w:t>medical history,</w:t>
      </w:r>
      <w:r w:rsidR="000E5F1B" w:rsidRPr="00AC7833">
        <w:rPr>
          <w:sz w:val="20"/>
          <w:szCs w:val="20"/>
        </w:rPr>
        <w:t xml:space="preserve"> </w:t>
      </w:r>
      <w:r w:rsidRPr="00AC7833">
        <w:rPr>
          <w:sz w:val="20"/>
          <w:szCs w:val="20"/>
        </w:rPr>
        <w:lastRenderedPageBreak/>
        <w:t>surgical history,</w:t>
      </w:r>
      <w:r w:rsidR="000E5F1B" w:rsidRPr="00AC7833">
        <w:rPr>
          <w:sz w:val="20"/>
          <w:szCs w:val="20"/>
        </w:rPr>
        <w:t xml:space="preserve"> </w:t>
      </w:r>
      <w:r w:rsidRPr="00AC7833">
        <w:rPr>
          <w:sz w:val="20"/>
          <w:szCs w:val="20"/>
        </w:rPr>
        <w:t>history of drug intake and family history.</w:t>
      </w:r>
    </w:p>
    <w:p w:rsidR="004B1D65" w:rsidRPr="00AC7833" w:rsidRDefault="004B1D65" w:rsidP="00AC7833">
      <w:pPr>
        <w:numPr>
          <w:ilvl w:val="0"/>
          <w:numId w:val="1"/>
        </w:numPr>
        <w:tabs>
          <w:tab w:val="clear" w:pos="927"/>
        </w:tabs>
        <w:snapToGrid w:val="0"/>
        <w:ind w:left="0" w:firstLine="425"/>
        <w:jc w:val="both"/>
        <w:rPr>
          <w:sz w:val="20"/>
          <w:szCs w:val="20"/>
        </w:rPr>
      </w:pPr>
      <w:r w:rsidRPr="00AC7833">
        <w:rPr>
          <w:sz w:val="20"/>
          <w:szCs w:val="20"/>
        </w:rPr>
        <w:t>Physical examination especially measurement of body mass index.</w:t>
      </w:r>
    </w:p>
    <w:p w:rsidR="004B1D65" w:rsidRPr="00AC7833" w:rsidRDefault="004B1D65" w:rsidP="00AC7833">
      <w:pPr>
        <w:numPr>
          <w:ilvl w:val="0"/>
          <w:numId w:val="1"/>
        </w:numPr>
        <w:tabs>
          <w:tab w:val="clear" w:pos="927"/>
        </w:tabs>
        <w:snapToGrid w:val="0"/>
        <w:ind w:left="0" w:firstLine="425"/>
        <w:jc w:val="both"/>
        <w:rPr>
          <w:sz w:val="20"/>
          <w:szCs w:val="20"/>
        </w:rPr>
      </w:pPr>
      <w:r w:rsidRPr="00AC7833">
        <w:rPr>
          <w:sz w:val="20"/>
          <w:szCs w:val="20"/>
        </w:rPr>
        <w:t>General examination especially for acne and hair distribution.</w:t>
      </w:r>
    </w:p>
    <w:p w:rsidR="004B1D65" w:rsidRPr="00AC7833" w:rsidRDefault="004B1D65" w:rsidP="00AC7833">
      <w:pPr>
        <w:numPr>
          <w:ilvl w:val="0"/>
          <w:numId w:val="1"/>
        </w:numPr>
        <w:tabs>
          <w:tab w:val="clear" w:pos="927"/>
        </w:tabs>
        <w:snapToGrid w:val="0"/>
        <w:ind w:left="0" w:firstLine="425"/>
        <w:jc w:val="both"/>
        <w:rPr>
          <w:sz w:val="20"/>
          <w:szCs w:val="20"/>
        </w:rPr>
      </w:pPr>
      <w:r w:rsidRPr="00AC7833">
        <w:rPr>
          <w:sz w:val="20"/>
          <w:szCs w:val="20"/>
        </w:rPr>
        <w:t>Thyroid, breast and Abdominal examination.</w:t>
      </w:r>
    </w:p>
    <w:p w:rsidR="004B1D65" w:rsidRPr="00AC7833" w:rsidRDefault="004B1D65" w:rsidP="00AC7833">
      <w:pPr>
        <w:numPr>
          <w:ilvl w:val="0"/>
          <w:numId w:val="1"/>
        </w:numPr>
        <w:tabs>
          <w:tab w:val="clear" w:pos="927"/>
        </w:tabs>
        <w:snapToGrid w:val="0"/>
        <w:ind w:left="0" w:firstLine="425"/>
        <w:jc w:val="both"/>
        <w:rPr>
          <w:sz w:val="20"/>
          <w:szCs w:val="20"/>
        </w:rPr>
      </w:pPr>
      <w:r w:rsidRPr="00AC7833">
        <w:rPr>
          <w:sz w:val="20"/>
          <w:szCs w:val="20"/>
        </w:rPr>
        <w:t>Investigation;</w:t>
      </w:r>
    </w:p>
    <w:p w:rsidR="004B1D65" w:rsidRPr="00AC7833" w:rsidRDefault="004B1D65" w:rsidP="00AC7833">
      <w:pPr>
        <w:numPr>
          <w:ilvl w:val="0"/>
          <w:numId w:val="1"/>
        </w:numPr>
        <w:tabs>
          <w:tab w:val="clear" w:pos="927"/>
        </w:tabs>
        <w:snapToGrid w:val="0"/>
        <w:ind w:left="0" w:firstLine="425"/>
        <w:jc w:val="both"/>
        <w:rPr>
          <w:sz w:val="20"/>
          <w:szCs w:val="20"/>
        </w:rPr>
      </w:pPr>
      <w:r w:rsidRPr="00AC7833">
        <w:rPr>
          <w:sz w:val="20"/>
          <w:szCs w:val="20"/>
        </w:rPr>
        <w:t xml:space="preserve">Hormonal profile (Day2 FSH, LH, </w:t>
      </w:r>
      <w:proofErr w:type="spellStart"/>
      <w:r w:rsidRPr="00AC7833">
        <w:rPr>
          <w:sz w:val="20"/>
          <w:szCs w:val="20"/>
        </w:rPr>
        <w:t>Prolactin</w:t>
      </w:r>
      <w:proofErr w:type="spellEnd"/>
      <w:r w:rsidRPr="00AC7833">
        <w:rPr>
          <w:sz w:val="20"/>
          <w:szCs w:val="20"/>
        </w:rPr>
        <w:t xml:space="preserve"> and TSH),</w:t>
      </w:r>
    </w:p>
    <w:p w:rsidR="004B1D65" w:rsidRPr="00AC7833" w:rsidRDefault="004B1D65" w:rsidP="00AC7833">
      <w:pPr>
        <w:numPr>
          <w:ilvl w:val="0"/>
          <w:numId w:val="1"/>
        </w:numPr>
        <w:tabs>
          <w:tab w:val="clear" w:pos="927"/>
        </w:tabs>
        <w:snapToGrid w:val="0"/>
        <w:ind w:left="0" w:firstLine="425"/>
        <w:jc w:val="both"/>
        <w:rPr>
          <w:sz w:val="20"/>
          <w:szCs w:val="20"/>
        </w:rPr>
      </w:pPr>
      <w:r w:rsidRPr="00AC7833">
        <w:rPr>
          <w:sz w:val="20"/>
          <w:szCs w:val="20"/>
        </w:rPr>
        <w:t>Tubal patency evaluated by HSG or diagnostic laparoscopy.</w:t>
      </w:r>
    </w:p>
    <w:p w:rsidR="004B1D65" w:rsidRPr="00AC7833" w:rsidRDefault="004B1D65" w:rsidP="00AC7833">
      <w:pPr>
        <w:numPr>
          <w:ilvl w:val="0"/>
          <w:numId w:val="1"/>
        </w:numPr>
        <w:tabs>
          <w:tab w:val="clear" w:pos="927"/>
        </w:tabs>
        <w:snapToGrid w:val="0"/>
        <w:ind w:left="0" w:firstLine="425"/>
        <w:jc w:val="both"/>
        <w:rPr>
          <w:sz w:val="20"/>
          <w:szCs w:val="20"/>
        </w:rPr>
      </w:pPr>
      <w:r w:rsidRPr="00AC7833">
        <w:rPr>
          <w:sz w:val="20"/>
          <w:szCs w:val="20"/>
        </w:rPr>
        <w:t>Husband semen analysis.</w:t>
      </w:r>
    </w:p>
    <w:p w:rsidR="004B1D65" w:rsidRPr="00AC7833" w:rsidRDefault="004B1D65" w:rsidP="00AC7833">
      <w:pPr>
        <w:snapToGrid w:val="0"/>
        <w:ind w:firstLine="425"/>
        <w:jc w:val="both"/>
        <w:rPr>
          <w:sz w:val="20"/>
          <w:szCs w:val="20"/>
        </w:rPr>
      </w:pPr>
      <w:proofErr w:type="spellStart"/>
      <w:r w:rsidRPr="00AC7833">
        <w:rPr>
          <w:sz w:val="20"/>
          <w:szCs w:val="20"/>
        </w:rPr>
        <w:t>Folliculometry</w:t>
      </w:r>
      <w:proofErr w:type="spellEnd"/>
      <w:r w:rsidRPr="00AC7833">
        <w:rPr>
          <w:sz w:val="20"/>
          <w:szCs w:val="20"/>
        </w:rPr>
        <w:t xml:space="preserve"> by (</w:t>
      </w:r>
      <w:proofErr w:type="spellStart"/>
      <w:r w:rsidRPr="00AC7833">
        <w:rPr>
          <w:sz w:val="20"/>
          <w:szCs w:val="20"/>
        </w:rPr>
        <w:t>transvaginal</w:t>
      </w:r>
      <w:proofErr w:type="spellEnd"/>
      <w:r w:rsidRPr="00AC7833">
        <w:rPr>
          <w:sz w:val="20"/>
          <w:szCs w:val="20"/>
        </w:rPr>
        <w:t xml:space="preserve"> ultrasound) starting from day 9 of the menstrual cycle and then every other day.</w:t>
      </w:r>
    </w:p>
    <w:p w:rsidR="004B1D65" w:rsidRPr="00AC7833" w:rsidRDefault="004B1D65" w:rsidP="00AC7833">
      <w:pPr>
        <w:snapToGrid w:val="0"/>
        <w:ind w:firstLine="425"/>
        <w:jc w:val="both"/>
        <w:rPr>
          <w:sz w:val="20"/>
          <w:szCs w:val="20"/>
        </w:rPr>
      </w:pPr>
      <w:r w:rsidRPr="00AC7833">
        <w:rPr>
          <w:sz w:val="20"/>
          <w:szCs w:val="20"/>
        </w:rPr>
        <w:t>HCG (10000 IU) was given when at least one follicle ≥18mm in the ovary.</w:t>
      </w:r>
    </w:p>
    <w:p w:rsidR="00AC7833" w:rsidRDefault="004B1D65" w:rsidP="00AC7833">
      <w:pPr>
        <w:numPr>
          <w:ilvl w:val="0"/>
          <w:numId w:val="1"/>
        </w:numPr>
        <w:tabs>
          <w:tab w:val="clear" w:pos="927"/>
        </w:tabs>
        <w:snapToGrid w:val="0"/>
        <w:ind w:left="0" w:firstLine="425"/>
        <w:jc w:val="both"/>
        <w:rPr>
          <w:sz w:val="20"/>
          <w:szCs w:val="20"/>
        </w:rPr>
      </w:pPr>
      <w:r w:rsidRPr="00AC7833">
        <w:rPr>
          <w:sz w:val="20"/>
          <w:szCs w:val="20"/>
        </w:rPr>
        <w:t>Measurement of endometrial thickness and RI.&amp;PI of the uterine artery on the day of HCG administrate</w:t>
      </w:r>
      <w:r w:rsidR="00AC7833" w:rsidRPr="00AC7833">
        <w:rPr>
          <w:sz w:val="20"/>
          <w:szCs w:val="20"/>
        </w:rPr>
        <w:t>d</w:t>
      </w:r>
      <w:r w:rsidR="00AC7833">
        <w:rPr>
          <w:sz w:val="20"/>
          <w:szCs w:val="20"/>
        </w:rPr>
        <w:t>.</w:t>
      </w:r>
    </w:p>
    <w:p w:rsidR="004B1D65" w:rsidRPr="00AC7833" w:rsidRDefault="004B1D65" w:rsidP="00AC7833">
      <w:pPr>
        <w:snapToGrid w:val="0"/>
        <w:ind w:firstLine="425"/>
        <w:jc w:val="both"/>
        <w:rPr>
          <w:b/>
          <w:bCs/>
          <w:sz w:val="20"/>
          <w:szCs w:val="20"/>
        </w:rPr>
      </w:pPr>
      <w:proofErr w:type="spellStart"/>
      <w:r w:rsidRPr="00AC7833">
        <w:rPr>
          <w:sz w:val="20"/>
          <w:szCs w:val="20"/>
        </w:rPr>
        <w:t>Atotal</w:t>
      </w:r>
      <w:proofErr w:type="spellEnd"/>
      <w:r w:rsidRPr="00AC7833">
        <w:rPr>
          <w:sz w:val="20"/>
          <w:szCs w:val="20"/>
        </w:rPr>
        <w:t xml:space="preserve"> of 60 patients who failed to respond to 50 mg/day for 5 days of CC treatment within the cycle (if follicle size &lt; </w:t>
      </w:r>
      <w:smartTag w:uri="urn:schemas-microsoft-com:office:smarttags" w:element="metricconverter">
        <w:smartTagPr>
          <w:attr w:name="ProductID" w:val="11 mm"/>
        </w:smartTagPr>
        <w:r w:rsidRPr="00AC7833">
          <w:rPr>
            <w:sz w:val="20"/>
            <w:szCs w:val="20"/>
          </w:rPr>
          <w:t>11 mm</w:t>
        </w:r>
      </w:smartTag>
      <w:r w:rsidRPr="00AC7833">
        <w:rPr>
          <w:sz w:val="20"/>
          <w:szCs w:val="20"/>
        </w:rPr>
        <w:t xml:space="preserve"> on cycle day 14) were randomly allocated to the control (traditional protocol) and study (stair-step protocol) groups.</w:t>
      </w:r>
    </w:p>
    <w:p w:rsidR="004B1D65" w:rsidRPr="00AC7833" w:rsidRDefault="004B1D65" w:rsidP="00AC7833">
      <w:pPr>
        <w:snapToGrid w:val="0"/>
        <w:ind w:firstLine="425"/>
        <w:jc w:val="both"/>
        <w:rPr>
          <w:sz w:val="20"/>
          <w:szCs w:val="20"/>
        </w:rPr>
      </w:pPr>
      <w:r w:rsidRPr="00AC7833">
        <w:rPr>
          <w:sz w:val="20"/>
          <w:szCs w:val="20"/>
        </w:rPr>
        <w:t>In the stair</w:t>
      </w:r>
      <w:r w:rsidR="005829B0" w:rsidRPr="00AC7833">
        <w:rPr>
          <w:sz w:val="20"/>
          <w:szCs w:val="20"/>
        </w:rPr>
        <w:t>-</w:t>
      </w:r>
      <w:r w:rsidRPr="00AC7833">
        <w:rPr>
          <w:sz w:val="20"/>
          <w:szCs w:val="20"/>
        </w:rPr>
        <w:t xml:space="preserve">step protocol (n = 30), the dosage was increased to 100 mg daily for 5 days in the same cycle. On cycle day 19, evaluation by </w:t>
      </w:r>
      <w:proofErr w:type="spellStart"/>
      <w:r w:rsidRPr="00AC7833">
        <w:rPr>
          <w:sz w:val="20"/>
          <w:szCs w:val="20"/>
        </w:rPr>
        <w:t>transvaginal</w:t>
      </w:r>
      <w:proofErr w:type="spellEnd"/>
      <w:r w:rsidRPr="00AC7833">
        <w:rPr>
          <w:sz w:val="20"/>
          <w:szCs w:val="20"/>
        </w:rPr>
        <w:t xml:space="preserve"> </w:t>
      </w:r>
      <w:proofErr w:type="spellStart"/>
      <w:r w:rsidRPr="00AC7833">
        <w:rPr>
          <w:sz w:val="20"/>
          <w:szCs w:val="20"/>
        </w:rPr>
        <w:t>ultrasonography</w:t>
      </w:r>
      <w:proofErr w:type="spellEnd"/>
      <w:r w:rsidRPr="00AC7833">
        <w:rPr>
          <w:sz w:val="20"/>
          <w:szCs w:val="20"/>
        </w:rPr>
        <w:t xml:space="preserve"> was restarted. When the mean diameter of the leading follicle reached </w:t>
      </w:r>
      <w:smartTag w:uri="urn:schemas-microsoft-com:office:smarttags" w:element="metricconverter">
        <w:smartTagPr>
          <w:attr w:name="ProductID" w:val="18 mm"/>
        </w:smartTagPr>
        <w:r w:rsidRPr="00AC7833">
          <w:rPr>
            <w:sz w:val="20"/>
            <w:szCs w:val="20"/>
          </w:rPr>
          <w:t>18 mm</w:t>
        </w:r>
      </w:smartTag>
      <w:r w:rsidRPr="00AC7833">
        <w:rPr>
          <w:sz w:val="20"/>
          <w:szCs w:val="20"/>
        </w:rPr>
        <w:t>, HCG 10000 IU was administered. When no follicular response was observed on cycle day 23, the cycle was cancelled.</w:t>
      </w:r>
    </w:p>
    <w:p w:rsidR="004B1D65" w:rsidRPr="00AC7833" w:rsidRDefault="004B1D65" w:rsidP="00AC7833">
      <w:pPr>
        <w:snapToGrid w:val="0"/>
        <w:ind w:firstLine="425"/>
        <w:jc w:val="both"/>
        <w:rPr>
          <w:sz w:val="20"/>
          <w:szCs w:val="20"/>
        </w:rPr>
      </w:pPr>
      <w:r w:rsidRPr="00AC7833">
        <w:rPr>
          <w:sz w:val="20"/>
          <w:szCs w:val="20"/>
        </w:rPr>
        <w:t>The daily dosage of CC was not increased to 150 mg daily because of the potentially adverse effects of the cumulative doses.</w:t>
      </w:r>
    </w:p>
    <w:p w:rsidR="004B1D65" w:rsidRPr="00AC7833" w:rsidRDefault="004B1D65" w:rsidP="00AC7833">
      <w:pPr>
        <w:snapToGrid w:val="0"/>
        <w:jc w:val="both"/>
        <w:rPr>
          <w:sz w:val="20"/>
          <w:szCs w:val="20"/>
        </w:rPr>
      </w:pPr>
      <w:r w:rsidRPr="00AC7833">
        <w:rPr>
          <w:b/>
          <w:bCs/>
          <w:sz w:val="20"/>
          <w:szCs w:val="20"/>
        </w:rPr>
        <w:t>In the control group</w:t>
      </w:r>
      <w:r w:rsidRPr="00AC7833">
        <w:rPr>
          <w:sz w:val="20"/>
          <w:szCs w:val="20"/>
        </w:rPr>
        <w:t xml:space="preserve"> (n = 30), CC was administered 100 mg daily for 5 days after the onset of a progestin-induced menstruation. Follicular response was monitored with </w:t>
      </w:r>
      <w:proofErr w:type="spellStart"/>
      <w:r w:rsidRPr="00AC7833">
        <w:rPr>
          <w:sz w:val="20"/>
          <w:szCs w:val="20"/>
        </w:rPr>
        <w:t>transvaginal</w:t>
      </w:r>
      <w:proofErr w:type="spellEnd"/>
      <w:r w:rsidRPr="00AC7833">
        <w:rPr>
          <w:sz w:val="20"/>
          <w:szCs w:val="20"/>
        </w:rPr>
        <w:t xml:space="preserve"> </w:t>
      </w:r>
      <w:proofErr w:type="spellStart"/>
      <w:r w:rsidRPr="00AC7833">
        <w:rPr>
          <w:sz w:val="20"/>
          <w:szCs w:val="20"/>
        </w:rPr>
        <w:t>ultrasonography</w:t>
      </w:r>
      <w:proofErr w:type="spellEnd"/>
      <w:r w:rsidRPr="00AC7833">
        <w:rPr>
          <w:sz w:val="20"/>
          <w:szCs w:val="20"/>
        </w:rPr>
        <w:t xml:space="preserve"> starting with day 8. When the mean diameter of leading follicle reached </w:t>
      </w:r>
      <w:smartTag w:uri="urn:schemas-microsoft-com:office:smarttags" w:element="metricconverter">
        <w:smartTagPr>
          <w:attr w:name="ProductID" w:val="18 mm"/>
        </w:smartTagPr>
        <w:r w:rsidRPr="00AC7833">
          <w:rPr>
            <w:sz w:val="20"/>
            <w:szCs w:val="20"/>
          </w:rPr>
          <w:t>18 mm</w:t>
        </w:r>
      </w:smartTag>
      <w:r w:rsidRPr="00AC7833">
        <w:rPr>
          <w:sz w:val="20"/>
          <w:szCs w:val="20"/>
        </w:rPr>
        <w:t xml:space="preserve">, </w:t>
      </w:r>
      <w:proofErr w:type="spellStart"/>
      <w:r w:rsidRPr="00AC7833">
        <w:rPr>
          <w:sz w:val="20"/>
          <w:szCs w:val="20"/>
        </w:rPr>
        <w:t>hCG</w:t>
      </w:r>
      <w:proofErr w:type="spellEnd"/>
      <w:r w:rsidRPr="00AC7833">
        <w:rPr>
          <w:sz w:val="20"/>
          <w:szCs w:val="20"/>
        </w:rPr>
        <w:t xml:space="preserve"> was administered. When no follicular response was observed on cycle day 20, the cycle was cancelled.</w:t>
      </w:r>
    </w:p>
    <w:p w:rsidR="00240DA3" w:rsidRPr="00AC7833" w:rsidRDefault="00240DA3" w:rsidP="00AC7833">
      <w:pPr>
        <w:snapToGrid w:val="0"/>
        <w:jc w:val="both"/>
        <w:rPr>
          <w:sz w:val="20"/>
          <w:szCs w:val="20"/>
        </w:rPr>
      </w:pPr>
      <w:r w:rsidRPr="00AC7833">
        <w:rPr>
          <w:b/>
          <w:bCs/>
          <w:sz w:val="20"/>
          <w:szCs w:val="20"/>
        </w:rPr>
        <w:t>The Primary outcomes were</w:t>
      </w:r>
    </w:p>
    <w:p w:rsidR="00240DA3" w:rsidRPr="00AC7833" w:rsidRDefault="00240DA3" w:rsidP="00AC7833">
      <w:pPr>
        <w:numPr>
          <w:ilvl w:val="0"/>
          <w:numId w:val="9"/>
        </w:numPr>
        <w:tabs>
          <w:tab w:val="clear" w:pos="1440"/>
        </w:tabs>
        <w:snapToGrid w:val="0"/>
        <w:ind w:left="0" w:firstLine="425"/>
        <w:jc w:val="both"/>
        <w:rPr>
          <w:sz w:val="20"/>
          <w:szCs w:val="20"/>
        </w:rPr>
      </w:pPr>
      <w:r w:rsidRPr="00AC7833">
        <w:rPr>
          <w:sz w:val="20"/>
          <w:szCs w:val="20"/>
        </w:rPr>
        <w:t>The time to ovulate (measured from the start of therapy till maturation of follicle).</w:t>
      </w:r>
    </w:p>
    <w:p w:rsidR="00240DA3" w:rsidRPr="00AC7833" w:rsidRDefault="00240DA3" w:rsidP="00AC7833">
      <w:pPr>
        <w:numPr>
          <w:ilvl w:val="0"/>
          <w:numId w:val="9"/>
        </w:numPr>
        <w:tabs>
          <w:tab w:val="clear" w:pos="1440"/>
        </w:tabs>
        <w:snapToGrid w:val="0"/>
        <w:ind w:left="0" w:firstLine="425"/>
        <w:jc w:val="both"/>
        <w:rPr>
          <w:sz w:val="20"/>
          <w:szCs w:val="20"/>
        </w:rPr>
      </w:pPr>
      <w:r w:rsidRPr="00AC7833">
        <w:rPr>
          <w:sz w:val="20"/>
          <w:szCs w:val="20"/>
        </w:rPr>
        <w:t>Uterine side effects of the CC. evaluated by the measurement of the endometrial thickness and uterine artery Doppler.</w:t>
      </w:r>
    </w:p>
    <w:p w:rsidR="00240DA3" w:rsidRPr="00AC7833" w:rsidRDefault="00240DA3" w:rsidP="00AC7833">
      <w:pPr>
        <w:numPr>
          <w:ilvl w:val="0"/>
          <w:numId w:val="9"/>
        </w:numPr>
        <w:tabs>
          <w:tab w:val="clear" w:pos="1440"/>
        </w:tabs>
        <w:snapToGrid w:val="0"/>
        <w:ind w:left="0" w:firstLine="425"/>
        <w:jc w:val="both"/>
        <w:rPr>
          <w:sz w:val="20"/>
          <w:szCs w:val="20"/>
        </w:rPr>
      </w:pPr>
      <w:r w:rsidRPr="00AC7833">
        <w:rPr>
          <w:sz w:val="20"/>
          <w:szCs w:val="20"/>
        </w:rPr>
        <w:t>Systemic side effects evaluated with a questionnaire. It was composed of six scale including hot flushes, mood disturbance, pelvic pressure, nausea, pelvic pain, and breast tenderness.</w:t>
      </w:r>
    </w:p>
    <w:p w:rsidR="00AC7833" w:rsidRPr="00AC7833" w:rsidRDefault="00AC7833" w:rsidP="00AC7833">
      <w:pPr>
        <w:snapToGrid w:val="0"/>
        <w:ind w:firstLine="425"/>
        <w:jc w:val="both"/>
        <w:rPr>
          <w:sz w:val="20"/>
          <w:szCs w:val="20"/>
        </w:rPr>
        <w:sectPr w:rsidR="00AC7833" w:rsidRPr="00AC7833" w:rsidSect="00AC7833">
          <w:headerReference w:type="default" r:id="rId12"/>
          <w:footerReference w:type="even" r:id="rId13"/>
          <w:footerReference w:type="default" r:id="rId14"/>
          <w:type w:val="continuous"/>
          <w:pgSz w:w="12240" w:h="15840" w:code="1"/>
          <w:pgMar w:top="1440" w:right="1440" w:bottom="1440" w:left="1440" w:header="720" w:footer="720" w:gutter="0"/>
          <w:cols w:num="2" w:space="600"/>
          <w:docGrid w:linePitch="360"/>
        </w:sectPr>
      </w:pPr>
    </w:p>
    <w:p w:rsidR="00240DA3" w:rsidRPr="00AC7833" w:rsidRDefault="00240DA3" w:rsidP="00AC7833">
      <w:pPr>
        <w:snapToGrid w:val="0"/>
        <w:ind w:firstLine="425"/>
        <w:jc w:val="both"/>
        <w:rPr>
          <w:sz w:val="20"/>
          <w:szCs w:val="20"/>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576"/>
      </w:tblGrid>
      <w:tr w:rsidR="004B1D65" w:rsidRPr="00AC7833">
        <w:trPr>
          <w:jc w:val="center"/>
        </w:trPr>
        <w:tc>
          <w:tcPr>
            <w:tcW w:w="5000" w:type="pct"/>
          </w:tcPr>
          <w:p w:rsidR="004B1D65" w:rsidRPr="00AC7833" w:rsidRDefault="004B1D65" w:rsidP="00AC7833">
            <w:pPr>
              <w:snapToGrid w:val="0"/>
              <w:jc w:val="both"/>
              <w:rPr>
                <w:bCs/>
                <w:color w:val="000000"/>
                <w:sz w:val="20"/>
                <w:szCs w:val="20"/>
                <w:lang w:bidi="ar-EG"/>
              </w:rPr>
            </w:pPr>
            <w:r w:rsidRPr="00AC7833">
              <w:rPr>
                <w:bCs/>
                <w:color w:val="000000"/>
                <w:sz w:val="20"/>
                <w:szCs w:val="20"/>
                <w:lang w:bidi="ar-EG"/>
              </w:rPr>
              <w:lastRenderedPageBreak/>
              <w:t>Women who were diagnosed as PCOS according to the Rotterdam 2003 criteria who failed to respond to 50 mg/day for 5 days of CC treatment were enrolled to study (n=68)</w:t>
            </w:r>
          </w:p>
        </w:tc>
      </w:tr>
    </w:tbl>
    <w:p w:rsidR="00240DA3" w:rsidRPr="00AC7833" w:rsidRDefault="00B3628E" w:rsidP="00AC7833">
      <w:pPr>
        <w:snapToGrid w:val="0"/>
        <w:jc w:val="center"/>
        <w:rPr>
          <w:b/>
          <w:bCs/>
          <w:sz w:val="20"/>
          <w:szCs w:val="20"/>
          <w:lang w:bidi="ar-EG"/>
        </w:rPr>
      </w:pPr>
      <w:r>
        <w:rPr>
          <w:b/>
          <w:bCs/>
          <w:sz w:val="20"/>
          <w:szCs w:val="20"/>
          <w:lang w:bidi="ar-EG"/>
        </w:rPr>
      </w:r>
      <w:r>
        <w:rPr>
          <w:b/>
          <w:bCs/>
          <w:sz w:val="20"/>
          <w:szCs w:val="20"/>
          <w:lang w:bidi="ar-EG"/>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35" type="#_x0000_t67" style="width:15pt;height:23.25pt;visibility:visible;mso-left-percent:-10001;mso-top-percent:-10001;mso-position-horizontal:absolute;mso-position-horizontal-relative:char;mso-position-vertical:absolute;mso-position-vertical-relative:line;mso-left-percent:-10001;mso-top-percent:-10001">
            <v:textbox style="layout-flow:vertical-ideographic"/>
            <w10:wrap type="none"/>
            <w10:anchorlock/>
          </v:shape>
        </w:pict>
      </w:r>
    </w:p>
    <w:p w:rsidR="00240DA3" w:rsidRPr="00AC7833" w:rsidRDefault="00240DA3" w:rsidP="00AC7833">
      <w:pPr>
        <w:snapToGrid w:val="0"/>
        <w:ind w:firstLine="425"/>
        <w:jc w:val="both"/>
        <w:rPr>
          <w:b/>
          <w:bCs/>
          <w:sz w:val="20"/>
          <w:szCs w:val="20"/>
          <w:lang w:bidi="ar-EG"/>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576"/>
      </w:tblGrid>
      <w:tr w:rsidR="004B1D65" w:rsidRPr="00AC7833" w:rsidTr="00AC7833">
        <w:trPr>
          <w:trHeight w:val="1295"/>
          <w:jc w:val="center"/>
        </w:trPr>
        <w:tc>
          <w:tcPr>
            <w:tcW w:w="5000" w:type="pct"/>
          </w:tcPr>
          <w:p w:rsidR="004B1D65" w:rsidRPr="00AC7833" w:rsidRDefault="004B1D65" w:rsidP="00AC7833">
            <w:pPr>
              <w:snapToGrid w:val="0"/>
              <w:jc w:val="both"/>
              <w:rPr>
                <w:b/>
                <w:color w:val="000000"/>
                <w:sz w:val="20"/>
                <w:szCs w:val="20"/>
                <w:lang w:bidi="ar-EG"/>
              </w:rPr>
            </w:pPr>
            <w:r w:rsidRPr="00AC7833">
              <w:rPr>
                <w:b/>
                <w:color w:val="000000"/>
                <w:sz w:val="20"/>
                <w:szCs w:val="20"/>
                <w:lang w:bidi="ar-EG"/>
              </w:rPr>
              <w:t xml:space="preserve">Patients who have any reasons for infertility except as </w:t>
            </w:r>
            <w:proofErr w:type="spellStart"/>
            <w:r w:rsidRPr="00AC7833">
              <w:rPr>
                <w:b/>
                <w:color w:val="000000"/>
                <w:sz w:val="20"/>
                <w:szCs w:val="20"/>
                <w:lang w:bidi="ar-EG"/>
              </w:rPr>
              <w:t>oligo-anovulation</w:t>
            </w:r>
            <w:proofErr w:type="spellEnd"/>
            <w:r w:rsidRPr="00AC7833">
              <w:rPr>
                <w:b/>
                <w:color w:val="000000"/>
                <w:sz w:val="20"/>
                <w:szCs w:val="20"/>
                <w:lang w:bidi="ar-EG"/>
              </w:rPr>
              <w:t xml:space="preserve"> like</w:t>
            </w:r>
          </w:p>
          <w:p w:rsidR="004B1D65" w:rsidRPr="00AC7833" w:rsidRDefault="004B1D65" w:rsidP="00AC7833">
            <w:pPr>
              <w:numPr>
                <w:ilvl w:val="0"/>
                <w:numId w:val="6"/>
              </w:numPr>
              <w:tabs>
                <w:tab w:val="clear" w:pos="720"/>
              </w:tabs>
              <w:snapToGrid w:val="0"/>
              <w:ind w:left="0" w:firstLine="0"/>
              <w:jc w:val="both"/>
              <w:rPr>
                <w:bCs/>
                <w:color w:val="000000"/>
                <w:sz w:val="20"/>
                <w:szCs w:val="20"/>
                <w:lang w:bidi="ar-EG"/>
              </w:rPr>
            </w:pPr>
            <w:r w:rsidRPr="00AC7833">
              <w:rPr>
                <w:bCs/>
                <w:color w:val="000000"/>
                <w:sz w:val="20"/>
                <w:szCs w:val="20"/>
                <w:lang w:bidi="ar-EG"/>
              </w:rPr>
              <w:t>Tubal pathology,</w:t>
            </w:r>
          </w:p>
          <w:p w:rsidR="004B1D65" w:rsidRPr="00AC7833" w:rsidRDefault="004B1D65" w:rsidP="00AC7833">
            <w:pPr>
              <w:numPr>
                <w:ilvl w:val="0"/>
                <w:numId w:val="6"/>
              </w:numPr>
              <w:tabs>
                <w:tab w:val="clear" w:pos="720"/>
              </w:tabs>
              <w:snapToGrid w:val="0"/>
              <w:ind w:left="0" w:firstLine="0"/>
              <w:jc w:val="both"/>
              <w:rPr>
                <w:bCs/>
                <w:color w:val="000000"/>
                <w:sz w:val="20"/>
                <w:szCs w:val="20"/>
                <w:lang w:bidi="ar-EG"/>
              </w:rPr>
            </w:pPr>
            <w:proofErr w:type="spellStart"/>
            <w:r w:rsidRPr="00AC7833">
              <w:rPr>
                <w:bCs/>
                <w:color w:val="000000"/>
                <w:sz w:val="20"/>
                <w:szCs w:val="20"/>
                <w:lang w:bidi="ar-EG"/>
              </w:rPr>
              <w:t>Endocrinological</w:t>
            </w:r>
            <w:proofErr w:type="spellEnd"/>
            <w:r w:rsidRPr="00AC7833">
              <w:rPr>
                <w:bCs/>
                <w:color w:val="000000"/>
                <w:sz w:val="20"/>
                <w:szCs w:val="20"/>
                <w:lang w:bidi="ar-EG"/>
              </w:rPr>
              <w:t xml:space="preserve"> disorders,</w:t>
            </w:r>
          </w:p>
          <w:p w:rsidR="004B1D65" w:rsidRPr="00AC7833" w:rsidRDefault="004B1D65" w:rsidP="00AC7833">
            <w:pPr>
              <w:numPr>
                <w:ilvl w:val="0"/>
                <w:numId w:val="6"/>
              </w:numPr>
              <w:tabs>
                <w:tab w:val="clear" w:pos="720"/>
              </w:tabs>
              <w:snapToGrid w:val="0"/>
              <w:ind w:left="0" w:firstLine="0"/>
              <w:jc w:val="both"/>
              <w:rPr>
                <w:bCs/>
                <w:color w:val="000000"/>
                <w:sz w:val="20"/>
                <w:szCs w:val="20"/>
                <w:lang w:bidi="ar-EG"/>
              </w:rPr>
            </w:pPr>
            <w:r w:rsidRPr="00AC7833">
              <w:rPr>
                <w:bCs/>
                <w:color w:val="000000"/>
                <w:sz w:val="20"/>
                <w:szCs w:val="20"/>
                <w:lang w:bidi="ar-EG"/>
              </w:rPr>
              <w:t>Previous gynecological operation,</w:t>
            </w:r>
          </w:p>
          <w:p w:rsidR="004B1D65" w:rsidRPr="00AC7833" w:rsidRDefault="004B1D65" w:rsidP="00AC7833">
            <w:pPr>
              <w:numPr>
                <w:ilvl w:val="0"/>
                <w:numId w:val="6"/>
              </w:numPr>
              <w:tabs>
                <w:tab w:val="clear" w:pos="720"/>
              </w:tabs>
              <w:snapToGrid w:val="0"/>
              <w:ind w:left="0" w:firstLine="0"/>
              <w:jc w:val="both"/>
              <w:rPr>
                <w:bCs/>
                <w:color w:val="000000"/>
                <w:sz w:val="20"/>
                <w:szCs w:val="20"/>
                <w:lang w:bidi="ar-EG"/>
              </w:rPr>
            </w:pPr>
            <w:r w:rsidRPr="00AC7833">
              <w:rPr>
                <w:bCs/>
                <w:color w:val="000000"/>
                <w:sz w:val="20"/>
                <w:szCs w:val="20"/>
                <w:lang w:bidi="ar-EG"/>
              </w:rPr>
              <w:t>Women’s age ≥35 years’ old,</w:t>
            </w:r>
          </w:p>
          <w:p w:rsidR="004B1D65" w:rsidRPr="00AC7833" w:rsidRDefault="004B1D65" w:rsidP="00AC7833">
            <w:pPr>
              <w:numPr>
                <w:ilvl w:val="0"/>
                <w:numId w:val="6"/>
              </w:numPr>
              <w:tabs>
                <w:tab w:val="clear" w:pos="720"/>
              </w:tabs>
              <w:snapToGrid w:val="0"/>
              <w:ind w:left="0" w:firstLine="0"/>
              <w:jc w:val="both"/>
              <w:rPr>
                <w:b/>
                <w:bCs/>
                <w:color w:val="000000"/>
                <w:sz w:val="20"/>
                <w:szCs w:val="20"/>
                <w:lang w:bidi="ar-EG"/>
              </w:rPr>
            </w:pPr>
            <w:r w:rsidRPr="00AC7833">
              <w:rPr>
                <w:bCs/>
                <w:color w:val="000000"/>
                <w:sz w:val="20"/>
                <w:szCs w:val="20"/>
                <w:lang w:bidi="ar-EG"/>
              </w:rPr>
              <w:t>Male infertility, were excluded the study (n=8).</w:t>
            </w:r>
          </w:p>
        </w:tc>
      </w:tr>
    </w:tbl>
    <w:p w:rsidR="00240DA3" w:rsidRPr="00AC7833" w:rsidRDefault="00B3628E" w:rsidP="00AC7833">
      <w:pPr>
        <w:snapToGrid w:val="0"/>
        <w:jc w:val="center"/>
        <w:rPr>
          <w:b/>
          <w:bCs/>
          <w:sz w:val="20"/>
          <w:szCs w:val="20"/>
          <w:lang w:bidi="ar-EG"/>
        </w:rPr>
      </w:pPr>
      <w:r>
        <w:rPr>
          <w:b/>
          <w:bCs/>
          <w:sz w:val="20"/>
          <w:szCs w:val="20"/>
          <w:lang w:bidi="ar-EG"/>
        </w:rPr>
      </w:r>
      <w:r>
        <w:rPr>
          <w:b/>
          <w:bCs/>
          <w:sz w:val="20"/>
          <w:szCs w:val="20"/>
          <w:lang w:bidi="ar-EG"/>
        </w:rPr>
        <w:pict>
          <v:shape id="_x0000_s1034" type="#_x0000_t67" style="width:15pt;height:23.25pt;visibility:visible;mso-left-percent:-10001;mso-top-percent:-10001;mso-position-horizontal:absolute;mso-position-horizontal-relative:char;mso-position-vertical:absolute;mso-position-vertical-relative:line;mso-left-percent:-10001;mso-top-percent:-10001">
            <v:textbox style="layout-flow:vertical-ideographic"/>
            <w10:wrap type="none"/>
            <w10:anchorlock/>
          </v:shape>
        </w:pict>
      </w:r>
    </w:p>
    <w:p w:rsidR="00240DA3" w:rsidRPr="00AC7833" w:rsidRDefault="00240DA3" w:rsidP="00AC7833">
      <w:pPr>
        <w:snapToGrid w:val="0"/>
        <w:ind w:firstLine="425"/>
        <w:jc w:val="both"/>
        <w:rPr>
          <w:b/>
          <w:bCs/>
          <w:sz w:val="20"/>
          <w:szCs w:val="20"/>
          <w:lang w:bidi="ar-EG"/>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576"/>
      </w:tblGrid>
      <w:tr w:rsidR="004B1D65" w:rsidRPr="00AC7833" w:rsidTr="00AC7833">
        <w:trPr>
          <w:trHeight w:val="671"/>
          <w:jc w:val="center"/>
        </w:trPr>
        <w:tc>
          <w:tcPr>
            <w:tcW w:w="5000" w:type="pct"/>
          </w:tcPr>
          <w:p w:rsidR="004B1D65" w:rsidRPr="00AC7833" w:rsidRDefault="004B1D65" w:rsidP="00AC7833">
            <w:pPr>
              <w:snapToGrid w:val="0"/>
              <w:jc w:val="both"/>
              <w:rPr>
                <w:b/>
                <w:bCs/>
                <w:color w:val="000000"/>
                <w:sz w:val="20"/>
                <w:szCs w:val="20"/>
                <w:lang w:bidi="ar-EG"/>
              </w:rPr>
            </w:pPr>
            <w:r w:rsidRPr="00AC7833">
              <w:rPr>
                <w:bCs/>
                <w:color w:val="000000"/>
                <w:sz w:val="20"/>
                <w:szCs w:val="20"/>
                <w:lang w:bidi="ar-EG"/>
              </w:rPr>
              <w:t xml:space="preserve">A total of 60 patients who failed to respond to 50 mg/day for 5 days of CC treatment within the cycle (If follicle size was below </w:t>
            </w:r>
            <w:smartTag w:uri="urn:schemas-microsoft-com:office:smarttags" w:element="metricconverter">
              <w:smartTagPr>
                <w:attr w:name="ProductID" w:val="11 mm"/>
              </w:smartTagPr>
              <w:r w:rsidRPr="00AC7833">
                <w:rPr>
                  <w:bCs/>
                  <w:color w:val="000000"/>
                  <w:sz w:val="20"/>
                  <w:szCs w:val="20"/>
                  <w:lang w:bidi="ar-EG"/>
                </w:rPr>
                <w:t>11 mm</w:t>
              </w:r>
            </w:smartTag>
            <w:r w:rsidRPr="00AC7833">
              <w:rPr>
                <w:bCs/>
                <w:color w:val="000000"/>
                <w:sz w:val="20"/>
                <w:szCs w:val="20"/>
                <w:lang w:bidi="ar-EG"/>
              </w:rPr>
              <w:t xml:space="preserve"> on cycle day 14) were randomly allocated to the control (traditional protocol) and study (stair-step protocol) groups.</w:t>
            </w:r>
          </w:p>
        </w:tc>
      </w:tr>
    </w:tbl>
    <w:p w:rsidR="00240DA3" w:rsidRPr="00AC7833" w:rsidRDefault="00B3628E" w:rsidP="00AC7833">
      <w:pPr>
        <w:snapToGrid w:val="0"/>
        <w:jc w:val="center"/>
        <w:rPr>
          <w:b/>
          <w:bCs/>
          <w:sz w:val="20"/>
          <w:szCs w:val="20"/>
          <w:lang w:bidi="ar-EG"/>
        </w:rPr>
      </w:pPr>
      <w:r>
        <w:rPr>
          <w:b/>
          <w:bCs/>
          <w:sz w:val="20"/>
          <w:szCs w:val="20"/>
          <w:lang w:bidi="ar-EG"/>
        </w:rPr>
      </w:r>
      <w:r>
        <w:rPr>
          <w:b/>
          <w:bCs/>
          <w:sz w:val="20"/>
          <w:szCs w:val="20"/>
          <w:lang w:bidi="ar-EG"/>
        </w:rPr>
        <w:pict>
          <v:shape id="_x0000_s1033" type="#_x0000_t67" style="width:15pt;height:23.25pt;visibility:visible;mso-left-percent:-10001;mso-top-percent:-10001;mso-position-horizontal:absolute;mso-position-horizontal-relative:char;mso-position-vertical:absolute;mso-position-vertical-relative:line;mso-left-percent:-10001;mso-top-percent:-10001">
            <v:textbox style="layout-flow:vertical-ideographic"/>
            <w10:wrap type="none"/>
            <w10:anchorlock/>
          </v:shape>
        </w:pict>
      </w:r>
      <w:r w:rsidR="00AC7833" w:rsidRPr="00AC7833">
        <w:rPr>
          <w:rFonts w:hint="eastAsia"/>
          <w:b/>
          <w:bCs/>
          <w:sz w:val="20"/>
          <w:szCs w:val="20"/>
          <w:lang w:eastAsia="zh-CN" w:bidi="ar-EG"/>
        </w:rPr>
        <w:tab/>
      </w:r>
      <w:r w:rsidR="00AC7833" w:rsidRPr="00AC7833">
        <w:rPr>
          <w:rFonts w:hint="eastAsia"/>
          <w:b/>
          <w:bCs/>
          <w:sz w:val="20"/>
          <w:szCs w:val="20"/>
          <w:lang w:eastAsia="zh-CN" w:bidi="ar-EG"/>
        </w:rPr>
        <w:tab/>
      </w:r>
      <w:r w:rsidR="00AC7833" w:rsidRPr="00AC7833">
        <w:rPr>
          <w:rFonts w:hint="eastAsia"/>
          <w:b/>
          <w:bCs/>
          <w:sz w:val="20"/>
          <w:szCs w:val="20"/>
          <w:lang w:eastAsia="zh-CN" w:bidi="ar-EG"/>
        </w:rPr>
        <w:tab/>
      </w:r>
      <w:r>
        <w:rPr>
          <w:b/>
          <w:bCs/>
          <w:sz w:val="20"/>
          <w:szCs w:val="20"/>
          <w:lang w:bidi="ar-EG"/>
        </w:rPr>
      </w:r>
      <w:r>
        <w:rPr>
          <w:b/>
          <w:bCs/>
          <w:sz w:val="20"/>
          <w:szCs w:val="20"/>
          <w:lang w:bidi="ar-EG"/>
        </w:rPr>
        <w:pict>
          <v:shape id="_x0000_s1032" type="#_x0000_t67" style="width:15pt;height:23.25pt;visibility:visible;mso-left-percent:-10001;mso-top-percent:-10001;mso-position-horizontal:absolute;mso-position-horizontal-relative:char;mso-position-vertical:absolute;mso-position-vertical-relative:line;mso-left-percent:-10001;mso-top-percent:-10001">
            <v:textbox style="layout-flow:vertical-ideographic"/>
            <w10:wrap type="none"/>
            <w10:anchorlock/>
          </v:shape>
        </w:pict>
      </w:r>
    </w:p>
    <w:p w:rsidR="004B1D65" w:rsidRPr="00AC7833" w:rsidRDefault="004B1D65" w:rsidP="00AC7833">
      <w:pPr>
        <w:snapToGrid w:val="0"/>
        <w:ind w:firstLine="425"/>
        <w:jc w:val="both"/>
        <w:rPr>
          <w:b/>
          <w:bCs/>
          <w:sz w:val="20"/>
          <w:szCs w:val="20"/>
          <w:lang w:bidi="ar-EG"/>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88"/>
        <w:gridCol w:w="4788"/>
      </w:tblGrid>
      <w:tr w:rsidR="004B1D65" w:rsidRPr="00AC7833" w:rsidTr="00AC7833">
        <w:trPr>
          <w:jc w:val="center"/>
        </w:trPr>
        <w:tc>
          <w:tcPr>
            <w:tcW w:w="2500" w:type="pct"/>
          </w:tcPr>
          <w:p w:rsidR="004B1D65" w:rsidRPr="00AC7833" w:rsidRDefault="004B1D65" w:rsidP="00AC7833">
            <w:pPr>
              <w:snapToGrid w:val="0"/>
              <w:jc w:val="both"/>
              <w:rPr>
                <w:b/>
                <w:bCs/>
                <w:color w:val="000000"/>
                <w:sz w:val="20"/>
                <w:szCs w:val="20"/>
                <w:lang w:bidi="ar-EG"/>
              </w:rPr>
            </w:pPr>
            <w:r w:rsidRPr="00AC7833">
              <w:rPr>
                <w:b/>
                <w:bCs/>
                <w:color w:val="000000"/>
                <w:sz w:val="20"/>
                <w:szCs w:val="20"/>
                <w:lang w:bidi="ar-EG"/>
              </w:rPr>
              <w:t xml:space="preserve">Stair-step protocol </w:t>
            </w:r>
            <w:r w:rsidRPr="00AC7833">
              <w:rPr>
                <w:bCs/>
                <w:color w:val="000000"/>
                <w:sz w:val="20"/>
                <w:szCs w:val="20"/>
                <w:lang w:bidi="ar-EG"/>
              </w:rPr>
              <w:t>(n=30) the dosage was increased to 100 mg</w:t>
            </w:r>
            <w:r w:rsidRPr="00AC7833">
              <w:rPr>
                <w:bCs/>
                <w:color w:val="000000"/>
                <w:sz w:val="20"/>
                <w:szCs w:val="20"/>
                <w:lang w:bidi="ar-EG"/>
              </w:rPr>
              <w:br/>
              <w:t>daily for 5 days.</w:t>
            </w:r>
          </w:p>
        </w:tc>
        <w:tc>
          <w:tcPr>
            <w:tcW w:w="2500" w:type="pct"/>
          </w:tcPr>
          <w:p w:rsidR="004B1D65" w:rsidRPr="00AC7833" w:rsidRDefault="004B1D65" w:rsidP="00AC7833">
            <w:pPr>
              <w:snapToGrid w:val="0"/>
              <w:jc w:val="both"/>
              <w:rPr>
                <w:b/>
                <w:bCs/>
                <w:color w:val="000000"/>
                <w:sz w:val="20"/>
                <w:szCs w:val="20"/>
                <w:lang w:bidi="ar-EG"/>
              </w:rPr>
            </w:pPr>
            <w:r w:rsidRPr="00AC7833">
              <w:rPr>
                <w:b/>
                <w:bCs/>
                <w:color w:val="000000"/>
                <w:sz w:val="20"/>
                <w:szCs w:val="20"/>
                <w:lang w:bidi="ar-EG"/>
              </w:rPr>
              <w:t xml:space="preserve">Traditional protocol </w:t>
            </w:r>
            <w:r w:rsidRPr="00AC7833">
              <w:rPr>
                <w:bCs/>
                <w:color w:val="000000"/>
                <w:sz w:val="20"/>
                <w:szCs w:val="20"/>
                <w:lang w:bidi="ar-EG"/>
              </w:rPr>
              <w:t>(n=30) CC was administered 100 mg daily for 5 days after the onset of a progestin-induced menstruation</w:t>
            </w:r>
          </w:p>
        </w:tc>
      </w:tr>
    </w:tbl>
    <w:p w:rsidR="00240DA3" w:rsidRPr="00AC7833" w:rsidRDefault="00B3628E" w:rsidP="00AC7833">
      <w:pPr>
        <w:snapToGrid w:val="0"/>
        <w:jc w:val="center"/>
        <w:rPr>
          <w:b/>
          <w:bCs/>
          <w:sz w:val="20"/>
          <w:szCs w:val="20"/>
          <w:lang w:bidi="ar-EG"/>
        </w:rPr>
      </w:pPr>
      <w:r>
        <w:rPr>
          <w:b/>
          <w:bCs/>
          <w:sz w:val="20"/>
          <w:szCs w:val="20"/>
          <w:lang w:bidi="ar-EG"/>
        </w:rPr>
      </w:r>
      <w:r>
        <w:rPr>
          <w:b/>
          <w:bCs/>
          <w:sz w:val="20"/>
          <w:szCs w:val="20"/>
          <w:lang w:bidi="ar-EG"/>
        </w:rPr>
        <w:pict>
          <v:shape id="_x0000_s1031" type="#_x0000_t67" style="width:15pt;height:23.25pt;visibility:visible;mso-left-percent:-10001;mso-top-percent:-10001;mso-position-horizontal:absolute;mso-position-horizontal-relative:char;mso-position-vertical:absolute;mso-position-vertical-relative:line;mso-left-percent:-10001;mso-top-percent:-10001">
            <v:textbox style="layout-flow:vertical-ideographic"/>
            <w10:wrap type="none"/>
            <w10:anchorlock/>
          </v:shape>
        </w:pict>
      </w:r>
      <w:r w:rsidR="00AC7833" w:rsidRPr="00AC7833">
        <w:rPr>
          <w:rFonts w:hint="eastAsia"/>
          <w:b/>
          <w:bCs/>
          <w:sz w:val="20"/>
          <w:szCs w:val="20"/>
          <w:lang w:eastAsia="zh-CN" w:bidi="ar-EG"/>
        </w:rPr>
        <w:tab/>
      </w:r>
      <w:r w:rsidR="00AC7833" w:rsidRPr="00AC7833">
        <w:rPr>
          <w:rFonts w:hint="eastAsia"/>
          <w:b/>
          <w:bCs/>
          <w:sz w:val="20"/>
          <w:szCs w:val="20"/>
          <w:lang w:eastAsia="zh-CN" w:bidi="ar-EG"/>
        </w:rPr>
        <w:tab/>
      </w:r>
      <w:r w:rsidR="00AC7833" w:rsidRPr="00AC7833">
        <w:rPr>
          <w:rFonts w:hint="eastAsia"/>
          <w:b/>
          <w:bCs/>
          <w:sz w:val="20"/>
          <w:szCs w:val="20"/>
          <w:lang w:eastAsia="zh-CN" w:bidi="ar-EG"/>
        </w:rPr>
        <w:tab/>
      </w:r>
      <w:r>
        <w:rPr>
          <w:b/>
          <w:bCs/>
          <w:sz w:val="20"/>
          <w:szCs w:val="20"/>
          <w:lang w:bidi="ar-EG"/>
        </w:rPr>
      </w:r>
      <w:r>
        <w:rPr>
          <w:b/>
          <w:bCs/>
          <w:sz w:val="20"/>
          <w:szCs w:val="20"/>
          <w:lang w:bidi="ar-EG"/>
        </w:rPr>
        <w:pict>
          <v:shape id="_x0000_s1030" type="#_x0000_t67" style="width:15pt;height:23.25pt;visibility:visible;mso-left-percent:-10001;mso-top-percent:-10001;mso-position-horizontal:absolute;mso-position-horizontal-relative:char;mso-position-vertical:absolute;mso-position-vertical-relative:line;mso-left-percent:-10001;mso-top-percent:-10001">
            <v:textbox style="layout-flow:vertical-ideographic"/>
            <w10:wrap type="none"/>
            <w10:anchorlock/>
          </v:shape>
        </w:pict>
      </w:r>
    </w:p>
    <w:p w:rsidR="004B1D65" w:rsidRPr="00AC7833" w:rsidRDefault="004B1D65" w:rsidP="00AC7833">
      <w:pPr>
        <w:snapToGrid w:val="0"/>
        <w:ind w:firstLine="425"/>
        <w:jc w:val="both"/>
        <w:rPr>
          <w:b/>
          <w:bCs/>
          <w:sz w:val="20"/>
          <w:szCs w:val="20"/>
          <w:lang w:bidi="ar-EG"/>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788"/>
        <w:gridCol w:w="4788"/>
      </w:tblGrid>
      <w:tr w:rsidR="004B1D65" w:rsidRPr="00AC7833">
        <w:trPr>
          <w:trHeight w:val="377"/>
          <w:jc w:val="center"/>
        </w:trPr>
        <w:tc>
          <w:tcPr>
            <w:tcW w:w="2500" w:type="pct"/>
          </w:tcPr>
          <w:p w:rsidR="004B1D65" w:rsidRPr="00AC7833" w:rsidRDefault="004B1D65" w:rsidP="00AC7833">
            <w:pPr>
              <w:snapToGrid w:val="0"/>
              <w:jc w:val="both"/>
              <w:rPr>
                <w:b/>
                <w:bCs/>
                <w:color w:val="000000"/>
                <w:sz w:val="20"/>
                <w:szCs w:val="20"/>
                <w:lang w:bidi="ar-EG"/>
              </w:rPr>
            </w:pPr>
            <w:proofErr w:type="spellStart"/>
            <w:r w:rsidRPr="00AC7833">
              <w:rPr>
                <w:bCs/>
                <w:color w:val="000000"/>
                <w:sz w:val="20"/>
                <w:szCs w:val="20"/>
                <w:lang w:bidi="ar-EG"/>
              </w:rPr>
              <w:t>Ultrasonographic</w:t>
            </w:r>
            <w:proofErr w:type="spellEnd"/>
            <w:r w:rsidRPr="00AC7833">
              <w:rPr>
                <w:bCs/>
                <w:color w:val="000000"/>
                <w:sz w:val="20"/>
                <w:szCs w:val="20"/>
                <w:lang w:bidi="ar-EG"/>
              </w:rPr>
              <w:t xml:space="preserve"> </w:t>
            </w:r>
            <w:proofErr w:type="spellStart"/>
            <w:r w:rsidRPr="00AC7833">
              <w:rPr>
                <w:bCs/>
                <w:color w:val="000000"/>
                <w:sz w:val="20"/>
                <w:szCs w:val="20"/>
                <w:lang w:bidi="ar-EG"/>
              </w:rPr>
              <w:t>monitorization</w:t>
            </w:r>
            <w:proofErr w:type="spellEnd"/>
            <w:r w:rsidRPr="00AC7833">
              <w:rPr>
                <w:bCs/>
                <w:color w:val="000000"/>
                <w:sz w:val="20"/>
                <w:szCs w:val="20"/>
                <w:lang w:bidi="ar-EG"/>
              </w:rPr>
              <w:t xml:space="preserve"> was started with day 8.</w:t>
            </w:r>
          </w:p>
        </w:tc>
        <w:tc>
          <w:tcPr>
            <w:tcW w:w="2500" w:type="pct"/>
          </w:tcPr>
          <w:p w:rsidR="004B1D65" w:rsidRPr="00AC7833" w:rsidRDefault="004B1D65" w:rsidP="00AC7833">
            <w:pPr>
              <w:snapToGrid w:val="0"/>
              <w:jc w:val="both"/>
              <w:rPr>
                <w:b/>
                <w:bCs/>
                <w:color w:val="000000"/>
                <w:sz w:val="20"/>
                <w:szCs w:val="20"/>
                <w:lang w:bidi="ar-EG"/>
              </w:rPr>
            </w:pPr>
            <w:r w:rsidRPr="00AC7833">
              <w:rPr>
                <w:bCs/>
                <w:color w:val="000000"/>
                <w:sz w:val="20"/>
                <w:szCs w:val="20"/>
                <w:lang w:bidi="ar-EG"/>
              </w:rPr>
              <w:t>On cycle day 19, the evaluation by</w:t>
            </w:r>
            <w:r w:rsidRPr="00AC7833">
              <w:rPr>
                <w:bCs/>
                <w:color w:val="000000"/>
                <w:sz w:val="20"/>
                <w:szCs w:val="20"/>
                <w:lang w:bidi="ar-EG"/>
              </w:rPr>
              <w:br/>
            </w:r>
            <w:proofErr w:type="spellStart"/>
            <w:r w:rsidRPr="00AC7833">
              <w:rPr>
                <w:bCs/>
                <w:color w:val="000000"/>
                <w:sz w:val="20"/>
                <w:szCs w:val="20"/>
                <w:lang w:bidi="ar-EG"/>
              </w:rPr>
              <w:t>transvaginal</w:t>
            </w:r>
            <w:proofErr w:type="spellEnd"/>
            <w:r w:rsidRPr="00AC7833">
              <w:rPr>
                <w:bCs/>
                <w:color w:val="000000"/>
                <w:sz w:val="20"/>
                <w:szCs w:val="20"/>
                <w:lang w:bidi="ar-EG"/>
              </w:rPr>
              <w:t xml:space="preserve"> </w:t>
            </w:r>
            <w:proofErr w:type="spellStart"/>
            <w:r w:rsidRPr="00AC7833">
              <w:rPr>
                <w:bCs/>
                <w:color w:val="000000"/>
                <w:sz w:val="20"/>
                <w:szCs w:val="20"/>
                <w:lang w:bidi="ar-EG"/>
              </w:rPr>
              <w:t>ultrasonography</w:t>
            </w:r>
            <w:proofErr w:type="spellEnd"/>
            <w:r w:rsidRPr="00AC7833">
              <w:rPr>
                <w:bCs/>
                <w:color w:val="000000"/>
                <w:sz w:val="20"/>
                <w:szCs w:val="20"/>
                <w:lang w:bidi="ar-EG"/>
              </w:rPr>
              <w:t xml:space="preserve"> was restarted</w:t>
            </w:r>
          </w:p>
        </w:tc>
      </w:tr>
    </w:tbl>
    <w:p w:rsidR="00240DA3" w:rsidRPr="00AC7833" w:rsidRDefault="00B3628E" w:rsidP="00AC7833">
      <w:pPr>
        <w:snapToGrid w:val="0"/>
        <w:jc w:val="center"/>
        <w:rPr>
          <w:b/>
          <w:bCs/>
          <w:sz w:val="20"/>
          <w:szCs w:val="20"/>
          <w:lang w:bidi="ar-EG"/>
        </w:rPr>
      </w:pPr>
      <w:r>
        <w:rPr>
          <w:b/>
          <w:bCs/>
          <w:sz w:val="20"/>
          <w:szCs w:val="20"/>
          <w:lang w:bidi="ar-EG"/>
        </w:rPr>
      </w:r>
      <w:r>
        <w:rPr>
          <w:b/>
          <w:bCs/>
          <w:sz w:val="20"/>
          <w:szCs w:val="20"/>
          <w:lang w:bidi="ar-EG"/>
        </w:rPr>
        <w:pict>
          <v:shape id="_x0000_s1029" type="#_x0000_t67" style="width:15pt;height:23.25pt;visibility:visible;mso-left-percent:-10001;mso-top-percent:-10001;mso-position-horizontal:absolute;mso-position-horizontal-relative:char;mso-position-vertical:absolute;mso-position-vertical-relative:line;mso-left-percent:-10001;mso-top-percent:-10001">
            <v:textbox style="layout-flow:vertical-ideographic"/>
            <w10:wrap type="none"/>
            <w10:anchorlock/>
          </v:shape>
        </w:pict>
      </w:r>
      <w:r w:rsidR="00AC7833" w:rsidRPr="00AC7833">
        <w:rPr>
          <w:rFonts w:hint="eastAsia"/>
          <w:b/>
          <w:bCs/>
          <w:sz w:val="20"/>
          <w:szCs w:val="20"/>
          <w:lang w:eastAsia="zh-CN" w:bidi="ar-EG"/>
        </w:rPr>
        <w:tab/>
      </w:r>
      <w:r w:rsidR="00AC7833" w:rsidRPr="00AC7833">
        <w:rPr>
          <w:rFonts w:hint="eastAsia"/>
          <w:b/>
          <w:bCs/>
          <w:sz w:val="20"/>
          <w:szCs w:val="20"/>
          <w:lang w:eastAsia="zh-CN" w:bidi="ar-EG"/>
        </w:rPr>
        <w:tab/>
      </w:r>
      <w:r w:rsidR="00AC7833" w:rsidRPr="00AC7833">
        <w:rPr>
          <w:rFonts w:hint="eastAsia"/>
          <w:b/>
          <w:bCs/>
          <w:sz w:val="20"/>
          <w:szCs w:val="20"/>
          <w:lang w:eastAsia="zh-CN" w:bidi="ar-EG"/>
        </w:rPr>
        <w:tab/>
      </w:r>
      <w:r>
        <w:rPr>
          <w:b/>
          <w:bCs/>
          <w:sz w:val="20"/>
          <w:szCs w:val="20"/>
          <w:lang w:bidi="ar-EG"/>
        </w:rPr>
      </w:r>
      <w:r>
        <w:rPr>
          <w:b/>
          <w:bCs/>
          <w:sz w:val="20"/>
          <w:szCs w:val="20"/>
          <w:lang w:bidi="ar-EG"/>
        </w:rPr>
        <w:pict>
          <v:shape id="_x0000_s1028" type="#_x0000_t67" style="width:15pt;height:23.25pt;visibility:visible;mso-left-percent:-10001;mso-top-percent:-10001;mso-position-horizontal:absolute;mso-position-horizontal-relative:char;mso-position-vertical:absolute;mso-position-vertical-relative:line;mso-left-percent:-10001;mso-top-percent:-10001">
            <v:textbox style="layout-flow:vertical-ideographic"/>
            <w10:wrap type="none"/>
            <w10:anchorlock/>
          </v:shape>
        </w:pict>
      </w:r>
    </w:p>
    <w:p w:rsidR="004B1D65" w:rsidRPr="00AC7833" w:rsidRDefault="004B1D65" w:rsidP="00AC7833">
      <w:pPr>
        <w:snapToGrid w:val="0"/>
        <w:ind w:firstLine="425"/>
        <w:jc w:val="both"/>
        <w:rPr>
          <w:b/>
          <w:bCs/>
          <w:sz w:val="20"/>
          <w:szCs w:val="20"/>
          <w:lang w:bidi="ar-EG"/>
        </w:rPr>
      </w:pPr>
    </w:p>
    <w:p w:rsidR="00240DA3" w:rsidRPr="00AC7833" w:rsidRDefault="00240DA3" w:rsidP="00AC7833">
      <w:pPr>
        <w:snapToGrid w:val="0"/>
        <w:ind w:firstLine="425"/>
        <w:jc w:val="both"/>
        <w:rPr>
          <w:b/>
          <w:bCs/>
          <w:sz w:val="20"/>
          <w:szCs w:val="20"/>
          <w:lang w:bidi="ar-EG"/>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576"/>
      </w:tblGrid>
      <w:tr w:rsidR="004B1D65" w:rsidRPr="00AC7833" w:rsidTr="00AC7833">
        <w:trPr>
          <w:trHeight w:val="450"/>
          <w:jc w:val="center"/>
        </w:trPr>
        <w:tc>
          <w:tcPr>
            <w:tcW w:w="5000" w:type="pct"/>
          </w:tcPr>
          <w:p w:rsidR="004B1D65" w:rsidRPr="00AC7833" w:rsidRDefault="004B1D65" w:rsidP="00AC7833">
            <w:pPr>
              <w:snapToGrid w:val="0"/>
              <w:jc w:val="both"/>
              <w:rPr>
                <w:b/>
                <w:bCs/>
                <w:color w:val="000000"/>
                <w:sz w:val="20"/>
                <w:szCs w:val="20"/>
                <w:lang w:bidi="ar-EG"/>
              </w:rPr>
            </w:pPr>
            <w:r w:rsidRPr="00AC7833">
              <w:rPr>
                <w:bCs/>
                <w:color w:val="000000"/>
                <w:sz w:val="20"/>
                <w:szCs w:val="20"/>
                <w:lang w:bidi="ar-EG"/>
              </w:rPr>
              <w:t xml:space="preserve">Mean diameter of the leading follicle was reached </w:t>
            </w:r>
            <w:smartTag w:uri="urn:schemas-microsoft-com:office:smarttags" w:element="metricconverter">
              <w:smartTagPr>
                <w:attr w:name="ProductID" w:val="17 mm"/>
              </w:smartTagPr>
              <w:r w:rsidRPr="00AC7833">
                <w:rPr>
                  <w:bCs/>
                  <w:color w:val="000000"/>
                  <w:sz w:val="20"/>
                  <w:szCs w:val="20"/>
                  <w:lang w:bidi="ar-EG"/>
                </w:rPr>
                <w:t>17 mm</w:t>
              </w:r>
            </w:smartTag>
            <w:r w:rsidRPr="00AC7833">
              <w:rPr>
                <w:bCs/>
                <w:color w:val="000000"/>
                <w:sz w:val="20"/>
                <w:szCs w:val="20"/>
                <w:lang w:bidi="ar-EG"/>
              </w:rPr>
              <w:t xml:space="preserve">, </w:t>
            </w:r>
            <w:proofErr w:type="spellStart"/>
            <w:r w:rsidRPr="00AC7833">
              <w:rPr>
                <w:bCs/>
                <w:color w:val="000000"/>
                <w:sz w:val="20"/>
                <w:szCs w:val="20"/>
                <w:lang w:bidi="ar-EG"/>
              </w:rPr>
              <w:t>hCG</w:t>
            </w:r>
            <w:proofErr w:type="spellEnd"/>
            <w:r w:rsidRPr="00AC7833">
              <w:rPr>
                <w:bCs/>
                <w:color w:val="000000"/>
                <w:sz w:val="20"/>
                <w:szCs w:val="20"/>
                <w:lang w:bidi="ar-EG"/>
              </w:rPr>
              <w:t xml:space="preserve"> was administered. Intrauterine insemination was performed at 36 hours after the </w:t>
            </w:r>
            <w:proofErr w:type="spellStart"/>
            <w:r w:rsidRPr="00AC7833">
              <w:rPr>
                <w:bCs/>
                <w:color w:val="000000"/>
                <w:sz w:val="20"/>
                <w:szCs w:val="20"/>
                <w:lang w:bidi="ar-EG"/>
              </w:rPr>
              <w:t>hCG</w:t>
            </w:r>
            <w:proofErr w:type="spellEnd"/>
            <w:r w:rsidRPr="00AC7833">
              <w:rPr>
                <w:bCs/>
                <w:color w:val="000000"/>
                <w:sz w:val="20"/>
                <w:szCs w:val="20"/>
                <w:lang w:bidi="ar-EG"/>
              </w:rPr>
              <w:t xml:space="preserve"> administration</w:t>
            </w:r>
          </w:p>
        </w:tc>
      </w:tr>
    </w:tbl>
    <w:p w:rsidR="004B1D65" w:rsidRPr="00AC7833" w:rsidRDefault="00B3628E" w:rsidP="00AC7833">
      <w:pPr>
        <w:snapToGrid w:val="0"/>
        <w:jc w:val="center"/>
        <w:rPr>
          <w:b/>
          <w:bCs/>
          <w:sz w:val="20"/>
          <w:szCs w:val="20"/>
          <w:lang w:bidi="ar-EG"/>
        </w:rPr>
      </w:pPr>
      <w:r>
        <w:rPr>
          <w:b/>
          <w:bCs/>
          <w:sz w:val="20"/>
          <w:szCs w:val="20"/>
          <w:lang w:bidi="ar-EG"/>
        </w:rPr>
      </w:r>
      <w:r>
        <w:rPr>
          <w:b/>
          <w:bCs/>
          <w:sz w:val="20"/>
          <w:szCs w:val="20"/>
          <w:lang w:bidi="ar-EG"/>
        </w:rPr>
        <w:pict>
          <v:shape id="_x0000_s1027" type="#_x0000_t67" style="width:15pt;height:23.25pt;visibility:visible;mso-left-percent:-10001;mso-top-percent:-10001;mso-position-horizontal:absolute;mso-position-horizontal-relative:char;mso-position-vertical:absolute;mso-position-vertical-relative:line;mso-left-percent:-10001;mso-top-percent:-10001">
            <v:textbox style="layout-flow:vertical-ideographic"/>
            <w10:wrap type="none"/>
            <w10:anchorlock/>
          </v:shape>
        </w:pict>
      </w:r>
      <w:r w:rsidR="00AC7833" w:rsidRPr="00AC7833">
        <w:rPr>
          <w:rFonts w:hint="eastAsia"/>
          <w:b/>
          <w:bCs/>
          <w:sz w:val="20"/>
          <w:szCs w:val="20"/>
          <w:lang w:eastAsia="zh-CN" w:bidi="ar-EG"/>
        </w:rPr>
        <w:tab/>
      </w:r>
      <w:r w:rsidR="00AC7833" w:rsidRPr="00AC7833">
        <w:rPr>
          <w:rFonts w:hint="eastAsia"/>
          <w:b/>
          <w:bCs/>
          <w:sz w:val="20"/>
          <w:szCs w:val="20"/>
          <w:lang w:eastAsia="zh-CN" w:bidi="ar-EG"/>
        </w:rPr>
        <w:tab/>
      </w:r>
      <w:r w:rsidR="00AC7833" w:rsidRPr="00AC7833">
        <w:rPr>
          <w:rFonts w:hint="eastAsia"/>
          <w:b/>
          <w:bCs/>
          <w:sz w:val="20"/>
          <w:szCs w:val="20"/>
          <w:lang w:eastAsia="zh-CN" w:bidi="ar-EG"/>
        </w:rPr>
        <w:tab/>
      </w:r>
      <w:r>
        <w:rPr>
          <w:b/>
          <w:bCs/>
          <w:sz w:val="20"/>
          <w:szCs w:val="20"/>
          <w:lang w:bidi="ar-EG"/>
        </w:rPr>
      </w:r>
      <w:r>
        <w:rPr>
          <w:b/>
          <w:bCs/>
          <w:sz w:val="20"/>
          <w:szCs w:val="20"/>
          <w:lang w:bidi="ar-EG"/>
        </w:rPr>
        <w:pict>
          <v:shape id="_x0000_s1026" type="#_x0000_t67" style="width:15pt;height:23.25pt;visibility:visible;mso-left-percent:-10001;mso-top-percent:-10001;mso-position-horizontal:absolute;mso-position-horizontal-relative:char;mso-position-vertical:absolute;mso-position-vertical-relative:line;mso-left-percent:-10001;mso-top-percent:-10001">
            <v:textbox style="layout-flow:vertical-ideographic"/>
            <w10:wrap type="none"/>
            <w10:anchorlock/>
          </v:shape>
        </w:pict>
      </w:r>
    </w:p>
    <w:p w:rsidR="00240DA3" w:rsidRPr="00AC7833" w:rsidRDefault="00240DA3" w:rsidP="00AC7833">
      <w:pPr>
        <w:snapToGrid w:val="0"/>
        <w:ind w:firstLine="425"/>
        <w:jc w:val="both"/>
        <w:rPr>
          <w:b/>
          <w:bCs/>
          <w:sz w:val="20"/>
          <w:szCs w:val="20"/>
          <w:lang w:bidi="ar-EG"/>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788"/>
        <w:gridCol w:w="4788"/>
      </w:tblGrid>
      <w:tr w:rsidR="004B1D65" w:rsidRPr="00AC7833" w:rsidTr="00AC7833">
        <w:trPr>
          <w:trHeight w:val="659"/>
          <w:jc w:val="center"/>
        </w:trPr>
        <w:tc>
          <w:tcPr>
            <w:tcW w:w="2500" w:type="pct"/>
          </w:tcPr>
          <w:p w:rsidR="004B1D65" w:rsidRPr="00AC7833" w:rsidRDefault="004B1D65" w:rsidP="00AC7833">
            <w:pPr>
              <w:snapToGrid w:val="0"/>
              <w:jc w:val="both"/>
              <w:rPr>
                <w:b/>
                <w:bCs/>
                <w:color w:val="000000"/>
                <w:sz w:val="20"/>
                <w:szCs w:val="20"/>
                <w:lang w:bidi="ar-EG"/>
              </w:rPr>
            </w:pPr>
            <w:r w:rsidRPr="00AC7833">
              <w:rPr>
                <w:bCs/>
                <w:color w:val="000000"/>
                <w:sz w:val="20"/>
                <w:szCs w:val="20"/>
                <w:lang w:bidi="ar-EG"/>
              </w:rPr>
              <w:t>No follicular response was observed on cycle day 20, the cycle was cancelled</w:t>
            </w:r>
          </w:p>
        </w:tc>
        <w:tc>
          <w:tcPr>
            <w:tcW w:w="2500" w:type="pct"/>
          </w:tcPr>
          <w:p w:rsidR="004B1D65" w:rsidRPr="00AC7833" w:rsidRDefault="004B1D65" w:rsidP="00AC7833">
            <w:pPr>
              <w:snapToGrid w:val="0"/>
              <w:jc w:val="both"/>
              <w:rPr>
                <w:b/>
                <w:bCs/>
                <w:color w:val="000000"/>
                <w:sz w:val="20"/>
                <w:szCs w:val="20"/>
                <w:lang w:bidi="ar-EG"/>
              </w:rPr>
            </w:pPr>
            <w:r w:rsidRPr="00AC7833">
              <w:rPr>
                <w:bCs/>
                <w:color w:val="000000"/>
                <w:sz w:val="20"/>
                <w:szCs w:val="20"/>
                <w:lang w:bidi="ar-EG"/>
              </w:rPr>
              <w:t>No follicular response was observed on cycle day 23, the cycle was cancelled</w:t>
            </w:r>
          </w:p>
        </w:tc>
      </w:tr>
    </w:tbl>
    <w:p w:rsidR="00AC7833" w:rsidRDefault="00AC7833" w:rsidP="00AC7833">
      <w:pPr>
        <w:snapToGrid w:val="0"/>
        <w:jc w:val="both"/>
        <w:rPr>
          <w:b/>
          <w:bCs/>
          <w:sz w:val="20"/>
          <w:szCs w:val="20"/>
        </w:rPr>
      </w:pPr>
    </w:p>
    <w:p w:rsidR="00AC7833" w:rsidRPr="00AC7833" w:rsidRDefault="00AC7833" w:rsidP="00AC7833">
      <w:pPr>
        <w:snapToGrid w:val="0"/>
        <w:jc w:val="both"/>
        <w:rPr>
          <w:b/>
          <w:bCs/>
          <w:sz w:val="20"/>
          <w:szCs w:val="20"/>
        </w:rPr>
        <w:sectPr w:rsidR="00AC7833" w:rsidRPr="00AC7833" w:rsidSect="00B36287">
          <w:headerReference w:type="default" r:id="rId15"/>
          <w:footerReference w:type="even" r:id="rId16"/>
          <w:footerReference w:type="default" r:id="rId17"/>
          <w:type w:val="continuous"/>
          <w:pgSz w:w="12240" w:h="15840" w:code="1"/>
          <w:pgMar w:top="1440" w:right="1440" w:bottom="1440" w:left="1440" w:header="720" w:footer="720" w:gutter="0"/>
          <w:cols w:space="720"/>
          <w:docGrid w:linePitch="360"/>
        </w:sectPr>
      </w:pPr>
    </w:p>
    <w:p w:rsidR="004B1D65" w:rsidRPr="00AC7833" w:rsidRDefault="004B1D65" w:rsidP="00AC7833">
      <w:pPr>
        <w:snapToGrid w:val="0"/>
        <w:jc w:val="both"/>
        <w:rPr>
          <w:b/>
          <w:bCs/>
          <w:i/>
          <w:iCs/>
          <w:sz w:val="20"/>
          <w:szCs w:val="20"/>
        </w:rPr>
      </w:pPr>
      <w:r w:rsidRPr="00AC7833">
        <w:rPr>
          <w:b/>
          <w:bCs/>
          <w:i/>
          <w:iCs/>
          <w:sz w:val="20"/>
          <w:szCs w:val="20"/>
        </w:rPr>
        <w:lastRenderedPageBreak/>
        <w:t xml:space="preserve">The secondary outcome was: </w:t>
      </w:r>
      <w:r w:rsidRPr="00AC7833">
        <w:rPr>
          <w:i/>
          <w:iCs/>
          <w:sz w:val="20"/>
          <w:szCs w:val="20"/>
        </w:rPr>
        <w:t>occurrence of clinical pregnancy</w:t>
      </w:r>
      <w:r w:rsidRPr="00AC7833">
        <w:rPr>
          <w:b/>
          <w:bCs/>
          <w:i/>
          <w:iCs/>
          <w:sz w:val="20"/>
          <w:szCs w:val="20"/>
        </w:rPr>
        <w:t>.</w:t>
      </w:r>
    </w:p>
    <w:p w:rsidR="004B1D65" w:rsidRDefault="004B1D65" w:rsidP="00AC7833">
      <w:pPr>
        <w:snapToGrid w:val="0"/>
        <w:jc w:val="both"/>
        <w:rPr>
          <w:sz w:val="20"/>
          <w:szCs w:val="20"/>
          <w:lang w:eastAsia="zh-CN"/>
        </w:rPr>
      </w:pPr>
      <w:r w:rsidRPr="00AC7833">
        <w:rPr>
          <w:b/>
          <w:bCs/>
          <w:i/>
          <w:iCs/>
          <w:sz w:val="20"/>
          <w:szCs w:val="20"/>
        </w:rPr>
        <w:t xml:space="preserve">Sample size </w:t>
      </w:r>
      <w:r w:rsidRPr="00AC7833">
        <w:rPr>
          <w:sz w:val="20"/>
          <w:szCs w:val="20"/>
        </w:rPr>
        <w:t>If the primary outcome was accepted as the time to ovulate with 10% difference and 80 % power 401 patients were required as sample size. A multicenter based study would be required for the collection of such large sample size. Therefore, the sample size of this prospective study failed the required power.</w:t>
      </w:r>
    </w:p>
    <w:p w:rsidR="00AC7833" w:rsidRPr="00AC7833" w:rsidRDefault="00AC7833" w:rsidP="00AC7833">
      <w:pPr>
        <w:snapToGrid w:val="0"/>
        <w:jc w:val="both"/>
        <w:rPr>
          <w:sz w:val="20"/>
          <w:szCs w:val="20"/>
          <w:lang w:eastAsia="zh-CN"/>
        </w:rPr>
      </w:pPr>
    </w:p>
    <w:p w:rsidR="007537A7" w:rsidRPr="00AC7833" w:rsidRDefault="00240DA3" w:rsidP="00AC7833">
      <w:pPr>
        <w:snapToGrid w:val="0"/>
        <w:jc w:val="both"/>
        <w:rPr>
          <w:b/>
          <w:bCs/>
          <w:sz w:val="20"/>
          <w:szCs w:val="20"/>
        </w:rPr>
      </w:pPr>
      <w:r w:rsidRPr="00AC7833">
        <w:rPr>
          <w:b/>
          <w:bCs/>
          <w:sz w:val="20"/>
          <w:szCs w:val="20"/>
        </w:rPr>
        <w:t xml:space="preserve">3. </w:t>
      </w:r>
      <w:r w:rsidR="007537A7" w:rsidRPr="00AC7833">
        <w:rPr>
          <w:b/>
          <w:bCs/>
          <w:sz w:val="20"/>
          <w:szCs w:val="20"/>
        </w:rPr>
        <w:t>Results</w:t>
      </w:r>
    </w:p>
    <w:p w:rsidR="007537A7" w:rsidRPr="00AC7833" w:rsidRDefault="007537A7" w:rsidP="00AC7833">
      <w:pPr>
        <w:snapToGrid w:val="0"/>
        <w:ind w:firstLine="425"/>
        <w:jc w:val="both"/>
        <w:rPr>
          <w:sz w:val="20"/>
          <w:szCs w:val="20"/>
        </w:rPr>
      </w:pPr>
      <w:r w:rsidRPr="00AC7833">
        <w:rPr>
          <w:sz w:val="20"/>
          <w:szCs w:val="20"/>
        </w:rPr>
        <w:lastRenderedPageBreak/>
        <w:t>With this protocol, we have found that 46.7% of patients have ovulated in the study group while 30% in the control group (Table 1).</w:t>
      </w:r>
    </w:p>
    <w:p w:rsidR="007537A7" w:rsidRPr="00AC7833" w:rsidRDefault="007537A7" w:rsidP="00AC7833">
      <w:pPr>
        <w:snapToGrid w:val="0"/>
        <w:ind w:firstLine="425"/>
        <w:jc w:val="both"/>
        <w:rPr>
          <w:sz w:val="20"/>
          <w:szCs w:val="20"/>
        </w:rPr>
      </w:pPr>
      <w:r w:rsidRPr="00AC7833">
        <w:rPr>
          <w:sz w:val="20"/>
          <w:szCs w:val="20"/>
        </w:rPr>
        <w:t>Regarding Pregnancy rate, it was non-significantly more frequent among study group than among control group. It was 6 cases (20%)</w:t>
      </w:r>
      <w:r w:rsidR="00CE65E5" w:rsidRPr="00AC7833">
        <w:rPr>
          <w:sz w:val="20"/>
          <w:szCs w:val="20"/>
        </w:rPr>
        <w:t xml:space="preserve"> </w:t>
      </w:r>
      <w:r w:rsidRPr="00AC7833">
        <w:rPr>
          <w:sz w:val="20"/>
          <w:szCs w:val="20"/>
        </w:rPr>
        <w:t>among the study group while it was 2 cases (6.7 %)in the control group.(Table 2)</w:t>
      </w:r>
    </w:p>
    <w:p w:rsidR="007537A7" w:rsidRPr="00AC7833" w:rsidRDefault="007537A7" w:rsidP="00AC7833">
      <w:pPr>
        <w:snapToGrid w:val="0"/>
        <w:ind w:firstLine="425"/>
        <w:jc w:val="both"/>
        <w:rPr>
          <w:sz w:val="20"/>
          <w:szCs w:val="20"/>
        </w:rPr>
      </w:pPr>
      <w:r w:rsidRPr="00AC7833">
        <w:rPr>
          <w:sz w:val="20"/>
          <w:szCs w:val="20"/>
        </w:rPr>
        <w:t>Regarding Endometrial thickness (mm), It was 7.9(mm) in the study group while it was 8.9(mm) in the control group and there was no significant difference between the 2 groups</w:t>
      </w:r>
      <w:r w:rsidR="00AC7833">
        <w:rPr>
          <w:rFonts w:hint="eastAsia"/>
          <w:sz w:val="20"/>
          <w:szCs w:val="20"/>
          <w:lang w:eastAsia="zh-CN"/>
        </w:rPr>
        <w:t>.</w:t>
      </w:r>
      <w:r w:rsidRPr="00AC7833">
        <w:rPr>
          <w:sz w:val="20"/>
          <w:szCs w:val="20"/>
        </w:rPr>
        <w:t xml:space="preserve"> (Table</w:t>
      </w:r>
      <w:r w:rsidR="00CE65E5" w:rsidRPr="00AC7833">
        <w:rPr>
          <w:sz w:val="20"/>
          <w:szCs w:val="20"/>
        </w:rPr>
        <w:t xml:space="preserve"> </w:t>
      </w:r>
      <w:r w:rsidRPr="00AC7833">
        <w:rPr>
          <w:sz w:val="20"/>
          <w:szCs w:val="20"/>
        </w:rPr>
        <w:t>3)</w:t>
      </w:r>
    </w:p>
    <w:p w:rsidR="007537A7" w:rsidRPr="00AC7833" w:rsidRDefault="007537A7" w:rsidP="00AC7833">
      <w:pPr>
        <w:snapToGrid w:val="0"/>
        <w:ind w:firstLine="425"/>
        <w:jc w:val="both"/>
        <w:rPr>
          <w:sz w:val="20"/>
          <w:szCs w:val="20"/>
        </w:rPr>
      </w:pPr>
      <w:r w:rsidRPr="00AC7833">
        <w:rPr>
          <w:sz w:val="20"/>
          <w:szCs w:val="20"/>
        </w:rPr>
        <w:lastRenderedPageBreak/>
        <w:t>Regarding duration of treatment (days), it was about 19 days in the study group while in the control groups it was 47 days which was significantly lower among Stair-step group than among control group (Table</w:t>
      </w:r>
      <w:r w:rsidR="00CE65E5" w:rsidRPr="00AC7833">
        <w:rPr>
          <w:sz w:val="20"/>
          <w:szCs w:val="20"/>
        </w:rPr>
        <w:t xml:space="preserve"> </w:t>
      </w:r>
      <w:r w:rsidRPr="00AC7833">
        <w:rPr>
          <w:sz w:val="20"/>
          <w:szCs w:val="20"/>
        </w:rPr>
        <w:t>4).</w:t>
      </w:r>
    </w:p>
    <w:p w:rsidR="007537A7" w:rsidRPr="00AC7833" w:rsidRDefault="007537A7" w:rsidP="00AC7833">
      <w:pPr>
        <w:snapToGrid w:val="0"/>
        <w:ind w:firstLine="425"/>
        <w:jc w:val="both"/>
        <w:rPr>
          <w:sz w:val="20"/>
          <w:szCs w:val="20"/>
        </w:rPr>
      </w:pPr>
      <w:r w:rsidRPr="00AC7833">
        <w:rPr>
          <w:sz w:val="20"/>
          <w:szCs w:val="20"/>
        </w:rPr>
        <w:lastRenderedPageBreak/>
        <w:t>No significant adverse effects were observed on the endometrial thickness or the maternal systemic side effects in the stair-step protocol compared with the traditional protocol.</w:t>
      </w:r>
    </w:p>
    <w:p w:rsidR="00AC7833" w:rsidRPr="00AC7833" w:rsidRDefault="00AC7833" w:rsidP="00AC7833">
      <w:pPr>
        <w:snapToGrid w:val="0"/>
        <w:jc w:val="both"/>
        <w:rPr>
          <w:b/>
          <w:bCs/>
          <w:sz w:val="20"/>
          <w:szCs w:val="20"/>
        </w:rPr>
        <w:sectPr w:rsidR="00AC7833" w:rsidRPr="00AC7833" w:rsidSect="00AC7833">
          <w:headerReference w:type="default" r:id="rId18"/>
          <w:footerReference w:type="even" r:id="rId19"/>
          <w:footerReference w:type="default" r:id="rId20"/>
          <w:type w:val="continuous"/>
          <w:pgSz w:w="12240" w:h="15840" w:code="1"/>
          <w:pgMar w:top="1440" w:right="1440" w:bottom="1440" w:left="1440" w:header="720" w:footer="720" w:gutter="0"/>
          <w:cols w:num="2" w:space="600"/>
          <w:docGrid w:linePitch="360"/>
        </w:sectPr>
      </w:pPr>
    </w:p>
    <w:p w:rsidR="00240DA3" w:rsidRPr="00AC7833" w:rsidRDefault="00240DA3" w:rsidP="00AC7833">
      <w:pPr>
        <w:snapToGrid w:val="0"/>
        <w:jc w:val="center"/>
        <w:rPr>
          <w:b/>
          <w:bCs/>
          <w:sz w:val="20"/>
          <w:szCs w:val="20"/>
        </w:rPr>
      </w:pPr>
    </w:p>
    <w:p w:rsidR="007537A7" w:rsidRPr="00AC7833" w:rsidRDefault="007537A7" w:rsidP="00AC7833">
      <w:pPr>
        <w:snapToGrid w:val="0"/>
        <w:jc w:val="center"/>
        <w:rPr>
          <w:sz w:val="19"/>
          <w:szCs w:val="19"/>
        </w:rPr>
      </w:pPr>
      <w:r w:rsidRPr="00AC7833">
        <w:rPr>
          <w:b/>
          <w:bCs/>
          <w:sz w:val="19"/>
          <w:szCs w:val="19"/>
        </w:rPr>
        <w:t xml:space="preserve">Table (1): </w:t>
      </w:r>
      <w:r w:rsidRPr="00AC7833">
        <w:rPr>
          <w:sz w:val="19"/>
          <w:szCs w:val="19"/>
        </w:rPr>
        <w:t>Ovulation among the studied groups.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798"/>
        <w:gridCol w:w="2225"/>
        <w:gridCol w:w="278"/>
        <w:gridCol w:w="1576"/>
        <w:gridCol w:w="927"/>
        <w:gridCol w:w="1772"/>
      </w:tblGrid>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Measures</w:t>
            </w:r>
          </w:p>
        </w:tc>
        <w:tc>
          <w:tcPr>
            <w:tcW w:w="1307"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Study</w:t>
            </w:r>
          </w:p>
          <w:p w:rsidR="007537A7" w:rsidRPr="00AC7833" w:rsidRDefault="007537A7" w:rsidP="00AC7833">
            <w:pPr>
              <w:snapToGrid w:val="0"/>
              <w:jc w:val="both"/>
              <w:rPr>
                <w:b/>
                <w:bCs/>
                <w:color w:val="000000"/>
                <w:sz w:val="19"/>
                <w:szCs w:val="19"/>
              </w:rPr>
            </w:pPr>
            <w:r w:rsidRPr="00AC7833">
              <w:rPr>
                <w:b/>
                <w:bCs/>
                <w:color w:val="000000"/>
                <w:sz w:val="19"/>
                <w:szCs w:val="19"/>
              </w:rPr>
              <w:t>(N=30)</w:t>
            </w:r>
          </w:p>
        </w:tc>
        <w:tc>
          <w:tcPr>
            <w:tcW w:w="1307"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Control</w:t>
            </w:r>
          </w:p>
          <w:p w:rsidR="007537A7" w:rsidRPr="00AC7833" w:rsidRDefault="007537A7" w:rsidP="00AC7833">
            <w:pPr>
              <w:snapToGrid w:val="0"/>
              <w:jc w:val="both"/>
              <w:rPr>
                <w:b/>
                <w:bCs/>
                <w:color w:val="000000"/>
                <w:sz w:val="19"/>
                <w:szCs w:val="19"/>
              </w:rPr>
            </w:pPr>
            <w:r w:rsidRPr="00AC7833">
              <w:rPr>
                <w:b/>
                <w:bCs/>
                <w:color w:val="000000"/>
                <w:sz w:val="19"/>
                <w:szCs w:val="19"/>
              </w:rPr>
              <w:t>N=30)</w:t>
            </w:r>
          </w:p>
        </w:tc>
        <w:tc>
          <w:tcPr>
            <w:tcW w:w="925"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#P</w:t>
            </w:r>
          </w:p>
        </w:tc>
      </w:tr>
      <w:tr w:rsidR="007537A7" w:rsidRPr="00AC7833" w:rsidTr="00AC7833">
        <w:trPr>
          <w:jc w:val="center"/>
        </w:trPr>
        <w:tc>
          <w:tcPr>
            <w:tcW w:w="1461" w:type="pct"/>
            <w:noWrap/>
            <w:vAlign w:val="center"/>
          </w:tcPr>
          <w:p w:rsidR="007537A7" w:rsidRPr="00AC7833" w:rsidRDefault="007537A7" w:rsidP="00AC7833">
            <w:pPr>
              <w:snapToGrid w:val="0"/>
              <w:jc w:val="both"/>
              <w:rPr>
                <w:color w:val="000000"/>
                <w:sz w:val="19"/>
                <w:szCs w:val="19"/>
              </w:rPr>
            </w:pPr>
            <w:r w:rsidRPr="00AC7833">
              <w:rPr>
                <w:color w:val="000000"/>
                <w:sz w:val="19"/>
                <w:szCs w:val="19"/>
              </w:rPr>
              <w:t>Ovulation</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14 (46.7%)</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9 (30.0%)</w:t>
            </w:r>
          </w:p>
        </w:tc>
        <w:tc>
          <w:tcPr>
            <w:tcW w:w="925" w:type="pct"/>
            <w:noWrap/>
            <w:vAlign w:val="center"/>
          </w:tcPr>
          <w:p w:rsidR="007537A7" w:rsidRPr="00AC7833" w:rsidRDefault="007537A7" w:rsidP="00AC7833">
            <w:pPr>
              <w:snapToGrid w:val="0"/>
              <w:jc w:val="both"/>
              <w:rPr>
                <w:color w:val="000000"/>
                <w:sz w:val="19"/>
                <w:szCs w:val="19"/>
              </w:rPr>
            </w:pPr>
            <w:r w:rsidRPr="00AC7833">
              <w:rPr>
                <w:color w:val="000000"/>
                <w:sz w:val="19"/>
                <w:szCs w:val="19"/>
              </w:rPr>
              <w:t>0.184</w:t>
            </w:r>
          </w:p>
        </w:tc>
      </w:tr>
      <w:tr w:rsidR="007537A7" w:rsidRPr="00AC7833" w:rsidTr="00AC7833">
        <w:trPr>
          <w:jc w:val="center"/>
        </w:trPr>
        <w:tc>
          <w:tcPr>
            <w:tcW w:w="5000" w:type="pct"/>
            <w:gridSpan w:val="6"/>
            <w:noWrap/>
            <w:vAlign w:val="center"/>
          </w:tcPr>
          <w:p w:rsidR="007537A7" w:rsidRPr="00AC7833" w:rsidRDefault="007537A7" w:rsidP="00AC7833">
            <w:pPr>
              <w:snapToGrid w:val="0"/>
              <w:jc w:val="both"/>
              <w:rPr>
                <w:color w:val="000000"/>
                <w:sz w:val="19"/>
                <w:szCs w:val="19"/>
              </w:rPr>
            </w:pPr>
            <w:r w:rsidRPr="00AC7833">
              <w:rPr>
                <w:color w:val="000000"/>
                <w:sz w:val="19"/>
                <w:szCs w:val="19"/>
              </w:rPr>
              <w:t>Efficacy of Stair-step in increasing Ovulation</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Items</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Value</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95% CI</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Rate in study group</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46.7%</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32.8–59.1%</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Rate in control group</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30.0%</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17.6%–43.9%</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Rate elevation</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16.7%</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-11.1%–41.5%</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Relative Rate</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1.555</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0.748–3.365</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Number needed to treat</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6.0</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2.4–&gt;100.0</w:t>
            </w:r>
          </w:p>
        </w:tc>
      </w:tr>
    </w:tbl>
    <w:p w:rsidR="007537A7" w:rsidRPr="00AC7833" w:rsidRDefault="007537A7" w:rsidP="00AC7833">
      <w:pPr>
        <w:snapToGrid w:val="0"/>
        <w:jc w:val="both"/>
        <w:rPr>
          <w:sz w:val="19"/>
          <w:szCs w:val="19"/>
        </w:rPr>
      </w:pPr>
      <w:r w:rsidRPr="00AC7833">
        <w:rPr>
          <w:sz w:val="19"/>
          <w:szCs w:val="19"/>
        </w:rPr>
        <w:t xml:space="preserve">#Chi square test, *Significant, </w:t>
      </w:r>
      <w:r w:rsidRPr="00AC7833">
        <w:rPr>
          <w:b/>
          <w:bCs/>
          <w:sz w:val="19"/>
          <w:szCs w:val="19"/>
        </w:rPr>
        <w:t xml:space="preserve">CI: </w:t>
      </w:r>
      <w:r w:rsidRPr="00AC7833">
        <w:rPr>
          <w:sz w:val="19"/>
          <w:szCs w:val="19"/>
        </w:rPr>
        <w:t>Confidence interval</w:t>
      </w:r>
    </w:p>
    <w:p w:rsidR="00240DA3" w:rsidRPr="00AC7833" w:rsidRDefault="00240DA3" w:rsidP="00AC7833">
      <w:pPr>
        <w:snapToGrid w:val="0"/>
        <w:jc w:val="center"/>
        <w:rPr>
          <w:b/>
          <w:bCs/>
          <w:sz w:val="19"/>
          <w:szCs w:val="19"/>
        </w:rPr>
      </w:pPr>
    </w:p>
    <w:p w:rsidR="007537A7" w:rsidRPr="00AC7833" w:rsidRDefault="007537A7" w:rsidP="00AC7833">
      <w:pPr>
        <w:snapToGrid w:val="0"/>
        <w:jc w:val="center"/>
        <w:rPr>
          <w:sz w:val="19"/>
          <w:szCs w:val="19"/>
        </w:rPr>
      </w:pPr>
      <w:r w:rsidRPr="00AC7833">
        <w:rPr>
          <w:b/>
          <w:bCs/>
          <w:sz w:val="19"/>
          <w:szCs w:val="19"/>
        </w:rPr>
        <w:t xml:space="preserve">Table (2): </w:t>
      </w:r>
      <w:r w:rsidRPr="00AC7833">
        <w:rPr>
          <w:sz w:val="19"/>
          <w:szCs w:val="19"/>
        </w:rPr>
        <w:t>Pregnancy among the studied groups.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798"/>
        <w:gridCol w:w="2225"/>
        <w:gridCol w:w="278"/>
        <w:gridCol w:w="1576"/>
        <w:gridCol w:w="927"/>
        <w:gridCol w:w="1772"/>
      </w:tblGrid>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Measures</w:t>
            </w:r>
          </w:p>
        </w:tc>
        <w:tc>
          <w:tcPr>
            <w:tcW w:w="1307"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Study</w:t>
            </w:r>
          </w:p>
          <w:p w:rsidR="007537A7" w:rsidRPr="00AC7833" w:rsidRDefault="007537A7" w:rsidP="00AC7833">
            <w:pPr>
              <w:snapToGrid w:val="0"/>
              <w:jc w:val="both"/>
              <w:rPr>
                <w:b/>
                <w:bCs/>
                <w:color w:val="000000"/>
                <w:sz w:val="19"/>
                <w:szCs w:val="19"/>
              </w:rPr>
            </w:pPr>
            <w:r w:rsidRPr="00AC7833">
              <w:rPr>
                <w:b/>
                <w:bCs/>
                <w:color w:val="000000"/>
                <w:sz w:val="19"/>
                <w:szCs w:val="19"/>
              </w:rPr>
              <w:t>(N=50)</w:t>
            </w:r>
          </w:p>
        </w:tc>
        <w:tc>
          <w:tcPr>
            <w:tcW w:w="1307"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Control</w:t>
            </w:r>
          </w:p>
          <w:p w:rsidR="007537A7" w:rsidRPr="00AC7833" w:rsidRDefault="007537A7" w:rsidP="00AC7833">
            <w:pPr>
              <w:snapToGrid w:val="0"/>
              <w:jc w:val="both"/>
              <w:rPr>
                <w:b/>
                <w:bCs/>
                <w:color w:val="000000"/>
                <w:sz w:val="19"/>
                <w:szCs w:val="19"/>
              </w:rPr>
            </w:pPr>
            <w:r w:rsidRPr="00AC7833">
              <w:rPr>
                <w:b/>
                <w:bCs/>
                <w:color w:val="000000"/>
                <w:sz w:val="19"/>
                <w:szCs w:val="19"/>
              </w:rPr>
              <w:t>(N=50)</w:t>
            </w:r>
          </w:p>
        </w:tc>
        <w:tc>
          <w:tcPr>
            <w:tcW w:w="925"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#P</w:t>
            </w:r>
          </w:p>
        </w:tc>
      </w:tr>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Present</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6 (20.0%)</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2 (6.7%)</w:t>
            </w:r>
          </w:p>
        </w:tc>
        <w:tc>
          <w:tcPr>
            <w:tcW w:w="925" w:type="pct"/>
            <w:noWrap/>
            <w:vAlign w:val="center"/>
          </w:tcPr>
          <w:p w:rsidR="007537A7" w:rsidRPr="00AC7833" w:rsidRDefault="007537A7" w:rsidP="00AC7833">
            <w:pPr>
              <w:snapToGrid w:val="0"/>
              <w:jc w:val="both"/>
              <w:rPr>
                <w:color w:val="000000"/>
                <w:sz w:val="19"/>
                <w:szCs w:val="19"/>
              </w:rPr>
            </w:pPr>
            <w:r w:rsidRPr="00AC7833">
              <w:rPr>
                <w:color w:val="000000"/>
                <w:sz w:val="19"/>
                <w:szCs w:val="19"/>
              </w:rPr>
              <w:t>0.129</w:t>
            </w:r>
          </w:p>
        </w:tc>
      </w:tr>
      <w:tr w:rsidR="007537A7" w:rsidRPr="00AC7833" w:rsidTr="00AC7833">
        <w:trPr>
          <w:jc w:val="center"/>
        </w:trPr>
        <w:tc>
          <w:tcPr>
            <w:tcW w:w="5000" w:type="pct"/>
            <w:gridSpan w:val="6"/>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Efficacy of Stair-step in increasing pregnancy</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Items</w:t>
            </w:r>
          </w:p>
        </w:tc>
        <w:tc>
          <w:tcPr>
            <w:tcW w:w="968"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Value</w:t>
            </w:r>
          </w:p>
        </w:tc>
        <w:tc>
          <w:tcPr>
            <w:tcW w:w="1409"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95% CI</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Rate in study group</w:t>
            </w:r>
          </w:p>
        </w:tc>
        <w:tc>
          <w:tcPr>
            <w:tcW w:w="968" w:type="pct"/>
            <w:gridSpan w:val="2"/>
            <w:noWrap/>
            <w:vAlign w:val="center"/>
          </w:tcPr>
          <w:p w:rsidR="007537A7" w:rsidRPr="00AC7833" w:rsidRDefault="007537A7" w:rsidP="00AC7833">
            <w:pPr>
              <w:snapToGrid w:val="0"/>
              <w:jc w:val="both"/>
              <w:rPr>
                <w:b/>
                <w:bCs/>
                <w:color w:val="000000"/>
                <w:sz w:val="19"/>
                <w:szCs w:val="19"/>
              </w:rPr>
            </w:pPr>
            <w:r w:rsidRPr="00AC7833">
              <w:rPr>
                <w:color w:val="000000"/>
                <w:sz w:val="19"/>
                <w:szCs w:val="19"/>
              </w:rPr>
              <w:t>20.0%</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14.6%–32.4%</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Rate in control group</w:t>
            </w:r>
          </w:p>
        </w:tc>
        <w:tc>
          <w:tcPr>
            <w:tcW w:w="968" w:type="pct"/>
            <w:gridSpan w:val="2"/>
            <w:noWrap/>
            <w:vAlign w:val="center"/>
          </w:tcPr>
          <w:p w:rsidR="007537A7" w:rsidRPr="00AC7833" w:rsidRDefault="007537A7" w:rsidP="00AC7833">
            <w:pPr>
              <w:snapToGrid w:val="0"/>
              <w:jc w:val="both"/>
              <w:rPr>
                <w:b/>
                <w:bCs/>
                <w:color w:val="000000"/>
                <w:sz w:val="19"/>
                <w:szCs w:val="19"/>
              </w:rPr>
            </w:pPr>
            <w:r w:rsidRPr="00AC7833">
              <w:rPr>
                <w:color w:val="000000"/>
                <w:sz w:val="19"/>
                <w:szCs w:val="19"/>
              </w:rPr>
              <w:t>6.7%</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1.2%–%19.1%</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Rate elevation</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13.3%</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-6.7%–24.3%</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Relative Rate</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3.000</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0.598–21.073</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Number needed to treat</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7.5</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4.1–&gt;100.0</w:t>
            </w:r>
          </w:p>
        </w:tc>
      </w:tr>
    </w:tbl>
    <w:p w:rsidR="007537A7" w:rsidRPr="00AC7833" w:rsidRDefault="007537A7" w:rsidP="00AC7833">
      <w:pPr>
        <w:snapToGrid w:val="0"/>
        <w:jc w:val="both"/>
        <w:rPr>
          <w:sz w:val="19"/>
          <w:szCs w:val="19"/>
        </w:rPr>
      </w:pPr>
      <w:r w:rsidRPr="00AC7833">
        <w:rPr>
          <w:sz w:val="19"/>
          <w:szCs w:val="19"/>
        </w:rPr>
        <w:t xml:space="preserve">#Chi square test, *Significant, </w:t>
      </w:r>
      <w:r w:rsidRPr="00AC7833">
        <w:rPr>
          <w:b/>
          <w:bCs/>
          <w:sz w:val="19"/>
          <w:szCs w:val="19"/>
        </w:rPr>
        <w:t xml:space="preserve">CI: </w:t>
      </w:r>
      <w:r w:rsidRPr="00AC7833">
        <w:rPr>
          <w:sz w:val="19"/>
          <w:szCs w:val="19"/>
        </w:rPr>
        <w:t>Confidence interval</w:t>
      </w:r>
    </w:p>
    <w:p w:rsidR="00240DA3" w:rsidRPr="00AC7833" w:rsidRDefault="00240DA3" w:rsidP="00AC7833">
      <w:pPr>
        <w:snapToGrid w:val="0"/>
        <w:jc w:val="center"/>
        <w:rPr>
          <w:b/>
          <w:bCs/>
          <w:sz w:val="19"/>
          <w:szCs w:val="19"/>
        </w:rPr>
      </w:pPr>
    </w:p>
    <w:p w:rsidR="007537A7" w:rsidRPr="00AC7833" w:rsidRDefault="007537A7" w:rsidP="00AC7833">
      <w:pPr>
        <w:snapToGrid w:val="0"/>
        <w:jc w:val="center"/>
        <w:rPr>
          <w:sz w:val="19"/>
          <w:szCs w:val="19"/>
        </w:rPr>
      </w:pPr>
      <w:r w:rsidRPr="00AC7833">
        <w:rPr>
          <w:b/>
          <w:bCs/>
          <w:sz w:val="19"/>
          <w:szCs w:val="19"/>
        </w:rPr>
        <w:t xml:space="preserve">Table (3): </w:t>
      </w:r>
      <w:r w:rsidRPr="00AC7833">
        <w:rPr>
          <w:sz w:val="19"/>
          <w:szCs w:val="19"/>
        </w:rPr>
        <w:t>Endometrial thickness (mm) among the studied groups.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798"/>
        <w:gridCol w:w="2225"/>
        <w:gridCol w:w="278"/>
        <w:gridCol w:w="1576"/>
        <w:gridCol w:w="927"/>
        <w:gridCol w:w="1772"/>
      </w:tblGrid>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Measures</w:t>
            </w:r>
          </w:p>
        </w:tc>
        <w:tc>
          <w:tcPr>
            <w:tcW w:w="1307"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Stair-step</w:t>
            </w:r>
          </w:p>
          <w:p w:rsidR="007537A7" w:rsidRPr="00AC7833" w:rsidRDefault="007537A7" w:rsidP="00AC7833">
            <w:pPr>
              <w:snapToGrid w:val="0"/>
              <w:jc w:val="both"/>
              <w:rPr>
                <w:b/>
                <w:bCs/>
                <w:color w:val="000000"/>
                <w:sz w:val="19"/>
                <w:szCs w:val="19"/>
              </w:rPr>
            </w:pPr>
            <w:r w:rsidRPr="00AC7833">
              <w:rPr>
                <w:b/>
                <w:bCs/>
                <w:color w:val="000000"/>
                <w:sz w:val="19"/>
                <w:szCs w:val="19"/>
              </w:rPr>
              <w:t>(N=30)</w:t>
            </w:r>
          </w:p>
        </w:tc>
        <w:tc>
          <w:tcPr>
            <w:tcW w:w="1307"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Control</w:t>
            </w:r>
          </w:p>
          <w:p w:rsidR="007537A7" w:rsidRPr="00AC7833" w:rsidRDefault="007537A7" w:rsidP="00AC7833">
            <w:pPr>
              <w:snapToGrid w:val="0"/>
              <w:jc w:val="both"/>
              <w:rPr>
                <w:b/>
                <w:bCs/>
                <w:color w:val="000000"/>
                <w:sz w:val="19"/>
                <w:szCs w:val="19"/>
              </w:rPr>
            </w:pPr>
            <w:r w:rsidRPr="00AC7833">
              <w:rPr>
                <w:b/>
                <w:bCs/>
                <w:color w:val="000000"/>
                <w:sz w:val="19"/>
                <w:szCs w:val="19"/>
              </w:rPr>
              <w:t>(N=30)</w:t>
            </w:r>
          </w:p>
        </w:tc>
        <w:tc>
          <w:tcPr>
            <w:tcW w:w="925" w:type="pct"/>
            <w:noWrap/>
            <w:vAlign w:val="center"/>
          </w:tcPr>
          <w:p w:rsidR="007537A7" w:rsidRPr="00AC7833" w:rsidRDefault="007537A7" w:rsidP="00AC7833">
            <w:pPr>
              <w:snapToGrid w:val="0"/>
              <w:jc w:val="both"/>
              <w:rPr>
                <w:color w:val="000000"/>
                <w:sz w:val="19"/>
                <w:szCs w:val="19"/>
              </w:rPr>
            </w:pPr>
            <w:r w:rsidRPr="00AC7833">
              <w:rPr>
                <w:color w:val="000000"/>
                <w:sz w:val="19"/>
                <w:szCs w:val="19"/>
              </w:rPr>
              <w:t>^</w:t>
            </w:r>
            <w:r w:rsidRPr="00AC7833">
              <w:rPr>
                <w:b/>
                <w:bCs/>
                <w:color w:val="000000"/>
                <w:sz w:val="19"/>
                <w:szCs w:val="19"/>
              </w:rPr>
              <w:t>P</w:t>
            </w:r>
          </w:p>
        </w:tc>
      </w:tr>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proofErr w:type="spellStart"/>
            <w:r w:rsidRPr="00AC7833">
              <w:rPr>
                <w:b/>
                <w:bCs/>
                <w:color w:val="000000"/>
                <w:sz w:val="19"/>
                <w:szCs w:val="19"/>
              </w:rPr>
              <w:t>Mean±SD</w:t>
            </w:r>
            <w:proofErr w:type="spellEnd"/>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7.9±2.0</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8.9±2.7</w:t>
            </w:r>
          </w:p>
        </w:tc>
        <w:tc>
          <w:tcPr>
            <w:tcW w:w="925" w:type="pct"/>
            <w:vMerge w:val="restart"/>
            <w:noWrap/>
            <w:vAlign w:val="center"/>
          </w:tcPr>
          <w:p w:rsidR="007537A7" w:rsidRPr="00AC7833" w:rsidRDefault="007537A7" w:rsidP="00AC7833">
            <w:pPr>
              <w:snapToGrid w:val="0"/>
              <w:jc w:val="both"/>
              <w:rPr>
                <w:color w:val="000000"/>
                <w:sz w:val="19"/>
                <w:szCs w:val="19"/>
              </w:rPr>
            </w:pPr>
            <w:r w:rsidRPr="00AC7833">
              <w:rPr>
                <w:color w:val="000000"/>
                <w:sz w:val="19"/>
                <w:szCs w:val="19"/>
              </w:rPr>
              <w:t>0.124</w:t>
            </w:r>
          </w:p>
        </w:tc>
      </w:tr>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Range</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5.0–13.0</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3.0–14.0</w:t>
            </w:r>
          </w:p>
        </w:tc>
        <w:tc>
          <w:tcPr>
            <w:tcW w:w="925" w:type="pct"/>
            <w:vMerge/>
            <w:vAlign w:val="center"/>
          </w:tcPr>
          <w:p w:rsidR="007537A7" w:rsidRPr="00AC7833" w:rsidRDefault="007537A7" w:rsidP="00AC7833">
            <w:pPr>
              <w:snapToGrid w:val="0"/>
              <w:jc w:val="both"/>
              <w:rPr>
                <w:color w:val="000000"/>
                <w:sz w:val="19"/>
                <w:szCs w:val="19"/>
              </w:rPr>
            </w:pPr>
          </w:p>
        </w:tc>
      </w:tr>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95% CI</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7.2–8.6</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7.9–9.8</w:t>
            </w:r>
          </w:p>
        </w:tc>
        <w:tc>
          <w:tcPr>
            <w:tcW w:w="925" w:type="pct"/>
            <w:vMerge/>
            <w:vAlign w:val="center"/>
          </w:tcPr>
          <w:p w:rsidR="007537A7" w:rsidRPr="00AC7833" w:rsidRDefault="007537A7" w:rsidP="00AC7833">
            <w:pPr>
              <w:snapToGrid w:val="0"/>
              <w:jc w:val="both"/>
              <w:rPr>
                <w:color w:val="000000"/>
                <w:sz w:val="19"/>
                <w:szCs w:val="19"/>
              </w:rPr>
            </w:pPr>
          </w:p>
        </w:tc>
      </w:tr>
      <w:tr w:rsidR="007537A7" w:rsidRPr="00AC7833" w:rsidTr="00AC7833">
        <w:trPr>
          <w:jc w:val="center"/>
        </w:trPr>
        <w:tc>
          <w:tcPr>
            <w:tcW w:w="5000" w:type="pct"/>
            <w:gridSpan w:val="6"/>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Efficacy of Stair-step in reducing ET</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ET</w:t>
            </w:r>
          </w:p>
        </w:tc>
        <w:tc>
          <w:tcPr>
            <w:tcW w:w="968" w:type="pct"/>
            <w:gridSpan w:val="2"/>
            <w:noWrap/>
            <w:vAlign w:val="center"/>
          </w:tcPr>
          <w:p w:rsidR="007537A7" w:rsidRPr="00AC7833" w:rsidRDefault="007537A7" w:rsidP="00AC7833">
            <w:pPr>
              <w:snapToGrid w:val="0"/>
              <w:jc w:val="both"/>
              <w:rPr>
                <w:b/>
                <w:bCs/>
                <w:color w:val="000000"/>
                <w:sz w:val="19"/>
                <w:szCs w:val="19"/>
              </w:rPr>
            </w:pPr>
            <w:proofErr w:type="spellStart"/>
            <w:r w:rsidRPr="00AC7833">
              <w:rPr>
                <w:b/>
                <w:bCs/>
                <w:color w:val="000000"/>
                <w:sz w:val="19"/>
                <w:szCs w:val="19"/>
              </w:rPr>
              <w:t>Mean±SE</w:t>
            </w:r>
            <w:proofErr w:type="spellEnd"/>
          </w:p>
        </w:tc>
        <w:tc>
          <w:tcPr>
            <w:tcW w:w="1409"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95% CI</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ET reduction</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0.9±0.6</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2.2–0.3</w:t>
            </w:r>
          </w:p>
        </w:tc>
      </w:tr>
    </w:tbl>
    <w:p w:rsidR="007537A7" w:rsidRPr="00AC7833" w:rsidRDefault="007537A7" w:rsidP="00AC7833">
      <w:pPr>
        <w:snapToGrid w:val="0"/>
        <w:jc w:val="both"/>
        <w:rPr>
          <w:sz w:val="19"/>
          <w:szCs w:val="19"/>
        </w:rPr>
      </w:pPr>
      <w:r w:rsidRPr="00AC7833">
        <w:rPr>
          <w:sz w:val="19"/>
          <w:szCs w:val="19"/>
        </w:rPr>
        <w:t xml:space="preserve">^Independent t-test, *Significant, </w:t>
      </w:r>
      <w:r w:rsidRPr="00AC7833">
        <w:rPr>
          <w:b/>
          <w:bCs/>
          <w:sz w:val="19"/>
          <w:szCs w:val="19"/>
        </w:rPr>
        <w:t xml:space="preserve">CI: </w:t>
      </w:r>
      <w:r w:rsidRPr="00AC7833">
        <w:rPr>
          <w:sz w:val="19"/>
          <w:szCs w:val="19"/>
        </w:rPr>
        <w:t>Confidence interval</w:t>
      </w:r>
    </w:p>
    <w:p w:rsidR="00240DA3" w:rsidRPr="00AC7833" w:rsidRDefault="00240DA3" w:rsidP="00AC7833">
      <w:pPr>
        <w:snapToGrid w:val="0"/>
        <w:jc w:val="center"/>
        <w:rPr>
          <w:b/>
          <w:bCs/>
          <w:sz w:val="19"/>
          <w:szCs w:val="19"/>
        </w:rPr>
      </w:pPr>
    </w:p>
    <w:p w:rsidR="007537A7" w:rsidRPr="00AC7833" w:rsidRDefault="007537A7" w:rsidP="00AC7833">
      <w:pPr>
        <w:snapToGrid w:val="0"/>
        <w:jc w:val="center"/>
        <w:rPr>
          <w:sz w:val="19"/>
          <w:szCs w:val="19"/>
        </w:rPr>
      </w:pPr>
      <w:r w:rsidRPr="00AC7833">
        <w:rPr>
          <w:b/>
          <w:bCs/>
          <w:sz w:val="19"/>
          <w:szCs w:val="19"/>
        </w:rPr>
        <w:t xml:space="preserve">Table (4): </w:t>
      </w:r>
      <w:proofErr w:type="spellStart"/>
      <w:r w:rsidRPr="00AC7833">
        <w:rPr>
          <w:sz w:val="19"/>
          <w:szCs w:val="19"/>
        </w:rPr>
        <w:t>Durationm</w:t>
      </w:r>
      <w:proofErr w:type="spellEnd"/>
      <w:r w:rsidRPr="00AC7833">
        <w:rPr>
          <w:sz w:val="19"/>
          <w:szCs w:val="19"/>
        </w:rPr>
        <w:t xml:space="preserve"> of treatment (days) among the studied groups.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798"/>
        <w:gridCol w:w="2225"/>
        <w:gridCol w:w="278"/>
        <w:gridCol w:w="1576"/>
        <w:gridCol w:w="927"/>
        <w:gridCol w:w="1772"/>
      </w:tblGrid>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Measures</w:t>
            </w:r>
          </w:p>
        </w:tc>
        <w:tc>
          <w:tcPr>
            <w:tcW w:w="1307"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Stair-step</w:t>
            </w:r>
          </w:p>
          <w:p w:rsidR="007537A7" w:rsidRPr="00AC7833" w:rsidRDefault="007537A7" w:rsidP="00AC7833">
            <w:pPr>
              <w:snapToGrid w:val="0"/>
              <w:jc w:val="both"/>
              <w:rPr>
                <w:b/>
                <w:bCs/>
                <w:color w:val="000000"/>
                <w:sz w:val="19"/>
                <w:szCs w:val="19"/>
              </w:rPr>
            </w:pPr>
            <w:r w:rsidRPr="00AC7833">
              <w:rPr>
                <w:b/>
                <w:bCs/>
                <w:color w:val="000000"/>
                <w:sz w:val="19"/>
                <w:szCs w:val="19"/>
              </w:rPr>
              <w:t>(N=30)</w:t>
            </w:r>
          </w:p>
        </w:tc>
        <w:tc>
          <w:tcPr>
            <w:tcW w:w="1307"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Control</w:t>
            </w:r>
          </w:p>
          <w:p w:rsidR="007537A7" w:rsidRPr="00AC7833" w:rsidRDefault="007537A7" w:rsidP="00AC7833">
            <w:pPr>
              <w:snapToGrid w:val="0"/>
              <w:jc w:val="both"/>
              <w:rPr>
                <w:b/>
                <w:bCs/>
                <w:color w:val="000000"/>
                <w:sz w:val="19"/>
                <w:szCs w:val="19"/>
              </w:rPr>
            </w:pPr>
            <w:r w:rsidRPr="00AC7833">
              <w:rPr>
                <w:b/>
                <w:bCs/>
                <w:color w:val="000000"/>
                <w:sz w:val="19"/>
                <w:szCs w:val="19"/>
              </w:rPr>
              <w:t>(N=30)</w:t>
            </w:r>
          </w:p>
        </w:tc>
        <w:tc>
          <w:tcPr>
            <w:tcW w:w="925" w:type="pct"/>
            <w:noWrap/>
            <w:vAlign w:val="center"/>
          </w:tcPr>
          <w:p w:rsidR="007537A7" w:rsidRPr="00AC7833" w:rsidRDefault="007537A7" w:rsidP="00AC7833">
            <w:pPr>
              <w:snapToGrid w:val="0"/>
              <w:jc w:val="both"/>
              <w:rPr>
                <w:color w:val="000000"/>
                <w:sz w:val="19"/>
                <w:szCs w:val="19"/>
              </w:rPr>
            </w:pPr>
            <w:r w:rsidRPr="00AC7833">
              <w:rPr>
                <w:color w:val="000000"/>
                <w:sz w:val="19"/>
                <w:szCs w:val="19"/>
              </w:rPr>
              <w:t>^</w:t>
            </w:r>
            <w:r w:rsidRPr="00AC7833">
              <w:rPr>
                <w:b/>
                <w:bCs/>
                <w:color w:val="000000"/>
                <w:sz w:val="19"/>
                <w:szCs w:val="19"/>
              </w:rPr>
              <w:t>P</w:t>
            </w:r>
          </w:p>
        </w:tc>
      </w:tr>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proofErr w:type="spellStart"/>
            <w:r w:rsidRPr="00AC7833">
              <w:rPr>
                <w:b/>
                <w:bCs/>
                <w:color w:val="000000"/>
                <w:sz w:val="19"/>
                <w:szCs w:val="19"/>
              </w:rPr>
              <w:t>Mean±SD</w:t>
            </w:r>
            <w:proofErr w:type="spellEnd"/>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19.2±3.0</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47.4±1.7</w:t>
            </w:r>
          </w:p>
        </w:tc>
        <w:tc>
          <w:tcPr>
            <w:tcW w:w="925" w:type="pct"/>
            <w:vMerge w:val="restar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&lt;0.001*</w:t>
            </w:r>
          </w:p>
        </w:tc>
      </w:tr>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Range</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13.0–24.0</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44.0–51.0</w:t>
            </w:r>
          </w:p>
        </w:tc>
        <w:tc>
          <w:tcPr>
            <w:tcW w:w="925" w:type="pct"/>
            <w:vMerge/>
            <w:vAlign w:val="center"/>
          </w:tcPr>
          <w:p w:rsidR="007537A7" w:rsidRPr="00AC7833" w:rsidRDefault="007537A7" w:rsidP="00AC7833">
            <w:pPr>
              <w:snapToGrid w:val="0"/>
              <w:jc w:val="both"/>
              <w:rPr>
                <w:b/>
                <w:bCs/>
                <w:color w:val="000000"/>
                <w:sz w:val="19"/>
                <w:szCs w:val="19"/>
              </w:rPr>
            </w:pPr>
          </w:p>
        </w:tc>
      </w:tr>
      <w:tr w:rsidR="007537A7" w:rsidRPr="00AC7833" w:rsidTr="00AC7833">
        <w:trPr>
          <w:jc w:val="center"/>
        </w:trPr>
        <w:tc>
          <w:tcPr>
            <w:tcW w:w="1461" w:type="pct"/>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95% CI</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18.1–20.3</w:t>
            </w:r>
          </w:p>
        </w:tc>
        <w:tc>
          <w:tcPr>
            <w:tcW w:w="1307"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46.7–48.0</w:t>
            </w:r>
          </w:p>
        </w:tc>
        <w:tc>
          <w:tcPr>
            <w:tcW w:w="925" w:type="pct"/>
            <w:vMerge/>
            <w:vAlign w:val="center"/>
          </w:tcPr>
          <w:p w:rsidR="007537A7" w:rsidRPr="00AC7833" w:rsidRDefault="007537A7" w:rsidP="00AC7833">
            <w:pPr>
              <w:snapToGrid w:val="0"/>
              <w:jc w:val="both"/>
              <w:rPr>
                <w:b/>
                <w:bCs/>
                <w:color w:val="000000"/>
                <w:sz w:val="19"/>
                <w:szCs w:val="19"/>
              </w:rPr>
            </w:pPr>
          </w:p>
        </w:tc>
      </w:tr>
      <w:tr w:rsidR="007537A7" w:rsidRPr="00AC7833" w:rsidTr="00AC7833">
        <w:trPr>
          <w:jc w:val="center"/>
        </w:trPr>
        <w:tc>
          <w:tcPr>
            <w:tcW w:w="5000" w:type="pct"/>
            <w:gridSpan w:val="6"/>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Efficacy of Stair-step in reducing duration</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Items</w:t>
            </w:r>
          </w:p>
        </w:tc>
        <w:tc>
          <w:tcPr>
            <w:tcW w:w="968" w:type="pct"/>
            <w:gridSpan w:val="2"/>
            <w:noWrap/>
            <w:vAlign w:val="center"/>
          </w:tcPr>
          <w:p w:rsidR="007537A7" w:rsidRPr="00AC7833" w:rsidRDefault="007537A7" w:rsidP="00AC7833">
            <w:pPr>
              <w:snapToGrid w:val="0"/>
              <w:jc w:val="both"/>
              <w:rPr>
                <w:b/>
                <w:bCs/>
                <w:color w:val="000000"/>
                <w:sz w:val="19"/>
                <w:szCs w:val="19"/>
              </w:rPr>
            </w:pPr>
            <w:proofErr w:type="spellStart"/>
            <w:r w:rsidRPr="00AC7833">
              <w:rPr>
                <w:b/>
                <w:bCs/>
                <w:color w:val="000000"/>
                <w:sz w:val="19"/>
                <w:szCs w:val="19"/>
              </w:rPr>
              <w:t>Mean±SE</w:t>
            </w:r>
            <w:proofErr w:type="spellEnd"/>
          </w:p>
        </w:tc>
        <w:tc>
          <w:tcPr>
            <w:tcW w:w="1409"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95% CI</w:t>
            </w:r>
          </w:p>
        </w:tc>
      </w:tr>
      <w:tr w:rsidR="007537A7" w:rsidRPr="00AC7833" w:rsidTr="00AC7833">
        <w:trPr>
          <w:jc w:val="center"/>
        </w:trPr>
        <w:tc>
          <w:tcPr>
            <w:tcW w:w="2623" w:type="pct"/>
            <w:gridSpan w:val="2"/>
            <w:noWrap/>
            <w:vAlign w:val="center"/>
          </w:tcPr>
          <w:p w:rsidR="007537A7" w:rsidRPr="00AC7833" w:rsidRDefault="007537A7" w:rsidP="00AC7833">
            <w:pPr>
              <w:snapToGrid w:val="0"/>
              <w:jc w:val="both"/>
              <w:rPr>
                <w:b/>
                <w:bCs/>
                <w:color w:val="000000"/>
                <w:sz w:val="19"/>
                <w:szCs w:val="19"/>
              </w:rPr>
            </w:pPr>
            <w:r w:rsidRPr="00AC7833">
              <w:rPr>
                <w:b/>
                <w:bCs/>
                <w:color w:val="000000"/>
                <w:sz w:val="19"/>
                <w:szCs w:val="19"/>
              </w:rPr>
              <w:t>Duration reduction</w:t>
            </w:r>
          </w:p>
        </w:tc>
        <w:tc>
          <w:tcPr>
            <w:tcW w:w="968"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28.2±0.6</w:t>
            </w:r>
          </w:p>
        </w:tc>
        <w:tc>
          <w:tcPr>
            <w:tcW w:w="1409" w:type="pct"/>
            <w:gridSpan w:val="2"/>
            <w:noWrap/>
            <w:vAlign w:val="center"/>
          </w:tcPr>
          <w:p w:rsidR="007537A7" w:rsidRPr="00AC7833" w:rsidRDefault="007537A7" w:rsidP="00AC7833">
            <w:pPr>
              <w:snapToGrid w:val="0"/>
              <w:jc w:val="both"/>
              <w:rPr>
                <w:color w:val="000000"/>
                <w:sz w:val="19"/>
                <w:szCs w:val="19"/>
              </w:rPr>
            </w:pPr>
            <w:r w:rsidRPr="00AC7833">
              <w:rPr>
                <w:color w:val="000000"/>
                <w:sz w:val="19"/>
                <w:szCs w:val="19"/>
              </w:rPr>
              <w:t>26.9–29.4</w:t>
            </w:r>
          </w:p>
        </w:tc>
      </w:tr>
    </w:tbl>
    <w:p w:rsidR="007537A7" w:rsidRPr="00AC7833" w:rsidRDefault="007537A7" w:rsidP="00AC7833">
      <w:pPr>
        <w:snapToGrid w:val="0"/>
        <w:jc w:val="both"/>
        <w:rPr>
          <w:sz w:val="19"/>
          <w:szCs w:val="19"/>
        </w:rPr>
      </w:pPr>
      <w:r w:rsidRPr="00AC7833">
        <w:rPr>
          <w:sz w:val="19"/>
          <w:szCs w:val="19"/>
        </w:rPr>
        <w:t xml:space="preserve">^Independent t-test, *Significant, </w:t>
      </w:r>
      <w:r w:rsidRPr="00AC7833">
        <w:rPr>
          <w:b/>
          <w:bCs/>
          <w:sz w:val="19"/>
          <w:szCs w:val="19"/>
        </w:rPr>
        <w:t xml:space="preserve">CI: </w:t>
      </w:r>
      <w:r w:rsidRPr="00AC7833">
        <w:rPr>
          <w:sz w:val="19"/>
          <w:szCs w:val="19"/>
        </w:rPr>
        <w:t>Confidence interval</w:t>
      </w:r>
    </w:p>
    <w:p w:rsidR="00AC7833" w:rsidRDefault="00AC7833" w:rsidP="00AC7833">
      <w:pPr>
        <w:snapToGrid w:val="0"/>
        <w:jc w:val="both"/>
        <w:rPr>
          <w:rFonts w:hint="eastAsia"/>
          <w:b/>
          <w:bCs/>
          <w:sz w:val="20"/>
          <w:szCs w:val="20"/>
          <w:lang w:eastAsia="zh-CN"/>
        </w:rPr>
      </w:pPr>
    </w:p>
    <w:p w:rsidR="00743061" w:rsidRDefault="00743061" w:rsidP="00AC7833">
      <w:pPr>
        <w:snapToGrid w:val="0"/>
        <w:jc w:val="both"/>
        <w:rPr>
          <w:rFonts w:hint="eastAsia"/>
          <w:b/>
          <w:bCs/>
          <w:sz w:val="20"/>
          <w:szCs w:val="20"/>
          <w:lang w:eastAsia="zh-CN"/>
        </w:rPr>
      </w:pPr>
    </w:p>
    <w:p w:rsidR="00AC7833" w:rsidRPr="00AC7833" w:rsidRDefault="00AC7833" w:rsidP="00AC7833">
      <w:pPr>
        <w:snapToGrid w:val="0"/>
        <w:jc w:val="both"/>
        <w:rPr>
          <w:b/>
          <w:bCs/>
          <w:sz w:val="20"/>
          <w:szCs w:val="20"/>
        </w:rPr>
        <w:sectPr w:rsidR="00AC7833" w:rsidRPr="00AC7833" w:rsidSect="00B36287">
          <w:headerReference w:type="default" r:id="rId21"/>
          <w:footerReference w:type="even" r:id="rId22"/>
          <w:footerReference w:type="default" r:id="rId23"/>
          <w:type w:val="continuous"/>
          <w:pgSz w:w="12240" w:h="15840" w:code="1"/>
          <w:pgMar w:top="1440" w:right="1440" w:bottom="1440" w:left="1440" w:header="720" w:footer="720" w:gutter="0"/>
          <w:cols w:space="720"/>
          <w:docGrid w:linePitch="360"/>
        </w:sectPr>
      </w:pPr>
    </w:p>
    <w:p w:rsidR="004B1D65" w:rsidRPr="00AC7833" w:rsidRDefault="00240DA3" w:rsidP="00AC7833">
      <w:pPr>
        <w:snapToGrid w:val="0"/>
        <w:jc w:val="both"/>
        <w:rPr>
          <w:b/>
          <w:bCs/>
          <w:i/>
          <w:iCs/>
          <w:sz w:val="20"/>
          <w:szCs w:val="20"/>
          <w:u w:val="single"/>
        </w:rPr>
      </w:pPr>
      <w:r w:rsidRPr="00AC7833">
        <w:rPr>
          <w:b/>
          <w:bCs/>
          <w:sz w:val="20"/>
          <w:szCs w:val="20"/>
        </w:rPr>
        <w:lastRenderedPageBreak/>
        <w:t xml:space="preserve">4. </w:t>
      </w:r>
      <w:r w:rsidR="004B1D65" w:rsidRPr="00AC7833">
        <w:rPr>
          <w:b/>
          <w:bCs/>
          <w:sz w:val="20"/>
          <w:szCs w:val="20"/>
        </w:rPr>
        <w:t>Discussion</w:t>
      </w:r>
    </w:p>
    <w:p w:rsidR="004B1D65" w:rsidRPr="00AC7833" w:rsidRDefault="004B1D65" w:rsidP="00AC7833">
      <w:pPr>
        <w:snapToGrid w:val="0"/>
        <w:ind w:firstLine="425"/>
        <w:jc w:val="both"/>
        <w:rPr>
          <w:sz w:val="20"/>
          <w:szCs w:val="20"/>
        </w:rPr>
      </w:pPr>
      <w:proofErr w:type="spellStart"/>
      <w:r w:rsidRPr="00AC7833">
        <w:rPr>
          <w:sz w:val="20"/>
          <w:szCs w:val="20"/>
        </w:rPr>
        <w:t>Clomiphene</w:t>
      </w:r>
      <w:proofErr w:type="spellEnd"/>
      <w:r w:rsidRPr="00AC7833">
        <w:rPr>
          <w:sz w:val="20"/>
          <w:szCs w:val="20"/>
        </w:rPr>
        <w:t xml:space="preserve"> citrate (CC) is the first drug of choice in the management of infertility in PCOS </w:t>
      </w:r>
      <w:r w:rsidRPr="00AC7833">
        <w:rPr>
          <w:b/>
          <w:bCs/>
          <w:i/>
          <w:iCs/>
          <w:sz w:val="20"/>
          <w:szCs w:val="20"/>
        </w:rPr>
        <w:t>(Thessaloniki</w:t>
      </w:r>
      <w:r w:rsidRPr="00AC7833">
        <w:rPr>
          <w:sz w:val="20"/>
          <w:szCs w:val="20"/>
        </w:rPr>
        <w:t xml:space="preserve"> </w:t>
      </w:r>
      <w:r w:rsidRPr="00AC7833">
        <w:rPr>
          <w:b/>
          <w:bCs/>
          <w:i/>
          <w:iCs/>
          <w:sz w:val="20"/>
          <w:szCs w:val="20"/>
        </w:rPr>
        <w:t>ESHRE/ASRM 2008).</w:t>
      </w:r>
      <w:r w:rsidRPr="00AC7833">
        <w:rPr>
          <w:sz w:val="20"/>
          <w:szCs w:val="20"/>
        </w:rPr>
        <w:t xml:space="preserve"> Although CC treatment is usually initiated in days 2–5 of menstruation, it may be initiated at any time in patients with </w:t>
      </w:r>
      <w:proofErr w:type="spellStart"/>
      <w:r w:rsidRPr="00AC7833">
        <w:rPr>
          <w:sz w:val="20"/>
          <w:szCs w:val="20"/>
        </w:rPr>
        <w:t>oligo</w:t>
      </w:r>
      <w:proofErr w:type="spellEnd"/>
      <w:r w:rsidRPr="00AC7833">
        <w:rPr>
          <w:sz w:val="20"/>
          <w:szCs w:val="20"/>
        </w:rPr>
        <w:t xml:space="preserve">-amenorrhea. Generally 50 mg CC for 5 days is used in the first cycle. In cases of </w:t>
      </w:r>
      <w:proofErr w:type="spellStart"/>
      <w:r w:rsidRPr="00AC7833">
        <w:rPr>
          <w:sz w:val="20"/>
          <w:szCs w:val="20"/>
        </w:rPr>
        <w:t>anovulation</w:t>
      </w:r>
      <w:proofErr w:type="spellEnd"/>
      <w:r w:rsidRPr="00AC7833">
        <w:rPr>
          <w:sz w:val="20"/>
          <w:szCs w:val="20"/>
        </w:rPr>
        <w:t xml:space="preserve">, CC dose is increased by 50 mg in the subsequent cycle. A meta-analysis has suggested that only 46 % will respond to 50 mg/day, a further 21 % will respond to 100 mg and another 8 % will ovulate with 150 mg/day </w:t>
      </w:r>
      <w:r w:rsidRPr="00AC7833">
        <w:rPr>
          <w:b/>
          <w:bCs/>
          <w:i/>
          <w:iCs/>
          <w:sz w:val="20"/>
          <w:szCs w:val="20"/>
        </w:rPr>
        <w:t>(</w:t>
      </w:r>
      <w:proofErr w:type="spellStart"/>
      <w:r w:rsidRPr="00AC7833">
        <w:rPr>
          <w:b/>
          <w:bCs/>
          <w:i/>
          <w:iCs/>
          <w:sz w:val="20"/>
          <w:szCs w:val="20"/>
        </w:rPr>
        <w:t>Rostami-Hodjegan</w:t>
      </w:r>
      <w:proofErr w:type="spellEnd"/>
      <w:r w:rsidRPr="00AC7833">
        <w:rPr>
          <w:b/>
          <w:bCs/>
          <w:i/>
          <w:iCs/>
          <w:sz w:val="20"/>
          <w:szCs w:val="20"/>
        </w:rPr>
        <w:t xml:space="preserve"> et al., 2004). </w:t>
      </w:r>
      <w:r w:rsidRPr="00AC7833">
        <w:rPr>
          <w:sz w:val="20"/>
          <w:szCs w:val="20"/>
        </w:rPr>
        <w:t xml:space="preserve">Approximately 20 %of the patients are refractory to CC regimen </w:t>
      </w:r>
      <w:r w:rsidRPr="00AC7833">
        <w:rPr>
          <w:b/>
          <w:bCs/>
          <w:i/>
          <w:iCs/>
          <w:sz w:val="20"/>
          <w:szCs w:val="20"/>
        </w:rPr>
        <w:t>(</w:t>
      </w:r>
      <w:proofErr w:type="spellStart"/>
      <w:r w:rsidRPr="00AC7833">
        <w:rPr>
          <w:b/>
          <w:bCs/>
          <w:i/>
          <w:iCs/>
          <w:sz w:val="20"/>
          <w:szCs w:val="20"/>
        </w:rPr>
        <w:t>Imani</w:t>
      </w:r>
      <w:proofErr w:type="spellEnd"/>
      <w:r w:rsidRPr="00AC7833">
        <w:rPr>
          <w:b/>
          <w:bCs/>
          <w:i/>
          <w:iCs/>
          <w:sz w:val="20"/>
          <w:szCs w:val="20"/>
        </w:rPr>
        <w:t xml:space="preserve"> et al., 2002).</w:t>
      </w:r>
      <w:r w:rsidRPr="00AC7833">
        <w:rPr>
          <w:sz w:val="20"/>
          <w:szCs w:val="20"/>
        </w:rPr>
        <w:t xml:space="preserve"> Although the maximum dose of CC is 250 mg/day, clinicians prefer not to use doses above 150 mg/day for the fear adverse effect of this large dose and these patients are regarded as CC resistant </w:t>
      </w:r>
      <w:r w:rsidRPr="00AC7833">
        <w:rPr>
          <w:b/>
          <w:bCs/>
          <w:i/>
          <w:iCs/>
          <w:sz w:val="20"/>
          <w:szCs w:val="20"/>
        </w:rPr>
        <w:t>(ACOG, 2002).</w:t>
      </w:r>
    </w:p>
    <w:p w:rsidR="004B1D65" w:rsidRPr="00AC7833" w:rsidRDefault="004B1D65" w:rsidP="00AC7833">
      <w:pPr>
        <w:snapToGrid w:val="0"/>
        <w:ind w:firstLine="425"/>
        <w:jc w:val="both"/>
        <w:rPr>
          <w:sz w:val="20"/>
          <w:szCs w:val="20"/>
        </w:rPr>
      </w:pPr>
      <w:r w:rsidRPr="00AC7833">
        <w:rPr>
          <w:sz w:val="20"/>
          <w:szCs w:val="20"/>
        </w:rPr>
        <w:t xml:space="preserve">A new protocol is the stair-step protocol in which the increasing daily CC dose is administered without intervening menses between the dosages. The potential advantage of stair-step protocol is the lack of a waiting period until the next menstruation. Potentially adverse effects of the cumulative doses in the same cycle on the </w:t>
      </w:r>
      <w:proofErr w:type="spellStart"/>
      <w:r w:rsidRPr="00AC7833">
        <w:rPr>
          <w:sz w:val="20"/>
          <w:szCs w:val="20"/>
        </w:rPr>
        <w:t>endometrium</w:t>
      </w:r>
      <w:proofErr w:type="spellEnd"/>
      <w:r w:rsidRPr="00AC7833">
        <w:rPr>
          <w:sz w:val="20"/>
          <w:szCs w:val="20"/>
        </w:rPr>
        <w:t xml:space="preserve"> and on systemic side effects may be disadvantages of stair-step protocol </w:t>
      </w:r>
      <w:r w:rsidRPr="00AC7833">
        <w:rPr>
          <w:b/>
          <w:bCs/>
          <w:i/>
          <w:iCs/>
          <w:sz w:val="20"/>
          <w:szCs w:val="20"/>
        </w:rPr>
        <w:t>(</w:t>
      </w:r>
      <w:proofErr w:type="spellStart"/>
      <w:r w:rsidRPr="00AC7833">
        <w:rPr>
          <w:b/>
          <w:bCs/>
          <w:i/>
          <w:iCs/>
          <w:sz w:val="20"/>
          <w:szCs w:val="20"/>
        </w:rPr>
        <w:t>Canan</w:t>
      </w:r>
      <w:proofErr w:type="spellEnd"/>
      <w:r w:rsidRPr="00AC7833">
        <w:rPr>
          <w:b/>
          <w:bCs/>
          <w:i/>
          <w:iCs/>
          <w:sz w:val="20"/>
          <w:szCs w:val="20"/>
        </w:rPr>
        <w:t xml:space="preserve"> et al., 2014).</w:t>
      </w:r>
    </w:p>
    <w:p w:rsidR="004B1D65" w:rsidRPr="00AC7833" w:rsidRDefault="004B1D65" w:rsidP="00AC7833">
      <w:pPr>
        <w:snapToGrid w:val="0"/>
        <w:ind w:firstLine="425"/>
        <w:jc w:val="both"/>
        <w:rPr>
          <w:sz w:val="20"/>
          <w:szCs w:val="20"/>
          <w:lang w:bidi="ar-EG"/>
        </w:rPr>
      </w:pPr>
      <w:r w:rsidRPr="00AC7833">
        <w:rPr>
          <w:sz w:val="20"/>
          <w:szCs w:val="20"/>
        </w:rPr>
        <w:t xml:space="preserve">This randomized controlled prospective study that includes 60 patients with PCOS attending the infertility clinic in Al </w:t>
      </w:r>
      <w:proofErr w:type="spellStart"/>
      <w:r w:rsidRPr="00AC7833">
        <w:rPr>
          <w:sz w:val="20"/>
          <w:szCs w:val="20"/>
        </w:rPr>
        <w:t>Maadi</w:t>
      </w:r>
      <w:proofErr w:type="spellEnd"/>
      <w:r w:rsidRPr="00AC7833">
        <w:rPr>
          <w:sz w:val="20"/>
          <w:szCs w:val="20"/>
        </w:rPr>
        <w:t xml:space="preserve"> Military Hospital, who failed to respond to 50 mg per day for 5 days were randomly allocated to the control group (n:30) and the study group(n:30).</w:t>
      </w:r>
    </w:p>
    <w:p w:rsidR="004B1D65" w:rsidRPr="00AC7833" w:rsidRDefault="004B1D65" w:rsidP="00AC7833">
      <w:pPr>
        <w:snapToGrid w:val="0"/>
        <w:ind w:firstLine="425"/>
        <w:jc w:val="both"/>
        <w:rPr>
          <w:sz w:val="20"/>
          <w:szCs w:val="20"/>
        </w:rPr>
      </w:pPr>
      <w:r w:rsidRPr="00AC7833">
        <w:rPr>
          <w:sz w:val="20"/>
          <w:szCs w:val="20"/>
        </w:rPr>
        <w:t>The results of this study indicated that the duration of treatment was significantly lower among Stair-step group than among control group (19 days versus 47days) while ovulation was non-significantly more frequent among Stair-step group than among control group (46.7% versus 30%). This was in agreement with</w:t>
      </w:r>
      <w:r w:rsidRPr="00AC7833">
        <w:rPr>
          <w:b/>
          <w:bCs/>
          <w:i/>
          <w:iCs/>
          <w:sz w:val="20"/>
          <w:szCs w:val="20"/>
        </w:rPr>
        <w:t xml:space="preserve"> Hurst et al. (2009)</w:t>
      </w:r>
      <w:r w:rsidRPr="00AC7833">
        <w:rPr>
          <w:sz w:val="20"/>
          <w:szCs w:val="20"/>
        </w:rPr>
        <w:t xml:space="preserve">, who studied </w:t>
      </w:r>
      <w:proofErr w:type="spellStart"/>
      <w:r w:rsidRPr="00AC7833">
        <w:rPr>
          <w:sz w:val="20"/>
          <w:szCs w:val="20"/>
        </w:rPr>
        <w:t>anovulatory</w:t>
      </w:r>
      <w:proofErr w:type="spellEnd"/>
      <w:r w:rsidRPr="00AC7833">
        <w:rPr>
          <w:sz w:val="20"/>
          <w:szCs w:val="20"/>
        </w:rPr>
        <w:t xml:space="preserve"> or </w:t>
      </w:r>
      <w:proofErr w:type="spellStart"/>
      <w:r w:rsidRPr="00AC7833">
        <w:rPr>
          <w:sz w:val="20"/>
          <w:szCs w:val="20"/>
        </w:rPr>
        <w:t>oligoovulatory</w:t>
      </w:r>
      <w:proofErr w:type="spellEnd"/>
      <w:r w:rsidRPr="00AC7833">
        <w:rPr>
          <w:sz w:val="20"/>
          <w:szCs w:val="20"/>
        </w:rPr>
        <w:t xml:space="preserve"> women with PCOS who failed to respond to 50 mg </w:t>
      </w:r>
      <w:proofErr w:type="spellStart"/>
      <w:r w:rsidRPr="00AC7833">
        <w:rPr>
          <w:sz w:val="20"/>
          <w:szCs w:val="20"/>
        </w:rPr>
        <w:t>clomiphene</w:t>
      </w:r>
      <w:proofErr w:type="spellEnd"/>
      <w:r w:rsidRPr="00AC7833">
        <w:rPr>
          <w:sz w:val="20"/>
          <w:szCs w:val="20"/>
        </w:rPr>
        <w:t xml:space="preserve"> for 5 days and were subsequently treated with the stair-step protocol from 2000 to 2007, that found that the time to ovulation was shorter with the stair-step protocol (21-28 days) as compared with a traditional progestin withdrawal regimen (55-88 days). While they found a significantly higher ovulation rate of 64% with the stair-step protocol at a </w:t>
      </w:r>
      <w:proofErr w:type="spellStart"/>
      <w:r w:rsidRPr="00AC7833">
        <w:rPr>
          <w:sz w:val="20"/>
          <w:szCs w:val="20"/>
        </w:rPr>
        <w:t>clomiphene</w:t>
      </w:r>
      <w:proofErr w:type="spellEnd"/>
      <w:r w:rsidRPr="00AC7833">
        <w:rPr>
          <w:sz w:val="20"/>
          <w:szCs w:val="20"/>
        </w:rPr>
        <w:t xml:space="preserve"> dose of 100 mg compared with the expected ovulation rate of 22% with this dose in a traditional regimen which disagree with our results. This may be explained by the large sample size and the long duration of their study. In addition, they depended on historical result from published data and not from a controlled study group </w:t>
      </w:r>
      <w:r w:rsidRPr="00AC7833">
        <w:rPr>
          <w:sz w:val="20"/>
          <w:szCs w:val="20"/>
        </w:rPr>
        <w:lastRenderedPageBreak/>
        <w:t xml:space="preserve">to compare the result of both protocols as compared to our study. Also, </w:t>
      </w:r>
      <w:proofErr w:type="spellStart"/>
      <w:r w:rsidRPr="00AC7833">
        <w:rPr>
          <w:b/>
          <w:bCs/>
          <w:i/>
          <w:iCs/>
          <w:sz w:val="20"/>
          <w:szCs w:val="20"/>
        </w:rPr>
        <w:t>Farhi</w:t>
      </w:r>
      <w:proofErr w:type="spellEnd"/>
      <w:r w:rsidRPr="00AC7833">
        <w:rPr>
          <w:b/>
          <w:bCs/>
          <w:i/>
          <w:iCs/>
          <w:sz w:val="20"/>
          <w:szCs w:val="20"/>
        </w:rPr>
        <w:t xml:space="preserve"> et al. (2010) </w:t>
      </w:r>
      <w:r w:rsidRPr="00AC7833">
        <w:rPr>
          <w:sz w:val="20"/>
          <w:szCs w:val="20"/>
        </w:rPr>
        <w:t>concluded that time can be saved and the process made more efficient, without affecting the outcome of treatment, by starting CC at a time unrelated to the onset of bleeding, on condition that no dominant follicle is present. This allows time saving in the initiation of treatment for newly diagnosed patients and justifies a stair-step protocol allowing a step-up in dose after a lack of response to CC, without having to induce a menstrual period.</w:t>
      </w:r>
    </w:p>
    <w:p w:rsidR="004B1D65" w:rsidRPr="00AC7833" w:rsidRDefault="004B1D65" w:rsidP="00AC7833">
      <w:pPr>
        <w:snapToGrid w:val="0"/>
        <w:ind w:firstLine="425"/>
        <w:jc w:val="both"/>
        <w:rPr>
          <w:sz w:val="20"/>
          <w:szCs w:val="20"/>
        </w:rPr>
      </w:pPr>
      <w:r w:rsidRPr="00AC7833">
        <w:rPr>
          <w:sz w:val="20"/>
          <w:szCs w:val="20"/>
        </w:rPr>
        <w:t>The results of this study indicated that clinical pregnancy rate was non-significantly more frequent among study group than among control group(20% versus 6%). This was in agreement with</w:t>
      </w:r>
      <w:r w:rsidRPr="00AC7833">
        <w:rPr>
          <w:b/>
          <w:bCs/>
          <w:i/>
          <w:iCs/>
          <w:sz w:val="20"/>
          <w:szCs w:val="20"/>
        </w:rPr>
        <w:t xml:space="preserve"> Hurst et al. (2009)</w:t>
      </w:r>
      <w:r w:rsidRPr="00AC7833">
        <w:rPr>
          <w:sz w:val="20"/>
          <w:szCs w:val="20"/>
        </w:rPr>
        <w:t xml:space="preserve"> who found that the clinical pregnancy rate for the stair step protocol of(13%) was similar to the traditional protocol (15%). while this was disagree with </w:t>
      </w:r>
      <w:r w:rsidRPr="00AC7833">
        <w:rPr>
          <w:b/>
          <w:bCs/>
          <w:i/>
          <w:iCs/>
          <w:sz w:val="20"/>
          <w:szCs w:val="20"/>
        </w:rPr>
        <w:t>Dick</w:t>
      </w:r>
      <w:r w:rsidR="000E5F1B" w:rsidRPr="00AC7833">
        <w:rPr>
          <w:b/>
          <w:bCs/>
          <w:i/>
          <w:iCs/>
          <w:sz w:val="20"/>
          <w:szCs w:val="20"/>
        </w:rPr>
        <w:t>e</w:t>
      </w:r>
      <w:r w:rsidRPr="00AC7833">
        <w:rPr>
          <w:b/>
          <w:bCs/>
          <w:i/>
          <w:iCs/>
          <w:sz w:val="20"/>
          <w:szCs w:val="20"/>
        </w:rPr>
        <w:t>y et al. in (1997)</w:t>
      </w:r>
      <w:r w:rsidRPr="00AC7833">
        <w:rPr>
          <w:sz w:val="20"/>
          <w:szCs w:val="20"/>
        </w:rPr>
        <w:t xml:space="preserve"> who found that 14.7% of patients conceived at </w:t>
      </w:r>
      <w:proofErr w:type="spellStart"/>
      <w:r w:rsidRPr="00AC7833">
        <w:rPr>
          <w:sz w:val="20"/>
          <w:szCs w:val="20"/>
        </w:rPr>
        <w:t>clomiphene</w:t>
      </w:r>
      <w:proofErr w:type="spellEnd"/>
      <w:r w:rsidRPr="00AC7833">
        <w:rPr>
          <w:sz w:val="20"/>
          <w:szCs w:val="20"/>
        </w:rPr>
        <w:t xml:space="preserve"> citrate dose of more than 100mg. A previous study done by</w:t>
      </w:r>
      <w:r w:rsidRPr="00AC7833">
        <w:rPr>
          <w:b/>
          <w:bCs/>
          <w:i/>
          <w:iCs/>
          <w:sz w:val="20"/>
          <w:szCs w:val="20"/>
        </w:rPr>
        <w:t xml:space="preserve"> Dickey et al. in (1992)</w:t>
      </w:r>
      <w:r w:rsidRPr="00AC7833">
        <w:rPr>
          <w:sz w:val="20"/>
          <w:szCs w:val="20"/>
        </w:rPr>
        <w:t xml:space="preserve"> found that the dose of </w:t>
      </w:r>
      <w:proofErr w:type="spellStart"/>
      <w:r w:rsidRPr="00AC7833">
        <w:rPr>
          <w:sz w:val="20"/>
          <w:szCs w:val="20"/>
        </w:rPr>
        <w:t>clomiphene</w:t>
      </w:r>
      <w:proofErr w:type="spellEnd"/>
      <w:r w:rsidRPr="00AC7833">
        <w:rPr>
          <w:sz w:val="20"/>
          <w:szCs w:val="20"/>
        </w:rPr>
        <w:t xml:space="preserve"> was positively related to pregnancy rates with doses </w:t>
      </w:r>
      <w:proofErr w:type="spellStart"/>
      <w:r w:rsidRPr="00AC7833">
        <w:rPr>
          <w:sz w:val="20"/>
          <w:szCs w:val="20"/>
        </w:rPr>
        <w:t>mmore</w:t>
      </w:r>
      <w:proofErr w:type="spellEnd"/>
      <w:r w:rsidRPr="00AC7833">
        <w:rPr>
          <w:sz w:val="20"/>
          <w:szCs w:val="20"/>
        </w:rPr>
        <w:t xml:space="preserve"> than 100 mg/day which were responsible for the higher pregnancy rates (16%).</w:t>
      </w:r>
    </w:p>
    <w:p w:rsidR="004B1D65" w:rsidRPr="00AC7833" w:rsidRDefault="004B1D65" w:rsidP="00AC7833">
      <w:pPr>
        <w:snapToGrid w:val="0"/>
        <w:ind w:firstLine="425"/>
        <w:jc w:val="both"/>
        <w:rPr>
          <w:sz w:val="20"/>
          <w:szCs w:val="20"/>
        </w:rPr>
      </w:pPr>
      <w:r w:rsidRPr="00AC7833">
        <w:rPr>
          <w:sz w:val="20"/>
          <w:szCs w:val="20"/>
        </w:rPr>
        <w:t xml:space="preserve">The major anti-estrogenic effect of CC treatment is on the </w:t>
      </w:r>
      <w:proofErr w:type="spellStart"/>
      <w:r w:rsidRPr="00AC7833">
        <w:rPr>
          <w:sz w:val="20"/>
          <w:szCs w:val="20"/>
        </w:rPr>
        <w:t>endometrium</w:t>
      </w:r>
      <w:proofErr w:type="spellEnd"/>
      <w:r w:rsidRPr="00AC7833">
        <w:rPr>
          <w:sz w:val="20"/>
          <w:szCs w:val="20"/>
        </w:rPr>
        <w:t xml:space="preserve"> and CC may interfere with the estrogen stimulated proliferation of </w:t>
      </w:r>
      <w:proofErr w:type="spellStart"/>
      <w:r w:rsidRPr="00AC7833">
        <w:rPr>
          <w:sz w:val="20"/>
          <w:szCs w:val="20"/>
        </w:rPr>
        <w:t>endometrium</w:t>
      </w:r>
      <w:proofErr w:type="spellEnd"/>
      <w:r w:rsidRPr="00AC7833">
        <w:rPr>
          <w:sz w:val="20"/>
          <w:szCs w:val="20"/>
        </w:rPr>
        <w:t xml:space="preserve">. The anti-estrogenic effect of CC inhibits normal cyclical growth of the uterus and </w:t>
      </w:r>
      <w:proofErr w:type="spellStart"/>
      <w:r w:rsidRPr="00AC7833">
        <w:rPr>
          <w:sz w:val="20"/>
          <w:szCs w:val="20"/>
        </w:rPr>
        <w:t>endometrium</w:t>
      </w:r>
      <w:proofErr w:type="spellEnd"/>
      <w:r w:rsidRPr="00AC7833">
        <w:rPr>
          <w:sz w:val="20"/>
          <w:szCs w:val="20"/>
        </w:rPr>
        <w:t xml:space="preserve"> and endometrial thickness is altered in CC cycles </w:t>
      </w:r>
      <w:r w:rsidRPr="00AC7833">
        <w:rPr>
          <w:b/>
          <w:bCs/>
          <w:i/>
          <w:iCs/>
          <w:sz w:val="20"/>
          <w:szCs w:val="20"/>
        </w:rPr>
        <w:t xml:space="preserve">(Randall et al., 1991; </w:t>
      </w:r>
      <w:proofErr w:type="spellStart"/>
      <w:r w:rsidRPr="00AC7833">
        <w:rPr>
          <w:b/>
          <w:bCs/>
          <w:i/>
          <w:iCs/>
          <w:sz w:val="20"/>
          <w:szCs w:val="20"/>
        </w:rPr>
        <w:t>Haritha</w:t>
      </w:r>
      <w:proofErr w:type="spellEnd"/>
      <w:r w:rsidRPr="00AC7833">
        <w:rPr>
          <w:b/>
          <w:bCs/>
          <w:i/>
          <w:iCs/>
          <w:sz w:val="20"/>
          <w:szCs w:val="20"/>
        </w:rPr>
        <w:t xml:space="preserve"> et al., 2003). </w:t>
      </w:r>
      <w:r w:rsidRPr="00AC7833">
        <w:rPr>
          <w:sz w:val="20"/>
          <w:szCs w:val="20"/>
        </w:rPr>
        <w:t xml:space="preserve">The risk of negative effects on the </w:t>
      </w:r>
      <w:proofErr w:type="spellStart"/>
      <w:r w:rsidRPr="00AC7833">
        <w:rPr>
          <w:sz w:val="20"/>
          <w:szCs w:val="20"/>
        </w:rPr>
        <w:t>endometrium</w:t>
      </w:r>
      <w:proofErr w:type="spellEnd"/>
      <w:r w:rsidRPr="00AC7833">
        <w:rPr>
          <w:sz w:val="20"/>
          <w:szCs w:val="20"/>
        </w:rPr>
        <w:t xml:space="preserve"> may increase when the dose of CC is increased</w:t>
      </w:r>
      <w:r w:rsidR="00CE65E5" w:rsidRPr="00AC7833">
        <w:rPr>
          <w:sz w:val="20"/>
          <w:szCs w:val="20"/>
        </w:rPr>
        <w:t xml:space="preserve"> </w:t>
      </w:r>
      <w:r w:rsidRPr="00AC7833">
        <w:rPr>
          <w:b/>
          <w:bCs/>
          <w:i/>
          <w:iCs/>
          <w:sz w:val="20"/>
          <w:szCs w:val="20"/>
        </w:rPr>
        <w:t>Kurosawa et al</w:t>
      </w:r>
      <w:r w:rsidR="00CE65E5" w:rsidRPr="00AC7833">
        <w:rPr>
          <w:b/>
          <w:bCs/>
          <w:i/>
          <w:iCs/>
          <w:sz w:val="20"/>
          <w:szCs w:val="20"/>
        </w:rPr>
        <w:t>. (2010</w:t>
      </w:r>
      <w:r w:rsidRPr="00AC7833">
        <w:rPr>
          <w:b/>
          <w:bCs/>
          <w:i/>
          <w:iCs/>
          <w:sz w:val="20"/>
          <w:szCs w:val="20"/>
        </w:rPr>
        <w:t>)</w:t>
      </w:r>
      <w:r w:rsidRPr="00AC7833">
        <w:rPr>
          <w:sz w:val="20"/>
          <w:szCs w:val="20"/>
        </w:rPr>
        <w:t xml:space="preserve"> reported that CC acted as an antagonist at such a high concentration via </w:t>
      </w:r>
      <w:proofErr w:type="spellStart"/>
      <w:r w:rsidRPr="00AC7833">
        <w:rPr>
          <w:sz w:val="20"/>
          <w:szCs w:val="20"/>
        </w:rPr>
        <w:t>ERa</w:t>
      </w:r>
      <w:proofErr w:type="spellEnd"/>
      <w:r w:rsidRPr="00AC7833">
        <w:rPr>
          <w:sz w:val="20"/>
          <w:szCs w:val="20"/>
        </w:rPr>
        <w:t xml:space="preserve"> and </w:t>
      </w:r>
      <w:proofErr w:type="spellStart"/>
      <w:r w:rsidRPr="00AC7833">
        <w:rPr>
          <w:sz w:val="20"/>
          <w:szCs w:val="20"/>
        </w:rPr>
        <w:t>ERb</w:t>
      </w:r>
      <w:proofErr w:type="spellEnd"/>
      <w:r w:rsidRPr="00AC7833">
        <w:rPr>
          <w:sz w:val="20"/>
          <w:szCs w:val="20"/>
        </w:rPr>
        <w:t xml:space="preserve">, hence the antagonistic activity of CC was stronger in </w:t>
      </w:r>
      <w:proofErr w:type="spellStart"/>
      <w:r w:rsidRPr="00AC7833">
        <w:rPr>
          <w:sz w:val="20"/>
          <w:szCs w:val="20"/>
        </w:rPr>
        <w:t>ERb</w:t>
      </w:r>
      <w:proofErr w:type="spellEnd"/>
      <w:r w:rsidRPr="00AC7833">
        <w:rPr>
          <w:sz w:val="20"/>
          <w:szCs w:val="20"/>
        </w:rPr>
        <w:t xml:space="preserve"> than </w:t>
      </w:r>
      <w:proofErr w:type="spellStart"/>
      <w:r w:rsidRPr="00AC7833">
        <w:rPr>
          <w:sz w:val="20"/>
          <w:szCs w:val="20"/>
        </w:rPr>
        <w:t>ERa</w:t>
      </w:r>
      <w:proofErr w:type="spellEnd"/>
      <w:r w:rsidRPr="00AC7833">
        <w:rPr>
          <w:sz w:val="20"/>
          <w:szCs w:val="20"/>
        </w:rPr>
        <w:t xml:space="preserve">. CC related antagonistic activity on the </w:t>
      </w:r>
      <w:proofErr w:type="spellStart"/>
      <w:r w:rsidRPr="00AC7833">
        <w:rPr>
          <w:sz w:val="20"/>
          <w:szCs w:val="20"/>
        </w:rPr>
        <w:t>endometrium</w:t>
      </w:r>
      <w:proofErr w:type="spellEnd"/>
      <w:r w:rsidRPr="00AC7833">
        <w:rPr>
          <w:sz w:val="20"/>
          <w:szCs w:val="20"/>
        </w:rPr>
        <w:t xml:space="preserve"> was dose dependent and was affected by the presence of estrogen. One possible explanation for the low pregnancy rate compa</w:t>
      </w:r>
      <w:r w:rsidR="002B67E7">
        <w:rPr>
          <w:sz w:val="20"/>
          <w:szCs w:val="20"/>
        </w:rPr>
        <w:t xml:space="preserve">red to the high ovulation rate </w:t>
      </w:r>
      <w:r w:rsidRPr="00AC7833">
        <w:rPr>
          <w:sz w:val="20"/>
          <w:szCs w:val="20"/>
        </w:rPr>
        <w:t xml:space="preserve">resulting from the use of CC is that CC inhibits progesterone action in the </w:t>
      </w:r>
      <w:proofErr w:type="spellStart"/>
      <w:r w:rsidRPr="00AC7833">
        <w:rPr>
          <w:sz w:val="20"/>
          <w:szCs w:val="20"/>
        </w:rPr>
        <w:t>endometrium</w:t>
      </w:r>
      <w:proofErr w:type="spellEnd"/>
      <w:r w:rsidRPr="00AC7833">
        <w:rPr>
          <w:sz w:val="20"/>
          <w:szCs w:val="20"/>
        </w:rPr>
        <w:t xml:space="preserve"> by an antagonistic effect via </w:t>
      </w:r>
      <w:proofErr w:type="spellStart"/>
      <w:r w:rsidRPr="00AC7833">
        <w:rPr>
          <w:sz w:val="20"/>
          <w:szCs w:val="20"/>
        </w:rPr>
        <w:t>ERb</w:t>
      </w:r>
      <w:proofErr w:type="spellEnd"/>
      <w:r w:rsidRPr="00AC7833">
        <w:rPr>
          <w:b/>
          <w:bCs/>
          <w:i/>
          <w:iCs/>
          <w:sz w:val="20"/>
          <w:szCs w:val="20"/>
        </w:rPr>
        <w:t xml:space="preserve"> (Kurosawa et al., 2010).</w:t>
      </w:r>
    </w:p>
    <w:p w:rsidR="00AC7833" w:rsidRDefault="004B1D65" w:rsidP="00AC7833">
      <w:pPr>
        <w:snapToGrid w:val="0"/>
        <w:ind w:firstLine="425"/>
        <w:jc w:val="both"/>
        <w:rPr>
          <w:sz w:val="20"/>
          <w:szCs w:val="20"/>
        </w:rPr>
      </w:pPr>
      <w:r w:rsidRPr="00AC7833">
        <w:rPr>
          <w:sz w:val="20"/>
          <w:szCs w:val="20"/>
        </w:rPr>
        <w:t xml:space="preserve">However, Homburg </w:t>
      </w:r>
      <w:proofErr w:type="spellStart"/>
      <w:r w:rsidRPr="00AC7833">
        <w:rPr>
          <w:b/>
          <w:bCs/>
          <w:i/>
          <w:iCs/>
          <w:sz w:val="20"/>
          <w:szCs w:val="20"/>
        </w:rPr>
        <w:t>Homburg</w:t>
      </w:r>
      <w:proofErr w:type="spellEnd"/>
      <w:r w:rsidRPr="00AC7833">
        <w:rPr>
          <w:b/>
          <w:bCs/>
          <w:i/>
          <w:iCs/>
          <w:sz w:val="20"/>
          <w:szCs w:val="20"/>
        </w:rPr>
        <w:t xml:space="preserve"> (2005)</w:t>
      </w:r>
      <w:r w:rsidRPr="00AC7833">
        <w:rPr>
          <w:sz w:val="20"/>
          <w:szCs w:val="20"/>
        </w:rPr>
        <w:t xml:space="preserve"> reported that suppression of endometrial proliferation using CC was unrelated to dose or duration of treatment but apparently idiosyncratic </w:t>
      </w:r>
      <w:r w:rsidRPr="00AC7833">
        <w:rPr>
          <w:b/>
          <w:bCs/>
          <w:i/>
          <w:iCs/>
          <w:sz w:val="20"/>
          <w:szCs w:val="20"/>
        </w:rPr>
        <w:t>(</w:t>
      </w:r>
      <w:proofErr w:type="spellStart"/>
      <w:r w:rsidRPr="00AC7833">
        <w:rPr>
          <w:b/>
          <w:bCs/>
          <w:i/>
          <w:iCs/>
          <w:sz w:val="20"/>
          <w:szCs w:val="20"/>
        </w:rPr>
        <w:t>Nakai</w:t>
      </w:r>
      <w:proofErr w:type="spellEnd"/>
      <w:r w:rsidRPr="00AC7833">
        <w:rPr>
          <w:b/>
          <w:bCs/>
          <w:i/>
          <w:iCs/>
          <w:sz w:val="20"/>
          <w:szCs w:val="20"/>
        </w:rPr>
        <w:t xml:space="preserve"> et al., 2002).</w:t>
      </w:r>
      <w:r w:rsidRPr="00AC7833">
        <w:rPr>
          <w:sz w:val="20"/>
          <w:szCs w:val="20"/>
        </w:rPr>
        <w:t xml:space="preserve"> Suggested that uterine artery blood flow increased from the follicular phase to ovulation in spontaneous cycles but this increase in blood flow in the uterine artery in the </w:t>
      </w:r>
      <w:proofErr w:type="spellStart"/>
      <w:r w:rsidRPr="00AC7833">
        <w:rPr>
          <w:sz w:val="20"/>
          <w:szCs w:val="20"/>
        </w:rPr>
        <w:t>peri-ovulational</w:t>
      </w:r>
      <w:proofErr w:type="spellEnd"/>
      <w:r w:rsidRPr="00AC7833">
        <w:rPr>
          <w:sz w:val="20"/>
          <w:szCs w:val="20"/>
        </w:rPr>
        <w:t xml:space="preserve"> period could not be detected in CC induced cycles. This may be a result of the depletion of endometrial receptors that are responsible for the endometrial changes due to CC treatment </w:t>
      </w:r>
      <w:r w:rsidRPr="00AC7833">
        <w:rPr>
          <w:b/>
          <w:bCs/>
          <w:i/>
          <w:iCs/>
          <w:sz w:val="20"/>
          <w:szCs w:val="20"/>
        </w:rPr>
        <w:t>(</w:t>
      </w:r>
      <w:proofErr w:type="spellStart"/>
      <w:r w:rsidRPr="00AC7833">
        <w:rPr>
          <w:b/>
          <w:bCs/>
          <w:i/>
          <w:iCs/>
          <w:sz w:val="20"/>
          <w:szCs w:val="20"/>
        </w:rPr>
        <w:t>Nakai</w:t>
      </w:r>
      <w:proofErr w:type="spellEnd"/>
      <w:r w:rsidRPr="00AC7833">
        <w:rPr>
          <w:b/>
          <w:bCs/>
          <w:i/>
          <w:iCs/>
          <w:sz w:val="20"/>
          <w:szCs w:val="20"/>
        </w:rPr>
        <w:t xml:space="preserve"> et al., 2002).</w:t>
      </w:r>
      <w:r w:rsidRPr="00AC7833">
        <w:rPr>
          <w:sz w:val="20"/>
          <w:szCs w:val="20"/>
        </w:rPr>
        <w:t xml:space="preserve"> Endometrial </w:t>
      </w:r>
      <w:r w:rsidRPr="00AC7833">
        <w:rPr>
          <w:sz w:val="20"/>
          <w:szCs w:val="20"/>
        </w:rPr>
        <w:lastRenderedPageBreak/>
        <w:t>receptivity is difficult to evaluate by noninvasive method</w:t>
      </w:r>
      <w:r w:rsidR="00AC7833" w:rsidRPr="00AC7833">
        <w:rPr>
          <w:sz w:val="20"/>
          <w:szCs w:val="20"/>
        </w:rPr>
        <w:t>s</w:t>
      </w:r>
      <w:r w:rsidR="00AC7833">
        <w:rPr>
          <w:sz w:val="20"/>
          <w:szCs w:val="20"/>
        </w:rPr>
        <w:t>.</w:t>
      </w:r>
    </w:p>
    <w:p w:rsidR="004B1D65" w:rsidRPr="00AC7833" w:rsidRDefault="004B1D65" w:rsidP="00AC7833">
      <w:pPr>
        <w:snapToGrid w:val="0"/>
        <w:ind w:firstLine="425"/>
        <w:jc w:val="both"/>
        <w:rPr>
          <w:sz w:val="20"/>
          <w:szCs w:val="20"/>
        </w:rPr>
      </w:pPr>
      <w:r w:rsidRPr="00AC7833">
        <w:rPr>
          <w:sz w:val="20"/>
          <w:szCs w:val="20"/>
        </w:rPr>
        <w:t xml:space="preserve">Endometrial thickness measured by </w:t>
      </w:r>
      <w:proofErr w:type="spellStart"/>
      <w:r w:rsidRPr="00AC7833">
        <w:rPr>
          <w:sz w:val="20"/>
          <w:szCs w:val="20"/>
        </w:rPr>
        <w:t>ultrasonography</w:t>
      </w:r>
      <w:proofErr w:type="spellEnd"/>
      <w:r w:rsidRPr="00AC7833">
        <w:rPr>
          <w:sz w:val="20"/>
          <w:szCs w:val="20"/>
        </w:rPr>
        <w:t xml:space="preserve"> is an indirect marker of endometrial receptivity. It has been reported that endometrial thickness should be at least 5–6 mm for implantation </w:t>
      </w:r>
      <w:r w:rsidRPr="00AC7833">
        <w:rPr>
          <w:b/>
          <w:bCs/>
          <w:i/>
          <w:iCs/>
          <w:sz w:val="20"/>
          <w:szCs w:val="20"/>
        </w:rPr>
        <w:t>(Dickey et al.,</w:t>
      </w:r>
      <w:r w:rsidRPr="00AC7833">
        <w:rPr>
          <w:sz w:val="20"/>
          <w:szCs w:val="20"/>
        </w:rPr>
        <w:t xml:space="preserve"> </w:t>
      </w:r>
      <w:r w:rsidRPr="00AC7833">
        <w:rPr>
          <w:b/>
          <w:bCs/>
          <w:i/>
          <w:iCs/>
          <w:sz w:val="20"/>
          <w:szCs w:val="20"/>
        </w:rPr>
        <w:t xml:space="preserve">1993; </w:t>
      </w:r>
      <w:proofErr w:type="spellStart"/>
      <w:r w:rsidRPr="00AC7833">
        <w:rPr>
          <w:b/>
          <w:bCs/>
          <w:i/>
          <w:iCs/>
          <w:sz w:val="20"/>
          <w:szCs w:val="20"/>
        </w:rPr>
        <w:t>Piver</w:t>
      </w:r>
      <w:proofErr w:type="spellEnd"/>
      <w:r w:rsidRPr="00AC7833">
        <w:rPr>
          <w:b/>
          <w:bCs/>
          <w:i/>
          <w:iCs/>
          <w:sz w:val="20"/>
          <w:szCs w:val="20"/>
        </w:rPr>
        <w:t xml:space="preserve">, 2005). </w:t>
      </w:r>
      <w:proofErr w:type="spellStart"/>
      <w:r w:rsidRPr="00AC7833">
        <w:rPr>
          <w:b/>
          <w:bCs/>
          <w:i/>
          <w:iCs/>
          <w:sz w:val="20"/>
          <w:szCs w:val="20"/>
        </w:rPr>
        <w:t>Shahin</w:t>
      </w:r>
      <w:proofErr w:type="spellEnd"/>
      <w:r w:rsidRPr="00AC7833">
        <w:rPr>
          <w:b/>
          <w:bCs/>
          <w:i/>
          <w:iCs/>
          <w:sz w:val="20"/>
          <w:szCs w:val="20"/>
        </w:rPr>
        <w:t xml:space="preserve"> (2008) </w:t>
      </w:r>
      <w:r w:rsidRPr="00AC7833">
        <w:rPr>
          <w:sz w:val="20"/>
          <w:szCs w:val="20"/>
        </w:rPr>
        <w:t>suggested that endometrial thickness in the range 7.9-</w:t>
      </w:r>
      <w:smartTag w:uri="urn:schemas-microsoft-com:office:smarttags" w:element="metricconverter">
        <w:smartTagPr>
          <w:attr w:name="ProductID" w:val="8.9 mm"/>
        </w:smartTagPr>
        <w:r w:rsidRPr="00AC7833">
          <w:rPr>
            <w:sz w:val="20"/>
            <w:szCs w:val="20"/>
          </w:rPr>
          <w:t>8.9 mm</w:t>
        </w:r>
      </w:smartTag>
      <w:r w:rsidRPr="00AC7833">
        <w:rPr>
          <w:sz w:val="20"/>
          <w:szCs w:val="20"/>
        </w:rPr>
        <w:t xml:space="preserve"> and triple line pattern is highly predictive for pregnancy. Therefore, the potential side effects on the </w:t>
      </w:r>
      <w:proofErr w:type="spellStart"/>
      <w:r w:rsidRPr="00AC7833">
        <w:rPr>
          <w:sz w:val="20"/>
          <w:szCs w:val="20"/>
        </w:rPr>
        <w:t>endometrium</w:t>
      </w:r>
      <w:proofErr w:type="spellEnd"/>
      <w:r w:rsidRPr="00AC7833">
        <w:rPr>
          <w:sz w:val="20"/>
          <w:szCs w:val="20"/>
        </w:rPr>
        <w:t xml:space="preserve"> related to the cumulative doses of CC in the stair-step protocol were evaluated on ultrasound. No significant adverse effects were observed on the endometrial thickness in the stair-step protocol. In The results of our study there was no significant difference between study groups regarding endometrial thickness.</w:t>
      </w:r>
    </w:p>
    <w:p w:rsidR="004B1D65" w:rsidRPr="00AC7833" w:rsidRDefault="004B1D65" w:rsidP="00AC7833">
      <w:pPr>
        <w:snapToGrid w:val="0"/>
        <w:ind w:firstLine="425"/>
        <w:jc w:val="both"/>
        <w:rPr>
          <w:sz w:val="20"/>
          <w:szCs w:val="20"/>
        </w:rPr>
      </w:pPr>
      <w:r w:rsidRPr="00AC7833">
        <w:rPr>
          <w:sz w:val="20"/>
          <w:szCs w:val="20"/>
        </w:rPr>
        <w:t>In the results of the current study Flushes, Mood disturbance, Pelvic pressure, Abdominal pain and Breast tenderness</w:t>
      </w:r>
      <w:r w:rsidRPr="00AC7833">
        <w:rPr>
          <w:b/>
          <w:bCs/>
          <w:i/>
          <w:iCs/>
          <w:sz w:val="20"/>
          <w:szCs w:val="20"/>
        </w:rPr>
        <w:t xml:space="preserve"> </w:t>
      </w:r>
      <w:r w:rsidRPr="00AC7833">
        <w:rPr>
          <w:sz w:val="20"/>
          <w:szCs w:val="20"/>
        </w:rPr>
        <w:t xml:space="preserve">was significantly more frequent among study group than </w:t>
      </w:r>
      <w:proofErr w:type="spellStart"/>
      <w:r w:rsidRPr="00AC7833">
        <w:rPr>
          <w:sz w:val="20"/>
          <w:szCs w:val="20"/>
        </w:rPr>
        <w:t>amoug</w:t>
      </w:r>
      <w:proofErr w:type="spellEnd"/>
      <w:r w:rsidRPr="00AC7833">
        <w:rPr>
          <w:sz w:val="20"/>
          <w:szCs w:val="20"/>
        </w:rPr>
        <w:t xml:space="preserve"> control. Since CC causes a central misperception of low estrogen levels, natural vasomotor symptoms may be observed </w:t>
      </w:r>
      <w:r w:rsidRPr="00AC7833">
        <w:rPr>
          <w:b/>
          <w:bCs/>
          <w:i/>
          <w:iCs/>
          <w:sz w:val="20"/>
          <w:szCs w:val="20"/>
        </w:rPr>
        <w:t>(Fritz et al., 2011).</w:t>
      </w:r>
      <w:r w:rsidRPr="00AC7833">
        <w:rPr>
          <w:sz w:val="20"/>
          <w:szCs w:val="20"/>
        </w:rPr>
        <w:t xml:space="preserve"> Mood disturbances are the most commonly observed side effect related to CC (64–78 %) </w:t>
      </w:r>
      <w:r w:rsidRPr="00AC7833">
        <w:rPr>
          <w:b/>
          <w:bCs/>
          <w:i/>
          <w:iCs/>
          <w:sz w:val="20"/>
          <w:szCs w:val="20"/>
        </w:rPr>
        <w:t>(</w:t>
      </w:r>
      <w:proofErr w:type="spellStart"/>
      <w:r w:rsidRPr="00AC7833">
        <w:rPr>
          <w:b/>
          <w:bCs/>
          <w:i/>
          <w:iCs/>
          <w:sz w:val="20"/>
          <w:szCs w:val="20"/>
        </w:rPr>
        <w:t>Blenner</w:t>
      </w:r>
      <w:proofErr w:type="spellEnd"/>
      <w:r w:rsidR="007537A7" w:rsidRPr="00AC7833">
        <w:rPr>
          <w:b/>
          <w:bCs/>
          <w:i/>
          <w:iCs/>
          <w:sz w:val="20"/>
          <w:szCs w:val="20"/>
        </w:rPr>
        <w:t>,</w:t>
      </w:r>
      <w:r w:rsidRPr="00AC7833">
        <w:rPr>
          <w:b/>
          <w:bCs/>
          <w:i/>
          <w:iCs/>
          <w:sz w:val="20"/>
          <w:szCs w:val="20"/>
        </w:rPr>
        <w:t xml:space="preserve"> 1991; </w:t>
      </w:r>
      <w:proofErr w:type="spellStart"/>
      <w:r w:rsidRPr="00AC7833">
        <w:rPr>
          <w:b/>
          <w:bCs/>
          <w:i/>
          <w:iCs/>
          <w:sz w:val="20"/>
          <w:szCs w:val="20"/>
        </w:rPr>
        <w:t>Choi</w:t>
      </w:r>
      <w:proofErr w:type="spellEnd"/>
      <w:r w:rsidRPr="00AC7833">
        <w:rPr>
          <w:b/>
          <w:bCs/>
          <w:i/>
          <w:iCs/>
          <w:sz w:val="20"/>
          <w:szCs w:val="20"/>
        </w:rPr>
        <w:t xml:space="preserve"> et al., 2005).</w:t>
      </w:r>
      <w:r w:rsidRPr="00AC7833">
        <w:rPr>
          <w:sz w:val="20"/>
          <w:szCs w:val="20"/>
        </w:rPr>
        <w:t xml:space="preserve"> Transient hot flushes occur in 10 % of women </w:t>
      </w:r>
      <w:r w:rsidRPr="00AC7833">
        <w:rPr>
          <w:b/>
          <w:bCs/>
          <w:i/>
          <w:iCs/>
          <w:sz w:val="20"/>
          <w:szCs w:val="20"/>
        </w:rPr>
        <w:t xml:space="preserve">(Fritz et al., 2011; </w:t>
      </w:r>
      <w:proofErr w:type="spellStart"/>
      <w:r w:rsidRPr="00AC7833">
        <w:rPr>
          <w:b/>
          <w:bCs/>
          <w:i/>
          <w:iCs/>
          <w:sz w:val="20"/>
          <w:szCs w:val="20"/>
        </w:rPr>
        <w:t>Blenner</w:t>
      </w:r>
      <w:proofErr w:type="spellEnd"/>
      <w:r w:rsidRPr="00AC7833">
        <w:rPr>
          <w:b/>
          <w:bCs/>
          <w:i/>
          <w:iCs/>
          <w:sz w:val="20"/>
          <w:szCs w:val="20"/>
        </w:rPr>
        <w:t>, 1991)</w:t>
      </w:r>
      <w:r w:rsidRPr="00AC7833">
        <w:rPr>
          <w:sz w:val="20"/>
          <w:szCs w:val="20"/>
        </w:rPr>
        <w:t xml:space="preserve">. Visual disturbances are rare (1–2 %) and, breast tenderness, pelvic discomfort and nausea have been reported at on overall rate of 2–5 % </w:t>
      </w:r>
      <w:proofErr w:type="spellStart"/>
      <w:r w:rsidRPr="00AC7833">
        <w:rPr>
          <w:sz w:val="20"/>
          <w:szCs w:val="20"/>
        </w:rPr>
        <w:t>inCC</w:t>
      </w:r>
      <w:proofErr w:type="spellEnd"/>
      <w:r w:rsidRPr="00AC7833">
        <w:rPr>
          <w:sz w:val="20"/>
          <w:szCs w:val="20"/>
        </w:rPr>
        <w:t xml:space="preserve"> treated patients</w:t>
      </w:r>
      <w:r w:rsidRPr="00AC7833">
        <w:rPr>
          <w:b/>
          <w:bCs/>
          <w:i/>
          <w:iCs/>
          <w:sz w:val="20"/>
          <w:szCs w:val="20"/>
        </w:rPr>
        <w:t xml:space="preserve"> (</w:t>
      </w:r>
      <w:proofErr w:type="spellStart"/>
      <w:r w:rsidRPr="00AC7833">
        <w:rPr>
          <w:b/>
          <w:bCs/>
          <w:i/>
          <w:iCs/>
          <w:sz w:val="20"/>
          <w:szCs w:val="20"/>
        </w:rPr>
        <w:t>Purvin</w:t>
      </w:r>
      <w:proofErr w:type="spellEnd"/>
      <w:r w:rsidRPr="00AC7833">
        <w:rPr>
          <w:b/>
          <w:bCs/>
          <w:i/>
          <w:iCs/>
          <w:sz w:val="20"/>
          <w:szCs w:val="20"/>
        </w:rPr>
        <w:t>, 1995;</w:t>
      </w:r>
      <w:r w:rsidRPr="00AC7833">
        <w:rPr>
          <w:sz w:val="20"/>
          <w:szCs w:val="20"/>
        </w:rPr>
        <w:t xml:space="preserve"> </w:t>
      </w:r>
      <w:r w:rsidRPr="00AC7833">
        <w:rPr>
          <w:b/>
          <w:bCs/>
          <w:i/>
          <w:iCs/>
          <w:sz w:val="20"/>
          <w:szCs w:val="20"/>
        </w:rPr>
        <w:t>ASRM, 2013).</w:t>
      </w:r>
    </w:p>
    <w:p w:rsidR="00240DA3" w:rsidRPr="00AC7833" w:rsidRDefault="00240DA3" w:rsidP="00AC7833">
      <w:pPr>
        <w:snapToGrid w:val="0"/>
        <w:jc w:val="both"/>
        <w:rPr>
          <w:b/>
          <w:bCs/>
          <w:sz w:val="20"/>
          <w:szCs w:val="20"/>
        </w:rPr>
      </w:pPr>
    </w:p>
    <w:p w:rsidR="004B1D65" w:rsidRPr="00AC7833" w:rsidRDefault="0031581E" w:rsidP="00AC7833">
      <w:pPr>
        <w:snapToGrid w:val="0"/>
        <w:jc w:val="both"/>
        <w:rPr>
          <w:b/>
          <w:bCs/>
          <w:sz w:val="20"/>
          <w:szCs w:val="20"/>
        </w:rPr>
      </w:pPr>
      <w:r w:rsidRPr="00AC7833">
        <w:rPr>
          <w:b/>
          <w:bCs/>
          <w:sz w:val="20"/>
          <w:szCs w:val="20"/>
        </w:rPr>
        <w:t>References</w:t>
      </w:r>
    </w:p>
    <w:p w:rsidR="00627FF8" w:rsidRPr="00AC7833" w:rsidRDefault="00627FF8" w:rsidP="00AC7833">
      <w:pPr>
        <w:numPr>
          <w:ilvl w:val="0"/>
          <w:numId w:val="10"/>
        </w:numPr>
        <w:snapToGrid w:val="0"/>
        <w:ind w:left="425" w:hanging="425"/>
        <w:jc w:val="both"/>
        <w:rPr>
          <w:bCs/>
          <w:sz w:val="20"/>
          <w:szCs w:val="20"/>
          <w:lang w:bidi="ar-EG"/>
        </w:rPr>
      </w:pPr>
      <w:r w:rsidRPr="00AC7833">
        <w:rPr>
          <w:bCs/>
          <w:sz w:val="20"/>
          <w:szCs w:val="20"/>
          <w:lang w:bidi="ar-EG"/>
        </w:rPr>
        <w:t xml:space="preserve">American College of Obstetricians and Gynecologists, ACOG Practice Bulletin (2002): Clinical management guidelines for obstetrician gynecologists number 34, February 2002. Management of infertility caused by </w:t>
      </w:r>
      <w:proofErr w:type="spellStart"/>
      <w:r w:rsidRPr="00AC7833">
        <w:rPr>
          <w:bCs/>
          <w:sz w:val="20"/>
          <w:szCs w:val="20"/>
          <w:lang w:bidi="ar-EG"/>
        </w:rPr>
        <w:t>ovulatory</w:t>
      </w:r>
      <w:proofErr w:type="spellEnd"/>
      <w:r w:rsidRPr="00AC7833">
        <w:rPr>
          <w:bCs/>
          <w:sz w:val="20"/>
          <w:szCs w:val="20"/>
          <w:lang w:bidi="ar-EG"/>
        </w:rPr>
        <w:t xml:space="preserve"> dysfunction. American College of Obstetricians and Gynecologists, </w:t>
      </w:r>
      <w:proofErr w:type="spellStart"/>
      <w:r w:rsidRPr="00AC7833">
        <w:rPr>
          <w:bCs/>
          <w:sz w:val="20"/>
          <w:szCs w:val="20"/>
          <w:lang w:bidi="ar-EG"/>
        </w:rPr>
        <w:t>Obstet</w:t>
      </w:r>
      <w:proofErr w:type="spellEnd"/>
      <w:r w:rsidRPr="00AC7833">
        <w:rPr>
          <w:bCs/>
          <w:sz w:val="20"/>
          <w:szCs w:val="20"/>
          <w:lang w:bidi="ar-EG"/>
        </w:rPr>
        <w:t xml:space="preserve"> </w:t>
      </w:r>
      <w:proofErr w:type="spellStart"/>
      <w:r w:rsidRPr="00AC7833">
        <w:rPr>
          <w:bCs/>
          <w:sz w:val="20"/>
          <w:szCs w:val="20"/>
          <w:lang w:bidi="ar-EG"/>
        </w:rPr>
        <w:t>Gynecol</w:t>
      </w:r>
      <w:proofErr w:type="spellEnd"/>
      <w:r w:rsidRPr="00AC7833">
        <w:rPr>
          <w:bCs/>
          <w:sz w:val="20"/>
          <w:szCs w:val="20"/>
          <w:lang w:bidi="ar-EG"/>
        </w:rPr>
        <w:t>, 99:347–358.</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Blenner</w:t>
      </w:r>
      <w:proofErr w:type="spellEnd"/>
      <w:r w:rsidRPr="00AC7833">
        <w:rPr>
          <w:sz w:val="20"/>
          <w:szCs w:val="20"/>
          <w:lang w:bidi="ar-EG"/>
        </w:rPr>
        <w:t xml:space="preserve"> JL (1991):</w:t>
      </w:r>
      <w:r w:rsidRPr="00AC7833">
        <w:rPr>
          <w:bCs/>
          <w:sz w:val="20"/>
          <w:szCs w:val="20"/>
          <w:lang w:bidi="ar-EG"/>
        </w:rPr>
        <w:t xml:space="preserve"> </w:t>
      </w:r>
      <w:proofErr w:type="spellStart"/>
      <w:r w:rsidRPr="00AC7833">
        <w:rPr>
          <w:bCs/>
          <w:sz w:val="20"/>
          <w:szCs w:val="20"/>
          <w:lang w:bidi="ar-EG"/>
        </w:rPr>
        <w:t>Clomiphene</w:t>
      </w:r>
      <w:proofErr w:type="spellEnd"/>
      <w:r w:rsidRPr="00AC7833">
        <w:rPr>
          <w:bCs/>
          <w:sz w:val="20"/>
          <w:szCs w:val="20"/>
          <w:lang w:bidi="ar-EG"/>
        </w:rPr>
        <w:t xml:space="preserve">-induced mood swings. J </w:t>
      </w:r>
      <w:proofErr w:type="spellStart"/>
      <w:r w:rsidRPr="00AC7833">
        <w:rPr>
          <w:bCs/>
          <w:sz w:val="20"/>
          <w:szCs w:val="20"/>
          <w:lang w:bidi="ar-EG"/>
        </w:rPr>
        <w:t>Obstet</w:t>
      </w:r>
      <w:proofErr w:type="spellEnd"/>
      <w:r w:rsidRPr="00AC7833">
        <w:rPr>
          <w:bCs/>
          <w:sz w:val="20"/>
          <w:szCs w:val="20"/>
          <w:lang w:bidi="ar-EG"/>
        </w:rPr>
        <w:t xml:space="preserve"> </w:t>
      </w:r>
      <w:proofErr w:type="spellStart"/>
      <w:r w:rsidRPr="00AC7833">
        <w:rPr>
          <w:bCs/>
          <w:sz w:val="20"/>
          <w:szCs w:val="20"/>
          <w:lang w:bidi="ar-EG"/>
        </w:rPr>
        <w:t>Gynecol</w:t>
      </w:r>
      <w:proofErr w:type="spellEnd"/>
      <w:r w:rsidRPr="00AC7833">
        <w:rPr>
          <w:bCs/>
          <w:sz w:val="20"/>
          <w:szCs w:val="20"/>
          <w:lang w:bidi="ar-EG"/>
        </w:rPr>
        <w:t xml:space="preserve"> Neonatal </w:t>
      </w:r>
      <w:proofErr w:type="spellStart"/>
      <w:r w:rsidRPr="00AC7833">
        <w:rPr>
          <w:bCs/>
          <w:sz w:val="20"/>
          <w:szCs w:val="20"/>
          <w:lang w:bidi="ar-EG"/>
        </w:rPr>
        <w:t>Nurs</w:t>
      </w:r>
      <w:proofErr w:type="spellEnd"/>
      <w:r w:rsidRPr="00AC7833">
        <w:rPr>
          <w:bCs/>
          <w:sz w:val="20"/>
          <w:szCs w:val="20"/>
          <w:lang w:bidi="ar-EG"/>
        </w:rPr>
        <w:t>. 20:321–327.</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Blenner</w:t>
      </w:r>
      <w:proofErr w:type="spellEnd"/>
      <w:r w:rsidRPr="00AC7833">
        <w:rPr>
          <w:sz w:val="20"/>
          <w:szCs w:val="20"/>
          <w:lang w:bidi="ar-EG"/>
        </w:rPr>
        <w:t xml:space="preserve"> JL (1991):</w:t>
      </w:r>
      <w:r w:rsidRPr="00AC7833">
        <w:rPr>
          <w:bCs/>
          <w:sz w:val="20"/>
          <w:szCs w:val="20"/>
          <w:lang w:bidi="ar-EG"/>
        </w:rPr>
        <w:t xml:space="preserve"> </w:t>
      </w:r>
      <w:proofErr w:type="spellStart"/>
      <w:r w:rsidRPr="00AC7833">
        <w:rPr>
          <w:bCs/>
          <w:sz w:val="20"/>
          <w:szCs w:val="20"/>
          <w:lang w:bidi="ar-EG"/>
        </w:rPr>
        <w:t>Clomiphene</w:t>
      </w:r>
      <w:proofErr w:type="spellEnd"/>
      <w:r w:rsidRPr="00AC7833">
        <w:rPr>
          <w:bCs/>
          <w:sz w:val="20"/>
          <w:szCs w:val="20"/>
          <w:lang w:bidi="ar-EG"/>
        </w:rPr>
        <w:t xml:space="preserve">-induced mood swings. J </w:t>
      </w:r>
      <w:proofErr w:type="spellStart"/>
      <w:r w:rsidRPr="00AC7833">
        <w:rPr>
          <w:bCs/>
          <w:sz w:val="20"/>
          <w:szCs w:val="20"/>
          <w:lang w:bidi="ar-EG"/>
        </w:rPr>
        <w:t>Obstet</w:t>
      </w:r>
      <w:proofErr w:type="spellEnd"/>
      <w:r w:rsidRPr="00AC7833">
        <w:rPr>
          <w:bCs/>
          <w:sz w:val="20"/>
          <w:szCs w:val="20"/>
          <w:lang w:bidi="ar-EG"/>
        </w:rPr>
        <w:t xml:space="preserve"> </w:t>
      </w:r>
      <w:proofErr w:type="spellStart"/>
      <w:r w:rsidRPr="00AC7833">
        <w:rPr>
          <w:bCs/>
          <w:sz w:val="20"/>
          <w:szCs w:val="20"/>
          <w:lang w:bidi="ar-EG"/>
        </w:rPr>
        <w:t>Gynecol</w:t>
      </w:r>
      <w:proofErr w:type="spellEnd"/>
      <w:r w:rsidRPr="00AC7833">
        <w:rPr>
          <w:bCs/>
          <w:sz w:val="20"/>
          <w:szCs w:val="20"/>
          <w:lang w:bidi="ar-EG"/>
        </w:rPr>
        <w:t xml:space="preserve"> Neonatal </w:t>
      </w:r>
      <w:proofErr w:type="spellStart"/>
      <w:r w:rsidRPr="00AC7833">
        <w:rPr>
          <w:bCs/>
          <w:sz w:val="20"/>
          <w:szCs w:val="20"/>
          <w:lang w:bidi="ar-EG"/>
        </w:rPr>
        <w:t>Nurs</w:t>
      </w:r>
      <w:proofErr w:type="spellEnd"/>
      <w:r w:rsidRPr="00AC7833">
        <w:rPr>
          <w:bCs/>
          <w:sz w:val="20"/>
          <w:szCs w:val="20"/>
          <w:lang w:bidi="ar-EG"/>
        </w:rPr>
        <w:t>. 20:321–327.</w:t>
      </w:r>
    </w:p>
    <w:p w:rsidR="00627FF8" w:rsidRPr="00AC7833" w:rsidRDefault="00627FF8" w:rsidP="00AC7833">
      <w:pPr>
        <w:numPr>
          <w:ilvl w:val="0"/>
          <w:numId w:val="10"/>
        </w:numPr>
        <w:snapToGrid w:val="0"/>
        <w:ind w:left="425" w:hanging="425"/>
        <w:jc w:val="both"/>
        <w:rPr>
          <w:sz w:val="20"/>
          <w:szCs w:val="20"/>
          <w:lang w:bidi="ar-EG"/>
        </w:rPr>
      </w:pPr>
      <w:r w:rsidRPr="00AC7833">
        <w:rPr>
          <w:bCs/>
          <w:sz w:val="20"/>
          <w:szCs w:val="20"/>
        </w:rPr>
        <w:t>Cannon</w:t>
      </w:r>
      <w:r w:rsidRPr="00AC7833">
        <w:rPr>
          <w:bCs/>
          <w:sz w:val="20"/>
          <w:szCs w:val="20"/>
          <w:lang w:bidi="ar-EG"/>
        </w:rPr>
        <w:t xml:space="preserve"> DD, </w:t>
      </w:r>
      <w:proofErr w:type="spellStart"/>
      <w:r w:rsidRPr="00AC7833">
        <w:rPr>
          <w:bCs/>
          <w:sz w:val="20"/>
          <w:szCs w:val="20"/>
          <w:lang w:bidi="ar-EG"/>
        </w:rPr>
        <w:t>Demir</w:t>
      </w:r>
      <w:proofErr w:type="spellEnd"/>
      <w:r w:rsidRPr="00AC7833">
        <w:rPr>
          <w:bCs/>
          <w:sz w:val="20"/>
          <w:szCs w:val="20"/>
          <w:lang w:bidi="ar-EG"/>
        </w:rPr>
        <w:t xml:space="preserve"> B, </w:t>
      </w:r>
      <w:proofErr w:type="spellStart"/>
      <w:r w:rsidRPr="00AC7833">
        <w:rPr>
          <w:bCs/>
          <w:sz w:val="20"/>
          <w:szCs w:val="20"/>
          <w:lang w:bidi="ar-EG"/>
        </w:rPr>
        <w:t>Sengul</w:t>
      </w:r>
      <w:proofErr w:type="spellEnd"/>
      <w:r w:rsidRPr="00AC7833">
        <w:rPr>
          <w:bCs/>
          <w:sz w:val="20"/>
          <w:szCs w:val="20"/>
          <w:lang w:bidi="ar-EG"/>
        </w:rPr>
        <w:t xml:space="preserve"> O, </w:t>
      </w:r>
      <w:proofErr w:type="spellStart"/>
      <w:r w:rsidRPr="00AC7833">
        <w:rPr>
          <w:bCs/>
          <w:sz w:val="20"/>
          <w:szCs w:val="20"/>
          <w:lang w:bidi="ar-EG"/>
        </w:rPr>
        <w:t>Dilbaz</w:t>
      </w:r>
      <w:proofErr w:type="spellEnd"/>
      <w:r w:rsidRPr="00AC7833">
        <w:rPr>
          <w:bCs/>
          <w:sz w:val="20"/>
          <w:szCs w:val="20"/>
          <w:lang w:bidi="ar-EG"/>
        </w:rPr>
        <w:t xml:space="preserve"> B, </w:t>
      </w:r>
      <w:proofErr w:type="spellStart"/>
      <w:r w:rsidRPr="00AC7833">
        <w:rPr>
          <w:bCs/>
          <w:sz w:val="20"/>
          <w:szCs w:val="20"/>
          <w:lang w:bidi="ar-EG"/>
        </w:rPr>
        <w:t>Goktolga</w:t>
      </w:r>
      <w:proofErr w:type="spellEnd"/>
      <w:r w:rsidRPr="00AC7833">
        <w:rPr>
          <w:bCs/>
          <w:sz w:val="20"/>
          <w:szCs w:val="20"/>
          <w:lang w:bidi="ar-EG"/>
        </w:rPr>
        <w:t xml:space="preserve"> U (2015):</w:t>
      </w:r>
      <w:r w:rsidRPr="00AC7833">
        <w:rPr>
          <w:sz w:val="20"/>
          <w:szCs w:val="20"/>
          <w:lang w:bidi="ar-EG"/>
        </w:rPr>
        <w:t xml:space="preserve"> </w:t>
      </w:r>
      <w:proofErr w:type="spellStart"/>
      <w:r w:rsidRPr="00AC7833">
        <w:rPr>
          <w:sz w:val="20"/>
          <w:szCs w:val="20"/>
          <w:lang w:bidi="ar-EG"/>
        </w:rPr>
        <w:t>Clomiphene</w:t>
      </w:r>
      <w:proofErr w:type="spellEnd"/>
      <w:r w:rsidRPr="00AC7833">
        <w:rPr>
          <w:sz w:val="20"/>
          <w:szCs w:val="20"/>
          <w:lang w:bidi="ar-EG"/>
        </w:rPr>
        <w:t xml:space="preserve"> citrate ‘stair-</w:t>
      </w:r>
      <w:proofErr w:type="spellStart"/>
      <w:r w:rsidRPr="00AC7833">
        <w:rPr>
          <w:sz w:val="20"/>
          <w:szCs w:val="20"/>
          <w:lang w:bidi="ar-EG"/>
        </w:rPr>
        <w:t>step’protocol</w:t>
      </w:r>
      <w:proofErr w:type="spellEnd"/>
      <w:r w:rsidRPr="00AC7833">
        <w:rPr>
          <w:sz w:val="20"/>
          <w:szCs w:val="20"/>
          <w:lang w:bidi="ar-EG"/>
        </w:rPr>
        <w:t xml:space="preserve"> vs. traditional protocol in patients with polycystic ovary syndrome: a randomized controlled trial. Archives of gynecology and obstetrics, 291(1):179-184.‏</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Choi</w:t>
      </w:r>
      <w:proofErr w:type="spellEnd"/>
      <w:r w:rsidRPr="00AC7833">
        <w:rPr>
          <w:sz w:val="20"/>
          <w:szCs w:val="20"/>
          <w:lang w:bidi="ar-EG"/>
        </w:rPr>
        <w:t xml:space="preserve"> SH, Shapiro H, Robinson GE, Irvine J, </w:t>
      </w:r>
      <w:proofErr w:type="spellStart"/>
      <w:r w:rsidRPr="00AC7833">
        <w:rPr>
          <w:sz w:val="20"/>
          <w:szCs w:val="20"/>
          <w:lang w:bidi="ar-EG"/>
        </w:rPr>
        <w:t>Neuman</w:t>
      </w:r>
      <w:proofErr w:type="spellEnd"/>
      <w:r w:rsidRPr="00AC7833">
        <w:rPr>
          <w:sz w:val="20"/>
          <w:szCs w:val="20"/>
          <w:lang w:bidi="ar-EG"/>
        </w:rPr>
        <w:t xml:space="preserve"> J, Rosen B, et al. (2005):</w:t>
      </w:r>
      <w:r w:rsidRPr="00AC7833">
        <w:rPr>
          <w:bCs/>
          <w:sz w:val="20"/>
          <w:szCs w:val="20"/>
          <w:lang w:bidi="ar-EG"/>
        </w:rPr>
        <w:t xml:space="preserve"> Psychological side-effects of </w:t>
      </w:r>
      <w:proofErr w:type="spellStart"/>
      <w:r w:rsidRPr="00AC7833">
        <w:rPr>
          <w:bCs/>
          <w:sz w:val="20"/>
          <w:szCs w:val="20"/>
          <w:lang w:bidi="ar-EG"/>
        </w:rPr>
        <w:t>clomiphene</w:t>
      </w:r>
      <w:proofErr w:type="spellEnd"/>
      <w:r w:rsidRPr="00AC7833">
        <w:rPr>
          <w:bCs/>
          <w:sz w:val="20"/>
          <w:szCs w:val="20"/>
          <w:lang w:bidi="ar-EG"/>
        </w:rPr>
        <w:t xml:space="preserve"> citrate and human </w:t>
      </w:r>
      <w:r w:rsidRPr="00AC7833">
        <w:rPr>
          <w:bCs/>
          <w:sz w:val="20"/>
          <w:szCs w:val="20"/>
          <w:lang w:bidi="ar-EG"/>
        </w:rPr>
        <w:lastRenderedPageBreak/>
        <w:t xml:space="preserve">menopausal </w:t>
      </w:r>
      <w:proofErr w:type="spellStart"/>
      <w:r w:rsidRPr="00AC7833">
        <w:rPr>
          <w:bCs/>
          <w:sz w:val="20"/>
          <w:szCs w:val="20"/>
          <w:lang w:bidi="ar-EG"/>
        </w:rPr>
        <w:t>gonadotrophin</w:t>
      </w:r>
      <w:proofErr w:type="spellEnd"/>
      <w:r w:rsidRPr="00AC7833">
        <w:rPr>
          <w:bCs/>
          <w:sz w:val="20"/>
          <w:szCs w:val="20"/>
          <w:lang w:bidi="ar-EG"/>
        </w:rPr>
        <w:t xml:space="preserve">. J </w:t>
      </w:r>
      <w:proofErr w:type="spellStart"/>
      <w:r w:rsidRPr="00AC7833">
        <w:rPr>
          <w:bCs/>
          <w:sz w:val="20"/>
          <w:szCs w:val="20"/>
          <w:lang w:bidi="ar-EG"/>
        </w:rPr>
        <w:t>Psychosom</w:t>
      </w:r>
      <w:proofErr w:type="spellEnd"/>
      <w:r w:rsidRPr="00AC7833">
        <w:rPr>
          <w:bCs/>
          <w:sz w:val="20"/>
          <w:szCs w:val="20"/>
          <w:lang w:bidi="ar-EG"/>
        </w:rPr>
        <w:t xml:space="preserve"> </w:t>
      </w:r>
      <w:proofErr w:type="spellStart"/>
      <w:r w:rsidRPr="00AC7833">
        <w:rPr>
          <w:bCs/>
          <w:sz w:val="20"/>
          <w:szCs w:val="20"/>
          <w:lang w:bidi="ar-EG"/>
        </w:rPr>
        <w:t>Obstet</w:t>
      </w:r>
      <w:proofErr w:type="spellEnd"/>
      <w:r w:rsidRPr="00AC7833">
        <w:rPr>
          <w:bCs/>
          <w:sz w:val="20"/>
          <w:szCs w:val="20"/>
          <w:lang w:bidi="ar-EG"/>
        </w:rPr>
        <w:t xml:space="preserve"> </w:t>
      </w:r>
      <w:proofErr w:type="spellStart"/>
      <w:r w:rsidRPr="00AC7833">
        <w:rPr>
          <w:bCs/>
          <w:sz w:val="20"/>
          <w:szCs w:val="20"/>
          <w:lang w:bidi="ar-EG"/>
        </w:rPr>
        <w:t>Gynaecol</w:t>
      </w:r>
      <w:proofErr w:type="spellEnd"/>
      <w:r w:rsidRPr="00AC7833">
        <w:rPr>
          <w:bCs/>
          <w:sz w:val="20"/>
          <w:szCs w:val="20"/>
          <w:lang w:bidi="ar-EG"/>
        </w:rPr>
        <w:t>. 26:93–100.</w:t>
      </w:r>
    </w:p>
    <w:p w:rsidR="00627FF8" w:rsidRPr="00AC7833" w:rsidRDefault="00627FF8" w:rsidP="00AC7833">
      <w:pPr>
        <w:numPr>
          <w:ilvl w:val="0"/>
          <w:numId w:val="10"/>
        </w:numPr>
        <w:snapToGrid w:val="0"/>
        <w:ind w:left="425" w:hanging="425"/>
        <w:jc w:val="both"/>
        <w:rPr>
          <w:bCs/>
          <w:sz w:val="20"/>
          <w:szCs w:val="20"/>
          <w:lang w:bidi="ar-EG"/>
        </w:rPr>
      </w:pPr>
      <w:r w:rsidRPr="00AC7833">
        <w:rPr>
          <w:sz w:val="20"/>
          <w:szCs w:val="20"/>
          <w:lang w:bidi="ar-EG"/>
        </w:rPr>
        <w:t xml:space="preserve">Dickey RP, </w:t>
      </w:r>
      <w:proofErr w:type="spellStart"/>
      <w:r w:rsidRPr="00AC7833">
        <w:rPr>
          <w:sz w:val="20"/>
          <w:szCs w:val="20"/>
          <w:lang w:bidi="ar-EG"/>
        </w:rPr>
        <w:t>Olar</w:t>
      </w:r>
      <w:proofErr w:type="spellEnd"/>
      <w:r w:rsidRPr="00AC7833">
        <w:rPr>
          <w:sz w:val="20"/>
          <w:szCs w:val="20"/>
          <w:lang w:bidi="ar-EG"/>
        </w:rPr>
        <w:t xml:space="preserve"> TT, Taylor SN, </w:t>
      </w:r>
      <w:proofErr w:type="spellStart"/>
      <w:r w:rsidRPr="00AC7833">
        <w:rPr>
          <w:sz w:val="20"/>
          <w:szCs w:val="20"/>
          <w:lang w:bidi="ar-EG"/>
        </w:rPr>
        <w:t>Curole</w:t>
      </w:r>
      <w:proofErr w:type="spellEnd"/>
      <w:r w:rsidRPr="00AC7833">
        <w:rPr>
          <w:sz w:val="20"/>
          <w:szCs w:val="20"/>
          <w:lang w:bidi="ar-EG"/>
        </w:rPr>
        <w:t xml:space="preserve"> DN, </w:t>
      </w:r>
      <w:proofErr w:type="spellStart"/>
      <w:r w:rsidRPr="00AC7833">
        <w:rPr>
          <w:sz w:val="20"/>
          <w:szCs w:val="20"/>
          <w:lang w:bidi="ar-EG"/>
        </w:rPr>
        <w:t>Matulich</w:t>
      </w:r>
      <w:proofErr w:type="spellEnd"/>
      <w:r w:rsidRPr="00AC7833">
        <w:rPr>
          <w:sz w:val="20"/>
          <w:szCs w:val="20"/>
          <w:lang w:bidi="ar-EG"/>
        </w:rPr>
        <w:t xml:space="preserve"> EM (1993):</w:t>
      </w:r>
      <w:r w:rsidRPr="00AC7833">
        <w:rPr>
          <w:bCs/>
          <w:sz w:val="20"/>
          <w:szCs w:val="20"/>
          <w:lang w:bidi="ar-EG"/>
        </w:rPr>
        <w:t xml:space="preserve"> Relationship of endometrial thickness and pattern to fecundity in ovulation induction cycles: effect of </w:t>
      </w:r>
      <w:proofErr w:type="spellStart"/>
      <w:r w:rsidRPr="00AC7833">
        <w:rPr>
          <w:bCs/>
          <w:sz w:val="20"/>
          <w:szCs w:val="20"/>
          <w:lang w:bidi="ar-EG"/>
        </w:rPr>
        <w:t>clomiphene</w:t>
      </w:r>
      <w:proofErr w:type="spellEnd"/>
      <w:r w:rsidRPr="00AC7833">
        <w:rPr>
          <w:bCs/>
          <w:sz w:val="20"/>
          <w:szCs w:val="20"/>
          <w:lang w:bidi="ar-EG"/>
        </w:rPr>
        <w:t xml:space="preserve"> citrate alone and with human menopausal </w:t>
      </w:r>
      <w:proofErr w:type="spellStart"/>
      <w:r w:rsidRPr="00AC7833">
        <w:rPr>
          <w:bCs/>
          <w:sz w:val="20"/>
          <w:szCs w:val="20"/>
          <w:lang w:bidi="ar-EG"/>
        </w:rPr>
        <w:t>gonadotropin</w:t>
      </w:r>
      <w:proofErr w:type="spellEnd"/>
      <w:r w:rsidRPr="00AC7833">
        <w:rPr>
          <w:bCs/>
          <w:sz w:val="20"/>
          <w:szCs w:val="20"/>
          <w:lang w:bidi="ar-EG"/>
        </w:rPr>
        <w:t xml:space="preserve">. </w:t>
      </w:r>
      <w:proofErr w:type="spellStart"/>
      <w:r w:rsidRPr="00AC7833">
        <w:rPr>
          <w:bCs/>
          <w:sz w:val="20"/>
          <w:szCs w:val="20"/>
          <w:lang w:bidi="ar-EG"/>
        </w:rPr>
        <w:t>Fertil</w:t>
      </w:r>
      <w:proofErr w:type="spellEnd"/>
      <w:r w:rsidRPr="00AC7833">
        <w:rPr>
          <w:bCs/>
          <w:sz w:val="20"/>
          <w:szCs w:val="20"/>
          <w:lang w:bidi="ar-EG"/>
        </w:rPr>
        <w:t xml:space="preserve"> </w:t>
      </w:r>
      <w:proofErr w:type="spellStart"/>
      <w:r w:rsidRPr="00AC7833">
        <w:rPr>
          <w:bCs/>
          <w:sz w:val="20"/>
          <w:szCs w:val="20"/>
          <w:lang w:bidi="ar-EG"/>
        </w:rPr>
        <w:t>Steril</w:t>
      </w:r>
      <w:proofErr w:type="spellEnd"/>
      <w:r w:rsidRPr="00AC7833">
        <w:rPr>
          <w:bCs/>
          <w:sz w:val="20"/>
          <w:szCs w:val="20"/>
          <w:lang w:bidi="ar-EG"/>
        </w:rPr>
        <w:t>. 59:756–760.</w:t>
      </w:r>
    </w:p>
    <w:p w:rsidR="00627FF8" w:rsidRPr="00AC7833" w:rsidRDefault="00627FF8" w:rsidP="00AC7833">
      <w:pPr>
        <w:numPr>
          <w:ilvl w:val="0"/>
          <w:numId w:val="10"/>
        </w:numPr>
        <w:snapToGrid w:val="0"/>
        <w:ind w:left="425" w:hanging="425"/>
        <w:jc w:val="both"/>
        <w:rPr>
          <w:bCs/>
          <w:sz w:val="20"/>
          <w:szCs w:val="20"/>
          <w:lang w:bidi="ar-EG"/>
        </w:rPr>
      </w:pPr>
      <w:r w:rsidRPr="00AC7833">
        <w:rPr>
          <w:sz w:val="20"/>
          <w:szCs w:val="20"/>
          <w:lang w:bidi="ar-EG"/>
        </w:rPr>
        <w:t xml:space="preserve">Dickey RP, </w:t>
      </w:r>
      <w:proofErr w:type="spellStart"/>
      <w:r w:rsidRPr="00AC7833">
        <w:rPr>
          <w:sz w:val="20"/>
          <w:szCs w:val="20"/>
          <w:lang w:bidi="ar-EG"/>
        </w:rPr>
        <w:t>Olar</w:t>
      </w:r>
      <w:proofErr w:type="spellEnd"/>
      <w:r w:rsidRPr="00AC7833">
        <w:rPr>
          <w:sz w:val="20"/>
          <w:szCs w:val="20"/>
          <w:lang w:bidi="ar-EG"/>
        </w:rPr>
        <w:t xml:space="preserve"> TT, Taylor SN, </w:t>
      </w:r>
      <w:proofErr w:type="spellStart"/>
      <w:r w:rsidRPr="00AC7833">
        <w:rPr>
          <w:sz w:val="20"/>
          <w:szCs w:val="20"/>
          <w:lang w:bidi="ar-EG"/>
        </w:rPr>
        <w:t>Curole</w:t>
      </w:r>
      <w:proofErr w:type="spellEnd"/>
      <w:r w:rsidRPr="00AC7833">
        <w:rPr>
          <w:sz w:val="20"/>
          <w:szCs w:val="20"/>
          <w:lang w:bidi="ar-EG"/>
        </w:rPr>
        <w:t xml:space="preserve"> DN, Rye PH (1992):</w:t>
      </w:r>
      <w:r w:rsidRPr="00AC7833">
        <w:rPr>
          <w:bCs/>
          <w:sz w:val="20"/>
          <w:szCs w:val="20"/>
          <w:lang w:bidi="ar-EG"/>
        </w:rPr>
        <w:t xml:space="preserve"> Relationship of follicle number and other factors to </w:t>
      </w:r>
      <w:proofErr w:type="spellStart"/>
      <w:r w:rsidRPr="00AC7833">
        <w:rPr>
          <w:bCs/>
          <w:sz w:val="20"/>
          <w:szCs w:val="20"/>
          <w:lang w:bidi="ar-EG"/>
        </w:rPr>
        <w:t>fecundability</w:t>
      </w:r>
      <w:proofErr w:type="spellEnd"/>
      <w:r w:rsidRPr="00AC7833">
        <w:rPr>
          <w:bCs/>
          <w:sz w:val="20"/>
          <w:szCs w:val="20"/>
          <w:lang w:bidi="ar-EG"/>
        </w:rPr>
        <w:t xml:space="preserve"> and multiple pregnancy in </w:t>
      </w:r>
      <w:proofErr w:type="spellStart"/>
      <w:r w:rsidRPr="00AC7833">
        <w:rPr>
          <w:bCs/>
          <w:sz w:val="20"/>
          <w:szCs w:val="20"/>
          <w:lang w:bidi="ar-EG"/>
        </w:rPr>
        <w:t>clomiphene</w:t>
      </w:r>
      <w:proofErr w:type="spellEnd"/>
      <w:r w:rsidRPr="00AC7833">
        <w:rPr>
          <w:bCs/>
          <w:sz w:val="20"/>
          <w:szCs w:val="20"/>
          <w:lang w:bidi="ar-EG"/>
        </w:rPr>
        <w:t xml:space="preserve"> citrate-induced intrauterine insemination cycles. </w:t>
      </w:r>
      <w:proofErr w:type="spellStart"/>
      <w:r w:rsidRPr="00AC7833">
        <w:rPr>
          <w:bCs/>
          <w:sz w:val="20"/>
          <w:szCs w:val="20"/>
          <w:lang w:bidi="ar-EG"/>
        </w:rPr>
        <w:t>Fertil</w:t>
      </w:r>
      <w:proofErr w:type="spellEnd"/>
      <w:r w:rsidRPr="00AC7833">
        <w:rPr>
          <w:bCs/>
          <w:sz w:val="20"/>
          <w:szCs w:val="20"/>
          <w:lang w:bidi="ar-EG"/>
        </w:rPr>
        <w:t xml:space="preserve"> </w:t>
      </w:r>
      <w:proofErr w:type="spellStart"/>
      <w:r w:rsidRPr="00AC7833">
        <w:rPr>
          <w:bCs/>
          <w:sz w:val="20"/>
          <w:szCs w:val="20"/>
          <w:lang w:bidi="ar-EG"/>
        </w:rPr>
        <w:t>Steril</w:t>
      </w:r>
      <w:proofErr w:type="spellEnd"/>
      <w:r w:rsidRPr="00AC7833">
        <w:rPr>
          <w:bCs/>
          <w:sz w:val="20"/>
          <w:szCs w:val="20"/>
          <w:lang w:bidi="ar-EG"/>
        </w:rPr>
        <w:t>. 57: 613–619.</w:t>
      </w:r>
    </w:p>
    <w:p w:rsidR="00627FF8" w:rsidRPr="00AC7833" w:rsidRDefault="00627FF8" w:rsidP="00AC7833">
      <w:pPr>
        <w:numPr>
          <w:ilvl w:val="0"/>
          <w:numId w:val="10"/>
        </w:numPr>
        <w:snapToGrid w:val="0"/>
        <w:ind w:left="425" w:hanging="425"/>
        <w:jc w:val="both"/>
        <w:rPr>
          <w:bCs/>
          <w:sz w:val="20"/>
          <w:szCs w:val="20"/>
          <w:lang w:bidi="ar-EG"/>
        </w:rPr>
      </w:pPr>
      <w:r w:rsidRPr="00AC7833">
        <w:rPr>
          <w:sz w:val="20"/>
          <w:szCs w:val="20"/>
          <w:lang w:bidi="ar-EG"/>
        </w:rPr>
        <w:t xml:space="preserve">Dickey RP, Taylor SN, </w:t>
      </w:r>
      <w:proofErr w:type="spellStart"/>
      <w:r w:rsidRPr="00AC7833">
        <w:rPr>
          <w:sz w:val="20"/>
          <w:szCs w:val="20"/>
          <w:lang w:bidi="ar-EG"/>
        </w:rPr>
        <w:t>Curole</w:t>
      </w:r>
      <w:proofErr w:type="spellEnd"/>
      <w:r w:rsidRPr="00AC7833">
        <w:rPr>
          <w:sz w:val="20"/>
          <w:szCs w:val="20"/>
          <w:lang w:bidi="ar-EG"/>
        </w:rPr>
        <w:t xml:space="preserve"> DN, Rye PH, Lu PY, </w:t>
      </w:r>
      <w:proofErr w:type="spellStart"/>
      <w:r w:rsidRPr="00AC7833">
        <w:rPr>
          <w:sz w:val="20"/>
          <w:szCs w:val="20"/>
          <w:lang w:bidi="ar-EG"/>
        </w:rPr>
        <w:t>Pyrzak</w:t>
      </w:r>
      <w:proofErr w:type="spellEnd"/>
      <w:r w:rsidRPr="00AC7833">
        <w:rPr>
          <w:sz w:val="20"/>
          <w:szCs w:val="20"/>
          <w:lang w:bidi="ar-EG"/>
        </w:rPr>
        <w:t xml:space="preserve"> R (1997):</w:t>
      </w:r>
      <w:r w:rsidRPr="00AC7833">
        <w:rPr>
          <w:bCs/>
          <w:sz w:val="20"/>
          <w:szCs w:val="20"/>
          <w:lang w:bidi="ar-EG"/>
        </w:rPr>
        <w:t xml:space="preserve"> Relationship of </w:t>
      </w:r>
      <w:proofErr w:type="spellStart"/>
      <w:r w:rsidRPr="00AC7833">
        <w:rPr>
          <w:bCs/>
          <w:sz w:val="20"/>
          <w:szCs w:val="20"/>
          <w:lang w:bidi="ar-EG"/>
        </w:rPr>
        <w:t>clomiphene</w:t>
      </w:r>
      <w:proofErr w:type="spellEnd"/>
      <w:r w:rsidRPr="00AC7833">
        <w:rPr>
          <w:bCs/>
          <w:sz w:val="20"/>
          <w:szCs w:val="20"/>
          <w:lang w:bidi="ar-EG"/>
        </w:rPr>
        <w:t xml:space="preserve"> dose and patient weight to successful treatment. Human Reproduction, 12(3): 449-453.</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Farhi</w:t>
      </w:r>
      <w:proofErr w:type="spellEnd"/>
      <w:r w:rsidRPr="00AC7833">
        <w:rPr>
          <w:sz w:val="20"/>
          <w:szCs w:val="20"/>
          <w:lang w:bidi="ar-EG"/>
        </w:rPr>
        <w:t xml:space="preserve"> J, </w:t>
      </w:r>
      <w:proofErr w:type="spellStart"/>
      <w:r w:rsidRPr="00AC7833">
        <w:rPr>
          <w:sz w:val="20"/>
          <w:szCs w:val="20"/>
          <w:lang w:bidi="ar-EG"/>
        </w:rPr>
        <w:t>Orvieto</w:t>
      </w:r>
      <w:proofErr w:type="spellEnd"/>
      <w:r w:rsidRPr="00AC7833">
        <w:rPr>
          <w:sz w:val="20"/>
          <w:szCs w:val="20"/>
          <w:lang w:bidi="ar-EG"/>
        </w:rPr>
        <w:t xml:space="preserve"> R, Homburg R (2010):</w:t>
      </w:r>
      <w:r w:rsidRPr="00AC7833">
        <w:rPr>
          <w:bCs/>
          <w:sz w:val="20"/>
          <w:szCs w:val="20"/>
          <w:lang w:bidi="ar-EG"/>
        </w:rPr>
        <w:t xml:space="preserve"> Administration of </w:t>
      </w:r>
      <w:proofErr w:type="spellStart"/>
      <w:r w:rsidRPr="00AC7833">
        <w:rPr>
          <w:bCs/>
          <w:sz w:val="20"/>
          <w:szCs w:val="20"/>
          <w:lang w:bidi="ar-EG"/>
        </w:rPr>
        <w:t>clomiphene</w:t>
      </w:r>
      <w:proofErr w:type="spellEnd"/>
      <w:r w:rsidRPr="00AC7833">
        <w:rPr>
          <w:bCs/>
          <w:sz w:val="20"/>
          <w:szCs w:val="20"/>
          <w:lang w:bidi="ar-EG"/>
        </w:rPr>
        <w:t xml:space="preserve"> </w:t>
      </w:r>
      <w:proofErr w:type="spellStart"/>
      <w:r w:rsidRPr="00AC7833">
        <w:rPr>
          <w:bCs/>
          <w:sz w:val="20"/>
          <w:szCs w:val="20"/>
          <w:lang w:bidi="ar-EG"/>
        </w:rPr>
        <w:t>citrare</w:t>
      </w:r>
      <w:proofErr w:type="spellEnd"/>
      <w:r w:rsidRPr="00AC7833">
        <w:rPr>
          <w:bCs/>
          <w:sz w:val="20"/>
          <w:szCs w:val="20"/>
          <w:lang w:bidi="ar-EG"/>
        </w:rPr>
        <w:t xml:space="preserve"> in patients with polycystic ovary syndrome without inducing withdrawal bleeding, achieves comparable treatment characteristics and outcome. </w:t>
      </w:r>
      <w:proofErr w:type="spellStart"/>
      <w:r w:rsidRPr="00AC7833">
        <w:rPr>
          <w:bCs/>
          <w:sz w:val="20"/>
          <w:szCs w:val="20"/>
          <w:lang w:bidi="ar-EG"/>
        </w:rPr>
        <w:t>Fertil</w:t>
      </w:r>
      <w:proofErr w:type="spellEnd"/>
      <w:r w:rsidRPr="00AC7833">
        <w:rPr>
          <w:bCs/>
          <w:sz w:val="20"/>
          <w:szCs w:val="20"/>
          <w:lang w:bidi="ar-EG"/>
        </w:rPr>
        <w:t xml:space="preserve"> </w:t>
      </w:r>
      <w:proofErr w:type="spellStart"/>
      <w:r w:rsidRPr="00AC7833">
        <w:rPr>
          <w:bCs/>
          <w:sz w:val="20"/>
          <w:szCs w:val="20"/>
          <w:lang w:bidi="ar-EG"/>
        </w:rPr>
        <w:t>Steril</w:t>
      </w:r>
      <w:proofErr w:type="spellEnd"/>
      <w:r w:rsidRPr="00AC7833">
        <w:rPr>
          <w:bCs/>
          <w:sz w:val="20"/>
          <w:szCs w:val="20"/>
          <w:lang w:bidi="ar-EG"/>
        </w:rPr>
        <w:t>. 93(6): 2077-9.</w:t>
      </w:r>
    </w:p>
    <w:p w:rsidR="00627FF8" w:rsidRPr="00AC7833" w:rsidRDefault="00627FF8" w:rsidP="00AC7833">
      <w:pPr>
        <w:numPr>
          <w:ilvl w:val="0"/>
          <w:numId w:val="10"/>
        </w:numPr>
        <w:snapToGrid w:val="0"/>
        <w:ind w:left="425" w:hanging="425"/>
        <w:jc w:val="both"/>
        <w:rPr>
          <w:bCs/>
          <w:sz w:val="20"/>
          <w:szCs w:val="20"/>
          <w:lang w:bidi="ar-EG"/>
        </w:rPr>
      </w:pPr>
      <w:r w:rsidRPr="00AC7833">
        <w:rPr>
          <w:sz w:val="20"/>
          <w:szCs w:val="20"/>
          <w:lang w:bidi="ar-EG"/>
        </w:rPr>
        <w:t xml:space="preserve">Fritz MA and </w:t>
      </w:r>
      <w:proofErr w:type="spellStart"/>
      <w:r w:rsidRPr="00AC7833">
        <w:rPr>
          <w:sz w:val="20"/>
          <w:szCs w:val="20"/>
          <w:lang w:bidi="ar-EG"/>
        </w:rPr>
        <w:t>Speroff</w:t>
      </w:r>
      <w:proofErr w:type="spellEnd"/>
      <w:r w:rsidRPr="00AC7833">
        <w:rPr>
          <w:sz w:val="20"/>
          <w:szCs w:val="20"/>
          <w:lang w:bidi="ar-EG"/>
        </w:rPr>
        <w:t xml:space="preserve"> L (2011):</w:t>
      </w:r>
      <w:r w:rsidRPr="00AC7833">
        <w:rPr>
          <w:bCs/>
          <w:sz w:val="20"/>
          <w:szCs w:val="20"/>
          <w:lang w:bidi="ar-EG"/>
        </w:rPr>
        <w:t xml:space="preserve"> Clinical gynecologic endocrinology and infertility, 8th </w:t>
      </w:r>
      <w:proofErr w:type="spellStart"/>
      <w:r w:rsidRPr="00AC7833">
        <w:rPr>
          <w:bCs/>
          <w:sz w:val="20"/>
          <w:szCs w:val="20"/>
          <w:lang w:bidi="ar-EG"/>
        </w:rPr>
        <w:t>edn</w:t>
      </w:r>
      <w:proofErr w:type="spellEnd"/>
      <w:r w:rsidRPr="00AC7833">
        <w:rPr>
          <w:bCs/>
          <w:sz w:val="20"/>
          <w:szCs w:val="20"/>
          <w:lang w:bidi="ar-EG"/>
        </w:rPr>
        <w:t>. Lippincott Williams &amp; Wilkins, Philadelphia.</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Haritha</w:t>
      </w:r>
      <w:proofErr w:type="spellEnd"/>
      <w:r w:rsidRPr="00AC7833">
        <w:rPr>
          <w:sz w:val="20"/>
          <w:szCs w:val="20"/>
          <w:lang w:bidi="ar-EG"/>
        </w:rPr>
        <w:t xml:space="preserve"> S and </w:t>
      </w:r>
      <w:proofErr w:type="spellStart"/>
      <w:r w:rsidRPr="00AC7833">
        <w:rPr>
          <w:sz w:val="20"/>
          <w:szCs w:val="20"/>
          <w:lang w:bidi="ar-EG"/>
        </w:rPr>
        <w:t>Rajagopalan</w:t>
      </w:r>
      <w:proofErr w:type="spellEnd"/>
      <w:r w:rsidRPr="00AC7833">
        <w:rPr>
          <w:sz w:val="20"/>
          <w:szCs w:val="20"/>
          <w:lang w:bidi="ar-EG"/>
        </w:rPr>
        <w:t xml:space="preserve"> G (2003):</w:t>
      </w:r>
      <w:r w:rsidRPr="00AC7833">
        <w:rPr>
          <w:bCs/>
          <w:sz w:val="20"/>
          <w:szCs w:val="20"/>
          <w:lang w:bidi="ar-EG"/>
        </w:rPr>
        <w:t xml:space="preserve"> Follicular growth, endometrial thickness, and serum </w:t>
      </w:r>
      <w:proofErr w:type="spellStart"/>
      <w:r w:rsidRPr="00AC7833">
        <w:rPr>
          <w:bCs/>
          <w:sz w:val="20"/>
          <w:szCs w:val="20"/>
          <w:lang w:bidi="ar-EG"/>
        </w:rPr>
        <w:t>estradiol</w:t>
      </w:r>
      <w:proofErr w:type="spellEnd"/>
      <w:r w:rsidRPr="00AC7833">
        <w:rPr>
          <w:bCs/>
          <w:sz w:val="20"/>
          <w:szCs w:val="20"/>
          <w:lang w:bidi="ar-EG"/>
        </w:rPr>
        <w:t xml:space="preserve"> levels in spontaneous and </w:t>
      </w:r>
      <w:proofErr w:type="spellStart"/>
      <w:r w:rsidRPr="00AC7833">
        <w:rPr>
          <w:bCs/>
          <w:sz w:val="20"/>
          <w:szCs w:val="20"/>
          <w:lang w:bidi="ar-EG"/>
        </w:rPr>
        <w:t>clomiphene</w:t>
      </w:r>
      <w:proofErr w:type="spellEnd"/>
      <w:r w:rsidRPr="00AC7833">
        <w:rPr>
          <w:bCs/>
          <w:sz w:val="20"/>
          <w:szCs w:val="20"/>
          <w:lang w:bidi="ar-EG"/>
        </w:rPr>
        <w:t xml:space="preserve"> citrate-induced cycles. </w:t>
      </w:r>
      <w:proofErr w:type="spellStart"/>
      <w:r w:rsidRPr="00AC7833">
        <w:rPr>
          <w:bCs/>
          <w:sz w:val="20"/>
          <w:szCs w:val="20"/>
          <w:lang w:bidi="ar-EG"/>
        </w:rPr>
        <w:t>Int</w:t>
      </w:r>
      <w:proofErr w:type="spellEnd"/>
      <w:r w:rsidRPr="00AC7833">
        <w:rPr>
          <w:bCs/>
          <w:sz w:val="20"/>
          <w:szCs w:val="20"/>
          <w:lang w:bidi="ar-EG"/>
        </w:rPr>
        <w:t xml:space="preserve"> J </w:t>
      </w:r>
      <w:proofErr w:type="spellStart"/>
      <w:r w:rsidRPr="00AC7833">
        <w:rPr>
          <w:bCs/>
          <w:sz w:val="20"/>
          <w:szCs w:val="20"/>
          <w:lang w:bidi="ar-EG"/>
        </w:rPr>
        <w:t>Gynaecol</w:t>
      </w:r>
      <w:proofErr w:type="spellEnd"/>
      <w:r w:rsidRPr="00AC7833">
        <w:rPr>
          <w:bCs/>
          <w:sz w:val="20"/>
          <w:szCs w:val="20"/>
          <w:lang w:bidi="ar-EG"/>
        </w:rPr>
        <w:t xml:space="preserve"> Obstet. 81(3):287–292.</w:t>
      </w:r>
    </w:p>
    <w:p w:rsidR="00627FF8" w:rsidRPr="00AC7833" w:rsidRDefault="00627FF8" w:rsidP="00AC7833">
      <w:pPr>
        <w:numPr>
          <w:ilvl w:val="0"/>
          <w:numId w:val="10"/>
        </w:numPr>
        <w:snapToGrid w:val="0"/>
        <w:ind w:left="425" w:hanging="425"/>
        <w:jc w:val="both"/>
        <w:rPr>
          <w:bCs/>
          <w:sz w:val="20"/>
          <w:szCs w:val="20"/>
          <w:lang w:bidi="ar-EG"/>
        </w:rPr>
      </w:pPr>
      <w:r w:rsidRPr="00AC7833">
        <w:rPr>
          <w:sz w:val="20"/>
          <w:szCs w:val="20"/>
          <w:lang w:bidi="ar-EG"/>
        </w:rPr>
        <w:t>Homburg R (2003):</w:t>
      </w:r>
      <w:r w:rsidRPr="00AC7833">
        <w:rPr>
          <w:bCs/>
          <w:sz w:val="20"/>
          <w:szCs w:val="20"/>
          <w:lang w:bidi="ar-EG"/>
        </w:rPr>
        <w:t xml:space="preserve"> The management of infertility associated with polycystic ovary syndrome. </w:t>
      </w:r>
      <w:proofErr w:type="spellStart"/>
      <w:r w:rsidRPr="00AC7833">
        <w:rPr>
          <w:bCs/>
          <w:sz w:val="20"/>
          <w:szCs w:val="20"/>
          <w:lang w:bidi="ar-EG"/>
        </w:rPr>
        <w:t>Reprod</w:t>
      </w:r>
      <w:proofErr w:type="spellEnd"/>
      <w:r w:rsidRPr="00AC7833">
        <w:rPr>
          <w:bCs/>
          <w:sz w:val="20"/>
          <w:szCs w:val="20"/>
          <w:lang w:bidi="ar-EG"/>
        </w:rPr>
        <w:t xml:space="preserve"> </w:t>
      </w:r>
      <w:proofErr w:type="spellStart"/>
      <w:r w:rsidRPr="00AC7833">
        <w:rPr>
          <w:bCs/>
          <w:sz w:val="20"/>
          <w:szCs w:val="20"/>
          <w:lang w:bidi="ar-EG"/>
        </w:rPr>
        <w:t>Biol</w:t>
      </w:r>
      <w:proofErr w:type="spellEnd"/>
      <w:r w:rsidRPr="00AC7833">
        <w:rPr>
          <w:bCs/>
          <w:sz w:val="20"/>
          <w:szCs w:val="20"/>
          <w:lang w:bidi="ar-EG"/>
        </w:rPr>
        <w:t xml:space="preserve"> </w:t>
      </w:r>
      <w:proofErr w:type="spellStart"/>
      <w:r w:rsidRPr="00AC7833">
        <w:rPr>
          <w:bCs/>
          <w:sz w:val="20"/>
          <w:szCs w:val="20"/>
          <w:lang w:bidi="ar-EG"/>
        </w:rPr>
        <w:t>Endocrinol</w:t>
      </w:r>
      <w:proofErr w:type="spellEnd"/>
      <w:r w:rsidRPr="00AC7833">
        <w:rPr>
          <w:bCs/>
          <w:sz w:val="20"/>
          <w:szCs w:val="20"/>
          <w:lang w:bidi="ar-EG"/>
        </w:rPr>
        <w:t>, 1:109.</w:t>
      </w:r>
    </w:p>
    <w:p w:rsidR="00627FF8" w:rsidRPr="00AC7833" w:rsidRDefault="00627FF8" w:rsidP="00AC7833">
      <w:pPr>
        <w:numPr>
          <w:ilvl w:val="0"/>
          <w:numId w:val="10"/>
        </w:numPr>
        <w:snapToGrid w:val="0"/>
        <w:ind w:left="425" w:hanging="425"/>
        <w:jc w:val="both"/>
        <w:rPr>
          <w:bCs/>
          <w:sz w:val="20"/>
          <w:szCs w:val="20"/>
          <w:lang w:bidi="ar-EG"/>
        </w:rPr>
      </w:pPr>
      <w:r w:rsidRPr="00AC7833">
        <w:rPr>
          <w:bCs/>
          <w:sz w:val="20"/>
          <w:szCs w:val="20"/>
          <w:lang w:bidi="ar-EG"/>
        </w:rPr>
        <w:t xml:space="preserve">Hurst BS, Hickman JM, Matthews ML, </w:t>
      </w:r>
      <w:proofErr w:type="spellStart"/>
      <w:r w:rsidRPr="00AC7833">
        <w:rPr>
          <w:bCs/>
          <w:sz w:val="20"/>
          <w:szCs w:val="20"/>
          <w:lang w:bidi="ar-EG"/>
        </w:rPr>
        <w:t>Usadi</w:t>
      </w:r>
      <w:proofErr w:type="spellEnd"/>
      <w:r w:rsidRPr="00AC7833">
        <w:rPr>
          <w:bCs/>
          <w:sz w:val="20"/>
          <w:szCs w:val="20"/>
          <w:lang w:bidi="ar-EG"/>
        </w:rPr>
        <w:t xml:space="preserve"> RS, </w:t>
      </w:r>
      <w:proofErr w:type="spellStart"/>
      <w:r w:rsidRPr="00AC7833">
        <w:rPr>
          <w:bCs/>
          <w:sz w:val="20"/>
          <w:szCs w:val="20"/>
          <w:lang w:bidi="ar-EG"/>
        </w:rPr>
        <w:t>Marshburn</w:t>
      </w:r>
      <w:proofErr w:type="spellEnd"/>
      <w:r w:rsidRPr="00AC7833">
        <w:rPr>
          <w:bCs/>
          <w:sz w:val="20"/>
          <w:szCs w:val="20"/>
          <w:lang w:bidi="ar-EG"/>
        </w:rPr>
        <w:t xml:space="preserve"> PB (2009): Novel </w:t>
      </w:r>
      <w:proofErr w:type="spellStart"/>
      <w:r w:rsidRPr="00AC7833">
        <w:rPr>
          <w:bCs/>
          <w:sz w:val="20"/>
          <w:szCs w:val="20"/>
          <w:lang w:bidi="ar-EG"/>
        </w:rPr>
        <w:t>clomiphene</w:t>
      </w:r>
      <w:proofErr w:type="spellEnd"/>
      <w:r w:rsidRPr="00AC7833">
        <w:rPr>
          <w:bCs/>
          <w:sz w:val="20"/>
          <w:szCs w:val="20"/>
          <w:lang w:bidi="ar-EG"/>
        </w:rPr>
        <w:t xml:space="preserve"> ‘‘stair-step’’ protocol reduces time to ovulation citrate in women with polycystic ovarian syndrome. Am J </w:t>
      </w:r>
      <w:proofErr w:type="spellStart"/>
      <w:r w:rsidRPr="00AC7833">
        <w:rPr>
          <w:bCs/>
          <w:sz w:val="20"/>
          <w:szCs w:val="20"/>
          <w:lang w:bidi="ar-EG"/>
        </w:rPr>
        <w:t>Obstet</w:t>
      </w:r>
      <w:proofErr w:type="spellEnd"/>
      <w:r w:rsidRPr="00AC7833">
        <w:rPr>
          <w:bCs/>
          <w:sz w:val="20"/>
          <w:szCs w:val="20"/>
          <w:lang w:bidi="ar-EG"/>
        </w:rPr>
        <w:t xml:space="preserve"> </w:t>
      </w:r>
      <w:proofErr w:type="spellStart"/>
      <w:r w:rsidRPr="00AC7833">
        <w:rPr>
          <w:bCs/>
          <w:sz w:val="20"/>
          <w:szCs w:val="20"/>
          <w:lang w:bidi="ar-EG"/>
        </w:rPr>
        <w:t>Gynecol</w:t>
      </w:r>
      <w:proofErr w:type="spellEnd"/>
      <w:r w:rsidRPr="00AC7833">
        <w:rPr>
          <w:bCs/>
          <w:sz w:val="20"/>
          <w:szCs w:val="20"/>
          <w:lang w:bidi="ar-EG"/>
        </w:rPr>
        <w:t>, 200(5):510–510.</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bCs/>
          <w:sz w:val="20"/>
          <w:szCs w:val="20"/>
          <w:lang w:bidi="ar-EG"/>
        </w:rPr>
        <w:t>Imani</w:t>
      </w:r>
      <w:proofErr w:type="spellEnd"/>
      <w:r w:rsidRPr="00AC7833">
        <w:rPr>
          <w:bCs/>
          <w:sz w:val="20"/>
          <w:szCs w:val="20"/>
          <w:lang w:bidi="ar-EG"/>
        </w:rPr>
        <w:t xml:space="preserve"> B, </w:t>
      </w:r>
      <w:proofErr w:type="spellStart"/>
      <w:r w:rsidRPr="00AC7833">
        <w:rPr>
          <w:bCs/>
          <w:sz w:val="20"/>
          <w:szCs w:val="20"/>
          <w:lang w:bidi="ar-EG"/>
        </w:rPr>
        <w:t>Eijkemans</w:t>
      </w:r>
      <w:proofErr w:type="spellEnd"/>
      <w:r w:rsidRPr="00AC7833">
        <w:rPr>
          <w:bCs/>
          <w:sz w:val="20"/>
          <w:szCs w:val="20"/>
          <w:lang w:bidi="ar-EG"/>
        </w:rPr>
        <w:t xml:space="preserve"> MJ, </w:t>
      </w:r>
      <w:proofErr w:type="spellStart"/>
      <w:r w:rsidRPr="00AC7833">
        <w:rPr>
          <w:bCs/>
          <w:sz w:val="20"/>
          <w:szCs w:val="20"/>
          <w:lang w:bidi="ar-EG"/>
        </w:rPr>
        <w:t>Faessen</w:t>
      </w:r>
      <w:proofErr w:type="spellEnd"/>
      <w:r w:rsidRPr="00AC7833">
        <w:rPr>
          <w:bCs/>
          <w:sz w:val="20"/>
          <w:szCs w:val="20"/>
          <w:lang w:bidi="ar-EG"/>
        </w:rPr>
        <w:t xml:space="preserve"> GH, Bouchard P, </w:t>
      </w:r>
      <w:proofErr w:type="spellStart"/>
      <w:r w:rsidRPr="00AC7833">
        <w:rPr>
          <w:bCs/>
          <w:sz w:val="20"/>
          <w:szCs w:val="20"/>
          <w:lang w:bidi="ar-EG"/>
        </w:rPr>
        <w:t>Giudice</w:t>
      </w:r>
      <w:proofErr w:type="spellEnd"/>
      <w:r w:rsidRPr="00AC7833">
        <w:rPr>
          <w:bCs/>
          <w:sz w:val="20"/>
          <w:szCs w:val="20"/>
          <w:lang w:bidi="ar-EG"/>
        </w:rPr>
        <w:t xml:space="preserve"> LC, </w:t>
      </w:r>
      <w:proofErr w:type="spellStart"/>
      <w:r w:rsidRPr="00AC7833">
        <w:rPr>
          <w:bCs/>
          <w:sz w:val="20"/>
          <w:szCs w:val="20"/>
          <w:lang w:bidi="ar-EG"/>
        </w:rPr>
        <w:t>Fauser</w:t>
      </w:r>
      <w:proofErr w:type="spellEnd"/>
      <w:r w:rsidRPr="00AC7833">
        <w:rPr>
          <w:bCs/>
          <w:sz w:val="20"/>
          <w:szCs w:val="20"/>
          <w:lang w:bidi="ar-EG"/>
        </w:rPr>
        <w:t xml:space="preserve"> BC (2002) Prediction of the individual follicle-stimulating hormone threshold for </w:t>
      </w:r>
      <w:proofErr w:type="spellStart"/>
      <w:r w:rsidRPr="00AC7833">
        <w:rPr>
          <w:bCs/>
          <w:sz w:val="20"/>
          <w:szCs w:val="20"/>
          <w:lang w:bidi="ar-EG"/>
        </w:rPr>
        <w:t>gonadotropin</w:t>
      </w:r>
      <w:proofErr w:type="spellEnd"/>
      <w:r w:rsidRPr="00AC7833">
        <w:rPr>
          <w:bCs/>
          <w:sz w:val="20"/>
          <w:szCs w:val="20"/>
          <w:lang w:bidi="ar-EG"/>
        </w:rPr>
        <w:t xml:space="preserve"> induction of ovulation in </w:t>
      </w:r>
      <w:proofErr w:type="spellStart"/>
      <w:r w:rsidRPr="00AC7833">
        <w:rPr>
          <w:bCs/>
          <w:sz w:val="20"/>
          <w:szCs w:val="20"/>
          <w:lang w:bidi="ar-EG"/>
        </w:rPr>
        <w:t>normogonadotropic</w:t>
      </w:r>
      <w:proofErr w:type="spellEnd"/>
      <w:r w:rsidRPr="00AC7833">
        <w:rPr>
          <w:bCs/>
          <w:sz w:val="20"/>
          <w:szCs w:val="20"/>
          <w:lang w:bidi="ar-EG"/>
        </w:rPr>
        <w:t xml:space="preserve"> </w:t>
      </w:r>
      <w:proofErr w:type="spellStart"/>
      <w:r w:rsidRPr="00AC7833">
        <w:rPr>
          <w:bCs/>
          <w:sz w:val="20"/>
          <w:szCs w:val="20"/>
          <w:lang w:bidi="ar-EG"/>
        </w:rPr>
        <w:t>anovulatory</w:t>
      </w:r>
      <w:proofErr w:type="spellEnd"/>
      <w:r w:rsidRPr="00AC7833">
        <w:rPr>
          <w:bCs/>
          <w:sz w:val="20"/>
          <w:szCs w:val="20"/>
          <w:lang w:bidi="ar-EG"/>
        </w:rPr>
        <w:t xml:space="preserve"> infertility: an approach to increase safety and efficiency. Italic Bold, 77:83–90.</w:t>
      </w:r>
    </w:p>
    <w:p w:rsidR="00627FF8" w:rsidRPr="00AC7833" w:rsidRDefault="00627FF8" w:rsidP="00AC7833">
      <w:pPr>
        <w:numPr>
          <w:ilvl w:val="0"/>
          <w:numId w:val="10"/>
        </w:numPr>
        <w:snapToGrid w:val="0"/>
        <w:ind w:left="425" w:hanging="425"/>
        <w:jc w:val="both"/>
        <w:rPr>
          <w:bCs/>
          <w:sz w:val="20"/>
          <w:szCs w:val="20"/>
          <w:lang w:bidi="ar-EG"/>
        </w:rPr>
      </w:pPr>
      <w:r w:rsidRPr="00AC7833">
        <w:rPr>
          <w:sz w:val="20"/>
          <w:szCs w:val="20"/>
          <w:lang w:bidi="ar-EG"/>
        </w:rPr>
        <w:t xml:space="preserve">Kurosawa T, </w:t>
      </w:r>
      <w:proofErr w:type="spellStart"/>
      <w:r w:rsidRPr="00AC7833">
        <w:rPr>
          <w:sz w:val="20"/>
          <w:szCs w:val="20"/>
          <w:lang w:bidi="ar-EG"/>
        </w:rPr>
        <w:t>Hiroi</w:t>
      </w:r>
      <w:proofErr w:type="spellEnd"/>
      <w:r w:rsidRPr="00AC7833">
        <w:rPr>
          <w:sz w:val="20"/>
          <w:szCs w:val="20"/>
          <w:lang w:bidi="ar-EG"/>
        </w:rPr>
        <w:t xml:space="preserve"> H, </w:t>
      </w:r>
      <w:proofErr w:type="spellStart"/>
      <w:r w:rsidRPr="00AC7833">
        <w:rPr>
          <w:sz w:val="20"/>
          <w:szCs w:val="20"/>
          <w:lang w:bidi="ar-EG"/>
        </w:rPr>
        <w:t>Momoeda</w:t>
      </w:r>
      <w:proofErr w:type="spellEnd"/>
      <w:r w:rsidRPr="00AC7833">
        <w:rPr>
          <w:sz w:val="20"/>
          <w:szCs w:val="20"/>
          <w:lang w:bidi="ar-EG"/>
        </w:rPr>
        <w:t xml:space="preserve"> M, Inoue S, </w:t>
      </w:r>
      <w:proofErr w:type="spellStart"/>
      <w:r w:rsidRPr="00AC7833">
        <w:rPr>
          <w:sz w:val="20"/>
          <w:szCs w:val="20"/>
          <w:lang w:bidi="ar-EG"/>
        </w:rPr>
        <w:t>Taketani</w:t>
      </w:r>
      <w:proofErr w:type="spellEnd"/>
      <w:r w:rsidRPr="00AC7833">
        <w:rPr>
          <w:sz w:val="20"/>
          <w:szCs w:val="20"/>
          <w:lang w:bidi="ar-EG"/>
        </w:rPr>
        <w:t xml:space="preserve"> Y (2010):</w:t>
      </w:r>
      <w:r w:rsidRPr="00AC7833">
        <w:rPr>
          <w:bCs/>
          <w:sz w:val="20"/>
          <w:szCs w:val="20"/>
          <w:lang w:bidi="ar-EG"/>
        </w:rPr>
        <w:t xml:space="preserve"> </w:t>
      </w:r>
      <w:proofErr w:type="spellStart"/>
      <w:r w:rsidRPr="00AC7833">
        <w:rPr>
          <w:bCs/>
          <w:sz w:val="20"/>
          <w:szCs w:val="20"/>
          <w:lang w:bidi="ar-EG"/>
        </w:rPr>
        <w:t>Clomiphene</w:t>
      </w:r>
      <w:proofErr w:type="spellEnd"/>
      <w:r w:rsidRPr="00AC7833">
        <w:rPr>
          <w:bCs/>
          <w:sz w:val="20"/>
          <w:szCs w:val="20"/>
          <w:lang w:bidi="ar-EG"/>
        </w:rPr>
        <w:t xml:space="preserve"> citrate elicits estrogen agonistic/antagonistic effects differentially via estrogen receptors alpha and beta. </w:t>
      </w:r>
      <w:proofErr w:type="spellStart"/>
      <w:r w:rsidRPr="00AC7833">
        <w:rPr>
          <w:bCs/>
          <w:sz w:val="20"/>
          <w:szCs w:val="20"/>
          <w:lang w:bidi="ar-EG"/>
        </w:rPr>
        <w:t>Endocr</w:t>
      </w:r>
      <w:proofErr w:type="spellEnd"/>
      <w:r w:rsidRPr="00AC7833">
        <w:rPr>
          <w:bCs/>
          <w:sz w:val="20"/>
          <w:szCs w:val="20"/>
          <w:lang w:bidi="ar-EG"/>
        </w:rPr>
        <w:t xml:space="preserve"> J 57(6):517–521.</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Mikkelson</w:t>
      </w:r>
      <w:proofErr w:type="spellEnd"/>
      <w:r w:rsidRPr="00AC7833">
        <w:rPr>
          <w:sz w:val="20"/>
          <w:szCs w:val="20"/>
          <w:lang w:bidi="ar-EG"/>
        </w:rPr>
        <w:t xml:space="preserve"> TJ, </w:t>
      </w:r>
      <w:proofErr w:type="spellStart"/>
      <w:r w:rsidRPr="00AC7833">
        <w:rPr>
          <w:sz w:val="20"/>
          <w:szCs w:val="20"/>
          <w:lang w:bidi="ar-EG"/>
        </w:rPr>
        <w:t>Kroboth</w:t>
      </w:r>
      <w:proofErr w:type="spellEnd"/>
      <w:r w:rsidRPr="00AC7833">
        <w:rPr>
          <w:sz w:val="20"/>
          <w:szCs w:val="20"/>
          <w:lang w:bidi="ar-EG"/>
        </w:rPr>
        <w:t xml:space="preserve"> PD, Cameron WJ, </w:t>
      </w:r>
      <w:proofErr w:type="spellStart"/>
      <w:r w:rsidRPr="00AC7833">
        <w:rPr>
          <w:sz w:val="20"/>
          <w:szCs w:val="20"/>
          <w:lang w:bidi="ar-EG"/>
        </w:rPr>
        <w:t>Dittert</w:t>
      </w:r>
      <w:proofErr w:type="spellEnd"/>
      <w:r w:rsidRPr="00AC7833">
        <w:rPr>
          <w:sz w:val="20"/>
          <w:szCs w:val="20"/>
          <w:lang w:bidi="ar-EG"/>
        </w:rPr>
        <w:t xml:space="preserve"> LW, </w:t>
      </w:r>
      <w:proofErr w:type="spellStart"/>
      <w:r w:rsidRPr="00AC7833">
        <w:rPr>
          <w:sz w:val="20"/>
          <w:szCs w:val="20"/>
          <w:lang w:bidi="ar-EG"/>
        </w:rPr>
        <w:t>Chungi</w:t>
      </w:r>
      <w:proofErr w:type="spellEnd"/>
      <w:r w:rsidRPr="00AC7833">
        <w:rPr>
          <w:sz w:val="20"/>
          <w:szCs w:val="20"/>
          <w:lang w:bidi="ar-EG"/>
        </w:rPr>
        <w:t xml:space="preserve"> V, </w:t>
      </w:r>
      <w:proofErr w:type="spellStart"/>
      <w:r w:rsidRPr="00AC7833">
        <w:rPr>
          <w:sz w:val="20"/>
          <w:szCs w:val="20"/>
          <w:lang w:bidi="ar-EG"/>
        </w:rPr>
        <w:t>Manberg</w:t>
      </w:r>
      <w:proofErr w:type="spellEnd"/>
      <w:r w:rsidRPr="00AC7833">
        <w:rPr>
          <w:sz w:val="20"/>
          <w:szCs w:val="20"/>
          <w:lang w:bidi="ar-EG"/>
        </w:rPr>
        <w:t xml:space="preserve"> PJ (1986): </w:t>
      </w:r>
      <w:r w:rsidRPr="00AC7833">
        <w:rPr>
          <w:bCs/>
          <w:sz w:val="20"/>
          <w:szCs w:val="20"/>
          <w:lang w:bidi="ar-EG"/>
        </w:rPr>
        <w:t xml:space="preserve">Single-dose </w:t>
      </w:r>
      <w:r w:rsidRPr="00AC7833">
        <w:rPr>
          <w:bCs/>
          <w:sz w:val="20"/>
          <w:szCs w:val="20"/>
          <w:lang w:bidi="ar-EG"/>
        </w:rPr>
        <w:lastRenderedPageBreak/>
        <w:t xml:space="preserve">pharmacokinetics of </w:t>
      </w:r>
      <w:proofErr w:type="spellStart"/>
      <w:r w:rsidRPr="00AC7833">
        <w:rPr>
          <w:bCs/>
          <w:sz w:val="20"/>
          <w:szCs w:val="20"/>
          <w:lang w:bidi="ar-EG"/>
        </w:rPr>
        <w:t>clomiphene</w:t>
      </w:r>
      <w:proofErr w:type="spellEnd"/>
      <w:r w:rsidRPr="00AC7833">
        <w:rPr>
          <w:bCs/>
          <w:sz w:val="20"/>
          <w:szCs w:val="20"/>
          <w:lang w:bidi="ar-EG"/>
        </w:rPr>
        <w:t xml:space="preserve"> citrate in normal volunteers. Fertility and sterility, 46(3):392-396.‏</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Nakai</w:t>
      </w:r>
      <w:proofErr w:type="spellEnd"/>
      <w:r w:rsidRPr="00AC7833">
        <w:rPr>
          <w:sz w:val="20"/>
          <w:szCs w:val="20"/>
          <w:lang w:bidi="ar-EG"/>
        </w:rPr>
        <w:t xml:space="preserve"> A, Yokota A, </w:t>
      </w:r>
      <w:proofErr w:type="spellStart"/>
      <w:r w:rsidRPr="00AC7833">
        <w:rPr>
          <w:sz w:val="20"/>
          <w:szCs w:val="20"/>
          <w:lang w:bidi="ar-EG"/>
        </w:rPr>
        <w:t>Koshino</w:t>
      </w:r>
      <w:proofErr w:type="spellEnd"/>
      <w:r w:rsidRPr="00AC7833">
        <w:rPr>
          <w:sz w:val="20"/>
          <w:szCs w:val="20"/>
          <w:lang w:bidi="ar-EG"/>
        </w:rPr>
        <w:t xml:space="preserve"> T, Araki T (2002):</w:t>
      </w:r>
      <w:r w:rsidRPr="00AC7833">
        <w:rPr>
          <w:bCs/>
          <w:sz w:val="20"/>
          <w:szCs w:val="20"/>
          <w:lang w:bidi="ar-EG"/>
        </w:rPr>
        <w:t xml:space="preserve"> Assessment of endometrial perfusion with Doppler ultrasound in spontaneous and stimulated menstrual cycles. J Nippon Med Sch. 69(4):328–332.</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Piver</w:t>
      </w:r>
      <w:proofErr w:type="spellEnd"/>
      <w:r w:rsidRPr="00AC7833">
        <w:rPr>
          <w:sz w:val="20"/>
          <w:szCs w:val="20"/>
          <w:lang w:bidi="ar-EG"/>
        </w:rPr>
        <w:t xml:space="preserve"> P (2005):</w:t>
      </w:r>
      <w:r w:rsidRPr="00AC7833">
        <w:rPr>
          <w:bCs/>
          <w:sz w:val="20"/>
          <w:szCs w:val="20"/>
          <w:lang w:bidi="ar-EG"/>
        </w:rPr>
        <w:t xml:space="preserve"> Uterine factors limiting ART coverage. J </w:t>
      </w:r>
      <w:proofErr w:type="spellStart"/>
      <w:r w:rsidRPr="00AC7833">
        <w:rPr>
          <w:bCs/>
          <w:sz w:val="20"/>
          <w:szCs w:val="20"/>
          <w:lang w:bidi="ar-EG"/>
        </w:rPr>
        <w:t>Gynecol</w:t>
      </w:r>
      <w:proofErr w:type="spellEnd"/>
      <w:r w:rsidRPr="00AC7833">
        <w:rPr>
          <w:bCs/>
          <w:sz w:val="20"/>
          <w:szCs w:val="20"/>
          <w:lang w:bidi="ar-EG"/>
        </w:rPr>
        <w:t xml:space="preserve"> </w:t>
      </w:r>
      <w:proofErr w:type="spellStart"/>
      <w:r w:rsidRPr="00AC7833">
        <w:rPr>
          <w:bCs/>
          <w:sz w:val="20"/>
          <w:szCs w:val="20"/>
          <w:lang w:bidi="ar-EG"/>
        </w:rPr>
        <w:t>Obstet</w:t>
      </w:r>
      <w:proofErr w:type="spellEnd"/>
      <w:r w:rsidRPr="00AC7833">
        <w:rPr>
          <w:bCs/>
          <w:sz w:val="20"/>
          <w:szCs w:val="20"/>
          <w:lang w:bidi="ar-EG"/>
        </w:rPr>
        <w:t xml:space="preserve"> </w:t>
      </w:r>
      <w:proofErr w:type="spellStart"/>
      <w:r w:rsidRPr="00AC7833">
        <w:rPr>
          <w:bCs/>
          <w:sz w:val="20"/>
          <w:szCs w:val="20"/>
          <w:lang w:bidi="ar-EG"/>
        </w:rPr>
        <w:t>Biol</w:t>
      </w:r>
      <w:proofErr w:type="spellEnd"/>
      <w:r w:rsidRPr="00AC7833">
        <w:rPr>
          <w:bCs/>
          <w:sz w:val="20"/>
          <w:szCs w:val="20"/>
          <w:lang w:bidi="ar-EG"/>
        </w:rPr>
        <w:t xml:space="preserve"> </w:t>
      </w:r>
      <w:proofErr w:type="spellStart"/>
      <w:r w:rsidRPr="00AC7833">
        <w:rPr>
          <w:bCs/>
          <w:sz w:val="20"/>
          <w:szCs w:val="20"/>
          <w:lang w:bidi="ar-EG"/>
        </w:rPr>
        <w:t>Reprod</w:t>
      </w:r>
      <w:proofErr w:type="spellEnd"/>
      <w:r w:rsidRPr="00AC7833">
        <w:rPr>
          <w:bCs/>
          <w:sz w:val="20"/>
          <w:szCs w:val="20"/>
          <w:lang w:bidi="ar-EG"/>
        </w:rPr>
        <w:t>. 34:30–33.</w:t>
      </w:r>
    </w:p>
    <w:p w:rsidR="00627FF8" w:rsidRPr="00AC7833" w:rsidRDefault="00627FF8" w:rsidP="00AC7833">
      <w:pPr>
        <w:numPr>
          <w:ilvl w:val="0"/>
          <w:numId w:val="10"/>
        </w:numPr>
        <w:snapToGrid w:val="0"/>
        <w:ind w:left="425" w:hanging="425"/>
        <w:jc w:val="both"/>
        <w:rPr>
          <w:bCs/>
          <w:sz w:val="20"/>
          <w:szCs w:val="20"/>
          <w:lang w:bidi="ar-EG"/>
        </w:rPr>
      </w:pPr>
      <w:r w:rsidRPr="00AC7833">
        <w:rPr>
          <w:sz w:val="20"/>
          <w:szCs w:val="20"/>
          <w:lang w:bidi="ar-EG"/>
        </w:rPr>
        <w:t>Practice Committee of the American Society for Reproductive Medicine (2013):</w:t>
      </w:r>
      <w:r w:rsidRPr="00AC7833">
        <w:rPr>
          <w:bCs/>
          <w:sz w:val="20"/>
          <w:szCs w:val="20"/>
          <w:lang w:bidi="ar-EG"/>
        </w:rPr>
        <w:t xml:space="preserve"> Use of </w:t>
      </w:r>
      <w:proofErr w:type="spellStart"/>
      <w:r w:rsidRPr="00AC7833">
        <w:rPr>
          <w:bCs/>
          <w:sz w:val="20"/>
          <w:szCs w:val="20"/>
          <w:lang w:bidi="ar-EG"/>
        </w:rPr>
        <w:t>clomiphene</w:t>
      </w:r>
      <w:proofErr w:type="spellEnd"/>
      <w:r w:rsidRPr="00AC7833">
        <w:rPr>
          <w:bCs/>
          <w:sz w:val="20"/>
          <w:szCs w:val="20"/>
          <w:lang w:bidi="ar-EG"/>
        </w:rPr>
        <w:t xml:space="preserve"> citrate in infertile women: a committee opinion. </w:t>
      </w:r>
      <w:proofErr w:type="spellStart"/>
      <w:r w:rsidRPr="00AC7833">
        <w:rPr>
          <w:bCs/>
          <w:sz w:val="20"/>
          <w:szCs w:val="20"/>
          <w:lang w:bidi="ar-EG"/>
        </w:rPr>
        <w:t>Fertil</w:t>
      </w:r>
      <w:proofErr w:type="spellEnd"/>
      <w:r w:rsidRPr="00AC7833">
        <w:rPr>
          <w:bCs/>
          <w:sz w:val="20"/>
          <w:szCs w:val="20"/>
          <w:lang w:bidi="ar-EG"/>
        </w:rPr>
        <w:t xml:space="preserve"> </w:t>
      </w:r>
      <w:proofErr w:type="spellStart"/>
      <w:r w:rsidRPr="00AC7833">
        <w:rPr>
          <w:bCs/>
          <w:sz w:val="20"/>
          <w:szCs w:val="20"/>
          <w:lang w:bidi="ar-EG"/>
        </w:rPr>
        <w:t>Steril</w:t>
      </w:r>
      <w:proofErr w:type="spellEnd"/>
      <w:r w:rsidRPr="00AC7833">
        <w:rPr>
          <w:bCs/>
          <w:sz w:val="20"/>
          <w:szCs w:val="20"/>
          <w:lang w:bidi="ar-EG"/>
        </w:rPr>
        <w:t>, 100:341–8.</w:t>
      </w:r>
    </w:p>
    <w:p w:rsidR="00627FF8" w:rsidRPr="00AC7833" w:rsidRDefault="00627FF8" w:rsidP="00AC7833">
      <w:pPr>
        <w:numPr>
          <w:ilvl w:val="0"/>
          <w:numId w:val="10"/>
        </w:numPr>
        <w:snapToGrid w:val="0"/>
        <w:ind w:left="425" w:hanging="425"/>
        <w:jc w:val="both"/>
        <w:rPr>
          <w:bCs/>
          <w:sz w:val="20"/>
          <w:szCs w:val="20"/>
          <w:lang w:bidi="ar-EG"/>
        </w:rPr>
      </w:pPr>
      <w:r w:rsidRPr="00AC7833">
        <w:rPr>
          <w:sz w:val="20"/>
          <w:szCs w:val="20"/>
          <w:lang w:bidi="ar-EG"/>
        </w:rPr>
        <w:t>Practice Committee of the American Society for Reproductive Medicine (ASRM) (2013):</w:t>
      </w:r>
      <w:r w:rsidRPr="00AC7833">
        <w:rPr>
          <w:bCs/>
          <w:sz w:val="20"/>
          <w:szCs w:val="20"/>
          <w:lang w:bidi="ar-EG"/>
        </w:rPr>
        <w:t xml:space="preserve"> Definitions of infertility and recurrent pregnancy loss: a committee opinion. Fertility and sterility, 99(1):63.‏</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Purvin</w:t>
      </w:r>
      <w:proofErr w:type="spellEnd"/>
      <w:r w:rsidRPr="00AC7833">
        <w:rPr>
          <w:sz w:val="20"/>
          <w:szCs w:val="20"/>
          <w:lang w:bidi="ar-EG"/>
        </w:rPr>
        <w:t xml:space="preserve"> VA (1995):</w:t>
      </w:r>
      <w:r w:rsidRPr="00AC7833">
        <w:rPr>
          <w:bCs/>
          <w:sz w:val="20"/>
          <w:szCs w:val="20"/>
          <w:lang w:bidi="ar-EG"/>
        </w:rPr>
        <w:t xml:space="preserve"> Visual disturbance secondary to </w:t>
      </w:r>
      <w:proofErr w:type="spellStart"/>
      <w:r w:rsidRPr="00AC7833">
        <w:rPr>
          <w:bCs/>
          <w:sz w:val="20"/>
          <w:szCs w:val="20"/>
          <w:lang w:bidi="ar-EG"/>
        </w:rPr>
        <w:t>clomiphene</w:t>
      </w:r>
      <w:proofErr w:type="spellEnd"/>
      <w:r w:rsidRPr="00AC7833">
        <w:rPr>
          <w:bCs/>
          <w:sz w:val="20"/>
          <w:szCs w:val="20"/>
          <w:lang w:bidi="ar-EG"/>
        </w:rPr>
        <w:t xml:space="preserve"> citrate. Arch </w:t>
      </w:r>
      <w:proofErr w:type="spellStart"/>
      <w:r w:rsidRPr="00AC7833">
        <w:rPr>
          <w:bCs/>
          <w:sz w:val="20"/>
          <w:szCs w:val="20"/>
          <w:lang w:bidi="ar-EG"/>
        </w:rPr>
        <w:t>Ophthalmol</w:t>
      </w:r>
      <w:proofErr w:type="spellEnd"/>
      <w:r w:rsidRPr="00AC7833">
        <w:rPr>
          <w:bCs/>
          <w:sz w:val="20"/>
          <w:szCs w:val="20"/>
          <w:lang w:bidi="ar-EG"/>
        </w:rPr>
        <w:t xml:space="preserve"> 113:482–484.</w:t>
      </w:r>
    </w:p>
    <w:p w:rsidR="00627FF8" w:rsidRPr="00AC7833" w:rsidRDefault="00627FF8" w:rsidP="00AC7833">
      <w:pPr>
        <w:numPr>
          <w:ilvl w:val="0"/>
          <w:numId w:val="10"/>
        </w:numPr>
        <w:snapToGrid w:val="0"/>
        <w:ind w:left="425" w:hanging="425"/>
        <w:jc w:val="both"/>
        <w:rPr>
          <w:bCs/>
          <w:sz w:val="20"/>
          <w:szCs w:val="20"/>
          <w:lang w:bidi="ar-EG"/>
        </w:rPr>
      </w:pPr>
      <w:r w:rsidRPr="00AC7833">
        <w:rPr>
          <w:sz w:val="20"/>
          <w:szCs w:val="20"/>
          <w:lang w:bidi="ar-EG"/>
        </w:rPr>
        <w:t>Randall JM and Templeton A (1991):</w:t>
      </w:r>
      <w:r w:rsidRPr="00AC7833">
        <w:rPr>
          <w:bCs/>
          <w:sz w:val="20"/>
          <w:szCs w:val="20"/>
          <w:lang w:bidi="ar-EG"/>
        </w:rPr>
        <w:t xml:space="preserve"> </w:t>
      </w:r>
      <w:proofErr w:type="spellStart"/>
      <w:r w:rsidRPr="00AC7833">
        <w:rPr>
          <w:bCs/>
          <w:sz w:val="20"/>
          <w:szCs w:val="20"/>
          <w:lang w:bidi="ar-EG"/>
        </w:rPr>
        <w:t>Transvaginal</w:t>
      </w:r>
      <w:proofErr w:type="spellEnd"/>
      <w:r w:rsidRPr="00AC7833">
        <w:rPr>
          <w:bCs/>
          <w:sz w:val="20"/>
          <w:szCs w:val="20"/>
          <w:lang w:bidi="ar-EG"/>
        </w:rPr>
        <w:t xml:space="preserve"> </w:t>
      </w:r>
      <w:proofErr w:type="spellStart"/>
      <w:r w:rsidRPr="00AC7833">
        <w:rPr>
          <w:bCs/>
          <w:sz w:val="20"/>
          <w:szCs w:val="20"/>
          <w:lang w:bidi="ar-EG"/>
        </w:rPr>
        <w:t>sonographic</w:t>
      </w:r>
      <w:proofErr w:type="spellEnd"/>
      <w:r w:rsidRPr="00AC7833">
        <w:rPr>
          <w:bCs/>
          <w:sz w:val="20"/>
          <w:szCs w:val="20"/>
          <w:lang w:bidi="ar-EG"/>
        </w:rPr>
        <w:t xml:space="preserve"> assessment of follicular and endometrial growth in spontaneous and </w:t>
      </w:r>
      <w:proofErr w:type="spellStart"/>
      <w:r w:rsidRPr="00AC7833">
        <w:rPr>
          <w:bCs/>
          <w:sz w:val="20"/>
          <w:szCs w:val="20"/>
          <w:lang w:bidi="ar-EG"/>
        </w:rPr>
        <w:t>clomiphene</w:t>
      </w:r>
      <w:proofErr w:type="spellEnd"/>
      <w:r w:rsidRPr="00AC7833">
        <w:rPr>
          <w:bCs/>
          <w:sz w:val="20"/>
          <w:szCs w:val="20"/>
          <w:lang w:bidi="ar-EG"/>
        </w:rPr>
        <w:t xml:space="preserve"> citrate cycles. </w:t>
      </w:r>
      <w:proofErr w:type="spellStart"/>
      <w:r w:rsidRPr="00AC7833">
        <w:rPr>
          <w:bCs/>
          <w:sz w:val="20"/>
          <w:szCs w:val="20"/>
          <w:lang w:bidi="ar-EG"/>
        </w:rPr>
        <w:t>Fertil</w:t>
      </w:r>
      <w:proofErr w:type="spellEnd"/>
      <w:r w:rsidRPr="00AC7833">
        <w:rPr>
          <w:bCs/>
          <w:sz w:val="20"/>
          <w:szCs w:val="20"/>
          <w:lang w:bidi="ar-EG"/>
        </w:rPr>
        <w:t xml:space="preserve"> </w:t>
      </w:r>
      <w:proofErr w:type="spellStart"/>
      <w:r w:rsidRPr="00AC7833">
        <w:rPr>
          <w:bCs/>
          <w:sz w:val="20"/>
          <w:szCs w:val="20"/>
          <w:lang w:bidi="ar-EG"/>
        </w:rPr>
        <w:t>Steril</w:t>
      </w:r>
      <w:proofErr w:type="spellEnd"/>
      <w:r w:rsidRPr="00AC7833">
        <w:rPr>
          <w:bCs/>
          <w:sz w:val="20"/>
          <w:szCs w:val="20"/>
          <w:lang w:bidi="ar-EG"/>
        </w:rPr>
        <w:t>. 56(2):208–212.</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bCs/>
          <w:sz w:val="20"/>
          <w:szCs w:val="20"/>
          <w:lang w:bidi="ar-EG"/>
        </w:rPr>
        <w:t>Rostami-Hodjegan</w:t>
      </w:r>
      <w:proofErr w:type="spellEnd"/>
      <w:r w:rsidRPr="00AC7833">
        <w:rPr>
          <w:bCs/>
          <w:sz w:val="20"/>
          <w:szCs w:val="20"/>
          <w:lang w:bidi="ar-EG"/>
        </w:rPr>
        <w:t xml:space="preserve"> A, </w:t>
      </w:r>
      <w:proofErr w:type="spellStart"/>
      <w:r w:rsidRPr="00AC7833">
        <w:rPr>
          <w:bCs/>
          <w:sz w:val="20"/>
          <w:szCs w:val="20"/>
          <w:lang w:bidi="ar-EG"/>
        </w:rPr>
        <w:t>Lennard</w:t>
      </w:r>
      <w:proofErr w:type="spellEnd"/>
      <w:r w:rsidRPr="00AC7833">
        <w:rPr>
          <w:bCs/>
          <w:sz w:val="20"/>
          <w:szCs w:val="20"/>
          <w:lang w:bidi="ar-EG"/>
        </w:rPr>
        <w:t xml:space="preserve"> MS, Tucker GT, Ledger WL (2004): Monitoring plasma concentrations to individualize treatment with </w:t>
      </w:r>
      <w:proofErr w:type="spellStart"/>
      <w:r w:rsidRPr="00AC7833">
        <w:rPr>
          <w:bCs/>
          <w:sz w:val="20"/>
          <w:szCs w:val="20"/>
          <w:lang w:bidi="ar-EG"/>
        </w:rPr>
        <w:t>clomiphene</w:t>
      </w:r>
      <w:proofErr w:type="spellEnd"/>
      <w:r w:rsidRPr="00AC7833">
        <w:rPr>
          <w:bCs/>
          <w:sz w:val="20"/>
          <w:szCs w:val="20"/>
          <w:lang w:bidi="ar-EG"/>
        </w:rPr>
        <w:t xml:space="preserve"> citrate. </w:t>
      </w:r>
      <w:proofErr w:type="spellStart"/>
      <w:r w:rsidRPr="00AC7833">
        <w:rPr>
          <w:bCs/>
          <w:sz w:val="20"/>
          <w:szCs w:val="20"/>
          <w:lang w:bidi="ar-EG"/>
        </w:rPr>
        <w:t>Fertil</w:t>
      </w:r>
      <w:proofErr w:type="spellEnd"/>
      <w:r w:rsidRPr="00AC7833">
        <w:rPr>
          <w:bCs/>
          <w:sz w:val="20"/>
          <w:szCs w:val="20"/>
          <w:lang w:bidi="ar-EG"/>
        </w:rPr>
        <w:t xml:space="preserve"> </w:t>
      </w:r>
      <w:proofErr w:type="spellStart"/>
      <w:r w:rsidRPr="00AC7833">
        <w:rPr>
          <w:bCs/>
          <w:sz w:val="20"/>
          <w:szCs w:val="20"/>
          <w:lang w:bidi="ar-EG"/>
        </w:rPr>
        <w:t>Steril</w:t>
      </w:r>
      <w:proofErr w:type="spellEnd"/>
      <w:r w:rsidRPr="00AC7833">
        <w:rPr>
          <w:bCs/>
          <w:sz w:val="20"/>
          <w:szCs w:val="20"/>
          <w:lang w:bidi="ar-EG"/>
        </w:rPr>
        <w:t xml:space="preserve"> 81:1187–1193.</w:t>
      </w:r>
    </w:p>
    <w:p w:rsidR="00627FF8" w:rsidRPr="00AC7833" w:rsidRDefault="00627FF8" w:rsidP="00AC7833">
      <w:pPr>
        <w:numPr>
          <w:ilvl w:val="0"/>
          <w:numId w:val="10"/>
        </w:numPr>
        <w:snapToGrid w:val="0"/>
        <w:ind w:left="425" w:hanging="425"/>
        <w:jc w:val="both"/>
        <w:rPr>
          <w:bCs/>
          <w:sz w:val="20"/>
          <w:szCs w:val="20"/>
          <w:lang w:bidi="ar-EG"/>
        </w:rPr>
      </w:pPr>
      <w:r w:rsidRPr="00AC7833">
        <w:rPr>
          <w:sz w:val="20"/>
          <w:szCs w:val="20"/>
          <w:lang w:bidi="ar-EG"/>
        </w:rPr>
        <w:lastRenderedPageBreak/>
        <w:t>Rotterdam ESHRE/ASRM-sponsored PCOS consensus workshop group (2004):</w:t>
      </w:r>
      <w:r w:rsidRPr="00AC7833">
        <w:rPr>
          <w:bCs/>
          <w:sz w:val="20"/>
          <w:szCs w:val="20"/>
          <w:lang w:bidi="ar-EG"/>
        </w:rPr>
        <w:t xml:space="preserve"> Revised 2003 </w:t>
      </w:r>
      <w:proofErr w:type="spellStart"/>
      <w:r w:rsidRPr="00AC7833">
        <w:rPr>
          <w:bCs/>
          <w:sz w:val="20"/>
          <w:szCs w:val="20"/>
          <w:lang w:bidi="ar-EG"/>
        </w:rPr>
        <w:t>consessus</w:t>
      </w:r>
      <w:proofErr w:type="spellEnd"/>
      <w:r w:rsidRPr="00AC7833">
        <w:rPr>
          <w:bCs/>
          <w:sz w:val="20"/>
          <w:szCs w:val="20"/>
          <w:lang w:bidi="ar-EG"/>
        </w:rPr>
        <w:t xml:space="preserve"> on diagnostic criteria and </w:t>
      </w:r>
      <w:proofErr w:type="spellStart"/>
      <w:r w:rsidRPr="00AC7833">
        <w:rPr>
          <w:bCs/>
          <w:sz w:val="20"/>
          <w:szCs w:val="20"/>
          <w:lang w:bidi="ar-EG"/>
        </w:rPr>
        <w:t>longterm</w:t>
      </w:r>
      <w:proofErr w:type="spellEnd"/>
      <w:r w:rsidRPr="00AC7833">
        <w:rPr>
          <w:bCs/>
          <w:sz w:val="20"/>
          <w:szCs w:val="20"/>
          <w:lang w:bidi="ar-EG"/>
        </w:rPr>
        <w:t xml:space="preserve"> health risks related to polycystic ovary syndrome (PCOS). Hum </w:t>
      </w:r>
      <w:proofErr w:type="spellStart"/>
      <w:r w:rsidRPr="00AC7833">
        <w:rPr>
          <w:bCs/>
          <w:sz w:val="20"/>
          <w:szCs w:val="20"/>
          <w:lang w:bidi="ar-EG"/>
        </w:rPr>
        <w:t>Reprod</w:t>
      </w:r>
      <w:proofErr w:type="spellEnd"/>
      <w:r w:rsidRPr="00AC7833">
        <w:rPr>
          <w:bCs/>
          <w:sz w:val="20"/>
          <w:szCs w:val="20"/>
          <w:lang w:bidi="ar-EG"/>
        </w:rPr>
        <w:t>. 19:41–47.</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Saha</w:t>
      </w:r>
      <w:proofErr w:type="spellEnd"/>
      <w:r w:rsidRPr="00AC7833">
        <w:rPr>
          <w:sz w:val="20"/>
          <w:szCs w:val="20"/>
          <w:lang w:bidi="ar-EG"/>
        </w:rPr>
        <w:t xml:space="preserve"> K, </w:t>
      </w:r>
      <w:proofErr w:type="spellStart"/>
      <w:r w:rsidRPr="00AC7833">
        <w:rPr>
          <w:sz w:val="20"/>
          <w:szCs w:val="20"/>
          <w:lang w:bidi="ar-EG"/>
        </w:rPr>
        <w:t>Agasti</w:t>
      </w:r>
      <w:proofErr w:type="spellEnd"/>
      <w:r w:rsidRPr="00AC7833">
        <w:rPr>
          <w:sz w:val="20"/>
          <w:szCs w:val="20"/>
          <w:lang w:bidi="ar-EG"/>
        </w:rPr>
        <w:t xml:space="preserve"> SS, Kim C, Li X, </w:t>
      </w:r>
      <w:proofErr w:type="spellStart"/>
      <w:r w:rsidRPr="00AC7833">
        <w:rPr>
          <w:sz w:val="20"/>
          <w:szCs w:val="20"/>
          <w:lang w:bidi="ar-EG"/>
        </w:rPr>
        <w:t>Rotello</w:t>
      </w:r>
      <w:proofErr w:type="spellEnd"/>
      <w:r w:rsidRPr="00AC7833">
        <w:rPr>
          <w:sz w:val="20"/>
          <w:szCs w:val="20"/>
          <w:lang w:bidi="ar-EG"/>
        </w:rPr>
        <w:t xml:space="preserve"> VM (2012): </w:t>
      </w:r>
      <w:r w:rsidRPr="00AC7833">
        <w:rPr>
          <w:bCs/>
          <w:sz w:val="20"/>
          <w:szCs w:val="20"/>
          <w:lang w:bidi="ar-EG"/>
        </w:rPr>
        <w:t xml:space="preserve">Gold </w:t>
      </w:r>
      <w:proofErr w:type="spellStart"/>
      <w:r w:rsidRPr="00AC7833">
        <w:rPr>
          <w:bCs/>
          <w:sz w:val="20"/>
          <w:szCs w:val="20"/>
          <w:lang w:bidi="ar-EG"/>
        </w:rPr>
        <w:t>nanoparticles</w:t>
      </w:r>
      <w:proofErr w:type="spellEnd"/>
      <w:r w:rsidRPr="00AC7833">
        <w:rPr>
          <w:bCs/>
          <w:sz w:val="20"/>
          <w:szCs w:val="20"/>
          <w:lang w:bidi="ar-EG"/>
        </w:rPr>
        <w:t xml:space="preserve"> in chemical and biological sensing. Chemical reviews, 112(5):2739-2779.‏</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sz w:val="20"/>
          <w:szCs w:val="20"/>
          <w:lang w:bidi="ar-EG"/>
        </w:rPr>
        <w:t>Shahin</w:t>
      </w:r>
      <w:proofErr w:type="spellEnd"/>
      <w:r w:rsidRPr="00AC7833">
        <w:rPr>
          <w:sz w:val="20"/>
          <w:szCs w:val="20"/>
          <w:lang w:bidi="ar-EG"/>
        </w:rPr>
        <w:t xml:space="preserve"> AY (2008):</w:t>
      </w:r>
      <w:r w:rsidRPr="00AC7833">
        <w:rPr>
          <w:bCs/>
          <w:sz w:val="20"/>
          <w:szCs w:val="20"/>
          <w:lang w:bidi="ar-EG"/>
        </w:rPr>
        <w:t xml:space="preserve"> Endometrial </w:t>
      </w:r>
      <w:proofErr w:type="spellStart"/>
      <w:r w:rsidRPr="00AC7833">
        <w:rPr>
          <w:bCs/>
          <w:sz w:val="20"/>
          <w:szCs w:val="20"/>
          <w:lang w:bidi="ar-EG"/>
        </w:rPr>
        <w:t>sonographic</w:t>
      </w:r>
      <w:proofErr w:type="spellEnd"/>
      <w:r w:rsidRPr="00AC7833">
        <w:rPr>
          <w:bCs/>
          <w:sz w:val="20"/>
          <w:szCs w:val="20"/>
          <w:lang w:bidi="ar-EG"/>
        </w:rPr>
        <w:t xml:space="preserve"> characters predicting pregnancy following recurrent </w:t>
      </w:r>
      <w:proofErr w:type="spellStart"/>
      <w:r w:rsidRPr="00AC7833">
        <w:rPr>
          <w:bCs/>
          <w:sz w:val="20"/>
          <w:szCs w:val="20"/>
          <w:lang w:bidi="ar-EG"/>
        </w:rPr>
        <w:t>clomiphene</w:t>
      </w:r>
      <w:proofErr w:type="spellEnd"/>
      <w:r w:rsidRPr="00AC7833">
        <w:rPr>
          <w:bCs/>
          <w:sz w:val="20"/>
          <w:szCs w:val="20"/>
          <w:lang w:bidi="ar-EG"/>
        </w:rPr>
        <w:t xml:space="preserve"> induction in unexplained infertility. </w:t>
      </w:r>
      <w:proofErr w:type="spellStart"/>
      <w:r w:rsidRPr="00AC7833">
        <w:rPr>
          <w:bCs/>
          <w:sz w:val="20"/>
          <w:szCs w:val="20"/>
          <w:lang w:bidi="ar-EG"/>
        </w:rPr>
        <w:t>Reprod</w:t>
      </w:r>
      <w:proofErr w:type="spellEnd"/>
      <w:r w:rsidRPr="00AC7833">
        <w:rPr>
          <w:bCs/>
          <w:sz w:val="20"/>
          <w:szCs w:val="20"/>
          <w:lang w:bidi="ar-EG"/>
        </w:rPr>
        <w:t xml:space="preserve"> Biomed Online. 17(6):795–802.</w:t>
      </w:r>
    </w:p>
    <w:p w:rsidR="00627FF8" w:rsidRPr="00AC7833" w:rsidRDefault="00627FF8" w:rsidP="00AC7833">
      <w:pPr>
        <w:numPr>
          <w:ilvl w:val="0"/>
          <w:numId w:val="10"/>
        </w:numPr>
        <w:snapToGrid w:val="0"/>
        <w:ind w:left="425" w:hanging="425"/>
        <w:jc w:val="both"/>
        <w:rPr>
          <w:sz w:val="20"/>
          <w:szCs w:val="20"/>
          <w:lang w:bidi="ar-EG"/>
        </w:rPr>
      </w:pPr>
      <w:proofErr w:type="spellStart"/>
      <w:r w:rsidRPr="00AC7833">
        <w:rPr>
          <w:bCs/>
          <w:sz w:val="20"/>
          <w:szCs w:val="20"/>
          <w:lang w:bidi="ar-EG"/>
        </w:rPr>
        <w:t>Sirmans</w:t>
      </w:r>
      <w:proofErr w:type="spellEnd"/>
      <w:r w:rsidRPr="00AC7833">
        <w:rPr>
          <w:bCs/>
          <w:sz w:val="20"/>
          <w:szCs w:val="20"/>
          <w:lang w:bidi="ar-EG"/>
        </w:rPr>
        <w:t xml:space="preserve"> SM and Pate KA (2013):</w:t>
      </w:r>
      <w:r w:rsidRPr="00AC7833">
        <w:rPr>
          <w:sz w:val="20"/>
          <w:szCs w:val="20"/>
          <w:lang w:bidi="ar-EG"/>
        </w:rPr>
        <w:t xml:space="preserve"> Epidemiology, diagnosis, and management of polycystic ovary syndrome. </w:t>
      </w:r>
      <w:proofErr w:type="spellStart"/>
      <w:r w:rsidRPr="00AC7833">
        <w:rPr>
          <w:sz w:val="20"/>
          <w:szCs w:val="20"/>
          <w:lang w:bidi="ar-EG"/>
        </w:rPr>
        <w:t>Clin</w:t>
      </w:r>
      <w:proofErr w:type="spellEnd"/>
      <w:r w:rsidRPr="00AC7833">
        <w:rPr>
          <w:sz w:val="20"/>
          <w:szCs w:val="20"/>
          <w:lang w:bidi="ar-EG"/>
        </w:rPr>
        <w:t xml:space="preserve"> </w:t>
      </w:r>
      <w:proofErr w:type="spellStart"/>
      <w:r w:rsidRPr="00AC7833">
        <w:rPr>
          <w:sz w:val="20"/>
          <w:szCs w:val="20"/>
          <w:lang w:bidi="ar-EG"/>
        </w:rPr>
        <w:t>Epidemiol</w:t>
      </w:r>
      <w:proofErr w:type="spellEnd"/>
      <w:r w:rsidRPr="00AC7833">
        <w:rPr>
          <w:sz w:val="20"/>
          <w:szCs w:val="20"/>
          <w:lang w:bidi="ar-EG"/>
        </w:rPr>
        <w:t>; 6:1–13.</w:t>
      </w:r>
    </w:p>
    <w:p w:rsidR="00627FF8" w:rsidRPr="00AC7833" w:rsidRDefault="00627FF8" w:rsidP="00AC7833">
      <w:pPr>
        <w:numPr>
          <w:ilvl w:val="0"/>
          <w:numId w:val="10"/>
        </w:numPr>
        <w:snapToGrid w:val="0"/>
        <w:ind w:left="425" w:hanging="425"/>
        <w:jc w:val="both"/>
        <w:rPr>
          <w:bCs/>
          <w:sz w:val="20"/>
          <w:szCs w:val="20"/>
          <w:lang w:bidi="ar-EG"/>
        </w:rPr>
      </w:pPr>
      <w:proofErr w:type="spellStart"/>
      <w:r w:rsidRPr="00AC7833">
        <w:rPr>
          <w:bCs/>
          <w:sz w:val="20"/>
          <w:szCs w:val="20"/>
          <w:lang w:bidi="ar-EG"/>
        </w:rPr>
        <w:t>Tannys</w:t>
      </w:r>
      <w:proofErr w:type="spellEnd"/>
      <w:r w:rsidRPr="00AC7833">
        <w:rPr>
          <w:bCs/>
          <w:sz w:val="20"/>
          <w:szCs w:val="20"/>
          <w:lang w:bidi="ar-EG"/>
        </w:rPr>
        <w:t xml:space="preserve"> DRV and Anthony PC (2010): Ovulation Induction in Polycystic Ovary Syndrome. The Society of Obstetricians and </w:t>
      </w:r>
      <w:proofErr w:type="spellStart"/>
      <w:r w:rsidRPr="00AC7833">
        <w:rPr>
          <w:bCs/>
          <w:sz w:val="20"/>
          <w:szCs w:val="20"/>
          <w:lang w:bidi="ar-EG"/>
        </w:rPr>
        <w:t>Gynaecologists</w:t>
      </w:r>
      <w:proofErr w:type="spellEnd"/>
      <w:r w:rsidRPr="00AC7833">
        <w:rPr>
          <w:bCs/>
          <w:sz w:val="20"/>
          <w:szCs w:val="20"/>
          <w:lang w:bidi="ar-EG"/>
        </w:rPr>
        <w:t xml:space="preserve"> of Canada, J Obstetric </w:t>
      </w:r>
      <w:proofErr w:type="spellStart"/>
      <w:r w:rsidRPr="00AC7833">
        <w:rPr>
          <w:bCs/>
          <w:sz w:val="20"/>
          <w:szCs w:val="20"/>
          <w:lang w:bidi="ar-EG"/>
        </w:rPr>
        <w:t>Gynaecology</w:t>
      </w:r>
      <w:proofErr w:type="spellEnd"/>
      <w:r w:rsidRPr="00AC7833">
        <w:rPr>
          <w:bCs/>
          <w:sz w:val="20"/>
          <w:szCs w:val="20"/>
          <w:lang w:bidi="ar-EG"/>
        </w:rPr>
        <w:t xml:space="preserve"> Canada, 32:495–502.</w:t>
      </w:r>
    </w:p>
    <w:p w:rsidR="00627FF8" w:rsidRPr="00AC7833" w:rsidRDefault="00627FF8" w:rsidP="00AC7833">
      <w:pPr>
        <w:numPr>
          <w:ilvl w:val="0"/>
          <w:numId w:val="10"/>
        </w:numPr>
        <w:snapToGrid w:val="0"/>
        <w:ind w:left="425" w:hanging="425"/>
        <w:jc w:val="both"/>
        <w:rPr>
          <w:sz w:val="20"/>
          <w:szCs w:val="20"/>
          <w:lang w:bidi="ar-EG"/>
        </w:rPr>
      </w:pPr>
      <w:r w:rsidRPr="00AC7833">
        <w:rPr>
          <w:bCs/>
          <w:sz w:val="20"/>
          <w:szCs w:val="20"/>
          <w:lang w:bidi="ar-EG"/>
        </w:rPr>
        <w:t xml:space="preserve">Thessaloniki ESHRE/ASRM-sponsored PCOS Consensus Workshop Group (2008): </w:t>
      </w:r>
      <w:r w:rsidRPr="00AC7833">
        <w:rPr>
          <w:sz w:val="20"/>
          <w:szCs w:val="20"/>
          <w:lang w:bidi="ar-EG"/>
        </w:rPr>
        <w:t xml:space="preserve">Consensus on infertility treatment related to polycystic ovary syndrome. </w:t>
      </w:r>
      <w:proofErr w:type="spellStart"/>
      <w:r w:rsidRPr="00AC7833">
        <w:rPr>
          <w:sz w:val="20"/>
          <w:szCs w:val="20"/>
          <w:lang w:bidi="ar-EG"/>
        </w:rPr>
        <w:t>Fertil</w:t>
      </w:r>
      <w:proofErr w:type="spellEnd"/>
      <w:r w:rsidRPr="00AC7833">
        <w:rPr>
          <w:sz w:val="20"/>
          <w:szCs w:val="20"/>
          <w:lang w:bidi="ar-EG"/>
        </w:rPr>
        <w:t xml:space="preserve"> </w:t>
      </w:r>
      <w:proofErr w:type="spellStart"/>
      <w:r w:rsidRPr="00AC7833">
        <w:rPr>
          <w:sz w:val="20"/>
          <w:szCs w:val="20"/>
          <w:lang w:bidi="ar-EG"/>
        </w:rPr>
        <w:t>Steril</w:t>
      </w:r>
      <w:proofErr w:type="spellEnd"/>
      <w:r w:rsidRPr="00AC7833">
        <w:rPr>
          <w:sz w:val="20"/>
          <w:szCs w:val="20"/>
          <w:lang w:bidi="ar-EG"/>
        </w:rPr>
        <w:t>; 89: 505–522.</w:t>
      </w:r>
    </w:p>
    <w:p w:rsidR="00AC7833" w:rsidRPr="00743061" w:rsidRDefault="00627FF8" w:rsidP="00AC7833">
      <w:pPr>
        <w:numPr>
          <w:ilvl w:val="0"/>
          <w:numId w:val="10"/>
        </w:numPr>
        <w:snapToGrid w:val="0"/>
        <w:ind w:left="425" w:hanging="425"/>
        <w:jc w:val="both"/>
        <w:rPr>
          <w:sz w:val="20"/>
          <w:szCs w:val="20"/>
          <w:lang w:bidi="ar-EG"/>
        </w:rPr>
      </w:pPr>
      <w:r w:rsidRPr="00743061">
        <w:rPr>
          <w:bCs/>
          <w:sz w:val="20"/>
          <w:szCs w:val="20"/>
          <w:lang w:bidi="ar-EG"/>
        </w:rPr>
        <w:t xml:space="preserve">WHO-ICMART revised glossary, </w:t>
      </w:r>
      <w:r w:rsidRPr="00743061">
        <w:rPr>
          <w:sz w:val="20"/>
          <w:szCs w:val="20"/>
          <w:lang w:bidi="ar-EG"/>
        </w:rPr>
        <w:t xml:space="preserve">2009 </w:t>
      </w:r>
      <w:proofErr w:type="spellStart"/>
      <w:r w:rsidRPr="00743061">
        <w:rPr>
          <w:sz w:val="20"/>
          <w:szCs w:val="20"/>
          <w:lang w:bidi="ar-EG"/>
        </w:rPr>
        <w:t>Sirmans</w:t>
      </w:r>
      <w:proofErr w:type="spellEnd"/>
      <w:r w:rsidRPr="00743061">
        <w:rPr>
          <w:sz w:val="20"/>
          <w:szCs w:val="20"/>
          <w:lang w:bidi="ar-EG"/>
        </w:rPr>
        <w:t xml:space="preserve"> SM, Pate KA. Epidemiology, diagnosis, and management of polycystic ovary syndrome. </w:t>
      </w:r>
      <w:proofErr w:type="spellStart"/>
      <w:r w:rsidRPr="00743061">
        <w:rPr>
          <w:sz w:val="20"/>
          <w:szCs w:val="20"/>
          <w:lang w:bidi="ar-EG"/>
        </w:rPr>
        <w:t>Clin</w:t>
      </w:r>
      <w:proofErr w:type="spellEnd"/>
      <w:r w:rsidRPr="00743061">
        <w:rPr>
          <w:sz w:val="20"/>
          <w:szCs w:val="20"/>
          <w:lang w:bidi="ar-EG"/>
        </w:rPr>
        <w:t xml:space="preserve"> </w:t>
      </w:r>
      <w:proofErr w:type="spellStart"/>
      <w:r w:rsidRPr="00743061">
        <w:rPr>
          <w:sz w:val="20"/>
          <w:szCs w:val="20"/>
          <w:lang w:bidi="ar-EG"/>
        </w:rPr>
        <w:t>Epidemiol</w:t>
      </w:r>
      <w:proofErr w:type="spellEnd"/>
      <w:r w:rsidRPr="00743061">
        <w:rPr>
          <w:sz w:val="20"/>
          <w:szCs w:val="20"/>
          <w:lang w:bidi="ar-EG"/>
        </w:rPr>
        <w:t xml:space="preserve"> 2013;6:1–13.</w:t>
      </w:r>
      <w:r w:rsidR="00743061" w:rsidRPr="00743061">
        <w:rPr>
          <w:rFonts w:hint="eastAsia"/>
          <w:sz w:val="20"/>
          <w:szCs w:val="20"/>
          <w:lang w:eastAsia="zh-CN" w:bidi="ar-EG"/>
        </w:rPr>
        <w:t xml:space="preserve"> </w:t>
      </w:r>
    </w:p>
    <w:p w:rsidR="00AC7833" w:rsidRPr="00AC7833" w:rsidRDefault="00AC7833" w:rsidP="00AC7833">
      <w:pPr>
        <w:numPr>
          <w:ilvl w:val="0"/>
          <w:numId w:val="10"/>
        </w:numPr>
        <w:snapToGrid w:val="0"/>
        <w:ind w:left="425" w:hanging="425"/>
        <w:jc w:val="both"/>
        <w:rPr>
          <w:sz w:val="20"/>
          <w:szCs w:val="20"/>
          <w:lang w:bidi="ar-EG"/>
        </w:rPr>
        <w:sectPr w:rsidR="00AC7833" w:rsidRPr="00AC7833" w:rsidSect="00AC7833">
          <w:headerReference w:type="default" r:id="rId24"/>
          <w:footerReference w:type="even" r:id="rId25"/>
          <w:footerReference w:type="default" r:id="rId26"/>
          <w:type w:val="continuous"/>
          <w:pgSz w:w="12240" w:h="15840" w:code="1"/>
          <w:pgMar w:top="1440" w:right="1440" w:bottom="1440" w:left="1440" w:header="720" w:footer="720" w:gutter="0"/>
          <w:cols w:num="2" w:space="600"/>
          <w:docGrid w:linePitch="360"/>
        </w:sectPr>
      </w:pPr>
    </w:p>
    <w:p w:rsidR="00AC7833" w:rsidRPr="00AC7833" w:rsidRDefault="00AC7833" w:rsidP="00AC7833">
      <w:pPr>
        <w:snapToGrid w:val="0"/>
        <w:ind w:left="425" w:hanging="425"/>
        <w:jc w:val="both"/>
        <w:rPr>
          <w:sz w:val="20"/>
          <w:szCs w:val="20"/>
          <w:lang w:eastAsia="zh-CN" w:bidi="ar-EG"/>
        </w:rPr>
      </w:pPr>
    </w:p>
    <w:p w:rsidR="00AC7833" w:rsidRPr="00AC7833" w:rsidRDefault="00AC7833" w:rsidP="00AC7833">
      <w:pPr>
        <w:snapToGrid w:val="0"/>
        <w:ind w:left="425" w:hanging="425"/>
        <w:jc w:val="both"/>
        <w:rPr>
          <w:sz w:val="20"/>
          <w:szCs w:val="20"/>
          <w:lang w:eastAsia="zh-CN" w:bidi="ar-EG"/>
        </w:rPr>
      </w:pPr>
    </w:p>
    <w:p w:rsidR="00AC7833" w:rsidRPr="00AC7833" w:rsidRDefault="00AC7833" w:rsidP="00AC7833">
      <w:pPr>
        <w:snapToGrid w:val="0"/>
        <w:ind w:left="425" w:hanging="425"/>
        <w:jc w:val="both"/>
        <w:rPr>
          <w:sz w:val="20"/>
          <w:szCs w:val="20"/>
          <w:lang w:eastAsia="zh-CN" w:bidi="ar-EG"/>
        </w:rPr>
      </w:pPr>
      <w:r>
        <w:rPr>
          <w:rFonts w:hint="eastAsia"/>
          <w:sz w:val="20"/>
          <w:szCs w:val="20"/>
          <w:lang w:eastAsia="zh-CN" w:bidi="ar-EG"/>
        </w:rPr>
        <w:t xml:space="preserve"> </w:t>
      </w:r>
    </w:p>
    <w:p w:rsidR="00627FF8" w:rsidRPr="00AC7833" w:rsidRDefault="00AC7833" w:rsidP="00AC7833">
      <w:pPr>
        <w:snapToGrid w:val="0"/>
        <w:ind w:left="425" w:hanging="425"/>
        <w:jc w:val="both"/>
        <w:rPr>
          <w:sz w:val="20"/>
          <w:szCs w:val="20"/>
          <w:lang w:bidi="ar-EG"/>
        </w:rPr>
      </w:pPr>
      <w:r w:rsidRPr="00AC7833">
        <w:rPr>
          <w:sz w:val="20"/>
          <w:szCs w:val="20"/>
          <w:lang w:bidi="ar-EG"/>
        </w:rPr>
        <w:t>1/15/2017</w:t>
      </w:r>
    </w:p>
    <w:sectPr w:rsidR="00627FF8" w:rsidRPr="00AC7833" w:rsidSect="00B36287">
      <w:headerReference w:type="default" r:id="rId27"/>
      <w:footerReference w:type="even" r:id="rId28"/>
      <w:footerReference w:type="default" r:id="rId2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48A" w:rsidRDefault="00A2048A">
      <w:r>
        <w:separator/>
      </w:r>
    </w:p>
  </w:endnote>
  <w:endnote w:type="continuationSeparator" w:id="0">
    <w:p w:rsidR="00A2048A" w:rsidRDefault="00A204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Default="00B3628E" w:rsidP="002930B4">
    <w:pPr>
      <w:pStyle w:val="Footer"/>
      <w:framePr w:wrap="around" w:vAnchor="text" w:hAnchor="margin" w:xAlign="center" w:y="1"/>
      <w:rPr>
        <w:rStyle w:val="PageNumber"/>
      </w:rPr>
    </w:pPr>
    <w:r>
      <w:rPr>
        <w:rStyle w:val="PageNumber"/>
      </w:rPr>
      <w:fldChar w:fldCharType="begin"/>
    </w:r>
    <w:r w:rsidR="00AC7833">
      <w:rPr>
        <w:rStyle w:val="PageNumber"/>
      </w:rPr>
      <w:instrText xml:space="preserve">PAGE  </w:instrText>
    </w:r>
    <w:r>
      <w:rPr>
        <w:rStyle w:val="PageNumber"/>
      </w:rPr>
      <w:fldChar w:fldCharType="end"/>
    </w:r>
  </w:p>
  <w:p w:rsidR="00AC7833" w:rsidRDefault="00AC783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B3628E" w:rsidP="00AC7833">
    <w:pPr>
      <w:jc w:val="center"/>
      <w:rPr>
        <w:sz w:val="20"/>
      </w:rPr>
    </w:pPr>
    <w:r w:rsidRPr="00AC7833">
      <w:rPr>
        <w:sz w:val="20"/>
      </w:rPr>
      <w:fldChar w:fldCharType="begin"/>
    </w:r>
    <w:r w:rsidR="00AC7833" w:rsidRPr="00AC7833">
      <w:rPr>
        <w:sz w:val="20"/>
      </w:rPr>
      <w:instrText xml:space="preserve"> page </w:instrText>
    </w:r>
    <w:r w:rsidRPr="00AC7833">
      <w:rPr>
        <w:sz w:val="20"/>
      </w:rPr>
      <w:fldChar w:fldCharType="separate"/>
    </w:r>
    <w:r w:rsidR="00AC7833">
      <w:rPr>
        <w:noProof/>
        <w:sz w:val="20"/>
      </w:rPr>
      <w:t>5</w:t>
    </w:r>
    <w:r w:rsidRPr="00AC7833">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Default="00B3628E" w:rsidP="002930B4">
    <w:pPr>
      <w:pStyle w:val="Footer"/>
      <w:framePr w:wrap="around" w:vAnchor="text" w:hAnchor="margin" w:xAlign="center" w:y="1"/>
      <w:rPr>
        <w:rStyle w:val="PageNumber"/>
      </w:rPr>
    </w:pPr>
    <w:r>
      <w:rPr>
        <w:rStyle w:val="PageNumber"/>
      </w:rPr>
      <w:fldChar w:fldCharType="begin"/>
    </w:r>
    <w:r w:rsidR="00AC7833">
      <w:rPr>
        <w:rStyle w:val="PageNumber"/>
      </w:rPr>
      <w:instrText xml:space="preserve">PAGE  </w:instrText>
    </w:r>
    <w:r>
      <w:rPr>
        <w:rStyle w:val="PageNumber"/>
      </w:rPr>
      <w:fldChar w:fldCharType="end"/>
    </w:r>
  </w:p>
  <w:p w:rsidR="00AC7833" w:rsidRDefault="00AC7833">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B3628E" w:rsidP="00AC7833">
    <w:pPr>
      <w:jc w:val="center"/>
      <w:rPr>
        <w:sz w:val="20"/>
      </w:rPr>
    </w:pPr>
    <w:r w:rsidRPr="00AC7833">
      <w:rPr>
        <w:sz w:val="20"/>
      </w:rPr>
      <w:fldChar w:fldCharType="begin"/>
    </w:r>
    <w:r w:rsidR="00AC7833" w:rsidRPr="00AC7833">
      <w:rPr>
        <w:sz w:val="20"/>
      </w:rPr>
      <w:instrText xml:space="preserve"> page </w:instrText>
    </w:r>
    <w:r w:rsidRPr="00AC7833">
      <w:rPr>
        <w:sz w:val="20"/>
      </w:rPr>
      <w:fldChar w:fldCharType="separate"/>
    </w:r>
    <w:r w:rsidR="002B67E7">
      <w:rPr>
        <w:noProof/>
        <w:sz w:val="20"/>
      </w:rPr>
      <w:t>117</w:t>
    </w:r>
    <w:r w:rsidRPr="00AC7833">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F8" w:rsidRDefault="00B3628E" w:rsidP="002930B4">
    <w:pPr>
      <w:pStyle w:val="Footer"/>
      <w:framePr w:wrap="around" w:vAnchor="text" w:hAnchor="margin" w:xAlign="center" w:y="1"/>
      <w:rPr>
        <w:rStyle w:val="PageNumber"/>
      </w:rPr>
    </w:pPr>
    <w:r>
      <w:rPr>
        <w:rStyle w:val="PageNumber"/>
      </w:rPr>
      <w:fldChar w:fldCharType="begin"/>
    </w:r>
    <w:r w:rsidR="00627FF8">
      <w:rPr>
        <w:rStyle w:val="PageNumber"/>
      </w:rPr>
      <w:instrText xml:space="preserve">PAGE  </w:instrText>
    </w:r>
    <w:r>
      <w:rPr>
        <w:rStyle w:val="PageNumber"/>
      </w:rPr>
      <w:fldChar w:fldCharType="end"/>
    </w:r>
  </w:p>
  <w:p w:rsidR="00627FF8" w:rsidRDefault="00627FF8">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F8" w:rsidRPr="00AC7833" w:rsidRDefault="00B3628E" w:rsidP="00AC7833">
    <w:pPr>
      <w:jc w:val="center"/>
      <w:rPr>
        <w:sz w:val="20"/>
      </w:rPr>
    </w:pPr>
    <w:r w:rsidRPr="00AC7833">
      <w:rPr>
        <w:sz w:val="20"/>
      </w:rPr>
      <w:fldChar w:fldCharType="begin"/>
    </w:r>
    <w:r w:rsidR="00AC7833" w:rsidRPr="00AC7833">
      <w:rPr>
        <w:sz w:val="20"/>
      </w:rPr>
      <w:instrText xml:space="preserve"> page </w:instrText>
    </w:r>
    <w:r w:rsidRPr="00AC7833">
      <w:rPr>
        <w:sz w:val="20"/>
      </w:rPr>
      <w:fldChar w:fldCharType="separate"/>
    </w:r>
    <w:r w:rsidR="00AC7833">
      <w:rPr>
        <w:noProof/>
        <w:sz w:val="20"/>
      </w:rPr>
      <w:t>1</w:t>
    </w:r>
    <w:r w:rsidRPr="00AC7833">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B3628E" w:rsidP="00AC7833">
    <w:pPr>
      <w:jc w:val="center"/>
      <w:rPr>
        <w:sz w:val="20"/>
      </w:rPr>
    </w:pPr>
    <w:r w:rsidRPr="00AC7833">
      <w:rPr>
        <w:sz w:val="20"/>
      </w:rPr>
      <w:fldChar w:fldCharType="begin"/>
    </w:r>
    <w:r w:rsidR="00AC7833" w:rsidRPr="00AC7833">
      <w:rPr>
        <w:sz w:val="20"/>
      </w:rPr>
      <w:instrText xml:space="preserve"> page </w:instrText>
    </w:r>
    <w:r w:rsidRPr="00AC7833">
      <w:rPr>
        <w:sz w:val="20"/>
      </w:rPr>
      <w:fldChar w:fldCharType="separate"/>
    </w:r>
    <w:r w:rsidR="00743061">
      <w:rPr>
        <w:noProof/>
        <w:sz w:val="20"/>
      </w:rPr>
      <w:t>113</w:t>
    </w:r>
    <w:r w:rsidRPr="00AC783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Default="00B3628E" w:rsidP="002930B4">
    <w:pPr>
      <w:pStyle w:val="Footer"/>
      <w:framePr w:wrap="around" w:vAnchor="text" w:hAnchor="margin" w:xAlign="center" w:y="1"/>
      <w:rPr>
        <w:rStyle w:val="PageNumber"/>
      </w:rPr>
    </w:pPr>
    <w:r>
      <w:rPr>
        <w:rStyle w:val="PageNumber"/>
      </w:rPr>
      <w:fldChar w:fldCharType="begin"/>
    </w:r>
    <w:r w:rsidR="00AC7833">
      <w:rPr>
        <w:rStyle w:val="PageNumber"/>
      </w:rPr>
      <w:instrText xml:space="preserve">PAGE  </w:instrText>
    </w:r>
    <w:r>
      <w:rPr>
        <w:rStyle w:val="PageNumber"/>
      </w:rPr>
      <w:fldChar w:fldCharType="end"/>
    </w:r>
  </w:p>
  <w:p w:rsidR="00AC7833" w:rsidRDefault="00AC783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B3628E" w:rsidP="00AC7833">
    <w:pPr>
      <w:jc w:val="center"/>
      <w:rPr>
        <w:sz w:val="20"/>
      </w:rPr>
    </w:pPr>
    <w:r w:rsidRPr="00AC7833">
      <w:rPr>
        <w:sz w:val="20"/>
      </w:rPr>
      <w:fldChar w:fldCharType="begin"/>
    </w:r>
    <w:r w:rsidR="00AC7833" w:rsidRPr="00AC7833">
      <w:rPr>
        <w:sz w:val="20"/>
      </w:rPr>
      <w:instrText xml:space="preserve"> page </w:instrText>
    </w:r>
    <w:r w:rsidRPr="00AC7833">
      <w:rPr>
        <w:sz w:val="20"/>
      </w:rPr>
      <w:fldChar w:fldCharType="separate"/>
    </w:r>
    <w:r w:rsidR="00743061">
      <w:rPr>
        <w:noProof/>
        <w:sz w:val="20"/>
      </w:rPr>
      <w:t>114</w:t>
    </w:r>
    <w:r w:rsidRPr="00AC783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Default="00B3628E" w:rsidP="002930B4">
    <w:pPr>
      <w:pStyle w:val="Footer"/>
      <w:framePr w:wrap="around" w:vAnchor="text" w:hAnchor="margin" w:xAlign="center" w:y="1"/>
      <w:rPr>
        <w:rStyle w:val="PageNumber"/>
      </w:rPr>
    </w:pPr>
    <w:r>
      <w:rPr>
        <w:rStyle w:val="PageNumber"/>
      </w:rPr>
      <w:fldChar w:fldCharType="begin"/>
    </w:r>
    <w:r w:rsidR="00AC7833">
      <w:rPr>
        <w:rStyle w:val="PageNumber"/>
      </w:rPr>
      <w:instrText xml:space="preserve">PAGE  </w:instrText>
    </w:r>
    <w:r>
      <w:rPr>
        <w:rStyle w:val="PageNumber"/>
      </w:rPr>
      <w:fldChar w:fldCharType="end"/>
    </w:r>
  </w:p>
  <w:p w:rsidR="00AC7833" w:rsidRDefault="00AC783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B3628E" w:rsidP="00AC7833">
    <w:pPr>
      <w:jc w:val="center"/>
      <w:rPr>
        <w:sz w:val="20"/>
      </w:rPr>
    </w:pPr>
    <w:r w:rsidRPr="00AC7833">
      <w:rPr>
        <w:sz w:val="20"/>
      </w:rPr>
      <w:fldChar w:fldCharType="begin"/>
    </w:r>
    <w:r w:rsidR="00AC7833" w:rsidRPr="00AC7833">
      <w:rPr>
        <w:sz w:val="20"/>
      </w:rPr>
      <w:instrText xml:space="preserve"> page </w:instrText>
    </w:r>
    <w:r w:rsidRPr="00AC7833">
      <w:rPr>
        <w:sz w:val="20"/>
      </w:rPr>
      <w:fldChar w:fldCharType="separate"/>
    </w:r>
    <w:r w:rsidR="002B67E7">
      <w:rPr>
        <w:noProof/>
        <w:sz w:val="20"/>
      </w:rPr>
      <w:t>115</w:t>
    </w:r>
    <w:r w:rsidRPr="00AC7833">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Default="00B3628E" w:rsidP="002930B4">
    <w:pPr>
      <w:pStyle w:val="Footer"/>
      <w:framePr w:wrap="around" w:vAnchor="text" w:hAnchor="margin" w:xAlign="center" w:y="1"/>
      <w:rPr>
        <w:rStyle w:val="PageNumber"/>
      </w:rPr>
    </w:pPr>
    <w:r>
      <w:rPr>
        <w:rStyle w:val="PageNumber"/>
      </w:rPr>
      <w:fldChar w:fldCharType="begin"/>
    </w:r>
    <w:r w:rsidR="00AC7833">
      <w:rPr>
        <w:rStyle w:val="PageNumber"/>
      </w:rPr>
      <w:instrText xml:space="preserve">PAGE  </w:instrText>
    </w:r>
    <w:r>
      <w:rPr>
        <w:rStyle w:val="PageNumber"/>
      </w:rPr>
      <w:fldChar w:fldCharType="end"/>
    </w:r>
  </w:p>
  <w:p w:rsidR="00AC7833" w:rsidRDefault="00AC783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B3628E" w:rsidP="00AC7833">
    <w:pPr>
      <w:jc w:val="center"/>
      <w:rPr>
        <w:sz w:val="20"/>
      </w:rPr>
    </w:pPr>
    <w:r w:rsidRPr="00AC7833">
      <w:rPr>
        <w:sz w:val="20"/>
      </w:rPr>
      <w:fldChar w:fldCharType="begin"/>
    </w:r>
    <w:r w:rsidR="00AC7833" w:rsidRPr="00AC7833">
      <w:rPr>
        <w:sz w:val="20"/>
      </w:rPr>
      <w:instrText xml:space="preserve"> page </w:instrText>
    </w:r>
    <w:r w:rsidRPr="00AC7833">
      <w:rPr>
        <w:sz w:val="20"/>
      </w:rPr>
      <w:fldChar w:fldCharType="separate"/>
    </w:r>
    <w:r w:rsidR="002B67E7">
      <w:rPr>
        <w:noProof/>
        <w:sz w:val="20"/>
      </w:rPr>
      <w:t>116</w:t>
    </w:r>
    <w:r w:rsidRPr="00AC7833">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Default="00B3628E" w:rsidP="002930B4">
    <w:pPr>
      <w:pStyle w:val="Footer"/>
      <w:framePr w:wrap="around" w:vAnchor="text" w:hAnchor="margin" w:xAlign="center" w:y="1"/>
      <w:rPr>
        <w:rStyle w:val="PageNumber"/>
      </w:rPr>
    </w:pPr>
    <w:r>
      <w:rPr>
        <w:rStyle w:val="PageNumber"/>
      </w:rPr>
      <w:fldChar w:fldCharType="begin"/>
    </w:r>
    <w:r w:rsidR="00AC7833">
      <w:rPr>
        <w:rStyle w:val="PageNumber"/>
      </w:rPr>
      <w:instrText xml:space="preserve">PAGE  </w:instrText>
    </w:r>
    <w:r>
      <w:rPr>
        <w:rStyle w:val="PageNumber"/>
      </w:rPr>
      <w:fldChar w:fldCharType="end"/>
    </w:r>
  </w:p>
  <w:p w:rsidR="00AC7833" w:rsidRDefault="00AC7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48A" w:rsidRDefault="00A2048A">
      <w:r>
        <w:separator/>
      </w:r>
    </w:p>
  </w:footnote>
  <w:footnote w:type="continuationSeparator" w:id="0">
    <w:p w:rsidR="00A2048A" w:rsidRDefault="00A20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AC7833" w:rsidP="00AC7833">
    <w:pPr>
      <w:pBdr>
        <w:bottom w:val="thinThickMediumGap" w:sz="12" w:space="1" w:color="auto"/>
      </w:pBdr>
      <w:tabs>
        <w:tab w:val="left" w:pos="851"/>
        <w:tab w:val="right" w:pos="8364"/>
      </w:tabs>
      <w:adjustRightInd w:val="0"/>
      <w:snapToGrid w:val="0"/>
      <w:jc w:val="both"/>
      <w:rPr>
        <w:iCs/>
        <w:sz w:val="20"/>
        <w:szCs w:val="20"/>
      </w:rPr>
    </w:pPr>
    <w:r w:rsidRPr="00AC7833">
      <w:rPr>
        <w:rFonts w:hint="eastAsia"/>
        <w:sz w:val="20"/>
        <w:szCs w:val="20"/>
      </w:rPr>
      <w:tab/>
    </w:r>
    <w:r w:rsidRPr="00AC7833">
      <w:rPr>
        <w:sz w:val="20"/>
        <w:szCs w:val="20"/>
      </w:rPr>
      <w:t>New York Science Journal 201</w:t>
    </w:r>
    <w:r w:rsidRPr="00AC7833">
      <w:rPr>
        <w:rFonts w:hint="eastAsia"/>
        <w:sz w:val="20"/>
        <w:szCs w:val="20"/>
      </w:rPr>
      <w:t>7</w:t>
    </w:r>
    <w:r w:rsidRPr="00AC7833">
      <w:rPr>
        <w:sz w:val="20"/>
        <w:szCs w:val="20"/>
      </w:rPr>
      <w:t>;</w:t>
    </w:r>
    <w:r w:rsidRPr="00AC7833">
      <w:rPr>
        <w:rFonts w:hint="eastAsia"/>
        <w:sz w:val="20"/>
        <w:szCs w:val="20"/>
      </w:rPr>
      <w:t>10</w:t>
    </w:r>
    <w:r w:rsidRPr="00AC7833">
      <w:rPr>
        <w:sz w:val="20"/>
        <w:szCs w:val="20"/>
      </w:rPr>
      <w:t>(</w:t>
    </w:r>
    <w:r w:rsidRPr="00AC7833">
      <w:rPr>
        <w:rFonts w:hint="eastAsia"/>
        <w:sz w:val="20"/>
        <w:szCs w:val="20"/>
      </w:rPr>
      <w:t>1</w:t>
    </w:r>
    <w:r w:rsidRPr="00AC7833">
      <w:rPr>
        <w:sz w:val="20"/>
        <w:szCs w:val="20"/>
      </w:rPr>
      <w:t>)</w:t>
    </w:r>
    <w:r w:rsidRPr="00AC7833">
      <w:rPr>
        <w:iCs/>
        <w:sz w:val="20"/>
        <w:szCs w:val="20"/>
      </w:rPr>
      <w:t xml:space="preserve">     </w:t>
    </w:r>
    <w:r w:rsidRPr="00AC7833">
      <w:rPr>
        <w:rFonts w:hint="eastAsia"/>
        <w:iCs/>
        <w:sz w:val="20"/>
        <w:szCs w:val="20"/>
      </w:rPr>
      <w:tab/>
    </w:r>
    <w:r w:rsidRPr="00AC7833">
      <w:rPr>
        <w:iCs/>
        <w:sz w:val="20"/>
        <w:szCs w:val="20"/>
      </w:rPr>
      <w:t xml:space="preserve"> </w:t>
    </w:r>
    <w:r w:rsidRPr="00AC7833">
      <w:rPr>
        <w:rFonts w:hint="eastAsia"/>
        <w:iCs/>
        <w:sz w:val="20"/>
        <w:szCs w:val="20"/>
      </w:rPr>
      <w:t xml:space="preserve"> </w:t>
    </w:r>
    <w:r w:rsidRPr="00AC7833">
      <w:rPr>
        <w:iCs/>
        <w:sz w:val="20"/>
        <w:szCs w:val="20"/>
      </w:rPr>
      <w:t xml:space="preserve">   </w:t>
    </w:r>
    <w:hyperlink r:id="rId1" w:history="1">
      <w:r w:rsidRPr="00AC7833">
        <w:rPr>
          <w:rStyle w:val="Hyperlink"/>
          <w:color w:val="0000FF"/>
          <w:sz w:val="20"/>
          <w:szCs w:val="20"/>
        </w:rPr>
        <w:t>http://www.sciencepub.net/newyork</w:t>
      </w:r>
    </w:hyperlink>
  </w:p>
  <w:p w:rsidR="00AC7833" w:rsidRPr="00AC7833" w:rsidRDefault="00AC7833" w:rsidP="00AC783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AC7833" w:rsidP="00AC7833">
    <w:pPr>
      <w:pBdr>
        <w:bottom w:val="thinThickMediumGap" w:sz="12" w:space="1" w:color="auto"/>
      </w:pBdr>
      <w:tabs>
        <w:tab w:val="left" w:pos="851"/>
        <w:tab w:val="right" w:pos="8364"/>
      </w:tabs>
      <w:adjustRightInd w:val="0"/>
      <w:snapToGrid w:val="0"/>
      <w:jc w:val="both"/>
      <w:rPr>
        <w:iCs/>
        <w:sz w:val="20"/>
        <w:szCs w:val="20"/>
      </w:rPr>
    </w:pPr>
    <w:r w:rsidRPr="00AC7833">
      <w:rPr>
        <w:rFonts w:hint="eastAsia"/>
        <w:sz w:val="20"/>
        <w:szCs w:val="20"/>
      </w:rPr>
      <w:tab/>
    </w:r>
    <w:r w:rsidRPr="00AC7833">
      <w:rPr>
        <w:sz w:val="20"/>
        <w:szCs w:val="20"/>
      </w:rPr>
      <w:t>New York Science Journal 201</w:t>
    </w:r>
    <w:r w:rsidRPr="00AC7833">
      <w:rPr>
        <w:rFonts w:hint="eastAsia"/>
        <w:sz w:val="20"/>
        <w:szCs w:val="20"/>
      </w:rPr>
      <w:t>7</w:t>
    </w:r>
    <w:r w:rsidRPr="00AC7833">
      <w:rPr>
        <w:sz w:val="20"/>
        <w:szCs w:val="20"/>
      </w:rPr>
      <w:t>;</w:t>
    </w:r>
    <w:r w:rsidRPr="00AC7833">
      <w:rPr>
        <w:rFonts w:hint="eastAsia"/>
        <w:sz w:val="20"/>
        <w:szCs w:val="20"/>
      </w:rPr>
      <w:t>10</w:t>
    </w:r>
    <w:r w:rsidRPr="00AC7833">
      <w:rPr>
        <w:sz w:val="20"/>
        <w:szCs w:val="20"/>
      </w:rPr>
      <w:t>(</w:t>
    </w:r>
    <w:r w:rsidRPr="00AC7833">
      <w:rPr>
        <w:rFonts w:hint="eastAsia"/>
        <w:sz w:val="20"/>
        <w:szCs w:val="20"/>
      </w:rPr>
      <w:t>1</w:t>
    </w:r>
    <w:r w:rsidRPr="00AC7833">
      <w:rPr>
        <w:sz w:val="20"/>
        <w:szCs w:val="20"/>
      </w:rPr>
      <w:t>)</w:t>
    </w:r>
    <w:r w:rsidRPr="00AC7833">
      <w:rPr>
        <w:iCs/>
        <w:sz w:val="20"/>
        <w:szCs w:val="20"/>
      </w:rPr>
      <w:t xml:space="preserve">     </w:t>
    </w:r>
    <w:r w:rsidRPr="00AC7833">
      <w:rPr>
        <w:rFonts w:hint="eastAsia"/>
        <w:iCs/>
        <w:sz w:val="20"/>
        <w:szCs w:val="20"/>
      </w:rPr>
      <w:tab/>
    </w:r>
    <w:r w:rsidRPr="00AC7833">
      <w:rPr>
        <w:iCs/>
        <w:sz w:val="20"/>
        <w:szCs w:val="20"/>
      </w:rPr>
      <w:t xml:space="preserve"> </w:t>
    </w:r>
    <w:r w:rsidRPr="00AC7833">
      <w:rPr>
        <w:rFonts w:hint="eastAsia"/>
        <w:iCs/>
        <w:sz w:val="20"/>
        <w:szCs w:val="20"/>
      </w:rPr>
      <w:t xml:space="preserve"> </w:t>
    </w:r>
    <w:r w:rsidRPr="00AC7833">
      <w:rPr>
        <w:iCs/>
        <w:sz w:val="20"/>
        <w:szCs w:val="20"/>
      </w:rPr>
      <w:t xml:space="preserve">   </w:t>
    </w:r>
    <w:hyperlink r:id="rId1" w:history="1">
      <w:r w:rsidRPr="00AC7833">
        <w:rPr>
          <w:rStyle w:val="Hyperlink"/>
          <w:color w:val="0000FF"/>
          <w:sz w:val="20"/>
          <w:szCs w:val="20"/>
        </w:rPr>
        <w:t>http://www.sciencepub.net/newyork</w:t>
      </w:r>
    </w:hyperlink>
  </w:p>
  <w:p w:rsidR="00AC7833" w:rsidRPr="00AC7833" w:rsidRDefault="00AC7833" w:rsidP="00AC783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AC7833" w:rsidP="00AC7833">
    <w:pPr>
      <w:pBdr>
        <w:bottom w:val="thinThickMediumGap" w:sz="12" w:space="1" w:color="auto"/>
      </w:pBdr>
      <w:tabs>
        <w:tab w:val="left" w:pos="851"/>
        <w:tab w:val="right" w:pos="8364"/>
      </w:tabs>
      <w:adjustRightInd w:val="0"/>
      <w:snapToGrid w:val="0"/>
      <w:jc w:val="both"/>
      <w:rPr>
        <w:iCs/>
        <w:sz w:val="20"/>
        <w:szCs w:val="20"/>
      </w:rPr>
    </w:pPr>
    <w:r w:rsidRPr="00AC7833">
      <w:rPr>
        <w:rFonts w:hint="eastAsia"/>
        <w:sz w:val="20"/>
        <w:szCs w:val="20"/>
      </w:rPr>
      <w:tab/>
    </w:r>
    <w:r w:rsidRPr="00AC7833">
      <w:rPr>
        <w:sz w:val="20"/>
        <w:szCs w:val="20"/>
      </w:rPr>
      <w:t>New York Science Journal 201</w:t>
    </w:r>
    <w:r w:rsidRPr="00AC7833">
      <w:rPr>
        <w:rFonts w:hint="eastAsia"/>
        <w:sz w:val="20"/>
        <w:szCs w:val="20"/>
      </w:rPr>
      <w:t>7</w:t>
    </w:r>
    <w:r w:rsidRPr="00AC7833">
      <w:rPr>
        <w:sz w:val="20"/>
        <w:szCs w:val="20"/>
      </w:rPr>
      <w:t>;</w:t>
    </w:r>
    <w:r w:rsidRPr="00AC7833">
      <w:rPr>
        <w:rFonts w:hint="eastAsia"/>
        <w:sz w:val="20"/>
        <w:szCs w:val="20"/>
      </w:rPr>
      <w:t>10</w:t>
    </w:r>
    <w:r w:rsidRPr="00AC7833">
      <w:rPr>
        <w:sz w:val="20"/>
        <w:szCs w:val="20"/>
      </w:rPr>
      <w:t>(</w:t>
    </w:r>
    <w:r w:rsidRPr="00AC7833">
      <w:rPr>
        <w:rFonts w:hint="eastAsia"/>
        <w:sz w:val="20"/>
        <w:szCs w:val="20"/>
      </w:rPr>
      <w:t>1</w:t>
    </w:r>
    <w:r w:rsidRPr="00AC7833">
      <w:rPr>
        <w:sz w:val="20"/>
        <w:szCs w:val="20"/>
      </w:rPr>
      <w:t>)</w:t>
    </w:r>
    <w:r w:rsidRPr="00AC7833">
      <w:rPr>
        <w:iCs/>
        <w:sz w:val="20"/>
        <w:szCs w:val="20"/>
      </w:rPr>
      <w:t xml:space="preserve">     </w:t>
    </w:r>
    <w:r w:rsidRPr="00AC7833">
      <w:rPr>
        <w:rFonts w:hint="eastAsia"/>
        <w:iCs/>
        <w:sz w:val="20"/>
        <w:szCs w:val="20"/>
      </w:rPr>
      <w:tab/>
    </w:r>
    <w:r w:rsidRPr="00AC7833">
      <w:rPr>
        <w:iCs/>
        <w:sz w:val="20"/>
        <w:szCs w:val="20"/>
      </w:rPr>
      <w:t xml:space="preserve"> </w:t>
    </w:r>
    <w:r w:rsidRPr="00AC7833">
      <w:rPr>
        <w:rFonts w:hint="eastAsia"/>
        <w:iCs/>
        <w:sz w:val="20"/>
        <w:szCs w:val="20"/>
      </w:rPr>
      <w:t xml:space="preserve"> </w:t>
    </w:r>
    <w:r w:rsidRPr="00AC7833">
      <w:rPr>
        <w:iCs/>
        <w:sz w:val="20"/>
        <w:szCs w:val="20"/>
      </w:rPr>
      <w:t xml:space="preserve">   </w:t>
    </w:r>
    <w:hyperlink r:id="rId1" w:history="1">
      <w:r w:rsidRPr="00AC7833">
        <w:rPr>
          <w:rStyle w:val="Hyperlink"/>
          <w:color w:val="0000FF"/>
          <w:sz w:val="20"/>
          <w:szCs w:val="20"/>
        </w:rPr>
        <w:t>http://www.sciencepub.net/newyork</w:t>
      </w:r>
    </w:hyperlink>
  </w:p>
  <w:p w:rsidR="00AC7833" w:rsidRPr="00AC7833" w:rsidRDefault="00AC7833" w:rsidP="00AC7833">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AC7833" w:rsidP="00AC7833">
    <w:pPr>
      <w:pBdr>
        <w:bottom w:val="thinThickMediumGap" w:sz="12" w:space="1" w:color="auto"/>
      </w:pBdr>
      <w:tabs>
        <w:tab w:val="left" w:pos="851"/>
        <w:tab w:val="right" w:pos="8364"/>
      </w:tabs>
      <w:adjustRightInd w:val="0"/>
      <w:snapToGrid w:val="0"/>
      <w:jc w:val="both"/>
      <w:rPr>
        <w:iCs/>
        <w:sz w:val="20"/>
        <w:szCs w:val="20"/>
      </w:rPr>
    </w:pPr>
    <w:r w:rsidRPr="00AC7833">
      <w:rPr>
        <w:rFonts w:hint="eastAsia"/>
        <w:sz w:val="20"/>
        <w:szCs w:val="20"/>
      </w:rPr>
      <w:tab/>
    </w:r>
    <w:r w:rsidRPr="00AC7833">
      <w:rPr>
        <w:sz w:val="20"/>
        <w:szCs w:val="20"/>
      </w:rPr>
      <w:t>New York Science Journal 201</w:t>
    </w:r>
    <w:r w:rsidRPr="00AC7833">
      <w:rPr>
        <w:rFonts w:hint="eastAsia"/>
        <w:sz w:val="20"/>
        <w:szCs w:val="20"/>
      </w:rPr>
      <w:t>7</w:t>
    </w:r>
    <w:r w:rsidRPr="00AC7833">
      <w:rPr>
        <w:sz w:val="20"/>
        <w:szCs w:val="20"/>
      </w:rPr>
      <w:t>;</w:t>
    </w:r>
    <w:r w:rsidRPr="00AC7833">
      <w:rPr>
        <w:rFonts w:hint="eastAsia"/>
        <w:sz w:val="20"/>
        <w:szCs w:val="20"/>
      </w:rPr>
      <w:t>10</w:t>
    </w:r>
    <w:r w:rsidRPr="00AC7833">
      <w:rPr>
        <w:sz w:val="20"/>
        <w:szCs w:val="20"/>
      </w:rPr>
      <w:t>(</w:t>
    </w:r>
    <w:r w:rsidRPr="00AC7833">
      <w:rPr>
        <w:rFonts w:hint="eastAsia"/>
        <w:sz w:val="20"/>
        <w:szCs w:val="20"/>
      </w:rPr>
      <w:t>1</w:t>
    </w:r>
    <w:r w:rsidRPr="00AC7833">
      <w:rPr>
        <w:sz w:val="20"/>
        <w:szCs w:val="20"/>
      </w:rPr>
      <w:t>)</w:t>
    </w:r>
    <w:r w:rsidRPr="00AC7833">
      <w:rPr>
        <w:iCs/>
        <w:sz w:val="20"/>
        <w:szCs w:val="20"/>
      </w:rPr>
      <w:t xml:space="preserve">     </w:t>
    </w:r>
    <w:r w:rsidRPr="00AC7833">
      <w:rPr>
        <w:rFonts w:hint="eastAsia"/>
        <w:iCs/>
        <w:sz w:val="20"/>
        <w:szCs w:val="20"/>
      </w:rPr>
      <w:tab/>
    </w:r>
    <w:r w:rsidRPr="00AC7833">
      <w:rPr>
        <w:iCs/>
        <w:sz w:val="20"/>
        <w:szCs w:val="20"/>
      </w:rPr>
      <w:t xml:space="preserve"> </w:t>
    </w:r>
    <w:r w:rsidRPr="00AC7833">
      <w:rPr>
        <w:rFonts w:hint="eastAsia"/>
        <w:iCs/>
        <w:sz w:val="20"/>
        <w:szCs w:val="20"/>
      </w:rPr>
      <w:t xml:space="preserve"> </w:t>
    </w:r>
    <w:r w:rsidRPr="00AC7833">
      <w:rPr>
        <w:iCs/>
        <w:sz w:val="20"/>
        <w:szCs w:val="20"/>
      </w:rPr>
      <w:t xml:space="preserve">   </w:t>
    </w:r>
    <w:hyperlink r:id="rId1" w:history="1">
      <w:r w:rsidRPr="00AC7833">
        <w:rPr>
          <w:rStyle w:val="Hyperlink"/>
          <w:color w:val="0000FF"/>
          <w:sz w:val="20"/>
          <w:szCs w:val="20"/>
        </w:rPr>
        <w:t>http://www.sciencepub.net/newyork</w:t>
      </w:r>
    </w:hyperlink>
  </w:p>
  <w:p w:rsidR="00AC7833" w:rsidRPr="00AC7833" w:rsidRDefault="00AC7833" w:rsidP="00AC7833">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AC7833" w:rsidP="00AC7833">
    <w:pPr>
      <w:pBdr>
        <w:bottom w:val="thinThickMediumGap" w:sz="12" w:space="1" w:color="auto"/>
      </w:pBdr>
      <w:tabs>
        <w:tab w:val="left" w:pos="851"/>
        <w:tab w:val="right" w:pos="8364"/>
      </w:tabs>
      <w:adjustRightInd w:val="0"/>
      <w:snapToGrid w:val="0"/>
      <w:jc w:val="both"/>
      <w:rPr>
        <w:iCs/>
        <w:sz w:val="20"/>
        <w:szCs w:val="20"/>
      </w:rPr>
    </w:pPr>
    <w:r w:rsidRPr="00AC7833">
      <w:rPr>
        <w:rFonts w:hint="eastAsia"/>
        <w:sz w:val="20"/>
        <w:szCs w:val="20"/>
      </w:rPr>
      <w:tab/>
    </w:r>
    <w:r w:rsidRPr="00AC7833">
      <w:rPr>
        <w:sz w:val="20"/>
        <w:szCs w:val="20"/>
      </w:rPr>
      <w:t>New York Science Journal 201</w:t>
    </w:r>
    <w:r w:rsidRPr="00AC7833">
      <w:rPr>
        <w:rFonts w:hint="eastAsia"/>
        <w:sz w:val="20"/>
        <w:szCs w:val="20"/>
      </w:rPr>
      <w:t>7</w:t>
    </w:r>
    <w:r w:rsidRPr="00AC7833">
      <w:rPr>
        <w:sz w:val="20"/>
        <w:szCs w:val="20"/>
      </w:rPr>
      <w:t>;</w:t>
    </w:r>
    <w:r w:rsidRPr="00AC7833">
      <w:rPr>
        <w:rFonts w:hint="eastAsia"/>
        <w:sz w:val="20"/>
        <w:szCs w:val="20"/>
      </w:rPr>
      <w:t>10</w:t>
    </w:r>
    <w:r w:rsidRPr="00AC7833">
      <w:rPr>
        <w:sz w:val="20"/>
        <w:szCs w:val="20"/>
      </w:rPr>
      <w:t>(</w:t>
    </w:r>
    <w:r w:rsidRPr="00AC7833">
      <w:rPr>
        <w:rFonts w:hint="eastAsia"/>
        <w:sz w:val="20"/>
        <w:szCs w:val="20"/>
      </w:rPr>
      <w:t>1</w:t>
    </w:r>
    <w:r w:rsidRPr="00AC7833">
      <w:rPr>
        <w:sz w:val="20"/>
        <w:szCs w:val="20"/>
      </w:rPr>
      <w:t>)</w:t>
    </w:r>
    <w:r w:rsidRPr="00AC7833">
      <w:rPr>
        <w:iCs/>
        <w:sz w:val="20"/>
        <w:szCs w:val="20"/>
      </w:rPr>
      <w:t xml:space="preserve">     </w:t>
    </w:r>
    <w:r w:rsidRPr="00AC7833">
      <w:rPr>
        <w:rFonts w:hint="eastAsia"/>
        <w:iCs/>
        <w:sz w:val="20"/>
        <w:szCs w:val="20"/>
      </w:rPr>
      <w:tab/>
    </w:r>
    <w:r w:rsidRPr="00AC7833">
      <w:rPr>
        <w:iCs/>
        <w:sz w:val="20"/>
        <w:szCs w:val="20"/>
      </w:rPr>
      <w:t xml:space="preserve"> </w:t>
    </w:r>
    <w:r w:rsidRPr="00AC7833">
      <w:rPr>
        <w:rFonts w:hint="eastAsia"/>
        <w:iCs/>
        <w:sz w:val="20"/>
        <w:szCs w:val="20"/>
      </w:rPr>
      <w:t xml:space="preserve"> </w:t>
    </w:r>
    <w:r w:rsidRPr="00AC7833">
      <w:rPr>
        <w:iCs/>
        <w:sz w:val="20"/>
        <w:szCs w:val="20"/>
      </w:rPr>
      <w:t xml:space="preserve">   </w:t>
    </w:r>
    <w:hyperlink r:id="rId1" w:history="1">
      <w:r w:rsidRPr="00AC7833">
        <w:rPr>
          <w:rStyle w:val="Hyperlink"/>
          <w:color w:val="0000FF"/>
          <w:sz w:val="20"/>
          <w:szCs w:val="20"/>
        </w:rPr>
        <w:t>http://www.sciencepub.net/newyork</w:t>
      </w:r>
    </w:hyperlink>
  </w:p>
  <w:p w:rsidR="00AC7833" w:rsidRPr="00AC7833" w:rsidRDefault="00AC7833" w:rsidP="00AC7833">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AC7833" w:rsidP="00AC7833">
    <w:pPr>
      <w:pBdr>
        <w:bottom w:val="thinThickMediumGap" w:sz="12" w:space="1" w:color="auto"/>
      </w:pBdr>
      <w:tabs>
        <w:tab w:val="left" w:pos="851"/>
        <w:tab w:val="right" w:pos="8364"/>
      </w:tabs>
      <w:adjustRightInd w:val="0"/>
      <w:snapToGrid w:val="0"/>
      <w:jc w:val="both"/>
      <w:rPr>
        <w:iCs/>
        <w:sz w:val="20"/>
        <w:szCs w:val="20"/>
      </w:rPr>
    </w:pPr>
    <w:r w:rsidRPr="00AC7833">
      <w:rPr>
        <w:rFonts w:hint="eastAsia"/>
        <w:sz w:val="20"/>
        <w:szCs w:val="20"/>
      </w:rPr>
      <w:tab/>
    </w:r>
    <w:r w:rsidRPr="00AC7833">
      <w:rPr>
        <w:sz w:val="20"/>
        <w:szCs w:val="20"/>
      </w:rPr>
      <w:t>New York Science Journal 201</w:t>
    </w:r>
    <w:r w:rsidRPr="00AC7833">
      <w:rPr>
        <w:rFonts w:hint="eastAsia"/>
        <w:sz w:val="20"/>
        <w:szCs w:val="20"/>
      </w:rPr>
      <w:t>7</w:t>
    </w:r>
    <w:r w:rsidRPr="00AC7833">
      <w:rPr>
        <w:sz w:val="20"/>
        <w:szCs w:val="20"/>
      </w:rPr>
      <w:t>;</w:t>
    </w:r>
    <w:r w:rsidRPr="00AC7833">
      <w:rPr>
        <w:rFonts w:hint="eastAsia"/>
        <w:sz w:val="20"/>
        <w:szCs w:val="20"/>
      </w:rPr>
      <w:t>10</w:t>
    </w:r>
    <w:r w:rsidRPr="00AC7833">
      <w:rPr>
        <w:sz w:val="20"/>
        <w:szCs w:val="20"/>
      </w:rPr>
      <w:t>(</w:t>
    </w:r>
    <w:r w:rsidRPr="00AC7833">
      <w:rPr>
        <w:rFonts w:hint="eastAsia"/>
        <w:sz w:val="20"/>
        <w:szCs w:val="20"/>
      </w:rPr>
      <w:t>1</w:t>
    </w:r>
    <w:r w:rsidRPr="00AC7833">
      <w:rPr>
        <w:sz w:val="20"/>
        <w:szCs w:val="20"/>
      </w:rPr>
      <w:t>)</w:t>
    </w:r>
    <w:r w:rsidRPr="00AC7833">
      <w:rPr>
        <w:iCs/>
        <w:sz w:val="20"/>
        <w:szCs w:val="20"/>
      </w:rPr>
      <w:t xml:space="preserve">     </w:t>
    </w:r>
    <w:r w:rsidRPr="00AC7833">
      <w:rPr>
        <w:rFonts w:hint="eastAsia"/>
        <w:iCs/>
        <w:sz w:val="20"/>
        <w:szCs w:val="20"/>
      </w:rPr>
      <w:tab/>
    </w:r>
    <w:r w:rsidRPr="00AC7833">
      <w:rPr>
        <w:iCs/>
        <w:sz w:val="20"/>
        <w:szCs w:val="20"/>
      </w:rPr>
      <w:t xml:space="preserve"> </w:t>
    </w:r>
    <w:r w:rsidRPr="00AC7833">
      <w:rPr>
        <w:rFonts w:hint="eastAsia"/>
        <w:iCs/>
        <w:sz w:val="20"/>
        <w:szCs w:val="20"/>
      </w:rPr>
      <w:t xml:space="preserve"> </w:t>
    </w:r>
    <w:r w:rsidRPr="00AC7833">
      <w:rPr>
        <w:iCs/>
        <w:sz w:val="20"/>
        <w:szCs w:val="20"/>
      </w:rPr>
      <w:t xml:space="preserve">   </w:t>
    </w:r>
    <w:hyperlink r:id="rId1" w:history="1">
      <w:r w:rsidRPr="00AC7833">
        <w:rPr>
          <w:rStyle w:val="Hyperlink"/>
          <w:color w:val="0000FF"/>
          <w:sz w:val="20"/>
          <w:szCs w:val="20"/>
        </w:rPr>
        <w:t>http://www.sciencepub.net/newyork</w:t>
      </w:r>
    </w:hyperlink>
  </w:p>
  <w:p w:rsidR="00AC7833" w:rsidRPr="00AC7833" w:rsidRDefault="00AC7833" w:rsidP="00AC7833">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33" w:rsidRPr="00AC7833" w:rsidRDefault="00AC7833" w:rsidP="00AC7833">
    <w:pPr>
      <w:pBdr>
        <w:bottom w:val="thinThickMediumGap" w:sz="12" w:space="1" w:color="auto"/>
      </w:pBdr>
      <w:tabs>
        <w:tab w:val="left" w:pos="851"/>
        <w:tab w:val="right" w:pos="8364"/>
      </w:tabs>
      <w:adjustRightInd w:val="0"/>
      <w:snapToGrid w:val="0"/>
      <w:jc w:val="both"/>
      <w:rPr>
        <w:iCs/>
        <w:sz w:val="20"/>
        <w:szCs w:val="20"/>
      </w:rPr>
    </w:pPr>
    <w:r w:rsidRPr="00AC7833">
      <w:rPr>
        <w:rFonts w:hint="eastAsia"/>
        <w:sz w:val="20"/>
        <w:szCs w:val="20"/>
      </w:rPr>
      <w:tab/>
    </w:r>
    <w:r w:rsidRPr="00AC7833">
      <w:rPr>
        <w:sz w:val="20"/>
        <w:szCs w:val="20"/>
      </w:rPr>
      <w:t>New York Science Journal 201</w:t>
    </w:r>
    <w:r w:rsidRPr="00AC7833">
      <w:rPr>
        <w:rFonts w:hint="eastAsia"/>
        <w:sz w:val="20"/>
        <w:szCs w:val="20"/>
      </w:rPr>
      <w:t>7</w:t>
    </w:r>
    <w:r w:rsidRPr="00AC7833">
      <w:rPr>
        <w:sz w:val="20"/>
        <w:szCs w:val="20"/>
      </w:rPr>
      <w:t>;</w:t>
    </w:r>
    <w:r w:rsidRPr="00AC7833">
      <w:rPr>
        <w:rFonts w:hint="eastAsia"/>
        <w:sz w:val="20"/>
        <w:szCs w:val="20"/>
      </w:rPr>
      <w:t>10</w:t>
    </w:r>
    <w:r w:rsidRPr="00AC7833">
      <w:rPr>
        <w:sz w:val="20"/>
        <w:szCs w:val="20"/>
      </w:rPr>
      <w:t>(</w:t>
    </w:r>
    <w:r w:rsidRPr="00AC7833">
      <w:rPr>
        <w:rFonts w:hint="eastAsia"/>
        <w:sz w:val="20"/>
        <w:szCs w:val="20"/>
      </w:rPr>
      <w:t>1</w:t>
    </w:r>
    <w:r w:rsidRPr="00AC7833">
      <w:rPr>
        <w:sz w:val="20"/>
        <w:szCs w:val="20"/>
      </w:rPr>
      <w:t>)</w:t>
    </w:r>
    <w:r w:rsidRPr="00AC7833">
      <w:rPr>
        <w:iCs/>
        <w:sz w:val="20"/>
        <w:szCs w:val="20"/>
      </w:rPr>
      <w:t xml:space="preserve">     </w:t>
    </w:r>
    <w:r w:rsidRPr="00AC7833">
      <w:rPr>
        <w:rFonts w:hint="eastAsia"/>
        <w:iCs/>
        <w:sz w:val="20"/>
        <w:szCs w:val="20"/>
      </w:rPr>
      <w:tab/>
    </w:r>
    <w:r w:rsidRPr="00AC7833">
      <w:rPr>
        <w:iCs/>
        <w:sz w:val="20"/>
        <w:szCs w:val="20"/>
      </w:rPr>
      <w:t xml:space="preserve"> </w:t>
    </w:r>
    <w:r w:rsidRPr="00AC7833">
      <w:rPr>
        <w:rFonts w:hint="eastAsia"/>
        <w:iCs/>
        <w:sz w:val="20"/>
        <w:szCs w:val="20"/>
      </w:rPr>
      <w:t xml:space="preserve"> </w:t>
    </w:r>
    <w:r w:rsidRPr="00AC7833">
      <w:rPr>
        <w:iCs/>
        <w:sz w:val="20"/>
        <w:szCs w:val="20"/>
      </w:rPr>
      <w:t xml:space="preserve">   </w:t>
    </w:r>
    <w:hyperlink r:id="rId1" w:history="1">
      <w:r w:rsidRPr="00AC7833">
        <w:rPr>
          <w:rStyle w:val="Hyperlink"/>
          <w:color w:val="0000FF"/>
          <w:sz w:val="20"/>
          <w:szCs w:val="20"/>
        </w:rPr>
        <w:t>http://www.sciencepub.net/newyork</w:t>
      </w:r>
    </w:hyperlink>
  </w:p>
  <w:p w:rsidR="00AC7833" w:rsidRPr="00AC7833" w:rsidRDefault="00AC7833" w:rsidP="00AC783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026F3"/>
    <w:multiLevelType w:val="hybridMultilevel"/>
    <w:tmpl w:val="D6AAD5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3E6DA7"/>
    <w:multiLevelType w:val="multilevel"/>
    <w:tmpl w:val="E420385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24AE5ACB"/>
    <w:multiLevelType w:val="hybridMultilevel"/>
    <w:tmpl w:val="E420385E"/>
    <w:lvl w:ilvl="0" w:tplc="8640C12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5FC3DEC"/>
    <w:multiLevelType w:val="hybridMultilevel"/>
    <w:tmpl w:val="6D4A479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F9517F"/>
    <w:multiLevelType w:val="hybridMultilevel"/>
    <w:tmpl w:val="864A54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1133CA"/>
    <w:multiLevelType w:val="hybridMultilevel"/>
    <w:tmpl w:val="008EBD32"/>
    <w:lvl w:ilvl="0" w:tplc="8640C1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2910DDA"/>
    <w:multiLevelType w:val="hybridMultilevel"/>
    <w:tmpl w:val="C50AC9CE"/>
    <w:lvl w:ilvl="0" w:tplc="8640C122">
      <w:start w:val="1"/>
      <w:numFmt w:val="decimal"/>
      <w:lvlText w:val="%1."/>
      <w:lvlJc w:val="left"/>
      <w:pPr>
        <w:tabs>
          <w:tab w:val="num" w:pos="1440"/>
        </w:tabs>
        <w:ind w:left="1440" w:hanging="360"/>
      </w:pPr>
      <w:rPr>
        <w:rFonts w:hint="default"/>
      </w:rPr>
    </w:lvl>
    <w:lvl w:ilvl="1" w:tplc="8642F08E">
      <w:start w:val="1"/>
      <w:numFmt w:val="decimal"/>
      <w:lvlText w:val="%2-"/>
      <w:lvlJc w:val="left"/>
      <w:pPr>
        <w:tabs>
          <w:tab w:val="num" w:pos="2940"/>
        </w:tabs>
        <w:ind w:left="2940" w:hanging="11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3F746C8"/>
    <w:multiLevelType w:val="hybridMultilevel"/>
    <w:tmpl w:val="8D50AE9E"/>
    <w:lvl w:ilvl="0" w:tplc="6CBE3B9A">
      <w:start w:val="1"/>
      <w:numFmt w:val="decimal"/>
      <w:lvlText w:val="%1."/>
      <w:lvlJc w:val="left"/>
      <w:pPr>
        <w:tabs>
          <w:tab w:val="num" w:pos="927"/>
        </w:tabs>
        <w:ind w:left="927" w:hanging="360"/>
      </w:pPr>
      <w:rPr>
        <w:lang w:val="en-US"/>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nsid w:val="72F608C0"/>
    <w:multiLevelType w:val="hybridMultilevel"/>
    <w:tmpl w:val="9BD258C6"/>
    <w:lvl w:ilvl="0" w:tplc="8640C1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0"/>
  </w:num>
  <w:num w:numId="6">
    <w:abstractNumId w:val="3"/>
  </w:num>
  <w:num w:numId="7">
    <w:abstractNumId w:val="2"/>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4B1D65"/>
    <w:rsid w:val="00086948"/>
    <w:rsid w:val="000E5481"/>
    <w:rsid w:val="000E5F1B"/>
    <w:rsid w:val="00240DA3"/>
    <w:rsid w:val="002930B4"/>
    <w:rsid w:val="002B67E7"/>
    <w:rsid w:val="0031581E"/>
    <w:rsid w:val="003A6D7E"/>
    <w:rsid w:val="00403F55"/>
    <w:rsid w:val="004B1D65"/>
    <w:rsid w:val="004C41C0"/>
    <w:rsid w:val="004C7F1A"/>
    <w:rsid w:val="005829B0"/>
    <w:rsid w:val="00627FF8"/>
    <w:rsid w:val="006353CB"/>
    <w:rsid w:val="006A3258"/>
    <w:rsid w:val="006F46C3"/>
    <w:rsid w:val="00743061"/>
    <w:rsid w:val="007537A7"/>
    <w:rsid w:val="00881403"/>
    <w:rsid w:val="008B08B4"/>
    <w:rsid w:val="009D4C94"/>
    <w:rsid w:val="00A2048A"/>
    <w:rsid w:val="00A21737"/>
    <w:rsid w:val="00AB78A9"/>
    <w:rsid w:val="00AC7833"/>
    <w:rsid w:val="00B3157D"/>
    <w:rsid w:val="00B36287"/>
    <w:rsid w:val="00B3628E"/>
    <w:rsid w:val="00C76E4C"/>
    <w:rsid w:val="00CC3B3D"/>
    <w:rsid w:val="00CE65E5"/>
    <w:rsid w:val="00D96C50"/>
    <w:rsid w:val="00DB6EFC"/>
    <w:rsid w:val="00E92331"/>
    <w:rsid w:val="00ED7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57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1D65"/>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829B0"/>
    <w:pPr>
      <w:tabs>
        <w:tab w:val="center" w:pos="4320"/>
        <w:tab w:val="right" w:pos="8640"/>
      </w:tabs>
    </w:pPr>
  </w:style>
  <w:style w:type="character" w:styleId="PageNumber">
    <w:name w:val="page number"/>
    <w:basedOn w:val="DefaultParagraphFont"/>
    <w:rsid w:val="005829B0"/>
  </w:style>
  <w:style w:type="paragraph" w:styleId="Header">
    <w:name w:val="header"/>
    <w:basedOn w:val="Normal"/>
    <w:rsid w:val="005829B0"/>
    <w:pPr>
      <w:tabs>
        <w:tab w:val="center" w:pos="4320"/>
        <w:tab w:val="right" w:pos="8640"/>
      </w:tabs>
    </w:pPr>
  </w:style>
  <w:style w:type="character" w:styleId="Hyperlink">
    <w:name w:val="Hyperlink"/>
    <w:basedOn w:val="DefaultParagraphFont"/>
    <w:uiPriority w:val="99"/>
    <w:rsid w:val="00AC7833"/>
    <w:rPr>
      <w:color w:val="000000"/>
      <w:u w:val="single"/>
    </w:rPr>
  </w:style>
</w:styles>
</file>

<file path=word/webSettings.xml><?xml version="1.0" encoding="utf-8"?>
<w:webSettings xmlns:r="http://schemas.openxmlformats.org/officeDocument/2006/relationships" xmlns:w="http://schemas.openxmlformats.org/wordprocessingml/2006/main">
  <w:divs>
    <w:div w:id="416294687">
      <w:bodyDiv w:val="1"/>
      <w:marLeft w:val="0"/>
      <w:marRight w:val="0"/>
      <w:marTop w:val="0"/>
      <w:marBottom w:val="0"/>
      <w:divBdr>
        <w:top w:val="none" w:sz="0" w:space="0" w:color="auto"/>
        <w:left w:val="none" w:sz="0" w:space="0" w:color="auto"/>
        <w:bottom w:val="none" w:sz="0" w:space="0" w:color="auto"/>
        <w:right w:val="none" w:sz="0" w:space="0" w:color="auto"/>
      </w:divBdr>
    </w:div>
    <w:div w:id="508643190">
      <w:bodyDiv w:val="1"/>
      <w:marLeft w:val="0"/>
      <w:marRight w:val="0"/>
      <w:marTop w:val="0"/>
      <w:marBottom w:val="0"/>
      <w:divBdr>
        <w:top w:val="none" w:sz="0" w:space="0" w:color="auto"/>
        <w:left w:val="none" w:sz="0" w:space="0" w:color="auto"/>
        <w:bottom w:val="none" w:sz="0" w:space="0" w:color="auto"/>
        <w:right w:val="none" w:sz="0" w:space="0" w:color="auto"/>
      </w:divBdr>
    </w:div>
    <w:div w:id="957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00117.19"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sciencepub.net/newyork"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3987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Clomiphene citrate ‘stair-step’ protocol vs</vt:lpstr>
    </vt:vector>
  </TitlesOfParts>
  <Company>SMART</Company>
  <LinksUpToDate>false</LinksUpToDate>
  <CharactersWithSpaces>26550</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Clomiphene citrate ‘stair-step’ protocol vs</dc:title>
  <dc:creator>Ebrahim</dc:creator>
  <cp:lastModifiedBy>Administrator</cp:lastModifiedBy>
  <cp:revision>4</cp:revision>
  <cp:lastPrinted>2017-01-16T17:04:00Z</cp:lastPrinted>
  <dcterms:created xsi:type="dcterms:W3CDTF">2017-01-18T10:59:00Z</dcterms:created>
  <dcterms:modified xsi:type="dcterms:W3CDTF">2017-01-19T04:43:00Z</dcterms:modified>
</cp:coreProperties>
</file>