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FB" w:rsidRPr="006B17F4" w:rsidRDefault="00EC07FB" w:rsidP="00814B98">
      <w:pPr>
        <w:bidi w:val="0"/>
        <w:snapToGrid w:val="0"/>
        <w:jc w:val="center"/>
        <w:rPr>
          <w:b/>
          <w:bCs/>
          <w:sz w:val="20"/>
          <w:szCs w:val="20"/>
        </w:rPr>
      </w:pPr>
      <w:bookmarkStart w:id="0" w:name="_GoBack"/>
      <w:bookmarkEnd w:id="0"/>
      <w:r w:rsidRPr="006B17F4">
        <w:rPr>
          <w:b/>
          <w:bCs/>
          <w:sz w:val="20"/>
          <w:szCs w:val="20"/>
        </w:rPr>
        <w:t xml:space="preserve">Evaluation of macular changes after uneventful </w:t>
      </w:r>
      <w:proofErr w:type="spellStart"/>
      <w:r w:rsidRPr="006B17F4">
        <w:rPr>
          <w:b/>
          <w:bCs/>
          <w:sz w:val="20"/>
          <w:szCs w:val="20"/>
        </w:rPr>
        <w:t>phacoemulsification</w:t>
      </w:r>
      <w:proofErr w:type="spellEnd"/>
      <w:r w:rsidRPr="006B17F4">
        <w:rPr>
          <w:b/>
          <w:bCs/>
          <w:sz w:val="20"/>
          <w:szCs w:val="20"/>
        </w:rPr>
        <w:t xml:space="preserve"> surgery in diabetic patients using </w:t>
      </w:r>
      <w:proofErr w:type="spellStart"/>
      <w:r w:rsidRPr="006B17F4">
        <w:rPr>
          <w:b/>
          <w:bCs/>
          <w:sz w:val="20"/>
          <w:szCs w:val="20"/>
        </w:rPr>
        <w:t>fluorescein</w:t>
      </w:r>
      <w:proofErr w:type="spellEnd"/>
      <w:r w:rsidRPr="006B17F4">
        <w:rPr>
          <w:b/>
          <w:bCs/>
          <w:sz w:val="20"/>
          <w:szCs w:val="20"/>
        </w:rPr>
        <w:t xml:space="preserve"> angiography and optical coherence tomography.</w:t>
      </w:r>
    </w:p>
    <w:p w:rsidR="009C7943" w:rsidRPr="006B17F4" w:rsidRDefault="009C7943" w:rsidP="00814B98">
      <w:pPr>
        <w:widowControl w:val="0"/>
        <w:autoSpaceDE w:val="0"/>
        <w:autoSpaceDN w:val="0"/>
        <w:bidi w:val="0"/>
        <w:adjustRightInd w:val="0"/>
        <w:snapToGrid w:val="0"/>
        <w:jc w:val="center"/>
        <w:rPr>
          <w:sz w:val="20"/>
          <w:szCs w:val="20"/>
        </w:rPr>
      </w:pPr>
    </w:p>
    <w:p w:rsidR="00EC07FB" w:rsidRPr="006B17F4" w:rsidRDefault="005E720E" w:rsidP="00814B98">
      <w:pPr>
        <w:widowControl w:val="0"/>
        <w:autoSpaceDE w:val="0"/>
        <w:autoSpaceDN w:val="0"/>
        <w:bidi w:val="0"/>
        <w:adjustRightInd w:val="0"/>
        <w:snapToGrid w:val="0"/>
        <w:jc w:val="center"/>
        <w:rPr>
          <w:sz w:val="20"/>
          <w:szCs w:val="20"/>
        </w:rPr>
      </w:pPr>
      <w:proofErr w:type="spellStart"/>
      <w:r w:rsidRPr="006B17F4">
        <w:rPr>
          <w:sz w:val="20"/>
          <w:szCs w:val="20"/>
        </w:rPr>
        <w:t>Magdy</w:t>
      </w:r>
      <w:proofErr w:type="spellEnd"/>
      <w:r w:rsidRPr="006B17F4">
        <w:rPr>
          <w:sz w:val="20"/>
          <w:szCs w:val="20"/>
        </w:rPr>
        <w:t xml:space="preserve"> E. </w:t>
      </w:r>
      <w:proofErr w:type="spellStart"/>
      <w:r w:rsidRPr="006B17F4">
        <w:rPr>
          <w:sz w:val="20"/>
          <w:szCs w:val="20"/>
        </w:rPr>
        <w:t>Khallaf</w:t>
      </w:r>
      <w:proofErr w:type="spellEnd"/>
      <w:r w:rsidRPr="006B17F4">
        <w:rPr>
          <w:sz w:val="20"/>
          <w:szCs w:val="20"/>
        </w:rPr>
        <w:t xml:space="preserve">, </w:t>
      </w:r>
      <w:proofErr w:type="spellStart"/>
      <w:r w:rsidRPr="006B17F4">
        <w:rPr>
          <w:sz w:val="20"/>
          <w:szCs w:val="20"/>
        </w:rPr>
        <w:t>Younis</w:t>
      </w:r>
      <w:proofErr w:type="spellEnd"/>
      <w:r w:rsidRPr="006B17F4">
        <w:rPr>
          <w:sz w:val="20"/>
          <w:szCs w:val="20"/>
        </w:rPr>
        <w:t xml:space="preserve"> E. </w:t>
      </w:r>
      <w:proofErr w:type="spellStart"/>
      <w:r w:rsidR="00EC07FB" w:rsidRPr="006B17F4">
        <w:rPr>
          <w:sz w:val="20"/>
          <w:szCs w:val="20"/>
        </w:rPr>
        <w:t>Abd-Elhafez</w:t>
      </w:r>
      <w:proofErr w:type="spellEnd"/>
      <w:r w:rsidR="00656181" w:rsidRPr="006B17F4">
        <w:rPr>
          <w:sz w:val="20"/>
          <w:szCs w:val="20"/>
        </w:rPr>
        <w:t xml:space="preserve">, </w:t>
      </w:r>
      <w:r w:rsidR="00EC07FB" w:rsidRPr="006B17F4">
        <w:rPr>
          <w:sz w:val="20"/>
          <w:szCs w:val="20"/>
        </w:rPr>
        <w:t>Mohamed Z</w:t>
      </w:r>
      <w:r w:rsidR="00656181" w:rsidRPr="006B17F4">
        <w:rPr>
          <w:sz w:val="20"/>
          <w:szCs w:val="20"/>
        </w:rPr>
        <w:t xml:space="preserve">. </w:t>
      </w:r>
      <w:proofErr w:type="spellStart"/>
      <w:r w:rsidR="00EC07FB" w:rsidRPr="006B17F4">
        <w:rPr>
          <w:sz w:val="20"/>
          <w:szCs w:val="20"/>
        </w:rPr>
        <w:t>Eid</w:t>
      </w:r>
      <w:proofErr w:type="spellEnd"/>
      <w:r w:rsidR="00A67A60" w:rsidRPr="006B17F4">
        <w:rPr>
          <w:sz w:val="20"/>
          <w:szCs w:val="20"/>
        </w:rPr>
        <w:t xml:space="preserve"> and</w:t>
      </w:r>
      <w:r w:rsidR="00814B98" w:rsidRPr="006B17F4">
        <w:rPr>
          <w:sz w:val="20"/>
          <w:szCs w:val="20"/>
        </w:rPr>
        <w:t xml:space="preserve"> </w:t>
      </w:r>
      <w:proofErr w:type="spellStart"/>
      <w:r w:rsidR="00FD7B88" w:rsidRPr="006B17F4">
        <w:rPr>
          <w:sz w:val="20"/>
          <w:szCs w:val="20"/>
        </w:rPr>
        <w:t>Ezz</w:t>
      </w:r>
      <w:proofErr w:type="spellEnd"/>
      <w:r w:rsidR="00A67A60" w:rsidRPr="006B17F4">
        <w:rPr>
          <w:sz w:val="20"/>
          <w:szCs w:val="20"/>
        </w:rPr>
        <w:t xml:space="preserve"> </w:t>
      </w:r>
      <w:proofErr w:type="spellStart"/>
      <w:r w:rsidR="00FD7B88" w:rsidRPr="006B17F4">
        <w:rPr>
          <w:sz w:val="20"/>
          <w:szCs w:val="20"/>
        </w:rPr>
        <w:t>Eldin</w:t>
      </w:r>
      <w:proofErr w:type="spellEnd"/>
      <w:r w:rsidR="00FD7B88" w:rsidRPr="006B17F4">
        <w:rPr>
          <w:sz w:val="20"/>
          <w:szCs w:val="20"/>
        </w:rPr>
        <w:t xml:space="preserve"> R. </w:t>
      </w:r>
      <w:proofErr w:type="spellStart"/>
      <w:r w:rsidR="00FD7B88" w:rsidRPr="006B17F4">
        <w:rPr>
          <w:sz w:val="20"/>
          <w:szCs w:val="20"/>
        </w:rPr>
        <w:t>Ezz</w:t>
      </w:r>
      <w:proofErr w:type="spellEnd"/>
      <w:r w:rsidR="00A67A60" w:rsidRPr="006B17F4">
        <w:rPr>
          <w:sz w:val="20"/>
          <w:szCs w:val="20"/>
        </w:rPr>
        <w:t xml:space="preserve"> </w:t>
      </w:r>
      <w:proofErr w:type="spellStart"/>
      <w:r w:rsidR="00FD7B88" w:rsidRPr="006B17F4">
        <w:rPr>
          <w:sz w:val="20"/>
          <w:szCs w:val="20"/>
        </w:rPr>
        <w:t>Eldin</w:t>
      </w:r>
      <w:proofErr w:type="spellEnd"/>
      <w:r w:rsidR="00FD7B88" w:rsidRPr="006B17F4">
        <w:rPr>
          <w:sz w:val="20"/>
          <w:szCs w:val="20"/>
        </w:rPr>
        <w:t>.</w:t>
      </w:r>
    </w:p>
    <w:p w:rsidR="009C7943" w:rsidRPr="006B17F4" w:rsidRDefault="009C7943" w:rsidP="00814B98">
      <w:pPr>
        <w:widowControl w:val="0"/>
        <w:autoSpaceDE w:val="0"/>
        <w:autoSpaceDN w:val="0"/>
        <w:bidi w:val="0"/>
        <w:adjustRightInd w:val="0"/>
        <w:snapToGrid w:val="0"/>
        <w:jc w:val="center"/>
        <w:rPr>
          <w:sz w:val="20"/>
          <w:szCs w:val="20"/>
        </w:rPr>
      </w:pPr>
    </w:p>
    <w:p w:rsidR="00EC07FB" w:rsidRPr="006B17F4" w:rsidRDefault="00A67A60" w:rsidP="00814B98">
      <w:pPr>
        <w:widowControl w:val="0"/>
        <w:autoSpaceDE w:val="0"/>
        <w:autoSpaceDN w:val="0"/>
        <w:bidi w:val="0"/>
        <w:adjustRightInd w:val="0"/>
        <w:snapToGrid w:val="0"/>
        <w:jc w:val="center"/>
        <w:rPr>
          <w:sz w:val="20"/>
          <w:szCs w:val="20"/>
        </w:rPr>
      </w:pPr>
      <w:r w:rsidRPr="006B17F4">
        <w:rPr>
          <w:sz w:val="20"/>
          <w:szCs w:val="20"/>
        </w:rPr>
        <w:t>Ophthalmology Department, Faculty of Medicine, Al-</w:t>
      </w:r>
      <w:proofErr w:type="spellStart"/>
      <w:r w:rsidRPr="006B17F4">
        <w:rPr>
          <w:sz w:val="20"/>
          <w:szCs w:val="20"/>
        </w:rPr>
        <w:t>Azhar</w:t>
      </w:r>
      <w:proofErr w:type="spellEnd"/>
      <w:r w:rsidRPr="006B17F4">
        <w:rPr>
          <w:sz w:val="20"/>
          <w:szCs w:val="20"/>
        </w:rPr>
        <w:t xml:space="preserve"> </w:t>
      </w:r>
      <w:r w:rsidR="009C7943" w:rsidRPr="006B17F4">
        <w:rPr>
          <w:sz w:val="20"/>
          <w:szCs w:val="20"/>
        </w:rPr>
        <w:t>University, Egypt.</w:t>
      </w:r>
    </w:p>
    <w:p w:rsidR="006D674B" w:rsidRPr="006B17F4" w:rsidRDefault="00384634" w:rsidP="00814B98">
      <w:pPr>
        <w:widowControl w:val="0"/>
        <w:autoSpaceDE w:val="0"/>
        <w:autoSpaceDN w:val="0"/>
        <w:bidi w:val="0"/>
        <w:adjustRightInd w:val="0"/>
        <w:snapToGrid w:val="0"/>
        <w:jc w:val="center"/>
        <w:rPr>
          <w:sz w:val="20"/>
          <w:szCs w:val="20"/>
        </w:rPr>
      </w:pPr>
      <w:hyperlink r:id="rId8" w:history="1">
        <w:r w:rsidR="006D674B" w:rsidRPr="006B17F4">
          <w:rPr>
            <w:rStyle w:val="Hyperlink"/>
            <w:sz w:val="20"/>
            <w:szCs w:val="20"/>
          </w:rPr>
          <w:t>drezzstar84@gmail.com</w:t>
        </w:r>
      </w:hyperlink>
    </w:p>
    <w:p w:rsidR="003D17F9" w:rsidRPr="006B17F4" w:rsidRDefault="003D17F9" w:rsidP="00814B98">
      <w:pPr>
        <w:widowControl w:val="0"/>
        <w:autoSpaceDE w:val="0"/>
        <w:autoSpaceDN w:val="0"/>
        <w:bidi w:val="0"/>
        <w:adjustRightInd w:val="0"/>
        <w:snapToGrid w:val="0"/>
        <w:jc w:val="center"/>
        <w:rPr>
          <w:b/>
          <w:bCs/>
          <w:sz w:val="20"/>
          <w:szCs w:val="20"/>
        </w:rPr>
      </w:pPr>
    </w:p>
    <w:p w:rsidR="00BE4B93" w:rsidRPr="006B17F4" w:rsidRDefault="003D17F9" w:rsidP="00814B98">
      <w:pPr>
        <w:widowControl w:val="0"/>
        <w:autoSpaceDE w:val="0"/>
        <w:autoSpaceDN w:val="0"/>
        <w:bidi w:val="0"/>
        <w:adjustRightInd w:val="0"/>
        <w:snapToGrid w:val="0"/>
        <w:jc w:val="both"/>
        <w:rPr>
          <w:sz w:val="20"/>
          <w:szCs w:val="20"/>
        </w:rPr>
      </w:pPr>
      <w:r w:rsidRPr="006B17F4">
        <w:rPr>
          <w:b/>
          <w:bCs/>
          <w:sz w:val="20"/>
          <w:szCs w:val="20"/>
        </w:rPr>
        <w:t>Abstract</w:t>
      </w:r>
      <w:r w:rsidR="00814B98" w:rsidRPr="006B17F4">
        <w:rPr>
          <w:b/>
          <w:bCs/>
          <w:sz w:val="20"/>
          <w:szCs w:val="20"/>
        </w:rPr>
        <w:t>:</w:t>
      </w:r>
      <w:r w:rsidR="009C7943" w:rsidRPr="006B17F4">
        <w:rPr>
          <w:b/>
          <w:bCs/>
          <w:sz w:val="20"/>
          <w:szCs w:val="20"/>
        </w:rPr>
        <w:t xml:space="preserve"> </w:t>
      </w:r>
      <w:r w:rsidRPr="006B17F4">
        <w:rPr>
          <w:b/>
          <w:bCs/>
          <w:sz w:val="20"/>
          <w:szCs w:val="20"/>
        </w:rPr>
        <w:t>Background:</w:t>
      </w:r>
      <w:r w:rsidR="00814B98" w:rsidRPr="006B17F4">
        <w:rPr>
          <w:sz w:val="20"/>
          <w:szCs w:val="20"/>
        </w:rPr>
        <w:t xml:space="preserve"> </w:t>
      </w:r>
      <w:r w:rsidRPr="006B17F4">
        <w:rPr>
          <w:sz w:val="20"/>
          <w:szCs w:val="20"/>
        </w:rPr>
        <w:t xml:space="preserve">Macular edema (ME) is a major cause of vision loss after cataract surgery in diabetic patients. Proper and early diagnosis of post-cataract complications is of utmost importance. </w:t>
      </w:r>
      <w:r w:rsidRPr="006B17F4">
        <w:rPr>
          <w:b/>
          <w:bCs/>
          <w:sz w:val="20"/>
          <w:szCs w:val="20"/>
        </w:rPr>
        <w:t>Aim:</w:t>
      </w:r>
      <w:r w:rsidRPr="006B17F4">
        <w:rPr>
          <w:sz w:val="20"/>
          <w:szCs w:val="20"/>
        </w:rPr>
        <w:t xml:space="preserve"> to </w:t>
      </w:r>
      <w:r w:rsidRPr="006B17F4">
        <w:rPr>
          <w:color w:val="000000"/>
          <w:sz w:val="20"/>
          <w:szCs w:val="20"/>
        </w:rPr>
        <w:t xml:space="preserve">evaluate the influence of uncomplicated </w:t>
      </w:r>
      <w:proofErr w:type="spellStart"/>
      <w:r w:rsidRPr="006B17F4">
        <w:rPr>
          <w:color w:val="000000"/>
          <w:sz w:val="20"/>
          <w:szCs w:val="20"/>
        </w:rPr>
        <w:t>phacoemulsification</w:t>
      </w:r>
      <w:proofErr w:type="spellEnd"/>
      <w:r w:rsidRPr="006B17F4">
        <w:rPr>
          <w:color w:val="000000"/>
          <w:sz w:val="20"/>
          <w:szCs w:val="20"/>
        </w:rPr>
        <w:t xml:space="preserve"> on macular thickness and macular changes in the postoperative period in</w:t>
      </w:r>
      <w:r w:rsidRPr="006B17F4">
        <w:rPr>
          <w:sz w:val="20"/>
          <w:szCs w:val="20"/>
        </w:rPr>
        <w:t xml:space="preserve"> diabetic patients.</w:t>
      </w:r>
      <w:r w:rsidR="00814B98" w:rsidRPr="006B17F4">
        <w:rPr>
          <w:sz w:val="20"/>
          <w:szCs w:val="20"/>
        </w:rPr>
        <w:t xml:space="preserve"> </w:t>
      </w:r>
      <w:r w:rsidRPr="006B17F4">
        <w:rPr>
          <w:b/>
          <w:bCs/>
          <w:sz w:val="20"/>
          <w:szCs w:val="20"/>
        </w:rPr>
        <w:t>Patients and methods:</w:t>
      </w:r>
      <w:r w:rsidR="009C7943" w:rsidRPr="006B17F4">
        <w:rPr>
          <w:color w:val="000000"/>
          <w:sz w:val="20"/>
          <w:szCs w:val="20"/>
        </w:rPr>
        <w:t xml:space="preserve"> </w:t>
      </w:r>
      <w:r w:rsidR="00961295" w:rsidRPr="006B17F4">
        <w:rPr>
          <w:color w:val="000000"/>
          <w:sz w:val="20"/>
          <w:szCs w:val="20"/>
        </w:rPr>
        <w:t xml:space="preserve">This study included 100 eyes of </w:t>
      </w:r>
      <w:proofErr w:type="spellStart"/>
      <w:r w:rsidR="00961295" w:rsidRPr="006B17F4">
        <w:rPr>
          <w:color w:val="000000"/>
          <w:sz w:val="20"/>
          <w:szCs w:val="20"/>
        </w:rPr>
        <w:t>cataractous</w:t>
      </w:r>
      <w:proofErr w:type="spellEnd"/>
      <w:r w:rsidR="00961295" w:rsidRPr="006B17F4">
        <w:rPr>
          <w:color w:val="000000"/>
          <w:sz w:val="20"/>
          <w:szCs w:val="20"/>
        </w:rPr>
        <w:t xml:space="preserve"> patients attending the outpatient ophthalmology clinic of Al-</w:t>
      </w:r>
      <w:proofErr w:type="spellStart"/>
      <w:r w:rsidR="00961295" w:rsidRPr="006B17F4">
        <w:rPr>
          <w:color w:val="000000"/>
          <w:sz w:val="20"/>
          <w:szCs w:val="20"/>
        </w:rPr>
        <w:t>Azhar</w:t>
      </w:r>
      <w:proofErr w:type="spellEnd"/>
      <w:r w:rsidR="00961295" w:rsidRPr="006B17F4">
        <w:rPr>
          <w:color w:val="000000"/>
          <w:sz w:val="20"/>
          <w:szCs w:val="20"/>
        </w:rPr>
        <w:t xml:space="preserve"> University hospital. The included patients were classified into 2 groups: the first included 50 eyes of diabetic patients with no clinical fund</w:t>
      </w:r>
      <w:r w:rsidR="009C7943" w:rsidRPr="006B17F4">
        <w:rPr>
          <w:color w:val="000000"/>
          <w:sz w:val="20"/>
          <w:szCs w:val="20"/>
        </w:rPr>
        <w:t xml:space="preserve"> </w:t>
      </w:r>
      <w:r w:rsidR="00961295" w:rsidRPr="006B17F4">
        <w:rPr>
          <w:color w:val="000000"/>
          <w:sz w:val="20"/>
          <w:szCs w:val="20"/>
        </w:rPr>
        <w:t>us changes, and the second included 50 eyes of normal patients. All patients were submitted to full history taking, clinical and ophthalmological examination. All were evaluated preoperatively and postoperatively at one day, one weak, one month, 3 and 6 months.</w:t>
      </w:r>
      <w:r w:rsidR="00814B98" w:rsidRPr="006B17F4">
        <w:rPr>
          <w:color w:val="000000"/>
          <w:sz w:val="20"/>
          <w:szCs w:val="20"/>
        </w:rPr>
        <w:t xml:space="preserve"> </w:t>
      </w:r>
      <w:r w:rsidR="00961295" w:rsidRPr="006B17F4">
        <w:rPr>
          <w:b/>
          <w:bCs/>
          <w:sz w:val="20"/>
          <w:szCs w:val="20"/>
        </w:rPr>
        <w:t>Results:</w:t>
      </w:r>
      <w:r w:rsidR="00006D79" w:rsidRPr="006B17F4">
        <w:rPr>
          <w:color w:val="000000"/>
          <w:sz w:val="20"/>
          <w:szCs w:val="20"/>
        </w:rPr>
        <w:t xml:space="preserve"> There was significant decrease in study group when compared to control group as regard to preoperative BCVA (0.95±0.12 </w:t>
      </w:r>
      <w:proofErr w:type="spellStart"/>
      <w:r w:rsidR="00006D79" w:rsidRPr="006B17F4">
        <w:rPr>
          <w:color w:val="000000"/>
          <w:sz w:val="20"/>
          <w:szCs w:val="20"/>
        </w:rPr>
        <w:t>vs</w:t>
      </w:r>
      <w:proofErr w:type="spellEnd"/>
      <w:r w:rsidR="00006D79" w:rsidRPr="006B17F4">
        <w:rPr>
          <w:color w:val="000000"/>
          <w:sz w:val="20"/>
          <w:szCs w:val="20"/>
        </w:rPr>
        <w:t xml:space="preserve"> 0.86±0.17 respectively). There was significant improvement of BCVA postoperatively when compared to corresponding preoperative values in both groups, while IOP revealed that,</w:t>
      </w:r>
      <w:r w:rsidR="00814B98" w:rsidRPr="006B17F4">
        <w:rPr>
          <w:color w:val="000000"/>
          <w:sz w:val="20"/>
          <w:szCs w:val="20"/>
        </w:rPr>
        <w:t xml:space="preserve"> </w:t>
      </w:r>
      <w:r w:rsidR="00006D79" w:rsidRPr="006B17F4">
        <w:rPr>
          <w:color w:val="000000"/>
          <w:sz w:val="20"/>
          <w:szCs w:val="20"/>
        </w:rPr>
        <w:t>there was no significant difference at 1, 3 and 6 months when compared to corresponding values at 1 week.</w:t>
      </w:r>
      <w:r w:rsidR="00814B98" w:rsidRPr="006B17F4">
        <w:rPr>
          <w:color w:val="000000"/>
          <w:sz w:val="20"/>
          <w:szCs w:val="20"/>
        </w:rPr>
        <w:t xml:space="preserve"> </w:t>
      </w:r>
      <w:r w:rsidR="00006D79" w:rsidRPr="006B17F4">
        <w:rPr>
          <w:color w:val="000000"/>
          <w:sz w:val="20"/>
          <w:szCs w:val="20"/>
        </w:rPr>
        <w:t xml:space="preserve">Postoperative </w:t>
      </w:r>
      <w:proofErr w:type="spellStart"/>
      <w:r w:rsidR="00006D79" w:rsidRPr="006B17F4">
        <w:rPr>
          <w:color w:val="000000"/>
          <w:sz w:val="20"/>
          <w:szCs w:val="20"/>
        </w:rPr>
        <w:t>fundus</w:t>
      </w:r>
      <w:proofErr w:type="spellEnd"/>
      <w:r w:rsidR="00006D79" w:rsidRPr="006B17F4">
        <w:rPr>
          <w:color w:val="000000"/>
          <w:sz w:val="20"/>
          <w:szCs w:val="20"/>
        </w:rPr>
        <w:t xml:space="preserve"> examination revealed that, there was no abnormality detected at 1 week postoperative; while at 1 month, 5 eyes (10.0%) in diabetic group and 3 eyes (6.0%) in non-diabetic group showed lost </w:t>
      </w:r>
      <w:proofErr w:type="spellStart"/>
      <w:r w:rsidR="00006D79" w:rsidRPr="006B17F4">
        <w:rPr>
          <w:color w:val="000000"/>
          <w:sz w:val="20"/>
          <w:szCs w:val="20"/>
        </w:rPr>
        <w:t>foveal</w:t>
      </w:r>
      <w:proofErr w:type="spellEnd"/>
      <w:r w:rsidR="00006D79" w:rsidRPr="006B17F4">
        <w:rPr>
          <w:color w:val="000000"/>
          <w:sz w:val="20"/>
          <w:szCs w:val="20"/>
        </w:rPr>
        <w:t xml:space="preserve"> depression and macular thickening. CSFT (Central Subfield </w:t>
      </w:r>
      <w:proofErr w:type="spellStart"/>
      <w:r w:rsidR="00006D79" w:rsidRPr="006B17F4">
        <w:rPr>
          <w:color w:val="000000"/>
          <w:sz w:val="20"/>
          <w:szCs w:val="20"/>
        </w:rPr>
        <w:t>Foveal</w:t>
      </w:r>
      <w:proofErr w:type="spellEnd"/>
      <w:r w:rsidR="00006D79" w:rsidRPr="006B17F4">
        <w:rPr>
          <w:color w:val="000000"/>
          <w:sz w:val="20"/>
          <w:szCs w:val="20"/>
        </w:rPr>
        <w:t xml:space="preserve"> Thickness) revealed that, there was no significant difference between diabetic and non-diabetic groups preoperatively; but at 1, 3 or 6 months postoperatively, there was significant increase of CSFT in diabetic group when compared to non-diabetic group. In addition, there was significant increase of CSFT at 1, 3 and 6 months PO when compared to corresponding preoperative values in each group separately.</w:t>
      </w:r>
      <w:r w:rsidR="00814B98" w:rsidRPr="006B17F4">
        <w:rPr>
          <w:color w:val="000000"/>
          <w:sz w:val="20"/>
          <w:szCs w:val="20"/>
        </w:rPr>
        <w:t xml:space="preserve"> </w:t>
      </w:r>
      <w:r w:rsidR="00006D79" w:rsidRPr="006B17F4">
        <w:rPr>
          <w:b/>
          <w:bCs/>
          <w:sz w:val="20"/>
          <w:szCs w:val="20"/>
        </w:rPr>
        <w:t>Conclusion:</w:t>
      </w:r>
      <w:r w:rsidR="009C7943" w:rsidRPr="006B17F4">
        <w:rPr>
          <w:sz w:val="20"/>
          <w:szCs w:val="20"/>
        </w:rPr>
        <w:t xml:space="preserve"> </w:t>
      </w:r>
      <w:r w:rsidR="00BE4B93" w:rsidRPr="006B17F4">
        <w:rPr>
          <w:sz w:val="20"/>
          <w:szCs w:val="20"/>
        </w:rPr>
        <w:t xml:space="preserve">There is a subclinical increase in central retina thickness in diabetic and non-diabetic patients after uncomplicated </w:t>
      </w:r>
      <w:proofErr w:type="spellStart"/>
      <w:r w:rsidR="00BE4B93" w:rsidRPr="006B17F4">
        <w:rPr>
          <w:sz w:val="20"/>
          <w:szCs w:val="20"/>
        </w:rPr>
        <w:t>phacoemulsification</w:t>
      </w:r>
      <w:proofErr w:type="spellEnd"/>
      <w:r w:rsidR="00BE4B93" w:rsidRPr="006B17F4">
        <w:rPr>
          <w:sz w:val="20"/>
          <w:szCs w:val="20"/>
        </w:rPr>
        <w:t>, which may be detected clinically and by FFA also can be quantified by OCT.</w:t>
      </w:r>
    </w:p>
    <w:p w:rsidR="00814B98" w:rsidRPr="006B17F4" w:rsidRDefault="009C7943" w:rsidP="00814B98">
      <w:pPr>
        <w:bidi w:val="0"/>
        <w:snapToGrid w:val="0"/>
        <w:jc w:val="both"/>
        <w:rPr>
          <w:sz w:val="20"/>
          <w:szCs w:val="20"/>
        </w:rPr>
      </w:pPr>
      <w:r w:rsidRPr="006B17F4">
        <w:rPr>
          <w:b/>
          <w:bCs/>
          <w:sz w:val="20"/>
          <w:szCs w:val="20"/>
        </w:rPr>
        <w:t>[</w:t>
      </w:r>
      <w:proofErr w:type="spellStart"/>
      <w:r w:rsidRPr="006B17F4">
        <w:rPr>
          <w:sz w:val="20"/>
          <w:szCs w:val="20"/>
        </w:rPr>
        <w:t>Magdy</w:t>
      </w:r>
      <w:proofErr w:type="spellEnd"/>
      <w:r w:rsidRPr="006B17F4">
        <w:rPr>
          <w:sz w:val="20"/>
          <w:szCs w:val="20"/>
        </w:rPr>
        <w:t xml:space="preserve"> E. </w:t>
      </w:r>
      <w:proofErr w:type="spellStart"/>
      <w:r w:rsidRPr="006B17F4">
        <w:rPr>
          <w:sz w:val="20"/>
          <w:szCs w:val="20"/>
        </w:rPr>
        <w:t>Khallaf</w:t>
      </w:r>
      <w:proofErr w:type="spellEnd"/>
      <w:r w:rsidRPr="006B17F4">
        <w:rPr>
          <w:sz w:val="20"/>
          <w:szCs w:val="20"/>
        </w:rPr>
        <w:t xml:space="preserve">, </w:t>
      </w:r>
      <w:proofErr w:type="spellStart"/>
      <w:r w:rsidRPr="006B17F4">
        <w:rPr>
          <w:sz w:val="20"/>
          <w:szCs w:val="20"/>
        </w:rPr>
        <w:t>Younis</w:t>
      </w:r>
      <w:proofErr w:type="spellEnd"/>
      <w:r w:rsidRPr="006B17F4">
        <w:rPr>
          <w:sz w:val="20"/>
          <w:szCs w:val="20"/>
        </w:rPr>
        <w:t xml:space="preserve"> E. </w:t>
      </w:r>
      <w:proofErr w:type="spellStart"/>
      <w:r w:rsidRPr="006B17F4">
        <w:rPr>
          <w:sz w:val="20"/>
          <w:szCs w:val="20"/>
        </w:rPr>
        <w:t>Abd-Elhafez</w:t>
      </w:r>
      <w:proofErr w:type="spellEnd"/>
      <w:r w:rsidRPr="006B17F4">
        <w:rPr>
          <w:sz w:val="20"/>
          <w:szCs w:val="20"/>
        </w:rPr>
        <w:t>, and Mohamed Z</w:t>
      </w:r>
      <w:r w:rsidR="00814B98" w:rsidRPr="006B17F4">
        <w:rPr>
          <w:sz w:val="20"/>
          <w:szCs w:val="20"/>
        </w:rPr>
        <w:t xml:space="preserve">, </w:t>
      </w:r>
      <w:proofErr w:type="spellStart"/>
      <w:r w:rsidR="00814B98" w:rsidRPr="006B17F4">
        <w:rPr>
          <w:sz w:val="20"/>
          <w:szCs w:val="20"/>
        </w:rPr>
        <w:t>E</w:t>
      </w:r>
      <w:r w:rsidRPr="006B17F4">
        <w:rPr>
          <w:sz w:val="20"/>
          <w:szCs w:val="20"/>
        </w:rPr>
        <w:t>id</w:t>
      </w:r>
      <w:proofErr w:type="spellEnd"/>
      <w:r w:rsidRPr="006B17F4">
        <w:rPr>
          <w:sz w:val="20"/>
          <w:szCs w:val="20"/>
        </w:rPr>
        <w:t xml:space="preserve"> and</w:t>
      </w:r>
      <w:r w:rsidR="00814B98" w:rsidRPr="006B17F4">
        <w:rPr>
          <w:sz w:val="20"/>
          <w:szCs w:val="20"/>
        </w:rPr>
        <w:t xml:space="preserve"> </w:t>
      </w:r>
      <w:proofErr w:type="spellStart"/>
      <w:r w:rsidRPr="006B17F4">
        <w:rPr>
          <w:sz w:val="20"/>
          <w:szCs w:val="20"/>
        </w:rPr>
        <w:t>Ezz</w:t>
      </w:r>
      <w:proofErr w:type="spellEnd"/>
      <w:r w:rsidRPr="006B17F4">
        <w:rPr>
          <w:sz w:val="20"/>
          <w:szCs w:val="20"/>
        </w:rPr>
        <w:t xml:space="preserve"> </w:t>
      </w:r>
      <w:proofErr w:type="spellStart"/>
      <w:r w:rsidRPr="006B17F4">
        <w:rPr>
          <w:sz w:val="20"/>
          <w:szCs w:val="20"/>
        </w:rPr>
        <w:t>Eldin</w:t>
      </w:r>
      <w:proofErr w:type="spellEnd"/>
      <w:r w:rsidRPr="006B17F4">
        <w:rPr>
          <w:sz w:val="20"/>
          <w:szCs w:val="20"/>
        </w:rPr>
        <w:t xml:space="preserve"> R. </w:t>
      </w:r>
      <w:proofErr w:type="spellStart"/>
      <w:r w:rsidRPr="006B17F4">
        <w:rPr>
          <w:sz w:val="20"/>
          <w:szCs w:val="20"/>
        </w:rPr>
        <w:t>Ezz</w:t>
      </w:r>
      <w:proofErr w:type="spellEnd"/>
      <w:r w:rsidRPr="006B17F4">
        <w:rPr>
          <w:sz w:val="20"/>
          <w:szCs w:val="20"/>
        </w:rPr>
        <w:t xml:space="preserve"> </w:t>
      </w:r>
      <w:proofErr w:type="spellStart"/>
      <w:r w:rsidRPr="006B17F4">
        <w:rPr>
          <w:sz w:val="20"/>
          <w:szCs w:val="20"/>
        </w:rPr>
        <w:t>Eldin</w:t>
      </w:r>
      <w:proofErr w:type="spellEnd"/>
      <w:r w:rsidRPr="006B17F4">
        <w:rPr>
          <w:sz w:val="20"/>
          <w:szCs w:val="20"/>
        </w:rPr>
        <w:t xml:space="preserve">. </w:t>
      </w:r>
      <w:r w:rsidRPr="006B17F4">
        <w:rPr>
          <w:b/>
          <w:bCs/>
          <w:sz w:val="20"/>
          <w:szCs w:val="20"/>
        </w:rPr>
        <w:t xml:space="preserve">Evaluation of macular changes after uneventful </w:t>
      </w:r>
      <w:proofErr w:type="spellStart"/>
      <w:r w:rsidRPr="006B17F4">
        <w:rPr>
          <w:b/>
          <w:bCs/>
          <w:sz w:val="20"/>
          <w:szCs w:val="20"/>
        </w:rPr>
        <w:t>phacoemulsification</w:t>
      </w:r>
      <w:proofErr w:type="spellEnd"/>
      <w:r w:rsidRPr="006B17F4">
        <w:rPr>
          <w:b/>
          <w:bCs/>
          <w:sz w:val="20"/>
          <w:szCs w:val="20"/>
        </w:rPr>
        <w:t xml:space="preserve"> surgery in diabetic patients using </w:t>
      </w:r>
      <w:proofErr w:type="spellStart"/>
      <w:r w:rsidRPr="006B17F4">
        <w:rPr>
          <w:b/>
          <w:bCs/>
          <w:sz w:val="20"/>
          <w:szCs w:val="20"/>
        </w:rPr>
        <w:t>fluorescein</w:t>
      </w:r>
      <w:proofErr w:type="spellEnd"/>
      <w:r w:rsidRPr="006B17F4">
        <w:rPr>
          <w:b/>
          <w:bCs/>
          <w:sz w:val="20"/>
          <w:szCs w:val="20"/>
        </w:rPr>
        <w:t xml:space="preserve"> angiography and optical coherence tomography</w:t>
      </w:r>
      <w:r w:rsidR="00814B98" w:rsidRPr="006B17F4">
        <w:rPr>
          <w:b/>
          <w:bCs/>
          <w:sz w:val="20"/>
          <w:szCs w:val="20"/>
          <w:lang w:bidi="fa-IR"/>
        </w:rPr>
        <w:t>.</w:t>
      </w:r>
      <w:r w:rsidR="00814B98" w:rsidRPr="006B17F4">
        <w:rPr>
          <w:bCs/>
          <w:i/>
          <w:sz w:val="20"/>
          <w:szCs w:val="20"/>
        </w:rPr>
        <w:t xml:space="preserve"> N Y </w:t>
      </w:r>
      <w:proofErr w:type="spellStart"/>
      <w:r w:rsidR="00814B98" w:rsidRPr="006B17F4">
        <w:rPr>
          <w:bCs/>
          <w:i/>
          <w:sz w:val="20"/>
          <w:szCs w:val="20"/>
        </w:rPr>
        <w:t>Sci</w:t>
      </w:r>
      <w:proofErr w:type="spellEnd"/>
      <w:r w:rsidR="00814B98" w:rsidRPr="006B17F4">
        <w:rPr>
          <w:bCs/>
          <w:i/>
          <w:sz w:val="20"/>
          <w:szCs w:val="20"/>
        </w:rPr>
        <w:t xml:space="preserve"> J</w:t>
      </w:r>
      <w:r w:rsidR="00814B98" w:rsidRPr="006B17F4">
        <w:rPr>
          <w:bCs/>
          <w:sz w:val="20"/>
          <w:szCs w:val="20"/>
        </w:rPr>
        <w:t xml:space="preserve"> </w:t>
      </w:r>
      <w:r w:rsidR="00814B98" w:rsidRPr="006B17F4">
        <w:rPr>
          <w:sz w:val="20"/>
          <w:szCs w:val="20"/>
        </w:rPr>
        <w:t>201</w:t>
      </w:r>
      <w:r w:rsidR="00814B98" w:rsidRPr="006B17F4">
        <w:rPr>
          <w:rFonts w:hint="eastAsia"/>
          <w:sz w:val="20"/>
          <w:szCs w:val="20"/>
        </w:rPr>
        <w:t>7</w:t>
      </w:r>
      <w:r w:rsidR="00814B98" w:rsidRPr="006B17F4">
        <w:rPr>
          <w:sz w:val="20"/>
          <w:szCs w:val="20"/>
        </w:rPr>
        <w:t>;</w:t>
      </w:r>
      <w:r w:rsidR="00814B98" w:rsidRPr="006B17F4">
        <w:rPr>
          <w:rFonts w:hint="eastAsia"/>
          <w:sz w:val="20"/>
          <w:szCs w:val="20"/>
        </w:rPr>
        <w:t>10</w:t>
      </w:r>
      <w:r w:rsidR="00814B98" w:rsidRPr="006B17F4">
        <w:rPr>
          <w:sz w:val="20"/>
          <w:szCs w:val="20"/>
        </w:rPr>
        <w:t>(</w:t>
      </w:r>
      <w:r w:rsidR="00814B98" w:rsidRPr="006B17F4">
        <w:rPr>
          <w:rFonts w:hint="eastAsia"/>
          <w:sz w:val="20"/>
          <w:szCs w:val="20"/>
        </w:rPr>
        <w:t>2</w:t>
      </w:r>
      <w:r w:rsidR="00814B98" w:rsidRPr="006B17F4">
        <w:rPr>
          <w:sz w:val="20"/>
          <w:szCs w:val="20"/>
        </w:rPr>
        <w:t>):</w:t>
      </w:r>
      <w:r w:rsidR="005E2DA0" w:rsidRPr="006B17F4">
        <w:rPr>
          <w:noProof/>
          <w:color w:val="000000"/>
          <w:sz w:val="20"/>
          <w:szCs w:val="20"/>
        </w:rPr>
        <w:t>83</w:t>
      </w:r>
      <w:r w:rsidR="00814B98" w:rsidRPr="006B17F4">
        <w:rPr>
          <w:color w:val="000000"/>
          <w:sz w:val="20"/>
          <w:szCs w:val="20"/>
        </w:rPr>
        <w:t>-</w:t>
      </w:r>
      <w:r w:rsidR="005E2DA0" w:rsidRPr="006B17F4">
        <w:rPr>
          <w:noProof/>
          <w:color w:val="000000"/>
          <w:sz w:val="20"/>
          <w:szCs w:val="20"/>
        </w:rPr>
        <w:t>90</w:t>
      </w:r>
      <w:r w:rsidR="00814B98" w:rsidRPr="006B17F4">
        <w:rPr>
          <w:sz w:val="20"/>
          <w:szCs w:val="20"/>
        </w:rPr>
        <w:t xml:space="preserve">]. </w:t>
      </w:r>
      <w:r w:rsidR="00814B98" w:rsidRPr="006B17F4">
        <w:rPr>
          <w:iCs/>
          <w:color w:val="000000"/>
          <w:sz w:val="20"/>
          <w:szCs w:val="20"/>
        </w:rPr>
        <w:t>ISSN 1554-0200 (print); ISSN 2375-723X (online)</w:t>
      </w:r>
      <w:r w:rsidR="00814B98" w:rsidRPr="006B17F4">
        <w:rPr>
          <w:sz w:val="20"/>
          <w:szCs w:val="20"/>
        </w:rPr>
        <w:t xml:space="preserve">. </w:t>
      </w:r>
      <w:hyperlink r:id="rId9" w:history="1">
        <w:r w:rsidR="00814B98" w:rsidRPr="006B17F4">
          <w:rPr>
            <w:rStyle w:val="Hyperlink"/>
            <w:rFonts w:eastAsia="Calibri"/>
            <w:sz w:val="20"/>
            <w:szCs w:val="20"/>
          </w:rPr>
          <w:t>http://www.sciencepub.net/newyork</w:t>
        </w:r>
      </w:hyperlink>
      <w:r w:rsidR="00814B98" w:rsidRPr="006B17F4">
        <w:rPr>
          <w:sz w:val="20"/>
          <w:szCs w:val="20"/>
        </w:rPr>
        <w:t xml:space="preserve">. </w:t>
      </w:r>
      <w:r w:rsidR="00814B98" w:rsidRPr="006B17F4">
        <w:rPr>
          <w:rFonts w:eastAsiaTheme="minorEastAsia" w:hint="eastAsia"/>
          <w:sz w:val="20"/>
          <w:szCs w:val="20"/>
          <w:lang w:eastAsia="zh-CN"/>
        </w:rPr>
        <w:t>14</w:t>
      </w:r>
      <w:r w:rsidR="00814B98" w:rsidRPr="006B17F4">
        <w:rPr>
          <w:rFonts w:hint="eastAsia"/>
          <w:sz w:val="20"/>
          <w:szCs w:val="20"/>
        </w:rPr>
        <w:t xml:space="preserve">. </w:t>
      </w:r>
      <w:r w:rsidR="00814B98" w:rsidRPr="006B17F4">
        <w:rPr>
          <w:color w:val="000000"/>
          <w:sz w:val="20"/>
          <w:szCs w:val="20"/>
          <w:shd w:val="clear" w:color="auto" w:fill="FFFFFF"/>
        </w:rPr>
        <w:t>doi:</w:t>
      </w:r>
      <w:hyperlink r:id="rId10" w:history="1">
        <w:r w:rsidR="00814B98" w:rsidRPr="006B17F4">
          <w:rPr>
            <w:rStyle w:val="Hyperlink"/>
            <w:rFonts w:eastAsia="Calibri"/>
            <w:sz w:val="20"/>
            <w:szCs w:val="20"/>
            <w:shd w:val="clear" w:color="auto" w:fill="FFFFFF"/>
          </w:rPr>
          <w:t>10.7537/mars</w:t>
        </w:r>
        <w:r w:rsidR="00814B98" w:rsidRPr="006B17F4">
          <w:rPr>
            <w:rStyle w:val="Hyperlink"/>
            <w:rFonts w:eastAsia="Calibri" w:hint="eastAsia"/>
            <w:sz w:val="20"/>
            <w:szCs w:val="20"/>
            <w:shd w:val="clear" w:color="auto" w:fill="FFFFFF"/>
          </w:rPr>
          <w:t>nys100217.</w:t>
        </w:r>
        <w:r w:rsidR="00814B98" w:rsidRPr="006B17F4">
          <w:rPr>
            <w:rStyle w:val="Hyperlink"/>
            <w:rFonts w:eastAsiaTheme="minorEastAsia" w:hint="eastAsia"/>
            <w:sz w:val="20"/>
            <w:szCs w:val="20"/>
            <w:shd w:val="clear" w:color="auto" w:fill="FFFFFF"/>
            <w:lang w:eastAsia="zh-CN"/>
          </w:rPr>
          <w:t>14</w:t>
        </w:r>
      </w:hyperlink>
      <w:r w:rsidR="00814B98" w:rsidRPr="006B17F4">
        <w:rPr>
          <w:color w:val="000000"/>
          <w:sz w:val="20"/>
          <w:szCs w:val="20"/>
          <w:shd w:val="clear" w:color="auto" w:fill="FFFFFF"/>
        </w:rPr>
        <w:t>.</w:t>
      </w:r>
    </w:p>
    <w:p w:rsidR="009C7943" w:rsidRPr="006B17F4" w:rsidRDefault="009C7943" w:rsidP="00814B98">
      <w:pPr>
        <w:autoSpaceDE w:val="0"/>
        <w:autoSpaceDN w:val="0"/>
        <w:bidi w:val="0"/>
        <w:adjustRightInd w:val="0"/>
        <w:snapToGrid w:val="0"/>
        <w:jc w:val="both"/>
        <w:rPr>
          <w:b/>
          <w:bCs/>
          <w:sz w:val="20"/>
          <w:szCs w:val="20"/>
        </w:rPr>
      </w:pPr>
    </w:p>
    <w:p w:rsidR="00BE4B93" w:rsidRPr="006B17F4" w:rsidRDefault="00BE4B93" w:rsidP="00814B98">
      <w:pPr>
        <w:widowControl w:val="0"/>
        <w:autoSpaceDE w:val="0"/>
        <w:autoSpaceDN w:val="0"/>
        <w:bidi w:val="0"/>
        <w:adjustRightInd w:val="0"/>
        <w:snapToGrid w:val="0"/>
        <w:jc w:val="both"/>
        <w:rPr>
          <w:color w:val="000000"/>
          <w:sz w:val="20"/>
          <w:szCs w:val="20"/>
        </w:rPr>
      </w:pPr>
      <w:r w:rsidRPr="006B17F4">
        <w:rPr>
          <w:b/>
          <w:bCs/>
          <w:sz w:val="20"/>
          <w:szCs w:val="20"/>
        </w:rPr>
        <w:t>Keywords:</w:t>
      </w:r>
      <w:r w:rsidR="009C7943" w:rsidRPr="006B17F4">
        <w:rPr>
          <w:color w:val="000000"/>
          <w:sz w:val="20"/>
          <w:szCs w:val="20"/>
        </w:rPr>
        <w:t xml:space="preserve"> </w:t>
      </w:r>
      <w:r w:rsidR="009C7F42" w:rsidRPr="006B17F4">
        <w:rPr>
          <w:color w:val="000000"/>
          <w:sz w:val="20"/>
          <w:szCs w:val="20"/>
        </w:rPr>
        <w:t>cataract, macular edema, optical coherence tomography, angiography</w:t>
      </w:r>
    </w:p>
    <w:p w:rsidR="00814B98" w:rsidRPr="006B17F4" w:rsidRDefault="00814B98" w:rsidP="00814B98">
      <w:pPr>
        <w:widowControl w:val="0"/>
        <w:autoSpaceDE w:val="0"/>
        <w:autoSpaceDN w:val="0"/>
        <w:bidi w:val="0"/>
        <w:adjustRightInd w:val="0"/>
        <w:snapToGrid w:val="0"/>
        <w:jc w:val="both"/>
        <w:rPr>
          <w:b/>
          <w:bCs/>
          <w:sz w:val="20"/>
          <w:szCs w:val="20"/>
        </w:rPr>
      </w:pPr>
    </w:p>
    <w:p w:rsidR="00814B98" w:rsidRPr="006B17F4" w:rsidRDefault="00814B98" w:rsidP="00814B98">
      <w:pPr>
        <w:widowControl w:val="0"/>
        <w:autoSpaceDE w:val="0"/>
        <w:autoSpaceDN w:val="0"/>
        <w:bidi w:val="0"/>
        <w:adjustRightInd w:val="0"/>
        <w:snapToGrid w:val="0"/>
        <w:jc w:val="both"/>
        <w:rPr>
          <w:b/>
          <w:bCs/>
          <w:sz w:val="20"/>
          <w:szCs w:val="20"/>
        </w:rPr>
        <w:sectPr w:rsidR="00814B98" w:rsidRPr="006B17F4" w:rsidSect="005E2DA0">
          <w:headerReference w:type="default" r:id="rId11"/>
          <w:footerReference w:type="default" r:id="rId12"/>
          <w:type w:val="continuous"/>
          <w:pgSz w:w="12242" w:h="15842" w:code="1"/>
          <w:pgMar w:top="1440" w:right="1440" w:bottom="1440" w:left="1440" w:header="720" w:footer="720" w:gutter="0"/>
          <w:pgNumType w:start="83"/>
          <w:cols w:space="720"/>
          <w:docGrid w:linePitch="360"/>
        </w:sectPr>
      </w:pPr>
    </w:p>
    <w:p w:rsidR="005E720E" w:rsidRPr="006B17F4" w:rsidRDefault="009C7943" w:rsidP="00814B98">
      <w:pPr>
        <w:widowControl w:val="0"/>
        <w:autoSpaceDE w:val="0"/>
        <w:autoSpaceDN w:val="0"/>
        <w:bidi w:val="0"/>
        <w:adjustRightInd w:val="0"/>
        <w:snapToGrid w:val="0"/>
        <w:jc w:val="both"/>
        <w:rPr>
          <w:b/>
          <w:bCs/>
          <w:sz w:val="20"/>
          <w:szCs w:val="20"/>
        </w:rPr>
      </w:pPr>
      <w:r w:rsidRPr="006B17F4">
        <w:rPr>
          <w:b/>
          <w:bCs/>
          <w:sz w:val="20"/>
          <w:szCs w:val="20"/>
        </w:rPr>
        <w:lastRenderedPageBreak/>
        <w:t xml:space="preserve">1. </w:t>
      </w:r>
      <w:r w:rsidR="005E720E" w:rsidRPr="006B17F4">
        <w:rPr>
          <w:b/>
          <w:bCs/>
          <w:sz w:val="20"/>
          <w:szCs w:val="20"/>
        </w:rPr>
        <w:t>Introduction</w:t>
      </w:r>
    </w:p>
    <w:p w:rsidR="00FC648F" w:rsidRPr="006B17F4" w:rsidRDefault="00FC648F" w:rsidP="00814B98">
      <w:pPr>
        <w:widowControl w:val="0"/>
        <w:autoSpaceDE w:val="0"/>
        <w:autoSpaceDN w:val="0"/>
        <w:bidi w:val="0"/>
        <w:adjustRightInd w:val="0"/>
        <w:snapToGrid w:val="0"/>
        <w:ind w:firstLine="425"/>
        <w:jc w:val="both"/>
        <w:rPr>
          <w:b/>
          <w:bCs/>
          <w:sz w:val="20"/>
          <w:szCs w:val="20"/>
        </w:rPr>
      </w:pPr>
      <w:r w:rsidRPr="006B17F4">
        <w:rPr>
          <w:sz w:val="20"/>
          <w:szCs w:val="20"/>
        </w:rPr>
        <w:t xml:space="preserve">Macular edema (ME) is a major cause of vision loss after cataract surgery in patients with diabetes </w:t>
      </w:r>
      <w:r w:rsidRPr="006B17F4">
        <w:rPr>
          <w:b/>
          <w:bCs/>
          <w:sz w:val="20"/>
          <w:szCs w:val="20"/>
        </w:rPr>
        <w:t>(</w:t>
      </w:r>
      <w:proofErr w:type="spellStart"/>
      <w:r w:rsidRPr="006B17F4">
        <w:rPr>
          <w:b/>
          <w:bCs/>
          <w:sz w:val="20"/>
          <w:szCs w:val="20"/>
        </w:rPr>
        <w:t>Gharbiya</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2013)</w:t>
      </w:r>
      <w:r w:rsidRPr="006B17F4">
        <w:rPr>
          <w:sz w:val="20"/>
          <w:szCs w:val="20"/>
        </w:rPr>
        <w:t xml:space="preserve">. Identifying predisposing risk characteristics to stratify diabetic patients would aid in early detection, treatment and prophylaxis </w:t>
      </w:r>
      <w:r w:rsidRPr="006B17F4">
        <w:rPr>
          <w:b/>
          <w:bCs/>
          <w:sz w:val="20"/>
          <w:szCs w:val="20"/>
        </w:rPr>
        <w:t xml:space="preserve">(Kim </w:t>
      </w:r>
      <w:r w:rsidR="00656181" w:rsidRPr="006B17F4">
        <w:rPr>
          <w:b/>
          <w:bCs/>
          <w:i/>
          <w:iCs/>
          <w:sz w:val="20"/>
          <w:szCs w:val="20"/>
        </w:rPr>
        <w:t>et al</w:t>
      </w:r>
      <w:r w:rsidRPr="006B17F4">
        <w:rPr>
          <w:b/>
          <w:bCs/>
          <w:sz w:val="20"/>
          <w:szCs w:val="20"/>
        </w:rPr>
        <w:t xml:space="preserve">., 2007). </w:t>
      </w:r>
      <w:r w:rsidRPr="006B17F4">
        <w:rPr>
          <w:sz w:val="20"/>
          <w:szCs w:val="20"/>
        </w:rPr>
        <w:t xml:space="preserve">Preexisting </w:t>
      </w:r>
      <w:proofErr w:type="spellStart"/>
      <w:r w:rsidRPr="006B17F4">
        <w:rPr>
          <w:sz w:val="20"/>
          <w:szCs w:val="20"/>
        </w:rPr>
        <w:t>maculopathy</w:t>
      </w:r>
      <w:proofErr w:type="spellEnd"/>
      <w:r w:rsidRPr="006B17F4">
        <w:rPr>
          <w:sz w:val="20"/>
          <w:szCs w:val="20"/>
        </w:rPr>
        <w:t xml:space="preserve"> was found to be an independent risk factor for failure to achieve good postoperative vision </w:t>
      </w:r>
      <w:r w:rsidRPr="006B17F4">
        <w:rPr>
          <w:b/>
          <w:bCs/>
          <w:sz w:val="20"/>
          <w:szCs w:val="20"/>
        </w:rPr>
        <w:t xml:space="preserve">(Tsai </w:t>
      </w:r>
      <w:r w:rsidR="00656181" w:rsidRPr="006B17F4">
        <w:rPr>
          <w:b/>
          <w:bCs/>
          <w:i/>
          <w:iCs/>
          <w:sz w:val="20"/>
          <w:szCs w:val="20"/>
        </w:rPr>
        <w:t>et al</w:t>
      </w:r>
      <w:r w:rsidRPr="006B17F4">
        <w:rPr>
          <w:b/>
          <w:bCs/>
          <w:sz w:val="20"/>
          <w:szCs w:val="20"/>
        </w:rPr>
        <w:t>., 2008)</w:t>
      </w:r>
      <w:r w:rsidR="00814B98" w:rsidRPr="006B17F4">
        <w:rPr>
          <w:b/>
          <w:bCs/>
          <w:sz w:val="20"/>
          <w:szCs w:val="20"/>
        </w:rPr>
        <w:t xml:space="preserve">. </w:t>
      </w:r>
      <w:r w:rsidR="00814B98" w:rsidRPr="006B17F4">
        <w:rPr>
          <w:sz w:val="20"/>
          <w:szCs w:val="20"/>
        </w:rPr>
        <w:t>P</w:t>
      </w:r>
      <w:r w:rsidRPr="006B17F4">
        <w:rPr>
          <w:sz w:val="20"/>
          <w:szCs w:val="20"/>
        </w:rPr>
        <w:t xml:space="preserve">osterior vitreous detachment (PVD) progression has been described during </w:t>
      </w:r>
      <w:proofErr w:type="spellStart"/>
      <w:r w:rsidRPr="006B17F4">
        <w:rPr>
          <w:sz w:val="20"/>
          <w:szCs w:val="20"/>
        </w:rPr>
        <w:t>phacoemulsification</w:t>
      </w:r>
      <w:proofErr w:type="spellEnd"/>
      <w:r w:rsidRPr="006B17F4">
        <w:rPr>
          <w:sz w:val="20"/>
          <w:szCs w:val="20"/>
        </w:rPr>
        <w:t xml:space="preserve"> because of the entrance of liquefied vitreous into the </w:t>
      </w:r>
      <w:proofErr w:type="spellStart"/>
      <w:r w:rsidRPr="006B17F4">
        <w:rPr>
          <w:sz w:val="20"/>
          <w:szCs w:val="20"/>
        </w:rPr>
        <w:t>subhyaloidal</w:t>
      </w:r>
      <w:proofErr w:type="spellEnd"/>
      <w:r w:rsidRPr="006B17F4">
        <w:rPr>
          <w:sz w:val="20"/>
          <w:szCs w:val="20"/>
        </w:rPr>
        <w:t xml:space="preserve"> space and subsequent dissection remaining adhesions between the posterior vitreous cortex and internal limiting membrane</w:t>
      </w:r>
      <w:r w:rsidR="00441B26" w:rsidRPr="006B17F4">
        <w:rPr>
          <w:sz w:val="20"/>
          <w:szCs w:val="20"/>
        </w:rPr>
        <w:t xml:space="preserve">. </w:t>
      </w:r>
      <w:r w:rsidRPr="006B17F4">
        <w:rPr>
          <w:sz w:val="20"/>
          <w:szCs w:val="20"/>
        </w:rPr>
        <w:t>Furthermore, after cataract surgery, the progression of PVD is accelerated by the increased anterior posterior traction force combined with accelerated vitreous liquefaction attributable to light-induced reactive oxygen species and decrease of protein concentration</w:t>
      </w:r>
      <w:r w:rsidRPr="006B17F4">
        <w:rPr>
          <w:b/>
          <w:bCs/>
          <w:sz w:val="20"/>
          <w:szCs w:val="20"/>
        </w:rPr>
        <w:t xml:space="preserve"> (</w:t>
      </w:r>
      <w:proofErr w:type="spellStart"/>
      <w:r w:rsidRPr="006B17F4">
        <w:rPr>
          <w:b/>
          <w:bCs/>
          <w:sz w:val="20"/>
          <w:szCs w:val="20"/>
        </w:rPr>
        <w:t>Ivastinovic</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2012). </w:t>
      </w:r>
      <w:r w:rsidRPr="006B17F4">
        <w:rPr>
          <w:sz w:val="20"/>
          <w:szCs w:val="20"/>
        </w:rPr>
        <w:t>Subtle macular pathologies can be identified by non-</w:t>
      </w:r>
      <w:r w:rsidRPr="006B17F4">
        <w:rPr>
          <w:sz w:val="20"/>
          <w:szCs w:val="20"/>
        </w:rPr>
        <w:lastRenderedPageBreak/>
        <w:t xml:space="preserve">invasive tests such as OCT which is usually adequate for identification of the problem. A retinal referral is usually needed for management and </w:t>
      </w:r>
      <w:r w:rsidR="009C7F42" w:rsidRPr="006B17F4">
        <w:rPr>
          <w:sz w:val="20"/>
          <w:szCs w:val="20"/>
        </w:rPr>
        <w:t>counseling</w:t>
      </w:r>
      <w:r w:rsidRPr="006B17F4">
        <w:rPr>
          <w:sz w:val="20"/>
          <w:szCs w:val="20"/>
        </w:rPr>
        <w:t xml:space="preserve">, with the notable exceptions of </w:t>
      </w:r>
      <w:proofErr w:type="spellStart"/>
      <w:r w:rsidRPr="006B17F4">
        <w:rPr>
          <w:sz w:val="20"/>
          <w:szCs w:val="20"/>
        </w:rPr>
        <w:t>cystoid</w:t>
      </w:r>
      <w:proofErr w:type="spellEnd"/>
      <w:r w:rsidRPr="006B17F4">
        <w:rPr>
          <w:sz w:val="20"/>
          <w:szCs w:val="20"/>
        </w:rPr>
        <w:t xml:space="preserve"> macular edema and</w:t>
      </w:r>
      <w:r w:rsidR="00814B98" w:rsidRPr="006B17F4">
        <w:rPr>
          <w:sz w:val="20"/>
          <w:szCs w:val="20"/>
        </w:rPr>
        <w:t xml:space="preserve"> </w:t>
      </w:r>
      <w:r w:rsidRPr="006B17F4">
        <w:rPr>
          <w:sz w:val="20"/>
          <w:szCs w:val="20"/>
        </w:rPr>
        <w:t xml:space="preserve">diabetic </w:t>
      </w:r>
      <w:proofErr w:type="spellStart"/>
      <w:r w:rsidRPr="006B17F4">
        <w:rPr>
          <w:sz w:val="20"/>
          <w:szCs w:val="20"/>
        </w:rPr>
        <w:t>maculopathy</w:t>
      </w:r>
      <w:proofErr w:type="spellEnd"/>
      <w:r w:rsidRPr="006B17F4">
        <w:rPr>
          <w:sz w:val="20"/>
          <w:szCs w:val="20"/>
        </w:rPr>
        <w:t xml:space="preserve"> developing de novo after cataract surgery, which can be treated with steroids and </w:t>
      </w:r>
      <w:proofErr w:type="spellStart"/>
      <w:r w:rsidRPr="006B17F4">
        <w:rPr>
          <w:sz w:val="20"/>
          <w:szCs w:val="20"/>
        </w:rPr>
        <w:t>nonsteroidal</w:t>
      </w:r>
      <w:proofErr w:type="spellEnd"/>
      <w:r w:rsidRPr="006B17F4">
        <w:rPr>
          <w:sz w:val="20"/>
          <w:szCs w:val="20"/>
        </w:rPr>
        <w:t xml:space="preserve"> anti-inflammatory drugs for 6-8 weeks and referral considered only if the condition is not resolving</w:t>
      </w:r>
      <w:r w:rsidRPr="006B17F4">
        <w:rPr>
          <w:b/>
          <w:bCs/>
          <w:sz w:val="20"/>
          <w:szCs w:val="20"/>
        </w:rPr>
        <w:t xml:space="preserve"> (</w:t>
      </w:r>
      <w:proofErr w:type="spellStart"/>
      <w:r w:rsidRPr="006B17F4">
        <w:rPr>
          <w:b/>
          <w:bCs/>
          <w:sz w:val="20"/>
          <w:szCs w:val="20"/>
        </w:rPr>
        <w:t>Loewenstein</w:t>
      </w:r>
      <w:proofErr w:type="spellEnd"/>
      <w:r w:rsidRPr="006B17F4">
        <w:rPr>
          <w:b/>
          <w:bCs/>
          <w:sz w:val="20"/>
          <w:szCs w:val="20"/>
        </w:rPr>
        <w:t xml:space="preserve"> and </w:t>
      </w:r>
      <w:proofErr w:type="spellStart"/>
      <w:r w:rsidRPr="006B17F4">
        <w:rPr>
          <w:b/>
          <w:bCs/>
          <w:sz w:val="20"/>
          <w:szCs w:val="20"/>
        </w:rPr>
        <w:t>Zur</w:t>
      </w:r>
      <w:proofErr w:type="spellEnd"/>
      <w:r w:rsidRPr="006B17F4">
        <w:rPr>
          <w:b/>
          <w:bCs/>
          <w:sz w:val="20"/>
          <w:szCs w:val="20"/>
        </w:rPr>
        <w:t>, 2010).</w:t>
      </w:r>
    </w:p>
    <w:p w:rsidR="00FC648F" w:rsidRPr="006B17F4" w:rsidRDefault="00FC648F" w:rsidP="00814B98">
      <w:pPr>
        <w:widowControl w:val="0"/>
        <w:autoSpaceDE w:val="0"/>
        <w:autoSpaceDN w:val="0"/>
        <w:bidi w:val="0"/>
        <w:adjustRightInd w:val="0"/>
        <w:snapToGrid w:val="0"/>
        <w:ind w:firstLine="425"/>
        <w:jc w:val="both"/>
        <w:rPr>
          <w:sz w:val="20"/>
          <w:szCs w:val="20"/>
        </w:rPr>
      </w:pPr>
      <w:proofErr w:type="spellStart"/>
      <w:r w:rsidRPr="006B17F4">
        <w:rPr>
          <w:sz w:val="20"/>
          <w:szCs w:val="20"/>
        </w:rPr>
        <w:t>Fundus</w:t>
      </w:r>
      <w:proofErr w:type="spellEnd"/>
      <w:r w:rsidRPr="006B17F4">
        <w:rPr>
          <w:sz w:val="20"/>
          <w:szCs w:val="20"/>
        </w:rPr>
        <w:t xml:space="preserve"> </w:t>
      </w:r>
      <w:proofErr w:type="spellStart"/>
      <w:r w:rsidRPr="006B17F4">
        <w:rPr>
          <w:sz w:val="20"/>
          <w:szCs w:val="20"/>
        </w:rPr>
        <w:t>fluorescein</w:t>
      </w:r>
      <w:proofErr w:type="spellEnd"/>
      <w:r w:rsidRPr="006B17F4">
        <w:rPr>
          <w:sz w:val="20"/>
          <w:szCs w:val="20"/>
        </w:rPr>
        <w:t xml:space="preserve"> angiography (FFA) is a very useful procedure for the actual diagnosis and for the management and control of various ocular conditions. It is also very important in studying the evolution and treatment of numerous retinal, </w:t>
      </w:r>
      <w:proofErr w:type="spellStart"/>
      <w:r w:rsidRPr="006B17F4">
        <w:rPr>
          <w:sz w:val="20"/>
          <w:szCs w:val="20"/>
        </w:rPr>
        <w:t>choroidal</w:t>
      </w:r>
      <w:proofErr w:type="spellEnd"/>
      <w:r w:rsidRPr="006B17F4">
        <w:rPr>
          <w:sz w:val="20"/>
          <w:szCs w:val="20"/>
        </w:rPr>
        <w:t xml:space="preserve">, and optic nerve pathologies, being essential to delineate the abnormal areas in situations like </w:t>
      </w:r>
      <w:proofErr w:type="spellStart"/>
      <w:r w:rsidR="009C7F42" w:rsidRPr="006B17F4">
        <w:rPr>
          <w:sz w:val="20"/>
          <w:szCs w:val="20"/>
        </w:rPr>
        <w:t>choroidalneovascular</w:t>
      </w:r>
      <w:proofErr w:type="spellEnd"/>
      <w:r w:rsidRPr="006B17F4">
        <w:rPr>
          <w:sz w:val="20"/>
          <w:szCs w:val="20"/>
        </w:rPr>
        <w:t xml:space="preserve"> membrane </w:t>
      </w:r>
      <w:r w:rsidRPr="006B17F4">
        <w:rPr>
          <w:b/>
          <w:bCs/>
          <w:sz w:val="20"/>
          <w:szCs w:val="20"/>
        </w:rPr>
        <w:t>(</w:t>
      </w:r>
      <w:proofErr w:type="spellStart"/>
      <w:r w:rsidRPr="006B17F4">
        <w:rPr>
          <w:b/>
          <w:bCs/>
          <w:sz w:val="20"/>
          <w:szCs w:val="20"/>
        </w:rPr>
        <w:t>Escaravage</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2006). </w:t>
      </w:r>
      <w:r w:rsidRPr="006B17F4">
        <w:rPr>
          <w:sz w:val="20"/>
          <w:szCs w:val="20"/>
        </w:rPr>
        <w:t xml:space="preserve">Optical coherence tomography (OCT) is a method for high-resolution cross-sectional imaging that directly measures retinal thickness. It uses light to detect relative changes in reflection at optical interfaces and </w:t>
      </w:r>
      <w:r w:rsidRPr="006B17F4">
        <w:rPr>
          <w:sz w:val="20"/>
          <w:szCs w:val="20"/>
        </w:rPr>
        <w:lastRenderedPageBreak/>
        <w:t>has a theoretical axial resolution of 10 to 14 µm (</w:t>
      </w:r>
      <w:proofErr w:type="spellStart"/>
      <w:r w:rsidRPr="006B17F4">
        <w:rPr>
          <w:b/>
          <w:bCs/>
          <w:color w:val="000000"/>
          <w:sz w:val="20"/>
          <w:szCs w:val="20"/>
        </w:rPr>
        <w:t>Kusbeci</w:t>
      </w:r>
      <w:proofErr w:type="spellEnd"/>
      <w:r w:rsidRPr="006B17F4">
        <w:rPr>
          <w:b/>
          <w:bCs/>
          <w:color w:val="000000"/>
          <w:sz w:val="20"/>
          <w:szCs w:val="20"/>
        </w:rPr>
        <w:t xml:space="preserve"> </w:t>
      </w:r>
      <w:r w:rsidR="00656181" w:rsidRPr="006B17F4">
        <w:rPr>
          <w:b/>
          <w:bCs/>
          <w:i/>
          <w:iCs/>
          <w:color w:val="000000"/>
          <w:sz w:val="20"/>
          <w:szCs w:val="20"/>
        </w:rPr>
        <w:t>et al</w:t>
      </w:r>
      <w:r w:rsidRPr="006B17F4">
        <w:rPr>
          <w:b/>
          <w:bCs/>
          <w:color w:val="000000"/>
          <w:sz w:val="20"/>
          <w:szCs w:val="20"/>
        </w:rPr>
        <w:t xml:space="preserve">., 2012). </w:t>
      </w:r>
      <w:r w:rsidR="00441B26" w:rsidRPr="006B17F4">
        <w:rPr>
          <w:sz w:val="20"/>
          <w:szCs w:val="20"/>
        </w:rPr>
        <w:t xml:space="preserve">In diabetics, macular </w:t>
      </w:r>
      <w:r w:rsidRPr="006B17F4">
        <w:rPr>
          <w:sz w:val="20"/>
          <w:szCs w:val="20"/>
        </w:rPr>
        <w:t xml:space="preserve">edema can be </w:t>
      </w:r>
      <w:proofErr w:type="spellStart"/>
      <w:r w:rsidRPr="006B17F4">
        <w:rPr>
          <w:sz w:val="20"/>
          <w:szCs w:val="20"/>
        </w:rPr>
        <w:t>cystoid</w:t>
      </w:r>
      <w:proofErr w:type="spellEnd"/>
      <w:r w:rsidRPr="006B17F4">
        <w:rPr>
          <w:sz w:val="20"/>
          <w:szCs w:val="20"/>
        </w:rPr>
        <w:t xml:space="preserve"> or not, but when associated with clinical macular thickening of specified parameters, it is defined as clinically significant macular edema (CSME)</w:t>
      </w:r>
      <w:r w:rsidRPr="006B17F4">
        <w:rPr>
          <w:b/>
          <w:bCs/>
          <w:sz w:val="20"/>
          <w:szCs w:val="20"/>
        </w:rPr>
        <w:t xml:space="preserve"> (</w:t>
      </w:r>
      <w:proofErr w:type="spellStart"/>
      <w:r w:rsidRPr="006B17F4">
        <w:rPr>
          <w:b/>
          <w:bCs/>
          <w:sz w:val="20"/>
          <w:szCs w:val="20"/>
        </w:rPr>
        <w:t>Escaravage</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2006). </w:t>
      </w:r>
      <w:r w:rsidRPr="006B17F4">
        <w:rPr>
          <w:sz w:val="20"/>
          <w:szCs w:val="20"/>
        </w:rPr>
        <w:t xml:space="preserve">CSME is an important risk factor for decreased vision after cataract surgery. Thus, after cataract surgery, angiographic ME in diabetics may be from </w:t>
      </w:r>
      <w:proofErr w:type="spellStart"/>
      <w:r w:rsidRPr="006B17F4">
        <w:rPr>
          <w:sz w:val="20"/>
          <w:szCs w:val="20"/>
        </w:rPr>
        <w:t>pseudophakic</w:t>
      </w:r>
      <w:proofErr w:type="spellEnd"/>
      <w:r w:rsidRPr="006B17F4">
        <w:rPr>
          <w:sz w:val="20"/>
          <w:szCs w:val="20"/>
        </w:rPr>
        <w:t xml:space="preserve"> </w:t>
      </w:r>
      <w:proofErr w:type="spellStart"/>
      <w:r w:rsidRPr="006B17F4">
        <w:rPr>
          <w:sz w:val="20"/>
          <w:szCs w:val="20"/>
        </w:rPr>
        <w:t>cystoid</w:t>
      </w:r>
      <w:proofErr w:type="spellEnd"/>
      <w:r w:rsidRPr="006B17F4">
        <w:rPr>
          <w:sz w:val="20"/>
          <w:szCs w:val="20"/>
        </w:rPr>
        <w:t xml:space="preserve"> macular edema (CME) or from diabetic ME and by itself may not be clinically useful in predicting visual acuity; however, macular thickening may be clinically important</w:t>
      </w:r>
      <w:r w:rsidRPr="006B17F4">
        <w:rPr>
          <w:b/>
          <w:bCs/>
          <w:sz w:val="20"/>
          <w:szCs w:val="20"/>
        </w:rPr>
        <w:t xml:space="preserve"> (</w:t>
      </w:r>
      <w:proofErr w:type="spellStart"/>
      <w:r w:rsidRPr="006B17F4">
        <w:rPr>
          <w:b/>
          <w:bCs/>
          <w:sz w:val="20"/>
          <w:szCs w:val="20"/>
        </w:rPr>
        <w:t>Gharbiya</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2013)</w:t>
      </w:r>
      <w:r w:rsidRPr="006B17F4">
        <w:rPr>
          <w:sz w:val="20"/>
          <w:szCs w:val="20"/>
        </w:rPr>
        <w:t>.</w:t>
      </w:r>
    </w:p>
    <w:p w:rsidR="00FC648F" w:rsidRPr="006B17F4" w:rsidRDefault="00FC648F" w:rsidP="00814B98">
      <w:pPr>
        <w:widowControl w:val="0"/>
        <w:autoSpaceDE w:val="0"/>
        <w:autoSpaceDN w:val="0"/>
        <w:bidi w:val="0"/>
        <w:adjustRightInd w:val="0"/>
        <w:snapToGrid w:val="0"/>
        <w:ind w:firstLine="425"/>
        <w:jc w:val="both"/>
        <w:rPr>
          <w:sz w:val="20"/>
          <w:szCs w:val="20"/>
        </w:rPr>
      </w:pPr>
      <w:r w:rsidRPr="006B17F4">
        <w:rPr>
          <w:sz w:val="20"/>
          <w:szCs w:val="20"/>
        </w:rPr>
        <w:t xml:space="preserve">The aim of this study is to </w:t>
      </w:r>
      <w:r w:rsidRPr="006B17F4">
        <w:rPr>
          <w:color w:val="000000"/>
          <w:sz w:val="20"/>
          <w:szCs w:val="20"/>
        </w:rPr>
        <w:t xml:space="preserve">evaluate the influence of uncomplicated </w:t>
      </w:r>
      <w:proofErr w:type="spellStart"/>
      <w:r w:rsidRPr="006B17F4">
        <w:rPr>
          <w:color w:val="000000"/>
          <w:sz w:val="20"/>
          <w:szCs w:val="20"/>
        </w:rPr>
        <w:t>phaco</w:t>
      </w:r>
      <w:proofErr w:type="spellEnd"/>
      <w:r w:rsidR="00441B26" w:rsidRPr="006B17F4">
        <w:rPr>
          <w:color w:val="000000"/>
          <w:sz w:val="20"/>
          <w:szCs w:val="20"/>
        </w:rPr>
        <w:t>-</w:t>
      </w:r>
      <w:r w:rsidRPr="006B17F4">
        <w:rPr>
          <w:color w:val="000000"/>
          <w:sz w:val="20"/>
          <w:szCs w:val="20"/>
        </w:rPr>
        <w:t>emulsification on macular thickness and macular changes in the postoperative period in</w:t>
      </w:r>
      <w:r w:rsidRPr="006B17F4">
        <w:rPr>
          <w:sz w:val="20"/>
          <w:szCs w:val="20"/>
        </w:rPr>
        <w:t xml:space="preserve"> diabetic patients.</w:t>
      </w:r>
    </w:p>
    <w:p w:rsidR="009C7943" w:rsidRPr="006B17F4" w:rsidRDefault="009C7943" w:rsidP="00814B98">
      <w:pPr>
        <w:widowControl w:val="0"/>
        <w:autoSpaceDE w:val="0"/>
        <w:autoSpaceDN w:val="0"/>
        <w:bidi w:val="0"/>
        <w:adjustRightInd w:val="0"/>
        <w:snapToGrid w:val="0"/>
        <w:jc w:val="both"/>
        <w:rPr>
          <w:b/>
          <w:bCs/>
          <w:sz w:val="20"/>
          <w:szCs w:val="20"/>
          <w:lang w:bidi="ar-EG"/>
        </w:rPr>
      </w:pPr>
    </w:p>
    <w:p w:rsidR="00FC648F" w:rsidRPr="006B17F4" w:rsidRDefault="009C7943" w:rsidP="00814B98">
      <w:pPr>
        <w:widowControl w:val="0"/>
        <w:autoSpaceDE w:val="0"/>
        <w:autoSpaceDN w:val="0"/>
        <w:bidi w:val="0"/>
        <w:adjustRightInd w:val="0"/>
        <w:snapToGrid w:val="0"/>
        <w:jc w:val="both"/>
        <w:rPr>
          <w:b/>
          <w:bCs/>
          <w:sz w:val="20"/>
          <w:szCs w:val="20"/>
          <w:lang w:bidi="ar-EG"/>
        </w:rPr>
      </w:pPr>
      <w:r w:rsidRPr="006B17F4">
        <w:rPr>
          <w:b/>
          <w:bCs/>
          <w:sz w:val="20"/>
          <w:szCs w:val="20"/>
          <w:lang w:bidi="ar-EG"/>
        </w:rPr>
        <w:t xml:space="preserve">2. </w:t>
      </w:r>
      <w:r w:rsidR="00FC648F" w:rsidRPr="006B17F4">
        <w:rPr>
          <w:b/>
          <w:bCs/>
          <w:sz w:val="20"/>
          <w:szCs w:val="20"/>
          <w:lang w:bidi="ar-EG"/>
        </w:rPr>
        <w:t>Patients and methods</w:t>
      </w:r>
    </w:p>
    <w:p w:rsidR="00FC648F" w:rsidRPr="006B17F4" w:rsidRDefault="00FC648F" w:rsidP="00814B98">
      <w:pPr>
        <w:widowControl w:val="0"/>
        <w:autoSpaceDE w:val="0"/>
        <w:autoSpaceDN w:val="0"/>
        <w:bidi w:val="0"/>
        <w:adjustRightInd w:val="0"/>
        <w:snapToGrid w:val="0"/>
        <w:ind w:firstLine="425"/>
        <w:jc w:val="both"/>
        <w:rPr>
          <w:sz w:val="20"/>
          <w:szCs w:val="20"/>
        </w:rPr>
      </w:pPr>
      <w:r w:rsidRPr="006B17F4">
        <w:rPr>
          <w:sz w:val="20"/>
          <w:szCs w:val="20"/>
        </w:rPr>
        <w:t xml:space="preserve">This is a prospective study that included 100 eyes of </w:t>
      </w:r>
      <w:proofErr w:type="spellStart"/>
      <w:r w:rsidRPr="006B17F4">
        <w:rPr>
          <w:sz w:val="20"/>
          <w:szCs w:val="20"/>
        </w:rPr>
        <w:t>cataractous</w:t>
      </w:r>
      <w:proofErr w:type="spellEnd"/>
      <w:r w:rsidRPr="006B17F4">
        <w:rPr>
          <w:sz w:val="20"/>
          <w:szCs w:val="20"/>
        </w:rPr>
        <w:t xml:space="preserve"> patients attending the outpatient ophthalmology clinic of Al-</w:t>
      </w:r>
      <w:proofErr w:type="spellStart"/>
      <w:r w:rsidRPr="006B17F4">
        <w:rPr>
          <w:sz w:val="20"/>
          <w:szCs w:val="20"/>
        </w:rPr>
        <w:t>Azhar</w:t>
      </w:r>
      <w:proofErr w:type="spellEnd"/>
      <w:r w:rsidRPr="006B17F4">
        <w:rPr>
          <w:sz w:val="20"/>
          <w:szCs w:val="20"/>
        </w:rPr>
        <w:t xml:space="preserve"> University hospital (Damietta branch) during the period from June 2014 to January 2016</w:t>
      </w:r>
      <w:r w:rsidRPr="006B17F4">
        <w:rPr>
          <w:sz w:val="20"/>
          <w:szCs w:val="20"/>
          <w:lang w:bidi="ar-EG"/>
        </w:rPr>
        <w:t>.</w:t>
      </w:r>
      <w:r w:rsidRPr="006B17F4">
        <w:rPr>
          <w:sz w:val="20"/>
          <w:szCs w:val="20"/>
        </w:rPr>
        <w:t xml:space="preserve"> The included patients were classified into 2 groups: the first included 50 eyes of diabetic patients with no clinical </w:t>
      </w:r>
      <w:proofErr w:type="spellStart"/>
      <w:r w:rsidRPr="006B17F4">
        <w:rPr>
          <w:sz w:val="20"/>
          <w:szCs w:val="20"/>
        </w:rPr>
        <w:t>fundus</w:t>
      </w:r>
      <w:proofErr w:type="spellEnd"/>
      <w:r w:rsidRPr="006B17F4">
        <w:rPr>
          <w:sz w:val="20"/>
          <w:szCs w:val="20"/>
        </w:rPr>
        <w:t xml:space="preserve"> changes, and the second included 50 eyes of normal patients.</w:t>
      </w:r>
    </w:p>
    <w:p w:rsidR="00FC648F" w:rsidRPr="006B17F4" w:rsidRDefault="00FC648F" w:rsidP="00814B98">
      <w:pPr>
        <w:widowControl w:val="0"/>
        <w:autoSpaceDE w:val="0"/>
        <w:autoSpaceDN w:val="0"/>
        <w:bidi w:val="0"/>
        <w:adjustRightInd w:val="0"/>
        <w:snapToGrid w:val="0"/>
        <w:jc w:val="both"/>
        <w:rPr>
          <w:sz w:val="20"/>
          <w:szCs w:val="20"/>
        </w:rPr>
      </w:pPr>
      <w:r w:rsidRPr="006B17F4">
        <w:rPr>
          <w:b/>
          <w:bCs/>
          <w:sz w:val="20"/>
          <w:szCs w:val="20"/>
        </w:rPr>
        <w:t xml:space="preserve">Exclusion criteria: </w:t>
      </w:r>
      <w:r w:rsidRPr="006B17F4">
        <w:rPr>
          <w:sz w:val="20"/>
          <w:szCs w:val="20"/>
        </w:rPr>
        <w:t xml:space="preserve">patient with one of more of the following was excluded from the study: 1) Patients who refuse to participate in the study, 2) Media opacity that interfere with preoperative evaluation, 3) Congenital cataract, 4) Traumatic cataract, 5) Macular edema and/or diabetic retinopathy, 6) Previous intraocular surgery, 7) Topical glaucoma medications, 8) </w:t>
      </w:r>
      <w:proofErr w:type="spellStart"/>
      <w:r w:rsidRPr="006B17F4">
        <w:rPr>
          <w:sz w:val="20"/>
          <w:szCs w:val="20"/>
        </w:rPr>
        <w:t>Intraoperative</w:t>
      </w:r>
      <w:proofErr w:type="spellEnd"/>
      <w:r w:rsidRPr="006B17F4">
        <w:rPr>
          <w:sz w:val="20"/>
          <w:szCs w:val="20"/>
        </w:rPr>
        <w:t xml:space="preserve"> or postoperative complications (e.g. posterior capsular rupture, bleeding, vitreous loss…etc.), and 9) History of </w:t>
      </w:r>
      <w:proofErr w:type="spellStart"/>
      <w:r w:rsidRPr="006B17F4">
        <w:rPr>
          <w:sz w:val="20"/>
          <w:szCs w:val="20"/>
        </w:rPr>
        <w:t>uveitis</w:t>
      </w:r>
      <w:proofErr w:type="spellEnd"/>
      <w:r w:rsidRPr="006B17F4">
        <w:rPr>
          <w:sz w:val="20"/>
          <w:szCs w:val="20"/>
        </w:rPr>
        <w:t xml:space="preserve">, glaucoma and </w:t>
      </w:r>
      <w:proofErr w:type="spellStart"/>
      <w:r w:rsidRPr="006B17F4">
        <w:rPr>
          <w:sz w:val="20"/>
          <w:szCs w:val="20"/>
        </w:rPr>
        <w:t>amblyopia</w:t>
      </w:r>
      <w:proofErr w:type="spellEnd"/>
      <w:r w:rsidRPr="006B17F4">
        <w:rPr>
          <w:sz w:val="20"/>
          <w:szCs w:val="20"/>
        </w:rPr>
        <w:t>.</w:t>
      </w:r>
    </w:p>
    <w:p w:rsidR="00FC648F" w:rsidRPr="006B17F4" w:rsidRDefault="00FC648F" w:rsidP="00814B98">
      <w:pPr>
        <w:widowControl w:val="0"/>
        <w:autoSpaceDE w:val="0"/>
        <w:autoSpaceDN w:val="0"/>
        <w:bidi w:val="0"/>
        <w:adjustRightInd w:val="0"/>
        <w:snapToGrid w:val="0"/>
        <w:jc w:val="both"/>
        <w:rPr>
          <w:sz w:val="20"/>
          <w:szCs w:val="20"/>
        </w:rPr>
      </w:pPr>
      <w:r w:rsidRPr="006B17F4">
        <w:rPr>
          <w:b/>
          <w:bCs/>
          <w:sz w:val="20"/>
          <w:szCs w:val="20"/>
        </w:rPr>
        <w:t xml:space="preserve">Preoperative evaluation </w:t>
      </w:r>
      <w:r w:rsidRPr="006B17F4">
        <w:rPr>
          <w:sz w:val="20"/>
          <w:szCs w:val="20"/>
        </w:rPr>
        <w:t xml:space="preserve">included history taking, general examination, and laboratory investigations (fasting blood glucose, 2hour postprandial blood glucose, </w:t>
      </w:r>
      <w:proofErr w:type="spellStart"/>
      <w:r w:rsidRPr="006B17F4">
        <w:rPr>
          <w:sz w:val="20"/>
          <w:szCs w:val="20"/>
        </w:rPr>
        <w:t>Glycosylated</w:t>
      </w:r>
      <w:proofErr w:type="spellEnd"/>
      <w:r w:rsidRPr="006B17F4">
        <w:rPr>
          <w:sz w:val="20"/>
          <w:szCs w:val="20"/>
        </w:rPr>
        <w:t xml:space="preserve"> hemoglobin (</w:t>
      </w:r>
      <w:proofErr w:type="spellStart"/>
      <w:r w:rsidRPr="006B17F4">
        <w:rPr>
          <w:sz w:val="20"/>
          <w:szCs w:val="20"/>
        </w:rPr>
        <w:t>HbA</w:t>
      </w:r>
      <w:proofErr w:type="spellEnd"/>
      <w:r w:rsidRPr="006B17F4">
        <w:rPr>
          <w:sz w:val="20"/>
          <w:szCs w:val="20"/>
        </w:rPr>
        <w:t xml:space="preserve"> 1C), Coagulation profile, and Liver and Kidney function tests). In addition, preoperative ophthalmological examination was done and included the following:</w:t>
      </w:r>
      <w:r w:rsidR="00814B98" w:rsidRPr="006B17F4">
        <w:rPr>
          <w:sz w:val="20"/>
          <w:szCs w:val="20"/>
        </w:rPr>
        <w:t xml:space="preserve"> </w:t>
      </w:r>
      <w:r w:rsidRPr="006B17F4">
        <w:rPr>
          <w:sz w:val="20"/>
          <w:szCs w:val="20"/>
        </w:rPr>
        <w:t xml:space="preserve">uncorrected visual acuity (UCVA), pupil reaction, refraction using </w:t>
      </w:r>
      <w:proofErr w:type="spellStart"/>
      <w:r w:rsidRPr="006B17F4">
        <w:rPr>
          <w:sz w:val="20"/>
          <w:szCs w:val="20"/>
        </w:rPr>
        <w:t>Nidek</w:t>
      </w:r>
      <w:proofErr w:type="spellEnd"/>
      <w:r w:rsidRPr="006B17F4">
        <w:rPr>
          <w:sz w:val="20"/>
          <w:szCs w:val="20"/>
        </w:rPr>
        <w:t xml:space="preserve"> automated </w:t>
      </w:r>
      <w:proofErr w:type="spellStart"/>
      <w:r w:rsidRPr="006B17F4">
        <w:rPr>
          <w:sz w:val="20"/>
          <w:szCs w:val="20"/>
        </w:rPr>
        <w:t>refractometer</w:t>
      </w:r>
      <w:proofErr w:type="spellEnd"/>
      <w:r w:rsidRPr="006B17F4">
        <w:rPr>
          <w:sz w:val="20"/>
          <w:szCs w:val="20"/>
        </w:rPr>
        <w:t xml:space="preserve">, best corrected visual acuity (BCVA), slit lamp </w:t>
      </w:r>
      <w:proofErr w:type="spellStart"/>
      <w:r w:rsidRPr="006B17F4">
        <w:rPr>
          <w:sz w:val="20"/>
          <w:szCs w:val="20"/>
        </w:rPr>
        <w:t>biomicroscopy</w:t>
      </w:r>
      <w:proofErr w:type="spellEnd"/>
      <w:r w:rsidRPr="006B17F4">
        <w:rPr>
          <w:sz w:val="20"/>
          <w:szCs w:val="20"/>
        </w:rPr>
        <w:t xml:space="preserve"> to assess corneal clarity, depth of anterior chamber, state of pu</w:t>
      </w:r>
      <w:r w:rsidR="00F52532" w:rsidRPr="006B17F4">
        <w:rPr>
          <w:sz w:val="20"/>
          <w:szCs w:val="20"/>
        </w:rPr>
        <w:t>pil dilatation, lens morphology, i</w:t>
      </w:r>
      <w:r w:rsidRPr="006B17F4">
        <w:rPr>
          <w:sz w:val="20"/>
          <w:szCs w:val="20"/>
        </w:rPr>
        <w:t>ntraocular pressure (IOP)</w:t>
      </w:r>
      <w:r w:rsidR="00F52532" w:rsidRPr="006B17F4">
        <w:rPr>
          <w:sz w:val="20"/>
          <w:szCs w:val="20"/>
        </w:rPr>
        <w:t xml:space="preserve">, </w:t>
      </w:r>
      <w:proofErr w:type="spellStart"/>
      <w:r w:rsidR="00F52532" w:rsidRPr="006B17F4">
        <w:rPr>
          <w:sz w:val="20"/>
          <w:szCs w:val="20"/>
        </w:rPr>
        <w:t>f</w:t>
      </w:r>
      <w:r w:rsidRPr="006B17F4">
        <w:rPr>
          <w:sz w:val="20"/>
          <w:szCs w:val="20"/>
        </w:rPr>
        <w:t>undus</w:t>
      </w:r>
      <w:proofErr w:type="spellEnd"/>
      <w:r w:rsidRPr="006B17F4">
        <w:rPr>
          <w:sz w:val="20"/>
          <w:szCs w:val="20"/>
        </w:rPr>
        <w:t xml:space="preserve"> examination: slit lamp </w:t>
      </w:r>
      <w:proofErr w:type="spellStart"/>
      <w:r w:rsidRPr="006B17F4">
        <w:rPr>
          <w:sz w:val="20"/>
          <w:szCs w:val="20"/>
        </w:rPr>
        <w:t>biomicroscopy</w:t>
      </w:r>
      <w:proofErr w:type="spellEnd"/>
      <w:r w:rsidR="00F52532" w:rsidRPr="006B17F4">
        <w:rPr>
          <w:sz w:val="20"/>
          <w:szCs w:val="20"/>
        </w:rPr>
        <w:t>, a</w:t>
      </w:r>
      <w:r w:rsidRPr="006B17F4">
        <w:rPr>
          <w:sz w:val="20"/>
          <w:szCs w:val="20"/>
        </w:rPr>
        <w:t>ssessment of ocular motility in all direction of gaze</w:t>
      </w:r>
      <w:r w:rsidR="00F52532" w:rsidRPr="006B17F4">
        <w:rPr>
          <w:sz w:val="20"/>
          <w:szCs w:val="20"/>
        </w:rPr>
        <w:t>, and e</w:t>
      </w:r>
      <w:r w:rsidRPr="006B17F4">
        <w:rPr>
          <w:sz w:val="20"/>
          <w:szCs w:val="20"/>
        </w:rPr>
        <w:t xml:space="preserve">xamination of ocular </w:t>
      </w:r>
      <w:proofErr w:type="spellStart"/>
      <w:r w:rsidRPr="006B17F4">
        <w:rPr>
          <w:sz w:val="20"/>
          <w:szCs w:val="20"/>
        </w:rPr>
        <w:t>adnexa</w:t>
      </w:r>
      <w:proofErr w:type="spellEnd"/>
      <w:r w:rsidRPr="006B17F4">
        <w:rPr>
          <w:sz w:val="20"/>
          <w:szCs w:val="20"/>
        </w:rPr>
        <w:t>.</w:t>
      </w:r>
      <w:r w:rsidR="009C7943" w:rsidRPr="006B17F4">
        <w:rPr>
          <w:sz w:val="20"/>
          <w:szCs w:val="20"/>
        </w:rPr>
        <w:t xml:space="preserve"> </w:t>
      </w:r>
      <w:r w:rsidR="00F52532" w:rsidRPr="006B17F4">
        <w:rPr>
          <w:sz w:val="20"/>
          <w:szCs w:val="20"/>
        </w:rPr>
        <w:t>Preoperative investigation included c</w:t>
      </w:r>
      <w:r w:rsidRPr="006B17F4">
        <w:rPr>
          <w:sz w:val="20"/>
          <w:szCs w:val="20"/>
        </w:rPr>
        <w:t xml:space="preserve">alculation of IOL power and </w:t>
      </w:r>
      <w:r w:rsidRPr="006B17F4">
        <w:rPr>
          <w:sz w:val="20"/>
          <w:szCs w:val="20"/>
        </w:rPr>
        <w:lastRenderedPageBreak/>
        <w:t xml:space="preserve">axial </w:t>
      </w:r>
      <w:r w:rsidR="00F52532" w:rsidRPr="006B17F4">
        <w:rPr>
          <w:sz w:val="20"/>
          <w:szCs w:val="20"/>
        </w:rPr>
        <w:t xml:space="preserve">length by </w:t>
      </w:r>
      <w:proofErr w:type="spellStart"/>
      <w:r w:rsidR="00F52532" w:rsidRPr="006B17F4">
        <w:rPr>
          <w:sz w:val="20"/>
          <w:szCs w:val="20"/>
        </w:rPr>
        <w:t>Sonomed</w:t>
      </w:r>
      <w:proofErr w:type="spellEnd"/>
      <w:r w:rsidR="00F52532" w:rsidRPr="006B17F4">
        <w:rPr>
          <w:sz w:val="20"/>
          <w:szCs w:val="20"/>
        </w:rPr>
        <w:t xml:space="preserve"> Biometry model 5500, </w:t>
      </w:r>
      <w:proofErr w:type="spellStart"/>
      <w:r w:rsidR="00F52532" w:rsidRPr="006B17F4">
        <w:rPr>
          <w:sz w:val="20"/>
          <w:szCs w:val="20"/>
        </w:rPr>
        <w:t>f</w:t>
      </w:r>
      <w:r w:rsidRPr="006B17F4">
        <w:rPr>
          <w:sz w:val="20"/>
          <w:szCs w:val="20"/>
        </w:rPr>
        <w:t>undus</w:t>
      </w:r>
      <w:proofErr w:type="spellEnd"/>
      <w:r w:rsidRPr="006B17F4">
        <w:rPr>
          <w:sz w:val="20"/>
          <w:szCs w:val="20"/>
        </w:rPr>
        <w:t xml:space="preserve"> </w:t>
      </w:r>
      <w:proofErr w:type="spellStart"/>
      <w:r w:rsidRPr="006B17F4">
        <w:rPr>
          <w:sz w:val="20"/>
          <w:szCs w:val="20"/>
        </w:rPr>
        <w:t>fluorescein</w:t>
      </w:r>
      <w:proofErr w:type="spellEnd"/>
      <w:r w:rsidRPr="006B17F4">
        <w:rPr>
          <w:sz w:val="20"/>
          <w:szCs w:val="20"/>
        </w:rPr>
        <w:t xml:space="preserve"> angiography (FFA) by Topco</w:t>
      </w:r>
      <w:r w:rsidR="00F52532" w:rsidRPr="006B17F4">
        <w:rPr>
          <w:sz w:val="20"/>
          <w:szCs w:val="20"/>
        </w:rPr>
        <w:t xml:space="preserve">n TRC 50 Digital </w:t>
      </w:r>
      <w:proofErr w:type="spellStart"/>
      <w:r w:rsidR="00F52532" w:rsidRPr="006B17F4">
        <w:rPr>
          <w:sz w:val="20"/>
          <w:szCs w:val="20"/>
        </w:rPr>
        <w:t>fundus</w:t>
      </w:r>
      <w:proofErr w:type="spellEnd"/>
      <w:r w:rsidR="00F52532" w:rsidRPr="006B17F4">
        <w:rPr>
          <w:sz w:val="20"/>
          <w:szCs w:val="20"/>
        </w:rPr>
        <w:t xml:space="preserve"> camera, and o</w:t>
      </w:r>
      <w:r w:rsidRPr="006B17F4">
        <w:rPr>
          <w:sz w:val="20"/>
          <w:szCs w:val="20"/>
        </w:rPr>
        <w:t>ptical coherence tomography (OCT)</w:t>
      </w:r>
      <w:r w:rsidR="00F52532" w:rsidRPr="006B17F4">
        <w:rPr>
          <w:sz w:val="20"/>
          <w:szCs w:val="20"/>
        </w:rPr>
        <w:t xml:space="preserve"> by Topcon 3D 2000 OCT.</w:t>
      </w:r>
    </w:p>
    <w:p w:rsidR="00FC648F" w:rsidRPr="006B17F4" w:rsidRDefault="009C7F42" w:rsidP="00814B98">
      <w:pPr>
        <w:widowControl w:val="0"/>
        <w:autoSpaceDE w:val="0"/>
        <w:autoSpaceDN w:val="0"/>
        <w:bidi w:val="0"/>
        <w:adjustRightInd w:val="0"/>
        <w:snapToGrid w:val="0"/>
        <w:jc w:val="both"/>
        <w:rPr>
          <w:sz w:val="20"/>
          <w:szCs w:val="20"/>
        </w:rPr>
      </w:pPr>
      <w:r w:rsidRPr="006B17F4">
        <w:rPr>
          <w:b/>
          <w:bCs/>
          <w:sz w:val="20"/>
          <w:szCs w:val="20"/>
        </w:rPr>
        <w:t xml:space="preserve">Surgical Technique: </w:t>
      </w:r>
      <w:proofErr w:type="spellStart"/>
      <w:r w:rsidR="00FC648F" w:rsidRPr="006B17F4">
        <w:rPr>
          <w:sz w:val="20"/>
          <w:szCs w:val="20"/>
        </w:rPr>
        <w:t>Phacoemulsification</w:t>
      </w:r>
      <w:proofErr w:type="spellEnd"/>
      <w:r w:rsidR="00FC648F" w:rsidRPr="006B17F4">
        <w:rPr>
          <w:sz w:val="20"/>
          <w:szCs w:val="20"/>
        </w:rPr>
        <w:t xml:space="preserve"> was done by Constellation machine (Alcon, Forte Worth, TX, USA). Before surgery, all pupils were dilated with </w:t>
      </w:r>
      <w:r w:rsidR="00FC648F" w:rsidRPr="006B17F4">
        <w:rPr>
          <w:color w:val="000000"/>
          <w:sz w:val="20"/>
          <w:szCs w:val="20"/>
        </w:rPr>
        <w:t xml:space="preserve">1% </w:t>
      </w:r>
      <w:proofErr w:type="spellStart"/>
      <w:r w:rsidR="00FC648F" w:rsidRPr="006B17F4">
        <w:rPr>
          <w:color w:val="000000"/>
          <w:sz w:val="20"/>
          <w:szCs w:val="20"/>
        </w:rPr>
        <w:t>Cyclopentolate</w:t>
      </w:r>
      <w:proofErr w:type="spellEnd"/>
      <w:r w:rsidR="00FC648F" w:rsidRPr="006B17F4">
        <w:rPr>
          <w:color w:val="000000"/>
          <w:sz w:val="20"/>
          <w:szCs w:val="20"/>
        </w:rPr>
        <w:t xml:space="preserve"> and 10%</w:t>
      </w:r>
      <w:r w:rsidR="00FC648F" w:rsidRPr="006B17F4">
        <w:rPr>
          <w:sz w:val="20"/>
          <w:szCs w:val="20"/>
        </w:rPr>
        <w:t xml:space="preserve">Phenylephrine, also ocular sterilization with a drop of </w:t>
      </w:r>
      <w:proofErr w:type="spellStart"/>
      <w:r w:rsidR="00FC648F" w:rsidRPr="006B17F4">
        <w:rPr>
          <w:sz w:val="20"/>
          <w:szCs w:val="20"/>
        </w:rPr>
        <w:t>povidine</w:t>
      </w:r>
      <w:proofErr w:type="spellEnd"/>
      <w:r w:rsidR="00FC648F" w:rsidRPr="006B17F4">
        <w:rPr>
          <w:sz w:val="20"/>
          <w:szCs w:val="20"/>
        </w:rPr>
        <w:t xml:space="preserve"> iodine 5% was used. Cataract surgery was performed under local </w:t>
      </w:r>
      <w:r w:rsidR="00F52532" w:rsidRPr="006B17F4">
        <w:rPr>
          <w:sz w:val="20"/>
          <w:szCs w:val="20"/>
        </w:rPr>
        <w:t>anesthesia</w:t>
      </w:r>
      <w:r w:rsidR="00FC648F" w:rsidRPr="006B17F4">
        <w:rPr>
          <w:sz w:val="20"/>
          <w:szCs w:val="20"/>
        </w:rPr>
        <w:t xml:space="preserve"> or general </w:t>
      </w:r>
      <w:r w:rsidR="00F52532" w:rsidRPr="006B17F4">
        <w:rPr>
          <w:sz w:val="20"/>
          <w:szCs w:val="20"/>
        </w:rPr>
        <w:t>anesthesia</w:t>
      </w:r>
      <w:r w:rsidR="00FC648F" w:rsidRPr="006B17F4">
        <w:rPr>
          <w:sz w:val="20"/>
          <w:szCs w:val="20"/>
        </w:rPr>
        <w:t xml:space="preserve">, Anterior </w:t>
      </w:r>
      <w:proofErr w:type="spellStart"/>
      <w:r w:rsidR="00FC648F" w:rsidRPr="006B17F4">
        <w:rPr>
          <w:sz w:val="20"/>
          <w:szCs w:val="20"/>
        </w:rPr>
        <w:t>limbal</w:t>
      </w:r>
      <w:proofErr w:type="spellEnd"/>
      <w:r w:rsidR="00FC648F" w:rsidRPr="006B17F4">
        <w:rPr>
          <w:sz w:val="20"/>
          <w:szCs w:val="20"/>
        </w:rPr>
        <w:t xml:space="preserve"> scratch</w:t>
      </w:r>
      <w:r w:rsidR="00814B98" w:rsidRPr="006B17F4">
        <w:rPr>
          <w:sz w:val="20"/>
          <w:szCs w:val="20"/>
        </w:rPr>
        <w:t xml:space="preserve"> </w:t>
      </w:r>
      <w:r w:rsidR="00FC648F" w:rsidRPr="006B17F4">
        <w:rPr>
          <w:sz w:val="20"/>
          <w:szCs w:val="20"/>
        </w:rPr>
        <w:t xml:space="preserve">incision using </w:t>
      </w:r>
      <w:proofErr w:type="spellStart"/>
      <w:r w:rsidR="00FC648F" w:rsidRPr="006B17F4">
        <w:rPr>
          <w:sz w:val="20"/>
          <w:szCs w:val="20"/>
        </w:rPr>
        <w:t>keratome</w:t>
      </w:r>
      <w:proofErr w:type="spellEnd"/>
      <w:r w:rsidR="00FC648F" w:rsidRPr="006B17F4">
        <w:rPr>
          <w:sz w:val="20"/>
          <w:szCs w:val="20"/>
        </w:rPr>
        <w:t xml:space="preserve"> (2.4, 2.8, 3 and 3.2mm), formation of</w:t>
      </w:r>
      <w:r w:rsidR="00814B98" w:rsidRPr="006B17F4">
        <w:rPr>
          <w:sz w:val="20"/>
          <w:szCs w:val="20"/>
        </w:rPr>
        <w:t xml:space="preserve"> </w:t>
      </w:r>
      <w:r w:rsidR="00FC648F" w:rsidRPr="006B17F4">
        <w:rPr>
          <w:sz w:val="20"/>
          <w:szCs w:val="20"/>
        </w:rPr>
        <w:t>the</w:t>
      </w:r>
      <w:r w:rsidR="00814B98" w:rsidRPr="006B17F4">
        <w:rPr>
          <w:sz w:val="20"/>
          <w:szCs w:val="20"/>
        </w:rPr>
        <w:t xml:space="preserve"> </w:t>
      </w:r>
      <w:r w:rsidR="00FC648F" w:rsidRPr="006B17F4">
        <w:rPr>
          <w:sz w:val="20"/>
          <w:szCs w:val="20"/>
        </w:rPr>
        <w:t>anterior</w:t>
      </w:r>
      <w:r w:rsidR="00814B98" w:rsidRPr="006B17F4">
        <w:rPr>
          <w:sz w:val="20"/>
          <w:szCs w:val="20"/>
        </w:rPr>
        <w:t xml:space="preserve"> </w:t>
      </w:r>
      <w:r w:rsidR="00FC648F" w:rsidRPr="006B17F4">
        <w:rPr>
          <w:sz w:val="20"/>
          <w:szCs w:val="20"/>
        </w:rPr>
        <w:t xml:space="preserve">chamber by </w:t>
      </w:r>
      <w:proofErr w:type="spellStart"/>
      <w:r w:rsidR="00FC648F" w:rsidRPr="006B17F4">
        <w:rPr>
          <w:sz w:val="20"/>
          <w:szCs w:val="20"/>
        </w:rPr>
        <w:t>viscoelastic</w:t>
      </w:r>
      <w:proofErr w:type="spellEnd"/>
      <w:r w:rsidR="00FC648F" w:rsidRPr="006B17F4">
        <w:rPr>
          <w:sz w:val="20"/>
          <w:szCs w:val="20"/>
        </w:rPr>
        <w:t xml:space="preserve"> materials (sodium hyaluronate10%, </w:t>
      </w:r>
      <w:proofErr w:type="spellStart"/>
      <w:r w:rsidR="00FC648F" w:rsidRPr="006B17F4">
        <w:rPr>
          <w:sz w:val="20"/>
          <w:szCs w:val="20"/>
        </w:rPr>
        <w:t>hydroxypropyl</w:t>
      </w:r>
      <w:proofErr w:type="spellEnd"/>
      <w:r w:rsidR="00FC648F" w:rsidRPr="006B17F4">
        <w:rPr>
          <w:sz w:val="20"/>
          <w:szCs w:val="20"/>
        </w:rPr>
        <w:t xml:space="preserve"> methyl</w:t>
      </w:r>
      <w:r w:rsidRPr="006B17F4">
        <w:rPr>
          <w:sz w:val="20"/>
          <w:szCs w:val="20"/>
        </w:rPr>
        <w:t>-</w:t>
      </w:r>
      <w:r w:rsidR="00FC648F" w:rsidRPr="006B17F4">
        <w:rPr>
          <w:sz w:val="20"/>
          <w:szCs w:val="20"/>
        </w:rPr>
        <w:t xml:space="preserve">cellulose20%), anterior continuous circular curvilinear </w:t>
      </w:r>
      <w:proofErr w:type="spellStart"/>
      <w:r w:rsidR="00FC648F" w:rsidRPr="006B17F4">
        <w:rPr>
          <w:sz w:val="20"/>
          <w:szCs w:val="20"/>
        </w:rPr>
        <w:t>capsulorrhexis</w:t>
      </w:r>
      <w:proofErr w:type="spellEnd"/>
      <w:r w:rsidR="00FC648F" w:rsidRPr="006B17F4">
        <w:rPr>
          <w:sz w:val="20"/>
          <w:szCs w:val="20"/>
        </w:rPr>
        <w:t xml:space="preserve"> performed under </w:t>
      </w:r>
      <w:proofErr w:type="spellStart"/>
      <w:r w:rsidR="00FC648F" w:rsidRPr="006B17F4">
        <w:rPr>
          <w:sz w:val="20"/>
          <w:szCs w:val="20"/>
        </w:rPr>
        <w:t>viscoelastic</w:t>
      </w:r>
      <w:proofErr w:type="spellEnd"/>
      <w:r w:rsidR="00FC648F" w:rsidRPr="006B17F4">
        <w:rPr>
          <w:sz w:val="20"/>
          <w:szCs w:val="20"/>
        </w:rPr>
        <w:t xml:space="preserve"> material, two side ports was made</w:t>
      </w:r>
      <w:r w:rsidR="00814B98" w:rsidRPr="006B17F4">
        <w:rPr>
          <w:sz w:val="20"/>
          <w:szCs w:val="20"/>
        </w:rPr>
        <w:t xml:space="preserve"> </w:t>
      </w:r>
      <w:r w:rsidR="00FC648F" w:rsidRPr="006B17F4">
        <w:rPr>
          <w:sz w:val="20"/>
          <w:szCs w:val="20"/>
        </w:rPr>
        <w:t xml:space="preserve">by MVR or </w:t>
      </w:r>
      <w:proofErr w:type="spellStart"/>
      <w:r w:rsidR="00FC648F" w:rsidRPr="006B17F4">
        <w:rPr>
          <w:sz w:val="20"/>
          <w:szCs w:val="20"/>
        </w:rPr>
        <w:t>Superblade</w:t>
      </w:r>
      <w:proofErr w:type="spellEnd"/>
      <w:r w:rsidR="00FC648F" w:rsidRPr="006B17F4">
        <w:rPr>
          <w:sz w:val="20"/>
          <w:szCs w:val="20"/>
        </w:rPr>
        <w:t>, hydro-dissection</w:t>
      </w:r>
      <w:r w:rsidR="00814B98" w:rsidRPr="006B17F4">
        <w:rPr>
          <w:sz w:val="20"/>
          <w:szCs w:val="20"/>
        </w:rPr>
        <w:t>,</w:t>
      </w:r>
      <w:r w:rsidR="00FC648F" w:rsidRPr="006B17F4">
        <w:rPr>
          <w:sz w:val="20"/>
          <w:szCs w:val="20"/>
        </w:rPr>
        <w:t xml:space="preserve"> </w:t>
      </w:r>
      <w:proofErr w:type="spellStart"/>
      <w:r w:rsidR="00FC648F" w:rsidRPr="006B17F4">
        <w:rPr>
          <w:sz w:val="20"/>
          <w:szCs w:val="20"/>
        </w:rPr>
        <w:t>hydrodelineation</w:t>
      </w:r>
      <w:proofErr w:type="spellEnd"/>
      <w:r w:rsidR="00FC648F" w:rsidRPr="006B17F4">
        <w:rPr>
          <w:sz w:val="20"/>
          <w:szCs w:val="20"/>
        </w:rPr>
        <w:t xml:space="preserve">, then </w:t>
      </w:r>
      <w:proofErr w:type="spellStart"/>
      <w:r w:rsidR="00FC648F" w:rsidRPr="006B17F4">
        <w:rPr>
          <w:sz w:val="20"/>
          <w:szCs w:val="20"/>
        </w:rPr>
        <w:t>Phacoemulsification</w:t>
      </w:r>
      <w:proofErr w:type="spellEnd"/>
      <w:r w:rsidR="00FC648F" w:rsidRPr="006B17F4">
        <w:rPr>
          <w:sz w:val="20"/>
          <w:szCs w:val="20"/>
        </w:rPr>
        <w:t xml:space="preserve"> of the nucleus by standard technique (Stop and Shop and Carousel </w:t>
      </w:r>
      <w:proofErr w:type="spellStart"/>
      <w:r w:rsidR="00FC648F" w:rsidRPr="006B17F4">
        <w:rPr>
          <w:sz w:val="20"/>
          <w:szCs w:val="20"/>
        </w:rPr>
        <w:t>techique</w:t>
      </w:r>
      <w:proofErr w:type="spellEnd"/>
      <w:r w:rsidR="00FC648F" w:rsidRPr="006B17F4">
        <w:rPr>
          <w:sz w:val="20"/>
          <w:szCs w:val="20"/>
        </w:rPr>
        <w:t>), irrigation aspiration, and implantation of intraocular lens in the bag</w:t>
      </w:r>
      <w:r w:rsidR="00814B98" w:rsidRPr="006B17F4">
        <w:rPr>
          <w:sz w:val="20"/>
          <w:szCs w:val="20"/>
        </w:rPr>
        <w:t>,</w:t>
      </w:r>
      <w:r w:rsidR="00FC648F" w:rsidRPr="006B17F4">
        <w:rPr>
          <w:sz w:val="20"/>
          <w:szCs w:val="20"/>
        </w:rPr>
        <w:t xml:space="preserve"> finally hydration of the wound and the 2 </w:t>
      </w:r>
      <w:proofErr w:type="spellStart"/>
      <w:r w:rsidR="00FC648F" w:rsidRPr="006B17F4">
        <w:rPr>
          <w:sz w:val="20"/>
          <w:szCs w:val="20"/>
        </w:rPr>
        <w:t>paracentesis</w:t>
      </w:r>
      <w:proofErr w:type="spellEnd"/>
      <w:r w:rsidR="00FC648F" w:rsidRPr="006B17F4">
        <w:rPr>
          <w:sz w:val="20"/>
          <w:szCs w:val="20"/>
        </w:rPr>
        <w:t xml:space="preserve"> ports.</w:t>
      </w:r>
      <w:r w:rsidR="009C7943" w:rsidRPr="006B17F4">
        <w:rPr>
          <w:sz w:val="20"/>
          <w:szCs w:val="20"/>
        </w:rPr>
        <w:t xml:space="preserve"> </w:t>
      </w:r>
      <w:r w:rsidR="00FC648F" w:rsidRPr="006B17F4">
        <w:rPr>
          <w:sz w:val="20"/>
          <w:szCs w:val="20"/>
        </w:rPr>
        <w:t xml:space="preserve">Recording the </w:t>
      </w:r>
      <w:proofErr w:type="spellStart"/>
      <w:r w:rsidR="00FC648F" w:rsidRPr="006B17F4">
        <w:rPr>
          <w:sz w:val="20"/>
          <w:szCs w:val="20"/>
        </w:rPr>
        <w:t>phaco</w:t>
      </w:r>
      <w:proofErr w:type="spellEnd"/>
      <w:r w:rsidR="00FC648F" w:rsidRPr="006B17F4">
        <w:rPr>
          <w:sz w:val="20"/>
          <w:szCs w:val="20"/>
        </w:rPr>
        <w:t xml:space="preserve"> power and time to exclude cases with prolonged </w:t>
      </w:r>
      <w:proofErr w:type="spellStart"/>
      <w:r w:rsidR="00FC648F" w:rsidRPr="006B17F4">
        <w:rPr>
          <w:sz w:val="20"/>
          <w:szCs w:val="20"/>
        </w:rPr>
        <w:t>phaco</w:t>
      </w:r>
      <w:proofErr w:type="spellEnd"/>
      <w:r w:rsidR="00FC648F" w:rsidRPr="006B17F4">
        <w:rPr>
          <w:sz w:val="20"/>
          <w:szCs w:val="20"/>
        </w:rPr>
        <w:t xml:space="preserve"> power and time. Eyes that had any </w:t>
      </w:r>
      <w:proofErr w:type="spellStart"/>
      <w:r w:rsidR="00FC648F" w:rsidRPr="006B17F4">
        <w:rPr>
          <w:sz w:val="20"/>
          <w:szCs w:val="20"/>
        </w:rPr>
        <w:t>intraoperative</w:t>
      </w:r>
      <w:proofErr w:type="spellEnd"/>
      <w:r w:rsidR="00FC648F" w:rsidRPr="006B17F4">
        <w:rPr>
          <w:sz w:val="20"/>
          <w:szCs w:val="20"/>
        </w:rPr>
        <w:t xml:space="preserve"> or postoperative complications were excluded from the study. Then all patients will receive the same standard medications for 4 weeks, consisting of a combination of steroid (</w:t>
      </w:r>
      <w:proofErr w:type="spellStart"/>
      <w:r w:rsidR="00FC648F" w:rsidRPr="006B17F4">
        <w:rPr>
          <w:sz w:val="20"/>
          <w:szCs w:val="20"/>
        </w:rPr>
        <w:t>Prednisolone</w:t>
      </w:r>
      <w:proofErr w:type="spellEnd"/>
      <w:r w:rsidR="00FC648F" w:rsidRPr="006B17F4">
        <w:rPr>
          <w:sz w:val="20"/>
          <w:szCs w:val="20"/>
        </w:rPr>
        <w:t xml:space="preserve"> acetate 1%) and antibiotic (</w:t>
      </w:r>
      <w:proofErr w:type="spellStart"/>
      <w:r w:rsidR="00FC648F" w:rsidRPr="006B17F4">
        <w:rPr>
          <w:sz w:val="20"/>
          <w:szCs w:val="20"/>
        </w:rPr>
        <w:t>Moxifloxacin</w:t>
      </w:r>
      <w:proofErr w:type="spellEnd"/>
      <w:r w:rsidR="00FC648F" w:rsidRPr="006B17F4">
        <w:rPr>
          <w:sz w:val="20"/>
          <w:szCs w:val="20"/>
        </w:rPr>
        <w:t xml:space="preserve"> 0.5%) eye drops beginning with four times daily, which will be tapered by 1 drop daily each week. Postoperative examinations</w:t>
      </w:r>
      <w:r w:rsidR="00F52532" w:rsidRPr="006B17F4">
        <w:rPr>
          <w:sz w:val="20"/>
          <w:szCs w:val="20"/>
        </w:rPr>
        <w:t xml:space="preserve"> were done at one day, one weak, one month, three months and six months after surgery. At one day after surgery, s</w:t>
      </w:r>
      <w:r w:rsidR="00FC648F" w:rsidRPr="006B17F4">
        <w:rPr>
          <w:sz w:val="20"/>
          <w:szCs w:val="20"/>
        </w:rPr>
        <w:t xml:space="preserve">lit lamp </w:t>
      </w:r>
      <w:proofErr w:type="spellStart"/>
      <w:r w:rsidR="00FC648F" w:rsidRPr="006B17F4">
        <w:rPr>
          <w:sz w:val="20"/>
          <w:szCs w:val="20"/>
        </w:rPr>
        <w:t>biomicroscopy</w:t>
      </w:r>
      <w:proofErr w:type="spellEnd"/>
      <w:r w:rsidR="00F52532" w:rsidRPr="006B17F4">
        <w:rPr>
          <w:sz w:val="20"/>
          <w:szCs w:val="20"/>
        </w:rPr>
        <w:t xml:space="preserve"> was done for state of main incision, cornea for clarity, edema and ulcers, a</w:t>
      </w:r>
      <w:r w:rsidR="00FC648F" w:rsidRPr="006B17F4">
        <w:rPr>
          <w:sz w:val="20"/>
          <w:szCs w:val="20"/>
        </w:rPr>
        <w:t>nteri</w:t>
      </w:r>
      <w:r w:rsidR="00F52532" w:rsidRPr="006B17F4">
        <w:rPr>
          <w:sz w:val="20"/>
          <w:szCs w:val="20"/>
        </w:rPr>
        <w:t>or chamber (depth and contents), a</w:t>
      </w:r>
      <w:r w:rsidR="00FC648F" w:rsidRPr="006B17F4">
        <w:rPr>
          <w:sz w:val="20"/>
          <w:szCs w:val="20"/>
        </w:rPr>
        <w:t>ny iris abnormality</w:t>
      </w:r>
      <w:r w:rsidR="00F52532" w:rsidRPr="006B17F4">
        <w:rPr>
          <w:sz w:val="20"/>
          <w:szCs w:val="20"/>
        </w:rPr>
        <w:t>, and i</w:t>
      </w:r>
      <w:r w:rsidR="00FC648F" w:rsidRPr="006B17F4">
        <w:rPr>
          <w:sz w:val="20"/>
          <w:szCs w:val="20"/>
        </w:rPr>
        <w:t>ntraocular lens regarding its position and any deposits on its surface.</w:t>
      </w:r>
      <w:r w:rsidR="00F52532" w:rsidRPr="006B17F4">
        <w:rPr>
          <w:sz w:val="20"/>
          <w:szCs w:val="20"/>
        </w:rPr>
        <w:t xml:space="preserve"> Subsequent visits evaluated BCVA, slit lamp </w:t>
      </w:r>
      <w:proofErr w:type="spellStart"/>
      <w:r w:rsidR="00F52532" w:rsidRPr="006B17F4">
        <w:rPr>
          <w:sz w:val="20"/>
          <w:szCs w:val="20"/>
        </w:rPr>
        <w:t>biomicroscopy</w:t>
      </w:r>
      <w:proofErr w:type="spellEnd"/>
      <w:r w:rsidR="00F52532" w:rsidRPr="006B17F4">
        <w:rPr>
          <w:sz w:val="20"/>
          <w:szCs w:val="20"/>
        </w:rPr>
        <w:t xml:space="preserve"> as in the first day, IOP measurement and </w:t>
      </w:r>
      <w:proofErr w:type="spellStart"/>
      <w:r w:rsidR="00F52532" w:rsidRPr="006B17F4">
        <w:rPr>
          <w:sz w:val="20"/>
          <w:szCs w:val="20"/>
        </w:rPr>
        <w:t>fundus</w:t>
      </w:r>
      <w:proofErr w:type="spellEnd"/>
      <w:r w:rsidR="00F52532" w:rsidRPr="006B17F4">
        <w:rPr>
          <w:sz w:val="20"/>
          <w:szCs w:val="20"/>
        </w:rPr>
        <w:t xml:space="preserve"> examination.</w:t>
      </w:r>
    </w:p>
    <w:p w:rsidR="006B17F4" w:rsidRPr="006B17F4" w:rsidRDefault="006B17F4" w:rsidP="00814B98">
      <w:pPr>
        <w:widowControl w:val="0"/>
        <w:autoSpaceDE w:val="0"/>
        <w:autoSpaceDN w:val="0"/>
        <w:bidi w:val="0"/>
        <w:adjustRightInd w:val="0"/>
        <w:snapToGrid w:val="0"/>
        <w:jc w:val="both"/>
        <w:rPr>
          <w:rFonts w:eastAsiaTheme="minorEastAsia" w:hint="eastAsia"/>
          <w:b/>
          <w:bCs/>
          <w:sz w:val="20"/>
          <w:szCs w:val="20"/>
          <w:lang w:eastAsia="zh-CN"/>
        </w:rPr>
      </w:pPr>
    </w:p>
    <w:p w:rsidR="006B17F4" w:rsidRPr="006B17F4" w:rsidRDefault="00FC648F" w:rsidP="006B17F4">
      <w:pPr>
        <w:widowControl w:val="0"/>
        <w:autoSpaceDE w:val="0"/>
        <w:autoSpaceDN w:val="0"/>
        <w:bidi w:val="0"/>
        <w:adjustRightInd w:val="0"/>
        <w:snapToGrid w:val="0"/>
        <w:jc w:val="both"/>
        <w:rPr>
          <w:rFonts w:eastAsiaTheme="minorEastAsia" w:hint="eastAsia"/>
          <w:sz w:val="20"/>
          <w:szCs w:val="20"/>
          <w:lang w:eastAsia="zh-CN" w:bidi="ar-AE"/>
        </w:rPr>
      </w:pPr>
      <w:r w:rsidRPr="006B17F4">
        <w:rPr>
          <w:b/>
          <w:bCs/>
          <w:sz w:val="20"/>
          <w:szCs w:val="20"/>
        </w:rPr>
        <w:t>Statistical analysis:</w:t>
      </w:r>
      <w:r w:rsidR="009C7943" w:rsidRPr="006B17F4">
        <w:rPr>
          <w:sz w:val="20"/>
          <w:szCs w:val="20"/>
          <w:lang w:eastAsia="ar-SA" w:bidi="ar-AE"/>
        </w:rPr>
        <w:t xml:space="preserve"> </w:t>
      </w:r>
    </w:p>
    <w:p w:rsidR="00FC648F" w:rsidRPr="006B17F4" w:rsidRDefault="00FC648F" w:rsidP="006B17F4">
      <w:pPr>
        <w:widowControl w:val="0"/>
        <w:autoSpaceDE w:val="0"/>
        <w:autoSpaceDN w:val="0"/>
        <w:bidi w:val="0"/>
        <w:adjustRightInd w:val="0"/>
        <w:snapToGrid w:val="0"/>
        <w:ind w:firstLine="720"/>
        <w:jc w:val="both"/>
        <w:rPr>
          <w:sz w:val="20"/>
          <w:szCs w:val="20"/>
          <w:lang w:eastAsia="ar-SA"/>
        </w:rPr>
      </w:pPr>
      <w:r w:rsidRPr="006B17F4">
        <w:rPr>
          <w:sz w:val="20"/>
          <w:szCs w:val="20"/>
          <w:lang w:eastAsia="ar-SA" w:bidi="ar-AE"/>
        </w:rPr>
        <w:t>Data were analyzed using Statistical Program for Social Science (</w:t>
      </w:r>
      <w:smartTag w:uri="urn:schemas-microsoft-com:office:smarttags" w:element="stockticker">
        <w:r w:rsidRPr="006B17F4">
          <w:rPr>
            <w:sz w:val="20"/>
            <w:szCs w:val="20"/>
            <w:lang w:eastAsia="ar-SA" w:bidi="ar-AE"/>
          </w:rPr>
          <w:t>SPSS</w:t>
        </w:r>
      </w:smartTag>
      <w:r w:rsidRPr="006B17F4">
        <w:rPr>
          <w:sz w:val="20"/>
          <w:szCs w:val="20"/>
          <w:lang w:eastAsia="ar-SA" w:bidi="ar-AE"/>
        </w:rPr>
        <w:t>) version 18.0. Quantitative data were expressed as mean</w:t>
      </w:r>
      <w:r w:rsidR="009C7943" w:rsidRPr="006B17F4">
        <w:rPr>
          <w:sz w:val="20"/>
          <w:szCs w:val="20"/>
          <w:lang w:eastAsia="ar-SA" w:bidi="ar-AE"/>
        </w:rPr>
        <w:t xml:space="preserve"> </w:t>
      </w:r>
      <w:r w:rsidRPr="006B17F4">
        <w:rPr>
          <w:sz w:val="20"/>
          <w:szCs w:val="20"/>
          <w:lang w:eastAsia="ar-SA" w:bidi="ar-AE"/>
        </w:rPr>
        <w:t>±</w:t>
      </w:r>
      <w:r w:rsidR="009C7943" w:rsidRPr="006B17F4">
        <w:rPr>
          <w:sz w:val="20"/>
          <w:szCs w:val="20"/>
          <w:lang w:eastAsia="ar-SA" w:bidi="ar-AE"/>
        </w:rPr>
        <w:t xml:space="preserve"> </w:t>
      </w:r>
      <w:r w:rsidRPr="006B17F4">
        <w:rPr>
          <w:sz w:val="20"/>
          <w:szCs w:val="20"/>
          <w:lang w:eastAsia="ar-SA" w:bidi="ar-AE"/>
        </w:rPr>
        <w:t>standard deviation (SD). Qualitative data were expressed as frequency and percentage</w:t>
      </w:r>
      <w:r w:rsidR="00814B98" w:rsidRPr="006B17F4">
        <w:rPr>
          <w:sz w:val="20"/>
          <w:szCs w:val="20"/>
          <w:lang w:eastAsia="ar-SA" w:bidi="ar-AE"/>
        </w:rPr>
        <w:t>. T</w:t>
      </w:r>
      <w:r w:rsidRPr="006B17F4">
        <w:rPr>
          <w:sz w:val="20"/>
          <w:szCs w:val="20"/>
          <w:lang w:eastAsia="ar-SA" w:bidi="ar-AE"/>
        </w:rPr>
        <w:t xml:space="preserve">he following tests were done: Independent-samples t-test of significance was used when comparing </w:t>
      </w:r>
      <w:r w:rsidRPr="006B17F4">
        <w:rPr>
          <w:sz w:val="20"/>
          <w:szCs w:val="20"/>
        </w:rPr>
        <w:t>between</w:t>
      </w:r>
      <w:r w:rsidRPr="006B17F4">
        <w:rPr>
          <w:sz w:val="20"/>
          <w:szCs w:val="20"/>
          <w:lang w:eastAsia="ar-SA" w:bidi="ar-AE"/>
        </w:rPr>
        <w:t xml:space="preserve"> two means</w:t>
      </w:r>
      <w:r w:rsidR="00814B98" w:rsidRPr="006B17F4">
        <w:rPr>
          <w:sz w:val="20"/>
          <w:szCs w:val="20"/>
          <w:lang w:eastAsia="ar-SA" w:bidi="ar-AE"/>
        </w:rPr>
        <w:t>. C</w:t>
      </w:r>
      <w:r w:rsidRPr="006B17F4">
        <w:rPr>
          <w:sz w:val="20"/>
          <w:szCs w:val="20"/>
          <w:lang w:eastAsia="ar-SA" w:bidi="ar-AE"/>
        </w:rPr>
        <w:t>hi-square (X</w:t>
      </w:r>
      <w:r w:rsidRPr="006B17F4">
        <w:rPr>
          <w:sz w:val="20"/>
          <w:szCs w:val="20"/>
          <w:vertAlign w:val="superscript"/>
          <w:lang w:eastAsia="ar-SA" w:bidi="ar-AE"/>
        </w:rPr>
        <w:t>2</w:t>
      </w:r>
      <w:r w:rsidRPr="006B17F4">
        <w:rPr>
          <w:sz w:val="20"/>
          <w:szCs w:val="20"/>
          <w:lang w:eastAsia="ar-SA" w:bidi="ar-AE"/>
        </w:rPr>
        <w:t>) test of significance was used in order to compare proportions between two qualitative parameters.</w:t>
      </w:r>
      <w:r w:rsidR="00814B98" w:rsidRPr="006B17F4">
        <w:rPr>
          <w:sz w:val="20"/>
          <w:szCs w:val="20"/>
          <w:lang w:eastAsia="ar-SA" w:bidi="ar-AE"/>
        </w:rPr>
        <w:t xml:space="preserve"> </w:t>
      </w:r>
      <w:r w:rsidR="00F52532" w:rsidRPr="006B17F4">
        <w:rPr>
          <w:sz w:val="20"/>
          <w:szCs w:val="20"/>
          <w:lang w:eastAsia="ar-SA" w:bidi="ar-AE"/>
        </w:rPr>
        <w:t xml:space="preserve">P- </w:t>
      </w:r>
      <w:r w:rsidRPr="006B17F4">
        <w:rPr>
          <w:sz w:val="20"/>
          <w:szCs w:val="20"/>
          <w:lang w:eastAsia="ar-SA"/>
        </w:rPr>
        <w:t>value</w:t>
      </w:r>
      <w:r w:rsidR="009C7943" w:rsidRPr="006B17F4">
        <w:rPr>
          <w:sz w:val="20"/>
          <w:szCs w:val="20"/>
          <w:lang w:eastAsia="ar-SA"/>
        </w:rPr>
        <w:t xml:space="preserve"> </w:t>
      </w:r>
      <w:r w:rsidRPr="006B17F4">
        <w:rPr>
          <w:sz w:val="20"/>
          <w:szCs w:val="20"/>
          <w:lang w:eastAsia="ar-SA"/>
        </w:rPr>
        <w:t>&lt;0.05 was considered significant.</w:t>
      </w:r>
    </w:p>
    <w:p w:rsidR="009C7943" w:rsidRPr="006B17F4" w:rsidRDefault="009C7943" w:rsidP="00814B98">
      <w:pPr>
        <w:bidi w:val="0"/>
        <w:snapToGrid w:val="0"/>
        <w:jc w:val="both"/>
        <w:rPr>
          <w:rFonts w:eastAsiaTheme="minorEastAsia" w:hint="eastAsia"/>
          <w:b/>
          <w:bCs/>
          <w:sz w:val="20"/>
          <w:szCs w:val="20"/>
          <w:lang w:eastAsia="zh-CN"/>
        </w:rPr>
      </w:pPr>
    </w:p>
    <w:p w:rsidR="006B17F4" w:rsidRPr="006B17F4" w:rsidRDefault="006B17F4" w:rsidP="006B17F4">
      <w:pPr>
        <w:bidi w:val="0"/>
        <w:snapToGrid w:val="0"/>
        <w:jc w:val="both"/>
        <w:rPr>
          <w:rFonts w:eastAsiaTheme="minorEastAsia" w:hint="eastAsia"/>
          <w:b/>
          <w:bCs/>
          <w:sz w:val="20"/>
          <w:szCs w:val="20"/>
          <w:lang w:eastAsia="zh-CN"/>
        </w:rPr>
      </w:pPr>
    </w:p>
    <w:p w:rsidR="00F52532" w:rsidRPr="006B17F4" w:rsidRDefault="009C7943" w:rsidP="00814B98">
      <w:pPr>
        <w:bidi w:val="0"/>
        <w:snapToGrid w:val="0"/>
        <w:jc w:val="both"/>
        <w:rPr>
          <w:b/>
          <w:bCs/>
          <w:sz w:val="20"/>
          <w:szCs w:val="20"/>
          <w:lang w:eastAsia="ar-SA"/>
        </w:rPr>
      </w:pPr>
      <w:r w:rsidRPr="006B17F4">
        <w:rPr>
          <w:b/>
          <w:bCs/>
          <w:sz w:val="20"/>
          <w:szCs w:val="20"/>
          <w:lang w:eastAsia="ar-SA"/>
        </w:rPr>
        <w:lastRenderedPageBreak/>
        <w:t xml:space="preserve">3. </w:t>
      </w:r>
      <w:r w:rsidR="00F52532" w:rsidRPr="006B17F4">
        <w:rPr>
          <w:b/>
          <w:bCs/>
          <w:sz w:val="20"/>
          <w:szCs w:val="20"/>
          <w:lang w:eastAsia="ar-SA"/>
        </w:rPr>
        <w:t>Results</w:t>
      </w:r>
    </w:p>
    <w:p w:rsidR="00846C9F" w:rsidRPr="006B17F4" w:rsidRDefault="00F52532" w:rsidP="00814B98">
      <w:pPr>
        <w:bidi w:val="0"/>
        <w:snapToGrid w:val="0"/>
        <w:ind w:firstLine="425"/>
        <w:jc w:val="both"/>
        <w:rPr>
          <w:sz w:val="20"/>
          <w:szCs w:val="20"/>
        </w:rPr>
      </w:pPr>
      <w:r w:rsidRPr="006B17F4">
        <w:rPr>
          <w:sz w:val="20"/>
          <w:szCs w:val="20"/>
        </w:rPr>
        <w:t>The present study included 55 patients; 28 in diabetic group and 27 in non-diabetic group and there was statistically non-significant difference between both groups as regard to sex distribution (males represented 32.1% and 40.7% of diabetic and non-diabetic groups respectively).</w:t>
      </w:r>
      <w:r w:rsidR="00814B98" w:rsidRPr="006B17F4">
        <w:rPr>
          <w:sz w:val="20"/>
          <w:szCs w:val="20"/>
        </w:rPr>
        <w:t xml:space="preserve"> </w:t>
      </w:r>
      <w:r w:rsidRPr="006B17F4">
        <w:rPr>
          <w:sz w:val="20"/>
          <w:szCs w:val="20"/>
        </w:rPr>
        <w:t xml:space="preserve">In </w:t>
      </w:r>
      <w:r w:rsidRPr="006B17F4">
        <w:rPr>
          <w:sz w:val="20"/>
          <w:szCs w:val="20"/>
          <w:lang w:eastAsia="ar-SA"/>
        </w:rPr>
        <w:t>addition</w:t>
      </w:r>
      <w:r w:rsidRPr="006B17F4">
        <w:rPr>
          <w:sz w:val="20"/>
          <w:szCs w:val="20"/>
        </w:rPr>
        <w:t>, age ranged from 45 to 67 years with a mean age of 57.58 years; and there was no significant difference between diabetic and non-diabetic patients (</w:t>
      </w:r>
      <w:r w:rsidRPr="006B17F4">
        <w:rPr>
          <w:sz w:val="20"/>
          <w:szCs w:val="20"/>
          <w:lang w:eastAsia="ar-SA"/>
        </w:rPr>
        <w:t>the</w:t>
      </w:r>
      <w:r w:rsidRPr="006B17F4">
        <w:rPr>
          <w:sz w:val="20"/>
          <w:szCs w:val="20"/>
        </w:rPr>
        <w:t xml:space="preserve"> mean age in diabetic group was 56.50 years and 58.70 years in non-diabetic group).</w:t>
      </w:r>
      <w:r w:rsidR="00814B98" w:rsidRPr="006B17F4">
        <w:rPr>
          <w:sz w:val="20"/>
          <w:szCs w:val="20"/>
        </w:rPr>
        <w:t xml:space="preserve"> </w:t>
      </w:r>
      <w:r w:rsidR="00E85570" w:rsidRPr="006B17F4">
        <w:rPr>
          <w:sz w:val="20"/>
          <w:szCs w:val="20"/>
        </w:rPr>
        <w:t>Ten patients had unilateral cataract and 45 patients had a bilateral cataract. Thus, 100 eyes were included in the study. In diabetic group there was 6 unilateral eyes and 22 bilateral eyes (50 eyes total); while in non-diabetic group, there was 4 unilateral eyes and 23 bilateral eyes (thus 50 eyes total); and there was statistically non-significant difference between both groups. In diabetic group, treatment was in the form of insulin therapy in 8 patients (28.6%) and non-insulin anti-diabetic drugs in 20 patients (71.4%) (</w:t>
      </w:r>
      <w:r w:rsidR="00F07F14" w:rsidRPr="006B17F4">
        <w:rPr>
          <w:sz w:val="20"/>
          <w:szCs w:val="20"/>
        </w:rPr>
        <w:t>Table</w:t>
      </w:r>
      <w:r w:rsidR="00E85570" w:rsidRPr="006B17F4">
        <w:rPr>
          <w:sz w:val="20"/>
          <w:szCs w:val="20"/>
        </w:rPr>
        <w:t xml:space="preserve"> 1)</w:t>
      </w:r>
      <w:r w:rsidR="00814B98" w:rsidRPr="006B17F4">
        <w:rPr>
          <w:sz w:val="20"/>
          <w:szCs w:val="20"/>
        </w:rPr>
        <w:t>. P</w:t>
      </w:r>
      <w:r w:rsidR="00F07F14" w:rsidRPr="006B17F4">
        <w:rPr>
          <w:sz w:val="20"/>
          <w:szCs w:val="20"/>
        </w:rPr>
        <w:t xml:space="preserve">reoperative IOP ranged from 15 to 20 with a mean of 17.84; and there was no significant </w:t>
      </w:r>
      <w:r w:rsidR="00F07F14" w:rsidRPr="006B17F4">
        <w:rPr>
          <w:sz w:val="20"/>
          <w:szCs w:val="20"/>
          <w:lang w:eastAsia="ar-SA"/>
        </w:rPr>
        <w:t>difference</w:t>
      </w:r>
      <w:r w:rsidR="00F07F14" w:rsidRPr="006B17F4">
        <w:rPr>
          <w:sz w:val="20"/>
          <w:szCs w:val="20"/>
        </w:rPr>
        <w:t xml:space="preserve"> between study and control groups. In addition, axial length ranged from 19.34 to 25.11 mm with a mean of 22.63 and there was no significant difference between both groups (22.55±1.16 </w:t>
      </w:r>
      <w:proofErr w:type="spellStart"/>
      <w:r w:rsidR="00F07F14" w:rsidRPr="006B17F4">
        <w:rPr>
          <w:sz w:val="20"/>
          <w:szCs w:val="20"/>
        </w:rPr>
        <w:t>vs</w:t>
      </w:r>
      <w:proofErr w:type="spellEnd"/>
      <w:r w:rsidR="00F07F14" w:rsidRPr="006B17F4">
        <w:rPr>
          <w:sz w:val="20"/>
          <w:szCs w:val="20"/>
        </w:rPr>
        <w:t xml:space="preserve"> 22.71±1.22 respectively).</w:t>
      </w:r>
      <w:r w:rsidR="00814B98" w:rsidRPr="006B17F4">
        <w:rPr>
          <w:sz w:val="20"/>
          <w:szCs w:val="20"/>
        </w:rPr>
        <w:t xml:space="preserve"> </w:t>
      </w:r>
      <w:r w:rsidR="00846C9F" w:rsidRPr="006B17F4">
        <w:rPr>
          <w:sz w:val="20"/>
          <w:szCs w:val="20"/>
        </w:rPr>
        <w:t xml:space="preserve">Preoperative best corrected visual acuity ranged from 0.6 to 1.1 with mean of 0.91 and standard deviation of 0.15; and there was significant less in study group when compared to control group (0.95±0.12 </w:t>
      </w:r>
      <w:proofErr w:type="spellStart"/>
      <w:r w:rsidR="00846C9F" w:rsidRPr="006B17F4">
        <w:rPr>
          <w:sz w:val="20"/>
          <w:szCs w:val="20"/>
        </w:rPr>
        <w:t>vs</w:t>
      </w:r>
      <w:proofErr w:type="spellEnd"/>
      <w:r w:rsidR="00846C9F" w:rsidRPr="006B17F4">
        <w:rPr>
          <w:sz w:val="20"/>
          <w:szCs w:val="20"/>
        </w:rPr>
        <w:t xml:space="preserve"> 0.86±0.17 respectively). Preoperative CSFT ranged from 199 to 237; with a mean of 221.61± 9.44; and there was no significant difference between study and control groups (222.12±9.80 </w:t>
      </w:r>
      <w:proofErr w:type="spellStart"/>
      <w:r w:rsidR="00846C9F" w:rsidRPr="006B17F4">
        <w:rPr>
          <w:sz w:val="20"/>
          <w:szCs w:val="20"/>
        </w:rPr>
        <w:t>vs</w:t>
      </w:r>
      <w:proofErr w:type="spellEnd"/>
      <w:r w:rsidR="00846C9F" w:rsidRPr="006B17F4">
        <w:rPr>
          <w:sz w:val="20"/>
          <w:szCs w:val="20"/>
        </w:rPr>
        <w:t xml:space="preserve"> 221.10±9.12 respectively). In addition, preoperative inner circle ranged from 251 to 290 with a mean of 263.47±7.48; and there was no significant difference between diabetic and non-diabetic groups (264.42±8.02 </w:t>
      </w:r>
      <w:proofErr w:type="spellStart"/>
      <w:r w:rsidR="00846C9F" w:rsidRPr="006B17F4">
        <w:rPr>
          <w:sz w:val="20"/>
          <w:szCs w:val="20"/>
        </w:rPr>
        <w:t>vs</w:t>
      </w:r>
      <w:proofErr w:type="spellEnd"/>
      <w:r w:rsidR="00846C9F" w:rsidRPr="006B17F4">
        <w:rPr>
          <w:sz w:val="20"/>
          <w:szCs w:val="20"/>
        </w:rPr>
        <w:t xml:space="preserve"> 262.52±6.85 respectively). Finally, preoperative outer circle ranged from 219 to 260; with a mean of 233.87±6.12, and there was no significant difference between both groups. Preoperative TMV ranged from 6.60 to 7.40 with a mean of 6.78±0.15; and there was no significant difference between study and control groups (6.81±0.16 </w:t>
      </w:r>
      <w:proofErr w:type="spellStart"/>
      <w:r w:rsidR="00846C9F" w:rsidRPr="006B17F4">
        <w:rPr>
          <w:sz w:val="20"/>
          <w:szCs w:val="20"/>
        </w:rPr>
        <w:t>vs</w:t>
      </w:r>
      <w:proofErr w:type="spellEnd"/>
      <w:r w:rsidR="00846C9F" w:rsidRPr="006B17F4">
        <w:rPr>
          <w:sz w:val="20"/>
          <w:szCs w:val="20"/>
        </w:rPr>
        <w:t xml:space="preserve"> 6.76±0.13 respectively) (Table 2).</w:t>
      </w:r>
    </w:p>
    <w:p w:rsidR="00A331FA" w:rsidRPr="006B17F4" w:rsidRDefault="00A331FA" w:rsidP="00814B98">
      <w:pPr>
        <w:bidi w:val="0"/>
        <w:snapToGrid w:val="0"/>
        <w:ind w:firstLine="425"/>
        <w:jc w:val="both"/>
        <w:rPr>
          <w:sz w:val="20"/>
          <w:szCs w:val="20"/>
        </w:rPr>
      </w:pPr>
      <w:r w:rsidRPr="006B17F4">
        <w:rPr>
          <w:sz w:val="20"/>
          <w:szCs w:val="20"/>
        </w:rPr>
        <w:t>As regard to BCVA, there was significant less preoperatively in diabetic group when compared to non-diabetic group. On the other hand, there was no significant difference between both groups postoperatively at 1 week, 1, 3, and 6 months. Furthermore, there was significant improvement postoperatively when compared to corresponding preoperative values in both groups.</w:t>
      </w:r>
      <w:r w:rsidR="00814B98" w:rsidRPr="006B17F4">
        <w:rPr>
          <w:sz w:val="20"/>
          <w:szCs w:val="20"/>
        </w:rPr>
        <w:t xml:space="preserve"> </w:t>
      </w:r>
      <w:r w:rsidRPr="006B17F4">
        <w:rPr>
          <w:sz w:val="20"/>
          <w:szCs w:val="20"/>
        </w:rPr>
        <w:t xml:space="preserve">Postoperative </w:t>
      </w:r>
      <w:r w:rsidRPr="006B17F4">
        <w:rPr>
          <w:sz w:val="20"/>
          <w:szCs w:val="20"/>
        </w:rPr>
        <w:lastRenderedPageBreak/>
        <w:t>PCO revealed that, there were no reported cases at 1 weeks and 1 month postoperatively; but at 3 months, 3 patients (6.0%) in diabetic group and 2 patients (4.0%) in non-diabetic group had PCO; and 6 months postoperatively, 7 patients (14.0%) in diabetic group and 2 patients (4.0%) in non-diabetic group had faint PCO; and there was no significant difference between study and control groups at any time (</w:t>
      </w:r>
      <w:r w:rsidR="00441B26" w:rsidRPr="006B17F4">
        <w:rPr>
          <w:sz w:val="20"/>
          <w:szCs w:val="20"/>
        </w:rPr>
        <w:t xml:space="preserve">Table </w:t>
      </w:r>
      <w:r w:rsidRPr="006B17F4">
        <w:rPr>
          <w:sz w:val="20"/>
          <w:szCs w:val="20"/>
        </w:rPr>
        <w:t>3).</w:t>
      </w:r>
    </w:p>
    <w:p w:rsidR="00A331FA" w:rsidRPr="006B17F4" w:rsidRDefault="00A331FA" w:rsidP="00814B98">
      <w:pPr>
        <w:bidi w:val="0"/>
        <w:snapToGrid w:val="0"/>
        <w:ind w:firstLine="425"/>
        <w:jc w:val="both"/>
        <w:rPr>
          <w:sz w:val="20"/>
          <w:szCs w:val="20"/>
        </w:rPr>
      </w:pPr>
      <w:r w:rsidRPr="006B17F4">
        <w:rPr>
          <w:sz w:val="20"/>
          <w:szCs w:val="20"/>
        </w:rPr>
        <w:t>As regard to postoperative IOP, there was no significant difference between diabetic and non-diabetic groups at 1 week, 1, 3 and 6 months. In addition, there was no significant difference at 1, 3 and 6 months when compared to corresponding values at 1 week.</w:t>
      </w:r>
      <w:r w:rsidR="00814B98" w:rsidRPr="006B17F4">
        <w:rPr>
          <w:sz w:val="20"/>
          <w:szCs w:val="20"/>
        </w:rPr>
        <w:t xml:space="preserve"> </w:t>
      </w:r>
      <w:r w:rsidR="006451BC" w:rsidRPr="006B17F4">
        <w:rPr>
          <w:sz w:val="20"/>
          <w:szCs w:val="20"/>
        </w:rPr>
        <w:t>P</w:t>
      </w:r>
      <w:r w:rsidRPr="006B17F4">
        <w:rPr>
          <w:sz w:val="20"/>
          <w:szCs w:val="20"/>
        </w:rPr>
        <w:t xml:space="preserve">ostoperative </w:t>
      </w:r>
      <w:proofErr w:type="spellStart"/>
      <w:r w:rsidRPr="006B17F4">
        <w:rPr>
          <w:sz w:val="20"/>
          <w:szCs w:val="20"/>
        </w:rPr>
        <w:t>fundus</w:t>
      </w:r>
      <w:proofErr w:type="spellEnd"/>
      <w:r w:rsidRPr="006B17F4">
        <w:rPr>
          <w:sz w:val="20"/>
          <w:szCs w:val="20"/>
        </w:rPr>
        <w:t xml:space="preserve"> examination</w:t>
      </w:r>
      <w:r w:rsidR="006451BC" w:rsidRPr="006B17F4">
        <w:rPr>
          <w:sz w:val="20"/>
          <w:szCs w:val="20"/>
        </w:rPr>
        <w:t xml:space="preserve"> revealed that</w:t>
      </w:r>
      <w:r w:rsidRPr="006B17F4">
        <w:rPr>
          <w:sz w:val="20"/>
          <w:szCs w:val="20"/>
        </w:rPr>
        <w:t xml:space="preserve">, there was no abnormality detected at 1 week postoperative; while at 1 month, 5 eyes (10.0%) in diabetic group and 3 eyes (6.0%) in non-diabetic group showed lost </w:t>
      </w:r>
      <w:proofErr w:type="spellStart"/>
      <w:r w:rsidRPr="006B17F4">
        <w:rPr>
          <w:sz w:val="20"/>
          <w:szCs w:val="20"/>
        </w:rPr>
        <w:t>foveal</w:t>
      </w:r>
      <w:proofErr w:type="spellEnd"/>
      <w:r w:rsidRPr="006B17F4">
        <w:rPr>
          <w:sz w:val="20"/>
          <w:szCs w:val="20"/>
        </w:rPr>
        <w:t xml:space="preserve"> depression and macular thickening. At 3 months, 4 eyes in diabetic group and 3 eyes in non-diabetic group were properly managed by topical non-steroidal anti-inflammatory drugs, topical steroids and systemic carbonic </w:t>
      </w:r>
      <w:proofErr w:type="spellStart"/>
      <w:r w:rsidRPr="006B17F4">
        <w:rPr>
          <w:sz w:val="20"/>
          <w:szCs w:val="20"/>
        </w:rPr>
        <w:t>anhydrase</w:t>
      </w:r>
      <w:proofErr w:type="spellEnd"/>
      <w:r w:rsidRPr="006B17F4">
        <w:rPr>
          <w:sz w:val="20"/>
          <w:szCs w:val="20"/>
        </w:rPr>
        <w:t xml:space="preserve"> inhibitors; while at the same time 1 eye in diabetic group was properly managed by </w:t>
      </w:r>
      <w:proofErr w:type="spellStart"/>
      <w:r w:rsidRPr="006B17F4">
        <w:rPr>
          <w:sz w:val="20"/>
          <w:szCs w:val="20"/>
        </w:rPr>
        <w:t>intravitreal</w:t>
      </w:r>
      <w:proofErr w:type="spellEnd"/>
      <w:r w:rsidRPr="006B17F4">
        <w:rPr>
          <w:sz w:val="20"/>
          <w:szCs w:val="20"/>
        </w:rPr>
        <w:t xml:space="preserve"> injection of steroid. </w:t>
      </w:r>
      <w:r w:rsidR="006451BC" w:rsidRPr="006B17F4">
        <w:rPr>
          <w:sz w:val="20"/>
          <w:szCs w:val="20"/>
        </w:rPr>
        <w:t>P</w:t>
      </w:r>
      <w:r w:rsidRPr="006B17F4">
        <w:rPr>
          <w:sz w:val="20"/>
          <w:szCs w:val="20"/>
        </w:rPr>
        <w:t>ostoperative FFA at 1 month, angiographic ME was reported in 4 eyes in diabetic group and 3 eyes in non-diabetic group, while clinical significant</w:t>
      </w:r>
      <w:r w:rsidR="00814B98" w:rsidRPr="006B17F4">
        <w:rPr>
          <w:sz w:val="20"/>
          <w:szCs w:val="20"/>
        </w:rPr>
        <w:t xml:space="preserve"> </w:t>
      </w:r>
      <w:r w:rsidRPr="006B17F4">
        <w:rPr>
          <w:sz w:val="20"/>
          <w:szCs w:val="20"/>
        </w:rPr>
        <w:t>ME was reported in 1 eye in diabetic group only. At 3 months, 5 eyes in diabetic group and 3 eyes in non-diabetic group were properly managed at time of diagnosis (at 1 month); while at 6 months, 5 eyes in diabetic group and 3 eyes in non-diabetic group were properly managed. There was no significant difference between both groups at any time.</w:t>
      </w:r>
    </w:p>
    <w:p w:rsidR="00A331FA" w:rsidRPr="006B17F4" w:rsidRDefault="00A331FA" w:rsidP="00814B98">
      <w:pPr>
        <w:bidi w:val="0"/>
        <w:snapToGrid w:val="0"/>
        <w:ind w:firstLine="425"/>
        <w:jc w:val="both"/>
        <w:rPr>
          <w:sz w:val="20"/>
          <w:szCs w:val="20"/>
        </w:rPr>
      </w:pPr>
      <w:r w:rsidRPr="006B17F4">
        <w:rPr>
          <w:sz w:val="20"/>
          <w:szCs w:val="20"/>
        </w:rPr>
        <w:t xml:space="preserve">As regard CSFT (Central Subfield </w:t>
      </w:r>
      <w:proofErr w:type="spellStart"/>
      <w:r w:rsidRPr="006B17F4">
        <w:rPr>
          <w:sz w:val="20"/>
          <w:szCs w:val="20"/>
        </w:rPr>
        <w:t>Foveal</w:t>
      </w:r>
      <w:proofErr w:type="spellEnd"/>
      <w:r w:rsidRPr="006B17F4">
        <w:rPr>
          <w:sz w:val="20"/>
          <w:szCs w:val="20"/>
        </w:rPr>
        <w:t xml:space="preserve"> Thickness), there was no significant difference between diabetic and non-diabetic groups preoperatively; but at 1, 3 or 6 months postoperatively, there was significant increase of CSFT in diabetic group when compared to non-diabetic group. In addition, there was significant increase of CSFT at 1, 3 and 6 months PO when compared to corresponding preoperative values in each group separately</w:t>
      </w:r>
      <w:r w:rsidR="006451BC" w:rsidRPr="006B17F4">
        <w:rPr>
          <w:sz w:val="20"/>
          <w:szCs w:val="20"/>
        </w:rPr>
        <w:t xml:space="preserve">. Inner circle examination revealed that, there was significant increase in diabetic when compared to non-diabetic groups at 1, 3 and 6 months postoperatively. In addition, there was significant increase of inner circle at 1, 3 and 6 months postoperatively when compared to corresponding preoperative values in each group (Table </w:t>
      </w:r>
      <w:r w:rsidRPr="006B17F4">
        <w:rPr>
          <w:sz w:val="20"/>
          <w:szCs w:val="20"/>
        </w:rPr>
        <w:t>4).</w:t>
      </w:r>
    </w:p>
    <w:p w:rsidR="006451BC" w:rsidRPr="006B17F4" w:rsidRDefault="006451BC" w:rsidP="00814B98">
      <w:pPr>
        <w:bidi w:val="0"/>
        <w:snapToGrid w:val="0"/>
        <w:ind w:firstLine="425"/>
        <w:jc w:val="both"/>
        <w:rPr>
          <w:sz w:val="20"/>
          <w:szCs w:val="20"/>
        </w:rPr>
      </w:pPr>
      <w:r w:rsidRPr="006B17F4">
        <w:rPr>
          <w:sz w:val="20"/>
          <w:szCs w:val="20"/>
        </w:rPr>
        <w:t xml:space="preserve">As regard to outer circle, there was no –significant difference between diabetic and non-diabetic groups preoperatively and at 1, 3 and 6 months postoperatively. On the other hand, there was significant increase of outer circle at 1, 3 and 6 </w:t>
      </w:r>
      <w:r w:rsidRPr="006B17F4">
        <w:rPr>
          <w:sz w:val="20"/>
          <w:szCs w:val="20"/>
        </w:rPr>
        <w:lastRenderedPageBreak/>
        <w:t xml:space="preserve">months postoperatively, when compared to corresponding preoperative values in each group. </w:t>
      </w:r>
      <w:proofErr w:type="spellStart"/>
      <w:r w:rsidRPr="006B17F4">
        <w:rPr>
          <w:sz w:val="20"/>
          <w:szCs w:val="20"/>
        </w:rPr>
        <w:t>Fundus</w:t>
      </w:r>
      <w:proofErr w:type="spellEnd"/>
      <w:r w:rsidRPr="006B17F4">
        <w:rPr>
          <w:sz w:val="20"/>
          <w:szCs w:val="20"/>
        </w:rPr>
        <w:t xml:space="preserve"> TMV revealed that, there was no significant difference between both groups preoperatively. However, there was significant increase of </w:t>
      </w:r>
      <w:proofErr w:type="spellStart"/>
      <w:r w:rsidRPr="006B17F4">
        <w:rPr>
          <w:sz w:val="20"/>
          <w:szCs w:val="20"/>
        </w:rPr>
        <w:t>fundus</w:t>
      </w:r>
      <w:proofErr w:type="spellEnd"/>
      <w:r w:rsidRPr="006B17F4">
        <w:rPr>
          <w:sz w:val="20"/>
          <w:szCs w:val="20"/>
        </w:rPr>
        <w:t xml:space="preserve"> TMV in diabetic group when compared to non-</w:t>
      </w:r>
      <w:r w:rsidRPr="006B17F4">
        <w:rPr>
          <w:sz w:val="20"/>
          <w:szCs w:val="20"/>
        </w:rPr>
        <w:lastRenderedPageBreak/>
        <w:t xml:space="preserve">diabetic group at 1, 3 and 6 months postoperatively. In addition, there was significant increase of </w:t>
      </w:r>
      <w:proofErr w:type="spellStart"/>
      <w:r w:rsidRPr="006B17F4">
        <w:rPr>
          <w:sz w:val="20"/>
          <w:szCs w:val="20"/>
        </w:rPr>
        <w:t>fundus</w:t>
      </w:r>
      <w:proofErr w:type="spellEnd"/>
      <w:r w:rsidRPr="006B17F4">
        <w:rPr>
          <w:sz w:val="20"/>
          <w:szCs w:val="20"/>
        </w:rPr>
        <w:t xml:space="preserve"> TMV postoperatively at 1, 3 and 6 months when compared to corresponding preoperative values in each group I (Table 5).</w:t>
      </w:r>
    </w:p>
    <w:p w:rsidR="00814B98" w:rsidRPr="006B17F4" w:rsidRDefault="00814B98" w:rsidP="00814B98">
      <w:pPr>
        <w:bidi w:val="0"/>
        <w:snapToGrid w:val="0"/>
        <w:ind w:firstLine="425"/>
        <w:jc w:val="both"/>
        <w:rPr>
          <w:sz w:val="20"/>
          <w:szCs w:val="20"/>
        </w:rPr>
        <w:sectPr w:rsidR="00814B98" w:rsidRPr="006B17F4" w:rsidSect="00814B98">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9C7943" w:rsidRPr="006B17F4" w:rsidRDefault="009C7943" w:rsidP="00814B98">
      <w:pPr>
        <w:bidi w:val="0"/>
        <w:snapToGrid w:val="0"/>
        <w:jc w:val="center"/>
        <w:rPr>
          <w:rFonts w:eastAsiaTheme="minorEastAsia"/>
          <w:b/>
          <w:bCs/>
          <w:sz w:val="20"/>
          <w:szCs w:val="20"/>
          <w:lang w:eastAsia="zh-CN"/>
        </w:rPr>
      </w:pPr>
    </w:p>
    <w:p w:rsidR="00814B98" w:rsidRPr="006B17F4" w:rsidRDefault="00814B98" w:rsidP="00814B98">
      <w:pPr>
        <w:bidi w:val="0"/>
        <w:snapToGrid w:val="0"/>
        <w:jc w:val="center"/>
        <w:rPr>
          <w:rFonts w:eastAsiaTheme="minorEastAsia"/>
          <w:b/>
          <w:bCs/>
          <w:sz w:val="20"/>
          <w:szCs w:val="20"/>
          <w:lang w:eastAsia="zh-CN"/>
        </w:rPr>
      </w:pPr>
    </w:p>
    <w:p w:rsidR="00E85570" w:rsidRPr="006B17F4" w:rsidRDefault="00E85570" w:rsidP="00814B98">
      <w:pPr>
        <w:bidi w:val="0"/>
        <w:snapToGrid w:val="0"/>
        <w:jc w:val="center"/>
        <w:rPr>
          <w:b/>
          <w:bCs/>
          <w:sz w:val="20"/>
          <w:szCs w:val="20"/>
        </w:rPr>
      </w:pPr>
      <w:r w:rsidRPr="006B17F4">
        <w:rPr>
          <w:b/>
          <w:bCs/>
          <w:sz w:val="20"/>
          <w:szCs w:val="20"/>
        </w:rPr>
        <w:t>Table (1): Patients characteristics in d</w:t>
      </w:r>
      <w:r w:rsidR="009C7943" w:rsidRPr="006B17F4">
        <w:rPr>
          <w:b/>
          <w:bCs/>
          <w:sz w:val="20"/>
          <w:szCs w:val="20"/>
        </w:rPr>
        <w:t>iabetic and non-diabetic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448"/>
        <w:gridCol w:w="2025"/>
        <w:gridCol w:w="2469"/>
        <w:gridCol w:w="887"/>
        <w:gridCol w:w="1276"/>
      </w:tblGrid>
      <w:tr w:rsidR="00F07F14" w:rsidRPr="006B17F4" w:rsidTr="00814B98">
        <w:trPr>
          <w:jc w:val="center"/>
        </w:trPr>
        <w:tc>
          <w:tcPr>
            <w:tcW w:w="1525" w:type="pct"/>
            <w:gridSpan w:val="2"/>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Variable</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Diabetic (n=28)</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Non diabetic (n=27)</w:t>
            </w:r>
          </w:p>
        </w:tc>
        <w:tc>
          <w:tcPr>
            <w:tcW w:w="46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Test</w:t>
            </w:r>
          </w:p>
        </w:tc>
        <w:tc>
          <w:tcPr>
            <w:tcW w:w="6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P value</w:t>
            </w:r>
          </w:p>
        </w:tc>
      </w:tr>
      <w:tr w:rsidR="00F07F14" w:rsidRPr="006B17F4" w:rsidTr="00814B98">
        <w:trPr>
          <w:jc w:val="center"/>
        </w:trPr>
        <w:tc>
          <w:tcPr>
            <w:tcW w:w="769"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Sex</w:t>
            </w:r>
          </w:p>
        </w:tc>
        <w:tc>
          <w:tcPr>
            <w:tcW w:w="75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Male</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9(32.1%)</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11(40.7%)</w:t>
            </w:r>
          </w:p>
        </w:tc>
        <w:tc>
          <w:tcPr>
            <w:tcW w:w="463"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0.43</w:t>
            </w:r>
          </w:p>
        </w:tc>
        <w:tc>
          <w:tcPr>
            <w:tcW w:w="666"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0.50(ns)</w:t>
            </w:r>
          </w:p>
        </w:tc>
      </w:tr>
      <w:tr w:rsidR="00F07F14" w:rsidRPr="006B17F4" w:rsidTr="00814B98">
        <w:trPr>
          <w:jc w:val="center"/>
        </w:trPr>
        <w:tc>
          <w:tcPr>
            <w:tcW w:w="769"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75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Female</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19(67.9%)</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16(59.3%)</w:t>
            </w:r>
          </w:p>
        </w:tc>
        <w:tc>
          <w:tcPr>
            <w:tcW w:w="463"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666"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r>
      <w:tr w:rsidR="00F07F14" w:rsidRPr="006B17F4" w:rsidTr="00814B98">
        <w:trPr>
          <w:jc w:val="center"/>
        </w:trPr>
        <w:tc>
          <w:tcPr>
            <w:tcW w:w="1525" w:type="pct"/>
            <w:gridSpan w:val="2"/>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Age</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56.50±5.37</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58.70±5.48</w:t>
            </w:r>
          </w:p>
        </w:tc>
        <w:tc>
          <w:tcPr>
            <w:tcW w:w="46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1.50</w:t>
            </w:r>
          </w:p>
        </w:tc>
        <w:tc>
          <w:tcPr>
            <w:tcW w:w="6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0.14(ns)</w:t>
            </w:r>
          </w:p>
        </w:tc>
      </w:tr>
      <w:tr w:rsidR="00F07F14" w:rsidRPr="006B17F4" w:rsidTr="00814B98">
        <w:trPr>
          <w:jc w:val="center"/>
        </w:trPr>
        <w:tc>
          <w:tcPr>
            <w:tcW w:w="769"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Laterality</w:t>
            </w:r>
          </w:p>
        </w:tc>
        <w:tc>
          <w:tcPr>
            <w:tcW w:w="75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Unilateral</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6(21.4%)</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4(14.8%)</w:t>
            </w:r>
          </w:p>
        </w:tc>
        <w:tc>
          <w:tcPr>
            <w:tcW w:w="463"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0.40</w:t>
            </w:r>
          </w:p>
        </w:tc>
        <w:tc>
          <w:tcPr>
            <w:tcW w:w="666"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0.53(ns)</w:t>
            </w:r>
          </w:p>
        </w:tc>
      </w:tr>
      <w:tr w:rsidR="00F07F14" w:rsidRPr="006B17F4" w:rsidTr="00814B98">
        <w:trPr>
          <w:jc w:val="center"/>
        </w:trPr>
        <w:tc>
          <w:tcPr>
            <w:tcW w:w="769"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75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Bilateral</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22(78.6%)</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23(85.2%)</w:t>
            </w:r>
          </w:p>
        </w:tc>
        <w:tc>
          <w:tcPr>
            <w:tcW w:w="463"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666"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r>
      <w:tr w:rsidR="00F07F14" w:rsidRPr="006B17F4" w:rsidTr="00814B98">
        <w:trPr>
          <w:jc w:val="center"/>
        </w:trPr>
        <w:tc>
          <w:tcPr>
            <w:tcW w:w="769" w:type="pct"/>
            <w:vMerge w:val="restar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Treatment</w:t>
            </w:r>
          </w:p>
        </w:tc>
        <w:tc>
          <w:tcPr>
            <w:tcW w:w="75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Insulin</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8(28.6%)</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46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6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r>
      <w:tr w:rsidR="00F07F14" w:rsidRPr="006B17F4" w:rsidTr="00814B98">
        <w:trPr>
          <w:jc w:val="center"/>
        </w:trPr>
        <w:tc>
          <w:tcPr>
            <w:tcW w:w="769" w:type="pct"/>
            <w:vMerge/>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75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NI</w:t>
            </w:r>
          </w:p>
        </w:tc>
        <w:tc>
          <w:tcPr>
            <w:tcW w:w="1057"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20(71.4%)</w:t>
            </w:r>
          </w:p>
        </w:tc>
        <w:tc>
          <w:tcPr>
            <w:tcW w:w="1289"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46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c>
          <w:tcPr>
            <w:tcW w:w="6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p>
        </w:tc>
      </w:tr>
    </w:tbl>
    <w:p w:rsidR="006451BC" w:rsidRPr="006B17F4" w:rsidRDefault="006451BC" w:rsidP="00814B98">
      <w:pPr>
        <w:autoSpaceDE w:val="0"/>
        <w:autoSpaceDN w:val="0"/>
        <w:bidi w:val="0"/>
        <w:adjustRightInd w:val="0"/>
        <w:snapToGrid w:val="0"/>
        <w:jc w:val="center"/>
        <w:rPr>
          <w:rFonts w:eastAsiaTheme="minorEastAsia"/>
          <w:sz w:val="20"/>
          <w:szCs w:val="20"/>
          <w:lang w:eastAsia="zh-CN"/>
        </w:rPr>
      </w:pPr>
    </w:p>
    <w:p w:rsidR="00814B98" w:rsidRPr="006B17F4" w:rsidRDefault="00814B98" w:rsidP="00814B98">
      <w:pPr>
        <w:autoSpaceDE w:val="0"/>
        <w:autoSpaceDN w:val="0"/>
        <w:bidi w:val="0"/>
        <w:adjustRightInd w:val="0"/>
        <w:snapToGrid w:val="0"/>
        <w:jc w:val="center"/>
        <w:rPr>
          <w:rFonts w:eastAsiaTheme="minorEastAsia"/>
          <w:sz w:val="20"/>
          <w:szCs w:val="20"/>
          <w:lang w:eastAsia="zh-CN"/>
        </w:rPr>
      </w:pPr>
    </w:p>
    <w:p w:rsidR="00E85570" w:rsidRPr="006B17F4" w:rsidRDefault="00846C9F" w:rsidP="00814B98">
      <w:pPr>
        <w:autoSpaceDE w:val="0"/>
        <w:autoSpaceDN w:val="0"/>
        <w:bidi w:val="0"/>
        <w:adjustRightInd w:val="0"/>
        <w:snapToGrid w:val="0"/>
        <w:jc w:val="center"/>
        <w:rPr>
          <w:b/>
          <w:bCs/>
          <w:sz w:val="20"/>
          <w:szCs w:val="20"/>
        </w:rPr>
      </w:pPr>
      <w:r w:rsidRPr="006B17F4">
        <w:rPr>
          <w:b/>
          <w:bCs/>
          <w:sz w:val="20"/>
          <w:szCs w:val="20"/>
        </w:rPr>
        <w:t>Table (2): Preoperative visual examination in diabetic and non-diabetic groups</w:t>
      </w:r>
      <w:r w:rsidR="009C7943" w:rsidRPr="006B17F4">
        <w:rPr>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2330"/>
        <w:gridCol w:w="2842"/>
        <w:gridCol w:w="1019"/>
        <w:gridCol w:w="1467"/>
      </w:tblGrid>
      <w:tr w:rsidR="00F07F14" w:rsidRPr="006B17F4" w:rsidTr="00814B98">
        <w:trPr>
          <w:jc w:val="center"/>
        </w:trPr>
        <w:tc>
          <w:tcPr>
            <w:tcW w:w="1002"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Variable</w:t>
            </w:r>
          </w:p>
        </w:tc>
        <w:tc>
          <w:tcPr>
            <w:tcW w:w="121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Diabetic (n=50)</w:t>
            </w:r>
          </w:p>
        </w:tc>
        <w:tc>
          <w:tcPr>
            <w:tcW w:w="148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Non diabetic (n=50)</w:t>
            </w:r>
          </w:p>
        </w:tc>
        <w:tc>
          <w:tcPr>
            <w:tcW w:w="532"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Test</w:t>
            </w:r>
          </w:p>
        </w:tc>
        <w:tc>
          <w:tcPr>
            <w:tcW w:w="7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P value</w:t>
            </w:r>
          </w:p>
        </w:tc>
      </w:tr>
      <w:tr w:rsidR="00F07F14" w:rsidRPr="006B17F4" w:rsidTr="00814B98">
        <w:trPr>
          <w:jc w:val="center"/>
        </w:trPr>
        <w:tc>
          <w:tcPr>
            <w:tcW w:w="1002"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IOP</w:t>
            </w:r>
          </w:p>
        </w:tc>
        <w:tc>
          <w:tcPr>
            <w:tcW w:w="121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17.6±1.49</w:t>
            </w:r>
          </w:p>
        </w:tc>
        <w:tc>
          <w:tcPr>
            <w:tcW w:w="148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18.08±1.39</w:t>
            </w:r>
          </w:p>
        </w:tc>
        <w:tc>
          <w:tcPr>
            <w:tcW w:w="532"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1.65</w:t>
            </w:r>
          </w:p>
        </w:tc>
        <w:tc>
          <w:tcPr>
            <w:tcW w:w="7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0.10(ns)</w:t>
            </w:r>
          </w:p>
        </w:tc>
      </w:tr>
      <w:tr w:rsidR="00F07F14" w:rsidRPr="006B17F4" w:rsidTr="00814B98">
        <w:trPr>
          <w:jc w:val="center"/>
        </w:trPr>
        <w:tc>
          <w:tcPr>
            <w:tcW w:w="1002"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Axial length</w:t>
            </w:r>
          </w:p>
        </w:tc>
        <w:tc>
          <w:tcPr>
            <w:tcW w:w="121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22.55±1.16</w:t>
            </w:r>
          </w:p>
        </w:tc>
        <w:tc>
          <w:tcPr>
            <w:tcW w:w="1483"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22.71±1.22</w:t>
            </w:r>
          </w:p>
        </w:tc>
        <w:tc>
          <w:tcPr>
            <w:tcW w:w="532"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0.67</w:t>
            </w:r>
          </w:p>
        </w:tc>
        <w:tc>
          <w:tcPr>
            <w:tcW w:w="766" w:type="pct"/>
            <w:shd w:val="clear" w:color="auto" w:fill="auto"/>
          </w:tcPr>
          <w:p w:rsidR="00F07F14" w:rsidRPr="006B17F4" w:rsidRDefault="00F07F14" w:rsidP="00814B98">
            <w:pPr>
              <w:autoSpaceDE w:val="0"/>
              <w:autoSpaceDN w:val="0"/>
              <w:bidi w:val="0"/>
              <w:adjustRightInd w:val="0"/>
              <w:snapToGrid w:val="0"/>
              <w:jc w:val="both"/>
              <w:rPr>
                <w:color w:val="000000"/>
                <w:sz w:val="20"/>
                <w:szCs w:val="20"/>
              </w:rPr>
            </w:pPr>
            <w:r w:rsidRPr="006B17F4">
              <w:rPr>
                <w:color w:val="000000"/>
                <w:sz w:val="20"/>
                <w:szCs w:val="20"/>
              </w:rPr>
              <w:t>0.51(ns)</w:t>
            </w:r>
          </w:p>
        </w:tc>
      </w:tr>
      <w:tr w:rsidR="00846C9F" w:rsidRPr="006B17F4" w:rsidTr="00814B98">
        <w:trPr>
          <w:jc w:val="center"/>
        </w:trPr>
        <w:tc>
          <w:tcPr>
            <w:tcW w:w="100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BCVA</w:t>
            </w:r>
          </w:p>
        </w:tc>
        <w:tc>
          <w:tcPr>
            <w:tcW w:w="121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0.95±0.12</w:t>
            </w:r>
          </w:p>
        </w:tc>
        <w:tc>
          <w:tcPr>
            <w:tcW w:w="1483"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0.86±0.17</w:t>
            </w:r>
          </w:p>
        </w:tc>
        <w:tc>
          <w:tcPr>
            <w:tcW w:w="53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2.92</w:t>
            </w:r>
          </w:p>
        </w:tc>
        <w:tc>
          <w:tcPr>
            <w:tcW w:w="76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0.004*</w:t>
            </w:r>
          </w:p>
        </w:tc>
      </w:tr>
      <w:tr w:rsidR="00846C9F" w:rsidRPr="006B17F4" w:rsidTr="00814B98">
        <w:trPr>
          <w:jc w:val="center"/>
        </w:trPr>
        <w:tc>
          <w:tcPr>
            <w:tcW w:w="100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CSFT</w:t>
            </w:r>
          </w:p>
        </w:tc>
        <w:tc>
          <w:tcPr>
            <w:tcW w:w="121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222.12±9.80</w:t>
            </w:r>
          </w:p>
        </w:tc>
        <w:tc>
          <w:tcPr>
            <w:tcW w:w="1483"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221.10±9.12</w:t>
            </w:r>
          </w:p>
        </w:tc>
        <w:tc>
          <w:tcPr>
            <w:tcW w:w="53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0.53</w:t>
            </w:r>
          </w:p>
        </w:tc>
        <w:tc>
          <w:tcPr>
            <w:tcW w:w="76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0.59(ns)</w:t>
            </w:r>
          </w:p>
        </w:tc>
      </w:tr>
      <w:tr w:rsidR="00846C9F" w:rsidRPr="006B17F4" w:rsidTr="00814B98">
        <w:trPr>
          <w:jc w:val="center"/>
        </w:trPr>
        <w:tc>
          <w:tcPr>
            <w:tcW w:w="100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Inner circle</w:t>
            </w:r>
          </w:p>
        </w:tc>
        <w:tc>
          <w:tcPr>
            <w:tcW w:w="121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264.42±8.02</w:t>
            </w:r>
          </w:p>
        </w:tc>
        <w:tc>
          <w:tcPr>
            <w:tcW w:w="1483"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262.52±6.85</w:t>
            </w:r>
          </w:p>
        </w:tc>
        <w:tc>
          <w:tcPr>
            <w:tcW w:w="53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1.27</w:t>
            </w:r>
          </w:p>
        </w:tc>
        <w:tc>
          <w:tcPr>
            <w:tcW w:w="76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0.21(ns)</w:t>
            </w:r>
          </w:p>
        </w:tc>
      </w:tr>
      <w:tr w:rsidR="00846C9F" w:rsidRPr="006B17F4" w:rsidTr="00814B98">
        <w:trPr>
          <w:jc w:val="center"/>
        </w:trPr>
        <w:tc>
          <w:tcPr>
            <w:tcW w:w="100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Outer circle</w:t>
            </w:r>
          </w:p>
        </w:tc>
        <w:tc>
          <w:tcPr>
            <w:tcW w:w="121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234.28±7.24</w:t>
            </w:r>
          </w:p>
        </w:tc>
        <w:tc>
          <w:tcPr>
            <w:tcW w:w="1483"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233.46±4.79</w:t>
            </w:r>
          </w:p>
        </w:tc>
        <w:tc>
          <w:tcPr>
            <w:tcW w:w="53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0.67</w:t>
            </w:r>
          </w:p>
        </w:tc>
        <w:tc>
          <w:tcPr>
            <w:tcW w:w="76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0.51(ns)</w:t>
            </w:r>
          </w:p>
        </w:tc>
      </w:tr>
      <w:tr w:rsidR="00846C9F" w:rsidRPr="006B17F4" w:rsidTr="00814B98">
        <w:trPr>
          <w:jc w:val="center"/>
        </w:trPr>
        <w:tc>
          <w:tcPr>
            <w:tcW w:w="100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TMV</w:t>
            </w:r>
          </w:p>
        </w:tc>
        <w:tc>
          <w:tcPr>
            <w:tcW w:w="121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6.81±0.16</w:t>
            </w:r>
          </w:p>
        </w:tc>
        <w:tc>
          <w:tcPr>
            <w:tcW w:w="1483"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6.76±0.13</w:t>
            </w:r>
          </w:p>
        </w:tc>
        <w:tc>
          <w:tcPr>
            <w:tcW w:w="532"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1.42</w:t>
            </w:r>
          </w:p>
        </w:tc>
        <w:tc>
          <w:tcPr>
            <w:tcW w:w="766" w:type="pct"/>
            <w:shd w:val="clear" w:color="auto" w:fill="auto"/>
          </w:tcPr>
          <w:p w:rsidR="00846C9F" w:rsidRPr="006B17F4" w:rsidRDefault="00846C9F" w:rsidP="00814B98">
            <w:pPr>
              <w:autoSpaceDE w:val="0"/>
              <w:autoSpaceDN w:val="0"/>
              <w:bidi w:val="0"/>
              <w:adjustRightInd w:val="0"/>
              <w:snapToGrid w:val="0"/>
              <w:jc w:val="both"/>
              <w:rPr>
                <w:color w:val="000000"/>
                <w:sz w:val="20"/>
                <w:szCs w:val="20"/>
              </w:rPr>
            </w:pPr>
            <w:r w:rsidRPr="006B17F4">
              <w:rPr>
                <w:color w:val="000000"/>
                <w:sz w:val="20"/>
                <w:szCs w:val="20"/>
              </w:rPr>
              <w:t>0.16(ns)</w:t>
            </w:r>
          </w:p>
        </w:tc>
      </w:tr>
    </w:tbl>
    <w:p w:rsidR="009C7943" w:rsidRPr="006B17F4" w:rsidRDefault="009C7943" w:rsidP="00814B98">
      <w:pPr>
        <w:autoSpaceDE w:val="0"/>
        <w:autoSpaceDN w:val="0"/>
        <w:bidi w:val="0"/>
        <w:adjustRightInd w:val="0"/>
        <w:snapToGrid w:val="0"/>
        <w:jc w:val="center"/>
        <w:rPr>
          <w:rFonts w:eastAsiaTheme="minorEastAsia"/>
          <w:b/>
          <w:bCs/>
          <w:sz w:val="20"/>
          <w:szCs w:val="20"/>
          <w:lang w:eastAsia="zh-CN"/>
        </w:rPr>
      </w:pPr>
    </w:p>
    <w:p w:rsidR="00814B98" w:rsidRPr="006B17F4" w:rsidRDefault="00814B98" w:rsidP="00814B98">
      <w:pPr>
        <w:autoSpaceDE w:val="0"/>
        <w:autoSpaceDN w:val="0"/>
        <w:bidi w:val="0"/>
        <w:adjustRightInd w:val="0"/>
        <w:snapToGrid w:val="0"/>
        <w:jc w:val="center"/>
        <w:rPr>
          <w:rFonts w:eastAsiaTheme="minorEastAsia"/>
          <w:b/>
          <w:bCs/>
          <w:sz w:val="20"/>
          <w:szCs w:val="20"/>
          <w:lang w:eastAsia="zh-CN"/>
        </w:rPr>
      </w:pPr>
    </w:p>
    <w:p w:rsidR="00FC648F" w:rsidRPr="006B17F4" w:rsidRDefault="00846C9F" w:rsidP="00814B98">
      <w:pPr>
        <w:autoSpaceDE w:val="0"/>
        <w:autoSpaceDN w:val="0"/>
        <w:bidi w:val="0"/>
        <w:adjustRightInd w:val="0"/>
        <w:snapToGrid w:val="0"/>
        <w:jc w:val="both"/>
        <w:rPr>
          <w:sz w:val="20"/>
          <w:szCs w:val="20"/>
        </w:rPr>
      </w:pPr>
      <w:r w:rsidRPr="006B17F4">
        <w:rPr>
          <w:b/>
          <w:bCs/>
          <w:sz w:val="20"/>
          <w:szCs w:val="20"/>
        </w:rPr>
        <w:t>Table (3</w:t>
      </w:r>
      <w:r w:rsidR="00A331FA" w:rsidRPr="006B17F4">
        <w:rPr>
          <w:b/>
          <w:bCs/>
          <w:sz w:val="20"/>
          <w:szCs w:val="20"/>
        </w:rPr>
        <w:t>)</w:t>
      </w:r>
      <w:r w:rsidRPr="006B17F4">
        <w:rPr>
          <w:b/>
          <w:bCs/>
          <w:sz w:val="20"/>
          <w:szCs w:val="20"/>
        </w:rPr>
        <w:t xml:space="preserve">: </w:t>
      </w:r>
      <w:r w:rsidR="00FC648F" w:rsidRPr="006B17F4">
        <w:rPr>
          <w:b/>
          <w:bCs/>
          <w:sz w:val="20"/>
          <w:szCs w:val="20"/>
        </w:rPr>
        <w:t>Comparison between study (diabetic) and control (non-diabetic) groups as rega</w:t>
      </w:r>
      <w:r w:rsidRPr="006B17F4">
        <w:rPr>
          <w:b/>
          <w:bCs/>
          <w:sz w:val="20"/>
          <w:szCs w:val="20"/>
        </w:rPr>
        <w:t>rd to postoperative BCVA</w:t>
      </w:r>
      <w:r w:rsidR="009C7943" w:rsidRPr="006B17F4">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747"/>
        <w:gridCol w:w="1747"/>
        <w:gridCol w:w="1034"/>
        <w:gridCol w:w="1149"/>
        <w:gridCol w:w="1494"/>
        <w:gridCol w:w="973"/>
      </w:tblGrid>
      <w:tr w:rsidR="00A331FA" w:rsidRPr="006B17F4" w:rsidTr="00814B98">
        <w:trPr>
          <w:jc w:val="center"/>
        </w:trPr>
        <w:tc>
          <w:tcPr>
            <w:tcW w:w="748" w:type="pct"/>
            <w:vMerge w:val="restar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p>
        </w:tc>
        <w:tc>
          <w:tcPr>
            <w:tcW w:w="2364" w:type="pct"/>
            <w:gridSpan w:val="3"/>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BCVA</w:t>
            </w:r>
          </w:p>
        </w:tc>
        <w:tc>
          <w:tcPr>
            <w:tcW w:w="1888" w:type="pct"/>
            <w:gridSpan w:val="3"/>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PCO</w:t>
            </w:r>
          </w:p>
        </w:tc>
      </w:tr>
      <w:tr w:rsidR="00A331FA" w:rsidRPr="006B17F4" w:rsidTr="00814B98">
        <w:trPr>
          <w:jc w:val="center"/>
        </w:trPr>
        <w:tc>
          <w:tcPr>
            <w:tcW w:w="748" w:type="pct"/>
            <w:vMerge/>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Diabetic</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Non diabetic</w:t>
            </w:r>
          </w:p>
        </w:tc>
        <w:tc>
          <w:tcPr>
            <w:tcW w:w="539"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w:t>
            </w:r>
          </w:p>
        </w:tc>
        <w:tc>
          <w:tcPr>
            <w:tcW w:w="60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Diabetic</w:t>
            </w:r>
          </w:p>
        </w:tc>
        <w:tc>
          <w:tcPr>
            <w:tcW w:w="78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Non-diabetic</w:t>
            </w:r>
          </w:p>
        </w:tc>
        <w:tc>
          <w:tcPr>
            <w:tcW w:w="50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 value</w:t>
            </w:r>
          </w:p>
        </w:tc>
      </w:tr>
      <w:tr w:rsidR="00A331FA" w:rsidRPr="006B17F4" w:rsidTr="00814B98">
        <w:trPr>
          <w:jc w:val="center"/>
        </w:trPr>
        <w:tc>
          <w:tcPr>
            <w:tcW w:w="74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Preoperative</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0.95±0.119</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0.864±0.169</w:t>
            </w:r>
          </w:p>
        </w:tc>
        <w:tc>
          <w:tcPr>
            <w:tcW w:w="539" w:type="pct"/>
            <w:shd w:val="clear" w:color="auto" w:fill="auto"/>
          </w:tcPr>
          <w:p w:rsidR="00A331FA" w:rsidRPr="006B17F4" w:rsidRDefault="00A331FA"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0.004*</w:t>
            </w:r>
          </w:p>
        </w:tc>
        <w:tc>
          <w:tcPr>
            <w:tcW w:w="600" w:type="pct"/>
            <w:shd w:val="clear" w:color="auto" w:fill="auto"/>
          </w:tcPr>
          <w:p w:rsidR="00A331FA" w:rsidRPr="006B17F4" w:rsidRDefault="00A331FA"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w:t>
            </w:r>
          </w:p>
        </w:tc>
        <w:tc>
          <w:tcPr>
            <w:tcW w:w="780" w:type="pct"/>
            <w:shd w:val="clear" w:color="auto" w:fill="auto"/>
          </w:tcPr>
          <w:p w:rsidR="00A331FA" w:rsidRPr="006B17F4" w:rsidRDefault="00A331FA"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w:t>
            </w:r>
          </w:p>
        </w:tc>
        <w:tc>
          <w:tcPr>
            <w:tcW w:w="508" w:type="pct"/>
            <w:shd w:val="clear" w:color="auto" w:fill="auto"/>
          </w:tcPr>
          <w:p w:rsidR="00A331FA" w:rsidRPr="006B17F4" w:rsidRDefault="00A331FA"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w:t>
            </w:r>
          </w:p>
        </w:tc>
      </w:tr>
      <w:tr w:rsidR="00A331FA" w:rsidRPr="006B17F4" w:rsidTr="00814B98">
        <w:trPr>
          <w:jc w:val="center"/>
        </w:trPr>
        <w:tc>
          <w:tcPr>
            <w:tcW w:w="74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PO 1 week</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0.088±0.071</w:t>
            </w:r>
            <w:r w:rsidRPr="006B17F4">
              <w:rPr>
                <w:color w:val="000000"/>
                <w:sz w:val="20"/>
                <w:szCs w:val="20"/>
                <w:vertAlign w:val="superscript"/>
              </w:rPr>
              <w:t>#</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0.090±0.073</w:t>
            </w:r>
            <w:r w:rsidRPr="006B17F4">
              <w:rPr>
                <w:color w:val="000000"/>
                <w:sz w:val="20"/>
                <w:szCs w:val="20"/>
                <w:vertAlign w:val="superscript"/>
              </w:rPr>
              <w:t>#</w:t>
            </w:r>
          </w:p>
        </w:tc>
        <w:tc>
          <w:tcPr>
            <w:tcW w:w="539"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0.89</w:t>
            </w:r>
          </w:p>
        </w:tc>
        <w:tc>
          <w:tcPr>
            <w:tcW w:w="60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0(0.0%)</w:t>
            </w:r>
          </w:p>
        </w:tc>
        <w:tc>
          <w:tcPr>
            <w:tcW w:w="78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0(0.0%)</w:t>
            </w:r>
          </w:p>
        </w:tc>
        <w:tc>
          <w:tcPr>
            <w:tcW w:w="50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w:t>
            </w:r>
          </w:p>
        </w:tc>
      </w:tr>
      <w:tr w:rsidR="00A331FA" w:rsidRPr="006B17F4" w:rsidTr="00814B98">
        <w:trPr>
          <w:jc w:val="center"/>
        </w:trPr>
        <w:tc>
          <w:tcPr>
            <w:tcW w:w="74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1 month</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0.080±0.121</w:t>
            </w:r>
            <w:r w:rsidRPr="006B17F4">
              <w:rPr>
                <w:color w:val="000000"/>
                <w:sz w:val="20"/>
                <w:szCs w:val="20"/>
                <w:vertAlign w:val="superscript"/>
              </w:rPr>
              <w:t>#</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0.062±0.060</w:t>
            </w:r>
            <w:r w:rsidRPr="006B17F4">
              <w:rPr>
                <w:color w:val="000000"/>
                <w:sz w:val="20"/>
                <w:szCs w:val="20"/>
                <w:vertAlign w:val="superscript"/>
              </w:rPr>
              <w:t>#</w:t>
            </w:r>
          </w:p>
        </w:tc>
        <w:tc>
          <w:tcPr>
            <w:tcW w:w="539"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0.34</w:t>
            </w:r>
          </w:p>
        </w:tc>
        <w:tc>
          <w:tcPr>
            <w:tcW w:w="60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0(0.0%)</w:t>
            </w:r>
          </w:p>
        </w:tc>
        <w:tc>
          <w:tcPr>
            <w:tcW w:w="78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0(0.0%)</w:t>
            </w:r>
          </w:p>
        </w:tc>
        <w:tc>
          <w:tcPr>
            <w:tcW w:w="50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w:t>
            </w:r>
          </w:p>
        </w:tc>
      </w:tr>
      <w:tr w:rsidR="00A331FA" w:rsidRPr="006B17F4" w:rsidTr="00814B98">
        <w:trPr>
          <w:jc w:val="center"/>
        </w:trPr>
        <w:tc>
          <w:tcPr>
            <w:tcW w:w="74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3 months</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0.072±0.053</w:t>
            </w:r>
            <w:r w:rsidRPr="006B17F4">
              <w:rPr>
                <w:color w:val="000000"/>
                <w:sz w:val="20"/>
                <w:szCs w:val="20"/>
                <w:vertAlign w:val="superscript"/>
              </w:rPr>
              <w:t>#</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0.058±0.053</w:t>
            </w:r>
            <w:r w:rsidRPr="006B17F4">
              <w:rPr>
                <w:color w:val="000000"/>
                <w:sz w:val="20"/>
                <w:szCs w:val="20"/>
                <w:vertAlign w:val="superscript"/>
              </w:rPr>
              <w:t>#</w:t>
            </w:r>
          </w:p>
        </w:tc>
        <w:tc>
          <w:tcPr>
            <w:tcW w:w="539"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0.19</w:t>
            </w:r>
          </w:p>
        </w:tc>
        <w:tc>
          <w:tcPr>
            <w:tcW w:w="60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3(6.0%)</w:t>
            </w:r>
          </w:p>
        </w:tc>
        <w:tc>
          <w:tcPr>
            <w:tcW w:w="78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2(4.0%)</w:t>
            </w:r>
          </w:p>
        </w:tc>
        <w:tc>
          <w:tcPr>
            <w:tcW w:w="50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0.64</w:t>
            </w:r>
          </w:p>
        </w:tc>
      </w:tr>
      <w:tr w:rsidR="00A331FA" w:rsidRPr="006B17F4" w:rsidTr="00814B98">
        <w:trPr>
          <w:jc w:val="center"/>
        </w:trPr>
        <w:tc>
          <w:tcPr>
            <w:tcW w:w="74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6 months</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0.082±0.062</w:t>
            </w:r>
            <w:r w:rsidRPr="006B17F4">
              <w:rPr>
                <w:color w:val="000000"/>
                <w:sz w:val="20"/>
                <w:szCs w:val="20"/>
                <w:vertAlign w:val="superscript"/>
              </w:rPr>
              <w:t>#</w:t>
            </w:r>
          </w:p>
        </w:tc>
        <w:tc>
          <w:tcPr>
            <w:tcW w:w="912"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0.062±0.060</w:t>
            </w:r>
            <w:r w:rsidRPr="006B17F4">
              <w:rPr>
                <w:color w:val="000000"/>
                <w:sz w:val="20"/>
                <w:szCs w:val="20"/>
                <w:vertAlign w:val="superscript"/>
              </w:rPr>
              <w:t>#</w:t>
            </w:r>
          </w:p>
        </w:tc>
        <w:tc>
          <w:tcPr>
            <w:tcW w:w="539"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0.12</w:t>
            </w:r>
          </w:p>
        </w:tc>
        <w:tc>
          <w:tcPr>
            <w:tcW w:w="60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7(14.0%)</w:t>
            </w:r>
          </w:p>
        </w:tc>
        <w:tc>
          <w:tcPr>
            <w:tcW w:w="78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2(4.0%)</w:t>
            </w:r>
          </w:p>
        </w:tc>
        <w:tc>
          <w:tcPr>
            <w:tcW w:w="50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0.18</w:t>
            </w:r>
          </w:p>
        </w:tc>
      </w:tr>
    </w:tbl>
    <w:p w:rsidR="00FC648F" w:rsidRPr="006B17F4" w:rsidRDefault="00FC648F" w:rsidP="00814B98">
      <w:pPr>
        <w:autoSpaceDE w:val="0"/>
        <w:autoSpaceDN w:val="0"/>
        <w:bidi w:val="0"/>
        <w:adjustRightInd w:val="0"/>
        <w:snapToGrid w:val="0"/>
        <w:jc w:val="both"/>
        <w:rPr>
          <w:sz w:val="20"/>
          <w:szCs w:val="20"/>
        </w:rPr>
      </w:pPr>
      <w:r w:rsidRPr="006B17F4">
        <w:rPr>
          <w:sz w:val="20"/>
          <w:szCs w:val="20"/>
        </w:rPr>
        <w:t># = significant increase when compared to corresponding preoperative values in each gr</w:t>
      </w:r>
      <w:r w:rsidR="00006D79" w:rsidRPr="006B17F4">
        <w:rPr>
          <w:sz w:val="20"/>
          <w:szCs w:val="20"/>
        </w:rPr>
        <w:t>oup separately (paired t test);</w:t>
      </w:r>
      <w:r w:rsidRPr="006B17F4">
        <w:rPr>
          <w:sz w:val="20"/>
          <w:szCs w:val="20"/>
        </w:rPr>
        <w:t>.</w:t>
      </w:r>
    </w:p>
    <w:p w:rsidR="00FC648F" w:rsidRPr="006B17F4" w:rsidRDefault="00FC648F" w:rsidP="00814B98">
      <w:pPr>
        <w:autoSpaceDE w:val="0"/>
        <w:autoSpaceDN w:val="0"/>
        <w:bidi w:val="0"/>
        <w:adjustRightInd w:val="0"/>
        <w:snapToGrid w:val="0"/>
        <w:jc w:val="center"/>
        <w:rPr>
          <w:rFonts w:eastAsiaTheme="minorEastAsia"/>
          <w:sz w:val="20"/>
          <w:szCs w:val="20"/>
          <w:lang w:eastAsia="zh-CN"/>
        </w:rPr>
      </w:pPr>
    </w:p>
    <w:p w:rsidR="00814B98" w:rsidRPr="006B17F4" w:rsidRDefault="00814B98" w:rsidP="00814B98">
      <w:pPr>
        <w:autoSpaceDE w:val="0"/>
        <w:autoSpaceDN w:val="0"/>
        <w:bidi w:val="0"/>
        <w:adjustRightInd w:val="0"/>
        <w:snapToGrid w:val="0"/>
        <w:jc w:val="center"/>
        <w:rPr>
          <w:rFonts w:eastAsiaTheme="minorEastAsia"/>
          <w:sz w:val="20"/>
          <w:szCs w:val="20"/>
          <w:lang w:eastAsia="zh-CN"/>
        </w:rPr>
      </w:pPr>
    </w:p>
    <w:p w:rsidR="00FC648F" w:rsidRPr="006B17F4" w:rsidRDefault="00FC648F" w:rsidP="00814B98">
      <w:pPr>
        <w:autoSpaceDE w:val="0"/>
        <w:autoSpaceDN w:val="0"/>
        <w:bidi w:val="0"/>
        <w:adjustRightInd w:val="0"/>
        <w:snapToGrid w:val="0"/>
        <w:jc w:val="both"/>
        <w:rPr>
          <w:b/>
          <w:bCs/>
          <w:sz w:val="20"/>
          <w:szCs w:val="20"/>
        </w:rPr>
      </w:pPr>
      <w:r w:rsidRPr="006B17F4">
        <w:rPr>
          <w:b/>
          <w:bCs/>
          <w:sz w:val="20"/>
          <w:szCs w:val="20"/>
        </w:rPr>
        <w:t>Table</w:t>
      </w:r>
      <w:r w:rsidR="00A331FA" w:rsidRPr="006B17F4">
        <w:rPr>
          <w:b/>
          <w:bCs/>
          <w:sz w:val="20"/>
          <w:szCs w:val="20"/>
        </w:rPr>
        <w:t xml:space="preserve"> (4</w:t>
      </w:r>
      <w:r w:rsidRPr="006B17F4">
        <w:rPr>
          <w:b/>
          <w:bCs/>
          <w:sz w:val="20"/>
          <w:szCs w:val="20"/>
        </w:rPr>
        <w:t>)</w:t>
      </w:r>
      <w:r w:rsidR="00A331FA" w:rsidRPr="006B17F4">
        <w:rPr>
          <w:b/>
          <w:bCs/>
          <w:sz w:val="20"/>
          <w:szCs w:val="20"/>
        </w:rPr>
        <w:t>:</w:t>
      </w:r>
      <w:r w:rsidRPr="006B17F4">
        <w:rPr>
          <w:b/>
          <w:bCs/>
          <w:sz w:val="20"/>
          <w:szCs w:val="20"/>
        </w:rPr>
        <w:t xml:space="preserve"> Comparison between study and control groups as regard to </w:t>
      </w:r>
      <w:proofErr w:type="spellStart"/>
      <w:r w:rsidRPr="006B17F4">
        <w:rPr>
          <w:b/>
          <w:bCs/>
          <w:sz w:val="20"/>
          <w:szCs w:val="20"/>
        </w:rPr>
        <w:t>fundus</w:t>
      </w:r>
      <w:proofErr w:type="spellEnd"/>
      <w:r w:rsidRPr="006B17F4">
        <w:rPr>
          <w:b/>
          <w:bCs/>
          <w:sz w:val="20"/>
          <w:szCs w:val="20"/>
        </w:rPr>
        <w:t xml:space="preserve"> </w:t>
      </w:r>
      <w:r w:rsidR="006451BC" w:rsidRPr="006B17F4">
        <w:rPr>
          <w:b/>
          <w:bCs/>
          <w:sz w:val="20"/>
          <w:szCs w:val="20"/>
        </w:rPr>
        <w:t>CSFT and</w:t>
      </w:r>
      <w:r w:rsidR="00A331FA" w:rsidRPr="006B17F4">
        <w:rPr>
          <w:b/>
          <w:bCs/>
          <w:sz w:val="20"/>
          <w:szCs w:val="20"/>
        </w:rPr>
        <w:t xml:space="preserve"> inner circle </w:t>
      </w:r>
      <w:r w:rsidRPr="006B17F4">
        <w:rPr>
          <w:b/>
          <w:bCs/>
          <w:sz w:val="20"/>
          <w:szCs w:val="20"/>
        </w:rPr>
        <w:t>at different times</w:t>
      </w:r>
      <w:r w:rsidR="009C7943" w:rsidRPr="006B17F4">
        <w:rPr>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1665"/>
        <w:gridCol w:w="1665"/>
        <w:gridCol w:w="903"/>
        <w:gridCol w:w="1688"/>
        <w:gridCol w:w="1391"/>
        <w:gridCol w:w="1046"/>
      </w:tblGrid>
      <w:tr w:rsidR="006451BC" w:rsidRPr="006B17F4" w:rsidTr="00814B98">
        <w:trPr>
          <w:jc w:val="center"/>
        </w:trPr>
        <w:tc>
          <w:tcPr>
            <w:tcW w:w="666" w:type="pct"/>
            <w:vMerge w:val="restar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p>
        </w:tc>
        <w:tc>
          <w:tcPr>
            <w:tcW w:w="2296" w:type="pct"/>
            <w:gridSpan w:val="3"/>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CSFT</w:t>
            </w:r>
          </w:p>
        </w:tc>
        <w:tc>
          <w:tcPr>
            <w:tcW w:w="2038" w:type="pct"/>
            <w:gridSpan w:val="3"/>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Inner circle</w:t>
            </w:r>
          </w:p>
        </w:tc>
      </w:tr>
      <w:tr w:rsidR="00441B26" w:rsidRPr="006B17F4" w:rsidTr="00814B98">
        <w:trPr>
          <w:jc w:val="center"/>
        </w:trPr>
        <w:tc>
          <w:tcPr>
            <w:tcW w:w="666" w:type="pct"/>
            <w:vMerge/>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p>
        </w:tc>
        <w:tc>
          <w:tcPr>
            <w:tcW w:w="89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Diabetic</w:t>
            </w:r>
          </w:p>
        </w:tc>
        <w:tc>
          <w:tcPr>
            <w:tcW w:w="898"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Non-diabetic</w:t>
            </w:r>
          </w:p>
        </w:tc>
        <w:tc>
          <w:tcPr>
            <w:tcW w:w="50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w:t>
            </w:r>
          </w:p>
        </w:tc>
        <w:tc>
          <w:tcPr>
            <w:tcW w:w="910"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Diabetic</w:t>
            </w:r>
          </w:p>
        </w:tc>
        <w:tc>
          <w:tcPr>
            <w:tcW w:w="553"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Non-diabetic</w:t>
            </w:r>
          </w:p>
        </w:tc>
        <w:tc>
          <w:tcPr>
            <w:tcW w:w="575" w:type="pct"/>
            <w:shd w:val="clear" w:color="auto" w:fill="auto"/>
          </w:tcPr>
          <w:p w:rsidR="00A331FA" w:rsidRPr="006B17F4" w:rsidRDefault="00A331FA" w:rsidP="00814B98">
            <w:pPr>
              <w:autoSpaceDE w:val="0"/>
              <w:autoSpaceDN w:val="0"/>
              <w:bidi w:val="0"/>
              <w:adjustRightInd w:val="0"/>
              <w:snapToGrid w:val="0"/>
              <w:jc w:val="both"/>
              <w:rPr>
                <w:color w:val="000000"/>
                <w:sz w:val="20"/>
                <w:szCs w:val="20"/>
              </w:rPr>
            </w:pPr>
            <w:r w:rsidRPr="006B17F4">
              <w:rPr>
                <w:color w:val="000000"/>
                <w:sz w:val="20"/>
                <w:szCs w:val="20"/>
              </w:rPr>
              <w:t>p</w:t>
            </w:r>
          </w:p>
        </w:tc>
      </w:tr>
      <w:tr w:rsidR="006451BC" w:rsidRPr="006B17F4" w:rsidTr="00814B98">
        <w:trPr>
          <w:jc w:val="center"/>
        </w:trPr>
        <w:tc>
          <w:tcPr>
            <w:tcW w:w="666"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proofErr w:type="spellStart"/>
            <w:r w:rsidRPr="006B17F4">
              <w:rPr>
                <w:color w:val="000000"/>
                <w:sz w:val="20"/>
                <w:szCs w:val="20"/>
              </w:rPr>
              <w:t>Preop</w:t>
            </w:r>
            <w:proofErr w:type="spellEnd"/>
            <w:r w:rsidRPr="006B17F4">
              <w:rPr>
                <w:color w:val="000000"/>
                <w:sz w:val="20"/>
                <w:szCs w:val="20"/>
              </w:rPr>
              <w:t>.</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222.12±9.809</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221.10±9.12</w:t>
            </w:r>
          </w:p>
        </w:tc>
        <w:tc>
          <w:tcPr>
            <w:tcW w:w="50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0.592</w:t>
            </w:r>
          </w:p>
        </w:tc>
        <w:tc>
          <w:tcPr>
            <w:tcW w:w="91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264.42±8.02</w:t>
            </w:r>
          </w:p>
        </w:tc>
        <w:tc>
          <w:tcPr>
            <w:tcW w:w="553"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262.52±6.85</w:t>
            </w:r>
          </w:p>
        </w:tc>
        <w:tc>
          <w:tcPr>
            <w:tcW w:w="575"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0.21(ns)</w:t>
            </w:r>
          </w:p>
        </w:tc>
      </w:tr>
      <w:tr w:rsidR="006451BC" w:rsidRPr="006B17F4" w:rsidTr="00814B98">
        <w:trPr>
          <w:jc w:val="center"/>
        </w:trPr>
        <w:tc>
          <w:tcPr>
            <w:tcW w:w="666"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1 month</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246.02±22.94</w:t>
            </w:r>
            <w:r w:rsidRPr="006B17F4">
              <w:rPr>
                <w:color w:val="000000"/>
                <w:sz w:val="20"/>
                <w:szCs w:val="20"/>
                <w:vertAlign w:val="superscript"/>
              </w:rPr>
              <w:t>#</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237.74±17.58</w:t>
            </w:r>
            <w:r w:rsidRPr="006B17F4">
              <w:rPr>
                <w:color w:val="000000"/>
                <w:sz w:val="20"/>
                <w:szCs w:val="20"/>
                <w:vertAlign w:val="superscript"/>
              </w:rPr>
              <w:t>#</w:t>
            </w:r>
          </w:p>
        </w:tc>
        <w:tc>
          <w:tcPr>
            <w:tcW w:w="50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0.046*</w:t>
            </w:r>
          </w:p>
        </w:tc>
        <w:tc>
          <w:tcPr>
            <w:tcW w:w="91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292.98±27.79</w:t>
            </w:r>
            <w:r w:rsidRPr="006B17F4">
              <w:rPr>
                <w:color w:val="000000"/>
                <w:sz w:val="20"/>
                <w:szCs w:val="20"/>
                <w:vertAlign w:val="superscript"/>
              </w:rPr>
              <w:t>#</w:t>
            </w:r>
          </w:p>
        </w:tc>
        <w:tc>
          <w:tcPr>
            <w:tcW w:w="553"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281.32±23.75</w:t>
            </w:r>
            <w:r w:rsidRPr="006B17F4">
              <w:rPr>
                <w:color w:val="000000"/>
                <w:sz w:val="20"/>
                <w:szCs w:val="20"/>
                <w:vertAlign w:val="superscript"/>
              </w:rPr>
              <w:t>#</w:t>
            </w:r>
          </w:p>
        </w:tc>
        <w:tc>
          <w:tcPr>
            <w:tcW w:w="575"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0.026*</w:t>
            </w:r>
          </w:p>
        </w:tc>
      </w:tr>
      <w:tr w:rsidR="006451BC" w:rsidRPr="006B17F4" w:rsidTr="00814B98">
        <w:trPr>
          <w:jc w:val="center"/>
        </w:trPr>
        <w:tc>
          <w:tcPr>
            <w:tcW w:w="666"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3 months</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235.70±7.876</w:t>
            </w:r>
            <w:r w:rsidRPr="006B17F4">
              <w:rPr>
                <w:color w:val="000000"/>
                <w:sz w:val="20"/>
                <w:szCs w:val="20"/>
                <w:vertAlign w:val="superscript"/>
              </w:rPr>
              <w:t>#</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231.38±8.71</w:t>
            </w:r>
            <w:r w:rsidRPr="006B17F4">
              <w:rPr>
                <w:color w:val="000000"/>
                <w:sz w:val="20"/>
                <w:szCs w:val="20"/>
                <w:vertAlign w:val="superscript"/>
              </w:rPr>
              <w:t>#</w:t>
            </w:r>
          </w:p>
        </w:tc>
        <w:tc>
          <w:tcPr>
            <w:tcW w:w="50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0.011*</w:t>
            </w:r>
          </w:p>
        </w:tc>
        <w:tc>
          <w:tcPr>
            <w:tcW w:w="91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286.62±16.74</w:t>
            </w:r>
            <w:r w:rsidRPr="006B17F4">
              <w:rPr>
                <w:color w:val="000000"/>
                <w:sz w:val="20"/>
                <w:szCs w:val="20"/>
                <w:vertAlign w:val="superscript"/>
              </w:rPr>
              <w:t>#</w:t>
            </w:r>
          </w:p>
        </w:tc>
        <w:tc>
          <w:tcPr>
            <w:tcW w:w="553"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270.48±5.92</w:t>
            </w:r>
            <w:r w:rsidRPr="006B17F4">
              <w:rPr>
                <w:color w:val="000000"/>
                <w:sz w:val="20"/>
                <w:szCs w:val="20"/>
                <w:vertAlign w:val="superscript"/>
              </w:rPr>
              <w:t>#</w:t>
            </w:r>
          </w:p>
        </w:tc>
        <w:tc>
          <w:tcPr>
            <w:tcW w:w="575"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&lt;0.001*</w:t>
            </w:r>
          </w:p>
        </w:tc>
      </w:tr>
      <w:tr w:rsidR="006451BC" w:rsidRPr="006B17F4" w:rsidTr="00814B98">
        <w:trPr>
          <w:jc w:val="center"/>
        </w:trPr>
        <w:tc>
          <w:tcPr>
            <w:tcW w:w="666"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 months</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232.24±8.666</w:t>
            </w:r>
            <w:r w:rsidRPr="006B17F4">
              <w:rPr>
                <w:color w:val="000000"/>
                <w:sz w:val="20"/>
                <w:szCs w:val="20"/>
                <w:vertAlign w:val="superscript"/>
              </w:rPr>
              <w:t>#</w:t>
            </w:r>
          </w:p>
        </w:tc>
        <w:tc>
          <w:tcPr>
            <w:tcW w:w="898"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227.82±6.82</w:t>
            </w:r>
            <w:r w:rsidRPr="006B17F4">
              <w:rPr>
                <w:color w:val="000000"/>
                <w:sz w:val="20"/>
                <w:szCs w:val="20"/>
                <w:vertAlign w:val="superscript"/>
              </w:rPr>
              <w:t>#</w:t>
            </w:r>
          </w:p>
        </w:tc>
        <w:tc>
          <w:tcPr>
            <w:tcW w:w="50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0.006*</w:t>
            </w:r>
          </w:p>
        </w:tc>
        <w:tc>
          <w:tcPr>
            <w:tcW w:w="910"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276.4±10.22</w:t>
            </w:r>
            <w:r w:rsidRPr="006B17F4">
              <w:rPr>
                <w:color w:val="000000"/>
                <w:sz w:val="20"/>
                <w:szCs w:val="20"/>
                <w:vertAlign w:val="superscript"/>
              </w:rPr>
              <w:t>#</w:t>
            </w:r>
          </w:p>
        </w:tc>
        <w:tc>
          <w:tcPr>
            <w:tcW w:w="553"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268.34±5.32</w:t>
            </w:r>
            <w:r w:rsidRPr="006B17F4">
              <w:rPr>
                <w:color w:val="000000"/>
                <w:sz w:val="20"/>
                <w:szCs w:val="20"/>
                <w:vertAlign w:val="superscript"/>
              </w:rPr>
              <w:t>#</w:t>
            </w:r>
          </w:p>
        </w:tc>
        <w:tc>
          <w:tcPr>
            <w:tcW w:w="575"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&lt;0.001*</w:t>
            </w:r>
          </w:p>
        </w:tc>
      </w:tr>
    </w:tbl>
    <w:p w:rsidR="00FC648F" w:rsidRPr="006B17F4" w:rsidRDefault="00FC648F" w:rsidP="00814B98">
      <w:pPr>
        <w:autoSpaceDE w:val="0"/>
        <w:autoSpaceDN w:val="0"/>
        <w:bidi w:val="0"/>
        <w:adjustRightInd w:val="0"/>
        <w:snapToGrid w:val="0"/>
        <w:jc w:val="both"/>
        <w:rPr>
          <w:i/>
          <w:iCs/>
          <w:sz w:val="20"/>
          <w:szCs w:val="20"/>
        </w:rPr>
      </w:pPr>
      <w:r w:rsidRPr="006B17F4">
        <w:rPr>
          <w:i/>
          <w:iCs/>
          <w:sz w:val="20"/>
          <w:szCs w:val="20"/>
        </w:rPr>
        <w:t># = significant increase when compared to corresponding preoperative values in each</w:t>
      </w:r>
      <w:r w:rsidR="00006D79" w:rsidRPr="006B17F4">
        <w:rPr>
          <w:i/>
          <w:iCs/>
          <w:sz w:val="20"/>
          <w:szCs w:val="20"/>
        </w:rPr>
        <w:t xml:space="preserve"> group separately</w:t>
      </w:r>
      <w:r w:rsidRPr="006B17F4">
        <w:rPr>
          <w:i/>
          <w:iCs/>
          <w:sz w:val="20"/>
          <w:szCs w:val="20"/>
        </w:rPr>
        <w:t>.</w:t>
      </w:r>
    </w:p>
    <w:p w:rsidR="006B17F4" w:rsidRPr="006B17F4" w:rsidRDefault="006B17F4" w:rsidP="00814B98">
      <w:pPr>
        <w:autoSpaceDE w:val="0"/>
        <w:autoSpaceDN w:val="0"/>
        <w:bidi w:val="0"/>
        <w:adjustRightInd w:val="0"/>
        <w:snapToGrid w:val="0"/>
        <w:jc w:val="both"/>
        <w:rPr>
          <w:rFonts w:eastAsiaTheme="minorEastAsia" w:hint="eastAsia"/>
          <w:b/>
          <w:bCs/>
          <w:sz w:val="20"/>
          <w:szCs w:val="20"/>
          <w:lang w:eastAsia="zh-CN"/>
        </w:rPr>
      </w:pPr>
    </w:p>
    <w:p w:rsidR="006B17F4" w:rsidRPr="006B17F4" w:rsidRDefault="006B17F4" w:rsidP="006B17F4">
      <w:pPr>
        <w:autoSpaceDE w:val="0"/>
        <w:autoSpaceDN w:val="0"/>
        <w:bidi w:val="0"/>
        <w:adjustRightInd w:val="0"/>
        <w:snapToGrid w:val="0"/>
        <w:jc w:val="both"/>
        <w:rPr>
          <w:rFonts w:eastAsiaTheme="minorEastAsia" w:hint="eastAsia"/>
          <w:b/>
          <w:bCs/>
          <w:sz w:val="20"/>
          <w:szCs w:val="20"/>
          <w:lang w:eastAsia="zh-CN"/>
        </w:rPr>
      </w:pPr>
    </w:p>
    <w:p w:rsidR="006B17F4" w:rsidRDefault="006B17F4" w:rsidP="006B17F4">
      <w:pPr>
        <w:autoSpaceDE w:val="0"/>
        <w:autoSpaceDN w:val="0"/>
        <w:bidi w:val="0"/>
        <w:adjustRightInd w:val="0"/>
        <w:snapToGrid w:val="0"/>
        <w:jc w:val="both"/>
        <w:rPr>
          <w:rFonts w:eastAsiaTheme="minorEastAsia" w:hint="eastAsia"/>
          <w:b/>
          <w:bCs/>
          <w:sz w:val="20"/>
          <w:szCs w:val="20"/>
          <w:lang w:eastAsia="zh-CN"/>
        </w:rPr>
      </w:pPr>
    </w:p>
    <w:p w:rsidR="00FC648F" w:rsidRPr="006B17F4" w:rsidRDefault="00FC648F" w:rsidP="006B17F4">
      <w:pPr>
        <w:autoSpaceDE w:val="0"/>
        <w:autoSpaceDN w:val="0"/>
        <w:bidi w:val="0"/>
        <w:adjustRightInd w:val="0"/>
        <w:snapToGrid w:val="0"/>
        <w:jc w:val="both"/>
        <w:rPr>
          <w:b/>
          <w:bCs/>
          <w:sz w:val="20"/>
          <w:szCs w:val="20"/>
        </w:rPr>
      </w:pPr>
      <w:r w:rsidRPr="006B17F4">
        <w:rPr>
          <w:b/>
          <w:bCs/>
          <w:sz w:val="20"/>
          <w:szCs w:val="20"/>
        </w:rPr>
        <w:t>Table</w:t>
      </w:r>
      <w:r w:rsidR="006451BC" w:rsidRPr="006B17F4">
        <w:rPr>
          <w:b/>
          <w:bCs/>
          <w:sz w:val="20"/>
          <w:szCs w:val="20"/>
        </w:rPr>
        <w:t xml:space="preserve"> (5</w:t>
      </w:r>
      <w:r w:rsidRPr="006B17F4">
        <w:rPr>
          <w:b/>
          <w:bCs/>
          <w:sz w:val="20"/>
          <w:szCs w:val="20"/>
        </w:rPr>
        <w:t>)</w:t>
      </w:r>
      <w:r w:rsidR="00441B26" w:rsidRPr="006B17F4">
        <w:rPr>
          <w:b/>
          <w:bCs/>
          <w:sz w:val="20"/>
          <w:szCs w:val="20"/>
        </w:rPr>
        <w:t>:</w:t>
      </w:r>
      <w:r w:rsidRPr="006B17F4">
        <w:rPr>
          <w:b/>
          <w:bCs/>
          <w:sz w:val="20"/>
          <w:szCs w:val="20"/>
        </w:rPr>
        <w:t xml:space="preserve"> Comparison between study and control groups as regard to </w:t>
      </w:r>
      <w:proofErr w:type="spellStart"/>
      <w:r w:rsidRPr="006B17F4">
        <w:rPr>
          <w:b/>
          <w:bCs/>
          <w:sz w:val="20"/>
          <w:szCs w:val="20"/>
        </w:rPr>
        <w:t>fundus</w:t>
      </w:r>
      <w:proofErr w:type="spellEnd"/>
      <w:r w:rsidRPr="006B17F4">
        <w:rPr>
          <w:b/>
          <w:bCs/>
          <w:sz w:val="20"/>
          <w:szCs w:val="20"/>
        </w:rPr>
        <w:t xml:space="preserve"> outer circle </w:t>
      </w:r>
      <w:r w:rsidR="006451BC" w:rsidRPr="006B17F4">
        <w:rPr>
          <w:b/>
          <w:bCs/>
          <w:sz w:val="20"/>
          <w:szCs w:val="20"/>
        </w:rPr>
        <w:t xml:space="preserve">and </w:t>
      </w:r>
      <w:proofErr w:type="spellStart"/>
      <w:r w:rsidR="006451BC" w:rsidRPr="006B17F4">
        <w:rPr>
          <w:b/>
          <w:bCs/>
          <w:sz w:val="20"/>
          <w:szCs w:val="20"/>
        </w:rPr>
        <w:t>fundus</w:t>
      </w:r>
      <w:proofErr w:type="spellEnd"/>
      <w:r w:rsidR="006451BC" w:rsidRPr="006B17F4">
        <w:rPr>
          <w:b/>
          <w:bCs/>
          <w:sz w:val="20"/>
          <w:szCs w:val="20"/>
        </w:rPr>
        <w:t xml:space="preserve"> TMV </w:t>
      </w:r>
      <w:r w:rsidRPr="006B17F4">
        <w:rPr>
          <w:b/>
          <w:bCs/>
          <w:sz w:val="20"/>
          <w:szCs w:val="20"/>
        </w:rPr>
        <w:t>at different times</w:t>
      </w:r>
      <w:r w:rsidR="009C7943" w:rsidRPr="006B17F4">
        <w:rPr>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0"/>
        <w:gridCol w:w="2021"/>
        <w:gridCol w:w="1132"/>
        <w:gridCol w:w="914"/>
        <w:gridCol w:w="1132"/>
        <w:gridCol w:w="914"/>
        <w:gridCol w:w="789"/>
        <w:gridCol w:w="1306"/>
      </w:tblGrid>
      <w:tr w:rsidR="006451BC" w:rsidRPr="006B17F4" w:rsidTr="00814B98">
        <w:trPr>
          <w:jc w:val="center"/>
        </w:trPr>
        <w:tc>
          <w:tcPr>
            <w:tcW w:w="1770" w:type="pct"/>
            <w:gridSpan w:val="2"/>
            <w:vMerge w:val="restart"/>
          </w:tcPr>
          <w:p w:rsidR="006451BC" w:rsidRPr="006B17F4" w:rsidRDefault="006451BC" w:rsidP="00814B98">
            <w:pPr>
              <w:autoSpaceDE w:val="0"/>
              <w:autoSpaceDN w:val="0"/>
              <w:bidi w:val="0"/>
              <w:adjustRightInd w:val="0"/>
              <w:snapToGrid w:val="0"/>
              <w:jc w:val="both"/>
              <w:rPr>
                <w:color w:val="000000"/>
                <w:sz w:val="20"/>
                <w:szCs w:val="20"/>
              </w:rPr>
            </w:pPr>
          </w:p>
        </w:tc>
        <w:tc>
          <w:tcPr>
            <w:tcW w:w="1068" w:type="pct"/>
            <w:gridSpan w:val="2"/>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Diabetic</w:t>
            </w:r>
          </w:p>
        </w:tc>
        <w:tc>
          <w:tcPr>
            <w:tcW w:w="1068" w:type="pct"/>
            <w:gridSpan w:val="2"/>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Non-diabetic</w:t>
            </w:r>
          </w:p>
        </w:tc>
        <w:tc>
          <w:tcPr>
            <w:tcW w:w="412" w:type="pct"/>
            <w:vMerge w:val="restar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t</w:t>
            </w:r>
          </w:p>
        </w:tc>
        <w:tc>
          <w:tcPr>
            <w:tcW w:w="682" w:type="pct"/>
            <w:vMerge w:val="restar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p</w:t>
            </w:r>
          </w:p>
        </w:tc>
      </w:tr>
      <w:tr w:rsidR="006451BC" w:rsidRPr="006B17F4" w:rsidTr="00814B98">
        <w:trPr>
          <w:jc w:val="center"/>
        </w:trPr>
        <w:tc>
          <w:tcPr>
            <w:tcW w:w="1770" w:type="pct"/>
            <w:gridSpan w:val="2"/>
            <w:vMerge/>
          </w:tcPr>
          <w:p w:rsidR="006451BC" w:rsidRPr="006B17F4" w:rsidRDefault="006451BC" w:rsidP="00814B98">
            <w:pPr>
              <w:autoSpaceDE w:val="0"/>
              <w:autoSpaceDN w:val="0"/>
              <w:bidi w:val="0"/>
              <w:adjustRightInd w:val="0"/>
              <w:snapToGrid w:val="0"/>
              <w:jc w:val="both"/>
              <w:rPr>
                <w:color w:val="000000"/>
                <w:sz w:val="20"/>
                <w:szCs w:val="20"/>
              </w:rPr>
            </w:pP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Mean</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SD</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Mean</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SD</w:t>
            </w:r>
          </w:p>
        </w:tc>
        <w:tc>
          <w:tcPr>
            <w:tcW w:w="412" w:type="pct"/>
            <w:vMerge/>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p>
        </w:tc>
        <w:tc>
          <w:tcPr>
            <w:tcW w:w="682" w:type="pct"/>
            <w:vMerge/>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p>
        </w:tc>
      </w:tr>
      <w:tr w:rsidR="006451BC" w:rsidRPr="006B17F4" w:rsidTr="00814B98">
        <w:trPr>
          <w:jc w:val="center"/>
        </w:trPr>
        <w:tc>
          <w:tcPr>
            <w:tcW w:w="715" w:type="pct"/>
            <w:vMerge w:val="restart"/>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Inner circle</w:t>
            </w:r>
          </w:p>
        </w:tc>
        <w:tc>
          <w:tcPr>
            <w:tcW w:w="1055"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proofErr w:type="spellStart"/>
            <w:r w:rsidRPr="006B17F4">
              <w:rPr>
                <w:color w:val="000000"/>
                <w:sz w:val="20"/>
                <w:szCs w:val="20"/>
              </w:rPr>
              <w:t>Preop</w:t>
            </w:r>
            <w:proofErr w:type="spellEnd"/>
            <w:r w:rsidRPr="006B17F4">
              <w:rPr>
                <w:color w:val="000000"/>
                <w:sz w:val="20"/>
                <w:szCs w:val="20"/>
              </w:rPr>
              <w:t>. outer circle</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234.28</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7.24</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233.46</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4.79</w:t>
            </w:r>
          </w:p>
        </w:tc>
        <w:tc>
          <w:tcPr>
            <w:tcW w:w="41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0.67</w:t>
            </w:r>
          </w:p>
        </w:tc>
        <w:tc>
          <w:tcPr>
            <w:tcW w:w="68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0.506(NS)</w:t>
            </w:r>
          </w:p>
        </w:tc>
      </w:tr>
      <w:tr w:rsidR="006451BC" w:rsidRPr="006B17F4" w:rsidTr="00814B98">
        <w:trPr>
          <w:jc w:val="center"/>
        </w:trPr>
        <w:tc>
          <w:tcPr>
            <w:tcW w:w="715" w:type="pct"/>
            <w:vMerge/>
          </w:tcPr>
          <w:p w:rsidR="006451BC" w:rsidRPr="006B17F4" w:rsidRDefault="006451BC" w:rsidP="00814B98">
            <w:pPr>
              <w:autoSpaceDE w:val="0"/>
              <w:autoSpaceDN w:val="0"/>
              <w:bidi w:val="0"/>
              <w:adjustRightInd w:val="0"/>
              <w:snapToGrid w:val="0"/>
              <w:jc w:val="both"/>
              <w:rPr>
                <w:color w:val="000000"/>
                <w:sz w:val="20"/>
                <w:szCs w:val="20"/>
              </w:rPr>
            </w:pPr>
          </w:p>
        </w:tc>
        <w:tc>
          <w:tcPr>
            <w:tcW w:w="1055"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At 1-month PO</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250.86</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20.20</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245.68</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17.46</w:t>
            </w:r>
          </w:p>
        </w:tc>
        <w:tc>
          <w:tcPr>
            <w:tcW w:w="412" w:type="pct"/>
            <w:shd w:val="clear" w:color="auto" w:fill="auto"/>
          </w:tcPr>
          <w:p w:rsidR="006451BC" w:rsidRPr="006B17F4" w:rsidRDefault="006451BC" w:rsidP="00814B98">
            <w:pPr>
              <w:tabs>
                <w:tab w:val="left" w:pos="267"/>
              </w:tabs>
              <w:autoSpaceDE w:val="0"/>
              <w:autoSpaceDN w:val="0"/>
              <w:bidi w:val="0"/>
              <w:adjustRightInd w:val="0"/>
              <w:snapToGrid w:val="0"/>
              <w:jc w:val="both"/>
              <w:rPr>
                <w:color w:val="000000"/>
                <w:sz w:val="20"/>
                <w:szCs w:val="20"/>
              </w:rPr>
            </w:pPr>
            <w:r w:rsidRPr="006B17F4">
              <w:rPr>
                <w:color w:val="000000"/>
                <w:sz w:val="20"/>
                <w:szCs w:val="20"/>
              </w:rPr>
              <w:t>1.37</w:t>
            </w:r>
          </w:p>
        </w:tc>
        <w:tc>
          <w:tcPr>
            <w:tcW w:w="68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0.173(NS)</w:t>
            </w:r>
          </w:p>
        </w:tc>
      </w:tr>
      <w:tr w:rsidR="006451BC" w:rsidRPr="006B17F4" w:rsidTr="00814B98">
        <w:trPr>
          <w:jc w:val="center"/>
        </w:trPr>
        <w:tc>
          <w:tcPr>
            <w:tcW w:w="715" w:type="pct"/>
            <w:vMerge/>
          </w:tcPr>
          <w:p w:rsidR="006451BC" w:rsidRPr="006B17F4" w:rsidRDefault="006451BC" w:rsidP="00814B98">
            <w:pPr>
              <w:autoSpaceDE w:val="0"/>
              <w:autoSpaceDN w:val="0"/>
              <w:bidi w:val="0"/>
              <w:adjustRightInd w:val="0"/>
              <w:snapToGrid w:val="0"/>
              <w:jc w:val="both"/>
              <w:rPr>
                <w:color w:val="000000"/>
                <w:sz w:val="20"/>
                <w:szCs w:val="20"/>
              </w:rPr>
            </w:pPr>
          </w:p>
        </w:tc>
        <w:tc>
          <w:tcPr>
            <w:tcW w:w="1055"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At 3 months PO</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245.32</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12.45</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241.74</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15.09</w:t>
            </w:r>
          </w:p>
        </w:tc>
        <w:tc>
          <w:tcPr>
            <w:tcW w:w="412" w:type="pct"/>
            <w:shd w:val="clear" w:color="auto" w:fill="auto"/>
          </w:tcPr>
          <w:p w:rsidR="006451BC" w:rsidRPr="006B17F4" w:rsidRDefault="006451BC" w:rsidP="00814B98">
            <w:pPr>
              <w:tabs>
                <w:tab w:val="left" w:pos="302"/>
              </w:tabs>
              <w:autoSpaceDE w:val="0"/>
              <w:autoSpaceDN w:val="0"/>
              <w:bidi w:val="0"/>
              <w:adjustRightInd w:val="0"/>
              <w:snapToGrid w:val="0"/>
              <w:jc w:val="both"/>
              <w:rPr>
                <w:color w:val="000000"/>
                <w:sz w:val="20"/>
                <w:szCs w:val="20"/>
              </w:rPr>
            </w:pPr>
            <w:r w:rsidRPr="006B17F4">
              <w:rPr>
                <w:color w:val="000000"/>
                <w:sz w:val="20"/>
                <w:szCs w:val="20"/>
              </w:rPr>
              <w:t>1.29</w:t>
            </w:r>
          </w:p>
        </w:tc>
        <w:tc>
          <w:tcPr>
            <w:tcW w:w="68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0.19(NS)</w:t>
            </w:r>
          </w:p>
        </w:tc>
      </w:tr>
      <w:tr w:rsidR="006451BC" w:rsidRPr="006B17F4" w:rsidTr="00814B98">
        <w:trPr>
          <w:jc w:val="center"/>
        </w:trPr>
        <w:tc>
          <w:tcPr>
            <w:tcW w:w="715" w:type="pct"/>
            <w:vMerge/>
          </w:tcPr>
          <w:p w:rsidR="006451BC" w:rsidRPr="006B17F4" w:rsidRDefault="006451BC" w:rsidP="00814B98">
            <w:pPr>
              <w:autoSpaceDE w:val="0"/>
              <w:autoSpaceDN w:val="0"/>
              <w:bidi w:val="0"/>
              <w:adjustRightInd w:val="0"/>
              <w:snapToGrid w:val="0"/>
              <w:jc w:val="both"/>
              <w:rPr>
                <w:color w:val="000000"/>
                <w:sz w:val="20"/>
                <w:szCs w:val="20"/>
              </w:rPr>
            </w:pPr>
          </w:p>
        </w:tc>
        <w:tc>
          <w:tcPr>
            <w:tcW w:w="1055"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At 6 months PO</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239.10</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6.08</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236.98</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5.519</w:t>
            </w:r>
          </w:p>
        </w:tc>
        <w:tc>
          <w:tcPr>
            <w:tcW w:w="412" w:type="pct"/>
            <w:shd w:val="clear" w:color="auto" w:fill="auto"/>
          </w:tcPr>
          <w:p w:rsidR="006451BC" w:rsidRPr="006B17F4" w:rsidRDefault="006451BC" w:rsidP="00814B98">
            <w:pPr>
              <w:tabs>
                <w:tab w:val="left" w:pos="453"/>
              </w:tabs>
              <w:autoSpaceDE w:val="0"/>
              <w:autoSpaceDN w:val="0"/>
              <w:bidi w:val="0"/>
              <w:adjustRightInd w:val="0"/>
              <w:snapToGrid w:val="0"/>
              <w:jc w:val="both"/>
              <w:rPr>
                <w:color w:val="000000"/>
                <w:sz w:val="20"/>
                <w:szCs w:val="20"/>
              </w:rPr>
            </w:pPr>
            <w:r w:rsidRPr="006B17F4">
              <w:rPr>
                <w:color w:val="000000"/>
                <w:sz w:val="20"/>
                <w:szCs w:val="20"/>
              </w:rPr>
              <w:t>1.82</w:t>
            </w:r>
          </w:p>
        </w:tc>
        <w:tc>
          <w:tcPr>
            <w:tcW w:w="68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0.071(NS)</w:t>
            </w:r>
          </w:p>
        </w:tc>
      </w:tr>
      <w:tr w:rsidR="006451BC" w:rsidRPr="006B17F4" w:rsidTr="00814B98">
        <w:trPr>
          <w:jc w:val="center"/>
        </w:trPr>
        <w:tc>
          <w:tcPr>
            <w:tcW w:w="715" w:type="pct"/>
            <w:vMerge w:val="restart"/>
          </w:tcPr>
          <w:p w:rsidR="006451BC" w:rsidRPr="006B17F4" w:rsidRDefault="006451BC" w:rsidP="00814B98">
            <w:pPr>
              <w:autoSpaceDE w:val="0"/>
              <w:autoSpaceDN w:val="0"/>
              <w:bidi w:val="0"/>
              <w:adjustRightInd w:val="0"/>
              <w:snapToGrid w:val="0"/>
              <w:jc w:val="both"/>
              <w:rPr>
                <w:color w:val="000000"/>
                <w:sz w:val="20"/>
                <w:szCs w:val="20"/>
              </w:rPr>
            </w:pPr>
            <w:proofErr w:type="spellStart"/>
            <w:r w:rsidRPr="006B17F4">
              <w:rPr>
                <w:color w:val="000000"/>
                <w:sz w:val="20"/>
                <w:szCs w:val="20"/>
              </w:rPr>
              <w:t>Fundus</w:t>
            </w:r>
            <w:proofErr w:type="spellEnd"/>
          </w:p>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TMV</w:t>
            </w:r>
          </w:p>
        </w:tc>
        <w:tc>
          <w:tcPr>
            <w:tcW w:w="1055" w:type="pct"/>
            <w:shd w:val="clear" w:color="auto" w:fill="auto"/>
          </w:tcPr>
          <w:p w:rsidR="006451BC" w:rsidRPr="006B17F4" w:rsidRDefault="006451BC" w:rsidP="00814B98">
            <w:pPr>
              <w:autoSpaceDE w:val="0"/>
              <w:autoSpaceDN w:val="0"/>
              <w:bidi w:val="0"/>
              <w:adjustRightInd w:val="0"/>
              <w:snapToGrid w:val="0"/>
              <w:jc w:val="both"/>
              <w:rPr>
                <w:i/>
                <w:iCs/>
                <w:color w:val="000000"/>
                <w:sz w:val="20"/>
                <w:szCs w:val="20"/>
              </w:rPr>
            </w:pPr>
            <w:r w:rsidRPr="006B17F4">
              <w:rPr>
                <w:i/>
                <w:iCs/>
                <w:color w:val="000000"/>
                <w:sz w:val="20"/>
                <w:szCs w:val="20"/>
              </w:rPr>
              <w:t>Preoperative TMV</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6.81</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0.16</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6.76</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0.13</w:t>
            </w:r>
          </w:p>
        </w:tc>
        <w:tc>
          <w:tcPr>
            <w:tcW w:w="41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1.41</w:t>
            </w:r>
          </w:p>
        </w:tc>
        <w:tc>
          <w:tcPr>
            <w:tcW w:w="682"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0.16(NS)</w:t>
            </w:r>
          </w:p>
        </w:tc>
      </w:tr>
      <w:tr w:rsidR="006451BC" w:rsidRPr="006B17F4" w:rsidTr="00814B98">
        <w:trPr>
          <w:jc w:val="center"/>
        </w:trPr>
        <w:tc>
          <w:tcPr>
            <w:tcW w:w="715" w:type="pct"/>
            <w:vMerge/>
          </w:tcPr>
          <w:p w:rsidR="006451BC" w:rsidRPr="006B17F4" w:rsidRDefault="006451BC" w:rsidP="00814B98">
            <w:pPr>
              <w:autoSpaceDE w:val="0"/>
              <w:autoSpaceDN w:val="0"/>
              <w:bidi w:val="0"/>
              <w:adjustRightInd w:val="0"/>
              <w:snapToGrid w:val="0"/>
              <w:jc w:val="both"/>
              <w:rPr>
                <w:color w:val="000000"/>
                <w:sz w:val="20"/>
                <w:szCs w:val="20"/>
              </w:rPr>
            </w:pPr>
          </w:p>
        </w:tc>
        <w:tc>
          <w:tcPr>
            <w:tcW w:w="1055" w:type="pct"/>
            <w:shd w:val="clear" w:color="auto" w:fill="auto"/>
          </w:tcPr>
          <w:p w:rsidR="006451BC" w:rsidRPr="006B17F4" w:rsidRDefault="006451BC" w:rsidP="00814B98">
            <w:pPr>
              <w:autoSpaceDE w:val="0"/>
              <w:autoSpaceDN w:val="0"/>
              <w:bidi w:val="0"/>
              <w:adjustRightInd w:val="0"/>
              <w:snapToGrid w:val="0"/>
              <w:jc w:val="both"/>
              <w:rPr>
                <w:i/>
                <w:iCs/>
                <w:color w:val="000000"/>
                <w:sz w:val="20"/>
                <w:szCs w:val="20"/>
              </w:rPr>
            </w:pPr>
            <w:r w:rsidRPr="006B17F4">
              <w:rPr>
                <w:i/>
                <w:iCs/>
                <w:color w:val="000000"/>
                <w:sz w:val="20"/>
                <w:szCs w:val="20"/>
              </w:rPr>
              <w:t>At 1 month PO</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7.09</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0.46</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6.91</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0.31</w:t>
            </w:r>
          </w:p>
        </w:tc>
        <w:tc>
          <w:tcPr>
            <w:tcW w:w="412"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2.28</w:t>
            </w:r>
          </w:p>
        </w:tc>
        <w:tc>
          <w:tcPr>
            <w:tcW w:w="682"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0.025*</w:t>
            </w:r>
          </w:p>
        </w:tc>
      </w:tr>
      <w:tr w:rsidR="006451BC" w:rsidRPr="006B17F4" w:rsidTr="00814B98">
        <w:trPr>
          <w:jc w:val="center"/>
        </w:trPr>
        <w:tc>
          <w:tcPr>
            <w:tcW w:w="715" w:type="pct"/>
            <w:vMerge/>
          </w:tcPr>
          <w:p w:rsidR="006451BC" w:rsidRPr="006B17F4" w:rsidRDefault="006451BC" w:rsidP="00814B98">
            <w:pPr>
              <w:autoSpaceDE w:val="0"/>
              <w:autoSpaceDN w:val="0"/>
              <w:bidi w:val="0"/>
              <w:adjustRightInd w:val="0"/>
              <w:snapToGrid w:val="0"/>
              <w:jc w:val="both"/>
              <w:rPr>
                <w:color w:val="000000"/>
                <w:sz w:val="20"/>
                <w:szCs w:val="20"/>
              </w:rPr>
            </w:pPr>
          </w:p>
        </w:tc>
        <w:tc>
          <w:tcPr>
            <w:tcW w:w="1055" w:type="pct"/>
            <w:shd w:val="clear" w:color="auto" w:fill="auto"/>
          </w:tcPr>
          <w:p w:rsidR="006451BC" w:rsidRPr="006B17F4" w:rsidRDefault="006451BC" w:rsidP="00814B98">
            <w:pPr>
              <w:autoSpaceDE w:val="0"/>
              <w:autoSpaceDN w:val="0"/>
              <w:bidi w:val="0"/>
              <w:adjustRightInd w:val="0"/>
              <w:snapToGrid w:val="0"/>
              <w:jc w:val="both"/>
              <w:rPr>
                <w:i/>
                <w:iCs/>
                <w:color w:val="000000"/>
                <w:sz w:val="20"/>
                <w:szCs w:val="20"/>
              </w:rPr>
            </w:pPr>
            <w:r w:rsidRPr="006B17F4">
              <w:rPr>
                <w:i/>
                <w:iCs/>
                <w:color w:val="000000"/>
                <w:sz w:val="20"/>
                <w:szCs w:val="20"/>
              </w:rPr>
              <w:t>At 3 months PO</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6.98</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0.18</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6.80</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0.14</w:t>
            </w:r>
          </w:p>
        </w:tc>
        <w:tc>
          <w:tcPr>
            <w:tcW w:w="412"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5.18</w:t>
            </w:r>
          </w:p>
        </w:tc>
        <w:tc>
          <w:tcPr>
            <w:tcW w:w="682"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&lt;0.001*</w:t>
            </w:r>
          </w:p>
        </w:tc>
      </w:tr>
      <w:tr w:rsidR="006451BC" w:rsidRPr="006B17F4" w:rsidTr="00814B98">
        <w:trPr>
          <w:jc w:val="center"/>
        </w:trPr>
        <w:tc>
          <w:tcPr>
            <w:tcW w:w="715" w:type="pct"/>
            <w:vMerge/>
          </w:tcPr>
          <w:p w:rsidR="006451BC" w:rsidRPr="006B17F4" w:rsidRDefault="006451BC" w:rsidP="00814B98">
            <w:pPr>
              <w:autoSpaceDE w:val="0"/>
              <w:autoSpaceDN w:val="0"/>
              <w:bidi w:val="0"/>
              <w:adjustRightInd w:val="0"/>
              <w:snapToGrid w:val="0"/>
              <w:jc w:val="both"/>
              <w:rPr>
                <w:color w:val="000000"/>
                <w:sz w:val="20"/>
                <w:szCs w:val="20"/>
              </w:rPr>
            </w:pPr>
          </w:p>
        </w:tc>
        <w:tc>
          <w:tcPr>
            <w:tcW w:w="1055" w:type="pct"/>
            <w:shd w:val="clear" w:color="auto" w:fill="auto"/>
          </w:tcPr>
          <w:p w:rsidR="006451BC" w:rsidRPr="006B17F4" w:rsidRDefault="006451BC" w:rsidP="00814B98">
            <w:pPr>
              <w:autoSpaceDE w:val="0"/>
              <w:autoSpaceDN w:val="0"/>
              <w:bidi w:val="0"/>
              <w:adjustRightInd w:val="0"/>
              <w:snapToGrid w:val="0"/>
              <w:jc w:val="both"/>
              <w:rPr>
                <w:i/>
                <w:iCs/>
                <w:color w:val="000000"/>
                <w:sz w:val="20"/>
                <w:szCs w:val="20"/>
              </w:rPr>
            </w:pPr>
            <w:r w:rsidRPr="006B17F4">
              <w:rPr>
                <w:i/>
                <w:iCs/>
                <w:color w:val="000000"/>
                <w:sz w:val="20"/>
                <w:szCs w:val="20"/>
              </w:rPr>
              <w:t>At 6 months PO</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6.92</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0.17</w:t>
            </w:r>
          </w:p>
        </w:tc>
        <w:tc>
          <w:tcPr>
            <w:tcW w:w="591"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6.80</w:t>
            </w:r>
            <w:r w:rsidRPr="006B17F4">
              <w:rPr>
                <w:color w:val="000000"/>
                <w:sz w:val="20"/>
                <w:szCs w:val="20"/>
                <w:vertAlign w:val="superscript"/>
              </w:rPr>
              <w:t>#</w:t>
            </w:r>
          </w:p>
        </w:tc>
        <w:tc>
          <w:tcPr>
            <w:tcW w:w="477" w:type="pct"/>
            <w:shd w:val="clear" w:color="auto" w:fill="auto"/>
          </w:tcPr>
          <w:p w:rsidR="006451BC" w:rsidRPr="006B17F4" w:rsidRDefault="006451BC" w:rsidP="00814B98">
            <w:pPr>
              <w:autoSpaceDE w:val="0"/>
              <w:autoSpaceDN w:val="0"/>
              <w:bidi w:val="0"/>
              <w:adjustRightInd w:val="0"/>
              <w:snapToGrid w:val="0"/>
              <w:jc w:val="both"/>
              <w:rPr>
                <w:color w:val="000000"/>
                <w:sz w:val="20"/>
                <w:szCs w:val="20"/>
              </w:rPr>
            </w:pPr>
            <w:r w:rsidRPr="006B17F4">
              <w:rPr>
                <w:color w:val="000000"/>
                <w:sz w:val="20"/>
                <w:szCs w:val="20"/>
              </w:rPr>
              <w:t>0.14</w:t>
            </w:r>
          </w:p>
        </w:tc>
        <w:tc>
          <w:tcPr>
            <w:tcW w:w="412"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3.81</w:t>
            </w:r>
          </w:p>
        </w:tc>
        <w:tc>
          <w:tcPr>
            <w:tcW w:w="682" w:type="pct"/>
            <w:shd w:val="clear" w:color="auto" w:fill="auto"/>
          </w:tcPr>
          <w:p w:rsidR="006451BC" w:rsidRPr="006B17F4" w:rsidRDefault="006451BC" w:rsidP="00814B98">
            <w:pPr>
              <w:autoSpaceDE w:val="0"/>
              <w:autoSpaceDN w:val="0"/>
              <w:bidi w:val="0"/>
              <w:adjustRightInd w:val="0"/>
              <w:snapToGrid w:val="0"/>
              <w:jc w:val="both"/>
              <w:rPr>
                <w:b/>
                <w:bCs/>
                <w:i/>
                <w:iCs/>
                <w:color w:val="000000"/>
                <w:sz w:val="20"/>
                <w:szCs w:val="20"/>
              </w:rPr>
            </w:pPr>
            <w:r w:rsidRPr="006B17F4">
              <w:rPr>
                <w:b/>
                <w:bCs/>
                <w:i/>
                <w:iCs/>
                <w:color w:val="000000"/>
                <w:sz w:val="20"/>
                <w:szCs w:val="20"/>
              </w:rPr>
              <w:t>&lt;0.001*</w:t>
            </w:r>
          </w:p>
        </w:tc>
      </w:tr>
    </w:tbl>
    <w:p w:rsidR="00FC648F" w:rsidRPr="006B17F4" w:rsidRDefault="00FC648F" w:rsidP="00814B98">
      <w:pPr>
        <w:autoSpaceDE w:val="0"/>
        <w:autoSpaceDN w:val="0"/>
        <w:bidi w:val="0"/>
        <w:adjustRightInd w:val="0"/>
        <w:snapToGrid w:val="0"/>
        <w:jc w:val="both"/>
        <w:rPr>
          <w:sz w:val="20"/>
          <w:szCs w:val="20"/>
        </w:rPr>
      </w:pPr>
      <w:r w:rsidRPr="006B17F4">
        <w:rPr>
          <w:sz w:val="20"/>
          <w:szCs w:val="20"/>
        </w:rPr>
        <w:t># = significant increase when compared to corresponding preoperative values in each group separately (paired t test); NS=non-significant.</w:t>
      </w:r>
    </w:p>
    <w:p w:rsidR="00814B98" w:rsidRDefault="00814B98" w:rsidP="00814B98">
      <w:pPr>
        <w:autoSpaceDE w:val="0"/>
        <w:autoSpaceDN w:val="0"/>
        <w:bidi w:val="0"/>
        <w:adjustRightInd w:val="0"/>
        <w:snapToGrid w:val="0"/>
        <w:jc w:val="both"/>
        <w:rPr>
          <w:rFonts w:eastAsiaTheme="minorEastAsia" w:hint="eastAsia"/>
          <w:b/>
          <w:bCs/>
          <w:sz w:val="20"/>
          <w:szCs w:val="20"/>
          <w:lang w:eastAsia="zh-CN" w:bidi="ar-EG"/>
        </w:rPr>
      </w:pPr>
    </w:p>
    <w:p w:rsidR="006B17F4" w:rsidRPr="006B17F4" w:rsidRDefault="006B17F4" w:rsidP="006B17F4">
      <w:pPr>
        <w:autoSpaceDE w:val="0"/>
        <w:autoSpaceDN w:val="0"/>
        <w:bidi w:val="0"/>
        <w:adjustRightInd w:val="0"/>
        <w:snapToGrid w:val="0"/>
        <w:jc w:val="both"/>
        <w:rPr>
          <w:rFonts w:eastAsiaTheme="minorEastAsia" w:hint="eastAsia"/>
          <w:b/>
          <w:bCs/>
          <w:sz w:val="20"/>
          <w:szCs w:val="20"/>
          <w:lang w:eastAsia="zh-CN" w:bidi="ar-EG"/>
        </w:rPr>
      </w:pPr>
    </w:p>
    <w:p w:rsidR="00814B98" w:rsidRPr="006B17F4" w:rsidRDefault="00814B98" w:rsidP="00814B98">
      <w:pPr>
        <w:autoSpaceDE w:val="0"/>
        <w:autoSpaceDN w:val="0"/>
        <w:bidi w:val="0"/>
        <w:adjustRightInd w:val="0"/>
        <w:snapToGrid w:val="0"/>
        <w:jc w:val="both"/>
        <w:rPr>
          <w:b/>
          <w:bCs/>
          <w:sz w:val="20"/>
          <w:szCs w:val="20"/>
          <w:lang w:bidi="ar-EG"/>
        </w:rPr>
        <w:sectPr w:rsidR="00814B98" w:rsidRPr="006B17F4" w:rsidSect="00C0635B">
          <w:headerReference w:type="default" r:id="rId15"/>
          <w:footerReference w:type="default" r:id="rId16"/>
          <w:type w:val="continuous"/>
          <w:pgSz w:w="12242" w:h="15842" w:code="1"/>
          <w:pgMar w:top="1440" w:right="1440" w:bottom="1440" w:left="1440" w:header="720" w:footer="720" w:gutter="0"/>
          <w:cols w:space="720"/>
          <w:docGrid w:linePitch="360"/>
        </w:sectPr>
      </w:pPr>
    </w:p>
    <w:p w:rsidR="00FC648F" w:rsidRPr="006B17F4" w:rsidRDefault="009C7943" w:rsidP="00814B98">
      <w:pPr>
        <w:autoSpaceDE w:val="0"/>
        <w:autoSpaceDN w:val="0"/>
        <w:bidi w:val="0"/>
        <w:adjustRightInd w:val="0"/>
        <w:snapToGrid w:val="0"/>
        <w:jc w:val="both"/>
        <w:rPr>
          <w:b/>
          <w:bCs/>
          <w:sz w:val="20"/>
          <w:szCs w:val="20"/>
          <w:lang w:bidi="ar-EG"/>
        </w:rPr>
      </w:pPr>
      <w:r w:rsidRPr="006B17F4">
        <w:rPr>
          <w:b/>
          <w:bCs/>
          <w:sz w:val="20"/>
          <w:szCs w:val="20"/>
          <w:lang w:bidi="ar-EG"/>
        </w:rPr>
        <w:lastRenderedPageBreak/>
        <w:t>4. Discussion</w:t>
      </w:r>
    </w:p>
    <w:p w:rsidR="00FC648F" w:rsidRPr="006B17F4" w:rsidRDefault="00FC648F" w:rsidP="00814B98">
      <w:pPr>
        <w:widowControl w:val="0"/>
        <w:autoSpaceDE w:val="0"/>
        <w:autoSpaceDN w:val="0"/>
        <w:bidi w:val="0"/>
        <w:adjustRightInd w:val="0"/>
        <w:snapToGrid w:val="0"/>
        <w:ind w:firstLine="425"/>
        <w:jc w:val="both"/>
        <w:rPr>
          <w:b/>
          <w:bCs/>
          <w:sz w:val="20"/>
          <w:szCs w:val="20"/>
        </w:rPr>
      </w:pPr>
      <w:r w:rsidRPr="006B17F4">
        <w:rPr>
          <w:sz w:val="20"/>
          <w:szCs w:val="20"/>
        </w:rPr>
        <w:t xml:space="preserve">In the present study, preoperative BCVA was ranged from 0.6 to 1.1 (Log MAR) with mean of 0.91 and standard deviation of 0.15; and there was significant less in study group when compared to control group (0.95±0.12 </w:t>
      </w:r>
      <w:proofErr w:type="spellStart"/>
      <w:r w:rsidRPr="006B17F4">
        <w:rPr>
          <w:sz w:val="20"/>
          <w:szCs w:val="20"/>
        </w:rPr>
        <w:t>vs</w:t>
      </w:r>
      <w:proofErr w:type="spellEnd"/>
      <w:r w:rsidRPr="006B17F4">
        <w:rPr>
          <w:sz w:val="20"/>
          <w:szCs w:val="20"/>
        </w:rPr>
        <w:t xml:space="preserve"> 0.86±0.17 respectively) because the density of cataract was more in diabetic group. This finding shows that impairments in the </w:t>
      </w:r>
      <w:proofErr w:type="spellStart"/>
      <w:r w:rsidRPr="006B17F4">
        <w:rPr>
          <w:sz w:val="20"/>
          <w:szCs w:val="20"/>
        </w:rPr>
        <w:t>osmoregulation</w:t>
      </w:r>
      <w:proofErr w:type="spellEnd"/>
      <w:r w:rsidRPr="006B17F4">
        <w:rPr>
          <w:sz w:val="20"/>
          <w:szCs w:val="20"/>
        </w:rPr>
        <w:t xml:space="preserve"> may render the lens susceptible to even small increase of </w:t>
      </w:r>
      <w:proofErr w:type="spellStart"/>
      <w:r w:rsidRPr="006B17F4">
        <w:rPr>
          <w:sz w:val="20"/>
          <w:szCs w:val="20"/>
        </w:rPr>
        <w:t>Aldose</w:t>
      </w:r>
      <w:proofErr w:type="spellEnd"/>
      <w:r w:rsidRPr="006B17F4">
        <w:rPr>
          <w:sz w:val="20"/>
          <w:szCs w:val="20"/>
        </w:rPr>
        <w:t xml:space="preserve"> </w:t>
      </w:r>
      <w:proofErr w:type="spellStart"/>
      <w:r w:rsidRPr="006B17F4">
        <w:rPr>
          <w:sz w:val="20"/>
          <w:szCs w:val="20"/>
        </w:rPr>
        <w:t>Reductase</w:t>
      </w:r>
      <w:proofErr w:type="spellEnd"/>
      <w:r w:rsidRPr="006B17F4">
        <w:rPr>
          <w:sz w:val="20"/>
          <w:szCs w:val="20"/>
        </w:rPr>
        <w:t xml:space="preserve"> stress potentially leading to progressive cataract information.</w:t>
      </w:r>
      <w:r w:rsidR="009C7943" w:rsidRPr="006B17F4">
        <w:rPr>
          <w:sz w:val="20"/>
          <w:szCs w:val="20"/>
        </w:rPr>
        <w:t xml:space="preserve"> </w:t>
      </w:r>
      <w:r w:rsidRPr="006B17F4">
        <w:rPr>
          <w:sz w:val="20"/>
          <w:szCs w:val="20"/>
        </w:rPr>
        <w:t>According to a study made by</w:t>
      </w:r>
      <w:r w:rsidR="009C7943" w:rsidRPr="006B17F4">
        <w:rPr>
          <w:b/>
          <w:bCs/>
          <w:sz w:val="20"/>
          <w:szCs w:val="20"/>
        </w:rPr>
        <w:t xml:space="preserve"> </w:t>
      </w:r>
      <w:proofErr w:type="spellStart"/>
      <w:r w:rsidRPr="006B17F4">
        <w:rPr>
          <w:b/>
          <w:bCs/>
          <w:sz w:val="20"/>
          <w:szCs w:val="20"/>
        </w:rPr>
        <w:t>Khedr</w:t>
      </w:r>
      <w:proofErr w:type="spellEnd"/>
      <w:r w:rsidRPr="006B17F4">
        <w:rPr>
          <w:b/>
          <w:bCs/>
          <w:sz w:val="20"/>
          <w:szCs w:val="20"/>
        </w:rPr>
        <w:t xml:space="preserve"> (2014), </w:t>
      </w:r>
      <w:r w:rsidRPr="006B17F4">
        <w:rPr>
          <w:sz w:val="20"/>
          <w:szCs w:val="20"/>
        </w:rPr>
        <w:t xml:space="preserve">preoperative BCVA was 0.12±0.003 by decimal fraction in diabetic patients while in </w:t>
      </w:r>
      <w:proofErr w:type="spellStart"/>
      <w:r w:rsidRPr="006B17F4">
        <w:rPr>
          <w:sz w:val="20"/>
          <w:szCs w:val="20"/>
        </w:rPr>
        <w:t>non</w:t>
      </w:r>
      <w:r w:rsidRPr="006B17F4">
        <w:rPr>
          <w:color w:val="141314"/>
          <w:sz w:val="20"/>
          <w:szCs w:val="20"/>
        </w:rPr>
        <w:t>nondiabetic</w:t>
      </w:r>
      <w:proofErr w:type="spellEnd"/>
      <w:r w:rsidRPr="006B17F4">
        <w:rPr>
          <w:color w:val="141314"/>
          <w:sz w:val="20"/>
          <w:szCs w:val="20"/>
        </w:rPr>
        <w:t xml:space="preserve"> patients </w:t>
      </w:r>
      <w:r w:rsidRPr="006B17F4">
        <w:rPr>
          <w:sz w:val="20"/>
          <w:szCs w:val="20"/>
        </w:rPr>
        <w:t xml:space="preserve">0.15±0.16 and p=0.1487. As regard postoperative BCVA in diabetic patients were 0.79±0.03 while in </w:t>
      </w:r>
      <w:r w:rsidRPr="006B17F4">
        <w:rPr>
          <w:color w:val="141314"/>
          <w:sz w:val="20"/>
          <w:szCs w:val="20"/>
        </w:rPr>
        <w:t>non</w:t>
      </w:r>
      <w:r w:rsidR="009C7F42" w:rsidRPr="006B17F4">
        <w:rPr>
          <w:color w:val="141314"/>
          <w:sz w:val="20"/>
          <w:szCs w:val="20"/>
        </w:rPr>
        <w:t>-</w:t>
      </w:r>
      <w:r w:rsidRPr="006B17F4">
        <w:rPr>
          <w:color w:val="141314"/>
          <w:sz w:val="20"/>
          <w:szCs w:val="20"/>
        </w:rPr>
        <w:t xml:space="preserve">diabetic patients </w:t>
      </w:r>
      <w:r w:rsidRPr="006B17F4">
        <w:rPr>
          <w:sz w:val="20"/>
          <w:szCs w:val="20"/>
        </w:rPr>
        <w:t>0.87±0.02 and p=0.069</w:t>
      </w:r>
      <w:r w:rsidR="00814B98" w:rsidRPr="006B17F4">
        <w:rPr>
          <w:sz w:val="20"/>
          <w:szCs w:val="20"/>
        </w:rPr>
        <w:t xml:space="preserve">. </w:t>
      </w:r>
      <w:proofErr w:type="spellStart"/>
      <w:r w:rsidR="00814B98" w:rsidRPr="006B17F4">
        <w:rPr>
          <w:b/>
          <w:bCs/>
          <w:sz w:val="20"/>
          <w:szCs w:val="20"/>
        </w:rPr>
        <w:t>M</w:t>
      </w:r>
      <w:r w:rsidRPr="006B17F4">
        <w:rPr>
          <w:b/>
          <w:bCs/>
          <w:sz w:val="20"/>
          <w:szCs w:val="20"/>
        </w:rPr>
        <w:t>aaly</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Pr="006B17F4">
        <w:rPr>
          <w:sz w:val="20"/>
          <w:szCs w:val="20"/>
        </w:rPr>
        <w:t>showed that preoperative</w:t>
      </w:r>
      <w:r w:rsidR="009C7943" w:rsidRPr="006B17F4">
        <w:rPr>
          <w:sz w:val="20"/>
          <w:szCs w:val="20"/>
        </w:rPr>
        <w:t xml:space="preserve"> </w:t>
      </w:r>
      <w:r w:rsidRPr="006B17F4">
        <w:rPr>
          <w:sz w:val="20"/>
          <w:szCs w:val="20"/>
        </w:rPr>
        <w:t>BCVA</w:t>
      </w:r>
      <w:r w:rsidR="009C7943" w:rsidRPr="006B17F4">
        <w:rPr>
          <w:sz w:val="20"/>
          <w:szCs w:val="20"/>
        </w:rPr>
        <w:t xml:space="preserve"> </w:t>
      </w:r>
      <w:r w:rsidRPr="006B17F4">
        <w:rPr>
          <w:sz w:val="20"/>
          <w:szCs w:val="20"/>
        </w:rPr>
        <w:t xml:space="preserve">and postoperative </w:t>
      </w:r>
      <w:proofErr w:type="spellStart"/>
      <w:r w:rsidRPr="006B17F4">
        <w:rPr>
          <w:sz w:val="20"/>
          <w:szCs w:val="20"/>
        </w:rPr>
        <w:t>BCVAhas</w:t>
      </w:r>
      <w:proofErr w:type="spellEnd"/>
      <w:r w:rsidRPr="006B17F4">
        <w:rPr>
          <w:sz w:val="20"/>
          <w:szCs w:val="20"/>
        </w:rPr>
        <w:t xml:space="preserve"> no statistically significant correlation with age and duration of DM.</w:t>
      </w:r>
    </w:p>
    <w:p w:rsidR="001117D7" w:rsidRPr="006B17F4" w:rsidRDefault="00FC648F" w:rsidP="00814B98">
      <w:pPr>
        <w:autoSpaceDE w:val="0"/>
        <w:autoSpaceDN w:val="0"/>
        <w:bidi w:val="0"/>
        <w:adjustRightInd w:val="0"/>
        <w:snapToGrid w:val="0"/>
        <w:ind w:firstLine="425"/>
        <w:jc w:val="both"/>
        <w:rPr>
          <w:sz w:val="20"/>
          <w:szCs w:val="20"/>
        </w:rPr>
      </w:pPr>
      <w:r w:rsidRPr="006B17F4">
        <w:rPr>
          <w:sz w:val="20"/>
          <w:szCs w:val="20"/>
        </w:rPr>
        <w:t>In the present work, there was significant improvement post-operatively when compared to corresponding preoperative values in both groups. There was no significant difference of postoperative BCVA between both groups postoperatively at 1 week, 1, 3, and 6 months. Furthermore, postoperative PCO, showed that, there no reported cases at 1 weeks and 1 month postoperatively; but at 3 months, 3 patients (6.0%) in diabetic group and 2 patients (4.0%) in non-diabetic group had PCO; and 6 months postoperatively, 7 patients (14.0%) in diabetic group and 2 patients (4.0%) in non-diabetic group had PCO; and there was no significant difference between study and control groups at any time and no significant affection on BCVA and fund</w:t>
      </w:r>
      <w:r w:rsidR="00656181" w:rsidRPr="006B17F4">
        <w:rPr>
          <w:sz w:val="20"/>
          <w:szCs w:val="20"/>
        </w:rPr>
        <w:t xml:space="preserve"> </w:t>
      </w:r>
      <w:r w:rsidRPr="006B17F4">
        <w:rPr>
          <w:sz w:val="20"/>
          <w:szCs w:val="20"/>
        </w:rPr>
        <w:t xml:space="preserve">us examination in both groups. </w:t>
      </w:r>
      <w:r w:rsidRPr="006B17F4">
        <w:rPr>
          <w:b/>
          <w:bCs/>
          <w:sz w:val="20"/>
          <w:szCs w:val="20"/>
        </w:rPr>
        <w:t xml:space="preserve">Biro </w:t>
      </w:r>
      <w:r w:rsidR="00656181" w:rsidRPr="006B17F4">
        <w:rPr>
          <w:b/>
          <w:bCs/>
          <w:i/>
          <w:iCs/>
          <w:sz w:val="20"/>
          <w:szCs w:val="20"/>
        </w:rPr>
        <w:t>et al</w:t>
      </w:r>
      <w:r w:rsidRPr="006B17F4">
        <w:rPr>
          <w:b/>
          <w:bCs/>
          <w:sz w:val="20"/>
          <w:szCs w:val="20"/>
        </w:rPr>
        <w:t xml:space="preserve"> (2008)</w:t>
      </w:r>
      <w:r w:rsidRPr="006B17F4">
        <w:rPr>
          <w:sz w:val="20"/>
          <w:szCs w:val="20"/>
        </w:rPr>
        <w:t xml:space="preserve"> found also that postoperative BCVA increased significantly from postoperative </w:t>
      </w:r>
      <w:r w:rsidRPr="006B17F4">
        <w:rPr>
          <w:sz w:val="20"/>
          <w:szCs w:val="20"/>
        </w:rPr>
        <w:lastRenderedPageBreak/>
        <w:t xml:space="preserve">value of 0.5 in the first postoperative day to 0.86 by the end of the second month postoperatively. </w:t>
      </w:r>
      <w:proofErr w:type="spellStart"/>
      <w:r w:rsidRPr="006B17F4">
        <w:rPr>
          <w:b/>
          <w:bCs/>
          <w:color w:val="131413"/>
          <w:sz w:val="20"/>
          <w:szCs w:val="20"/>
        </w:rPr>
        <w:t>Kusbeci</w:t>
      </w:r>
      <w:proofErr w:type="spellEnd"/>
      <w:r w:rsidR="00656181" w:rsidRPr="006B17F4">
        <w:rPr>
          <w:b/>
          <w:bCs/>
          <w:color w:val="131413"/>
          <w:sz w:val="20"/>
          <w:szCs w:val="20"/>
        </w:rPr>
        <w:t xml:space="preserve"> </w:t>
      </w:r>
      <w:r w:rsidR="00656181" w:rsidRPr="006B17F4">
        <w:rPr>
          <w:b/>
          <w:bCs/>
          <w:i/>
          <w:iCs/>
          <w:color w:val="131413"/>
          <w:sz w:val="20"/>
          <w:szCs w:val="20"/>
        </w:rPr>
        <w:t>et al</w:t>
      </w:r>
      <w:r w:rsidRPr="006B17F4">
        <w:rPr>
          <w:b/>
          <w:bCs/>
          <w:color w:val="131413"/>
          <w:sz w:val="20"/>
          <w:szCs w:val="20"/>
        </w:rPr>
        <w:t xml:space="preserve"> (2012)</w:t>
      </w:r>
      <w:r w:rsidRPr="006B17F4">
        <w:rPr>
          <w:color w:val="131413"/>
          <w:sz w:val="20"/>
          <w:szCs w:val="20"/>
        </w:rPr>
        <w:t>observed correlation between BCVA and OCT measurements at postoperative 12th and 24th weeks, whereas BCVA and OCT measurements were not correlated at postoperative 1st and 4th weeks.</w:t>
      </w:r>
      <w:r w:rsidR="00656181" w:rsidRPr="006B17F4">
        <w:rPr>
          <w:b/>
          <w:bCs/>
          <w:sz w:val="20"/>
          <w:szCs w:val="20"/>
        </w:rPr>
        <w:t xml:space="preserve"> </w:t>
      </w:r>
      <w:proofErr w:type="spellStart"/>
      <w:r w:rsidRPr="006B17F4">
        <w:rPr>
          <w:b/>
          <w:bCs/>
          <w:sz w:val="20"/>
          <w:szCs w:val="20"/>
        </w:rPr>
        <w:t>Maaly</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w:t>
      </w:r>
      <w:r w:rsidRPr="006B17F4">
        <w:rPr>
          <w:sz w:val="20"/>
          <w:szCs w:val="20"/>
        </w:rPr>
        <w:t xml:space="preserve"> demonstrated that improvement of BCVA from 0.6 to 0.2 postoperatively in all patients of group 1 and 2 at 2</w:t>
      </w:r>
      <w:r w:rsidRPr="006B17F4">
        <w:rPr>
          <w:sz w:val="20"/>
          <w:szCs w:val="20"/>
          <w:vertAlign w:val="superscript"/>
        </w:rPr>
        <w:t>nd</w:t>
      </w:r>
      <w:r w:rsidRPr="006B17F4">
        <w:rPr>
          <w:sz w:val="20"/>
          <w:szCs w:val="20"/>
        </w:rPr>
        <w:t xml:space="preserve"> week postoperative. Despite there was no statistically significant difference in BCVA recorded in diabetic patients at two week, one month and two months postoperatively, statistically significant difference was noted in group 2 as BCVA improved to 0.2 in 2</w:t>
      </w:r>
      <w:r w:rsidRPr="006B17F4">
        <w:rPr>
          <w:sz w:val="20"/>
          <w:szCs w:val="20"/>
          <w:vertAlign w:val="superscript"/>
        </w:rPr>
        <w:t>nd</w:t>
      </w:r>
      <w:r w:rsidRPr="006B17F4">
        <w:rPr>
          <w:sz w:val="20"/>
          <w:szCs w:val="20"/>
        </w:rPr>
        <w:t xml:space="preserve"> week then show one line improvement in 1</w:t>
      </w:r>
      <w:r w:rsidRPr="006B17F4">
        <w:rPr>
          <w:sz w:val="20"/>
          <w:szCs w:val="20"/>
          <w:vertAlign w:val="superscript"/>
        </w:rPr>
        <w:t>st</w:t>
      </w:r>
      <w:r w:rsidRPr="006B17F4">
        <w:rPr>
          <w:sz w:val="20"/>
          <w:szCs w:val="20"/>
        </w:rPr>
        <w:t xml:space="preserve"> month and 2</w:t>
      </w:r>
      <w:r w:rsidRPr="006B17F4">
        <w:rPr>
          <w:sz w:val="20"/>
          <w:szCs w:val="20"/>
          <w:vertAlign w:val="superscript"/>
        </w:rPr>
        <w:t>nd</w:t>
      </w:r>
      <w:r w:rsidRPr="006B17F4">
        <w:rPr>
          <w:sz w:val="20"/>
          <w:szCs w:val="20"/>
        </w:rPr>
        <w:t xml:space="preserve"> month postoperatively.</w:t>
      </w:r>
    </w:p>
    <w:p w:rsidR="00FC648F" w:rsidRPr="006B17F4" w:rsidRDefault="00FC648F" w:rsidP="00814B98">
      <w:pPr>
        <w:autoSpaceDE w:val="0"/>
        <w:autoSpaceDN w:val="0"/>
        <w:bidi w:val="0"/>
        <w:adjustRightInd w:val="0"/>
        <w:snapToGrid w:val="0"/>
        <w:ind w:firstLine="425"/>
        <w:jc w:val="both"/>
        <w:rPr>
          <w:sz w:val="20"/>
          <w:szCs w:val="20"/>
        </w:rPr>
      </w:pPr>
      <w:r w:rsidRPr="006B17F4">
        <w:rPr>
          <w:sz w:val="20"/>
          <w:szCs w:val="20"/>
        </w:rPr>
        <w:t>In the present study, CME was reported at1 month in 5 eyes (10.0%) in diabetic group and 3 eyes (6.0%) in non-diabetic group. Angiographic CME was reported in 4 eyes in diabetic group and 3 eyes in non-diabetic group, while clinical CME was reported in 1 eye in diabetic group only. At 3 months, all cases of angiographic CME (4 eyes in diabetic group and 3 eyes in non-diabetic group) were properly managed by topical non-steroidal anti-inflammatory drugs (</w:t>
      </w:r>
      <w:proofErr w:type="spellStart"/>
      <w:r w:rsidRPr="006B17F4">
        <w:rPr>
          <w:sz w:val="20"/>
          <w:szCs w:val="20"/>
        </w:rPr>
        <w:t>ketorolac</w:t>
      </w:r>
      <w:proofErr w:type="spellEnd"/>
      <w:r w:rsidRPr="006B17F4">
        <w:rPr>
          <w:sz w:val="20"/>
          <w:szCs w:val="20"/>
        </w:rPr>
        <w:t xml:space="preserve"> 0.4%), topical steroids (</w:t>
      </w:r>
      <w:proofErr w:type="spellStart"/>
      <w:r w:rsidRPr="006B17F4">
        <w:rPr>
          <w:sz w:val="20"/>
          <w:szCs w:val="20"/>
        </w:rPr>
        <w:t>prednisolone</w:t>
      </w:r>
      <w:proofErr w:type="spellEnd"/>
      <w:r w:rsidRPr="006B17F4">
        <w:rPr>
          <w:sz w:val="20"/>
          <w:szCs w:val="20"/>
        </w:rPr>
        <w:t xml:space="preserve"> acetate 1%) and systemic carbonic </w:t>
      </w:r>
      <w:proofErr w:type="spellStart"/>
      <w:r w:rsidRPr="006B17F4">
        <w:rPr>
          <w:sz w:val="20"/>
          <w:szCs w:val="20"/>
        </w:rPr>
        <w:t>anhydrase</w:t>
      </w:r>
      <w:proofErr w:type="spellEnd"/>
      <w:r w:rsidRPr="006B17F4">
        <w:rPr>
          <w:sz w:val="20"/>
          <w:szCs w:val="20"/>
        </w:rPr>
        <w:t xml:space="preserve"> inhibitors (</w:t>
      </w:r>
      <w:proofErr w:type="spellStart"/>
      <w:r w:rsidRPr="006B17F4">
        <w:rPr>
          <w:sz w:val="20"/>
          <w:szCs w:val="20"/>
        </w:rPr>
        <w:t>acetazolamide</w:t>
      </w:r>
      <w:proofErr w:type="spellEnd"/>
      <w:r w:rsidRPr="006B17F4">
        <w:rPr>
          <w:sz w:val="20"/>
          <w:szCs w:val="20"/>
        </w:rPr>
        <w:t xml:space="preserve"> 250mg); The only one case of clinical CME was managed by single dose of </w:t>
      </w:r>
      <w:proofErr w:type="spellStart"/>
      <w:r w:rsidRPr="006B17F4">
        <w:rPr>
          <w:sz w:val="20"/>
          <w:szCs w:val="20"/>
        </w:rPr>
        <w:t>intravitreal</w:t>
      </w:r>
      <w:proofErr w:type="spellEnd"/>
      <w:r w:rsidRPr="006B17F4">
        <w:rPr>
          <w:sz w:val="20"/>
          <w:szCs w:val="20"/>
        </w:rPr>
        <w:t xml:space="preserve"> injection of steroid (</w:t>
      </w:r>
      <w:proofErr w:type="spellStart"/>
      <w:r w:rsidRPr="006B17F4">
        <w:rPr>
          <w:sz w:val="20"/>
          <w:szCs w:val="20"/>
        </w:rPr>
        <w:t>triamcinolone</w:t>
      </w:r>
      <w:proofErr w:type="spellEnd"/>
      <w:r w:rsidRPr="006B17F4">
        <w:rPr>
          <w:sz w:val="20"/>
          <w:szCs w:val="20"/>
        </w:rPr>
        <w:t xml:space="preserve"> </w:t>
      </w:r>
      <w:proofErr w:type="spellStart"/>
      <w:r w:rsidRPr="006B17F4">
        <w:rPr>
          <w:sz w:val="20"/>
          <w:szCs w:val="20"/>
        </w:rPr>
        <w:t>acetonide</w:t>
      </w:r>
      <w:proofErr w:type="spellEnd"/>
      <w:r w:rsidRPr="006B17F4">
        <w:rPr>
          <w:sz w:val="20"/>
          <w:szCs w:val="20"/>
        </w:rPr>
        <w:t xml:space="preserve"> 4mg/0.1ml). Against our study, </w:t>
      </w:r>
      <w:proofErr w:type="spellStart"/>
      <w:r w:rsidRPr="006B17F4">
        <w:rPr>
          <w:b/>
          <w:bCs/>
          <w:sz w:val="20"/>
          <w:szCs w:val="20"/>
        </w:rPr>
        <w:t>Mirachtsis</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Pr="006B17F4">
        <w:rPr>
          <w:sz w:val="20"/>
          <w:szCs w:val="20"/>
        </w:rPr>
        <w:t xml:space="preserve">reported that the incidence of postoperative </w:t>
      </w:r>
      <w:proofErr w:type="spellStart"/>
      <w:r w:rsidRPr="006B17F4">
        <w:rPr>
          <w:sz w:val="20"/>
          <w:szCs w:val="20"/>
        </w:rPr>
        <w:t>cystoid</w:t>
      </w:r>
      <w:proofErr w:type="spellEnd"/>
      <w:r w:rsidRPr="006B17F4">
        <w:rPr>
          <w:sz w:val="20"/>
          <w:szCs w:val="20"/>
        </w:rPr>
        <w:t xml:space="preserve"> macular edema after uncomplicated </w:t>
      </w:r>
      <w:proofErr w:type="spellStart"/>
      <w:r w:rsidRPr="006B17F4">
        <w:rPr>
          <w:sz w:val="20"/>
          <w:szCs w:val="20"/>
        </w:rPr>
        <w:t>phacoemulsification</w:t>
      </w:r>
      <w:proofErr w:type="spellEnd"/>
      <w:r w:rsidRPr="006B17F4">
        <w:rPr>
          <w:sz w:val="20"/>
          <w:szCs w:val="20"/>
        </w:rPr>
        <w:t xml:space="preserve"> was statistically significant difference between 2group (15.8% in diabetic group versus 6.9% in control group, p=0.03&lt;0.05). </w:t>
      </w:r>
      <w:proofErr w:type="spellStart"/>
      <w:r w:rsidRPr="006B17F4">
        <w:rPr>
          <w:b/>
          <w:bCs/>
          <w:sz w:val="20"/>
          <w:szCs w:val="20"/>
        </w:rPr>
        <w:t>Ayse</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Pr="006B17F4">
        <w:rPr>
          <w:sz w:val="20"/>
          <w:szCs w:val="20"/>
        </w:rPr>
        <w:t xml:space="preserve">recorded CME in 8 cases out of 120 patients (6.6%). 6 of them in diabetic </w:t>
      </w:r>
      <w:r w:rsidRPr="006B17F4">
        <w:rPr>
          <w:sz w:val="20"/>
          <w:szCs w:val="20"/>
        </w:rPr>
        <w:lastRenderedPageBreak/>
        <w:t>group and 2 of them in non</w:t>
      </w:r>
      <w:r w:rsidR="006451BC" w:rsidRPr="006B17F4">
        <w:rPr>
          <w:sz w:val="20"/>
          <w:szCs w:val="20"/>
        </w:rPr>
        <w:t>-</w:t>
      </w:r>
      <w:r w:rsidRPr="006B17F4">
        <w:rPr>
          <w:sz w:val="20"/>
          <w:szCs w:val="20"/>
        </w:rPr>
        <w:t>diabetic group. Clinical CME observed only in 3 cases out of 8 all of them were in diabetic group.</w:t>
      </w:r>
    </w:p>
    <w:p w:rsidR="00FC648F" w:rsidRPr="006B17F4" w:rsidRDefault="00FC648F" w:rsidP="00814B98">
      <w:pPr>
        <w:autoSpaceDE w:val="0"/>
        <w:autoSpaceDN w:val="0"/>
        <w:bidi w:val="0"/>
        <w:adjustRightInd w:val="0"/>
        <w:snapToGrid w:val="0"/>
        <w:ind w:firstLine="425"/>
        <w:jc w:val="both"/>
        <w:rPr>
          <w:color w:val="141314"/>
          <w:sz w:val="20"/>
          <w:szCs w:val="20"/>
        </w:rPr>
      </w:pPr>
      <w:r w:rsidRPr="006B17F4">
        <w:rPr>
          <w:color w:val="141314"/>
          <w:sz w:val="20"/>
          <w:szCs w:val="20"/>
        </w:rPr>
        <w:t xml:space="preserve">Central subfield </w:t>
      </w:r>
      <w:proofErr w:type="spellStart"/>
      <w:r w:rsidRPr="006B17F4">
        <w:rPr>
          <w:color w:val="141314"/>
          <w:sz w:val="20"/>
          <w:szCs w:val="20"/>
        </w:rPr>
        <w:t>foveal</w:t>
      </w:r>
      <w:proofErr w:type="spellEnd"/>
      <w:r w:rsidRPr="006B17F4">
        <w:rPr>
          <w:color w:val="141314"/>
          <w:sz w:val="20"/>
          <w:szCs w:val="20"/>
        </w:rPr>
        <w:t xml:space="preserve"> thickness (CSFT) represents the average thickness in the central 1mm diameter circle of ETDR Grid. In the present study, The</w:t>
      </w:r>
      <w:r w:rsidR="006B17F4" w:rsidRPr="006B17F4">
        <w:rPr>
          <w:rFonts w:eastAsiaTheme="minorEastAsia" w:hint="eastAsia"/>
          <w:color w:val="141314"/>
          <w:sz w:val="20"/>
          <w:szCs w:val="20"/>
          <w:lang w:eastAsia="zh-CN"/>
        </w:rPr>
        <w:t xml:space="preserve"> </w:t>
      </w:r>
      <w:r w:rsidRPr="006B17F4">
        <w:rPr>
          <w:sz w:val="20"/>
          <w:szCs w:val="20"/>
        </w:rPr>
        <w:t xml:space="preserve">preoperative CSFT was ranged from 199 to 237; with a mean of 221.61± 9.44; and there was no significant difference between study and control groups (222.12±9.80 </w:t>
      </w:r>
      <w:proofErr w:type="spellStart"/>
      <w:r w:rsidRPr="006B17F4">
        <w:rPr>
          <w:sz w:val="20"/>
          <w:szCs w:val="20"/>
        </w:rPr>
        <w:t>vs</w:t>
      </w:r>
      <w:proofErr w:type="spellEnd"/>
      <w:r w:rsidRPr="006B17F4">
        <w:rPr>
          <w:sz w:val="20"/>
          <w:szCs w:val="20"/>
        </w:rPr>
        <w:t xml:space="preserve"> 221.10±9.12 respectively). In addition, preoperative inner 3mm zone thickness (inner circle) ranged from 251 to 290 with a mean of 263.47±7.48; and there was no significant difference between diabetic and non-diabetic groups (264.42±8.02 </w:t>
      </w:r>
      <w:proofErr w:type="spellStart"/>
      <w:r w:rsidRPr="006B17F4">
        <w:rPr>
          <w:sz w:val="20"/>
          <w:szCs w:val="20"/>
        </w:rPr>
        <w:t>vs</w:t>
      </w:r>
      <w:proofErr w:type="spellEnd"/>
      <w:r w:rsidRPr="006B17F4">
        <w:rPr>
          <w:sz w:val="20"/>
          <w:szCs w:val="20"/>
        </w:rPr>
        <w:t xml:space="preserve"> 262.52±6.85 respectively). Finally, preoperative outer 6mm zone thickness (outer circle) ranged from 219 to 260; with a mean of 233.87±6.12, and there was no significant difference between both groups. Preoperative TMV, it ranged from 6.60 to 7.40 with a mean of 6.78±0.15; and there was no significant difference between study and control groups (6.81±0.16 VS 6.76±0.13 respectively). In agreement with our study, </w:t>
      </w:r>
      <w:r w:rsidRPr="006B17F4">
        <w:rPr>
          <w:b/>
          <w:bCs/>
          <w:color w:val="141314"/>
          <w:sz w:val="20"/>
          <w:szCs w:val="20"/>
        </w:rPr>
        <w:t xml:space="preserve">Kai and Cheng (2014) </w:t>
      </w:r>
      <w:r w:rsidRPr="006B17F4">
        <w:rPr>
          <w:color w:val="141314"/>
          <w:sz w:val="20"/>
          <w:szCs w:val="20"/>
        </w:rPr>
        <w:t>demonstrated that there is no difference in preoperative central macular thickness between the two groups, the non</w:t>
      </w:r>
      <w:r w:rsidR="00441B26" w:rsidRPr="006B17F4">
        <w:rPr>
          <w:color w:val="141314"/>
          <w:sz w:val="20"/>
          <w:szCs w:val="20"/>
        </w:rPr>
        <w:t>-</w:t>
      </w:r>
      <w:r w:rsidRPr="006B17F4">
        <w:rPr>
          <w:color w:val="141314"/>
          <w:sz w:val="20"/>
          <w:szCs w:val="20"/>
        </w:rPr>
        <w:t>diabetic and diabetic group without diabetic retinopathy.</w:t>
      </w:r>
      <w:r w:rsidR="00656181" w:rsidRPr="006B17F4">
        <w:rPr>
          <w:color w:val="141314"/>
          <w:sz w:val="20"/>
          <w:szCs w:val="20"/>
        </w:rPr>
        <w:t xml:space="preserve"> </w:t>
      </w:r>
      <w:r w:rsidRPr="006B17F4">
        <w:rPr>
          <w:color w:val="141314"/>
          <w:sz w:val="20"/>
          <w:szCs w:val="20"/>
        </w:rPr>
        <w:t>According to study made by</w:t>
      </w:r>
      <w:r w:rsidR="00656181" w:rsidRPr="006B17F4">
        <w:rPr>
          <w:color w:val="141314"/>
          <w:sz w:val="20"/>
          <w:szCs w:val="20"/>
        </w:rPr>
        <w:t xml:space="preserve"> </w:t>
      </w:r>
      <w:proofErr w:type="spellStart"/>
      <w:r w:rsidRPr="006B17F4">
        <w:rPr>
          <w:b/>
          <w:bCs/>
          <w:sz w:val="20"/>
          <w:szCs w:val="20"/>
        </w:rPr>
        <w:t>Ayse</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Pr="006B17F4">
        <w:rPr>
          <w:sz w:val="20"/>
          <w:szCs w:val="20"/>
        </w:rPr>
        <w:t>demonstrated that mean preoperative CFT was 220.29</w:t>
      </w:r>
      <w:r w:rsidRPr="006B17F4">
        <w:rPr>
          <w:color w:val="141314"/>
          <w:sz w:val="20"/>
          <w:szCs w:val="20"/>
        </w:rPr>
        <w:t xml:space="preserve">±14.59 (minimum was 188 um- maximum was 262 um) in all patients that was 218.4±12 um in diabetic group and 222.1±16.6 um in </w:t>
      </w:r>
      <w:proofErr w:type="spellStart"/>
      <w:r w:rsidRPr="006B17F4">
        <w:rPr>
          <w:color w:val="141314"/>
          <w:sz w:val="20"/>
          <w:szCs w:val="20"/>
        </w:rPr>
        <w:t>nondiabetic</w:t>
      </w:r>
      <w:proofErr w:type="spellEnd"/>
      <w:r w:rsidRPr="006B17F4">
        <w:rPr>
          <w:color w:val="141314"/>
          <w:sz w:val="20"/>
          <w:szCs w:val="20"/>
        </w:rPr>
        <w:t xml:space="preserve"> group thus preoperative CFT was not statistically different between two groups (p=0.168).</w:t>
      </w:r>
    </w:p>
    <w:p w:rsidR="00FC648F" w:rsidRPr="006B17F4" w:rsidRDefault="00FC648F" w:rsidP="00814B98">
      <w:pPr>
        <w:widowControl w:val="0"/>
        <w:autoSpaceDE w:val="0"/>
        <w:autoSpaceDN w:val="0"/>
        <w:bidi w:val="0"/>
        <w:adjustRightInd w:val="0"/>
        <w:snapToGrid w:val="0"/>
        <w:ind w:firstLine="425"/>
        <w:jc w:val="both"/>
        <w:rPr>
          <w:b/>
          <w:bCs/>
          <w:sz w:val="20"/>
          <w:szCs w:val="20"/>
        </w:rPr>
      </w:pPr>
      <w:r w:rsidRPr="006B17F4">
        <w:rPr>
          <w:color w:val="141314"/>
          <w:sz w:val="20"/>
          <w:szCs w:val="20"/>
        </w:rPr>
        <w:t>In the present study, CSFT increased significantly in diabetic group from (</w:t>
      </w:r>
      <w:r w:rsidRPr="006B17F4">
        <w:rPr>
          <w:color w:val="000000"/>
          <w:sz w:val="20"/>
          <w:szCs w:val="20"/>
        </w:rPr>
        <w:t>222.12</w:t>
      </w:r>
      <w:r w:rsidRPr="006B17F4">
        <w:rPr>
          <w:color w:val="141314"/>
          <w:sz w:val="20"/>
          <w:szCs w:val="20"/>
        </w:rPr>
        <w:t>±</w:t>
      </w:r>
      <w:r w:rsidRPr="006B17F4">
        <w:rPr>
          <w:color w:val="000000"/>
          <w:sz w:val="20"/>
          <w:szCs w:val="20"/>
        </w:rPr>
        <w:t>9.8)</w:t>
      </w:r>
      <w:r w:rsidR="00814B98" w:rsidRPr="006B17F4">
        <w:rPr>
          <w:rFonts w:eastAsiaTheme="minorEastAsia" w:hint="eastAsia"/>
          <w:color w:val="000000"/>
          <w:sz w:val="20"/>
          <w:szCs w:val="20"/>
          <w:lang w:eastAsia="zh-CN"/>
        </w:rPr>
        <w:t xml:space="preserve"> </w:t>
      </w:r>
      <w:r w:rsidRPr="006B17F4">
        <w:rPr>
          <w:color w:val="141314"/>
          <w:sz w:val="20"/>
          <w:szCs w:val="20"/>
        </w:rPr>
        <w:t xml:space="preserve">preoperative to </w:t>
      </w:r>
      <w:r w:rsidRPr="006B17F4">
        <w:rPr>
          <w:color w:val="000000"/>
          <w:sz w:val="20"/>
          <w:szCs w:val="20"/>
        </w:rPr>
        <w:t>(246.02</w:t>
      </w:r>
      <w:r w:rsidRPr="006B17F4">
        <w:rPr>
          <w:color w:val="141314"/>
          <w:sz w:val="20"/>
          <w:szCs w:val="20"/>
        </w:rPr>
        <w:t xml:space="preserve">± </w:t>
      </w:r>
      <w:r w:rsidRPr="006B17F4">
        <w:rPr>
          <w:color w:val="000000"/>
          <w:sz w:val="20"/>
          <w:szCs w:val="20"/>
        </w:rPr>
        <w:t>22.94</w:t>
      </w:r>
      <w:r w:rsidRPr="006B17F4">
        <w:rPr>
          <w:color w:val="141314"/>
          <w:sz w:val="20"/>
          <w:szCs w:val="20"/>
        </w:rPr>
        <w:t>),</w:t>
      </w:r>
      <w:r w:rsidRPr="006B17F4">
        <w:rPr>
          <w:color w:val="000000"/>
          <w:sz w:val="20"/>
          <w:szCs w:val="20"/>
        </w:rPr>
        <w:t>(235.70</w:t>
      </w:r>
      <w:r w:rsidRPr="006B17F4">
        <w:rPr>
          <w:color w:val="141314"/>
          <w:sz w:val="20"/>
          <w:szCs w:val="20"/>
        </w:rPr>
        <w:t>±</w:t>
      </w:r>
      <w:r w:rsidRPr="006B17F4">
        <w:rPr>
          <w:color w:val="000000"/>
          <w:sz w:val="20"/>
          <w:szCs w:val="20"/>
        </w:rPr>
        <w:t>7.87)</w:t>
      </w:r>
      <w:r w:rsidRPr="006B17F4">
        <w:rPr>
          <w:color w:val="141314"/>
          <w:sz w:val="20"/>
          <w:szCs w:val="20"/>
        </w:rPr>
        <w:t xml:space="preserve"> and (232.24 ± 8.66) at1 month, 3 months and 6 months postoperative respectively. Although diabetic group showed resolving of macular</w:t>
      </w:r>
      <w:r w:rsidR="00656181" w:rsidRPr="006B17F4">
        <w:rPr>
          <w:color w:val="141314"/>
          <w:sz w:val="20"/>
          <w:szCs w:val="20"/>
        </w:rPr>
        <w:t xml:space="preserve"> </w:t>
      </w:r>
      <w:r w:rsidRPr="006B17F4">
        <w:rPr>
          <w:color w:val="141314"/>
          <w:sz w:val="20"/>
          <w:szCs w:val="20"/>
        </w:rPr>
        <w:t>edema after 3 and 6 months postoperative, but it still higher in thickness than preoperative thickness.</w:t>
      </w:r>
      <w:r w:rsidR="009C7943" w:rsidRPr="006B17F4">
        <w:rPr>
          <w:color w:val="141314"/>
          <w:sz w:val="20"/>
          <w:szCs w:val="20"/>
        </w:rPr>
        <w:t xml:space="preserve"> </w:t>
      </w:r>
      <w:r w:rsidRPr="006B17F4">
        <w:rPr>
          <w:color w:val="141314"/>
          <w:sz w:val="20"/>
          <w:szCs w:val="20"/>
        </w:rPr>
        <w:t>While in control group; the mean preoperative CSFT of the patients was (</w:t>
      </w:r>
      <w:r w:rsidRPr="006B17F4">
        <w:rPr>
          <w:sz w:val="20"/>
          <w:szCs w:val="20"/>
        </w:rPr>
        <w:t>221.10±9.12</w:t>
      </w:r>
      <w:r w:rsidRPr="006B17F4">
        <w:rPr>
          <w:color w:val="141314"/>
          <w:sz w:val="20"/>
          <w:szCs w:val="20"/>
        </w:rPr>
        <w:t>) and then (237.74 ± 17.58), (231.38 ± 8.71) and (227.82</w:t>
      </w:r>
      <w:r w:rsidRPr="006B17F4">
        <w:rPr>
          <w:sz w:val="20"/>
          <w:szCs w:val="20"/>
        </w:rPr>
        <w:t>±6.82) at1 month, 3 months and 6 months postoperative respectively.</w:t>
      </w:r>
      <w:r w:rsidR="009C7943" w:rsidRPr="006B17F4">
        <w:rPr>
          <w:sz w:val="20"/>
          <w:szCs w:val="20"/>
        </w:rPr>
        <w:t xml:space="preserve"> </w:t>
      </w:r>
      <w:proofErr w:type="spellStart"/>
      <w:r w:rsidRPr="006B17F4">
        <w:rPr>
          <w:b/>
          <w:bCs/>
          <w:sz w:val="20"/>
          <w:szCs w:val="20"/>
        </w:rPr>
        <w:t>Maaly</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Pr="006B17F4">
        <w:rPr>
          <w:sz w:val="20"/>
          <w:szCs w:val="20"/>
        </w:rPr>
        <w:t>recorded that preoperative and postoperative MFT (two week, one month and three month) was higher in diabetic patients than control with statistically significant difference. In diabetic group, MFT of 64%, 68% and 60% of eyes were stable in two week, one month and three month postoperatively. 5 eyes (20%) showed one step deterioration in 2</w:t>
      </w:r>
      <w:r w:rsidRPr="006B17F4">
        <w:rPr>
          <w:sz w:val="20"/>
          <w:szCs w:val="20"/>
          <w:vertAlign w:val="superscript"/>
        </w:rPr>
        <w:t>nd</w:t>
      </w:r>
      <w:r w:rsidRPr="006B17F4">
        <w:rPr>
          <w:sz w:val="20"/>
          <w:szCs w:val="20"/>
        </w:rPr>
        <w:t xml:space="preserve"> month. Only one showed three step</w:t>
      </w:r>
      <w:r w:rsidR="00656181" w:rsidRPr="006B17F4">
        <w:rPr>
          <w:sz w:val="20"/>
          <w:szCs w:val="20"/>
        </w:rPr>
        <w:t>s</w:t>
      </w:r>
      <w:r w:rsidRPr="006B17F4">
        <w:rPr>
          <w:sz w:val="20"/>
          <w:szCs w:val="20"/>
        </w:rPr>
        <w:t xml:space="preserve"> deterioration in 1</w:t>
      </w:r>
      <w:r w:rsidRPr="006B17F4">
        <w:rPr>
          <w:sz w:val="20"/>
          <w:szCs w:val="20"/>
          <w:vertAlign w:val="superscript"/>
        </w:rPr>
        <w:t>st</w:t>
      </w:r>
      <w:r w:rsidRPr="006B17F4">
        <w:rPr>
          <w:sz w:val="20"/>
          <w:szCs w:val="20"/>
        </w:rPr>
        <w:t xml:space="preserve"> and 2</w:t>
      </w:r>
      <w:r w:rsidRPr="006B17F4">
        <w:rPr>
          <w:sz w:val="20"/>
          <w:szCs w:val="20"/>
          <w:vertAlign w:val="superscript"/>
        </w:rPr>
        <w:t>nd</w:t>
      </w:r>
      <w:r w:rsidRPr="006B17F4">
        <w:rPr>
          <w:sz w:val="20"/>
          <w:szCs w:val="20"/>
        </w:rPr>
        <w:t xml:space="preserve"> month postoperatively. In control group, MFT of 84%, 76% and 80% of eyes were stable in two week, one month </w:t>
      </w:r>
      <w:r w:rsidRPr="006B17F4">
        <w:rPr>
          <w:sz w:val="20"/>
          <w:szCs w:val="20"/>
        </w:rPr>
        <w:lastRenderedPageBreak/>
        <w:t>and three month postoperatively. 3 eyes (12%) showed one step deterioration in 1</w:t>
      </w:r>
      <w:r w:rsidRPr="006B17F4">
        <w:rPr>
          <w:sz w:val="20"/>
          <w:szCs w:val="20"/>
          <w:vertAlign w:val="superscript"/>
        </w:rPr>
        <w:t>st</w:t>
      </w:r>
      <w:r w:rsidRPr="006B17F4">
        <w:rPr>
          <w:sz w:val="20"/>
          <w:szCs w:val="20"/>
        </w:rPr>
        <w:t xml:space="preserve"> month postoperatively. No one showed two or three step deterioration in 1st or 2nd month postoperatively. </w:t>
      </w:r>
      <w:proofErr w:type="spellStart"/>
      <w:r w:rsidRPr="006B17F4">
        <w:rPr>
          <w:b/>
          <w:bCs/>
          <w:sz w:val="20"/>
          <w:szCs w:val="20"/>
        </w:rPr>
        <w:t>Sefi</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00441B26" w:rsidRPr="006B17F4">
        <w:rPr>
          <w:sz w:val="20"/>
          <w:szCs w:val="20"/>
        </w:rPr>
        <w:t>recorded</w:t>
      </w:r>
      <w:r w:rsidRPr="006B17F4">
        <w:rPr>
          <w:sz w:val="20"/>
          <w:szCs w:val="20"/>
        </w:rPr>
        <w:t xml:space="preserve"> that postoperative </w:t>
      </w:r>
      <w:smartTag w:uri="urn:schemas-microsoft-com:office:smarttags" w:element="stockticker">
        <w:r w:rsidRPr="006B17F4">
          <w:rPr>
            <w:sz w:val="20"/>
            <w:szCs w:val="20"/>
          </w:rPr>
          <w:t>CMT</w:t>
        </w:r>
      </w:smartTag>
      <w:r w:rsidRPr="006B17F4">
        <w:rPr>
          <w:sz w:val="20"/>
          <w:szCs w:val="20"/>
        </w:rPr>
        <w:t xml:space="preserve"> was higher than before only at 1 month in non</w:t>
      </w:r>
      <w:r w:rsidR="00441B26" w:rsidRPr="006B17F4">
        <w:rPr>
          <w:sz w:val="20"/>
          <w:szCs w:val="20"/>
        </w:rPr>
        <w:t>-</w:t>
      </w:r>
      <w:r w:rsidRPr="006B17F4">
        <w:rPr>
          <w:sz w:val="20"/>
          <w:szCs w:val="20"/>
        </w:rPr>
        <w:t xml:space="preserve">diabetic group while in diabetic group it was higher at third and six month </w:t>
      </w:r>
      <w:r w:rsidR="00441B26" w:rsidRPr="006B17F4">
        <w:rPr>
          <w:sz w:val="20"/>
          <w:szCs w:val="20"/>
        </w:rPr>
        <w:t>postoperatively</w:t>
      </w:r>
      <w:r w:rsidRPr="006B17F4">
        <w:rPr>
          <w:sz w:val="20"/>
          <w:szCs w:val="20"/>
        </w:rPr>
        <w:t xml:space="preserve">. Several clinical studies investigated the role of </w:t>
      </w:r>
      <w:proofErr w:type="spellStart"/>
      <w:r w:rsidRPr="006B17F4">
        <w:rPr>
          <w:sz w:val="20"/>
          <w:szCs w:val="20"/>
        </w:rPr>
        <w:t>phacoemulsification</w:t>
      </w:r>
      <w:proofErr w:type="spellEnd"/>
      <w:r w:rsidRPr="006B17F4">
        <w:rPr>
          <w:sz w:val="20"/>
          <w:szCs w:val="20"/>
        </w:rPr>
        <w:t xml:space="preserve"> cataract surgery on the progression of diabetic retinopathy. One year after cataract surgery, the progression rate of diabetic retinopathy ranges between 21% and 32%.</w:t>
      </w:r>
    </w:p>
    <w:p w:rsidR="00FC648F" w:rsidRPr="006B17F4" w:rsidRDefault="00FC648F" w:rsidP="00814B98">
      <w:pPr>
        <w:widowControl w:val="0"/>
        <w:autoSpaceDE w:val="0"/>
        <w:autoSpaceDN w:val="0"/>
        <w:bidi w:val="0"/>
        <w:adjustRightInd w:val="0"/>
        <w:snapToGrid w:val="0"/>
        <w:ind w:firstLine="425"/>
        <w:jc w:val="both"/>
        <w:rPr>
          <w:sz w:val="20"/>
          <w:szCs w:val="20"/>
        </w:rPr>
      </w:pPr>
      <w:r w:rsidRPr="006B17F4">
        <w:rPr>
          <w:sz w:val="20"/>
          <w:szCs w:val="20"/>
        </w:rPr>
        <w:t xml:space="preserve">In the present study, </w:t>
      </w:r>
      <w:r w:rsidRPr="006B17F4">
        <w:rPr>
          <w:color w:val="333333"/>
          <w:sz w:val="20"/>
          <w:szCs w:val="20"/>
        </w:rPr>
        <w:t>there was a significant increase of</w:t>
      </w:r>
      <w:r w:rsidRPr="006B17F4">
        <w:rPr>
          <w:color w:val="141314"/>
          <w:sz w:val="20"/>
          <w:szCs w:val="20"/>
        </w:rPr>
        <w:t xml:space="preserve"> CSFT </w:t>
      </w:r>
      <w:r w:rsidRPr="006B17F4">
        <w:rPr>
          <w:color w:val="333333"/>
          <w:sz w:val="20"/>
          <w:szCs w:val="20"/>
        </w:rPr>
        <w:t>at 1month postoperative in both groups. Also,</w:t>
      </w:r>
      <w:r w:rsidR="009C7943" w:rsidRPr="006B17F4">
        <w:rPr>
          <w:color w:val="333333"/>
          <w:sz w:val="20"/>
          <w:szCs w:val="20"/>
        </w:rPr>
        <w:t xml:space="preserve"> </w:t>
      </w:r>
      <w:r w:rsidRPr="006B17F4">
        <w:rPr>
          <w:color w:val="333333"/>
          <w:sz w:val="20"/>
          <w:szCs w:val="20"/>
        </w:rPr>
        <w:t>starting to resolve in almost all patients after 3 months postoperative and these results suggest that the change in macular thickness postoperative is transient. Our data indicated that, although in each group; there is a significant increase in CSFT postoperatively. However,</w:t>
      </w:r>
      <w:r w:rsidRPr="006B17F4">
        <w:rPr>
          <w:sz w:val="20"/>
          <w:szCs w:val="20"/>
        </w:rPr>
        <w:t xml:space="preserve"> Postoperative CSFT was increased significantly in diabetic group when compared to non-diabetic group. In addition, there was significant increase of CSFT at 1, 3 and 6 months PO when compared to corresponding preoperative values in each group separately.</w:t>
      </w:r>
      <w:r w:rsidR="009C7943" w:rsidRPr="006B17F4">
        <w:rPr>
          <w:color w:val="141314"/>
          <w:sz w:val="20"/>
          <w:szCs w:val="20"/>
        </w:rPr>
        <w:t xml:space="preserve"> </w:t>
      </w:r>
      <w:r w:rsidRPr="006B17F4">
        <w:rPr>
          <w:color w:val="141314"/>
          <w:sz w:val="20"/>
          <w:szCs w:val="20"/>
        </w:rPr>
        <w:t xml:space="preserve">In the our study, There was significant increase of inner </w:t>
      </w:r>
      <w:r w:rsidRPr="006B17F4">
        <w:rPr>
          <w:sz w:val="20"/>
          <w:szCs w:val="20"/>
        </w:rPr>
        <w:t>circle thickness in diabetic group</w:t>
      </w:r>
      <w:r w:rsidR="009C7943" w:rsidRPr="006B17F4">
        <w:rPr>
          <w:sz w:val="20"/>
          <w:szCs w:val="20"/>
        </w:rPr>
        <w:t xml:space="preserve"> </w:t>
      </w:r>
      <w:r w:rsidRPr="006B17F4">
        <w:rPr>
          <w:color w:val="141314"/>
          <w:sz w:val="20"/>
          <w:szCs w:val="20"/>
        </w:rPr>
        <w:t>from (</w:t>
      </w:r>
      <w:r w:rsidRPr="006B17F4">
        <w:rPr>
          <w:color w:val="000000"/>
          <w:sz w:val="20"/>
          <w:szCs w:val="20"/>
        </w:rPr>
        <w:t>264.42</w:t>
      </w:r>
      <w:r w:rsidRPr="006B17F4">
        <w:rPr>
          <w:color w:val="141314"/>
          <w:sz w:val="20"/>
          <w:szCs w:val="20"/>
        </w:rPr>
        <w:t>±</w:t>
      </w:r>
      <w:r w:rsidRPr="006B17F4">
        <w:rPr>
          <w:color w:val="000000"/>
          <w:sz w:val="20"/>
          <w:szCs w:val="20"/>
        </w:rPr>
        <w:t>8.02)</w:t>
      </w:r>
      <w:r w:rsidR="00814B98" w:rsidRPr="006B17F4">
        <w:rPr>
          <w:rFonts w:eastAsiaTheme="minorEastAsia" w:hint="eastAsia"/>
          <w:color w:val="000000"/>
          <w:sz w:val="20"/>
          <w:szCs w:val="20"/>
          <w:lang w:eastAsia="zh-CN"/>
        </w:rPr>
        <w:t xml:space="preserve"> </w:t>
      </w:r>
      <w:r w:rsidRPr="006B17F4">
        <w:rPr>
          <w:color w:val="141314"/>
          <w:sz w:val="20"/>
          <w:szCs w:val="20"/>
        </w:rPr>
        <w:t xml:space="preserve">preoperative to </w:t>
      </w:r>
      <w:r w:rsidRPr="006B17F4">
        <w:rPr>
          <w:color w:val="000000"/>
          <w:sz w:val="20"/>
          <w:szCs w:val="20"/>
        </w:rPr>
        <w:t>(292.98</w:t>
      </w:r>
      <w:r w:rsidRPr="006B17F4">
        <w:rPr>
          <w:color w:val="141314"/>
          <w:sz w:val="20"/>
          <w:szCs w:val="20"/>
        </w:rPr>
        <w:t xml:space="preserve">± </w:t>
      </w:r>
      <w:r w:rsidRPr="006B17F4">
        <w:rPr>
          <w:color w:val="000000"/>
          <w:sz w:val="20"/>
          <w:szCs w:val="20"/>
        </w:rPr>
        <w:t>27.79)</w:t>
      </w:r>
      <w:r w:rsidRPr="006B17F4">
        <w:rPr>
          <w:color w:val="141314"/>
          <w:sz w:val="20"/>
          <w:szCs w:val="20"/>
        </w:rPr>
        <w:t>,</w:t>
      </w:r>
      <w:r w:rsidR="00814B98" w:rsidRPr="006B17F4">
        <w:rPr>
          <w:rFonts w:eastAsiaTheme="minorEastAsia" w:hint="eastAsia"/>
          <w:color w:val="141314"/>
          <w:sz w:val="20"/>
          <w:szCs w:val="20"/>
          <w:lang w:eastAsia="zh-CN"/>
        </w:rPr>
        <w:t xml:space="preserve"> </w:t>
      </w:r>
      <w:r w:rsidRPr="006B17F4">
        <w:rPr>
          <w:color w:val="000000"/>
          <w:sz w:val="20"/>
          <w:szCs w:val="20"/>
        </w:rPr>
        <w:t>(286.62</w:t>
      </w:r>
      <w:r w:rsidRPr="006B17F4">
        <w:rPr>
          <w:color w:val="141314"/>
          <w:sz w:val="20"/>
          <w:szCs w:val="20"/>
        </w:rPr>
        <w:t>±</w:t>
      </w:r>
      <w:r w:rsidRPr="006B17F4">
        <w:rPr>
          <w:color w:val="000000"/>
          <w:sz w:val="20"/>
          <w:szCs w:val="20"/>
        </w:rPr>
        <w:t>16.74)</w:t>
      </w:r>
      <w:r w:rsidRPr="006B17F4">
        <w:rPr>
          <w:color w:val="141314"/>
          <w:sz w:val="20"/>
          <w:szCs w:val="20"/>
        </w:rPr>
        <w:t xml:space="preserve"> and (276.4± 10.22) at1 month, 3 months and 6 months postoperative respectively. While in control group; inner </w:t>
      </w:r>
      <w:r w:rsidRPr="006B17F4">
        <w:rPr>
          <w:sz w:val="20"/>
          <w:szCs w:val="20"/>
        </w:rPr>
        <w:t xml:space="preserve">circle thickness </w:t>
      </w:r>
      <w:r w:rsidRPr="006B17F4">
        <w:rPr>
          <w:color w:val="141314"/>
          <w:sz w:val="20"/>
          <w:szCs w:val="20"/>
        </w:rPr>
        <w:t>of the patients was (</w:t>
      </w:r>
      <w:r w:rsidRPr="006B17F4">
        <w:rPr>
          <w:sz w:val="20"/>
          <w:szCs w:val="20"/>
        </w:rPr>
        <w:t>262.52±6.85</w:t>
      </w:r>
      <w:r w:rsidRPr="006B17F4">
        <w:rPr>
          <w:color w:val="141314"/>
          <w:sz w:val="20"/>
          <w:szCs w:val="20"/>
        </w:rPr>
        <w:t xml:space="preserve">) and then (281.32 ±23.75), (270.48 ±5.92) and (268.34 ±5.32) at1 month, 3 months and 6 months postoperative respectively. </w:t>
      </w:r>
      <w:r w:rsidRPr="006B17F4">
        <w:rPr>
          <w:sz w:val="20"/>
          <w:szCs w:val="20"/>
        </w:rPr>
        <w:t>There was significant increase inner circle thickness in diabetic group when compared to non-diabetic groups at 1, 3 and 6 months postoperatively. In addition, there was significant increase of inner circle at 1, 3 and 6 months postoperatively when compared to corresponding preoperative values in each group.</w:t>
      </w:r>
      <w:r w:rsidR="009C7943" w:rsidRPr="006B17F4">
        <w:rPr>
          <w:sz w:val="20"/>
          <w:szCs w:val="20"/>
        </w:rPr>
        <w:t xml:space="preserve"> </w:t>
      </w:r>
      <w:r w:rsidRPr="006B17F4">
        <w:rPr>
          <w:sz w:val="20"/>
          <w:szCs w:val="20"/>
        </w:rPr>
        <w:t xml:space="preserve">Our study supported by similar study which performed by </w:t>
      </w:r>
      <w:proofErr w:type="spellStart"/>
      <w:r w:rsidRPr="006B17F4">
        <w:rPr>
          <w:b/>
          <w:bCs/>
          <w:sz w:val="20"/>
          <w:szCs w:val="20"/>
        </w:rPr>
        <w:t>Ayse</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(2016) </w:t>
      </w:r>
      <w:r w:rsidRPr="006B17F4">
        <w:rPr>
          <w:sz w:val="20"/>
          <w:szCs w:val="20"/>
        </w:rPr>
        <w:t>and</w:t>
      </w:r>
      <w:r w:rsidR="009C7943" w:rsidRPr="006B17F4">
        <w:rPr>
          <w:sz w:val="20"/>
          <w:szCs w:val="20"/>
        </w:rPr>
        <w:t xml:space="preserve"> </w:t>
      </w:r>
      <w:r w:rsidRPr="006B17F4">
        <w:rPr>
          <w:sz w:val="20"/>
          <w:szCs w:val="20"/>
        </w:rPr>
        <w:t>showed that</w:t>
      </w:r>
      <w:r w:rsidRPr="006B17F4">
        <w:rPr>
          <w:color w:val="141314"/>
          <w:sz w:val="20"/>
          <w:szCs w:val="20"/>
        </w:rPr>
        <w:t xml:space="preserve"> postoperative CFT was increased significantly in diabetic group than control group by </w:t>
      </w:r>
      <w:r w:rsidRPr="006B17F4">
        <w:rPr>
          <w:sz w:val="20"/>
          <w:szCs w:val="20"/>
        </w:rPr>
        <w:t xml:space="preserve">30.3 um VS 13.1 um and 12.5 um VS 4.6 UM at 1 and 3 </w:t>
      </w:r>
      <w:proofErr w:type="spellStart"/>
      <w:r w:rsidRPr="006B17F4">
        <w:rPr>
          <w:sz w:val="20"/>
          <w:szCs w:val="20"/>
        </w:rPr>
        <w:t>monthes</w:t>
      </w:r>
      <w:proofErr w:type="spellEnd"/>
      <w:r w:rsidRPr="006B17F4">
        <w:rPr>
          <w:sz w:val="20"/>
          <w:szCs w:val="20"/>
        </w:rPr>
        <w:t xml:space="preserve"> respectively. The results of another study conducted by</w:t>
      </w:r>
      <w:r w:rsidR="009C7943" w:rsidRPr="006B17F4">
        <w:rPr>
          <w:b/>
          <w:bCs/>
          <w:sz w:val="20"/>
          <w:szCs w:val="20"/>
        </w:rPr>
        <w:t xml:space="preserve"> </w:t>
      </w:r>
      <w:proofErr w:type="spellStart"/>
      <w:r w:rsidRPr="006B17F4">
        <w:rPr>
          <w:b/>
          <w:bCs/>
          <w:sz w:val="20"/>
          <w:szCs w:val="20"/>
        </w:rPr>
        <w:t>Khedr</w:t>
      </w:r>
      <w:proofErr w:type="spellEnd"/>
      <w:r w:rsidRPr="006B17F4">
        <w:rPr>
          <w:b/>
          <w:bCs/>
          <w:sz w:val="20"/>
          <w:szCs w:val="20"/>
        </w:rPr>
        <w:t xml:space="preserve"> (2014), </w:t>
      </w:r>
      <w:r w:rsidRPr="006B17F4">
        <w:rPr>
          <w:sz w:val="20"/>
          <w:szCs w:val="20"/>
        </w:rPr>
        <w:t xml:space="preserve">he showed that CMT increased in diabetic patients after uncomplicated </w:t>
      </w:r>
      <w:proofErr w:type="spellStart"/>
      <w:r w:rsidRPr="006B17F4">
        <w:rPr>
          <w:sz w:val="20"/>
          <w:szCs w:val="20"/>
        </w:rPr>
        <w:t>phacoemulsification</w:t>
      </w:r>
      <w:proofErr w:type="spellEnd"/>
      <w:r w:rsidRPr="006B17F4">
        <w:rPr>
          <w:sz w:val="20"/>
          <w:szCs w:val="20"/>
        </w:rPr>
        <w:t xml:space="preserve"> by 20% and 12% in </w:t>
      </w:r>
      <w:proofErr w:type="spellStart"/>
      <w:r w:rsidRPr="006B17F4">
        <w:rPr>
          <w:sz w:val="20"/>
          <w:szCs w:val="20"/>
        </w:rPr>
        <w:t>nondiabetic</w:t>
      </w:r>
      <w:proofErr w:type="spellEnd"/>
      <w:r w:rsidRPr="006B17F4">
        <w:rPr>
          <w:sz w:val="20"/>
          <w:szCs w:val="20"/>
        </w:rPr>
        <w:t xml:space="preserve">. This may explained by </w:t>
      </w:r>
      <w:proofErr w:type="spellStart"/>
      <w:r w:rsidRPr="006B17F4">
        <w:rPr>
          <w:sz w:val="20"/>
          <w:szCs w:val="20"/>
        </w:rPr>
        <w:t>pseudophakic</w:t>
      </w:r>
      <w:proofErr w:type="spellEnd"/>
      <w:r w:rsidRPr="006B17F4">
        <w:rPr>
          <w:sz w:val="20"/>
          <w:szCs w:val="20"/>
        </w:rPr>
        <w:t xml:space="preserve"> CME caused by cytokines which released from blood ocular barrier after cataract surgery.</w:t>
      </w:r>
    </w:p>
    <w:p w:rsidR="00441B26" w:rsidRPr="006B17F4" w:rsidRDefault="00FC648F" w:rsidP="00814B98">
      <w:pPr>
        <w:autoSpaceDE w:val="0"/>
        <w:autoSpaceDN w:val="0"/>
        <w:bidi w:val="0"/>
        <w:adjustRightInd w:val="0"/>
        <w:snapToGrid w:val="0"/>
        <w:ind w:firstLine="425"/>
        <w:jc w:val="both"/>
        <w:rPr>
          <w:color w:val="131413"/>
          <w:sz w:val="20"/>
          <w:szCs w:val="20"/>
        </w:rPr>
      </w:pPr>
      <w:r w:rsidRPr="006B17F4">
        <w:rPr>
          <w:sz w:val="20"/>
          <w:szCs w:val="20"/>
        </w:rPr>
        <w:t xml:space="preserve">In the present study, </w:t>
      </w:r>
      <w:r w:rsidR="00441B26" w:rsidRPr="006B17F4">
        <w:rPr>
          <w:sz w:val="20"/>
          <w:szCs w:val="20"/>
        </w:rPr>
        <w:t>there</w:t>
      </w:r>
      <w:r w:rsidRPr="006B17F4">
        <w:rPr>
          <w:sz w:val="20"/>
          <w:szCs w:val="20"/>
        </w:rPr>
        <w:t xml:space="preserve"> was a significant increase in </w:t>
      </w:r>
      <w:r w:rsidRPr="006B17F4">
        <w:rPr>
          <w:color w:val="141314"/>
          <w:sz w:val="20"/>
          <w:szCs w:val="20"/>
        </w:rPr>
        <w:t>TMV in diabetic group from (</w:t>
      </w:r>
      <w:r w:rsidRPr="006B17F4">
        <w:rPr>
          <w:color w:val="000000"/>
          <w:sz w:val="20"/>
          <w:szCs w:val="20"/>
        </w:rPr>
        <w:t>6.81</w:t>
      </w:r>
      <w:r w:rsidRPr="006B17F4">
        <w:rPr>
          <w:color w:val="141314"/>
          <w:sz w:val="20"/>
          <w:szCs w:val="20"/>
        </w:rPr>
        <w:t>±</w:t>
      </w:r>
      <w:r w:rsidRPr="006B17F4">
        <w:rPr>
          <w:color w:val="000000"/>
          <w:sz w:val="20"/>
          <w:szCs w:val="20"/>
        </w:rPr>
        <w:t>0.16)</w:t>
      </w:r>
      <w:r w:rsidR="009C7943" w:rsidRPr="006B17F4">
        <w:rPr>
          <w:color w:val="141314"/>
          <w:sz w:val="20"/>
          <w:szCs w:val="20"/>
        </w:rPr>
        <w:t xml:space="preserve"> </w:t>
      </w:r>
      <w:r w:rsidRPr="006B17F4">
        <w:rPr>
          <w:color w:val="141314"/>
          <w:sz w:val="20"/>
          <w:szCs w:val="20"/>
        </w:rPr>
        <w:t xml:space="preserve">preoperative to </w:t>
      </w:r>
      <w:r w:rsidRPr="006B17F4">
        <w:rPr>
          <w:color w:val="000000"/>
          <w:sz w:val="20"/>
          <w:szCs w:val="20"/>
        </w:rPr>
        <w:t>(7.09</w:t>
      </w:r>
      <w:r w:rsidRPr="006B17F4">
        <w:rPr>
          <w:color w:val="141314"/>
          <w:sz w:val="20"/>
          <w:szCs w:val="20"/>
        </w:rPr>
        <w:t>±</w:t>
      </w:r>
      <w:r w:rsidRPr="006B17F4">
        <w:rPr>
          <w:color w:val="000000"/>
          <w:sz w:val="20"/>
          <w:szCs w:val="20"/>
        </w:rPr>
        <w:t>0.46</w:t>
      </w:r>
      <w:r w:rsidRPr="006B17F4">
        <w:rPr>
          <w:color w:val="141314"/>
          <w:sz w:val="20"/>
          <w:szCs w:val="20"/>
        </w:rPr>
        <w:t>),</w:t>
      </w:r>
      <w:r w:rsidR="009C7943" w:rsidRPr="006B17F4">
        <w:rPr>
          <w:color w:val="000000"/>
          <w:sz w:val="20"/>
          <w:szCs w:val="20"/>
        </w:rPr>
        <w:t xml:space="preserve"> </w:t>
      </w:r>
      <w:r w:rsidRPr="006B17F4">
        <w:rPr>
          <w:color w:val="000000"/>
          <w:sz w:val="20"/>
          <w:szCs w:val="20"/>
        </w:rPr>
        <w:t>(6.98</w:t>
      </w:r>
      <w:r w:rsidRPr="006B17F4">
        <w:rPr>
          <w:color w:val="141314"/>
          <w:sz w:val="20"/>
          <w:szCs w:val="20"/>
        </w:rPr>
        <w:t>±</w:t>
      </w:r>
      <w:r w:rsidRPr="006B17F4">
        <w:rPr>
          <w:color w:val="000000"/>
          <w:sz w:val="20"/>
          <w:szCs w:val="20"/>
        </w:rPr>
        <w:t>0.18)</w:t>
      </w:r>
      <w:r w:rsidRPr="006B17F4">
        <w:rPr>
          <w:color w:val="141314"/>
          <w:sz w:val="20"/>
          <w:szCs w:val="20"/>
        </w:rPr>
        <w:t xml:space="preserve"> and (6.92±0.17) at1 month, 3 months and 6 months </w:t>
      </w:r>
      <w:r w:rsidRPr="006B17F4">
        <w:rPr>
          <w:color w:val="141314"/>
          <w:sz w:val="20"/>
          <w:szCs w:val="20"/>
        </w:rPr>
        <w:lastRenderedPageBreak/>
        <w:t>postoperative respectively. While in control group; the TMV of the patients was (</w:t>
      </w:r>
      <w:r w:rsidRPr="006B17F4">
        <w:rPr>
          <w:sz w:val="20"/>
          <w:szCs w:val="20"/>
        </w:rPr>
        <w:t>6.67±0.13</w:t>
      </w:r>
      <w:r w:rsidRPr="006B17F4">
        <w:rPr>
          <w:color w:val="141314"/>
          <w:sz w:val="20"/>
          <w:szCs w:val="20"/>
        </w:rPr>
        <w:t xml:space="preserve">) and then (6.91±0.31), (6.80±0.14) </w:t>
      </w:r>
      <w:r w:rsidR="009C7943" w:rsidRPr="006B17F4">
        <w:rPr>
          <w:color w:val="141314"/>
          <w:sz w:val="20"/>
          <w:szCs w:val="20"/>
        </w:rPr>
        <w:t>and (</w:t>
      </w:r>
      <w:r w:rsidRPr="006B17F4">
        <w:rPr>
          <w:color w:val="141314"/>
          <w:sz w:val="20"/>
          <w:szCs w:val="20"/>
        </w:rPr>
        <w:t xml:space="preserve">6.80±0.14) at1 month, 3 months and 6 months postoperative respectively. </w:t>
      </w:r>
      <w:r w:rsidRPr="006B17F4">
        <w:rPr>
          <w:sz w:val="20"/>
          <w:szCs w:val="20"/>
        </w:rPr>
        <w:t xml:space="preserve">There was no significant difference between both groups preoperatively as regard to TMV. However, there was significant increase of </w:t>
      </w:r>
      <w:proofErr w:type="spellStart"/>
      <w:r w:rsidRPr="006B17F4">
        <w:rPr>
          <w:sz w:val="20"/>
          <w:szCs w:val="20"/>
        </w:rPr>
        <w:t>fundus</w:t>
      </w:r>
      <w:proofErr w:type="spellEnd"/>
      <w:r w:rsidRPr="006B17F4">
        <w:rPr>
          <w:sz w:val="20"/>
          <w:szCs w:val="20"/>
        </w:rPr>
        <w:t xml:space="preserve"> TMV in diabetic group when compared to non-diabetic group at 1, 3 and 6 months postoperatively. In addition, there was significant increase of </w:t>
      </w:r>
      <w:proofErr w:type="spellStart"/>
      <w:r w:rsidRPr="006B17F4">
        <w:rPr>
          <w:sz w:val="20"/>
          <w:szCs w:val="20"/>
        </w:rPr>
        <w:t>fundus</w:t>
      </w:r>
      <w:proofErr w:type="spellEnd"/>
      <w:r w:rsidRPr="006B17F4">
        <w:rPr>
          <w:sz w:val="20"/>
          <w:szCs w:val="20"/>
        </w:rPr>
        <w:t xml:space="preserve"> TMV postoperatively at 1, 3 and 6 months when compared to corresponding preoperative values in each group</w:t>
      </w:r>
      <w:r w:rsidR="00814B98" w:rsidRPr="006B17F4">
        <w:rPr>
          <w:sz w:val="20"/>
          <w:szCs w:val="20"/>
        </w:rPr>
        <w:t>. A</w:t>
      </w:r>
      <w:r w:rsidRPr="006B17F4">
        <w:rPr>
          <w:sz w:val="20"/>
          <w:szCs w:val="20"/>
        </w:rPr>
        <w:t>s regard to outer circle, there was no –significant difference between diabetic and non-diabetic groups preoperatively and at 1, 3 and 6 months postoperatively. On the other hand, there was significant increase of outer circle at 1, 3 and 6 months postoperatively, when compared to corresponding preoperative values in each group</w:t>
      </w:r>
      <w:r w:rsidR="00441B26" w:rsidRPr="006B17F4">
        <w:rPr>
          <w:sz w:val="20"/>
          <w:szCs w:val="20"/>
        </w:rPr>
        <w:t xml:space="preserve">. </w:t>
      </w:r>
      <w:proofErr w:type="spellStart"/>
      <w:r w:rsidRPr="006B17F4">
        <w:rPr>
          <w:b/>
          <w:bCs/>
          <w:sz w:val="20"/>
          <w:szCs w:val="20"/>
        </w:rPr>
        <w:t>Golebiewska</w:t>
      </w:r>
      <w:proofErr w:type="spellEnd"/>
      <w:r w:rsidRPr="006B17F4">
        <w:rPr>
          <w:b/>
          <w:bCs/>
          <w:sz w:val="20"/>
          <w:szCs w:val="20"/>
        </w:rPr>
        <w:t xml:space="preserve"> </w:t>
      </w:r>
      <w:r w:rsidR="00656181" w:rsidRPr="006B17F4">
        <w:rPr>
          <w:b/>
          <w:bCs/>
          <w:i/>
          <w:iCs/>
          <w:sz w:val="20"/>
          <w:szCs w:val="20"/>
        </w:rPr>
        <w:t>et al</w:t>
      </w:r>
      <w:r w:rsidRPr="006B17F4">
        <w:rPr>
          <w:b/>
          <w:bCs/>
          <w:sz w:val="20"/>
          <w:szCs w:val="20"/>
        </w:rPr>
        <w:t xml:space="preserve"> (2014) </w:t>
      </w:r>
      <w:r w:rsidRPr="006B17F4">
        <w:rPr>
          <w:sz w:val="20"/>
          <w:szCs w:val="20"/>
        </w:rPr>
        <w:t xml:space="preserve">detected a significant increase in central macular thickness and </w:t>
      </w:r>
      <w:proofErr w:type="spellStart"/>
      <w:r w:rsidRPr="006B17F4">
        <w:rPr>
          <w:sz w:val="20"/>
          <w:szCs w:val="20"/>
        </w:rPr>
        <w:t>foveal</w:t>
      </w:r>
      <w:proofErr w:type="spellEnd"/>
      <w:r w:rsidRPr="006B17F4">
        <w:rPr>
          <w:sz w:val="20"/>
          <w:szCs w:val="20"/>
        </w:rPr>
        <w:t xml:space="preserve"> macular volume value on postoperative day 7, 30, 90 and 180 as compared with baseline value. These values are higher in diabetic patients.</w:t>
      </w:r>
      <w:r w:rsidR="00814B98" w:rsidRPr="006B17F4">
        <w:rPr>
          <w:sz w:val="20"/>
          <w:szCs w:val="20"/>
        </w:rPr>
        <w:t xml:space="preserve"> </w:t>
      </w:r>
      <w:r w:rsidRPr="006B17F4">
        <w:rPr>
          <w:color w:val="131413"/>
          <w:sz w:val="20"/>
          <w:szCs w:val="20"/>
        </w:rPr>
        <w:t xml:space="preserve">Against our study, </w:t>
      </w:r>
      <w:r w:rsidRPr="006B17F4">
        <w:rPr>
          <w:b/>
          <w:bCs/>
          <w:color w:val="131413"/>
          <w:sz w:val="20"/>
          <w:szCs w:val="20"/>
        </w:rPr>
        <w:t xml:space="preserve">Eriksson </w:t>
      </w:r>
      <w:r w:rsidR="00656181" w:rsidRPr="006B17F4">
        <w:rPr>
          <w:b/>
          <w:bCs/>
          <w:i/>
          <w:iCs/>
          <w:color w:val="131413"/>
          <w:sz w:val="20"/>
          <w:szCs w:val="20"/>
        </w:rPr>
        <w:t>et al</w:t>
      </w:r>
      <w:r w:rsidR="009C7943" w:rsidRPr="006B17F4">
        <w:rPr>
          <w:b/>
          <w:bCs/>
          <w:color w:val="131413"/>
          <w:sz w:val="20"/>
          <w:szCs w:val="20"/>
        </w:rPr>
        <w:t xml:space="preserve"> </w:t>
      </w:r>
      <w:r w:rsidRPr="006B17F4">
        <w:rPr>
          <w:b/>
          <w:bCs/>
          <w:color w:val="131413"/>
          <w:sz w:val="20"/>
          <w:szCs w:val="20"/>
        </w:rPr>
        <w:t>(2011)</w:t>
      </w:r>
      <w:r w:rsidRPr="006B17F4">
        <w:rPr>
          <w:color w:val="131413"/>
          <w:sz w:val="20"/>
          <w:szCs w:val="20"/>
        </w:rPr>
        <w:t xml:space="preserve"> reported that the thickness of the central macula increased significantly between the preoperative measurements and the 6-weeks follow up in both diabetics and controls. And there was no significant difference between the two groups.</w:t>
      </w:r>
    </w:p>
    <w:p w:rsidR="00FC648F" w:rsidRPr="006B17F4" w:rsidRDefault="00FC648F" w:rsidP="00814B98">
      <w:pPr>
        <w:autoSpaceDE w:val="0"/>
        <w:autoSpaceDN w:val="0"/>
        <w:bidi w:val="0"/>
        <w:adjustRightInd w:val="0"/>
        <w:snapToGrid w:val="0"/>
        <w:ind w:firstLine="425"/>
        <w:jc w:val="both"/>
        <w:rPr>
          <w:color w:val="141314"/>
          <w:sz w:val="20"/>
          <w:szCs w:val="20"/>
        </w:rPr>
      </w:pPr>
      <w:r w:rsidRPr="006B17F4">
        <w:rPr>
          <w:sz w:val="20"/>
          <w:szCs w:val="20"/>
          <w:lang w:bidi="ar-EG"/>
        </w:rPr>
        <w:t xml:space="preserve">Also, </w:t>
      </w:r>
      <w:proofErr w:type="spellStart"/>
      <w:r w:rsidRPr="006B17F4">
        <w:rPr>
          <w:sz w:val="20"/>
          <w:szCs w:val="20"/>
          <w:lang w:bidi="ar-EG"/>
        </w:rPr>
        <w:t>perifoveal</w:t>
      </w:r>
      <w:proofErr w:type="spellEnd"/>
      <w:r w:rsidRPr="006B17F4">
        <w:rPr>
          <w:sz w:val="20"/>
          <w:szCs w:val="20"/>
          <w:lang w:bidi="ar-EG"/>
        </w:rPr>
        <w:t xml:space="preserve"> macular thickness at superior, inferior,</w:t>
      </w:r>
      <w:r w:rsidRPr="006B17F4">
        <w:rPr>
          <w:sz w:val="20"/>
          <w:szCs w:val="20"/>
        </w:rPr>
        <w:t xml:space="preserve"> temporal, and nasal macular quadrants were 264.9 um, 226.1 um, 255.0 um, 272.0 um, respectively at first postoperative month (p&lt;0.001). The change in The mean central </w:t>
      </w:r>
      <w:proofErr w:type="spellStart"/>
      <w:r w:rsidRPr="006B17F4">
        <w:rPr>
          <w:sz w:val="20"/>
          <w:szCs w:val="20"/>
        </w:rPr>
        <w:t>foveal</w:t>
      </w:r>
      <w:proofErr w:type="spellEnd"/>
      <w:r w:rsidRPr="006B17F4">
        <w:rPr>
          <w:sz w:val="20"/>
          <w:szCs w:val="20"/>
        </w:rPr>
        <w:t xml:space="preserve"> retinal thickness was insignificant at first postoperative day (p&gt;0.05), and significant at first week, first month, third month and six months </w:t>
      </w:r>
      <w:r w:rsidRPr="006B17F4">
        <w:rPr>
          <w:sz w:val="20"/>
          <w:szCs w:val="20"/>
          <w:lang w:bidi="ar-EG"/>
        </w:rPr>
        <w:t xml:space="preserve">postoperatively (p&lt;0.05) for all measurement. A statistically </w:t>
      </w:r>
      <w:r w:rsidRPr="006B17F4">
        <w:rPr>
          <w:sz w:val="20"/>
          <w:szCs w:val="20"/>
        </w:rPr>
        <w:t>significant</w:t>
      </w:r>
      <w:r w:rsidR="009C7943" w:rsidRPr="006B17F4">
        <w:rPr>
          <w:sz w:val="20"/>
          <w:szCs w:val="20"/>
        </w:rPr>
        <w:t xml:space="preserve"> </w:t>
      </w:r>
      <w:r w:rsidRPr="006B17F4">
        <w:rPr>
          <w:sz w:val="20"/>
          <w:szCs w:val="20"/>
        </w:rPr>
        <w:t>increase in</w:t>
      </w:r>
      <w:r w:rsidRPr="006B17F4">
        <w:rPr>
          <w:sz w:val="20"/>
          <w:szCs w:val="20"/>
          <w:lang w:bidi="ar-EG"/>
        </w:rPr>
        <w:t xml:space="preserve"> macular thickness was detected at</w:t>
      </w:r>
      <w:r w:rsidRPr="006B17F4">
        <w:rPr>
          <w:sz w:val="20"/>
          <w:szCs w:val="20"/>
        </w:rPr>
        <w:t xml:space="preserve"> postoperative early periods, after the first week after uncomplicated cataract operation. Longer follow-up of the patients was required for the macular consequences.</w:t>
      </w:r>
      <w:r w:rsidR="009C7943" w:rsidRPr="006B17F4">
        <w:rPr>
          <w:sz w:val="20"/>
          <w:szCs w:val="20"/>
        </w:rPr>
        <w:t xml:space="preserve"> </w:t>
      </w:r>
      <w:r w:rsidRPr="006B17F4">
        <w:rPr>
          <w:b/>
          <w:bCs/>
          <w:sz w:val="20"/>
          <w:szCs w:val="20"/>
        </w:rPr>
        <w:t xml:space="preserve">Lobo </w:t>
      </w:r>
      <w:r w:rsidR="00656181" w:rsidRPr="006B17F4">
        <w:rPr>
          <w:b/>
          <w:bCs/>
          <w:i/>
          <w:iCs/>
          <w:sz w:val="20"/>
          <w:szCs w:val="20"/>
        </w:rPr>
        <w:t>et al.,</w:t>
      </w:r>
      <w:r w:rsidRPr="006B17F4">
        <w:rPr>
          <w:b/>
          <w:bCs/>
          <w:sz w:val="20"/>
          <w:szCs w:val="20"/>
        </w:rPr>
        <w:t xml:space="preserve"> (2004)</w:t>
      </w:r>
      <w:r w:rsidRPr="006B17F4">
        <w:rPr>
          <w:sz w:val="20"/>
          <w:szCs w:val="20"/>
        </w:rPr>
        <w:t xml:space="preserve"> studied retinal leakage after micro </w:t>
      </w:r>
      <w:proofErr w:type="spellStart"/>
      <w:r w:rsidRPr="006B17F4">
        <w:rPr>
          <w:sz w:val="20"/>
          <w:szCs w:val="20"/>
        </w:rPr>
        <w:t>incisional</w:t>
      </w:r>
      <w:proofErr w:type="spellEnd"/>
      <w:r w:rsidRPr="006B17F4">
        <w:rPr>
          <w:sz w:val="20"/>
          <w:szCs w:val="20"/>
        </w:rPr>
        <w:t xml:space="preserve"> cataract surgery, leakage sites were primarily </w:t>
      </w:r>
      <w:proofErr w:type="spellStart"/>
      <w:r w:rsidRPr="006B17F4">
        <w:rPr>
          <w:sz w:val="20"/>
          <w:szCs w:val="20"/>
        </w:rPr>
        <w:t>perifoveal</w:t>
      </w:r>
      <w:proofErr w:type="spellEnd"/>
      <w:r w:rsidRPr="006B17F4">
        <w:rPr>
          <w:sz w:val="20"/>
          <w:szCs w:val="20"/>
        </w:rPr>
        <w:t xml:space="preserve"> vascular structures and leakage accumulates later on in fovea that has less tissue tension and more places.</w:t>
      </w:r>
      <w:r w:rsidR="009C7943" w:rsidRPr="006B17F4">
        <w:rPr>
          <w:b/>
          <w:bCs/>
          <w:color w:val="141314"/>
          <w:sz w:val="20"/>
          <w:szCs w:val="20"/>
        </w:rPr>
        <w:t xml:space="preserve"> </w:t>
      </w:r>
      <w:proofErr w:type="spellStart"/>
      <w:r w:rsidRPr="006B17F4">
        <w:rPr>
          <w:b/>
          <w:bCs/>
          <w:color w:val="141314"/>
          <w:sz w:val="20"/>
          <w:szCs w:val="20"/>
        </w:rPr>
        <w:t>Kusbeci</w:t>
      </w:r>
      <w:proofErr w:type="spellEnd"/>
      <w:r w:rsidR="006B17F4" w:rsidRPr="006B17F4">
        <w:rPr>
          <w:rFonts w:eastAsiaTheme="minorEastAsia" w:hint="eastAsia"/>
          <w:b/>
          <w:bCs/>
          <w:color w:val="141314"/>
          <w:sz w:val="20"/>
          <w:szCs w:val="20"/>
          <w:lang w:eastAsia="zh-CN"/>
        </w:rPr>
        <w:t xml:space="preserve"> </w:t>
      </w:r>
      <w:r w:rsidR="00656181" w:rsidRPr="006B17F4">
        <w:rPr>
          <w:b/>
          <w:bCs/>
          <w:i/>
          <w:iCs/>
          <w:color w:val="141314"/>
          <w:sz w:val="20"/>
          <w:szCs w:val="20"/>
        </w:rPr>
        <w:t>et al.,</w:t>
      </w:r>
      <w:r w:rsidRPr="006B17F4">
        <w:rPr>
          <w:b/>
          <w:bCs/>
          <w:color w:val="141314"/>
          <w:sz w:val="20"/>
          <w:szCs w:val="20"/>
        </w:rPr>
        <w:t xml:space="preserve"> (2012)</w:t>
      </w:r>
      <w:r w:rsidRPr="006B17F4">
        <w:rPr>
          <w:color w:val="141314"/>
          <w:sz w:val="20"/>
          <w:szCs w:val="20"/>
        </w:rPr>
        <w:t xml:space="preserve"> detected an increase in </w:t>
      </w:r>
      <w:proofErr w:type="spellStart"/>
      <w:r w:rsidRPr="006B17F4">
        <w:rPr>
          <w:color w:val="141314"/>
          <w:sz w:val="20"/>
          <w:szCs w:val="20"/>
        </w:rPr>
        <w:t>perifoveal</w:t>
      </w:r>
      <w:proofErr w:type="spellEnd"/>
      <w:r w:rsidRPr="006B17F4">
        <w:rPr>
          <w:color w:val="141314"/>
          <w:sz w:val="20"/>
          <w:szCs w:val="20"/>
        </w:rPr>
        <w:t xml:space="preserve"> and central macular thickness (CMT) at postoperative early period and peaked at postoperative 12th weeks. And the measurements of macular thickness were not decreased to preoperative values at the last postoperative visits (24th weeks).</w:t>
      </w:r>
    </w:p>
    <w:p w:rsidR="00FC648F" w:rsidRPr="006B17F4" w:rsidRDefault="00FC648F" w:rsidP="00814B98">
      <w:pPr>
        <w:widowControl w:val="0"/>
        <w:autoSpaceDE w:val="0"/>
        <w:autoSpaceDN w:val="0"/>
        <w:bidi w:val="0"/>
        <w:adjustRightInd w:val="0"/>
        <w:snapToGrid w:val="0"/>
        <w:ind w:firstLine="425"/>
        <w:jc w:val="both"/>
        <w:rPr>
          <w:sz w:val="20"/>
          <w:szCs w:val="20"/>
        </w:rPr>
      </w:pPr>
      <w:r w:rsidRPr="006B17F4">
        <w:rPr>
          <w:sz w:val="20"/>
          <w:szCs w:val="20"/>
        </w:rPr>
        <w:t xml:space="preserve">In </w:t>
      </w:r>
      <w:r w:rsidR="001117D7" w:rsidRPr="006B17F4">
        <w:rPr>
          <w:sz w:val="20"/>
          <w:szCs w:val="20"/>
        </w:rPr>
        <w:t>conclusion</w:t>
      </w:r>
      <w:r w:rsidRPr="006B17F4">
        <w:rPr>
          <w:sz w:val="20"/>
          <w:szCs w:val="20"/>
        </w:rPr>
        <w:t xml:space="preserve">, we found a subclinical increase in central retina thickness in diabetic and non-diabetic </w:t>
      </w:r>
      <w:r w:rsidRPr="006B17F4">
        <w:rPr>
          <w:sz w:val="20"/>
          <w:szCs w:val="20"/>
        </w:rPr>
        <w:lastRenderedPageBreak/>
        <w:t xml:space="preserve">patients after uncomplicated </w:t>
      </w:r>
      <w:proofErr w:type="spellStart"/>
      <w:r w:rsidRPr="006B17F4">
        <w:rPr>
          <w:sz w:val="20"/>
          <w:szCs w:val="20"/>
        </w:rPr>
        <w:t>phacoemulsification</w:t>
      </w:r>
      <w:proofErr w:type="spellEnd"/>
      <w:r w:rsidRPr="006B17F4">
        <w:rPr>
          <w:sz w:val="20"/>
          <w:szCs w:val="20"/>
        </w:rPr>
        <w:t>, which may be detected clinically and by FFA also can be quantified by OCT.</w:t>
      </w:r>
    </w:p>
    <w:p w:rsidR="009C7943" w:rsidRDefault="009C7943" w:rsidP="00814B98">
      <w:pPr>
        <w:pStyle w:val="Left"/>
        <w:snapToGrid w:val="0"/>
        <w:jc w:val="both"/>
        <w:rPr>
          <w:rFonts w:eastAsiaTheme="minorEastAsia" w:hint="eastAsia"/>
          <w:b/>
          <w:bCs/>
          <w:sz w:val="20"/>
          <w:szCs w:val="20"/>
          <w:lang w:eastAsia="zh-CN"/>
        </w:rPr>
      </w:pPr>
    </w:p>
    <w:p w:rsidR="006B17F4" w:rsidRPr="006B17F4" w:rsidRDefault="006B17F4" w:rsidP="00814B98">
      <w:pPr>
        <w:pStyle w:val="Left"/>
        <w:snapToGrid w:val="0"/>
        <w:jc w:val="both"/>
        <w:rPr>
          <w:rFonts w:eastAsiaTheme="minorEastAsia" w:hint="eastAsia"/>
          <w:b/>
          <w:bCs/>
          <w:sz w:val="20"/>
          <w:szCs w:val="20"/>
          <w:lang w:eastAsia="zh-CN"/>
        </w:rPr>
      </w:pPr>
    </w:p>
    <w:p w:rsidR="00FC648F" w:rsidRPr="006B17F4" w:rsidRDefault="001117D7" w:rsidP="00814B98">
      <w:pPr>
        <w:pStyle w:val="Left"/>
        <w:snapToGrid w:val="0"/>
        <w:jc w:val="both"/>
        <w:rPr>
          <w:b/>
          <w:bCs/>
          <w:sz w:val="20"/>
          <w:szCs w:val="20"/>
        </w:rPr>
      </w:pPr>
      <w:r w:rsidRPr="006B17F4">
        <w:rPr>
          <w:b/>
          <w:bCs/>
          <w:sz w:val="20"/>
          <w:szCs w:val="20"/>
        </w:rPr>
        <w:t>References</w:t>
      </w:r>
    </w:p>
    <w:p w:rsidR="00FC648F" w:rsidRPr="006B17F4" w:rsidRDefault="00FC648F" w:rsidP="00814B98">
      <w:pPr>
        <w:numPr>
          <w:ilvl w:val="0"/>
          <w:numId w:val="23"/>
        </w:numPr>
        <w:bidi w:val="0"/>
        <w:snapToGrid w:val="0"/>
        <w:jc w:val="both"/>
        <w:rPr>
          <w:sz w:val="20"/>
          <w:szCs w:val="20"/>
        </w:rPr>
      </w:pPr>
      <w:proofErr w:type="spellStart"/>
      <w:r w:rsidRPr="006B17F4">
        <w:rPr>
          <w:bCs/>
          <w:sz w:val="20"/>
          <w:szCs w:val="20"/>
        </w:rPr>
        <w:t>Ayse</w:t>
      </w:r>
      <w:proofErr w:type="spellEnd"/>
      <w:r w:rsidRPr="006B17F4">
        <w:rPr>
          <w:bCs/>
          <w:sz w:val="20"/>
          <w:szCs w:val="20"/>
        </w:rPr>
        <w:t xml:space="preserve"> GK, Pinar C, </w:t>
      </w:r>
      <w:proofErr w:type="spellStart"/>
      <w:r w:rsidRPr="006B17F4">
        <w:rPr>
          <w:bCs/>
          <w:sz w:val="20"/>
          <w:szCs w:val="20"/>
        </w:rPr>
        <w:t>Hasan</w:t>
      </w:r>
      <w:proofErr w:type="spellEnd"/>
      <w:r w:rsidRPr="006B17F4">
        <w:rPr>
          <w:bCs/>
          <w:sz w:val="20"/>
          <w:szCs w:val="20"/>
        </w:rPr>
        <w:t xml:space="preserve"> BK, </w:t>
      </w:r>
      <w:proofErr w:type="spellStart"/>
      <w:r w:rsidRPr="006B17F4">
        <w:rPr>
          <w:bCs/>
          <w:sz w:val="20"/>
          <w:szCs w:val="20"/>
        </w:rPr>
        <w:t>Kenan</w:t>
      </w:r>
      <w:proofErr w:type="spellEnd"/>
      <w:r w:rsidRPr="006B17F4">
        <w:rPr>
          <w:bCs/>
          <w:sz w:val="20"/>
          <w:szCs w:val="20"/>
        </w:rPr>
        <w:t xml:space="preserve"> S. </w:t>
      </w:r>
      <w:r w:rsidRPr="006B17F4">
        <w:rPr>
          <w:sz w:val="20"/>
          <w:szCs w:val="20"/>
        </w:rPr>
        <w:t>Comparison of</w:t>
      </w:r>
      <w:r w:rsidR="00814B98" w:rsidRPr="006B17F4">
        <w:rPr>
          <w:sz w:val="20"/>
          <w:szCs w:val="20"/>
        </w:rPr>
        <w:t xml:space="preserve"> </w:t>
      </w:r>
      <w:proofErr w:type="spellStart"/>
      <w:r w:rsidRPr="006B17F4">
        <w:rPr>
          <w:sz w:val="20"/>
          <w:szCs w:val="20"/>
        </w:rPr>
        <w:t>phacoemulsification</w:t>
      </w:r>
      <w:proofErr w:type="spellEnd"/>
      <w:r w:rsidR="00814B98" w:rsidRPr="006B17F4">
        <w:rPr>
          <w:sz w:val="20"/>
          <w:szCs w:val="20"/>
        </w:rPr>
        <w:t xml:space="preserve"> </w:t>
      </w:r>
      <w:r w:rsidRPr="006B17F4">
        <w:rPr>
          <w:sz w:val="20"/>
          <w:szCs w:val="20"/>
        </w:rPr>
        <w:t xml:space="preserve">parameters effect on central macular thickness changes after uneventful </w:t>
      </w:r>
      <w:proofErr w:type="spellStart"/>
      <w:r w:rsidRPr="006B17F4">
        <w:rPr>
          <w:sz w:val="20"/>
          <w:szCs w:val="20"/>
        </w:rPr>
        <w:t>phacoemulsification</w:t>
      </w:r>
      <w:proofErr w:type="spellEnd"/>
      <w:r w:rsidRPr="006B17F4">
        <w:rPr>
          <w:sz w:val="20"/>
          <w:szCs w:val="20"/>
        </w:rPr>
        <w:t xml:space="preserve"> in diabetic and non-diabetic patients. </w:t>
      </w:r>
      <w:proofErr w:type="spellStart"/>
      <w:r w:rsidRPr="006B17F4">
        <w:rPr>
          <w:sz w:val="20"/>
          <w:szCs w:val="20"/>
        </w:rPr>
        <w:t>Int</w:t>
      </w:r>
      <w:proofErr w:type="spellEnd"/>
      <w:r w:rsidRPr="006B17F4">
        <w:rPr>
          <w:sz w:val="20"/>
          <w:szCs w:val="20"/>
        </w:rPr>
        <w:t xml:space="preserve"> Eye Sci.2016; 16(2):201-205.</w:t>
      </w:r>
    </w:p>
    <w:p w:rsidR="00FC648F" w:rsidRPr="006B17F4" w:rsidRDefault="00FC648F" w:rsidP="00814B98">
      <w:pPr>
        <w:numPr>
          <w:ilvl w:val="0"/>
          <w:numId w:val="23"/>
        </w:numPr>
        <w:bidi w:val="0"/>
        <w:snapToGrid w:val="0"/>
        <w:jc w:val="both"/>
        <w:rPr>
          <w:sz w:val="20"/>
          <w:szCs w:val="20"/>
        </w:rPr>
      </w:pPr>
      <w:r w:rsidRPr="006B17F4">
        <w:rPr>
          <w:bCs/>
          <w:sz w:val="20"/>
          <w:szCs w:val="20"/>
        </w:rPr>
        <w:t xml:space="preserve">Biro Z, </w:t>
      </w:r>
      <w:proofErr w:type="spellStart"/>
      <w:r w:rsidRPr="006B17F4">
        <w:rPr>
          <w:bCs/>
          <w:sz w:val="20"/>
          <w:szCs w:val="20"/>
        </w:rPr>
        <w:t>Balla</w:t>
      </w:r>
      <w:proofErr w:type="spellEnd"/>
      <w:r w:rsidRPr="006B17F4">
        <w:rPr>
          <w:bCs/>
          <w:sz w:val="20"/>
          <w:szCs w:val="20"/>
        </w:rPr>
        <w:t xml:space="preserve"> Z, Kovacs B.</w:t>
      </w:r>
      <w:r w:rsidRPr="006B17F4">
        <w:rPr>
          <w:sz w:val="20"/>
          <w:szCs w:val="20"/>
        </w:rPr>
        <w:t xml:space="preserve"> Change of </w:t>
      </w:r>
      <w:proofErr w:type="spellStart"/>
      <w:r w:rsidRPr="006B17F4">
        <w:rPr>
          <w:sz w:val="20"/>
          <w:szCs w:val="20"/>
        </w:rPr>
        <w:t>foveal</w:t>
      </w:r>
      <w:proofErr w:type="spellEnd"/>
      <w:r w:rsidRPr="006B17F4">
        <w:rPr>
          <w:sz w:val="20"/>
          <w:szCs w:val="20"/>
        </w:rPr>
        <w:t xml:space="preserve"> and </w:t>
      </w:r>
      <w:proofErr w:type="spellStart"/>
      <w:r w:rsidRPr="006B17F4">
        <w:rPr>
          <w:sz w:val="20"/>
          <w:szCs w:val="20"/>
        </w:rPr>
        <w:t>perifoveal</w:t>
      </w:r>
      <w:proofErr w:type="spellEnd"/>
      <w:r w:rsidRPr="006B17F4">
        <w:rPr>
          <w:sz w:val="20"/>
          <w:szCs w:val="20"/>
        </w:rPr>
        <w:t xml:space="preserve"> thickness measured by OCT after </w:t>
      </w:r>
      <w:proofErr w:type="spellStart"/>
      <w:r w:rsidRPr="006B17F4">
        <w:rPr>
          <w:sz w:val="20"/>
          <w:szCs w:val="20"/>
        </w:rPr>
        <w:t>phacoemulsification</w:t>
      </w:r>
      <w:proofErr w:type="spellEnd"/>
      <w:r w:rsidRPr="006B17F4">
        <w:rPr>
          <w:sz w:val="20"/>
          <w:szCs w:val="20"/>
        </w:rPr>
        <w:t xml:space="preserve"> and IOL implantation. Eye.</w:t>
      </w:r>
      <w:r w:rsidRPr="006B17F4">
        <w:rPr>
          <w:bCs/>
          <w:sz w:val="20"/>
          <w:szCs w:val="20"/>
        </w:rPr>
        <w:t>2008</w:t>
      </w:r>
      <w:r w:rsidRPr="006B17F4">
        <w:rPr>
          <w:sz w:val="20"/>
          <w:szCs w:val="20"/>
        </w:rPr>
        <w:t>; 22(1): 8-12.</w:t>
      </w:r>
    </w:p>
    <w:p w:rsidR="00FC648F" w:rsidRPr="006B17F4" w:rsidRDefault="00FC648F" w:rsidP="00814B98">
      <w:pPr>
        <w:numPr>
          <w:ilvl w:val="0"/>
          <w:numId w:val="23"/>
        </w:numPr>
        <w:autoSpaceDE w:val="0"/>
        <w:autoSpaceDN w:val="0"/>
        <w:bidi w:val="0"/>
        <w:adjustRightInd w:val="0"/>
        <w:snapToGrid w:val="0"/>
        <w:jc w:val="both"/>
        <w:rPr>
          <w:sz w:val="20"/>
          <w:szCs w:val="20"/>
          <w:lang w:bidi="ar-AE"/>
        </w:rPr>
      </w:pPr>
      <w:r w:rsidRPr="006B17F4">
        <w:rPr>
          <w:bCs/>
          <w:sz w:val="20"/>
          <w:szCs w:val="20"/>
          <w:lang w:bidi="ar-AE"/>
        </w:rPr>
        <w:t xml:space="preserve">Eriksson U, </w:t>
      </w:r>
      <w:proofErr w:type="spellStart"/>
      <w:r w:rsidRPr="006B17F4">
        <w:rPr>
          <w:bCs/>
          <w:sz w:val="20"/>
          <w:szCs w:val="20"/>
          <w:lang w:bidi="ar-AE"/>
        </w:rPr>
        <w:t>Alm</w:t>
      </w:r>
      <w:proofErr w:type="spellEnd"/>
      <w:r w:rsidRPr="006B17F4">
        <w:rPr>
          <w:bCs/>
          <w:sz w:val="20"/>
          <w:szCs w:val="20"/>
          <w:lang w:bidi="ar-AE"/>
        </w:rPr>
        <w:t xml:space="preserve"> A, </w:t>
      </w:r>
      <w:proofErr w:type="spellStart"/>
      <w:r w:rsidRPr="006B17F4">
        <w:rPr>
          <w:bCs/>
          <w:sz w:val="20"/>
          <w:szCs w:val="20"/>
          <w:lang w:bidi="ar-AE"/>
        </w:rPr>
        <w:t>Bjärnhall</w:t>
      </w:r>
      <w:proofErr w:type="spellEnd"/>
      <w:r w:rsidRPr="006B17F4">
        <w:rPr>
          <w:bCs/>
          <w:sz w:val="20"/>
          <w:szCs w:val="20"/>
          <w:lang w:bidi="ar-AE"/>
        </w:rPr>
        <w:t xml:space="preserve"> G and A W </w:t>
      </w:r>
      <w:proofErr w:type="spellStart"/>
      <w:r w:rsidRPr="006B17F4">
        <w:rPr>
          <w:bCs/>
          <w:sz w:val="20"/>
          <w:szCs w:val="20"/>
          <w:lang w:bidi="ar-AE"/>
        </w:rPr>
        <w:t>Matsson</w:t>
      </w:r>
      <w:proofErr w:type="spellEnd"/>
      <w:r w:rsidR="00814B98" w:rsidRPr="006B17F4">
        <w:rPr>
          <w:bCs/>
          <w:sz w:val="20"/>
          <w:szCs w:val="20"/>
          <w:lang w:bidi="ar-AE"/>
        </w:rPr>
        <w:t xml:space="preserve">. </w:t>
      </w:r>
      <w:r w:rsidR="00814B98" w:rsidRPr="006B17F4">
        <w:rPr>
          <w:sz w:val="20"/>
          <w:szCs w:val="20"/>
          <w:lang w:bidi="ar-AE"/>
        </w:rPr>
        <w:t>M</w:t>
      </w:r>
      <w:r w:rsidRPr="006B17F4">
        <w:rPr>
          <w:sz w:val="20"/>
          <w:szCs w:val="20"/>
          <w:lang w:bidi="ar-AE"/>
        </w:rPr>
        <w:t>acular edema and visual outcome following cataract surgery in patients with diabetic retinopathy and controls</w:t>
      </w:r>
      <w:r w:rsidR="00814B98" w:rsidRPr="006B17F4">
        <w:rPr>
          <w:sz w:val="20"/>
          <w:szCs w:val="20"/>
          <w:lang w:bidi="ar-AE"/>
        </w:rPr>
        <w:t xml:space="preserve">. </w:t>
      </w:r>
      <w:proofErr w:type="spellStart"/>
      <w:r w:rsidR="00814B98" w:rsidRPr="006B17F4">
        <w:rPr>
          <w:sz w:val="20"/>
          <w:szCs w:val="20"/>
          <w:lang w:bidi="ar-AE"/>
        </w:rPr>
        <w:t>G</w:t>
      </w:r>
      <w:r w:rsidRPr="006B17F4">
        <w:rPr>
          <w:sz w:val="20"/>
          <w:szCs w:val="20"/>
          <w:lang w:bidi="ar-AE"/>
        </w:rPr>
        <w:t>raefes</w:t>
      </w:r>
      <w:proofErr w:type="spellEnd"/>
      <w:r w:rsidRPr="006B17F4">
        <w:rPr>
          <w:sz w:val="20"/>
          <w:szCs w:val="20"/>
          <w:lang w:bidi="ar-AE"/>
        </w:rPr>
        <w:t xml:space="preserve"> Arch ClinExpOphthalmol</w:t>
      </w:r>
      <w:r w:rsidR="00814B98" w:rsidRPr="006B17F4">
        <w:rPr>
          <w:sz w:val="20"/>
          <w:szCs w:val="20"/>
          <w:lang w:bidi="ar-AE"/>
        </w:rPr>
        <w:t>.</w:t>
      </w:r>
      <w:r w:rsidRPr="006B17F4">
        <w:rPr>
          <w:bCs/>
          <w:sz w:val="20"/>
          <w:szCs w:val="20"/>
          <w:lang w:bidi="ar-AE"/>
        </w:rPr>
        <w:t>2011</w:t>
      </w:r>
      <w:r w:rsidRPr="006B17F4">
        <w:rPr>
          <w:sz w:val="20"/>
          <w:szCs w:val="20"/>
          <w:lang w:bidi="ar-AE"/>
        </w:rPr>
        <w:t>; 249: 349–359.</w:t>
      </w:r>
    </w:p>
    <w:p w:rsidR="00FC648F" w:rsidRPr="006B17F4" w:rsidRDefault="00FC648F" w:rsidP="00814B98">
      <w:pPr>
        <w:widowControl w:val="0"/>
        <w:numPr>
          <w:ilvl w:val="0"/>
          <w:numId w:val="23"/>
        </w:numPr>
        <w:autoSpaceDE w:val="0"/>
        <w:autoSpaceDN w:val="0"/>
        <w:bidi w:val="0"/>
        <w:adjustRightInd w:val="0"/>
        <w:snapToGrid w:val="0"/>
        <w:jc w:val="both"/>
        <w:rPr>
          <w:sz w:val="20"/>
          <w:szCs w:val="20"/>
        </w:rPr>
      </w:pPr>
      <w:proofErr w:type="spellStart"/>
      <w:r w:rsidRPr="006B17F4">
        <w:rPr>
          <w:bCs/>
          <w:sz w:val="20"/>
          <w:szCs w:val="20"/>
        </w:rPr>
        <w:t>Escaravage</w:t>
      </w:r>
      <w:proofErr w:type="spellEnd"/>
      <w:r w:rsidRPr="006B17F4">
        <w:rPr>
          <w:bCs/>
          <w:sz w:val="20"/>
          <w:szCs w:val="20"/>
        </w:rPr>
        <w:t xml:space="preserve"> GK </w:t>
      </w:r>
      <w:proofErr w:type="spellStart"/>
      <w:r w:rsidRPr="006B17F4">
        <w:rPr>
          <w:bCs/>
          <w:sz w:val="20"/>
          <w:szCs w:val="20"/>
        </w:rPr>
        <w:t>Jr</w:t>
      </w:r>
      <w:proofErr w:type="spellEnd"/>
      <w:r w:rsidRPr="006B17F4">
        <w:rPr>
          <w:bCs/>
          <w:sz w:val="20"/>
          <w:szCs w:val="20"/>
        </w:rPr>
        <w:t xml:space="preserve">, Cohen KL, Patel SB, Armstrong BD, </w:t>
      </w:r>
      <w:proofErr w:type="spellStart"/>
      <w:r w:rsidRPr="006B17F4">
        <w:rPr>
          <w:bCs/>
          <w:sz w:val="20"/>
          <w:szCs w:val="20"/>
        </w:rPr>
        <w:t>Janowski</w:t>
      </w:r>
      <w:proofErr w:type="spellEnd"/>
      <w:r w:rsidRPr="006B17F4">
        <w:rPr>
          <w:bCs/>
          <w:sz w:val="20"/>
          <w:szCs w:val="20"/>
        </w:rPr>
        <w:t xml:space="preserve"> CM.</w:t>
      </w:r>
      <w:r w:rsidRPr="006B17F4">
        <w:rPr>
          <w:sz w:val="20"/>
          <w:szCs w:val="20"/>
        </w:rPr>
        <w:t xml:space="preserve"> Quantification of macular and optic disc </w:t>
      </w:r>
      <w:proofErr w:type="spellStart"/>
      <w:r w:rsidRPr="006B17F4">
        <w:rPr>
          <w:sz w:val="20"/>
          <w:szCs w:val="20"/>
        </w:rPr>
        <w:t>hyperfluorescence</w:t>
      </w:r>
      <w:proofErr w:type="spellEnd"/>
      <w:r w:rsidRPr="006B17F4">
        <w:rPr>
          <w:sz w:val="20"/>
          <w:szCs w:val="20"/>
        </w:rPr>
        <w:t xml:space="preserve"> after </w:t>
      </w:r>
      <w:proofErr w:type="spellStart"/>
      <w:r w:rsidRPr="006B17F4">
        <w:rPr>
          <w:sz w:val="20"/>
          <w:szCs w:val="20"/>
        </w:rPr>
        <w:t>phacoemulsification</w:t>
      </w:r>
      <w:proofErr w:type="spellEnd"/>
      <w:r w:rsidRPr="006B17F4">
        <w:rPr>
          <w:sz w:val="20"/>
          <w:szCs w:val="20"/>
        </w:rPr>
        <w:t xml:space="preserve"> in diabetes mellitus. J Cataract Refract Surg. </w:t>
      </w:r>
      <w:r w:rsidRPr="006B17F4">
        <w:rPr>
          <w:bCs/>
          <w:sz w:val="20"/>
          <w:szCs w:val="20"/>
        </w:rPr>
        <w:t>2006</w:t>
      </w:r>
      <w:r w:rsidRPr="006B17F4">
        <w:rPr>
          <w:sz w:val="20"/>
          <w:szCs w:val="20"/>
        </w:rPr>
        <w:t>; 32: 803-811.</w:t>
      </w:r>
    </w:p>
    <w:p w:rsidR="00FC648F" w:rsidRPr="006B17F4" w:rsidRDefault="00FC648F" w:rsidP="00814B98">
      <w:pPr>
        <w:widowControl w:val="0"/>
        <w:numPr>
          <w:ilvl w:val="0"/>
          <w:numId w:val="23"/>
        </w:numPr>
        <w:shd w:val="clear" w:color="auto" w:fill="FFFFFF"/>
        <w:autoSpaceDE w:val="0"/>
        <w:autoSpaceDN w:val="0"/>
        <w:bidi w:val="0"/>
        <w:adjustRightInd w:val="0"/>
        <w:snapToGrid w:val="0"/>
        <w:jc w:val="both"/>
        <w:rPr>
          <w:color w:val="000000"/>
          <w:sz w:val="20"/>
          <w:szCs w:val="20"/>
        </w:rPr>
      </w:pPr>
      <w:proofErr w:type="spellStart"/>
      <w:r w:rsidRPr="006B17F4">
        <w:rPr>
          <w:bCs/>
          <w:color w:val="000000"/>
          <w:sz w:val="20"/>
          <w:szCs w:val="20"/>
        </w:rPr>
        <w:t>Gharbiya</w:t>
      </w:r>
      <w:proofErr w:type="spellEnd"/>
      <w:r w:rsidRPr="006B17F4">
        <w:rPr>
          <w:bCs/>
          <w:color w:val="000000"/>
          <w:sz w:val="20"/>
          <w:szCs w:val="20"/>
        </w:rPr>
        <w:t xml:space="preserve"> M, </w:t>
      </w:r>
      <w:proofErr w:type="spellStart"/>
      <w:r w:rsidRPr="006B17F4">
        <w:rPr>
          <w:bCs/>
          <w:color w:val="000000"/>
          <w:sz w:val="20"/>
          <w:szCs w:val="20"/>
        </w:rPr>
        <w:t>Cruciani</w:t>
      </w:r>
      <w:proofErr w:type="spellEnd"/>
      <w:r w:rsidRPr="006B17F4">
        <w:rPr>
          <w:bCs/>
          <w:color w:val="000000"/>
          <w:sz w:val="20"/>
          <w:szCs w:val="20"/>
        </w:rPr>
        <w:t xml:space="preserve"> F, </w:t>
      </w:r>
      <w:proofErr w:type="spellStart"/>
      <w:r w:rsidRPr="006B17F4">
        <w:rPr>
          <w:bCs/>
          <w:color w:val="000000"/>
          <w:sz w:val="20"/>
          <w:szCs w:val="20"/>
        </w:rPr>
        <w:t>Cuozzo</w:t>
      </w:r>
      <w:proofErr w:type="spellEnd"/>
      <w:r w:rsidRPr="006B17F4">
        <w:rPr>
          <w:bCs/>
          <w:color w:val="000000"/>
          <w:sz w:val="20"/>
          <w:szCs w:val="20"/>
        </w:rPr>
        <w:t xml:space="preserve"> G, </w:t>
      </w:r>
      <w:proofErr w:type="spellStart"/>
      <w:r w:rsidRPr="006B17F4">
        <w:rPr>
          <w:bCs/>
          <w:color w:val="000000"/>
          <w:sz w:val="20"/>
          <w:szCs w:val="20"/>
        </w:rPr>
        <w:t>Parisi</w:t>
      </w:r>
      <w:proofErr w:type="spellEnd"/>
      <w:r w:rsidRPr="006B17F4">
        <w:rPr>
          <w:bCs/>
          <w:color w:val="000000"/>
          <w:sz w:val="20"/>
          <w:szCs w:val="20"/>
        </w:rPr>
        <w:t xml:space="preserve"> F, Russo P, </w:t>
      </w:r>
      <w:proofErr w:type="spellStart"/>
      <w:r w:rsidRPr="006B17F4">
        <w:rPr>
          <w:bCs/>
          <w:color w:val="000000"/>
          <w:sz w:val="20"/>
          <w:szCs w:val="20"/>
        </w:rPr>
        <w:t>Abdolrahim</w:t>
      </w:r>
      <w:proofErr w:type="spellEnd"/>
      <w:r w:rsidRPr="006B17F4">
        <w:rPr>
          <w:bCs/>
          <w:color w:val="000000"/>
          <w:sz w:val="20"/>
          <w:szCs w:val="20"/>
        </w:rPr>
        <w:t xml:space="preserve"> Z. </w:t>
      </w:r>
      <w:r w:rsidRPr="006B17F4">
        <w:rPr>
          <w:color w:val="000000"/>
          <w:sz w:val="20"/>
          <w:szCs w:val="20"/>
        </w:rPr>
        <w:t xml:space="preserve">Macular thickness changes evaluated with spectral domain OCT after uncomplicated </w:t>
      </w:r>
      <w:proofErr w:type="spellStart"/>
      <w:r w:rsidRPr="006B17F4">
        <w:rPr>
          <w:color w:val="000000"/>
          <w:sz w:val="20"/>
          <w:szCs w:val="20"/>
        </w:rPr>
        <w:t>phacoemulsification</w:t>
      </w:r>
      <w:proofErr w:type="spellEnd"/>
      <w:r w:rsidR="00814B98" w:rsidRPr="006B17F4">
        <w:rPr>
          <w:color w:val="000000"/>
          <w:sz w:val="20"/>
          <w:szCs w:val="20"/>
        </w:rPr>
        <w:t>. E</w:t>
      </w:r>
      <w:r w:rsidRPr="006B17F4">
        <w:rPr>
          <w:color w:val="000000"/>
          <w:sz w:val="20"/>
          <w:szCs w:val="20"/>
        </w:rPr>
        <w:t>ye</w:t>
      </w:r>
      <w:r w:rsidR="00814B98" w:rsidRPr="006B17F4">
        <w:rPr>
          <w:color w:val="000000"/>
          <w:sz w:val="20"/>
          <w:szCs w:val="20"/>
        </w:rPr>
        <w:t>.</w:t>
      </w:r>
      <w:r w:rsidRPr="006B17F4">
        <w:rPr>
          <w:bCs/>
          <w:color w:val="000000"/>
          <w:sz w:val="20"/>
          <w:szCs w:val="20"/>
        </w:rPr>
        <w:t xml:space="preserve"> 2013</w:t>
      </w:r>
      <w:r w:rsidRPr="006B17F4">
        <w:rPr>
          <w:color w:val="000000"/>
          <w:sz w:val="20"/>
          <w:szCs w:val="20"/>
        </w:rPr>
        <w:t>; 27(5):605-11.</w:t>
      </w:r>
    </w:p>
    <w:p w:rsidR="00FC648F" w:rsidRPr="006B17F4" w:rsidRDefault="00FC648F" w:rsidP="00814B98">
      <w:pPr>
        <w:numPr>
          <w:ilvl w:val="0"/>
          <w:numId w:val="23"/>
        </w:numPr>
        <w:autoSpaceDE w:val="0"/>
        <w:autoSpaceDN w:val="0"/>
        <w:bidi w:val="0"/>
        <w:adjustRightInd w:val="0"/>
        <w:snapToGrid w:val="0"/>
        <w:jc w:val="both"/>
        <w:rPr>
          <w:sz w:val="20"/>
          <w:szCs w:val="20"/>
        </w:rPr>
      </w:pPr>
      <w:proofErr w:type="spellStart"/>
      <w:r w:rsidRPr="006B17F4">
        <w:rPr>
          <w:bCs/>
          <w:sz w:val="20"/>
          <w:szCs w:val="20"/>
        </w:rPr>
        <w:t>Golebiewska</w:t>
      </w:r>
      <w:proofErr w:type="spellEnd"/>
      <w:r w:rsidRPr="006B17F4">
        <w:rPr>
          <w:bCs/>
          <w:sz w:val="20"/>
          <w:szCs w:val="20"/>
        </w:rPr>
        <w:t xml:space="preserve"> J, </w:t>
      </w:r>
      <w:proofErr w:type="spellStart"/>
      <w:r w:rsidRPr="006B17F4">
        <w:rPr>
          <w:bCs/>
          <w:sz w:val="20"/>
          <w:szCs w:val="20"/>
        </w:rPr>
        <w:t>Keclik</w:t>
      </w:r>
      <w:proofErr w:type="spellEnd"/>
      <w:r w:rsidRPr="006B17F4">
        <w:rPr>
          <w:bCs/>
          <w:sz w:val="20"/>
          <w:szCs w:val="20"/>
        </w:rPr>
        <w:t xml:space="preserve"> D, </w:t>
      </w:r>
      <w:proofErr w:type="spellStart"/>
      <w:r w:rsidRPr="006B17F4">
        <w:rPr>
          <w:bCs/>
          <w:sz w:val="20"/>
          <w:szCs w:val="20"/>
        </w:rPr>
        <w:t>Kopoc</w:t>
      </w:r>
      <w:proofErr w:type="spellEnd"/>
      <w:r w:rsidRPr="006B17F4">
        <w:rPr>
          <w:bCs/>
          <w:sz w:val="20"/>
          <w:szCs w:val="20"/>
        </w:rPr>
        <w:t xml:space="preserve"> Z</w:t>
      </w:r>
      <w:r w:rsidR="00814B98" w:rsidRPr="006B17F4">
        <w:rPr>
          <w:bCs/>
          <w:sz w:val="20"/>
          <w:szCs w:val="20"/>
        </w:rPr>
        <w:t xml:space="preserve">. </w:t>
      </w:r>
      <w:proofErr w:type="spellStart"/>
      <w:r w:rsidR="00814B98" w:rsidRPr="006B17F4">
        <w:rPr>
          <w:sz w:val="20"/>
          <w:szCs w:val="20"/>
        </w:rPr>
        <w:t>E</w:t>
      </w:r>
      <w:r w:rsidRPr="006B17F4">
        <w:rPr>
          <w:sz w:val="20"/>
          <w:szCs w:val="20"/>
        </w:rPr>
        <w:t>valution</w:t>
      </w:r>
      <w:proofErr w:type="spellEnd"/>
      <w:r w:rsidRPr="006B17F4">
        <w:rPr>
          <w:sz w:val="20"/>
          <w:szCs w:val="20"/>
        </w:rPr>
        <w:t xml:space="preserve"> of macular thickness after </w:t>
      </w:r>
      <w:r w:rsidRPr="006B17F4">
        <w:rPr>
          <w:color w:val="000000"/>
          <w:sz w:val="20"/>
          <w:szCs w:val="20"/>
        </w:rPr>
        <w:t xml:space="preserve">uneventful </w:t>
      </w:r>
      <w:proofErr w:type="spellStart"/>
      <w:r w:rsidRPr="006B17F4">
        <w:rPr>
          <w:color w:val="000000"/>
          <w:sz w:val="20"/>
          <w:szCs w:val="20"/>
        </w:rPr>
        <w:t>phacoemulsification</w:t>
      </w:r>
      <w:proofErr w:type="spellEnd"/>
      <w:r w:rsidRPr="006B17F4">
        <w:rPr>
          <w:color w:val="000000"/>
          <w:sz w:val="20"/>
          <w:szCs w:val="20"/>
        </w:rPr>
        <w:t xml:space="preserve"> in selected patients population using </w:t>
      </w:r>
      <w:r w:rsidRPr="006B17F4">
        <w:rPr>
          <w:sz w:val="20"/>
          <w:szCs w:val="20"/>
          <w:lang w:bidi="ar-EG"/>
        </w:rPr>
        <w:t>Optical Coherent Tomography</w:t>
      </w:r>
      <w:r w:rsidRPr="006B17F4">
        <w:rPr>
          <w:sz w:val="20"/>
          <w:szCs w:val="20"/>
        </w:rPr>
        <w:t xml:space="preserve">. </w:t>
      </w:r>
      <w:proofErr w:type="spellStart"/>
      <w:r w:rsidRPr="006B17F4">
        <w:rPr>
          <w:sz w:val="20"/>
          <w:szCs w:val="20"/>
        </w:rPr>
        <w:t>Klin</w:t>
      </w:r>
      <w:proofErr w:type="spellEnd"/>
      <w:r w:rsidRPr="006B17F4">
        <w:rPr>
          <w:sz w:val="20"/>
          <w:szCs w:val="20"/>
        </w:rPr>
        <w:t xml:space="preserve"> Oczna.</w:t>
      </w:r>
      <w:r w:rsidRPr="006B17F4">
        <w:rPr>
          <w:bCs/>
          <w:sz w:val="20"/>
          <w:szCs w:val="20"/>
        </w:rPr>
        <w:t>2014</w:t>
      </w:r>
      <w:r w:rsidRPr="006B17F4">
        <w:rPr>
          <w:sz w:val="20"/>
          <w:szCs w:val="20"/>
        </w:rPr>
        <w:t>; 116(4):242-7.</w:t>
      </w:r>
    </w:p>
    <w:p w:rsidR="00FC648F" w:rsidRPr="006B17F4" w:rsidRDefault="00FC648F" w:rsidP="00814B98">
      <w:pPr>
        <w:numPr>
          <w:ilvl w:val="0"/>
          <w:numId w:val="23"/>
        </w:numPr>
        <w:autoSpaceDE w:val="0"/>
        <w:autoSpaceDN w:val="0"/>
        <w:bidi w:val="0"/>
        <w:adjustRightInd w:val="0"/>
        <w:snapToGrid w:val="0"/>
        <w:jc w:val="both"/>
        <w:rPr>
          <w:bCs/>
          <w:sz w:val="20"/>
          <w:szCs w:val="20"/>
        </w:rPr>
      </w:pPr>
      <w:proofErr w:type="spellStart"/>
      <w:r w:rsidRPr="006B17F4">
        <w:rPr>
          <w:bCs/>
          <w:sz w:val="20"/>
          <w:szCs w:val="20"/>
        </w:rPr>
        <w:t>Ivastinovic</w:t>
      </w:r>
      <w:proofErr w:type="spellEnd"/>
      <w:r w:rsidR="00814B98" w:rsidRPr="006B17F4">
        <w:rPr>
          <w:bCs/>
          <w:sz w:val="20"/>
          <w:szCs w:val="20"/>
        </w:rPr>
        <w:t xml:space="preserve"> </w:t>
      </w:r>
      <w:r w:rsidRPr="006B17F4">
        <w:rPr>
          <w:bCs/>
          <w:sz w:val="20"/>
          <w:szCs w:val="20"/>
        </w:rPr>
        <w:t>D, Schwab</w:t>
      </w:r>
      <w:r w:rsidR="00814B98" w:rsidRPr="006B17F4">
        <w:rPr>
          <w:bCs/>
          <w:sz w:val="20"/>
          <w:szCs w:val="20"/>
        </w:rPr>
        <w:t xml:space="preserve"> </w:t>
      </w:r>
      <w:r w:rsidRPr="006B17F4">
        <w:rPr>
          <w:bCs/>
          <w:sz w:val="20"/>
          <w:szCs w:val="20"/>
        </w:rPr>
        <w:t xml:space="preserve">C, </w:t>
      </w:r>
      <w:proofErr w:type="spellStart"/>
      <w:r w:rsidRPr="006B17F4">
        <w:rPr>
          <w:bCs/>
          <w:sz w:val="20"/>
          <w:szCs w:val="20"/>
        </w:rPr>
        <w:t>Wedrich</w:t>
      </w:r>
      <w:proofErr w:type="spellEnd"/>
      <w:r w:rsidR="00814B98" w:rsidRPr="006B17F4">
        <w:rPr>
          <w:bCs/>
          <w:sz w:val="20"/>
          <w:szCs w:val="20"/>
        </w:rPr>
        <w:t xml:space="preserve"> </w:t>
      </w:r>
      <w:r w:rsidRPr="006B17F4">
        <w:rPr>
          <w:bCs/>
          <w:sz w:val="20"/>
          <w:szCs w:val="20"/>
        </w:rPr>
        <w:t xml:space="preserve">A, </w:t>
      </w:r>
      <w:proofErr w:type="spellStart"/>
      <w:r w:rsidRPr="006B17F4">
        <w:rPr>
          <w:bCs/>
          <w:sz w:val="20"/>
          <w:szCs w:val="20"/>
        </w:rPr>
        <w:t>Velikay-Parel</w:t>
      </w:r>
      <w:proofErr w:type="spellEnd"/>
      <w:r w:rsidRPr="006B17F4">
        <w:rPr>
          <w:bCs/>
          <w:sz w:val="20"/>
          <w:szCs w:val="20"/>
        </w:rPr>
        <w:t xml:space="preserve"> M</w:t>
      </w:r>
      <w:r w:rsidR="00814B98" w:rsidRPr="006B17F4">
        <w:rPr>
          <w:bCs/>
          <w:sz w:val="20"/>
          <w:szCs w:val="20"/>
        </w:rPr>
        <w:t xml:space="preserve">. </w:t>
      </w:r>
      <w:proofErr w:type="spellStart"/>
      <w:r w:rsidR="00814B98" w:rsidRPr="006B17F4">
        <w:rPr>
          <w:sz w:val="20"/>
          <w:szCs w:val="20"/>
        </w:rPr>
        <w:t>E</w:t>
      </w:r>
      <w:r w:rsidRPr="006B17F4">
        <w:rPr>
          <w:sz w:val="20"/>
          <w:szCs w:val="20"/>
        </w:rPr>
        <w:t>valution</w:t>
      </w:r>
      <w:proofErr w:type="spellEnd"/>
      <w:r w:rsidRPr="006B17F4">
        <w:rPr>
          <w:sz w:val="20"/>
          <w:szCs w:val="20"/>
        </w:rPr>
        <w:t xml:space="preserve"> of early changes at </w:t>
      </w:r>
      <w:proofErr w:type="spellStart"/>
      <w:r w:rsidRPr="006B17F4">
        <w:rPr>
          <w:sz w:val="20"/>
          <w:szCs w:val="20"/>
        </w:rPr>
        <w:t>vitreoretinal</w:t>
      </w:r>
      <w:proofErr w:type="spellEnd"/>
      <w:r w:rsidRPr="006B17F4">
        <w:rPr>
          <w:sz w:val="20"/>
          <w:szCs w:val="20"/>
        </w:rPr>
        <w:t xml:space="preserve"> interface after cataract surgery determined by optical coherence tomography and ultra-</w:t>
      </w:r>
      <w:proofErr w:type="spellStart"/>
      <w:r w:rsidRPr="006B17F4">
        <w:rPr>
          <w:sz w:val="20"/>
          <w:szCs w:val="20"/>
        </w:rPr>
        <w:t>sonography</w:t>
      </w:r>
      <w:proofErr w:type="spellEnd"/>
      <w:r w:rsidR="00814B98" w:rsidRPr="006B17F4">
        <w:rPr>
          <w:sz w:val="20"/>
          <w:szCs w:val="20"/>
        </w:rPr>
        <w:t>. A</w:t>
      </w:r>
      <w:r w:rsidRPr="006B17F4">
        <w:rPr>
          <w:sz w:val="20"/>
          <w:szCs w:val="20"/>
        </w:rPr>
        <w:t>m J Ophthalmol.</w:t>
      </w:r>
      <w:r w:rsidRPr="006B17F4">
        <w:rPr>
          <w:bCs/>
          <w:sz w:val="20"/>
          <w:szCs w:val="20"/>
        </w:rPr>
        <w:t>2012</w:t>
      </w:r>
      <w:r w:rsidRPr="006B17F4">
        <w:rPr>
          <w:sz w:val="20"/>
          <w:szCs w:val="20"/>
        </w:rPr>
        <w:t>; 153:705-9.</w:t>
      </w:r>
    </w:p>
    <w:p w:rsidR="00FC648F" w:rsidRPr="006B17F4" w:rsidRDefault="001117D7" w:rsidP="00814B98">
      <w:pPr>
        <w:numPr>
          <w:ilvl w:val="0"/>
          <w:numId w:val="23"/>
        </w:numPr>
        <w:autoSpaceDE w:val="0"/>
        <w:autoSpaceDN w:val="0"/>
        <w:bidi w:val="0"/>
        <w:adjustRightInd w:val="0"/>
        <w:snapToGrid w:val="0"/>
        <w:jc w:val="both"/>
        <w:rPr>
          <w:sz w:val="20"/>
          <w:szCs w:val="20"/>
        </w:rPr>
      </w:pPr>
      <w:r w:rsidRPr="006B17F4">
        <w:rPr>
          <w:bCs/>
          <w:sz w:val="20"/>
          <w:szCs w:val="20"/>
        </w:rPr>
        <w:t>K</w:t>
      </w:r>
      <w:r w:rsidR="00FC648F" w:rsidRPr="006B17F4">
        <w:rPr>
          <w:bCs/>
          <w:sz w:val="20"/>
          <w:szCs w:val="20"/>
        </w:rPr>
        <w:t>a</w:t>
      </w:r>
      <w:r w:rsidRPr="006B17F4">
        <w:rPr>
          <w:bCs/>
          <w:sz w:val="20"/>
          <w:szCs w:val="20"/>
        </w:rPr>
        <w:t>i</w:t>
      </w:r>
      <w:r w:rsidR="00FC648F" w:rsidRPr="006B17F4">
        <w:rPr>
          <w:bCs/>
          <w:sz w:val="20"/>
          <w:szCs w:val="20"/>
        </w:rPr>
        <w:t xml:space="preserve"> Y and Cheng KU</w:t>
      </w:r>
      <w:r w:rsidR="00814B98" w:rsidRPr="006B17F4">
        <w:rPr>
          <w:bCs/>
          <w:sz w:val="20"/>
          <w:szCs w:val="20"/>
        </w:rPr>
        <w:t xml:space="preserve">. </w:t>
      </w:r>
      <w:r w:rsidR="00814B98" w:rsidRPr="006B17F4">
        <w:rPr>
          <w:sz w:val="20"/>
          <w:szCs w:val="20"/>
        </w:rPr>
        <w:t>C</w:t>
      </w:r>
      <w:r w:rsidR="00FC648F" w:rsidRPr="006B17F4">
        <w:rPr>
          <w:sz w:val="20"/>
          <w:szCs w:val="20"/>
        </w:rPr>
        <w:t>entral macular thickness changes and visual outcome following uncomplicated small incision</w:t>
      </w:r>
      <w:r w:rsidR="00FC648F" w:rsidRPr="006B17F4">
        <w:rPr>
          <w:color w:val="000000"/>
          <w:sz w:val="20"/>
          <w:szCs w:val="20"/>
        </w:rPr>
        <w:t xml:space="preserve"> </w:t>
      </w:r>
      <w:proofErr w:type="spellStart"/>
      <w:r w:rsidR="00FC648F" w:rsidRPr="006B17F4">
        <w:rPr>
          <w:color w:val="000000"/>
          <w:sz w:val="20"/>
          <w:szCs w:val="20"/>
        </w:rPr>
        <w:t>phacoemulsification</w:t>
      </w:r>
      <w:proofErr w:type="spellEnd"/>
      <w:r w:rsidR="00FC648F" w:rsidRPr="006B17F4">
        <w:rPr>
          <w:color w:val="000000"/>
          <w:sz w:val="20"/>
          <w:szCs w:val="20"/>
        </w:rPr>
        <w:t xml:space="preserve"> in diabetics without diabetic retinopathy patients and </w:t>
      </w:r>
      <w:proofErr w:type="spellStart"/>
      <w:r w:rsidR="00FC648F" w:rsidRPr="006B17F4">
        <w:rPr>
          <w:color w:val="000000"/>
          <w:sz w:val="20"/>
          <w:szCs w:val="20"/>
        </w:rPr>
        <w:t>nondiabetic</w:t>
      </w:r>
      <w:proofErr w:type="spellEnd"/>
      <w:r w:rsidR="00FC648F" w:rsidRPr="006B17F4">
        <w:rPr>
          <w:color w:val="000000"/>
          <w:sz w:val="20"/>
          <w:szCs w:val="20"/>
        </w:rPr>
        <w:t xml:space="preserve"> patients. Taiwan Journal of Ophthalmology.</w:t>
      </w:r>
      <w:r w:rsidR="00FC648F" w:rsidRPr="006B17F4">
        <w:rPr>
          <w:bCs/>
          <w:color w:val="000000"/>
          <w:sz w:val="20"/>
          <w:szCs w:val="20"/>
        </w:rPr>
        <w:t>2014</w:t>
      </w:r>
      <w:r w:rsidR="00FC648F" w:rsidRPr="006B17F4">
        <w:rPr>
          <w:sz w:val="20"/>
          <w:szCs w:val="20"/>
        </w:rPr>
        <w:t>; 4(1):33-39.</w:t>
      </w:r>
    </w:p>
    <w:p w:rsidR="00FC648F" w:rsidRPr="006B17F4" w:rsidRDefault="00FC648F" w:rsidP="00814B98">
      <w:pPr>
        <w:numPr>
          <w:ilvl w:val="0"/>
          <w:numId w:val="23"/>
        </w:numPr>
        <w:bidi w:val="0"/>
        <w:snapToGrid w:val="0"/>
        <w:jc w:val="both"/>
        <w:rPr>
          <w:bCs/>
          <w:sz w:val="20"/>
          <w:szCs w:val="20"/>
        </w:rPr>
      </w:pPr>
      <w:proofErr w:type="spellStart"/>
      <w:r w:rsidRPr="006B17F4">
        <w:rPr>
          <w:bCs/>
          <w:sz w:val="20"/>
          <w:szCs w:val="20"/>
        </w:rPr>
        <w:t>Khedr</w:t>
      </w:r>
      <w:proofErr w:type="spellEnd"/>
      <w:r w:rsidRPr="006B17F4">
        <w:rPr>
          <w:bCs/>
          <w:sz w:val="20"/>
          <w:szCs w:val="20"/>
        </w:rPr>
        <w:t xml:space="preserve"> M</w:t>
      </w:r>
      <w:r w:rsidRPr="006B17F4">
        <w:rPr>
          <w:sz w:val="20"/>
          <w:szCs w:val="20"/>
        </w:rPr>
        <w:t xml:space="preserve">. Evaluation of central macular thickness changes after uncomplicated </w:t>
      </w:r>
      <w:proofErr w:type="spellStart"/>
      <w:r w:rsidRPr="006B17F4">
        <w:rPr>
          <w:sz w:val="20"/>
          <w:szCs w:val="20"/>
        </w:rPr>
        <w:t>phacoemulsification</w:t>
      </w:r>
      <w:proofErr w:type="spellEnd"/>
      <w:r w:rsidRPr="006B17F4">
        <w:rPr>
          <w:sz w:val="20"/>
          <w:szCs w:val="20"/>
        </w:rPr>
        <w:t xml:space="preserve"> in diabetic patients. Journal of American Sciences.</w:t>
      </w:r>
      <w:r w:rsidRPr="006B17F4">
        <w:rPr>
          <w:bCs/>
          <w:sz w:val="20"/>
          <w:szCs w:val="20"/>
        </w:rPr>
        <w:t>2014</w:t>
      </w:r>
      <w:r w:rsidRPr="006B17F4">
        <w:rPr>
          <w:sz w:val="20"/>
          <w:szCs w:val="20"/>
        </w:rPr>
        <w:t>; 10(10):153-156.</w:t>
      </w:r>
    </w:p>
    <w:p w:rsidR="00FC648F" w:rsidRPr="006B17F4" w:rsidRDefault="00FC648F" w:rsidP="00814B98">
      <w:pPr>
        <w:widowControl w:val="0"/>
        <w:numPr>
          <w:ilvl w:val="0"/>
          <w:numId w:val="23"/>
        </w:numPr>
        <w:autoSpaceDE w:val="0"/>
        <w:autoSpaceDN w:val="0"/>
        <w:bidi w:val="0"/>
        <w:adjustRightInd w:val="0"/>
        <w:snapToGrid w:val="0"/>
        <w:jc w:val="both"/>
        <w:rPr>
          <w:bCs/>
          <w:sz w:val="20"/>
          <w:szCs w:val="20"/>
        </w:rPr>
      </w:pPr>
      <w:r w:rsidRPr="006B17F4">
        <w:rPr>
          <w:bCs/>
          <w:sz w:val="20"/>
          <w:szCs w:val="20"/>
        </w:rPr>
        <w:t xml:space="preserve">Kim SJ, </w:t>
      </w:r>
      <w:proofErr w:type="spellStart"/>
      <w:r w:rsidRPr="006B17F4">
        <w:rPr>
          <w:bCs/>
          <w:sz w:val="20"/>
          <w:szCs w:val="20"/>
        </w:rPr>
        <w:t>Equi</w:t>
      </w:r>
      <w:proofErr w:type="spellEnd"/>
      <w:r w:rsidRPr="006B17F4">
        <w:rPr>
          <w:bCs/>
          <w:sz w:val="20"/>
          <w:szCs w:val="20"/>
        </w:rPr>
        <w:t xml:space="preserve"> R and </w:t>
      </w:r>
      <w:proofErr w:type="spellStart"/>
      <w:r w:rsidRPr="006B17F4">
        <w:rPr>
          <w:bCs/>
          <w:sz w:val="20"/>
          <w:szCs w:val="20"/>
        </w:rPr>
        <w:t>Bressler</w:t>
      </w:r>
      <w:proofErr w:type="spellEnd"/>
      <w:r w:rsidRPr="006B17F4">
        <w:rPr>
          <w:bCs/>
          <w:sz w:val="20"/>
          <w:szCs w:val="20"/>
        </w:rPr>
        <w:t xml:space="preserve"> NM</w:t>
      </w:r>
      <w:r w:rsidR="00814B98" w:rsidRPr="006B17F4">
        <w:rPr>
          <w:bCs/>
          <w:sz w:val="20"/>
          <w:szCs w:val="20"/>
        </w:rPr>
        <w:t xml:space="preserve">. </w:t>
      </w:r>
      <w:r w:rsidR="00814B98" w:rsidRPr="006B17F4">
        <w:rPr>
          <w:sz w:val="20"/>
          <w:szCs w:val="20"/>
        </w:rPr>
        <w:t>A</w:t>
      </w:r>
      <w:r w:rsidRPr="006B17F4">
        <w:rPr>
          <w:sz w:val="20"/>
          <w:szCs w:val="20"/>
        </w:rPr>
        <w:t xml:space="preserve">nalysis of macular edema after cataract surgery in patients with diabetes using optical coherence </w:t>
      </w:r>
      <w:r w:rsidRPr="006B17F4">
        <w:rPr>
          <w:sz w:val="20"/>
          <w:szCs w:val="20"/>
        </w:rPr>
        <w:lastRenderedPageBreak/>
        <w:t>tomography. Ophthalmology.</w:t>
      </w:r>
      <w:r w:rsidRPr="006B17F4">
        <w:rPr>
          <w:bCs/>
          <w:sz w:val="20"/>
          <w:szCs w:val="20"/>
        </w:rPr>
        <w:t>2007</w:t>
      </w:r>
      <w:r w:rsidRPr="006B17F4">
        <w:rPr>
          <w:sz w:val="20"/>
          <w:szCs w:val="20"/>
        </w:rPr>
        <w:t>; 114:881-889.</w:t>
      </w:r>
    </w:p>
    <w:p w:rsidR="00FC648F" w:rsidRPr="006B17F4" w:rsidRDefault="00FC648F" w:rsidP="00814B98">
      <w:pPr>
        <w:pStyle w:val="Left"/>
        <w:numPr>
          <w:ilvl w:val="0"/>
          <w:numId w:val="23"/>
        </w:numPr>
        <w:snapToGrid w:val="0"/>
        <w:jc w:val="both"/>
        <w:rPr>
          <w:sz w:val="20"/>
          <w:szCs w:val="20"/>
        </w:rPr>
      </w:pPr>
      <w:proofErr w:type="spellStart"/>
      <w:r w:rsidRPr="006B17F4">
        <w:rPr>
          <w:bCs/>
          <w:sz w:val="20"/>
          <w:szCs w:val="20"/>
        </w:rPr>
        <w:t>Kusbeci</w:t>
      </w:r>
      <w:proofErr w:type="spellEnd"/>
      <w:r w:rsidRPr="006B17F4">
        <w:rPr>
          <w:bCs/>
          <w:sz w:val="20"/>
          <w:szCs w:val="20"/>
        </w:rPr>
        <w:t xml:space="preserve"> T, </w:t>
      </w:r>
      <w:proofErr w:type="spellStart"/>
      <w:r w:rsidRPr="006B17F4">
        <w:rPr>
          <w:bCs/>
          <w:sz w:val="20"/>
          <w:szCs w:val="20"/>
        </w:rPr>
        <w:t>Eryigit</w:t>
      </w:r>
      <w:proofErr w:type="spellEnd"/>
      <w:r w:rsidRPr="006B17F4">
        <w:rPr>
          <w:bCs/>
          <w:sz w:val="20"/>
          <w:szCs w:val="20"/>
        </w:rPr>
        <w:t xml:space="preserve"> L, </w:t>
      </w:r>
      <w:proofErr w:type="spellStart"/>
      <w:r w:rsidRPr="006B17F4">
        <w:rPr>
          <w:bCs/>
          <w:sz w:val="20"/>
          <w:szCs w:val="20"/>
        </w:rPr>
        <w:t>Yavas</w:t>
      </w:r>
      <w:proofErr w:type="spellEnd"/>
      <w:r w:rsidRPr="006B17F4">
        <w:rPr>
          <w:bCs/>
          <w:sz w:val="20"/>
          <w:szCs w:val="20"/>
        </w:rPr>
        <w:t xml:space="preserve"> G, </w:t>
      </w:r>
      <w:proofErr w:type="spellStart"/>
      <w:r w:rsidRPr="006B17F4">
        <w:rPr>
          <w:bCs/>
          <w:sz w:val="20"/>
          <w:szCs w:val="20"/>
        </w:rPr>
        <w:t>Inan</w:t>
      </w:r>
      <w:proofErr w:type="spellEnd"/>
      <w:r w:rsidRPr="006B17F4">
        <w:rPr>
          <w:bCs/>
          <w:sz w:val="20"/>
          <w:szCs w:val="20"/>
        </w:rPr>
        <w:t xml:space="preserve"> UU</w:t>
      </w:r>
      <w:r w:rsidR="00814B98" w:rsidRPr="006B17F4">
        <w:rPr>
          <w:bCs/>
          <w:sz w:val="20"/>
          <w:szCs w:val="20"/>
        </w:rPr>
        <w:t xml:space="preserve">. </w:t>
      </w:r>
      <w:r w:rsidR="00814B98" w:rsidRPr="006B17F4">
        <w:rPr>
          <w:sz w:val="20"/>
          <w:szCs w:val="20"/>
        </w:rPr>
        <w:t>E</w:t>
      </w:r>
      <w:r w:rsidRPr="006B17F4">
        <w:rPr>
          <w:sz w:val="20"/>
          <w:szCs w:val="20"/>
        </w:rPr>
        <w:t xml:space="preserve">valuation of </w:t>
      </w:r>
      <w:proofErr w:type="spellStart"/>
      <w:r w:rsidRPr="006B17F4">
        <w:rPr>
          <w:sz w:val="20"/>
          <w:szCs w:val="20"/>
        </w:rPr>
        <w:t>cystoid</w:t>
      </w:r>
      <w:proofErr w:type="spellEnd"/>
      <w:r w:rsidRPr="006B17F4">
        <w:rPr>
          <w:sz w:val="20"/>
          <w:szCs w:val="20"/>
        </w:rPr>
        <w:t xml:space="preserve"> macular edema using optical coherence tomography and </w:t>
      </w:r>
      <w:proofErr w:type="spellStart"/>
      <w:r w:rsidRPr="006B17F4">
        <w:rPr>
          <w:sz w:val="20"/>
          <w:szCs w:val="20"/>
        </w:rPr>
        <w:t>fundus</w:t>
      </w:r>
      <w:proofErr w:type="spellEnd"/>
      <w:r w:rsidRPr="006B17F4">
        <w:rPr>
          <w:sz w:val="20"/>
          <w:szCs w:val="20"/>
        </w:rPr>
        <w:t xml:space="preserve"> </w:t>
      </w:r>
      <w:proofErr w:type="spellStart"/>
      <w:r w:rsidRPr="006B17F4">
        <w:rPr>
          <w:sz w:val="20"/>
          <w:szCs w:val="20"/>
        </w:rPr>
        <w:t>fluorescein</w:t>
      </w:r>
      <w:proofErr w:type="spellEnd"/>
      <w:r w:rsidRPr="006B17F4">
        <w:rPr>
          <w:sz w:val="20"/>
          <w:szCs w:val="20"/>
        </w:rPr>
        <w:t xml:space="preserve"> angiography after uncomplicated </w:t>
      </w:r>
      <w:proofErr w:type="spellStart"/>
      <w:r w:rsidRPr="006B17F4">
        <w:rPr>
          <w:sz w:val="20"/>
          <w:szCs w:val="20"/>
        </w:rPr>
        <w:t>phacoemulsification</w:t>
      </w:r>
      <w:proofErr w:type="spellEnd"/>
      <w:r w:rsidRPr="006B17F4">
        <w:rPr>
          <w:sz w:val="20"/>
          <w:szCs w:val="20"/>
        </w:rPr>
        <w:t xml:space="preserve"> surgery</w:t>
      </w:r>
      <w:r w:rsidR="00814B98" w:rsidRPr="006B17F4">
        <w:rPr>
          <w:sz w:val="20"/>
          <w:szCs w:val="20"/>
        </w:rPr>
        <w:t xml:space="preserve">. </w:t>
      </w:r>
      <w:proofErr w:type="spellStart"/>
      <w:r w:rsidR="00814B98" w:rsidRPr="006B17F4">
        <w:rPr>
          <w:sz w:val="20"/>
          <w:szCs w:val="20"/>
        </w:rPr>
        <w:t>C</w:t>
      </w:r>
      <w:r w:rsidRPr="006B17F4">
        <w:rPr>
          <w:sz w:val="20"/>
          <w:szCs w:val="20"/>
        </w:rPr>
        <w:t>urr</w:t>
      </w:r>
      <w:proofErr w:type="spellEnd"/>
      <w:r w:rsidRPr="006B17F4">
        <w:rPr>
          <w:sz w:val="20"/>
          <w:szCs w:val="20"/>
        </w:rPr>
        <w:t xml:space="preserve"> Eye Res. </w:t>
      </w:r>
      <w:r w:rsidRPr="006B17F4">
        <w:rPr>
          <w:bCs/>
          <w:sz w:val="20"/>
          <w:szCs w:val="20"/>
        </w:rPr>
        <w:t>2012</w:t>
      </w:r>
      <w:r w:rsidRPr="006B17F4">
        <w:rPr>
          <w:sz w:val="20"/>
          <w:szCs w:val="20"/>
        </w:rPr>
        <w:t xml:space="preserve"> Apr; 37(4):327-33.</w:t>
      </w:r>
    </w:p>
    <w:p w:rsidR="00FC648F" w:rsidRPr="006B17F4" w:rsidRDefault="00FC648F" w:rsidP="00814B98">
      <w:pPr>
        <w:widowControl w:val="0"/>
        <w:numPr>
          <w:ilvl w:val="0"/>
          <w:numId w:val="23"/>
        </w:numPr>
        <w:autoSpaceDE w:val="0"/>
        <w:autoSpaceDN w:val="0"/>
        <w:bidi w:val="0"/>
        <w:adjustRightInd w:val="0"/>
        <w:snapToGrid w:val="0"/>
        <w:jc w:val="both"/>
        <w:rPr>
          <w:bCs/>
          <w:color w:val="141314"/>
          <w:sz w:val="20"/>
          <w:szCs w:val="20"/>
        </w:rPr>
      </w:pPr>
      <w:r w:rsidRPr="006B17F4">
        <w:rPr>
          <w:bCs/>
          <w:color w:val="141314"/>
          <w:sz w:val="20"/>
          <w:szCs w:val="20"/>
        </w:rPr>
        <w:t xml:space="preserve">Lobo CL, </w:t>
      </w:r>
      <w:proofErr w:type="spellStart"/>
      <w:r w:rsidRPr="006B17F4">
        <w:rPr>
          <w:bCs/>
          <w:color w:val="141314"/>
          <w:sz w:val="20"/>
          <w:szCs w:val="20"/>
        </w:rPr>
        <w:t>Faria</w:t>
      </w:r>
      <w:proofErr w:type="spellEnd"/>
      <w:r w:rsidRPr="006B17F4">
        <w:rPr>
          <w:bCs/>
          <w:color w:val="141314"/>
          <w:sz w:val="20"/>
          <w:szCs w:val="20"/>
        </w:rPr>
        <w:t xml:space="preserve"> PM, </w:t>
      </w:r>
      <w:proofErr w:type="spellStart"/>
      <w:r w:rsidRPr="006B17F4">
        <w:rPr>
          <w:bCs/>
          <w:color w:val="141314"/>
          <w:sz w:val="20"/>
          <w:szCs w:val="20"/>
        </w:rPr>
        <w:t>Soares</w:t>
      </w:r>
      <w:proofErr w:type="spellEnd"/>
      <w:r w:rsidRPr="006B17F4">
        <w:rPr>
          <w:bCs/>
          <w:color w:val="141314"/>
          <w:sz w:val="20"/>
          <w:szCs w:val="20"/>
        </w:rPr>
        <w:t xml:space="preserve"> MA, </w:t>
      </w:r>
      <w:proofErr w:type="spellStart"/>
      <w:r w:rsidRPr="006B17F4">
        <w:rPr>
          <w:bCs/>
          <w:color w:val="141314"/>
          <w:sz w:val="20"/>
          <w:szCs w:val="20"/>
        </w:rPr>
        <w:t>Bernardes</w:t>
      </w:r>
      <w:proofErr w:type="spellEnd"/>
      <w:r w:rsidRPr="006B17F4">
        <w:rPr>
          <w:bCs/>
          <w:color w:val="141314"/>
          <w:sz w:val="20"/>
          <w:szCs w:val="20"/>
        </w:rPr>
        <w:t xml:space="preserve"> RC, Cunha-</w:t>
      </w:r>
      <w:proofErr w:type="spellStart"/>
      <w:r w:rsidRPr="006B17F4">
        <w:rPr>
          <w:bCs/>
          <w:color w:val="141314"/>
          <w:sz w:val="20"/>
          <w:szCs w:val="20"/>
        </w:rPr>
        <w:t>Vaz</w:t>
      </w:r>
      <w:proofErr w:type="spellEnd"/>
      <w:r w:rsidRPr="006B17F4">
        <w:rPr>
          <w:bCs/>
          <w:color w:val="141314"/>
          <w:sz w:val="20"/>
          <w:szCs w:val="20"/>
        </w:rPr>
        <w:t xml:space="preserve"> JG. </w:t>
      </w:r>
      <w:r w:rsidRPr="006B17F4">
        <w:rPr>
          <w:color w:val="141314"/>
          <w:sz w:val="20"/>
          <w:szCs w:val="20"/>
        </w:rPr>
        <w:t>Macular alterations after small-incision cataract surgery</w:t>
      </w:r>
      <w:r w:rsidR="00814B98" w:rsidRPr="006B17F4">
        <w:rPr>
          <w:color w:val="141314"/>
          <w:sz w:val="20"/>
          <w:szCs w:val="20"/>
        </w:rPr>
        <w:t>. J</w:t>
      </w:r>
      <w:r w:rsidRPr="006B17F4">
        <w:rPr>
          <w:color w:val="141314"/>
          <w:sz w:val="20"/>
          <w:szCs w:val="20"/>
        </w:rPr>
        <w:t>-Cataract-Refract-Surg.</w:t>
      </w:r>
      <w:r w:rsidRPr="006B17F4">
        <w:rPr>
          <w:bCs/>
          <w:color w:val="141314"/>
          <w:sz w:val="20"/>
          <w:szCs w:val="20"/>
        </w:rPr>
        <w:t>2004</w:t>
      </w:r>
      <w:r w:rsidRPr="006B17F4">
        <w:rPr>
          <w:color w:val="141314"/>
          <w:sz w:val="20"/>
          <w:szCs w:val="20"/>
        </w:rPr>
        <w:t>; 30(4):752-60.</w:t>
      </w:r>
    </w:p>
    <w:p w:rsidR="00FC648F" w:rsidRPr="006B17F4" w:rsidRDefault="00FC648F" w:rsidP="00814B98">
      <w:pPr>
        <w:widowControl w:val="0"/>
        <w:numPr>
          <w:ilvl w:val="0"/>
          <w:numId w:val="23"/>
        </w:numPr>
        <w:autoSpaceDE w:val="0"/>
        <w:autoSpaceDN w:val="0"/>
        <w:bidi w:val="0"/>
        <w:adjustRightInd w:val="0"/>
        <w:snapToGrid w:val="0"/>
        <w:jc w:val="both"/>
        <w:rPr>
          <w:sz w:val="20"/>
          <w:szCs w:val="20"/>
        </w:rPr>
      </w:pPr>
      <w:proofErr w:type="spellStart"/>
      <w:r w:rsidRPr="006B17F4">
        <w:rPr>
          <w:bCs/>
          <w:sz w:val="20"/>
          <w:szCs w:val="20"/>
        </w:rPr>
        <w:t>Loewenstein</w:t>
      </w:r>
      <w:proofErr w:type="spellEnd"/>
      <w:r w:rsidRPr="006B17F4">
        <w:rPr>
          <w:bCs/>
          <w:sz w:val="20"/>
          <w:szCs w:val="20"/>
        </w:rPr>
        <w:t xml:space="preserve"> A, </w:t>
      </w:r>
      <w:proofErr w:type="spellStart"/>
      <w:r w:rsidRPr="006B17F4">
        <w:rPr>
          <w:bCs/>
          <w:sz w:val="20"/>
          <w:szCs w:val="20"/>
        </w:rPr>
        <w:t>Zur</w:t>
      </w:r>
      <w:proofErr w:type="spellEnd"/>
      <w:r w:rsidRPr="006B17F4">
        <w:rPr>
          <w:bCs/>
          <w:sz w:val="20"/>
          <w:szCs w:val="20"/>
        </w:rPr>
        <w:t xml:space="preserve"> D. </w:t>
      </w:r>
      <w:r w:rsidRPr="006B17F4">
        <w:rPr>
          <w:sz w:val="20"/>
          <w:szCs w:val="20"/>
        </w:rPr>
        <w:t xml:space="preserve">Postsurgical </w:t>
      </w:r>
      <w:proofErr w:type="spellStart"/>
      <w:r w:rsidRPr="006B17F4">
        <w:rPr>
          <w:sz w:val="20"/>
          <w:szCs w:val="20"/>
        </w:rPr>
        <w:t>cystoid</w:t>
      </w:r>
      <w:proofErr w:type="spellEnd"/>
      <w:r w:rsidRPr="006B17F4">
        <w:rPr>
          <w:sz w:val="20"/>
          <w:szCs w:val="20"/>
        </w:rPr>
        <w:t xml:space="preserve"> macular edema</w:t>
      </w:r>
      <w:r w:rsidR="00814B98" w:rsidRPr="006B17F4">
        <w:rPr>
          <w:sz w:val="20"/>
          <w:szCs w:val="20"/>
        </w:rPr>
        <w:t>. D</w:t>
      </w:r>
      <w:r w:rsidRPr="006B17F4">
        <w:rPr>
          <w:sz w:val="20"/>
          <w:szCs w:val="20"/>
        </w:rPr>
        <w:t>ev Ophthalmol.</w:t>
      </w:r>
      <w:r w:rsidRPr="006B17F4">
        <w:rPr>
          <w:bCs/>
          <w:sz w:val="20"/>
          <w:szCs w:val="20"/>
        </w:rPr>
        <w:t>2010</w:t>
      </w:r>
      <w:r w:rsidRPr="006B17F4">
        <w:rPr>
          <w:sz w:val="20"/>
          <w:szCs w:val="20"/>
        </w:rPr>
        <w:t>; 47:148-159.</w:t>
      </w:r>
    </w:p>
    <w:p w:rsidR="00FC648F" w:rsidRPr="006B17F4" w:rsidRDefault="00FC648F" w:rsidP="00814B98">
      <w:pPr>
        <w:numPr>
          <w:ilvl w:val="0"/>
          <w:numId w:val="23"/>
        </w:numPr>
        <w:bidi w:val="0"/>
        <w:snapToGrid w:val="0"/>
        <w:jc w:val="both"/>
        <w:rPr>
          <w:sz w:val="20"/>
          <w:szCs w:val="20"/>
        </w:rPr>
      </w:pPr>
      <w:proofErr w:type="spellStart"/>
      <w:r w:rsidRPr="006B17F4">
        <w:rPr>
          <w:bCs/>
          <w:sz w:val="20"/>
          <w:szCs w:val="20"/>
        </w:rPr>
        <w:t>Maaly</w:t>
      </w:r>
      <w:proofErr w:type="spellEnd"/>
      <w:r w:rsidRPr="006B17F4">
        <w:rPr>
          <w:bCs/>
          <w:sz w:val="20"/>
          <w:szCs w:val="20"/>
        </w:rPr>
        <w:t xml:space="preserve"> AM, Faisal MA, </w:t>
      </w:r>
      <w:proofErr w:type="spellStart"/>
      <w:r w:rsidRPr="006B17F4">
        <w:rPr>
          <w:bCs/>
          <w:sz w:val="20"/>
          <w:szCs w:val="20"/>
        </w:rPr>
        <w:t>Salwa</w:t>
      </w:r>
      <w:proofErr w:type="spellEnd"/>
      <w:r w:rsidRPr="006B17F4">
        <w:rPr>
          <w:bCs/>
          <w:sz w:val="20"/>
          <w:szCs w:val="20"/>
        </w:rPr>
        <w:t xml:space="preserve"> AF</w:t>
      </w:r>
      <w:r w:rsidR="00814B98" w:rsidRPr="006B17F4">
        <w:rPr>
          <w:bCs/>
          <w:sz w:val="20"/>
          <w:szCs w:val="20"/>
        </w:rPr>
        <w:t xml:space="preserve">. </w:t>
      </w:r>
      <w:r w:rsidR="00814B98" w:rsidRPr="006B17F4">
        <w:rPr>
          <w:sz w:val="20"/>
          <w:szCs w:val="20"/>
        </w:rPr>
        <w:t>E</w:t>
      </w:r>
      <w:r w:rsidRPr="006B17F4">
        <w:rPr>
          <w:sz w:val="20"/>
          <w:szCs w:val="20"/>
        </w:rPr>
        <w:t>uropean Vitro-retinal Society</w:t>
      </w:r>
      <w:r w:rsidR="00814B98" w:rsidRPr="006B17F4">
        <w:rPr>
          <w:sz w:val="20"/>
          <w:szCs w:val="20"/>
        </w:rPr>
        <w:t>. S</w:t>
      </w:r>
      <w:r w:rsidRPr="006B17F4">
        <w:rPr>
          <w:sz w:val="20"/>
          <w:szCs w:val="20"/>
        </w:rPr>
        <w:t xml:space="preserve">cientific poster </w:t>
      </w:r>
      <w:r w:rsidRPr="006B17F4">
        <w:rPr>
          <w:bCs/>
          <w:sz w:val="20"/>
          <w:szCs w:val="20"/>
        </w:rPr>
        <w:t>2016</w:t>
      </w:r>
      <w:r w:rsidRPr="006B17F4">
        <w:rPr>
          <w:sz w:val="20"/>
          <w:szCs w:val="20"/>
        </w:rPr>
        <w:t>.</w:t>
      </w:r>
    </w:p>
    <w:p w:rsidR="00FC648F" w:rsidRPr="006B17F4" w:rsidRDefault="00FC648F" w:rsidP="00814B98">
      <w:pPr>
        <w:numPr>
          <w:ilvl w:val="0"/>
          <w:numId w:val="23"/>
        </w:numPr>
        <w:bidi w:val="0"/>
        <w:snapToGrid w:val="0"/>
        <w:jc w:val="both"/>
        <w:rPr>
          <w:bCs/>
          <w:sz w:val="20"/>
          <w:szCs w:val="20"/>
        </w:rPr>
      </w:pPr>
      <w:proofErr w:type="spellStart"/>
      <w:r w:rsidRPr="006B17F4">
        <w:rPr>
          <w:bCs/>
          <w:sz w:val="20"/>
          <w:szCs w:val="20"/>
        </w:rPr>
        <w:lastRenderedPageBreak/>
        <w:t>Mirachtsis</w:t>
      </w:r>
      <w:proofErr w:type="spellEnd"/>
      <w:r w:rsidRPr="006B17F4">
        <w:rPr>
          <w:bCs/>
          <w:sz w:val="20"/>
          <w:szCs w:val="20"/>
        </w:rPr>
        <w:t xml:space="preserve"> TH, </w:t>
      </w:r>
      <w:proofErr w:type="spellStart"/>
      <w:r w:rsidRPr="006B17F4">
        <w:rPr>
          <w:bCs/>
          <w:sz w:val="20"/>
          <w:szCs w:val="20"/>
        </w:rPr>
        <w:t>Markou</w:t>
      </w:r>
      <w:proofErr w:type="spellEnd"/>
      <w:r w:rsidRPr="006B17F4">
        <w:rPr>
          <w:bCs/>
          <w:sz w:val="20"/>
          <w:szCs w:val="20"/>
        </w:rPr>
        <w:t xml:space="preserve"> M, </w:t>
      </w:r>
      <w:proofErr w:type="spellStart"/>
      <w:r w:rsidRPr="006B17F4">
        <w:rPr>
          <w:bCs/>
          <w:sz w:val="20"/>
          <w:szCs w:val="20"/>
        </w:rPr>
        <w:t>Sioulis</w:t>
      </w:r>
      <w:proofErr w:type="spellEnd"/>
      <w:r w:rsidRPr="006B17F4">
        <w:rPr>
          <w:bCs/>
          <w:sz w:val="20"/>
          <w:szCs w:val="20"/>
        </w:rPr>
        <w:t xml:space="preserve"> S, </w:t>
      </w:r>
      <w:proofErr w:type="spellStart"/>
      <w:r w:rsidRPr="006B17F4">
        <w:rPr>
          <w:bCs/>
          <w:sz w:val="20"/>
          <w:szCs w:val="20"/>
        </w:rPr>
        <w:t>Georgiadis</w:t>
      </w:r>
      <w:proofErr w:type="spellEnd"/>
      <w:r w:rsidRPr="006B17F4">
        <w:rPr>
          <w:bCs/>
          <w:sz w:val="20"/>
          <w:szCs w:val="20"/>
        </w:rPr>
        <w:t xml:space="preserve"> N. </w:t>
      </w:r>
      <w:r w:rsidRPr="006B17F4">
        <w:rPr>
          <w:sz w:val="20"/>
          <w:szCs w:val="20"/>
        </w:rPr>
        <w:t xml:space="preserve">incidence of </w:t>
      </w:r>
      <w:proofErr w:type="spellStart"/>
      <w:r w:rsidRPr="006B17F4">
        <w:rPr>
          <w:sz w:val="20"/>
          <w:szCs w:val="20"/>
        </w:rPr>
        <w:t>cystoid</w:t>
      </w:r>
      <w:proofErr w:type="spellEnd"/>
      <w:r w:rsidRPr="006B17F4">
        <w:rPr>
          <w:sz w:val="20"/>
          <w:szCs w:val="20"/>
        </w:rPr>
        <w:t xml:space="preserve"> macular edema in patients with or without DM after uncomplicated </w:t>
      </w:r>
      <w:proofErr w:type="spellStart"/>
      <w:r w:rsidRPr="006B17F4">
        <w:rPr>
          <w:sz w:val="20"/>
          <w:szCs w:val="20"/>
        </w:rPr>
        <w:t>phacoemulsification</w:t>
      </w:r>
      <w:proofErr w:type="spellEnd"/>
      <w:r w:rsidRPr="006B17F4">
        <w:rPr>
          <w:sz w:val="20"/>
          <w:szCs w:val="20"/>
        </w:rPr>
        <w:t xml:space="preserve">; A four-year study. </w:t>
      </w:r>
      <w:proofErr w:type="spellStart"/>
      <w:r w:rsidRPr="006B17F4">
        <w:rPr>
          <w:sz w:val="20"/>
          <w:szCs w:val="20"/>
        </w:rPr>
        <w:t>Int</w:t>
      </w:r>
      <w:proofErr w:type="spellEnd"/>
      <w:r w:rsidRPr="006B17F4">
        <w:rPr>
          <w:sz w:val="20"/>
          <w:szCs w:val="20"/>
        </w:rPr>
        <w:t xml:space="preserve"> Eye Sci.</w:t>
      </w:r>
      <w:r w:rsidRPr="006B17F4">
        <w:rPr>
          <w:bCs/>
          <w:sz w:val="20"/>
          <w:szCs w:val="20"/>
        </w:rPr>
        <w:t>2016</w:t>
      </w:r>
      <w:r w:rsidRPr="006B17F4">
        <w:rPr>
          <w:sz w:val="20"/>
          <w:szCs w:val="20"/>
        </w:rPr>
        <w:t>; 16(8):1407-1411.</w:t>
      </w:r>
    </w:p>
    <w:p w:rsidR="00FC648F" w:rsidRPr="006B17F4" w:rsidRDefault="00FC648F" w:rsidP="00814B98">
      <w:pPr>
        <w:numPr>
          <w:ilvl w:val="0"/>
          <w:numId w:val="23"/>
        </w:numPr>
        <w:bidi w:val="0"/>
        <w:snapToGrid w:val="0"/>
        <w:jc w:val="both"/>
        <w:rPr>
          <w:sz w:val="20"/>
          <w:szCs w:val="20"/>
        </w:rPr>
      </w:pPr>
      <w:proofErr w:type="spellStart"/>
      <w:r w:rsidRPr="006B17F4">
        <w:rPr>
          <w:bCs/>
          <w:sz w:val="20"/>
          <w:szCs w:val="20"/>
        </w:rPr>
        <w:t>Sefi</w:t>
      </w:r>
      <w:proofErr w:type="spellEnd"/>
      <w:r w:rsidRPr="006B17F4">
        <w:rPr>
          <w:bCs/>
          <w:sz w:val="20"/>
          <w:szCs w:val="20"/>
        </w:rPr>
        <w:t xml:space="preserve"> Y, </w:t>
      </w:r>
      <w:proofErr w:type="spellStart"/>
      <w:r w:rsidRPr="006B17F4">
        <w:rPr>
          <w:bCs/>
          <w:sz w:val="20"/>
          <w:szCs w:val="20"/>
        </w:rPr>
        <w:t>Yildiz</w:t>
      </w:r>
      <w:proofErr w:type="spellEnd"/>
      <w:r w:rsidRPr="006B17F4">
        <w:rPr>
          <w:bCs/>
          <w:sz w:val="20"/>
          <w:szCs w:val="20"/>
        </w:rPr>
        <w:t xml:space="preserve"> M. </w:t>
      </w:r>
      <w:proofErr w:type="spellStart"/>
      <w:r w:rsidRPr="006B17F4">
        <w:rPr>
          <w:bCs/>
          <w:sz w:val="20"/>
          <w:szCs w:val="20"/>
        </w:rPr>
        <w:t>Koc</w:t>
      </w:r>
      <w:proofErr w:type="spellEnd"/>
      <w:r w:rsidRPr="006B17F4">
        <w:rPr>
          <w:bCs/>
          <w:sz w:val="20"/>
          <w:szCs w:val="20"/>
        </w:rPr>
        <w:t xml:space="preserve"> F</w:t>
      </w:r>
      <w:r w:rsidR="00814B98" w:rsidRPr="006B17F4">
        <w:rPr>
          <w:bCs/>
          <w:sz w:val="20"/>
          <w:szCs w:val="20"/>
        </w:rPr>
        <w:t xml:space="preserve">. </w:t>
      </w:r>
      <w:proofErr w:type="spellStart"/>
      <w:r w:rsidR="00814B98" w:rsidRPr="006B17F4">
        <w:rPr>
          <w:sz w:val="20"/>
          <w:szCs w:val="20"/>
        </w:rPr>
        <w:t>p</w:t>
      </w:r>
      <w:r w:rsidRPr="006B17F4">
        <w:rPr>
          <w:sz w:val="20"/>
          <w:szCs w:val="20"/>
        </w:rPr>
        <w:t>seudophakic</w:t>
      </w:r>
      <w:proofErr w:type="spellEnd"/>
      <w:r w:rsidRPr="006B17F4">
        <w:rPr>
          <w:sz w:val="20"/>
          <w:szCs w:val="20"/>
        </w:rPr>
        <w:t xml:space="preserve"> </w:t>
      </w:r>
      <w:proofErr w:type="spellStart"/>
      <w:r w:rsidRPr="006B17F4">
        <w:rPr>
          <w:sz w:val="20"/>
          <w:szCs w:val="20"/>
        </w:rPr>
        <w:t>Cystoid</w:t>
      </w:r>
      <w:proofErr w:type="spellEnd"/>
      <w:r w:rsidRPr="006B17F4">
        <w:rPr>
          <w:sz w:val="20"/>
          <w:szCs w:val="20"/>
        </w:rPr>
        <w:t xml:space="preserve"> Macular Edema after uncomplicated </w:t>
      </w:r>
      <w:proofErr w:type="spellStart"/>
      <w:r w:rsidRPr="006B17F4">
        <w:rPr>
          <w:sz w:val="20"/>
          <w:szCs w:val="20"/>
        </w:rPr>
        <w:t>phacoemulsification</w:t>
      </w:r>
      <w:proofErr w:type="spellEnd"/>
      <w:r w:rsidRPr="006B17F4">
        <w:rPr>
          <w:sz w:val="20"/>
          <w:szCs w:val="20"/>
        </w:rPr>
        <w:t xml:space="preserve"> in diabetic and non-diabetic patients. Journal of Glaucoma and Cataract.</w:t>
      </w:r>
      <w:r w:rsidRPr="006B17F4">
        <w:rPr>
          <w:bCs/>
          <w:sz w:val="20"/>
          <w:szCs w:val="20"/>
        </w:rPr>
        <w:t>2016</w:t>
      </w:r>
      <w:r w:rsidRPr="006B17F4">
        <w:rPr>
          <w:sz w:val="20"/>
          <w:szCs w:val="20"/>
        </w:rPr>
        <w:t>; 11(2):123-128.</w:t>
      </w:r>
    </w:p>
    <w:p w:rsidR="00814B98" w:rsidRPr="006B17F4" w:rsidRDefault="00FC648F" w:rsidP="00814B98">
      <w:pPr>
        <w:widowControl w:val="0"/>
        <w:numPr>
          <w:ilvl w:val="0"/>
          <w:numId w:val="23"/>
        </w:numPr>
        <w:autoSpaceDE w:val="0"/>
        <w:autoSpaceDN w:val="0"/>
        <w:bidi w:val="0"/>
        <w:adjustRightInd w:val="0"/>
        <w:snapToGrid w:val="0"/>
        <w:ind w:left="425" w:hanging="425"/>
        <w:jc w:val="both"/>
        <w:rPr>
          <w:sz w:val="20"/>
          <w:szCs w:val="20"/>
        </w:rPr>
      </w:pPr>
      <w:r w:rsidRPr="006B17F4">
        <w:rPr>
          <w:bCs/>
          <w:sz w:val="20"/>
          <w:szCs w:val="20"/>
        </w:rPr>
        <w:t xml:space="preserve">Tsai CY, Chang TJ, Duo LI, Chou p, </w:t>
      </w:r>
      <w:proofErr w:type="spellStart"/>
      <w:r w:rsidRPr="006B17F4">
        <w:rPr>
          <w:bCs/>
          <w:sz w:val="20"/>
          <w:szCs w:val="20"/>
        </w:rPr>
        <w:t>Woung</w:t>
      </w:r>
      <w:proofErr w:type="spellEnd"/>
      <w:r w:rsidRPr="006B17F4">
        <w:rPr>
          <w:bCs/>
          <w:sz w:val="20"/>
          <w:szCs w:val="20"/>
        </w:rPr>
        <w:t xml:space="preserve"> LC</w:t>
      </w:r>
      <w:r w:rsidR="00814B98" w:rsidRPr="006B17F4">
        <w:rPr>
          <w:bCs/>
          <w:sz w:val="20"/>
          <w:szCs w:val="20"/>
        </w:rPr>
        <w:t xml:space="preserve">. </w:t>
      </w:r>
      <w:r w:rsidR="00814B98" w:rsidRPr="006B17F4">
        <w:rPr>
          <w:sz w:val="20"/>
          <w:szCs w:val="20"/>
        </w:rPr>
        <w:t>V</w:t>
      </w:r>
      <w:r w:rsidRPr="006B17F4">
        <w:rPr>
          <w:sz w:val="20"/>
          <w:szCs w:val="20"/>
        </w:rPr>
        <w:t>isual outcome and associated risk factors of cataract surgeries in high myopic Taiwanese. Opthalmologica.</w:t>
      </w:r>
      <w:r w:rsidRPr="006B17F4">
        <w:rPr>
          <w:bCs/>
          <w:sz w:val="20"/>
          <w:szCs w:val="20"/>
        </w:rPr>
        <w:t>2008</w:t>
      </w:r>
      <w:r w:rsidRPr="006B17F4">
        <w:rPr>
          <w:sz w:val="20"/>
          <w:szCs w:val="20"/>
        </w:rPr>
        <w:t>;222:130-135.</w:t>
      </w:r>
      <w:r w:rsidR="006B17F4" w:rsidRPr="006B17F4">
        <w:rPr>
          <w:rFonts w:eastAsiaTheme="minorEastAsia" w:hint="eastAsia"/>
          <w:sz w:val="20"/>
          <w:szCs w:val="20"/>
          <w:lang w:eastAsia="zh-CN"/>
        </w:rPr>
        <w:t xml:space="preserve"> </w:t>
      </w:r>
    </w:p>
    <w:p w:rsidR="00814B98" w:rsidRPr="006B17F4" w:rsidRDefault="00814B98" w:rsidP="00814B98">
      <w:pPr>
        <w:widowControl w:val="0"/>
        <w:autoSpaceDE w:val="0"/>
        <w:autoSpaceDN w:val="0"/>
        <w:bidi w:val="0"/>
        <w:adjustRightInd w:val="0"/>
        <w:snapToGrid w:val="0"/>
        <w:ind w:left="425" w:hanging="425"/>
        <w:jc w:val="both"/>
        <w:rPr>
          <w:sz w:val="20"/>
          <w:szCs w:val="20"/>
        </w:rPr>
        <w:sectPr w:rsidR="00814B98" w:rsidRPr="006B17F4" w:rsidSect="00814B98">
          <w:headerReference w:type="default" r:id="rId17"/>
          <w:footerReference w:type="default" r:id="rId18"/>
          <w:type w:val="continuous"/>
          <w:pgSz w:w="12242" w:h="15842" w:code="1"/>
          <w:pgMar w:top="1440" w:right="1440" w:bottom="1440" w:left="1440" w:header="720" w:footer="720" w:gutter="0"/>
          <w:cols w:num="2" w:space="600"/>
          <w:docGrid w:linePitch="360"/>
        </w:sectPr>
      </w:pPr>
    </w:p>
    <w:p w:rsidR="00814B98" w:rsidRPr="006B17F4" w:rsidRDefault="00814B98" w:rsidP="00814B98">
      <w:pPr>
        <w:widowControl w:val="0"/>
        <w:autoSpaceDE w:val="0"/>
        <w:autoSpaceDN w:val="0"/>
        <w:bidi w:val="0"/>
        <w:adjustRightInd w:val="0"/>
        <w:snapToGrid w:val="0"/>
        <w:ind w:left="425" w:hanging="425"/>
        <w:jc w:val="both"/>
        <w:rPr>
          <w:rFonts w:eastAsiaTheme="minorEastAsia"/>
          <w:sz w:val="20"/>
          <w:szCs w:val="20"/>
          <w:lang w:eastAsia="zh-CN"/>
        </w:rPr>
      </w:pPr>
      <w:r w:rsidRPr="006B17F4">
        <w:rPr>
          <w:rFonts w:eastAsiaTheme="minorEastAsia" w:hint="eastAsia"/>
          <w:sz w:val="20"/>
          <w:szCs w:val="20"/>
          <w:lang w:eastAsia="zh-CN"/>
        </w:rPr>
        <w:lastRenderedPageBreak/>
        <w:t xml:space="preserve"> </w:t>
      </w:r>
    </w:p>
    <w:p w:rsidR="00814B98" w:rsidRPr="006B17F4" w:rsidRDefault="00814B98" w:rsidP="00814B98">
      <w:pPr>
        <w:widowControl w:val="0"/>
        <w:autoSpaceDE w:val="0"/>
        <w:autoSpaceDN w:val="0"/>
        <w:bidi w:val="0"/>
        <w:adjustRightInd w:val="0"/>
        <w:snapToGrid w:val="0"/>
        <w:ind w:left="425" w:hanging="425"/>
        <w:jc w:val="both"/>
        <w:rPr>
          <w:rFonts w:eastAsiaTheme="minorEastAsia"/>
          <w:sz w:val="20"/>
          <w:szCs w:val="20"/>
          <w:lang w:eastAsia="zh-CN"/>
        </w:rPr>
      </w:pPr>
    </w:p>
    <w:p w:rsidR="00814B98" w:rsidRPr="006B17F4" w:rsidRDefault="00814B98" w:rsidP="00814B98">
      <w:pPr>
        <w:widowControl w:val="0"/>
        <w:autoSpaceDE w:val="0"/>
        <w:autoSpaceDN w:val="0"/>
        <w:bidi w:val="0"/>
        <w:adjustRightInd w:val="0"/>
        <w:snapToGrid w:val="0"/>
        <w:ind w:left="425" w:hanging="425"/>
        <w:jc w:val="both"/>
        <w:rPr>
          <w:rFonts w:eastAsiaTheme="minorEastAsia"/>
          <w:sz w:val="20"/>
          <w:szCs w:val="20"/>
          <w:lang w:eastAsia="zh-CN"/>
        </w:rPr>
      </w:pPr>
    </w:p>
    <w:p w:rsidR="009C7943" w:rsidRPr="006B17F4" w:rsidRDefault="00814B98" w:rsidP="00814B98">
      <w:pPr>
        <w:widowControl w:val="0"/>
        <w:autoSpaceDE w:val="0"/>
        <w:autoSpaceDN w:val="0"/>
        <w:bidi w:val="0"/>
        <w:adjustRightInd w:val="0"/>
        <w:snapToGrid w:val="0"/>
        <w:ind w:left="425" w:hanging="425"/>
        <w:jc w:val="both"/>
        <w:rPr>
          <w:sz w:val="20"/>
          <w:szCs w:val="20"/>
        </w:rPr>
      </w:pPr>
      <w:r w:rsidRPr="006B17F4">
        <w:rPr>
          <w:rFonts w:eastAsiaTheme="minorEastAsia" w:hint="eastAsia"/>
          <w:sz w:val="20"/>
          <w:szCs w:val="20"/>
          <w:lang w:eastAsia="zh-CN"/>
        </w:rPr>
        <w:t>2</w:t>
      </w:r>
      <w:r w:rsidRPr="006B17F4">
        <w:rPr>
          <w:sz w:val="20"/>
          <w:szCs w:val="20"/>
        </w:rPr>
        <w:t>/5/2017</w:t>
      </w:r>
    </w:p>
    <w:sectPr w:rsidR="009C7943" w:rsidRPr="006B17F4" w:rsidSect="00C0635B">
      <w:headerReference w:type="default" r:id="rId19"/>
      <w:footerReference w:type="default" r:id="rId20"/>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370" w:rsidRDefault="006B7370" w:rsidP="00FC648F">
      <w:r>
        <w:separator/>
      </w:r>
    </w:p>
  </w:endnote>
  <w:endnote w:type="continuationSeparator" w:id="0">
    <w:p w:rsidR="006B7370" w:rsidRDefault="006B7370" w:rsidP="00FC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384634" w:rsidP="00814B98">
    <w:pPr>
      <w:bidi w:val="0"/>
      <w:jc w:val="center"/>
      <w:rPr>
        <w:sz w:val="20"/>
      </w:rPr>
    </w:pPr>
    <w:r w:rsidRPr="00814B98">
      <w:rPr>
        <w:sz w:val="20"/>
      </w:rPr>
      <w:fldChar w:fldCharType="begin"/>
    </w:r>
    <w:r w:rsidR="00814B98" w:rsidRPr="00814B98">
      <w:rPr>
        <w:sz w:val="20"/>
      </w:rPr>
      <w:instrText xml:space="preserve"> page </w:instrText>
    </w:r>
    <w:r w:rsidRPr="00814B98">
      <w:rPr>
        <w:sz w:val="20"/>
      </w:rPr>
      <w:fldChar w:fldCharType="separate"/>
    </w:r>
    <w:r w:rsidR="006B17F4">
      <w:rPr>
        <w:noProof/>
        <w:sz w:val="20"/>
      </w:rPr>
      <w:t>83</w:t>
    </w:r>
    <w:r w:rsidRPr="00814B9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384634" w:rsidP="00814B98">
    <w:pPr>
      <w:bidi w:val="0"/>
      <w:jc w:val="center"/>
      <w:rPr>
        <w:sz w:val="20"/>
      </w:rPr>
    </w:pPr>
    <w:r w:rsidRPr="00814B98">
      <w:rPr>
        <w:sz w:val="20"/>
      </w:rPr>
      <w:fldChar w:fldCharType="begin"/>
    </w:r>
    <w:r w:rsidR="00814B98" w:rsidRPr="00814B98">
      <w:rPr>
        <w:sz w:val="20"/>
      </w:rPr>
      <w:instrText xml:space="preserve"> page </w:instrText>
    </w:r>
    <w:r w:rsidRPr="00814B98">
      <w:rPr>
        <w:sz w:val="20"/>
      </w:rPr>
      <w:fldChar w:fldCharType="separate"/>
    </w:r>
    <w:r w:rsidR="006B17F4">
      <w:rPr>
        <w:noProof/>
        <w:sz w:val="20"/>
      </w:rPr>
      <w:t>86</w:t>
    </w:r>
    <w:r w:rsidRPr="00814B9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384634" w:rsidP="00814B98">
    <w:pPr>
      <w:bidi w:val="0"/>
      <w:jc w:val="center"/>
      <w:rPr>
        <w:sz w:val="20"/>
      </w:rPr>
    </w:pPr>
    <w:r w:rsidRPr="00814B98">
      <w:rPr>
        <w:sz w:val="20"/>
      </w:rPr>
      <w:fldChar w:fldCharType="begin"/>
    </w:r>
    <w:r w:rsidR="00814B98" w:rsidRPr="00814B98">
      <w:rPr>
        <w:sz w:val="20"/>
      </w:rPr>
      <w:instrText xml:space="preserve"> page </w:instrText>
    </w:r>
    <w:r w:rsidRPr="00814B98">
      <w:rPr>
        <w:sz w:val="20"/>
      </w:rPr>
      <w:fldChar w:fldCharType="separate"/>
    </w:r>
    <w:r w:rsidR="006B17F4">
      <w:rPr>
        <w:noProof/>
        <w:sz w:val="20"/>
      </w:rPr>
      <w:t>87</w:t>
    </w:r>
    <w:r w:rsidRPr="00814B98">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384634" w:rsidP="00814B98">
    <w:pPr>
      <w:bidi w:val="0"/>
      <w:jc w:val="center"/>
      <w:rPr>
        <w:sz w:val="20"/>
      </w:rPr>
    </w:pPr>
    <w:r w:rsidRPr="00814B98">
      <w:rPr>
        <w:sz w:val="20"/>
      </w:rPr>
      <w:fldChar w:fldCharType="begin"/>
    </w:r>
    <w:r w:rsidR="00814B98" w:rsidRPr="00814B98">
      <w:rPr>
        <w:sz w:val="20"/>
      </w:rPr>
      <w:instrText xml:space="preserve"> page </w:instrText>
    </w:r>
    <w:r w:rsidRPr="00814B98">
      <w:rPr>
        <w:sz w:val="20"/>
      </w:rPr>
      <w:fldChar w:fldCharType="separate"/>
    </w:r>
    <w:r w:rsidR="006B17F4">
      <w:rPr>
        <w:noProof/>
        <w:sz w:val="20"/>
      </w:rPr>
      <w:t>90</w:t>
    </w:r>
    <w:r w:rsidRPr="00814B9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26" w:rsidRPr="00814B98" w:rsidRDefault="00384634" w:rsidP="00814B98">
    <w:pPr>
      <w:bidi w:val="0"/>
      <w:jc w:val="center"/>
      <w:rPr>
        <w:sz w:val="20"/>
      </w:rPr>
    </w:pPr>
    <w:r w:rsidRPr="00814B98">
      <w:rPr>
        <w:sz w:val="20"/>
      </w:rPr>
      <w:fldChar w:fldCharType="begin"/>
    </w:r>
    <w:r w:rsidR="00814B98" w:rsidRPr="00814B98">
      <w:rPr>
        <w:sz w:val="20"/>
      </w:rPr>
      <w:instrText xml:space="preserve"> page </w:instrText>
    </w:r>
    <w:r w:rsidRPr="00814B98">
      <w:rPr>
        <w:sz w:val="20"/>
      </w:rPr>
      <w:fldChar w:fldCharType="separate"/>
    </w:r>
    <w:r w:rsidR="00814B98">
      <w:rPr>
        <w:noProof/>
        <w:sz w:val="20"/>
      </w:rPr>
      <w:t>1</w:t>
    </w:r>
    <w:r w:rsidRPr="00814B9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370" w:rsidRDefault="006B7370" w:rsidP="00FC648F">
      <w:r>
        <w:separator/>
      </w:r>
    </w:p>
  </w:footnote>
  <w:footnote w:type="continuationSeparator" w:id="0">
    <w:p w:rsidR="006B7370" w:rsidRDefault="006B7370" w:rsidP="00FC6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814B98" w:rsidP="00814B98">
    <w:pPr>
      <w:pBdr>
        <w:bottom w:val="thinThickMediumGap" w:sz="12" w:space="1" w:color="auto"/>
      </w:pBdr>
      <w:tabs>
        <w:tab w:val="left" w:pos="851"/>
        <w:tab w:val="right" w:pos="8364"/>
      </w:tabs>
      <w:bidi w:val="0"/>
      <w:adjustRightInd w:val="0"/>
      <w:snapToGrid w:val="0"/>
      <w:jc w:val="center"/>
      <w:rPr>
        <w:iCs/>
        <w:sz w:val="20"/>
        <w:szCs w:val="20"/>
      </w:rPr>
    </w:pPr>
    <w:r w:rsidRPr="00814B98">
      <w:rPr>
        <w:sz w:val="20"/>
        <w:szCs w:val="20"/>
      </w:rPr>
      <w:t>New York Science Journal 201</w:t>
    </w:r>
    <w:r w:rsidRPr="00814B98">
      <w:rPr>
        <w:rFonts w:hint="eastAsia"/>
        <w:sz w:val="20"/>
        <w:szCs w:val="20"/>
      </w:rPr>
      <w:t>7</w:t>
    </w:r>
    <w:r w:rsidRPr="00814B98">
      <w:rPr>
        <w:sz w:val="20"/>
        <w:szCs w:val="20"/>
      </w:rPr>
      <w:t>;</w:t>
    </w:r>
    <w:r w:rsidRPr="00814B98">
      <w:rPr>
        <w:rFonts w:hint="eastAsia"/>
        <w:sz w:val="20"/>
        <w:szCs w:val="20"/>
      </w:rPr>
      <w:t>10</w:t>
    </w:r>
    <w:r w:rsidRPr="00814B98">
      <w:rPr>
        <w:sz w:val="20"/>
        <w:szCs w:val="20"/>
      </w:rPr>
      <w:t>(</w:t>
    </w:r>
    <w:r w:rsidRPr="00814B98">
      <w:rPr>
        <w:rFonts w:hint="eastAsia"/>
        <w:sz w:val="20"/>
        <w:szCs w:val="20"/>
      </w:rPr>
      <w:t>2</w:t>
    </w:r>
    <w:r w:rsidRPr="00814B98">
      <w:rPr>
        <w:sz w:val="20"/>
        <w:szCs w:val="20"/>
      </w:rPr>
      <w:t>)</w:t>
    </w:r>
    <w:r w:rsidRPr="00814B98">
      <w:rPr>
        <w:iCs/>
        <w:sz w:val="20"/>
        <w:szCs w:val="20"/>
      </w:rPr>
      <w:t xml:space="preserve">     </w:t>
    </w:r>
    <w:r w:rsidRPr="00814B98">
      <w:rPr>
        <w:rFonts w:hint="eastAsia"/>
        <w:iCs/>
        <w:sz w:val="20"/>
        <w:szCs w:val="20"/>
      </w:rPr>
      <w:tab/>
    </w:r>
    <w:r w:rsidRPr="00814B98">
      <w:rPr>
        <w:iCs/>
        <w:sz w:val="20"/>
        <w:szCs w:val="20"/>
      </w:rPr>
      <w:t xml:space="preserve"> </w:t>
    </w:r>
    <w:r w:rsidRPr="00814B98">
      <w:rPr>
        <w:rFonts w:hint="eastAsia"/>
        <w:iCs/>
        <w:sz w:val="20"/>
        <w:szCs w:val="20"/>
      </w:rPr>
      <w:t xml:space="preserve"> </w:t>
    </w:r>
    <w:r w:rsidRPr="00814B98">
      <w:rPr>
        <w:iCs/>
        <w:sz w:val="20"/>
        <w:szCs w:val="20"/>
      </w:rPr>
      <w:t xml:space="preserve">   </w:t>
    </w:r>
    <w:hyperlink r:id="rId1" w:history="1">
      <w:r w:rsidRPr="00814B98">
        <w:rPr>
          <w:rStyle w:val="Hyperlink"/>
          <w:rFonts w:eastAsia="Calibri"/>
          <w:sz w:val="20"/>
          <w:szCs w:val="20"/>
        </w:rPr>
        <w:t>http://www.sciencepub.net/newyork</w:t>
      </w:r>
    </w:hyperlink>
  </w:p>
  <w:p w:rsidR="00814B98" w:rsidRPr="00814B98" w:rsidRDefault="00814B98" w:rsidP="00814B98">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814B98" w:rsidP="00814B98">
    <w:pPr>
      <w:pBdr>
        <w:bottom w:val="thinThickMediumGap" w:sz="12" w:space="1" w:color="auto"/>
      </w:pBdr>
      <w:tabs>
        <w:tab w:val="left" w:pos="851"/>
        <w:tab w:val="right" w:pos="8364"/>
      </w:tabs>
      <w:bidi w:val="0"/>
      <w:adjustRightInd w:val="0"/>
      <w:snapToGrid w:val="0"/>
      <w:jc w:val="center"/>
      <w:rPr>
        <w:iCs/>
        <w:sz w:val="20"/>
        <w:szCs w:val="20"/>
      </w:rPr>
    </w:pPr>
    <w:r w:rsidRPr="00814B98">
      <w:rPr>
        <w:sz w:val="20"/>
        <w:szCs w:val="20"/>
      </w:rPr>
      <w:t>New York Science Journal 201</w:t>
    </w:r>
    <w:r w:rsidRPr="00814B98">
      <w:rPr>
        <w:rFonts w:hint="eastAsia"/>
        <w:sz w:val="20"/>
        <w:szCs w:val="20"/>
      </w:rPr>
      <w:t>7</w:t>
    </w:r>
    <w:r w:rsidRPr="00814B98">
      <w:rPr>
        <w:sz w:val="20"/>
        <w:szCs w:val="20"/>
      </w:rPr>
      <w:t>;</w:t>
    </w:r>
    <w:r w:rsidRPr="00814B98">
      <w:rPr>
        <w:rFonts w:hint="eastAsia"/>
        <w:sz w:val="20"/>
        <w:szCs w:val="20"/>
      </w:rPr>
      <w:t>10</w:t>
    </w:r>
    <w:r w:rsidRPr="00814B98">
      <w:rPr>
        <w:sz w:val="20"/>
        <w:szCs w:val="20"/>
      </w:rPr>
      <w:t>(</w:t>
    </w:r>
    <w:r w:rsidRPr="00814B98">
      <w:rPr>
        <w:rFonts w:hint="eastAsia"/>
        <w:sz w:val="20"/>
        <w:szCs w:val="20"/>
      </w:rPr>
      <w:t>2</w:t>
    </w:r>
    <w:r w:rsidRPr="00814B98">
      <w:rPr>
        <w:sz w:val="20"/>
        <w:szCs w:val="20"/>
      </w:rPr>
      <w:t>)</w:t>
    </w:r>
    <w:r w:rsidRPr="00814B98">
      <w:rPr>
        <w:iCs/>
        <w:sz w:val="20"/>
        <w:szCs w:val="20"/>
      </w:rPr>
      <w:t xml:space="preserve">     </w:t>
    </w:r>
    <w:r w:rsidRPr="00814B98">
      <w:rPr>
        <w:rFonts w:hint="eastAsia"/>
        <w:iCs/>
        <w:sz w:val="20"/>
        <w:szCs w:val="20"/>
      </w:rPr>
      <w:tab/>
    </w:r>
    <w:r w:rsidRPr="00814B98">
      <w:rPr>
        <w:iCs/>
        <w:sz w:val="20"/>
        <w:szCs w:val="20"/>
      </w:rPr>
      <w:t xml:space="preserve"> </w:t>
    </w:r>
    <w:r w:rsidRPr="00814B98">
      <w:rPr>
        <w:rFonts w:hint="eastAsia"/>
        <w:iCs/>
        <w:sz w:val="20"/>
        <w:szCs w:val="20"/>
      </w:rPr>
      <w:t xml:space="preserve"> </w:t>
    </w:r>
    <w:r w:rsidRPr="00814B98">
      <w:rPr>
        <w:iCs/>
        <w:sz w:val="20"/>
        <w:szCs w:val="20"/>
      </w:rPr>
      <w:t xml:space="preserve">   </w:t>
    </w:r>
    <w:hyperlink r:id="rId1" w:history="1">
      <w:r w:rsidRPr="00814B98">
        <w:rPr>
          <w:rStyle w:val="Hyperlink"/>
          <w:rFonts w:eastAsia="Calibri"/>
          <w:sz w:val="20"/>
          <w:szCs w:val="20"/>
        </w:rPr>
        <w:t>http://www.sciencepub.net/newyork</w:t>
      </w:r>
    </w:hyperlink>
  </w:p>
  <w:p w:rsidR="00814B98" w:rsidRPr="00814B98" w:rsidRDefault="00814B98" w:rsidP="00814B98">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814B98" w:rsidP="00814B98">
    <w:pPr>
      <w:pBdr>
        <w:bottom w:val="thinThickMediumGap" w:sz="12" w:space="1" w:color="auto"/>
      </w:pBdr>
      <w:tabs>
        <w:tab w:val="left" w:pos="851"/>
        <w:tab w:val="right" w:pos="8364"/>
      </w:tabs>
      <w:bidi w:val="0"/>
      <w:adjustRightInd w:val="0"/>
      <w:snapToGrid w:val="0"/>
      <w:jc w:val="center"/>
      <w:rPr>
        <w:iCs/>
        <w:sz w:val="20"/>
        <w:szCs w:val="20"/>
      </w:rPr>
    </w:pPr>
    <w:r w:rsidRPr="00814B98">
      <w:rPr>
        <w:sz w:val="20"/>
        <w:szCs w:val="20"/>
      </w:rPr>
      <w:t>New York Science Journal 201</w:t>
    </w:r>
    <w:r w:rsidRPr="00814B98">
      <w:rPr>
        <w:rFonts w:hint="eastAsia"/>
        <w:sz w:val="20"/>
        <w:szCs w:val="20"/>
      </w:rPr>
      <w:t>7</w:t>
    </w:r>
    <w:r w:rsidRPr="00814B98">
      <w:rPr>
        <w:sz w:val="20"/>
        <w:szCs w:val="20"/>
      </w:rPr>
      <w:t>;</w:t>
    </w:r>
    <w:r w:rsidRPr="00814B98">
      <w:rPr>
        <w:rFonts w:hint="eastAsia"/>
        <w:sz w:val="20"/>
        <w:szCs w:val="20"/>
      </w:rPr>
      <w:t>10</w:t>
    </w:r>
    <w:r w:rsidRPr="00814B98">
      <w:rPr>
        <w:sz w:val="20"/>
        <w:szCs w:val="20"/>
      </w:rPr>
      <w:t>(</w:t>
    </w:r>
    <w:r w:rsidRPr="00814B98">
      <w:rPr>
        <w:rFonts w:hint="eastAsia"/>
        <w:sz w:val="20"/>
        <w:szCs w:val="20"/>
      </w:rPr>
      <w:t>2</w:t>
    </w:r>
    <w:r w:rsidRPr="00814B98">
      <w:rPr>
        <w:sz w:val="20"/>
        <w:szCs w:val="20"/>
      </w:rPr>
      <w:t>)</w:t>
    </w:r>
    <w:r w:rsidRPr="00814B98">
      <w:rPr>
        <w:iCs/>
        <w:sz w:val="20"/>
        <w:szCs w:val="20"/>
      </w:rPr>
      <w:t xml:space="preserve">     </w:t>
    </w:r>
    <w:r w:rsidRPr="00814B98">
      <w:rPr>
        <w:rFonts w:hint="eastAsia"/>
        <w:iCs/>
        <w:sz w:val="20"/>
        <w:szCs w:val="20"/>
      </w:rPr>
      <w:tab/>
    </w:r>
    <w:r w:rsidRPr="00814B98">
      <w:rPr>
        <w:iCs/>
        <w:sz w:val="20"/>
        <w:szCs w:val="20"/>
      </w:rPr>
      <w:t xml:space="preserve"> </w:t>
    </w:r>
    <w:r w:rsidRPr="00814B98">
      <w:rPr>
        <w:rFonts w:hint="eastAsia"/>
        <w:iCs/>
        <w:sz w:val="20"/>
        <w:szCs w:val="20"/>
      </w:rPr>
      <w:t xml:space="preserve"> </w:t>
    </w:r>
    <w:r w:rsidRPr="00814B98">
      <w:rPr>
        <w:iCs/>
        <w:sz w:val="20"/>
        <w:szCs w:val="20"/>
      </w:rPr>
      <w:t xml:space="preserve">   </w:t>
    </w:r>
    <w:hyperlink r:id="rId1" w:history="1">
      <w:r w:rsidRPr="00814B98">
        <w:rPr>
          <w:rStyle w:val="Hyperlink"/>
          <w:rFonts w:eastAsia="Calibri"/>
          <w:sz w:val="20"/>
          <w:szCs w:val="20"/>
        </w:rPr>
        <w:t>http://www.sciencepub.net/newyork</w:t>
      </w:r>
    </w:hyperlink>
  </w:p>
  <w:p w:rsidR="00814B98" w:rsidRPr="00814B98" w:rsidRDefault="00814B98" w:rsidP="00814B98">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814B98" w:rsidP="00814B98">
    <w:pPr>
      <w:pBdr>
        <w:bottom w:val="thinThickMediumGap" w:sz="12" w:space="1" w:color="auto"/>
      </w:pBdr>
      <w:tabs>
        <w:tab w:val="left" w:pos="851"/>
        <w:tab w:val="right" w:pos="8364"/>
      </w:tabs>
      <w:bidi w:val="0"/>
      <w:adjustRightInd w:val="0"/>
      <w:snapToGrid w:val="0"/>
      <w:jc w:val="center"/>
      <w:rPr>
        <w:iCs/>
        <w:sz w:val="20"/>
        <w:szCs w:val="20"/>
      </w:rPr>
    </w:pPr>
    <w:r w:rsidRPr="00814B98">
      <w:rPr>
        <w:sz w:val="20"/>
        <w:szCs w:val="20"/>
      </w:rPr>
      <w:t>New York Science Journal 201</w:t>
    </w:r>
    <w:r w:rsidRPr="00814B98">
      <w:rPr>
        <w:rFonts w:hint="eastAsia"/>
        <w:sz w:val="20"/>
        <w:szCs w:val="20"/>
      </w:rPr>
      <w:t>7</w:t>
    </w:r>
    <w:r w:rsidRPr="00814B98">
      <w:rPr>
        <w:sz w:val="20"/>
        <w:szCs w:val="20"/>
      </w:rPr>
      <w:t>;</w:t>
    </w:r>
    <w:r w:rsidRPr="00814B98">
      <w:rPr>
        <w:rFonts w:hint="eastAsia"/>
        <w:sz w:val="20"/>
        <w:szCs w:val="20"/>
      </w:rPr>
      <w:t>10</w:t>
    </w:r>
    <w:r w:rsidRPr="00814B98">
      <w:rPr>
        <w:sz w:val="20"/>
        <w:szCs w:val="20"/>
      </w:rPr>
      <w:t>(</w:t>
    </w:r>
    <w:r w:rsidRPr="00814B98">
      <w:rPr>
        <w:rFonts w:hint="eastAsia"/>
        <w:sz w:val="20"/>
        <w:szCs w:val="20"/>
      </w:rPr>
      <w:t>2</w:t>
    </w:r>
    <w:r w:rsidRPr="00814B98">
      <w:rPr>
        <w:sz w:val="20"/>
        <w:szCs w:val="20"/>
      </w:rPr>
      <w:t>)</w:t>
    </w:r>
    <w:r w:rsidRPr="00814B98">
      <w:rPr>
        <w:iCs/>
        <w:sz w:val="20"/>
        <w:szCs w:val="20"/>
      </w:rPr>
      <w:t xml:space="preserve">     </w:t>
    </w:r>
    <w:r w:rsidRPr="00814B98">
      <w:rPr>
        <w:rFonts w:hint="eastAsia"/>
        <w:iCs/>
        <w:sz w:val="20"/>
        <w:szCs w:val="20"/>
      </w:rPr>
      <w:tab/>
    </w:r>
    <w:r w:rsidRPr="00814B98">
      <w:rPr>
        <w:iCs/>
        <w:sz w:val="20"/>
        <w:szCs w:val="20"/>
      </w:rPr>
      <w:t xml:space="preserve"> </w:t>
    </w:r>
    <w:r w:rsidRPr="00814B98">
      <w:rPr>
        <w:rFonts w:hint="eastAsia"/>
        <w:iCs/>
        <w:sz w:val="20"/>
        <w:szCs w:val="20"/>
      </w:rPr>
      <w:t xml:space="preserve"> </w:t>
    </w:r>
    <w:r w:rsidRPr="00814B98">
      <w:rPr>
        <w:iCs/>
        <w:sz w:val="20"/>
        <w:szCs w:val="20"/>
      </w:rPr>
      <w:t xml:space="preserve">   </w:t>
    </w:r>
    <w:hyperlink r:id="rId1" w:history="1">
      <w:r w:rsidRPr="00814B98">
        <w:rPr>
          <w:rStyle w:val="Hyperlink"/>
          <w:rFonts w:eastAsia="Calibri"/>
          <w:sz w:val="20"/>
          <w:szCs w:val="20"/>
        </w:rPr>
        <w:t>http://www.sciencepub.net/newyork</w:t>
      </w:r>
    </w:hyperlink>
  </w:p>
  <w:p w:rsidR="00814B98" w:rsidRPr="00814B98" w:rsidRDefault="00814B98" w:rsidP="00814B98">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98" w:rsidRPr="00814B98" w:rsidRDefault="00814B98" w:rsidP="00814B98">
    <w:pPr>
      <w:pBdr>
        <w:bottom w:val="thinThickMediumGap" w:sz="12" w:space="1" w:color="auto"/>
      </w:pBdr>
      <w:tabs>
        <w:tab w:val="left" w:pos="851"/>
        <w:tab w:val="right" w:pos="8364"/>
      </w:tabs>
      <w:bidi w:val="0"/>
      <w:adjustRightInd w:val="0"/>
      <w:snapToGrid w:val="0"/>
      <w:jc w:val="center"/>
      <w:rPr>
        <w:iCs/>
        <w:sz w:val="20"/>
        <w:szCs w:val="20"/>
      </w:rPr>
    </w:pPr>
    <w:r w:rsidRPr="00814B98">
      <w:rPr>
        <w:sz w:val="20"/>
        <w:szCs w:val="20"/>
      </w:rPr>
      <w:t>New York Science Journal 201</w:t>
    </w:r>
    <w:r w:rsidRPr="00814B98">
      <w:rPr>
        <w:rFonts w:hint="eastAsia"/>
        <w:sz w:val="20"/>
        <w:szCs w:val="20"/>
      </w:rPr>
      <w:t>7</w:t>
    </w:r>
    <w:r w:rsidRPr="00814B98">
      <w:rPr>
        <w:sz w:val="20"/>
        <w:szCs w:val="20"/>
      </w:rPr>
      <w:t>;</w:t>
    </w:r>
    <w:r w:rsidRPr="00814B98">
      <w:rPr>
        <w:rFonts w:hint="eastAsia"/>
        <w:sz w:val="20"/>
        <w:szCs w:val="20"/>
      </w:rPr>
      <w:t>10</w:t>
    </w:r>
    <w:r w:rsidRPr="00814B98">
      <w:rPr>
        <w:sz w:val="20"/>
        <w:szCs w:val="20"/>
      </w:rPr>
      <w:t>(</w:t>
    </w:r>
    <w:r w:rsidRPr="00814B98">
      <w:rPr>
        <w:rFonts w:hint="eastAsia"/>
        <w:sz w:val="20"/>
        <w:szCs w:val="20"/>
      </w:rPr>
      <w:t>2</w:t>
    </w:r>
    <w:r w:rsidRPr="00814B98">
      <w:rPr>
        <w:sz w:val="20"/>
        <w:szCs w:val="20"/>
      </w:rPr>
      <w:t>)</w:t>
    </w:r>
    <w:r w:rsidRPr="00814B98">
      <w:rPr>
        <w:iCs/>
        <w:sz w:val="20"/>
        <w:szCs w:val="20"/>
      </w:rPr>
      <w:t xml:space="preserve">     </w:t>
    </w:r>
    <w:r w:rsidRPr="00814B98">
      <w:rPr>
        <w:rFonts w:hint="eastAsia"/>
        <w:iCs/>
        <w:sz w:val="20"/>
        <w:szCs w:val="20"/>
      </w:rPr>
      <w:tab/>
    </w:r>
    <w:r w:rsidRPr="00814B98">
      <w:rPr>
        <w:iCs/>
        <w:sz w:val="20"/>
        <w:szCs w:val="20"/>
      </w:rPr>
      <w:t xml:space="preserve"> </w:t>
    </w:r>
    <w:r w:rsidRPr="00814B98">
      <w:rPr>
        <w:rFonts w:hint="eastAsia"/>
        <w:iCs/>
        <w:sz w:val="20"/>
        <w:szCs w:val="20"/>
      </w:rPr>
      <w:t xml:space="preserve"> </w:t>
    </w:r>
    <w:r w:rsidRPr="00814B98">
      <w:rPr>
        <w:iCs/>
        <w:sz w:val="20"/>
        <w:szCs w:val="20"/>
      </w:rPr>
      <w:t xml:space="preserve">   </w:t>
    </w:r>
    <w:hyperlink r:id="rId1" w:history="1">
      <w:r w:rsidRPr="00814B98">
        <w:rPr>
          <w:rStyle w:val="Hyperlink"/>
          <w:rFonts w:eastAsia="Calibri"/>
          <w:sz w:val="20"/>
          <w:szCs w:val="20"/>
        </w:rPr>
        <w:t>http://www.sciencepub.net/newyork</w:t>
      </w:r>
    </w:hyperlink>
  </w:p>
  <w:p w:rsidR="00814B98" w:rsidRPr="00814B98" w:rsidRDefault="00814B98" w:rsidP="00814B98">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19D"/>
    <w:multiLevelType w:val="hybridMultilevel"/>
    <w:tmpl w:val="77CC46B4"/>
    <w:lvl w:ilvl="0" w:tplc="2A94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56268"/>
    <w:multiLevelType w:val="hybridMultilevel"/>
    <w:tmpl w:val="3B104FFC"/>
    <w:lvl w:ilvl="0" w:tplc="7C5EC292">
      <w:start w:val="1"/>
      <w:numFmt w:val="decimal"/>
      <w:lvlText w:val="%1-"/>
      <w:lvlJc w:val="left"/>
      <w:pPr>
        <w:ind w:left="1170" w:hanging="360"/>
      </w:pPr>
      <w:rPr>
        <w:rFonts w:ascii="Times New Roman" w:eastAsia="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EA0958"/>
    <w:multiLevelType w:val="hybridMultilevel"/>
    <w:tmpl w:val="20BAFD1A"/>
    <w:lvl w:ilvl="0" w:tplc="9D00885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3C63DFA"/>
    <w:multiLevelType w:val="hybridMultilevel"/>
    <w:tmpl w:val="BC8265BA"/>
    <w:lvl w:ilvl="0" w:tplc="1FC66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F1E6B"/>
    <w:multiLevelType w:val="hybridMultilevel"/>
    <w:tmpl w:val="6D64F9DE"/>
    <w:lvl w:ilvl="0" w:tplc="69649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B0D463E"/>
    <w:multiLevelType w:val="hybridMultilevel"/>
    <w:tmpl w:val="84B46E64"/>
    <w:lvl w:ilvl="0" w:tplc="8BE205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98429A1"/>
    <w:multiLevelType w:val="hybridMultilevel"/>
    <w:tmpl w:val="D9E22E2A"/>
    <w:lvl w:ilvl="0" w:tplc="19CCF8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A0F0B"/>
    <w:multiLevelType w:val="hybridMultilevel"/>
    <w:tmpl w:val="5148AF38"/>
    <w:lvl w:ilvl="0" w:tplc="FAD2E26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0C10F2"/>
    <w:multiLevelType w:val="hybridMultilevel"/>
    <w:tmpl w:val="FD069964"/>
    <w:lvl w:ilvl="0" w:tplc="4CB62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414402"/>
    <w:multiLevelType w:val="hybridMultilevel"/>
    <w:tmpl w:val="353A7712"/>
    <w:lvl w:ilvl="0" w:tplc="445E3A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E5030"/>
    <w:multiLevelType w:val="hybridMultilevel"/>
    <w:tmpl w:val="80862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A81DD0"/>
    <w:multiLevelType w:val="hybridMultilevel"/>
    <w:tmpl w:val="63E84AAE"/>
    <w:lvl w:ilvl="0" w:tplc="9C96B3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5F632B"/>
    <w:multiLevelType w:val="hybridMultilevel"/>
    <w:tmpl w:val="353A7712"/>
    <w:lvl w:ilvl="0" w:tplc="445E3A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C12EC"/>
    <w:multiLevelType w:val="hybridMultilevel"/>
    <w:tmpl w:val="510245EC"/>
    <w:lvl w:ilvl="0" w:tplc="CE1C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511CB2"/>
    <w:multiLevelType w:val="hybridMultilevel"/>
    <w:tmpl w:val="8CA2C336"/>
    <w:lvl w:ilvl="0" w:tplc="654A4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B26E35"/>
    <w:multiLevelType w:val="hybridMultilevel"/>
    <w:tmpl w:val="FFF296DA"/>
    <w:lvl w:ilvl="0" w:tplc="2A94B2E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815D0B"/>
    <w:multiLevelType w:val="hybridMultilevel"/>
    <w:tmpl w:val="D474F4E8"/>
    <w:lvl w:ilvl="0" w:tplc="4D008160">
      <w:start w:val="1"/>
      <w:numFmt w:val="decimal"/>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D62397"/>
    <w:multiLevelType w:val="hybridMultilevel"/>
    <w:tmpl w:val="FE7C9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D837A9"/>
    <w:multiLevelType w:val="hybridMultilevel"/>
    <w:tmpl w:val="9C46C316"/>
    <w:lvl w:ilvl="0" w:tplc="9926D72C">
      <w:start w:val="1"/>
      <w:numFmt w:val="decimal"/>
      <w:lvlText w:val="%1-"/>
      <w:lvlJc w:val="left"/>
      <w:pPr>
        <w:ind w:left="121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1">
    <w:nsid w:val="7C801643"/>
    <w:multiLevelType w:val="hybridMultilevel"/>
    <w:tmpl w:val="63424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AB1098"/>
    <w:multiLevelType w:val="hybridMultilevel"/>
    <w:tmpl w:val="44085A68"/>
    <w:lvl w:ilvl="0" w:tplc="CD909D40">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12"/>
  </w:num>
  <w:num w:numId="5">
    <w:abstractNumId w:val="17"/>
  </w:num>
  <w:num w:numId="6">
    <w:abstractNumId w:val="11"/>
  </w:num>
  <w:num w:numId="7">
    <w:abstractNumId w:val="15"/>
  </w:num>
  <w:num w:numId="8">
    <w:abstractNumId w:val="14"/>
  </w:num>
  <w:num w:numId="9">
    <w:abstractNumId w:val="7"/>
  </w:num>
  <w:num w:numId="10">
    <w:abstractNumId w:val="20"/>
  </w:num>
  <w:num w:numId="11">
    <w:abstractNumId w:val="13"/>
  </w:num>
  <w:num w:numId="12">
    <w:abstractNumId w:val="0"/>
  </w:num>
  <w:num w:numId="13">
    <w:abstractNumId w:val="16"/>
  </w:num>
  <w:num w:numId="14">
    <w:abstractNumId w:val="22"/>
  </w:num>
  <w:num w:numId="15">
    <w:abstractNumId w:val="10"/>
  </w:num>
  <w:num w:numId="16">
    <w:abstractNumId w:val="9"/>
  </w:num>
  <w:num w:numId="17">
    <w:abstractNumId w:val="5"/>
  </w:num>
  <w:num w:numId="18">
    <w:abstractNumId w:val="19"/>
  </w:num>
  <w:num w:numId="19">
    <w:abstractNumId w:val="2"/>
  </w:num>
  <w:num w:numId="20">
    <w:abstractNumId w:val="4"/>
  </w:num>
  <w:num w:numId="21">
    <w:abstractNumId w:val="18"/>
  </w:num>
  <w:num w:numId="22">
    <w:abstractNumId w:val="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07FB"/>
    <w:rsid w:val="00006D79"/>
    <w:rsid w:val="00014A37"/>
    <w:rsid w:val="000C0E2E"/>
    <w:rsid w:val="001117D7"/>
    <w:rsid w:val="002A5205"/>
    <w:rsid w:val="002A6F0F"/>
    <w:rsid w:val="003150F1"/>
    <w:rsid w:val="00384634"/>
    <w:rsid w:val="003D17F9"/>
    <w:rsid w:val="00441B26"/>
    <w:rsid w:val="004F121D"/>
    <w:rsid w:val="0051775B"/>
    <w:rsid w:val="005E2DA0"/>
    <w:rsid w:val="005E720E"/>
    <w:rsid w:val="006451BC"/>
    <w:rsid w:val="00656181"/>
    <w:rsid w:val="0066596A"/>
    <w:rsid w:val="006B17F4"/>
    <w:rsid w:val="006B7370"/>
    <w:rsid w:val="006D674B"/>
    <w:rsid w:val="00814B98"/>
    <w:rsid w:val="00823C24"/>
    <w:rsid w:val="00846C9F"/>
    <w:rsid w:val="00961295"/>
    <w:rsid w:val="009C59CF"/>
    <w:rsid w:val="009C7943"/>
    <w:rsid w:val="009C7F42"/>
    <w:rsid w:val="00A331FA"/>
    <w:rsid w:val="00A67A60"/>
    <w:rsid w:val="00A73ED3"/>
    <w:rsid w:val="00B4660E"/>
    <w:rsid w:val="00BE4B93"/>
    <w:rsid w:val="00C0635B"/>
    <w:rsid w:val="00C172B0"/>
    <w:rsid w:val="00C637FB"/>
    <w:rsid w:val="00DE0859"/>
    <w:rsid w:val="00E85570"/>
    <w:rsid w:val="00EC07FB"/>
    <w:rsid w:val="00F07F14"/>
    <w:rsid w:val="00F1504B"/>
    <w:rsid w:val="00F52532"/>
    <w:rsid w:val="00F74CD9"/>
    <w:rsid w:val="00FC648F"/>
    <w:rsid w:val="00FD7B8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FB"/>
    <w:pPr>
      <w:bidi/>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48F"/>
    <w:pPr>
      <w:bidi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C648F"/>
    <w:rPr>
      <w:rFonts w:ascii="Tahoma" w:eastAsia="Calibri" w:hAnsi="Tahoma" w:cs="Tahoma"/>
      <w:sz w:val="16"/>
      <w:szCs w:val="16"/>
    </w:rPr>
  </w:style>
  <w:style w:type="character" w:styleId="Hyperlink">
    <w:name w:val="Hyperlink"/>
    <w:uiPriority w:val="99"/>
    <w:unhideWhenUsed/>
    <w:rsid w:val="00FC648F"/>
    <w:rPr>
      <w:color w:val="0000FF"/>
      <w:u w:val="single"/>
    </w:rPr>
  </w:style>
  <w:style w:type="character" w:styleId="Emphasis">
    <w:name w:val="Emphasis"/>
    <w:uiPriority w:val="20"/>
    <w:qFormat/>
    <w:rsid w:val="00FC648F"/>
    <w:rPr>
      <w:i/>
      <w:iCs/>
    </w:rPr>
  </w:style>
  <w:style w:type="paragraph" w:styleId="ListParagraph">
    <w:name w:val="List Paragraph"/>
    <w:basedOn w:val="Normal"/>
    <w:uiPriority w:val="34"/>
    <w:qFormat/>
    <w:rsid w:val="00FC648F"/>
    <w:pPr>
      <w:bidi w:val="0"/>
      <w:spacing w:after="200" w:line="276" w:lineRule="auto"/>
      <w:ind w:left="720"/>
      <w:contextualSpacing/>
    </w:pPr>
    <w:rPr>
      <w:rFonts w:ascii="Calibri" w:eastAsia="Calibri" w:hAnsi="Calibri" w:cs="Arial"/>
      <w:sz w:val="22"/>
      <w:szCs w:val="22"/>
    </w:rPr>
  </w:style>
  <w:style w:type="paragraph" w:customStyle="1" w:styleId="Left">
    <w:name w:val="Left"/>
    <w:rsid w:val="00FC648F"/>
    <w:pPr>
      <w:widowControl w:val="0"/>
      <w:autoSpaceDE w:val="0"/>
      <w:autoSpaceDN w:val="0"/>
      <w:adjustRightInd w:val="0"/>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FC648F"/>
    <w:pPr>
      <w:tabs>
        <w:tab w:val="center" w:pos="4320"/>
        <w:tab w:val="right" w:pos="8640"/>
      </w:tabs>
      <w:bidi w:val="0"/>
    </w:pPr>
    <w:rPr>
      <w:rFonts w:ascii="Calibri" w:eastAsia="Calibri" w:hAnsi="Calibri" w:cs="Arial"/>
      <w:sz w:val="22"/>
      <w:szCs w:val="22"/>
    </w:rPr>
  </w:style>
  <w:style w:type="character" w:customStyle="1" w:styleId="HeaderChar">
    <w:name w:val="Header Char"/>
    <w:basedOn w:val="DefaultParagraphFont"/>
    <w:link w:val="Header"/>
    <w:uiPriority w:val="99"/>
    <w:rsid w:val="00FC648F"/>
    <w:rPr>
      <w:rFonts w:ascii="Calibri" w:eastAsia="Calibri" w:hAnsi="Calibri" w:cs="Arial"/>
    </w:rPr>
  </w:style>
  <w:style w:type="paragraph" w:styleId="Footer">
    <w:name w:val="footer"/>
    <w:basedOn w:val="Normal"/>
    <w:link w:val="FooterChar"/>
    <w:uiPriority w:val="99"/>
    <w:unhideWhenUsed/>
    <w:rsid w:val="00FC648F"/>
    <w:pPr>
      <w:tabs>
        <w:tab w:val="center" w:pos="4320"/>
        <w:tab w:val="right" w:pos="8640"/>
      </w:tabs>
      <w:bidi w:val="0"/>
    </w:pPr>
    <w:rPr>
      <w:rFonts w:ascii="Calibri" w:eastAsia="Calibri" w:hAnsi="Calibri" w:cs="Arial"/>
      <w:sz w:val="22"/>
      <w:szCs w:val="22"/>
    </w:rPr>
  </w:style>
  <w:style w:type="character" w:customStyle="1" w:styleId="FooterChar">
    <w:name w:val="Footer Char"/>
    <w:basedOn w:val="DefaultParagraphFont"/>
    <w:link w:val="Footer"/>
    <w:uiPriority w:val="99"/>
    <w:rsid w:val="00FC648F"/>
    <w:rPr>
      <w:rFonts w:ascii="Calibri" w:eastAsia="Calibri" w:hAnsi="Calibri" w:cs="Arial"/>
    </w:rPr>
  </w:style>
  <w:style w:type="table" w:styleId="TableGrid">
    <w:name w:val="Table Grid"/>
    <w:basedOn w:val="TableNormal"/>
    <w:uiPriority w:val="59"/>
    <w:rsid w:val="00FC648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
    <w:name w:val="Table Grid Light"/>
    <w:basedOn w:val="TableNormal"/>
    <w:uiPriority w:val="40"/>
    <w:rsid w:val="00FC648F"/>
    <w:rPr>
      <w:rFonts w:eastAsia="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TableNormal"/>
    <w:uiPriority w:val="41"/>
    <w:rsid w:val="00FC648F"/>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TableNormal"/>
    <w:uiPriority w:val="42"/>
    <w:rsid w:val="00FC648F"/>
    <w:rPr>
      <w:rFonts w:eastAsia="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uthlist">
    <w:name w:val="auth_list"/>
    <w:basedOn w:val="Normal"/>
    <w:rsid w:val="00FC648F"/>
    <w:pPr>
      <w:bidi w:val="0"/>
      <w:spacing w:before="100" w:beforeAutospacing="1" w:after="100" w:afterAutospacing="1"/>
    </w:pPr>
  </w:style>
  <w:style w:type="paragraph" w:customStyle="1" w:styleId="citation">
    <w:name w:val="citation"/>
    <w:basedOn w:val="Normal"/>
    <w:rsid w:val="00FC648F"/>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zzstar84@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0217.1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D74E9C-B4F7-48F1-8A36-6D64795C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34494</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5177453</vt:i4>
      </vt:variant>
      <vt:variant>
        <vt:i4>0</vt:i4>
      </vt:variant>
      <vt:variant>
        <vt:i4>0</vt:i4>
      </vt:variant>
      <vt:variant>
        <vt:i4>5</vt:i4>
      </vt:variant>
      <vt:variant>
        <vt:lpwstr>mailto:drezzstar84@gmail.com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cp:lastPrinted>2017-02-03T14:30:00Z</cp:lastPrinted>
  <dcterms:created xsi:type="dcterms:W3CDTF">2017-02-06T04:56:00Z</dcterms:created>
  <dcterms:modified xsi:type="dcterms:W3CDTF">2017-02-08T02:34:00Z</dcterms:modified>
</cp:coreProperties>
</file>