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2B" w:rsidRPr="00821BC8" w:rsidRDefault="00640E1B" w:rsidP="00454C41">
      <w:pPr>
        <w:snapToGrid w:val="0"/>
        <w:spacing w:after="0" w:line="240" w:lineRule="auto"/>
        <w:jc w:val="center"/>
        <w:rPr>
          <w:rFonts w:ascii="Times New Roman" w:hAnsi="Times New Roman" w:cs="Times New Roman"/>
          <w:b/>
          <w:bCs/>
          <w:sz w:val="20"/>
          <w:szCs w:val="20"/>
        </w:rPr>
      </w:pPr>
      <w:r w:rsidRPr="00821BC8">
        <w:rPr>
          <w:rFonts w:ascii="Times New Roman" w:hAnsi="Times New Roman" w:cs="Times New Roman"/>
          <w:b/>
          <w:bCs/>
          <w:sz w:val="20"/>
          <w:szCs w:val="20"/>
        </w:rPr>
        <w:t>Relationship between plasma matrix metalloproteinase-9 and acute cerebrovascular stroke</w:t>
      </w:r>
    </w:p>
    <w:p w:rsidR="00C0497D" w:rsidRPr="00821BC8" w:rsidRDefault="00C0497D" w:rsidP="00454C41">
      <w:pPr>
        <w:snapToGrid w:val="0"/>
        <w:spacing w:after="0" w:line="240" w:lineRule="auto"/>
        <w:jc w:val="center"/>
        <w:rPr>
          <w:rFonts w:ascii="Times New Roman" w:hAnsi="Times New Roman" w:cs="Times New Roman"/>
          <w:b/>
          <w:bCs/>
          <w:sz w:val="20"/>
          <w:szCs w:val="20"/>
        </w:rPr>
      </w:pPr>
    </w:p>
    <w:p w:rsidR="00640E1B" w:rsidRPr="00821BC8" w:rsidRDefault="00640E1B" w:rsidP="0029118E">
      <w:pPr>
        <w:snapToGrid w:val="0"/>
        <w:spacing w:after="0" w:line="240" w:lineRule="auto"/>
        <w:jc w:val="center"/>
        <w:rPr>
          <w:rFonts w:ascii="Times New Roman" w:hAnsi="Times New Roman" w:cs="Times New Roman"/>
          <w:sz w:val="20"/>
          <w:szCs w:val="20"/>
          <w:vertAlign w:val="superscript"/>
        </w:rPr>
      </w:pPr>
      <w:r w:rsidRPr="00821BC8">
        <w:rPr>
          <w:rFonts w:ascii="Times New Roman" w:hAnsi="Times New Roman" w:cs="Times New Roman"/>
          <w:sz w:val="20"/>
          <w:szCs w:val="20"/>
        </w:rPr>
        <w:t>Kamel Hewedi</w:t>
      </w:r>
      <w:r w:rsidR="001F19F7" w:rsidRPr="00821BC8">
        <w:rPr>
          <w:rFonts w:ascii="Times New Roman" w:hAnsi="Times New Roman" w:cs="Times New Roman"/>
          <w:sz w:val="20"/>
          <w:szCs w:val="20"/>
          <w:vertAlign w:val="superscript"/>
        </w:rPr>
        <w:t>1</w:t>
      </w:r>
      <w:r w:rsidRPr="00821BC8">
        <w:rPr>
          <w:rFonts w:ascii="Times New Roman" w:hAnsi="Times New Roman" w:cs="Times New Roman"/>
          <w:sz w:val="20"/>
          <w:szCs w:val="20"/>
        </w:rPr>
        <w:t>, Hassan Kawashti</w:t>
      </w:r>
      <w:r w:rsidR="0029118E">
        <w:rPr>
          <w:rFonts w:ascii="Times New Roman" w:hAnsi="Times New Roman" w:cs="Times New Roman"/>
          <w:sz w:val="20"/>
          <w:szCs w:val="20"/>
          <w:vertAlign w:val="superscript"/>
        </w:rPr>
        <w:t>1</w:t>
      </w:r>
      <w:r w:rsidRPr="00821BC8">
        <w:rPr>
          <w:rFonts w:ascii="Times New Roman" w:hAnsi="Times New Roman" w:cs="Times New Roman"/>
          <w:sz w:val="20"/>
          <w:szCs w:val="20"/>
        </w:rPr>
        <w:t>, Ahmed Fathy</w:t>
      </w:r>
      <w:r w:rsidR="001F19F7" w:rsidRPr="00821BC8">
        <w:rPr>
          <w:rFonts w:ascii="Times New Roman" w:hAnsi="Times New Roman" w:cs="Times New Roman"/>
          <w:sz w:val="20"/>
          <w:szCs w:val="20"/>
          <w:vertAlign w:val="superscript"/>
        </w:rPr>
        <w:t>2</w:t>
      </w:r>
      <w:r w:rsidRPr="00821BC8">
        <w:rPr>
          <w:rFonts w:ascii="Times New Roman" w:hAnsi="Times New Roman" w:cs="Times New Roman"/>
          <w:sz w:val="20"/>
          <w:szCs w:val="20"/>
        </w:rPr>
        <w:t>, Mohamed Zaki</w:t>
      </w:r>
      <w:r w:rsidR="001F19F7" w:rsidRPr="00821BC8">
        <w:rPr>
          <w:rFonts w:ascii="Times New Roman" w:hAnsi="Times New Roman" w:cs="Times New Roman"/>
          <w:sz w:val="20"/>
          <w:szCs w:val="20"/>
          <w:vertAlign w:val="superscript"/>
        </w:rPr>
        <w:t>1</w:t>
      </w:r>
      <w:r w:rsidRPr="00821BC8">
        <w:rPr>
          <w:rFonts w:ascii="Times New Roman" w:hAnsi="Times New Roman" w:cs="Times New Roman"/>
          <w:sz w:val="20"/>
          <w:szCs w:val="20"/>
        </w:rPr>
        <w:t>, Saad Alshemy</w:t>
      </w:r>
      <w:r w:rsidR="001F19F7" w:rsidRPr="00821BC8">
        <w:rPr>
          <w:rFonts w:ascii="Times New Roman" w:hAnsi="Times New Roman" w:cs="Times New Roman"/>
          <w:sz w:val="20"/>
          <w:szCs w:val="20"/>
          <w:vertAlign w:val="superscript"/>
        </w:rPr>
        <w:t>1</w:t>
      </w:r>
    </w:p>
    <w:p w:rsidR="007C6739" w:rsidRPr="00821BC8" w:rsidRDefault="007C6739" w:rsidP="00454C41">
      <w:pPr>
        <w:snapToGrid w:val="0"/>
        <w:spacing w:after="0" w:line="240" w:lineRule="auto"/>
        <w:jc w:val="center"/>
        <w:rPr>
          <w:rFonts w:ascii="Times New Roman" w:hAnsi="Times New Roman" w:cs="Times New Roman"/>
          <w:sz w:val="20"/>
          <w:szCs w:val="20"/>
          <w:vertAlign w:val="superscript"/>
        </w:rPr>
      </w:pPr>
    </w:p>
    <w:p w:rsidR="00C00F01" w:rsidRPr="00821BC8" w:rsidRDefault="00C00F01" w:rsidP="00454C41">
      <w:pPr>
        <w:snapToGrid w:val="0"/>
        <w:spacing w:after="0" w:line="240" w:lineRule="auto"/>
        <w:jc w:val="center"/>
        <w:rPr>
          <w:rFonts w:ascii="Times New Roman" w:hAnsi="Times New Roman" w:cs="Times New Roman"/>
          <w:sz w:val="20"/>
          <w:szCs w:val="20"/>
        </w:rPr>
      </w:pPr>
      <w:r w:rsidRPr="00821BC8">
        <w:rPr>
          <w:rFonts w:ascii="Times New Roman" w:hAnsi="Times New Roman" w:cs="Times New Roman"/>
          <w:sz w:val="20"/>
          <w:szCs w:val="20"/>
          <w:vertAlign w:val="superscript"/>
        </w:rPr>
        <w:t>1</w:t>
      </w:r>
      <w:r w:rsidRPr="00821BC8">
        <w:rPr>
          <w:rFonts w:ascii="Times New Roman" w:hAnsi="Times New Roman" w:cs="Times New Roman"/>
          <w:sz w:val="20"/>
          <w:szCs w:val="20"/>
        </w:rPr>
        <w:t xml:space="preserve">Neurology Department, Faculty of Medicine, Al-Azhar </w:t>
      </w:r>
      <w:r w:rsidR="007C6739" w:rsidRPr="00821BC8">
        <w:rPr>
          <w:rFonts w:ascii="Times New Roman" w:hAnsi="Times New Roman" w:cs="Times New Roman"/>
          <w:sz w:val="20"/>
          <w:szCs w:val="20"/>
        </w:rPr>
        <w:t>University</w:t>
      </w:r>
      <w:r w:rsidRPr="00821BC8">
        <w:rPr>
          <w:rFonts w:ascii="Times New Roman" w:hAnsi="Times New Roman" w:cs="Times New Roman"/>
          <w:sz w:val="20"/>
          <w:szCs w:val="20"/>
        </w:rPr>
        <w:t>, Egypt</w:t>
      </w:r>
    </w:p>
    <w:p w:rsidR="00C00F01" w:rsidRPr="00821BC8" w:rsidRDefault="00C00F01" w:rsidP="00454C41">
      <w:pPr>
        <w:snapToGrid w:val="0"/>
        <w:spacing w:after="0" w:line="240" w:lineRule="auto"/>
        <w:jc w:val="center"/>
        <w:rPr>
          <w:rFonts w:ascii="Times New Roman" w:hAnsi="Times New Roman" w:cs="Times New Roman"/>
          <w:sz w:val="20"/>
          <w:szCs w:val="20"/>
        </w:rPr>
      </w:pPr>
      <w:r w:rsidRPr="00821BC8">
        <w:rPr>
          <w:rFonts w:ascii="Times New Roman" w:hAnsi="Times New Roman" w:cs="Times New Roman"/>
          <w:sz w:val="20"/>
          <w:szCs w:val="20"/>
          <w:vertAlign w:val="superscript"/>
        </w:rPr>
        <w:t>2</w:t>
      </w:r>
      <w:r w:rsidRPr="00821BC8">
        <w:rPr>
          <w:rFonts w:ascii="Times New Roman" w:hAnsi="Times New Roman" w:cs="Times New Roman"/>
          <w:sz w:val="20"/>
          <w:szCs w:val="20"/>
        </w:rPr>
        <w:t xml:space="preserve">Clinical Pathology Department, Faculty of Medicine, Al-Azhar </w:t>
      </w:r>
      <w:r w:rsidR="007C6739" w:rsidRPr="00821BC8">
        <w:rPr>
          <w:rFonts w:ascii="Times New Roman" w:hAnsi="Times New Roman" w:cs="Times New Roman"/>
          <w:sz w:val="20"/>
          <w:szCs w:val="20"/>
        </w:rPr>
        <w:t>University</w:t>
      </w:r>
      <w:r w:rsidRPr="00821BC8">
        <w:rPr>
          <w:rFonts w:ascii="Times New Roman" w:hAnsi="Times New Roman" w:cs="Times New Roman"/>
          <w:sz w:val="20"/>
          <w:szCs w:val="20"/>
        </w:rPr>
        <w:t>, Egypt</w:t>
      </w:r>
    </w:p>
    <w:p w:rsidR="001F19F7" w:rsidRPr="00821BC8" w:rsidRDefault="00F82EC5" w:rsidP="00454C41">
      <w:pPr>
        <w:snapToGrid w:val="0"/>
        <w:spacing w:after="0" w:line="240" w:lineRule="auto"/>
        <w:jc w:val="center"/>
        <w:rPr>
          <w:rFonts w:ascii="Times New Roman" w:hAnsi="Times New Roman" w:cs="Times New Roman"/>
          <w:color w:val="0000FF"/>
          <w:sz w:val="20"/>
          <w:szCs w:val="20"/>
        </w:rPr>
      </w:pPr>
      <w:hyperlink r:id="rId8" w:history="1">
        <w:r w:rsidR="001F19F7" w:rsidRPr="00821BC8">
          <w:rPr>
            <w:rFonts w:ascii="Times New Roman" w:hAnsi="Times New Roman" w:cs="Times New Roman"/>
            <w:color w:val="0000FF"/>
            <w:sz w:val="20"/>
            <w:szCs w:val="20"/>
          </w:rPr>
          <w:t>saadalshemy2015@yahoo.com</w:t>
        </w:r>
      </w:hyperlink>
    </w:p>
    <w:p w:rsidR="001814B3" w:rsidRPr="00821BC8" w:rsidRDefault="001814B3" w:rsidP="00454C41">
      <w:pPr>
        <w:snapToGrid w:val="0"/>
        <w:spacing w:after="0" w:line="240" w:lineRule="auto"/>
        <w:jc w:val="center"/>
        <w:rPr>
          <w:rFonts w:ascii="Times New Roman" w:hAnsi="Times New Roman" w:cs="Times New Roman"/>
          <w:b/>
          <w:bCs/>
          <w:sz w:val="20"/>
          <w:szCs w:val="20"/>
        </w:rPr>
      </w:pPr>
    </w:p>
    <w:p w:rsidR="00C57895" w:rsidRPr="00821BC8" w:rsidRDefault="00C0497D"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t xml:space="preserve">Abstract: </w:t>
      </w:r>
      <w:r w:rsidR="00640E1B" w:rsidRPr="00821BC8">
        <w:rPr>
          <w:rFonts w:ascii="Times New Roman" w:hAnsi="Times New Roman" w:cs="Times New Roman"/>
          <w:b/>
          <w:bCs/>
          <w:sz w:val="20"/>
          <w:szCs w:val="20"/>
        </w:rPr>
        <w:t>Background</w:t>
      </w:r>
      <w:r w:rsidRPr="00821BC8">
        <w:rPr>
          <w:rFonts w:ascii="Times New Roman" w:hAnsi="Times New Roman" w:cs="Times New Roman"/>
          <w:b/>
          <w:bCs/>
          <w:sz w:val="20"/>
          <w:szCs w:val="20"/>
        </w:rPr>
        <w:t xml:space="preserve">: </w:t>
      </w:r>
      <w:r w:rsidR="00640E1B" w:rsidRPr="00821BC8">
        <w:rPr>
          <w:rFonts w:ascii="Times New Roman" w:hAnsi="Times New Roman" w:cs="Times New Roman"/>
          <w:sz w:val="20"/>
          <w:szCs w:val="20"/>
        </w:rPr>
        <w:t>Acute cerebrovascular stroke is a leading cause of death</w:t>
      </w:r>
      <w:r w:rsidR="0080322A" w:rsidRPr="00821BC8">
        <w:rPr>
          <w:rFonts w:ascii="Times New Roman" w:hAnsi="Times New Roman" w:cs="Times New Roman"/>
          <w:sz w:val="20"/>
          <w:szCs w:val="20"/>
        </w:rPr>
        <w:t>. Hence, early prediction of complications is of great importance in management.</w:t>
      </w:r>
      <w:r w:rsidRPr="00821BC8">
        <w:rPr>
          <w:rFonts w:ascii="Times New Roman" w:hAnsi="Times New Roman" w:cs="Times New Roman"/>
          <w:sz w:val="20"/>
          <w:szCs w:val="20"/>
        </w:rPr>
        <w:t xml:space="preserve"> </w:t>
      </w:r>
      <w:r w:rsidR="0080322A" w:rsidRPr="00821BC8">
        <w:rPr>
          <w:rFonts w:ascii="Times New Roman" w:hAnsi="Times New Roman" w:cs="Times New Roman"/>
          <w:b/>
          <w:bCs/>
          <w:sz w:val="20"/>
          <w:szCs w:val="20"/>
        </w:rPr>
        <w:t>Objective</w:t>
      </w:r>
      <w:r w:rsidRPr="00821BC8">
        <w:rPr>
          <w:rFonts w:ascii="Times New Roman" w:hAnsi="Times New Roman" w:cs="Times New Roman"/>
          <w:b/>
          <w:bCs/>
          <w:sz w:val="20"/>
          <w:szCs w:val="20"/>
        </w:rPr>
        <w:t xml:space="preserve">: </w:t>
      </w:r>
      <w:r w:rsidR="0080322A" w:rsidRPr="00821BC8">
        <w:rPr>
          <w:rFonts w:ascii="Times New Roman" w:hAnsi="Times New Roman" w:cs="Times New Roman"/>
          <w:sz w:val="20"/>
          <w:szCs w:val="20"/>
        </w:rPr>
        <w:t>The aim</w:t>
      </w:r>
      <w:r w:rsidR="003506F6" w:rsidRPr="00821BC8">
        <w:rPr>
          <w:rFonts w:ascii="Times New Roman" w:hAnsi="Times New Roman" w:cs="Times New Roman"/>
          <w:sz w:val="20"/>
          <w:szCs w:val="20"/>
        </w:rPr>
        <w:t xml:space="preserve"> of this work was to study plasma</w:t>
      </w:r>
      <w:r w:rsidR="0080322A" w:rsidRPr="00821BC8">
        <w:rPr>
          <w:rFonts w:ascii="Times New Roman" w:hAnsi="Times New Roman" w:cs="Times New Roman"/>
          <w:sz w:val="20"/>
          <w:szCs w:val="20"/>
        </w:rPr>
        <w:t xml:space="preserve"> level of matrix metalloproteinase-9 (MMP-9) within 24 h of acute cerebrovascular stroke onset and its</w:t>
      </w:r>
      <w:r w:rsidR="003506F6" w:rsidRPr="00821BC8">
        <w:rPr>
          <w:rFonts w:ascii="Times New Roman" w:hAnsi="Times New Roman" w:cs="Times New Roman"/>
          <w:sz w:val="20"/>
          <w:szCs w:val="20"/>
        </w:rPr>
        <w:t xml:space="preserve"> relation with acute stroke complications during hospital stay</w:t>
      </w:r>
      <w:r w:rsidR="0080322A" w:rsidRPr="00821BC8">
        <w:rPr>
          <w:rFonts w:ascii="Times New Roman" w:hAnsi="Times New Roman" w:cs="Times New Roman"/>
          <w:sz w:val="20"/>
          <w:szCs w:val="20"/>
        </w:rPr>
        <w:t>.</w:t>
      </w:r>
      <w:r w:rsidRPr="00821BC8">
        <w:rPr>
          <w:rFonts w:ascii="Times New Roman" w:hAnsi="Times New Roman" w:cs="Times New Roman"/>
          <w:sz w:val="20"/>
          <w:szCs w:val="20"/>
        </w:rPr>
        <w:t xml:space="preserve"> </w:t>
      </w:r>
      <w:r w:rsidR="0080322A" w:rsidRPr="00821BC8">
        <w:rPr>
          <w:rFonts w:ascii="Times New Roman" w:hAnsi="Times New Roman" w:cs="Times New Roman"/>
          <w:b/>
          <w:bCs/>
          <w:sz w:val="20"/>
          <w:szCs w:val="20"/>
        </w:rPr>
        <w:t>Patients and methods</w:t>
      </w:r>
      <w:r w:rsidRPr="00821BC8">
        <w:rPr>
          <w:rFonts w:ascii="Times New Roman" w:hAnsi="Times New Roman" w:cs="Times New Roman"/>
          <w:b/>
          <w:bCs/>
          <w:sz w:val="20"/>
          <w:szCs w:val="20"/>
        </w:rPr>
        <w:t xml:space="preserve">: </w:t>
      </w:r>
      <w:r w:rsidR="0080322A" w:rsidRPr="00821BC8">
        <w:rPr>
          <w:rFonts w:ascii="Times New Roman" w:hAnsi="Times New Roman" w:cs="Times New Roman"/>
          <w:sz w:val="20"/>
          <w:szCs w:val="20"/>
        </w:rPr>
        <w:t>Fourty patients with acute ischemic stroke and twenty patients with intracerebral hemorrhage were s</w:t>
      </w:r>
      <w:r w:rsidR="003506F6" w:rsidRPr="00821BC8">
        <w:rPr>
          <w:rFonts w:ascii="Times New Roman" w:hAnsi="Times New Roman" w:cs="Times New Roman"/>
          <w:sz w:val="20"/>
          <w:szCs w:val="20"/>
        </w:rPr>
        <w:t>ubjected to measurement of plasma</w:t>
      </w:r>
      <w:r w:rsidR="0080322A" w:rsidRPr="00821BC8">
        <w:rPr>
          <w:rFonts w:ascii="Times New Roman" w:hAnsi="Times New Roman" w:cs="Times New Roman"/>
          <w:sz w:val="20"/>
          <w:szCs w:val="20"/>
        </w:rPr>
        <w:t xml:space="preserve"> MMP-9 within 24 h of stroke onset and clinical assessment of stroke severity. Twenty healthy volunteers of matched age and sex were included as controls.</w:t>
      </w:r>
      <w:r w:rsidRPr="00821BC8">
        <w:rPr>
          <w:rFonts w:ascii="Times New Roman" w:hAnsi="Times New Roman" w:cs="Times New Roman"/>
          <w:sz w:val="20"/>
          <w:szCs w:val="20"/>
        </w:rPr>
        <w:t xml:space="preserve"> </w:t>
      </w:r>
      <w:r w:rsidR="0080322A" w:rsidRPr="00821BC8">
        <w:rPr>
          <w:rFonts w:ascii="Times New Roman" w:hAnsi="Times New Roman" w:cs="Times New Roman"/>
          <w:b/>
          <w:bCs/>
          <w:sz w:val="20"/>
          <w:szCs w:val="20"/>
        </w:rPr>
        <w:t>Results</w:t>
      </w:r>
      <w:r w:rsidR="00454C41" w:rsidRPr="00821BC8">
        <w:rPr>
          <w:rFonts w:ascii="Times New Roman" w:hAnsi="Times New Roman" w:cs="Times New Roman"/>
          <w:b/>
          <w:bCs/>
          <w:sz w:val="20"/>
          <w:szCs w:val="20"/>
        </w:rPr>
        <w:t xml:space="preserve">: </w:t>
      </w:r>
      <w:r w:rsidR="00454C41" w:rsidRPr="00821BC8">
        <w:rPr>
          <w:rFonts w:ascii="Times New Roman" w:hAnsi="Times New Roman" w:cs="Times New Roman"/>
          <w:sz w:val="20"/>
          <w:szCs w:val="20"/>
        </w:rPr>
        <w:t>T</w:t>
      </w:r>
      <w:r w:rsidR="0080322A" w:rsidRPr="00821BC8">
        <w:rPr>
          <w:rFonts w:ascii="Times New Roman" w:hAnsi="Times New Roman" w:cs="Times New Roman"/>
          <w:sz w:val="20"/>
          <w:szCs w:val="20"/>
        </w:rPr>
        <w:t>hirty male and thirty female patients with a mean age of 60.93 ± 8.088</w:t>
      </w:r>
      <w:r w:rsidR="00111309" w:rsidRPr="00821BC8">
        <w:rPr>
          <w:rFonts w:ascii="Times New Roman" w:hAnsi="Times New Roman" w:cs="Times New Roman"/>
          <w:sz w:val="20"/>
          <w:szCs w:val="20"/>
        </w:rPr>
        <w:t xml:space="preserve"> years were studied. </w:t>
      </w:r>
      <w:r w:rsidR="0080322A" w:rsidRPr="00821BC8">
        <w:rPr>
          <w:rFonts w:ascii="Times New Roman" w:hAnsi="Times New Roman" w:cs="Times New Roman"/>
          <w:sz w:val="20"/>
          <w:szCs w:val="20"/>
        </w:rPr>
        <w:t>The mean National Institutes of Health Stroke Scale (</w:t>
      </w:r>
      <w:r w:rsidR="00111309" w:rsidRPr="00821BC8">
        <w:rPr>
          <w:rFonts w:ascii="Times New Roman" w:hAnsi="Times New Roman" w:cs="Times New Roman"/>
          <w:sz w:val="20"/>
          <w:szCs w:val="20"/>
        </w:rPr>
        <w:t>NIHSS) score on admission was 13.37 ± 7.422</w:t>
      </w:r>
      <w:r w:rsidR="00454C41" w:rsidRPr="00821BC8">
        <w:rPr>
          <w:rFonts w:ascii="Times New Roman" w:hAnsi="Times New Roman" w:cs="Times New Roman"/>
          <w:sz w:val="20"/>
          <w:szCs w:val="20"/>
        </w:rPr>
        <w:t>. T</w:t>
      </w:r>
      <w:r w:rsidR="00111309" w:rsidRPr="00821BC8">
        <w:rPr>
          <w:rFonts w:ascii="Times New Roman" w:hAnsi="Times New Roman" w:cs="Times New Roman"/>
          <w:sz w:val="20"/>
          <w:szCs w:val="20"/>
        </w:rPr>
        <w:t>he</w:t>
      </w:r>
      <w:r w:rsidR="003506F6" w:rsidRPr="00821BC8">
        <w:rPr>
          <w:rFonts w:ascii="Times New Roman" w:hAnsi="Times New Roman" w:cs="Times New Roman"/>
          <w:sz w:val="20"/>
          <w:szCs w:val="20"/>
        </w:rPr>
        <w:t xml:space="preserve"> mean plasma</w:t>
      </w:r>
      <w:r w:rsidR="00111309" w:rsidRPr="00821BC8">
        <w:rPr>
          <w:rFonts w:ascii="Times New Roman" w:hAnsi="Times New Roman" w:cs="Times New Roman"/>
          <w:sz w:val="20"/>
          <w:szCs w:val="20"/>
        </w:rPr>
        <w:t xml:space="preserve"> level of MMP-9 in ischemic group was 672.18 ± 181.869 ng/ml, and in hemorrhagic group was 576.00 ± 170.233 ng/ml, which was significantl</w:t>
      </w:r>
      <w:r w:rsidR="003506F6" w:rsidRPr="00821BC8">
        <w:rPr>
          <w:rFonts w:ascii="Times New Roman" w:hAnsi="Times New Roman" w:cs="Times New Roman"/>
          <w:sz w:val="20"/>
          <w:szCs w:val="20"/>
        </w:rPr>
        <w:t>y higher compared with the plasma</w:t>
      </w:r>
      <w:r w:rsidR="00111309" w:rsidRPr="00821BC8">
        <w:rPr>
          <w:rFonts w:ascii="Times New Roman" w:hAnsi="Times New Roman" w:cs="Times New Roman"/>
          <w:sz w:val="20"/>
          <w:szCs w:val="20"/>
        </w:rPr>
        <w:t xml:space="preserve"> level of MMP-9 in controls (</w:t>
      </w:r>
      <w:r w:rsidR="00111309" w:rsidRPr="00821BC8">
        <w:rPr>
          <w:rFonts w:ascii="Times New Roman" w:hAnsi="Times New Roman" w:cs="Times New Roman"/>
          <w:i/>
          <w:iCs/>
          <w:sz w:val="20"/>
          <w:szCs w:val="20"/>
        </w:rPr>
        <w:t xml:space="preserve">P </w:t>
      </w:r>
      <w:r w:rsidR="00111309" w:rsidRPr="00821BC8">
        <w:rPr>
          <w:rFonts w:ascii="Times New Roman" w:hAnsi="Times New Roman" w:cs="Times New Roman"/>
          <w:sz w:val="20"/>
          <w:szCs w:val="20"/>
        </w:rPr>
        <w:t>= 0.000)</w:t>
      </w:r>
      <w:r w:rsidR="00454C41" w:rsidRPr="00821BC8">
        <w:rPr>
          <w:rFonts w:ascii="Times New Roman" w:hAnsi="Times New Roman" w:cs="Times New Roman"/>
          <w:sz w:val="20"/>
          <w:szCs w:val="20"/>
        </w:rPr>
        <w:t>. T</w:t>
      </w:r>
      <w:r w:rsidR="00111309" w:rsidRPr="00821BC8">
        <w:rPr>
          <w:rFonts w:ascii="Times New Roman" w:hAnsi="Times New Roman" w:cs="Times New Roman"/>
          <w:sz w:val="20"/>
          <w:szCs w:val="20"/>
        </w:rPr>
        <w:t>here was a significant po</w:t>
      </w:r>
      <w:r w:rsidR="003506F6" w:rsidRPr="00821BC8">
        <w:rPr>
          <w:rFonts w:ascii="Times New Roman" w:hAnsi="Times New Roman" w:cs="Times New Roman"/>
          <w:sz w:val="20"/>
          <w:szCs w:val="20"/>
        </w:rPr>
        <w:t>sitive correlation between plasma</w:t>
      </w:r>
      <w:r w:rsidR="00111309" w:rsidRPr="00821BC8">
        <w:rPr>
          <w:rFonts w:ascii="Times New Roman" w:hAnsi="Times New Roman" w:cs="Times New Roman"/>
          <w:sz w:val="20"/>
          <w:szCs w:val="20"/>
        </w:rPr>
        <w:t xml:space="preserve"> level of MMP-9 and NIHSS score (</w:t>
      </w:r>
      <w:r w:rsidR="00C57895" w:rsidRPr="00821BC8">
        <w:rPr>
          <w:rFonts w:ascii="Times New Roman" w:hAnsi="Times New Roman" w:cs="Times New Roman"/>
          <w:sz w:val="20"/>
          <w:szCs w:val="20"/>
        </w:rPr>
        <w:t>sig.</w:t>
      </w:r>
      <w:r w:rsidR="00111309" w:rsidRPr="00821BC8">
        <w:rPr>
          <w:rFonts w:ascii="Times New Roman" w:hAnsi="Times New Roman" w:cs="Times New Roman"/>
          <w:sz w:val="20"/>
          <w:szCs w:val="20"/>
        </w:rPr>
        <w:t>= 0.005)</w:t>
      </w:r>
      <w:r w:rsidR="00C57895" w:rsidRPr="00821BC8">
        <w:rPr>
          <w:rFonts w:ascii="Times New Roman" w:hAnsi="Times New Roman" w:cs="Times New Roman"/>
          <w:sz w:val="20"/>
          <w:szCs w:val="20"/>
        </w:rPr>
        <w:t>.</w:t>
      </w:r>
    </w:p>
    <w:p w:rsidR="00C0497D" w:rsidRPr="00821BC8" w:rsidRDefault="00C0497D"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t xml:space="preserve">Conclusion: </w:t>
      </w:r>
      <w:r w:rsidR="003506F6" w:rsidRPr="00821BC8">
        <w:rPr>
          <w:rFonts w:ascii="Times New Roman" w:hAnsi="Times New Roman" w:cs="Times New Roman"/>
          <w:sz w:val="20"/>
          <w:szCs w:val="20"/>
        </w:rPr>
        <w:t>Plasma</w:t>
      </w:r>
      <w:r w:rsidR="00C57895" w:rsidRPr="00821BC8">
        <w:rPr>
          <w:rFonts w:ascii="Times New Roman" w:hAnsi="Times New Roman" w:cs="Times New Roman"/>
          <w:sz w:val="20"/>
          <w:szCs w:val="20"/>
        </w:rPr>
        <w:t xml:space="preserve"> MMP-9 level was found to be high in acute cerebrovascular stroke patients and correlated with complications.</w:t>
      </w:r>
    </w:p>
    <w:p w:rsidR="00454C41" w:rsidRPr="00821BC8" w:rsidRDefault="00EB1C77"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sz w:val="20"/>
          <w:szCs w:val="20"/>
        </w:rPr>
        <w:t>[</w:t>
      </w:r>
      <w:r w:rsidR="00C0497D" w:rsidRPr="00821BC8">
        <w:rPr>
          <w:rFonts w:ascii="Times New Roman" w:hAnsi="Times New Roman" w:cs="Times New Roman"/>
          <w:sz w:val="20"/>
          <w:szCs w:val="20"/>
        </w:rPr>
        <w:t>Kamel Hewedi, Hassan Kawashti, Ahmed Fathy, Mohamed Zaki, Saad Alshemy</w:t>
      </w:r>
      <w:r w:rsidR="00454C41" w:rsidRPr="00821BC8">
        <w:rPr>
          <w:rFonts w:ascii="Times New Roman" w:hAnsi="Times New Roman" w:cs="Times New Roman" w:hint="eastAsia"/>
          <w:sz w:val="20"/>
          <w:szCs w:val="20"/>
          <w:lang w:eastAsia="zh-CN"/>
        </w:rPr>
        <w:t>.</w:t>
      </w:r>
      <w:r w:rsidR="00C0497D" w:rsidRPr="00821BC8">
        <w:rPr>
          <w:rFonts w:ascii="Times New Roman" w:hAnsi="Times New Roman" w:cs="Times New Roman"/>
          <w:sz w:val="20"/>
          <w:szCs w:val="20"/>
          <w:vertAlign w:val="superscript"/>
        </w:rPr>
        <w:t xml:space="preserve"> </w:t>
      </w:r>
      <w:r w:rsidR="00C0497D" w:rsidRPr="00821BC8">
        <w:rPr>
          <w:rFonts w:ascii="Times New Roman" w:hAnsi="Times New Roman" w:cs="Times New Roman"/>
          <w:b/>
          <w:bCs/>
          <w:sz w:val="20"/>
          <w:szCs w:val="20"/>
        </w:rPr>
        <w:t>Relationship between plasma matrix metalloproteinase-9 and acute cerebrovascular stroke</w:t>
      </w:r>
      <w:r w:rsidR="00454C41" w:rsidRPr="00821BC8">
        <w:rPr>
          <w:rFonts w:ascii="Times New Roman" w:eastAsia="Times New Roman" w:hAnsi="Times New Roman" w:cs="Times New Roman"/>
          <w:b/>
          <w:bCs/>
          <w:sz w:val="20"/>
          <w:szCs w:val="20"/>
          <w:lang w:bidi="fa-IR"/>
        </w:rPr>
        <w:t>.</w:t>
      </w:r>
      <w:r w:rsidR="00454C41" w:rsidRPr="00821BC8">
        <w:rPr>
          <w:rFonts w:ascii="Times New Roman" w:hAnsi="Times New Roman" w:cs="Times New Roman"/>
          <w:bCs/>
          <w:i/>
          <w:sz w:val="20"/>
          <w:szCs w:val="20"/>
        </w:rPr>
        <w:t xml:space="preserve"> N Y Sci J</w:t>
      </w:r>
      <w:r w:rsidR="00454C41" w:rsidRPr="00821BC8">
        <w:rPr>
          <w:rFonts w:ascii="Times New Roman" w:hAnsi="Times New Roman" w:cs="Times New Roman"/>
          <w:bCs/>
          <w:sz w:val="20"/>
          <w:szCs w:val="20"/>
        </w:rPr>
        <w:t xml:space="preserve"> </w:t>
      </w:r>
      <w:r w:rsidR="00454C41" w:rsidRPr="00821BC8">
        <w:rPr>
          <w:rFonts w:ascii="Times New Roman" w:hAnsi="Times New Roman" w:cs="Times New Roman"/>
          <w:sz w:val="20"/>
          <w:szCs w:val="20"/>
        </w:rPr>
        <w:t>201</w:t>
      </w:r>
      <w:r w:rsidR="00454C41" w:rsidRPr="00821BC8">
        <w:rPr>
          <w:rFonts w:ascii="Times New Roman" w:hAnsi="Times New Roman" w:cs="Times New Roman" w:hint="eastAsia"/>
          <w:sz w:val="20"/>
          <w:szCs w:val="20"/>
        </w:rPr>
        <w:t>7</w:t>
      </w:r>
      <w:r w:rsidR="00454C41" w:rsidRPr="00821BC8">
        <w:rPr>
          <w:rFonts w:ascii="Times New Roman" w:hAnsi="Times New Roman" w:cs="Times New Roman"/>
          <w:sz w:val="20"/>
          <w:szCs w:val="20"/>
        </w:rPr>
        <w:t>;</w:t>
      </w:r>
      <w:r w:rsidR="00454C41" w:rsidRPr="00821BC8">
        <w:rPr>
          <w:rFonts w:ascii="Times New Roman" w:hAnsi="Times New Roman" w:cs="Times New Roman" w:hint="eastAsia"/>
          <w:sz w:val="20"/>
          <w:szCs w:val="20"/>
        </w:rPr>
        <w:t>10</w:t>
      </w:r>
      <w:r w:rsidR="00454C41" w:rsidRPr="00821BC8">
        <w:rPr>
          <w:rFonts w:ascii="Times New Roman" w:hAnsi="Times New Roman" w:cs="Times New Roman"/>
          <w:sz w:val="20"/>
          <w:szCs w:val="20"/>
        </w:rPr>
        <w:t>(</w:t>
      </w:r>
      <w:r w:rsidR="00454C41" w:rsidRPr="00821BC8">
        <w:rPr>
          <w:rFonts w:ascii="Times New Roman" w:hAnsi="Times New Roman" w:cs="Times New Roman" w:hint="eastAsia"/>
          <w:sz w:val="20"/>
          <w:szCs w:val="20"/>
        </w:rPr>
        <w:t>3</w:t>
      </w:r>
      <w:r w:rsidR="00454C41" w:rsidRPr="00821BC8">
        <w:rPr>
          <w:rFonts w:ascii="Times New Roman" w:hAnsi="Times New Roman" w:cs="Times New Roman"/>
          <w:sz w:val="20"/>
          <w:szCs w:val="20"/>
        </w:rPr>
        <w:t>):</w:t>
      </w:r>
      <w:r w:rsidR="00F36930" w:rsidRPr="00821BC8">
        <w:rPr>
          <w:rFonts w:ascii="Times New Roman" w:hAnsi="Times New Roman" w:cs="Times New Roman"/>
          <w:noProof/>
          <w:color w:val="000000"/>
          <w:sz w:val="20"/>
          <w:szCs w:val="20"/>
        </w:rPr>
        <w:t>11</w:t>
      </w:r>
      <w:r w:rsidR="00454C41" w:rsidRPr="00821BC8">
        <w:rPr>
          <w:rFonts w:ascii="Times New Roman" w:hAnsi="Times New Roman" w:cs="Times New Roman"/>
          <w:color w:val="000000"/>
          <w:sz w:val="20"/>
          <w:szCs w:val="20"/>
        </w:rPr>
        <w:t>-</w:t>
      </w:r>
      <w:r w:rsidR="00F36930" w:rsidRPr="00821BC8">
        <w:rPr>
          <w:rFonts w:ascii="Times New Roman" w:hAnsi="Times New Roman" w:cs="Times New Roman"/>
          <w:noProof/>
          <w:color w:val="000000"/>
          <w:sz w:val="20"/>
          <w:szCs w:val="20"/>
        </w:rPr>
        <w:t>15</w:t>
      </w:r>
      <w:r w:rsidR="00454C41" w:rsidRPr="00821BC8">
        <w:rPr>
          <w:rFonts w:ascii="Times New Roman" w:hAnsi="Times New Roman" w:cs="Times New Roman"/>
          <w:sz w:val="20"/>
          <w:szCs w:val="20"/>
        </w:rPr>
        <w:t xml:space="preserve">]. </w:t>
      </w:r>
      <w:r w:rsidR="00454C41" w:rsidRPr="00821BC8">
        <w:rPr>
          <w:rFonts w:ascii="Times New Roman" w:hAnsi="Times New Roman" w:cs="Times New Roman"/>
          <w:iCs/>
          <w:color w:val="000000"/>
          <w:sz w:val="20"/>
          <w:szCs w:val="20"/>
        </w:rPr>
        <w:t>ISSN 1554-0200 (print); ISSN 2375-723X (online)</w:t>
      </w:r>
      <w:r w:rsidR="00454C41" w:rsidRPr="00821BC8">
        <w:rPr>
          <w:rFonts w:ascii="Times New Roman" w:hAnsi="Times New Roman" w:cs="Times New Roman"/>
          <w:sz w:val="20"/>
          <w:szCs w:val="20"/>
        </w:rPr>
        <w:t xml:space="preserve">. </w:t>
      </w:r>
      <w:hyperlink r:id="rId9" w:history="1">
        <w:r w:rsidR="00454C41" w:rsidRPr="00821BC8">
          <w:rPr>
            <w:rStyle w:val="Hyperlink"/>
            <w:rFonts w:ascii="Times New Roman" w:hAnsi="Times New Roman" w:cs="Times New Roman"/>
            <w:color w:val="0000FF"/>
            <w:sz w:val="20"/>
            <w:szCs w:val="20"/>
          </w:rPr>
          <w:t>http://www.sciencepub.net/newyork</w:t>
        </w:r>
      </w:hyperlink>
      <w:r w:rsidR="00454C41" w:rsidRPr="00821BC8">
        <w:rPr>
          <w:rFonts w:ascii="Times New Roman" w:hAnsi="Times New Roman" w:cs="Times New Roman"/>
          <w:sz w:val="20"/>
          <w:szCs w:val="20"/>
        </w:rPr>
        <w:t xml:space="preserve">. </w:t>
      </w:r>
      <w:r w:rsidR="00454C41" w:rsidRPr="00821BC8">
        <w:rPr>
          <w:rFonts w:ascii="Times New Roman" w:hAnsi="Times New Roman" w:cs="Times New Roman" w:hint="eastAsia"/>
          <w:sz w:val="20"/>
          <w:szCs w:val="20"/>
          <w:lang w:eastAsia="zh-CN"/>
        </w:rPr>
        <w:t>2</w:t>
      </w:r>
      <w:r w:rsidR="00454C41" w:rsidRPr="00821BC8">
        <w:rPr>
          <w:rFonts w:ascii="Times New Roman" w:hAnsi="Times New Roman" w:cs="Times New Roman" w:hint="eastAsia"/>
          <w:sz w:val="20"/>
          <w:szCs w:val="20"/>
        </w:rPr>
        <w:t xml:space="preserve">. </w:t>
      </w:r>
      <w:r w:rsidR="00454C41" w:rsidRPr="00821BC8">
        <w:rPr>
          <w:rFonts w:ascii="Times New Roman" w:hAnsi="Times New Roman" w:cs="Times New Roman"/>
          <w:color w:val="000000"/>
          <w:sz w:val="20"/>
          <w:szCs w:val="20"/>
          <w:shd w:val="clear" w:color="auto" w:fill="FFFFFF"/>
        </w:rPr>
        <w:t>doi:</w:t>
      </w:r>
      <w:hyperlink r:id="rId10" w:history="1">
        <w:r w:rsidR="00454C41" w:rsidRPr="00821BC8">
          <w:rPr>
            <w:rStyle w:val="Hyperlink"/>
            <w:rFonts w:ascii="Times New Roman" w:hAnsi="Times New Roman" w:cs="Times New Roman"/>
            <w:color w:val="0000FF"/>
            <w:sz w:val="20"/>
            <w:szCs w:val="20"/>
            <w:shd w:val="clear" w:color="auto" w:fill="FFFFFF"/>
          </w:rPr>
          <w:t>10.7537/mars</w:t>
        </w:r>
        <w:r w:rsidR="00454C41" w:rsidRPr="00821BC8">
          <w:rPr>
            <w:rStyle w:val="Hyperlink"/>
            <w:rFonts w:ascii="Times New Roman" w:hAnsi="Times New Roman" w:cs="Times New Roman" w:hint="eastAsia"/>
            <w:color w:val="0000FF"/>
            <w:sz w:val="20"/>
            <w:szCs w:val="20"/>
            <w:shd w:val="clear" w:color="auto" w:fill="FFFFFF"/>
          </w:rPr>
          <w:t>nys100317.</w:t>
        </w:r>
        <w:r w:rsidR="00454C41" w:rsidRPr="00821BC8">
          <w:rPr>
            <w:rStyle w:val="Hyperlink"/>
            <w:rFonts w:ascii="Times New Roman" w:hAnsi="Times New Roman" w:cs="Times New Roman"/>
            <w:color w:val="0000FF"/>
            <w:sz w:val="20"/>
            <w:szCs w:val="20"/>
            <w:shd w:val="clear" w:color="auto" w:fill="FFFFFF"/>
          </w:rPr>
          <w:t>0</w:t>
        </w:r>
        <w:r w:rsidR="00454C41" w:rsidRPr="00821BC8">
          <w:rPr>
            <w:rStyle w:val="Hyperlink"/>
            <w:rFonts w:ascii="Times New Roman" w:hAnsi="Times New Roman" w:cs="Times New Roman" w:hint="eastAsia"/>
            <w:color w:val="0000FF"/>
            <w:sz w:val="20"/>
            <w:szCs w:val="20"/>
            <w:shd w:val="clear" w:color="auto" w:fill="FFFFFF"/>
            <w:lang w:eastAsia="zh-CN"/>
          </w:rPr>
          <w:t>2</w:t>
        </w:r>
      </w:hyperlink>
      <w:r w:rsidR="00454C41" w:rsidRPr="00821BC8">
        <w:rPr>
          <w:rFonts w:ascii="Times New Roman" w:hAnsi="Times New Roman" w:cs="Times New Roman"/>
          <w:color w:val="000000"/>
          <w:sz w:val="20"/>
          <w:szCs w:val="20"/>
          <w:shd w:val="clear" w:color="auto" w:fill="FFFFFF"/>
        </w:rPr>
        <w:t>.</w:t>
      </w:r>
    </w:p>
    <w:p w:rsidR="00C0497D" w:rsidRPr="00821BC8" w:rsidRDefault="00C0497D" w:rsidP="00454C41">
      <w:pPr>
        <w:autoSpaceDE w:val="0"/>
        <w:autoSpaceDN w:val="0"/>
        <w:adjustRightInd w:val="0"/>
        <w:snapToGrid w:val="0"/>
        <w:spacing w:after="0" w:line="240" w:lineRule="auto"/>
        <w:jc w:val="both"/>
        <w:rPr>
          <w:rFonts w:ascii="Times New Roman" w:hAnsi="Times New Roman" w:cs="Times New Roman"/>
          <w:b/>
          <w:bCs/>
          <w:sz w:val="20"/>
          <w:szCs w:val="20"/>
        </w:rPr>
      </w:pPr>
    </w:p>
    <w:p w:rsidR="00C57895" w:rsidRPr="00821BC8" w:rsidRDefault="00C57895"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t xml:space="preserve">Keywords: </w:t>
      </w:r>
      <w:r w:rsidRPr="00821BC8">
        <w:rPr>
          <w:rFonts w:ascii="Times New Roman" w:hAnsi="Times New Roman" w:cs="Times New Roman"/>
          <w:sz w:val="20"/>
          <w:szCs w:val="20"/>
        </w:rPr>
        <w:t>Acute stroke, matrix metalloproteinase-9, NIHSS, hemorrhagic transformation.</w:t>
      </w:r>
    </w:p>
    <w:p w:rsidR="00454C41" w:rsidRPr="00821BC8" w:rsidRDefault="00454C41" w:rsidP="00454C41">
      <w:pPr>
        <w:snapToGrid w:val="0"/>
        <w:spacing w:after="0" w:line="240" w:lineRule="auto"/>
        <w:jc w:val="both"/>
        <w:rPr>
          <w:rFonts w:ascii="Times New Roman" w:hAnsi="Times New Roman" w:cs="Times New Roman"/>
          <w:b/>
          <w:bCs/>
          <w:sz w:val="20"/>
          <w:szCs w:val="20"/>
        </w:rPr>
      </w:pPr>
    </w:p>
    <w:p w:rsidR="00454C41" w:rsidRPr="00821BC8" w:rsidRDefault="00454C41" w:rsidP="00454C41">
      <w:pPr>
        <w:snapToGrid w:val="0"/>
        <w:spacing w:after="0" w:line="240" w:lineRule="auto"/>
        <w:jc w:val="both"/>
        <w:rPr>
          <w:rFonts w:ascii="Times New Roman" w:hAnsi="Times New Roman" w:cs="Times New Roman"/>
          <w:b/>
          <w:bCs/>
          <w:sz w:val="20"/>
          <w:szCs w:val="20"/>
        </w:rPr>
        <w:sectPr w:rsidR="00454C41" w:rsidRPr="00821BC8" w:rsidSect="00F36930">
          <w:headerReference w:type="default" r:id="rId11"/>
          <w:footerReference w:type="default" r:id="rId12"/>
          <w:type w:val="continuous"/>
          <w:pgSz w:w="12240" w:h="15840" w:code="1"/>
          <w:pgMar w:top="1440" w:right="1440" w:bottom="1440" w:left="1440" w:header="720" w:footer="720" w:gutter="0"/>
          <w:pgNumType w:start="11"/>
          <w:cols w:space="720"/>
          <w:docGrid w:linePitch="360"/>
        </w:sectPr>
      </w:pPr>
    </w:p>
    <w:p w:rsidR="00AB567A" w:rsidRPr="00821BC8" w:rsidRDefault="001814B3"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lastRenderedPageBreak/>
        <w:t xml:space="preserve">1. </w:t>
      </w:r>
      <w:r w:rsidR="00AB567A" w:rsidRPr="00821BC8">
        <w:rPr>
          <w:rFonts w:ascii="Times New Roman" w:hAnsi="Times New Roman" w:cs="Times New Roman"/>
          <w:b/>
          <w:bCs/>
          <w:sz w:val="20"/>
          <w:szCs w:val="20"/>
        </w:rPr>
        <w:t>Introduction</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Acute ischemic stroke is the most common form of stroke and is majorly caused by thrombosis or embolism in the cerebral arteries. Blockage of blood flow (ischemia) results in oxygen deprivation, glucose deficiency in the affected region, and infarction in the brain. Cerebral ischemia initiates cascades of pathological events, including vasogenic edema, disruption of the blood–brain barrier (BBB), intracerebral hemorrhage (ICH), astroglial</w:t>
      </w:r>
      <w:r w:rsidR="00186496" w:rsidRPr="00821BC8">
        <w:rPr>
          <w:rFonts w:ascii="Times New Roman" w:hAnsi="Times New Roman" w:cs="Times New Roman"/>
          <w:sz w:val="20"/>
          <w:szCs w:val="20"/>
        </w:rPr>
        <w:t xml:space="preserve"> activation, and neuronal death(1</w:t>
      </w:r>
      <w:r w:rsidRPr="00821BC8">
        <w:rPr>
          <w:rFonts w:ascii="Times New Roman" w:hAnsi="Times New Roman" w:cs="Times New Roman"/>
          <w:sz w:val="20"/>
          <w:szCs w:val="20"/>
        </w:rPr>
        <w:t>).</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Intracerebral hemorrhage (ICH) accounts for 10–15% of all strokes. It is a particularly severe stroke subtype that is associated with a mortality rate of 30–50 %. Moreover, 74% of the survivors remain functionally depe</w:t>
      </w:r>
      <w:r w:rsidR="00186496" w:rsidRPr="00821BC8">
        <w:rPr>
          <w:rFonts w:ascii="Times New Roman" w:hAnsi="Times New Roman" w:cs="Times New Roman"/>
          <w:sz w:val="20"/>
          <w:szCs w:val="20"/>
        </w:rPr>
        <w:t>ndent 12 months after the ictus(2</w:t>
      </w:r>
      <w:r w:rsidRPr="00821BC8">
        <w:rPr>
          <w:rFonts w:ascii="Times New Roman" w:hAnsi="Times New Roman" w:cs="Times New Roman"/>
          <w:sz w:val="20"/>
          <w:szCs w:val="20"/>
        </w:rPr>
        <w:t>).</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The expression of matrix metalloproteinases (MMPs) in the adult brain is very low to undetectable, but clinical and experimental studies have shown that several MMPs are upregulated and activated after ischemic stroke. MMPs disrupt the BBB by degrading the tight junction (TJ) proteins and basal lamina proteins, thereby leading to BBB leakage, leukocyte infiltrat</w:t>
      </w:r>
      <w:r w:rsidR="00A82362" w:rsidRPr="00821BC8">
        <w:rPr>
          <w:rFonts w:ascii="Times New Roman" w:hAnsi="Times New Roman" w:cs="Times New Roman"/>
          <w:sz w:val="20"/>
          <w:szCs w:val="20"/>
        </w:rPr>
        <w:t xml:space="preserve">ion, brain edema and </w:t>
      </w:r>
      <w:r w:rsidR="00EB1C77" w:rsidRPr="00821BC8">
        <w:rPr>
          <w:rFonts w:ascii="Times New Roman" w:hAnsi="Times New Roman" w:cs="Times New Roman"/>
          <w:sz w:val="20"/>
          <w:szCs w:val="20"/>
        </w:rPr>
        <w:t>hemorrhage (</w:t>
      </w:r>
      <w:r w:rsidRPr="00821BC8">
        <w:rPr>
          <w:rFonts w:ascii="Times New Roman" w:hAnsi="Times New Roman" w:cs="Times New Roman"/>
          <w:sz w:val="20"/>
          <w:szCs w:val="20"/>
        </w:rPr>
        <w:t>3).</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Among MMPs, MMP-9 is the most widely studied enzyme in acute ischemic stroke. In particular, MMP-9 activity is significantly elevated in human brain tissue and serum after stroke</w:t>
      </w:r>
      <w:r w:rsidR="00454C41" w:rsidRPr="00821BC8">
        <w:rPr>
          <w:rFonts w:ascii="Times New Roman" w:hAnsi="Times New Roman" w:cs="Times New Roman"/>
          <w:sz w:val="20"/>
          <w:szCs w:val="20"/>
        </w:rPr>
        <w:t xml:space="preserve"> </w:t>
      </w:r>
      <w:r w:rsidRPr="00821BC8">
        <w:rPr>
          <w:rFonts w:ascii="Times New Roman" w:hAnsi="Times New Roman" w:cs="Times New Roman"/>
          <w:sz w:val="20"/>
          <w:szCs w:val="20"/>
        </w:rPr>
        <w:t xml:space="preserve">as well as in animal stroke models. High plasma MMP-9 concentrations in </w:t>
      </w:r>
      <w:r w:rsidRPr="00821BC8">
        <w:rPr>
          <w:rFonts w:ascii="Times New Roman" w:hAnsi="Times New Roman" w:cs="Times New Roman"/>
          <w:sz w:val="20"/>
          <w:szCs w:val="20"/>
        </w:rPr>
        <w:lastRenderedPageBreak/>
        <w:t>the acute phase of a cerebral infarction ˃ 140 ng/ml is considered to be an independent predictor of hemorrhagic transf</w:t>
      </w:r>
      <w:r w:rsidR="00A82362" w:rsidRPr="00821BC8">
        <w:rPr>
          <w:rFonts w:ascii="Times New Roman" w:hAnsi="Times New Roman" w:cs="Times New Roman"/>
          <w:sz w:val="20"/>
          <w:szCs w:val="20"/>
        </w:rPr>
        <w:t>ormation in all stroke subtypes(</w:t>
      </w:r>
      <w:r w:rsidRPr="00821BC8">
        <w:rPr>
          <w:rFonts w:ascii="Times New Roman" w:hAnsi="Times New Roman" w:cs="Times New Roman"/>
          <w:sz w:val="20"/>
          <w:szCs w:val="20"/>
        </w:rPr>
        <w:t>3).</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MMP-9 has been shown to degrade tight junction (TJ) proteins (claudin-5, occludin, ZO-1) in cultured brain endothelial cells and in animal models of focal cerebral ischemia. Aberrant MMP-9 proteolytic activity degrades not only TJ proteins but also basal membrane proteins (e.g., fibronectin, laminin, collagen, and others). This degradation is associated with an increase in BBB permeability, resulting in brain infarction, edema and hemorrhagic transformation in both animal mode</w:t>
      </w:r>
      <w:r w:rsidR="00A82362" w:rsidRPr="00821BC8">
        <w:rPr>
          <w:rFonts w:ascii="Times New Roman" w:hAnsi="Times New Roman" w:cs="Times New Roman"/>
          <w:sz w:val="20"/>
          <w:szCs w:val="20"/>
        </w:rPr>
        <w:t xml:space="preserve">ls and in human stroke </w:t>
      </w:r>
      <w:r w:rsidR="00EB1C77" w:rsidRPr="00821BC8">
        <w:rPr>
          <w:rFonts w:ascii="Times New Roman" w:hAnsi="Times New Roman" w:cs="Times New Roman"/>
          <w:sz w:val="20"/>
          <w:szCs w:val="20"/>
        </w:rPr>
        <w:t>patients (</w:t>
      </w:r>
      <w:r w:rsidRPr="00821BC8">
        <w:rPr>
          <w:rFonts w:ascii="Times New Roman" w:hAnsi="Times New Roman" w:cs="Times New Roman"/>
          <w:sz w:val="20"/>
          <w:szCs w:val="20"/>
        </w:rPr>
        <w:t>3).</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MMPs play a central role in neuroinflammatory processes by degrading elements of the extracellular matrix. The potential role of MMPs in ICH has been examined in patients by examining whether MMP expression correlates with outcome or markers of injury and in animals by examining the effects of MMP inhibi</w:t>
      </w:r>
      <w:r w:rsidR="00A82362" w:rsidRPr="00821BC8">
        <w:rPr>
          <w:rFonts w:ascii="Times New Roman" w:hAnsi="Times New Roman" w:cs="Times New Roman"/>
          <w:sz w:val="20"/>
          <w:szCs w:val="20"/>
        </w:rPr>
        <w:t>tion or genetic deletion on ICH(</w:t>
      </w:r>
      <w:r w:rsidRPr="00821BC8">
        <w:rPr>
          <w:rFonts w:ascii="Times New Roman" w:hAnsi="Times New Roman" w:cs="Times New Roman"/>
          <w:sz w:val="20"/>
          <w:szCs w:val="20"/>
        </w:rPr>
        <w:t>4).</w:t>
      </w:r>
    </w:p>
    <w:p w:rsidR="00AB567A" w:rsidRPr="00821BC8" w:rsidRDefault="00AB567A"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Thus, seve</w:t>
      </w:r>
      <w:r w:rsidR="00011B56" w:rsidRPr="00821BC8">
        <w:rPr>
          <w:rFonts w:ascii="Times New Roman" w:hAnsi="Times New Roman" w:cs="Times New Roman"/>
          <w:sz w:val="20"/>
          <w:szCs w:val="20"/>
        </w:rPr>
        <w:t>ral studies have shown that MMP-</w:t>
      </w:r>
      <w:r w:rsidRPr="00821BC8">
        <w:rPr>
          <w:rFonts w:ascii="Times New Roman" w:hAnsi="Times New Roman" w:cs="Times New Roman"/>
          <w:sz w:val="20"/>
          <w:szCs w:val="20"/>
        </w:rPr>
        <w:t xml:space="preserve">9 expression correlates with hematoma expansion, perihematomal edema and neurological deterioration in ICH patients. </w:t>
      </w:r>
      <w:r w:rsidRPr="00821BC8">
        <w:rPr>
          <w:rFonts w:ascii="Times New Roman" w:hAnsi="Times New Roman" w:cs="Times New Roman"/>
          <w:b/>
          <w:bCs/>
          <w:sz w:val="20"/>
          <w:szCs w:val="20"/>
        </w:rPr>
        <w:t>Li et al (2013)</w:t>
      </w:r>
      <w:r w:rsidRPr="00821BC8">
        <w:rPr>
          <w:rFonts w:ascii="Times New Roman" w:hAnsi="Times New Roman" w:cs="Times New Roman"/>
          <w:sz w:val="20"/>
          <w:szCs w:val="20"/>
        </w:rPr>
        <w:t xml:space="preserve"> recently found that increased plasma MMP-9 levels were associated wit</w:t>
      </w:r>
      <w:r w:rsidR="00941494" w:rsidRPr="00821BC8">
        <w:rPr>
          <w:rFonts w:ascii="Times New Roman" w:hAnsi="Times New Roman" w:cs="Times New Roman"/>
          <w:sz w:val="20"/>
          <w:szCs w:val="20"/>
        </w:rPr>
        <w:t>h worse outcome in ICH patients(</w:t>
      </w:r>
      <w:r w:rsidRPr="00821BC8">
        <w:rPr>
          <w:rFonts w:ascii="Times New Roman" w:hAnsi="Times New Roman" w:cs="Times New Roman"/>
          <w:sz w:val="20"/>
          <w:szCs w:val="20"/>
        </w:rPr>
        <w:t>4)</w:t>
      </w:r>
      <w:r w:rsidR="00941494" w:rsidRPr="00821BC8">
        <w:rPr>
          <w:rFonts w:ascii="Times New Roman" w:hAnsi="Times New Roman" w:cs="Times New Roman"/>
          <w:sz w:val="20"/>
          <w:szCs w:val="20"/>
        </w:rPr>
        <w:t>, (5).</w:t>
      </w:r>
    </w:p>
    <w:p w:rsidR="00AB567A" w:rsidRPr="00821BC8" w:rsidRDefault="00AB567A" w:rsidP="00454C41">
      <w:pPr>
        <w:snapToGrid w:val="0"/>
        <w:spacing w:after="0" w:line="240" w:lineRule="auto"/>
        <w:ind w:firstLine="425"/>
        <w:jc w:val="both"/>
        <w:rPr>
          <w:rFonts w:ascii="Times New Roman" w:hAnsi="Times New Roman" w:cs="Times New Roman"/>
          <w:b/>
          <w:bCs/>
          <w:sz w:val="20"/>
          <w:szCs w:val="20"/>
        </w:rPr>
      </w:pPr>
      <w:r w:rsidRPr="00821BC8">
        <w:rPr>
          <w:rFonts w:ascii="Times New Roman" w:hAnsi="Times New Roman" w:cs="Times New Roman"/>
          <w:sz w:val="20"/>
          <w:szCs w:val="20"/>
        </w:rPr>
        <w:t xml:space="preserve">In humans, MMP-9 activity increases early, with a peak at 6 to 8 hours after stroke and a return toward </w:t>
      </w:r>
      <w:r w:rsidRPr="00821BC8">
        <w:rPr>
          <w:rFonts w:ascii="Times New Roman" w:hAnsi="Times New Roman" w:cs="Times New Roman"/>
          <w:sz w:val="20"/>
          <w:szCs w:val="20"/>
        </w:rPr>
        <w:lastRenderedPageBreak/>
        <w:t>baseline by 24 to 26 hours. MMP-9 mRNA levels are also increased in human peripheral leukocytes at 3 and 5 hours after stroke with a ret</w:t>
      </w:r>
      <w:r w:rsidR="00941494" w:rsidRPr="00821BC8">
        <w:rPr>
          <w:rFonts w:ascii="Times New Roman" w:hAnsi="Times New Roman" w:cs="Times New Roman"/>
          <w:sz w:val="20"/>
          <w:szCs w:val="20"/>
        </w:rPr>
        <w:t>urn toward baseline by 24 hours(6</w:t>
      </w:r>
      <w:r w:rsidRPr="00821BC8">
        <w:rPr>
          <w:rFonts w:ascii="Times New Roman" w:hAnsi="Times New Roman" w:cs="Times New Roman"/>
          <w:sz w:val="20"/>
          <w:szCs w:val="20"/>
        </w:rPr>
        <w:t>).</w:t>
      </w:r>
    </w:p>
    <w:p w:rsidR="007C000E" w:rsidRPr="00821BC8" w:rsidRDefault="001130BF"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The aim of this study was</w:t>
      </w:r>
      <w:r w:rsidR="007B0A20" w:rsidRPr="00821BC8">
        <w:rPr>
          <w:rFonts w:ascii="Times New Roman" w:hAnsi="Times New Roman" w:cs="Times New Roman"/>
          <w:sz w:val="20"/>
          <w:szCs w:val="20"/>
        </w:rPr>
        <w:t xml:space="preserve"> to asses</w:t>
      </w:r>
      <w:r w:rsidR="00011B56" w:rsidRPr="00821BC8">
        <w:rPr>
          <w:rFonts w:ascii="Times New Roman" w:hAnsi="Times New Roman" w:cs="Times New Roman"/>
          <w:sz w:val="20"/>
          <w:szCs w:val="20"/>
        </w:rPr>
        <w:t>s the relationship between plasma</w:t>
      </w:r>
      <w:r w:rsidR="007B0A20" w:rsidRPr="00821BC8">
        <w:rPr>
          <w:rFonts w:ascii="Times New Roman" w:hAnsi="Times New Roman" w:cs="Times New Roman"/>
          <w:sz w:val="20"/>
          <w:szCs w:val="20"/>
        </w:rPr>
        <w:t xml:space="preserve"> MMP-9 concentration within 24 hours of acute stroke onset (cerebral infarction and cerebral hemorrhage) and subsequent complications</w:t>
      </w:r>
      <w:r w:rsidR="00011B56" w:rsidRPr="00821BC8">
        <w:rPr>
          <w:rFonts w:ascii="Times New Roman" w:hAnsi="Times New Roman" w:cs="Times New Roman"/>
          <w:sz w:val="20"/>
          <w:szCs w:val="20"/>
        </w:rPr>
        <w:t xml:space="preserve"> during hospital stay</w:t>
      </w:r>
      <w:r w:rsidR="007B0A20" w:rsidRPr="00821BC8">
        <w:rPr>
          <w:rFonts w:ascii="Times New Roman" w:hAnsi="Times New Roman" w:cs="Times New Roman"/>
          <w:sz w:val="20"/>
          <w:szCs w:val="20"/>
        </w:rPr>
        <w:t>.</w:t>
      </w:r>
    </w:p>
    <w:p w:rsidR="007C000E" w:rsidRPr="00821BC8" w:rsidRDefault="007C000E" w:rsidP="00454C41">
      <w:pPr>
        <w:snapToGrid w:val="0"/>
        <w:spacing w:after="0" w:line="240" w:lineRule="auto"/>
        <w:jc w:val="both"/>
        <w:rPr>
          <w:rFonts w:ascii="Times New Roman" w:hAnsi="Times New Roman" w:cs="Times New Roman"/>
          <w:sz w:val="20"/>
          <w:szCs w:val="20"/>
        </w:rPr>
      </w:pPr>
    </w:p>
    <w:p w:rsidR="007C000E" w:rsidRPr="00821BC8" w:rsidRDefault="00C0497D"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t xml:space="preserve">2. </w:t>
      </w:r>
      <w:r w:rsidR="007C000E" w:rsidRPr="00821BC8">
        <w:rPr>
          <w:rFonts w:ascii="Times New Roman" w:hAnsi="Times New Roman" w:cs="Times New Roman"/>
          <w:b/>
          <w:bCs/>
          <w:sz w:val="20"/>
          <w:szCs w:val="20"/>
        </w:rPr>
        <w:t>Patients and methods</w:t>
      </w:r>
    </w:p>
    <w:p w:rsidR="00601CF4" w:rsidRPr="00821BC8" w:rsidRDefault="00601CF4"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 xml:space="preserve">This case–control study was conducted on 60 patients (30 males and 30 females) with acute cerebrovascular stroke within 24 h from stroke onset. Their mean age was 60.93 ± 8.088 years. Twenty normal volunteers of matched age (mean age: </w:t>
      </w:r>
      <w:r w:rsidRPr="00821BC8">
        <w:rPr>
          <w:rFonts w:ascii="Times New Roman" w:eastAsia="Times New Roman" w:hAnsi="Times New Roman" w:cs="Times New Roman"/>
          <w:sz w:val="20"/>
          <w:szCs w:val="20"/>
        </w:rPr>
        <w:t>58.9 ± 8.045</w:t>
      </w:r>
      <w:r w:rsidRPr="00821BC8">
        <w:rPr>
          <w:rFonts w:ascii="Times New Roman" w:hAnsi="Times New Roman" w:cs="Times New Roman"/>
          <w:sz w:val="20"/>
          <w:szCs w:val="20"/>
        </w:rPr>
        <w:t>years) and sex (10 males and 10 females) served as controls. There was no significant difference between the patient and control groups as regards diabetes, serum levels of cholesterol, triglycerides, liver function tests, renal function tests, PT, INR. They were recruited fro</w:t>
      </w:r>
      <w:r w:rsidR="000F1E7B" w:rsidRPr="00821BC8">
        <w:rPr>
          <w:rFonts w:ascii="Times New Roman" w:hAnsi="Times New Roman" w:cs="Times New Roman"/>
          <w:sz w:val="20"/>
          <w:szCs w:val="20"/>
        </w:rPr>
        <w:t>m the Neurology Inpatient Ward</w:t>
      </w:r>
      <w:r w:rsidRPr="00821BC8">
        <w:rPr>
          <w:rFonts w:ascii="Times New Roman" w:hAnsi="Times New Roman" w:cs="Times New Roman"/>
          <w:sz w:val="20"/>
          <w:szCs w:val="20"/>
        </w:rPr>
        <w:t>, Al-Azhar University Hospitals</w:t>
      </w:r>
      <w:r w:rsidR="000F1E7B" w:rsidRPr="00821BC8">
        <w:rPr>
          <w:rFonts w:ascii="Times New Roman" w:hAnsi="Times New Roman" w:cs="Times New Roman"/>
          <w:sz w:val="20"/>
          <w:szCs w:val="20"/>
        </w:rPr>
        <w:t xml:space="preserve"> (Cairo, Egypt). Twenty</w:t>
      </w:r>
      <w:r w:rsidRPr="00821BC8">
        <w:rPr>
          <w:rFonts w:ascii="Times New Roman" w:hAnsi="Times New Roman" w:cs="Times New Roman"/>
          <w:sz w:val="20"/>
          <w:szCs w:val="20"/>
        </w:rPr>
        <w:t xml:space="preserve"> healthy volunteers of matched age and sex were includ</w:t>
      </w:r>
      <w:r w:rsidR="000F1E7B" w:rsidRPr="00821BC8">
        <w:rPr>
          <w:rFonts w:ascii="Times New Roman" w:hAnsi="Times New Roman" w:cs="Times New Roman"/>
          <w:sz w:val="20"/>
          <w:szCs w:val="20"/>
        </w:rPr>
        <w:t>ed as controls</w:t>
      </w:r>
      <w:r w:rsidRPr="00821BC8">
        <w:rPr>
          <w:rFonts w:ascii="Times New Roman" w:hAnsi="Times New Roman" w:cs="Times New Roman"/>
          <w:sz w:val="20"/>
          <w:szCs w:val="20"/>
        </w:rPr>
        <w:t>. All participants provided informed consent. The study was approved by the local ethics committee, in accordance with the Declaration of Helsinki, and</w:t>
      </w:r>
      <w:r w:rsidR="000F1E7B" w:rsidRPr="00821BC8">
        <w:rPr>
          <w:rFonts w:ascii="Times New Roman" w:hAnsi="Times New Roman" w:cs="Times New Roman"/>
          <w:sz w:val="20"/>
          <w:szCs w:val="20"/>
        </w:rPr>
        <w:t>all patients signed informed consent before inclusion.</w:t>
      </w:r>
    </w:p>
    <w:p w:rsidR="000F1E7B" w:rsidRPr="00821BC8" w:rsidRDefault="000F1E7B"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Patients were selected according to the following inclusion criteria</w:t>
      </w:r>
      <w:r w:rsidR="00454C41" w:rsidRPr="00821BC8">
        <w:rPr>
          <w:rFonts w:ascii="Times New Roman" w:hAnsi="Times New Roman" w:cs="Times New Roman"/>
          <w:sz w:val="20"/>
          <w:szCs w:val="20"/>
        </w:rPr>
        <w:t>: A</w:t>
      </w:r>
      <w:r w:rsidRPr="00821BC8">
        <w:rPr>
          <w:rFonts w:ascii="Times New Roman" w:hAnsi="Times New Roman" w:cs="Times New Roman"/>
          <w:sz w:val="20"/>
          <w:szCs w:val="20"/>
        </w:rPr>
        <w:t>ll patients with an acute cerebrovascular stroke (ischemic and hemorrhagic), admitted within 24 hours from stroke onset</w:t>
      </w:r>
      <w:r w:rsidR="00454C41" w:rsidRPr="00821BC8">
        <w:rPr>
          <w:rFonts w:ascii="Times New Roman" w:hAnsi="Times New Roman" w:cs="Times New Roman"/>
          <w:sz w:val="20"/>
          <w:szCs w:val="20"/>
        </w:rPr>
        <w:t>. S</w:t>
      </w:r>
      <w:r w:rsidRPr="00821BC8">
        <w:rPr>
          <w:rFonts w:ascii="Times New Roman" w:hAnsi="Times New Roman" w:cs="Times New Roman"/>
          <w:sz w:val="20"/>
          <w:szCs w:val="20"/>
        </w:rPr>
        <w:t>troke was defined, according to the WHO definition, as ‘rapidly developing clinical signs of focal (or global) disturbance of cerebral function, lasting more than 24 h or leading to death, with no apparent cause other than that of vascular origin’. The time of onset of the stroke was defined as the time when the patient or observer first became aware of the symptoms, or the last time the patient was symptom free (if the patient was conscious after stroke). Exclusion criteria were as follows</w:t>
      </w:r>
      <w:r w:rsidR="00454C41" w:rsidRPr="00821BC8">
        <w:rPr>
          <w:rFonts w:ascii="Times New Roman" w:hAnsi="Times New Roman" w:cs="Times New Roman"/>
          <w:sz w:val="20"/>
          <w:szCs w:val="20"/>
        </w:rPr>
        <w:t>: O</w:t>
      </w:r>
      <w:r w:rsidRPr="00821BC8">
        <w:rPr>
          <w:rFonts w:ascii="Times New Roman" w:hAnsi="Times New Roman" w:cs="Times New Roman"/>
          <w:sz w:val="20"/>
          <w:szCs w:val="20"/>
        </w:rPr>
        <w:t>nset &gt; 24 hours, patients with known cancer and severe renal or liver diseases, traumatic causes of cerebrovascular stroke.</w:t>
      </w:r>
    </w:p>
    <w:p w:rsidR="00487B68" w:rsidRPr="00821BC8" w:rsidRDefault="00A40CA7"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 xml:space="preserve">Patients were subjected to thorough medical and neurological examination. Stroke severity was evaluated using the National Institutes of Health Stroke Scale. The assessment was carried out within 24 h of stroke onset. Stroke severity was categorized on the basis of NIHSS score as mild (0–5), moderate (6–13), or severe (≥14), as described by Bruno </w:t>
      </w:r>
      <w:r w:rsidRPr="00821BC8">
        <w:rPr>
          <w:rFonts w:ascii="Times New Roman" w:hAnsi="Times New Roman" w:cs="Times New Roman"/>
          <w:i/>
          <w:iCs/>
          <w:sz w:val="20"/>
          <w:szCs w:val="20"/>
        </w:rPr>
        <w:t>et al</w:t>
      </w:r>
      <w:r w:rsidR="00823C62" w:rsidRPr="00821BC8">
        <w:rPr>
          <w:rFonts w:ascii="Times New Roman" w:hAnsi="Times New Roman" w:cs="Times New Roman"/>
          <w:sz w:val="20"/>
          <w:szCs w:val="20"/>
        </w:rPr>
        <w:t>. (9)</w:t>
      </w:r>
      <w:r w:rsidR="009E28FF" w:rsidRPr="00821BC8">
        <w:rPr>
          <w:rFonts w:ascii="Times New Roman" w:hAnsi="Times New Roman" w:cs="Times New Roman"/>
          <w:sz w:val="20"/>
          <w:szCs w:val="20"/>
        </w:rPr>
        <w:t>.</w:t>
      </w:r>
    </w:p>
    <w:p w:rsidR="00C0497D" w:rsidRPr="00821BC8" w:rsidRDefault="009E28FF"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 xml:space="preserve">Brain CT was performed for all patients in the radiology department of Al-Azhar university hospitals. Axial CT cuts were performed with patients in the </w:t>
      </w:r>
      <w:r w:rsidRPr="00821BC8">
        <w:rPr>
          <w:rFonts w:ascii="Times New Roman" w:hAnsi="Times New Roman" w:cs="Times New Roman"/>
          <w:sz w:val="20"/>
          <w:szCs w:val="20"/>
        </w:rPr>
        <w:lastRenderedPageBreak/>
        <w:t>supineposition with 15–20° tilt with 1 cm slice thickness, in addition to posterior fossa cuts every 0.5 cm. MRI was performed when further needed.</w:t>
      </w:r>
    </w:p>
    <w:p w:rsidR="00487B68" w:rsidRPr="00821BC8" w:rsidRDefault="00487B68"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lang w:bidi="ar-EG"/>
        </w:rPr>
        <w:t>Laboratory investigations:</w:t>
      </w:r>
    </w:p>
    <w:p w:rsidR="00487B68" w:rsidRPr="00821BC8" w:rsidRDefault="00487B68" w:rsidP="00454C41">
      <w:pPr>
        <w:snapToGrid w:val="0"/>
        <w:spacing w:after="0" w:line="240" w:lineRule="auto"/>
        <w:jc w:val="both"/>
        <w:rPr>
          <w:rFonts w:ascii="Times New Roman" w:hAnsi="Times New Roman" w:cs="Times New Roman"/>
          <w:b/>
          <w:bCs/>
          <w:sz w:val="20"/>
          <w:szCs w:val="20"/>
          <w:lang w:bidi="ar-EG"/>
        </w:rPr>
      </w:pPr>
      <w:r w:rsidRPr="00821BC8">
        <w:rPr>
          <w:rFonts w:ascii="Times New Roman" w:hAnsi="Times New Roman" w:cs="Times New Roman"/>
          <w:b/>
          <w:bCs/>
          <w:sz w:val="20"/>
          <w:szCs w:val="20"/>
          <w:lang w:bidi="ar-EG"/>
        </w:rPr>
        <w:t>Sampling:</w:t>
      </w:r>
    </w:p>
    <w:p w:rsidR="00487B68" w:rsidRPr="00821BC8" w:rsidRDefault="00487B68" w:rsidP="00454C41">
      <w:pPr>
        <w:snapToGrid w:val="0"/>
        <w:spacing w:after="0" w:line="240" w:lineRule="auto"/>
        <w:ind w:firstLine="425"/>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7 ml of venous blood were obtained from each subject in the study (after written consent) under complete aseptic conditions and drawn into the following tubes:</w:t>
      </w:r>
    </w:p>
    <w:p w:rsidR="00487B68" w:rsidRPr="00821BC8" w:rsidRDefault="00487B68" w:rsidP="0029118E">
      <w:pPr>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1- Citrate vacutainer for Prothrombin assay.</w:t>
      </w:r>
    </w:p>
    <w:p w:rsidR="00487B68" w:rsidRPr="00821BC8" w:rsidRDefault="00487B68" w:rsidP="0029118E">
      <w:pPr>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2- EDTA vacutainer for CBC.</w:t>
      </w:r>
    </w:p>
    <w:p w:rsidR="00487B68" w:rsidRPr="00821BC8" w:rsidRDefault="00487B68" w:rsidP="0029118E">
      <w:pPr>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3- Plain vacutainer with a clot activator. The separated serum was used for assay of liver function tests, Kidney function tests and</w:t>
      </w:r>
      <w:r w:rsidR="00821BC8" w:rsidRPr="00821BC8">
        <w:rPr>
          <w:rFonts w:ascii="Times New Roman" w:hAnsi="Times New Roman" w:cs="Times New Roman" w:hint="eastAsia"/>
          <w:sz w:val="20"/>
          <w:szCs w:val="20"/>
          <w:lang w:eastAsia="zh-CN" w:bidi="ar-EG"/>
        </w:rPr>
        <w:t xml:space="preserve"> </w:t>
      </w:r>
      <w:r w:rsidRPr="00821BC8">
        <w:rPr>
          <w:rFonts w:ascii="Times New Roman" w:hAnsi="Times New Roman" w:cs="Times New Roman"/>
          <w:sz w:val="20"/>
          <w:szCs w:val="20"/>
          <w:lang w:bidi="ar-EG"/>
        </w:rPr>
        <w:t>random blood sugar, After 12 hours fasting another venous sample was drawn for assay of Lipid profile.</w:t>
      </w:r>
    </w:p>
    <w:p w:rsidR="00487B68" w:rsidRPr="00821BC8" w:rsidRDefault="00487B68" w:rsidP="0029118E">
      <w:pPr>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 xml:space="preserve">4- Heparin vacutainer tubes then the separated plasma </w:t>
      </w:r>
      <w:r w:rsidR="00EB1C77" w:rsidRPr="00821BC8">
        <w:rPr>
          <w:rFonts w:ascii="Times New Roman" w:hAnsi="Times New Roman" w:cs="Times New Roman"/>
          <w:sz w:val="20"/>
          <w:szCs w:val="20"/>
          <w:lang w:bidi="ar-EG"/>
        </w:rPr>
        <w:t>were</w:t>
      </w:r>
      <w:r w:rsidRPr="00821BC8">
        <w:rPr>
          <w:rFonts w:ascii="Times New Roman" w:hAnsi="Times New Roman" w:cs="Times New Roman"/>
          <w:sz w:val="20"/>
          <w:szCs w:val="20"/>
          <w:lang w:bidi="ar-EG"/>
        </w:rPr>
        <w:t xml:space="preserve"> stored at -70C for assay of Plasma MMP-9</w:t>
      </w:r>
      <w:r w:rsidR="009E28FF" w:rsidRPr="00821BC8">
        <w:rPr>
          <w:rFonts w:ascii="Times New Roman" w:hAnsi="Times New Roman" w:cs="Times New Roman"/>
          <w:sz w:val="20"/>
          <w:szCs w:val="20"/>
          <w:lang w:bidi="ar-EG"/>
        </w:rPr>
        <w:t>.</w:t>
      </w:r>
    </w:p>
    <w:p w:rsidR="00487B68" w:rsidRPr="00821BC8" w:rsidRDefault="00487B68" w:rsidP="00454C41">
      <w:pPr>
        <w:snapToGrid w:val="0"/>
        <w:spacing w:after="0" w:line="240" w:lineRule="auto"/>
        <w:jc w:val="both"/>
        <w:rPr>
          <w:rFonts w:ascii="Times New Roman" w:hAnsi="Times New Roman" w:cs="Times New Roman"/>
          <w:b/>
          <w:bCs/>
          <w:sz w:val="20"/>
          <w:szCs w:val="20"/>
          <w:lang w:bidi="ar-EG"/>
        </w:rPr>
      </w:pPr>
      <w:r w:rsidRPr="00821BC8">
        <w:rPr>
          <w:rFonts w:ascii="Times New Roman" w:hAnsi="Times New Roman" w:cs="Times New Roman"/>
          <w:b/>
          <w:bCs/>
          <w:sz w:val="20"/>
          <w:szCs w:val="20"/>
          <w:lang w:bidi="ar-EG"/>
        </w:rPr>
        <w:t>Analytical procedures:</w:t>
      </w:r>
    </w:p>
    <w:p w:rsidR="00487B68" w:rsidRPr="00821BC8" w:rsidRDefault="00487B68" w:rsidP="0029118E">
      <w:pPr>
        <w:pStyle w:val="ListParagraph"/>
        <w:numPr>
          <w:ilvl w:val="0"/>
          <w:numId w:val="13"/>
        </w:numPr>
        <w:bidi w:val="0"/>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PT, INR and Prothrombin concentration were assayed by coagulometer Stago (DIGNOSTICA STAGO, Inc)</w:t>
      </w:r>
      <w:r w:rsidR="009E28FF" w:rsidRPr="00821BC8">
        <w:rPr>
          <w:rFonts w:ascii="Times New Roman" w:hAnsi="Times New Roman" w:cs="Times New Roman"/>
          <w:sz w:val="20"/>
          <w:szCs w:val="20"/>
          <w:lang w:bidi="ar-EG"/>
        </w:rPr>
        <w:t>.</w:t>
      </w:r>
    </w:p>
    <w:p w:rsidR="00EB1C77" w:rsidRPr="00821BC8" w:rsidRDefault="00487B68" w:rsidP="0029118E">
      <w:pPr>
        <w:pStyle w:val="ListParagraph"/>
        <w:numPr>
          <w:ilvl w:val="0"/>
          <w:numId w:val="13"/>
        </w:numPr>
        <w:bidi w:val="0"/>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CBC was assayed by Cell counter Sysmex KX-21N (Roch Diagnostics)</w:t>
      </w:r>
      <w:r w:rsidR="009E28FF" w:rsidRPr="00821BC8">
        <w:rPr>
          <w:rFonts w:ascii="Times New Roman" w:hAnsi="Times New Roman" w:cs="Times New Roman"/>
          <w:sz w:val="20"/>
          <w:szCs w:val="20"/>
          <w:lang w:bidi="ar-EG"/>
        </w:rPr>
        <w:t>.</w:t>
      </w:r>
    </w:p>
    <w:p w:rsidR="00487B68" w:rsidRPr="00821BC8" w:rsidRDefault="00487B68" w:rsidP="0029118E">
      <w:pPr>
        <w:pStyle w:val="ListParagraph"/>
        <w:numPr>
          <w:ilvl w:val="0"/>
          <w:numId w:val="13"/>
        </w:numPr>
        <w:bidi w:val="0"/>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Liver function tests (ALT and AST), Kidney function tests (Urea and Creatinine), random blood sugar and lipid profile (Total Cholesterol, Triglycerides, HDL and LDL) all were assay by fully automated</w:t>
      </w:r>
      <w:r w:rsidR="00454C41" w:rsidRPr="00821BC8">
        <w:rPr>
          <w:rFonts w:ascii="Times New Roman" w:hAnsi="Times New Roman" w:cs="Times New Roman"/>
          <w:sz w:val="20"/>
          <w:szCs w:val="20"/>
          <w:lang w:bidi="ar-EG"/>
        </w:rPr>
        <w:t xml:space="preserve"> </w:t>
      </w:r>
      <w:r w:rsidRPr="00821BC8">
        <w:rPr>
          <w:rFonts w:ascii="Times New Roman" w:hAnsi="Times New Roman" w:cs="Times New Roman"/>
          <w:sz w:val="20"/>
          <w:szCs w:val="20"/>
          <w:lang w:bidi="ar-EG"/>
        </w:rPr>
        <w:t>chemistry analyzer Cobas c 311 (Roch Diagnostics)</w:t>
      </w:r>
      <w:r w:rsidR="009E28FF" w:rsidRPr="00821BC8">
        <w:rPr>
          <w:rFonts w:ascii="Times New Roman" w:hAnsi="Times New Roman" w:cs="Times New Roman"/>
          <w:sz w:val="20"/>
          <w:szCs w:val="20"/>
          <w:lang w:bidi="ar-EG"/>
        </w:rPr>
        <w:t>.</w:t>
      </w:r>
    </w:p>
    <w:p w:rsidR="00C0497D" w:rsidRPr="00821BC8" w:rsidRDefault="00487B68" w:rsidP="0029118E">
      <w:pPr>
        <w:pStyle w:val="ListParagraph"/>
        <w:numPr>
          <w:ilvl w:val="0"/>
          <w:numId w:val="13"/>
        </w:numPr>
        <w:bidi w:val="0"/>
        <w:snapToGrid w:val="0"/>
        <w:spacing w:after="0" w:line="240" w:lineRule="auto"/>
        <w:ind w:left="284" w:hanging="284"/>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Assay of plasma MMP-9 by ELISA Kit provided by eBioscience (Vienna, Austria) using Stat fax -2600 (ChroMate) ELISA re</w:t>
      </w:r>
      <w:r w:rsidR="009E28FF" w:rsidRPr="00821BC8">
        <w:rPr>
          <w:rFonts w:ascii="Times New Roman" w:hAnsi="Times New Roman" w:cs="Times New Roman"/>
          <w:sz w:val="20"/>
          <w:szCs w:val="20"/>
          <w:lang w:bidi="ar-EG"/>
        </w:rPr>
        <w:t>ader (supplied by Gamma Trade).</w:t>
      </w:r>
    </w:p>
    <w:p w:rsidR="00C0497D" w:rsidRPr="00821BC8" w:rsidRDefault="00487B68" w:rsidP="00454C41">
      <w:pPr>
        <w:snapToGrid w:val="0"/>
        <w:spacing w:after="0" w:line="240" w:lineRule="auto"/>
        <w:jc w:val="both"/>
        <w:rPr>
          <w:rFonts w:ascii="Times New Roman" w:hAnsi="Times New Roman" w:cs="Times New Roman"/>
          <w:b/>
          <w:bCs/>
          <w:sz w:val="20"/>
          <w:szCs w:val="20"/>
          <w:lang w:bidi="ar-EG"/>
        </w:rPr>
      </w:pPr>
      <w:r w:rsidRPr="00821BC8">
        <w:rPr>
          <w:rFonts w:ascii="Times New Roman" w:hAnsi="Times New Roman" w:cs="Times New Roman"/>
          <w:b/>
          <w:bCs/>
          <w:sz w:val="20"/>
          <w:szCs w:val="20"/>
          <w:lang w:bidi="ar-EG"/>
        </w:rPr>
        <w:t>Principle of the assay:</w:t>
      </w:r>
    </w:p>
    <w:p w:rsidR="00487B68" w:rsidRPr="00821BC8" w:rsidRDefault="00487B68" w:rsidP="00454C41">
      <w:pPr>
        <w:snapToGrid w:val="0"/>
        <w:spacing w:after="0" w:line="240" w:lineRule="auto"/>
        <w:ind w:firstLine="425"/>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This assay employs an antibody specific for Human MMP-9 coated on a 96- well plate. Standards and samples are pipetted into the wells and MMP-9 present in a sample is bound to the wells by the immobilized antibody. The wells are washed and biotinylated anti-Human MMP-9 antibody is added. After washing away unbound biotinylated antibody, HRP-conjugated streptavidin is pipetted to the wells. The wells are again washed, a TMB substrate solution is added to the wells and color develops in proportion to the amount of MMP-9 bound. The Stop Solution changes the color from blue to yellow, and the intensity of the color is measured at 450 nm.</w:t>
      </w:r>
    </w:p>
    <w:p w:rsidR="00CA7919" w:rsidRPr="00821BC8" w:rsidRDefault="00CA7919"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t>Statistical analysis</w:t>
      </w:r>
    </w:p>
    <w:p w:rsidR="00C0497D" w:rsidRPr="00821BC8" w:rsidRDefault="00A84F10"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Data were analyzed using the Statistical Package for Social Sciences (SPSS ver.20 Chicago, IL, USA)</w:t>
      </w:r>
      <w:r w:rsidR="00454C41" w:rsidRPr="00821BC8">
        <w:rPr>
          <w:rFonts w:ascii="Times New Roman" w:hAnsi="Times New Roman" w:cs="Times New Roman"/>
          <w:sz w:val="20"/>
          <w:szCs w:val="20"/>
        </w:rPr>
        <w:t>. T</w:t>
      </w:r>
      <w:r w:rsidRPr="00821BC8">
        <w:rPr>
          <w:rFonts w:ascii="Times New Roman" w:hAnsi="Times New Roman" w:cs="Times New Roman"/>
          <w:sz w:val="20"/>
          <w:szCs w:val="20"/>
        </w:rPr>
        <w:t>he distributions of quantitative variables were tested for normality using Kolmogorov-Smirnov test, which revealed that the data are not normally distributed</w:t>
      </w:r>
      <w:r w:rsidR="00454C41" w:rsidRPr="00821BC8">
        <w:rPr>
          <w:rFonts w:ascii="Times New Roman" w:hAnsi="Times New Roman" w:cs="Times New Roman"/>
          <w:sz w:val="20"/>
          <w:szCs w:val="20"/>
        </w:rPr>
        <w:t>. Q</w:t>
      </w:r>
      <w:r w:rsidRPr="00821BC8">
        <w:rPr>
          <w:rFonts w:ascii="Times New Roman" w:hAnsi="Times New Roman" w:cs="Times New Roman"/>
          <w:sz w:val="20"/>
          <w:szCs w:val="20"/>
        </w:rPr>
        <w:t>uantitative data were described using</w:t>
      </w:r>
      <w:r w:rsidR="00454C41" w:rsidRPr="00821BC8">
        <w:rPr>
          <w:rFonts w:ascii="Times New Roman" w:hAnsi="Times New Roman" w:cs="Times New Roman"/>
          <w:sz w:val="20"/>
          <w:szCs w:val="20"/>
        </w:rPr>
        <w:t>: M</w:t>
      </w:r>
      <w:r w:rsidRPr="00821BC8">
        <w:rPr>
          <w:rFonts w:ascii="Times New Roman" w:hAnsi="Times New Roman" w:cs="Times New Roman"/>
          <w:sz w:val="20"/>
          <w:szCs w:val="20"/>
        </w:rPr>
        <w:t>ean</w:t>
      </w:r>
      <w:r w:rsidR="00454C41" w:rsidRPr="00821BC8">
        <w:rPr>
          <w:rFonts w:ascii="Times New Roman" w:hAnsi="Times New Roman" w:cs="Times New Roman"/>
          <w:sz w:val="20"/>
          <w:szCs w:val="20"/>
        </w:rPr>
        <w:t>: t</w:t>
      </w:r>
      <w:r w:rsidRPr="00821BC8">
        <w:rPr>
          <w:rFonts w:ascii="Times New Roman" w:hAnsi="Times New Roman" w:cs="Times New Roman"/>
          <w:sz w:val="20"/>
          <w:szCs w:val="20"/>
        </w:rPr>
        <w:t>o measure a central value for a group of data</w:t>
      </w:r>
      <w:r w:rsidR="00454C41" w:rsidRPr="00821BC8">
        <w:rPr>
          <w:rFonts w:ascii="Times New Roman" w:hAnsi="Times New Roman" w:cs="Times New Roman"/>
          <w:sz w:val="20"/>
          <w:szCs w:val="20"/>
        </w:rPr>
        <w:t>. S</w:t>
      </w:r>
      <w:r w:rsidRPr="00821BC8">
        <w:rPr>
          <w:rFonts w:ascii="Times New Roman" w:hAnsi="Times New Roman" w:cs="Times New Roman"/>
          <w:sz w:val="20"/>
          <w:szCs w:val="20"/>
        </w:rPr>
        <w:t xml:space="preserve">tandard </w:t>
      </w:r>
      <w:r w:rsidRPr="00821BC8">
        <w:rPr>
          <w:rFonts w:ascii="Times New Roman" w:hAnsi="Times New Roman" w:cs="Times New Roman"/>
          <w:sz w:val="20"/>
          <w:szCs w:val="20"/>
        </w:rPr>
        <w:lastRenderedPageBreak/>
        <w:t>deviation</w:t>
      </w:r>
      <w:r w:rsidR="00454C41" w:rsidRPr="00821BC8">
        <w:rPr>
          <w:rFonts w:ascii="Times New Roman" w:hAnsi="Times New Roman" w:cs="Times New Roman"/>
          <w:sz w:val="20"/>
          <w:szCs w:val="20"/>
        </w:rPr>
        <w:t>: t</w:t>
      </w:r>
      <w:r w:rsidRPr="00821BC8">
        <w:rPr>
          <w:rFonts w:ascii="Times New Roman" w:hAnsi="Times New Roman" w:cs="Times New Roman"/>
          <w:sz w:val="20"/>
          <w:szCs w:val="20"/>
        </w:rPr>
        <w:t>o measure the variations within a group</w:t>
      </w:r>
      <w:r w:rsidR="00454C41" w:rsidRPr="00821BC8">
        <w:rPr>
          <w:rFonts w:ascii="Times New Roman" w:hAnsi="Times New Roman" w:cs="Times New Roman"/>
          <w:sz w:val="20"/>
          <w:szCs w:val="20"/>
        </w:rPr>
        <w:t>. Q</w:t>
      </w:r>
      <w:r w:rsidRPr="00821BC8">
        <w:rPr>
          <w:rFonts w:ascii="Times New Roman" w:hAnsi="Times New Roman" w:cs="Times New Roman"/>
          <w:sz w:val="20"/>
          <w:szCs w:val="20"/>
        </w:rPr>
        <w:t>ualitative data were described using number and percent. Correlation between MMP</w:t>
      </w:r>
      <w:r w:rsidR="00892751" w:rsidRPr="00821BC8">
        <w:rPr>
          <w:rFonts w:ascii="Times New Roman" w:hAnsi="Times New Roman" w:cs="Times New Roman"/>
          <w:sz w:val="20"/>
          <w:szCs w:val="20"/>
        </w:rPr>
        <w:t>-</w:t>
      </w:r>
      <w:r w:rsidRPr="00821BC8">
        <w:rPr>
          <w:rFonts w:ascii="Times New Roman" w:hAnsi="Times New Roman" w:cs="Times New Roman"/>
          <w:sz w:val="20"/>
          <w:szCs w:val="20"/>
        </w:rPr>
        <w:t>9 and other quantitative variables was done using Pearson correlation test</w:t>
      </w:r>
      <w:r w:rsidR="00454C41" w:rsidRPr="00821BC8">
        <w:rPr>
          <w:rFonts w:ascii="Times New Roman" w:hAnsi="Times New Roman" w:cs="Times New Roman"/>
          <w:sz w:val="20"/>
          <w:szCs w:val="20"/>
        </w:rPr>
        <w:t>. C</w:t>
      </w:r>
      <w:r w:rsidRPr="00821BC8">
        <w:rPr>
          <w:rFonts w:ascii="Times New Roman" w:hAnsi="Times New Roman" w:cs="Times New Roman"/>
          <w:sz w:val="20"/>
          <w:szCs w:val="20"/>
        </w:rPr>
        <w:t>omparing quantitative variables between three groups was conducted using One-way ANOVA test, and if the results were significant, a post hoc test was used. Pearson chi square test was used to compare two categorical variables</w:t>
      </w:r>
      <w:r w:rsidR="00454C41" w:rsidRPr="00821BC8">
        <w:rPr>
          <w:rFonts w:ascii="Times New Roman" w:hAnsi="Times New Roman" w:cs="Times New Roman"/>
          <w:sz w:val="20"/>
          <w:szCs w:val="20"/>
        </w:rPr>
        <w:t>. I</w:t>
      </w:r>
      <w:r w:rsidRPr="00821BC8">
        <w:rPr>
          <w:rFonts w:ascii="Times New Roman" w:hAnsi="Times New Roman" w:cs="Times New Roman"/>
          <w:sz w:val="20"/>
          <w:szCs w:val="20"/>
        </w:rPr>
        <w:t>n all statistical tests, level of significance of 0.05 used, below which the results considered to be statistically significant.</w:t>
      </w:r>
    </w:p>
    <w:p w:rsidR="00C0497D" w:rsidRPr="00821BC8" w:rsidRDefault="00C0497D" w:rsidP="00454C41">
      <w:pPr>
        <w:snapToGrid w:val="0"/>
        <w:spacing w:after="0" w:line="240" w:lineRule="auto"/>
        <w:jc w:val="both"/>
        <w:rPr>
          <w:rFonts w:ascii="Times New Roman" w:hAnsi="Times New Roman" w:cs="Times New Roman"/>
          <w:sz w:val="20"/>
          <w:szCs w:val="20"/>
        </w:rPr>
      </w:pPr>
    </w:p>
    <w:p w:rsidR="00474987" w:rsidRPr="00821BC8" w:rsidRDefault="00C0497D"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t>3</w:t>
      </w:r>
      <w:r w:rsidRPr="00821BC8">
        <w:rPr>
          <w:rFonts w:ascii="Times New Roman" w:hAnsi="Times New Roman" w:cs="Times New Roman"/>
          <w:sz w:val="20"/>
          <w:szCs w:val="20"/>
        </w:rPr>
        <w:t xml:space="preserve">. </w:t>
      </w:r>
      <w:r w:rsidR="00474987" w:rsidRPr="00821BC8">
        <w:rPr>
          <w:rFonts w:ascii="Times New Roman" w:hAnsi="Times New Roman" w:cs="Times New Roman"/>
          <w:b/>
          <w:bCs/>
          <w:sz w:val="20"/>
          <w:szCs w:val="20"/>
        </w:rPr>
        <w:t>Results</w:t>
      </w:r>
    </w:p>
    <w:p w:rsidR="00A84F10" w:rsidRPr="00821BC8" w:rsidRDefault="00011B56"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The mean plasma</w:t>
      </w:r>
      <w:r w:rsidR="00892751" w:rsidRPr="00821BC8">
        <w:rPr>
          <w:rFonts w:ascii="Times New Roman" w:hAnsi="Times New Roman" w:cs="Times New Roman"/>
          <w:sz w:val="20"/>
          <w:szCs w:val="20"/>
        </w:rPr>
        <w:t xml:space="preserve"> level of MMP-9 in patients was significantly higher than that in controls (</w:t>
      </w:r>
      <w:r w:rsidR="00892751" w:rsidRPr="00821BC8">
        <w:rPr>
          <w:rFonts w:ascii="Times New Roman" w:hAnsi="Times New Roman" w:cs="Times New Roman"/>
          <w:i/>
          <w:iCs/>
          <w:sz w:val="20"/>
          <w:szCs w:val="20"/>
        </w:rPr>
        <w:t xml:space="preserve">P </w:t>
      </w:r>
      <w:r w:rsidR="00892751" w:rsidRPr="00821BC8">
        <w:rPr>
          <w:rFonts w:ascii="Times New Roman" w:hAnsi="Times New Roman" w:cs="Times New Roman"/>
          <w:sz w:val="20"/>
          <w:szCs w:val="20"/>
        </w:rPr>
        <w:t>= 0.000). There was no significant difference between the two groups as regards age, sex, diabetes, hypertension, RBS, and serum cholesterol and triglycerides.</w:t>
      </w:r>
    </w:p>
    <w:p w:rsidR="00742A8F" w:rsidRPr="00821BC8" w:rsidRDefault="00742A8F"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There was a statistically significant po</w:t>
      </w:r>
      <w:r w:rsidR="00011B56" w:rsidRPr="00821BC8">
        <w:rPr>
          <w:rFonts w:ascii="Times New Roman" w:hAnsi="Times New Roman" w:cs="Times New Roman"/>
          <w:sz w:val="20"/>
          <w:szCs w:val="20"/>
        </w:rPr>
        <w:t>sitive correlation between plasma</w:t>
      </w:r>
      <w:r w:rsidRPr="00821BC8">
        <w:rPr>
          <w:rFonts w:ascii="Times New Roman" w:hAnsi="Times New Roman" w:cs="Times New Roman"/>
          <w:sz w:val="20"/>
          <w:szCs w:val="20"/>
        </w:rPr>
        <w:t xml:space="preserve"> level of MMP-9 and initial stroke severity as measured with NIHSS score (</w:t>
      </w:r>
      <w:r w:rsidRPr="00821BC8">
        <w:rPr>
          <w:rFonts w:ascii="Times New Roman" w:hAnsi="Times New Roman" w:cs="Times New Roman"/>
          <w:i/>
          <w:iCs/>
          <w:sz w:val="20"/>
          <w:szCs w:val="20"/>
        </w:rPr>
        <w:t xml:space="preserve">P </w:t>
      </w:r>
      <w:r w:rsidRPr="00821BC8">
        <w:rPr>
          <w:rFonts w:ascii="Times New Roman" w:hAnsi="Times New Roman" w:cs="Times New Roman"/>
          <w:sz w:val="20"/>
          <w:szCs w:val="20"/>
        </w:rPr>
        <w:t>= 0.000). This correlation remained significant after adjustment for age, sex, diabetes, hypertension, RBS, serum triglycerides, serum cholesterol. There was no significant correlation betwe</w:t>
      </w:r>
      <w:r w:rsidR="00011B56" w:rsidRPr="00821BC8">
        <w:rPr>
          <w:rFonts w:ascii="Times New Roman" w:hAnsi="Times New Roman" w:cs="Times New Roman"/>
          <w:sz w:val="20"/>
          <w:szCs w:val="20"/>
        </w:rPr>
        <w:t>en age of the patients and plasma</w:t>
      </w:r>
      <w:r w:rsidRPr="00821BC8">
        <w:rPr>
          <w:rFonts w:ascii="Times New Roman" w:hAnsi="Times New Roman" w:cs="Times New Roman"/>
          <w:sz w:val="20"/>
          <w:szCs w:val="20"/>
        </w:rPr>
        <w:t xml:space="preserve"> MMP-9 level (</w:t>
      </w:r>
      <w:r w:rsidRPr="00821BC8">
        <w:rPr>
          <w:rFonts w:ascii="Times New Roman" w:hAnsi="Times New Roman" w:cs="Times New Roman"/>
          <w:i/>
          <w:iCs/>
          <w:sz w:val="20"/>
          <w:szCs w:val="20"/>
        </w:rPr>
        <w:t xml:space="preserve">P </w:t>
      </w:r>
      <w:r w:rsidRPr="00821BC8">
        <w:rPr>
          <w:rFonts w:ascii="Times New Roman" w:hAnsi="Times New Roman" w:cs="Times New Roman"/>
          <w:sz w:val="20"/>
          <w:szCs w:val="20"/>
        </w:rPr>
        <w:t>= 0.076).</w:t>
      </w:r>
    </w:p>
    <w:p w:rsidR="00EB1C77" w:rsidRPr="00821BC8" w:rsidRDefault="00EB1C77" w:rsidP="00454C41">
      <w:pPr>
        <w:snapToGrid w:val="0"/>
        <w:spacing w:after="0" w:line="240" w:lineRule="auto"/>
        <w:jc w:val="center"/>
        <w:rPr>
          <w:rFonts w:ascii="Times New Roman" w:hAnsi="Times New Roman" w:cs="Times New Roman"/>
          <w:b/>
          <w:bCs/>
          <w:sz w:val="20"/>
          <w:szCs w:val="20"/>
        </w:rPr>
      </w:pPr>
    </w:p>
    <w:p w:rsidR="009645DE" w:rsidRPr="00821BC8" w:rsidRDefault="00335D5E" w:rsidP="00454C41">
      <w:pPr>
        <w:snapToGrid w:val="0"/>
        <w:spacing w:after="0" w:line="240" w:lineRule="auto"/>
        <w:jc w:val="center"/>
        <w:rPr>
          <w:rFonts w:ascii="Times New Roman" w:hAnsi="Times New Roman" w:cs="Times New Roman"/>
          <w:b/>
          <w:bCs/>
          <w:sz w:val="20"/>
          <w:szCs w:val="20"/>
        </w:rPr>
      </w:pPr>
      <w:r w:rsidRPr="00821BC8">
        <w:rPr>
          <w:rFonts w:ascii="Times New Roman" w:hAnsi="Times New Roman" w:cs="Times New Roman"/>
          <w:b/>
          <w:bCs/>
          <w:sz w:val="20"/>
          <w:szCs w:val="20"/>
        </w:rPr>
        <w:t>Table (1): Clinical and laboratory findings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198"/>
        <w:gridCol w:w="652"/>
        <w:gridCol w:w="752"/>
        <w:gridCol w:w="397"/>
        <w:gridCol w:w="446"/>
      </w:tblGrid>
      <w:tr w:rsidR="00B81516" w:rsidRPr="00821BC8" w:rsidTr="00821BC8">
        <w:trPr>
          <w:cantSplit/>
          <w:trHeight w:val="230"/>
          <w:jc w:val="center"/>
        </w:trPr>
        <w:tc>
          <w:tcPr>
            <w:tcW w:w="2472" w:type="pct"/>
            <w:vMerge w:val="restart"/>
            <w:tcBorders>
              <w:top w:val="single" w:sz="16" w:space="0" w:color="000000"/>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p>
        </w:tc>
        <w:tc>
          <w:tcPr>
            <w:tcW w:w="733" w:type="pct"/>
            <w:vMerge w:val="restart"/>
            <w:tcBorders>
              <w:top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Mean</w:t>
            </w:r>
          </w:p>
        </w:tc>
        <w:tc>
          <w:tcPr>
            <w:tcW w:w="846" w:type="pct"/>
            <w:vMerge w:val="restart"/>
            <w:tcBorders>
              <w:top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Std</w:t>
            </w:r>
          </w:p>
        </w:tc>
        <w:tc>
          <w:tcPr>
            <w:tcW w:w="447" w:type="pct"/>
            <w:vMerge w:val="restart"/>
            <w:tcBorders>
              <w:top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Min</w:t>
            </w:r>
          </w:p>
        </w:tc>
        <w:tc>
          <w:tcPr>
            <w:tcW w:w="502" w:type="pct"/>
            <w:vMerge w:val="restart"/>
            <w:tcBorders>
              <w:top w:val="single" w:sz="16" w:space="0" w:color="000000"/>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Max</w:t>
            </w:r>
          </w:p>
        </w:tc>
      </w:tr>
      <w:tr w:rsidR="00B81516" w:rsidRPr="00821BC8" w:rsidTr="00821BC8">
        <w:trPr>
          <w:cantSplit/>
          <w:trHeight w:val="230"/>
          <w:jc w:val="center"/>
        </w:trPr>
        <w:tc>
          <w:tcPr>
            <w:tcW w:w="2472" w:type="pct"/>
            <w:vMerge/>
            <w:tcBorders>
              <w:top w:val="single" w:sz="16" w:space="0" w:color="000000"/>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p>
        </w:tc>
        <w:tc>
          <w:tcPr>
            <w:tcW w:w="733" w:type="pct"/>
            <w:vMerge/>
            <w:tcBorders>
              <w:top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p>
        </w:tc>
        <w:tc>
          <w:tcPr>
            <w:tcW w:w="846" w:type="pct"/>
            <w:vMerge/>
            <w:tcBorders>
              <w:top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p>
        </w:tc>
        <w:tc>
          <w:tcPr>
            <w:tcW w:w="447" w:type="pct"/>
            <w:vMerge/>
            <w:tcBorders>
              <w:top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p>
        </w:tc>
        <w:tc>
          <w:tcPr>
            <w:tcW w:w="502" w:type="pct"/>
            <w:vMerge/>
            <w:tcBorders>
              <w:top w:val="single" w:sz="16" w:space="0" w:color="000000"/>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p>
        </w:tc>
      </w:tr>
      <w:tr w:rsidR="00B81516" w:rsidRPr="00821BC8" w:rsidTr="00821BC8">
        <w:trPr>
          <w:cantSplit/>
          <w:jc w:val="center"/>
        </w:trPr>
        <w:tc>
          <w:tcPr>
            <w:tcW w:w="2472" w:type="pct"/>
            <w:tcBorders>
              <w:top w:val="single" w:sz="16" w:space="0" w:color="000000"/>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Age</w:t>
            </w:r>
          </w:p>
        </w:tc>
        <w:tc>
          <w:tcPr>
            <w:tcW w:w="733" w:type="pct"/>
            <w:tcBorders>
              <w:top w:val="single" w:sz="16" w:space="0" w:color="000000"/>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60.43</w:t>
            </w:r>
          </w:p>
        </w:tc>
        <w:tc>
          <w:tcPr>
            <w:tcW w:w="846" w:type="pct"/>
            <w:tcBorders>
              <w:top w:val="single" w:sz="16" w:space="0" w:color="000000"/>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8.075</w:t>
            </w:r>
          </w:p>
        </w:tc>
        <w:tc>
          <w:tcPr>
            <w:tcW w:w="447" w:type="pct"/>
            <w:tcBorders>
              <w:top w:val="single" w:sz="16" w:space="0" w:color="000000"/>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45</w:t>
            </w:r>
          </w:p>
        </w:tc>
        <w:tc>
          <w:tcPr>
            <w:tcW w:w="502" w:type="pct"/>
            <w:tcBorders>
              <w:top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81</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Platelets</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218.41</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79.313</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65</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426</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SGPT</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30.98</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13.112</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6</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70</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SGOT</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31.38</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14.182</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8</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78</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Urea</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29.63</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14.976</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8</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65</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Creat</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1.03</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.389</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0</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Cholst</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184.98</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51.682</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92</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320</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TGL</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97.24</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35.473</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35</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256</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RBS</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127.58</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46.597</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57</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285</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PT</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12.59</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.977</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12</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16</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INR</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1.01</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.112</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926365"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MMP-</w:t>
            </w:r>
            <w:r w:rsidR="00B81516" w:rsidRPr="0029118E">
              <w:rPr>
                <w:rFonts w:ascii="Times New Roman" w:hAnsi="Times New Roman" w:cs="Times New Roman"/>
                <w:color w:val="000000"/>
                <w:sz w:val="20"/>
                <w:szCs w:val="20"/>
              </w:rPr>
              <w:t>9</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482.61</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316.592</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992</w:t>
            </w:r>
          </w:p>
        </w:tc>
      </w:tr>
      <w:tr w:rsidR="00B81516" w:rsidRPr="00821BC8" w:rsidTr="00821BC8">
        <w:trPr>
          <w:cantSplit/>
          <w:jc w:val="center"/>
        </w:trPr>
        <w:tc>
          <w:tcPr>
            <w:tcW w:w="2472" w:type="pct"/>
            <w:tcBorders>
              <w:top w:val="nil"/>
              <w:left w:val="single" w:sz="16" w:space="0" w:color="000000"/>
              <w:bottom w:val="nil"/>
              <w:right w:val="single" w:sz="16" w:space="0" w:color="000000"/>
            </w:tcBorders>
            <w:shd w:val="clear" w:color="auto" w:fill="FFFFFF"/>
            <w:vAlign w:val="center"/>
          </w:tcPr>
          <w:p w:rsidR="00B81516" w:rsidRPr="0029118E" w:rsidRDefault="00926365"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Time to blood sampling</w:t>
            </w:r>
          </w:p>
        </w:tc>
        <w:tc>
          <w:tcPr>
            <w:tcW w:w="733"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11.88</w:t>
            </w:r>
          </w:p>
        </w:tc>
        <w:tc>
          <w:tcPr>
            <w:tcW w:w="846"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7.093</w:t>
            </w:r>
          </w:p>
        </w:tc>
        <w:tc>
          <w:tcPr>
            <w:tcW w:w="447" w:type="pct"/>
            <w:tcBorders>
              <w:top w:val="nil"/>
              <w:bottom w:val="nil"/>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w:t>
            </w:r>
          </w:p>
        </w:tc>
        <w:tc>
          <w:tcPr>
            <w:tcW w:w="502" w:type="pct"/>
            <w:tcBorders>
              <w:top w:val="nil"/>
              <w:bottom w:val="nil"/>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23</w:t>
            </w:r>
          </w:p>
        </w:tc>
      </w:tr>
      <w:tr w:rsidR="00B81516" w:rsidRPr="00821BC8" w:rsidTr="00821BC8">
        <w:trPr>
          <w:cantSplit/>
          <w:jc w:val="center"/>
        </w:trPr>
        <w:tc>
          <w:tcPr>
            <w:tcW w:w="2472" w:type="pct"/>
            <w:tcBorders>
              <w:top w:val="nil"/>
              <w:left w:val="single" w:sz="16" w:space="0" w:color="000000"/>
              <w:bottom w:val="single" w:sz="16" w:space="0" w:color="000000"/>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20"/>
                <w:szCs w:val="20"/>
              </w:rPr>
            </w:pPr>
            <w:r w:rsidRPr="0029118E">
              <w:rPr>
                <w:rFonts w:ascii="Times New Roman" w:hAnsi="Times New Roman" w:cs="Times New Roman"/>
                <w:color w:val="000000"/>
                <w:sz w:val="20"/>
                <w:szCs w:val="20"/>
              </w:rPr>
              <w:t>NIH</w:t>
            </w:r>
          </w:p>
        </w:tc>
        <w:tc>
          <w:tcPr>
            <w:tcW w:w="733" w:type="pct"/>
            <w:tcBorders>
              <w:top w:val="nil"/>
              <w:bottom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13.37</w:t>
            </w:r>
          </w:p>
        </w:tc>
        <w:tc>
          <w:tcPr>
            <w:tcW w:w="846" w:type="pct"/>
            <w:tcBorders>
              <w:top w:val="nil"/>
              <w:bottom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7.422</w:t>
            </w:r>
          </w:p>
        </w:tc>
        <w:tc>
          <w:tcPr>
            <w:tcW w:w="447" w:type="pct"/>
            <w:tcBorders>
              <w:top w:val="nil"/>
              <w:bottom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2</w:t>
            </w:r>
          </w:p>
        </w:tc>
        <w:tc>
          <w:tcPr>
            <w:tcW w:w="502" w:type="pct"/>
            <w:tcBorders>
              <w:top w:val="nil"/>
              <w:bottom w:val="single" w:sz="16" w:space="0" w:color="000000"/>
              <w:right w:val="single" w:sz="16" w:space="0" w:color="000000"/>
            </w:tcBorders>
            <w:shd w:val="clear" w:color="auto" w:fill="FFFFFF"/>
            <w:vAlign w:val="center"/>
          </w:tcPr>
          <w:p w:rsidR="00B81516" w:rsidRPr="0029118E" w:rsidRDefault="00B81516" w:rsidP="0029118E">
            <w:pPr>
              <w:widowControl w:val="0"/>
              <w:autoSpaceDE w:val="0"/>
              <w:autoSpaceDN w:val="0"/>
              <w:adjustRightInd w:val="0"/>
              <w:snapToGrid w:val="0"/>
              <w:spacing w:after="0" w:line="240" w:lineRule="auto"/>
              <w:ind w:left="20"/>
              <w:jc w:val="both"/>
              <w:rPr>
                <w:rFonts w:ascii="Times New Roman" w:hAnsi="Times New Roman" w:cs="Times New Roman"/>
                <w:color w:val="000000"/>
                <w:sz w:val="18"/>
                <w:szCs w:val="18"/>
              </w:rPr>
            </w:pPr>
            <w:r w:rsidRPr="0029118E">
              <w:rPr>
                <w:rFonts w:ascii="Times New Roman" w:hAnsi="Times New Roman" w:cs="Times New Roman"/>
                <w:color w:val="000000"/>
                <w:sz w:val="18"/>
                <w:szCs w:val="18"/>
              </w:rPr>
              <w:t>35</w:t>
            </w:r>
          </w:p>
        </w:tc>
      </w:tr>
    </w:tbl>
    <w:p w:rsidR="004312D2" w:rsidRPr="00821BC8" w:rsidRDefault="004312D2" w:rsidP="00454C41">
      <w:pPr>
        <w:snapToGrid w:val="0"/>
        <w:spacing w:after="0" w:line="240" w:lineRule="auto"/>
        <w:ind w:firstLine="425"/>
        <w:jc w:val="both"/>
        <w:rPr>
          <w:rFonts w:ascii="Times New Roman" w:hAnsi="Times New Roman" w:cs="Times New Roman"/>
          <w:b/>
          <w:bCs/>
          <w:sz w:val="20"/>
          <w:szCs w:val="20"/>
          <w:lang w:eastAsia="zh-CN"/>
        </w:rPr>
      </w:pPr>
    </w:p>
    <w:p w:rsidR="00454C41" w:rsidRPr="00821BC8" w:rsidRDefault="00454C41"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There was a difference in plasma level of MMP-9 between patients who developed hemorrhagic transformation and patients who showed no hemorrhagic transformation.</w:t>
      </w:r>
    </w:p>
    <w:p w:rsidR="00454C41" w:rsidRPr="00821BC8" w:rsidRDefault="00454C41"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 xml:space="preserve">There was a statistically significant difference between levels of MMP-9 and NIHSS in patients having complete middle cerebral artery occlusion (complete MCA) and patients having non-complete middle cerebral artery occlusion (non-MCA). Also this </w:t>
      </w:r>
      <w:r w:rsidRPr="00821BC8">
        <w:rPr>
          <w:rFonts w:ascii="Times New Roman" w:hAnsi="Times New Roman" w:cs="Times New Roman"/>
          <w:sz w:val="20"/>
          <w:szCs w:val="20"/>
        </w:rPr>
        <w:lastRenderedPageBreak/>
        <w:t>difference was found between patients who developed seizures, DVT, chest infection and death compared to patients who did not develop these complications.</w:t>
      </w:r>
    </w:p>
    <w:p w:rsidR="00454C41" w:rsidRPr="00821BC8" w:rsidRDefault="00454C41" w:rsidP="00454C41">
      <w:pPr>
        <w:snapToGrid w:val="0"/>
        <w:spacing w:after="0" w:line="240" w:lineRule="auto"/>
        <w:ind w:firstLine="425"/>
        <w:jc w:val="both"/>
        <w:rPr>
          <w:rFonts w:ascii="Times New Roman" w:hAnsi="Times New Roman" w:cs="Times New Roman"/>
          <w:b/>
          <w:bCs/>
          <w:sz w:val="20"/>
          <w:szCs w:val="20"/>
          <w:lang w:eastAsia="zh-CN"/>
        </w:rPr>
      </w:pPr>
    </w:p>
    <w:p w:rsidR="007C6739" w:rsidRPr="00821BC8" w:rsidRDefault="007C6739" w:rsidP="00454C41">
      <w:pPr>
        <w:snapToGrid w:val="0"/>
        <w:spacing w:after="0" w:line="240" w:lineRule="auto"/>
        <w:jc w:val="center"/>
        <w:rPr>
          <w:rFonts w:ascii="Times New Roman" w:hAnsi="Times New Roman" w:cs="Times New Roman"/>
          <w:b/>
          <w:bCs/>
          <w:sz w:val="20"/>
          <w:szCs w:val="20"/>
        </w:rPr>
      </w:pPr>
      <w:r w:rsidRPr="00821BC8">
        <w:rPr>
          <w:rFonts w:ascii="Times New Roman" w:hAnsi="Times New Roman" w:cs="Times New Roman"/>
          <w:b/>
          <w:bCs/>
          <w:noProof/>
          <w:sz w:val="20"/>
          <w:szCs w:val="20"/>
        </w:rPr>
        <w:drawing>
          <wp:inline distT="0" distB="0" distL="0" distR="0">
            <wp:extent cx="2819565" cy="1749287"/>
            <wp:effectExtent l="19050" t="0" r="18885" b="3313"/>
            <wp:docPr id="4"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497D" w:rsidRPr="00821BC8" w:rsidRDefault="00C0497D" w:rsidP="00454C41">
      <w:pPr>
        <w:snapToGrid w:val="0"/>
        <w:spacing w:after="0" w:line="240" w:lineRule="auto"/>
        <w:jc w:val="center"/>
        <w:rPr>
          <w:rFonts w:ascii="Times New Roman" w:hAnsi="Times New Roman" w:cs="Times New Roman"/>
          <w:b/>
          <w:bCs/>
          <w:sz w:val="20"/>
          <w:szCs w:val="20"/>
        </w:rPr>
      </w:pPr>
      <w:r w:rsidRPr="00821BC8">
        <w:rPr>
          <w:rFonts w:ascii="Times New Roman" w:hAnsi="Times New Roman" w:cs="Times New Roman"/>
          <w:b/>
          <w:bCs/>
          <w:sz w:val="20"/>
          <w:szCs w:val="20"/>
        </w:rPr>
        <w:t>Figure (1): Mean of MMP-9 level in the three groups</w:t>
      </w:r>
    </w:p>
    <w:p w:rsidR="00454C41" w:rsidRPr="00821BC8" w:rsidRDefault="00454C41" w:rsidP="00454C41">
      <w:pPr>
        <w:snapToGrid w:val="0"/>
        <w:spacing w:after="0" w:line="240" w:lineRule="auto"/>
        <w:jc w:val="both"/>
        <w:rPr>
          <w:rFonts w:ascii="Times New Roman" w:hAnsi="Times New Roman" w:cs="Times New Roman"/>
          <w:b/>
          <w:bCs/>
          <w:sz w:val="20"/>
          <w:szCs w:val="20"/>
          <w:lang w:eastAsia="zh-CN"/>
        </w:rPr>
      </w:pPr>
    </w:p>
    <w:p w:rsidR="004312D2" w:rsidRPr="00821BC8" w:rsidRDefault="00FB484D" w:rsidP="00454C41">
      <w:pPr>
        <w:snapToGrid w:val="0"/>
        <w:spacing w:after="0" w:line="240" w:lineRule="auto"/>
        <w:jc w:val="center"/>
        <w:rPr>
          <w:rFonts w:ascii="Times New Roman" w:hAnsi="Times New Roman" w:cs="Times New Roman"/>
          <w:b/>
          <w:bCs/>
          <w:sz w:val="20"/>
          <w:szCs w:val="20"/>
        </w:rPr>
      </w:pPr>
      <w:r w:rsidRPr="00821BC8">
        <w:rPr>
          <w:rFonts w:ascii="Times New Roman" w:eastAsia="Calibri" w:hAnsi="Times New Roman" w:cs="Times New Roman"/>
          <w:noProof/>
          <w:sz w:val="20"/>
          <w:szCs w:val="20"/>
        </w:rPr>
        <w:drawing>
          <wp:inline distT="0" distB="0" distL="0" distR="0">
            <wp:extent cx="2857234" cy="2097051"/>
            <wp:effectExtent l="19050" t="0" r="266"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898" cy="2111483"/>
                    </a:xfrm>
                    <a:prstGeom prst="rect">
                      <a:avLst/>
                    </a:prstGeom>
                    <a:noFill/>
                    <a:ln>
                      <a:noFill/>
                    </a:ln>
                  </pic:spPr>
                </pic:pic>
              </a:graphicData>
            </a:graphic>
          </wp:inline>
        </w:drawing>
      </w:r>
    </w:p>
    <w:p w:rsidR="00C0497D" w:rsidRPr="00821BC8" w:rsidRDefault="00C0497D"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t>Figure (2): Scatterplot demonstrating the relationship between MMP-9 level and NIHSS</w:t>
      </w:r>
    </w:p>
    <w:p w:rsidR="00C0497D" w:rsidRPr="00821BC8" w:rsidRDefault="00C0497D" w:rsidP="00454C41">
      <w:pPr>
        <w:snapToGrid w:val="0"/>
        <w:spacing w:after="0" w:line="240" w:lineRule="auto"/>
        <w:jc w:val="center"/>
        <w:rPr>
          <w:rFonts w:ascii="Times New Roman" w:hAnsi="Times New Roman" w:cs="Times New Roman"/>
          <w:b/>
          <w:bCs/>
          <w:sz w:val="20"/>
          <w:szCs w:val="20"/>
        </w:rPr>
      </w:pPr>
    </w:p>
    <w:p w:rsidR="004312D2" w:rsidRPr="00821BC8" w:rsidRDefault="004312D2"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t>Table (2): Correlation between MMP-9 and NIH stroke scale</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070"/>
        <w:gridCol w:w="2132"/>
        <w:gridCol w:w="1243"/>
      </w:tblGrid>
      <w:tr w:rsidR="004312D2" w:rsidRPr="00821BC8" w:rsidTr="00821BC8">
        <w:trPr>
          <w:cantSplit/>
          <w:trHeight w:val="60"/>
          <w:jc w:val="center"/>
        </w:trPr>
        <w:tc>
          <w:tcPr>
            <w:tcW w:w="1204" w:type="pct"/>
            <w:tcBorders>
              <w:top w:val="single" w:sz="4" w:space="0" w:color="auto"/>
              <w:left w:val="single" w:sz="16" w:space="0" w:color="000000"/>
              <w:bottom w:val="nil"/>
              <w:right w:val="single" w:sz="4" w:space="0" w:color="auto"/>
            </w:tcBorders>
            <w:shd w:val="clear" w:color="auto" w:fill="FFFFFF"/>
            <w:vAlign w:val="center"/>
          </w:tcPr>
          <w:p w:rsidR="004312D2" w:rsidRPr="00821BC8" w:rsidRDefault="004312D2" w:rsidP="00454C41">
            <w:pPr>
              <w:snapToGrid w:val="0"/>
              <w:spacing w:after="0" w:line="240" w:lineRule="auto"/>
              <w:jc w:val="both"/>
              <w:rPr>
                <w:rFonts w:ascii="Times New Roman" w:hAnsi="Times New Roman" w:cs="Times New Roman"/>
                <w:color w:val="000000"/>
                <w:sz w:val="20"/>
                <w:szCs w:val="20"/>
              </w:rPr>
            </w:pPr>
          </w:p>
        </w:tc>
        <w:tc>
          <w:tcPr>
            <w:tcW w:w="2398" w:type="pct"/>
            <w:tcBorders>
              <w:top w:val="single" w:sz="4" w:space="0" w:color="auto"/>
              <w:left w:val="single" w:sz="4" w:space="0" w:color="auto"/>
              <w:bottom w:val="nil"/>
              <w:right w:val="single" w:sz="16" w:space="0" w:color="000000"/>
            </w:tcBorders>
            <w:shd w:val="clear" w:color="auto" w:fill="FFFFFF"/>
            <w:vAlign w:val="center"/>
          </w:tcPr>
          <w:p w:rsidR="004312D2" w:rsidRPr="00821BC8" w:rsidRDefault="004312D2" w:rsidP="00454C41">
            <w:pPr>
              <w:snapToGrid w:val="0"/>
              <w:spacing w:after="0" w:line="240" w:lineRule="auto"/>
              <w:jc w:val="both"/>
              <w:rPr>
                <w:rFonts w:ascii="Times New Roman" w:hAnsi="Times New Roman" w:cs="Times New Roman"/>
                <w:color w:val="000000"/>
                <w:sz w:val="20"/>
                <w:szCs w:val="20"/>
              </w:rPr>
            </w:pPr>
          </w:p>
        </w:tc>
        <w:tc>
          <w:tcPr>
            <w:tcW w:w="1398" w:type="pct"/>
            <w:tcBorders>
              <w:top w:val="single" w:sz="4" w:space="0" w:color="auto"/>
              <w:left w:val="single" w:sz="16" w:space="0" w:color="000000"/>
              <w:bottom w:val="nil"/>
              <w:right w:val="single" w:sz="16" w:space="0" w:color="000000"/>
            </w:tcBorders>
            <w:shd w:val="clear" w:color="auto" w:fill="FFFFFF"/>
            <w:vAlign w:val="center"/>
          </w:tcPr>
          <w:p w:rsidR="004312D2" w:rsidRPr="00821BC8" w:rsidRDefault="00926365" w:rsidP="00454C41">
            <w:pPr>
              <w:snapToGrid w:val="0"/>
              <w:spacing w:after="0" w:line="240" w:lineRule="auto"/>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w:t>
            </w:r>
            <w:r w:rsidR="004312D2" w:rsidRPr="00821BC8">
              <w:rPr>
                <w:rFonts w:ascii="Times New Roman" w:hAnsi="Times New Roman" w:cs="Times New Roman"/>
                <w:color w:val="000000"/>
                <w:sz w:val="20"/>
                <w:szCs w:val="20"/>
              </w:rPr>
              <w:t>9</w:t>
            </w:r>
          </w:p>
        </w:tc>
      </w:tr>
      <w:tr w:rsidR="004312D2" w:rsidRPr="00821BC8" w:rsidTr="00821BC8">
        <w:trPr>
          <w:cantSplit/>
          <w:trHeight w:val="97"/>
          <w:jc w:val="center"/>
        </w:trPr>
        <w:tc>
          <w:tcPr>
            <w:tcW w:w="1204" w:type="pct"/>
            <w:vMerge w:val="restart"/>
            <w:tcBorders>
              <w:top w:val="single" w:sz="4" w:space="0" w:color="auto"/>
              <w:left w:val="single" w:sz="16" w:space="0" w:color="000000"/>
              <w:bottom w:val="nil"/>
              <w:right w:val="single" w:sz="4" w:space="0" w:color="auto"/>
            </w:tcBorders>
            <w:shd w:val="clear" w:color="auto" w:fill="FFFFFF"/>
            <w:vAlign w:val="center"/>
          </w:tcPr>
          <w:p w:rsidR="004312D2" w:rsidRPr="00821BC8" w:rsidRDefault="004312D2" w:rsidP="00454C41">
            <w:pPr>
              <w:snapToGrid w:val="0"/>
              <w:spacing w:after="0" w:line="240" w:lineRule="auto"/>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tc>
        <w:tc>
          <w:tcPr>
            <w:tcW w:w="2398" w:type="pct"/>
            <w:tcBorders>
              <w:top w:val="single" w:sz="4" w:space="0" w:color="auto"/>
              <w:left w:val="single" w:sz="4" w:space="0" w:color="auto"/>
              <w:bottom w:val="single" w:sz="4" w:space="0" w:color="auto"/>
              <w:right w:val="single" w:sz="16" w:space="0" w:color="000000"/>
            </w:tcBorders>
            <w:shd w:val="clear" w:color="auto" w:fill="FFFFFF"/>
            <w:vAlign w:val="center"/>
          </w:tcPr>
          <w:p w:rsidR="004312D2" w:rsidRPr="00821BC8" w:rsidRDefault="004312D2" w:rsidP="00454C41">
            <w:pPr>
              <w:snapToGrid w:val="0"/>
              <w:spacing w:after="0" w:line="240" w:lineRule="auto"/>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Pearson Correlation</w:t>
            </w:r>
          </w:p>
        </w:tc>
        <w:tc>
          <w:tcPr>
            <w:tcW w:w="1398" w:type="pct"/>
            <w:tcBorders>
              <w:top w:val="single" w:sz="4" w:space="0" w:color="auto"/>
              <w:left w:val="single" w:sz="16" w:space="0" w:color="000000"/>
              <w:bottom w:val="single" w:sz="4" w:space="0" w:color="auto"/>
              <w:right w:val="single" w:sz="16" w:space="0" w:color="000000"/>
            </w:tcBorders>
            <w:shd w:val="clear" w:color="auto" w:fill="FFFFFF"/>
            <w:vAlign w:val="center"/>
          </w:tcPr>
          <w:p w:rsidR="004312D2" w:rsidRPr="00821BC8" w:rsidRDefault="00926365" w:rsidP="00454C41">
            <w:pPr>
              <w:snapToGrid w:val="0"/>
              <w:spacing w:after="0" w:line="240" w:lineRule="auto"/>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w:t>
            </w:r>
            <w:r w:rsidR="004312D2" w:rsidRPr="00821BC8">
              <w:rPr>
                <w:rFonts w:ascii="Times New Roman" w:hAnsi="Times New Roman" w:cs="Times New Roman"/>
                <w:color w:val="000000"/>
                <w:sz w:val="20"/>
                <w:szCs w:val="20"/>
              </w:rPr>
              <w:t>.824</w:t>
            </w:r>
          </w:p>
        </w:tc>
      </w:tr>
      <w:tr w:rsidR="004312D2" w:rsidRPr="00821BC8" w:rsidTr="00821BC8">
        <w:trPr>
          <w:cantSplit/>
          <w:trHeight w:val="60"/>
          <w:jc w:val="center"/>
        </w:trPr>
        <w:tc>
          <w:tcPr>
            <w:tcW w:w="1204" w:type="pct"/>
            <w:vMerge/>
            <w:tcBorders>
              <w:top w:val="nil"/>
              <w:left w:val="single" w:sz="16" w:space="0" w:color="000000"/>
              <w:bottom w:val="single" w:sz="4" w:space="0" w:color="auto"/>
              <w:right w:val="single" w:sz="4" w:space="0" w:color="auto"/>
            </w:tcBorders>
            <w:shd w:val="clear" w:color="auto" w:fill="FFFFFF"/>
            <w:vAlign w:val="center"/>
          </w:tcPr>
          <w:p w:rsidR="004312D2" w:rsidRPr="00821BC8" w:rsidRDefault="004312D2" w:rsidP="00454C41">
            <w:pPr>
              <w:snapToGrid w:val="0"/>
              <w:spacing w:after="0" w:line="240" w:lineRule="auto"/>
              <w:jc w:val="both"/>
              <w:rPr>
                <w:rFonts w:ascii="Times New Roman" w:hAnsi="Times New Roman" w:cs="Times New Roman"/>
                <w:color w:val="000000"/>
                <w:sz w:val="20"/>
                <w:szCs w:val="20"/>
              </w:rPr>
            </w:pPr>
          </w:p>
        </w:tc>
        <w:tc>
          <w:tcPr>
            <w:tcW w:w="2398" w:type="pct"/>
            <w:tcBorders>
              <w:top w:val="single" w:sz="4" w:space="0" w:color="auto"/>
              <w:left w:val="single" w:sz="4" w:space="0" w:color="auto"/>
              <w:bottom w:val="single" w:sz="4" w:space="0" w:color="auto"/>
              <w:right w:val="single" w:sz="16" w:space="0" w:color="000000"/>
            </w:tcBorders>
            <w:shd w:val="clear" w:color="auto" w:fill="FFFFFF"/>
            <w:vAlign w:val="center"/>
          </w:tcPr>
          <w:p w:rsidR="004312D2" w:rsidRPr="00821BC8" w:rsidRDefault="003667A7" w:rsidP="00454C41">
            <w:pPr>
              <w:snapToGrid w:val="0"/>
              <w:spacing w:after="0" w:line="240" w:lineRule="auto"/>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c>
          <w:tcPr>
            <w:tcW w:w="1398" w:type="pct"/>
            <w:tcBorders>
              <w:top w:val="single" w:sz="4" w:space="0" w:color="auto"/>
              <w:left w:val="single" w:sz="16" w:space="0" w:color="000000"/>
              <w:bottom w:val="single" w:sz="4" w:space="0" w:color="auto"/>
              <w:right w:val="single" w:sz="16" w:space="0" w:color="000000"/>
            </w:tcBorders>
            <w:shd w:val="clear" w:color="auto" w:fill="FFFFFF"/>
            <w:vAlign w:val="center"/>
          </w:tcPr>
          <w:p w:rsidR="004312D2" w:rsidRPr="00821BC8" w:rsidRDefault="00926365" w:rsidP="00454C41">
            <w:pPr>
              <w:snapToGrid w:val="0"/>
              <w:spacing w:after="0" w:line="240" w:lineRule="auto"/>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w:t>
            </w:r>
            <w:r w:rsidR="004312D2" w:rsidRPr="00821BC8">
              <w:rPr>
                <w:rFonts w:ascii="Times New Roman" w:hAnsi="Times New Roman" w:cs="Times New Roman"/>
                <w:color w:val="000000"/>
                <w:sz w:val="20"/>
                <w:szCs w:val="20"/>
              </w:rPr>
              <w:t>.000</w:t>
            </w:r>
          </w:p>
        </w:tc>
      </w:tr>
    </w:tbl>
    <w:p w:rsidR="00EB1C77" w:rsidRPr="00821BC8" w:rsidRDefault="00EB1C77" w:rsidP="00454C41">
      <w:pPr>
        <w:snapToGrid w:val="0"/>
        <w:spacing w:after="0" w:line="240" w:lineRule="auto"/>
        <w:jc w:val="center"/>
        <w:rPr>
          <w:rFonts w:ascii="Times New Roman" w:hAnsi="Times New Roman" w:cs="Times New Roman"/>
          <w:b/>
          <w:bCs/>
          <w:sz w:val="20"/>
          <w:szCs w:val="20"/>
        </w:rPr>
      </w:pPr>
    </w:p>
    <w:p w:rsidR="003667A7" w:rsidRPr="00821BC8" w:rsidRDefault="003667A7"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t>Table (3): Comparison between patients having HT and other patients</w:t>
      </w:r>
    </w:p>
    <w:tbl>
      <w:tblPr>
        <w:tblStyle w:val="TableGrid"/>
        <w:tblW w:w="5000" w:type="pct"/>
        <w:jc w:val="center"/>
        <w:tblLook w:val="04A0"/>
      </w:tblPr>
      <w:tblGrid>
        <w:gridCol w:w="1207"/>
        <w:gridCol w:w="1101"/>
        <w:gridCol w:w="1377"/>
        <w:gridCol w:w="936"/>
      </w:tblGrid>
      <w:tr w:rsidR="003667A7" w:rsidRPr="00821BC8" w:rsidTr="00821BC8">
        <w:trPr>
          <w:jc w:val="center"/>
        </w:trPr>
        <w:tc>
          <w:tcPr>
            <w:tcW w:w="1306" w:type="pct"/>
            <w:vAlign w:val="center"/>
          </w:tcPr>
          <w:p w:rsidR="003667A7" w:rsidRPr="00821BC8" w:rsidRDefault="003667A7" w:rsidP="00454C41">
            <w:pPr>
              <w:snapToGrid w:val="0"/>
              <w:jc w:val="both"/>
              <w:rPr>
                <w:rFonts w:ascii="Times New Roman" w:hAnsi="Times New Roman" w:cs="Times New Roman"/>
                <w:color w:val="000000"/>
                <w:sz w:val="20"/>
                <w:szCs w:val="20"/>
              </w:rPr>
            </w:pPr>
          </w:p>
        </w:tc>
        <w:tc>
          <w:tcPr>
            <w:tcW w:w="1191" w:type="pct"/>
            <w:vAlign w:val="center"/>
          </w:tcPr>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HT</w:t>
            </w:r>
            <w:r w:rsidR="00DE41D0" w:rsidRPr="00821BC8">
              <w:rPr>
                <w:rFonts w:ascii="Times New Roman" w:hAnsi="Times New Roman" w:cs="Times New Roman"/>
                <w:color w:val="000000"/>
                <w:sz w:val="20"/>
                <w:szCs w:val="20"/>
              </w:rPr>
              <w:t xml:space="preserve"> (7)</w:t>
            </w:r>
          </w:p>
        </w:tc>
        <w:tc>
          <w:tcPr>
            <w:tcW w:w="1490" w:type="pct"/>
            <w:vAlign w:val="center"/>
          </w:tcPr>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Non-HT</w:t>
            </w:r>
            <w:r w:rsidR="00DE41D0" w:rsidRPr="00821BC8">
              <w:rPr>
                <w:rFonts w:ascii="Times New Roman" w:hAnsi="Times New Roman" w:cs="Times New Roman"/>
                <w:color w:val="000000"/>
                <w:sz w:val="20"/>
                <w:szCs w:val="20"/>
              </w:rPr>
              <w:t xml:space="preserve"> (33)</w:t>
            </w:r>
          </w:p>
        </w:tc>
        <w:tc>
          <w:tcPr>
            <w:tcW w:w="1013" w:type="pct"/>
            <w:vAlign w:val="center"/>
          </w:tcPr>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r>
      <w:tr w:rsidR="003667A7" w:rsidRPr="00821BC8" w:rsidTr="00821BC8">
        <w:trPr>
          <w:jc w:val="center"/>
        </w:trPr>
        <w:tc>
          <w:tcPr>
            <w:tcW w:w="1306" w:type="pct"/>
            <w:vAlign w:val="center"/>
          </w:tcPr>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MMP-9</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91" w:type="pct"/>
            <w:vAlign w:val="center"/>
          </w:tcPr>
          <w:p w:rsidR="003667A7" w:rsidRPr="00821BC8" w:rsidRDefault="003667A7" w:rsidP="00454C41">
            <w:pPr>
              <w:snapToGrid w:val="0"/>
              <w:jc w:val="both"/>
              <w:rPr>
                <w:rFonts w:ascii="Times New Roman" w:hAnsi="Times New Roman" w:cs="Times New Roman"/>
                <w:color w:val="000000"/>
                <w:sz w:val="20"/>
                <w:szCs w:val="20"/>
              </w:rPr>
            </w:pP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812</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(612-972)</w:t>
            </w:r>
          </w:p>
        </w:tc>
        <w:tc>
          <w:tcPr>
            <w:tcW w:w="1490" w:type="pct"/>
            <w:vAlign w:val="center"/>
          </w:tcPr>
          <w:p w:rsidR="003667A7" w:rsidRPr="00821BC8" w:rsidRDefault="003667A7" w:rsidP="00454C41">
            <w:pPr>
              <w:snapToGrid w:val="0"/>
              <w:jc w:val="both"/>
              <w:rPr>
                <w:rFonts w:ascii="Times New Roman" w:hAnsi="Times New Roman" w:cs="Times New Roman"/>
                <w:color w:val="000000"/>
                <w:sz w:val="20"/>
                <w:szCs w:val="20"/>
              </w:rPr>
            </w:pP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525</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(305-792)</w:t>
            </w:r>
          </w:p>
        </w:tc>
        <w:tc>
          <w:tcPr>
            <w:tcW w:w="1013" w:type="pct"/>
            <w:vAlign w:val="center"/>
          </w:tcPr>
          <w:p w:rsidR="003667A7" w:rsidRPr="00821BC8" w:rsidRDefault="003667A7" w:rsidP="00454C41">
            <w:pPr>
              <w:snapToGrid w:val="0"/>
              <w:jc w:val="both"/>
              <w:rPr>
                <w:rFonts w:ascii="Times New Roman" w:hAnsi="Times New Roman" w:cs="Times New Roman"/>
                <w:color w:val="000000"/>
                <w:sz w:val="20"/>
                <w:szCs w:val="20"/>
              </w:rPr>
            </w:pP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0.04</w:t>
            </w:r>
          </w:p>
        </w:tc>
      </w:tr>
      <w:tr w:rsidR="003667A7" w:rsidRPr="00821BC8" w:rsidTr="00821BC8">
        <w:trPr>
          <w:jc w:val="center"/>
        </w:trPr>
        <w:tc>
          <w:tcPr>
            <w:tcW w:w="1306" w:type="pct"/>
            <w:vAlign w:val="center"/>
          </w:tcPr>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91" w:type="pct"/>
            <w:vAlign w:val="center"/>
          </w:tcPr>
          <w:p w:rsidR="003667A7" w:rsidRPr="00821BC8" w:rsidRDefault="003667A7" w:rsidP="00454C41">
            <w:pPr>
              <w:snapToGrid w:val="0"/>
              <w:jc w:val="both"/>
              <w:rPr>
                <w:rFonts w:ascii="Times New Roman" w:hAnsi="Times New Roman" w:cs="Times New Roman"/>
                <w:color w:val="000000"/>
                <w:sz w:val="20"/>
                <w:szCs w:val="20"/>
              </w:rPr>
            </w:pP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19</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(13-25)</w:t>
            </w:r>
          </w:p>
        </w:tc>
        <w:tc>
          <w:tcPr>
            <w:tcW w:w="1490" w:type="pct"/>
            <w:vAlign w:val="center"/>
          </w:tcPr>
          <w:p w:rsidR="003667A7" w:rsidRPr="00821BC8" w:rsidRDefault="003667A7" w:rsidP="00454C41">
            <w:pPr>
              <w:snapToGrid w:val="0"/>
              <w:jc w:val="both"/>
              <w:rPr>
                <w:rFonts w:ascii="Times New Roman" w:hAnsi="Times New Roman" w:cs="Times New Roman"/>
                <w:color w:val="000000"/>
                <w:sz w:val="20"/>
                <w:szCs w:val="20"/>
              </w:rPr>
            </w:pP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w:t>
            </w: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(4-17)</w:t>
            </w:r>
          </w:p>
        </w:tc>
        <w:tc>
          <w:tcPr>
            <w:tcW w:w="1013" w:type="pct"/>
            <w:vAlign w:val="center"/>
          </w:tcPr>
          <w:p w:rsidR="003667A7" w:rsidRPr="00821BC8" w:rsidRDefault="003667A7" w:rsidP="00454C41">
            <w:pPr>
              <w:snapToGrid w:val="0"/>
              <w:jc w:val="both"/>
              <w:rPr>
                <w:rFonts w:ascii="Times New Roman" w:hAnsi="Times New Roman" w:cs="Times New Roman"/>
                <w:color w:val="000000"/>
                <w:sz w:val="20"/>
                <w:szCs w:val="20"/>
              </w:rPr>
            </w:pPr>
          </w:p>
          <w:p w:rsidR="003667A7" w:rsidRPr="00821BC8" w:rsidRDefault="003667A7"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0.03</w:t>
            </w:r>
          </w:p>
        </w:tc>
      </w:tr>
    </w:tbl>
    <w:p w:rsidR="007A2A9B" w:rsidRDefault="007A2A9B" w:rsidP="00454C41">
      <w:pPr>
        <w:snapToGrid w:val="0"/>
        <w:spacing w:after="0" w:line="240" w:lineRule="auto"/>
        <w:jc w:val="center"/>
        <w:rPr>
          <w:rFonts w:ascii="Times New Roman" w:hAnsi="Times New Roman" w:cs="Times New Roman"/>
          <w:b/>
          <w:bCs/>
          <w:sz w:val="20"/>
          <w:szCs w:val="20"/>
          <w:lang w:eastAsia="zh-CN"/>
        </w:rPr>
      </w:pPr>
    </w:p>
    <w:p w:rsidR="00821BC8" w:rsidRDefault="00821BC8" w:rsidP="00454C41">
      <w:pPr>
        <w:snapToGrid w:val="0"/>
        <w:spacing w:after="0" w:line="240" w:lineRule="auto"/>
        <w:jc w:val="center"/>
        <w:rPr>
          <w:rFonts w:ascii="Times New Roman" w:hAnsi="Times New Roman" w:cs="Times New Roman"/>
          <w:b/>
          <w:bCs/>
          <w:sz w:val="20"/>
          <w:szCs w:val="20"/>
          <w:lang w:eastAsia="zh-CN"/>
        </w:rPr>
      </w:pPr>
    </w:p>
    <w:p w:rsidR="00821BC8" w:rsidRPr="00821BC8" w:rsidRDefault="00821BC8" w:rsidP="00454C41">
      <w:pPr>
        <w:snapToGrid w:val="0"/>
        <w:spacing w:after="0" w:line="240" w:lineRule="auto"/>
        <w:jc w:val="center"/>
        <w:rPr>
          <w:rFonts w:ascii="Times New Roman" w:hAnsi="Times New Roman" w:cs="Times New Roman"/>
          <w:b/>
          <w:bCs/>
          <w:sz w:val="20"/>
          <w:szCs w:val="20"/>
          <w:lang w:eastAsia="zh-CN"/>
        </w:rPr>
      </w:pPr>
    </w:p>
    <w:p w:rsidR="003667A7" w:rsidRPr="00821BC8" w:rsidRDefault="003667A7"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lastRenderedPageBreak/>
        <w:t xml:space="preserve">Table (4): </w:t>
      </w:r>
      <w:r w:rsidR="006A4630" w:rsidRPr="00821BC8">
        <w:rPr>
          <w:rFonts w:ascii="Times New Roman" w:hAnsi="Times New Roman" w:cs="Times New Roman"/>
          <w:b/>
          <w:bCs/>
          <w:sz w:val="20"/>
          <w:szCs w:val="20"/>
        </w:rPr>
        <w:t>Comparison between patients having complete MCA occlusion and other patients</w:t>
      </w:r>
    </w:p>
    <w:tbl>
      <w:tblPr>
        <w:tblStyle w:val="TableGrid"/>
        <w:tblW w:w="5000" w:type="pct"/>
        <w:jc w:val="center"/>
        <w:tblLook w:val="04A0"/>
      </w:tblPr>
      <w:tblGrid>
        <w:gridCol w:w="1157"/>
        <w:gridCol w:w="1053"/>
        <w:gridCol w:w="1519"/>
        <w:gridCol w:w="892"/>
      </w:tblGrid>
      <w:tr w:rsidR="006A4630" w:rsidRPr="00821BC8" w:rsidTr="00821BC8">
        <w:trPr>
          <w:jc w:val="center"/>
        </w:trPr>
        <w:tc>
          <w:tcPr>
            <w:tcW w:w="1251" w:type="pct"/>
          </w:tcPr>
          <w:p w:rsidR="006A4630" w:rsidRPr="00821BC8" w:rsidRDefault="006A4630" w:rsidP="00454C41">
            <w:pPr>
              <w:snapToGrid w:val="0"/>
              <w:jc w:val="both"/>
              <w:rPr>
                <w:rFonts w:ascii="Times New Roman" w:hAnsi="Times New Roman" w:cs="Times New Roman"/>
                <w:b/>
                <w:bCs/>
                <w:color w:val="000000"/>
                <w:sz w:val="20"/>
                <w:szCs w:val="20"/>
              </w:rPr>
            </w:pPr>
          </w:p>
        </w:tc>
        <w:tc>
          <w:tcPr>
            <w:tcW w:w="1139"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MCA</w:t>
            </w:r>
            <w:r w:rsidR="00DE41D0" w:rsidRPr="00821BC8">
              <w:rPr>
                <w:rFonts w:ascii="Times New Roman" w:hAnsi="Times New Roman" w:cs="Times New Roman"/>
                <w:color w:val="000000"/>
                <w:sz w:val="20"/>
                <w:szCs w:val="20"/>
              </w:rPr>
              <w:t xml:space="preserve"> (4)</w:t>
            </w:r>
          </w:p>
        </w:tc>
        <w:tc>
          <w:tcPr>
            <w:tcW w:w="1644"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Non-MCA</w:t>
            </w:r>
            <w:r w:rsidR="00DE41D0" w:rsidRPr="00821BC8">
              <w:rPr>
                <w:rFonts w:ascii="Times New Roman" w:hAnsi="Times New Roman" w:cs="Times New Roman"/>
                <w:color w:val="000000"/>
                <w:sz w:val="20"/>
                <w:szCs w:val="20"/>
              </w:rPr>
              <w:t xml:space="preserve"> (36)</w:t>
            </w:r>
          </w:p>
        </w:tc>
        <w:tc>
          <w:tcPr>
            <w:tcW w:w="965"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r>
      <w:tr w:rsidR="006A4630" w:rsidRPr="00821BC8" w:rsidTr="00821BC8">
        <w:trPr>
          <w:jc w:val="center"/>
        </w:trPr>
        <w:tc>
          <w:tcPr>
            <w:tcW w:w="1251"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MMP-9</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39" w:type="pct"/>
          </w:tcPr>
          <w:p w:rsidR="006A4630" w:rsidRPr="00821BC8" w:rsidRDefault="006A4630" w:rsidP="00454C41">
            <w:pPr>
              <w:snapToGrid w:val="0"/>
              <w:jc w:val="both"/>
              <w:rPr>
                <w:rFonts w:ascii="Times New Roman" w:hAnsi="Times New Roman" w:cs="Times New Roman"/>
                <w:color w:val="000000"/>
                <w:sz w:val="20"/>
                <w:szCs w:val="20"/>
              </w:rPr>
            </w:pP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675</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(613-992)</w:t>
            </w:r>
          </w:p>
        </w:tc>
        <w:tc>
          <w:tcPr>
            <w:tcW w:w="1644" w:type="pct"/>
          </w:tcPr>
          <w:p w:rsidR="006A4630" w:rsidRPr="00821BC8" w:rsidRDefault="006A4630" w:rsidP="00454C41">
            <w:pPr>
              <w:snapToGrid w:val="0"/>
              <w:jc w:val="both"/>
              <w:rPr>
                <w:rFonts w:ascii="Times New Roman" w:hAnsi="Times New Roman" w:cs="Times New Roman"/>
                <w:color w:val="000000"/>
                <w:sz w:val="20"/>
                <w:szCs w:val="20"/>
              </w:rPr>
            </w:pP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513</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(305-775)</w:t>
            </w:r>
          </w:p>
        </w:tc>
        <w:tc>
          <w:tcPr>
            <w:tcW w:w="965" w:type="pct"/>
          </w:tcPr>
          <w:p w:rsidR="006A4630" w:rsidRPr="00821BC8" w:rsidRDefault="006A4630" w:rsidP="00454C41">
            <w:pPr>
              <w:snapToGrid w:val="0"/>
              <w:jc w:val="both"/>
              <w:rPr>
                <w:rFonts w:ascii="Times New Roman" w:hAnsi="Times New Roman" w:cs="Times New Roman"/>
                <w:color w:val="000000"/>
                <w:sz w:val="20"/>
                <w:szCs w:val="20"/>
              </w:rPr>
            </w:pP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0.04</w:t>
            </w:r>
          </w:p>
        </w:tc>
      </w:tr>
      <w:tr w:rsidR="006A4630" w:rsidRPr="00821BC8" w:rsidTr="00821BC8">
        <w:trPr>
          <w:jc w:val="center"/>
        </w:trPr>
        <w:tc>
          <w:tcPr>
            <w:tcW w:w="1251"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39" w:type="pct"/>
          </w:tcPr>
          <w:p w:rsidR="006A4630" w:rsidRPr="00821BC8" w:rsidRDefault="006A4630" w:rsidP="00454C41">
            <w:pPr>
              <w:snapToGrid w:val="0"/>
              <w:jc w:val="both"/>
              <w:rPr>
                <w:rFonts w:ascii="Times New Roman" w:hAnsi="Times New Roman" w:cs="Times New Roman"/>
                <w:color w:val="000000"/>
                <w:sz w:val="20"/>
                <w:szCs w:val="20"/>
              </w:rPr>
            </w:pP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22</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(17-27)</w:t>
            </w:r>
          </w:p>
        </w:tc>
        <w:tc>
          <w:tcPr>
            <w:tcW w:w="1644" w:type="pct"/>
          </w:tcPr>
          <w:p w:rsidR="006A4630" w:rsidRPr="00821BC8" w:rsidRDefault="006A4630" w:rsidP="00454C41">
            <w:pPr>
              <w:snapToGrid w:val="0"/>
              <w:jc w:val="both"/>
              <w:rPr>
                <w:rFonts w:ascii="Times New Roman" w:hAnsi="Times New Roman" w:cs="Times New Roman"/>
                <w:color w:val="000000"/>
                <w:sz w:val="20"/>
                <w:szCs w:val="20"/>
              </w:rPr>
            </w:pP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11</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(4-18)</w:t>
            </w:r>
          </w:p>
        </w:tc>
        <w:tc>
          <w:tcPr>
            <w:tcW w:w="965" w:type="pct"/>
          </w:tcPr>
          <w:p w:rsidR="006A4630" w:rsidRPr="00821BC8" w:rsidRDefault="006A4630" w:rsidP="00454C41">
            <w:pPr>
              <w:snapToGrid w:val="0"/>
              <w:jc w:val="both"/>
              <w:rPr>
                <w:rFonts w:ascii="Times New Roman" w:hAnsi="Times New Roman" w:cs="Times New Roman"/>
                <w:color w:val="000000"/>
                <w:sz w:val="20"/>
                <w:szCs w:val="20"/>
              </w:rPr>
            </w:pP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0.03</w:t>
            </w:r>
          </w:p>
        </w:tc>
      </w:tr>
    </w:tbl>
    <w:p w:rsidR="007A2A9B" w:rsidRPr="00821BC8" w:rsidRDefault="007A2A9B" w:rsidP="00454C41">
      <w:pPr>
        <w:snapToGrid w:val="0"/>
        <w:spacing w:after="0" w:line="240" w:lineRule="auto"/>
        <w:jc w:val="center"/>
        <w:rPr>
          <w:rFonts w:ascii="Times New Roman" w:hAnsi="Times New Roman" w:cs="Times New Roman"/>
          <w:b/>
          <w:bCs/>
          <w:sz w:val="20"/>
          <w:szCs w:val="20"/>
        </w:rPr>
      </w:pPr>
    </w:p>
    <w:p w:rsidR="006A4630" w:rsidRPr="00821BC8" w:rsidRDefault="006A4630" w:rsidP="00454C41">
      <w:pPr>
        <w:snapToGrid w:val="0"/>
        <w:spacing w:after="0" w:line="240" w:lineRule="auto"/>
        <w:jc w:val="both"/>
        <w:rPr>
          <w:rFonts w:ascii="Times New Roman" w:eastAsia="Times New Roman" w:hAnsi="Times New Roman" w:cs="Times New Roman"/>
          <w:b/>
          <w:bCs/>
          <w:sz w:val="20"/>
          <w:szCs w:val="20"/>
        </w:rPr>
      </w:pPr>
      <w:r w:rsidRPr="00821BC8">
        <w:rPr>
          <w:rFonts w:ascii="Times New Roman" w:hAnsi="Times New Roman" w:cs="Times New Roman"/>
          <w:b/>
          <w:bCs/>
          <w:sz w:val="20"/>
          <w:szCs w:val="20"/>
        </w:rPr>
        <w:t xml:space="preserve">Table (5): </w:t>
      </w:r>
      <w:r w:rsidRPr="00821BC8">
        <w:rPr>
          <w:rFonts w:ascii="Times New Roman" w:eastAsia="Times New Roman" w:hAnsi="Times New Roman" w:cs="Times New Roman"/>
          <w:b/>
          <w:bCs/>
          <w:sz w:val="20"/>
          <w:szCs w:val="20"/>
        </w:rPr>
        <w:t>Comparison between patients developed DVT and other patients</w:t>
      </w:r>
    </w:p>
    <w:tbl>
      <w:tblPr>
        <w:tblStyle w:val="TableGrid"/>
        <w:tblW w:w="5000" w:type="pct"/>
        <w:jc w:val="center"/>
        <w:tblLook w:val="04A0"/>
      </w:tblPr>
      <w:tblGrid>
        <w:gridCol w:w="1168"/>
        <w:gridCol w:w="1064"/>
        <w:gridCol w:w="1488"/>
        <w:gridCol w:w="901"/>
      </w:tblGrid>
      <w:tr w:rsidR="006A4630" w:rsidRPr="00821BC8" w:rsidTr="00821BC8">
        <w:trPr>
          <w:jc w:val="center"/>
        </w:trPr>
        <w:tc>
          <w:tcPr>
            <w:tcW w:w="1264" w:type="pct"/>
          </w:tcPr>
          <w:p w:rsidR="006A4630" w:rsidRPr="00821BC8" w:rsidRDefault="006A4630" w:rsidP="00454C41">
            <w:pPr>
              <w:snapToGrid w:val="0"/>
              <w:jc w:val="both"/>
              <w:rPr>
                <w:rFonts w:ascii="Times New Roman" w:hAnsi="Times New Roman" w:cs="Times New Roman"/>
                <w:color w:val="000000"/>
                <w:sz w:val="20"/>
                <w:szCs w:val="20"/>
              </w:rPr>
            </w:pPr>
          </w:p>
        </w:tc>
        <w:tc>
          <w:tcPr>
            <w:tcW w:w="1151"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DVT</w:t>
            </w:r>
            <w:r w:rsidR="00DE41D0" w:rsidRPr="00821BC8">
              <w:rPr>
                <w:rFonts w:ascii="Times New Roman" w:hAnsi="Times New Roman" w:cs="Times New Roman"/>
                <w:color w:val="000000"/>
                <w:sz w:val="20"/>
                <w:szCs w:val="20"/>
              </w:rPr>
              <w:t xml:space="preserve"> (8)</w:t>
            </w:r>
          </w:p>
        </w:tc>
        <w:tc>
          <w:tcPr>
            <w:tcW w:w="1610"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Non-DVT</w:t>
            </w:r>
            <w:r w:rsidR="00DE41D0" w:rsidRPr="00821BC8">
              <w:rPr>
                <w:rFonts w:ascii="Times New Roman" w:hAnsi="Times New Roman" w:cs="Times New Roman"/>
                <w:color w:val="000000"/>
                <w:sz w:val="20"/>
                <w:szCs w:val="20"/>
              </w:rPr>
              <w:t xml:space="preserve"> (52)</w:t>
            </w:r>
          </w:p>
        </w:tc>
        <w:tc>
          <w:tcPr>
            <w:tcW w:w="975"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r>
      <w:tr w:rsidR="006A4630" w:rsidRPr="00821BC8" w:rsidTr="00821BC8">
        <w:trPr>
          <w:jc w:val="center"/>
        </w:trPr>
        <w:tc>
          <w:tcPr>
            <w:tcW w:w="1264"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MMP-9</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51" w:type="pct"/>
          </w:tcPr>
          <w:p w:rsidR="006A4630" w:rsidRPr="00821BC8" w:rsidRDefault="006A4630" w:rsidP="00454C41">
            <w:pPr>
              <w:snapToGrid w:val="0"/>
              <w:jc w:val="both"/>
              <w:rPr>
                <w:rFonts w:ascii="Times New Roman" w:hAnsi="Times New Roman" w:cs="Times New Roman"/>
                <w:color w:val="000000"/>
                <w:sz w:val="20"/>
                <w:szCs w:val="20"/>
              </w:rPr>
            </w:pP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852</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(812-975)</w:t>
            </w:r>
          </w:p>
        </w:tc>
        <w:tc>
          <w:tcPr>
            <w:tcW w:w="1610" w:type="pct"/>
          </w:tcPr>
          <w:p w:rsidR="006A4630" w:rsidRPr="00821BC8" w:rsidRDefault="006A4630" w:rsidP="00454C41">
            <w:pPr>
              <w:snapToGrid w:val="0"/>
              <w:jc w:val="both"/>
              <w:rPr>
                <w:rFonts w:ascii="Times New Roman" w:hAnsi="Times New Roman" w:cs="Times New Roman"/>
                <w:color w:val="000000"/>
                <w:sz w:val="20"/>
                <w:szCs w:val="20"/>
              </w:rPr>
            </w:pP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597</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(305-992</w:t>
            </w:r>
          </w:p>
        </w:tc>
        <w:tc>
          <w:tcPr>
            <w:tcW w:w="975" w:type="pct"/>
          </w:tcPr>
          <w:p w:rsidR="006A4630" w:rsidRPr="00821BC8" w:rsidRDefault="006A4630" w:rsidP="00454C41">
            <w:pPr>
              <w:snapToGrid w:val="0"/>
              <w:jc w:val="both"/>
              <w:rPr>
                <w:rFonts w:ascii="Times New Roman" w:hAnsi="Times New Roman" w:cs="Times New Roman"/>
                <w:color w:val="000000"/>
                <w:sz w:val="20"/>
                <w:szCs w:val="20"/>
              </w:rPr>
            </w:pP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0.001</w:t>
            </w:r>
          </w:p>
        </w:tc>
      </w:tr>
      <w:tr w:rsidR="006A4630" w:rsidRPr="00821BC8" w:rsidTr="00821BC8">
        <w:trPr>
          <w:jc w:val="center"/>
        </w:trPr>
        <w:tc>
          <w:tcPr>
            <w:tcW w:w="1264" w:type="pct"/>
          </w:tcPr>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6A4630" w:rsidRPr="00821BC8" w:rsidRDefault="006A463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51" w:type="pct"/>
          </w:tcPr>
          <w:p w:rsidR="006A4630" w:rsidRPr="00821BC8" w:rsidRDefault="006A4630" w:rsidP="00454C41">
            <w:pPr>
              <w:snapToGrid w:val="0"/>
              <w:jc w:val="both"/>
              <w:rPr>
                <w:rFonts w:ascii="Times New Roman" w:hAnsi="Times New Roman" w:cs="Times New Roman"/>
                <w:color w:val="000000"/>
                <w:sz w:val="20"/>
                <w:szCs w:val="20"/>
              </w:rPr>
            </w:pP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23</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(21-29)</w:t>
            </w:r>
          </w:p>
        </w:tc>
        <w:tc>
          <w:tcPr>
            <w:tcW w:w="1610" w:type="pct"/>
          </w:tcPr>
          <w:p w:rsidR="006A4630" w:rsidRPr="00821BC8" w:rsidRDefault="006A4630" w:rsidP="00454C41">
            <w:pPr>
              <w:snapToGrid w:val="0"/>
              <w:jc w:val="both"/>
              <w:rPr>
                <w:rFonts w:ascii="Times New Roman" w:hAnsi="Times New Roman" w:cs="Times New Roman"/>
                <w:color w:val="000000"/>
                <w:sz w:val="20"/>
                <w:szCs w:val="20"/>
              </w:rPr>
            </w:pP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10</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(21-29)</w:t>
            </w:r>
          </w:p>
        </w:tc>
        <w:tc>
          <w:tcPr>
            <w:tcW w:w="975" w:type="pct"/>
          </w:tcPr>
          <w:p w:rsidR="006A4630" w:rsidRPr="00821BC8" w:rsidRDefault="006A4630" w:rsidP="00454C41">
            <w:pPr>
              <w:snapToGrid w:val="0"/>
              <w:jc w:val="both"/>
              <w:rPr>
                <w:rFonts w:ascii="Times New Roman" w:hAnsi="Times New Roman" w:cs="Times New Roman"/>
                <w:color w:val="000000"/>
                <w:sz w:val="20"/>
                <w:szCs w:val="20"/>
              </w:rPr>
            </w:pP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0.001</w:t>
            </w:r>
          </w:p>
        </w:tc>
      </w:tr>
    </w:tbl>
    <w:p w:rsidR="002B70C3" w:rsidRPr="00821BC8" w:rsidRDefault="002B70C3" w:rsidP="00454C41">
      <w:pPr>
        <w:snapToGrid w:val="0"/>
        <w:spacing w:after="0" w:line="240" w:lineRule="auto"/>
        <w:ind w:firstLine="425"/>
        <w:jc w:val="both"/>
        <w:rPr>
          <w:rFonts w:ascii="Times New Roman" w:hAnsi="Times New Roman" w:cs="Times New Roman"/>
          <w:b/>
          <w:bCs/>
          <w:sz w:val="20"/>
          <w:szCs w:val="20"/>
        </w:rPr>
      </w:pPr>
    </w:p>
    <w:p w:rsidR="00157020" w:rsidRPr="00821BC8" w:rsidRDefault="00157020" w:rsidP="00454C41">
      <w:pPr>
        <w:snapToGrid w:val="0"/>
        <w:spacing w:after="0" w:line="240" w:lineRule="auto"/>
        <w:jc w:val="both"/>
        <w:rPr>
          <w:rFonts w:ascii="Times New Roman" w:eastAsia="Times New Roman" w:hAnsi="Times New Roman" w:cs="Times New Roman"/>
          <w:b/>
          <w:bCs/>
          <w:sz w:val="20"/>
          <w:szCs w:val="20"/>
        </w:rPr>
      </w:pPr>
      <w:r w:rsidRPr="00821BC8">
        <w:rPr>
          <w:rFonts w:ascii="Times New Roman" w:hAnsi="Times New Roman" w:cs="Times New Roman"/>
          <w:b/>
          <w:bCs/>
          <w:sz w:val="20"/>
          <w:szCs w:val="20"/>
        </w:rPr>
        <w:t xml:space="preserve">Table (6): </w:t>
      </w:r>
      <w:r w:rsidRPr="00821BC8">
        <w:rPr>
          <w:rFonts w:ascii="Times New Roman" w:eastAsia="Times New Roman" w:hAnsi="Times New Roman" w:cs="Times New Roman"/>
          <w:b/>
          <w:bCs/>
          <w:sz w:val="20"/>
          <w:szCs w:val="20"/>
        </w:rPr>
        <w:t>Comparison between patients who had seizures and other patients</w:t>
      </w:r>
    </w:p>
    <w:tbl>
      <w:tblPr>
        <w:tblStyle w:val="TableGrid"/>
        <w:tblW w:w="0" w:type="auto"/>
        <w:jc w:val="center"/>
        <w:tblInd w:w="-176" w:type="dxa"/>
        <w:tblLook w:val="04A0"/>
      </w:tblPr>
      <w:tblGrid>
        <w:gridCol w:w="1116"/>
        <w:gridCol w:w="1277"/>
        <w:gridCol w:w="1538"/>
        <w:gridCol w:w="861"/>
      </w:tblGrid>
      <w:tr w:rsidR="00157020" w:rsidRPr="00821BC8" w:rsidTr="00821BC8">
        <w:trPr>
          <w:jc w:val="center"/>
        </w:trPr>
        <w:tc>
          <w:tcPr>
            <w:tcW w:w="0" w:type="auto"/>
          </w:tcPr>
          <w:p w:rsidR="00157020" w:rsidRPr="00821BC8" w:rsidRDefault="00157020" w:rsidP="00454C41">
            <w:pPr>
              <w:snapToGrid w:val="0"/>
              <w:jc w:val="both"/>
              <w:rPr>
                <w:rFonts w:ascii="Times New Roman" w:hAnsi="Times New Roman" w:cs="Times New Roman"/>
                <w:color w:val="000000"/>
                <w:sz w:val="20"/>
                <w:szCs w:val="20"/>
              </w:rPr>
            </w:pP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Seizures</w:t>
            </w:r>
            <w:r w:rsidR="00DE41D0" w:rsidRPr="00821BC8">
              <w:rPr>
                <w:rFonts w:ascii="Times New Roman" w:hAnsi="Times New Roman" w:cs="Times New Roman"/>
                <w:color w:val="000000"/>
                <w:sz w:val="20"/>
                <w:szCs w:val="20"/>
              </w:rPr>
              <w:t xml:space="preserve"> (13)</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No seizures</w:t>
            </w:r>
            <w:r w:rsidR="00EB1C77" w:rsidRPr="00821BC8">
              <w:rPr>
                <w:rFonts w:ascii="Times New Roman" w:hAnsi="Times New Roman" w:cs="Times New Roman"/>
                <w:color w:val="000000"/>
                <w:sz w:val="20"/>
                <w:szCs w:val="20"/>
              </w:rPr>
              <w:t xml:space="preserve"> </w:t>
            </w:r>
            <w:r w:rsidR="00DE41D0" w:rsidRPr="00821BC8">
              <w:rPr>
                <w:rFonts w:ascii="Times New Roman" w:hAnsi="Times New Roman" w:cs="Times New Roman"/>
                <w:color w:val="000000"/>
                <w:sz w:val="20"/>
                <w:szCs w:val="20"/>
              </w:rPr>
              <w:t>(47)</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r>
      <w:tr w:rsidR="00157020" w:rsidRPr="00821BC8" w:rsidTr="00821BC8">
        <w:trPr>
          <w:jc w:val="center"/>
        </w:trPr>
        <w:tc>
          <w:tcPr>
            <w:tcW w:w="0" w:type="auto"/>
          </w:tcPr>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MMP-9</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824</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(507-992)</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586</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(305-972</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0.001</w:t>
            </w:r>
          </w:p>
        </w:tc>
      </w:tr>
      <w:tr w:rsidR="00157020" w:rsidRPr="00821BC8" w:rsidTr="00821BC8">
        <w:trPr>
          <w:jc w:val="center"/>
        </w:trPr>
        <w:tc>
          <w:tcPr>
            <w:tcW w:w="0" w:type="auto"/>
          </w:tcPr>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157020" w:rsidRPr="00821BC8" w:rsidRDefault="00157020"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22</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(11-35)</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9</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(4-25)</w:t>
            </w:r>
          </w:p>
        </w:tc>
        <w:tc>
          <w:tcPr>
            <w:tcW w:w="0" w:type="auto"/>
          </w:tcPr>
          <w:p w:rsidR="00157020" w:rsidRPr="00821BC8" w:rsidRDefault="00157020"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0.001</w:t>
            </w:r>
          </w:p>
        </w:tc>
      </w:tr>
    </w:tbl>
    <w:p w:rsidR="00454C41" w:rsidRPr="00821BC8" w:rsidRDefault="00454C41" w:rsidP="00454C41">
      <w:pPr>
        <w:snapToGrid w:val="0"/>
        <w:spacing w:after="0" w:line="240" w:lineRule="auto"/>
        <w:jc w:val="both"/>
        <w:rPr>
          <w:rFonts w:ascii="Times New Roman" w:hAnsi="Times New Roman" w:cs="Times New Roman"/>
          <w:b/>
          <w:bCs/>
          <w:sz w:val="20"/>
          <w:szCs w:val="20"/>
          <w:lang w:eastAsia="zh-CN"/>
        </w:rPr>
      </w:pPr>
    </w:p>
    <w:p w:rsidR="00FB484D" w:rsidRPr="00821BC8" w:rsidRDefault="00FB484D"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t>Table (7): Comparison between mortality patients and other patients who had survived</w:t>
      </w:r>
    </w:p>
    <w:tbl>
      <w:tblPr>
        <w:tblStyle w:val="TableGrid"/>
        <w:tblW w:w="0" w:type="auto"/>
        <w:jc w:val="center"/>
        <w:tblLook w:val="04A0"/>
      </w:tblPr>
      <w:tblGrid>
        <w:gridCol w:w="1188"/>
        <w:gridCol w:w="1126"/>
        <w:gridCol w:w="1492"/>
        <w:gridCol w:w="815"/>
      </w:tblGrid>
      <w:tr w:rsidR="00FB484D" w:rsidRPr="00821BC8" w:rsidTr="00821BC8">
        <w:trPr>
          <w:jc w:val="center"/>
        </w:trPr>
        <w:tc>
          <w:tcPr>
            <w:tcW w:w="1188" w:type="dxa"/>
          </w:tcPr>
          <w:p w:rsidR="00FB484D" w:rsidRPr="00821BC8" w:rsidRDefault="00FB484D" w:rsidP="00454C41">
            <w:pPr>
              <w:snapToGrid w:val="0"/>
              <w:jc w:val="both"/>
              <w:rPr>
                <w:rFonts w:ascii="Times New Roman" w:hAnsi="Times New Roman" w:cs="Times New Roman"/>
                <w:color w:val="000000"/>
                <w:sz w:val="20"/>
                <w:szCs w:val="20"/>
              </w:rPr>
            </w:pPr>
          </w:p>
        </w:tc>
        <w:tc>
          <w:tcPr>
            <w:tcW w:w="1126" w:type="dxa"/>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Mortality</w:t>
            </w:r>
            <w:r w:rsidR="00DE41D0" w:rsidRPr="00821BC8">
              <w:rPr>
                <w:rFonts w:ascii="Times New Roman" w:hAnsi="Times New Roman" w:cs="Times New Roman"/>
                <w:color w:val="000000"/>
                <w:sz w:val="20"/>
                <w:szCs w:val="20"/>
              </w:rPr>
              <w:t xml:space="preserve"> (10)</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No Mortality</w:t>
            </w:r>
            <w:r w:rsidR="00DE41D0" w:rsidRPr="00821BC8">
              <w:rPr>
                <w:rFonts w:ascii="Times New Roman" w:hAnsi="Times New Roman" w:cs="Times New Roman"/>
                <w:color w:val="000000"/>
                <w:sz w:val="20"/>
                <w:szCs w:val="20"/>
              </w:rPr>
              <w:t xml:space="preserve"> (50)</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r>
      <w:tr w:rsidR="00FB484D" w:rsidRPr="00821BC8" w:rsidTr="00821BC8">
        <w:trPr>
          <w:jc w:val="center"/>
        </w:trPr>
        <w:tc>
          <w:tcPr>
            <w:tcW w:w="1188" w:type="dxa"/>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MMP-9</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26" w:type="dxa"/>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808.5</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(621-992)</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590.5</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(305-975)</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0.003</w:t>
            </w:r>
          </w:p>
        </w:tc>
      </w:tr>
      <w:tr w:rsidR="00FB484D" w:rsidRPr="00821BC8" w:rsidTr="00821BC8">
        <w:trPr>
          <w:jc w:val="center"/>
        </w:trPr>
        <w:tc>
          <w:tcPr>
            <w:tcW w:w="1188" w:type="dxa"/>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1126" w:type="dxa"/>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22</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(13-35)</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9</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(4-29)</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w:t>
            </w:r>
            <w:r w:rsidR="00941F03" w:rsidRPr="00821BC8">
              <w:rPr>
                <w:rFonts w:ascii="Times New Roman" w:hAnsi="Times New Roman" w:cs="Times New Roman"/>
                <w:color w:val="000000"/>
                <w:sz w:val="20"/>
                <w:szCs w:val="20"/>
              </w:rPr>
              <w:t>01</w:t>
            </w:r>
          </w:p>
        </w:tc>
      </w:tr>
    </w:tbl>
    <w:p w:rsidR="00FB484D" w:rsidRPr="00821BC8" w:rsidRDefault="00FB484D" w:rsidP="00454C41">
      <w:pPr>
        <w:snapToGrid w:val="0"/>
        <w:spacing w:after="0" w:line="240" w:lineRule="auto"/>
        <w:jc w:val="center"/>
        <w:rPr>
          <w:rFonts w:ascii="Times New Roman" w:hAnsi="Times New Roman" w:cs="Times New Roman"/>
          <w:sz w:val="20"/>
          <w:szCs w:val="20"/>
        </w:rPr>
      </w:pPr>
    </w:p>
    <w:p w:rsidR="00FB484D" w:rsidRPr="00821BC8" w:rsidRDefault="00335D5E" w:rsidP="00454C41">
      <w:pPr>
        <w:snapToGrid w:val="0"/>
        <w:spacing w:after="0" w:line="240" w:lineRule="auto"/>
        <w:jc w:val="both"/>
        <w:rPr>
          <w:rFonts w:ascii="Times New Roman" w:eastAsia="Times New Roman" w:hAnsi="Times New Roman" w:cs="Times New Roman"/>
          <w:b/>
          <w:bCs/>
          <w:sz w:val="20"/>
          <w:szCs w:val="20"/>
        </w:rPr>
      </w:pPr>
      <w:r w:rsidRPr="00821BC8">
        <w:rPr>
          <w:rFonts w:ascii="Times New Roman" w:hAnsi="Times New Roman" w:cs="Times New Roman"/>
          <w:b/>
          <w:bCs/>
          <w:sz w:val="20"/>
          <w:szCs w:val="20"/>
        </w:rPr>
        <w:t xml:space="preserve">Table (8): </w:t>
      </w:r>
      <w:r w:rsidRPr="00821BC8">
        <w:rPr>
          <w:rFonts w:ascii="Times New Roman" w:eastAsia="Times New Roman" w:hAnsi="Times New Roman" w:cs="Times New Roman"/>
          <w:b/>
          <w:bCs/>
          <w:sz w:val="20"/>
          <w:szCs w:val="20"/>
        </w:rPr>
        <w:t>Comparison between patients developed chest infection and other patients</w:t>
      </w:r>
    </w:p>
    <w:tbl>
      <w:tblPr>
        <w:tblStyle w:val="TableGrid"/>
        <w:tblW w:w="0" w:type="auto"/>
        <w:jc w:val="center"/>
        <w:tblInd w:w="-162" w:type="dxa"/>
        <w:tblLook w:val="04A0"/>
      </w:tblPr>
      <w:tblGrid>
        <w:gridCol w:w="1135"/>
        <w:gridCol w:w="1378"/>
        <w:gridCol w:w="1505"/>
        <w:gridCol w:w="765"/>
      </w:tblGrid>
      <w:tr w:rsidR="00FB484D" w:rsidRPr="00821BC8" w:rsidTr="00821BC8">
        <w:trPr>
          <w:jc w:val="center"/>
        </w:trPr>
        <w:tc>
          <w:tcPr>
            <w:tcW w:w="1135" w:type="dxa"/>
          </w:tcPr>
          <w:p w:rsidR="00FB484D" w:rsidRPr="00821BC8" w:rsidRDefault="00FB484D" w:rsidP="00454C41">
            <w:pPr>
              <w:snapToGrid w:val="0"/>
              <w:jc w:val="both"/>
              <w:rPr>
                <w:rFonts w:ascii="Times New Roman" w:hAnsi="Times New Roman" w:cs="Times New Roman"/>
                <w:color w:val="000000"/>
                <w:sz w:val="20"/>
                <w:szCs w:val="20"/>
              </w:rPr>
            </w:pP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Chest infection</w:t>
            </w:r>
            <w:r w:rsidR="00DE41D0" w:rsidRPr="00821BC8">
              <w:rPr>
                <w:rFonts w:ascii="Times New Roman" w:hAnsi="Times New Roman" w:cs="Times New Roman"/>
                <w:color w:val="000000"/>
                <w:sz w:val="20"/>
                <w:szCs w:val="20"/>
              </w:rPr>
              <w:t xml:space="preserve"> (11)</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No chest infection</w:t>
            </w:r>
            <w:r w:rsidR="00DE41D0" w:rsidRPr="00821BC8">
              <w:rPr>
                <w:rFonts w:ascii="Times New Roman" w:hAnsi="Times New Roman" w:cs="Times New Roman"/>
                <w:color w:val="000000"/>
                <w:sz w:val="20"/>
                <w:szCs w:val="20"/>
              </w:rPr>
              <w:t xml:space="preserve"> (49)</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P. value</w:t>
            </w:r>
          </w:p>
        </w:tc>
      </w:tr>
      <w:tr w:rsidR="00FB484D" w:rsidRPr="00821BC8" w:rsidTr="00821BC8">
        <w:trPr>
          <w:jc w:val="center"/>
        </w:trPr>
        <w:tc>
          <w:tcPr>
            <w:tcW w:w="1135" w:type="dxa"/>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MMP-9</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812</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(528-975)</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600</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(305-992)</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0.004</w:t>
            </w:r>
          </w:p>
        </w:tc>
      </w:tr>
      <w:tr w:rsidR="00FB484D" w:rsidRPr="00821BC8" w:rsidTr="00821BC8">
        <w:trPr>
          <w:jc w:val="center"/>
        </w:trPr>
        <w:tc>
          <w:tcPr>
            <w:tcW w:w="1135" w:type="dxa"/>
          </w:tcPr>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NIH</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Median</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(Min-Max)</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20</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(9-29)</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10</w:t>
            </w: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(4-35)</w:t>
            </w:r>
          </w:p>
        </w:tc>
        <w:tc>
          <w:tcPr>
            <w:tcW w:w="0" w:type="auto"/>
          </w:tcPr>
          <w:p w:rsidR="00FB484D" w:rsidRPr="00821BC8" w:rsidRDefault="00FB484D" w:rsidP="00454C41">
            <w:pPr>
              <w:snapToGrid w:val="0"/>
              <w:jc w:val="both"/>
              <w:rPr>
                <w:rFonts w:ascii="Times New Roman" w:hAnsi="Times New Roman" w:cs="Times New Roman"/>
                <w:color w:val="000000"/>
                <w:sz w:val="20"/>
                <w:szCs w:val="20"/>
              </w:rPr>
            </w:pPr>
          </w:p>
          <w:p w:rsidR="00FB484D" w:rsidRPr="00821BC8" w:rsidRDefault="00FB484D" w:rsidP="00454C41">
            <w:pPr>
              <w:snapToGrid w:val="0"/>
              <w:jc w:val="both"/>
              <w:rPr>
                <w:rFonts w:ascii="Times New Roman" w:hAnsi="Times New Roman" w:cs="Times New Roman"/>
                <w:color w:val="000000"/>
                <w:sz w:val="20"/>
                <w:szCs w:val="20"/>
              </w:rPr>
            </w:pPr>
            <w:r w:rsidRPr="00821BC8">
              <w:rPr>
                <w:rFonts w:ascii="Times New Roman" w:hAnsi="Times New Roman" w:cs="Times New Roman"/>
                <w:color w:val="000000"/>
                <w:sz w:val="20"/>
                <w:szCs w:val="20"/>
              </w:rPr>
              <w:t>0.003</w:t>
            </w:r>
          </w:p>
        </w:tc>
      </w:tr>
    </w:tbl>
    <w:p w:rsidR="007A2A9B" w:rsidRDefault="007A2A9B" w:rsidP="00454C41">
      <w:pPr>
        <w:snapToGrid w:val="0"/>
        <w:spacing w:after="0" w:line="240" w:lineRule="auto"/>
        <w:ind w:firstLine="425"/>
        <w:jc w:val="both"/>
        <w:rPr>
          <w:rFonts w:ascii="Times New Roman" w:hAnsi="Times New Roman" w:cs="Times New Roman"/>
          <w:b/>
          <w:bCs/>
          <w:sz w:val="20"/>
          <w:szCs w:val="20"/>
          <w:lang w:eastAsia="zh-CN"/>
        </w:rPr>
      </w:pPr>
    </w:p>
    <w:p w:rsidR="00821BC8" w:rsidRDefault="00821BC8" w:rsidP="00454C41">
      <w:pPr>
        <w:snapToGrid w:val="0"/>
        <w:spacing w:after="0" w:line="240" w:lineRule="auto"/>
        <w:ind w:firstLine="425"/>
        <w:jc w:val="both"/>
        <w:rPr>
          <w:rFonts w:ascii="Times New Roman" w:hAnsi="Times New Roman" w:cs="Times New Roman"/>
          <w:b/>
          <w:bCs/>
          <w:sz w:val="20"/>
          <w:szCs w:val="20"/>
          <w:lang w:eastAsia="zh-CN"/>
        </w:rPr>
      </w:pPr>
    </w:p>
    <w:p w:rsidR="00821BC8" w:rsidRDefault="00821BC8" w:rsidP="00454C41">
      <w:pPr>
        <w:snapToGrid w:val="0"/>
        <w:spacing w:after="0" w:line="240" w:lineRule="auto"/>
        <w:ind w:firstLine="425"/>
        <w:jc w:val="both"/>
        <w:rPr>
          <w:rFonts w:ascii="Times New Roman" w:hAnsi="Times New Roman" w:cs="Times New Roman"/>
          <w:b/>
          <w:bCs/>
          <w:sz w:val="20"/>
          <w:szCs w:val="20"/>
          <w:lang w:eastAsia="zh-CN"/>
        </w:rPr>
      </w:pPr>
    </w:p>
    <w:p w:rsidR="0029118E" w:rsidRPr="00821BC8" w:rsidRDefault="0029118E" w:rsidP="00454C41">
      <w:pPr>
        <w:snapToGrid w:val="0"/>
        <w:spacing w:after="0" w:line="240" w:lineRule="auto"/>
        <w:ind w:firstLine="425"/>
        <w:jc w:val="both"/>
        <w:rPr>
          <w:rFonts w:ascii="Times New Roman" w:hAnsi="Times New Roman" w:cs="Times New Roman"/>
          <w:b/>
          <w:bCs/>
          <w:sz w:val="20"/>
          <w:szCs w:val="20"/>
          <w:lang w:eastAsia="zh-CN"/>
        </w:rPr>
      </w:pPr>
    </w:p>
    <w:p w:rsidR="004312D2" w:rsidRPr="00821BC8" w:rsidRDefault="00EB1C77"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lastRenderedPageBreak/>
        <w:t xml:space="preserve">4. </w:t>
      </w:r>
      <w:r w:rsidR="000A7DA0" w:rsidRPr="00821BC8">
        <w:rPr>
          <w:rFonts w:ascii="Times New Roman" w:hAnsi="Times New Roman" w:cs="Times New Roman"/>
          <w:b/>
          <w:bCs/>
          <w:sz w:val="20"/>
          <w:szCs w:val="20"/>
        </w:rPr>
        <w:t>Discussion</w:t>
      </w:r>
    </w:p>
    <w:p w:rsidR="004312D2" w:rsidRPr="00821BC8" w:rsidRDefault="000A7DA0" w:rsidP="00454C41">
      <w:pPr>
        <w:snapToGrid w:val="0"/>
        <w:spacing w:after="0" w:line="240" w:lineRule="auto"/>
        <w:ind w:firstLine="425"/>
        <w:jc w:val="both"/>
        <w:rPr>
          <w:rFonts w:ascii="Times New Roman" w:hAnsi="Times New Roman" w:cs="Times New Roman"/>
          <w:b/>
          <w:bCs/>
          <w:sz w:val="20"/>
          <w:szCs w:val="20"/>
        </w:rPr>
      </w:pPr>
      <w:r w:rsidRPr="00821BC8">
        <w:rPr>
          <w:rFonts w:ascii="Times New Roman" w:hAnsi="Times New Roman" w:cs="Times New Roman"/>
          <w:sz w:val="20"/>
          <w:szCs w:val="20"/>
        </w:rPr>
        <w:t xml:space="preserve">Stroke is one of the leading causes of persistent disability in Western </w:t>
      </w:r>
      <w:r w:rsidR="00EB1C77" w:rsidRPr="00821BC8">
        <w:rPr>
          <w:rFonts w:ascii="Times New Roman" w:hAnsi="Times New Roman" w:cs="Times New Roman"/>
          <w:sz w:val="20"/>
          <w:szCs w:val="20"/>
        </w:rPr>
        <w:t>countries. It</w:t>
      </w:r>
      <w:r w:rsidRPr="00821BC8">
        <w:rPr>
          <w:rFonts w:ascii="Times New Roman" w:hAnsi="Times New Roman" w:cs="Times New Roman"/>
          <w:sz w:val="20"/>
          <w:szCs w:val="20"/>
        </w:rPr>
        <w:t xml:space="preserve"> induces acute deficits of motion, sensation, cognition, and emotion. In the majority of patients, stroke results from an interruption of cerebral blood supply and subsequent ischemic brain damage, while &gt;25% of patients suffer from intracranial hemorrhage </w:t>
      </w:r>
      <w:r w:rsidR="00941494" w:rsidRPr="00821BC8">
        <w:rPr>
          <w:rFonts w:ascii="Times New Roman" w:hAnsi="Times New Roman" w:cs="Times New Roman"/>
          <w:sz w:val="20"/>
          <w:szCs w:val="20"/>
        </w:rPr>
        <w:t>(7</w:t>
      </w:r>
      <w:r w:rsidRPr="00821BC8">
        <w:rPr>
          <w:rFonts w:ascii="Times New Roman" w:hAnsi="Times New Roman" w:cs="Times New Roman"/>
          <w:sz w:val="20"/>
          <w:szCs w:val="20"/>
        </w:rPr>
        <w:t>).</w:t>
      </w:r>
    </w:p>
    <w:p w:rsidR="000A7DA0" w:rsidRPr="00821BC8" w:rsidRDefault="000A7DA0" w:rsidP="00454C41">
      <w:pPr>
        <w:snapToGrid w:val="0"/>
        <w:spacing w:after="0" w:line="240" w:lineRule="auto"/>
        <w:ind w:firstLine="425"/>
        <w:jc w:val="both"/>
        <w:rPr>
          <w:rFonts w:ascii="Times New Roman" w:hAnsi="Times New Roman" w:cs="Times New Roman"/>
          <w:b/>
          <w:bCs/>
          <w:sz w:val="20"/>
          <w:szCs w:val="20"/>
        </w:rPr>
      </w:pPr>
      <w:r w:rsidRPr="00821BC8">
        <w:rPr>
          <w:rFonts w:ascii="Times New Roman" w:hAnsi="Times New Roman" w:cs="Times New Roman"/>
          <w:sz w:val="20"/>
          <w:szCs w:val="20"/>
        </w:rPr>
        <w:t>MMPs are normally expressed at very low levels under normal conditions with localized expression induced when remodeling of the extracellular matrix (ECM)</w:t>
      </w:r>
      <w:r w:rsidR="00823C62" w:rsidRPr="00821BC8">
        <w:rPr>
          <w:rFonts w:ascii="Times New Roman" w:hAnsi="Times New Roman" w:cs="Times New Roman"/>
          <w:sz w:val="20"/>
          <w:szCs w:val="20"/>
        </w:rPr>
        <w:t xml:space="preserve"> is </w:t>
      </w:r>
      <w:r w:rsidR="00EB1C77" w:rsidRPr="00821BC8">
        <w:rPr>
          <w:rFonts w:ascii="Times New Roman" w:hAnsi="Times New Roman" w:cs="Times New Roman"/>
          <w:sz w:val="20"/>
          <w:szCs w:val="20"/>
        </w:rPr>
        <w:t>required (</w:t>
      </w:r>
      <w:r w:rsidR="00823C62" w:rsidRPr="00821BC8">
        <w:rPr>
          <w:rFonts w:ascii="Times New Roman" w:hAnsi="Times New Roman" w:cs="Times New Roman"/>
          <w:sz w:val="20"/>
          <w:szCs w:val="20"/>
        </w:rPr>
        <w:t>8</w:t>
      </w:r>
      <w:r w:rsidRPr="00821BC8">
        <w:rPr>
          <w:rFonts w:ascii="Times New Roman" w:hAnsi="Times New Roman" w:cs="Times New Roman"/>
          <w:sz w:val="20"/>
          <w:szCs w:val="20"/>
        </w:rPr>
        <w:t>).</w:t>
      </w:r>
    </w:p>
    <w:p w:rsidR="000A7DA0" w:rsidRPr="00821BC8" w:rsidRDefault="000A7DA0"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In ischemic stroke patients, a correlation between plasma MMP-9 levels and National Institute of Health Stroke Scale (NIHSS) score has been observed. MMP-9 expression correlated with stroke severity and poor out</w:t>
      </w:r>
      <w:r w:rsidR="00823C62" w:rsidRPr="00821BC8">
        <w:rPr>
          <w:rFonts w:ascii="Times New Roman" w:hAnsi="Times New Roman" w:cs="Times New Roman"/>
          <w:sz w:val="20"/>
          <w:szCs w:val="20"/>
        </w:rPr>
        <w:t xml:space="preserve">come, as assessed by the </w:t>
      </w:r>
      <w:r w:rsidR="00EB1C77" w:rsidRPr="00821BC8">
        <w:rPr>
          <w:rFonts w:ascii="Times New Roman" w:hAnsi="Times New Roman" w:cs="Times New Roman"/>
          <w:sz w:val="20"/>
          <w:szCs w:val="20"/>
        </w:rPr>
        <w:t>NIHSS (</w:t>
      </w:r>
      <w:r w:rsidR="00823C62" w:rsidRPr="00821BC8">
        <w:rPr>
          <w:rFonts w:ascii="Times New Roman" w:hAnsi="Times New Roman" w:cs="Times New Roman"/>
          <w:sz w:val="20"/>
          <w:szCs w:val="20"/>
        </w:rPr>
        <w:t>8</w:t>
      </w:r>
      <w:r w:rsidRPr="00821BC8">
        <w:rPr>
          <w:rFonts w:ascii="Times New Roman" w:hAnsi="Times New Roman" w:cs="Times New Roman"/>
          <w:sz w:val="20"/>
          <w:szCs w:val="20"/>
        </w:rPr>
        <w:t>).</w:t>
      </w:r>
    </w:p>
    <w:p w:rsidR="000A7DA0" w:rsidRPr="00821BC8" w:rsidRDefault="000A7DA0" w:rsidP="00454C41">
      <w:pPr>
        <w:snapToGrid w:val="0"/>
        <w:spacing w:after="0" w:line="240" w:lineRule="auto"/>
        <w:ind w:firstLine="425"/>
        <w:jc w:val="both"/>
        <w:rPr>
          <w:rFonts w:ascii="Times New Roman" w:hAnsi="Times New Roman" w:cs="Times New Roman"/>
          <w:b/>
          <w:bCs/>
          <w:sz w:val="20"/>
          <w:szCs w:val="20"/>
        </w:rPr>
      </w:pPr>
      <w:r w:rsidRPr="00821BC8">
        <w:rPr>
          <w:rFonts w:ascii="Times New Roman" w:hAnsi="Times New Roman" w:cs="Times New Roman"/>
          <w:sz w:val="20"/>
          <w:szCs w:val="20"/>
        </w:rPr>
        <w:t>A relationship between b</w:t>
      </w:r>
      <w:r w:rsidR="00F17FA0" w:rsidRPr="00821BC8">
        <w:rPr>
          <w:rFonts w:ascii="Times New Roman" w:hAnsi="Times New Roman" w:cs="Times New Roman"/>
          <w:sz w:val="20"/>
          <w:szCs w:val="20"/>
        </w:rPr>
        <w:t xml:space="preserve">aseline MMP-9 levels and hemorrhagic transformation </w:t>
      </w:r>
      <w:r w:rsidR="003667A7" w:rsidRPr="00821BC8">
        <w:rPr>
          <w:rFonts w:ascii="Times New Roman" w:hAnsi="Times New Roman" w:cs="Times New Roman"/>
          <w:sz w:val="20"/>
          <w:szCs w:val="20"/>
        </w:rPr>
        <w:t xml:space="preserve">(HT) </w:t>
      </w:r>
      <w:r w:rsidR="00F17FA0" w:rsidRPr="00821BC8">
        <w:rPr>
          <w:rFonts w:ascii="Times New Roman" w:hAnsi="Times New Roman" w:cs="Times New Roman"/>
          <w:sz w:val="20"/>
          <w:szCs w:val="20"/>
        </w:rPr>
        <w:t>had</w:t>
      </w:r>
      <w:r w:rsidRPr="00821BC8">
        <w:rPr>
          <w:rFonts w:ascii="Times New Roman" w:hAnsi="Times New Roman" w:cs="Times New Roman"/>
          <w:sz w:val="20"/>
          <w:szCs w:val="20"/>
        </w:rPr>
        <w:t xml:space="preserve"> been established, where high baselin</w:t>
      </w:r>
      <w:r w:rsidR="00F17FA0" w:rsidRPr="00821BC8">
        <w:rPr>
          <w:rFonts w:ascii="Times New Roman" w:hAnsi="Times New Roman" w:cs="Times New Roman"/>
          <w:sz w:val="20"/>
          <w:szCs w:val="20"/>
        </w:rPr>
        <w:t>e levels were predictive of</w:t>
      </w:r>
      <w:r w:rsidRPr="00821BC8">
        <w:rPr>
          <w:rFonts w:ascii="Times New Roman" w:hAnsi="Times New Roman" w:cs="Times New Roman"/>
          <w:sz w:val="20"/>
          <w:szCs w:val="20"/>
        </w:rPr>
        <w:t xml:space="preserve"> hemorrhagic events, further supported by the observation that MMP-9 levels were hig</w:t>
      </w:r>
      <w:r w:rsidR="00F17FA0" w:rsidRPr="00821BC8">
        <w:rPr>
          <w:rFonts w:ascii="Times New Roman" w:hAnsi="Times New Roman" w:cs="Times New Roman"/>
          <w:sz w:val="20"/>
          <w:szCs w:val="20"/>
        </w:rPr>
        <w:t>her in patients who developed hemorrhagic transformation</w:t>
      </w:r>
      <w:r w:rsidRPr="00821BC8">
        <w:rPr>
          <w:rFonts w:ascii="Times New Roman" w:hAnsi="Times New Roman" w:cs="Times New Roman"/>
          <w:sz w:val="20"/>
          <w:szCs w:val="20"/>
        </w:rPr>
        <w:t xml:space="preserve"> of their infarct. Furthermore, MMP-9 levels were significantly</w:t>
      </w:r>
      <w:r w:rsidR="00F17FA0" w:rsidRPr="00821BC8">
        <w:rPr>
          <w:rFonts w:ascii="Times New Roman" w:hAnsi="Times New Roman" w:cs="Times New Roman"/>
          <w:sz w:val="20"/>
          <w:szCs w:val="20"/>
        </w:rPr>
        <w:t xml:space="preserve"> higher in those patients with hemorrhagic transformation</w:t>
      </w:r>
      <w:r w:rsidRPr="00821BC8">
        <w:rPr>
          <w:rFonts w:ascii="Times New Roman" w:hAnsi="Times New Roman" w:cs="Times New Roman"/>
          <w:sz w:val="20"/>
          <w:szCs w:val="20"/>
        </w:rPr>
        <w:t>, compar</w:t>
      </w:r>
      <w:r w:rsidR="00823C62" w:rsidRPr="00821BC8">
        <w:rPr>
          <w:rFonts w:ascii="Times New Roman" w:hAnsi="Times New Roman" w:cs="Times New Roman"/>
          <w:sz w:val="20"/>
          <w:szCs w:val="20"/>
        </w:rPr>
        <w:t xml:space="preserve">ed to those </w:t>
      </w:r>
      <w:r w:rsidR="00EB1C77" w:rsidRPr="00821BC8">
        <w:rPr>
          <w:rFonts w:ascii="Times New Roman" w:hAnsi="Times New Roman" w:cs="Times New Roman"/>
          <w:sz w:val="20"/>
          <w:szCs w:val="20"/>
        </w:rPr>
        <w:t>without (</w:t>
      </w:r>
      <w:r w:rsidR="00823C62" w:rsidRPr="00821BC8">
        <w:rPr>
          <w:rFonts w:ascii="Times New Roman" w:hAnsi="Times New Roman" w:cs="Times New Roman"/>
          <w:sz w:val="20"/>
          <w:szCs w:val="20"/>
        </w:rPr>
        <w:t>8</w:t>
      </w:r>
      <w:r w:rsidRPr="00821BC8">
        <w:rPr>
          <w:rFonts w:ascii="Times New Roman" w:hAnsi="Times New Roman" w:cs="Times New Roman"/>
          <w:sz w:val="20"/>
          <w:szCs w:val="20"/>
        </w:rPr>
        <w:t>).</w:t>
      </w:r>
    </w:p>
    <w:p w:rsidR="000A7DA0" w:rsidRPr="00821BC8" w:rsidRDefault="00F17FA0" w:rsidP="00454C41">
      <w:pPr>
        <w:snapToGrid w:val="0"/>
        <w:spacing w:after="0" w:line="240" w:lineRule="auto"/>
        <w:ind w:firstLine="425"/>
        <w:jc w:val="both"/>
        <w:rPr>
          <w:rFonts w:ascii="Times New Roman" w:hAnsi="Times New Roman" w:cs="Times New Roman"/>
          <w:b/>
          <w:bCs/>
          <w:sz w:val="20"/>
          <w:szCs w:val="20"/>
        </w:rPr>
      </w:pPr>
      <w:r w:rsidRPr="00821BC8">
        <w:rPr>
          <w:rFonts w:ascii="Times New Roman" w:hAnsi="Times New Roman" w:cs="Times New Roman"/>
          <w:sz w:val="20"/>
          <w:szCs w:val="20"/>
        </w:rPr>
        <w:t>This study found that MMP-</w:t>
      </w:r>
      <w:r w:rsidR="000A7DA0" w:rsidRPr="00821BC8">
        <w:rPr>
          <w:rFonts w:ascii="Times New Roman" w:hAnsi="Times New Roman" w:cs="Times New Roman"/>
          <w:sz w:val="20"/>
          <w:szCs w:val="20"/>
        </w:rPr>
        <w:t xml:space="preserve">9 level is elevated in ischemic and hemorrhagic groups compared with the control </w:t>
      </w:r>
      <w:r w:rsidR="00EB1C77" w:rsidRPr="00821BC8">
        <w:rPr>
          <w:rFonts w:ascii="Times New Roman" w:hAnsi="Times New Roman" w:cs="Times New Roman"/>
          <w:sz w:val="20"/>
          <w:szCs w:val="20"/>
        </w:rPr>
        <w:t>groups (</w:t>
      </w:r>
      <w:r w:rsidR="00823C62" w:rsidRPr="00821BC8">
        <w:rPr>
          <w:rFonts w:ascii="Times New Roman" w:hAnsi="Times New Roman" w:cs="Times New Roman"/>
          <w:sz w:val="20"/>
          <w:szCs w:val="20"/>
        </w:rPr>
        <w:t>4), (5), (8).</w:t>
      </w:r>
    </w:p>
    <w:p w:rsidR="000A7DA0" w:rsidRPr="00821BC8" w:rsidRDefault="000A7DA0"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Routine laboratory investigations showed no statistically significant difference between patients and controls, thus allowing MMP-9 level and NIHSS the only changing parameter.</w:t>
      </w:r>
    </w:p>
    <w:p w:rsidR="000A7DA0" w:rsidRPr="00821BC8" w:rsidRDefault="003E18F3"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In this study,</w:t>
      </w:r>
      <w:r w:rsidR="00F17FA0" w:rsidRPr="00821BC8">
        <w:rPr>
          <w:rFonts w:ascii="Times New Roman" w:hAnsi="Times New Roman" w:cs="Times New Roman"/>
          <w:sz w:val="20"/>
          <w:szCs w:val="20"/>
        </w:rPr>
        <w:t xml:space="preserve"> there was an elevation in plasma</w:t>
      </w:r>
      <w:r w:rsidRPr="00821BC8">
        <w:rPr>
          <w:rFonts w:ascii="Times New Roman" w:hAnsi="Times New Roman" w:cs="Times New Roman"/>
          <w:sz w:val="20"/>
          <w:szCs w:val="20"/>
        </w:rPr>
        <w:t xml:space="preserve"> level of MMP-9 in patients having intracerebral hemorrhage and was markedly elevated in those patients having a higher NIHSS.</w:t>
      </w:r>
    </w:p>
    <w:p w:rsidR="00EB1C77" w:rsidRPr="00821BC8" w:rsidRDefault="00F17FA0"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In this study, there was a statistically significant difference between levels of MMP-9 and NIHSS of patients who developed DVT, complete middle cerebral artery occlusion, seizures, chest infection, mortality</w:t>
      </w:r>
      <w:r w:rsidR="00BC0FBE" w:rsidRPr="00821BC8">
        <w:rPr>
          <w:rFonts w:ascii="Times New Roman" w:hAnsi="Times New Roman" w:cs="Times New Roman"/>
          <w:sz w:val="20"/>
          <w:szCs w:val="20"/>
        </w:rPr>
        <w:t xml:space="preserve"> compared to patients who did not </w:t>
      </w:r>
      <w:r w:rsidR="00926365" w:rsidRPr="00821BC8">
        <w:rPr>
          <w:rFonts w:ascii="Times New Roman" w:hAnsi="Times New Roman" w:cs="Times New Roman"/>
          <w:sz w:val="20"/>
          <w:szCs w:val="20"/>
        </w:rPr>
        <w:t>develop these complications (10), (11), (12), (13), (14), (15).</w:t>
      </w:r>
    </w:p>
    <w:p w:rsidR="00EB1C77" w:rsidRPr="00821BC8" w:rsidRDefault="00EB1C77" w:rsidP="00454C41">
      <w:pPr>
        <w:snapToGrid w:val="0"/>
        <w:spacing w:after="0" w:line="240" w:lineRule="auto"/>
        <w:ind w:firstLine="425"/>
        <w:jc w:val="both"/>
        <w:rPr>
          <w:rFonts w:ascii="Times New Roman" w:hAnsi="Times New Roman" w:cs="Times New Roman"/>
          <w:sz w:val="20"/>
          <w:szCs w:val="20"/>
        </w:rPr>
      </w:pPr>
    </w:p>
    <w:p w:rsidR="00126AB3" w:rsidRPr="00821BC8" w:rsidRDefault="00126AB3"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t>Conclusion</w:t>
      </w:r>
    </w:p>
    <w:p w:rsidR="00126AB3" w:rsidRPr="00821BC8" w:rsidRDefault="00F17FA0" w:rsidP="00454C41">
      <w:pPr>
        <w:snapToGrid w:val="0"/>
        <w:spacing w:after="0" w:line="240" w:lineRule="auto"/>
        <w:ind w:firstLine="425"/>
        <w:jc w:val="both"/>
        <w:rPr>
          <w:rFonts w:ascii="Times New Roman" w:hAnsi="Times New Roman" w:cs="Times New Roman"/>
          <w:sz w:val="20"/>
          <w:szCs w:val="20"/>
        </w:rPr>
      </w:pPr>
      <w:r w:rsidRPr="00821BC8">
        <w:rPr>
          <w:rFonts w:ascii="Times New Roman" w:hAnsi="Times New Roman" w:cs="Times New Roman"/>
          <w:sz w:val="20"/>
          <w:szCs w:val="20"/>
        </w:rPr>
        <w:t>Plasma</w:t>
      </w:r>
      <w:r w:rsidR="00126AB3" w:rsidRPr="00821BC8">
        <w:rPr>
          <w:rFonts w:ascii="Times New Roman" w:hAnsi="Times New Roman" w:cs="Times New Roman"/>
          <w:sz w:val="20"/>
          <w:szCs w:val="20"/>
        </w:rPr>
        <w:t xml:space="preserve"> level of MMP-9 in cases of acute cerebrovascular stroke is a non-invasive tool that can add important information regarding severity and clinical outcome.</w:t>
      </w:r>
    </w:p>
    <w:p w:rsidR="007A2A9B" w:rsidRPr="00821BC8" w:rsidRDefault="007A2A9B" w:rsidP="00454C41">
      <w:pPr>
        <w:snapToGrid w:val="0"/>
        <w:spacing w:after="0" w:line="240" w:lineRule="auto"/>
        <w:ind w:firstLine="425"/>
        <w:jc w:val="both"/>
        <w:rPr>
          <w:rFonts w:ascii="Times New Roman" w:hAnsi="Times New Roman" w:cs="Times New Roman"/>
          <w:b/>
          <w:bCs/>
          <w:sz w:val="20"/>
          <w:szCs w:val="20"/>
        </w:rPr>
      </w:pPr>
    </w:p>
    <w:p w:rsidR="00126AB3" w:rsidRPr="00821BC8" w:rsidRDefault="00126AB3" w:rsidP="00454C41">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b/>
          <w:bCs/>
          <w:sz w:val="20"/>
          <w:szCs w:val="20"/>
        </w:rPr>
        <w:t>Financial support and sponsorship</w:t>
      </w:r>
    </w:p>
    <w:p w:rsidR="00126AB3" w:rsidRPr="00821BC8" w:rsidRDefault="00126AB3" w:rsidP="0029118E">
      <w:pPr>
        <w:snapToGrid w:val="0"/>
        <w:spacing w:after="0" w:line="240" w:lineRule="auto"/>
        <w:jc w:val="both"/>
        <w:rPr>
          <w:rFonts w:ascii="Times New Roman" w:hAnsi="Times New Roman" w:cs="Times New Roman"/>
          <w:sz w:val="20"/>
          <w:szCs w:val="20"/>
          <w:lang w:eastAsia="zh-CN"/>
        </w:rPr>
      </w:pPr>
      <w:r w:rsidRPr="00821BC8">
        <w:rPr>
          <w:rFonts w:ascii="Times New Roman" w:hAnsi="Times New Roman" w:cs="Times New Roman"/>
          <w:sz w:val="20"/>
          <w:szCs w:val="20"/>
        </w:rPr>
        <w:t>Nil.</w:t>
      </w:r>
    </w:p>
    <w:p w:rsidR="00454C41" w:rsidRPr="00821BC8" w:rsidRDefault="00454C41" w:rsidP="00454C41">
      <w:pPr>
        <w:snapToGrid w:val="0"/>
        <w:spacing w:after="0" w:line="240" w:lineRule="auto"/>
        <w:jc w:val="both"/>
        <w:rPr>
          <w:rFonts w:ascii="Times New Roman" w:hAnsi="Times New Roman" w:cs="Times New Roman"/>
          <w:sz w:val="20"/>
          <w:szCs w:val="20"/>
          <w:lang w:eastAsia="zh-CN"/>
        </w:rPr>
      </w:pPr>
    </w:p>
    <w:p w:rsidR="00126AB3" w:rsidRPr="00821BC8" w:rsidRDefault="00126AB3" w:rsidP="00454C41">
      <w:pPr>
        <w:snapToGrid w:val="0"/>
        <w:spacing w:after="0" w:line="240" w:lineRule="auto"/>
        <w:jc w:val="both"/>
        <w:rPr>
          <w:rFonts w:ascii="Times New Roman" w:hAnsi="Times New Roman" w:cs="Times New Roman"/>
          <w:sz w:val="20"/>
          <w:szCs w:val="20"/>
        </w:rPr>
      </w:pPr>
      <w:bookmarkStart w:id="0" w:name="_GoBack"/>
      <w:bookmarkEnd w:id="0"/>
      <w:r w:rsidRPr="00821BC8">
        <w:rPr>
          <w:rFonts w:ascii="Times New Roman" w:hAnsi="Times New Roman" w:cs="Times New Roman"/>
          <w:b/>
          <w:bCs/>
          <w:sz w:val="20"/>
          <w:szCs w:val="20"/>
        </w:rPr>
        <w:t>Conflicts of interest</w:t>
      </w:r>
    </w:p>
    <w:p w:rsidR="00126AB3" w:rsidRPr="00821BC8" w:rsidRDefault="00126AB3" w:rsidP="0029118E">
      <w:pPr>
        <w:snapToGrid w:val="0"/>
        <w:spacing w:after="0" w:line="240" w:lineRule="auto"/>
        <w:jc w:val="both"/>
        <w:rPr>
          <w:rFonts w:ascii="Times New Roman" w:hAnsi="Times New Roman" w:cs="Times New Roman"/>
          <w:sz w:val="20"/>
          <w:szCs w:val="20"/>
        </w:rPr>
      </w:pPr>
      <w:r w:rsidRPr="00821BC8">
        <w:rPr>
          <w:rFonts w:ascii="Times New Roman" w:hAnsi="Times New Roman" w:cs="Times New Roman"/>
          <w:sz w:val="20"/>
          <w:szCs w:val="20"/>
        </w:rPr>
        <w:t>There are no conflicts of interest.</w:t>
      </w:r>
    </w:p>
    <w:p w:rsidR="00C0497D" w:rsidRPr="00821BC8" w:rsidRDefault="00C0497D" w:rsidP="00454C41">
      <w:pPr>
        <w:snapToGrid w:val="0"/>
        <w:spacing w:after="0" w:line="240" w:lineRule="auto"/>
        <w:ind w:firstLine="425"/>
        <w:jc w:val="both"/>
        <w:rPr>
          <w:rFonts w:ascii="Times New Roman" w:hAnsi="Times New Roman" w:cs="Times New Roman"/>
          <w:b/>
          <w:bCs/>
          <w:sz w:val="20"/>
          <w:szCs w:val="20"/>
        </w:rPr>
      </w:pPr>
    </w:p>
    <w:p w:rsidR="00126AB3" w:rsidRPr="00821BC8" w:rsidRDefault="00126AB3" w:rsidP="00454C41">
      <w:pPr>
        <w:snapToGrid w:val="0"/>
        <w:spacing w:after="0" w:line="240" w:lineRule="auto"/>
        <w:jc w:val="both"/>
        <w:rPr>
          <w:rFonts w:ascii="Times New Roman" w:hAnsi="Times New Roman" w:cs="Times New Roman"/>
          <w:b/>
          <w:bCs/>
          <w:sz w:val="20"/>
          <w:szCs w:val="20"/>
        </w:rPr>
      </w:pPr>
      <w:r w:rsidRPr="00821BC8">
        <w:rPr>
          <w:rFonts w:ascii="Times New Roman" w:hAnsi="Times New Roman" w:cs="Times New Roman"/>
          <w:b/>
          <w:bCs/>
          <w:sz w:val="20"/>
          <w:szCs w:val="20"/>
        </w:rPr>
        <w:lastRenderedPageBreak/>
        <w:t>References</w:t>
      </w:r>
    </w:p>
    <w:p w:rsidR="00186496" w:rsidRPr="00821BC8" w:rsidRDefault="003C3A23"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Jiankun Cui, Shanyan Chen, Chunyang Zhang, Fanjun Meng, Wei Wu. Inhibition of MMP-9 by a selective gelatinase inhibitor protects neurovasculature from embolic focal cerebral ischemia. M</w:t>
      </w:r>
      <w:r w:rsidR="00AA1A46" w:rsidRPr="00821BC8">
        <w:rPr>
          <w:rFonts w:ascii="Times New Roman" w:hAnsi="Times New Roman" w:cs="Times New Roman"/>
          <w:sz w:val="20"/>
          <w:szCs w:val="20"/>
          <w:lang w:bidi="ar-EG"/>
        </w:rPr>
        <w:t>ol</w:t>
      </w:r>
      <w:r w:rsidR="000E6542" w:rsidRPr="00821BC8">
        <w:rPr>
          <w:rFonts w:ascii="Times New Roman" w:hAnsi="Times New Roman" w:cs="Times New Roman"/>
          <w:sz w:val="20"/>
          <w:szCs w:val="20"/>
          <w:lang w:bidi="ar-EG"/>
        </w:rPr>
        <w:t>ecular Neurodegeneration 2012;7-</w:t>
      </w:r>
      <w:r w:rsidRPr="00821BC8">
        <w:rPr>
          <w:rFonts w:ascii="Times New Roman" w:hAnsi="Times New Roman" w:cs="Times New Roman"/>
          <w:sz w:val="20"/>
          <w:szCs w:val="20"/>
          <w:lang w:bidi="ar-EG"/>
        </w:rPr>
        <w:t>21.</w:t>
      </w:r>
    </w:p>
    <w:p w:rsidR="003C3A23" w:rsidRPr="00821BC8" w:rsidRDefault="003C3A23"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821BC8">
        <w:rPr>
          <w:rFonts w:ascii="Times New Roman" w:hAnsi="Times New Roman" w:cs="Times New Roman"/>
          <w:sz w:val="20"/>
          <w:szCs w:val="20"/>
          <w:lang w:bidi="ar-EG"/>
        </w:rPr>
        <w:t xml:space="preserve">Eva Mracsko and </w:t>
      </w:r>
      <w:r w:rsidR="00AA1A46" w:rsidRPr="00821BC8">
        <w:rPr>
          <w:rFonts w:ascii="Times New Roman" w:hAnsi="Times New Roman" w:cs="Times New Roman"/>
          <w:sz w:val="20"/>
          <w:szCs w:val="20"/>
          <w:lang w:bidi="ar-EG"/>
        </w:rPr>
        <w:t>Roland Veltkamp</w:t>
      </w:r>
      <w:r w:rsidRPr="00821BC8">
        <w:rPr>
          <w:rFonts w:ascii="Times New Roman" w:hAnsi="Times New Roman" w:cs="Times New Roman"/>
          <w:sz w:val="20"/>
          <w:szCs w:val="20"/>
          <w:lang w:bidi="ar-EG"/>
        </w:rPr>
        <w:t>. Neuroinflammation after intracerebral hemorrhage. Frontiers in Cellular Neuroscience</w:t>
      </w:r>
      <w:r w:rsidR="00AA1A46" w:rsidRPr="00821BC8">
        <w:rPr>
          <w:rFonts w:ascii="Times New Roman" w:hAnsi="Times New Roman" w:cs="Times New Roman"/>
          <w:sz w:val="20"/>
          <w:szCs w:val="20"/>
          <w:lang w:bidi="ar-EG"/>
        </w:rPr>
        <w:t xml:space="preserve"> 2014</w:t>
      </w:r>
      <w:r w:rsidRPr="00821BC8">
        <w:rPr>
          <w:rFonts w:ascii="Times New Roman" w:hAnsi="Times New Roman" w:cs="Times New Roman"/>
          <w:sz w:val="20"/>
          <w:szCs w:val="20"/>
          <w:lang w:bidi="ar-EG"/>
        </w:rPr>
        <w:t>.</w:t>
      </w:r>
    </w:p>
    <w:p w:rsidR="00A82362" w:rsidRPr="00821BC8" w:rsidRDefault="00AA1A46"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Shaheen E</w:t>
      </w:r>
      <w:r w:rsidR="00A82362" w:rsidRPr="00821BC8">
        <w:rPr>
          <w:rFonts w:ascii="Times New Roman" w:hAnsi="Times New Roman" w:cs="Times New Roman"/>
          <w:sz w:val="20"/>
          <w:szCs w:val="20"/>
        </w:rPr>
        <w:t xml:space="preserve"> Lakhan, Annette Kirchgessner, Deborah </w:t>
      </w:r>
      <w:r w:rsidRPr="00821BC8">
        <w:rPr>
          <w:rFonts w:ascii="Times New Roman" w:hAnsi="Times New Roman" w:cs="Times New Roman"/>
          <w:sz w:val="20"/>
          <w:szCs w:val="20"/>
        </w:rPr>
        <w:t>Tepper and Aidan Leonard</w:t>
      </w:r>
      <w:r w:rsidR="00A82362" w:rsidRPr="00821BC8">
        <w:rPr>
          <w:rFonts w:ascii="Times New Roman" w:hAnsi="Times New Roman" w:cs="Times New Roman"/>
          <w:sz w:val="20"/>
          <w:szCs w:val="20"/>
        </w:rPr>
        <w:t>. Matrix metalloproteinases and blood-brain barrier disruption in acute ischemic stroke</w:t>
      </w:r>
      <w:r w:rsidR="00454C41" w:rsidRPr="00821BC8">
        <w:rPr>
          <w:rFonts w:ascii="Times New Roman" w:hAnsi="Times New Roman" w:cs="Times New Roman"/>
          <w:sz w:val="20"/>
          <w:szCs w:val="20"/>
        </w:rPr>
        <w:t>. F</w:t>
      </w:r>
      <w:r w:rsidRPr="00821BC8">
        <w:rPr>
          <w:rFonts w:ascii="Times New Roman" w:hAnsi="Times New Roman" w:cs="Times New Roman"/>
          <w:sz w:val="20"/>
          <w:szCs w:val="20"/>
        </w:rPr>
        <w:t>neur 2013;</w:t>
      </w:r>
      <w:r w:rsidR="00A82362" w:rsidRPr="00821BC8">
        <w:rPr>
          <w:rFonts w:ascii="Times New Roman" w:hAnsi="Times New Roman" w:cs="Times New Roman"/>
          <w:sz w:val="20"/>
          <w:szCs w:val="20"/>
        </w:rPr>
        <w:t xml:space="preserve"> doi: 10.3389/00032.</w:t>
      </w:r>
    </w:p>
    <w:p w:rsidR="00A82362" w:rsidRPr="00821BC8" w:rsidRDefault="00A82362"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Richard F Keep, Ningna Zhou, Jianming Xiang, Anuska V Andjelkov</w:t>
      </w:r>
      <w:r w:rsidR="00255457" w:rsidRPr="00821BC8">
        <w:rPr>
          <w:rFonts w:ascii="Times New Roman" w:hAnsi="Times New Roman" w:cs="Times New Roman"/>
          <w:sz w:val="20"/>
          <w:szCs w:val="20"/>
        </w:rPr>
        <w:t>ic, Ya Hua and Guohua Xi</w:t>
      </w:r>
      <w:r w:rsidRPr="00821BC8">
        <w:rPr>
          <w:rFonts w:ascii="Times New Roman" w:hAnsi="Times New Roman" w:cs="Times New Roman"/>
          <w:sz w:val="20"/>
          <w:szCs w:val="20"/>
        </w:rPr>
        <w:t>. Vascular disruption and blood–brain barrier dysfunction in intracerebral hemorrhage. Fluids and Barrier</w:t>
      </w:r>
      <w:r w:rsidR="00255457" w:rsidRPr="00821BC8">
        <w:rPr>
          <w:rFonts w:ascii="Times New Roman" w:hAnsi="Times New Roman" w:cs="Times New Roman"/>
          <w:sz w:val="20"/>
          <w:szCs w:val="20"/>
        </w:rPr>
        <w:t>s of the CNS 2014;</w:t>
      </w:r>
      <w:r w:rsidR="000E6542" w:rsidRPr="00821BC8">
        <w:rPr>
          <w:rFonts w:ascii="Times New Roman" w:hAnsi="Times New Roman" w:cs="Times New Roman"/>
          <w:sz w:val="20"/>
          <w:szCs w:val="20"/>
        </w:rPr>
        <w:t xml:space="preserve"> 11-</w:t>
      </w:r>
      <w:r w:rsidRPr="00821BC8">
        <w:rPr>
          <w:rFonts w:ascii="Times New Roman" w:hAnsi="Times New Roman" w:cs="Times New Roman"/>
          <w:sz w:val="20"/>
          <w:szCs w:val="20"/>
        </w:rPr>
        <w:t>18.</w:t>
      </w:r>
    </w:p>
    <w:p w:rsidR="00A82362" w:rsidRPr="00821BC8" w:rsidRDefault="00AA1A46"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Na Li, Yan Fang Liu, Li Ma</w:t>
      </w:r>
      <w:r w:rsidR="00A82362" w:rsidRPr="00821BC8">
        <w:rPr>
          <w:rFonts w:ascii="Times New Roman" w:hAnsi="Times New Roman" w:cs="Times New Roman"/>
          <w:sz w:val="20"/>
          <w:szCs w:val="20"/>
        </w:rPr>
        <w:t xml:space="preserve">, </w:t>
      </w:r>
      <w:r w:rsidR="000E6542" w:rsidRPr="00821BC8">
        <w:rPr>
          <w:rFonts w:ascii="Times New Roman" w:hAnsi="Times New Roman" w:cs="Times New Roman"/>
          <w:sz w:val="20"/>
          <w:szCs w:val="20"/>
        </w:rPr>
        <w:t>Hans Worthmann, Yi Long Wang, Yong Jun Wang, et al</w:t>
      </w:r>
      <w:r w:rsidR="00A82362" w:rsidRPr="00821BC8">
        <w:rPr>
          <w:rFonts w:ascii="Times New Roman" w:hAnsi="Times New Roman" w:cs="Times New Roman"/>
          <w:sz w:val="20"/>
          <w:szCs w:val="20"/>
        </w:rPr>
        <w:t>. Association of Molecular Markers With Perihematomal Edema and Clinical Outco</w:t>
      </w:r>
      <w:r w:rsidR="000E6542" w:rsidRPr="00821BC8">
        <w:rPr>
          <w:rFonts w:ascii="Times New Roman" w:hAnsi="Times New Roman" w:cs="Times New Roman"/>
          <w:sz w:val="20"/>
          <w:szCs w:val="20"/>
        </w:rPr>
        <w:t>me in Intracerebral Hemorrhage</w:t>
      </w:r>
      <w:r w:rsidR="00296E31" w:rsidRPr="00821BC8">
        <w:rPr>
          <w:rFonts w:ascii="Times New Roman" w:hAnsi="Times New Roman" w:cs="Times New Roman"/>
          <w:sz w:val="20"/>
          <w:szCs w:val="20"/>
        </w:rPr>
        <w:t>. Stroke 2013;44:658-63.</w:t>
      </w:r>
    </w:p>
    <w:p w:rsidR="00941494" w:rsidRPr="00821BC8" w:rsidRDefault="00941494"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Glen C Jickling, DaZhi Liu, Boryana Stamova, Bradley P Ander, Xinhua Zhan, Aig</w:t>
      </w:r>
      <w:r w:rsidR="00296E31" w:rsidRPr="00821BC8">
        <w:rPr>
          <w:rFonts w:ascii="Times New Roman" w:hAnsi="Times New Roman" w:cs="Times New Roman"/>
          <w:sz w:val="20"/>
          <w:szCs w:val="20"/>
        </w:rPr>
        <w:t>ang Lu, et al</w:t>
      </w:r>
      <w:r w:rsidRPr="00821BC8">
        <w:rPr>
          <w:rFonts w:ascii="Times New Roman" w:hAnsi="Times New Roman" w:cs="Times New Roman"/>
          <w:sz w:val="20"/>
          <w:szCs w:val="20"/>
        </w:rPr>
        <w:t>. Hemorrhagic transformation after ischemic stroke in animals and humans. Journal of Ce</w:t>
      </w:r>
      <w:r w:rsidR="00255457" w:rsidRPr="00821BC8">
        <w:rPr>
          <w:rFonts w:ascii="Times New Roman" w:hAnsi="Times New Roman" w:cs="Times New Roman"/>
          <w:sz w:val="20"/>
          <w:szCs w:val="20"/>
        </w:rPr>
        <w:t>rebral Blood Flow &amp; Metabolism 2014;</w:t>
      </w:r>
      <w:r w:rsidR="00296E31" w:rsidRPr="00821BC8">
        <w:rPr>
          <w:rFonts w:ascii="Times New Roman" w:hAnsi="Times New Roman" w:cs="Times New Roman"/>
          <w:sz w:val="20"/>
          <w:szCs w:val="20"/>
        </w:rPr>
        <w:t>34:185–</w:t>
      </w:r>
      <w:r w:rsidRPr="00821BC8">
        <w:rPr>
          <w:rFonts w:ascii="Times New Roman" w:hAnsi="Times New Roman" w:cs="Times New Roman"/>
          <w:sz w:val="20"/>
          <w:szCs w:val="20"/>
        </w:rPr>
        <w:t>99.</w:t>
      </w:r>
    </w:p>
    <w:p w:rsidR="00941494" w:rsidRPr="00821BC8" w:rsidRDefault="00255457" w:rsidP="00454C41">
      <w:pPr>
        <w:numPr>
          <w:ilvl w:val="0"/>
          <w:numId w:val="7"/>
        </w:numPr>
        <w:snapToGrid w:val="0"/>
        <w:spacing w:after="0" w:line="240" w:lineRule="auto"/>
        <w:ind w:left="425" w:hanging="425"/>
        <w:contextualSpacing/>
        <w:jc w:val="both"/>
        <w:rPr>
          <w:rFonts w:ascii="Times New Roman" w:eastAsia="Calibri" w:hAnsi="Times New Roman" w:cs="Times New Roman"/>
          <w:sz w:val="20"/>
          <w:szCs w:val="20"/>
        </w:rPr>
      </w:pPr>
      <w:r w:rsidRPr="00821BC8">
        <w:rPr>
          <w:rFonts w:ascii="Times New Roman" w:eastAsia="Calibri" w:hAnsi="Times New Roman" w:cs="Times New Roman"/>
          <w:sz w:val="20"/>
          <w:szCs w:val="20"/>
        </w:rPr>
        <w:t>Rüdiger J</w:t>
      </w:r>
      <w:r w:rsidR="00941494" w:rsidRPr="00821BC8">
        <w:rPr>
          <w:rFonts w:ascii="Times New Roman" w:eastAsia="Calibri" w:hAnsi="Times New Roman" w:cs="Times New Roman"/>
          <w:sz w:val="20"/>
          <w:szCs w:val="20"/>
        </w:rPr>
        <w:t xml:space="preserve"> Seitz and Geoffrey A</w:t>
      </w:r>
      <w:r w:rsidRPr="00821BC8">
        <w:rPr>
          <w:rFonts w:ascii="Times New Roman" w:eastAsia="Calibri" w:hAnsi="Times New Roman" w:cs="Times New Roman"/>
          <w:sz w:val="20"/>
          <w:szCs w:val="20"/>
        </w:rPr>
        <w:t xml:space="preserve"> Donnan</w:t>
      </w:r>
      <w:r w:rsidR="00941494" w:rsidRPr="00821BC8">
        <w:rPr>
          <w:rFonts w:ascii="Times New Roman" w:eastAsia="Calibri" w:hAnsi="Times New Roman" w:cs="Times New Roman"/>
          <w:sz w:val="20"/>
          <w:szCs w:val="20"/>
        </w:rPr>
        <w:t>. Recovery Potential After Acute Stroke. F</w:t>
      </w:r>
      <w:r w:rsidRPr="00821BC8">
        <w:rPr>
          <w:rFonts w:ascii="Times New Roman" w:eastAsia="Calibri" w:hAnsi="Times New Roman" w:cs="Times New Roman"/>
          <w:sz w:val="20"/>
          <w:szCs w:val="20"/>
        </w:rPr>
        <w:t xml:space="preserve">rontiers in Neurology </w:t>
      </w:r>
      <w:r w:rsidR="00941494" w:rsidRPr="00821BC8">
        <w:rPr>
          <w:rFonts w:ascii="Times New Roman" w:eastAsia="Calibri" w:hAnsi="Times New Roman" w:cs="Times New Roman"/>
          <w:sz w:val="20"/>
          <w:szCs w:val="20"/>
        </w:rPr>
        <w:t>2015</w:t>
      </w:r>
      <w:r w:rsidR="00296E31" w:rsidRPr="00821BC8">
        <w:rPr>
          <w:rFonts w:ascii="Times New Roman" w:eastAsia="Calibri" w:hAnsi="Times New Roman" w:cs="Times New Roman"/>
          <w:sz w:val="20"/>
          <w:szCs w:val="20"/>
        </w:rPr>
        <w:t>;</w:t>
      </w:r>
      <w:r w:rsidRPr="00821BC8">
        <w:rPr>
          <w:rFonts w:ascii="Times New Roman" w:eastAsia="Calibri" w:hAnsi="Times New Roman" w:cs="Times New Roman"/>
          <w:sz w:val="20"/>
          <w:szCs w:val="20"/>
        </w:rPr>
        <w:t>6</w:t>
      </w:r>
      <w:r w:rsidR="00454C41" w:rsidRPr="00821BC8">
        <w:rPr>
          <w:rFonts w:ascii="Times New Roman" w:eastAsia="Calibri" w:hAnsi="Times New Roman" w:cs="Times New Roman"/>
          <w:sz w:val="20"/>
          <w:szCs w:val="20"/>
        </w:rPr>
        <w:t>: A</w:t>
      </w:r>
      <w:r w:rsidR="00941494" w:rsidRPr="00821BC8">
        <w:rPr>
          <w:rFonts w:ascii="Times New Roman" w:eastAsia="Calibri" w:hAnsi="Times New Roman" w:cs="Times New Roman"/>
          <w:sz w:val="20"/>
          <w:szCs w:val="20"/>
        </w:rPr>
        <w:t>rticle 238.</w:t>
      </w:r>
    </w:p>
    <w:p w:rsidR="00823C62" w:rsidRPr="00821BC8" w:rsidRDefault="00255457" w:rsidP="00454C41">
      <w:pPr>
        <w:numPr>
          <w:ilvl w:val="0"/>
          <w:numId w:val="7"/>
        </w:numPr>
        <w:snapToGrid w:val="0"/>
        <w:spacing w:after="0" w:line="240" w:lineRule="auto"/>
        <w:ind w:left="425" w:hanging="425"/>
        <w:contextualSpacing/>
        <w:jc w:val="both"/>
        <w:rPr>
          <w:rFonts w:ascii="Times New Roman" w:eastAsia="Calibri" w:hAnsi="Times New Roman" w:cs="Times New Roman"/>
          <w:sz w:val="20"/>
          <w:szCs w:val="20"/>
        </w:rPr>
      </w:pPr>
      <w:r w:rsidRPr="00821BC8">
        <w:rPr>
          <w:rFonts w:ascii="Times New Roman" w:eastAsia="Calibri" w:hAnsi="Times New Roman" w:cs="Times New Roman"/>
          <w:sz w:val="20"/>
          <w:szCs w:val="20"/>
        </w:rPr>
        <w:t>Renée J Turner and Frank R Sharp</w:t>
      </w:r>
      <w:r w:rsidR="00823C62" w:rsidRPr="00821BC8">
        <w:rPr>
          <w:rFonts w:ascii="Times New Roman" w:eastAsia="Calibri" w:hAnsi="Times New Roman" w:cs="Times New Roman"/>
          <w:sz w:val="20"/>
          <w:szCs w:val="20"/>
        </w:rPr>
        <w:t>. Implications of MMP</w:t>
      </w:r>
      <w:r w:rsidR="00296E31" w:rsidRPr="00821BC8">
        <w:rPr>
          <w:rFonts w:ascii="Times New Roman" w:eastAsia="Calibri" w:hAnsi="Times New Roman" w:cs="Times New Roman"/>
          <w:sz w:val="20"/>
          <w:szCs w:val="20"/>
        </w:rPr>
        <w:t>-</w:t>
      </w:r>
      <w:r w:rsidR="00823C62" w:rsidRPr="00821BC8">
        <w:rPr>
          <w:rFonts w:ascii="Times New Roman" w:eastAsia="Calibri" w:hAnsi="Times New Roman" w:cs="Times New Roman"/>
          <w:sz w:val="20"/>
          <w:szCs w:val="20"/>
        </w:rPr>
        <w:t xml:space="preserve">9 for Blood Brain Barrier Disruption </w:t>
      </w:r>
      <w:r w:rsidR="00823C62" w:rsidRPr="00821BC8">
        <w:rPr>
          <w:rFonts w:ascii="Times New Roman" w:eastAsia="Calibri" w:hAnsi="Times New Roman" w:cs="Times New Roman"/>
          <w:sz w:val="20"/>
          <w:szCs w:val="20"/>
        </w:rPr>
        <w:lastRenderedPageBreak/>
        <w:t>and Hemorrhagic Transforma</w:t>
      </w:r>
      <w:r w:rsidR="00296E31" w:rsidRPr="00821BC8">
        <w:rPr>
          <w:rFonts w:ascii="Times New Roman" w:eastAsia="Calibri" w:hAnsi="Times New Roman" w:cs="Times New Roman"/>
          <w:sz w:val="20"/>
          <w:szCs w:val="20"/>
        </w:rPr>
        <w:t>tion Following Ischemic Stroke</w:t>
      </w:r>
      <w:r w:rsidR="00454C41" w:rsidRPr="00821BC8">
        <w:rPr>
          <w:rFonts w:ascii="Times New Roman" w:eastAsia="Calibri" w:hAnsi="Times New Roman" w:cs="Times New Roman"/>
          <w:sz w:val="20"/>
          <w:szCs w:val="20"/>
        </w:rPr>
        <w:t>. F</w:t>
      </w:r>
      <w:r w:rsidR="00296E31" w:rsidRPr="00821BC8">
        <w:rPr>
          <w:rFonts w:ascii="Times New Roman" w:eastAsia="Calibri" w:hAnsi="Times New Roman" w:cs="Times New Roman"/>
          <w:sz w:val="20"/>
          <w:szCs w:val="20"/>
        </w:rPr>
        <w:t>ront</w:t>
      </w:r>
      <w:r w:rsidR="00454C41" w:rsidRPr="00821BC8">
        <w:rPr>
          <w:rFonts w:ascii="Times New Roman" w:eastAsia="Calibri" w:hAnsi="Times New Roman" w:cs="Times New Roman"/>
          <w:sz w:val="20"/>
          <w:szCs w:val="20"/>
        </w:rPr>
        <w:t>. C</w:t>
      </w:r>
      <w:r w:rsidR="00296E31" w:rsidRPr="00821BC8">
        <w:rPr>
          <w:rFonts w:ascii="Times New Roman" w:eastAsia="Calibri" w:hAnsi="Times New Roman" w:cs="Times New Roman"/>
          <w:sz w:val="20"/>
          <w:szCs w:val="20"/>
        </w:rPr>
        <w:t>ell</w:t>
      </w:r>
      <w:r w:rsidR="00454C41" w:rsidRPr="00821BC8">
        <w:rPr>
          <w:rFonts w:ascii="Times New Roman" w:eastAsia="Calibri" w:hAnsi="Times New Roman" w:cs="Times New Roman"/>
          <w:sz w:val="20"/>
          <w:szCs w:val="20"/>
        </w:rPr>
        <w:t>. N</w:t>
      </w:r>
      <w:r w:rsidR="00296E31" w:rsidRPr="00821BC8">
        <w:rPr>
          <w:rFonts w:ascii="Times New Roman" w:eastAsia="Calibri" w:hAnsi="Times New Roman" w:cs="Times New Roman"/>
          <w:sz w:val="20"/>
          <w:szCs w:val="20"/>
        </w:rPr>
        <w:t>eurosci. 2016;10:56.</w:t>
      </w:r>
    </w:p>
    <w:p w:rsidR="00A82362" w:rsidRPr="00821BC8" w:rsidRDefault="00823C62"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Bruno A, Saha C, Williams LS. Percent change on the national institutes of health stroke scale: a useful acute stroke outcome measure. J Stroke Cerebrovasc Dis 2009; 18:56–59.</w:t>
      </w:r>
    </w:p>
    <w:p w:rsidR="003F413D" w:rsidRPr="00821BC8" w:rsidRDefault="00296E31"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Sotgiu S, Zanda B, Marchetti B, Fois M</w:t>
      </w:r>
      <w:r w:rsidR="00255457" w:rsidRPr="00821BC8">
        <w:rPr>
          <w:rFonts w:ascii="Times New Roman" w:hAnsi="Times New Roman" w:cs="Times New Roman"/>
          <w:sz w:val="20"/>
          <w:szCs w:val="20"/>
        </w:rPr>
        <w:t>L</w:t>
      </w:r>
      <w:r w:rsidR="003F413D" w:rsidRPr="00821BC8">
        <w:rPr>
          <w:rFonts w:ascii="Times New Roman" w:hAnsi="Times New Roman" w:cs="Times New Roman"/>
          <w:sz w:val="20"/>
          <w:szCs w:val="20"/>
        </w:rPr>
        <w:t>, Arr</w:t>
      </w:r>
      <w:r w:rsidRPr="00821BC8">
        <w:rPr>
          <w:rFonts w:ascii="Times New Roman" w:hAnsi="Times New Roman" w:cs="Times New Roman"/>
          <w:sz w:val="20"/>
          <w:szCs w:val="20"/>
        </w:rPr>
        <w:t>u G, Pes G</w:t>
      </w:r>
      <w:r w:rsidR="00255457" w:rsidRPr="00821BC8">
        <w:rPr>
          <w:rFonts w:ascii="Times New Roman" w:hAnsi="Times New Roman" w:cs="Times New Roman"/>
          <w:sz w:val="20"/>
          <w:szCs w:val="20"/>
        </w:rPr>
        <w:t>M, et al</w:t>
      </w:r>
      <w:r w:rsidR="003F413D" w:rsidRPr="00821BC8">
        <w:rPr>
          <w:rFonts w:ascii="Times New Roman" w:hAnsi="Times New Roman" w:cs="Times New Roman"/>
          <w:sz w:val="20"/>
          <w:szCs w:val="20"/>
        </w:rPr>
        <w:t xml:space="preserve">. Inflammatory biomarkers in blood of patients with acute brain ischemia. Eur. J. Neurol. </w:t>
      </w:r>
      <w:r w:rsidR="007A6D55" w:rsidRPr="00821BC8">
        <w:rPr>
          <w:rFonts w:ascii="Times New Roman" w:hAnsi="Times New Roman" w:cs="Times New Roman"/>
          <w:sz w:val="20"/>
          <w:szCs w:val="20"/>
        </w:rPr>
        <w:t>2006;13:505–13.</w:t>
      </w:r>
    </w:p>
    <w:p w:rsidR="003F413D" w:rsidRPr="00821BC8" w:rsidRDefault="007A6D55"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Vukasovic</w:t>
      </w:r>
      <w:r w:rsidR="00255457" w:rsidRPr="00821BC8">
        <w:rPr>
          <w:rFonts w:ascii="Times New Roman" w:hAnsi="Times New Roman" w:cs="Times New Roman"/>
          <w:sz w:val="20"/>
          <w:szCs w:val="20"/>
        </w:rPr>
        <w:t xml:space="preserve"> I</w:t>
      </w:r>
      <w:r w:rsidR="003F413D" w:rsidRPr="00821BC8">
        <w:rPr>
          <w:rFonts w:ascii="Times New Roman" w:hAnsi="Times New Roman" w:cs="Times New Roman"/>
          <w:sz w:val="20"/>
          <w:szCs w:val="20"/>
        </w:rPr>
        <w:t>, T</w:t>
      </w:r>
      <w:r w:rsidRPr="00821BC8">
        <w:rPr>
          <w:rFonts w:ascii="Times New Roman" w:hAnsi="Times New Roman" w:cs="Times New Roman"/>
          <w:sz w:val="20"/>
          <w:szCs w:val="20"/>
        </w:rPr>
        <w:t xml:space="preserve">esija-Kuna A, Topic E, Supanc V, Demarin </w:t>
      </w:r>
      <w:r w:rsidR="00255457" w:rsidRPr="00821BC8">
        <w:rPr>
          <w:rFonts w:ascii="Times New Roman" w:hAnsi="Times New Roman" w:cs="Times New Roman"/>
          <w:sz w:val="20"/>
          <w:szCs w:val="20"/>
        </w:rPr>
        <w:t>V</w:t>
      </w:r>
      <w:r w:rsidRPr="00821BC8">
        <w:rPr>
          <w:rFonts w:ascii="Times New Roman" w:hAnsi="Times New Roman" w:cs="Times New Roman"/>
          <w:sz w:val="20"/>
          <w:szCs w:val="20"/>
        </w:rPr>
        <w:t>, and Petrovcic M</w:t>
      </w:r>
      <w:r w:rsidR="003F413D" w:rsidRPr="00821BC8">
        <w:rPr>
          <w:rFonts w:ascii="Times New Roman" w:hAnsi="Times New Roman" w:cs="Times New Roman"/>
          <w:sz w:val="20"/>
          <w:szCs w:val="20"/>
        </w:rPr>
        <w:t xml:space="preserve">. Matrix metalloproteinases and their inhibitors in different acute stroke subtypes. Clin. Chem. Lab. Med. </w:t>
      </w:r>
      <w:r w:rsidRPr="00821BC8">
        <w:rPr>
          <w:rFonts w:ascii="Times New Roman" w:hAnsi="Times New Roman" w:cs="Times New Roman"/>
          <w:sz w:val="20"/>
          <w:szCs w:val="20"/>
        </w:rPr>
        <w:t>2006;44:428–34.</w:t>
      </w:r>
    </w:p>
    <w:p w:rsidR="003F413D" w:rsidRPr="00821BC8" w:rsidRDefault="007A6D55"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Ning M, Furie K</w:t>
      </w:r>
      <w:r w:rsidR="00255457" w:rsidRPr="00821BC8">
        <w:rPr>
          <w:rFonts w:ascii="Times New Roman" w:hAnsi="Times New Roman" w:cs="Times New Roman"/>
          <w:sz w:val="20"/>
          <w:szCs w:val="20"/>
        </w:rPr>
        <w:t>L</w:t>
      </w:r>
      <w:r w:rsidRPr="00821BC8">
        <w:rPr>
          <w:rFonts w:ascii="Times New Roman" w:hAnsi="Times New Roman" w:cs="Times New Roman"/>
          <w:sz w:val="20"/>
          <w:szCs w:val="20"/>
        </w:rPr>
        <w:t>, Koroshetz WJ, Lee H, Barron M, Lederer</w:t>
      </w:r>
      <w:r w:rsidR="00255457" w:rsidRPr="00821BC8">
        <w:rPr>
          <w:rFonts w:ascii="Times New Roman" w:hAnsi="Times New Roman" w:cs="Times New Roman"/>
          <w:sz w:val="20"/>
          <w:szCs w:val="20"/>
        </w:rPr>
        <w:t xml:space="preserve"> M, et al</w:t>
      </w:r>
      <w:r w:rsidR="003F413D" w:rsidRPr="00821BC8">
        <w:rPr>
          <w:rFonts w:ascii="Times New Roman" w:hAnsi="Times New Roman" w:cs="Times New Roman"/>
          <w:sz w:val="20"/>
          <w:szCs w:val="20"/>
        </w:rPr>
        <w:t xml:space="preserve">. Association between tPA therapy and raised early matrix metalloproteinase-9 in acute stroke. Neurology </w:t>
      </w:r>
      <w:r w:rsidR="00255457" w:rsidRPr="00821BC8">
        <w:rPr>
          <w:rFonts w:ascii="Times New Roman" w:hAnsi="Times New Roman" w:cs="Times New Roman"/>
          <w:sz w:val="20"/>
          <w:szCs w:val="20"/>
        </w:rPr>
        <w:t xml:space="preserve">2006; </w:t>
      </w:r>
      <w:r w:rsidRPr="00821BC8">
        <w:rPr>
          <w:rFonts w:ascii="Times New Roman" w:hAnsi="Times New Roman" w:cs="Times New Roman"/>
          <w:sz w:val="20"/>
          <w:szCs w:val="20"/>
        </w:rPr>
        <w:t>66:1550–</w:t>
      </w:r>
      <w:r w:rsidR="003F413D" w:rsidRPr="00821BC8">
        <w:rPr>
          <w:rFonts w:ascii="Times New Roman" w:hAnsi="Times New Roman" w:cs="Times New Roman"/>
          <w:sz w:val="20"/>
          <w:szCs w:val="20"/>
        </w:rPr>
        <w:t>55.</w:t>
      </w:r>
    </w:p>
    <w:p w:rsidR="003F413D" w:rsidRPr="00821BC8" w:rsidRDefault="003F413D"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Ya-Jun Li, Zheng-Hai Wang, Bei Zhang, Xiao Zh</w:t>
      </w:r>
      <w:r w:rsidR="00255457" w:rsidRPr="00821BC8">
        <w:rPr>
          <w:rFonts w:ascii="Times New Roman" w:hAnsi="Times New Roman" w:cs="Times New Roman"/>
          <w:sz w:val="20"/>
          <w:szCs w:val="20"/>
        </w:rPr>
        <w:t xml:space="preserve">e, Ming-Jue Wang, </w:t>
      </w:r>
      <w:r w:rsidR="007A6D55" w:rsidRPr="00821BC8">
        <w:rPr>
          <w:rFonts w:ascii="Times New Roman" w:hAnsi="Times New Roman" w:cs="Times New Roman"/>
          <w:sz w:val="20"/>
          <w:szCs w:val="20"/>
        </w:rPr>
        <w:t xml:space="preserve">Shao Ting Shi, </w:t>
      </w:r>
      <w:r w:rsidR="00255457" w:rsidRPr="00821BC8">
        <w:rPr>
          <w:rFonts w:ascii="Times New Roman" w:hAnsi="Times New Roman" w:cs="Times New Roman"/>
          <w:sz w:val="20"/>
          <w:szCs w:val="20"/>
        </w:rPr>
        <w:t>et al</w:t>
      </w:r>
      <w:r w:rsidRPr="00821BC8">
        <w:rPr>
          <w:rFonts w:ascii="Times New Roman" w:hAnsi="Times New Roman" w:cs="Times New Roman"/>
          <w:sz w:val="20"/>
          <w:szCs w:val="20"/>
        </w:rPr>
        <w:t>. Disruption of the blood–brain barrier after generalized tonic-clonic seizures correlates with cerebrospinal fluid MMP-9 levels. Jo</w:t>
      </w:r>
      <w:r w:rsidR="00255457" w:rsidRPr="00821BC8">
        <w:rPr>
          <w:rFonts w:ascii="Times New Roman" w:hAnsi="Times New Roman" w:cs="Times New Roman"/>
          <w:sz w:val="20"/>
          <w:szCs w:val="20"/>
        </w:rPr>
        <w:t>urnal of Neuroinflammation 2013;</w:t>
      </w:r>
      <w:r w:rsidR="007A6D55" w:rsidRPr="00821BC8">
        <w:rPr>
          <w:rFonts w:ascii="Times New Roman" w:hAnsi="Times New Roman" w:cs="Times New Roman"/>
          <w:sz w:val="20"/>
          <w:szCs w:val="20"/>
        </w:rPr>
        <w:t>10-</w:t>
      </w:r>
      <w:r w:rsidRPr="00821BC8">
        <w:rPr>
          <w:rFonts w:ascii="Times New Roman" w:hAnsi="Times New Roman" w:cs="Times New Roman"/>
          <w:sz w:val="20"/>
          <w:szCs w:val="20"/>
        </w:rPr>
        <w:t>80.</w:t>
      </w:r>
    </w:p>
    <w:p w:rsidR="007A6D55" w:rsidRPr="00821BC8" w:rsidRDefault="007A6D55"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Rodríguez-Yáñez M, Castellanos M, Blanco M, García MM, Nombela F, Serena J, et al</w:t>
      </w:r>
      <w:r w:rsidR="003F413D" w:rsidRPr="00821BC8">
        <w:rPr>
          <w:rFonts w:ascii="Times New Roman" w:hAnsi="Times New Roman" w:cs="Times New Roman"/>
          <w:sz w:val="20"/>
          <w:szCs w:val="20"/>
        </w:rPr>
        <w:t xml:space="preserve">. New-onset hypertension and inflammatory response / poor outcome in acute ischemic stroke. Neurology </w:t>
      </w:r>
      <w:r w:rsidRPr="00821BC8">
        <w:rPr>
          <w:rFonts w:ascii="Times New Roman" w:hAnsi="Times New Roman" w:cs="Times New Roman"/>
          <w:sz w:val="20"/>
          <w:szCs w:val="20"/>
        </w:rPr>
        <w:t>2006;67:</w:t>
      </w:r>
      <w:r w:rsidR="003F413D" w:rsidRPr="00821BC8">
        <w:rPr>
          <w:rFonts w:ascii="Times New Roman" w:hAnsi="Times New Roman" w:cs="Times New Roman"/>
          <w:sz w:val="20"/>
          <w:szCs w:val="20"/>
        </w:rPr>
        <w:t>1973</w:t>
      </w:r>
      <w:r w:rsidRPr="00821BC8">
        <w:rPr>
          <w:rFonts w:ascii="Times New Roman" w:hAnsi="Times New Roman" w:cs="Times New Roman"/>
          <w:sz w:val="20"/>
          <w:szCs w:val="20"/>
        </w:rPr>
        <w:t>–78.</w:t>
      </w:r>
    </w:p>
    <w:p w:rsidR="00454C41" w:rsidRPr="008A00F7" w:rsidRDefault="003F413D" w:rsidP="00454C41">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8A00F7">
        <w:rPr>
          <w:rFonts w:ascii="Times New Roman" w:hAnsi="Times New Roman" w:cs="Times New Roman"/>
          <w:sz w:val="20"/>
          <w:szCs w:val="20"/>
        </w:rPr>
        <w:t>Yia-Ting Li, Yao-Chen Wang, Hsiang-Lin Lee, M</w:t>
      </w:r>
      <w:r w:rsidR="00B8481B" w:rsidRPr="008A00F7">
        <w:rPr>
          <w:rFonts w:ascii="Times New Roman" w:hAnsi="Times New Roman" w:cs="Times New Roman"/>
          <w:sz w:val="20"/>
          <w:szCs w:val="20"/>
        </w:rPr>
        <w:t>in-Chi Lu and</w:t>
      </w:r>
      <w:r w:rsidR="00255457" w:rsidRPr="008A00F7">
        <w:rPr>
          <w:rFonts w:ascii="Times New Roman" w:hAnsi="Times New Roman" w:cs="Times New Roman"/>
          <w:sz w:val="20"/>
          <w:szCs w:val="20"/>
        </w:rPr>
        <w:t xml:space="preserve"> Shun-Fa Yang</w:t>
      </w:r>
      <w:r w:rsidRPr="008A00F7">
        <w:rPr>
          <w:rFonts w:ascii="Times New Roman" w:hAnsi="Times New Roman" w:cs="Times New Roman"/>
          <w:sz w:val="20"/>
          <w:szCs w:val="20"/>
        </w:rPr>
        <w:t>. Elevated Plasma Matrix Metalloproteinase-9 and Its Correlations with Severity of Disease in Patients with Ventilator-Associated Pneumonia. Internatio</w:t>
      </w:r>
      <w:r w:rsidR="00255457" w:rsidRPr="008A00F7">
        <w:rPr>
          <w:rFonts w:ascii="Times New Roman" w:hAnsi="Times New Roman" w:cs="Times New Roman"/>
          <w:sz w:val="20"/>
          <w:szCs w:val="20"/>
        </w:rPr>
        <w:t>nal Jo</w:t>
      </w:r>
      <w:r w:rsidR="00B8481B" w:rsidRPr="008A00F7">
        <w:rPr>
          <w:rFonts w:ascii="Times New Roman" w:hAnsi="Times New Roman" w:cs="Times New Roman"/>
          <w:sz w:val="20"/>
          <w:szCs w:val="20"/>
        </w:rPr>
        <w:t>urnal of Medical Sciences 2016;13:8:638-</w:t>
      </w:r>
      <w:r w:rsidR="00255457" w:rsidRPr="008A00F7">
        <w:rPr>
          <w:rFonts w:ascii="Times New Roman" w:hAnsi="Times New Roman" w:cs="Times New Roman"/>
          <w:sz w:val="20"/>
          <w:szCs w:val="20"/>
        </w:rPr>
        <w:t>45.</w:t>
      </w:r>
      <w:r w:rsidR="008A00F7" w:rsidRPr="008A00F7">
        <w:rPr>
          <w:rFonts w:ascii="Times New Roman" w:hAnsi="Times New Roman" w:cs="Times New Roman" w:hint="eastAsia"/>
          <w:sz w:val="20"/>
          <w:szCs w:val="20"/>
          <w:lang w:eastAsia="zh-CN"/>
        </w:rPr>
        <w:t xml:space="preserve"> </w:t>
      </w:r>
    </w:p>
    <w:p w:rsidR="00454C41" w:rsidRPr="00821BC8" w:rsidRDefault="00454C41" w:rsidP="00454C41">
      <w:pPr>
        <w:pStyle w:val="ListParagraph"/>
        <w:bidi w:val="0"/>
        <w:snapToGrid w:val="0"/>
        <w:spacing w:after="0" w:line="240" w:lineRule="auto"/>
        <w:ind w:left="425" w:hanging="425"/>
        <w:jc w:val="both"/>
        <w:rPr>
          <w:rFonts w:ascii="Times New Roman" w:hAnsi="Times New Roman" w:cs="Times New Roman"/>
          <w:sz w:val="20"/>
          <w:szCs w:val="20"/>
        </w:rPr>
        <w:sectPr w:rsidR="00454C41" w:rsidRPr="00821BC8" w:rsidSect="00454C41">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454C41" w:rsidRPr="00821BC8" w:rsidRDefault="00454C41" w:rsidP="00454C41">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454C41" w:rsidRPr="00821BC8" w:rsidRDefault="00454C41" w:rsidP="00454C41">
      <w:pPr>
        <w:pStyle w:val="ListParagraph"/>
        <w:bidi w:val="0"/>
        <w:snapToGrid w:val="0"/>
        <w:spacing w:after="0" w:line="240" w:lineRule="auto"/>
        <w:ind w:left="425" w:hanging="425"/>
        <w:jc w:val="both"/>
        <w:rPr>
          <w:rFonts w:ascii="Times New Roman" w:hAnsi="Times New Roman" w:cs="Times New Roman"/>
          <w:sz w:val="20"/>
          <w:szCs w:val="20"/>
          <w:lang w:eastAsia="zh-CN"/>
        </w:rPr>
      </w:pPr>
      <w:r w:rsidRPr="00821BC8">
        <w:rPr>
          <w:rFonts w:ascii="Times New Roman" w:hAnsi="Times New Roman" w:cs="Times New Roman" w:hint="eastAsia"/>
          <w:sz w:val="20"/>
          <w:szCs w:val="20"/>
          <w:lang w:eastAsia="zh-CN"/>
        </w:rPr>
        <w:t xml:space="preserve"> </w:t>
      </w:r>
    </w:p>
    <w:p w:rsidR="00454C41" w:rsidRPr="00821BC8" w:rsidRDefault="00454C41" w:rsidP="00454C41">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1814B3" w:rsidRPr="00821BC8" w:rsidRDefault="00454C41" w:rsidP="00454C41">
      <w:pPr>
        <w:pStyle w:val="ListParagraph"/>
        <w:bidi w:val="0"/>
        <w:snapToGrid w:val="0"/>
        <w:spacing w:after="0" w:line="240" w:lineRule="auto"/>
        <w:ind w:left="425" w:hanging="425"/>
        <w:jc w:val="both"/>
        <w:rPr>
          <w:rFonts w:ascii="Times New Roman" w:hAnsi="Times New Roman" w:cs="Times New Roman"/>
          <w:sz w:val="20"/>
          <w:szCs w:val="20"/>
        </w:rPr>
      </w:pPr>
      <w:r w:rsidRPr="00821BC8">
        <w:rPr>
          <w:rFonts w:ascii="Times New Roman" w:hAnsi="Times New Roman" w:cs="Times New Roman"/>
          <w:sz w:val="20"/>
          <w:szCs w:val="20"/>
        </w:rPr>
        <w:t>2/8/2017</w:t>
      </w:r>
    </w:p>
    <w:sectPr w:rsidR="001814B3" w:rsidRPr="00821BC8" w:rsidSect="00C9608B">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842" w:rsidRDefault="008A6842" w:rsidP="00640E1B">
      <w:pPr>
        <w:spacing w:after="0" w:line="240" w:lineRule="auto"/>
      </w:pPr>
      <w:r>
        <w:separator/>
      </w:r>
    </w:p>
  </w:endnote>
  <w:endnote w:type="continuationSeparator" w:id="1">
    <w:p w:rsidR="008A6842" w:rsidRDefault="008A6842" w:rsidP="00640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1" w:rsidRPr="00454C41" w:rsidRDefault="00F82EC5" w:rsidP="00454C41">
    <w:pPr>
      <w:spacing w:after="0" w:line="240" w:lineRule="auto"/>
      <w:jc w:val="center"/>
      <w:rPr>
        <w:rFonts w:ascii="Times New Roman" w:hAnsi="Times New Roman" w:cs="Times New Roman"/>
        <w:sz w:val="20"/>
      </w:rPr>
    </w:pPr>
    <w:r w:rsidRPr="00454C41">
      <w:rPr>
        <w:rFonts w:ascii="Times New Roman" w:hAnsi="Times New Roman" w:cs="Times New Roman"/>
        <w:sz w:val="20"/>
      </w:rPr>
      <w:fldChar w:fldCharType="begin"/>
    </w:r>
    <w:r w:rsidR="00454C41" w:rsidRPr="00454C41">
      <w:rPr>
        <w:rFonts w:ascii="Times New Roman" w:hAnsi="Times New Roman" w:cs="Times New Roman"/>
        <w:sz w:val="20"/>
      </w:rPr>
      <w:instrText xml:space="preserve"> page </w:instrText>
    </w:r>
    <w:r w:rsidRPr="00454C41">
      <w:rPr>
        <w:rFonts w:ascii="Times New Roman" w:hAnsi="Times New Roman" w:cs="Times New Roman"/>
        <w:sz w:val="20"/>
      </w:rPr>
      <w:fldChar w:fldCharType="separate"/>
    </w:r>
    <w:r w:rsidR="0029118E">
      <w:rPr>
        <w:rFonts w:ascii="Times New Roman" w:hAnsi="Times New Roman" w:cs="Times New Roman"/>
        <w:noProof/>
        <w:sz w:val="20"/>
      </w:rPr>
      <w:t>11</w:t>
    </w:r>
    <w:r w:rsidRPr="00454C4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1" w:rsidRPr="00454C41" w:rsidRDefault="00F82EC5" w:rsidP="00454C41">
    <w:pPr>
      <w:spacing w:after="0" w:line="240" w:lineRule="auto"/>
      <w:jc w:val="center"/>
      <w:rPr>
        <w:rFonts w:ascii="Times New Roman" w:hAnsi="Times New Roman" w:cs="Times New Roman"/>
        <w:sz w:val="20"/>
      </w:rPr>
    </w:pPr>
    <w:r w:rsidRPr="00454C41">
      <w:rPr>
        <w:rFonts w:ascii="Times New Roman" w:hAnsi="Times New Roman" w:cs="Times New Roman"/>
        <w:sz w:val="20"/>
      </w:rPr>
      <w:fldChar w:fldCharType="begin"/>
    </w:r>
    <w:r w:rsidR="00454C41" w:rsidRPr="00454C41">
      <w:rPr>
        <w:rFonts w:ascii="Times New Roman" w:hAnsi="Times New Roman" w:cs="Times New Roman"/>
        <w:sz w:val="20"/>
      </w:rPr>
      <w:instrText xml:space="preserve"> page </w:instrText>
    </w:r>
    <w:r w:rsidRPr="00454C41">
      <w:rPr>
        <w:rFonts w:ascii="Times New Roman" w:hAnsi="Times New Roman" w:cs="Times New Roman"/>
        <w:sz w:val="20"/>
      </w:rPr>
      <w:fldChar w:fldCharType="separate"/>
    </w:r>
    <w:r w:rsidR="0029118E">
      <w:rPr>
        <w:rFonts w:ascii="Times New Roman" w:hAnsi="Times New Roman" w:cs="Times New Roman"/>
        <w:noProof/>
        <w:sz w:val="20"/>
      </w:rPr>
      <w:t>12</w:t>
    </w:r>
    <w:r w:rsidRPr="00454C4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1" w:rsidRPr="00454C41" w:rsidRDefault="00F82EC5" w:rsidP="00454C41">
    <w:pPr>
      <w:spacing w:after="0" w:line="240" w:lineRule="auto"/>
      <w:jc w:val="center"/>
      <w:rPr>
        <w:rFonts w:ascii="Times New Roman" w:hAnsi="Times New Roman" w:cs="Times New Roman"/>
        <w:sz w:val="20"/>
      </w:rPr>
    </w:pPr>
    <w:r w:rsidRPr="00454C41">
      <w:rPr>
        <w:rFonts w:ascii="Times New Roman" w:hAnsi="Times New Roman" w:cs="Times New Roman"/>
        <w:sz w:val="20"/>
      </w:rPr>
      <w:fldChar w:fldCharType="begin"/>
    </w:r>
    <w:r w:rsidR="00454C41" w:rsidRPr="00454C41">
      <w:rPr>
        <w:rFonts w:ascii="Times New Roman" w:hAnsi="Times New Roman" w:cs="Times New Roman"/>
        <w:sz w:val="20"/>
      </w:rPr>
      <w:instrText xml:space="preserve"> page </w:instrText>
    </w:r>
    <w:r w:rsidRPr="00454C41">
      <w:rPr>
        <w:rFonts w:ascii="Times New Roman" w:hAnsi="Times New Roman" w:cs="Times New Roman"/>
        <w:sz w:val="20"/>
      </w:rPr>
      <w:fldChar w:fldCharType="separate"/>
    </w:r>
    <w:r w:rsidR="00454C41">
      <w:rPr>
        <w:rFonts w:ascii="Times New Roman" w:hAnsi="Times New Roman" w:cs="Times New Roman"/>
        <w:noProof/>
        <w:sz w:val="20"/>
      </w:rPr>
      <w:t>1</w:t>
    </w:r>
    <w:r w:rsidRPr="00454C4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842" w:rsidRDefault="008A6842" w:rsidP="00640E1B">
      <w:pPr>
        <w:spacing w:after="0" w:line="240" w:lineRule="auto"/>
      </w:pPr>
      <w:r>
        <w:separator/>
      </w:r>
    </w:p>
  </w:footnote>
  <w:footnote w:type="continuationSeparator" w:id="1">
    <w:p w:rsidR="008A6842" w:rsidRDefault="008A6842" w:rsidP="00640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1" w:rsidRPr="00454C41" w:rsidRDefault="00454C41" w:rsidP="00454C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C41">
      <w:rPr>
        <w:rFonts w:ascii="Times New Roman" w:hAnsi="Times New Roman" w:cs="Times New Roman" w:hint="eastAsia"/>
        <w:sz w:val="20"/>
        <w:szCs w:val="20"/>
      </w:rPr>
      <w:tab/>
    </w:r>
    <w:r w:rsidRPr="00454C41">
      <w:rPr>
        <w:rFonts w:ascii="Times New Roman" w:hAnsi="Times New Roman" w:cs="Times New Roman"/>
        <w:sz w:val="20"/>
        <w:szCs w:val="20"/>
      </w:rPr>
      <w:t>New York Science Journal 201</w:t>
    </w:r>
    <w:r w:rsidRPr="00454C41">
      <w:rPr>
        <w:rFonts w:ascii="Times New Roman" w:hAnsi="Times New Roman" w:cs="Times New Roman" w:hint="eastAsia"/>
        <w:sz w:val="20"/>
        <w:szCs w:val="20"/>
      </w:rPr>
      <w:t>7</w:t>
    </w:r>
    <w:r w:rsidRPr="00454C41">
      <w:rPr>
        <w:rFonts w:ascii="Times New Roman" w:hAnsi="Times New Roman" w:cs="Times New Roman"/>
        <w:sz w:val="20"/>
        <w:szCs w:val="20"/>
      </w:rPr>
      <w:t>;</w:t>
    </w:r>
    <w:r w:rsidRPr="00454C41">
      <w:rPr>
        <w:rFonts w:ascii="Times New Roman" w:hAnsi="Times New Roman" w:cs="Times New Roman" w:hint="eastAsia"/>
        <w:sz w:val="20"/>
        <w:szCs w:val="20"/>
      </w:rPr>
      <w:t>10</w:t>
    </w:r>
    <w:r w:rsidRPr="00454C41">
      <w:rPr>
        <w:rFonts w:ascii="Times New Roman" w:hAnsi="Times New Roman" w:cs="Times New Roman"/>
        <w:sz w:val="20"/>
        <w:szCs w:val="20"/>
      </w:rPr>
      <w:t>(</w:t>
    </w:r>
    <w:r w:rsidRPr="00454C41">
      <w:rPr>
        <w:rFonts w:ascii="Times New Roman" w:hAnsi="Times New Roman" w:cs="Times New Roman" w:hint="eastAsia"/>
        <w:sz w:val="20"/>
        <w:szCs w:val="20"/>
      </w:rPr>
      <w:t>3</w:t>
    </w:r>
    <w:r w:rsidRPr="00454C41">
      <w:rPr>
        <w:rFonts w:ascii="Times New Roman" w:hAnsi="Times New Roman" w:cs="Times New Roman"/>
        <w:sz w:val="20"/>
        <w:szCs w:val="20"/>
      </w:rPr>
      <w:t>)</w:t>
    </w:r>
    <w:r w:rsidRPr="00454C41">
      <w:rPr>
        <w:rFonts w:ascii="Times New Roman" w:hAnsi="Times New Roman" w:cs="Times New Roman"/>
        <w:iCs/>
        <w:sz w:val="20"/>
        <w:szCs w:val="20"/>
      </w:rPr>
      <w:t xml:space="preserve">     </w:t>
    </w:r>
    <w:r w:rsidRPr="00454C41">
      <w:rPr>
        <w:rFonts w:ascii="Times New Roman" w:hAnsi="Times New Roman" w:cs="Times New Roman" w:hint="eastAsia"/>
        <w:iCs/>
        <w:sz w:val="20"/>
        <w:szCs w:val="20"/>
      </w:rPr>
      <w:tab/>
    </w:r>
    <w:r w:rsidRPr="00454C41">
      <w:rPr>
        <w:rFonts w:ascii="Times New Roman" w:hAnsi="Times New Roman" w:cs="Times New Roman"/>
        <w:iCs/>
        <w:sz w:val="20"/>
        <w:szCs w:val="20"/>
      </w:rPr>
      <w:t xml:space="preserve"> </w:t>
    </w:r>
    <w:r w:rsidRPr="00454C41">
      <w:rPr>
        <w:rFonts w:ascii="Times New Roman" w:hAnsi="Times New Roman" w:cs="Times New Roman" w:hint="eastAsia"/>
        <w:iCs/>
        <w:sz w:val="20"/>
        <w:szCs w:val="20"/>
      </w:rPr>
      <w:t xml:space="preserve"> </w:t>
    </w:r>
    <w:r w:rsidRPr="00454C41">
      <w:rPr>
        <w:rFonts w:ascii="Times New Roman" w:hAnsi="Times New Roman" w:cs="Times New Roman"/>
        <w:iCs/>
        <w:sz w:val="20"/>
        <w:szCs w:val="20"/>
      </w:rPr>
      <w:t xml:space="preserve">   </w:t>
    </w:r>
    <w:hyperlink r:id="rId1" w:history="1">
      <w:r w:rsidRPr="00454C41">
        <w:rPr>
          <w:rStyle w:val="Hyperlink"/>
          <w:rFonts w:ascii="Times New Roman" w:hAnsi="Times New Roman" w:cs="Times New Roman"/>
          <w:color w:val="0000FF"/>
          <w:sz w:val="20"/>
          <w:szCs w:val="20"/>
        </w:rPr>
        <w:t>http://www.sciencepub.net/newyork</w:t>
      </w:r>
    </w:hyperlink>
  </w:p>
  <w:p w:rsidR="00454C41" w:rsidRPr="00454C41" w:rsidRDefault="00454C41" w:rsidP="00454C4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1" w:rsidRPr="00454C41" w:rsidRDefault="00454C41" w:rsidP="00454C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C41">
      <w:rPr>
        <w:rFonts w:ascii="Times New Roman" w:hAnsi="Times New Roman" w:cs="Times New Roman" w:hint="eastAsia"/>
        <w:sz w:val="20"/>
        <w:szCs w:val="20"/>
      </w:rPr>
      <w:tab/>
    </w:r>
    <w:r w:rsidRPr="00454C41">
      <w:rPr>
        <w:rFonts w:ascii="Times New Roman" w:hAnsi="Times New Roman" w:cs="Times New Roman"/>
        <w:sz w:val="20"/>
        <w:szCs w:val="20"/>
      </w:rPr>
      <w:t>New York Science Journal 201</w:t>
    </w:r>
    <w:r w:rsidRPr="00454C41">
      <w:rPr>
        <w:rFonts w:ascii="Times New Roman" w:hAnsi="Times New Roman" w:cs="Times New Roman" w:hint="eastAsia"/>
        <w:sz w:val="20"/>
        <w:szCs w:val="20"/>
      </w:rPr>
      <w:t>7</w:t>
    </w:r>
    <w:r w:rsidRPr="00454C41">
      <w:rPr>
        <w:rFonts w:ascii="Times New Roman" w:hAnsi="Times New Roman" w:cs="Times New Roman"/>
        <w:sz w:val="20"/>
        <w:szCs w:val="20"/>
      </w:rPr>
      <w:t>;</w:t>
    </w:r>
    <w:r w:rsidRPr="00454C41">
      <w:rPr>
        <w:rFonts w:ascii="Times New Roman" w:hAnsi="Times New Roman" w:cs="Times New Roman" w:hint="eastAsia"/>
        <w:sz w:val="20"/>
        <w:szCs w:val="20"/>
      </w:rPr>
      <w:t>10</w:t>
    </w:r>
    <w:r w:rsidRPr="00454C41">
      <w:rPr>
        <w:rFonts w:ascii="Times New Roman" w:hAnsi="Times New Roman" w:cs="Times New Roman"/>
        <w:sz w:val="20"/>
        <w:szCs w:val="20"/>
      </w:rPr>
      <w:t>(</w:t>
    </w:r>
    <w:r w:rsidRPr="00454C41">
      <w:rPr>
        <w:rFonts w:ascii="Times New Roman" w:hAnsi="Times New Roman" w:cs="Times New Roman" w:hint="eastAsia"/>
        <w:sz w:val="20"/>
        <w:szCs w:val="20"/>
      </w:rPr>
      <w:t>3</w:t>
    </w:r>
    <w:r w:rsidRPr="00454C41">
      <w:rPr>
        <w:rFonts w:ascii="Times New Roman" w:hAnsi="Times New Roman" w:cs="Times New Roman"/>
        <w:sz w:val="20"/>
        <w:szCs w:val="20"/>
      </w:rPr>
      <w:t>)</w:t>
    </w:r>
    <w:r w:rsidRPr="00454C41">
      <w:rPr>
        <w:rFonts w:ascii="Times New Roman" w:hAnsi="Times New Roman" w:cs="Times New Roman"/>
        <w:iCs/>
        <w:sz w:val="20"/>
        <w:szCs w:val="20"/>
      </w:rPr>
      <w:t xml:space="preserve">     </w:t>
    </w:r>
    <w:r w:rsidRPr="00454C41">
      <w:rPr>
        <w:rFonts w:ascii="Times New Roman" w:hAnsi="Times New Roman" w:cs="Times New Roman" w:hint="eastAsia"/>
        <w:iCs/>
        <w:sz w:val="20"/>
        <w:szCs w:val="20"/>
      </w:rPr>
      <w:tab/>
    </w:r>
    <w:r w:rsidRPr="00454C41">
      <w:rPr>
        <w:rFonts w:ascii="Times New Roman" w:hAnsi="Times New Roman" w:cs="Times New Roman"/>
        <w:iCs/>
        <w:sz w:val="20"/>
        <w:szCs w:val="20"/>
      </w:rPr>
      <w:t xml:space="preserve"> </w:t>
    </w:r>
    <w:r w:rsidRPr="00454C41">
      <w:rPr>
        <w:rFonts w:ascii="Times New Roman" w:hAnsi="Times New Roman" w:cs="Times New Roman" w:hint="eastAsia"/>
        <w:iCs/>
        <w:sz w:val="20"/>
        <w:szCs w:val="20"/>
      </w:rPr>
      <w:t xml:space="preserve"> </w:t>
    </w:r>
    <w:r w:rsidRPr="00454C41">
      <w:rPr>
        <w:rFonts w:ascii="Times New Roman" w:hAnsi="Times New Roman" w:cs="Times New Roman"/>
        <w:iCs/>
        <w:sz w:val="20"/>
        <w:szCs w:val="20"/>
      </w:rPr>
      <w:t xml:space="preserve">   </w:t>
    </w:r>
    <w:hyperlink r:id="rId1" w:history="1">
      <w:r w:rsidRPr="00454C41">
        <w:rPr>
          <w:rStyle w:val="Hyperlink"/>
          <w:rFonts w:ascii="Times New Roman" w:hAnsi="Times New Roman" w:cs="Times New Roman"/>
          <w:color w:val="0000FF"/>
          <w:sz w:val="20"/>
          <w:szCs w:val="20"/>
        </w:rPr>
        <w:t>http://www.sciencepub.net/newyork</w:t>
      </w:r>
    </w:hyperlink>
  </w:p>
  <w:p w:rsidR="00454C41" w:rsidRPr="00454C41" w:rsidRDefault="00454C41" w:rsidP="00454C4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41" w:rsidRPr="00454C41" w:rsidRDefault="00454C41" w:rsidP="00454C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54C41">
      <w:rPr>
        <w:rFonts w:ascii="Times New Roman" w:hAnsi="Times New Roman" w:cs="Times New Roman" w:hint="eastAsia"/>
        <w:sz w:val="20"/>
        <w:szCs w:val="20"/>
      </w:rPr>
      <w:tab/>
    </w:r>
    <w:r w:rsidRPr="00454C41">
      <w:rPr>
        <w:rFonts w:ascii="Times New Roman" w:hAnsi="Times New Roman" w:cs="Times New Roman"/>
        <w:sz w:val="20"/>
        <w:szCs w:val="20"/>
      </w:rPr>
      <w:t>New York Science Journal 201</w:t>
    </w:r>
    <w:r w:rsidRPr="00454C41">
      <w:rPr>
        <w:rFonts w:ascii="Times New Roman" w:hAnsi="Times New Roman" w:cs="Times New Roman" w:hint="eastAsia"/>
        <w:sz w:val="20"/>
        <w:szCs w:val="20"/>
      </w:rPr>
      <w:t>7</w:t>
    </w:r>
    <w:r w:rsidRPr="00454C41">
      <w:rPr>
        <w:rFonts w:ascii="Times New Roman" w:hAnsi="Times New Roman" w:cs="Times New Roman"/>
        <w:sz w:val="20"/>
        <w:szCs w:val="20"/>
      </w:rPr>
      <w:t>;</w:t>
    </w:r>
    <w:r w:rsidRPr="00454C41">
      <w:rPr>
        <w:rFonts w:ascii="Times New Roman" w:hAnsi="Times New Roman" w:cs="Times New Roman" w:hint="eastAsia"/>
        <w:sz w:val="20"/>
        <w:szCs w:val="20"/>
      </w:rPr>
      <w:t>10</w:t>
    </w:r>
    <w:r w:rsidRPr="00454C41">
      <w:rPr>
        <w:rFonts w:ascii="Times New Roman" w:hAnsi="Times New Roman" w:cs="Times New Roman"/>
        <w:sz w:val="20"/>
        <w:szCs w:val="20"/>
      </w:rPr>
      <w:t>(</w:t>
    </w:r>
    <w:r w:rsidRPr="00454C41">
      <w:rPr>
        <w:rFonts w:ascii="Times New Roman" w:hAnsi="Times New Roman" w:cs="Times New Roman" w:hint="eastAsia"/>
        <w:sz w:val="20"/>
        <w:szCs w:val="20"/>
      </w:rPr>
      <w:t>3</w:t>
    </w:r>
    <w:r w:rsidRPr="00454C41">
      <w:rPr>
        <w:rFonts w:ascii="Times New Roman" w:hAnsi="Times New Roman" w:cs="Times New Roman"/>
        <w:sz w:val="20"/>
        <w:szCs w:val="20"/>
      </w:rPr>
      <w:t>)</w:t>
    </w:r>
    <w:r w:rsidRPr="00454C41">
      <w:rPr>
        <w:rFonts w:ascii="Times New Roman" w:hAnsi="Times New Roman" w:cs="Times New Roman"/>
        <w:iCs/>
        <w:sz w:val="20"/>
        <w:szCs w:val="20"/>
      </w:rPr>
      <w:t xml:space="preserve">     </w:t>
    </w:r>
    <w:r w:rsidRPr="00454C41">
      <w:rPr>
        <w:rFonts w:ascii="Times New Roman" w:hAnsi="Times New Roman" w:cs="Times New Roman" w:hint="eastAsia"/>
        <w:iCs/>
        <w:sz w:val="20"/>
        <w:szCs w:val="20"/>
      </w:rPr>
      <w:tab/>
    </w:r>
    <w:r w:rsidRPr="00454C41">
      <w:rPr>
        <w:rFonts w:ascii="Times New Roman" w:hAnsi="Times New Roman" w:cs="Times New Roman"/>
        <w:iCs/>
        <w:sz w:val="20"/>
        <w:szCs w:val="20"/>
      </w:rPr>
      <w:t xml:space="preserve"> </w:t>
    </w:r>
    <w:r w:rsidRPr="00454C41">
      <w:rPr>
        <w:rFonts w:ascii="Times New Roman" w:hAnsi="Times New Roman" w:cs="Times New Roman" w:hint="eastAsia"/>
        <w:iCs/>
        <w:sz w:val="20"/>
        <w:szCs w:val="20"/>
      </w:rPr>
      <w:t xml:space="preserve"> </w:t>
    </w:r>
    <w:r w:rsidRPr="00454C41">
      <w:rPr>
        <w:rFonts w:ascii="Times New Roman" w:hAnsi="Times New Roman" w:cs="Times New Roman"/>
        <w:iCs/>
        <w:sz w:val="20"/>
        <w:szCs w:val="20"/>
      </w:rPr>
      <w:t xml:space="preserve">   </w:t>
    </w:r>
    <w:hyperlink r:id="rId1" w:history="1">
      <w:r w:rsidRPr="00454C41">
        <w:rPr>
          <w:rStyle w:val="Hyperlink"/>
          <w:rFonts w:ascii="Times New Roman" w:hAnsi="Times New Roman" w:cs="Times New Roman"/>
          <w:color w:val="0000FF"/>
          <w:sz w:val="20"/>
          <w:szCs w:val="20"/>
        </w:rPr>
        <w:t>http://www.sciencepub.net/newyork</w:t>
      </w:r>
    </w:hyperlink>
  </w:p>
  <w:p w:rsidR="00454C41" w:rsidRPr="00454C41" w:rsidRDefault="00454C41" w:rsidP="00454C4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47F"/>
    <w:multiLevelType w:val="hybridMultilevel"/>
    <w:tmpl w:val="09E62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01237"/>
    <w:multiLevelType w:val="hybridMultilevel"/>
    <w:tmpl w:val="24D41CA2"/>
    <w:lvl w:ilvl="0" w:tplc="09A0A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D6CF7"/>
    <w:multiLevelType w:val="hybridMultilevel"/>
    <w:tmpl w:val="7A1A9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B05D1"/>
    <w:multiLevelType w:val="hybridMultilevel"/>
    <w:tmpl w:val="CBD67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025BD"/>
    <w:multiLevelType w:val="hybridMultilevel"/>
    <w:tmpl w:val="8000FEC8"/>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9272C"/>
    <w:multiLevelType w:val="hybridMultilevel"/>
    <w:tmpl w:val="0520D9BC"/>
    <w:lvl w:ilvl="0" w:tplc="8AF8D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501364"/>
    <w:multiLevelType w:val="hybridMultilevel"/>
    <w:tmpl w:val="6E80898A"/>
    <w:lvl w:ilvl="0" w:tplc="E4BA6F82">
      <w:start w:val="1"/>
      <w:numFmt w:val="bullet"/>
      <w:lvlText w:val=""/>
      <w:lvlJc w:val="left"/>
      <w:pPr>
        <w:ind w:left="795" w:hanging="360"/>
      </w:pPr>
      <w:rPr>
        <w:rFonts w:ascii="Symbol" w:hAnsi="Symbol" w:hint="default"/>
        <w:sz w:val="28"/>
        <w:szCs w:val="2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3BC93FFC"/>
    <w:multiLevelType w:val="hybridMultilevel"/>
    <w:tmpl w:val="CBD65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002F06"/>
    <w:multiLevelType w:val="hybridMultilevel"/>
    <w:tmpl w:val="B9822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0C3435"/>
    <w:multiLevelType w:val="hybridMultilevel"/>
    <w:tmpl w:val="561A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976F3"/>
    <w:multiLevelType w:val="hybridMultilevel"/>
    <w:tmpl w:val="49CC6B24"/>
    <w:lvl w:ilvl="0" w:tplc="5B52D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AD5E7C"/>
    <w:multiLevelType w:val="hybridMultilevel"/>
    <w:tmpl w:val="FA6CA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3766E"/>
    <w:multiLevelType w:val="hybridMultilevel"/>
    <w:tmpl w:val="68C24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0"/>
  </w:num>
  <w:num w:numId="5">
    <w:abstractNumId w:val="2"/>
  </w:num>
  <w:num w:numId="6">
    <w:abstractNumId w:val="3"/>
  </w:num>
  <w:num w:numId="7">
    <w:abstractNumId w:val="4"/>
  </w:num>
  <w:num w:numId="8">
    <w:abstractNumId w:val="12"/>
  </w:num>
  <w:num w:numId="9">
    <w:abstractNumId w:val="6"/>
  </w:num>
  <w:num w:numId="10">
    <w:abstractNumId w:val="9"/>
  </w:num>
  <w:num w:numId="11">
    <w:abstractNumId w:val="8"/>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EE6DAD"/>
    <w:rsid w:val="00011B56"/>
    <w:rsid w:val="00033AA0"/>
    <w:rsid w:val="00044038"/>
    <w:rsid w:val="000A7DA0"/>
    <w:rsid w:val="000E6542"/>
    <w:rsid w:val="000F1E7B"/>
    <w:rsid w:val="00111309"/>
    <w:rsid w:val="001130BF"/>
    <w:rsid w:val="00113565"/>
    <w:rsid w:val="00126AB3"/>
    <w:rsid w:val="00157020"/>
    <w:rsid w:val="001814B3"/>
    <w:rsid w:val="00186496"/>
    <w:rsid w:val="001A0C99"/>
    <w:rsid w:val="001E3D5D"/>
    <w:rsid w:val="001E520B"/>
    <w:rsid w:val="001F19F7"/>
    <w:rsid w:val="00255457"/>
    <w:rsid w:val="0029118E"/>
    <w:rsid w:val="00296E31"/>
    <w:rsid w:val="002B70C3"/>
    <w:rsid w:val="00330B75"/>
    <w:rsid w:val="00335D5E"/>
    <w:rsid w:val="003506F6"/>
    <w:rsid w:val="00355AE7"/>
    <w:rsid w:val="003667A7"/>
    <w:rsid w:val="003A0692"/>
    <w:rsid w:val="003C3A23"/>
    <w:rsid w:val="003E18F3"/>
    <w:rsid w:val="003F413D"/>
    <w:rsid w:val="003F7F39"/>
    <w:rsid w:val="004312D2"/>
    <w:rsid w:val="00447513"/>
    <w:rsid w:val="0045291A"/>
    <w:rsid w:val="00454C41"/>
    <w:rsid w:val="00474987"/>
    <w:rsid w:val="00487B68"/>
    <w:rsid w:val="00502A2E"/>
    <w:rsid w:val="0055459D"/>
    <w:rsid w:val="00601CF4"/>
    <w:rsid w:val="006120B6"/>
    <w:rsid w:val="00640E1B"/>
    <w:rsid w:val="00653E59"/>
    <w:rsid w:val="006A0A2B"/>
    <w:rsid w:val="006A4630"/>
    <w:rsid w:val="00712CD4"/>
    <w:rsid w:val="00742A8F"/>
    <w:rsid w:val="00754784"/>
    <w:rsid w:val="0076693D"/>
    <w:rsid w:val="007A2A9B"/>
    <w:rsid w:val="007A6D55"/>
    <w:rsid w:val="007B0A20"/>
    <w:rsid w:val="007B7E73"/>
    <w:rsid w:val="007C000E"/>
    <w:rsid w:val="007C6739"/>
    <w:rsid w:val="007E012D"/>
    <w:rsid w:val="0080322A"/>
    <w:rsid w:val="00821BC8"/>
    <w:rsid w:val="00823C62"/>
    <w:rsid w:val="00857D10"/>
    <w:rsid w:val="00892751"/>
    <w:rsid w:val="008A00F7"/>
    <w:rsid w:val="008A6842"/>
    <w:rsid w:val="00926365"/>
    <w:rsid w:val="00934DEF"/>
    <w:rsid w:val="00941494"/>
    <w:rsid w:val="00941F03"/>
    <w:rsid w:val="009457CE"/>
    <w:rsid w:val="009645DE"/>
    <w:rsid w:val="00996714"/>
    <w:rsid w:val="009D43C5"/>
    <w:rsid w:val="009E28FF"/>
    <w:rsid w:val="00A40CA7"/>
    <w:rsid w:val="00A82362"/>
    <w:rsid w:val="00A84F10"/>
    <w:rsid w:val="00AA1A46"/>
    <w:rsid w:val="00AB1790"/>
    <w:rsid w:val="00AB567A"/>
    <w:rsid w:val="00B17A79"/>
    <w:rsid w:val="00B27D3C"/>
    <w:rsid w:val="00B81516"/>
    <w:rsid w:val="00B8481B"/>
    <w:rsid w:val="00B96BBC"/>
    <w:rsid w:val="00BC0FBE"/>
    <w:rsid w:val="00BF1EEE"/>
    <w:rsid w:val="00C00F01"/>
    <w:rsid w:val="00C0497D"/>
    <w:rsid w:val="00C57895"/>
    <w:rsid w:val="00C756DD"/>
    <w:rsid w:val="00C9608B"/>
    <w:rsid w:val="00C96C91"/>
    <w:rsid w:val="00CA7919"/>
    <w:rsid w:val="00CB79A0"/>
    <w:rsid w:val="00CC4DCD"/>
    <w:rsid w:val="00DE41D0"/>
    <w:rsid w:val="00E06A60"/>
    <w:rsid w:val="00E6335D"/>
    <w:rsid w:val="00EB14CF"/>
    <w:rsid w:val="00EB1C77"/>
    <w:rsid w:val="00EC375F"/>
    <w:rsid w:val="00EE6DAD"/>
    <w:rsid w:val="00F17FA0"/>
    <w:rsid w:val="00F257A0"/>
    <w:rsid w:val="00F36930"/>
    <w:rsid w:val="00F82EC5"/>
    <w:rsid w:val="00F910F2"/>
    <w:rsid w:val="00FB484D"/>
    <w:rsid w:val="00FC46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1B"/>
  </w:style>
  <w:style w:type="paragraph" w:styleId="Footer">
    <w:name w:val="footer"/>
    <w:basedOn w:val="Normal"/>
    <w:link w:val="FooterChar"/>
    <w:uiPriority w:val="99"/>
    <w:unhideWhenUsed/>
    <w:rsid w:val="00640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1B"/>
  </w:style>
  <w:style w:type="paragraph" w:styleId="ListParagraph">
    <w:name w:val="List Paragraph"/>
    <w:basedOn w:val="Normal"/>
    <w:uiPriority w:val="34"/>
    <w:qFormat/>
    <w:rsid w:val="000F1E7B"/>
    <w:pPr>
      <w:bidi/>
      <w:spacing w:after="200" w:line="276" w:lineRule="auto"/>
      <w:ind w:left="720"/>
      <w:contextualSpacing/>
    </w:pPr>
  </w:style>
  <w:style w:type="table" w:styleId="TableGrid">
    <w:name w:val="Table Grid"/>
    <w:basedOn w:val="TableNormal"/>
    <w:uiPriority w:val="39"/>
    <w:rsid w:val="0036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B68"/>
    <w:rPr>
      <w:rFonts w:ascii="Tahoma" w:hAnsi="Tahoma" w:cs="Tahoma"/>
      <w:sz w:val="16"/>
      <w:szCs w:val="16"/>
    </w:rPr>
  </w:style>
  <w:style w:type="character" w:styleId="Hyperlink">
    <w:name w:val="Hyperlink"/>
    <w:basedOn w:val="DefaultParagraphFont"/>
    <w:uiPriority w:val="99"/>
    <w:rsid w:val="00454C41"/>
    <w:rPr>
      <w:color w:val="000000"/>
      <w:u w:val="single"/>
    </w:rPr>
  </w:style>
</w:styles>
</file>

<file path=word/webSettings.xml><?xml version="1.0" encoding="utf-8"?>
<w:webSettings xmlns:r="http://schemas.openxmlformats.org/officeDocument/2006/relationships" xmlns:w="http://schemas.openxmlformats.org/wordprocessingml/2006/main">
  <w:divs>
    <w:div w:id="6863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alshemy2015@yahoo.com" TargetMode="Externa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100317.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734731178106728E-2"/>
          <c:y val="5.7791537667698969E-2"/>
          <c:w val="0.9048178813911204"/>
          <c:h val="0.85883068022070064"/>
        </c:manualLayout>
      </c:layout>
      <c:barChart>
        <c:barDir val="col"/>
        <c:grouping val="stacked"/>
        <c:ser>
          <c:idx val="0"/>
          <c:order val="0"/>
          <c:tx>
            <c:strRef>
              <c:f>ورقة1!$B$1</c:f>
              <c:strCache>
                <c:ptCount val="1"/>
                <c:pt idx="0">
                  <c:v>سلسلة 1</c:v>
                </c:pt>
              </c:strCache>
            </c:strRef>
          </c:tx>
          <c:spPr>
            <a:solidFill>
              <a:schemeClr val="accent1"/>
            </a:solidFill>
            <a:ln>
              <a:noFill/>
            </a:ln>
            <a:effectLst/>
          </c:spPr>
          <c:cat>
            <c:strRef>
              <c:f>ورقة1!$A$2:$A$5</c:f>
              <c:strCache>
                <c:ptCount val="3"/>
                <c:pt idx="0">
                  <c:v>Ischemic</c:v>
                </c:pt>
                <c:pt idx="1">
                  <c:v>Hemorrhagic</c:v>
                </c:pt>
                <c:pt idx="2">
                  <c:v>Control</c:v>
                </c:pt>
              </c:strCache>
            </c:strRef>
          </c:cat>
          <c:val>
            <c:numRef>
              <c:f>ورقة1!$B$2:$B$5</c:f>
              <c:numCache>
                <c:formatCode>General</c:formatCode>
                <c:ptCount val="4"/>
                <c:pt idx="0">
                  <c:v>672</c:v>
                </c:pt>
                <c:pt idx="1">
                  <c:v>576</c:v>
                </c:pt>
                <c:pt idx="2">
                  <c:v>10</c:v>
                </c:pt>
              </c:numCache>
            </c:numRef>
          </c:val>
        </c:ser>
        <c:ser>
          <c:idx val="1"/>
          <c:order val="1"/>
          <c:tx>
            <c:strRef>
              <c:f>ورقة1!$C$1</c:f>
              <c:strCache>
                <c:ptCount val="1"/>
                <c:pt idx="0">
                  <c:v>عمود2</c:v>
                </c:pt>
              </c:strCache>
            </c:strRef>
          </c:tx>
          <c:spPr>
            <a:solidFill>
              <a:schemeClr val="accent2"/>
            </a:solidFill>
            <a:ln>
              <a:noFill/>
            </a:ln>
            <a:effectLst/>
          </c:spPr>
          <c:cat>
            <c:strRef>
              <c:f>ورقة1!$A$2:$A$5</c:f>
              <c:strCache>
                <c:ptCount val="3"/>
                <c:pt idx="0">
                  <c:v>Ischemic</c:v>
                </c:pt>
                <c:pt idx="1">
                  <c:v>Hemorrhagic</c:v>
                </c:pt>
                <c:pt idx="2">
                  <c:v>Control</c:v>
                </c:pt>
              </c:strCache>
            </c:strRef>
          </c:cat>
          <c:val>
            <c:numRef>
              <c:f>ورقة1!$C$2:$C$5</c:f>
              <c:numCache>
                <c:formatCode>General</c:formatCode>
                <c:ptCount val="4"/>
              </c:numCache>
            </c:numRef>
          </c:val>
        </c:ser>
        <c:ser>
          <c:idx val="2"/>
          <c:order val="2"/>
          <c:tx>
            <c:strRef>
              <c:f>ورقة1!$D$1</c:f>
              <c:strCache>
                <c:ptCount val="1"/>
                <c:pt idx="0">
                  <c:v>عمود1</c:v>
                </c:pt>
              </c:strCache>
            </c:strRef>
          </c:tx>
          <c:spPr>
            <a:solidFill>
              <a:schemeClr val="accent3"/>
            </a:solidFill>
            <a:ln>
              <a:noFill/>
            </a:ln>
            <a:effectLst/>
          </c:spPr>
          <c:cat>
            <c:strRef>
              <c:f>ورقة1!$A$2:$A$5</c:f>
              <c:strCache>
                <c:ptCount val="3"/>
                <c:pt idx="0">
                  <c:v>Ischemic</c:v>
                </c:pt>
                <c:pt idx="1">
                  <c:v>Hemorrhagic</c:v>
                </c:pt>
                <c:pt idx="2">
                  <c:v>Control</c:v>
                </c:pt>
              </c:strCache>
            </c:strRef>
          </c:cat>
          <c:val>
            <c:numRef>
              <c:f>ورقة1!$D$2:$D$5</c:f>
              <c:numCache>
                <c:formatCode>General</c:formatCode>
                <c:ptCount val="4"/>
              </c:numCache>
            </c:numRef>
          </c:val>
        </c:ser>
        <c:gapWidth val="219"/>
        <c:overlap val="100"/>
        <c:axId val="112105344"/>
        <c:axId val="112133248"/>
      </c:barChart>
      <c:catAx>
        <c:axId val="1121053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7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ar-EG"/>
          </a:p>
        </c:txPr>
        <c:crossAx val="112133248"/>
        <c:crosses val="autoZero"/>
        <c:auto val="1"/>
        <c:lblAlgn val="ctr"/>
        <c:lblOffset val="100"/>
      </c:catAx>
      <c:valAx>
        <c:axId val="112133248"/>
        <c:scaling>
          <c:orientation val="minMax"/>
          <c:max val="800"/>
        </c:scaling>
        <c:axPos val="l"/>
        <c:numFmt formatCode="General" sourceLinked="1"/>
        <c:majorTickMark val="none"/>
        <c:tickLblPos val="nextTo"/>
        <c:txPr>
          <a:bodyPr rot="-60000000" vert="horz"/>
          <a:lstStyle/>
          <a:p>
            <a:pPr>
              <a:defRPr/>
            </a:pPr>
            <a:endParaRPr lang="ar-EG"/>
          </a:p>
        </c:txPr>
        <c:crossAx val="1121053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8912-F132-4681-947F-D16CCF35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2866</Words>
  <Characters>16339</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cp:lastPrinted>2016-10-08T19:45:00Z</cp:lastPrinted>
  <dcterms:created xsi:type="dcterms:W3CDTF">2017-02-10T15:58:00Z</dcterms:created>
  <dcterms:modified xsi:type="dcterms:W3CDTF">2017-02-20T13:17:00Z</dcterms:modified>
</cp:coreProperties>
</file>