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B5" w:rsidRPr="003021D9" w:rsidRDefault="00444EB5" w:rsidP="009B636E">
      <w:pPr>
        <w:snapToGrid w:val="0"/>
        <w:jc w:val="center"/>
        <w:rPr>
          <w:b/>
          <w:sz w:val="20"/>
          <w:szCs w:val="20"/>
        </w:rPr>
      </w:pPr>
      <w:r w:rsidRPr="003021D9">
        <w:rPr>
          <w:b/>
          <w:bCs/>
          <w:sz w:val="20"/>
          <w:szCs w:val="20"/>
        </w:rPr>
        <w:t>Prevalence of adult attention deficit hyperactivity symptoms in Tabriz Islamic Azad university medical stager students in 2014</w:t>
      </w:r>
    </w:p>
    <w:p w:rsidR="00444EB5" w:rsidRPr="003021D9" w:rsidRDefault="00444EB5" w:rsidP="009B636E">
      <w:pPr>
        <w:snapToGrid w:val="0"/>
        <w:jc w:val="center"/>
        <w:rPr>
          <w:sz w:val="20"/>
          <w:szCs w:val="20"/>
          <w:lang w:eastAsia="zh-CN"/>
        </w:rPr>
      </w:pPr>
    </w:p>
    <w:p w:rsidR="00444EB5" w:rsidRPr="003021D9" w:rsidRDefault="00444EB5" w:rsidP="009B636E">
      <w:pPr>
        <w:snapToGrid w:val="0"/>
        <w:jc w:val="center"/>
        <w:rPr>
          <w:sz w:val="20"/>
          <w:szCs w:val="20"/>
        </w:rPr>
      </w:pPr>
      <w:r w:rsidRPr="003021D9">
        <w:rPr>
          <w:sz w:val="20"/>
          <w:szCs w:val="20"/>
        </w:rPr>
        <w:t>Sepideh Herizchi Ghadim</w:t>
      </w:r>
      <w:r w:rsidRPr="003021D9">
        <w:rPr>
          <w:sz w:val="20"/>
          <w:szCs w:val="20"/>
          <w:vertAlign w:val="superscript"/>
        </w:rPr>
        <w:t>1*</w:t>
      </w:r>
      <w:r w:rsidRPr="003021D9">
        <w:rPr>
          <w:sz w:val="20"/>
          <w:szCs w:val="20"/>
        </w:rPr>
        <w:t xml:space="preserve">, </w:t>
      </w:r>
      <w:r w:rsidRPr="003021D9">
        <w:rPr>
          <w:noProof/>
          <w:sz w:val="20"/>
          <w:szCs w:val="20"/>
        </w:rPr>
        <w:t>Massud Abbaszadeh Banaian</w:t>
      </w:r>
      <w:r w:rsidRPr="003021D9">
        <w:rPr>
          <w:noProof/>
          <w:sz w:val="20"/>
          <w:szCs w:val="20"/>
          <w:vertAlign w:val="superscript"/>
        </w:rPr>
        <w:t>2</w:t>
      </w:r>
    </w:p>
    <w:p w:rsidR="00444EB5" w:rsidRPr="003021D9" w:rsidRDefault="00444EB5" w:rsidP="009B636E">
      <w:pPr>
        <w:snapToGrid w:val="0"/>
        <w:jc w:val="center"/>
        <w:rPr>
          <w:sz w:val="20"/>
          <w:szCs w:val="20"/>
        </w:rPr>
      </w:pPr>
    </w:p>
    <w:p w:rsidR="00444EB5" w:rsidRPr="003021D9" w:rsidRDefault="00444EB5" w:rsidP="009B636E">
      <w:pPr>
        <w:autoSpaceDE w:val="0"/>
        <w:autoSpaceDN w:val="0"/>
        <w:adjustRightInd w:val="0"/>
        <w:snapToGrid w:val="0"/>
        <w:jc w:val="center"/>
        <w:rPr>
          <w:sz w:val="20"/>
          <w:szCs w:val="20"/>
        </w:rPr>
      </w:pPr>
      <w:r w:rsidRPr="003021D9">
        <w:rPr>
          <w:sz w:val="20"/>
          <w:szCs w:val="20"/>
          <w:vertAlign w:val="superscript"/>
        </w:rPr>
        <w:t>1-</w:t>
      </w:r>
      <w:r w:rsidRPr="003021D9">
        <w:rPr>
          <w:sz w:val="20"/>
          <w:szCs w:val="20"/>
        </w:rPr>
        <w:t>Research Center of Psychiatry and Behavioral Sciences, Tabriz University of Medicine, Tabriz, Iran.</w:t>
      </w:r>
    </w:p>
    <w:p w:rsidR="00444EB5" w:rsidRPr="003021D9" w:rsidRDefault="00444EB5" w:rsidP="009B636E">
      <w:pPr>
        <w:snapToGrid w:val="0"/>
        <w:jc w:val="center"/>
        <w:rPr>
          <w:sz w:val="20"/>
          <w:szCs w:val="20"/>
        </w:rPr>
      </w:pPr>
      <w:r w:rsidRPr="003021D9">
        <w:rPr>
          <w:sz w:val="20"/>
          <w:szCs w:val="20"/>
          <w:vertAlign w:val="superscript"/>
        </w:rPr>
        <w:t>2-</w:t>
      </w:r>
      <w:r w:rsidRPr="003021D9">
        <w:rPr>
          <w:sz w:val="20"/>
          <w:szCs w:val="20"/>
        </w:rPr>
        <w:t>GP, Tabriz Branch of Islamic Azad University, Tabriz, Iran.</w:t>
      </w:r>
    </w:p>
    <w:p w:rsidR="00444EB5" w:rsidRPr="003021D9" w:rsidRDefault="00097889" w:rsidP="009B636E">
      <w:pPr>
        <w:snapToGrid w:val="0"/>
        <w:jc w:val="center"/>
        <w:rPr>
          <w:rFonts w:hint="eastAsia"/>
          <w:sz w:val="20"/>
          <w:szCs w:val="20"/>
          <w:lang w:eastAsia="zh-CN"/>
        </w:rPr>
      </w:pPr>
      <w:hyperlink r:id="rId7" w:history="1">
        <w:r w:rsidRPr="00F8123B">
          <w:rPr>
            <w:rStyle w:val="Hyperlink"/>
            <w:sz w:val="20"/>
            <w:szCs w:val="20"/>
            <w:shd w:val="clear" w:color="auto" w:fill="FFFFFF"/>
          </w:rPr>
          <w:t>sepideh_herizchi@yahoo.com</w:t>
        </w:r>
      </w:hyperlink>
      <w:r>
        <w:rPr>
          <w:rFonts w:hint="eastAsia"/>
          <w:color w:val="000000"/>
          <w:sz w:val="20"/>
          <w:szCs w:val="20"/>
          <w:shd w:val="clear" w:color="auto" w:fill="FFFFFF"/>
          <w:lang w:eastAsia="zh-CN"/>
        </w:rPr>
        <w:t xml:space="preserve"> </w:t>
      </w:r>
    </w:p>
    <w:p w:rsidR="00444EB5" w:rsidRPr="003021D9" w:rsidRDefault="00444EB5" w:rsidP="009B636E">
      <w:pPr>
        <w:snapToGrid w:val="0"/>
        <w:jc w:val="center"/>
        <w:rPr>
          <w:sz w:val="20"/>
          <w:szCs w:val="20"/>
        </w:rPr>
      </w:pPr>
    </w:p>
    <w:p w:rsidR="00444EB5" w:rsidRPr="003021D9" w:rsidRDefault="00444EB5" w:rsidP="009B636E">
      <w:pPr>
        <w:snapToGrid w:val="0"/>
        <w:jc w:val="both"/>
        <w:rPr>
          <w:sz w:val="20"/>
          <w:szCs w:val="20"/>
        </w:rPr>
      </w:pPr>
      <w:r w:rsidRPr="003021D9">
        <w:rPr>
          <w:b/>
          <w:sz w:val="20"/>
          <w:szCs w:val="20"/>
        </w:rPr>
        <w:t xml:space="preserve">Abstract: </w:t>
      </w:r>
      <w:bookmarkStart w:id="0" w:name="OLE_LINK1"/>
      <w:bookmarkStart w:id="1" w:name="OLE_LINK2"/>
      <w:r w:rsidRPr="003021D9">
        <w:rPr>
          <w:b/>
          <w:bCs/>
          <w:color w:val="222222"/>
          <w:sz w:val="20"/>
          <w:szCs w:val="20"/>
        </w:rPr>
        <w:t>Background and Objectives:</w:t>
      </w:r>
      <w:r w:rsidRPr="003021D9">
        <w:rPr>
          <w:color w:val="222222"/>
          <w:sz w:val="20"/>
          <w:szCs w:val="20"/>
        </w:rPr>
        <w:t xml:space="preserve"> (ADHD) disorder in children has long been known and treated. </w:t>
      </w:r>
      <w:r w:rsidRPr="003021D9">
        <w:rPr>
          <w:rStyle w:val="hps"/>
          <w:color w:val="222222"/>
          <w:sz w:val="20"/>
          <w:szCs w:val="20"/>
        </w:rPr>
        <w:t>However, in</w:t>
      </w:r>
      <w:r w:rsidRPr="003021D9">
        <w:rPr>
          <w:color w:val="222222"/>
          <w:sz w:val="20"/>
          <w:szCs w:val="20"/>
        </w:rPr>
        <w:t xml:space="preserve"> </w:t>
      </w:r>
      <w:r w:rsidRPr="003021D9">
        <w:rPr>
          <w:rStyle w:val="hps"/>
          <w:color w:val="222222"/>
          <w:sz w:val="20"/>
          <w:szCs w:val="20"/>
        </w:rPr>
        <w:t>recent decades</w:t>
      </w:r>
      <w:r w:rsidRPr="003021D9">
        <w:rPr>
          <w:color w:val="222222"/>
          <w:sz w:val="20"/>
          <w:szCs w:val="20"/>
        </w:rPr>
        <w:t xml:space="preserve">, </w:t>
      </w:r>
      <w:r w:rsidRPr="003021D9">
        <w:rPr>
          <w:rStyle w:val="hps"/>
          <w:color w:val="222222"/>
          <w:sz w:val="20"/>
          <w:szCs w:val="20"/>
        </w:rPr>
        <w:t>the</w:t>
      </w:r>
      <w:r w:rsidRPr="003021D9">
        <w:rPr>
          <w:color w:val="222222"/>
          <w:sz w:val="20"/>
          <w:szCs w:val="20"/>
        </w:rPr>
        <w:t xml:space="preserve"> </w:t>
      </w:r>
      <w:r w:rsidRPr="003021D9">
        <w:rPr>
          <w:rStyle w:val="hps"/>
          <w:color w:val="222222"/>
          <w:sz w:val="20"/>
          <w:szCs w:val="20"/>
        </w:rPr>
        <w:t>continuation</w:t>
      </w:r>
      <w:r w:rsidRPr="003021D9">
        <w:rPr>
          <w:color w:val="222222"/>
          <w:sz w:val="20"/>
          <w:szCs w:val="20"/>
        </w:rPr>
        <w:t xml:space="preserve"> </w:t>
      </w:r>
      <w:r w:rsidRPr="003021D9">
        <w:rPr>
          <w:rStyle w:val="hps"/>
          <w:color w:val="222222"/>
          <w:sz w:val="20"/>
          <w:szCs w:val="20"/>
        </w:rPr>
        <w:t>(ADHD)</w:t>
      </w:r>
      <w:r w:rsidRPr="003021D9">
        <w:rPr>
          <w:color w:val="222222"/>
          <w:sz w:val="20"/>
          <w:szCs w:val="20"/>
        </w:rPr>
        <w:t xml:space="preserve"> </w:t>
      </w:r>
      <w:r w:rsidRPr="003021D9">
        <w:rPr>
          <w:rStyle w:val="hps"/>
          <w:color w:val="222222"/>
          <w:sz w:val="20"/>
          <w:szCs w:val="20"/>
        </w:rPr>
        <w:t>in adults</w:t>
      </w:r>
      <w:r w:rsidRPr="003021D9">
        <w:rPr>
          <w:color w:val="222222"/>
          <w:sz w:val="20"/>
          <w:szCs w:val="20"/>
        </w:rPr>
        <w:t xml:space="preserve"> </w:t>
      </w:r>
      <w:r w:rsidRPr="003021D9">
        <w:rPr>
          <w:rStyle w:val="hps"/>
          <w:color w:val="222222"/>
          <w:sz w:val="20"/>
          <w:szCs w:val="20"/>
        </w:rPr>
        <w:t>after</w:t>
      </w:r>
      <w:r w:rsidRPr="003021D9">
        <w:rPr>
          <w:color w:val="222222"/>
          <w:sz w:val="20"/>
          <w:szCs w:val="20"/>
        </w:rPr>
        <w:t xml:space="preserve"> </w:t>
      </w:r>
      <w:r w:rsidRPr="003021D9">
        <w:rPr>
          <w:rStyle w:val="hps"/>
          <w:color w:val="222222"/>
          <w:sz w:val="20"/>
          <w:szCs w:val="20"/>
        </w:rPr>
        <w:t>childhood,</w:t>
      </w:r>
      <w:r w:rsidRPr="003021D9">
        <w:rPr>
          <w:color w:val="222222"/>
          <w:sz w:val="20"/>
          <w:szCs w:val="20"/>
        </w:rPr>
        <w:t xml:space="preserve"> </w:t>
      </w:r>
      <w:r w:rsidRPr="003021D9">
        <w:rPr>
          <w:rStyle w:val="hps"/>
          <w:color w:val="222222"/>
          <w:sz w:val="20"/>
          <w:szCs w:val="20"/>
        </w:rPr>
        <w:t>considerable</w:t>
      </w:r>
      <w:r w:rsidRPr="003021D9">
        <w:rPr>
          <w:color w:val="222222"/>
          <w:sz w:val="20"/>
          <w:szCs w:val="20"/>
        </w:rPr>
        <w:t xml:space="preserve"> </w:t>
      </w:r>
      <w:r w:rsidRPr="003021D9">
        <w:rPr>
          <w:rStyle w:val="hps"/>
          <w:color w:val="222222"/>
          <w:sz w:val="20"/>
          <w:szCs w:val="20"/>
        </w:rPr>
        <w:t>attention</w:t>
      </w:r>
      <w:r w:rsidRPr="003021D9">
        <w:rPr>
          <w:color w:val="222222"/>
          <w:sz w:val="20"/>
          <w:szCs w:val="20"/>
        </w:rPr>
        <w:t xml:space="preserve"> </w:t>
      </w:r>
      <w:r w:rsidRPr="003021D9">
        <w:rPr>
          <w:rStyle w:val="hps"/>
          <w:color w:val="222222"/>
          <w:sz w:val="20"/>
          <w:szCs w:val="20"/>
        </w:rPr>
        <w:t>has</w:t>
      </w:r>
      <w:r w:rsidRPr="003021D9">
        <w:rPr>
          <w:color w:val="222222"/>
          <w:sz w:val="20"/>
          <w:szCs w:val="20"/>
        </w:rPr>
        <w:t xml:space="preserve"> </w:t>
      </w:r>
      <w:r w:rsidRPr="003021D9">
        <w:rPr>
          <w:rStyle w:val="hps"/>
          <w:color w:val="222222"/>
          <w:sz w:val="20"/>
          <w:szCs w:val="20"/>
        </w:rPr>
        <w:t>defects</w:t>
      </w:r>
      <w:r w:rsidRPr="003021D9">
        <w:rPr>
          <w:color w:val="222222"/>
          <w:sz w:val="20"/>
          <w:szCs w:val="20"/>
        </w:rPr>
        <w:t>. This study aimed to investigate the prevalence of hyperactivity and attention deficit in adults Medical</w:t>
      </w:r>
      <w:r w:rsidRPr="003021D9">
        <w:rPr>
          <w:rStyle w:val="hps"/>
          <w:color w:val="222222"/>
          <w:sz w:val="20"/>
          <w:szCs w:val="20"/>
        </w:rPr>
        <w:t xml:space="preserve"> training</w:t>
      </w:r>
      <w:r w:rsidRPr="003021D9">
        <w:rPr>
          <w:color w:val="222222"/>
          <w:sz w:val="20"/>
          <w:szCs w:val="20"/>
        </w:rPr>
        <w:t xml:space="preserve"> been done. </w:t>
      </w:r>
      <w:r w:rsidRPr="003021D9">
        <w:rPr>
          <w:b/>
          <w:bCs/>
          <w:color w:val="222222"/>
          <w:sz w:val="20"/>
          <w:szCs w:val="20"/>
        </w:rPr>
        <w:t>Methods:</w:t>
      </w:r>
      <w:r w:rsidRPr="003021D9">
        <w:rPr>
          <w:color w:val="222222"/>
          <w:sz w:val="20"/>
          <w:szCs w:val="20"/>
        </w:rPr>
        <w:t xml:space="preserve"> This study (Cross-Sectional) by the Conner’s Adult ADHD Persian questionnaire on 176 medical students of Islamic Azad University of Tabriz has been done and data using descriptive statistics and analyzed the latest version of SPSS Are. </w:t>
      </w:r>
      <w:r w:rsidRPr="003021D9">
        <w:rPr>
          <w:b/>
          <w:bCs/>
          <w:color w:val="222222"/>
          <w:sz w:val="20"/>
          <w:szCs w:val="20"/>
        </w:rPr>
        <w:t>Results:</w:t>
      </w:r>
      <w:r w:rsidRPr="003021D9">
        <w:rPr>
          <w:color w:val="222222"/>
          <w:sz w:val="20"/>
          <w:szCs w:val="20"/>
        </w:rPr>
        <w:t xml:space="preserve"> The (59%) students were female, 36% were married, mean age 33/1 ± 68/25 years, Connors questionnaire measuring self-concept index (43/4), impulsivity (86/4), neglect (90 / 4) and hyperactivity (95/5), respectively. In relation to the comparison of the mean scores of hyperactivity and failure by gender in any of the symptoms of hyperactivity and dysfunction among males and females was not significant (p-value&gt; 0.05) and between the mean scores of hyperactivity and failure Regarding marital status, significant differences in self-concept was achieved after index (p-value = 0.01). Trainees will gradually increase with age and are clearly signs of hyperactivity and reduced </w:t>
      </w:r>
      <w:r w:rsidRPr="003021D9">
        <w:rPr>
          <w:rStyle w:val="hps"/>
          <w:color w:val="222222"/>
          <w:sz w:val="20"/>
          <w:szCs w:val="20"/>
        </w:rPr>
        <w:t>medical training</w:t>
      </w:r>
      <w:r w:rsidRPr="003021D9">
        <w:rPr>
          <w:color w:val="222222"/>
          <w:sz w:val="20"/>
          <w:szCs w:val="20"/>
        </w:rPr>
        <w:t xml:space="preserve"> but problems remain focused. </w:t>
      </w:r>
      <w:r w:rsidRPr="003021D9">
        <w:rPr>
          <w:rStyle w:val="hps"/>
          <w:b/>
          <w:bCs/>
          <w:color w:val="222222"/>
          <w:sz w:val="20"/>
          <w:szCs w:val="20"/>
        </w:rPr>
        <w:t>Conclusion</w:t>
      </w:r>
      <w:r w:rsidRPr="003021D9">
        <w:rPr>
          <w:b/>
          <w:bCs/>
          <w:color w:val="222222"/>
          <w:sz w:val="20"/>
          <w:szCs w:val="20"/>
        </w:rPr>
        <w:t>:</w:t>
      </w:r>
      <w:r w:rsidRPr="003021D9">
        <w:rPr>
          <w:color w:val="222222"/>
          <w:sz w:val="20"/>
          <w:szCs w:val="20"/>
        </w:rPr>
        <w:t xml:space="preserve"> </w:t>
      </w:r>
      <w:r w:rsidRPr="003021D9">
        <w:rPr>
          <w:rStyle w:val="hps"/>
          <w:color w:val="222222"/>
          <w:sz w:val="20"/>
          <w:szCs w:val="20"/>
        </w:rPr>
        <w:t>screening</w:t>
      </w:r>
      <w:r w:rsidRPr="003021D9">
        <w:rPr>
          <w:color w:val="222222"/>
          <w:sz w:val="20"/>
          <w:szCs w:val="20"/>
        </w:rPr>
        <w:t xml:space="preserve">, </w:t>
      </w:r>
      <w:r w:rsidRPr="003021D9">
        <w:rPr>
          <w:rStyle w:val="hps"/>
          <w:color w:val="222222"/>
          <w:sz w:val="20"/>
          <w:szCs w:val="20"/>
        </w:rPr>
        <w:t>diagnosis and treatment of</w:t>
      </w:r>
      <w:r w:rsidRPr="003021D9">
        <w:rPr>
          <w:color w:val="222222"/>
          <w:sz w:val="20"/>
          <w:szCs w:val="20"/>
        </w:rPr>
        <w:t xml:space="preserve"> </w:t>
      </w:r>
      <w:r w:rsidRPr="003021D9">
        <w:rPr>
          <w:rStyle w:val="hps"/>
          <w:color w:val="222222"/>
          <w:sz w:val="20"/>
          <w:szCs w:val="20"/>
        </w:rPr>
        <w:t>attention deficit</w:t>
      </w:r>
      <w:r w:rsidRPr="003021D9">
        <w:rPr>
          <w:color w:val="222222"/>
          <w:sz w:val="20"/>
          <w:szCs w:val="20"/>
        </w:rPr>
        <w:t xml:space="preserve"> </w:t>
      </w:r>
      <w:r w:rsidRPr="003021D9">
        <w:rPr>
          <w:rStyle w:val="hps"/>
          <w:color w:val="222222"/>
          <w:sz w:val="20"/>
          <w:szCs w:val="20"/>
        </w:rPr>
        <w:t>hyperactivity disorder</w:t>
      </w:r>
      <w:r w:rsidRPr="003021D9">
        <w:rPr>
          <w:color w:val="222222"/>
          <w:sz w:val="20"/>
          <w:szCs w:val="20"/>
        </w:rPr>
        <w:t xml:space="preserve"> </w:t>
      </w:r>
      <w:r w:rsidRPr="003021D9">
        <w:rPr>
          <w:rStyle w:val="hps"/>
          <w:color w:val="222222"/>
          <w:sz w:val="20"/>
          <w:szCs w:val="20"/>
        </w:rPr>
        <w:t>and</w:t>
      </w:r>
      <w:r w:rsidRPr="003021D9">
        <w:rPr>
          <w:color w:val="222222"/>
          <w:sz w:val="20"/>
          <w:szCs w:val="20"/>
        </w:rPr>
        <w:t xml:space="preserve"> </w:t>
      </w:r>
      <w:r w:rsidRPr="003021D9">
        <w:rPr>
          <w:rStyle w:val="hps"/>
          <w:color w:val="222222"/>
          <w:sz w:val="20"/>
          <w:szCs w:val="20"/>
        </w:rPr>
        <w:t>medical education</w:t>
      </w:r>
      <w:r w:rsidRPr="003021D9">
        <w:rPr>
          <w:color w:val="222222"/>
          <w:sz w:val="20"/>
          <w:szCs w:val="20"/>
        </w:rPr>
        <w:t xml:space="preserve"> </w:t>
      </w:r>
      <w:r w:rsidRPr="003021D9">
        <w:rPr>
          <w:rStyle w:val="hps"/>
          <w:color w:val="222222"/>
          <w:sz w:val="20"/>
          <w:szCs w:val="20"/>
        </w:rPr>
        <w:t>can improve</w:t>
      </w:r>
      <w:r w:rsidRPr="003021D9">
        <w:rPr>
          <w:color w:val="222222"/>
          <w:sz w:val="20"/>
          <w:szCs w:val="20"/>
        </w:rPr>
        <w:t xml:space="preserve"> </w:t>
      </w:r>
      <w:r w:rsidRPr="003021D9">
        <w:rPr>
          <w:rStyle w:val="hps"/>
          <w:color w:val="222222"/>
          <w:sz w:val="20"/>
          <w:szCs w:val="20"/>
        </w:rPr>
        <w:t>interpersonal</w:t>
      </w:r>
      <w:r w:rsidRPr="003021D9">
        <w:rPr>
          <w:color w:val="222222"/>
          <w:sz w:val="20"/>
          <w:szCs w:val="20"/>
        </w:rPr>
        <w:t xml:space="preserve"> </w:t>
      </w:r>
      <w:r w:rsidRPr="003021D9">
        <w:rPr>
          <w:rStyle w:val="hps"/>
          <w:color w:val="222222"/>
          <w:sz w:val="20"/>
          <w:szCs w:val="20"/>
        </w:rPr>
        <w:t>and family</w:t>
      </w:r>
      <w:r w:rsidRPr="003021D9">
        <w:rPr>
          <w:color w:val="222222"/>
          <w:sz w:val="20"/>
          <w:szCs w:val="20"/>
        </w:rPr>
        <w:t xml:space="preserve"> </w:t>
      </w:r>
      <w:r w:rsidRPr="003021D9">
        <w:rPr>
          <w:rStyle w:val="hps"/>
          <w:color w:val="222222"/>
          <w:sz w:val="20"/>
          <w:szCs w:val="20"/>
        </w:rPr>
        <w:t>relations</w:t>
      </w:r>
      <w:r w:rsidRPr="003021D9">
        <w:rPr>
          <w:color w:val="222222"/>
          <w:sz w:val="20"/>
          <w:szCs w:val="20"/>
        </w:rPr>
        <w:t xml:space="preserve"> </w:t>
      </w:r>
      <w:r w:rsidRPr="003021D9">
        <w:rPr>
          <w:rStyle w:val="hps"/>
          <w:color w:val="222222"/>
          <w:sz w:val="20"/>
          <w:szCs w:val="20"/>
        </w:rPr>
        <w:t>and</w:t>
      </w:r>
      <w:r w:rsidRPr="003021D9">
        <w:rPr>
          <w:color w:val="222222"/>
          <w:sz w:val="20"/>
          <w:szCs w:val="20"/>
        </w:rPr>
        <w:t xml:space="preserve"> </w:t>
      </w:r>
      <w:r w:rsidRPr="003021D9">
        <w:rPr>
          <w:rStyle w:val="hps"/>
          <w:color w:val="222222"/>
          <w:sz w:val="20"/>
          <w:szCs w:val="20"/>
        </w:rPr>
        <w:t>avoid</w:t>
      </w:r>
      <w:r w:rsidRPr="003021D9">
        <w:rPr>
          <w:color w:val="222222"/>
          <w:sz w:val="20"/>
          <w:szCs w:val="20"/>
        </w:rPr>
        <w:t xml:space="preserve"> </w:t>
      </w:r>
      <w:r w:rsidRPr="003021D9">
        <w:rPr>
          <w:rStyle w:val="hps"/>
          <w:color w:val="222222"/>
          <w:sz w:val="20"/>
          <w:szCs w:val="20"/>
        </w:rPr>
        <w:t>future</w:t>
      </w:r>
      <w:r w:rsidRPr="003021D9">
        <w:rPr>
          <w:color w:val="222222"/>
          <w:sz w:val="20"/>
          <w:szCs w:val="20"/>
        </w:rPr>
        <w:t xml:space="preserve"> </w:t>
      </w:r>
      <w:r w:rsidRPr="003021D9">
        <w:rPr>
          <w:rStyle w:val="hps"/>
          <w:color w:val="222222"/>
          <w:sz w:val="20"/>
          <w:szCs w:val="20"/>
        </w:rPr>
        <w:t>negative results</w:t>
      </w:r>
      <w:r w:rsidRPr="003021D9">
        <w:rPr>
          <w:color w:val="222222"/>
          <w:sz w:val="20"/>
          <w:szCs w:val="20"/>
        </w:rPr>
        <w:t xml:space="preserve"> </w:t>
      </w:r>
      <w:r w:rsidRPr="003021D9">
        <w:rPr>
          <w:rStyle w:val="hps"/>
          <w:color w:val="222222"/>
          <w:sz w:val="20"/>
          <w:szCs w:val="20"/>
        </w:rPr>
        <w:t>in</w:t>
      </w:r>
      <w:r w:rsidRPr="003021D9">
        <w:rPr>
          <w:color w:val="222222"/>
          <w:sz w:val="20"/>
          <w:szCs w:val="20"/>
        </w:rPr>
        <w:t xml:space="preserve"> </w:t>
      </w:r>
      <w:r w:rsidRPr="003021D9">
        <w:rPr>
          <w:rStyle w:val="hps"/>
          <w:color w:val="222222"/>
          <w:sz w:val="20"/>
          <w:szCs w:val="20"/>
        </w:rPr>
        <w:t>severe impairment</w:t>
      </w:r>
      <w:r w:rsidRPr="003021D9">
        <w:rPr>
          <w:color w:val="222222"/>
          <w:sz w:val="20"/>
          <w:szCs w:val="20"/>
        </w:rPr>
        <w:t xml:space="preserve"> </w:t>
      </w:r>
      <w:r w:rsidRPr="003021D9">
        <w:rPr>
          <w:rStyle w:val="hps"/>
          <w:color w:val="222222"/>
          <w:sz w:val="20"/>
          <w:szCs w:val="20"/>
        </w:rPr>
        <w:t>in relation to the</w:t>
      </w:r>
      <w:r w:rsidRPr="003021D9">
        <w:rPr>
          <w:color w:val="222222"/>
          <w:sz w:val="20"/>
          <w:szCs w:val="20"/>
        </w:rPr>
        <w:t xml:space="preserve"> </w:t>
      </w:r>
      <w:r w:rsidRPr="003021D9">
        <w:rPr>
          <w:rStyle w:val="hps"/>
          <w:color w:val="222222"/>
          <w:sz w:val="20"/>
          <w:szCs w:val="20"/>
        </w:rPr>
        <w:t>treatment of</w:t>
      </w:r>
      <w:r w:rsidRPr="003021D9">
        <w:rPr>
          <w:color w:val="222222"/>
          <w:sz w:val="20"/>
          <w:szCs w:val="20"/>
        </w:rPr>
        <w:t xml:space="preserve"> </w:t>
      </w:r>
      <w:r w:rsidRPr="003021D9">
        <w:rPr>
          <w:rStyle w:val="hps"/>
          <w:color w:val="222222"/>
          <w:sz w:val="20"/>
          <w:szCs w:val="20"/>
        </w:rPr>
        <w:t>disease.</w:t>
      </w:r>
      <w:bookmarkEnd w:id="0"/>
      <w:bookmarkEnd w:id="1"/>
    </w:p>
    <w:p w:rsidR="009B636E" w:rsidRPr="003021D9" w:rsidRDefault="00444EB5" w:rsidP="009B636E">
      <w:pPr>
        <w:snapToGrid w:val="0"/>
        <w:jc w:val="both"/>
        <w:rPr>
          <w:sz w:val="20"/>
          <w:szCs w:val="20"/>
        </w:rPr>
      </w:pPr>
      <w:r w:rsidRPr="003021D9">
        <w:rPr>
          <w:color w:val="000000"/>
          <w:sz w:val="20"/>
          <w:szCs w:val="20"/>
        </w:rPr>
        <w:t>[</w:t>
      </w:r>
      <w:r w:rsidRPr="003021D9">
        <w:rPr>
          <w:sz w:val="20"/>
          <w:szCs w:val="20"/>
        </w:rPr>
        <w:t xml:space="preserve">Herizchi Ghadim S, </w:t>
      </w:r>
      <w:r w:rsidRPr="003021D9">
        <w:rPr>
          <w:noProof/>
          <w:sz w:val="20"/>
          <w:szCs w:val="20"/>
        </w:rPr>
        <w:t>Abbaszadeh Banaian M.</w:t>
      </w:r>
      <w:r w:rsidRPr="003021D9">
        <w:rPr>
          <w:sz w:val="20"/>
          <w:szCs w:val="20"/>
        </w:rPr>
        <w:t xml:space="preserve"> </w:t>
      </w:r>
      <w:r w:rsidRPr="003021D9">
        <w:rPr>
          <w:b/>
          <w:bCs/>
          <w:sz w:val="20"/>
          <w:szCs w:val="20"/>
        </w:rPr>
        <w:t>Prevalence of adult attention deficit hyperactivity symptoms in Tabriz Islamic Azad university medical stager students in 2014</w:t>
      </w:r>
      <w:r w:rsidR="009B636E" w:rsidRPr="003021D9">
        <w:rPr>
          <w:rFonts w:eastAsia="Times New Roman"/>
          <w:b/>
          <w:bCs/>
          <w:sz w:val="20"/>
          <w:szCs w:val="20"/>
          <w:lang w:bidi="fa-IR"/>
        </w:rPr>
        <w:t>.</w:t>
      </w:r>
      <w:r w:rsidR="009B636E" w:rsidRPr="003021D9">
        <w:rPr>
          <w:bCs/>
          <w:i/>
          <w:sz w:val="20"/>
          <w:szCs w:val="20"/>
        </w:rPr>
        <w:t xml:space="preserve"> N Y Sci J</w:t>
      </w:r>
      <w:r w:rsidR="009B636E" w:rsidRPr="003021D9">
        <w:rPr>
          <w:bCs/>
          <w:sz w:val="20"/>
          <w:szCs w:val="20"/>
        </w:rPr>
        <w:t xml:space="preserve"> </w:t>
      </w:r>
      <w:r w:rsidR="009B636E" w:rsidRPr="003021D9">
        <w:rPr>
          <w:sz w:val="20"/>
          <w:szCs w:val="20"/>
        </w:rPr>
        <w:t>201</w:t>
      </w:r>
      <w:r w:rsidR="009B636E" w:rsidRPr="003021D9">
        <w:rPr>
          <w:rFonts w:hint="eastAsia"/>
          <w:sz w:val="20"/>
          <w:szCs w:val="20"/>
        </w:rPr>
        <w:t>7</w:t>
      </w:r>
      <w:r w:rsidR="009B636E" w:rsidRPr="003021D9">
        <w:rPr>
          <w:sz w:val="20"/>
          <w:szCs w:val="20"/>
        </w:rPr>
        <w:t>;</w:t>
      </w:r>
      <w:r w:rsidR="009B636E" w:rsidRPr="003021D9">
        <w:rPr>
          <w:rFonts w:hint="eastAsia"/>
          <w:sz w:val="20"/>
          <w:szCs w:val="20"/>
        </w:rPr>
        <w:t>10</w:t>
      </w:r>
      <w:r w:rsidR="009B636E" w:rsidRPr="003021D9">
        <w:rPr>
          <w:sz w:val="20"/>
          <w:szCs w:val="20"/>
        </w:rPr>
        <w:t>(</w:t>
      </w:r>
      <w:r w:rsidR="009B636E" w:rsidRPr="003021D9">
        <w:rPr>
          <w:rFonts w:hint="eastAsia"/>
          <w:sz w:val="20"/>
          <w:szCs w:val="20"/>
        </w:rPr>
        <w:t>3</w:t>
      </w:r>
      <w:r w:rsidR="009B636E" w:rsidRPr="003021D9">
        <w:rPr>
          <w:sz w:val="20"/>
          <w:szCs w:val="20"/>
        </w:rPr>
        <w:t>):</w:t>
      </w:r>
      <w:r w:rsidR="00B964A8" w:rsidRPr="003021D9">
        <w:rPr>
          <w:noProof/>
          <w:color w:val="000000"/>
          <w:sz w:val="20"/>
          <w:szCs w:val="20"/>
        </w:rPr>
        <w:t>24</w:t>
      </w:r>
      <w:r w:rsidR="009B636E" w:rsidRPr="003021D9">
        <w:rPr>
          <w:color w:val="000000"/>
          <w:sz w:val="20"/>
          <w:szCs w:val="20"/>
        </w:rPr>
        <w:t>-</w:t>
      </w:r>
      <w:r w:rsidR="00B964A8" w:rsidRPr="003021D9">
        <w:rPr>
          <w:noProof/>
          <w:color w:val="000000"/>
          <w:sz w:val="20"/>
          <w:szCs w:val="20"/>
        </w:rPr>
        <w:t>28</w:t>
      </w:r>
      <w:r w:rsidR="009B636E" w:rsidRPr="003021D9">
        <w:rPr>
          <w:sz w:val="20"/>
          <w:szCs w:val="20"/>
        </w:rPr>
        <w:t xml:space="preserve">]. </w:t>
      </w:r>
      <w:r w:rsidR="009B636E" w:rsidRPr="003021D9">
        <w:rPr>
          <w:iCs/>
          <w:color w:val="000000"/>
          <w:sz w:val="20"/>
          <w:szCs w:val="20"/>
        </w:rPr>
        <w:t>ISSN 1554-0200 (print); ISSN 2375-723X (online)</w:t>
      </w:r>
      <w:r w:rsidR="009B636E" w:rsidRPr="003021D9">
        <w:rPr>
          <w:sz w:val="20"/>
          <w:szCs w:val="20"/>
        </w:rPr>
        <w:t xml:space="preserve">. </w:t>
      </w:r>
      <w:hyperlink r:id="rId8" w:history="1">
        <w:r w:rsidR="009B636E" w:rsidRPr="003021D9">
          <w:rPr>
            <w:rStyle w:val="Hyperlink"/>
            <w:sz w:val="20"/>
            <w:szCs w:val="20"/>
          </w:rPr>
          <w:t>http://www.sciencepub.net/newyork</w:t>
        </w:r>
      </w:hyperlink>
      <w:r w:rsidR="009B636E" w:rsidRPr="003021D9">
        <w:rPr>
          <w:sz w:val="20"/>
          <w:szCs w:val="20"/>
        </w:rPr>
        <w:t xml:space="preserve">. </w:t>
      </w:r>
      <w:r w:rsidR="009B636E" w:rsidRPr="003021D9">
        <w:rPr>
          <w:rFonts w:hint="eastAsia"/>
          <w:sz w:val="20"/>
          <w:szCs w:val="20"/>
          <w:lang w:eastAsia="zh-CN"/>
        </w:rPr>
        <w:t>4</w:t>
      </w:r>
      <w:r w:rsidR="009B636E" w:rsidRPr="003021D9">
        <w:rPr>
          <w:rFonts w:hint="eastAsia"/>
          <w:sz w:val="20"/>
          <w:szCs w:val="20"/>
        </w:rPr>
        <w:t xml:space="preserve">. </w:t>
      </w:r>
      <w:r w:rsidR="009B636E" w:rsidRPr="003021D9">
        <w:rPr>
          <w:color w:val="000000"/>
          <w:sz w:val="20"/>
          <w:szCs w:val="20"/>
          <w:shd w:val="clear" w:color="auto" w:fill="FFFFFF"/>
        </w:rPr>
        <w:t>doi:</w:t>
      </w:r>
      <w:hyperlink r:id="rId9" w:history="1">
        <w:r w:rsidR="009B636E" w:rsidRPr="003021D9">
          <w:rPr>
            <w:rStyle w:val="Hyperlink"/>
            <w:sz w:val="20"/>
            <w:szCs w:val="20"/>
            <w:shd w:val="clear" w:color="auto" w:fill="FFFFFF"/>
          </w:rPr>
          <w:t>10.7537/mars</w:t>
        </w:r>
        <w:r w:rsidR="009B636E" w:rsidRPr="003021D9">
          <w:rPr>
            <w:rStyle w:val="Hyperlink"/>
            <w:rFonts w:hint="eastAsia"/>
            <w:sz w:val="20"/>
            <w:szCs w:val="20"/>
            <w:shd w:val="clear" w:color="auto" w:fill="FFFFFF"/>
          </w:rPr>
          <w:t>nys100317.</w:t>
        </w:r>
        <w:r w:rsidR="009B636E" w:rsidRPr="003021D9">
          <w:rPr>
            <w:rStyle w:val="Hyperlink"/>
            <w:sz w:val="20"/>
            <w:szCs w:val="20"/>
            <w:shd w:val="clear" w:color="auto" w:fill="FFFFFF"/>
          </w:rPr>
          <w:t>0</w:t>
        </w:r>
        <w:r w:rsidR="009B636E" w:rsidRPr="003021D9">
          <w:rPr>
            <w:rStyle w:val="Hyperlink"/>
            <w:rFonts w:hint="eastAsia"/>
            <w:sz w:val="20"/>
            <w:szCs w:val="20"/>
            <w:shd w:val="clear" w:color="auto" w:fill="FFFFFF"/>
            <w:lang w:eastAsia="zh-CN"/>
          </w:rPr>
          <w:t>4</w:t>
        </w:r>
      </w:hyperlink>
      <w:r w:rsidR="009B636E" w:rsidRPr="003021D9">
        <w:rPr>
          <w:color w:val="000000"/>
          <w:sz w:val="20"/>
          <w:szCs w:val="20"/>
          <w:shd w:val="clear" w:color="auto" w:fill="FFFFFF"/>
        </w:rPr>
        <w:t>.</w:t>
      </w:r>
    </w:p>
    <w:p w:rsidR="00444EB5" w:rsidRPr="003021D9" w:rsidRDefault="00444EB5" w:rsidP="009B636E">
      <w:pPr>
        <w:snapToGrid w:val="0"/>
        <w:jc w:val="both"/>
        <w:rPr>
          <w:sz w:val="20"/>
          <w:szCs w:val="20"/>
        </w:rPr>
      </w:pPr>
    </w:p>
    <w:p w:rsidR="00444EB5" w:rsidRPr="003021D9" w:rsidRDefault="00444EB5" w:rsidP="009B636E">
      <w:pPr>
        <w:snapToGrid w:val="0"/>
        <w:jc w:val="both"/>
        <w:rPr>
          <w:sz w:val="20"/>
          <w:szCs w:val="20"/>
        </w:rPr>
      </w:pPr>
      <w:r w:rsidRPr="003021D9">
        <w:rPr>
          <w:b/>
          <w:sz w:val="20"/>
          <w:szCs w:val="20"/>
        </w:rPr>
        <w:t xml:space="preserve">Keywords: </w:t>
      </w:r>
      <w:r w:rsidRPr="003021D9">
        <w:rPr>
          <w:rStyle w:val="hps"/>
          <w:color w:val="222222"/>
          <w:sz w:val="20"/>
          <w:szCs w:val="20"/>
        </w:rPr>
        <w:t>Adult</w:t>
      </w:r>
      <w:r w:rsidRPr="003021D9">
        <w:rPr>
          <w:color w:val="222222"/>
          <w:sz w:val="20"/>
          <w:szCs w:val="20"/>
        </w:rPr>
        <w:t xml:space="preserve"> </w:t>
      </w:r>
      <w:r w:rsidRPr="003021D9">
        <w:rPr>
          <w:rStyle w:val="hps"/>
          <w:color w:val="222222"/>
          <w:sz w:val="20"/>
          <w:szCs w:val="20"/>
        </w:rPr>
        <w:t>Attention Deficit</w:t>
      </w:r>
      <w:r w:rsidRPr="003021D9">
        <w:rPr>
          <w:color w:val="222222"/>
          <w:sz w:val="20"/>
          <w:szCs w:val="20"/>
        </w:rPr>
        <w:t xml:space="preserve">, </w:t>
      </w:r>
      <w:r w:rsidRPr="003021D9">
        <w:rPr>
          <w:rStyle w:val="hps"/>
          <w:color w:val="222222"/>
          <w:sz w:val="20"/>
          <w:szCs w:val="20"/>
        </w:rPr>
        <w:t>Trainees</w:t>
      </w:r>
      <w:r w:rsidRPr="003021D9">
        <w:rPr>
          <w:color w:val="222222"/>
          <w:sz w:val="20"/>
          <w:szCs w:val="20"/>
        </w:rPr>
        <w:t>, Conner’s</w:t>
      </w:r>
      <w:r w:rsidRPr="003021D9">
        <w:rPr>
          <w:rStyle w:val="hps"/>
          <w:color w:val="222222"/>
          <w:sz w:val="20"/>
          <w:szCs w:val="20"/>
        </w:rPr>
        <w:t xml:space="preserve"> Questionnaire</w:t>
      </w:r>
    </w:p>
    <w:p w:rsidR="009B636E" w:rsidRPr="003021D9" w:rsidRDefault="009B636E" w:rsidP="009B636E">
      <w:pPr>
        <w:snapToGrid w:val="0"/>
        <w:jc w:val="both"/>
        <w:rPr>
          <w:b/>
          <w:sz w:val="20"/>
          <w:szCs w:val="20"/>
        </w:rPr>
      </w:pPr>
    </w:p>
    <w:p w:rsidR="009B636E" w:rsidRPr="003021D9" w:rsidRDefault="009B636E" w:rsidP="009B636E">
      <w:pPr>
        <w:snapToGrid w:val="0"/>
        <w:jc w:val="both"/>
        <w:rPr>
          <w:b/>
          <w:sz w:val="20"/>
          <w:szCs w:val="20"/>
        </w:rPr>
        <w:sectPr w:rsidR="009B636E" w:rsidRPr="003021D9" w:rsidSect="00B964A8">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24"/>
          <w:cols w:space="720"/>
          <w:docGrid w:linePitch="360"/>
        </w:sectPr>
      </w:pPr>
    </w:p>
    <w:p w:rsidR="00444EB5" w:rsidRPr="003021D9" w:rsidRDefault="00444EB5" w:rsidP="009B636E">
      <w:pPr>
        <w:snapToGrid w:val="0"/>
        <w:jc w:val="both"/>
        <w:rPr>
          <w:b/>
          <w:sz w:val="20"/>
          <w:szCs w:val="20"/>
        </w:rPr>
      </w:pPr>
      <w:r w:rsidRPr="003021D9">
        <w:rPr>
          <w:b/>
          <w:sz w:val="20"/>
          <w:szCs w:val="20"/>
        </w:rPr>
        <w:lastRenderedPageBreak/>
        <w:t>1. Introduction</w:t>
      </w:r>
    </w:p>
    <w:p w:rsidR="00444EB5" w:rsidRPr="003021D9" w:rsidRDefault="00444EB5" w:rsidP="009B636E">
      <w:pPr>
        <w:snapToGrid w:val="0"/>
        <w:ind w:firstLine="425"/>
        <w:jc w:val="both"/>
        <w:rPr>
          <w:sz w:val="20"/>
          <w:szCs w:val="20"/>
        </w:rPr>
      </w:pPr>
      <w:r w:rsidRPr="003021D9">
        <w:rPr>
          <w:sz w:val="20"/>
          <w:szCs w:val="20"/>
        </w:rPr>
        <w:t>Current diagnostic criteria, as in the most recent edition of the Diagnostic Statistical Manual of Mental Disorders, DSM-V, by Psychiatric Association America, ADHD disorder has been mentioned among the disorders diagnosed for the first time in infancy, childhood or adolescence(1).</w:t>
      </w:r>
    </w:p>
    <w:p w:rsidR="00444EB5" w:rsidRPr="003021D9" w:rsidRDefault="00444EB5" w:rsidP="009B636E">
      <w:pPr>
        <w:snapToGrid w:val="0"/>
        <w:ind w:firstLine="425"/>
        <w:jc w:val="both"/>
        <w:rPr>
          <w:sz w:val="20"/>
          <w:szCs w:val="20"/>
        </w:rPr>
      </w:pPr>
      <w:r w:rsidRPr="003021D9">
        <w:rPr>
          <w:sz w:val="20"/>
          <w:szCs w:val="20"/>
        </w:rPr>
        <w:t xml:space="preserve">ADHD disorder is also classified under </w:t>
      </w:r>
      <w:r w:rsidRPr="003021D9">
        <w:rPr>
          <w:i/>
          <w:iCs/>
          <w:sz w:val="20"/>
          <w:szCs w:val="20"/>
        </w:rPr>
        <w:t>attention deficit and disruptive behavior</w:t>
      </w:r>
      <w:r w:rsidRPr="003021D9">
        <w:rPr>
          <w:sz w:val="20"/>
          <w:szCs w:val="20"/>
        </w:rPr>
        <w:t xml:space="preserve"> sub-entry. There are nine symptoms for each of the two subsets of the disorder, that there must be at least six symptoms in a person for diagnosis of ADHD to be confirmed(1-2).</w:t>
      </w:r>
    </w:p>
    <w:p w:rsidR="00444EB5" w:rsidRPr="003021D9" w:rsidRDefault="00444EB5" w:rsidP="009B636E">
      <w:pPr>
        <w:snapToGrid w:val="0"/>
        <w:ind w:firstLine="425"/>
        <w:jc w:val="both"/>
        <w:rPr>
          <w:sz w:val="20"/>
          <w:szCs w:val="20"/>
        </w:rPr>
      </w:pPr>
      <w:r w:rsidRPr="003021D9">
        <w:rPr>
          <w:sz w:val="20"/>
          <w:szCs w:val="20"/>
        </w:rPr>
        <w:t>According to the diagnostic criteria, one must show attention deficit, hyperactivity – impulsivity, or both symptoms in a persistent, maladaptive and less age-appropriate way (for at least 6 months)(1-2).</w:t>
      </w:r>
    </w:p>
    <w:p w:rsidR="00444EB5" w:rsidRPr="003021D9" w:rsidRDefault="00444EB5" w:rsidP="009B636E">
      <w:pPr>
        <w:snapToGrid w:val="0"/>
        <w:ind w:firstLine="425"/>
        <w:jc w:val="both"/>
        <w:rPr>
          <w:sz w:val="20"/>
          <w:szCs w:val="20"/>
        </w:rPr>
      </w:pPr>
      <w:r w:rsidRPr="003021D9">
        <w:rPr>
          <w:sz w:val="20"/>
          <w:szCs w:val="20"/>
        </w:rPr>
        <w:t xml:space="preserve">Diagnostic and Statistical Manual of Mental Disorders (DSM-5) has also noted that adolescents and adults who already have symptoms not perfectly match with the diagnostic criteria and should be identified as partial temporary recovery. It is important to acknowledge that, specific diagnostic criteria have been determined to identify observable behaviors commonly shown by children with ADHD, however, it has been confirmed that in a maximum of 70% of children with ADHD, this disorder continues </w:t>
      </w:r>
      <w:r w:rsidRPr="003021D9">
        <w:rPr>
          <w:sz w:val="20"/>
          <w:szCs w:val="20"/>
        </w:rPr>
        <w:lastRenderedPageBreak/>
        <w:t>into adulthood (3). The problem with diagnosis of this disorder in adults is that the symptoms of ADHD transforms over time, making it difficult to be evaluated and diagnosed, and as well, the symptoms of ADHD are mistaken with other psychopathologies in adulthood (1,4).</w:t>
      </w:r>
    </w:p>
    <w:p w:rsidR="00444EB5" w:rsidRPr="003021D9" w:rsidRDefault="00444EB5" w:rsidP="009B636E">
      <w:pPr>
        <w:snapToGrid w:val="0"/>
        <w:ind w:firstLine="425"/>
        <w:jc w:val="both"/>
        <w:rPr>
          <w:sz w:val="20"/>
          <w:szCs w:val="20"/>
        </w:rPr>
      </w:pPr>
      <w:r w:rsidRPr="003021D9">
        <w:rPr>
          <w:sz w:val="20"/>
          <w:szCs w:val="20"/>
        </w:rPr>
        <w:t>Up to now, among the studies about Adult ADHD, there is no study on the prevalence of the disorder among medical students; and given the prevalence of this condition in the general population, in the event of early diagnosis and appropriate intervention, this study seems necessary to be conducted.</w:t>
      </w:r>
    </w:p>
    <w:p w:rsidR="00444EB5" w:rsidRPr="003021D9" w:rsidRDefault="00444EB5" w:rsidP="009B636E">
      <w:pPr>
        <w:snapToGrid w:val="0"/>
        <w:ind w:firstLine="425"/>
        <w:jc w:val="both"/>
        <w:rPr>
          <w:sz w:val="20"/>
          <w:szCs w:val="20"/>
        </w:rPr>
      </w:pPr>
      <w:r w:rsidRPr="003021D9">
        <w:rPr>
          <w:sz w:val="20"/>
          <w:szCs w:val="20"/>
        </w:rPr>
        <w:t>The implementation of this research and applying its results in proper planning in screening the disorder and timely interventions will be beneficial in the field of counseling and therapy.</w:t>
      </w:r>
    </w:p>
    <w:p w:rsidR="00444EB5" w:rsidRPr="003021D9" w:rsidRDefault="00444EB5" w:rsidP="009B636E">
      <w:pPr>
        <w:snapToGrid w:val="0"/>
        <w:ind w:firstLine="425"/>
        <w:jc w:val="both"/>
        <w:rPr>
          <w:sz w:val="20"/>
          <w:szCs w:val="20"/>
        </w:rPr>
      </w:pPr>
      <w:r w:rsidRPr="003021D9">
        <w:rPr>
          <w:sz w:val="20"/>
          <w:szCs w:val="20"/>
        </w:rPr>
        <w:t>Following the medical students’ need for attention and focus required studying the associated sciences for use in the health care system, and keeping an eye on the improvement and promotion of those students suffering Attention Deficit and Hyperactivity Disorders, it is necessary to provide increasing ethical and professional betterment for this wide range of students.</w:t>
      </w:r>
    </w:p>
    <w:p w:rsidR="009B636E" w:rsidRPr="003021D9" w:rsidRDefault="009B636E" w:rsidP="009B636E">
      <w:pPr>
        <w:snapToGrid w:val="0"/>
        <w:jc w:val="both"/>
        <w:rPr>
          <w:b/>
          <w:sz w:val="20"/>
          <w:szCs w:val="20"/>
          <w:lang w:eastAsia="zh-CN"/>
        </w:rPr>
      </w:pPr>
    </w:p>
    <w:p w:rsidR="00444EB5" w:rsidRPr="003021D9" w:rsidRDefault="00444EB5" w:rsidP="009B636E">
      <w:pPr>
        <w:snapToGrid w:val="0"/>
        <w:jc w:val="both"/>
        <w:rPr>
          <w:b/>
          <w:sz w:val="20"/>
          <w:szCs w:val="20"/>
        </w:rPr>
      </w:pPr>
      <w:r w:rsidRPr="003021D9">
        <w:rPr>
          <w:b/>
          <w:sz w:val="20"/>
          <w:szCs w:val="20"/>
        </w:rPr>
        <w:lastRenderedPageBreak/>
        <w:t>2. Material and Methods</w:t>
      </w:r>
    </w:p>
    <w:p w:rsidR="00444EB5" w:rsidRPr="003021D9" w:rsidRDefault="00444EB5" w:rsidP="009B636E">
      <w:pPr>
        <w:snapToGrid w:val="0"/>
        <w:ind w:firstLine="425"/>
        <w:jc w:val="both"/>
        <w:rPr>
          <w:sz w:val="20"/>
          <w:szCs w:val="20"/>
        </w:rPr>
      </w:pPr>
      <w:r w:rsidRPr="003021D9">
        <w:rPr>
          <w:sz w:val="20"/>
          <w:szCs w:val="20"/>
        </w:rPr>
        <w:t>In a cross-sectional descriptive-analytical study at the Department of Psychiatry of Tabriz on medical students of Islamic Azad University of Tabriz, the prevalence of adult attention deficit and hyperactivity was evaluated in medical students at Tabriz Azad University during the years 2014-15.</w:t>
      </w:r>
    </w:p>
    <w:p w:rsidR="00444EB5" w:rsidRPr="003021D9" w:rsidRDefault="00444EB5" w:rsidP="009B636E">
      <w:pPr>
        <w:snapToGrid w:val="0"/>
        <w:ind w:firstLine="425"/>
        <w:jc w:val="both"/>
        <w:rPr>
          <w:sz w:val="20"/>
          <w:szCs w:val="20"/>
        </w:rPr>
      </w:pPr>
      <w:r w:rsidRPr="003021D9">
        <w:rPr>
          <w:sz w:val="20"/>
          <w:szCs w:val="20"/>
        </w:rPr>
        <w:t xml:space="preserve">Data were collected using the Persian questionnaire of </w:t>
      </w:r>
      <w:r w:rsidRPr="003021D9">
        <w:rPr>
          <w:color w:val="222222"/>
          <w:sz w:val="20"/>
          <w:szCs w:val="20"/>
        </w:rPr>
        <w:t>Conner’s</w:t>
      </w:r>
      <w:r w:rsidRPr="003021D9">
        <w:rPr>
          <w:sz w:val="20"/>
          <w:szCs w:val="20"/>
        </w:rPr>
        <w:t xml:space="preserve"> on Adult ADHD. Persian translation of CAARS questionnaire was used in this study.</w:t>
      </w:r>
    </w:p>
    <w:p w:rsidR="00444EB5" w:rsidRPr="003021D9" w:rsidRDefault="00444EB5" w:rsidP="009B636E">
      <w:pPr>
        <w:snapToGrid w:val="0"/>
        <w:ind w:firstLine="425"/>
        <w:jc w:val="both"/>
        <w:rPr>
          <w:sz w:val="20"/>
          <w:szCs w:val="20"/>
        </w:rPr>
      </w:pPr>
      <w:r w:rsidRPr="003021D9">
        <w:rPr>
          <w:sz w:val="20"/>
          <w:szCs w:val="20"/>
        </w:rPr>
        <w:t>Variables under study included age, gender, marital status, nativity, smoking and alcohol use, psychiatric history, and a history of chronic disease. The population was targeted at 200 people, 18 of which refused to complete the questionnaire and 6 were excluded due to incomplete and unrelated questionnaire. In total, the population included 176 medical students.</w:t>
      </w:r>
    </w:p>
    <w:p w:rsidR="00444EB5" w:rsidRPr="003021D9" w:rsidRDefault="00444EB5" w:rsidP="009B636E">
      <w:pPr>
        <w:snapToGrid w:val="0"/>
        <w:jc w:val="both"/>
        <w:rPr>
          <w:b/>
          <w:bCs/>
          <w:sz w:val="20"/>
          <w:szCs w:val="20"/>
        </w:rPr>
      </w:pPr>
      <w:r w:rsidRPr="003021D9">
        <w:rPr>
          <w:b/>
          <w:bCs/>
          <w:sz w:val="20"/>
          <w:szCs w:val="20"/>
        </w:rPr>
        <w:t>Inclusion criteria:</w:t>
      </w:r>
    </w:p>
    <w:p w:rsidR="00444EB5" w:rsidRPr="003021D9" w:rsidRDefault="00444EB5" w:rsidP="009B636E">
      <w:pPr>
        <w:snapToGrid w:val="0"/>
        <w:ind w:firstLine="425"/>
        <w:jc w:val="both"/>
        <w:rPr>
          <w:sz w:val="20"/>
          <w:szCs w:val="20"/>
        </w:rPr>
      </w:pPr>
      <w:r w:rsidRPr="003021D9">
        <w:rPr>
          <w:sz w:val="20"/>
          <w:szCs w:val="20"/>
        </w:rPr>
        <w:t>Medical students studying at Islamic Azad University of Tabriz during the years 2014-15.</w:t>
      </w:r>
    </w:p>
    <w:p w:rsidR="00444EB5" w:rsidRPr="003021D9" w:rsidRDefault="00444EB5" w:rsidP="009B636E">
      <w:pPr>
        <w:snapToGrid w:val="0"/>
        <w:jc w:val="both"/>
        <w:rPr>
          <w:b/>
          <w:bCs/>
          <w:sz w:val="20"/>
          <w:szCs w:val="20"/>
        </w:rPr>
      </w:pPr>
      <w:r w:rsidRPr="003021D9">
        <w:rPr>
          <w:b/>
          <w:bCs/>
          <w:sz w:val="20"/>
          <w:szCs w:val="20"/>
        </w:rPr>
        <w:t>Exclusion criteria:</w:t>
      </w:r>
    </w:p>
    <w:p w:rsidR="009B636E" w:rsidRPr="003021D9" w:rsidRDefault="00444EB5" w:rsidP="009B636E">
      <w:pPr>
        <w:snapToGrid w:val="0"/>
        <w:ind w:firstLine="425"/>
        <w:jc w:val="both"/>
        <w:rPr>
          <w:sz w:val="20"/>
          <w:szCs w:val="20"/>
        </w:rPr>
      </w:pPr>
      <w:r w:rsidRPr="003021D9">
        <w:rPr>
          <w:sz w:val="20"/>
          <w:szCs w:val="20"/>
        </w:rPr>
        <w:t>1. Lack of consent to participate in the stud</w:t>
      </w:r>
      <w:r w:rsidR="009B636E" w:rsidRPr="003021D9">
        <w:rPr>
          <w:sz w:val="20"/>
          <w:szCs w:val="20"/>
        </w:rPr>
        <w:t>y.</w:t>
      </w:r>
    </w:p>
    <w:p w:rsidR="009B636E" w:rsidRPr="003021D9" w:rsidRDefault="00444EB5" w:rsidP="009B636E">
      <w:pPr>
        <w:snapToGrid w:val="0"/>
        <w:ind w:firstLine="425"/>
        <w:jc w:val="both"/>
        <w:rPr>
          <w:sz w:val="20"/>
          <w:szCs w:val="20"/>
        </w:rPr>
      </w:pPr>
      <w:r w:rsidRPr="003021D9">
        <w:rPr>
          <w:sz w:val="20"/>
          <w:szCs w:val="20"/>
        </w:rPr>
        <w:t>2. Incomplete answers to the questionnair</w:t>
      </w:r>
      <w:r w:rsidR="009B636E" w:rsidRPr="003021D9">
        <w:rPr>
          <w:sz w:val="20"/>
          <w:szCs w:val="20"/>
        </w:rPr>
        <w:t>e.</w:t>
      </w:r>
    </w:p>
    <w:p w:rsidR="00444EB5" w:rsidRPr="003021D9" w:rsidRDefault="00444EB5" w:rsidP="009B636E">
      <w:pPr>
        <w:snapToGrid w:val="0"/>
        <w:ind w:firstLine="425"/>
        <w:jc w:val="both"/>
        <w:rPr>
          <w:sz w:val="20"/>
          <w:szCs w:val="20"/>
        </w:rPr>
      </w:pPr>
      <w:r w:rsidRPr="003021D9">
        <w:rPr>
          <w:sz w:val="20"/>
          <w:szCs w:val="20"/>
        </w:rPr>
        <w:t>Up to now, among the studies about Adult ADHD, there is no study on the prevalence of the disorder among medical students; and given the prevalence of this condition in the general population, in the event of early diagnosis and appropriate intervention, this study seems necessary to be conducted.</w:t>
      </w:r>
    </w:p>
    <w:p w:rsidR="00444EB5" w:rsidRPr="003021D9" w:rsidRDefault="00444EB5" w:rsidP="009B636E">
      <w:pPr>
        <w:snapToGrid w:val="0"/>
        <w:ind w:firstLine="425"/>
        <w:jc w:val="both"/>
        <w:rPr>
          <w:sz w:val="20"/>
          <w:szCs w:val="20"/>
        </w:rPr>
      </w:pPr>
      <w:r w:rsidRPr="003021D9">
        <w:rPr>
          <w:color w:val="222222"/>
          <w:sz w:val="20"/>
          <w:szCs w:val="20"/>
        </w:rPr>
        <w:t>Conner’s</w:t>
      </w:r>
      <w:r w:rsidRPr="003021D9">
        <w:rPr>
          <w:sz w:val="20"/>
          <w:szCs w:val="20"/>
        </w:rPr>
        <w:t xml:space="preserve"> (CAARS-S:S) short diagnostic questionnaire of hyperactivity - adult attention deficit disorder is a questionnaire with appropriate reliability and validity, consisting of 26 zero-to-three-point items and the following five subscales were used to correct it:</w:t>
      </w:r>
    </w:p>
    <w:p w:rsidR="009B636E" w:rsidRPr="003021D9" w:rsidRDefault="00444EB5" w:rsidP="009B636E">
      <w:pPr>
        <w:snapToGrid w:val="0"/>
        <w:ind w:firstLine="425"/>
        <w:jc w:val="both"/>
        <w:rPr>
          <w:sz w:val="20"/>
          <w:szCs w:val="20"/>
        </w:rPr>
      </w:pPr>
      <w:r w:rsidRPr="003021D9">
        <w:rPr>
          <w:sz w:val="20"/>
          <w:szCs w:val="20"/>
        </w:rPr>
        <w:t>A- Attention / memory problem</w:t>
      </w:r>
      <w:r w:rsidR="009B636E" w:rsidRPr="003021D9">
        <w:rPr>
          <w:sz w:val="20"/>
          <w:szCs w:val="20"/>
        </w:rPr>
        <w:t>s.</w:t>
      </w:r>
    </w:p>
    <w:p w:rsidR="009B636E" w:rsidRPr="003021D9" w:rsidRDefault="00444EB5" w:rsidP="009B636E">
      <w:pPr>
        <w:snapToGrid w:val="0"/>
        <w:ind w:firstLine="425"/>
        <w:jc w:val="both"/>
        <w:rPr>
          <w:sz w:val="20"/>
          <w:szCs w:val="20"/>
        </w:rPr>
      </w:pPr>
      <w:r w:rsidRPr="003021D9">
        <w:rPr>
          <w:sz w:val="20"/>
          <w:szCs w:val="20"/>
        </w:rPr>
        <w:t>B- Restlessness / hyperactivit</w:t>
      </w:r>
      <w:r w:rsidR="009B636E" w:rsidRPr="003021D9">
        <w:rPr>
          <w:sz w:val="20"/>
          <w:szCs w:val="20"/>
        </w:rPr>
        <w:t>y.</w:t>
      </w:r>
    </w:p>
    <w:p w:rsidR="009B636E" w:rsidRPr="003021D9" w:rsidRDefault="00444EB5" w:rsidP="009B636E">
      <w:pPr>
        <w:snapToGrid w:val="0"/>
        <w:ind w:firstLine="425"/>
        <w:jc w:val="both"/>
        <w:rPr>
          <w:sz w:val="20"/>
          <w:szCs w:val="20"/>
        </w:rPr>
      </w:pPr>
      <w:r w:rsidRPr="003021D9">
        <w:rPr>
          <w:sz w:val="20"/>
          <w:szCs w:val="20"/>
        </w:rPr>
        <w:t>C- Emotional instability / status of momentu</w:t>
      </w:r>
      <w:r w:rsidR="009B636E" w:rsidRPr="003021D9">
        <w:rPr>
          <w:sz w:val="20"/>
          <w:szCs w:val="20"/>
        </w:rPr>
        <w:t>m.</w:t>
      </w:r>
    </w:p>
    <w:p w:rsidR="009B636E" w:rsidRPr="003021D9" w:rsidRDefault="00444EB5" w:rsidP="009B636E">
      <w:pPr>
        <w:snapToGrid w:val="0"/>
        <w:ind w:firstLine="425"/>
        <w:jc w:val="both"/>
        <w:rPr>
          <w:sz w:val="20"/>
          <w:szCs w:val="20"/>
        </w:rPr>
      </w:pPr>
      <w:r w:rsidRPr="003021D9">
        <w:rPr>
          <w:sz w:val="20"/>
          <w:szCs w:val="20"/>
        </w:rPr>
        <w:t>D- Problems with an overall concept of sel</w:t>
      </w:r>
      <w:r w:rsidR="009B636E" w:rsidRPr="003021D9">
        <w:rPr>
          <w:sz w:val="20"/>
          <w:szCs w:val="20"/>
        </w:rPr>
        <w:t>f.</w:t>
      </w:r>
    </w:p>
    <w:p w:rsidR="009B636E" w:rsidRPr="003021D9" w:rsidRDefault="00444EB5" w:rsidP="009B636E">
      <w:pPr>
        <w:snapToGrid w:val="0"/>
        <w:ind w:firstLine="425"/>
        <w:jc w:val="both"/>
        <w:rPr>
          <w:sz w:val="20"/>
          <w:szCs w:val="20"/>
        </w:rPr>
      </w:pPr>
      <w:r w:rsidRPr="003021D9">
        <w:rPr>
          <w:sz w:val="20"/>
          <w:szCs w:val="20"/>
        </w:rPr>
        <w:t>E- Hyperactivity–attention deficit inde</w:t>
      </w:r>
      <w:r w:rsidR="009B636E" w:rsidRPr="003021D9">
        <w:rPr>
          <w:sz w:val="20"/>
          <w:szCs w:val="20"/>
        </w:rPr>
        <w:t>x.</w:t>
      </w:r>
    </w:p>
    <w:p w:rsidR="00444EB5" w:rsidRPr="003021D9" w:rsidRDefault="00444EB5" w:rsidP="009B636E">
      <w:pPr>
        <w:snapToGrid w:val="0"/>
        <w:jc w:val="both"/>
        <w:rPr>
          <w:sz w:val="20"/>
          <w:szCs w:val="20"/>
        </w:rPr>
      </w:pPr>
    </w:p>
    <w:p w:rsidR="00444EB5" w:rsidRPr="003021D9" w:rsidRDefault="00444EB5" w:rsidP="009B636E">
      <w:pPr>
        <w:snapToGrid w:val="0"/>
        <w:jc w:val="both"/>
        <w:rPr>
          <w:b/>
          <w:sz w:val="20"/>
          <w:szCs w:val="20"/>
        </w:rPr>
      </w:pPr>
      <w:r w:rsidRPr="003021D9">
        <w:rPr>
          <w:b/>
          <w:sz w:val="20"/>
          <w:szCs w:val="20"/>
        </w:rPr>
        <w:t>3. Results</w:t>
      </w:r>
    </w:p>
    <w:p w:rsidR="00444EB5" w:rsidRPr="003021D9" w:rsidRDefault="00444EB5" w:rsidP="009B636E">
      <w:pPr>
        <w:snapToGrid w:val="0"/>
        <w:ind w:firstLine="425"/>
        <w:jc w:val="both"/>
        <w:rPr>
          <w:sz w:val="20"/>
          <w:szCs w:val="20"/>
        </w:rPr>
      </w:pPr>
      <w:r w:rsidRPr="003021D9">
        <w:rPr>
          <w:sz w:val="20"/>
          <w:szCs w:val="20"/>
        </w:rPr>
        <w:t>A total of 176 students participated in this study, that 72 people (41%) were male and 104 (59%) were female. The mean age of students was 25.68±1.33 years. 113 people (64%) were single and 63 (36%) were married. 2 cases (46.5%) were native. 19 people (10.7%) were smokers and only 2 people (0.01%) had a history of alcohol consumption. 10 people (5%) had a history of chronic disease and 25 (14%) had a history of psychiatric illness.</w:t>
      </w:r>
    </w:p>
    <w:p w:rsidR="00444EB5" w:rsidRPr="003021D9" w:rsidRDefault="00444EB5" w:rsidP="009B636E">
      <w:pPr>
        <w:snapToGrid w:val="0"/>
        <w:ind w:firstLine="425"/>
        <w:jc w:val="both"/>
        <w:rPr>
          <w:sz w:val="20"/>
          <w:szCs w:val="20"/>
        </w:rPr>
      </w:pPr>
      <w:r w:rsidRPr="003021D9">
        <w:rPr>
          <w:sz w:val="20"/>
          <w:szCs w:val="20"/>
        </w:rPr>
        <w:lastRenderedPageBreak/>
        <w:t>ADHD-symptoms mean scores questionnaire dimensions are shown in Table 1. The prevalence or dimensions disorder in ADHD symptoms among medical students is shown in Table 2.</w:t>
      </w:r>
    </w:p>
    <w:p w:rsidR="009B636E" w:rsidRPr="003021D9" w:rsidRDefault="009B636E" w:rsidP="009B636E">
      <w:pPr>
        <w:tabs>
          <w:tab w:val="left" w:pos="5403"/>
        </w:tabs>
        <w:snapToGrid w:val="0"/>
        <w:jc w:val="center"/>
        <w:rPr>
          <w:sz w:val="20"/>
          <w:szCs w:val="20"/>
          <w:lang w:eastAsia="zh-CN"/>
        </w:rPr>
      </w:pPr>
    </w:p>
    <w:p w:rsidR="00444EB5" w:rsidRPr="003021D9" w:rsidRDefault="00444EB5" w:rsidP="009B636E">
      <w:pPr>
        <w:tabs>
          <w:tab w:val="left" w:pos="5403"/>
        </w:tabs>
        <w:snapToGrid w:val="0"/>
        <w:jc w:val="both"/>
        <w:rPr>
          <w:sz w:val="20"/>
          <w:szCs w:val="20"/>
        </w:rPr>
      </w:pPr>
      <w:r w:rsidRPr="003021D9">
        <w:rPr>
          <w:sz w:val="20"/>
          <w:szCs w:val="20"/>
        </w:rPr>
        <w:t>Table 1: Mean of adult attention deficit hyperactivity in medical stager students</w:t>
      </w:r>
    </w:p>
    <w:tbl>
      <w:tblPr>
        <w:tblW w:w="0" w:type="auto"/>
        <w:jc w:val="center"/>
        <w:tblBorders>
          <w:top w:val="single" w:sz="4" w:space="0" w:color="auto"/>
          <w:bottom w:val="single" w:sz="4" w:space="0" w:color="auto"/>
        </w:tblBorders>
        <w:tblLook w:val="01E0"/>
      </w:tblPr>
      <w:tblGrid>
        <w:gridCol w:w="1472"/>
        <w:gridCol w:w="672"/>
        <w:gridCol w:w="1142"/>
        <w:gridCol w:w="1310"/>
      </w:tblGrid>
      <w:tr w:rsidR="00444EB5" w:rsidRPr="003021D9" w:rsidTr="009B636E">
        <w:trPr>
          <w:jc w:val="center"/>
        </w:trPr>
        <w:tc>
          <w:tcPr>
            <w:tcW w:w="0" w:type="auto"/>
            <w:tcBorders>
              <w:top w:val="single" w:sz="4" w:space="0" w:color="auto"/>
              <w:bottom w:val="single" w:sz="4" w:space="0" w:color="auto"/>
            </w:tcBorders>
            <w:vAlign w:val="center"/>
          </w:tcPr>
          <w:p w:rsidR="00444EB5" w:rsidRPr="003021D9" w:rsidRDefault="00444EB5" w:rsidP="009B636E">
            <w:pPr>
              <w:tabs>
                <w:tab w:val="left" w:pos="5403"/>
              </w:tabs>
              <w:snapToGrid w:val="0"/>
              <w:jc w:val="both"/>
              <w:rPr>
                <w:color w:val="000000"/>
                <w:sz w:val="20"/>
                <w:szCs w:val="20"/>
              </w:rPr>
            </w:pPr>
          </w:p>
        </w:tc>
        <w:tc>
          <w:tcPr>
            <w:tcW w:w="0" w:type="auto"/>
            <w:tcBorders>
              <w:top w:val="single" w:sz="4" w:space="0" w:color="auto"/>
              <w:bottom w:val="single" w:sz="4" w:space="0" w:color="auto"/>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Mean</w:t>
            </w:r>
          </w:p>
        </w:tc>
        <w:tc>
          <w:tcPr>
            <w:tcW w:w="0" w:type="auto"/>
            <w:tcBorders>
              <w:top w:val="single" w:sz="4" w:space="0" w:color="auto"/>
              <w:bottom w:val="single" w:sz="4" w:space="0" w:color="auto"/>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Std. Deviation</w:t>
            </w:r>
          </w:p>
        </w:tc>
        <w:tc>
          <w:tcPr>
            <w:tcW w:w="0" w:type="auto"/>
            <w:tcBorders>
              <w:top w:val="single" w:sz="4" w:space="0" w:color="auto"/>
              <w:bottom w:val="single" w:sz="4" w:space="0" w:color="auto"/>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Cronbach's Alpha</w:t>
            </w:r>
          </w:p>
        </w:tc>
      </w:tr>
      <w:tr w:rsidR="00444EB5" w:rsidRPr="003021D9" w:rsidTr="009B636E">
        <w:trPr>
          <w:jc w:val="center"/>
        </w:trPr>
        <w:tc>
          <w:tcPr>
            <w:tcW w:w="0" w:type="auto"/>
            <w:tcBorders>
              <w:top w:val="single" w:sz="4" w:space="0" w:color="auto"/>
              <w:bottom w:val="nil"/>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Neglect</w:t>
            </w:r>
          </w:p>
        </w:tc>
        <w:tc>
          <w:tcPr>
            <w:tcW w:w="0" w:type="auto"/>
            <w:tcBorders>
              <w:top w:val="single" w:sz="4" w:space="0" w:color="auto"/>
              <w:bottom w:val="nil"/>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4.90</w:t>
            </w:r>
          </w:p>
        </w:tc>
        <w:tc>
          <w:tcPr>
            <w:tcW w:w="0" w:type="auto"/>
            <w:tcBorders>
              <w:top w:val="single" w:sz="4" w:space="0" w:color="auto"/>
              <w:bottom w:val="nil"/>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2.91</w:t>
            </w:r>
          </w:p>
        </w:tc>
        <w:tc>
          <w:tcPr>
            <w:tcW w:w="0" w:type="auto"/>
            <w:tcBorders>
              <w:top w:val="single" w:sz="4" w:space="0" w:color="auto"/>
              <w:bottom w:val="nil"/>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0.71</w:t>
            </w:r>
          </w:p>
        </w:tc>
      </w:tr>
      <w:tr w:rsidR="00444EB5" w:rsidRPr="003021D9" w:rsidTr="009B636E">
        <w:trPr>
          <w:jc w:val="center"/>
        </w:trPr>
        <w:tc>
          <w:tcPr>
            <w:tcW w:w="0" w:type="auto"/>
            <w:tcBorders>
              <w:top w:val="nil"/>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Hyperactivity</w:t>
            </w:r>
          </w:p>
        </w:tc>
        <w:tc>
          <w:tcPr>
            <w:tcW w:w="0" w:type="auto"/>
            <w:tcBorders>
              <w:top w:val="nil"/>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5.95</w:t>
            </w:r>
          </w:p>
        </w:tc>
        <w:tc>
          <w:tcPr>
            <w:tcW w:w="0" w:type="auto"/>
            <w:tcBorders>
              <w:top w:val="nil"/>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4.08</w:t>
            </w:r>
          </w:p>
        </w:tc>
        <w:tc>
          <w:tcPr>
            <w:tcW w:w="0" w:type="auto"/>
            <w:tcBorders>
              <w:top w:val="nil"/>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0.58</w:t>
            </w:r>
          </w:p>
        </w:tc>
      </w:tr>
      <w:tr w:rsidR="00444EB5" w:rsidRPr="003021D9" w:rsidTr="009B636E">
        <w:trPr>
          <w:jc w:val="center"/>
        </w:trPr>
        <w:tc>
          <w:tcPr>
            <w:tcW w:w="0" w:type="auto"/>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Impulsivity</w:t>
            </w:r>
          </w:p>
        </w:tc>
        <w:tc>
          <w:tcPr>
            <w:tcW w:w="0" w:type="auto"/>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4.86</w:t>
            </w:r>
          </w:p>
        </w:tc>
        <w:tc>
          <w:tcPr>
            <w:tcW w:w="0" w:type="auto"/>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2.51</w:t>
            </w:r>
          </w:p>
        </w:tc>
        <w:tc>
          <w:tcPr>
            <w:tcW w:w="0" w:type="auto"/>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0.64</w:t>
            </w:r>
          </w:p>
        </w:tc>
      </w:tr>
      <w:tr w:rsidR="00444EB5" w:rsidRPr="003021D9" w:rsidTr="009B636E">
        <w:trPr>
          <w:jc w:val="center"/>
        </w:trPr>
        <w:tc>
          <w:tcPr>
            <w:tcW w:w="0" w:type="auto"/>
            <w:tcBorders>
              <w:bottom w:val="single" w:sz="4" w:space="0" w:color="auto"/>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Self-concept Index</w:t>
            </w:r>
          </w:p>
        </w:tc>
        <w:tc>
          <w:tcPr>
            <w:tcW w:w="0" w:type="auto"/>
            <w:tcBorders>
              <w:bottom w:val="single" w:sz="4" w:space="0" w:color="auto"/>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4.43</w:t>
            </w:r>
          </w:p>
        </w:tc>
        <w:tc>
          <w:tcPr>
            <w:tcW w:w="0" w:type="auto"/>
            <w:tcBorders>
              <w:bottom w:val="single" w:sz="4" w:space="0" w:color="auto"/>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3.16</w:t>
            </w:r>
          </w:p>
        </w:tc>
        <w:tc>
          <w:tcPr>
            <w:tcW w:w="0" w:type="auto"/>
            <w:tcBorders>
              <w:bottom w:val="single" w:sz="4" w:space="0" w:color="auto"/>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0.74</w:t>
            </w:r>
          </w:p>
        </w:tc>
      </w:tr>
    </w:tbl>
    <w:p w:rsidR="00444EB5" w:rsidRPr="003021D9" w:rsidRDefault="00444EB5" w:rsidP="009B636E">
      <w:pPr>
        <w:tabs>
          <w:tab w:val="left" w:pos="5403"/>
        </w:tabs>
        <w:snapToGrid w:val="0"/>
        <w:ind w:firstLine="425"/>
        <w:jc w:val="both"/>
        <w:rPr>
          <w:sz w:val="20"/>
          <w:szCs w:val="20"/>
        </w:rPr>
      </w:pPr>
    </w:p>
    <w:p w:rsidR="00444EB5" w:rsidRPr="003021D9" w:rsidRDefault="00444EB5" w:rsidP="009B636E">
      <w:pPr>
        <w:snapToGrid w:val="0"/>
        <w:ind w:firstLine="425"/>
        <w:jc w:val="both"/>
        <w:rPr>
          <w:sz w:val="20"/>
          <w:szCs w:val="20"/>
        </w:rPr>
      </w:pPr>
      <w:r w:rsidRPr="003021D9">
        <w:rPr>
          <w:sz w:val="20"/>
          <w:szCs w:val="20"/>
        </w:rPr>
        <w:t>Comparison of ADHD-symptoms mean scores by gender is shown in Table 3. Comparison of the prevalence of ADHD symptoms by gender is shown in Table 4.</w:t>
      </w:r>
    </w:p>
    <w:p w:rsidR="00444EB5" w:rsidRPr="003021D9" w:rsidRDefault="00444EB5" w:rsidP="009B636E">
      <w:pPr>
        <w:snapToGrid w:val="0"/>
        <w:jc w:val="center"/>
        <w:rPr>
          <w:sz w:val="20"/>
          <w:szCs w:val="20"/>
        </w:rPr>
      </w:pPr>
    </w:p>
    <w:p w:rsidR="00444EB5" w:rsidRPr="003021D9" w:rsidRDefault="00444EB5" w:rsidP="009B636E">
      <w:pPr>
        <w:pStyle w:val="ListParagraph"/>
        <w:bidi w:val="0"/>
        <w:snapToGrid w:val="0"/>
        <w:spacing w:after="0" w:line="240" w:lineRule="auto"/>
        <w:ind w:left="0"/>
        <w:jc w:val="both"/>
        <w:rPr>
          <w:rFonts w:ascii="Times New Roman" w:hAnsi="Times New Roman" w:cs="Times New Roman"/>
          <w:b/>
          <w:bCs/>
          <w:sz w:val="20"/>
          <w:szCs w:val="20"/>
        </w:rPr>
      </w:pPr>
      <w:r w:rsidRPr="003021D9">
        <w:rPr>
          <w:rFonts w:ascii="Times New Roman" w:hAnsi="Times New Roman" w:cs="Times New Roman"/>
          <w:sz w:val="20"/>
          <w:szCs w:val="20"/>
        </w:rPr>
        <w:t>Table 2: Frequency of adult attention deficit hyperactivity in medical stager students</w:t>
      </w:r>
    </w:p>
    <w:tbl>
      <w:tblPr>
        <w:tblW w:w="0" w:type="auto"/>
        <w:jc w:val="center"/>
        <w:tblBorders>
          <w:top w:val="single" w:sz="4" w:space="0" w:color="auto"/>
          <w:bottom w:val="single" w:sz="4" w:space="0" w:color="auto"/>
        </w:tblBorders>
        <w:tblLook w:val="01E0"/>
      </w:tblPr>
      <w:tblGrid>
        <w:gridCol w:w="1809"/>
        <w:gridCol w:w="1460"/>
        <w:gridCol w:w="1327"/>
      </w:tblGrid>
      <w:tr w:rsidR="00444EB5" w:rsidRPr="003021D9" w:rsidTr="007744ED">
        <w:trPr>
          <w:jc w:val="center"/>
        </w:trPr>
        <w:tc>
          <w:tcPr>
            <w:tcW w:w="2881" w:type="dxa"/>
            <w:tcBorders>
              <w:top w:val="single" w:sz="4" w:space="0" w:color="auto"/>
              <w:bottom w:val="single" w:sz="4" w:space="0" w:color="auto"/>
            </w:tcBorders>
          </w:tcPr>
          <w:p w:rsidR="00444EB5" w:rsidRPr="003021D9" w:rsidRDefault="00444EB5" w:rsidP="009B636E">
            <w:pPr>
              <w:tabs>
                <w:tab w:val="left" w:pos="5403"/>
              </w:tabs>
              <w:snapToGrid w:val="0"/>
              <w:jc w:val="both"/>
              <w:rPr>
                <w:color w:val="000000"/>
                <w:sz w:val="20"/>
                <w:szCs w:val="20"/>
              </w:rPr>
            </w:pPr>
          </w:p>
        </w:tc>
        <w:tc>
          <w:tcPr>
            <w:tcW w:w="2326" w:type="dxa"/>
            <w:tcBorders>
              <w:top w:val="single" w:sz="4" w:space="0" w:color="auto"/>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Frequency</w:t>
            </w:r>
          </w:p>
        </w:tc>
        <w:tc>
          <w:tcPr>
            <w:tcW w:w="2438" w:type="dxa"/>
            <w:tcBorders>
              <w:top w:val="single" w:sz="4" w:space="0" w:color="auto"/>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Percent</w:t>
            </w:r>
          </w:p>
        </w:tc>
      </w:tr>
      <w:tr w:rsidR="00444EB5" w:rsidRPr="003021D9" w:rsidTr="007744ED">
        <w:trPr>
          <w:jc w:val="center"/>
        </w:trPr>
        <w:tc>
          <w:tcPr>
            <w:tcW w:w="2881" w:type="dxa"/>
            <w:tcBorders>
              <w:top w:val="single" w:sz="4" w:space="0" w:color="auto"/>
              <w:bottom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Neglect</w:t>
            </w:r>
          </w:p>
        </w:tc>
        <w:tc>
          <w:tcPr>
            <w:tcW w:w="2326" w:type="dxa"/>
            <w:tcBorders>
              <w:top w:val="single" w:sz="4" w:space="0" w:color="auto"/>
              <w:bottom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14</w:t>
            </w:r>
          </w:p>
        </w:tc>
        <w:tc>
          <w:tcPr>
            <w:tcW w:w="2438" w:type="dxa"/>
            <w:tcBorders>
              <w:top w:val="single" w:sz="4" w:space="0" w:color="auto"/>
              <w:bottom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8%</w:t>
            </w:r>
          </w:p>
        </w:tc>
      </w:tr>
      <w:tr w:rsidR="00444EB5" w:rsidRPr="003021D9" w:rsidTr="007744ED">
        <w:trPr>
          <w:jc w:val="center"/>
        </w:trPr>
        <w:tc>
          <w:tcPr>
            <w:tcW w:w="2881" w:type="dxa"/>
            <w:tcBorders>
              <w:top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Hyperactivity</w:t>
            </w:r>
          </w:p>
        </w:tc>
        <w:tc>
          <w:tcPr>
            <w:tcW w:w="2326" w:type="dxa"/>
            <w:tcBorders>
              <w:top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6</w:t>
            </w:r>
          </w:p>
        </w:tc>
        <w:tc>
          <w:tcPr>
            <w:tcW w:w="2438" w:type="dxa"/>
            <w:tcBorders>
              <w:top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3.4%</w:t>
            </w:r>
          </w:p>
        </w:tc>
      </w:tr>
      <w:tr w:rsidR="00444EB5" w:rsidRPr="003021D9" w:rsidTr="007744ED">
        <w:trPr>
          <w:jc w:val="center"/>
        </w:trPr>
        <w:tc>
          <w:tcPr>
            <w:tcW w:w="2881" w:type="dxa"/>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Impulsivity</w:t>
            </w:r>
          </w:p>
        </w:tc>
        <w:tc>
          <w:tcPr>
            <w:tcW w:w="2326" w:type="dxa"/>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10</w:t>
            </w:r>
          </w:p>
        </w:tc>
        <w:tc>
          <w:tcPr>
            <w:tcW w:w="2438" w:type="dxa"/>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5.7%</w:t>
            </w:r>
          </w:p>
        </w:tc>
      </w:tr>
      <w:tr w:rsidR="00444EB5" w:rsidRPr="003021D9" w:rsidTr="007744ED">
        <w:trPr>
          <w:jc w:val="center"/>
        </w:trPr>
        <w:tc>
          <w:tcPr>
            <w:tcW w:w="2881" w:type="dxa"/>
            <w:tcBorders>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Self-concept Index</w:t>
            </w:r>
          </w:p>
        </w:tc>
        <w:tc>
          <w:tcPr>
            <w:tcW w:w="2326" w:type="dxa"/>
            <w:tcBorders>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15</w:t>
            </w:r>
          </w:p>
        </w:tc>
        <w:tc>
          <w:tcPr>
            <w:tcW w:w="2438" w:type="dxa"/>
            <w:tcBorders>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8.5%</w:t>
            </w:r>
          </w:p>
        </w:tc>
      </w:tr>
    </w:tbl>
    <w:p w:rsidR="00444EB5" w:rsidRPr="003021D9" w:rsidRDefault="00444EB5" w:rsidP="009B636E">
      <w:pPr>
        <w:snapToGrid w:val="0"/>
        <w:ind w:firstLine="425"/>
        <w:jc w:val="both"/>
        <w:rPr>
          <w:sz w:val="20"/>
          <w:szCs w:val="20"/>
        </w:rPr>
      </w:pPr>
    </w:p>
    <w:p w:rsidR="00444EB5" w:rsidRPr="003021D9" w:rsidRDefault="00444EB5" w:rsidP="009B636E">
      <w:pPr>
        <w:snapToGrid w:val="0"/>
        <w:ind w:firstLine="425"/>
        <w:jc w:val="both"/>
        <w:rPr>
          <w:sz w:val="20"/>
          <w:szCs w:val="20"/>
        </w:rPr>
      </w:pPr>
      <w:r w:rsidRPr="003021D9">
        <w:rPr>
          <w:sz w:val="20"/>
          <w:szCs w:val="20"/>
        </w:rPr>
        <w:t>Comparison of ADHD-symptoms mean scores by age is shown in Table 5.</w:t>
      </w:r>
    </w:p>
    <w:p w:rsidR="00444EB5" w:rsidRPr="003021D9" w:rsidRDefault="00444EB5" w:rsidP="009B636E">
      <w:pPr>
        <w:snapToGrid w:val="0"/>
        <w:jc w:val="center"/>
        <w:rPr>
          <w:sz w:val="20"/>
          <w:szCs w:val="20"/>
        </w:rPr>
      </w:pPr>
    </w:p>
    <w:p w:rsidR="00444EB5" w:rsidRPr="003021D9" w:rsidRDefault="00444EB5" w:rsidP="009B636E">
      <w:pPr>
        <w:snapToGrid w:val="0"/>
        <w:jc w:val="both"/>
        <w:rPr>
          <w:sz w:val="20"/>
          <w:szCs w:val="20"/>
        </w:rPr>
      </w:pPr>
      <w:r w:rsidRPr="003021D9">
        <w:rPr>
          <w:sz w:val="20"/>
          <w:szCs w:val="20"/>
        </w:rPr>
        <w:t>Table 3: Mean of adult attention deficit hyperactivity based on student's gender</w:t>
      </w:r>
    </w:p>
    <w:tbl>
      <w:tblPr>
        <w:tblW w:w="5000" w:type="pct"/>
        <w:jc w:val="center"/>
        <w:tblBorders>
          <w:top w:val="single" w:sz="4" w:space="0" w:color="auto"/>
          <w:bottom w:val="single" w:sz="4" w:space="0" w:color="auto"/>
        </w:tblBorders>
        <w:tblLook w:val="01E0"/>
      </w:tblPr>
      <w:tblGrid>
        <w:gridCol w:w="730"/>
        <w:gridCol w:w="758"/>
        <w:gridCol w:w="1175"/>
        <w:gridCol w:w="1175"/>
        <w:gridCol w:w="758"/>
      </w:tblGrid>
      <w:tr w:rsidR="00444EB5" w:rsidRPr="003021D9" w:rsidTr="003021D9">
        <w:trPr>
          <w:jc w:val="center"/>
        </w:trPr>
        <w:tc>
          <w:tcPr>
            <w:tcW w:w="794" w:type="pct"/>
            <w:tcBorders>
              <w:top w:val="single" w:sz="4" w:space="0" w:color="auto"/>
              <w:bottom w:val="single" w:sz="4" w:space="0" w:color="auto"/>
            </w:tcBorders>
            <w:vAlign w:val="center"/>
          </w:tcPr>
          <w:p w:rsidR="00444EB5" w:rsidRPr="003021D9" w:rsidRDefault="00444EB5" w:rsidP="009B636E">
            <w:pPr>
              <w:snapToGrid w:val="0"/>
              <w:jc w:val="both"/>
              <w:rPr>
                <w:color w:val="000000"/>
                <w:sz w:val="16"/>
                <w:szCs w:val="16"/>
              </w:rPr>
            </w:pPr>
          </w:p>
        </w:tc>
        <w:tc>
          <w:tcPr>
            <w:tcW w:w="825" w:type="pct"/>
            <w:tcBorders>
              <w:top w:val="single" w:sz="4" w:space="0" w:color="auto"/>
              <w:bottom w:val="single" w:sz="4" w:space="0" w:color="auto"/>
            </w:tcBorders>
            <w:vAlign w:val="center"/>
          </w:tcPr>
          <w:p w:rsidR="00444EB5" w:rsidRPr="003021D9" w:rsidRDefault="00444EB5" w:rsidP="009B636E">
            <w:pPr>
              <w:snapToGrid w:val="0"/>
              <w:jc w:val="both"/>
              <w:rPr>
                <w:color w:val="000000"/>
                <w:sz w:val="16"/>
                <w:szCs w:val="16"/>
              </w:rPr>
            </w:pPr>
            <w:r w:rsidRPr="003021D9">
              <w:rPr>
                <w:color w:val="000000"/>
                <w:sz w:val="16"/>
                <w:szCs w:val="16"/>
              </w:rPr>
              <w:t>Neglect</w:t>
            </w:r>
          </w:p>
        </w:tc>
        <w:tc>
          <w:tcPr>
            <w:tcW w:w="1278" w:type="pct"/>
            <w:tcBorders>
              <w:top w:val="single" w:sz="4" w:space="0" w:color="auto"/>
              <w:bottom w:val="single" w:sz="4" w:space="0" w:color="auto"/>
            </w:tcBorders>
            <w:vAlign w:val="center"/>
          </w:tcPr>
          <w:p w:rsidR="00444EB5" w:rsidRPr="003021D9" w:rsidRDefault="00444EB5" w:rsidP="009B636E">
            <w:pPr>
              <w:snapToGrid w:val="0"/>
              <w:jc w:val="both"/>
              <w:rPr>
                <w:color w:val="000000"/>
                <w:sz w:val="16"/>
                <w:szCs w:val="16"/>
              </w:rPr>
            </w:pPr>
            <w:r w:rsidRPr="003021D9">
              <w:rPr>
                <w:color w:val="000000"/>
                <w:sz w:val="16"/>
                <w:szCs w:val="16"/>
              </w:rPr>
              <w:t>Hyperactivity</w:t>
            </w:r>
          </w:p>
        </w:tc>
        <w:tc>
          <w:tcPr>
            <w:tcW w:w="1278" w:type="pct"/>
            <w:tcBorders>
              <w:top w:val="single" w:sz="4" w:space="0" w:color="auto"/>
              <w:bottom w:val="single" w:sz="4" w:space="0" w:color="auto"/>
            </w:tcBorders>
            <w:vAlign w:val="center"/>
          </w:tcPr>
          <w:p w:rsidR="00444EB5" w:rsidRPr="003021D9" w:rsidRDefault="00444EB5" w:rsidP="009B636E">
            <w:pPr>
              <w:snapToGrid w:val="0"/>
              <w:jc w:val="both"/>
              <w:rPr>
                <w:color w:val="000000"/>
                <w:sz w:val="16"/>
                <w:szCs w:val="16"/>
              </w:rPr>
            </w:pPr>
            <w:r w:rsidRPr="003021D9">
              <w:rPr>
                <w:color w:val="000000"/>
                <w:sz w:val="16"/>
                <w:szCs w:val="16"/>
              </w:rPr>
              <w:t>Hyperactivity</w:t>
            </w:r>
          </w:p>
        </w:tc>
        <w:tc>
          <w:tcPr>
            <w:tcW w:w="825" w:type="pct"/>
            <w:tcBorders>
              <w:top w:val="single" w:sz="4" w:space="0" w:color="auto"/>
              <w:bottom w:val="single" w:sz="4" w:space="0" w:color="auto"/>
            </w:tcBorders>
            <w:vAlign w:val="center"/>
          </w:tcPr>
          <w:p w:rsidR="00444EB5" w:rsidRPr="003021D9" w:rsidRDefault="00444EB5" w:rsidP="009B636E">
            <w:pPr>
              <w:snapToGrid w:val="0"/>
              <w:jc w:val="both"/>
              <w:rPr>
                <w:color w:val="000000"/>
                <w:sz w:val="16"/>
                <w:szCs w:val="16"/>
              </w:rPr>
            </w:pPr>
            <w:r w:rsidRPr="003021D9">
              <w:rPr>
                <w:color w:val="000000"/>
                <w:sz w:val="16"/>
                <w:szCs w:val="16"/>
              </w:rPr>
              <w:t>Self-concept Index</w:t>
            </w:r>
          </w:p>
        </w:tc>
      </w:tr>
      <w:tr w:rsidR="00444EB5" w:rsidRPr="003021D9" w:rsidTr="003021D9">
        <w:trPr>
          <w:jc w:val="center"/>
        </w:trPr>
        <w:tc>
          <w:tcPr>
            <w:tcW w:w="794" w:type="pct"/>
            <w:tcBorders>
              <w:top w:val="single" w:sz="4" w:space="0" w:color="auto"/>
              <w:bottom w:val="nil"/>
            </w:tcBorders>
            <w:vAlign w:val="center"/>
          </w:tcPr>
          <w:p w:rsidR="00444EB5" w:rsidRPr="003021D9" w:rsidRDefault="00444EB5" w:rsidP="009B636E">
            <w:pPr>
              <w:snapToGrid w:val="0"/>
              <w:jc w:val="both"/>
              <w:rPr>
                <w:color w:val="000000"/>
                <w:sz w:val="16"/>
                <w:szCs w:val="16"/>
              </w:rPr>
            </w:pPr>
            <w:r w:rsidRPr="003021D9">
              <w:rPr>
                <w:color w:val="000000"/>
                <w:sz w:val="16"/>
                <w:szCs w:val="16"/>
              </w:rPr>
              <w:t>Male</w:t>
            </w:r>
          </w:p>
        </w:tc>
        <w:tc>
          <w:tcPr>
            <w:tcW w:w="825" w:type="pct"/>
            <w:tcBorders>
              <w:top w:val="single" w:sz="4" w:space="0" w:color="auto"/>
              <w:bottom w:val="nil"/>
            </w:tcBorders>
            <w:vAlign w:val="center"/>
          </w:tcPr>
          <w:p w:rsidR="00444EB5" w:rsidRPr="003021D9" w:rsidRDefault="00444EB5" w:rsidP="009B636E">
            <w:pPr>
              <w:snapToGrid w:val="0"/>
              <w:jc w:val="both"/>
              <w:rPr>
                <w:color w:val="000000"/>
                <w:sz w:val="16"/>
                <w:szCs w:val="16"/>
              </w:rPr>
            </w:pPr>
            <w:r w:rsidRPr="003021D9">
              <w:rPr>
                <w:color w:val="000000"/>
                <w:sz w:val="16"/>
                <w:szCs w:val="16"/>
              </w:rPr>
              <w:t>4.83</w:t>
            </w:r>
          </w:p>
        </w:tc>
        <w:tc>
          <w:tcPr>
            <w:tcW w:w="1278" w:type="pct"/>
            <w:tcBorders>
              <w:top w:val="single" w:sz="4" w:space="0" w:color="auto"/>
              <w:bottom w:val="nil"/>
            </w:tcBorders>
            <w:vAlign w:val="center"/>
          </w:tcPr>
          <w:p w:rsidR="00444EB5" w:rsidRPr="003021D9" w:rsidRDefault="00444EB5" w:rsidP="009B636E">
            <w:pPr>
              <w:snapToGrid w:val="0"/>
              <w:jc w:val="both"/>
              <w:rPr>
                <w:color w:val="000000"/>
                <w:sz w:val="16"/>
                <w:szCs w:val="16"/>
              </w:rPr>
            </w:pPr>
            <w:r w:rsidRPr="003021D9">
              <w:rPr>
                <w:color w:val="000000"/>
                <w:sz w:val="16"/>
                <w:szCs w:val="16"/>
              </w:rPr>
              <w:t>5.43</w:t>
            </w:r>
          </w:p>
        </w:tc>
        <w:tc>
          <w:tcPr>
            <w:tcW w:w="1278" w:type="pct"/>
            <w:tcBorders>
              <w:top w:val="single" w:sz="4" w:space="0" w:color="auto"/>
              <w:bottom w:val="nil"/>
            </w:tcBorders>
            <w:vAlign w:val="center"/>
          </w:tcPr>
          <w:p w:rsidR="00444EB5" w:rsidRPr="003021D9" w:rsidRDefault="00444EB5" w:rsidP="009B636E">
            <w:pPr>
              <w:snapToGrid w:val="0"/>
              <w:jc w:val="both"/>
              <w:rPr>
                <w:color w:val="000000"/>
                <w:sz w:val="16"/>
                <w:szCs w:val="16"/>
              </w:rPr>
            </w:pPr>
            <w:r w:rsidRPr="003021D9">
              <w:rPr>
                <w:color w:val="000000"/>
                <w:sz w:val="16"/>
                <w:szCs w:val="16"/>
              </w:rPr>
              <w:t>94.4</w:t>
            </w:r>
          </w:p>
        </w:tc>
        <w:tc>
          <w:tcPr>
            <w:tcW w:w="825" w:type="pct"/>
            <w:tcBorders>
              <w:top w:val="single" w:sz="4" w:space="0" w:color="auto"/>
              <w:bottom w:val="nil"/>
            </w:tcBorders>
            <w:vAlign w:val="center"/>
          </w:tcPr>
          <w:p w:rsidR="00444EB5" w:rsidRPr="003021D9" w:rsidRDefault="00444EB5" w:rsidP="009B636E">
            <w:pPr>
              <w:snapToGrid w:val="0"/>
              <w:jc w:val="both"/>
              <w:rPr>
                <w:color w:val="000000"/>
                <w:sz w:val="16"/>
                <w:szCs w:val="16"/>
              </w:rPr>
            </w:pPr>
            <w:r w:rsidRPr="003021D9">
              <w:rPr>
                <w:color w:val="000000"/>
                <w:sz w:val="16"/>
                <w:szCs w:val="16"/>
              </w:rPr>
              <w:t>5.15</w:t>
            </w:r>
          </w:p>
        </w:tc>
      </w:tr>
      <w:tr w:rsidR="00444EB5" w:rsidRPr="003021D9" w:rsidTr="003021D9">
        <w:trPr>
          <w:jc w:val="center"/>
        </w:trPr>
        <w:tc>
          <w:tcPr>
            <w:tcW w:w="794" w:type="pct"/>
            <w:tcBorders>
              <w:top w:val="nil"/>
            </w:tcBorders>
            <w:vAlign w:val="center"/>
          </w:tcPr>
          <w:p w:rsidR="00444EB5" w:rsidRPr="003021D9" w:rsidRDefault="00444EB5" w:rsidP="009B636E">
            <w:pPr>
              <w:snapToGrid w:val="0"/>
              <w:jc w:val="both"/>
              <w:rPr>
                <w:color w:val="000000"/>
                <w:sz w:val="16"/>
                <w:szCs w:val="16"/>
              </w:rPr>
            </w:pPr>
            <w:r w:rsidRPr="003021D9">
              <w:rPr>
                <w:color w:val="000000"/>
                <w:sz w:val="16"/>
                <w:szCs w:val="16"/>
              </w:rPr>
              <w:t>Female</w:t>
            </w:r>
          </w:p>
        </w:tc>
        <w:tc>
          <w:tcPr>
            <w:tcW w:w="825" w:type="pct"/>
            <w:tcBorders>
              <w:top w:val="nil"/>
            </w:tcBorders>
            <w:vAlign w:val="center"/>
          </w:tcPr>
          <w:p w:rsidR="00444EB5" w:rsidRPr="003021D9" w:rsidRDefault="00444EB5" w:rsidP="009B636E">
            <w:pPr>
              <w:snapToGrid w:val="0"/>
              <w:jc w:val="both"/>
              <w:rPr>
                <w:color w:val="000000"/>
                <w:sz w:val="16"/>
                <w:szCs w:val="16"/>
              </w:rPr>
            </w:pPr>
            <w:r w:rsidRPr="003021D9">
              <w:rPr>
                <w:color w:val="000000"/>
                <w:sz w:val="16"/>
                <w:szCs w:val="16"/>
              </w:rPr>
              <w:t>4.96</w:t>
            </w:r>
          </w:p>
        </w:tc>
        <w:tc>
          <w:tcPr>
            <w:tcW w:w="1278" w:type="pct"/>
            <w:tcBorders>
              <w:top w:val="nil"/>
            </w:tcBorders>
            <w:vAlign w:val="center"/>
          </w:tcPr>
          <w:p w:rsidR="00444EB5" w:rsidRPr="003021D9" w:rsidRDefault="00444EB5" w:rsidP="009B636E">
            <w:pPr>
              <w:snapToGrid w:val="0"/>
              <w:jc w:val="both"/>
              <w:rPr>
                <w:color w:val="000000"/>
                <w:sz w:val="16"/>
                <w:szCs w:val="16"/>
              </w:rPr>
            </w:pPr>
            <w:r w:rsidRPr="003021D9">
              <w:rPr>
                <w:color w:val="000000"/>
                <w:sz w:val="16"/>
                <w:szCs w:val="16"/>
              </w:rPr>
              <w:t>6.31</w:t>
            </w:r>
          </w:p>
        </w:tc>
        <w:tc>
          <w:tcPr>
            <w:tcW w:w="1278" w:type="pct"/>
            <w:tcBorders>
              <w:top w:val="nil"/>
            </w:tcBorders>
            <w:vAlign w:val="center"/>
          </w:tcPr>
          <w:p w:rsidR="00444EB5" w:rsidRPr="003021D9" w:rsidRDefault="00444EB5" w:rsidP="009B636E">
            <w:pPr>
              <w:snapToGrid w:val="0"/>
              <w:jc w:val="both"/>
              <w:rPr>
                <w:color w:val="000000"/>
                <w:sz w:val="16"/>
                <w:szCs w:val="16"/>
              </w:rPr>
            </w:pPr>
            <w:r w:rsidRPr="003021D9">
              <w:rPr>
                <w:color w:val="000000"/>
                <w:sz w:val="16"/>
                <w:szCs w:val="16"/>
              </w:rPr>
              <w:t>4.8</w:t>
            </w:r>
          </w:p>
        </w:tc>
        <w:tc>
          <w:tcPr>
            <w:tcW w:w="825" w:type="pct"/>
            <w:tcBorders>
              <w:top w:val="nil"/>
            </w:tcBorders>
            <w:vAlign w:val="center"/>
          </w:tcPr>
          <w:p w:rsidR="00444EB5" w:rsidRPr="003021D9" w:rsidRDefault="00444EB5" w:rsidP="009B636E">
            <w:pPr>
              <w:snapToGrid w:val="0"/>
              <w:jc w:val="both"/>
              <w:rPr>
                <w:color w:val="000000"/>
                <w:sz w:val="16"/>
                <w:szCs w:val="16"/>
              </w:rPr>
            </w:pPr>
            <w:r w:rsidRPr="003021D9">
              <w:rPr>
                <w:color w:val="000000"/>
                <w:sz w:val="16"/>
                <w:szCs w:val="16"/>
              </w:rPr>
              <w:t>5.62</w:t>
            </w:r>
          </w:p>
        </w:tc>
      </w:tr>
      <w:tr w:rsidR="00444EB5" w:rsidRPr="003021D9" w:rsidTr="003021D9">
        <w:trPr>
          <w:jc w:val="center"/>
        </w:trPr>
        <w:tc>
          <w:tcPr>
            <w:tcW w:w="794" w:type="pct"/>
            <w:tcBorders>
              <w:bottom w:val="single" w:sz="4" w:space="0" w:color="auto"/>
            </w:tcBorders>
            <w:vAlign w:val="center"/>
          </w:tcPr>
          <w:p w:rsidR="00444EB5" w:rsidRPr="003021D9" w:rsidRDefault="00444EB5" w:rsidP="009B636E">
            <w:pPr>
              <w:snapToGrid w:val="0"/>
              <w:jc w:val="both"/>
              <w:rPr>
                <w:color w:val="000000"/>
                <w:sz w:val="16"/>
                <w:szCs w:val="16"/>
              </w:rPr>
            </w:pPr>
            <w:r w:rsidRPr="003021D9">
              <w:rPr>
                <w:color w:val="000000"/>
                <w:sz w:val="16"/>
                <w:szCs w:val="16"/>
              </w:rPr>
              <w:t>P</w:t>
            </w:r>
          </w:p>
        </w:tc>
        <w:tc>
          <w:tcPr>
            <w:tcW w:w="825" w:type="pct"/>
            <w:tcBorders>
              <w:bottom w:val="single" w:sz="4" w:space="0" w:color="auto"/>
            </w:tcBorders>
            <w:vAlign w:val="center"/>
          </w:tcPr>
          <w:p w:rsidR="00444EB5" w:rsidRPr="003021D9" w:rsidRDefault="00444EB5" w:rsidP="009B636E">
            <w:pPr>
              <w:snapToGrid w:val="0"/>
              <w:jc w:val="both"/>
              <w:rPr>
                <w:color w:val="000000"/>
                <w:sz w:val="16"/>
                <w:szCs w:val="16"/>
              </w:rPr>
            </w:pPr>
            <w:r w:rsidRPr="003021D9">
              <w:rPr>
                <w:color w:val="000000"/>
                <w:sz w:val="16"/>
                <w:szCs w:val="16"/>
              </w:rPr>
              <w:t>0.77</w:t>
            </w:r>
          </w:p>
        </w:tc>
        <w:tc>
          <w:tcPr>
            <w:tcW w:w="1278" w:type="pct"/>
            <w:tcBorders>
              <w:bottom w:val="single" w:sz="4" w:space="0" w:color="auto"/>
            </w:tcBorders>
            <w:vAlign w:val="center"/>
          </w:tcPr>
          <w:p w:rsidR="00444EB5" w:rsidRPr="003021D9" w:rsidRDefault="00444EB5" w:rsidP="009B636E">
            <w:pPr>
              <w:snapToGrid w:val="0"/>
              <w:jc w:val="both"/>
              <w:rPr>
                <w:color w:val="000000"/>
                <w:sz w:val="16"/>
                <w:szCs w:val="16"/>
              </w:rPr>
            </w:pPr>
            <w:r w:rsidRPr="003021D9">
              <w:rPr>
                <w:color w:val="000000"/>
                <w:sz w:val="16"/>
                <w:szCs w:val="16"/>
              </w:rPr>
              <w:t>0.13</w:t>
            </w:r>
          </w:p>
        </w:tc>
        <w:tc>
          <w:tcPr>
            <w:tcW w:w="1278" w:type="pct"/>
            <w:tcBorders>
              <w:bottom w:val="single" w:sz="4" w:space="0" w:color="auto"/>
            </w:tcBorders>
            <w:vAlign w:val="center"/>
          </w:tcPr>
          <w:p w:rsidR="00444EB5" w:rsidRPr="003021D9" w:rsidRDefault="00444EB5" w:rsidP="009B636E">
            <w:pPr>
              <w:snapToGrid w:val="0"/>
              <w:jc w:val="both"/>
              <w:rPr>
                <w:color w:val="000000"/>
                <w:sz w:val="16"/>
                <w:szCs w:val="16"/>
              </w:rPr>
            </w:pPr>
            <w:r w:rsidRPr="003021D9">
              <w:rPr>
                <w:color w:val="000000"/>
                <w:sz w:val="16"/>
                <w:szCs w:val="16"/>
              </w:rPr>
              <w:t>0.71</w:t>
            </w:r>
          </w:p>
        </w:tc>
        <w:tc>
          <w:tcPr>
            <w:tcW w:w="825" w:type="pct"/>
            <w:tcBorders>
              <w:bottom w:val="single" w:sz="4" w:space="0" w:color="auto"/>
            </w:tcBorders>
            <w:vAlign w:val="center"/>
          </w:tcPr>
          <w:p w:rsidR="00444EB5" w:rsidRPr="003021D9" w:rsidRDefault="00444EB5" w:rsidP="009B636E">
            <w:pPr>
              <w:snapToGrid w:val="0"/>
              <w:jc w:val="both"/>
              <w:rPr>
                <w:color w:val="000000"/>
                <w:sz w:val="16"/>
                <w:szCs w:val="16"/>
              </w:rPr>
            </w:pPr>
            <w:r w:rsidRPr="003021D9">
              <w:rPr>
                <w:color w:val="000000"/>
                <w:sz w:val="16"/>
                <w:szCs w:val="16"/>
              </w:rPr>
              <w:t>0.34</w:t>
            </w:r>
          </w:p>
        </w:tc>
      </w:tr>
    </w:tbl>
    <w:p w:rsidR="00444EB5" w:rsidRPr="003021D9" w:rsidRDefault="00444EB5" w:rsidP="009B636E">
      <w:pPr>
        <w:snapToGrid w:val="0"/>
        <w:ind w:firstLine="425"/>
        <w:jc w:val="both"/>
        <w:rPr>
          <w:sz w:val="20"/>
          <w:szCs w:val="20"/>
        </w:rPr>
      </w:pPr>
    </w:p>
    <w:p w:rsidR="00444EB5" w:rsidRPr="003021D9" w:rsidRDefault="00444EB5" w:rsidP="009B636E">
      <w:pPr>
        <w:snapToGrid w:val="0"/>
        <w:ind w:firstLine="425"/>
        <w:jc w:val="both"/>
        <w:rPr>
          <w:sz w:val="20"/>
          <w:szCs w:val="20"/>
          <w:lang w:eastAsia="zh-CN"/>
        </w:rPr>
      </w:pPr>
      <w:r w:rsidRPr="003021D9">
        <w:rPr>
          <w:sz w:val="20"/>
          <w:szCs w:val="20"/>
        </w:rPr>
        <w:t>Comparison of the prevalence of ADHD symptoms by age is shown in Table 6.</w:t>
      </w:r>
    </w:p>
    <w:p w:rsidR="009B636E" w:rsidRPr="003021D9" w:rsidRDefault="009B636E" w:rsidP="009B636E">
      <w:pPr>
        <w:snapToGrid w:val="0"/>
        <w:jc w:val="center"/>
        <w:rPr>
          <w:sz w:val="20"/>
          <w:szCs w:val="20"/>
          <w:lang w:eastAsia="zh-CN"/>
        </w:rPr>
      </w:pPr>
    </w:p>
    <w:p w:rsidR="00444EB5" w:rsidRPr="003021D9" w:rsidRDefault="00444EB5" w:rsidP="009B636E">
      <w:pPr>
        <w:tabs>
          <w:tab w:val="left" w:pos="5403"/>
        </w:tabs>
        <w:snapToGrid w:val="0"/>
        <w:jc w:val="both"/>
        <w:rPr>
          <w:sz w:val="20"/>
          <w:szCs w:val="20"/>
        </w:rPr>
      </w:pPr>
      <w:r w:rsidRPr="003021D9">
        <w:rPr>
          <w:sz w:val="20"/>
          <w:szCs w:val="20"/>
        </w:rPr>
        <w:t>Table 4: Frequency of adult attention deficit hyperactivity based on student's gender</w:t>
      </w:r>
    </w:p>
    <w:tbl>
      <w:tblPr>
        <w:tblW w:w="0" w:type="auto"/>
        <w:jc w:val="center"/>
        <w:tblBorders>
          <w:top w:val="single" w:sz="4" w:space="0" w:color="auto"/>
          <w:bottom w:val="single" w:sz="4" w:space="0" w:color="auto"/>
        </w:tblBorders>
        <w:tblLook w:val="01E0"/>
      </w:tblPr>
      <w:tblGrid>
        <w:gridCol w:w="1517"/>
        <w:gridCol w:w="997"/>
        <w:gridCol w:w="1131"/>
        <w:gridCol w:w="951"/>
      </w:tblGrid>
      <w:tr w:rsidR="00444EB5" w:rsidRPr="003021D9" w:rsidTr="007744ED">
        <w:trPr>
          <w:jc w:val="center"/>
        </w:trPr>
        <w:tc>
          <w:tcPr>
            <w:tcW w:w="2130" w:type="dxa"/>
            <w:tcBorders>
              <w:top w:val="single" w:sz="4" w:space="0" w:color="auto"/>
              <w:bottom w:val="single" w:sz="4" w:space="0" w:color="auto"/>
            </w:tcBorders>
          </w:tcPr>
          <w:p w:rsidR="00444EB5" w:rsidRPr="003021D9" w:rsidRDefault="00444EB5" w:rsidP="009B636E">
            <w:pPr>
              <w:tabs>
                <w:tab w:val="left" w:pos="5403"/>
              </w:tabs>
              <w:snapToGrid w:val="0"/>
              <w:jc w:val="both"/>
              <w:rPr>
                <w:color w:val="000000"/>
                <w:sz w:val="20"/>
                <w:szCs w:val="20"/>
              </w:rPr>
            </w:pPr>
          </w:p>
        </w:tc>
        <w:tc>
          <w:tcPr>
            <w:tcW w:w="2130" w:type="dxa"/>
            <w:tcBorders>
              <w:top w:val="single" w:sz="4" w:space="0" w:color="auto"/>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Male</w:t>
            </w:r>
          </w:p>
        </w:tc>
        <w:tc>
          <w:tcPr>
            <w:tcW w:w="2131" w:type="dxa"/>
            <w:tcBorders>
              <w:top w:val="single" w:sz="4" w:space="0" w:color="auto"/>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Female</w:t>
            </w:r>
          </w:p>
        </w:tc>
        <w:tc>
          <w:tcPr>
            <w:tcW w:w="2131" w:type="dxa"/>
            <w:tcBorders>
              <w:top w:val="single" w:sz="4" w:space="0" w:color="auto"/>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P</w:t>
            </w:r>
          </w:p>
        </w:tc>
      </w:tr>
      <w:tr w:rsidR="00444EB5" w:rsidRPr="003021D9" w:rsidTr="007744ED">
        <w:trPr>
          <w:jc w:val="center"/>
        </w:trPr>
        <w:tc>
          <w:tcPr>
            <w:tcW w:w="2130" w:type="dxa"/>
            <w:tcBorders>
              <w:top w:val="single" w:sz="4" w:space="0" w:color="auto"/>
              <w:bottom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Neglect</w:t>
            </w:r>
          </w:p>
        </w:tc>
        <w:tc>
          <w:tcPr>
            <w:tcW w:w="2130" w:type="dxa"/>
            <w:tcBorders>
              <w:top w:val="single" w:sz="4" w:space="0" w:color="auto"/>
              <w:bottom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4</w:t>
            </w:r>
          </w:p>
        </w:tc>
        <w:tc>
          <w:tcPr>
            <w:tcW w:w="2131" w:type="dxa"/>
            <w:tcBorders>
              <w:top w:val="single" w:sz="4" w:space="0" w:color="auto"/>
              <w:bottom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10</w:t>
            </w:r>
          </w:p>
        </w:tc>
        <w:tc>
          <w:tcPr>
            <w:tcW w:w="2131" w:type="dxa"/>
            <w:tcBorders>
              <w:top w:val="single" w:sz="4" w:space="0" w:color="auto"/>
              <w:bottom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0.32</w:t>
            </w:r>
          </w:p>
        </w:tc>
      </w:tr>
      <w:tr w:rsidR="00444EB5" w:rsidRPr="003021D9" w:rsidTr="007744ED">
        <w:trPr>
          <w:jc w:val="center"/>
        </w:trPr>
        <w:tc>
          <w:tcPr>
            <w:tcW w:w="2130" w:type="dxa"/>
            <w:tcBorders>
              <w:top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Hyperactivity</w:t>
            </w:r>
          </w:p>
        </w:tc>
        <w:tc>
          <w:tcPr>
            <w:tcW w:w="2130" w:type="dxa"/>
            <w:tcBorders>
              <w:top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2</w:t>
            </w:r>
          </w:p>
        </w:tc>
        <w:tc>
          <w:tcPr>
            <w:tcW w:w="2131" w:type="dxa"/>
            <w:tcBorders>
              <w:top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4</w:t>
            </w:r>
          </w:p>
        </w:tc>
        <w:tc>
          <w:tcPr>
            <w:tcW w:w="2131" w:type="dxa"/>
            <w:tcBorders>
              <w:top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0.70</w:t>
            </w:r>
          </w:p>
        </w:tc>
      </w:tr>
      <w:tr w:rsidR="00444EB5" w:rsidRPr="003021D9" w:rsidTr="007744ED">
        <w:trPr>
          <w:jc w:val="center"/>
        </w:trPr>
        <w:tc>
          <w:tcPr>
            <w:tcW w:w="2130" w:type="dxa"/>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Impulsivity</w:t>
            </w:r>
          </w:p>
        </w:tc>
        <w:tc>
          <w:tcPr>
            <w:tcW w:w="2130" w:type="dxa"/>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4</w:t>
            </w:r>
          </w:p>
        </w:tc>
        <w:tc>
          <w:tcPr>
            <w:tcW w:w="2131" w:type="dxa"/>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6</w:t>
            </w:r>
          </w:p>
        </w:tc>
        <w:tc>
          <w:tcPr>
            <w:tcW w:w="2131" w:type="dxa"/>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0.95</w:t>
            </w:r>
          </w:p>
        </w:tc>
      </w:tr>
      <w:tr w:rsidR="00444EB5" w:rsidRPr="003021D9" w:rsidTr="007744ED">
        <w:trPr>
          <w:jc w:val="center"/>
        </w:trPr>
        <w:tc>
          <w:tcPr>
            <w:tcW w:w="2130" w:type="dxa"/>
            <w:tcBorders>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Self-concept Index</w:t>
            </w:r>
          </w:p>
        </w:tc>
        <w:tc>
          <w:tcPr>
            <w:tcW w:w="2130" w:type="dxa"/>
            <w:tcBorders>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4</w:t>
            </w:r>
          </w:p>
        </w:tc>
        <w:tc>
          <w:tcPr>
            <w:tcW w:w="2131" w:type="dxa"/>
            <w:tcBorders>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11</w:t>
            </w:r>
          </w:p>
        </w:tc>
        <w:tc>
          <w:tcPr>
            <w:tcW w:w="2131" w:type="dxa"/>
            <w:tcBorders>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0.24</w:t>
            </w:r>
          </w:p>
        </w:tc>
      </w:tr>
    </w:tbl>
    <w:p w:rsidR="009B636E" w:rsidRPr="003021D9" w:rsidRDefault="009B636E" w:rsidP="009B636E">
      <w:pPr>
        <w:snapToGrid w:val="0"/>
        <w:jc w:val="center"/>
        <w:rPr>
          <w:sz w:val="20"/>
          <w:szCs w:val="20"/>
          <w:lang w:eastAsia="zh-CN"/>
        </w:rPr>
      </w:pPr>
    </w:p>
    <w:p w:rsidR="009B636E" w:rsidRPr="003021D9" w:rsidRDefault="00444EB5" w:rsidP="003021D9">
      <w:pPr>
        <w:snapToGrid w:val="0"/>
        <w:ind w:firstLine="425"/>
        <w:jc w:val="both"/>
        <w:rPr>
          <w:sz w:val="20"/>
          <w:szCs w:val="20"/>
          <w:lang w:eastAsia="zh-CN"/>
        </w:rPr>
      </w:pPr>
      <w:r w:rsidRPr="003021D9">
        <w:rPr>
          <w:sz w:val="20"/>
          <w:szCs w:val="20"/>
        </w:rPr>
        <w:t>Comparison of ADHD-symptoms mean scores by marital status is shown in Table 7. Comparison of the prevalence of ADHD symptoms by marital status is shown in Table 8.</w:t>
      </w:r>
    </w:p>
    <w:p w:rsidR="009B636E" w:rsidRPr="003021D9" w:rsidRDefault="009B636E" w:rsidP="009B636E">
      <w:pPr>
        <w:tabs>
          <w:tab w:val="left" w:pos="5403"/>
        </w:tabs>
        <w:snapToGrid w:val="0"/>
        <w:jc w:val="both"/>
        <w:rPr>
          <w:sz w:val="20"/>
          <w:szCs w:val="20"/>
        </w:rPr>
        <w:sectPr w:rsidR="009B636E" w:rsidRPr="003021D9" w:rsidSect="009B636E">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9B636E" w:rsidRPr="003021D9" w:rsidRDefault="009B636E" w:rsidP="009B636E">
      <w:pPr>
        <w:tabs>
          <w:tab w:val="left" w:pos="5403"/>
        </w:tabs>
        <w:snapToGrid w:val="0"/>
        <w:jc w:val="both"/>
        <w:rPr>
          <w:sz w:val="20"/>
          <w:szCs w:val="20"/>
          <w:lang w:eastAsia="zh-CN"/>
        </w:rPr>
      </w:pPr>
    </w:p>
    <w:p w:rsidR="00444EB5" w:rsidRPr="003021D9" w:rsidRDefault="00444EB5" w:rsidP="009B636E">
      <w:pPr>
        <w:tabs>
          <w:tab w:val="left" w:pos="5403"/>
        </w:tabs>
        <w:snapToGrid w:val="0"/>
        <w:jc w:val="center"/>
        <w:rPr>
          <w:sz w:val="20"/>
          <w:szCs w:val="20"/>
        </w:rPr>
      </w:pPr>
      <w:r w:rsidRPr="003021D9">
        <w:rPr>
          <w:sz w:val="20"/>
          <w:szCs w:val="20"/>
        </w:rPr>
        <w:lastRenderedPageBreak/>
        <w:t>Table 5: Mean of adult attention deficit hyperactivity based on student's age</w:t>
      </w:r>
    </w:p>
    <w:tbl>
      <w:tblPr>
        <w:tblW w:w="5000" w:type="pct"/>
        <w:jc w:val="center"/>
        <w:tblBorders>
          <w:top w:val="single" w:sz="4" w:space="0" w:color="auto"/>
          <w:bottom w:val="single" w:sz="4" w:space="0" w:color="auto"/>
        </w:tblBorders>
        <w:tblLook w:val="01E0"/>
      </w:tblPr>
      <w:tblGrid>
        <w:gridCol w:w="1642"/>
        <w:gridCol w:w="1277"/>
        <w:gridCol w:w="2007"/>
        <w:gridCol w:w="2007"/>
        <w:gridCol w:w="2643"/>
      </w:tblGrid>
      <w:tr w:rsidR="00444EB5" w:rsidRPr="003021D9" w:rsidTr="009B636E">
        <w:trPr>
          <w:jc w:val="center"/>
        </w:trPr>
        <w:tc>
          <w:tcPr>
            <w:tcW w:w="857" w:type="pct"/>
            <w:tcBorders>
              <w:top w:val="single" w:sz="4" w:space="0" w:color="auto"/>
              <w:bottom w:val="single" w:sz="4" w:space="0" w:color="auto"/>
            </w:tcBorders>
            <w:vAlign w:val="center"/>
          </w:tcPr>
          <w:p w:rsidR="00444EB5" w:rsidRPr="003021D9" w:rsidRDefault="00444EB5" w:rsidP="009B636E">
            <w:pPr>
              <w:snapToGrid w:val="0"/>
              <w:jc w:val="both"/>
              <w:rPr>
                <w:color w:val="000000"/>
                <w:sz w:val="20"/>
                <w:szCs w:val="20"/>
              </w:rPr>
            </w:pPr>
          </w:p>
        </w:tc>
        <w:tc>
          <w:tcPr>
            <w:tcW w:w="667" w:type="pct"/>
            <w:tcBorders>
              <w:top w:val="single" w:sz="4" w:space="0" w:color="auto"/>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Neglect</w:t>
            </w:r>
          </w:p>
        </w:tc>
        <w:tc>
          <w:tcPr>
            <w:tcW w:w="1048" w:type="pct"/>
            <w:tcBorders>
              <w:top w:val="single" w:sz="4" w:space="0" w:color="auto"/>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Hyperactivity</w:t>
            </w:r>
          </w:p>
        </w:tc>
        <w:tc>
          <w:tcPr>
            <w:tcW w:w="1048" w:type="pct"/>
            <w:tcBorders>
              <w:top w:val="single" w:sz="4" w:space="0" w:color="auto"/>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Hyperactivity</w:t>
            </w:r>
          </w:p>
        </w:tc>
        <w:tc>
          <w:tcPr>
            <w:tcW w:w="1380" w:type="pct"/>
            <w:tcBorders>
              <w:top w:val="single" w:sz="4" w:space="0" w:color="auto"/>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Self-concept Index</w:t>
            </w:r>
          </w:p>
        </w:tc>
      </w:tr>
      <w:tr w:rsidR="00444EB5" w:rsidRPr="003021D9" w:rsidTr="009B636E">
        <w:trPr>
          <w:jc w:val="center"/>
        </w:trPr>
        <w:tc>
          <w:tcPr>
            <w:tcW w:w="857" w:type="pct"/>
            <w:tcBorders>
              <w:top w:val="single" w:sz="4" w:space="0" w:color="auto"/>
              <w:bottom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23-25 year</w:t>
            </w:r>
          </w:p>
        </w:tc>
        <w:tc>
          <w:tcPr>
            <w:tcW w:w="667" w:type="pct"/>
            <w:tcBorders>
              <w:top w:val="single" w:sz="4" w:space="0" w:color="auto"/>
              <w:bottom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4.04</w:t>
            </w:r>
          </w:p>
        </w:tc>
        <w:tc>
          <w:tcPr>
            <w:tcW w:w="1048" w:type="pct"/>
            <w:tcBorders>
              <w:top w:val="single" w:sz="4" w:space="0" w:color="auto"/>
              <w:bottom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5.67</w:t>
            </w:r>
          </w:p>
        </w:tc>
        <w:tc>
          <w:tcPr>
            <w:tcW w:w="1048" w:type="pct"/>
            <w:tcBorders>
              <w:top w:val="single" w:sz="4" w:space="0" w:color="auto"/>
              <w:bottom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4.35</w:t>
            </w:r>
          </w:p>
        </w:tc>
        <w:tc>
          <w:tcPr>
            <w:tcW w:w="1380" w:type="pct"/>
            <w:tcBorders>
              <w:top w:val="single" w:sz="4" w:space="0" w:color="auto"/>
              <w:bottom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5.26</w:t>
            </w:r>
          </w:p>
        </w:tc>
      </w:tr>
      <w:tr w:rsidR="00444EB5" w:rsidRPr="003021D9" w:rsidTr="009B636E">
        <w:trPr>
          <w:jc w:val="center"/>
        </w:trPr>
        <w:tc>
          <w:tcPr>
            <w:tcW w:w="857" w:type="pct"/>
            <w:tcBorders>
              <w:top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25-27 year</w:t>
            </w:r>
          </w:p>
        </w:tc>
        <w:tc>
          <w:tcPr>
            <w:tcW w:w="667" w:type="pct"/>
            <w:tcBorders>
              <w:top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5.63</w:t>
            </w:r>
          </w:p>
        </w:tc>
        <w:tc>
          <w:tcPr>
            <w:tcW w:w="1048" w:type="pct"/>
            <w:tcBorders>
              <w:top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6.18</w:t>
            </w:r>
          </w:p>
        </w:tc>
        <w:tc>
          <w:tcPr>
            <w:tcW w:w="1048" w:type="pct"/>
            <w:tcBorders>
              <w:top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5.26</w:t>
            </w:r>
          </w:p>
        </w:tc>
        <w:tc>
          <w:tcPr>
            <w:tcW w:w="1380" w:type="pct"/>
            <w:tcBorders>
              <w:top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5.58</w:t>
            </w:r>
          </w:p>
        </w:tc>
      </w:tr>
      <w:tr w:rsidR="00444EB5" w:rsidRPr="003021D9" w:rsidTr="009B636E">
        <w:trPr>
          <w:jc w:val="center"/>
        </w:trPr>
        <w:tc>
          <w:tcPr>
            <w:tcW w:w="857" w:type="pct"/>
            <w:vAlign w:val="center"/>
          </w:tcPr>
          <w:p w:rsidR="00444EB5" w:rsidRPr="003021D9" w:rsidRDefault="00444EB5" w:rsidP="009B636E">
            <w:pPr>
              <w:snapToGrid w:val="0"/>
              <w:jc w:val="both"/>
              <w:rPr>
                <w:color w:val="000000"/>
                <w:sz w:val="20"/>
                <w:szCs w:val="20"/>
              </w:rPr>
            </w:pPr>
            <w:r w:rsidRPr="003021D9">
              <w:rPr>
                <w:color w:val="000000"/>
                <w:sz w:val="20"/>
                <w:szCs w:val="20"/>
              </w:rPr>
              <w:t>&gt;27 year</w:t>
            </w:r>
          </w:p>
        </w:tc>
        <w:tc>
          <w:tcPr>
            <w:tcW w:w="667" w:type="pct"/>
            <w:vAlign w:val="center"/>
          </w:tcPr>
          <w:p w:rsidR="00444EB5" w:rsidRPr="003021D9" w:rsidRDefault="00444EB5" w:rsidP="009B636E">
            <w:pPr>
              <w:snapToGrid w:val="0"/>
              <w:jc w:val="both"/>
              <w:rPr>
                <w:color w:val="000000"/>
                <w:sz w:val="20"/>
                <w:szCs w:val="20"/>
              </w:rPr>
            </w:pPr>
            <w:r w:rsidRPr="003021D9">
              <w:rPr>
                <w:color w:val="000000"/>
                <w:sz w:val="20"/>
                <w:szCs w:val="20"/>
              </w:rPr>
              <w:t>6</w:t>
            </w:r>
          </w:p>
        </w:tc>
        <w:tc>
          <w:tcPr>
            <w:tcW w:w="1048" w:type="pct"/>
            <w:vAlign w:val="center"/>
          </w:tcPr>
          <w:p w:rsidR="00444EB5" w:rsidRPr="003021D9" w:rsidRDefault="00444EB5" w:rsidP="009B636E">
            <w:pPr>
              <w:snapToGrid w:val="0"/>
              <w:jc w:val="both"/>
              <w:rPr>
                <w:color w:val="000000"/>
                <w:sz w:val="20"/>
                <w:szCs w:val="20"/>
              </w:rPr>
            </w:pPr>
            <w:r w:rsidRPr="003021D9">
              <w:rPr>
                <w:color w:val="000000"/>
                <w:sz w:val="20"/>
                <w:szCs w:val="20"/>
              </w:rPr>
              <w:t>6.42</w:t>
            </w:r>
          </w:p>
        </w:tc>
        <w:tc>
          <w:tcPr>
            <w:tcW w:w="1048" w:type="pct"/>
            <w:vAlign w:val="center"/>
          </w:tcPr>
          <w:p w:rsidR="00444EB5" w:rsidRPr="003021D9" w:rsidRDefault="00444EB5" w:rsidP="009B636E">
            <w:pPr>
              <w:snapToGrid w:val="0"/>
              <w:jc w:val="both"/>
              <w:rPr>
                <w:color w:val="000000"/>
                <w:sz w:val="20"/>
                <w:szCs w:val="20"/>
              </w:rPr>
            </w:pPr>
            <w:r w:rsidRPr="003021D9">
              <w:rPr>
                <w:color w:val="000000"/>
                <w:sz w:val="20"/>
                <w:szCs w:val="20"/>
              </w:rPr>
              <w:t>5.85</w:t>
            </w:r>
          </w:p>
        </w:tc>
        <w:tc>
          <w:tcPr>
            <w:tcW w:w="1380" w:type="pct"/>
            <w:vAlign w:val="center"/>
          </w:tcPr>
          <w:p w:rsidR="00444EB5" w:rsidRPr="003021D9" w:rsidRDefault="00444EB5" w:rsidP="009B636E">
            <w:pPr>
              <w:snapToGrid w:val="0"/>
              <w:jc w:val="both"/>
              <w:rPr>
                <w:color w:val="000000"/>
                <w:sz w:val="20"/>
                <w:szCs w:val="20"/>
              </w:rPr>
            </w:pPr>
            <w:r w:rsidRPr="003021D9">
              <w:rPr>
                <w:color w:val="000000"/>
                <w:sz w:val="20"/>
                <w:szCs w:val="20"/>
              </w:rPr>
              <w:t>5.5</w:t>
            </w:r>
          </w:p>
        </w:tc>
      </w:tr>
      <w:tr w:rsidR="00444EB5" w:rsidRPr="003021D9" w:rsidTr="009B636E">
        <w:trPr>
          <w:jc w:val="center"/>
        </w:trPr>
        <w:tc>
          <w:tcPr>
            <w:tcW w:w="857" w:type="pct"/>
            <w:tcBorders>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P</w:t>
            </w:r>
          </w:p>
        </w:tc>
        <w:tc>
          <w:tcPr>
            <w:tcW w:w="667" w:type="pct"/>
            <w:tcBorders>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0.001</w:t>
            </w:r>
          </w:p>
        </w:tc>
        <w:tc>
          <w:tcPr>
            <w:tcW w:w="1048" w:type="pct"/>
            <w:tcBorders>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0.68</w:t>
            </w:r>
          </w:p>
        </w:tc>
        <w:tc>
          <w:tcPr>
            <w:tcW w:w="1048" w:type="pct"/>
            <w:tcBorders>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0.03</w:t>
            </w:r>
          </w:p>
        </w:tc>
        <w:tc>
          <w:tcPr>
            <w:tcW w:w="1380" w:type="pct"/>
            <w:tcBorders>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0.81</w:t>
            </w:r>
          </w:p>
        </w:tc>
      </w:tr>
    </w:tbl>
    <w:p w:rsidR="00444EB5" w:rsidRPr="003021D9" w:rsidRDefault="00444EB5" w:rsidP="009B636E">
      <w:pPr>
        <w:snapToGrid w:val="0"/>
        <w:ind w:firstLine="425"/>
        <w:jc w:val="both"/>
        <w:rPr>
          <w:sz w:val="20"/>
          <w:szCs w:val="20"/>
        </w:rPr>
      </w:pPr>
    </w:p>
    <w:p w:rsidR="009B636E" w:rsidRPr="003021D9" w:rsidRDefault="009B636E" w:rsidP="009B636E">
      <w:pPr>
        <w:snapToGrid w:val="0"/>
        <w:jc w:val="both"/>
        <w:rPr>
          <w:sz w:val="20"/>
          <w:szCs w:val="20"/>
        </w:rPr>
        <w:sectPr w:rsidR="009B636E" w:rsidRPr="003021D9" w:rsidSect="009B636E">
          <w:footnotePr>
            <w:pos w:val="beneathText"/>
          </w:footnotePr>
          <w:type w:val="continuous"/>
          <w:pgSz w:w="12240" w:h="15840" w:code="1"/>
          <w:pgMar w:top="1440" w:right="1440" w:bottom="1440" w:left="1440" w:header="720" w:footer="720" w:gutter="0"/>
          <w:cols w:space="600"/>
          <w:docGrid w:linePitch="360"/>
        </w:sectPr>
      </w:pPr>
    </w:p>
    <w:p w:rsidR="00444EB5" w:rsidRPr="003021D9" w:rsidRDefault="00444EB5" w:rsidP="009B636E">
      <w:pPr>
        <w:snapToGrid w:val="0"/>
        <w:jc w:val="both"/>
        <w:rPr>
          <w:b/>
          <w:sz w:val="20"/>
          <w:szCs w:val="20"/>
        </w:rPr>
      </w:pPr>
      <w:r w:rsidRPr="003021D9">
        <w:rPr>
          <w:b/>
          <w:sz w:val="20"/>
          <w:szCs w:val="20"/>
        </w:rPr>
        <w:lastRenderedPageBreak/>
        <w:t>4. Discussions</w:t>
      </w:r>
    </w:p>
    <w:p w:rsidR="00444EB5" w:rsidRPr="003021D9" w:rsidRDefault="00444EB5" w:rsidP="009B636E">
      <w:pPr>
        <w:snapToGrid w:val="0"/>
        <w:ind w:firstLine="425"/>
        <w:jc w:val="both"/>
        <w:rPr>
          <w:sz w:val="20"/>
          <w:szCs w:val="20"/>
        </w:rPr>
      </w:pPr>
      <w:r w:rsidRPr="003021D9">
        <w:rPr>
          <w:sz w:val="20"/>
          <w:szCs w:val="20"/>
        </w:rPr>
        <w:t xml:space="preserve">In cross – sectional descriptive study during April 2014 to March 2015 as a census among medical students studying in educational-medical institutions associated with Islamic Azad University of Tabriz, the </w:t>
      </w:r>
      <w:r w:rsidRPr="003021D9">
        <w:rPr>
          <w:sz w:val="20"/>
          <w:szCs w:val="20"/>
        </w:rPr>
        <w:lastRenderedPageBreak/>
        <w:t xml:space="preserve">relevant information on 176 people, including their demographic specs (age, gender, nativity, marital status, smoking, alcohol consumption, drug abuse, history of mental illness) and </w:t>
      </w:r>
      <w:r w:rsidRPr="003021D9">
        <w:rPr>
          <w:color w:val="222222"/>
          <w:sz w:val="20"/>
          <w:szCs w:val="20"/>
        </w:rPr>
        <w:t>Conner’s</w:t>
      </w:r>
      <w:r w:rsidRPr="003021D9">
        <w:rPr>
          <w:rStyle w:val="hps"/>
          <w:color w:val="222222"/>
          <w:sz w:val="20"/>
          <w:szCs w:val="20"/>
        </w:rPr>
        <w:t xml:space="preserve"> Questionnaire</w:t>
      </w:r>
      <w:r w:rsidRPr="003021D9">
        <w:rPr>
          <w:sz w:val="20"/>
          <w:szCs w:val="20"/>
        </w:rPr>
        <w:t xml:space="preserve"> for adults was collected.</w:t>
      </w:r>
    </w:p>
    <w:p w:rsidR="009B636E" w:rsidRPr="003021D9" w:rsidRDefault="009B636E" w:rsidP="009B636E">
      <w:pPr>
        <w:tabs>
          <w:tab w:val="left" w:pos="5403"/>
        </w:tabs>
        <w:snapToGrid w:val="0"/>
        <w:jc w:val="both"/>
        <w:rPr>
          <w:sz w:val="20"/>
          <w:szCs w:val="20"/>
        </w:rPr>
        <w:sectPr w:rsidR="009B636E" w:rsidRPr="003021D9" w:rsidSect="009B636E">
          <w:footnotePr>
            <w:pos w:val="beneathText"/>
          </w:footnotePr>
          <w:type w:val="continuous"/>
          <w:pgSz w:w="12240" w:h="15840" w:code="1"/>
          <w:pgMar w:top="1440" w:right="1440" w:bottom="1440" w:left="1440" w:header="720" w:footer="720" w:gutter="0"/>
          <w:cols w:num="2" w:space="600"/>
          <w:docGrid w:linePitch="360"/>
        </w:sectPr>
      </w:pPr>
    </w:p>
    <w:p w:rsidR="009B636E" w:rsidRPr="003021D9" w:rsidRDefault="009B636E" w:rsidP="009B636E">
      <w:pPr>
        <w:tabs>
          <w:tab w:val="left" w:pos="5403"/>
        </w:tabs>
        <w:snapToGrid w:val="0"/>
        <w:jc w:val="both"/>
        <w:rPr>
          <w:sz w:val="20"/>
          <w:szCs w:val="20"/>
          <w:lang w:eastAsia="zh-CN"/>
        </w:rPr>
      </w:pPr>
    </w:p>
    <w:p w:rsidR="00444EB5" w:rsidRPr="003021D9" w:rsidRDefault="00444EB5" w:rsidP="009B636E">
      <w:pPr>
        <w:tabs>
          <w:tab w:val="left" w:pos="5403"/>
        </w:tabs>
        <w:snapToGrid w:val="0"/>
        <w:jc w:val="center"/>
        <w:rPr>
          <w:b/>
          <w:bCs/>
          <w:sz w:val="20"/>
          <w:szCs w:val="20"/>
        </w:rPr>
      </w:pPr>
      <w:r w:rsidRPr="003021D9">
        <w:rPr>
          <w:sz w:val="20"/>
          <w:szCs w:val="20"/>
        </w:rPr>
        <w:t>Table 6: Frequency of adult attention deficit hyperactivity based on student's age</w:t>
      </w:r>
    </w:p>
    <w:tbl>
      <w:tblPr>
        <w:tblW w:w="5000" w:type="pct"/>
        <w:jc w:val="center"/>
        <w:tblBorders>
          <w:top w:val="single" w:sz="4" w:space="0" w:color="auto"/>
          <w:bottom w:val="single" w:sz="4" w:space="0" w:color="auto"/>
        </w:tblBorders>
        <w:tblLook w:val="01E0"/>
      </w:tblPr>
      <w:tblGrid>
        <w:gridCol w:w="3031"/>
        <w:gridCol w:w="1883"/>
        <w:gridCol w:w="1883"/>
        <w:gridCol w:w="1615"/>
        <w:gridCol w:w="1164"/>
      </w:tblGrid>
      <w:tr w:rsidR="00444EB5" w:rsidRPr="003021D9" w:rsidTr="009B636E">
        <w:trPr>
          <w:jc w:val="center"/>
        </w:trPr>
        <w:tc>
          <w:tcPr>
            <w:tcW w:w="1582" w:type="pct"/>
            <w:tcBorders>
              <w:top w:val="single" w:sz="4" w:space="0" w:color="auto"/>
              <w:bottom w:val="single" w:sz="4" w:space="0" w:color="auto"/>
            </w:tcBorders>
            <w:vAlign w:val="center"/>
          </w:tcPr>
          <w:p w:rsidR="00444EB5" w:rsidRPr="003021D9" w:rsidRDefault="00444EB5" w:rsidP="009B636E">
            <w:pPr>
              <w:snapToGrid w:val="0"/>
              <w:jc w:val="both"/>
              <w:rPr>
                <w:color w:val="000000"/>
                <w:sz w:val="20"/>
                <w:szCs w:val="20"/>
              </w:rPr>
            </w:pPr>
          </w:p>
        </w:tc>
        <w:tc>
          <w:tcPr>
            <w:tcW w:w="983" w:type="pct"/>
            <w:tcBorders>
              <w:top w:val="single" w:sz="4" w:space="0" w:color="auto"/>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23-25 year</w:t>
            </w:r>
          </w:p>
        </w:tc>
        <w:tc>
          <w:tcPr>
            <w:tcW w:w="983" w:type="pct"/>
            <w:tcBorders>
              <w:top w:val="single" w:sz="4" w:space="0" w:color="auto"/>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25-27 year</w:t>
            </w:r>
          </w:p>
        </w:tc>
        <w:tc>
          <w:tcPr>
            <w:tcW w:w="843" w:type="pct"/>
            <w:tcBorders>
              <w:top w:val="single" w:sz="4" w:space="0" w:color="auto"/>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&gt;27 year</w:t>
            </w:r>
          </w:p>
        </w:tc>
        <w:tc>
          <w:tcPr>
            <w:tcW w:w="608" w:type="pct"/>
            <w:tcBorders>
              <w:top w:val="single" w:sz="4" w:space="0" w:color="auto"/>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P</w:t>
            </w:r>
          </w:p>
        </w:tc>
      </w:tr>
      <w:tr w:rsidR="00444EB5" w:rsidRPr="003021D9" w:rsidTr="009B636E">
        <w:trPr>
          <w:jc w:val="center"/>
        </w:trPr>
        <w:tc>
          <w:tcPr>
            <w:tcW w:w="1582" w:type="pct"/>
            <w:tcBorders>
              <w:top w:val="single" w:sz="4" w:space="0" w:color="auto"/>
              <w:bottom w:val="nil"/>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Neglect</w:t>
            </w:r>
          </w:p>
        </w:tc>
        <w:tc>
          <w:tcPr>
            <w:tcW w:w="983" w:type="pct"/>
            <w:tcBorders>
              <w:top w:val="single" w:sz="4" w:space="0" w:color="auto"/>
              <w:bottom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0</w:t>
            </w:r>
          </w:p>
        </w:tc>
        <w:tc>
          <w:tcPr>
            <w:tcW w:w="983" w:type="pct"/>
            <w:tcBorders>
              <w:top w:val="single" w:sz="4" w:space="0" w:color="auto"/>
              <w:bottom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14</w:t>
            </w:r>
          </w:p>
        </w:tc>
        <w:tc>
          <w:tcPr>
            <w:tcW w:w="843" w:type="pct"/>
            <w:tcBorders>
              <w:top w:val="single" w:sz="4" w:space="0" w:color="auto"/>
              <w:bottom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0</w:t>
            </w:r>
          </w:p>
        </w:tc>
        <w:tc>
          <w:tcPr>
            <w:tcW w:w="608" w:type="pct"/>
            <w:tcBorders>
              <w:top w:val="single" w:sz="4" w:space="0" w:color="auto"/>
              <w:bottom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0.001</w:t>
            </w:r>
          </w:p>
        </w:tc>
      </w:tr>
      <w:tr w:rsidR="00444EB5" w:rsidRPr="003021D9" w:rsidTr="009B636E">
        <w:trPr>
          <w:jc w:val="center"/>
        </w:trPr>
        <w:tc>
          <w:tcPr>
            <w:tcW w:w="1582" w:type="pct"/>
            <w:tcBorders>
              <w:top w:val="nil"/>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Hyperactivity</w:t>
            </w:r>
          </w:p>
        </w:tc>
        <w:tc>
          <w:tcPr>
            <w:tcW w:w="983" w:type="pct"/>
            <w:tcBorders>
              <w:top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2</w:t>
            </w:r>
          </w:p>
        </w:tc>
        <w:tc>
          <w:tcPr>
            <w:tcW w:w="983" w:type="pct"/>
            <w:tcBorders>
              <w:top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4</w:t>
            </w:r>
          </w:p>
        </w:tc>
        <w:tc>
          <w:tcPr>
            <w:tcW w:w="843" w:type="pct"/>
            <w:tcBorders>
              <w:top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0</w:t>
            </w:r>
          </w:p>
        </w:tc>
        <w:tc>
          <w:tcPr>
            <w:tcW w:w="608" w:type="pct"/>
            <w:tcBorders>
              <w:top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0.70</w:t>
            </w:r>
          </w:p>
        </w:tc>
      </w:tr>
      <w:tr w:rsidR="00444EB5" w:rsidRPr="003021D9" w:rsidTr="009B636E">
        <w:trPr>
          <w:jc w:val="center"/>
        </w:trPr>
        <w:tc>
          <w:tcPr>
            <w:tcW w:w="1582" w:type="pct"/>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Impulsivity</w:t>
            </w:r>
          </w:p>
        </w:tc>
        <w:tc>
          <w:tcPr>
            <w:tcW w:w="983" w:type="pct"/>
            <w:vAlign w:val="center"/>
          </w:tcPr>
          <w:p w:rsidR="00444EB5" w:rsidRPr="003021D9" w:rsidRDefault="00444EB5" w:rsidP="009B636E">
            <w:pPr>
              <w:snapToGrid w:val="0"/>
              <w:jc w:val="both"/>
              <w:rPr>
                <w:color w:val="000000"/>
                <w:sz w:val="20"/>
                <w:szCs w:val="20"/>
              </w:rPr>
            </w:pPr>
            <w:r w:rsidRPr="003021D9">
              <w:rPr>
                <w:color w:val="000000"/>
                <w:sz w:val="20"/>
                <w:szCs w:val="20"/>
              </w:rPr>
              <w:t>0</w:t>
            </w:r>
          </w:p>
        </w:tc>
        <w:tc>
          <w:tcPr>
            <w:tcW w:w="983" w:type="pct"/>
            <w:vAlign w:val="center"/>
          </w:tcPr>
          <w:p w:rsidR="00444EB5" w:rsidRPr="003021D9" w:rsidRDefault="00444EB5" w:rsidP="009B636E">
            <w:pPr>
              <w:snapToGrid w:val="0"/>
              <w:jc w:val="both"/>
              <w:rPr>
                <w:color w:val="000000"/>
                <w:sz w:val="20"/>
                <w:szCs w:val="20"/>
              </w:rPr>
            </w:pPr>
            <w:r w:rsidRPr="003021D9">
              <w:rPr>
                <w:color w:val="000000"/>
                <w:sz w:val="20"/>
                <w:szCs w:val="20"/>
              </w:rPr>
              <w:t>8</w:t>
            </w:r>
          </w:p>
        </w:tc>
        <w:tc>
          <w:tcPr>
            <w:tcW w:w="843" w:type="pct"/>
            <w:vAlign w:val="center"/>
          </w:tcPr>
          <w:p w:rsidR="00444EB5" w:rsidRPr="003021D9" w:rsidRDefault="00444EB5" w:rsidP="009B636E">
            <w:pPr>
              <w:snapToGrid w:val="0"/>
              <w:jc w:val="both"/>
              <w:rPr>
                <w:color w:val="000000"/>
                <w:sz w:val="20"/>
                <w:szCs w:val="20"/>
              </w:rPr>
            </w:pPr>
            <w:r w:rsidRPr="003021D9">
              <w:rPr>
                <w:color w:val="000000"/>
                <w:sz w:val="20"/>
                <w:szCs w:val="20"/>
              </w:rPr>
              <w:t>2</w:t>
            </w:r>
          </w:p>
        </w:tc>
        <w:tc>
          <w:tcPr>
            <w:tcW w:w="608" w:type="pct"/>
            <w:vAlign w:val="center"/>
          </w:tcPr>
          <w:p w:rsidR="00444EB5" w:rsidRPr="003021D9" w:rsidRDefault="00444EB5" w:rsidP="009B636E">
            <w:pPr>
              <w:snapToGrid w:val="0"/>
              <w:jc w:val="both"/>
              <w:rPr>
                <w:color w:val="000000"/>
                <w:sz w:val="20"/>
                <w:szCs w:val="20"/>
              </w:rPr>
            </w:pPr>
            <w:r w:rsidRPr="003021D9">
              <w:rPr>
                <w:color w:val="000000"/>
                <w:sz w:val="20"/>
                <w:szCs w:val="20"/>
              </w:rPr>
              <w:t>0.001</w:t>
            </w:r>
          </w:p>
        </w:tc>
      </w:tr>
      <w:tr w:rsidR="00444EB5" w:rsidRPr="003021D9" w:rsidTr="009B636E">
        <w:trPr>
          <w:jc w:val="center"/>
        </w:trPr>
        <w:tc>
          <w:tcPr>
            <w:tcW w:w="1582" w:type="pct"/>
            <w:tcBorders>
              <w:bottom w:val="single" w:sz="4" w:space="0" w:color="auto"/>
            </w:tcBorders>
            <w:vAlign w:val="center"/>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Self-concept Index</w:t>
            </w:r>
          </w:p>
        </w:tc>
        <w:tc>
          <w:tcPr>
            <w:tcW w:w="983" w:type="pct"/>
            <w:tcBorders>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7</w:t>
            </w:r>
          </w:p>
        </w:tc>
        <w:tc>
          <w:tcPr>
            <w:tcW w:w="983" w:type="pct"/>
            <w:tcBorders>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8</w:t>
            </w:r>
          </w:p>
        </w:tc>
        <w:tc>
          <w:tcPr>
            <w:tcW w:w="843" w:type="pct"/>
            <w:tcBorders>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0</w:t>
            </w:r>
          </w:p>
        </w:tc>
        <w:tc>
          <w:tcPr>
            <w:tcW w:w="608" w:type="pct"/>
            <w:tcBorders>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0.71</w:t>
            </w:r>
          </w:p>
        </w:tc>
      </w:tr>
    </w:tbl>
    <w:p w:rsidR="00444EB5" w:rsidRPr="003021D9" w:rsidRDefault="00444EB5" w:rsidP="009B636E">
      <w:pPr>
        <w:snapToGrid w:val="0"/>
        <w:ind w:firstLine="425"/>
        <w:jc w:val="both"/>
        <w:rPr>
          <w:sz w:val="20"/>
          <w:szCs w:val="20"/>
        </w:rPr>
      </w:pPr>
    </w:p>
    <w:p w:rsidR="009B636E" w:rsidRPr="003021D9" w:rsidRDefault="009B636E" w:rsidP="009B636E">
      <w:pPr>
        <w:snapToGrid w:val="0"/>
        <w:ind w:firstLine="425"/>
        <w:jc w:val="both"/>
        <w:rPr>
          <w:sz w:val="20"/>
          <w:szCs w:val="20"/>
        </w:rPr>
        <w:sectPr w:rsidR="009B636E" w:rsidRPr="003021D9" w:rsidSect="009B636E">
          <w:footnotePr>
            <w:pos w:val="beneathText"/>
          </w:footnotePr>
          <w:type w:val="continuous"/>
          <w:pgSz w:w="12240" w:h="15840" w:code="1"/>
          <w:pgMar w:top="1440" w:right="1440" w:bottom="1440" w:left="1440" w:header="720" w:footer="720" w:gutter="0"/>
          <w:cols w:space="600"/>
          <w:docGrid w:linePitch="360"/>
        </w:sectPr>
      </w:pPr>
    </w:p>
    <w:p w:rsidR="00444EB5" w:rsidRPr="003021D9" w:rsidRDefault="00444EB5" w:rsidP="009B636E">
      <w:pPr>
        <w:snapToGrid w:val="0"/>
        <w:ind w:firstLine="425"/>
        <w:jc w:val="both"/>
        <w:rPr>
          <w:sz w:val="20"/>
          <w:szCs w:val="20"/>
        </w:rPr>
      </w:pPr>
      <w:r w:rsidRPr="003021D9">
        <w:rPr>
          <w:sz w:val="20"/>
          <w:szCs w:val="20"/>
        </w:rPr>
        <w:lastRenderedPageBreak/>
        <w:t xml:space="preserve">As expected, the gender distribution of the participants in this study was 59% for females and 41% for males, that similar to the study by Mosalanejad et al. (5) on the prevalence Adults ADHD on students of Medical Sciences in Zahedan, females had the gender majority (64.5%), however, the gender distribution in the study by Lidija Soshoska et al. (3) in the Republic of Macedonia showed the dominance of males (61.4%) compared to females (42.2%). Also in a national study on 9282 English speakers by the Social Research Institute, Faculty of Medicine, University of Michigan, USA, by Ronald C. Kessler et al. (5), the gender distribution was reported with a majority of the male gender by 61.6%. </w:t>
      </w:r>
      <w:r w:rsidRPr="003021D9">
        <w:rPr>
          <w:sz w:val="20"/>
          <w:szCs w:val="20"/>
        </w:rPr>
        <w:lastRenderedPageBreak/>
        <w:t>In a study by Knouse (6) on student in dormitories of the University of Medical Sciences, Ardebil, 65.3 percent were male and 34.7% were female. Diagnosis of the disorder in childhood is higher in boys than girls, however, the diagnosis in adulthood is equal between men and women (7), and no evidence of a higher incidence of this disorder has been found in men than in women. Also in this study, in line with the study by Simon et al. (7), even though gender distribution shows the majority of the females, according to the results obtained, no significant difference in the prevalence of symptoms of ADHD and Attention Deficit is observed between the two genders in medical students.</w:t>
      </w:r>
    </w:p>
    <w:p w:rsidR="009B636E" w:rsidRPr="003021D9" w:rsidRDefault="009B636E" w:rsidP="009B636E">
      <w:pPr>
        <w:tabs>
          <w:tab w:val="left" w:pos="5403"/>
        </w:tabs>
        <w:snapToGrid w:val="0"/>
        <w:jc w:val="both"/>
        <w:rPr>
          <w:sz w:val="20"/>
          <w:szCs w:val="20"/>
        </w:rPr>
        <w:sectPr w:rsidR="009B636E" w:rsidRPr="003021D9" w:rsidSect="009B636E">
          <w:footnotePr>
            <w:pos w:val="beneathText"/>
          </w:footnotePr>
          <w:type w:val="continuous"/>
          <w:pgSz w:w="12240" w:h="15840" w:code="1"/>
          <w:pgMar w:top="1440" w:right="1440" w:bottom="1440" w:left="1440" w:header="720" w:footer="720" w:gutter="0"/>
          <w:cols w:num="2" w:space="600"/>
          <w:docGrid w:linePitch="360"/>
        </w:sectPr>
      </w:pPr>
    </w:p>
    <w:p w:rsidR="009B636E" w:rsidRPr="003021D9" w:rsidRDefault="009B636E" w:rsidP="009B636E">
      <w:pPr>
        <w:tabs>
          <w:tab w:val="left" w:pos="5403"/>
        </w:tabs>
        <w:snapToGrid w:val="0"/>
        <w:jc w:val="both"/>
        <w:rPr>
          <w:sz w:val="20"/>
          <w:szCs w:val="20"/>
          <w:lang w:eastAsia="zh-CN"/>
        </w:rPr>
      </w:pPr>
    </w:p>
    <w:p w:rsidR="00444EB5" w:rsidRPr="003021D9" w:rsidRDefault="00444EB5" w:rsidP="009B636E">
      <w:pPr>
        <w:tabs>
          <w:tab w:val="left" w:pos="5403"/>
        </w:tabs>
        <w:snapToGrid w:val="0"/>
        <w:jc w:val="center"/>
        <w:rPr>
          <w:sz w:val="20"/>
          <w:szCs w:val="20"/>
        </w:rPr>
      </w:pPr>
      <w:r w:rsidRPr="003021D9">
        <w:rPr>
          <w:sz w:val="20"/>
          <w:szCs w:val="20"/>
        </w:rPr>
        <w:t>Table 7: Mean of adult attention deficit hyperactivity based on marital status</w:t>
      </w:r>
    </w:p>
    <w:tbl>
      <w:tblPr>
        <w:tblW w:w="5000" w:type="pct"/>
        <w:jc w:val="center"/>
        <w:tblBorders>
          <w:top w:val="single" w:sz="4" w:space="0" w:color="auto"/>
          <w:bottom w:val="single" w:sz="4" w:space="0" w:color="auto"/>
        </w:tblBorders>
        <w:tblLook w:val="01E0"/>
      </w:tblPr>
      <w:tblGrid>
        <w:gridCol w:w="1360"/>
        <w:gridCol w:w="1323"/>
        <w:gridCol w:w="2078"/>
        <w:gridCol w:w="2078"/>
        <w:gridCol w:w="2737"/>
      </w:tblGrid>
      <w:tr w:rsidR="00444EB5" w:rsidRPr="003021D9" w:rsidTr="009B636E">
        <w:trPr>
          <w:jc w:val="center"/>
        </w:trPr>
        <w:tc>
          <w:tcPr>
            <w:tcW w:w="710" w:type="pct"/>
            <w:tcBorders>
              <w:top w:val="single" w:sz="4" w:space="0" w:color="auto"/>
              <w:bottom w:val="single" w:sz="4" w:space="0" w:color="auto"/>
            </w:tcBorders>
            <w:vAlign w:val="center"/>
          </w:tcPr>
          <w:p w:rsidR="00444EB5" w:rsidRPr="003021D9" w:rsidRDefault="00444EB5" w:rsidP="009B636E">
            <w:pPr>
              <w:snapToGrid w:val="0"/>
              <w:jc w:val="both"/>
              <w:rPr>
                <w:color w:val="000000"/>
                <w:sz w:val="20"/>
                <w:szCs w:val="20"/>
              </w:rPr>
            </w:pPr>
          </w:p>
        </w:tc>
        <w:tc>
          <w:tcPr>
            <w:tcW w:w="691" w:type="pct"/>
            <w:tcBorders>
              <w:top w:val="single" w:sz="4" w:space="0" w:color="auto"/>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Neglect</w:t>
            </w:r>
          </w:p>
        </w:tc>
        <w:tc>
          <w:tcPr>
            <w:tcW w:w="1085" w:type="pct"/>
            <w:tcBorders>
              <w:top w:val="single" w:sz="4" w:space="0" w:color="auto"/>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Hyperactivity</w:t>
            </w:r>
          </w:p>
        </w:tc>
        <w:tc>
          <w:tcPr>
            <w:tcW w:w="1085" w:type="pct"/>
            <w:tcBorders>
              <w:top w:val="single" w:sz="4" w:space="0" w:color="auto"/>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Hyperactivity</w:t>
            </w:r>
          </w:p>
        </w:tc>
        <w:tc>
          <w:tcPr>
            <w:tcW w:w="1429" w:type="pct"/>
            <w:tcBorders>
              <w:top w:val="single" w:sz="4" w:space="0" w:color="auto"/>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Self-concept Index</w:t>
            </w:r>
          </w:p>
        </w:tc>
      </w:tr>
      <w:tr w:rsidR="00444EB5" w:rsidRPr="003021D9" w:rsidTr="009B636E">
        <w:trPr>
          <w:jc w:val="center"/>
        </w:trPr>
        <w:tc>
          <w:tcPr>
            <w:tcW w:w="710" w:type="pct"/>
            <w:tcBorders>
              <w:top w:val="single" w:sz="4" w:space="0" w:color="auto"/>
              <w:bottom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Single</w:t>
            </w:r>
          </w:p>
        </w:tc>
        <w:tc>
          <w:tcPr>
            <w:tcW w:w="691" w:type="pct"/>
            <w:tcBorders>
              <w:top w:val="single" w:sz="4" w:space="0" w:color="auto"/>
              <w:bottom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4.81</w:t>
            </w:r>
          </w:p>
        </w:tc>
        <w:tc>
          <w:tcPr>
            <w:tcW w:w="1085" w:type="pct"/>
            <w:tcBorders>
              <w:top w:val="single" w:sz="4" w:space="0" w:color="auto"/>
              <w:bottom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6.19</w:t>
            </w:r>
          </w:p>
        </w:tc>
        <w:tc>
          <w:tcPr>
            <w:tcW w:w="1085" w:type="pct"/>
            <w:tcBorders>
              <w:top w:val="single" w:sz="4" w:space="0" w:color="auto"/>
              <w:bottom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4.84</w:t>
            </w:r>
          </w:p>
        </w:tc>
        <w:tc>
          <w:tcPr>
            <w:tcW w:w="1429" w:type="pct"/>
            <w:tcBorders>
              <w:top w:val="single" w:sz="4" w:space="0" w:color="auto"/>
              <w:bottom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5.05</w:t>
            </w:r>
          </w:p>
        </w:tc>
      </w:tr>
      <w:tr w:rsidR="00444EB5" w:rsidRPr="003021D9" w:rsidTr="009B636E">
        <w:trPr>
          <w:jc w:val="center"/>
        </w:trPr>
        <w:tc>
          <w:tcPr>
            <w:tcW w:w="710" w:type="pct"/>
            <w:tcBorders>
              <w:top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Married</w:t>
            </w:r>
          </w:p>
        </w:tc>
        <w:tc>
          <w:tcPr>
            <w:tcW w:w="691" w:type="pct"/>
            <w:tcBorders>
              <w:top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5.07</w:t>
            </w:r>
          </w:p>
        </w:tc>
        <w:tc>
          <w:tcPr>
            <w:tcW w:w="1085" w:type="pct"/>
            <w:tcBorders>
              <w:top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5.52</w:t>
            </w:r>
          </w:p>
        </w:tc>
        <w:tc>
          <w:tcPr>
            <w:tcW w:w="1085" w:type="pct"/>
            <w:tcBorders>
              <w:top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4.88</w:t>
            </w:r>
          </w:p>
        </w:tc>
        <w:tc>
          <w:tcPr>
            <w:tcW w:w="1429" w:type="pct"/>
            <w:tcBorders>
              <w:top w:val="nil"/>
            </w:tcBorders>
            <w:vAlign w:val="center"/>
          </w:tcPr>
          <w:p w:rsidR="00444EB5" w:rsidRPr="003021D9" w:rsidRDefault="00444EB5" w:rsidP="009B636E">
            <w:pPr>
              <w:snapToGrid w:val="0"/>
              <w:jc w:val="both"/>
              <w:rPr>
                <w:color w:val="000000"/>
                <w:sz w:val="20"/>
                <w:szCs w:val="20"/>
              </w:rPr>
            </w:pPr>
            <w:r w:rsidRPr="003021D9">
              <w:rPr>
                <w:color w:val="000000"/>
                <w:sz w:val="20"/>
                <w:szCs w:val="20"/>
              </w:rPr>
              <w:t>6.15</w:t>
            </w:r>
          </w:p>
        </w:tc>
      </w:tr>
      <w:tr w:rsidR="00444EB5" w:rsidRPr="003021D9" w:rsidTr="009B636E">
        <w:trPr>
          <w:jc w:val="center"/>
        </w:trPr>
        <w:tc>
          <w:tcPr>
            <w:tcW w:w="710" w:type="pct"/>
            <w:tcBorders>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P</w:t>
            </w:r>
          </w:p>
        </w:tc>
        <w:tc>
          <w:tcPr>
            <w:tcW w:w="691" w:type="pct"/>
            <w:tcBorders>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0.56</w:t>
            </w:r>
          </w:p>
        </w:tc>
        <w:tc>
          <w:tcPr>
            <w:tcW w:w="1085" w:type="pct"/>
            <w:tcBorders>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0.22</w:t>
            </w:r>
          </w:p>
        </w:tc>
        <w:tc>
          <w:tcPr>
            <w:tcW w:w="1085" w:type="pct"/>
            <w:tcBorders>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0.92</w:t>
            </w:r>
          </w:p>
        </w:tc>
        <w:tc>
          <w:tcPr>
            <w:tcW w:w="1429" w:type="pct"/>
            <w:tcBorders>
              <w:bottom w:val="single" w:sz="4" w:space="0" w:color="auto"/>
            </w:tcBorders>
            <w:vAlign w:val="center"/>
          </w:tcPr>
          <w:p w:rsidR="00444EB5" w:rsidRPr="003021D9" w:rsidRDefault="00444EB5" w:rsidP="009B636E">
            <w:pPr>
              <w:snapToGrid w:val="0"/>
              <w:jc w:val="both"/>
              <w:rPr>
                <w:color w:val="000000"/>
                <w:sz w:val="20"/>
                <w:szCs w:val="20"/>
              </w:rPr>
            </w:pPr>
            <w:r w:rsidRPr="003021D9">
              <w:rPr>
                <w:color w:val="000000"/>
                <w:sz w:val="20"/>
                <w:szCs w:val="20"/>
              </w:rPr>
              <w:t>0.01</w:t>
            </w:r>
          </w:p>
        </w:tc>
      </w:tr>
    </w:tbl>
    <w:p w:rsidR="00444EB5" w:rsidRPr="003021D9" w:rsidRDefault="00444EB5" w:rsidP="009B636E">
      <w:pPr>
        <w:snapToGrid w:val="0"/>
        <w:ind w:firstLine="425"/>
        <w:jc w:val="both"/>
        <w:rPr>
          <w:sz w:val="20"/>
          <w:szCs w:val="20"/>
        </w:rPr>
      </w:pPr>
    </w:p>
    <w:p w:rsidR="009B636E" w:rsidRPr="003021D9" w:rsidRDefault="009B636E" w:rsidP="009B636E">
      <w:pPr>
        <w:snapToGrid w:val="0"/>
        <w:ind w:firstLine="425"/>
        <w:jc w:val="both"/>
        <w:rPr>
          <w:sz w:val="20"/>
          <w:szCs w:val="20"/>
        </w:rPr>
        <w:sectPr w:rsidR="009B636E" w:rsidRPr="003021D9" w:rsidSect="009B636E">
          <w:footnotePr>
            <w:pos w:val="beneathText"/>
          </w:footnotePr>
          <w:type w:val="continuous"/>
          <w:pgSz w:w="12240" w:h="15840" w:code="1"/>
          <w:pgMar w:top="1440" w:right="1440" w:bottom="1440" w:left="1440" w:header="720" w:footer="720" w:gutter="0"/>
          <w:cols w:space="600"/>
          <w:docGrid w:linePitch="360"/>
        </w:sectPr>
      </w:pPr>
    </w:p>
    <w:p w:rsidR="00444EB5" w:rsidRPr="003021D9" w:rsidRDefault="00444EB5" w:rsidP="009B636E">
      <w:pPr>
        <w:snapToGrid w:val="0"/>
        <w:jc w:val="both"/>
        <w:rPr>
          <w:sz w:val="20"/>
          <w:szCs w:val="20"/>
        </w:rPr>
      </w:pPr>
      <w:r w:rsidRPr="003021D9">
        <w:rPr>
          <w:sz w:val="20"/>
          <w:szCs w:val="20"/>
        </w:rPr>
        <w:lastRenderedPageBreak/>
        <w:t>Table 8: Frequency of adult attention deficit hyperactivity based on marital status</w:t>
      </w:r>
    </w:p>
    <w:tbl>
      <w:tblPr>
        <w:tblW w:w="5000" w:type="pct"/>
        <w:jc w:val="center"/>
        <w:tblBorders>
          <w:top w:val="single" w:sz="4" w:space="0" w:color="auto"/>
          <w:bottom w:val="single" w:sz="4" w:space="0" w:color="auto"/>
        </w:tblBorders>
        <w:tblLook w:val="01E0"/>
      </w:tblPr>
      <w:tblGrid>
        <w:gridCol w:w="2049"/>
        <w:gridCol w:w="860"/>
        <w:gridCol w:w="1018"/>
        <w:gridCol w:w="669"/>
      </w:tblGrid>
      <w:tr w:rsidR="00444EB5" w:rsidRPr="003021D9" w:rsidTr="003021D9">
        <w:trPr>
          <w:jc w:val="center"/>
        </w:trPr>
        <w:tc>
          <w:tcPr>
            <w:tcW w:w="2229" w:type="pct"/>
            <w:tcBorders>
              <w:top w:val="single" w:sz="4" w:space="0" w:color="auto"/>
              <w:bottom w:val="single" w:sz="4" w:space="0" w:color="auto"/>
            </w:tcBorders>
          </w:tcPr>
          <w:p w:rsidR="00444EB5" w:rsidRPr="003021D9" w:rsidRDefault="00444EB5" w:rsidP="009B636E">
            <w:pPr>
              <w:tabs>
                <w:tab w:val="left" w:pos="5403"/>
              </w:tabs>
              <w:snapToGrid w:val="0"/>
              <w:jc w:val="both"/>
              <w:rPr>
                <w:color w:val="000000"/>
                <w:sz w:val="20"/>
                <w:szCs w:val="20"/>
              </w:rPr>
            </w:pPr>
          </w:p>
        </w:tc>
        <w:tc>
          <w:tcPr>
            <w:tcW w:w="936" w:type="pct"/>
            <w:tcBorders>
              <w:top w:val="single" w:sz="4" w:space="0" w:color="auto"/>
              <w:bottom w:val="single" w:sz="4" w:space="0" w:color="auto"/>
            </w:tcBorders>
          </w:tcPr>
          <w:p w:rsidR="00444EB5" w:rsidRPr="003021D9" w:rsidRDefault="00444EB5" w:rsidP="009B636E">
            <w:pPr>
              <w:snapToGrid w:val="0"/>
              <w:jc w:val="both"/>
              <w:rPr>
                <w:color w:val="000000"/>
                <w:sz w:val="20"/>
                <w:szCs w:val="20"/>
              </w:rPr>
            </w:pPr>
            <w:r w:rsidRPr="003021D9">
              <w:rPr>
                <w:color w:val="000000"/>
                <w:sz w:val="20"/>
                <w:szCs w:val="20"/>
              </w:rPr>
              <w:t>Single</w:t>
            </w:r>
          </w:p>
        </w:tc>
        <w:tc>
          <w:tcPr>
            <w:tcW w:w="1107" w:type="pct"/>
            <w:tcBorders>
              <w:top w:val="single" w:sz="4" w:space="0" w:color="auto"/>
              <w:bottom w:val="single" w:sz="4" w:space="0" w:color="auto"/>
            </w:tcBorders>
          </w:tcPr>
          <w:p w:rsidR="00444EB5" w:rsidRPr="003021D9" w:rsidRDefault="00444EB5" w:rsidP="009B636E">
            <w:pPr>
              <w:snapToGrid w:val="0"/>
              <w:jc w:val="both"/>
              <w:rPr>
                <w:color w:val="000000"/>
                <w:sz w:val="20"/>
                <w:szCs w:val="20"/>
              </w:rPr>
            </w:pPr>
            <w:r w:rsidRPr="003021D9">
              <w:rPr>
                <w:color w:val="000000"/>
                <w:sz w:val="20"/>
                <w:szCs w:val="20"/>
              </w:rPr>
              <w:t>Married</w:t>
            </w:r>
          </w:p>
        </w:tc>
        <w:tc>
          <w:tcPr>
            <w:tcW w:w="728" w:type="pct"/>
            <w:tcBorders>
              <w:top w:val="single" w:sz="4" w:space="0" w:color="auto"/>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P</w:t>
            </w:r>
          </w:p>
        </w:tc>
      </w:tr>
      <w:tr w:rsidR="00444EB5" w:rsidRPr="003021D9" w:rsidTr="003021D9">
        <w:trPr>
          <w:jc w:val="center"/>
        </w:trPr>
        <w:tc>
          <w:tcPr>
            <w:tcW w:w="2229" w:type="pct"/>
            <w:tcBorders>
              <w:top w:val="single" w:sz="4" w:space="0" w:color="auto"/>
              <w:bottom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Neglect</w:t>
            </w:r>
          </w:p>
        </w:tc>
        <w:tc>
          <w:tcPr>
            <w:tcW w:w="936" w:type="pct"/>
            <w:tcBorders>
              <w:top w:val="single" w:sz="4" w:space="0" w:color="auto"/>
              <w:bottom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11</w:t>
            </w:r>
          </w:p>
        </w:tc>
        <w:tc>
          <w:tcPr>
            <w:tcW w:w="1107" w:type="pct"/>
            <w:tcBorders>
              <w:top w:val="single" w:sz="4" w:space="0" w:color="auto"/>
              <w:bottom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3</w:t>
            </w:r>
          </w:p>
        </w:tc>
        <w:tc>
          <w:tcPr>
            <w:tcW w:w="728" w:type="pct"/>
            <w:tcBorders>
              <w:top w:val="single" w:sz="4" w:space="0" w:color="auto"/>
              <w:bottom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0.24</w:t>
            </w:r>
          </w:p>
        </w:tc>
      </w:tr>
      <w:tr w:rsidR="00444EB5" w:rsidRPr="003021D9" w:rsidTr="003021D9">
        <w:trPr>
          <w:jc w:val="center"/>
        </w:trPr>
        <w:tc>
          <w:tcPr>
            <w:tcW w:w="2229" w:type="pct"/>
            <w:tcBorders>
              <w:top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Hyperactivity</w:t>
            </w:r>
          </w:p>
        </w:tc>
        <w:tc>
          <w:tcPr>
            <w:tcW w:w="936" w:type="pct"/>
            <w:tcBorders>
              <w:top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6</w:t>
            </w:r>
          </w:p>
        </w:tc>
        <w:tc>
          <w:tcPr>
            <w:tcW w:w="1107" w:type="pct"/>
            <w:tcBorders>
              <w:top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0</w:t>
            </w:r>
          </w:p>
        </w:tc>
        <w:tc>
          <w:tcPr>
            <w:tcW w:w="728" w:type="pct"/>
            <w:tcBorders>
              <w:top w:val="nil"/>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0.06</w:t>
            </w:r>
          </w:p>
        </w:tc>
      </w:tr>
      <w:tr w:rsidR="00444EB5" w:rsidRPr="003021D9" w:rsidTr="003021D9">
        <w:trPr>
          <w:jc w:val="center"/>
        </w:trPr>
        <w:tc>
          <w:tcPr>
            <w:tcW w:w="2229" w:type="pct"/>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Impulsivity</w:t>
            </w:r>
          </w:p>
        </w:tc>
        <w:tc>
          <w:tcPr>
            <w:tcW w:w="936" w:type="pct"/>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8</w:t>
            </w:r>
          </w:p>
        </w:tc>
        <w:tc>
          <w:tcPr>
            <w:tcW w:w="1107" w:type="pct"/>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2</w:t>
            </w:r>
          </w:p>
        </w:tc>
        <w:tc>
          <w:tcPr>
            <w:tcW w:w="728" w:type="pct"/>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0.28</w:t>
            </w:r>
          </w:p>
        </w:tc>
      </w:tr>
      <w:tr w:rsidR="00444EB5" w:rsidRPr="003021D9" w:rsidTr="003021D9">
        <w:trPr>
          <w:jc w:val="center"/>
        </w:trPr>
        <w:tc>
          <w:tcPr>
            <w:tcW w:w="2229" w:type="pct"/>
            <w:tcBorders>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Self-concept Index</w:t>
            </w:r>
          </w:p>
        </w:tc>
        <w:tc>
          <w:tcPr>
            <w:tcW w:w="936" w:type="pct"/>
            <w:tcBorders>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10</w:t>
            </w:r>
          </w:p>
        </w:tc>
        <w:tc>
          <w:tcPr>
            <w:tcW w:w="1107" w:type="pct"/>
            <w:tcBorders>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5</w:t>
            </w:r>
          </w:p>
        </w:tc>
        <w:tc>
          <w:tcPr>
            <w:tcW w:w="728" w:type="pct"/>
            <w:tcBorders>
              <w:bottom w:val="single" w:sz="4" w:space="0" w:color="auto"/>
            </w:tcBorders>
          </w:tcPr>
          <w:p w:rsidR="00444EB5" w:rsidRPr="003021D9" w:rsidRDefault="00444EB5" w:rsidP="009B636E">
            <w:pPr>
              <w:tabs>
                <w:tab w:val="left" w:pos="5403"/>
              </w:tabs>
              <w:snapToGrid w:val="0"/>
              <w:jc w:val="both"/>
              <w:rPr>
                <w:color w:val="000000"/>
                <w:sz w:val="20"/>
                <w:szCs w:val="20"/>
              </w:rPr>
            </w:pPr>
            <w:r w:rsidRPr="003021D9">
              <w:rPr>
                <w:color w:val="000000"/>
                <w:sz w:val="20"/>
                <w:szCs w:val="20"/>
              </w:rPr>
              <w:t>0.83</w:t>
            </w:r>
          </w:p>
        </w:tc>
      </w:tr>
    </w:tbl>
    <w:p w:rsidR="00444EB5" w:rsidRPr="003021D9" w:rsidRDefault="00444EB5" w:rsidP="009B636E">
      <w:pPr>
        <w:snapToGrid w:val="0"/>
        <w:ind w:firstLine="425"/>
        <w:jc w:val="both"/>
        <w:rPr>
          <w:sz w:val="20"/>
          <w:szCs w:val="20"/>
        </w:rPr>
      </w:pPr>
    </w:p>
    <w:p w:rsidR="009B636E" w:rsidRPr="003021D9" w:rsidRDefault="009B636E" w:rsidP="009B636E">
      <w:pPr>
        <w:snapToGrid w:val="0"/>
        <w:ind w:firstLine="425"/>
        <w:jc w:val="both"/>
        <w:rPr>
          <w:sz w:val="20"/>
          <w:szCs w:val="20"/>
        </w:rPr>
      </w:pPr>
      <w:r w:rsidRPr="003021D9">
        <w:rPr>
          <w:sz w:val="20"/>
          <w:szCs w:val="20"/>
        </w:rPr>
        <w:t xml:space="preserve">The mean age of medical students in this study was 25.68±1.33 year, with the lowest frequency at the age of 27 years and older with 7 people and the highest frequency at the age of 25-27 years with 87 people. In the study by Mosalanejad et al. (5) on the prevalence of Adults ADHD, the mean age of students </w:t>
      </w:r>
      <w:r w:rsidRPr="003021D9">
        <w:rPr>
          <w:sz w:val="20"/>
          <w:szCs w:val="20"/>
        </w:rPr>
        <w:lastRenderedPageBreak/>
        <w:t>of Medical Sciences was 21.7±3.2 years; and the high mean age of medical students in the study was due to the longer duration of study in this major in comparison to other academic majors.</w:t>
      </w:r>
    </w:p>
    <w:p w:rsidR="00444EB5" w:rsidRPr="003021D9" w:rsidRDefault="00444EB5" w:rsidP="009B636E">
      <w:pPr>
        <w:snapToGrid w:val="0"/>
        <w:ind w:firstLine="425"/>
        <w:jc w:val="both"/>
        <w:rPr>
          <w:sz w:val="20"/>
          <w:szCs w:val="20"/>
        </w:rPr>
      </w:pPr>
      <w:r w:rsidRPr="003021D9">
        <w:rPr>
          <w:sz w:val="20"/>
          <w:szCs w:val="20"/>
        </w:rPr>
        <w:t xml:space="preserve">Assessing the prevalence of smoking and alcohol use among participants, this amount is very low in this population, i.e. 10.7% were smokers and 0.01% had alcohol consumption, and in the study of chronic disease and psychiatric history, 5% of the students had chronic diseases and 14% had a history of psychiatric disorders. Compared to the study by Turner et al. (1) in South Korea, based on data from national reports of psychiatric disorders, these variables had not significant relationship and association with </w:t>
      </w:r>
      <w:r w:rsidRPr="003021D9">
        <w:rPr>
          <w:sz w:val="20"/>
          <w:szCs w:val="20"/>
        </w:rPr>
        <w:lastRenderedPageBreak/>
        <w:t>symptoms of hyperactivity in students of medical education. This inconsistency was also there in the study by Knouse et al. (6) on the prevalence of ADHD on 409 university students living in Fatemeh Zahra girls’ dormitory, Martyr Beheshti University of Medical Sciences in 2004.</w:t>
      </w:r>
    </w:p>
    <w:p w:rsidR="00444EB5" w:rsidRPr="003021D9" w:rsidRDefault="00444EB5" w:rsidP="009B636E">
      <w:pPr>
        <w:snapToGrid w:val="0"/>
        <w:ind w:firstLine="425"/>
        <w:jc w:val="both"/>
        <w:rPr>
          <w:sz w:val="20"/>
          <w:szCs w:val="20"/>
        </w:rPr>
      </w:pPr>
      <w:r w:rsidRPr="003021D9">
        <w:rPr>
          <w:sz w:val="20"/>
          <w:szCs w:val="20"/>
        </w:rPr>
        <w:t>In this study, according to the standard instruction, the dimensions of Questionnaire of ADHD Symptoms included attention deficit, impulsivity, hyperactivity, self-concept problem, which after calculating the scores, the results achieved included self-concept index (4.43), impulsiveness (4.86), attention deficit (4.90) and hyperactivity (5.95) respectively, where in the meantime, hyperactivity had the highest mean score among the students, so that Cronbach's alpha values (0.58) indicates a good confidence interval in this questionnaire. In other words, hyperactivity - attention deficit subscale in medical students were more frequent than impulsivity – self-concept subscale.</w:t>
      </w:r>
    </w:p>
    <w:p w:rsidR="00444EB5" w:rsidRPr="003021D9" w:rsidRDefault="00444EB5" w:rsidP="009B636E">
      <w:pPr>
        <w:snapToGrid w:val="0"/>
        <w:ind w:firstLine="425"/>
        <w:jc w:val="both"/>
        <w:rPr>
          <w:sz w:val="20"/>
          <w:szCs w:val="20"/>
        </w:rPr>
      </w:pPr>
      <w:r w:rsidRPr="003021D9">
        <w:rPr>
          <w:sz w:val="20"/>
          <w:szCs w:val="20"/>
        </w:rPr>
        <w:t>Raw scores of each subscale were converted to T-scores (with mean=50 and SD=10) using an appropriate normative table. Scores higher than 65 were considered as having ADHD and Attention Deficit. In this study, it was concluded that a small number of the population have ADHD and Attention deficit disorder, where the self-concept index subscale (15 persons) had the highest and the hyperactivity subscale (6 persons) had the lowest disorder. It can be said most medical students are healthy and without symptoms of hyperactivity and attention deficit disorder, while the prevalence of ADHD among the students of Medical Sciences of Zahedan in the study by Mosallanejad et al. (5) has been reported high.</w:t>
      </w:r>
    </w:p>
    <w:p w:rsidR="00444EB5" w:rsidRPr="003021D9" w:rsidRDefault="00444EB5" w:rsidP="009B636E">
      <w:pPr>
        <w:snapToGrid w:val="0"/>
        <w:ind w:firstLine="425"/>
        <w:jc w:val="both"/>
        <w:rPr>
          <w:sz w:val="20"/>
          <w:szCs w:val="20"/>
        </w:rPr>
      </w:pPr>
      <w:r w:rsidRPr="003021D9">
        <w:rPr>
          <w:sz w:val="20"/>
          <w:szCs w:val="20"/>
        </w:rPr>
        <w:t>In this study, comparing the mean scores of ADHD symptoms by gender, no significant difference was observed in any dimension of ADHD symptoms between males and females (p&gt;0.05). Comparing the mean scores of ADHD symptoms by age (three age groups: 23 to 25 years, 25 to 27 years and 27 years and above), there is a statistically significant difference in the dimensions of attention deficit and impulsivity. So that with the age increasing, medical interns had higher mean scores on attention deficit and impulsivity (p = 0.001). The highest prevalence of hyperactivity and attention deficit is in the age group 25 to 27 years. This is consistent with the findings of studies on development of hyperactivity and attention and concentration disorders, so that by the age increasing, hyperactivity and impulsivity symptoms improved gradually and clearly, however, attention and concentration problems remain (7-11).</w:t>
      </w:r>
    </w:p>
    <w:p w:rsidR="00444EB5" w:rsidRPr="003021D9" w:rsidRDefault="00444EB5" w:rsidP="009B636E">
      <w:pPr>
        <w:snapToGrid w:val="0"/>
        <w:ind w:firstLine="425"/>
        <w:jc w:val="both"/>
        <w:rPr>
          <w:sz w:val="20"/>
          <w:szCs w:val="20"/>
        </w:rPr>
      </w:pPr>
      <w:r w:rsidRPr="003021D9">
        <w:rPr>
          <w:sz w:val="20"/>
          <w:szCs w:val="20"/>
        </w:rPr>
        <w:t>Comparing the mean symptom scores of ADHD and Attention Deficit by marital status, a significant difference was observed in terms of self-concept index (p=0.01). so that married people had higher self-</w:t>
      </w:r>
      <w:r w:rsidRPr="003021D9">
        <w:rPr>
          <w:sz w:val="20"/>
          <w:szCs w:val="20"/>
        </w:rPr>
        <w:lastRenderedPageBreak/>
        <w:t>concept index. Comparing the prevalence of the ADHD symptoms by marital status, no significant difference was observed in any of dimensions of attention deficit, hyperactivity, impulsivity, self-concept index (p&gt;0.05). As in the study by Knouse et al. (10), there was a significant difference between married and single people in prevalence of ADHD, in the way that this disorder was higher in singles. High self-concept (problems with the concept of self) in married people can affect relationships within the family and cause marital conflicts, and ultimately elevate the possibility of divorce in this population, since a significant portion (36%) of the population under study are married. Although the people with ADHD in this study are few, but it must not be ignored, because students with attention deficit / hyperactivity disorder, can be considered as a particular concern for the health system, since negative results following severe disorders arise in relation to the patients’ treatment.</w:t>
      </w:r>
    </w:p>
    <w:p w:rsidR="00444EB5" w:rsidRPr="003021D9" w:rsidRDefault="00444EB5" w:rsidP="009B636E">
      <w:pPr>
        <w:snapToGrid w:val="0"/>
        <w:jc w:val="both"/>
        <w:rPr>
          <w:b/>
          <w:bCs/>
          <w:sz w:val="20"/>
          <w:szCs w:val="20"/>
        </w:rPr>
      </w:pPr>
      <w:r w:rsidRPr="003021D9">
        <w:rPr>
          <w:b/>
          <w:bCs/>
          <w:sz w:val="20"/>
          <w:szCs w:val="20"/>
        </w:rPr>
        <w:t>Research proposal:</w:t>
      </w:r>
    </w:p>
    <w:p w:rsidR="00444EB5" w:rsidRPr="003021D9" w:rsidRDefault="00444EB5" w:rsidP="009B636E">
      <w:pPr>
        <w:snapToGrid w:val="0"/>
        <w:ind w:firstLine="425"/>
        <w:jc w:val="both"/>
        <w:rPr>
          <w:sz w:val="20"/>
          <w:szCs w:val="20"/>
        </w:rPr>
      </w:pPr>
      <w:r w:rsidRPr="003021D9">
        <w:rPr>
          <w:sz w:val="20"/>
          <w:szCs w:val="20"/>
        </w:rPr>
        <w:t>Due to the limited number of population in this study, using non-random samples, restrictions and problems during the study, such as the lack of counseling before and after completing the questionnaires, lack of the possibility to follow up the students involved with ADHD due to the lack of information in the questionnaire and confidentiality, the results cannot be generalized to adults and students of other disciplines, therefore, further studies is recommended with a larger and more diverse target groups, such as cross-check the disorder in different educational groups and longitudinally with the other education fields in various grades. Epidemiological researches are recommended to be conducted in the field of adult ADHD in a variety of professions, and also prospective studies in the process of hyperactive children.</w:t>
      </w:r>
    </w:p>
    <w:p w:rsidR="00444EB5" w:rsidRPr="003021D9" w:rsidRDefault="00444EB5" w:rsidP="009B636E">
      <w:pPr>
        <w:snapToGrid w:val="0"/>
        <w:jc w:val="both"/>
        <w:rPr>
          <w:b/>
          <w:bCs/>
          <w:sz w:val="20"/>
          <w:szCs w:val="20"/>
        </w:rPr>
      </w:pPr>
      <w:r w:rsidRPr="003021D9">
        <w:rPr>
          <w:b/>
          <w:bCs/>
          <w:sz w:val="20"/>
          <w:szCs w:val="20"/>
        </w:rPr>
        <w:t>Practical suggestions:</w:t>
      </w:r>
    </w:p>
    <w:p w:rsidR="00444EB5" w:rsidRPr="003021D9" w:rsidRDefault="00444EB5" w:rsidP="009B636E">
      <w:pPr>
        <w:snapToGrid w:val="0"/>
        <w:ind w:firstLine="425"/>
        <w:jc w:val="both"/>
        <w:rPr>
          <w:sz w:val="20"/>
          <w:szCs w:val="20"/>
        </w:rPr>
      </w:pPr>
      <w:r w:rsidRPr="003021D9">
        <w:rPr>
          <w:sz w:val="20"/>
          <w:szCs w:val="20"/>
        </w:rPr>
        <w:t xml:space="preserve">Given the use of </w:t>
      </w:r>
      <w:r w:rsidRPr="003021D9">
        <w:rPr>
          <w:color w:val="222222"/>
          <w:sz w:val="20"/>
          <w:szCs w:val="20"/>
        </w:rPr>
        <w:t>Conner’s</w:t>
      </w:r>
      <w:r w:rsidRPr="003021D9">
        <w:rPr>
          <w:sz w:val="20"/>
          <w:szCs w:val="20"/>
        </w:rPr>
        <w:t xml:space="preserve"> adults questionnaire in this study to examine the symptoms of hyperactivity in students, in order to increase the knowledge of the students as team members in the health squad of future generations, it is recommended for professors and all those involved in higher education to hold courses and educational workshops and professional counseling meetings, and screening for the presence of ADHD symptoms.</w:t>
      </w:r>
    </w:p>
    <w:p w:rsidR="00444EB5" w:rsidRPr="003021D9" w:rsidRDefault="00444EB5" w:rsidP="009B636E">
      <w:pPr>
        <w:snapToGrid w:val="0"/>
        <w:jc w:val="both"/>
        <w:rPr>
          <w:b/>
          <w:bCs/>
          <w:sz w:val="20"/>
          <w:szCs w:val="20"/>
        </w:rPr>
      </w:pPr>
      <w:r w:rsidRPr="003021D9">
        <w:rPr>
          <w:b/>
          <w:bCs/>
          <w:sz w:val="20"/>
          <w:szCs w:val="20"/>
        </w:rPr>
        <w:t>The proposal for the relevant organizations:</w:t>
      </w:r>
    </w:p>
    <w:p w:rsidR="00444EB5" w:rsidRPr="003021D9" w:rsidRDefault="00444EB5" w:rsidP="009B636E">
      <w:pPr>
        <w:snapToGrid w:val="0"/>
        <w:ind w:firstLine="425"/>
        <w:jc w:val="both"/>
        <w:rPr>
          <w:sz w:val="20"/>
          <w:szCs w:val="20"/>
        </w:rPr>
      </w:pPr>
      <w:r w:rsidRPr="003021D9">
        <w:rPr>
          <w:sz w:val="20"/>
          <w:szCs w:val="20"/>
        </w:rPr>
        <w:t>1. Providing training to more awareness to students through the books, brochures, videos, forums and etc. in relation to ADHD and informing students about appropriate and effective therapeutic response in the event of early diagnosis.</w:t>
      </w:r>
    </w:p>
    <w:p w:rsidR="009B636E" w:rsidRPr="003021D9" w:rsidRDefault="00444EB5" w:rsidP="009B636E">
      <w:pPr>
        <w:snapToGrid w:val="0"/>
        <w:ind w:firstLine="425"/>
        <w:jc w:val="both"/>
        <w:rPr>
          <w:sz w:val="20"/>
          <w:szCs w:val="20"/>
        </w:rPr>
      </w:pPr>
      <w:r w:rsidRPr="003021D9">
        <w:rPr>
          <w:sz w:val="20"/>
          <w:szCs w:val="20"/>
        </w:rPr>
        <w:t>2. Psychological assessment of students during the initial registratio</w:t>
      </w:r>
      <w:r w:rsidR="009B636E" w:rsidRPr="003021D9">
        <w:rPr>
          <w:sz w:val="20"/>
          <w:szCs w:val="20"/>
        </w:rPr>
        <w:t>n.</w:t>
      </w:r>
    </w:p>
    <w:p w:rsidR="009B636E" w:rsidRPr="003021D9" w:rsidRDefault="00444EB5" w:rsidP="009B636E">
      <w:pPr>
        <w:snapToGrid w:val="0"/>
        <w:ind w:firstLine="425"/>
        <w:jc w:val="both"/>
        <w:rPr>
          <w:sz w:val="20"/>
          <w:szCs w:val="20"/>
        </w:rPr>
      </w:pPr>
      <w:r w:rsidRPr="003021D9">
        <w:rPr>
          <w:sz w:val="20"/>
          <w:szCs w:val="20"/>
        </w:rPr>
        <w:lastRenderedPageBreak/>
        <w:t>3. Informing expert advisors and providing the necessary advic</w:t>
      </w:r>
      <w:r w:rsidR="009B636E" w:rsidRPr="003021D9">
        <w:rPr>
          <w:sz w:val="20"/>
          <w:szCs w:val="20"/>
        </w:rPr>
        <w:t>e.</w:t>
      </w:r>
    </w:p>
    <w:p w:rsidR="009B636E" w:rsidRPr="003021D9" w:rsidRDefault="00444EB5" w:rsidP="009B636E">
      <w:pPr>
        <w:snapToGrid w:val="0"/>
        <w:ind w:firstLine="425"/>
        <w:jc w:val="both"/>
        <w:rPr>
          <w:sz w:val="20"/>
          <w:szCs w:val="20"/>
        </w:rPr>
      </w:pPr>
      <w:r w:rsidRPr="003021D9">
        <w:rPr>
          <w:sz w:val="20"/>
          <w:szCs w:val="20"/>
        </w:rPr>
        <w:t>4. Timely reference of the people to psychiatris</w:t>
      </w:r>
      <w:r w:rsidR="009B636E" w:rsidRPr="003021D9">
        <w:rPr>
          <w:sz w:val="20"/>
          <w:szCs w:val="20"/>
        </w:rPr>
        <w:t>t.</w:t>
      </w:r>
    </w:p>
    <w:p w:rsidR="003021D9" w:rsidRDefault="003021D9" w:rsidP="009B636E">
      <w:pPr>
        <w:snapToGrid w:val="0"/>
        <w:jc w:val="both"/>
        <w:rPr>
          <w:rFonts w:hint="eastAsia"/>
          <w:b/>
          <w:bCs/>
          <w:sz w:val="20"/>
          <w:szCs w:val="20"/>
          <w:lang w:eastAsia="zh-CN"/>
        </w:rPr>
      </w:pPr>
    </w:p>
    <w:p w:rsidR="00444EB5" w:rsidRPr="003021D9" w:rsidRDefault="00444EB5" w:rsidP="009B636E">
      <w:pPr>
        <w:snapToGrid w:val="0"/>
        <w:jc w:val="both"/>
        <w:rPr>
          <w:b/>
          <w:bCs/>
          <w:sz w:val="20"/>
          <w:szCs w:val="20"/>
        </w:rPr>
      </w:pPr>
      <w:r w:rsidRPr="003021D9">
        <w:rPr>
          <w:b/>
          <w:bCs/>
          <w:sz w:val="20"/>
          <w:szCs w:val="20"/>
        </w:rPr>
        <w:t>Study Limitations:</w:t>
      </w:r>
    </w:p>
    <w:p w:rsidR="00444EB5" w:rsidRPr="003021D9" w:rsidRDefault="00444EB5" w:rsidP="009B636E">
      <w:pPr>
        <w:snapToGrid w:val="0"/>
        <w:ind w:firstLine="425"/>
        <w:jc w:val="both"/>
        <w:rPr>
          <w:sz w:val="20"/>
          <w:szCs w:val="20"/>
        </w:rPr>
      </w:pPr>
      <w:r w:rsidRPr="003021D9">
        <w:rPr>
          <w:sz w:val="20"/>
          <w:szCs w:val="20"/>
        </w:rPr>
        <w:t>• This study was conducted on a sample of 176 people and other medical students in universities of Tabriz are not included, hence, the lack of all census sampling has made this study subject to restrictions. However, this study is an example indicating the prevalence of the disorder among medical students studying in the province of East Azerbaijan.</w:t>
      </w:r>
    </w:p>
    <w:p w:rsidR="00444EB5" w:rsidRPr="003021D9" w:rsidRDefault="00444EB5" w:rsidP="009B636E">
      <w:pPr>
        <w:snapToGrid w:val="0"/>
        <w:ind w:firstLine="425"/>
        <w:jc w:val="both"/>
        <w:rPr>
          <w:sz w:val="20"/>
          <w:szCs w:val="20"/>
        </w:rPr>
      </w:pPr>
      <w:r w:rsidRPr="003021D9">
        <w:rPr>
          <w:sz w:val="20"/>
          <w:szCs w:val="20"/>
        </w:rPr>
        <w:t>• Lack of full cooperation of students in filling the questionnaires and incorrect response or lack of response to some of the questions are other</w:t>
      </w:r>
      <w:bookmarkStart w:id="2" w:name="_GoBack"/>
      <w:bookmarkEnd w:id="2"/>
      <w:r w:rsidRPr="003021D9">
        <w:rPr>
          <w:sz w:val="20"/>
          <w:szCs w:val="20"/>
        </w:rPr>
        <w:t xml:space="preserve"> limitations of this study.</w:t>
      </w:r>
    </w:p>
    <w:p w:rsidR="00444EB5" w:rsidRPr="003021D9" w:rsidRDefault="00444EB5" w:rsidP="009B636E">
      <w:pPr>
        <w:snapToGrid w:val="0"/>
        <w:jc w:val="both"/>
        <w:rPr>
          <w:sz w:val="20"/>
          <w:szCs w:val="20"/>
        </w:rPr>
      </w:pPr>
    </w:p>
    <w:p w:rsidR="00444EB5" w:rsidRPr="003021D9" w:rsidRDefault="00444EB5" w:rsidP="009B636E">
      <w:pPr>
        <w:snapToGrid w:val="0"/>
        <w:jc w:val="both"/>
        <w:rPr>
          <w:b/>
          <w:sz w:val="20"/>
          <w:szCs w:val="20"/>
        </w:rPr>
      </w:pPr>
      <w:r w:rsidRPr="003021D9">
        <w:rPr>
          <w:b/>
          <w:sz w:val="20"/>
          <w:szCs w:val="20"/>
        </w:rPr>
        <w:t>Corresponding Author:</w:t>
      </w:r>
    </w:p>
    <w:p w:rsidR="00444EB5" w:rsidRPr="003021D9" w:rsidRDefault="00444EB5" w:rsidP="009B636E">
      <w:pPr>
        <w:snapToGrid w:val="0"/>
        <w:jc w:val="both"/>
        <w:rPr>
          <w:sz w:val="20"/>
          <w:szCs w:val="20"/>
        </w:rPr>
      </w:pPr>
      <w:r w:rsidRPr="003021D9">
        <w:rPr>
          <w:sz w:val="20"/>
          <w:szCs w:val="20"/>
        </w:rPr>
        <w:t>Dr. Sepideh Herizchi Ghadim</w:t>
      </w:r>
    </w:p>
    <w:p w:rsidR="00444EB5" w:rsidRPr="003021D9" w:rsidRDefault="00444EB5" w:rsidP="009B636E">
      <w:pPr>
        <w:snapToGrid w:val="0"/>
        <w:jc w:val="both"/>
        <w:rPr>
          <w:sz w:val="20"/>
          <w:szCs w:val="20"/>
          <w:lang w:eastAsia="zh-CN"/>
        </w:rPr>
      </w:pPr>
      <w:r w:rsidRPr="003021D9">
        <w:rPr>
          <w:sz w:val="20"/>
          <w:szCs w:val="20"/>
        </w:rPr>
        <w:t>Razi Hospital, Research Center of Psychiatry and Behavioral Sciences, Tabriz University of Medical Sciences</w:t>
      </w:r>
      <w:r w:rsidRPr="003021D9">
        <w:rPr>
          <w:color w:val="000000"/>
          <w:sz w:val="20"/>
          <w:szCs w:val="20"/>
        </w:rPr>
        <w:t>, Iran.</w:t>
      </w:r>
    </w:p>
    <w:p w:rsidR="00444EB5" w:rsidRPr="003021D9" w:rsidRDefault="00444EB5" w:rsidP="009B636E">
      <w:pPr>
        <w:snapToGrid w:val="0"/>
        <w:jc w:val="both"/>
        <w:rPr>
          <w:sz w:val="20"/>
          <w:szCs w:val="20"/>
        </w:rPr>
      </w:pPr>
      <w:r w:rsidRPr="003021D9">
        <w:rPr>
          <w:sz w:val="20"/>
          <w:szCs w:val="20"/>
        </w:rPr>
        <w:t xml:space="preserve">E-mail: </w:t>
      </w:r>
      <w:r w:rsidRPr="003021D9">
        <w:rPr>
          <w:color w:val="000000"/>
          <w:sz w:val="20"/>
          <w:szCs w:val="20"/>
          <w:shd w:val="clear" w:color="auto" w:fill="FFFFFF"/>
        </w:rPr>
        <w:t>sepideh_herizchi@yahoo.com</w:t>
      </w:r>
    </w:p>
    <w:p w:rsidR="00444EB5" w:rsidRPr="003021D9" w:rsidRDefault="00444EB5" w:rsidP="009B636E">
      <w:pPr>
        <w:snapToGrid w:val="0"/>
        <w:jc w:val="both"/>
        <w:rPr>
          <w:sz w:val="20"/>
          <w:szCs w:val="20"/>
        </w:rPr>
      </w:pPr>
    </w:p>
    <w:p w:rsidR="00444EB5" w:rsidRPr="003021D9" w:rsidRDefault="00444EB5" w:rsidP="009B636E">
      <w:pPr>
        <w:snapToGrid w:val="0"/>
        <w:jc w:val="both"/>
        <w:rPr>
          <w:b/>
          <w:sz w:val="20"/>
          <w:szCs w:val="20"/>
        </w:rPr>
      </w:pPr>
      <w:r w:rsidRPr="003021D9">
        <w:rPr>
          <w:b/>
          <w:sz w:val="20"/>
          <w:szCs w:val="20"/>
        </w:rPr>
        <w:t>References</w:t>
      </w:r>
    </w:p>
    <w:p w:rsidR="00444EB5" w:rsidRPr="003021D9" w:rsidRDefault="00444EB5" w:rsidP="009B636E">
      <w:pPr>
        <w:numPr>
          <w:ilvl w:val="0"/>
          <w:numId w:val="4"/>
        </w:numPr>
        <w:tabs>
          <w:tab w:val="clear" w:pos="720"/>
        </w:tabs>
        <w:snapToGrid w:val="0"/>
        <w:ind w:left="425" w:hanging="425"/>
        <w:jc w:val="both"/>
        <w:rPr>
          <w:sz w:val="20"/>
          <w:szCs w:val="20"/>
        </w:rPr>
      </w:pPr>
      <w:r w:rsidRPr="003021D9">
        <w:rPr>
          <w:sz w:val="20"/>
          <w:szCs w:val="20"/>
        </w:rPr>
        <w:t>Turner, D.C., Clark, L., Dowson, J., Robbins, T.W., Sahakian, B.J. (2004)</w:t>
      </w:r>
      <w:r w:rsidR="009B636E" w:rsidRPr="003021D9">
        <w:rPr>
          <w:sz w:val="20"/>
          <w:szCs w:val="20"/>
        </w:rPr>
        <w:t>. M</w:t>
      </w:r>
      <w:r w:rsidRPr="003021D9">
        <w:rPr>
          <w:sz w:val="20"/>
          <w:szCs w:val="20"/>
        </w:rPr>
        <w:t>odafinil improves cognition and response inhibition in adult attention deficit/hyperactivity disorder, Biological Psychiatry, 55, 1031-1040.</w:t>
      </w:r>
    </w:p>
    <w:p w:rsidR="00444EB5" w:rsidRPr="003021D9" w:rsidRDefault="00444EB5" w:rsidP="009B636E">
      <w:pPr>
        <w:numPr>
          <w:ilvl w:val="0"/>
          <w:numId w:val="4"/>
        </w:numPr>
        <w:tabs>
          <w:tab w:val="clear" w:pos="720"/>
        </w:tabs>
        <w:snapToGrid w:val="0"/>
        <w:ind w:left="425" w:hanging="425"/>
        <w:jc w:val="both"/>
        <w:rPr>
          <w:sz w:val="20"/>
          <w:szCs w:val="20"/>
        </w:rPr>
      </w:pPr>
      <w:r w:rsidRPr="003021D9">
        <w:rPr>
          <w:sz w:val="20"/>
          <w:szCs w:val="20"/>
        </w:rPr>
        <w:t>Subin Park, Prevalence, correlates, and comorbidities of adult ADHD symptoms in Korea: Results of the Korean epidemiologic catchment area study, April 30, 2011 Volume 186, Issues 2-3, and Pages 378–383.</w:t>
      </w:r>
    </w:p>
    <w:p w:rsidR="00444EB5" w:rsidRPr="003021D9" w:rsidRDefault="00444EB5" w:rsidP="009B636E">
      <w:pPr>
        <w:numPr>
          <w:ilvl w:val="0"/>
          <w:numId w:val="4"/>
        </w:numPr>
        <w:tabs>
          <w:tab w:val="clear" w:pos="720"/>
        </w:tabs>
        <w:snapToGrid w:val="0"/>
        <w:ind w:left="425" w:hanging="425"/>
        <w:jc w:val="both"/>
        <w:rPr>
          <w:sz w:val="20"/>
          <w:szCs w:val="20"/>
        </w:rPr>
      </w:pPr>
      <w:r w:rsidRPr="003021D9">
        <w:rPr>
          <w:sz w:val="20"/>
          <w:szCs w:val="20"/>
        </w:rPr>
        <w:lastRenderedPageBreak/>
        <w:t>Lidija Sushevska Panevska, Presence of Attention Deficit Hyperactivity Disorder by Certain Sociodemographic Characteristics among University Students, Mater Sociomed. 2014 Aug; 26(4): 253-255.</w:t>
      </w:r>
    </w:p>
    <w:p w:rsidR="00444EB5" w:rsidRPr="003021D9" w:rsidRDefault="00444EB5" w:rsidP="009B636E">
      <w:pPr>
        <w:numPr>
          <w:ilvl w:val="0"/>
          <w:numId w:val="4"/>
        </w:numPr>
        <w:tabs>
          <w:tab w:val="clear" w:pos="720"/>
        </w:tabs>
        <w:snapToGrid w:val="0"/>
        <w:ind w:left="425" w:hanging="425"/>
        <w:jc w:val="both"/>
        <w:rPr>
          <w:i/>
          <w:iCs/>
          <w:sz w:val="20"/>
          <w:szCs w:val="20"/>
        </w:rPr>
      </w:pPr>
      <w:r w:rsidRPr="003021D9">
        <w:rPr>
          <w:sz w:val="20"/>
          <w:szCs w:val="20"/>
        </w:rPr>
        <w:t>Ronald C. Kessler, the Prevalence and Correlates of Adult ADHD in the United States: Results from the National Comorbidity Survey Replication, Am J Psychiatry 163:4, April 2006</w:t>
      </w:r>
      <w:r w:rsidRPr="003021D9">
        <w:rPr>
          <w:i/>
          <w:iCs/>
          <w:sz w:val="20"/>
          <w:szCs w:val="20"/>
        </w:rPr>
        <w:t>.</w:t>
      </w:r>
    </w:p>
    <w:p w:rsidR="00444EB5" w:rsidRPr="003021D9" w:rsidRDefault="00444EB5" w:rsidP="009B636E">
      <w:pPr>
        <w:numPr>
          <w:ilvl w:val="0"/>
          <w:numId w:val="4"/>
        </w:numPr>
        <w:tabs>
          <w:tab w:val="clear" w:pos="720"/>
        </w:tabs>
        <w:snapToGrid w:val="0"/>
        <w:ind w:left="425" w:hanging="425"/>
        <w:jc w:val="both"/>
        <w:rPr>
          <w:i/>
          <w:iCs/>
          <w:sz w:val="20"/>
          <w:szCs w:val="20"/>
        </w:rPr>
      </w:pPr>
      <w:r w:rsidRPr="003021D9">
        <w:rPr>
          <w:sz w:val="20"/>
          <w:szCs w:val="20"/>
        </w:rPr>
        <w:t>Mosalanejad, Monire</w:t>
      </w:r>
      <w:r w:rsidR="009B636E" w:rsidRPr="003021D9">
        <w:rPr>
          <w:sz w:val="20"/>
          <w:szCs w:val="20"/>
        </w:rPr>
        <w:t>,</w:t>
      </w:r>
      <w:r w:rsidRPr="003021D9">
        <w:rPr>
          <w:sz w:val="20"/>
          <w:szCs w:val="20"/>
        </w:rPr>
        <w:t xml:space="preserve"> Prevalence of ADHD Among Students of Zahedan University of Medical Science in Iran</w:t>
      </w:r>
      <w:r w:rsidR="009B636E" w:rsidRPr="003021D9">
        <w:rPr>
          <w:sz w:val="20"/>
          <w:szCs w:val="20"/>
        </w:rPr>
        <w:t>,</w:t>
      </w:r>
      <w:r w:rsidRPr="003021D9">
        <w:rPr>
          <w:sz w:val="20"/>
          <w:szCs w:val="20"/>
        </w:rPr>
        <w:t xml:space="preserve"> Iran J</w:t>
      </w:r>
      <w:r w:rsidRPr="003021D9">
        <w:rPr>
          <w:i/>
          <w:iCs/>
          <w:sz w:val="20"/>
          <w:szCs w:val="20"/>
        </w:rPr>
        <w:t xml:space="preserve"> </w:t>
      </w:r>
      <w:r w:rsidRPr="003021D9">
        <w:rPr>
          <w:sz w:val="20"/>
          <w:szCs w:val="20"/>
        </w:rPr>
        <w:t>Psychiatry Behav</w:t>
      </w:r>
      <w:r w:rsidRPr="003021D9">
        <w:rPr>
          <w:i/>
          <w:iCs/>
          <w:sz w:val="20"/>
          <w:szCs w:val="20"/>
        </w:rPr>
        <w:t xml:space="preserve"> </w:t>
      </w:r>
      <w:r w:rsidRPr="003021D9">
        <w:rPr>
          <w:sz w:val="20"/>
          <w:szCs w:val="20"/>
        </w:rPr>
        <w:t>Sci, Volume 7, Number 2, Autumn / Winter</w:t>
      </w:r>
      <w:r w:rsidRPr="003021D9">
        <w:rPr>
          <w:i/>
          <w:iCs/>
          <w:sz w:val="20"/>
          <w:szCs w:val="20"/>
        </w:rPr>
        <w:t xml:space="preserve"> 2013, page 83-90.</w:t>
      </w:r>
    </w:p>
    <w:p w:rsidR="00444EB5" w:rsidRPr="003021D9" w:rsidRDefault="00444EB5" w:rsidP="009B636E">
      <w:pPr>
        <w:numPr>
          <w:ilvl w:val="0"/>
          <w:numId w:val="4"/>
        </w:numPr>
        <w:tabs>
          <w:tab w:val="clear" w:pos="720"/>
        </w:tabs>
        <w:snapToGrid w:val="0"/>
        <w:ind w:left="425" w:hanging="425"/>
        <w:jc w:val="both"/>
        <w:rPr>
          <w:sz w:val="20"/>
          <w:szCs w:val="20"/>
        </w:rPr>
      </w:pPr>
      <w:r w:rsidRPr="003021D9">
        <w:rPr>
          <w:sz w:val="20"/>
          <w:szCs w:val="20"/>
        </w:rPr>
        <w:t>Knouse, Laura E., and John T. Mitchell. "Incautiously optimistic: Positively valenced cognitive avoidance in adult ADHD." Cognitive and</w:t>
      </w:r>
      <w:r w:rsidRPr="003021D9">
        <w:rPr>
          <w:i/>
          <w:iCs/>
          <w:sz w:val="20"/>
          <w:szCs w:val="20"/>
        </w:rPr>
        <w:t xml:space="preserve"> </w:t>
      </w:r>
      <w:r w:rsidRPr="003021D9">
        <w:rPr>
          <w:sz w:val="20"/>
          <w:szCs w:val="20"/>
        </w:rPr>
        <w:t>behavioral practice 22.2(2015): 192-202.</w:t>
      </w:r>
    </w:p>
    <w:p w:rsidR="00444EB5" w:rsidRPr="003021D9" w:rsidRDefault="00444EB5" w:rsidP="009B636E">
      <w:pPr>
        <w:numPr>
          <w:ilvl w:val="0"/>
          <w:numId w:val="4"/>
        </w:numPr>
        <w:tabs>
          <w:tab w:val="clear" w:pos="720"/>
        </w:tabs>
        <w:snapToGrid w:val="0"/>
        <w:ind w:left="425" w:hanging="425"/>
        <w:jc w:val="both"/>
        <w:rPr>
          <w:sz w:val="20"/>
          <w:szCs w:val="20"/>
        </w:rPr>
      </w:pPr>
      <w:r w:rsidRPr="003021D9">
        <w:rPr>
          <w:sz w:val="20"/>
          <w:szCs w:val="20"/>
        </w:rPr>
        <w:t>J. Russell Ramsay and Anthony L. Rostain, the Adult ADHD Tool Kit, 2015.</w:t>
      </w:r>
    </w:p>
    <w:p w:rsidR="00444EB5" w:rsidRPr="003021D9" w:rsidRDefault="00444EB5" w:rsidP="009B636E">
      <w:pPr>
        <w:numPr>
          <w:ilvl w:val="0"/>
          <w:numId w:val="4"/>
        </w:numPr>
        <w:tabs>
          <w:tab w:val="clear" w:pos="720"/>
        </w:tabs>
        <w:snapToGrid w:val="0"/>
        <w:ind w:left="425" w:hanging="425"/>
        <w:jc w:val="both"/>
        <w:rPr>
          <w:sz w:val="20"/>
          <w:szCs w:val="20"/>
        </w:rPr>
      </w:pPr>
      <w:r w:rsidRPr="003021D9">
        <w:rPr>
          <w:sz w:val="20"/>
          <w:szCs w:val="20"/>
        </w:rPr>
        <w:t>J. Russell Ramsay and Anthony L. Rostain, Cognitive-Behavioral Therapy for Adult ADHD, 2015.</w:t>
      </w:r>
    </w:p>
    <w:p w:rsidR="00444EB5" w:rsidRPr="003021D9" w:rsidRDefault="00444EB5" w:rsidP="009B636E">
      <w:pPr>
        <w:numPr>
          <w:ilvl w:val="0"/>
          <w:numId w:val="4"/>
        </w:numPr>
        <w:tabs>
          <w:tab w:val="clear" w:pos="720"/>
        </w:tabs>
        <w:snapToGrid w:val="0"/>
        <w:ind w:left="425" w:hanging="425"/>
        <w:jc w:val="both"/>
        <w:rPr>
          <w:sz w:val="20"/>
          <w:szCs w:val="20"/>
        </w:rPr>
      </w:pPr>
      <w:r w:rsidRPr="003021D9">
        <w:rPr>
          <w:sz w:val="20"/>
          <w:szCs w:val="20"/>
        </w:rPr>
        <w:t>Post RE, Kurlansik SL. Diagnosis and management of attention- deficit/ hyperactivity disorder in adults. American Family Physician May 1, 2012; 85: 890-6.</w:t>
      </w:r>
    </w:p>
    <w:p w:rsidR="00444EB5" w:rsidRPr="003021D9" w:rsidRDefault="00444EB5" w:rsidP="009B636E">
      <w:pPr>
        <w:numPr>
          <w:ilvl w:val="0"/>
          <w:numId w:val="4"/>
        </w:numPr>
        <w:tabs>
          <w:tab w:val="clear" w:pos="720"/>
        </w:tabs>
        <w:snapToGrid w:val="0"/>
        <w:ind w:left="425" w:hanging="425"/>
        <w:jc w:val="both"/>
        <w:rPr>
          <w:sz w:val="20"/>
          <w:szCs w:val="20"/>
        </w:rPr>
      </w:pPr>
      <w:r w:rsidRPr="003021D9">
        <w:rPr>
          <w:sz w:val="20"/>
          <w:szCs w:val="20"/>
        </w:rPr>
        <w:t>Simon</w:t>
      </w:r>
      <w:r w:rsidR="009B636E" w:rsidRPr="003021D9">
        <w:rPr>
          <w:sz w:val="20"/>
          <w:szCs w:val="20"/>
        </w:rPr>
        <w:t>, V</w:t>
      </w:r>
      <w:r w:rsidRPr="003021D9">
        <w:rPr>
          <w:sz w:val="20"/>
          <w:szCs w:val="20"/>
        </w:rPr>
        <w:t>.</w:t>
      </w:r>
      <w:r w:rsidR="009B636E" w:rsidRPr="003021D9">
        <w:rPr>
          <w:sz w:val="20"/>
          <w:szCs w:val="20"/>
        </w:rPr>
        <w:t>, C</w:t>
      </w:r>
      <w:r w:rsidRPr="003021D9">
        <w:rPr>
          <w:sz w:val="20"/>
          <w:szCs w:val="20"/>
        </w:rPr>
        <w:t>zobor</w:t>
      </w:r>
      <w:r w:rsidR="009B636E" w:rsidRPr="003021D9">
        <w:rPr>
          <w:sz w:val="20"/>
          <w:szCs w:val="20"/>
        </w:rPr>
        <w:t>, P</w:t>
      </w:r>
      <w:r w:rsidRPr="003021D9">
        <w:rPr>
          <w:sz w:val="20"/>
          <w:szCs w:val="20"/>
        </w:rPr>
        <w:t>.</w:t>
      </w:r>
      <w:r w:rsidR="009B636E" w:rsidRPr="003021D9">
        <w:rPr>
          <w:sz w:val="20"/>
          <w:szCs w:val="20"/>
        </w:rPr>
        <w:t>, B</w:t>
      </w:r>
      <w:r w:rsidRPr="003021D9">
        <w:rPr>
          <w:sz w:val="20"/>
          <w:szCs w:val="20"/>
        </w:rPr>
        <w:t>alint</w:t>
      </w:r>
      <w:r w:rsidR="009B636E" w:rsidRPr="003021D9">
        <w:rPr>
          <w:sz w:val="20"/>
          <w:szCs w:val="20"/>
        </w:rPr>
        <w:t>, S</w:t>
      </w:r>
      <w:r w:rsidRPr="003021D9">
        <w:rPr>
          <w:sz w:val="20"/>
          <w:szCs w:val="20"/>
        </w:rPr>
        <w:t>.</w:t>
      </w:r>
      <w:r w:rsidR="009B636E" w:rsidRPr="003021D9">
        <w:rPr>
          <w:sz w:val="20"/>
          <w:szCs w:val="20"/>
        </w:rPr>
        <w:t>, M</w:t>
      </w:r>
      <w:r w:rsidRPr="003021D9">
        <w:rPr>
          <w:sz w:val="20"/>
          <w:szCs w:val="20"/>
        </w:rPr>
        <w:t>eszaros</w:t>
      </w:r>
      <w:r w:rsidR="009B636E" w:rsidRPr="003021D9">
        <w:rPr>
          <w:sz w:val="20"/>
          <w:szCs w:val="20"/>
        </w:rPr>
        <w:t>, A</w:t>
      </w:r>
      <w:r w:rsidRPr="003021D9">
        <w:rPr>
          <w:sz w:val="20"/>
          <w:szCs w:val="20"/>
        </w:rPr>
        <w:t>.</w:t>
      </w:r>
      <w:r w:rsidR="009B636E" w:rsidRPr="003021D9">
        <w:rPr>
          <w:sz w:val="20"/>
          <w:szCs w:val="20"/>
        </w:rPr>
        <w:t>, B</w:t>
      </w:r>
      <w:r w:rsidRPr="003021D9">
        <w:rPr>
          <w:sz w:val="20"/>
          <w:szCs w:val="20"/>
        </w:rPr>
        <w:t>itter</w:t>
      </w:r>
      <w:r w:rsidR="009B636E" w:rsidRPr="003021D9">
        <w:rPr>
          <w:sz w:val="20"/>
          <w:szCs w:val="20"/>
        </w:rPr>
        <w:t>, I</w:t>
      </w:r>
      <w:r w:rsidRPr="003021D9">
        <w:rPr>
          <w:sz w:val="20"/>
          <w:szCs w:val="20"/>
        </w:rPr>
        <w:t>.(2009)</w:t>
      </w:r>
      <w:r w:rsidR="009B636E" w:rsidRPr="003021D9">
        <w:rPr>
          <w:sz w:val="20"/>
          <w:szCs w:val="20"/>
        </w:rPr>
        <w:t>. P</w:t>
      </w:r>
      <w:r w:rsidRPr="003021D9">
        <w:rPr>
          <w:sz w:val="20"/>
          <w:szCs w:val="20"/>
        </w:rPr>
        <w:t>revalence and correlates of adult attention-deficit/hyperactivity disorder: Meta-analysis. British Journal of Psychiatry.194, 204-211.</w:t>
      </w:r>
    </w:p>
    <w:p w:rsidR="009B636E" w:rsidRPr="003021D9" w:rsidRDefault="00444EB5" w:rsidP="009B636E">
      <w:pPr>
        <w:numPr>
          <w:ilvl w:val="0"/>
          <w:numId w:val="4"/>
        </w:numPr>
        <w:tabs>
          <w:tab w:val="clear" w:pos="720"/>
        </w:tabs>
        <w:snapToGrid w:val="0"/>
        <w:ind w:left="425" w:hanging="425"/>
        <w:jc w:val="both"/>
        <w:rPr>
          <w:sz w:val="20"/>
          <w:szCs w:val="20"/>
        </w:rPr>
      </w:pPr>
      <w:r w:rsidRPr="003021D9">
        <w:rPr>
          <w:sz w:val="20"/>
          <w:szCs w:val="20"/>
        </w:rPr>
        <w:t>Lewis, M. (2002). Child and adolescent psychiatry: A comprehensive textbook (pp. 645-665). Philadelphia: Williams&amp; Wilkins.</w:t>
      </w:r>
    </w:p>
    <w:p w:rsidR="009B636E" w:rsidRPr="003021D9" w:rsidRDefault="009B636E" w:rsidP="009B636E">
      <w:pPr>
        <w:snapToGrid w:val="0"/>
        <w:ind w:left="425" w:hanging="425"/>
        <w:jc w:val="both"/>
        <w:rPr>
          <w:sz w:val="20"/>
          <w:szCs w:val="20"/>
        </w:rPr>
        <w:sectPr w:rsidR="009B636E" w:rsidRPr="003021D9" w:rsidSect="009B636E">
          <w:footnotePr>
            <w:pos w:val="beneathText"/>
          </w:footnotePr>
          <w:type w:val="continuous"/>
          <w:pgSz w:w="12240" w:h="15840" w:code="1"/>
          <w:pgMar w:top="1440" w:right="1440" w:bottom="1440" w:left="1440" w:header="720" w:footer="720" w:gutter="0"/>
          <w:cols w:num="2" w:space="600"/>
          <w:docGrid w:linePitch="360"/>
        </w:sectPr>
      </w:pPr>
    </w:p>
    <w:p w:rsidR="00444EB5" w:rsidRPr="003021D9" w:rsidRDefault="00444EB5" w:rsidP="009B636E">
      <w:pPr>
        <w:snapToGrid w:val="0"/>
        <w:ind w:left="425" w:hanging="425"/>
        <w:jc w:val="both"/>
        <w:rPr>
          <w:sz w:val="20"/>
          <w:szCs w:val="20"/>
        </w:rPr>
      </w:pPr>
    </w:p>
    <w:p w:rsidR="00444EB5" w:rsidRPr="003021D9" w:rsidRDefault="00444EB5" w:rsidP="009B636E">
      <w:pPr>
        <w:snapToGrid w:val="0"/>
        <w:ind w:left="425" w:hanging="425"/>
        <w:jc w:val="both"/>
        <w:rPr>
          <w:sz w:val="20"/>
          <w:szCs w:val="20"/>
        </w:rPr>
      </w:pPr>
    </w:p>
    <w:p w:rsidR="009B636E" w:rsidRPr="003021D9" w:rsidRDefault="009B636E" w:rsidP="009B636E">
      <w:pPr>
        <w:snapToGrid w:val="0"/>
        <w:ind w:left="425" w:hanging="425"/>
        <w:jc w:val="both"/>
        <w:rPr>
          <w:sz w:val="20"/>
          <w:szCs w:val="20"/>
        </w:rPr>
      </w:pPr>
    </w:p>
    <w:p w:rsidR="00444EB5" w:rsidRPr="003021D9" w:rsidRDefault="009B636E" w:rsidP="009B636E">
      <w:pPr>
        <w:snapToGrid w:val="0"/>
        <w:ind w:left="425" w:hanging="425"/>
        <w:jc w:val="both"/>
        <w:rPr>
          <w:sz w:val="20"/>
          <w:szCs w:val="20"/>
        </w:rPr>
      </w:pPr>
      <w:r w:rsidRPr="003021D9">
        <w:rPr>
          <w:sz w:val="20"/>
          <w:szCs w:val="20"/>
        </w:rPr>
        <w:t>2/8/2017</w:t>
      </w:r>
    </w:p>
    <w:sectPr w:rsidR="00444EB5" w:rsidRPr="003021D9" w:rsidSect="004F6559">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721" w:rsidRDefault="007C6721">
      <w:r>
        <w:separator/>
      </w:r>
    </w:p>
  </w:endnote>
  <w:endnote w:type="continuationSeparator" w:id="0">
    <w:p w:rsidR="007C6721" w:rsidRDefault="007C6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panose1 w:val="00000000000000000000"/>
    <w:charset w:val="00"/>
    <w:family w:val="swiss"/>
    <w:notTrueType/>
    <w:pitch w:val="variable"/>
    <w:sig w:usb0="00000003" w:usb1="00000000" w:usb2="00000000" w:usb3="00000000" w:csb0="00000001" w:csb1="00000000"/>
  </w:font>
  <w:font w:name="DejaVu Sans">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6E" w:rsidRDefault="00CB2F2B" w:rsidP="00B3167C">
    <w:pPr>
      <w:pStyle w:val="Footer"/>
      <w:framePr w:wrap="around" w:vAnchor="text" w:hAnchor="margin" w:xAlign="center" w:y="1"/>
      <w:rPr>
        <w:rStyle w:val="PageNumber"/>
      </w:rPr>
    </w:pPr>
    <w:r>
      <w:rPr>
        <w:rStyle w:val="PageNumber"/>
      </w:rPr>
      <w:fldChar w:fldCharType="begin"/>
    </w:r>
    <w:r w:rsidR="009B636E">
      <w:rPr>
        <w:rStyle w:val="PageNumber"/>
      </w:rPr>
      <w:instrText xml:space="preserve">PAGE  </w:instrText>
    </w:r>
    <w:r>
      <w:rPr>
        <w:rStyle w:val="PageNumber"/>
      </w:rPr>
      <w:fldChar w:fldCharType="end"/>
    </w:r>
  </w:p>
  <w:p w:rsidR="009B636E" w:rsidRDefault="009B636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6E" w:rsidRPr="009B636E" w:rsidRDefault="00CB2F2B" w:rsidP="009B636E">
    <w:pPr>
      <w:jc w:val="center"/>
      <w:rPr>
        <w:sz w:val="20"/>
      </w:rPr>
    </w:pPr>
    <w:r w:rsidRPr="009B636E">
      <w:rPr>
        <w:sz w:val="20"/>
      </w:rPr>
      <w:fldChar w:fldCharType="begin"/>
    </w:r>
    <w:r w:rsidR="009B636E" w:rsidRPr="009B636E">
      <w:rPr>
        <w:sz w:val="20"/>
      </w:rPr>
      <w:instrText xml:space="preserve"> page </w:instrText>
    </w:r>
    <w:r w:rsidRPr="009B636E">
      <w:rPr>
        <w:sz w:val="20"/>
      </w:rPr>
      <w:fldChar w:fldCharType="separate"/>
    </w:r>
    <w:r w:rsidR="00097889">
      <w:rPr>
        <w:noProof/>
        <w:sz w:val="20"/>
      </w:rPr>
      <w:t>24</w:t>
    </w:r>
    <w:r w:rsidRPr="009B636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6E" w:rsidRDefault="00CB2F2B" w:rsidP="00B3167C">
    <w:pPr>
      <w:pStyle w:val="Footer"/>
      <w:framePr w:wrap="around" w:vAnchor="text" w:hAnchor="margin" w:xAlign="center" w:y="1"/>
      <w:rPr>
        <w:rStyle w:val="PageNumber"/>
      </w:rPr>
    </w:pPr>
    <w:r>
      <w:rPr>
        <w:rStyle w:val="PageNumber"/>
      </w:rPr>
      <w:fldChar w:fldCharType="begin"/>
    </w:r>
    <w:r w:rsidR="009B636E">
      <w:rPr>
        <w:rStyle w:val="PageNumber"/>
      </w:rPr>
      <w:instrText xml:space="preserve">PAGE  </w:instrText>
    </w:r>
    <w:r>
      <w:rPr>
        <w:rStyle w:val="PageNumber"/>
      </w:rPr>
      <w:fldChar w:fldCharType="end"/>
    </w:r>
  </w:p>
  <w:p w:rsidR="009B636E" w:rsidRDefault="009B636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6E" w:rsidRPr="009B636E" w:rsidRDefault="00CB2F2B" w:rsidP="009B636E">
    <w:pPr>
      <w:jc w:val="center"/>
      <w:rPr>
        <w:sz w:val="20"/>
      </w:rPr>
    </w:pPr>
    <w:r w:rsidRPr="009B636E">
      <w:rPr>
        <w:sz w:val="20"/>
      </w:rPr>
      <w:fldChar w:fldCharType="begin"/>
    </w:r>
    <w:r w:rsidR="009B636E" w:rsidRPr="009B636E">
      <w:rPr>
        <w:sz w:val="20"/>
      </w:rPr>
      <w:instrText xml:space="preserve"> page </w:instrText>
    </w:r>
    <w:r w:rsidRPr="009B636E">
      <w:rPr>
        <w:sz w:val="20"/>
      </w:rPr>
      <w:fldChar w:fldCharType="separate"/>
    </w:r>
    <w:r w:rsidR="00097889">
      <w:rPr>
        <w:noProof/>
        <w:sz w:val="20"/>
      </w:rPr>
      <w:t>25</w:t>
    </w:r>
    <w:r w:rsidRPr="009B636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EB5" w:rsidRDefault="00CB2F2B" w:rsidP="00B3167C">
    <w:pPr>
      <w:pStyle w:val="Footer"/>
      <w:framePr w:wrap="around" w:vAnchor="text" w:hAnchor="margin" w:xAlign="center" w:y="1"/>
      <w:rPr>
        <w:rStyle w:val="PageNumber"/>
      </w:rPr>
    </w:pPr>
    <w:r>
      <w:rPr>
        <w:rStyle w:val="PageNumber"/>
      </w:rPr>
      <w:fldChar w:fldCharType="begin"/>
    </w:r>
    <w:r w:rsidR="00444EB5">
      <w:rPr>
        <w:rStyle w:val="PageNumber"/>
      </w:rPr>
      <w:instrText xml:space="preserve">PAGE  </w:instrText>
    </w:r>
    <w:r>
      <w:rPr>
        <w:rStyle w:val="PageNumber"/>
      </w:rPr>
      <w:fldChar w:fldCharType="end"/>
    </w:r>
  </w:p>
  <w:p w:rsidR="00444EB5" w:rsidRDefault="00444EB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EB5" w:rsidRPr="009B636E" w:rsidRDefault="00CB2F2B" w:rsidP="009B636E">
    <w:pPr>
      <w:jc w:val="center"/>
      <w:rPr>
        <w:sz w:val="20"/>
      </w:rPr>
    </w:pPr>
    <w:r w:rsidRPr="009B636E">
      <w:rPr>
        <w:sz w:val="20"/>
      </w:rPr>
      <w:fldChar w:fldCharType="begin"/>
    </w:r>
    <w:r w:rsidR="009B636E" w:rsidRPr="009B636E">
      <w:rPr>
        <w:sz w:val="20"/>
      </w:rPr>
      <w:instrText xml:space="preserve"> page </w:instrText>
    </w:r>
    <w:r w:rsidRPr="009B636E">
      <w:rPr>
        <w:sz w:val="20"/>
      </w:rPr>
      <w:fldChar w:fldCharType="separate"/>
    </w:r>
    <w:r w:rsidR="009B636E">
      <w:rPr>
        <w:noProof/>
        <w:sz w:val="20"/>
      </w:rPr>
      <w:t>1</w:t>
    </w:r>
    <w:r w:rsidRPr="009B636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721" w:rsidRDefault="007C6721">
      <w:r>
        <w:separator/>
      </w:r>
    </w:p>
  </w:footnote>
  <w:footnote w:type="continuationSeparator" w:id="0">
    <w:p w:rsidR="007C6721" w:rsidRDefault="007C6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6E" w:rsidRPr="009B636E" w:rsidRDefault="009B636E" w:rsidP="009B636E">
    <w:pPr>
      <w:pBdr>
        <w:bottom w:val="thinThickMediumGap" w:sz="12" w:space="1" w:color="auto"/>
      </w:pBdr>
      <w:tabs>
        <w:tab w:val="left" w:pos="851"/>
        <w:tab w:val="right" w:pos="8364"/>
      </w:tabs>
      <w:adjustRightInd w:val="0"/>
      <w:snapToGrid w:val="0"/>
      <w:jc w:val="both"/>
      <w:rPr>
        <w:iCs/>
        <w:sz w:val="20"/>
        <w:szCs w:val="20"/>
      </w:rPr>
    </w:pPr>
    <w:r w:rsidRPr="009B636E">
      <w:rPr>
        <w:rFonts w:hint="eastAsia"/>
        <w:sz w:val="20"/>
        <w:szCs w:val="20"/>
      </w:rPr>
      <w:tab/>
    </w:r>
    <w:r w:rsidRPr="009B636E">
      <w:rPr>
        <w:sz w:val="20"/>
        <w:szCs w:val="20"/>
      </w:rPr>
      <w:t>New York Science Journal 201</w:t>
    </w:r>
    <w:r w:rsidRPr="009B636E">
      <w:rPr>
        <w:rFonts w:hint="eastAsia"/>
        <w:sz w:val="20"/>
        <w:szCs w:val="20"/>
      </w:rPr>
      <w:t>7</w:t>
    </w:r>
    <w:r w:rsidRPr="009B636E">
      <w:rPr>
        <w:sz w:val="20"/>
        <w:szCs w:val="20"/>
      </w:rPr>
      <w:t>;</w:t>
    </w:r>
    <w:r w:rsidRPr="009B636E">
      <w:rPr>
        <w:rFonts w:hint="eastAsia"/>
        <w:sz w:val="20"/>
        <w:szCs w:val="20"/>
      </w:rPr>
      <w:t>10</w:t>
    </w:r>
    <w:r w:rsidRPr="009B636E">
      <w:rPr>
        <w:sz w:val="20"/>
        <w:szCs w:val="20"/>
      </w:rPr>
      <w:t>(</w:t>
    </w:r>
    <w:r w:rsidRPr="009B636E">
      <w:rPr>
        <w:rFonts w:hint="eastAsia"/>
        <w:sz w:val="20"/>
        <w:szCs w:val="20"/>
      </w:rPr>
      <w:t>3</w:t>
    </w:r>
    <w:r w:rsidRPr="009B636E">
      <w:rPr>
        <w:sz w:val="20"/>
        <w:szCs w:val="20"/>
      </w:rPr>
      <w:t>)</w:t>
    </w:r>
    <w:r w:rsidRPr="009B636E">
      <w:rPr>
        <w:iCs/>
        <w:sz w:val="20"/>
        <w:szCs w:val="20"/>
      </w:rPr>
      <w:t xml:space="preserve">     </w:t>
    </w:r>
    <w:r w:rsidRPr="009B636E">
      <w:rPr>
        <w:rFonts w:hint="eastAsia"/>
        <w:iCs/>
        <w:sz w:val="20"/>
        <w:szCs w:val="20"/>
      </w:rPr>
      <w:tab/>
    </w:r>
    <w:r w:rsidRPr="009B636E">
      <w:rPr>
        <w:iCs/>
        <w:sz w:val="20"/>
        <w:szCs w:val="20"/>
      </w:rPr>
      <w:t xml:space="preserve"> </w:t>
    </w:r>
    <w:r w:rsidRPr="009B636E">
      <w:rPr>
        <w:rFonts w:hint="eastAsia"/>
        <w:iCs/>
        <w:sz w:val="20"/>
        <w:szCs w:val="20"/>
      </w:rPr>
      <w:t xml:space="preserve"> </w:t>
    </w:r>
    <w:r w:rsidRPr="009B636E">
      <w:rPr>
        <w:iCs/>
        <w:sz w:val="20"/>
        <w:szCs w:val="20"/>
      </w:rPr>
      <w:t xml:space="preserve">   </w:t>
    </w:r>
    <w:hyperlink r:id="rId1" w:history="1">
      <w:r w:rsidRPr="009B636E">
        <w:rPr>
          <w:rStyle w:val="Hyperlink"/>
          <w:sz w:val="20"/>
          <w:szCs w:val="20"/>
        </w:rPr>
        <w:t>http://www.sciencepub.net/newyork</w:t>
      </w:r>
    </w:hyperlink>
  </w:p>
  <w:p w:rsidR="009B636E" w:rsidRPr="009B636E" w:rsidRDefault="009B636E" w:rsidP="009B636E">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6E" w:rsidRPr="009B636E" w:rsidRDefault="009B636E" w:rsidP="009B636E">
    <w:pPr>
      <w:pBdr>
        <w:bottom w:val="thinThickMediumGap" w:sz="12" w:space="1" w:color="auto"/>
      </w:pBdr>
      <w:tabs>
        <w:tab w:val="left" w:pos="851"/>
        <w:tab w:val="right" w:pos="8364"/>
      </w:tabs>
      <w:adjustRightInd w:val="0"/>
      <w:snapToGrid w:val="0"/>
      <w:jc w:val="both"/>
      <w:rPr>
        <w:iCs/>
        <w:sz w:val="20"/>
        <w:szCs w:val="20"/>
      </w:rPr>
    </w:pPr>
    <w:r w:rsidRPr="009B636E">
      <w:rPr>
        <w:rFonts w:hint="eastAsia"/>
        <w:sz w:val="20"/>
        <w:szCs w:val="20"/>
      </w:rPr>
      <w:tab/>
    </w:r>
    <w:r w:rsidRPr="009B636E">
      <w:rPr>
        <w:sz w:val="20"/>
        <w:szCs w:val="20"/>
      </w:rPr>
      <w:t>New York Science Journal 201</w:t>
    </w:r>
    <w:r w:rsidRPr="009B636E">
      <w:rPr>
        <w:rFonts w:hint="eastAsia"/>
        <w:sz w:val="20"/>
        <w:szCs w:val="20"/>
      </w:rPr>
      <w:t>7</w:t>
    </w:r>
    <w:r w:rsidRPr="009B636E">
      <w:rPr>
        <w:sz w:val="20"/>
        <w:szCs w:val="20"/>
      </w:rPr>
      <w:t>;</w:t>
    </w:r>
    <w:r w:rsidRPr="009B636E">
      <w:rPr>
        <w:rFonts w:hint="eastAsia"/>
        <w:sz w:val="20"/>
        <w:szCs w:val="20"/>
      </w:rPr>
      <w:t>10</w:t>
    </w:r>
    <w:r w:rsidRPr="009B636E">
      <w:rPr>
        <w:sz w:val="20"/>
        <w:szCs w:val="20"/>
      </w:rPr>
      <w:t>(</w:t>
    </w:r>
    <w:r w:rsidRPr="009B636E">
      <w:rPr>
        <w:rFonts w:hint="eastAsia"/>
        <w:sz w:val="20"/>
        <w:szCs w:val="20"/>
      </w:rPr>
      <w:t>3</w:t>
    </w:r>
    <w:r w:rsidRPr="009B636E">
      <w:rPr>
        <w:sz w:val="20"/>
        <w:szCs w:val="20"/>
      </w:rPr>
      <w:t>)</w:t>
    </w:r>
    <w:r w:rsidRPr="009B636E">
      <w:rPr>
        <w:iCs/>
        <w:sz w:val="20"/>
        <w:szCs w:val="20"/>
      </w:rPr>
      <w:t xml:space="preserve">     </w:t>
    </w:r>
    <w:r w:rsidRPr="009B636E">
      <w:rPr>
        <w:rFonts w:hint="eastAsia"/>
        <w:iCs/>
        <w:sz w:val="20"/>
        <w:szCs w:val="20"/>
      </w:rPr>
      <w:tab/>
    </w:r>
    <w:r w:rsidRPr="009B636E">
      <w:rPr>
        <w:iCs/>
        <w:sz w:val="20"/>
        <w:szCs w:val="20"/>
      </w:rPr>
      <w:t xml:space="preserve"> </w:t>
    </w:r>
    <w:r w:rsidRPr="009B636E">
      <w:rPr>
        <w:rFonts w:hint="eastAsia"/>
        <w:iCs/>
        <w:sz w:val="20"/>
        <w:szCs w:val="20"/>
      </w:rPr>
      <w:t xml:space="preserve"> </w:t>
    </w:r>
    <w:r w:rsidRPr="009B636E">
      <w:rPr>
        <w:iCs/>
        <w:sz w:val="20"/>
        <w:szCs w:val="20"/>
      </w:rPr>
      <w:t xml:space="preserve">   </w:t>
    </w:r>
    <w:hyperlink r:id="rId1" w:history="1">
      <w:r w:rsidRPr="009B636E">
        <w:rPr>
          <w:rStyle w:val="Hyperlink"/>
          <w:sz w:val="20"/>
          <w:szCs w:val="20"/>
        </w:rPr>
        <w:t>http://www.sciencepub.net/newyork</w:t>
      </w:r>
    </w:hyperlink>
  </w:p>
  <w:p w:rsidR="009B636E" w:rsidRPr="009B636E" w:rsidRDefault="009B636E" w:rsidP="009B636E">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6E" w:rsidRPr="009B636E" w:rsidRDefault="009B636E" w:rsidP="009B636E">
    <w:pPr>
      <w:pBdr>
        <w:bottom w:val="thinThickMediumGap" w:sz="12" w:space="1" w:color="auto"/>
      </w:pBdr>
      <w:tabs>
        <w:tab w:val="left" w:pos="851"/>
        <w:tab w:val="right" w:pos="8364"/>
      </w:tabs>
      <w:adjustRightInd w:val="0"/>
      <w:snapToGrid w:val="0"/>
      <w:jc w:val="both"/>
      <w:rPr>
        <w:iCs/>
        <w:sz w:val="20"/>
        <w:szCs w:val="20"/>
      </w:rPr>
    </w:pPr>
    <w:r w:rsidRPr="009B636E">
      <w:rPr>
        <w:rFonts w:hint="eastAsia"/>
        <w:sz w:val="20"/>
        <w:szCs w:val="20"/>
      </w:rPr>
      <w:tab/>
    </w:r>
    <w:r w:rsidRPr="009B636E">
      <w:rPr>
        <w:sz w:val="20"/>
        <w:szCs w:val="20"/>
      </w:rPr>
      <w:t>New York Science Journal 201</w:t>
    </w:r>
    <w:r w:rsidRPr="009B636E">
      <w:rPr>
        <w:rFonts w:hint="eastAsia"/>
        <w:sz w:val="20"/>
        <w:szCs w:val="20"/>
      </w:rPr>
      <w:t>7</w:t>
    </w:r>
    <w:r w:rsidRPr="009B636E">
      <w:rPr>
        <w:sz w:val="20"/>
        <w:szCs w:val="20"/>
      </w:rPr>
      <w:t>;</w:t>
    </w:r>
    <w:r w:rsidRPr="009B636E">
      <w:rPr>
        <w:rFonts w:hint="eastAsia"/>
        <w:sz w:val="20"/>
        <w:szCs w:val="20"/>
      </w:rPr>
      <w:t>10</w:t>
    </w:r>
    <w:r w:rsidRPr="009B636E">
      <w:rPr>
        <w:sz w:val="20"/>
        <w:szCs w:val="20"/>
      </w:rPr>
      <w:t>(</w:t>
    </w:r>
    <w:r w:rsidRPr="009B636E">
      <w:rPr>
        <w:rFonts w:hint="eastAsia"/>
        <w:sz w:val="20"/>
        <w:szCs w:val="20"/>
      </w:rPr>
      <w:t>3</w:t>
    </w:r>
    <w:r w:rsidRPr="009B636E">
      <w:rPr>
        <w:sz w:val="20"/>
        <w:szCs w:val="20"/>
      </w:rPr>
      <w:t>)</w:t>
    </w:r>
    <w:r w:rsidRPr="009B636E">
      <w:rPr>
        <w:iCs/>
        <w:sz w:val="20"/>
        <w:szCs w:val="20"/>
      </w:rPr>
      <w:t xml:space="preserve">     </w:t>
    </w:r>
    <w:r w:rsidRPr="009B636E">
      <w:rPr>
        <w:rFonts w:hint="eastAsia"/>
        <w:iCs/>
        <w:sz w:val="20"/>
        <w:szCs w:val="20"/>
      </w:rPr>
      <w:tab/>
    </w:r>
    <w:r w:rsidRPr="009B636E">
      <w:rPr>
        <w:iCs/>
        <w:sz w:val="20"/>
        <w:szCs w:val="20"/>
      </w:rPr>
      <w:t xml:space="preserve"> </w:t>
    </w:r>
    <w:r w:rsidRPr="009B636E">
      <w:rPr>
        <w:rFonts w:hint="eastAsia"/>
        <w:iCs/>
        <w:sz w:val="20"/>
        <w:szCs w:val="20"/>
      </w:rPr>
      <w:t xml:space="preserve"> </w:t>
    </w:r>
    <w:r w:rsidRPr="009B636E">
      <w:rPr>
        <w:iCs/>
        <w:sz w:val="20"/>
        <w:szCs w:val="20"/>
      </w:rPr>
      <w:t xml:space="preserve">   </w:t>
    </w:r>
    <w:hyperlink r:id="rId1" w:history="1">
      <w:r w:rsidRPr="009B636E">
        <w:rPr>
          <w:rStyle w:val="Hyperlink"/>
          <w:sz w:val="20"/>
          <w:szCs w:val="20"/>
        </w:rPr>
        <w:t>http://www.sciencepub.net/newyork</w:t>
      </w:r>
    </w:hyperlink>
  </w:p>
  <w:p w:rsidR="009B636E" w:rsidRPr="009B636E" w:rsidRDefault="009B636E" w:rsidP="009B636E">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rPr>
        <w:rFonts w:cs="Times New Roman"/>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3">
    <w:nsid w:val="546C7800"/>
    <w:multiLevelType w:val="hybridMultilevel"/>
    <w:tmpl w:val="B69865CE"/>
    <w:lvl w:ilvl="0" w:tplc="270410C6">
      <w:start w:val="1"/>
      <w:numFmt w:val="decimal"/>
      <w:lvlText w:val="%1."/>
      <w:lvlJc w:val="left"/>
      <w:pPr>
        <w:tabs>
          <w:tab w:val="num" w:pos="720"/>
        </w:tabs>
        <w:ind w:left="720" w:hanging="360"/>
      </w:pPr>
      <w:rPr>
        <w:rFonts w:ascii="Times New Roman" w:hAnsi="Times New Roman" w:cs="Times New Roman"/>
        <w:i w:val="0"/>
        <w:spacing w:val="0"/>
        <w:w w:val="100"/>
        <w:kern w:val="0"/>
        <w:position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921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66F7A"/>
    <w:rsid w:val="00080CE9"/>
    <w:rsid w:val="000827B7"/>
    <w:rsid w:val="000844D7"/>
    <w:rsid w:val="00086790"/>
    <w:rsid w:val="00090A06"/>
    <w:rsid w:val="00097889"/>
    <w:rsid w:val="000A0250"/>
    <w:rsid w:val="00140A8F"/>
    <w:rsid w:val="001817C7"/>
    <w:rsid w:val="00183764"/>
    <w:rsid w:val="001964D0"/>
    <w:rsid w:val="001A178F"/>
    <w:rsid w:val="001B41B8"/>
    <w:rsid w:val="001B650D"/>
    <w:rsid w:val="001C3D42"/>
    <w:rsid w:val="001E41EF"/>
    <w:rsid w:val="00205E97"/>
    <w:rsid w:val="00245C21"/>
    <w:rsid w:val="002721F1"/>
    <w:rsid w:val="00282FA1"/>
    <w:rsid w:val="002B5613"/>
    <w:rsid w:val="002D3558"/>
    <w:rsid w:val="002D589A"/>
    <w:rsid w:val="002F20CD"/>
    <w:rsid w:val="002F49EF"/>
    <w:rsid w:val="003021D9"/>
    <w:rsid w:val="00314F95"/>
    <w:rsid w:val="003169A5"/>
    <w:rsid w:val="00322FAB"/>
    <w:rsid w:val="00345581"/>
    <w:rsid w:val="0034702D"/>
    <w:rsid w:val="003679A0"/>
    <w:rsid w:val="00394B65"/>
    <w:rsid w:val="003A785E"/>
    <w:rsid w:val="003B55FF"/>
    <w:rsid w:val="003B651F"/>
    <w:rsid w:val="003C0116"/>
    <w:rsid w:val="003C4C28"/>
    <w:rsid w:val="00412AA2"/>
    <w:rsid w:val="0043645D"/>
    <w:rsid w:val="00444EB5"/>
    <w:rsid w:val="00454A59"/>
    <w:rsid w:val="00456753"/>
    <w:rsid w:val="00471E57"/>
    <w:rsid w:val="00480715"/>
    <w:rsid w:val="0049143E"/>
    <w:rsid w:val="004C7E2A"/>
    <w:rsid w:val="004D01D3"/>
    <w:rsid w:val="004D0467"/>
    <w:rsid w:val="004F4AFB"/>
    <w:rsid w:val="004F6559"/>
    <w:rsid w:val="00520D1A"/>
    <w:rsid w:val="0052512B"/>
    <w:rsid w:val="00526FA1"/>
    <w:rsid w:val="00553F9B"/>
    <w:rsid w:val="00554269"/>
    <w:rsid w:val="00566B77"/>
    <w:rsid w:val="00593132"/>
    <w:rsid w:val="005A21B0"/>
    <w:rsid w:val="005A5A3D"/>
    <w:rsid w:val="005A5E42"/>
    <w:rsid w:val="005B3E2D"/>
    <w:rsid w:val="005C2F35"/>
    <w:rsid w:val="005D1DA6"/>
    <w:rsid w:val="005F11C2"/>
    <w:rsid w:val="005F5E04"/>
    <w:rsid w:val="00647E27"/>
    <w:rsid w:val="0065209A"/>
    <w:rsid w:val="00657995"/>
    <w:rsid w:val="00661138"/>
    <w:rsid w:val="006622CB"/>
    <w:rsid w:val="0069742F"/>
    <w:rsid w:val="006B5399"/>
    <w:rsid w:val="006D5C2E"/>
    <w:rsid w:val="006E6ACB"/>
    <w:rsid w:val="006E7156"/>
    <w:rsid w:val="006F1706"/>
    <w:rsid w:val="00744442"/>
    <w:rsid w:val="007725E7"/>
    <w:rsid w:val="007744ED"/>
    <w:rsid w:val="0078507E"/>
    <w:rsid w:val="007B01CC"/>
    <w:rsid w:val="007C6721"/>
    <w:rsid w:val="007D3D09"/>
    <w:rsid w:val="007D746F"/>
    <w:rsid w:val="007F763B"/>
    <w:rsid w:val="00803826"/>
    <w:rsid w:val="008131CF"/>
    <w:rsid w:val="00814FA7"/>
    <w:rsid w:val="008233D0"/>
    <w:rsid w:val="00837D0A"/>
    <w:rsid w:val="0085007D"/>
    <w:rsid w:val="00875C08"/>
    <w:rsid w:val="008A20AC"/>
    <w:rsid w:val="008A37E9"/>
    <w:rsid w:val="008A57BC"/>
    <w:rsid w:val="008A67B6"/>
    <w:rsid w:val="008B6214"/>
    <w:rsid w:val="008E32EC"/>
    <w:rsid w:val="0091208A"/>
    <w:rsid w:val="00914558"/>
    <w:rsid w:val="00935CF7"/>
    <w:rsid w:val="0094140D"/>
    <w:rsid w:val="009459B3"/>
    <w:rsid w:val="00952EB8"/>
    <w:rsid w:val="00997A8E"/>
    <w:rsid w:val="009A3681"/>
    <w:rsid w:val="009B636E"/>
    <w:rsid w:val="009B7B37"/>
    <w:rsid w:val="009D4749"/>
    <w:rsid w:val="00A1557F"/>
    <w:rsid w:val="00A3476D"/>
    <w:rsid w:val="00A362B5"/>
    <w:rsid w:val="00A50C01"/>
    <w:rsid w:val="00A56167"/>
    <w:rsid w:val="00A67749"/>
    <w:rsid w:val="00A71E85"/>
    <w:rsid w:val="00AC5DEF"/>
    <w:rsid w:val="00B159ED"/>
    <w:rsid w:val="00B3167C"/>
    <w:rsid w:val="00B36B45"/>
    <w:rsid w:val="00B60E8D"/>
    <w:rsid w:val="00B80C0E"/>
    <w:rsid w:val="00B918AE"/>
    <w:rsid w:val="00B94E19"/>
    <w:rsid w:val="00B964A8"/>
    <w:rsid w:val="00BD2A8D"/>
    <w:rsid w:val="00BE4498"/>
    <w:rsid w:val="00BF6579"/>
    <w:rsid w:val="00C01DCA"/>
    <w:rsid w:val="00C0761F"/>
    <w:rsid w:val="00C101C9"/>
    <w:rsid w:val="00C308C1"/>
    <w:rsid w:val="00C44596"/>
    <w:rsid w:val="00C60D61"/>
    <w:rsid w:val="00C65F55"/>
    <w:rsid w:val="00C92003"/>
    <w:rsid w:val="00CA19CE"/>
    <w:rsid w:val="00CB2F2B"/>
    <w:rsid w:val="00CC4387"/>
    <w:rsid w:val="00CE7B2F"/>
    <w:rsid w:val="00CF24FB"/>
    <w:rsid w:val="00CF6616"/>
    <w:rsid w:val="00D04C27"/>
    <w:rsid w:val="00D13147"/>
    <w:rsid w:val="00D21B7C"/>
    <w:rsid w:val="00D26F2E"/>
    <w:rsid w:val="00D3777A"/>
    <w:rsid w:val="00D56002"/>
    <w:rsid w:val="00D778C9"/>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C55"/>
    <w:rsid w:val="00ED4ED9"/>
    <w:rsid w:val="00ED5DCD"/>
    <w:rsid w:val="00EE1CEE"/>
    <w:rsid w:val="00EE1F4B"/>
    <w:rsid w:val="00EE7D0A"/>
    <w:rsid w:val="00EF27BA"/>
    <w:rsid w:val="00F026C4"/>
    <w:rsid w:val="00F03305"/>
    <w:rsid w:val="00F2228B"/>
    <w:rsid w:val="00F56B4A"/>
    <w:rsid w:val="00F62573"/>
    <w:rsid w:val="00F83A62"/>
    <w:rsid w:val="00F87738"/>
    <w:rsid w:val="00FA453F"/>
    <w:rsid w:val="00FA6D77"/>
    <w:rsid w:val="00FB5B6A"/>
    <w:rsid w:val="00FC4906"/>
    <w:rsid w:val="00FE3E2F"/>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fa-I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link w:val="Heading1Char"/>
    <w:uiPriority w:val="99"/>
    <w:qFormat/>
    <w:rsid w:val="00566B77"/>
    <w:pPr>
      <w:keepNext/>
      <w:numPr>
        <w:numId w:val="1"/>
      </w:numPr>
      <w:outlineLvl w:val="0"/>
    </w:pPr>
    <w:rPr>
      <w:b/>
      <w:bCs/>
      <w:sz w:val="32"/>
    </w:rPr>
  </w:style>
  <w:style w:type="paragraph" w:styleId="Heading2">
    <w:name w:val="heading 2"/>
    <w:basedOn w:val="Normal"/>
    <w:next w:val="Normal"/>
    <w:link w:val="Heading2Char"/>
    <w:uiPriority w:val="99"/>
    <w:qFormat/>
    <w:rsid w:val="00566B77"/>
    <w:pPr>
      <w:keepNext/>
      <w:numPr>
        <w:ilvl w:val="1"/>
        <w:numId w:val="1"/>
      </w:numPr>
      <w:jc w:val="both"/>
      <w:outlineLvl w:val="1"/>
    </w:pPr>
    <w:rPr>
      <w:b/>
      <w:sz w:val="28"/>
    </w:rPr>
  </w:style>
  <w:style w:type="paragraph" w:styleId="Heading3">
    <w:name w:val="heading 3"/>
    <w:basedOn w:val="Normal"/>
    <w:next w:val="Normal"/>
    <w:link w:val="Heading3Char"/>
    <w:uiPriority w:val="99"/>
    <w:qFormat/>
    <w:rsid w:val="00566B77"/>
    <w:pPr>
      <w:keepNext/>
      <w:numPr>
        <w:ilvl w:val="2"/>
        <w:numId w:val="1"/>
      </w:numPr>
      <w:spacing w:line="360" w:lineRule="auto"/>
      <w:jc w:val="both"/>
      <w:outlineLvl w:val="2"/>
    </w:pPr>
    <w:rPr>
      <w:b/>
      <w:bCs/>
    </w:rPr>
  </w:style>
  <w:style w:type="paragraph" w:styleId="Heading6">
    <w:name w:val="heading 6"/>
    <w:basedOn w:val="Normal"/>
    <w:next w:val="Normal"/>
    <w:link w:val="Heading6Char"/>
    <w:uiPriority w:val="99"/>
    <w:qFormat/>
    <w:rsid w:val="00566B77"/>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7BA"/>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EF27BA"/>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EF27BA"/>
    <w:rPr>
      <w:rFonts w:ascii="Cambria" w:hAnsi="Cambria" w:cs="Times New Roman"/>
      <w:b/>
      <w:bCs/>
      <w:sz w:val="26"/>
      <w:szCs w:val="26"/>
      <w:lang w:eastAsia="ar-SA" w:bidi="ar-SA"/>
    </w:rPr>
  </w:style>
  <w:style w:type="character" w:customStyle="1" w:styleId="Heading6Char">
    <w:name w:val="Heading 6 Char"/>
    <w:basedOn w:val="DefaultParagraphFont"/>
    <w:link w:val="Heading6"/>
    <w:uiPriority w:val="99"/>
    <w:semiHidden/>
    <w:locked/>
    <w:rsid w:val="00EF27BA"/>
    <w:rPr>
      <w:rFonts w:ascii="Calibri" w:hAnsi="Calibri" w:cs="Arial"/>
      <w:b/>
      <w:bCs/>
      <w:lang w:eastAsia="ar-SA" w:bidi="ar-SA"/>
    </w:rPr>
  </w:style>
  <w:style w:type="character" w:customStyle="1" w:styleId="Absatz-Standardschriftart">
    <w:name w:val="Absatz-Standardschriftart"/>
    <w:uiPriority w:val="99"/>
    <w:rsid w:val="00566B77"/>
  </w:style>
  <w:style w:type="character" w:customStyle="1" w:styleId="WW-Absatz-Standardschriftart">
    <w:name w:val="WW-Absatz-Standardschriftart"/>
    <w:uiPriority w:val="99"/>
    <w:rsid w:val="00566B77"/>
  </w:style>
  <w:style w:type="character" w:customStyle="1" w:styleId="WW-Absatz-Standardschriftart1">
    <w:name w:val="WW-Absatz-Standardschriftart1"/>
    <w:uiPriority w:val="99"/>
    <w:rsid w:val="00566B77"/>
  </w:style>
  <w:style w:type="character" w:customStyle="1" w:styleId="WW-Absatz-Standardschriftart11">
    <w:name w:val="WW-Absatz-Standardschriftart11"/>
    <w:uiPriority w:val="99"/>
    <w:rsid w:val="00566B77"/>
  </w:style>
  <w:style w:type="character" w:customStyle="1" w:styleId="WW-Absatz-Standardschriftart111">
    <w:name w:val="WW-Absatz-Standardschriftart111"/>
    <w:uiPriority w:val="99"/>
    <w:rsid w:val="00566B77"/>
  </w:style>
  <w:style w:type="character" w:customStyle="1" w:styleId="WW-Absatz-Standardschriftart1111">
    <w:name w:val="WW-Absatz-Standardschriftart1111"/>
    <w:uiPriority w:val="99"/>
    <w:rsid w:val="00566B77"/>
  </w:style>
  <w:style w:type="character" w:customStyle="1" w:styleId="WW-Absatz-Standardschriftart11111">
    <w:name w:val="WW-Absatz-Standardschriftart11111"/>
    <w:uiPriority w:val="99"/>
    <w:rsid w:val="00566B77"/>
  </w:style>
  <w:style w:type="character" w:customStyle="1" w:styleId="WW-Absatz-Standardschriftart111111">
    <w:name w:val="WW-Absatz-Standardschriftart111111"/>
    <w:uiPriority w:val="99"/>
    <w:rsid w:val="00566B77"/>
  </w:style>
  <w:style w:type="character" w:customStyle="1" w:styleId="WW-Absatz-Standardschriftart1111111">
    <w:name w:val="WW-Absatz-Standardschriftart1111111"/>
    <w:uiPriority w:val="99"/>
    <w:rsid w:val="00566B77"/>
  </w:style>
  <w:style w:type="character" w:customStyle="1" w:styleId="WW-Absatz-Standardschriftart11111111">
    <w:name w:val="WW-Absatz-Standardschriftart11111111"/>
    <w:uiPriority w:val="99"/>
    <w:rsid w:val="00566B77"/>
  </w:style>
  <w:style w:type="character" w:customStyle="1" w:styleId="WW-Absatz-Standardschriftart111111111">
    <w:name w:val="WW-Absatz-Standardschriftart111111111"/>
    <w:uiPriority w:val="99"/>
    <w:rsid w:val="00566B77"/>
  </w:style>
  <w:style w:type="character" w:customStyle="1" w:styleId="WW-Absatz-Standardschriftart1111111111">
    <w:name w:val="WW-Absatz-Standardschriftart1111111111"/>
    <w:uiPriority w:val="99"/>
    <w:rsid w:val="00566B77"/>
  </w:style>
  <w:style w:type="character" w:customStyle="1" w:styleId="WW-Absatz-Standardschriftart11111111111">
    <w:name w:val="WW-Absatz-Standardschriftart11111111111"/>
    <w:uiPriority w:val="99"/>
    <w:rsid w:val="00566B77"/>
  </w:style>
  <w:style w:type="character" w:customStyle="1" w:styleId="WW-Absatz-Standardschriftart111111111111">
    <w:name w:val="WW-Absatz-Standardschriftart111111111111"/>
    <w:uiPriority w:val="99"/>
    <w:rsid w:val="00566B77"/>
  </w:style>
  <w:style w:type="character" w:customStyle="1" w:styleId="WW-Absatz-Standardschriftart1111111111111">
    <w:name w:val="WW-Absatz-Standardschriftart1111111111111"/>
    <w:uiPriority w:val="99"/>
    <w:rsid w:val="00566B77"/>
  </w:style>
  <w:style w:type="character" w:customStyle="1" w:styleId="WW-Absatz-Standardschriftart11111111111111">
    <w:name w:val="WW-Absatz-Standardschriftart11111111111111"/>
    <w:uiPriority w:val="99"/>
    <w:rsid w:val="00566B77"/>
  </w:style>
  <w:style w:type="character" w:customStyle="1" w:styleId="WW-Absatz-Standardschriftart111111111111111">
    <w:name w:val="WW-Absatz-Standardschriftart111111111111111"/>
    <w:uiPriority w:val="99"/>
    <w:rsid w:val="00566B77"/>
  </w:style>
  <w:style w:type="character" w:customStyle="1" w:styleId="WW-Absatz-Standardschriftart1111111111111111">
    <w:name w:val="WW-Absatz-Standardschriftart1111111111111111"/>
    <w:uiPriority w:val="99"/>
    <w:rsid w:val="00566B77"/>
  </w:style>
  <w:style w:type="character" w:customStyle="1" w:styleId="WW8Num1z0">
    <w:name w:val="WW8Num1z0"/>
    <w:uiPriority w:val="99"/>
    <w:rsid w:val="00566B77"/>
    <w:rPr>
      <w:rFonts w:ascii="Symbol" w:hAnsi="Symbol"/>
    </w:rPr>
  </w:style>
  <w:style w:type="character" w:customStyle="1" w:styleId="WW8Num1z1">
    <w:name w:val="WW8Num1z1"/>
    <w:uiPriority w:val="99"/>
    <w:rsid w:val="00566B77"/>
    <w:rPr>
      <w:rFonts w:ascii="Courier New" w:hAnsi="Courier New"/>
    </w:rPr>
  </w:style>
  <w:style w:type="character" w:customStyle="1" w:styleId="WW8Num1z2">
    <w:name w:val="WW8Num1z2"/>
    <w:uiPriority w:val="99"/>
    <w:rsid w:val="00566B77"/>
    <w:rPr>
      <w:rFonts w:ascii="Wingdings" w:hAnsi="Wingdings"/>
    </w:rPr>
  </w:style>
  <w:style w:type="character" w:customStyle="1" w:styleId="WW8Num1z3">
    <w:name w:val="WW8Num1z3"/>
    <w:uiPriority w:val="99"/>
    <w:rsid w:val="00566B77"/>
    <w:rPr>
      <w:rFonts w:ascii="Symbol" w:hAnsi="Symbol"/>
    </w:rPr>
  </w:style>
  <w:style w:type="character" w:styleId="PageNumber">
    <w:name w:val="page number"/>
    <w:basedOn w:val="DefaultParagraphFont"/>
    <w:uiPriority w:val="99"/>
    <w:rsid w:val="00566B77"/>
    <w:rPr>
      <w:rFonts w:cs="Times New Roman"/>
    </w:rPr>
  </w:style>
  <w:style w:type="character" w:styleId="Hyperlink">
    <w:name w:val="Hyperlink"/>
    <w:basedOn w:val="DefaultParagraphFont"/>
    <w:uiPriority w:val="99"/>
    <w:rsid w:val="00566B77"/>
    <w:rPr>
      <w:rFonts w:cs="Times New Roman"/>
      <w:color w:val="0000FF"/>
      <w:u w:val="single"/>
    </w:rPr>
  </w:style>
  <w:style w:type="character" w:styleId="FollowedHyperlink">
    <w:name w:val="FollowedHyperlink"/>
    <w:basedOn w:val="DefaultParagraphFont"/>
    <w:uiPriority w:val="99"/>
    <w:rsid w:val="00566B77"/>
    <w:rPr>
      <w:rFonts w:cs="Times New Roman"/>
      <w:color w:val="800080"/>
      <w:u w:val="single"/>
    </w:rPr>
  </w:style>
  <w:style w:type="character" w:customStyle="1" w:styleId="NumberingSymbols">
    <w:name w:val="Numbering Symbols"/>
    <w:uiPriority w:val="99"/>
    <w:rsid w:val="00566B77"/>
  </w:style>
  <w:style w:type="paragraph" w:customStyle="1" w:styleId="Heading">
    <w:name w:val="Heading"/>
    <w:basedOn w:val="Normal"/>
    <w:next w:val="BodyText"/>
    <w:uiPriority w:val="99"/>
    <w:rsid w:val="00566B77"/>
    <w:pPr>
      <w:keepNext/>
      <w:spacing w:before="240" w:after="120"/>
    </w:pPr>
    <w:rPr>
      <w:rFonts w:ascii="Nimbus Sans L" w:hAnsi="Nimbus Sans L" w:cs="DejaVu Sans"/>
      <w:sz w:val="28"/>
      <w:szCs w:val="28"/>
    </w:rPr>
  </w:style>
  <w:style w:type="paragraph" w:styleId="BodyText">
    <w:name w:val="Body Text"/>
    <w:basedOn w:val="Normal"/>
    <w:link w:val="BodyTextChar"/>
    <w:uiPriority w:val="99"/>
    <w:rsid w:val="00566B77"/>
    <w:pPr>
      <w:spacing w:line="360" w:lineRule="auto"/>
    </w:pPr>
  </w:style>
  <w:style w:type="character" w:customStyle="1" w:styleId="BodyTextChar">
    <w:name w:val="Body Text Char"/>
    <w:basedOn w:val="DefaultParagraphFont"/>
    <w:link w:val="BodyText"/>
    <w:uiPriority w:val="99"/>
    <w:semiHidden/>
    <w:locked/>
    <w:rsid w:val="00EF27BA"/>
    <w:rPr>
      <w:rFonts w:cs="Times New Roman"/>
      <w:sz w:val="24"/>
      <w:szCs w:val="24"/>
      <w:lang w:eastAsia="ar-SA" w:bidi="ar-SA"/>
    </w:rPr>
  </w:style>
  <w:style w:type="paragraph" w:styleId="List">
    <w:name w:val="List"/>
    <w:basedOn w:val="BodyText"/>
    <w:uiPriority w:val="99"/>
    <w:rsid w:val="00566B77"/>
  </w:style>
  <w:style w:type="paragraph" w:styleId="Caption">
    <w:name w:val="caption"/>
    <w:basedOn w:val="Normal"/>
    <w:uiPriority w:val="99"/>
    <w:qFormat/>
    <w:rsid w:val="00566B77"/>
    <w:pPr>
      <w:suppressLineNumbers/>
      <w:spacing w:before="120" w:after="120"/>
    </w:pPr>
    <w:rPr>
      <w:i/>
      <w:iCs/>
    </w:rPr>
  </w:style>
  <w:style w:type="paragraph" w:customStyle="1" w:styleId="Index">
    <w:name w:val="Index"/>
    <w:basedOn w:val="Normal"/>
    <w:uiPriority w:val="99"/>
    <w:rsid w:val="00566B77"/>
    <w:pPr>
      <w:suppressLineNumbers/>
    </w:pPr>
  </w:style>
  <w:style w:type="paragraph" w:styleId="Header">
    <w:name w:val="header"/>
    <w:basedOn w:val="Normal"/>
    <w:next w:val="Heading1"/>
    <w:link w:val="HeaderChar"/>
    <w:uiPriority w:val="99"/>
    <w:rsid w:val="00566B77"/>
    <w:pPr>
      <w:tabs>
        <w:tab w:val="center" w:pos="4320"/>
        <w:tab w:val="right" w:pos="8640"/>
      </w:tabs>
    </w:pPr>
  </w:style>
  <w:style w:type="character" w:customStyle="1" w:styleId="HeaderChar">
    <w:name w:val="Header Char"/>
    <w:basedOn w:val="DefaultParagraphFont"/>
    <w:link w:val="Header"/>
    <w:uiPriority w:val="99"/>
    <w:locked/>
    <w:rsid w:val="00D778C9"/>
    <w:rPr>
      <w:rFonts w:cs="Times New Roman"/>
      <w:sz w:val="24"/>
      <w:szCs w:val="24"/>
      <w:lang w:eastAsia="ar-SA" w:bidi="ar-SA"/>
    </w:rPr>
  </w:style>
  <w:style w:type="paragraph" w:styleId="BodyTextIndent3">
    <w:name w:val="Body Text Indent 3"/>
    <w:basedOn w:val="Normal"/>
    <w:link w:val="BodyTextIndent3Char"/>
    <w:uiPriority w:val="99"/>
    <w:rsid w:val="00566B77"/>
    <w:pPr>
      <w:spacing w:line="360" w:lineRule="auto"/>
      <w:ind w:firstLine="720"/>
      <w:jc w:val="both"/>
    </w:pPr>
    <w:rPr>
      <w:b/>
      <w:bCs/>
    </w:rPr>
  </w:style>
  <w:style w:type="character" w:customStyle="1" w:styleId="BodyTextIndent3Char">
    <w:name w:val="Body Text Indent 3 Char"/>
    <w:basedOn w:val="DefaultParagraphFont"/>
    <w:link w:val="BodyTextIndent3"/>
    <w:uiPriority w:val="99"/>
    <w:semiHidden/>
    <w:locked/>
    <w:rsid w:val="00EF27BA"/>
    <w:rPr>
      <w:rFonts w:cs="Times New Roman"/>
      <w:sz w:val="16"/>
      <w:szCs w:val="16"/>
      <w:lang w:eastAsia="ar-SA" w:bidi="ar-SA"/>
    </w:rPr>
  </w:style>
  <w:style w:type="paragraph" w:styleId="BodyTextIndent">
    <w:name w:val="Body Text Indent"/>
    <w:basedOn w:val="Normal"/>
    <w:link w:val="BodyTextIndentChar"/>
    <w:uiPriority w:val="99"/>
    <w:rsid w:val="00566B77"/>
    <w:pPr>
      <w:ind w:left="540" w:hanging="720"/>
      <w:jc w:val="both"/>
    </w:pPr>
  </w:style>
  <w:style w:type="character" w:customStyle="1" w:styleId="BodyTextIndentChar">
    <w:name w:val="Body Text Indent Char"/>
    <w:basedOn w:val="DefaultParagraphFont"/>
    <w:link w:val="BodyTextIndent"/>
    <w:uiPriority w:val="99"/>
    <w:semiHidden/>
    <w:locked/>
    <w:rsid w:val="00EF27BA"/>
    <w:rPr>
      <w:rFonts w:cs="Times New Roman"/>
      <w:sz w:val="24"/>
      <w:szCs w:val="24"/>
      <w:lang w:eastAsia="ar-SA" w:bidi="ar-SA"/>
    </w:rPr>
  </w:style>
  <w:style w:type="paragraph" w:styleId="BodyTextIndent2">
    <w:name w:val="Body Text Indent 2"/>
    <w:basedOn w:val="Normal"/>
    <w:link w:val="BodyTextIndent2Char"/>
    <w:uiPriority w:val="99"/>
    <w:rsid w:val="00566B77"/>
    <w:pPr>
      <w:spacing w:line="360" w:lineRule="auto"/>
      <w:ind w:firstLine="720"/>
      <w:jc w:val="both"/>
    </w:pPr>
  </w:style>
  <w:style w:type="character" w:customStyle="1" w:styleId="BodyTextIndent2Char">
    <w:name w:val="Body Text Indent 2 Char"/>
    <w:basedOn w:val="DefaultParagraphFont"/>
    <w:link w:val="BodyTextIndent2"/>
    <w:uiPriority w:val="99"/>
    <w:semiHidden/>
    <w:locked/>
    <w:rsid w:val="00EF27BA"/>
    <w:rPr>
      <w:rFonts w:cs="Times New Roman"/>
      <w:sz w:val="24"/>
      <w:szCs w:val="24"/>
      <w:lang w:eastAsia="ar-SA" w:bidi="ar-SA"/>
    </w:rPr>
  </w:style>
  <w:style w:type="paragraph" w:styleId="BodyText2">
    <w:name w:val="Body Text 2"/>
    <w:basedOn w:val="Normal"/>
    <w:link w:val="BodyText2Char"/>
    <w:uiPriority w:val="99"/>
    <w:rsid w:val="00566B77"/>
    <w:pPr>
      <w:spacing w:line="360" w:lineRule="auto"/>
      <w:jc w:val="both"/>
    </w:pPr>
  </w:style>
  <w:style w:type="character" w:customStyle="1" w:styleId="BodyText2Char">
    <w:name w:val="Body Text 2 Char"/>
    <w:basedOn w:val="DefaultParagraphFont"/>
    <w:link w:val="BodyText2"/>
    <w:uiPriority w:val="99"/>
    <w:semiHidden/>
    <w:locked/>
    <w:rsid w:val="00EF27BA"/>
    <w:rPr>
      <w:rFonts w:cs="Times New Roman"/>
      <w:sz w:val="24"/>
      <w:szCs w:val="24"/>
      <w:lang w:eastAsia="ar-SA" w:bidi="ar-SA"/>
    </w:rPr>
  </w:style>
  <w:style w:type="paragraph" w:styleId="Footer">
    <w:name w:val="footer"/>
    <w:basedOn w:val="Normal"/>
    <w:link w:val="FooterChar"/>
    <w:uiPriority w:val="99"/>
    <w:rsid w:val="00566B77"/>
    <w:pPr>
      <w:tabs>
        <w:tab w:val="center" w:pos="4320"/>
        <w:tab w:val="right" w:pos="8640"/>
      </w:tabs>
    </w:pPr>
    <w:rPr>
      <w:sz w:val="32"/>
    </w:rPr>
  </w:style>
  <w:style w:type="character" w:customStyle="1" w:styleId="FooterChar">
    <w:name w:val="Footer Char"/>
    <w:basedOn w:val="DefaultParagraphFont"/>
    <w:link w:val="Footer"/>
    <w:uiPriority w:val="99"/>
    <w:semiHidden/>
    <w:locked/>
    <w:rsid w:val="00EF27BA"/>
    <w:rPr>
      <w:rFonts w:cs="Times New Roman"/>
      <w:sz w:val="24"/>
      <w:szCs w:val="24"/>
      <w:lang w:eastAsia="ar-SA" w:bidi="ar-SA"/>
    </w:rPr>
  </w:style>
  <w:style w:type="paragraph" w:customStyle="1" w:styleId="TableContents">
    <w:name w:val="Table Contents"/>
    <w:basedOn w:val="Normal"/>
    <w:uiPriority w:val="99"/>
    <w:rsid w:val="00566B77"/>
    <w:pPr>
      <w:suppressLineNumbers/>
    </w:pPr>
  </w:style>
  <w:style w:type="paragraph" w:customStyle="1" w:styleId="TableHeading">
    <w:name w:val="Table Heading"/>
    <w:basedOn w:val="TableContents"/>
    <w:uiPriority w:val="99"/>
    <w:rsid w:val="00566B77"/>
    <w:pPr>
      <w:jc w:val="center"/>
    </w:pPr>
    <w:rPr>
      <w:b/>
      <w:bCs/>
    </w:rPr>
  </w:style>
  <w:style w:type="paragraph" w:customStyle="1" w:styleId="Framecontents">
    <w:name w:val="Frame contents"/>
    <w:basedOn w:val="BodyText"/>
    <w:uiPriority w:val="99"/>
    <w:rsid w:val="00566B77"/>
  </w:style>
  <w:style w:type="paragraph" w:customStyle="1" w:styleId="Text">
    <w:name w:val="Text"/>
    <w:basedOn w:val="Normal"/>
    <w:uiPriority w:val="99"/>
    <w:rsid w:val="00566B77"/>
    <w:pPr>
      <w:autoSpaceDE w:val="0"/>
      <w:spacing w:line="252" w:lineRule="auto"/>
      <w:ind w:firstLine="202"/>
    </w:pPr>
    <w:rPr>
      <w:rFonts w:eastAsia="PMingLiU"/>
      <w:kern w:val="1"/>
      <w:sz w:val="20"/>
      <w:szCs w:val="20"/>
    </w:rPr>
  </w:style>
  <w:style w:type="character" w:customStyle="1" w:styleId="xdtextbox1">
    <w:name w:val="xdtextbox1"/>
    <w:basedOn w:val="DefaultParagraphFont"/>
    <w:uiPriority w:val="99"/>
    <w:rsid w:val="00F026C4"/>
    <w:rPr>
      <w:rFonts w:cs="Times New Roman"/>
      <w:color w:val="auto"/>
      <w:bdr w:val="single" w:sz="8" w:space="1" w:color="DCDCDC" w:frame="1"/>
      <w:shd w:val="clear" w:color="auto" w:fill="FFFFFF"/>
    </w:rPr>
  </w:style>
  <w:style w:type="character" w:customStyle="1" w:styleId="hps">
    <w:name w:val="hps"/>
    <w:basedOn w:val="DefaultParagraphFont"/>
    <w:uiPriority w:val="99"/>
    <w:rsid w:val="00140A8F"/>
    <w:rPr>
      <w:rFonts w:cs="Times New Roman"/>
    </w:rPr>
  </w:style>
  <w:style w:type="paragraph" w:styleId="ListParagraph">
    <w:name w:val="List Paragraph"/>
    <w:basedOn w:val="Normal"/>
    <w:uiPriority w:val="99"/>
    <w:qFormat/>
    <w:rsid w:val="00CA19CE"/>
    <w:pPr>
      <w:suppressAutoHyphens w:val="0"/>
      <w:bidi/>
      <w:spacing w:after="200" w:line="276" w:lineRule="auto"/>
      <w:ind w:left="720"/>
      <w:contextualSpacing/>
    </w:pPr>
    <w:rPr>
      <w:rFonts w:ascii="Calibri" w:hAnsi="Calibri" w:cs="Arial"/>
      <w:sz w:val="22"/>
      <w:szCs w:val="22"/>
      <w:lang w:eastAsia="en-US" w:bidi="fa-IR"/>
    </w:rPr>
  </w:style>
  <w:style w:type="character" w:styleId="Emphasis">
    <w:name w:val="Emphasis"/>
    <w:basedOn w:val="DefaultParagraphFont"/>
    <w:uiPriority w:val="99"/>
    <w:qFormat/>
    <w:locked/>
    <w:rsid w:val="00CA19CE"/>
    <w:rPr>
      <w:rFonts w:cs="Times New Roman"/>
      <w:i/>
      <w:iCs/>
    </w:rPr>
  </w:style>
  <w:style w:type="table" w:styleId="TableGrid">
    <w:name w:val="Table Grid"/>
    <w:basedOn w:val="TableNormal"/>
    <w:uiPriority w:val="99"/>
    <w:locked/>
    <w:rsid w:val="00A50C01"/>
    <w:pPr>
      <w:bidi/>
      <w:spacing w:after="200" w:line="276" w:lineRule="auto"/>
    </w:pPr>
    <w:rP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1318898">
      <w:marLeft w:val="0"/>
      <w:marRight w:val="0"/>
      <w:marTop w:val="0"/>
      <w:marBottom w:val="0"/>
      <w:divBdr>
        <w:top w:val="none" w:sz="0" w:space="0" w:color="auto"/>
        <w:left w:val="none" w:sz="0" w:space="0" w:color="auto"/>
        <w:bottom w:val="none" w:sz="0" w:space="0" w:color="auto"/>
        <w:right w:val="none" w:sz="0" w:space="0" w:color="auto"/>
      </w:divBdr>
    </w:div>
    <w:div w:id="1091318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sepideh_herizchi@yahoo.com"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nys100317.04"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3060</Words>
  <Characters>17445</Characters>
  <Application>Microsoft Office Word</Application>
  <DocSecurity>0</DocSecurity>
  <Lines>145</Lines>
  <Paragraphs>40</Paragraphs>
  <ScaleCrop>false</ScaleCrop>
  <Manager>Marsland</Manager>
  <Company>Marsland Press</Company>
  <LinksUpToDate>false</LinksUpToDate>
  <CharactersWithSpaces>20465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Publishing</dc:subject>
  <dc:creator>Marsland Press</dc:creator>
  <cp:keywords>science, research, publish</cp:keywords>
  <cp:lastModifiedBy>Administrator</cp:lastModifiedBy>
  <cp:revision>4</cp:revision>
  <cp:lastPrinted>2008-06-25T09:46:00Z</cp:lastPrinted>
  <dcterms:created xsi:type="dcterms:W3CDTF">2017-02-15T10:11:00Z</dcterms:created>
  <dcterms:modified xsi:type="dcterms:W3CDTF">2017-02-14T01:23:00Z</dcterms:modified>
  <cp:category>science</cp:category>
</cp:coreProperties>
</file>