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2D4" w:rsidRDefault="006B1DCB">
      <w:pPr>
        <w:suppressAutoHyphens w:val="0"/>
        <w:snapToGrid w:val="0"/>
        <w:jc w:val="center"/>
        <w:rPr>
          <w:b/>
          <w:sz w:val="20"/>
          <w:szCs w:val="20"/>
        </w:rPr>
      </w:pPr>
      <w:r>
        <w:rPr>
          <w:b/>
          <w:sz w:val="20"/>
          <w:szCs w:val="20"/>
        </w:rPr>
        <w:t xml:space="preserve">Profile of mycological agents of </w:t>
      </w:r>
      <w:r>
        <w:rPr>
          <w:b/>
          <w:i/>
          <w:sz w:val="20"/>
          <w:szCs w:val="20"/>
        </w:rPr>
        <w:t>Tinea capitis</w:t>
      </w:r>
      <w:r>
        <w:rPr>
          <w:b/>
          <w:sz w:val="20"/>
          <w:szCs w:val="20"/>
        </w:rPr>
        <w:t xml:space="preserve"> among apparently healthy persons attending hairdressing saloons at Maiduguri metropolis, Nigeria</w:t>
      </w:r>
    </w:p>
    <w:p w:rsidR="009112D4" w:rsidRDefault="009112D4">
      <w:pPr>
        <w:suppressAutoHyphens w:val="0"/>
        <w:snapToGrid w:val="0"/>
        <w:jc w:val="center"/>
        <w:rPr>
          <w:sz w:val="20"/>
          <w:szCs w:val="20"/>
          <w:lang w:eastAsia="zh-CN"/>
        </w:rPr>
      </w:pPr>
    </w:p>
    <w:p w:rsidR="009112D4" w:rsidRDefault="006B1DCB">
      <w:pPr>
        <w:suppressAutoHyphens w:val="0"/>
        <w:snapToGrid w:val="0"/>
        <w:jc w:val="center"/>
        <w:rPr>
          <w:sz w:val="20"/>
          <w:szCs w:val="20"/>
          <w:vertAlign w:val="superscript"/>
          <w:lang w:eastAsia="zh-CN"/>
        </w:rPr>
      </w:pPr>
      <w:r>
        <w:rPr>
          <w:sz w:val="20"/>
          <w:szCs w:val="20"/>
        </w:rPr>
        <w:t xml:space="preserve">Mohammed Umoru Askira </w:t>
      </w:r>
      <w:r>
        <w:rPr>
          <w:sz w:val="20"/>
          <w:szCs w:val="20"/>
          <w:vertAlign w:val="superscript"/>
        </w:rPr>
        <w:t>1</w:t>
      </w:r>
      <w:r>
        <w:rPr>
          <w:sz w:val="20"/>
          <w:szCs w:val="20"/>
        </w:rPr>
        <w:t xml:space="preserve">, Fatima Sangari </w:t>
      </w:r>
      <w:r>
        <w:rPr>
          <w:sz w:val="20"/>
          <w:szCs w:val="20"/>
          <w:vertAlign w:val="superscript"/>
        </w:rPr>
        <w:t>1</w:t>
      </w:r>
      <w:r>
        <w:rPr>
          <w:sz w:val="20"/>
          <w:szCs w:val="20"/>
        </w:rPr>
        <w:t xml:space="preserve">, Ibrahim Hamidu Musa </w:t>
      </w:r>
      <w:r>
        <w:rPr>
          <w:sz w:val="20"/>
          <w:szCs w:val="20"/>
          <w:vertAlign w:val="superscript"/>
        </w:rPr>
        <w:t>2</w:t>
      </w:r>
      <w:r>
        <w:rPr>
          <w:sz w:val="20"/>
          <w:szCs w:val="20"/>
        </w:rPr>
        <w:t xml:space="preserve">, Idris Abdullahi Nasir </w:t>
      </w:r>
      <w:r>
        <w:rPr>
          <w:sz w:val="20"/>
          <w:szCs w:val="20"/>
          <w:vertAlign w:val="superscript"/>
        </w:rPr>
        <w:t>3</w:t>
      </w:r>
      <w:r>
        <w:rPr>
          <w:sz w:val="20"/>
          <w:szCs w:val="20"/>
        </w:rPr>
        <w:t>, Zanna Gujja Arjinom</w:t>
      </w:r>
      <w:r>
        <w:rPr>
          <w:sz w:val="20"/>
          <w:szCs w:val="20"/>
        </w:rPr>
        <w:t xml:space="preserve">a </w:t>
      </w:r>
      <w:r>
        <w:rPr>
          <w:sz w:val="20"/>
          <w:szCs w:val="20"/>
          <w:vertAlign w:val="superscript"/>
        </w:rPr>
        <w:t>2</w:t>
      </w:r>
      <w:r>
        <w:rPr>
          <w:sz w:val="20"/>
          <w:szCs w:val="20"/>
        </w:rPr>
        <w:t>,</w:t>
      </w:r>
    </w:p>
    <w:p w:rsidR="009112D4" w:rsidRDefault="009112D4">
      <w:pPr>
        <w:suppressAutoHyphens w:val="0"/>
        <w:snapToGrid w:val="0"/>
        <w:jc w:val="center"/>
        <w:rPr>
          <w:sz w:val="20"/>
          <w:szCs w:val="20"/>
          <w:lang w:eastAsia="zh-CN"/>
        </w:rPr>
      </w:pPr>
    </w:p>
    <w:p w:rsidR="009112D4" w:rsidRDefault="006B1DCB">
      <w:pPr>
        <w:suppressAutoHyphens w:val="0"/>
        <w:snapToGrid w:val="0"/>
        <w:jc w:val="center"/>
        <w:rPr>
          <w:sz w:val="20"/>
          <w:szCs w:val="20"/>
        </w:rPr>
      </w:pPr>
      <w:r>
        <w:rPr>
          <w:sz w:val="20"/>
          <w:szCs w:val="20"/>
          <w:vertAlign w:val="superscript"/>
        </w:rPr>
        <w:t>1.</w:t>
      </w:r>
      <w:r>
        <w:rPr>
          <w:sz w:val="20"/>
          <w:szCs w:val="20"/>
        </w:rPr>
        <w:t xml:space="preserve"> Department of Medical Laboratory Science, University of Maiduguri, Borno state, Nigeria</w:t>
      </w:r>
    </w:p>
    <w:p w:rsidR="009112D4" w:rsidRDefault="006B1DCB">
      <w:pPr>
        <w:suppressAutoHyphens w:val="0"/>
        <w:snapToGrid w:val="0"/>
        <w:jc w:val="center"/>
        <w:rPr>
          <w:sz w:val="20"/>
          <w:szCs w:val="20"/>
        </w:rPr>
      </w:pPr>
      <w:r>
        <w:rPr>
          <w:sz w:val="20"/>
          <w:szCs w:val="20"/>
          <w:vertAlign w:val="superscript"/>
        </w:rPr>
        <w:t>2.</w:t>
      </w:r>
      <w:r>
        <w:rPr>
          <w:sz w:val="20"/>
          <w:szCs w:val="20"/>
        </w:rPr>
        <w:t xml:space="preserve"> Department of Clinical Immunology and Infectious Diseases, University of Maiduguri Teaching Hospital, Maiduguri, Nigeria</w:t>
      </w:r>
    </w:p>
    <w:p w:rsidR="009112D4" w:rsidRDefault="006B1DCB">
      <w:pPr>
        <w:suppressAutoHyphens w:val="0"/>
        <w:snapToGrid w:val="0"/>
        <w:jc w:val="center"/>
        <w:rPr>
          <w:sz w:val="20"/>
          <w:szCs w:val="20"/>
        </w:rPr>
      </w:pPr>
      <w:r>
        <w:rPr>
          <w:sz w:val="20"/>
          <w:szCs w:val="20"/>
          <w:vertAlign w:val="superscript"/>
        </w:rPr>
        <w:t>3.</w:t>
      </w:r>
      <w:r>
        <w:rPr>
          <w:sz w:val="20"/>
          <w:szCs w:val="20"/>
        </w:rPr>
        <w:t xml:space="preserve"> Department of Medical Laboratory</w:t>
      </w:r>
      <w:r>
        <w:rPr>
          <w:sz w:val="20"/>
          <w:szCs w:val="20"/>
        </w:rPr>
        <w:t xml:space="preserve"> Services, University of Abuja Teaching Hospital, Gwagwalada, FCT Abuja Nigeria</w:t>
      </w:r>
    </w:p>
    <w:p w:rsidR="009112D4" w:rsidRDefault="006B1DCB">
      <w:pPr>
        <w:suppressAutoHyphens w:val="0"/>
        <w:snapToGrid w:val="0"/>
        <w:jc w:val="center"/>
        <w:rPr>
          <w:sz w:val="20"/>
          <w:szCs w:val="20"/>
          <w:lang w:eastAsia="zh-CN"/>
        </w:rPr>
      </w:pPr>
      <w:r>
        <w:rPr>
          <w:sz w:val="20"/>
          <w:szCs w:val="20"/>
        </w:rPr>
        <w:t>Corresponding address:</w:t>
      </w:r>
      <w:r>
        <w:rPr>
          <w:rFonts w:hint="eastAsia"/>
          <w:sz w:val="20"/>
          <w:szCs w:val="20"/>
          <w:lang w:eastAsia="zh-CN"/>
        </w:rPr>
        <w:t xml:space="preserve"> </w:t>
      </w:r>
      <w:hyperlink r:id="rId7" w:history="1">
        <w:r>
          <w:rPr>
            <w:rStyle w:val="Hyperlink"/>
            <w:sz w:val="20"/>
            <w:szCs w:val="20"/>
          </w:rPr>
          <w:t>eedris888@yahoo.com</w:t>
        </w:r>
      </w:hyperlink>
      <w:r>
        <w:rPr>
          <w:rFonts w:hint="eastAsia"/>
          <w:sz w:val="20"/>
          <w:szCs w:val="20"/>
          <w:lang w:eastAsia="zh-CN"/>
        </w:rPr>
        <w:t xml:space="preserve"> </w:t>
      </w:r>
    </w:p>
    <w:p w:rsidR="009112D4" w:rsidRDefault="009112D4">
      <w:pPr>
        <w:suppressAutoHyphens w:val="0"/>
        <w:snapToGrid w:val="0"/>
        <w:jc w:val="center"/>
        <w:rPr>
          <w:sz w:val="20"/>
          <w:szCs w:val="20"/>
        </w:rPr>
      </w:pPr>
    </w:p>
    <w:p w:rsidR="009112D4" w:rsidRDefault="006B1DCB">
      <w:pPr>
        <w:suppressAutoHyphens w:val="0"/>
        <w:snapToGrid w:val="0"/>
        <w:jc w:val="both"/>
        <w:rPr>
          <w:sz w:val="20"/>
          <w:szCs w:val="20"/>
          <w:shd w:val="clear" w:color="auto" w:fill="FFFFFF"/>
          <w:lang w:eastAsia="zh-CN"/>
        </w:rPr>
      </w:pPr>
      <w:r>
        <w:rPr>
          <w:b/>
          <w:sz w:val="20"/>
          <w:szCs w:val="20"/>
        </w:rPr>
        <w:t>Abstract</w:t>
      </w:r>
      <w:r>
        <w:rPr>
          <w:rFonts w:hint="eastAsia"/>
          <w:b/>
          <w:sz w:val="20"/>
          <w:szCs w:val="20"/>
          <w:lang w:eastAsia="zh-CN"/>
        </w:rPr>
        <w:t xml:space="preserve">: </w:t>
      </w:r>
      <w:r>
        <w:rPr>
          <w:i/>
          <w:sz w:val="20"/>
          <w:szCs w:val="20"/>
        </w:rPr>
        <w:t>Tinea capitis</w:t>
      </w:r>
      <w:r>
        <w:rPr>
          <w:sz w:val="20"/>
          <w:szCs w:val="20"/>
        </w:rPr>
        <w:t xml:space="preserve"> (Ringworm) is becoming a social and health concern due to its pe</w:t>
      </w:r>
      <w:r>
        <w:rPr>
          <w:sz w:val="20"/>
          <w:szCs w:val="20"/>
        </w:rPr>
        <w:t xml:space="preserve">rsistence in affected individuals. Several dermatophytes are involved in the etiology of tinea capitis. In view of this, the present study was carried out to isolate and identify fungal etiologies of </w:t>
      </w:r>
      <w:r>
        <w:rPr>
          <w:i/>
          <w:sz w:val="20"/>
          <w:szCs w:val="20"/>
        </w:rPr>
        <w:t>Tinea Capitis</w:t>
      </w:r>
      <w:r>
        <w:rPr>
          <w:sz w:val="20"/>
          <w:szCs w:val="20"/>
        </w:rPr>
        <w:t xml:space="preserve"> infection and to identify associated socio</w:t>
      </w:r>
      <w:r>
        <w:rPr>
          <w:sz w:val="20"/>
          <w:szCs w:val="20"/>
        </w:rPr>
        <w:t>demographic risk factors. Hair samples from 100 apparently healthy individuals at various hair saloons at Maiduguri metropolis, Borno state, Nigeria were individually collected and inoculated onto supplemented sabourand dextrose agar for 7 days. Isolates w</w:t>
      </w:r>
      <w:r>
        <w:rPr>
          <w:sz w:val="20"/>
          <w:szCs w:val="20"/>
        </w:rPr>
        <w:t xml:space="preserve">ere identified using standard mycology reagents. Of the 100 apparently healthy individuals, 16 (16%) were affected by </w:t>
      </w:r>
      <w:r>
        <w:rPr>
          <w:i/>
          <w:sz w:val="20"/>
          <w:szCs w:val="20"/>
        </w:rPr>
        <w:t>Tinea capitis.</w:t>
      </w:r>
      <w:r>
        <w:rPr>
          <w:sz w:val="20"/>
          <w:szCs w:val="20"/>
        </w:rPr>
        <w:t xml:space="preserve"> Twelve (12%) were </w:t>
      </w:r>
      <w:r>
        <w:rPr>
          <w:i/>
          <w:sz w:val="20"/>
          <w:szCs w:val="20"/>
        </w:rPr>
        <w:t>Trichophyton spp</w:t>
      </w:r>
      <w:r>
        <w:rPr>
          <w:sz w:val="20"/>
          <w:szCs w:val="20"/>
        </w:rPr>
        <w:t xml:space="preserve"> and 4 (4%) </w:t>
      </w:r>
      <w:r>
        <w:rPr>
          <w:i/>
          <w:sz w:val="20"/>
          <w:szCs w:val="20"/>
        </w:rPr>
        <w:t>Microsporum spp</w:t>
      </w:r>
      <w:r>
        <w:rPr>
          <w:sz w:val="20"/>
          <w:szCs w:val="20"/>
        </w:rPr>
        <w:t xml:space="preserve">, whereas (84) 84% were mixed growth of </w:t>
      </w:r>
      <w:r>
        <w:rPr>
          <w:i/>
          <w:sz w:val="20"/>
          <w:szCs w:val="20"/>
        </w:rPr>
        <w:t>Aspergilus spp</w:t>
      </w:r>
      <w:r>
        <w:rPr>
          <w:sz w:val="20"/>
          <w:szCs w:val="20"/>
        </w:rPr>
        <w:t xml:space="preserve"> and </w:t>
      </w:r>
      <w:r>
        <w:rPr>
          <w:i/>
          <w:sz w:val="20"/>
          <w:szCs w:val="20"/>
        </w:rPr>
        <w:t>Pen</w:t>
      </w:r>
      <w:r>
        <w:rPr>
          <w:i/>
          <w:sz w:val="20"/>
          <w:szCs w:val="20"/>
        </w:rPr>
        <w:t>icillium spp</w:t>
      </w:r>
      <w:r>
        <w:rPr>
          <w:sz w:val="20"/>
          <w:szCs w:val="20"/>
        </w:rPr>
        <w:t xml:space="preserve">. There was significant association between </w:t>
      </w:r>
      <w:r>
        <w:rPr>
          <w:i/>
          <w:sz w:val="20"/>
          <w:szCs w:val="20"/>
        </w:rPr>
        <w:t>Tinea capitis</w:t>
      </w:r>
      <w:r>
        <w:rPr>
          <w:sz w:val="20"/>
          <w:szCs w:val="20"/>
        </w:rPr>
        <w:t xml:space="preserve"> with age but not gender of subjects, and presence of domestic animals. The level of awareness of </w:t>
      </w:r>
      <w:r>
        <w:rPr>
          <w:i/>
          <w:sz w:val="20"/>
          <w:szCs w:val="20"/>
        </w:rPr>
        <w:t>Tinea capitis</w:t>
      </w:r>
      <w:r>
        <w:rPr>
          <w:sz w:val="20"/>
          <w:szCs w:val="20"/>
        </w:rPr>
        <w:t xml:space="preserve"> among the subjects reveals that 45 (45%) were aware of this condition, </w:t>
      </w:r>
      <w:r>
        <w:rPr>
          <w:sz w:val="20"/>
          <w:szCs w:val="20"/>
        </w:rPr>
        <w:t xml:space="preserve">whereas 55 (55%) were unaware. Findings from this study revealed that </w:t>
      </w:r>
      <w:r>
        <w:rPr>
          <w:rStyle w:val="Emphasis"/>
          <w:sz w:val="20"/>
          <w:szCs w:val="20"/>
          <w:shd w:val="clear" w:color="auto" w:fill="FFFFFF"/>
        </w:rPr>
        <w:t>Tinea capitis</w:t>
      </w:r>
      <w:r>
        <w:rPr>
          <w:rStyle w:val="apple-converted-space"/>
          <w:sz w:val="20"/>
          <w:szCs w:val="20"/>
          <w:shd w:val="clear" w:color="auto" w:fill="FFFFFF"/>
        </w:rPr>
        <w:t> </w:t>
      </w:r>
      <w:r>
        <w:rPr>
          <w:sz w:val="20"/>
          <w:szCs w:val="20"/>
          <w:shd w:val="clear" w:color="auto" w:fill="FFFFFF"/>
        </w:rPr>
        <w:t>is 12% prevalent in apparently healthy persons at metropolitan areas of Maiduguri. This warrants the need for community sensitization on Tinea infection and consistent prev</w:t>
      </w:r>
      <w:r>
        <w:rPr>
          <w:sz w:val="20"/>
          <w:szCs w:val="20"/>
          <w:shd w:val="clear" w:color="auto" w:fill="FFFFFF"/>
        </w:rPr>
        <w:t>entive measures through appropriate training of hairdressers on how to sterilize their work equipment.</w:t>
      </w:r>
    </w:p>
    <w:p w:rsidR="009112D4" w:rsidRDefault="006B1DCB">
      <w:pPr>
        <w:snapToGrid w:val="0"/>
        <w:jc w:val="both"/>
        <w:rPr>
          <w:sz w:val="20"/>
          <w:szCs w:val="20"/>
        </w:rPr>
      </w:pPr>
      <w:r>
        <w:rPr>
          <w:bCs/>
          <w:sz w:val="20"/>
          <w:szCs w:val="20"/>
        </w:rPr>
        <w:t>[</w:t>
      </w:r>
      <w:r>
        <w:rPr>
          <w:sz w:val="20"/>
          <w:szCs w:val="20"/>
        </w:rPr>
        <w:t>Mohammed Umoru Askira, Fatima Sangari, Ibrahim Hamidu Musa, Idris Abdullahi Nasir, Zanna Gujja Arjinoma.</w:t>
      </w:r>
      <w:r>
        <w:rPr>
          <w:rFonts w:hint="eastAsia"/>
          <w:b/>
          <w:bCs/>
          <w:sz w:val="20"/>
          <w:szCs w:val="20"/>
          <w:lang w:bidi="fa-IR"/>
        </w:rPr>
        <w:t xml:space="preserve"> </w:t>
      </w:r>
      <w:r>
        <w:rPr>
          <w:b/>
          <w:sz w:val="20"/>
          <w:szCs w:val="20"/>
        </w:rPr>
        <w:t xml:space="preserve">Profile of mycological agents of </w:t>
      </w:r>
      <w:r>
        <w:rPr>
          <w:b/>
          <w:i/>
          <w:sz w:val="20"/>
          <w:szCs w:val="20"/>
        </w:rPr>
        <w:t>Tinea capitis</w:t>
      </w:r>
      <w:r>
        <w:rPr>
          <w:b/>
          <w:sz w:val="20"/>
          <w:szCs w:val="20"/>
        </w:rPr>
        <w:t xml:space="preserve"> </w:t>
      </w:r>
      <w:r>
        <w:rPr>
          <w:b/>
          <w:sz w:val="20"/>
          <w:szCs w:val="20"/>
        </w:rPr>
        <w:t>among apparently healthy persons attending hairdressing saloons at Maiduguri metropolis, Nigeria</w:t>
      </w:r>
      <w:r>
        <w:rPr>
          <w:rFonts w:eastAsia="Times New Roman"/>
          <w:b/>
          <w:bCs/>
          <w:sz w:val="20"/>
          <w:szCs w:val="20"/>
          <w:lang w:bidi="fa-IR"/>
        </w:rPr>
        <w:t>.</w:t>
      </w:r>
      <w:r>
        <w:rPr>
          <w:bCs/>
          <w:i/>
          <w:sz w:val="20"/>
          <w:szCs w:val="20"/>
        </w:rPr>
        <w:t xml:space="preserve"> N Y Sci J</w:t>
      </w:r>
      <w:r>
        <w:rPr>
          <w:bCs/>
          <w:sz w:val="20"/>
          <w:szCs w:val="20"/>
        </w:rPr>
        <w:t xml:space="preserve"> </w:t>
      </w:r>
      <w:r>
        <w:rPr>
          <w:sz w:val="20"/>
          <w:szCs w:val="20"/>
        </w:rPr>
        <w:t>201</w:t>
      </w:r>
      <w:r>
        <w:rPr>
          <w:rFonts w:hint="eastAsia"/>
          <w:sz w:val="20"/>
          <w:szCs w:val="20"/>
        </w:rPr>
        <w:t>7</w:t>
      </w:r>
      <w:r>
        <w:rPr>
          <w:sz w:val="20"/>
          <w:szCs w:val="20"/>
        </w:rPr>
        <w:t>;</w:t>
      </w:r>
      <w:r>
        <w:rPr>
          <w:rFonts w:hint="eastAsia"/>
          <w:sz w:val="20"/>
          <w:szCs w:val="20"/>
        </w:rPr>
        <w:t>10</w:t>
      </w:r>
      <w:r>
        <w:rPr>
          <w:sz w:val="20"/>
          <w:szCs w:val="20"/>
        </w:rPr>
        <w:t>(</w:t>
      </w:r>
      <w:r>
        <w:rPr>
          <w:rFonts w:hint="eastAsia"/>
          <w:sz w:val="20"/>
          <w:szCs w:val="20"/>
        </w:rPr>
        <w:t>3</w:t>
      </w:r>
      <w:r>
        <w:rPr>
          <w:sz w:val="20"/>
          <w:szCs w:val="20"/>
        </w:rPr>
        <w:t>):</w:t>
      </w:r>
      <w:r>
        <w:rPr>
          <w:noProof/>
          <w:color w:val="000000"/>
          <w:sz w:val="20"/>
          <w:szCs w:val="20"/>
        </w:rPr>
        <w:t>55</w:t>
      </w:r>
      <w:r>
        <w:rPr>
          <w:color w:val="000000"/>
          <w:sz w:val="20"/>
          <w:szCs w:val="20"/>
        </w:rPr>
        <w:t>-</w:t>
      </w:r>
      <w:r>
        <w:rPr>
          <w:noProof/>
          <w:color w:val="000000"/>
          <w:sz w:val="20"/>
          <w:szCs w:val="20"/>
        </w:rPr>
        <w:t>59</w:t>
      </w:r>
      <w:r>
        <w:rPr>
          <w:sz w:val="20"/>
          <w:szCs w:val="20"/>
        </w:rPr>
        <w:t xml:space="preserve">]. </w:t>
      </w:r>
      <w:r>
        <w:rPr>
          <w:iCs/>
          <w:color w:val="000000"/>
          <w:sz w:val="20"/>
          <w:szCs w:val="20"/>
        </w:rPr>
        <w:t>ISSN 1554-0200 (print); ISSN 2375-723X (online)</w:t>
      </w:r>
      <w:r>
        <w:rPr>
          <w:sz w:val="20"/>
          <w:szCs w:val="20"/>
        </w:rPr>
        <w:t xml:space="preserve">. </w:t>
      </w:r>
      <w:hyperlink r:id="rId8" w:history="1">
        <w:r>
          <w:rPr>
            <w:rStyle w:val="Hyperlink"/>
            <w:sz w:val="20"/>
            <w:szCs w:val="20"/>
          </w:rPr>
          <w:t>http://www.sciencepub.net/newyork</w:t>
        </w:r>
      </w:hyperlink>
      <w:r>
        <w:rPr>
          <w:sz w:val="20"/>
          <w:szCs w:val="20"/>
        </w:rPr>
        <w:t xml:space="preserve">. </w:t>
      </w:r>
      <w:r>
        <w:rPr>
          <w:rFonts w:hint="eastAsia"/>
          <w:sz w:val="20"/>
          <w:szCs w:val="20"/>
          <w:lang w:eastAsia="zh-CN"/>
        </w:rPr>
        <w:t>7</w:t>
      </w:r>
      <w:r>
        <w:rPr>
          <w:rFonts w:hint="eastAsia"/>
          <w:sz w:val="20"/>
          <w:szCs w:val="20"/>
        </w:rPr>
        <w:t xml:space="preserve">. </w:t>
      </w:r>
      <w:r>
        <w:rPr>
          <w:color w:val="000000"/>
          <w:sz w:val="20"/>
          <w:szCs w:val="20"/>
          <w:shd w:val="clear" w:color="auto" w:fill="FFFFFF"/>
        </w:rPr>
        <w:t>doi:</w:t>
      </w:r>
      <w:hyperlink r:id="rId9" w:history="1">
        <w:r>
          <w:rPr>
            <w:rStyle w:val="Hyperlink"/>
            <w:sz w:val="20"/>
            <w:szCs w:val="20"/>
            <w:shd w:val="clear" w:color="auto" w:fill="FFFFFF"/>
          </w:rPr>
          <w:t>10.7537/mars</w:t>
        </w:r>
        <w:r>
          <w:rPr>
            <w:rStyle w:val="Hyperlink"/>
            <w:rFonts w:hint="eastAsia"/>
            <w:sz w:val="20"/>
            <w:szCs w:val="20"/>
            <w:shd w:val="clear" w:color="auto" w:fill="FFFFFF"/>
          </w:rPr>
          <w:t>nys100317.</w:t>
        </w:r>
        <w:r>
          <w:rPr>
            <w:rStyle w:val="Hyperlink"/>
            <w:sz w:val="20"/>
            <w:szCs w:val="20"/>
            <w:shd w:val="clear" w:color="auto" w:fill="FFFFFF"/>
          </w:rPr>
          <w:t>0</w:t>
        </w:r>
        <w:r>
          <w:rPr>
            <w:rStyle w:val="Hyperlink"/>
            <w:rFonts w:hint="eastAsia"/>
            <w:sz w:val="20"/>
            <w:szCs w:val="20"/>
            <w:shd w:val="clear" w:color="auto" w:fill="FFFFFF"/>
            <w:lang w:eastAsia="zh-CN"/>
          </w:rPr>
          <w:t>7</w:t>
        </w:r>
      </w:hyperlink>
      <w:r>
        <w:rPr>
          <w:color w:val="000000"/>
          <w:sz w:val="20"/>
          <w:szCs w:val="20"/>
          <w:shd w:val="clear" w:color="auto" w:fill="FFFFFF"/>
        </w:rPr>
        <w:t>.</w:t>
      </w:r>
    </w:p>
    <w:p w:rsidR="009112D4" w:rsidRDefault="009112D4">
      <w:pPr>
        <w:suppressAutoHyphens w:val="0"/>
        <w:snapToGrid w:val="0"/>
        <w:ind w:firstLine="425"/>
        <w:jc w:val="both"/>
        <w:rPr>
          <w:sz w:val="20"/>
          <w:szCs w:val="20"/>
          <w:lang w:eastAsia="zh-CN"/>
        </w:rPr>
      </w:pPr>
    </w:p>
    <w:p w:rsidR="009112D4" w:rsidRDefault="006B1DCB">
      <w:pPr>
        <w:suppressAutoHyphens w:val="0"/>
        <w:snapToGrid w:val="0"/>
        <w:jc w:val="both"/>
        <w:rPr>
          <w:sz w:val="20"/>
          <w:szCs w:val="20"/>
        </w:rPr>
      </w:pPr>
      <w:r>
        <w:rPr>
          <w:b/>
          <w:sz w:val="20"/>
          <w:szCs w:val="20"/>
        </w:rPr>
        <w:t xml:space="preserve">Keywords: </w:t>
      </w:r>
      <w:r>
        <w:rPr>
          <w:sz w:val="20"/>
          <w:szCs w:val="20"/>
        </w:rPr>
        <w:t>Dermatophytes, Mycology, Ringworm</w:t>
      </w:r>
    </w:p>
    <w:p w:rsidR="009112D4" w:rsidRDefault="009112D4">
      <w:pPr>
        <w:suppressAutoHyphens w:val="0"/>
        <w:snapToGrid w:val="0"/>
        <w:jc w:val="both"/>
        <w:rPr>
          <w:sz w:val="20"/>
          <w:szCs w:val="20"/>
        </w:rPr>
      </w:pPr>
    </w:p>
    <w:p w:rsidR="009112D4" w:rsidRDefault="009112D4">
      <w:pPr>
        <w:suppressAutoHyphens w:val="0"/>
        <w:snapToGrid w:val="0"/>
        <w:jc w:val="both"/>
        <w:rPr>
          <w:b/>
          <w:sz w:val="20"/>
          <w:szCs w:val="20"/>
        </w:rPr>
        <w:sectPr w:rsidR="009112D4">
          <w:headerReference w:type="even" r:id="rId10"/>
          <w:headerReference w:type="default" r:id="rId11"/>
          <w:footerReference w:type="even" r:id="rId12"/>
          <w:footerReference w:type="default" r:id="rId13"/>
          <w:headerReference w:type="first" r:id="rId14"/>
          <w:footnotePr>
            <w:pos w:val="beneathText"/>
          </w:footnotePr>
          <w:type w:val="continuous"/>
          <w:pgSz w:w="12240" w:h="15840" w:code="1"/>
          <w:pgMar w:top="1440" w:right="1440" w:bottom="1440" w:left="1440" w:header="720" w:footer="720" w:gutter="0"/>
          <w:pgNumType w:start="55"/>
          <w:cols w:space="720"/>
          <w:docGrid w:linePitch="360"/>
        </w:sectPr>
      </w:pPr>
    </w:p>
    <w:p w:rsidR="009112D4" w:rsidRDefault="006B1DCB">
      <w:pPr>
        <w:suppressAutoHyphens w:val="0"/>
        <w:snapToGrid w:val="0"/>
        <w:jc w:val="both"/>
        <w:rPr>
          <w:b/>
          <w:sz w:val="20"/>
          <w:szCs w:val="20"/>
        </w:rPr>
      </w:pPr>
      <w:r>
        <w:rPr>
          <w:b/>
          <w:sz w:val="20"/>
          <w:szCs w:val="20"/>
        </w:rPr>
        <w:lastRenderedPageBreak/>
        <w:t>Introduction</w:t>
      </w:r>
    </w:p>
    <w:p w:rsidR="009112D4" w:rsidRDefault="006B1DCB">
      <w:pPr>
        <w:suppressAutoHyphens w:val="0"/>
        <w:snapToGrid w:val="0"/>
        <w:ind w:firstLine="425"/>
        <w:jc w:val="both"/>
        <w:rPr>
          <w:sz w:val="20"/>
          <w:szCs w:val="20"/>
        </w:rPr>
      </w:pPr>
      <w:r>
        <w:rPr>
          <w:sz w:val="20"/>
          <w:szCs w:val="20"/>
        </w:rPr>
        <w:t xml:space="preserve">Dermatophytes are a unique group of fungi that infect keratinous tissues of lower animals and human (Weltzman </w:t>
      </w:r>
      <w:r>
        <w:rPr>
          <w:i/>
          <w:sz w:val="20"/>
          <w:szCs w:val="20"/>
        </w:rPr>
        <w:t>et al,,</w:t>
      </w:r>
      <w:r>
        <w:rPr>
          <w:sz w:val="20"/>
          <w:szCs w:val="20"/>
        </w:rPr>
        <w:t xml:space="preserve"> 1995). They are characterized by their ability to invade superficial layers of the epidermis, particularly the stratum coneum and high keratin concentration containing appendages, hair and nails of host tissues. In some exceptional circumstances they surv</w:t>
      </w:r>
      <w:r>
        <w:rPr>
          <w:sz w:val="20"/>
          <w:szCs w:val="20"/>
        </w:rPr>
        <w:t xml:space="preserve">ive or proliferate in deep tissues of the body (Fernandes </w:t>
      </w:r>
      <w:r>
        <w:rPr>
          <w:i/>
          <w:sz w:val="20"/>
          <w:szCs w:val="20"/>
        </w:rPr>
        <w:t>et al.,</w:t>
      </w:r>
      <w:r>
        <w:rPr>
          <w:sz w:val="20"/>
          <w:szCs w:val="20"/>
        </w:rPr>
        <w:t xml:space="preserve"> 2010).</w:t>
      </w:r>
    </w:p>
    <w:p w:rsidR="009112D4" w:rsidRDefault="006B1DCB">
      <w:pPr>
        <w:suppressAutoHyphens w:val="0"/>
        <w:snapToGrid w:val="0"/>
        <w:ind w:firstLine="425"/>
        <w:jc w:val="both"/>
        <w:rPr>
          <w:sz w:val="20"/>
          <w:szCs w:val="20"/>
        </w:rPr>
      </w:pPr>
      <w:r>
        <w:rPr>
          <w:sz w:val="20"/>
          <w:szCs w:val="20"/>
        </w:rPr>
        <w:t xml:space="preserve">Tinea capsitis also known as “Herpes tonsurans”, “Ringworm of the hair”, “Ringworm of the scalp”, “scalp ringworm and Tinea tonsurans” (Rapini </w:t>
      </w:r>
      <w:r>
        <w:rPr>
          <w:i/>
          <w:sz w:val="20"/>
          <w:szCs w:val="20"/>
        </w:rPr>
        <w:t>et al.,</w:t>
      </w:r>
      <w:r>
        <w:rPr>
          <w:sz w:val="20"/>
          <w:szCs w:val="20"/>
        </w:rPr>
        <w:t xml:space="preserve"> 2007) is a cutaneous fungal infe</w:t>
      </w:r>
      <w:r>
        <w:rPr>
          <w:sz w:val="20"/>
          <w:szCs w:val="20"/>
        </w:rPr>
        <w:t xml:space="preserve">ction (dermatophytosis) of the scalp (Freedberg </w:t>
      </w:r>
      <w:r>
        <w:rPr>
          <w:i/>
          <w:sz w:val="20"/>
          <w:szCs w:val="20"/>
        </w:rPr>
        <w:t>et al.,</w:t>
      </w:r>
      <w:r>
        <w:rPr>
          <w:sz w:val="20"/>
          <w:szCs w:val="20"/>
        </w:rPr>
        <w:t xml:space="preserve"> 2003). The disease is primarily caused by dermatophytes in the genera Trichophyton and Microsporum, which invade the hair shaft (Freedberg </w:t>
      </w:r>
      <w:r>
        <w:rPr>
          <w:i/>
          <w:sz w:val="20"/>
          <w:szCs w:val="20"/>
        </w:rPr>
        <w:t>et al.,</w:t>
      </w:r>
      <w:r>
        <w:rPr>
          <w:sz w:val="20"/>
          <w:szCs w:val="20"/>
        </w:rPr>
        <w:t xml:space="preserve"> 2003). The clinical presentation is typically single </w:t>
      </w:r>
      <w:r>
        <w:rPr>
          <w:sz w:val="20"/>
          <w:szCs w:val="20"/>
        </w:rPr>
        <w:t xml:space="preserve">or multiple patches of hair loss, sometimes with black dots, pattern inflammation, scaling, pustules and itching, uncommon in adults but predominantly seen </w:t>
      </w:r>
      <w:r>
        <w:rPr>
          <w:sz w:val="20"/>
          <w:szCs w:val="20"/>
        </w:rPr>
        <w:lastRenderedPageBreak/>
        <w:t xml:space="preserve">in pre-pubertal children more often in boys than girls (Menan </w:t>
      </w:r>
      <w:r>
        <w:rPr>
          <w:i/>
          <w:sz w:val="20"/>
          <w:szCs w:val="20"/>
        </w:rPr>
        <w:t>et al.,</w:t>
      </w:r>
      <w:r>
        <w:rPr>
          <w:sz w:val="20"/>
          <w:szCs w:val="20"/>
        </w:rPr>
        <w:t xml:space="preserve"> 2002).</w:t>
      </w:r>
    </w:p>
    <w:p w:rsidR="009112D4" w:rsidRDefault="006B1DCB">
      <w:pPr>
        <w:suppressAutoHyphens w:val="0"/>
        <w:snapToGrid w:val="0"/>
        <w:ind w:firstLine="425"/>
        <w:jc w:val="both"/>
        <w:rPr>
          <w:sz w:val="20"/>
          <w:szCs w:val="20"/>
        </w:rPr>
      </w:pPr>
      <w:r>
        <w:rPr>
          <w:i/>
          <w:sz w:val="20"/>
          <w:szCs w:val="20"/>
        </w:rPr>
        <w:t>Tinea capitis</w:t>
      </w:r>
      <w:r>
        <w:rPr>
          <w:sz w:val="20"/>
          <w:szCs w:val="20"/>
        </w:rPr>
        <w:t xml:space="preserve"> is an inf</w:t>
      </w:r>
      <w:r>
        <w:rPr>
          <w:sz w:val="20"/>
          <w:szCs w:val="20"/>
        </w:rPr>
        <w:t xml:space="preserve">ectious disease that can be transmitted from human-to- humans, animals-to-human (zoonosis) or objects that harbor the fungus to humans (Kundu </w:t>
      </w:r>
      <w:r>
        <w:rPr>
          <w:i/>
          <w:sz w:val="20"/>
          <w:szCs w:val="20"/>
        </w:rPr>
        <w:t>et al.,</w:t>
      </w:r>
      <w:r>
        <w:rPr>
          <w:sz w:val="20"/>
          <w:szCs w:val="20"/>
        </w:rPr>
        <w:t xml:space="preserve"> 2012). The fungus can also exist in a carrier state on the scalp without clinical symptomatology (Prescott</w:t>
      </w:r>
      <w:r>
        <w:rPr>
          <w:sz w:val="20"/>
          <w:szCs w:val="20"/>
        </w:rPr>
        <w:t xml:space="preserve"> </w:t>
      </w:r>
      <w:r>
        <w:rPr>
          <w:i/>
          <w:sz w:val="20"/>
          <w:szCs w:val="20"/>
        </w:rPr>
        <w:t>et al.,</w:t>
      </w:r>
      <w:r>
        <w:rPr>
          <w:sz w:val="20"/>
          <w:szCs w:val="20"/>
        </w:rPr>
        <w:t xml:space="preserve"> 1993). The distribution, frequency and etiological agents of dermatophytosis vary according to the geographical location, the climate variations, the socio-economic status of the population, the time of the study, the presence of domestic animals </w:t>
      </w:r>
      <w:r>
        <w:rPr>
          <w:sz w:val="20"/>
          <w:szCs w:val="20"/>
        </w:rPr>
        <w:t xml:space="preserve">and age of affected individual (Al -Rubiay </w:t>
      </w:r>
      <w:r>
        <w:rPr>
          <w:i/>
          <w:sz w:val="20"/>
          <w:szCs w:val="20"/>
        </w:rPr>
        <w:t>et al.,</w:t>
      </w:r>
      <w:r>
        <w:rPr>
          <w:sz w:val="20"/>
          <w:szCs w:val="20"/>
        </w:rPr>
        <w:t xml:space="preserve"> 2006).</w:t>
      </w:r>
    </w:p>
    <w:p w:rsidR="009112D4" w:rsidRDefault="006B1DCB">
      <w:pPr>
        <w:suppressAutoHyphens w:val="0"/>
        <w:snapToGrid w:val="0"/>
        <w:ind w:firstLine="425"/>
        <w:jc w:val="both"/>
        <w:rPr>
          <w:sz w:val="20"/>
          <w:szCs w:val="20"/>
        </w:rPr>
      </w:pPr>
      <w:r>
        <w:rPr>
          <w:sz w:val="20"/>
          <w:szCs w:val="20"/>
        </w:rPr>
        <w:t>Tinea Capitis may last into adult life since the organisms usually remain superficial with little potential for mortality (Ilkit, 2010). Disseminated systemic disease has been reported in patients w</w:t>
      </w:r>
      <w:r>
        <w:rPr>
          <w:sz w:val="20"/>
          <w:szCs w:val="20"/>
        </w:rPr>
        <w:t xml:space="preserve">ho are severely immune compromised (Ilkit, 2010). The incidence of </w:t>
      </w:r>
      <w:r>
        <w:rPr>
          <w:i/>
          <w:sz w:val="20"/>
          <w:szCs w:val="20"/>
        </w:rPr>
        <w:t>Tinea capitis</w:t>
      </w:r>
      <w:r>
        <w:rPr>
          <w:sz w:val="20"/>
          <w:szCs w:val="20"/>
        </w:rPr>
        <w:t xml:space="preserve"> may vary by sex, depending on the causative fungal organism, </w:t>
      </w:r>
      <w:r>
        <w:rPr>
          <w:i/>
          <w:sz w:val="20"/>
          <w:szCs w:val="20"/>
        </w:rPr>
        <w:t>Tinea capitis</w:t>
      </w:r>
      <w:r>
        <w:rPr>
          <w:sz w:val="20"/>
          <w:szCs w:val="20"/>
        </w:rPr>
        <w:t xml:space="preserve"> has been reported to be five-folds more common in males </w:t>
      </w:r>
      <w:r>
        <w:rPr>
          <w:sz w:val="20"/>
          <w:szCs w:val="20"/>
        </w:rPr>
        <w:lastRenderedPageBreak/>
        <w:t>than females after puberty. For example, Tri</w:t>
      </w:r>
      <w:r>
        <w:rPr>
          <w:sz w:val="20"/>
          <w:szCs w:val="20"/>
        </w:rPr>
        <w:t>chophyton infection of the scalp in adults in more in women than in Men (Ilkit, 2010). Age plays a predisposing factor of Tinea infection which occurs primarily in children and occasionally in adults, seen most commonly in children younger than 10 years pe</w:t>
      </w:r>
      <w:r>
        <w:rPr>
          <w:sz w:val="20"/>
          <w:szCs w:val="20"/>
        </w:rPr>
        <w:t>ek age and patient aged 3-7 years (Ilkit, 2010).</w:t>
      </w:r>
    </w:p>
    <w:p w:rsidR="009112D4" w:rsidRDefault="006B1DCB">
      <w:pPr>
        <w:suppressAutoHyphens w:val="0"/>
        <w:snapToGrid w:val="0"/>
        <w:ind w:firstLine="425"/>
        <w:jc w:val="both"/>
        <w:rPr>
          <w:sz w:val="20"/>
          <w:szCs w:val="20"/>
          <w:lang w:eastAsia="zh-CN"/>
        </w:rPr>
      </w:pPr>
      <w:r>
        <w:rPr>
          <w:sz w:val="20"/>
          <w:szCs w:val="20"/>
        </w:rPr>
        <w:t xml:space="preserve">Tinea capitis infections can also be common infections in men. It has remained a recurrent problem in both developed and developing countries in which many people are prone to infection where hair combs and </w:t>
      </w:r>
      <w:r>
        <w:rPr>
          <w:sz w:val="20"/>
          <w:szCs w:val="20"/>
        </w:rPr>
        <w:t xml:space="preserve">Hair Clippers are shared (David, et al., 2010). In view of this, the present study was carried out to isolate and identify fungal etiologies of </w:t>
      </w:r>
      <w:r>
        <w:rPr>
          <w:i/>
          <w:sz w:val="20"/>
          <w:szCs w:val="20"/>
        </w:rPr>
        <w:t>Tinea Capitis</w:t>
      </w:r>
      <w:r>
        <w:rPr>
          <w:sz w:val="20"/>
          <w:szCs w:val="20"/>
        </w:rPr>
        <w:t xml:space="preserve"> infection and to identify associated sociodemographic risk factors at Maiduguri metropolis, Borno </w:t>
      </w:r>
      <w:r>
        <w:rPr>
          <w:sz w:val="20"/>
          <w:szCs w:val="20"/>
        </w:rPr>
        <w:t>state, Nigeria.</w:t>
      </w:r>
    </w:p>
    <w:p w:rsidR="009112D4" w:rsidRDefault="009112D4">
      <w:pPr>
        <w:suppressAutoHyphens w:val="0"/>
        <w:snapToGrid w:val="0"/>
        <w:ind w:firstLine="425"/>
        <w:jc w:val="both"/>
        <w:rPr>
          <w:sz w:val="20"/>
          <w:szCs w:val="20"/>
          <w:lang w:eastAsia="zh-CN"/>
        </w:rPr>
      </w:pPr>
    </w:p>
    <w:p w:rsidR="009112D4" w:rsidRDefault="006B1DCB">
      <w:pPr>
        <w:suppressAutoHyphens w:val="0"/>
        <w:snapToGrid w:val="0"/>
        <w:jc w:val="both"/>
        <w:rPr>
          <w:b/>
          <w:sz w:val="20"/>
          <w:szCs w:val="20"/>
        </w:rPr>
      </w:pPr>
      <w:r>
        <w:rPr>
          <w:b/>
          <w:sz w:val="20"/>
          <w:szCs w:val="20"/>
        </w:rPr>
        <w:t>Materials And Methods</w:t>
      </w:r>
    </w:p>
    <w:p w:rsidR="009112D4" w:rsidRDefault="006B1DCB">
      <w:pPr>
        <w:suppressAutoHyphens w:val="0"/>
        <w:snapToGrid w:val="0"/>
        <w:jc w:val="both"/>
        <w:rPr>
          <w:b/>
          <w:sz w:val="20"/>
          <w:szCs w:val="20"/>
        </w:rPr>
      </w:pPr>
      <w:r>
        <w:rPr>
          <w:b/>
          <w:sz w:val="20"/>
          <w:szCs w:val="20"/>
        </w:rPr>
        <w:t>Study area and population</w:t>
      </w:r>
    </w:p>
    <w:p w:rsidR="009112D4" w:rsidRDefault="006B1DCB">
      <w:pPr>
        <w:suppressAutoHyphens w:val="0"/>
        <w:snapToGrid w:val="0"/>
        <w:ind w:firstLine="425"/>
        <w:jc w:val="both"/>
        <w:rPr>
          <w:sz w:val="20"/>
          <w:szCs w:val="20"/>
        </w:rPr>
      </w:pPr>
      <w:r>
        <w:rPr>
          <w:sz w:val="20"/>
          <w:szCs w:val="20"/>
        </w:rPr>
        <w:t>This is a descriptive cross-sectional study that was carried out in the mycology laboratory, University Of Maiduguri Teaching Hospital, Bomo State, Nigeria. The study was carried out within M</w:t>
      </w:r>
      <w:r>
        <w:rPr>
          <w:sz w:val="20"/>
          <w:szCs w:val="20"/>
        </w:rPr>
        <w:t>aiduguri metropolis, the capital city of Bomo state. Nigeria; it is situated in Northeastern Nigeria. It shares borders with neighboring countries such as Niger Republic, Chad and Cameroon. Within Nigeria, Maiduguri shares borders with other states which i</w:t>
      </w:r>
      <w:r>
        <w:rPr>
          <w:sz w:val="20"/>
          <w:szCs w:val="20"/>
        </w:rPr>
        <w:t>nclude Adamawa, Yobe and Gombe. Maiduguri has Sahel savannah vegetation. The temperature of Maiduguri ranges from 82°F to 111°F and average precipitation of 1.81 inch. The study population comprised of men and women of all age groups who go to salon during</w:t>
      </w:r>
      <w:r>
        <w:rPr>
          <w:sz w:val="20"/>
          <w:szCs w:val="20"/>
        </w:rPr>
        <w:t xml:space="preserve"> the period of study. A total of Twenty five (25) hairdressing saloons at Maiduguri Metropolis were used for this study.</w:t>
      </w:r>
    </w:p>
    <w:p w:rsidR="009112D4" w:rsidRDefault="006B1DCB">
      <w:pPr>
        <w:suppressAutoHyphens w:val="0"/>
        <w:snapToGrid w:val="0"/>
        <w:jc w:val="both"/>
        <w:rPr>
          <w:sz w:val="20"/>
          <w:szCs w:val="20"/>
        </w:rPr>
      </w:pPr>
      <w:r>
        <w:rPr>
          <w:b/>
          <w:bCs/>
          <w:sz w:val="20"/>
          <w:szCs w:val="20"/>
        </w:rPr>
        <w:t xml:space="preserve">Ethical approval: </w:t>
      </w:r>
      <w:r>
        <w:rPr>
          <w:sz w:val="20"/>
          <w:szCs w:val="20"/>
        </w:rPr>
        <w:t>Ethical clearance was obtained from the ethical research committee of the UMTH before commencement of the study. This</w:t>
      </w:r>
      <w:r>
        <w:rPr>
          <w:sz w:val="20"/>
          <w:szCs w:val="20"/>
        </w:rPr>
        <w:t xml:space="preserve"> study was conducted according to standard of human experimentation as contained on the declaration of Helsinki declaration. Informed consent was obtained from every subject before taking their specimen.</w:t>
      </w:r>
    </w:p>
    <w:p w:rsidR="009112D4" w:rsidRDefault="006B1DCB">
      <w:pPr>
        <w:suppressAutoHyphens w:val="0"/>
        <w:snapToGrid w:val="0"/>
        <w:jc w:val="both"/>
        <w:rPr>
          <w:b/>
          <w:sz w:val="20"/>
          <w:szCs w:val="20"/>
        </w:rPr>
      </w:pPr>
      <w:r>
        <w:rPr>
          <w:b/>
          <w:sz w:val="20"/>
          <w:szCs w:val="20"/>
        </w:rPr>
        <w:t>Inclusion criteria</w:t>
      </w:r>
    </w:p>
    <w:p w:rsidR="009112D4" w:rsidRDefault="006B1DCB">
      <w:pPr>
        <w:suppressAutoHyphens w:val="0"/>
        <w:snapToGrid w:val="0"/>
        <w:ind w:firstLine="425"/>
        <w:jc w:val="both"/>
        <w:rPr>
          <w:sz w:val="20"/>
          <w:szCs w:val="20"/>
        </w:rPr>
      </w:pPr>
      <w:r>
        <w:rPr>
          <w:sz w:val="20"/>
          <w:szCs w:val="20"/>
        </w:rPr>
        <w:t>All samples were collected from a</w:t>
      </w:r>
      <w:r>
        <w:rPr>
          <w:sz w:val="20"/>
          <w:szCs w:val="20"/>
        </w:rPr>
        <w:t>pparently healthy and consented persons attending either male or female saloons within the study period.</w:t>
      </w:r>
    </w:p>
    <w:p w:rsidR="009112D4" w:rsidRDefault="006B1DCB">
      <w:pPr>
        <w:suppressAutoHyphens w:val="0"/>
        <w:snapToGrid w:val="0"/>
        <w:jc w:val="both"/>
        <w:rPr>
          <w:b/>
          <w:sz w:val="20"/>
          <w:szCs w:val="20"/>
        </w:rPr>
      </w:pPr>
      <w:r>
        <w:rPr>
          <w:b/>
          <w:sz w:val="20"/>
          <w:szCs w:val="20"/>
        </w:rPr>
        <w:t>Exclusion criteria</w:t>
      </w:r>
    </w:p>
    <w:p w:rsidR="009112D4" w:rsidRDefault="006B1DCB">
      <w:pPr>
        <w:suppressAutoHyphens w:val="0"/>
        <w:snapToGrid w:val="0"/>
        <w:ind w:firstLine="425"/>
        <w:jc w:val="both"/>
        <w:rPr>
          <w:sz w:val="20"/>
          <w:szCs w:val="20"/>
        </w:rPr>
      </w:pPr>
      <w:r>
        <w:rPr>
          <w:sz w:val="20"/>
          <w:szCs w:val="20"/>
        </w:rPr>
        <w:t>All persons who declined to participate in the study were excluded.</w:t>
      </w:r>
    </w:p>
    <w:p w:rsidR="009112D4" w:rsidRDefault="006B1DCB">
      <w:pPr>
        <w:suppressAutoHyphens w:val="0"/>
        <w:snapToGrid w:val="0"/>
        <w:jc w:val="both"/>
        <w:rPr>
          <w:b/>
          <w:sz w:val="20"/>
          <w:szCs w:val="20"/>
        </w:rPr>
      </w:pPr>
      <w:r>
        <w:rPr>
          <w:b/>
          <w:sz w:val="20"/>
          <w:szCs w:val="20"/>
        </w:rPr>
        <w:t>Data collection</w:t>
      </w:r>
    </w:p>
    <w:p w:rsidR="009112D4" w:rsidRDefault="006B1DCB">
      <w:pPr>
        <w:suppressAutoHyphens w:val="0"/>
        <w:snapToGrid w:val="0"/>
        <w:ind w:firstLine="425"/>
        <w:jc w:val="both"/>
        <w:rPr>
          <w:sz w:val="20"/>
          <w:szCs w:val="20"/>
        </w:rPr>
      </w:pPr>
      <w:r>
        <w:rPr>
          <w:sz w:val="20"/>
          <w:szCs w:val="20"/>
        </w:rPr>
        <w:t>Questionnaires were used to collect data on demo</w:t>
      </w:r>
      <w:r>
        <w:rPr>
          <w:sz w:val="20"/>
          <w:szCs w:val="20"/>
        </w:rPr>
        <w:t xml:space="preserve">graphic risk factor such as age, sex, location, awareness of </w:t>
      </w:r>
      <w:r>
        <w:rPr>
          <w:i/>
          <w:sz w:val="20"/>
          <w:szCs w:val="20"/>
        </w:rPr>
        <w:t>Tinea capitis</w:t>
      </w:r>
      <w:r>
        <w:rPr>
          <w:sz w:val="20"/>
          <w:szCs w:val="20"/>
        </w:rPr>
        <w:t xml:space="preserve"> (ringworm), and presence of domestic animals</w:t>
      </w:r>
    </w:p>
    <w:p w:rsidR="009112D4" w:rsidRDefault="006B1DCB">
      <w:pPr>
        <w:suppressAutoHyphens w:val="0"/>
        <w:snapToGrid w:val="0"/>
        <w:jc w:val="both"/>
        <w:rPr>
          <w:b/>
          <w:sz w:val="20"/>
          <w:szCs w:val="20"/>
        </w:rPr>
      </w:pPr>
      <w:r>
        <w:rPr>
          <w:b/>
          <w:sz w:val="20"/>
          <w:szCs w:val="20"/>
        </w:rPr>
        <w:lastRenderedPageBreak/>
        <w:t>Sample collection and preparation</w:t>
      </w:r>
    </w:p>
    <w:p w:rsidR="009112D4" w:rsidRDefault="006B1DCB">
      <w:pPr>
        <w:suppressAutoHyphens w:val="0"/>
        <w:snapToGrid w:val="0"/>
        <w:ind w:firstLine="425"/>
        <w:jc w:val="both"/>
        <w:rPr>
          <w:sz w:val="20"/>
          <w:szCs w:val="20"/>
        </w:rPr>
      </w:pPr>
      <w:r>
        <w:rPr>
          <w:sz w:val="20"/>
          <w:szCs w:val="20"/>
        </w:rPr>
        <w:t>Samples were collected between May 2015 and June 2015. On a clean white sheet of paper, hair samples w</w:t>
      </w:r>
      <w:r>
        <w:rPr>
          <w:sz w:val="20"/>
          <w:szCs w:val="20"/>
        </w:rPr>
        <w:t xml:space="preserve">ere collected, wrapped and fastened with a paper clip stored at room temperature before analysis. </w:t>
      </w:r>
      <w:r>
        <w:rPr>
          <w:bCs/>
          <w:sz w:val="20"/>
          <w:szCs w:val="20"/>
        </w:rPr>
        <w:t>T</w:t>
      </w:r>
      <w:r>
        <w:rPr>
          <w:sz w:val="20"/>
          <w:szCs w:val="20"/>
        </w:rPr>
        <w:t>he samples were inoculated onto petri dishes container Saboroud</w:t>
      </w:r>
      <w:r>
        <w:rPr>
          <w:sz w:val="20"/>
          <w:szCs w:val="20"/>
        </w:rPr>
        <w:t xml:space="preserve"> Dextrose Agar (SDA) using streaking method with a disposable applicator stick. The inoculated plated were incubated at room temperature for four weeks. Each different appearing culture was transferred with a sterile needle to a slide, teased apart and sta</w:t>
      </w:r>
      <w:r>
        <w:rPr>
          <w:sz w:val="20"/>
          <w:szCs w:val="20"/>
        </w:rPr>
        <w:t xml:space="preserve">ined with lactophenol cotton blue and examined microscopically. All observed colonies were subcultured to obtain pure cultures which were subsequently isolated and identified using morphological characteristics, spore formation, the production of fruiting </w:t>
      </w:r>
      <w:r>
        <w:rPr>
          <w:sz w:val="20"/>
          <w:szCs w:val="20"/>
        </w:rPr>
        <w:t>bodies and biochemical reactions. More so, colony identification was made easier by the use of mycology atlas.</w:t>
      </w:r>
    </w:p>
    <w:p w:rsidR="009112D4" w:rsidRDefault="006B1DCB">
      <w:pPr>
        <w:suppressAutoHyphens w:val="0"/>
        <w:autoSpaceDE w:val="0"/>
        <w:autoSpaceDN w:val="0"/>
        <w:adjustRightInd w:val="0"/>
        <w:snapToGrid w:val="0"/>
        <w:jc w:val="both"/>
        <w:rPr>
          <w:b/>
          <w:bCs/>
          <w:color w:val="000000"/>
          <w:sz w:val="20"/>
          <w:szCs w:val="20"/>
        </w:rPr>
      </w:pPr>
      <w:r>
        <w:rPr>
          <w:b/>
          <w:bCs/>
          <w:color w:val="000000"/>
          <w:sz w:val="20"/>
          <w:szCs w:val="20"/>
        </w:rPr>
        <w:t>Procedure for fungal identification</w:t>
      </w:r>
    </w:p>
    <w:p w:rsidR="009112D4" w:rsidRDefault="006B1DCB">
      <w:pPr>
        <w:suppressAutoHyphens w:val="0"/>
        <w:autoSpaceDE w:val="0"/>
        <w:autoSpaceDN w:val="0"/>
        <w:adjustRightInd w:val="0"/>
        <w:snapToGrid w:val="0"/>
        <w:jc w:val="both"/>
        <w:rPr>
          <w:b/>
          <w:bCs/>
          <w:sz w:val="20"/>
          <w:szCs w:val="20"/>
        </w:rPr>
      </w:pPr>
      <w:r>
        <w:rPr>
          <w:b/>
          <w:bCs/>
          <w:i/>
          <w:sz w:val="20"/>
          <w:szCs w:val="20"/>
        </w:rPr>
        <w:t>KOH Wet Mount:</w:t>
      </w:r>
      <w:r>
        <w:rPr>
          <w:b/>
          <w:bCs/>
          <w:sz w:val="20"/>
          <w:szCs w:val="20"/>
        </w:rPr>
        <w:t xml:space="preserve"> </w:t>
      </w:r>
      <w:r>
        <w:rPr>
          <w:sz w:val="20"/>
          <w:szCs w:val="20"/>
        </w:rPr>
        <w:t>A clean</w:t>
      </w:r>
      <w:r>
        <w:rPr>
          <w:sz w:val="20"/>
          <w:szCs w:val="20"/>
        </w:rPr>
        <w:t xml:space="preserve"> grease – free glass slide was taken and a large drop of KOH solution was placed on the slide with a Pasteur</w:t>
      </w:r>
      <w:r>
        <w:rPr>
          <w:b/>
          <w:bCs/>
          <w:sz w:val="20"/>
          <w:szCs w:val="20"/>
        </w:rPr>
        <w:t xml:space="preserve"> </w:t>
      </w:r>
      <w:r>
        <w:rPr>
          <w:sz w:val="20"/>
          <w:szCs w:val="20"/>
        </w:rPr>
        <w:t>pipette. Small quantity of the specimen was transferred with a loop into the KOH drop. A clean covership was then placed over the preparation gentl</w:t>
      </w:r>
      <w:r>
        <w:rPr>
          <w:sz w:val="20"/>
          <w:szCs w:val="20"/>
        </w:rPr>
        <w:t>y to avoid air bubble. The slide was kept in a moist chamber at room temperature for 15 minutes and then observed under X10 and X40 objectives.</w:t>
      </w:r>
    </w:p>
    <w:p w:rsidR="009112D4" w:rsidRDefault="006B1DCB">
      <w:pPr>
        <w:suppressAutoHyphens w:val="0"/>
        <w:autoSpaceDE w:val="0"/>
        <w:autoSpaceDN w:val="0"/>
        <w:adjustRightInd w:val="0"/>
        <w:snapToGrid w:val="0"/>
        <w:jc w:val="both"/>
        <w:rPr>
          <w:i/>
          <w:color w:val="000000"/>
          <w:sz w:val="20"/>
          <w:szCs w:val="20"/>
        </w:rPr>
      </w:pPr>
      <w:r>
        <w:rPr>
          <w:b/>
          <w:bCs/>
          <w:i/>
          <w:color w:val="000000"/>
          <w:sz w:val="20"/>
          <w:szCs w:val="20"/>
        </w:rPr>
        <w:t>Lactophenol cotton blue staining (Needle mounts preparation)</w:t>
      </w:r>
    </w:p>
    <w:p w:rsidR="009112D4" w:rsidRDefault="006B1DCB">
      <w:pPr>
        <w:pStyle w:val="Default"/>
        <w:snapToGrid w:val="0"/>
        <w:ind w:firstLine="425"/>
        <w:jc w:val="both"/>
        <w:rPr>
          <w:rFonts w:ascii="Times New Roman" w:hAnsi="Times New Roman" w:cs="Times New Roman"/>
          <w:sz w:val="20"/>
          <w:szCs w:val="20"/>
        </w:rPr>
      </w:pPr>
      <w:r>
        <w:rPr>
          <w:rFonts w:ascii="Times New Roman" w:hAnsi="Times New Roman" w:cs="Times New Roman"/>
          <w:sz w:val="20"/>
          <w:szCs w:val="20"/>
        </w:rPr>
        <w:t xml:space="preserve">A drop of Lactophenol cotton blue stain was placed </w:t>
      </w:r>
      <w:r>
        <w:rPr>
          <w:rFonts w:ascii="Times New Roman" w:hAnsi="Times New Roman" w:cs="Times New Roman"/>
          <w:sz w:val="20"/>
          <w:szCs w:val="20"/>
        </w:rPr>
        <w:t>on a clean grease-free glass slide. A small fragment of cottony, woolly or powdery colony was picked at mid-point of culture using a sterile straight wire and of stain and culture wad obtained. A clean cover slip was applied avoiding air bubbles. Excess st</w:t>
      </w:r>
      <w:r>
        <w:rPr>
          <w:rFonts w:ascii="Times New Roman" w:hAnsi="Times New Roman" w:cs="Times New Roman"/>
          <w:sz w:val="20"/>
          <w:szCs w:val="20"/>
        </w:rPr>
        <w:t>ain was removed with blotting paper and the preparation was examined using x10 and x40 objectives of the microscope respectively. Microconidia, macroconidia, chlamydiospores and hyphae which appeared spiral, pertinate, antler-like structures were investiga</w:t>
      </w:r>
      <w:r>
        <w:rPr>
          <w:rFonts w:ascii="Times New Roman" w:hAnsi="Times New Roman" w:cs="Times New Roman"/>
          <w:sz w:val="20"/>
          <w:szCs w:val="20"/>
        </w:rPr>
        <w:t>ted. Features seen in stained slide were compared with established characteristic fungal features using mycology atlases.</w:t>
      </w:r>
    </w:p>
    <w:p w:rsidR="009112D4" w:rsidRDefault="006B1DCB">
      <w:pPr>
        <w:suppressAutoHyphens w:val="0"/>
        <w:snapToGrid w:val="0"/>
        <w:jc w:val="both"/>
        <w:rPr>
          <w:b/>
          <w:sz w:val="20"/>
          <w:szCs w:val="20"/>
        </w:rPr>
      </w:pPr>
      <w:r>
        <w:rPr>
          <w:b/>
          <w:sz w:val="20"/>
          <w:szCs w:val="20"/>
        </w:rPr>
        <w:t>Statistical analysis</w:t>
      </w:r>
    </w:p>
    <w:p w:rsidR="009112D4" w:rsidRDefault="006B1DCB">
      <w:pPr>
        <w:suppressAutoHyphens w:val="0"/>
        <w:snapToGrid w:val="0"/>
        <w:ind w:firstLine="425"/>
        <w:jc w:val="both"/>
        <w:rPr>
          <w:sz w:val="20"/>
          <w:szCs w:val="20"/>
          <w:lang w:eastAsia="zh-CN"/>
        </w:rPr>
      </w:pPr>
      <w:r>
        <w:rPr>
          <w:sz w:val="20"/>
          <w:szCs w:val="20"/>
        </w:rPr>
        <w:t xml:space="preserve">The data obtained from the questionnaire and the result of laboratory analysis were entered into Microsoft excel </w:t>
      </w:r>
      <w:r>
        <w:rPr>
          <w:sz w:val="20"/>
          <w:szCs w:val="20"/>
        </w:rPr>
        <w:t>and analyzed using SPSS (statistical package for social science version 20). The results obtained were reduced to percentage, tables and figures. The Pearson chi square test at 95% confidence interval and 0.05 level of significance was used to determine th</w:t>
      </w:r>
      <w:r>
        <w:rPr>
          <w:sz w:val="20"/>
          <w:szCs w:val="20"/>
        </w:rPr>
        <w:t>e relationship between the demographic data and prevalence rates. P values less than 0.05 was considered significant.</w:t>
      </w:r>
    </w:p>
    <w:p w:rsidR="009112D4" w:rsidRDefault="006B1DCB">
      <w:pPr>
        <w:suppressAutoHyphens w:val="0"/>
        <w:snapToGrid w:val="0"/>
        <w:jc w:val="both"/>
        <w:rPr>
          <w:sz w:val="20"/>
          <w:szCs w:val="20"/>
        </w:rPr>
      </w:pPr>
      <w:r>
        <w:rPr>
          <w:b/>
          <w:sz w:val="20"/>
          <w:szCs w:val="20"/>
        </w:rPr>
        <w:lastRenderedPageBreak/>
        <w:t>Results</w:t>
      </w:r>
    </w:p>
    <w:p w:rsidR="009112D4" w:rsidRDefault="006B1DCB">
      <w:pPr>
        <w:suppressAutoHyphens w:val="0"/>
        <w:snapToGrid w:val="0"/>
        <w:ind w:firstLine="425"/>
        <w:jc w:val="both"/>
        <w:rPr>
          <w:sz w:val="20"/>
          <w:szCs w:val="20"/>
        </w:rPr>
      </w:pPr>
      <w:r>
        <w:rPr>
          <w:sz w:val="20"/>
          <w:szCs w:val="20"/>
        </w:rPr>
        <w:t>Hundred (100) apparently healthy individuals participated in this study comprising of 50(50%) males and 50(50%) females. The fung</w:t>
      </w:r>
      <w:r>
        <w:rPr>
          <w:sz w:val="20"/>
          <w:szCs w:val="20"/>
        </w:rPr>
        <w:t xml:space="preserve">ui associasted with </w:t>
      </w:r>
      <w:r>
        <w:rPr>
          <w:i/>
          <w:sz w:val="20"/>
          <w:szCs w:val="20"/>
        </w:rPr>
        <w:t>Tinea capitis</w:t>
      </w:r>
      <w:r>
        <w:rPr>
          <w:sz w:val="20"/>
          <w:szCs w:val="20"/>
        </w:rPr>
        <w:t xml:space="preserve"> was isolated in 16 (16%) of subjects, viz; 12(12%) were </w:t>
      </w:r>
      <w:r>
        <w:rPr>
          <w:i/>
          <w:sz w:val="20"/>
          <w:szCs w:val="20"/>
        </w:rPr>
        <w:t>Trichophyton spp</w:t>
      </w:r>
      <w:r>
        <w:rPr>
          <w:sz w:val="20"/>
          <w:szCs w:val="20"/>
        </w:rPr>
        <w:t xml:space="preserve"> and 4(4%) were </w:t>
      </w:r>
      <w:r>
        <w:rPr>
          <w:i/>
          <w:sz w:val="20"/>
          <w:szCs w:val="20"/>
        </w:rPr>
        <w:t>Microsporum spp</w:t>
      </w:r>
      <w:r>
        <w:rPr>
          <w:sz w:val="20"/>
          <w:szCs w:val="20"/>
        </w:rPr>
        <w:t xml:space="preserve">. Sex distribution of Tinea Capitis showed relatively higher prevalence of </w:t>
      </w:r>
      <w:r>
        <w:rPr>
          <w:i/>
          <w:sz w:val="20"/>
          <w:szCs w:val="20"/>
        </w:rPr>
        <w:t>T capitis</w:t>
      </w:r>
      <w:r>
        <w:rPr>
          <w:sz w:val="20"/>
          <w:szCs w:val="20"/>
        </w:rPr>
        <w:t xml:space="preserve"> in males than females with 9 (9%) </w:t>
      </w:r>
      <w:r>
        <w:rPr>
          <w:sz w:val="20"/>
          <w:szCs w:val="20"/>
        </w:rPr>
        <w:t>and 7(7%) respectively (Table l). However, there was no statistical association between the prevalence of T. capitis and gender of subjects (p&gt;0.005).</w:t>
      </w:r>
    </w:p>
    <w:p w:rsidR="009112D4" w:rsidRDefault="006B1DCB">
      <w:pPr>
        <w:suppressAutoHyphens w:val="0"/>
        <w:snapToGrid w:val="0"/>
        <w:ind w:firstLine="425"/>
        <w:jc w:val="both"/>
        <w:rPr>
          <w:sz w:val="20"/>
          <w:szCs w:val="20"/>
        </w:rPr>
      </w:pPr>
      <w:r>
        <w:rPr>
          <w:i/>
          <w:sz w:val="20"/>
          <w:szCs w:val="20"/>
        </w:rPr>
        <w:t>Tinea Capitis</w:t>
      </w:r>
      <w:r>
        <w:rPr>
          <w:sz w:val="20"/>
          <w:szCs w:val="20"/>
        </w:rPr>
        <w:t xml:space="preserve"> infection in relation to keeping of domesticated animals showed equal distribution and prev</w:t>
      </w:r>
      <w:r>
        <w:rPr>
          <w:sz w:val="20"/>
          <w:szCs w:val="20"/>
        </w:rPr>
        <w:t xml:space="preserve">alence of T. capitis in subjects who keep domesticated animals and those who do not keep </w:t>
      </w:r>
      <w:r>
        <w:rPr>
          <w:sz w:val="20"/>
          <w:szCs w:val="20"/>
        </w:rPr>
        <w:lastRenderedPageBreak/>
        <w:t xml:space="preserve">domesticated animals. Out of this, 8% of </w:t>
      </w:r>
      <w:r>
        <w:rPr>
          <w:i/>
          <w:sz w:val="20"/>
          <w:szCs w:val="20"/>
        </w:rPr>
        <w:t>Tinea capitis</w:t>
      </w:r>
      <w:r>
        <w:rPr>
          <w:sz w:val="20"/>
          <w:szCs w:val="20"/>
        </w:rPr>
        <w:t xml:space="preserve"> was isolated from both respectively. There was no statistical significance association between keeping  domestic</w:t>
      </w:r>
      <w:r>
        <w:rPr>
          <w:sz w:val="20"/>
          <w:szCs w:val="20"/>
        </w:rPr>
        <w:t xml:space="preserve">ated animal and </w:t>
      </w:r>
      <w:r>
        <w:rPr>
          <w:i/>
          <w:sz w:val="20"/>
          <w:szCs w:val="20"/>
        </w:rPr>
        <w:t xml:space="preserve">Tinea capitis </w:t>
      </w:r>
      <w:r>
        <w:rPr>
          <w:sz w:val="20"/>
          <w:szCs w:val="20"/>
        </w:rPr>
        <w:t>infection (P &gt;0.05) (Table 2).</w:t>
      </w:r>
    </w:p>
    <w:p w:rsidR="009112D4" w:rsidRDefault="006B1DCB">
      <w:pPr>
        <w:suppressAutoHyphens w:val="0"/>
        <w:snapToGrid w:val="0"/>
        <w:ind w:firstLine="425"/>
        <w:jc w:val="both"/>
        <w:rPr>
          <w:sz w:val="20"/>
          <w:szCs w:val="20"/>
        </w:rPr>
      </w:pPr>
      <w:r>
        <w:rPr>
          <w:sz w:val="20"/>
          <w:szCs w:val="20"/>
        </w:rPr>
        <w:t xml:space="preserve">The prevalence of isolates according to age group showed that subjects within 6-l0 years had the highest prevalence of </w:t>
      </w:r>
      <w:r>
        <w:rPr>
          <w:i/>
          <w:sz w:val="20"/>
          <w:szCs w:val="20"/>
        </w:rPr>
        <w:t>T capitis</w:t>
      </w:r>
      <w:r>
        <w:rPr>
          <w:sz w:val="20"/>
          <w:szCs w:val="20"/>
        </w:rPr>
        <w:t xml:space="preserve">, followed by those within 11-15 years 7 (, 21-25 years and none in those between 26-30and 36-40years. There was statistical association between the prevalence of </w:t>
      </w:r>
      <w:r>
        <w:rPr>
          <w:i/>
          <w:sz w:val="20"/>
          <w:szCs w:val="20"/>
        </w:rPr>
        <w:t xml:space="preserve">T capitis </w:t>
      </w:r>
      <w:r>
        <w:rPr>
          <w:sz w:val="20"/>
          <w:szCs w:val="20"/>
        </w:rPr>
        <w:t xml:space="preserve">and age of subjects (P&lt;0.05) (Table 3). The level of awareness of </w:t>
      </w:r>
      <w:r>
        <w:rPr>
          <w:i/>
          <w:sz w:val="20"/>
          <w:szCs w:val="20"/>
        </w:rPr>
        <w:t>Tinea capitis</w:t>
      </w:r>
      <w:r>
        <w:rPr>
          <w:sz w:val="20"/>
          <w:szCs w:val="20"/>
        </w:rPr>
        <w:t xml:space="preserve"> amo</w:t>
      </w:r>
      <w:r>
        <w:rPr>
          <w:sz w:val="20"/>
          <w:szCs w:val="20"/>
        </w:rPr>
        <w:t>ng the 100 subject that subjects was 45(45%) were aware of this condition and 55 (55%) were unaware (Table 4).</w:t>
      </w:r>
    </w:p>
    <w:p w:rsidR="009112D4" w:rsidRDefault="009112D4">
      <w:pPr>
        <w:suppressAutoHyphens w:val="0"/>
        <w:snapToGrid w:val="0"/>
        <w:ind w:firstLine="425"/>
        <w:jc w:val="both"/>
        <w:rPr>
          <w:sz w:val="20"/>
          <w:szCs w:val="20"/>
        </w:rPr>
        <w:sectPr w:rsidR="009112D4">
          <w:footnotePr>
            <w:pos w:val="beneathText"/>
          </w:footnotePr>
          <w:type w:val="continuous"/>
          <w:pgSz w:w="12240" w:h="15840" w:code="1"/>
          <w:pgMar w:top="1440" w:right="1440" w:bottom="1440" w:left="1440" w:header="720" w:footer="720" w:gutter="0"/>
          <w:cols w:num="2" w:space="600"/>
          <w:docGrid w:linePitch="360"/>
        </w:sectPr>
      </w:pPr>
    </w:p>
    <w:p w:rsidR="009112D4" w:rsidRDefault="009112D4">
      <w:pPr>
        <w:suppressAutoHyphens w:val="0"/>
        <w:snapToGrid w:val="0"/>
        <w:ind w:firstLine="425"/>
        <w:jc w:val="both"/>
        <w:rPr>
          <w:sz w:val="20"/>
          <w:szCs w:val="20"/>
        </w:rPr>
      </w:pPr>
    </w:p>
    <w:p w:rsidR="009112D4" w:rsidRDefault="006B1DCB">
      <w:pPr>
        <w:suppressAutoHyphens w:val="0"/>
        <w:snapToGrid w:val="0"/>
        <w:jc w:val="center"/>
        <w:rPr>
          <w:sz w:val="20"/>
          <w:szCs w:val="20"/>
        </w:rPr>
      </w:pPr>
      <w:r>
        <w:rPr>
          <w:sz w:val="20"/>
          <w:szCs w:val="20"/>
        </w:rPr>
        <w:t>Table 1: Distribution of isolates according to sex</w:t>
      </w:r>
    </w:p>
    <w:tbl>
      <w:tblPr>
        <w:tblW w:w="0" w:type="auto"/>
        <w:jc w:val="center"/>
        <w:tblBorders>
          <w:top w:val="single" w:sz="4" w:space="0" w:color="auto"/>
          <w:bottom w:val="single" w:sz="4" w:space="0" w:color="auto"/>
        </w:tblBorders>
        <w:tblLook w:val="04A0"/>
      </w:tblPr>
      <w:tblGrid>
        <w:gridCol w:w="2394"/>
        <w:gridCol w:w="2394"/>
        <w:gridCol w:w="2394"/>
        <w:gridCol w:w="2394"/>
      </w:tblGrid>
      <w:tr w:rsidR="009112D4">
        <w:trPr>
          <w:jc w:val="center"/>
        </w:trPr>
        <w:tc>
          <w:tcPr>
            <w:tcW w:w="2394" w:type="dxa"/>
            <w:tcBorders>
              <w:top w:val="single" w:sz="4" w:space="0" w:color="auto"/>
              <w:bottom w:val="single" w:sz="4" w:space="0" w:color="auto"/>
            </w:tcBorders>
            <w:shd w:val="clear" w:color="auto" w:fill="auto"/>
          </w:tcPr>
          <w:p w:rsidR="009112D4" w:rsidRDefault="006B1DCB">
            <w:pPr>
              <w:suppressAutoHyphens w:val="0"/>
              <w:snapToGrid w:val="0"/>
              <w:jc w:val="both"/>
              <w:rPr>
                <w:color w:val="000000"/>
                <w:sz w:val="20"/>
                <w:szCs w:val="20"/>
              </w:rPr>
            </w:pPr>
            <w:r>
              <w:rPr>
                <w:color w:val="000000"/>
                <w:sz w:val="20"/>
                <w:szCs w:val="20"/>
              </w:rPr>
              <w:t>Isolate</w:t>
            </w:r>
          </w:p>
        </w:tc>
        <w:tc>
          <w:tcPr>
            <w:tcW w:w="2394" w:type="dxa"/>
            <w:tcBorders>
              <w:top w:val="single" w:sz="4" w:space="0" w:color="auto"/>
              <w:bottom w:val="single" w:sz="4" w:space="0" w:color="auto"/>
            </w:tcBorders>
            <w:shd w:val="clear" w:color="auto" w:fill="auto"/>
          </w:tcPr>
          <w:p w:rsidR="009112D4" w:rsidRDefault="006B1DCB">
            <w:pPr>
              <w:suppressAutoHyphens w:val="0"/>
              <w:snapToGrid w:val="0"/>
              <w:jc w:val="both"/>
              <w:rPr>
                <w:color w:val="000000"/>
                <w:sz w:val="20"/>
                <w:szCs w:val="20"/>
              </w:rPr>
            </w:pPr>
            <w:r>
              <w:rPr>
                <w:color w:val="000000"/>
                <w:sz w:val="20"/>
                <w:szCs w:val="20"/>
              </w:rPr>
              <w:t>Male</w:t>
            </w:r>
          </w:p>
        </w:tc>
        <w:tc>
          <w:tcPr>
            <w:tcW w:w="2394" w:type="dxa"/>
            <w:tcBorders>
              <w:top w:val="single" w:sz="4" w:space="0" w:color="auto"/>
              <w:bottom w:val="single" w:sz="4" w:space="0" w:color="auto"/>
            </w:tcBorders>
            <w:shd w:val="clear" w:color="auto" w:fill="auto"/>
          </w:tcPr>
          <w:p w:rsidR="009112D4" w:rsidRDefault="006B1DCB">
            <w:pPr>
              <w:suppressAutoHyphens w:val="0"/>
              <w:snapToGrid w:val="0"/>
              <w:jc w:val="both"/>
              <w:rPr>
                <w:color w:val="000000"/>
                <w:sz w:val="20"/>
                <w:szCs w:val="20"/>
              </w:rPr>
            </w:pPr>
            <w:r>
              <w:rPr>
                <w:color w:val="000000"/>
                <w:sz w:val="20"/>
                <w:szCs w:val="20"/>
              </w:rPr>
              <w:t>Female</w:t>
            </w:r>
          </w:p>
        </w:tc>
        <w:tc>
          <w:tcPr>
            <w:tcW w:w="2394" w:type="dxa"/>
            <w:tcBorders>
              <w:top w:val="single" w:sz="4" w:space="0" w:color="auto"/>
              <w:bottom w:val="single" w:sz="4" w:space="0" w:color="auto"/>
            </w:tcBorders>
            <w:shd w:val="clear" w:color="auto" w:fill="auto"/>
          </w:tcPr>
          <w:p w:rsidR="009112D4" w:rsidRDefault="006B1DCB">
            <w:pPr>
              <w:suppressAutoHyphens w:val="0"/>
              <w:snapToGrid w:val="0"/>
              <w:jc w:val="both"/>
              <w:rPr>
                <w:color w:val="000000"/>
                <w:sz w:val="20"/>
                <w:szCs w:val="20"/>
              </w:rPr>
            </w:pPr>
            <w:r>
              <w:rPr>
                <w:color w:val="000000"/>
                <w:sz w:val="20"/>
                <w:szCs w:val="20"/>
              </w:rPr>
              <w:t>Total</w:t>
            </w:r>
          </w:p>
        </w:tc>
      </w:tr>
      <w:tr w:rsidR="009112D4">
        <w:trPr>
          <w:jc w:val="center"/>
        </w:trPr>
        <w:tc>
          <w:tcPr>
            <w:tcW w:w="2394" w:type="dxa"/>
            <w:tcBorders>
              <w:top w:val="single" w:sz="4" w:space="0" w:color="auto"/>
            </w:tcBorders>
            <w:shd w:val="clear" w:color="auto" w:fill="auto"/>
          </w:tcPr>
          <w:p w:rsidR="009112D4" w:rsidRDefault="006B1DCB">
            <w:pPr>
              <w:suppressAutoHyphens w:val="0"/>
              <w:snapToGrid w:val="0"/>
              <w:jc w:val="both"/>
              <w:rPr>
                <w:color w:val="000000"/>
                <w:sz w:val="20"/>
                <w:szCs w:val="20"/>
              </w:rPr>
            </w:pPr>
            <w:r>
              <w:rPr>
                <w:color w:val="000000"/>
                <w:sz w:val="20"/>
                <w:szCs w:val="20"/>
              </w:rPr>
              <w:t>Mixed growth</w:t>
            </w:r>
          </w:p>
        </w:tc>
        <w:tc>
          <w:tcPr>
            <w:tcW w:w="2394" w:type="dxa"/>
            <w:tcBorders>
              <w:top w:val="single" w:sz="4" w:space="0" w:color="auto"/>
            </w:tcBorders>
            <w:shd w:val="clear" w:color="auto" w:fill="auto"/>
          </w:tcPr>
          <w:p w:rsidR="009112D4" w:rsidRDefault="006B1DCB">
            <w:pPr>
              <w:suppressAutoHyphens w:val="0"/>
              <w:snapToGrid w:val="0"/>
              <w:jc w:val="both"/>
              <w:rPr>
                <w:color w:val="000000"/>
                <w:sz w:val="20"/>
                <w:szCs w:val="20"/>
              </w:rPr>
            </w:pPr>
            <w:r>
              <w:rPr>
                <w:color w:val="000000"/>
                <w:sz w:val="20"/>
                <w:szCs w:val="20"/>
              </w:rPr>
              <w:t>41</w:t>
            </w:r>
          </w:p>
        </w:tc>
        <w:tc>
          <w:tcPr>
            <w:tcW w:w="2394" w:type="dxa"/>
            <w:tcBorders>
              <w:top w:val="single" w:sz="4" w:space="0" w:color="auto"/>
            </w:tcBorders>
            <w:shd w:val="clear" w:color="auto" w:fill="auto"/>
          </w:tcPr>
          <w:p w:rsidR="009112D4" w:rsidRDefault="006B1DCB">
            <w:pPr>
              <w:suppressAutoHyphens w:val="0"/>
              <w:snapToGrid w:val="0"/>
              <w:jc w:val="both"/>
              <w:rPr>
                <w:color w:val="000000"/>
                <w:sz w:val="20"/>
                <w:szCs w:val="20"/>
              </w:rPr>
            </w:pPr>
            <w:r>
              <w:rPr>
                <w:color w:val="000000"/>
                <w:sz w:val="20"/>
                <w:szCs w:val="20"/>
              </w:rPr>
              <w:t>43</w:t>
            </w:r>
          </w:p>
        </w:tc>
        <w:tc>
          <w:tcPr>
            <w:tcW w:w="2394" w:type="dxa"/>
            <w:tcBorders>
              <w:top w:val="single" w:sz="4" w:space="0" w:color="auto"/>
            </w:tcBorders>
            <w:shd w:val="clear" w:color="auto" w:fill="auto"/>
          </w:tcPr>
          <w:p w:rsidR="009112D4" w:rsidRDefault="006B1DCB">
            <w:pPr>
              <w:suppressAutoHyphens w:val="0"/>
              <w:snapToGrid w:val="0"/>
              <w:jc w:val="both"/>
              <w:rPr>
                <w:color w:val="000000"/>
                <w:sz w:val="20"/>
                <w:szCs w:val="20"/>
              </w:rPr>
            </w:pPr>
            <w:r>
              <w:rPr>
                <w:color w:val="000000"/>
                <w:sz w:val="20"/>
                <w:szCs w:val="20"/>
              </w:rPr>
              <w:t>84</w:t>
            </w:r>
          </w:p>
        </w:tc>
      </w:tr>
      <w:tr w:rsidR="009112D4">
        <w:trPr>
          <w:jc w:val="center"/>
        </w:trPr>
        <w:tc>
          <w:tcPr>
            <w:tcW w:w="2394" w:type="dxa"/>
            <w:shd w:val="clear" w:color="auto" w:fill="auto"/>
          </w:tcPr>
          <w:p w:rsidR="009112D4" w:rsidRDefault="006B1DCB">
            <w:pPr>
              <w:suppressAutoHyphens w:val="0"/>
              <w:snapToGrid w:val="0"/>
              <w:jc w:val="both"/>
              <w:rPr>
                <w:i/>
                <w:color w:val="000000"/>
                <w:sz w:val="20"/>
                <w:szCs w:val="20"/>
              </w:rPr>
            </w:pPr>
            <w:r>
              <w:rPr>
                <w:i/>
                <w:color w:val="000000"/>
                <w:sz w:val="20"/>
                <w:szCs w:val="20"/>
              </w:rPr>
              <w:t>Trichophyton spp</w:t>
            </w:r>
          </w:p>
        </w:tc>
        <w:tc>
          <w:tcPr>
            <w:tcW w:w="2394" w:type="dxa"/>
            <w:shd w:val="clear" w:color="auto" w:fill="auto"/>
          </w:tcPr>
          <w:p w:rsidR="009112D4" w:rsidRDefault="006B1DCB">
            <w:pPr>
              <w:suppressAutoHyphens w:val="0"/>
              <w:snapToGrid w:val="0"/>
              <w:jc w:val="both"/>
              <w:rPr>
                <w:color w:val="000000"/>
                <w:sz w:val="20"/>
                <w:szCs w:val="20"/>
              </w:rPr>
            </w:pPr>
            <w:r>
              <w:rPr>
                <w:color w:val="000000"/>
                <w:sz w:val="20"/>
                <w:szCs w:val="20"/>
              </w:rPr>
              <w:t>6</w:t>
            </w:r>
          </w:p>
        </w:tc>
        <w:tc>
          <w:tcPr>
            <w:tcW w:w="2394" w:type="dxa"/>
            <w:shd w:val="clear" w:color="auto" w:fill="auto"/>
          </w:tcPr>
          <w:p w:rsidR="009112D4" w:rsidRDefault="006B1DCB">
            <w:pPr>
              <w:suppressAutoHyphens w:val="0"/>
              <w:snapToGrid w:val="0"/>
              <w:jc w:val="both"/>
              <w:rPr>
                <w:color w:val="000000"/>
                <w:sz w:val="20"/>
                <w:szCs w:val="20"/>
              </w:rPr>
            </w:pPr>
            <w:r>
              <w:rPr>
                <w:color w:val="000000"/>
                <w:sz w:val="20"/>
                <w:szCs w:val="20"/>
              </w:rPr>
              <w:t>6</w:t>
            </w:r>
          </w:p>
        </w:tc>
        <w:tc>
          <w:tcPr>
            <w:tcW w:w="2394" w:type="dxa"/>
            <w:shd w:val="clear" w:color="auto" w:fill="auto"/>
          </w:tcPr>
          <w:p w:rsidR="009112D4" w:rsidRDefault="006B1DCB">
            <w:pPr>
              <w:suppressAutoHyphens w:val="0"/>
              <w:snapToGrid w:val="0"/>
              <w:jc w:val="both"/>
              <w:rPr>
                <w:color w:val="000000"/>
                <w:sz w:val="20"/>
                <w:szCs w:val="20"/>
              </w:rPr>
            </w:pPr>
            <w:r>
              <w:rPr>
                <w:color w:val="000000"/>
                <w:sz w:val="20"/>
                <w:szCs w:val="20"/>
              </w:rPr>
              <w:t>12</w:t>
            </w:r>
          </w:p>
        </w:tc>
      </w:tr>
      <w:tr w:rsidR="009112D4">
        <w:trPr>
          <w:jc w:val="center"/>
        </w:trPr>
        <w:tc>
          <w:tcPr>
            <w:tcW w:w="2394" w:type="dxa"/>
            <w:shd w:val="clear" w:color="auto" w:fill="auto"/>
          </w:tcPr>
          <w:p w:rsidR="009112D4" w:rsidRDefault="006B1DCB">
            <w:pPr>
              <w:suppressAutoHyphens w:val="0"/>
              <w:snapToGrid w:val="0"/>
              <w:jc w:val="both"/>
              <w:rPr>
                <w:i/>
                <w:color w:val="000000"/>
                <w:sz w:val="20"/>
                <w:szCs w:val="20"/>
              </w:rPr>
            </w:pPr>
            <w:r>
              <w:rPr>
                <w:i/>
                <w:color w:val="000000"/>
                <w:sz w:val="20"/>
                <w:szCs w:val="20"/>
              </w:rPr>
              <w:t>Microsporum spp</w:t>
            </w:r>
          </w:p>
        </w:tc>
        <w:tc>
          <w:tcPr>
            <w:tcW w:w="2394" w:type="dxa"/>
            <w:shd w:val="clear" w:color="auto" w:fill="auto"/>
          </w:tcPr>
          <w:p w:rsidR="009112D4" w:rsidRDefault="006B1DCB">
            <w:pPr>
              <w:suppressAutoHyphens w:val="0"/>
              <w:snapToGrid w:val="0"/>
              <w:jc w:val="both"/>
              <w:rPr>
                <w:color w:val="000000"/>
                <w:sz w:val="20"/>
                <w:szCs w:val="20"/>
              </w:rPr>
            </w:pPr>
            <w:r>
              <w:rPr>
                <w:color w:val="000000"/>
                <w:sz w:val="20"/>
                <w:szCs w:val="20"/>
              </w:rPr>
              <w:t>3</w:t>
            </w:r>
          </w:p>
        </w:tc>
        <w:tc>
          <w:tcPr>
            <w:tcW w:w="2394" w:type="dxa"/>
            <w:shd w:val="clear" w:color="auto" w:fill="auto"/>
          </w:tcPr>
          <w:p w:rsidR="009112D4" w:rsidRDefault="006B1DCB">
            <w:pPr>
              <w:suppressAutoHyphens w:val="0"/>
              <w:snapToGrid w:val="0"/>
              <w:jc w:val="both"/>
              <w:rPr>
                <w:color w:val="000000"/>
                <w:sz w:val="20"/>
                <w:szCs w:val="20"/>
              </w:rPr>
            </w:pPr>
            <w:r>
              <w:rPr>
                <w:color w:val="000000"/>
                <w:sz w:val="20"/>
                <w:szCs w:val="20"/>
              </w:rPr>
              <w:t>1</w:t>
            </w:r>
          </w:p>
        </w:tc>
        <w:tc>
          <w:tcPr>
            <w:tcW w:w="2394" w:type="dxa"/>
            <w:shd w:val="clear" w:color="auto" w:fill="auto"/>
          </w:tcPr>
          <w:p w:rsidR="009112D4" w:rsidRDefault="006B1DCB">
            <w:pPr>
              <w:suppressAutoHyphens w:val="0"/>
              <w:snapToGrid w:val="0"/>
              <w:jc w:val="both"/>
              <w:rPr>
                <w:color w:val="000000"/>
                <w:sz w:val="20"/>
                <w:szCs w:val="20"/>
              </w:rPr>
            </w:pPr>
            <w:r>
              <w:rPr>
                <w:color w:val="000000"/>
                <w:sz w:val="20"/>
                <w:szCs w:val="20"/>
              </w:rPr>
              <w:t>4</w:t>
            </w:r>
          </w:p>
        </w:tc>
      </w:tr>
      <w:tr w:rsidR="009112D4">
        <w:trPr>
          <w:jc w:val="center"/>
        </w:trPr>
        <w:tc>
          <w:tcPr>
            <w:tcW w:w="2394" w:type="dxa"/>
            <w:shd w:val="clear" w:color="auto" w:fill="auto"/>
          </w:tcPr>
          <w:p w:rsidR="009112D4" w:rsidRDefault="006B1DCB">
            <w:pPr>
              <w:suppressAutoHyphens w:val="0"/>
              <w:snapToGrid w:val="0"/>
              <w:jc w:val="both"/>
              <w:rPr>
                <w:color w:val="000000"/>
                <w:sz w:val="20"/>
                <w:szCs w:val="20"/>
              </w:rPr>
            </w:pPr>
            <w:r>
              <w:rPr>
                <w:color w:val="000000"/>
                <w:sz w:val="20"/>
                <w:szCs w:val="20"/>
              </w:rPr>
              <w:t>Total</w:t>
            </w:r>
          </w:p>
        </w:tc>
        <w:tc>
          <w:tcPr>
            <w:tcW w:w="2394" w:type="dxa"/>
            <w:shd w:val="clear" w:color="auto" w:fill="auto"/>
          </w:tcPr>
          <w:p w:rsidR="009112D4" w:rsidRDefault="006B1DCB">
            <w:pPr>
              <w:suppressAutoHyphens w:val="0"/>
              <w:snapToGrid w:val="0"/>
              <w:jc w:val="both"/>
              <w:rPr>
                <w:color w:val="000000"/>
                <w:sz w:val="20"/>
                <w:szCs w:val="20"/>
              </w:rPr>
            </w:pPr>
            <w:r>
              <w:rPr>
                <w:color w:val="000000"/>
                <w:sz w:val="20"/>
                <w:szCs w:val="20"/>
              </w:rPr>
              <w:t>50</w:t>
            </w:r>
          </w:p>
        </w:tc>
        <w:tc>
          <w:tcPr>
            <w:tcW w:w="2394" w:type="dxa"/>
            <w:shd w:val="clear" w:color="auto" w:fill="auto"/>
          </w:tcPr>
          <w:p w:rsidR="009112D4" w:rsidRDefault="006B1DCB">
            <w:pPr>
              <w:suppressAutoHyphens w:val="0"/>
              <w:snapToGrid w:val="0"/>
              <w:jc w:val="both"/>
              <w:rPr>
                <w:color w:val="000000"/>
                <w:sz w:val="20"/>
                <w:szCs w:val="20"/>
              </w:rPr>
            </w:pPr>
            <w:r>
              <w:rPr>
                <w:color w:val="000000"/>
                <w:sz w:val="20"/>
                <w:szCs w:val="20"/>
              </w:rPr>
              <w:t>50</w:t>
            </w:r>
          </w:p>
        </w:tc>
        <w:tc>
          <w:tcPr>
            <w:tcW w:w="2394" w:type="dxa"/>
            <w:shd w:val="clear" w:color="auto" w:fill="auto"/>
          </w:tcPr>
          <w:p w:rsidR="009112D4" w:rsidRDefault="006B1DCB">
            <w:pPr>
              <w:suppressAutoHyphens w:val="0"/>
              <w:snapToGrid w:val="0"/>
              <w:jc w:val="both"/>
              <w:rPr>
                <w:color w:val="000000"/>
                <w:sz w:val="20"/>
                <w:szCs w:val="20"/>
              </w:rPr>
            </w:pPr>
            <w:r>
              <w:rPr>
                <w:color w:val="000000"/>
                <w:sz w:val="20"/>
                <w:szCs w:val="20"/>
              </w:rPr>
              <w:t>100</w:t>
            </w:r>
          </w:p>
        </w:tc>
      </w:tr>
    </w:tbl>
    <w:p w:rsidR="009112D4" w:rsidRDefault="006B1DCB">
      <w:pPr>
        <w:suppressAutoHyphens w:val="0"/>
        <w:snapToGrid w:val="0"/>
        <w:jc w:val="both"/>
        <w:rPr>
          <w:sz w:val="20"/>
          <w:szCs w:val="20"/>
        </w:rPr>
      </w:pPr>
      <w:r>
        <w:rPr>
          <w:sz w:val="20"/>
          <w:szCs w:val="20"/>
        </w:rPr>
        <w:t xml:space="preserve">Note: Isolates classified as mixed growth are not considered etiologic of </w:t>
      </w:r>
      <w:r>
        <w:rPr>
          <w:i/>
          <w:sz w:val="20"/>
          <w:szCs w:val="20"/>
        </w:rPr>
        <w:t>Tinea capitis</w:t>
      </w:r>
    </w:p>
    <w:p w:rsidR="009112D4" w:rsidRDefault="006B1DCB">
      <w:pPr>
        <w:suppressAutoHyphens w:val="0"/>
        <w:snapToGrid w:val="0"/>
        <w:jc w:val="both"/>
        <w:rPr>
          <w:sz w:val="20"/>
          <w:szCs w:val="20"/>
        </w:rPr>
      </w:pPr>
      <w:r>
        <w:rPr>
          <w:sz w:val="20"/>
          <w:szCs w:val="20"/>
        </w:rPr>
        <w:t>P = 0.125</w:t>
      </w:r>
      <w:r>
        <w:rPr>
          <w:rFonts w:hint="eastAsia"/>
          <w:sz w:val="20"/>
          <w:szCs w:val="20"/>
          <w:lang w:eastAsia="zh-CN"/>
        </w:rPr>
        <w:t>；</w:t>
      </w:r>
      <w:r>
        <w:rPr>
          <w:rFonts w:hint="eastAsia"/>
          <w:sz w:val="20"/>
          <w:szCs w:val="20"/>
          <w:lang w:eastAsia="zh-CN"/>
        </w:rPr>
        <w:t xml:space="preserve"> </w:t>
      </w:r>
      <w:r>
        <w:rPr>
          <w:sz w:val="20"/>
          <w:szCs w:val="20"/>
        </w:rPr>
        <w:t>Chi-square = 2.333</w:t>
      </w:r>
    </w:p>
    <w:p w:rsidR="009112D4" w:rsidRDefault="009112D4">
      <w:pPr>
        <w:suppressAutoHyphens w:val="0"/>
        <w:snapToGrid w:val="0"/>
        <w:jc w:val="center"/>
        <w:rPr>
          <w:sz w:val="20"/>
          <w:szCs w:val="20"/>
        </w:rPr>
      </w:pPr>
    </w:p>
    <w:p w:rsidR="009112D4" w:rsidRDefault="006B1DCB">
      <w:pPr>
        <w:suppressAutoHyphens w:val="0"/>
        <w:snapToGrid w:val="0"/>
        <w:jc w:val="center"/>
        <w:rPr>
          <w:sz w:val="20"/>
          <w:szCs w:val="20"/>
        </w:rPr>
      </w:pPr>
      <w:r>
        <w:rPr>
          <w:sz w:val="20"/>
          <w:szCs w:val="20"/>
        </w:rPr>
        <w:t>Table 2: Distribution of Isolate based on presence of domestic animals at subjects’ home</w:t>
      </w:r>
    </w:p>
    <w:tbl>
      <w:tblPr>
        <w:tblW w:w="0" w:type="auto"/>
        <w:jc w:val="center"/>
        <w:tblBorders>
          <w:top w:val="single" w:sz="4" w:space="0" w:color="auto"/>
          <w:bottom w:val="single" w:sz="4" w:space="0" w:color="auto"/>
        </w:tblBorders>
        <w:tblLook w:val="04A0"/>
      </w:tblPr>
      <w:tblGrid>
        <w:gridCol w:w="1548"/>
        <w:gridCol w:w="2250"/>
        <w:gridCol w:w="2264"/>
        <w:gridCol w:w="2326"/>
        <w:gridCol w:w="855"/>
      </w:tblGrid>
      <w:tr w:rsidR="009112D4">
        <w:trPr>
          <w:jc w:val="center"/>
        </w:trPr>
        <w:tc>
          <w:tcPr>
            <w:tcW w:w="1548" w:type="dxa"/>
            <w:tcBorders>
              <w:top w:val="single" w:sz="4" w:space="0" w:color="auto"/>
              <w:bottom w:val="nil"/>
            </w:tcBorders>
            <w:shd w:val="clear" w:color="auto" w:fill="auto"/>
          </w:tcPr>
          <w:p w:rsidR="009112D4" w:rsidRDefault="006B1DCB">
            <w:pPr>
              <w:suppressAutoHyphens w:val="0"/>
              <w:snapToGrid w:val="0"/>
              <w:jc w:val="both"/>
              <w:rPr>
                <w:color w:val="000000"/>
                <w:sz w:val="20"/>
                <w:szCs w:val="20"/>
              </w:rPr>
            </w:pPr>
            <w:r>
              <w:rPr>
                <w:color w:val="000000"/>
                <w:sz w:val="20"/>
                <w:szCs w:val="20"/>
              </w:rPr>
              <w:t>Group</w:t>
            </w:r>
          </w:p>
        </w:tc>
        <w:tc>
          <w:tcPr>
            <w:tcW w:w="4514" w:type="dxa"/>
            <w:gridSpan w:val="2"/>
            <w:tcBorders>
              <w:top w:val="single" w:sz="4" w:space="0" w:color="auto"/>
              <w:bottom w:val="nil"/>
            </w:tcBorders>
            <w:shd w:val="clear" w:color="auto" w:fill="auto"/>
          </w:tcPr>
          <w:p w:rsidR="009112D4" w:rsidRDefault="006B1DCB">
            <w:pPr>
              <w:suppressAutoHyphens w:val="0"/>
              <w:snapToGrid w:val="0"/>
              <w:jc w:val="both"/>
              <w:rPr>
                <w:color w:val="000000"/>
                <w:sz w:val="20"/>
                <w:szCs w:val="20"/>
              </w:rPr>
            </w:pPr>
            <w:r>
              <w:rPr>
                <w:color w:val="000000"/>
                <w:sz w:val="20"/>
                <w:szCs w:val="20"/>
              </w:rPr>
              <w:t>Isolate</w:t>
            </w:r>
          </w:p>
        </w:tc>
        <w:tc>
          <w:tcPr>
            <w:tcW w:w="3181" w:type="dxa"/>
            <w:gridSpan w:val="2"/>
            <w:tcBorders>
              <w:top w:val="single" w:sz="4" w:space="0" w:color="auto"/>
              <w:bottom w:val="nil"/>
            </w:tcBorders>
            <w:shd w:val="clear" w:color="auto" w:fill="auto"/>
          </w:tcPr>
          <w:p w:rsidR="009112D4" w:rsidRDefault="006B1DCB">
            <w:pPr>
              <w:suppressAutoHyphens w:val="0"/>
              <w:snapToGrid w:val="0"/>
              <w:jc w:val="both"/>
              <w:rPr>
                <w:color w:val="000000"/>
                <w:sz w:val="20"/>
                <w:szCs w:val="20"/>
              </w:rPr>
            </w:pPr>
            <w:r>
              <w:rPr>
                <w:color w:val="000000"/>
                <w:sz w:val="20"/>
                <w:szCs w:val="20"/>
              </w:rPr>
              <w:t>Total</w:t>
            </w:r>
          </w:p>
        </w:tc>
      </w:tr>
      <w:tr w:rsidR="009112D4">
        <w:trPr>
          <w:jc w:val="center"/>
        </w:trPr>
        <w:tc>
          <w:tcPr>
            <w:tcW w:w="1548" w:type="dxa"/>
            <w:tcBorders>
              <w:top w:val="nil"/>
              <w:bottom w:val="single" w:sz="4" w:space="0" w:color="auto"/>
            </w:tcBorders>
            <w:shd w:val="clear" w:color="auto" w:fill="auto"/>
          </w:tcPr>
          <w:p w:rsidR="009112D4" w:rsidRDefault="009112D4">
            <w:pPr>
              <w:suppressAutoHyphens w:val="0"/>
              <w:snapToGrid w:val="0"/>
              <w:jc w:val="both"/>
              <w:rPr>
                <w:color w:val="000000"/>
                <w:sz w:val="20"/>
                <w:szCs w:val="20"/>
              </w:rPr>
            </w:pPr>
          </w:p>
        </w:tc>
        <w:tc>
          <w:tcPr>
            <w:tcW w:w="2250" w:type="dxa"/>
            <w:tcBorders>
              <w:top w:val="nil"/>
              <w:bottom w:val="single" w:sz="4" w:space="0" w:color="auto"/>
            </w:tcBorders>
            <w:shd w:val="clear" w:color="auto" w:fill="auto"/>
          </w:tcPr>
          <w:p w:rsidR="009112D4" w:rsidRDefault="006B1DCB">
            <w:pPr>
              <w:suppressAutoHyphens w:val="0"/>
              <w:snapToGrid w:val="0"/>
              <w:jc w:val="both"/>
              <w:rPr>
                <w:color w:val="000000"/>
                <w:sz w:val="20"/>
                <w:szCs w:val="20"/>
              </w:rPr>
            </w:pPr>
            <w:r>
              <w:rPr>
                <w:color w:val="000000"/>
                <w:sz w:val="20"/>
                <w:szCs w:val="20"/>
              </w:rPr>
              <w:t>Mixed growth</w:t>
            </w:r>
          </w:p>
        </w:tc>
        <w:tc>
          <w:tcPr>
            <w:tcW w:w="2264" w:type="dxa"/>
            <w:tcBorders>
              <w:top w:val="nil"/>
              <w:bottom w:val="single" w:sz="4" w:space="0" w:color="auto"/>
            </w:tcBorders>
            <w:shd w:val="clear" w:color="auto" w:fill="auto"/>
          </w:tcPr>
          <w:p w:rsidR="009112D4" w:rsidRDefault="006B1DCB">
            <w:pPr>
              <w:suppressAutoHyphens w:val="0"/>
              <w:snapToGrid w:val="0"/>
              <w:jc w:val="both"/>
              <w:rPr>
                <w:color w:val="000000"/>
                <w:sz w:val="20"/>
                <w:szCs w:val="20"/>
              </w:rPr>
            </w:pPr>
            <w:r>
              <w:rPr>
                <w:i/>
                <w:color w:val="000000"/>
                <w:sz w:val="20"/>
                <w:szCs w:val="20"/>
              </w:rPr>
              <w:t>Trichophyton spp</w:t>
            </w:r>
          </w:p>
        </w:tc>
        <w:tc>
          <w:tcPr>
            <w:tcW w:w="2326" w:type="dxa"/>
            <w:tcBorders>
              <w:top w:val="nil"/>
              <w:bottom w:val="single" w:sz="4" w:space="0" w:color="auto"/>
            </w:tcBorders>
            <w:shd w:val="clear" w:color="auto" w:fill="auto"/>
          </w:tcPr>
          <w:p w:rsidR="009112D4" w:rsidRDefault="006B1DCB">
            <w:pPr>
              <w:suppressAutoHyphens w:val="0"/>
              <w:snapToGrid w:val="0"/>
              <w:jc w:val="both"/>
              <w:rPr>
                <w:color w:val="000000"/>
                <w:sz w:val="20"/>
                <w:szCs w:val="20"/>
              </w:rPr>
            </w:pPr>
            <w:r>
              <w:rPr>
                <w:i/>
                <w:color w:val="000000"/>
                <w:sz w:val="20"/>
                <w:szCs w:val="20"/>
              </w:rPr>
              <w:t>Microsporum spp</w:t>
            </w:r>
          </w:p>
        </w:tc>
        <w:tc>
          <w:tcPr>
            <w:tcW w:w="855" w:type="dxa"/>
            <w:tcBorders>
              <w:top w:val="nil"/>
              <w:bottom w:val="single" w:sz="4" w:space="0" w:color="auto"/>
            </w:tcBorders>
            <w:shd w:val="clear" w:color="auto" w:fill="auto"/>
          </w:tcPr>
          <w:p w:rsidR="009112D4" w:rsidRDefault="009112D4">
            <w:pPr>
              <w:suppressAutoHyphens w:val="0"/>
              <w:snapToGrid w:val="0"/>
              <w:jc w:val="both"/>
              <w:rPr>
                <w:color w:val="000000"/>
                <w:sz w:val="20"/>
                <w:szCs w:val="20"/>
              </w:rPr>
            </w:pPr>
          </w:p>
        </w:tc>
      </w:tr>
      <w:tr w:rsidR="009112D4">
        <w:trPr>
          <w:jc w:val="center"/>
        </w:trPr>
        <w:tc>
          <w:tcPr>
            <w:tcW w:w="1548" w:type="dxa"/>
            <w:tcBorders>
              <w:top w:val="single" w:sz="4" w:space="0" w:color="auto"/>
            </w:tcBorders>
            <w:shd w:val="clear" w:color="auto" w:fill="auto"/>
          </w:tcPr>
          <w:p w:rsidR="009112D4" w:rsidRDefault="006B1DCB">
            <w:pPr>
              <w:suppressAutoHyphens w:val="0"/>
              <w:snapToGrid w:val="0"/>
              <w:jc w:val="both"/>
              <w:rPr>
                <w:color w:val="000000"/>
                <w:sz w:val="20"/>
                <w:szCs w:val="20"/>
              </w:rPr>
            </w:pPr>
            <w:r>
              <w:rPr>
                <w:color w:val="000000"/>
                <w:sz w:val="20"/>
                <w:szCs w:val="20"/>
              </w:rPr>
              <w:t>Yes</w:t>
            </w:r>
          </w:p>
        </w:tc>
        <w:tc>
          <w:tcPr>
            <w:tcW w:w="2250" w:type="dxa"/>
            <w:tcBorders>
              <w:top w:val="single" w:sz="4" w:space="0" w:color="auto"/>
            </w:tcBorders>
            <w:shd w:val="clear" w:color="auto" w:fill="auto"/>
          </w:tcPr>
          <w:p w:rsidR="009112D4" w:rsidRDefault="006B1DCB">
            <w:pPr>
              <w:suppressAutoHyphens w:val="0"/>
              <w:snapToGrid w:val="0"/>
              <w:jc w:val="both"/>
              <w:rPr>
                <w:color w:val="000000"/>
                <w:sz w:val="20"/>
                <w:szCs w:val="20"/>
              </w:rPr>
            </w:pPr>
            <w:r>
              <w:rPr>
                <w:color w:val="000000"/>
                <w:sz w:val="20"/>
                <w:szCs w:val="20"/>
              </w:rPr>
              <w:t>42</w:t>
            </w:r>
          </w:p>
        </w:tc>
        <w:tc>
          <w:tcPr>
            <w:tcW w:w="2264" w:type="dxa"/>
            <w:tcBorders>
              <w:top w:val="single" w:sz="4" w:space="0" w:color="auto"/>
            </w:tcBorders>
            <w:shd w:val="clear" w:color="auto" w:fill="auto"/>
          </w:tcPr>
          <w:p w:rsidR="009112D4" w:rsidRDefault="006B1DCB">
            <w:pPr>
              <w:suppressAutoHyphens w:val="0"/>
              <w:snapToGrid w:val="0"/>
              <w:jc w:val="both"/>
              <w:rPr>
                <w:color w:val="000000"/>
                <w:sz w:val="20"/>
                <w:szCs w:val="20"/>
              </w:rPr>
            </w:pPr>
            <w:r>
              <w:rPr>
                <w:color w:val="000000"/>
                <w:sz w:val="20"/>
                <w:szCs w:val="20"/>
              </w:rPr>
              <w:t>6</w:t>
            </w:r>
          </w:p>
        </w:tc>
        <w:tc>
          <w:tcPr>
            <w:tcW w:w="2326" w:type="dxa"/>
            <w:tcBorders>
              <w:top w:val="single" w:sz="4" w:space="0" w:color="auto"/>
            </w:tcBorders>
            <w:shd w:val="clear" w:color="auto" w:fill="auto"/>
          </w:tcPr>
          <w:p w:rsidR="009112D4" w:rsidRDefault="006B1DCB">
            <w:pPr>
              <w:suppressAutoHyphens w:val="0"/>
              <w:snapToGrid w:val="0"/>
              <w:jc w:val="both"/>
              <w:rPr>
                <w:color w:val="000000"/>
                <w:sz w:val="20"/>
                <w:szCs w:val="20"/>
              </w:rPr>
            </w:pPr>
            <w:r>
              <w:rPr>
                <w:color w:val="000000"/>
                <w:sz w:val="20"/>
                <w:szCs w:val="20"/>
              </w:rPr>
              <w:t>2</w:t>
            </w:r>
          </w:p>
        </w:tc>
        <w:tc>
          <w:tcPr>
            <w:tcW w:w="855" w:type="dxa"/>
            <w:tcBorders>
              <w:top w:val="single" w:sz="4" w:space="0" w:color="auto"/>
            </w:tcBorders>
            <w:shd w:val="clear" w:color="auto" w:fill="auto"/>
          </w:tcPr>
          <w:p w:rsidR="009112D4" w:rsidRDefault="006B1DCB">
            <w:pPr>
              <w:suppressAutoHyphens w:val="0"/>
              <w:snapToGrid w:val="0"/>
              <w:jc w:val="both"/>
              <w:rPr>
                <w:color w:val="000000"/>
                <w:sz w:val="20"/>
                <w:szCs w:val="20"/>
              </w:rPr>
            </w:pPr>
            <w:r>
              <w:rPr>
                <w:color w:val="000000"/>
                <w:sz w:val="20"/>
                <w:szCs w:val="20"/>
              </w:rPr>
              <w:t>50</w:t>
            </w:r>
          </w:p>
        </w:tc>
      </w:tr>
      <w:tr w:rsidR="009112D4">
        <w:trPr>
          <w:jc w:val="center"/>
        </w:trPr>
        <w:tc>
          <w:tcPr>
            <w:tcW w:w="1548" w:type="dxa"/>
            <w:shd w:val="clear" w:color="auto" w:fill="auto"/>
          </w:tcPr>
          <w:p w:rsidR="009112D4" w:rsidRDefault="006B1DCB">
            <w:pPr>
              <w:suppressAutoHyphens w:val="0"/>
              <w:snapToGrid w:val="0"/>
              <w:jc w:val="both"/>
              <w:rPr>
                <w:color w:val="000000"/>
                <w:sz w:val="20"/>
                <w:szCs w:val="20"/>
              </w:rPr>
            </w:pPr>
            <w:r>
              <w:rPr>
                <w:color w:val="000000"/>
                <w:sz w:val="20"/>
                <w:szCs w:val="20"/>
              </w:rPr>
              <w:t>No</w:t>
            </w:r>
          </w:p>
        </w:tc>
        <w:tc>
          <w:tcPr>
            <w:tcW w:w="2250" w:type="dxa"/>
            <w:shd w:val="clear" w:color="auto" w:fill="auto"/>
          </w:tcPr>
          <w:p w:rsidR="009112D4" w:rsidRDefault="006B1DCB">
            <w:pPr>
              <w:suppressAutoHyphens w:val="0"/>
              <w:snapToGrid w:val="0"/>
              <w:jc w:val="both"/>
              <w:rPr>
                <w:color w:val="000000"/>
                <w:sz w:val="20"/>
                <w:szCs w:val="20"/>
              </w:rPr>
            </w:pPr>
            <w:r>
              <w:rPr>
                <w:color w:val="000000"/>
                <w:sz w:val="20"/>
                <w:szCs w:val="20"/>
              </w:rPr>
              <w:t>42</w:t>
            </w:r>
          </w:p>
        </w:tc>
        <w:tc>
          <w:tcPr>
            <w:tcW w:w="2264" w:type="dxa"/>
            <w:shd w:val="clear" w:color="auto" w:fill="auto"/>
          </w:tcPr>
          <w:p w:rsidR="009112D4" w:rsidRDefault="006B1DCB">
            <w:pPr>
              <w:suppressAutoHyphens w:val="0"/>
              <w:snapToGrid w:val="0"/>
              <w:jc w:val="both"/>
              <w:rPr>
                <w:color w:val="000000"/>
                <w:sz w:val="20"/>
                <w:szCs w:val="20"/>
              </w:rPr>
            </w:pPr>
            <w:r>
              <w:rPr>
                <w:color w:val="000000"/>
                <w:sz w:val="20"/>
                <w:szCs w:val="20"/>
              </w:rPr>
              <w:t>6</w:t>
            </w:r>
          </w:p>
        </w:tc>
        <w:tc>
          <w:tcPr>
            <w:tcW w:w="2326" w:type="dxa"/>
            <w:shd w:val="clear" w:color="auto" w:fill="auto"/>
          </w:tcPr>
          <w:p w:rsidR="009112D4" w:rsidRDefault="006B1DCB">
            <w:pPr>
              <w:suppressAutoHyphens w:val="0"/>
              <w:snapToGrid w:val="0"/>
              <w:jc w:val="both"/>
              <w:rPr>
                <w:color w:val="000000"/>
                <w:sz w:val="20"/>
                <w:szCs w:val="20"/>
              </w:rPr>
            </w:pPr>
            <w:r>
              <w:rPr>
                <w:color w:val="000000"/>
                <w:sz w:val="20"/>
                <w:szCs w:val="20"/>
              </w:rPr>
              <w:t>2</w:t>
            </w:r>
          </w:p>
        </w:tc>
        <w:tc>
          <w:tcPr>
            <w:tcW w:w="855" w:type="dxa"/>
            <w:shd w:val="clear" w:color="auto" w:fill="auto"/>
          </w:tcPr>
          <w:p w:rsidR="009112D4" w:rsidRDefault="006B1DCB">
            <w:pPr>
              <w:suppressAutoHyphens w:val="0"/>
              <w:snapToGrid w:val="0"/>
              <w:jc w:val="both"/>
              <w:rPr>
                <w:color w:val="000000"/>
                <w:sz w:val="20"/>
                <w:szCs w:val="20"/>
              </w:rPr>
            </w:pPr>
            <w:r>
              <w:rPr>
                <w:color w:val="000000"/>
                <w:sz w:val="20"/>
                <w:szCs w:val="20"/>
              </w:rPr>
              <w:t>50</w:t>
            </w:r>
          </w:p>
        </w:tc>
      </w:tr>
      <w:tr w:rsidR="009112D4">
        <w:trPr>
          <w:jc w:val="center"/>
        </w:trPr>
        <w:tc>
          <w:tcPr>
            <w:tcW w:w="1548" w:type="dxa"/>
            <w:shd w:val="clear" w:color="auto" w:fill="auto"/>
          </w:tcPr>
          <w:p w:rsidR="009112D4" w:rsidRDefault="006B1DCB">
            <w:pPr>
              <w:suppressAutoHyphens w:val="0"/>
              <w:snapToGrid w:val="0"/>
              <w:jc w:val="both"/>
              <w:rPr>
                <w:color w:val="000000"/>
                <w:sz w:val="20"/>
                <w:szCs w:val="20"/>
              </w:rPr>
            </w:pPr>
            <w:r>
              <w:rPr>
                <w:color w:val="000000"/>
                <w:sz w:val="20"/>
                <w:szCs w:val="20"/>
              </w:rPr>
              <w:t>Total</w:t>
            </w:r>
          </w:p>
        </w:tc>
        <w:tc>
          <w:tcPr>
            <w:tcW w:w="2250" w:type="dxa"/>
            <w:shd w:val="clear" w:color="auto" w:fill="auto"/>
          </w:tcPr>
          <w:p w:rsidR="009112D4" w:rsidRDefault="006B1DCB">
            <w:pPr>
              <w:suppressAutoHyphens w:val="0"/>
              <w:snapToGrid w:val="0"/>
              <w:jc w:val="both"/>
              <w:rPr>
                <w:color w:val="000000"/>
                <w:sz w:val="20"/>
                <w:szCs w:val="20"/>
              </w:rPr>
            </w:pPr>
            <w:r>
              <w:rPr>
                <w:color w:val="000000"/>
                <w:sz w:val="20"/>
                <w:szCs w:val="20"/>
              </w:rPr>
              <w:t>84</w:t>
            </w:r>
          </w:p>
        </w:tc>
        <w:tc>
          <w:tcPr>
            <w:tcW w:w="2264" w:type="dxa"/>
            <w:shd w:val="clear" w:color="auto" w:fill="auto"/>
          </w:tcPr>
          <w:p w:rsidR="009112D4" w:rsidRDefault="006B1DCB">
            <w:pPr>
              <w:suppressAutoHyphens w:val="0"/>
              <w:snapToGrid w:val="0"/>
              <w:jc w:val="both"/>
              <w:rPr>
                <w:color w:val="000000"/>
                <w:sz w:val="20"/>
                <w:szCs w:val="20"/>
              </w:rPr>
            </w:pPr>
            <w:r>
              <w:rPr>
                <w:color w:val="000000"/>
                <w:sz w:val="20"/>
                <w:szCs w:val="20"/>
              </w:rPr>
              <w:t>12</w:t>
            </w:r>
          </w:p>
        </w:tc>
        <w:tc>
          <w:tcPr>
            <w:tcW w:w="2326" w:type="dxa"/>
            <w:shd w:val="clear" w:color="auto" w:fill="auto"/>
          </w:tcPr>
          <w:p w:rsidR="009112D4" w:rsidRDefault="006B1DCB">
            <w:pPr>
              <w:suppressAutoHyphens w:val="0"/>
              <w:snapToGrid w:val="0"/>
              <w:jc w:val="both"/>
              <w:rPr>
                <w:color w:val="000000"/>
                <w:sz w:val="20"/>
                <w:szCs w:val="20"/>
              </w:rPr>
            </w:pPr>
            <w:r>
              <w:rPr>
                <w:color w:val="000000"/>
                <w:sz w:val="20"/>
                <w:szCs w:val="20"/>
              </w:rPr>
              <w:t>4</w:t>
            </w:r>
          </w:p>
        </w:tc>
        <w:tc>
          <w:tcPr>
            <w:tcW w:w="855" w:type="dxa"/>
            <w:shd w:val="clear" w:color="auto" w:fill="auto"/>
          </w:tcPr>
          <w:p w:rsidR="009112D4" w:rsidRDefault="006B1DCB">
            <w:pPr>
              <w:suppressAutoHyphens w:val="0"/>
              <w:snapToGrid w:val="0"/>
              <w:jc w:val="both"/>
              <w:rPr>
                <w:color w:val="000000"/>
                <w:sz w:val="20"/>
                <w:szCs w:val="20"/>
              </w:rPr>
            </w:pPr>
            <w:r>
              <w:rPr>
                <w:color w:val="000000"/>
                <w:sz w:val="20"/>
                <w:szCs w:val="20"/>
              </w:rPr>
              <w:t>100</w:t>
            </w:r>
          </w:p>
        </w:tc>
      </w:tr>
    </w:tbl>
    <w:p w:rsidR="009112D4" w:rsidRDefault="006B1DCB">
      <w:pPr>
        <w:suppressAutoHyphens w:val="0"/>
        <w:snapToGrid w:val="0"/>
        <w:jc w:val="both"/>
        <w:rPr>
          <w:sz w:val="20"/>
          <w:szCs w:val="20"/>
        </w:rPr>
      </w:pPr>
      <w:r>
        <w:rPr>
          <w:sz w:val="20"/>
          <w:szCs w:val="20"/>
        </w:rPr>
        <w:t>P =0.093</w:t>
      </w:r>
      <w:r>
        <w:rPr>
          <w:rFonts w:hint="eastAsia"/>
          <w:sz w:val="20"/>
          <w:szCs w:val="20"/>
          <w:lang w:eastAsia="zh-CN"/>
        </w:rPr>
        <w:t>；</w:t>
      </w:r>
      <w:r>
        <w:rPr>
          <w:rFonts w:hint="eastAsia"/>
          <w:sz w:val="20"/>
          <w:szCs w:val="20"/>
          <w:lang w:eastAsia="zh-CN"/>
        </w:rPr>
        <w:t xml:space="preserve"> </w:t>
      </w:r>
      <w:r>
        <w:rPr>
          <w:sz w:val="20"/>
          <w:szCs w:val="20"/>
        </w:rPr>
        <w:t>Chi-square = 1.25</w:t>
      </w:r>
    </w:p>
    <w:p w:rsidR="009112D4" w:rsidRDefault="009112D4">
      <w:pPr>
        <w:suppressAutoHyphens w:val="0"/>
        <w:snapToGrid w:val="0"/>
        <w:jc w:val="center"/>
        <w:rPr>
          <w:sz w:val="20"/>
          <w:szCs w:val="20"/>
          <w:lang w:eastAsia="zh-CN"/>
        </w:rPr>
      </w:pPr>
    </w:p>
    <w:p w:rsidR="009112D4" w:rsidRDefault="006B1DCB">
      <w:pPr>
        <w:suppressAutoHyphens w:val="0"/>
        <w:snapToGrid w:val="0"/>
        <w:jc w:val="center"/>
        <w:rPr>
          <w:sz w:val="20"/>
          <w:szCs w:val="20"/>
        </w:rPr>
      </w:pPr>
      <w:r>
        <w:rPr>
          <w:sz w:val="20"/>
          <w:szCs w:val="20"/>
        </w:rPr>
        <w:t>Table 3: Distribution of Isolates according to age groups</w:t>
      </w:r>
    </w:p>
    <w:tbl>
      <w:tblPr>
        <w:tblW w:w="5000" w:type="pct"/>
        <w:jc w:val="center"/>
        <w:tblBorders>
          <w:top w:val="single" w:sz="4" w:space="0" w:color="auto"/>
          <w:bottom w:val="single" w:sz="4" w:space="0" w:color="auto"/>
        </w:tblBorders>
        <w:tblLook w:val="04A0"/>
      </w:tblPr>
      <w:tblGrid>
        <w:gridCol w:w="1649"/>
        <w:gridCol w:w="2095"/>
        <w:gridCol w:w="2509"/>
        <w:gridCol w:w="2526"/>
        <w:gridCol w:w="797"/>
      </w:tblGrid>
      <w:tr w:rsidR="009112D4">
        <w:trPr>
          <w:jc w:val="center"/>
        </w:trPr>
        <w:tc>
          <w:tcPr>
            <w:tcW w:w="861" w:type="pct"/>
            <w:tcBorders>
              <w:top w:val="single" w:sz="4" w:space="0" w:color="auto"/>
              <w:bottom w:val="nil"/>
            </w:tcBorders>
            <w:shd w:val="clear" w:color="auto" w:fill="auto"/>
            <w:vAlign w:val="center"/>
          </w:tcPr>
          <w:p w:rsidR="009112D4" w:rsidRDefault="006B1DCB">
            <w:pPr>
              <w:suppressAutoHyphens w:val="0"/>
              <w:snapToGrid w:val="0"/>
              <w:jc w:val="both"/>
              <w:rPr>
                <w:color w:val="000000"/>
                <w:sz w:val="20"/>
                <w:szCs w:val="20"/>
              </w:rPr>
            </w:pPr>
            <w:r>
              <w:rPr>
                <w:color w:val="000000"/>
                <w:sz w:val="20"/>
                <w:szCs w:val="20"/>
              </w:rPr>
              <w:t>Age group</w:t>
            </w:r>
          </w:p>
        </w:tc>
        <w:tc>
          <w:tcPr>
            <w:tcW w:w="2404" w:type="pct"/>
            <w:gridSpan w:val="2"/>
            <w:tcBorders>
              <w:top w:val="single" w:sz="4" w:space="0" w:color="auto"/>
              <w:bottom w:val="nil"/>
            </w:tcBorders>
            <w:shd w:val="clear" w:color="auto" w:fill="auto"/>
            <w:vAlign w:val="center"/>
          </w:tcPr>
          <w:p w:rsidR="009112D4" w:rsidRDefault="006B1DCB">
            <w:pPr>
              <w:suppressAutoHyphens w:val="0"/>
              <w:snapToGrid w:val="0"/>
              <w:jc w:val="both"/>
              <w:rPr>
                <w:color w:val="000000"/>
                <w:sz w:val="20"/>
                <w:szCs w:val="20"/>
              </w:rPr>
            </w:pPr>
            <w:r>
              <w:rPr>
                <w:color w:val="000000"/>
                <w:sz w:val="20"/>
                <w:szCs w:val="20"/>
              </w:rPr>
              <w:t>Isolate</w:t>
            </w:r>
          </w:p>
        </w:tc>
        <w:tc>
          <w:tcPr>
            <w:tcW w:w="1735" w:type="pct"/>
            <w:gridSpan w:val="2"/>
            <w:tcBorders>
              <w:top w:val="single" w:sz="4" w:space="0" w:color="auto"/>
              <w:bottom w:val="nil"/>
            </w:tcBorders>
            <w:shd w:val="clear" w:color="auto" w:fill="auto"/>
            <w:vAlign w:val="center"/>
          </w:tcPr>
          <w:p w:rsidR="009112D4" w:rsidRDefault="006B1DCB">
            <w:pPr>
              <w:suppressAutoHyphens w:val="0"/>
              <w:snapToGrid w:val="0"/>
              <w:jc w:val="both"/>
              <w:rPr>
                <w:color w:val="000000"/>
                <w:sz w:val="20"/>
                <w:szCs w:val="20"/>
              </w:rPr>
            </w:pPr>
            <w:r>
              <w:rPr>
                <w:color w:val="000000"/>
                <w:sz w:val="20"/>
                <w:szCs w:val="20"/>
              </w:rPr>
              <w:t>Total</w:t>
            </w:r>
          </w:p>
        </w:tc>
      </w:tr>
      <w:tr w:rsidR="009112D4">
        <w:trPr>
          <w:jc w:val="center"/>
        </w:trPr>
        <w:tc>
          <w:tcPr>
            <w:tcW w:w="861" w:type="pct"/>
            <w:tcBorders>
              <w:top w:val="nil"/>
              <w:bottom w:val="single" w:sz="4" w:space="0" w:color="auto"/>
            </w:tcBorders>
            <w:shd w:val="clear" w:color="auto" w:fill="auto"/>
            <w:vAlign w:val="center"/>
          </w:tcPr>
          <w:p w:rsidR="009112D4" w:rsidRDefault="009112D4">
            <w:pPr>
              <w:suppressAutoHyphens w:val="0"/>
              <w:snapToGrid w:val="0"/>
              <w:jc w:val="both"/>
              <w:rPr>
                <w:color w:val="000000"/>
                <w:sz w:val="20"/>
                <w:szCs w:val="20"/>
              </w:rPr>
            </w:pPr>
          </w:p>
        </w:tc>
        <w:tc>
          <w:tcPr>
            <w:tcW w:w="1094" w:type="pct"/>
            <w:tcBorders>
              <w:top w:val="nil"/>
              <w:bottom w:val="single" w:sz="4" w:space="0" w:color="auto"/>
            </w:tcBorders>
            <w:shd w:val="clear" w:color="auto" w:fill="auto"/>
            <w:vAlign w:val="center"/>
          </w:tcPr>
          <w:p w:rsidR="009112D4" w:rsidRDefault="006B1DCB">
            <w:pPr>
              <w:suppressAutoHyphens w:val="0"/>
              <w:snapToGrid w:val="0"/>
              <w:jc w:val="both"/>
              <w:rPr>
                <w:color w:val="000000"/>
                <w:sz w:val="20"/>
                <w:szCs w:val="20"/>
              </w:rPr>
            </w:pPr>
            <w:r>
              <w:rPr>
                <w:color w:val="000000"/>
                <w:sz w:val="20"/>
                <w:szCs w:val="20"/>
              </w:rPr>
              <w:t>Mixed growth</w:t>
            </w:r>
          </w:p>
        </w:tc>
        <w:tc>
          <w:tcPr>
            <w:tcW w:w="1310" w:type="pct"/>
            <w:tcBorders>
              <w:top w:val="nil"/>
              <w:bottom w:val="single" w:sz="4" w:space="0" w:color="auto"/>
            </w:tcBorders>
            <w:shd w:val="clear" w:color="auto" w:fill="auto"/>
            <w:vAlign w:val="center"/>
          </w:tcPr>
          <w:p w:rsidR="009112D4" w:rsidRDefault="006B1DCB">
            <w:pPr>
              <w:suppressAutoHyphens w:val="0"/>
              <w:snapToGrid w:val="0"/>
              <w:jc w:val="both"/>
              <w:rPr>
                <w:color w:val="000000"/>
                <w:sz w:val="20"/>
                <w:szCs w:val="20"/>
              </w:rPr>
            </w:pPr>
            <w:r>
              <w:rPr>
                <w:i/>
                <w:color w:val="000000"/>
                <w:sz w:val="20"/>
                <w:szCs w:val="20"/>
              </w:rPr>
              <w:t>Trichophyton spp</w:t>
            </w:r>
          </w:p>
        </w:tc>
        <w:tc>
          <w:tcPr>
            <w:tcW w:w="1319" w:type="pct"/>
            <w:tcBorders>
              <w:top w:val="nil"/>
              <w:bottom w:val="single" w:sz="4" w:space="0" w:color="auto"/>
            </w:tcBorders>
            <w:shd w:val="clear" w:color="auto" w:fill="auto"/>
            <w:vAlign w:val="center"/>
          </w:tcPr>
          <w:p w:rsidR="009112D4" w:rsidRDefault="006B1DCB">
            <w:pPr>
              <w:suppressAutoHyphens w:val="0"/>
              <w:snapToGrid w:val="0"/>
              <w:jc w:val="both"/>
              <w:rPr>
                <w:color w:val="000000"/>
                <w:sz w:val="20"/>
                <w:szCs w:val="20"/>
              </w:rPr>
            </w:pPr>
            <w:r>
              <w:rPr>
                <w:i/>
                <w:color w:val="000000"/>
                <w:sz w:val="20"/>
                <w:szCs w:val="20"/>
              </w:rPr>
              <w:t>Microsporum spp</w:t>
            </w:r>
          </w:p>
        </w:tc>
        <w:tc>
          <w:tcPr>
            <w:tcW w:w="417" w:type="pct"/>
            <w:tcBorders>
              <w:top w:val="nil"/>
              <w:bottom w:val="single" w:sz="4" w:space="0" w:color="auto"/>
            </w:tcBorders>
            <w:shd w:val="clear" w:color="auto" w:fill="auto"/>
            <w:vAlign w:val="center"/>
          </w:tcPr>
          <w:p w:rsidR="009112D4" w:rsidRDefault="009112D4">
            <w:pPr>
              <w:suppressAutoHyphens w:val="0"/>
              <w:snapToGrid w:val="0"/>
              <w:jc w:val="both"/>
              <w:rPr>
                <w:color w:val="000000"/>
                <w:sz w:val="20"/>
                <w:szCs w:val="20"/>
              </w:rPr>
            </w:pPr>
          </w:p>
        </w:tc>
      </w:tr>
      <w:tr w:rsidR="009112D4">
        <w:trPr>
          <w:jc w:val="center"/>
        </w:trPr>
        <w:tc>
          <w:tcPr>
            <w:tcW w:w="861" w:type="pct"/>
            <w:tcBorders>
              <w:top w:val="single" w:sz="4" w:space="0" w:color="auto"/>
            </w:tcBorders>
            <w:shd w:val="clear" w:color="auto" w:fill="auto"/>
            <w:vAlign w:val="center"/>
          </w:tcPr>
          <w:p w:rsidR="009112D4" w:rsidRDefault="006B1DCB">
            <w:pPr>
              <w:suppressAutoHyphens w:val="0"/>
              <w:snapToGrid w:val="0"/>
              <w:jc w:val="both"/>
              <w:rPr>
                <w:color w:val="000000"/>
                <w:sz w:val="20"/>
                <w:szCs w:val="20"/>
              </w:rPr>
            </w:pPr>
            <w:r>
              <w:rPr>
                <w:color w:val="000000"/>
                <w:sz w:val="20"/>
                <w:szCs w:val="20"/>
              </w:rPr>
              <w:t>0-5</w:t>
            </w:r>
          </w:p>
        </w:tc>
        <w:tc>
          <w:tcPr>
            <w:tcW w:w="1094" w:type="pct"/>
            <w:tcBorders>
              <w:top w:val="single" w:sz="4" w:space="0" w:color="auto"/>
            </w:tcBorders>
            <w:shd w:val="clear" w:color="auto" w:fill="auto"/>
            <w:vAlign w:val="center"/>
          </w:tcPr>
          <w:p w:rsidR="009112D4" w:rsidRDefault="006B1DCB">
            <w:pPr>
              <w:suppressAutoHyphens w:val="0"/>
              <w:snapToGrid w:val="0"/>
              <w:jc w:val="both"/>
              <w:rPr>
                <w:color w:val="000000"/>
                <w:sz w:val="20"/>
                <w:szCs w:val="20"/>
              </w:rPr>
            </w:pPr>
            <w:r>
              <w:rPr>
                <w:color w:val="000000"/>
                <w:sz w:val="20"/>
                <w:szCs w:val="20"/>
              </w:rPr>
              <w:t>16</w:t>
            </w:r>
          </w:p>
        </w:tc>
        <w:tc>
          <w:tcPr>
            <w:tcW w:w="1310" w:type="pct"/>
            <w:tcBorders>
              <w:top w:val="single" w:sz="4" w:space="0" w:color="auto"/>
            </w:tcBorders>
            <w:shd w:val="clear" w:color="auto" w:fill="auto"/>
            <w:vAlign w:val="center"/>
          </w:tcPr>
          <w:p w:rsidR="009112D4" w:rsidRDefault="006B1DCB">
            <w:pPr>
              <w:suppressAutoHyphens w:val="0"/>
              <w:snapToGrid w:val="0"/>
              <w:jc w:val="both"/>
              <w:rPr>
                <w:color w:val="000000"/>
                <w:sz w:val="20"/>
                <w:szCs w:val="20"/>
              </w:rPr>
            </w:pPr>
            <w:r>
              <w:rPr>
                <w:color w:val="000000"/>
                <w:sz w:val="20"/>
                <w:szCs w:val="20"/>
              </w:rPr>
              <w:t>0</w:t>
            </w:r>
          </w:p>
        </w:tc>
        <w:tc>
          <w:tcPr>
            <w:tcW w:w="1319" w:type="pct"/>
            <w:tcBorders>
              <w:top w:val="single" w:sz="4" w:space="0" w:color="auto"/>
            </w:tcBorders>
            <w:shd w:val="clear" w:color="auto" w:fill="auto"/>
            <w:vAlign w:val="center"/>
          </w:tcPr>
          <w:p w:rsidR="009112D4" w:rsidRDefault="006B1DCB">
            <w:pPr>
              <w:suppressAutoHyphens w:val="0"/>
              <w:snapToGrid w:val="0"/>
              <w:jc w:val="both"/>
              <w:rPr>
                <w:color w:val="000000"/>
                <w:sz w:val="20"/>
                <w:szCs w:val="20"/>
              </w:rPr>
            </w:pPr>
            <w:r>
              <w:rPr>
                <w:color w:val="000000"/>
                <w:sz w:val="20"/>
                <w:szCs w:val="20"/>
              </w:rPr>
              <w:t>0</w:t>
            </w:r>
          </w:p>
        </w:tc>
        <w:tc>
          <w:tcPr>
            <w:tcW w:w="417" w:type="pct"/>
            <w:tcBorders>
              <w:top w:val="single" w:sz="4" w:space="0" w:color="auto"/>
            </w:tcBorders>
            <w:shd w:val="clear" w:color="auto" w:fill="auto"/>
            <w:vAlign w:val="center"/>
          </w:tcPr>
          <w:p w:rsidR="009112D4" w:rsidRDefault="006B1DCB">
            <w:pPr>
              <w:suppressAutoHyphens w:val="0"/>
              <w:snapToGrid w:val="0"/>
              <w:jc w:val="both"/>
              <w:rPr>
                <w:color w:val="000000"/>
                <w:sz w:val="20"/>
                <w:szCs w:val="20"/>
              </w:rPr>
            </w:pPr>
            <w:r>
              <w:rPr>
                <w:color w:val="000000"/>
                <w:sz w:val="20"/>
                <w:szCs w:val="20"/>
              </w:rPr>
              <w:t>16</w:t>
            </w:r>
          </w:p>
        </w:tc>
      </w:tr>
      <w:tr w:rsidR="009112D4">
        <w:trPr>
          <w:jc w:val="center"/>
        </w:trPr>
        <w:tc>
          <w:tcPr>
            <w:tcW w:w="861" w:type="pct"/>
            <w:shd w:val="clear" w:color="auto" w:fill="auto"/>
            <w:vAlign w:val="center"/>
          </w:tcPr>
          <w:p w:rsidR="009112D4" w:rsidRDefault="006B1DCB">
            <w:pPr>
              <w:suppressAutoHyphens w:val="0"/>
              <w:snapToGrid w:val="0"/>
              <w:jc w:val="both"/>
              <w:rPr>
                <w:color w:val="000000"/>
                <w:sz w:val="20"/>
                <w:szCs w:val="20"/>
              </w:rPr>
            </w:pPr>
            <w:r>
              <w:rPr>
                <w:color w:val="000000"/>
                <w:sz w:val="20"/>
                <w:szCs w:val="20"/>
              </w:rPr>
              <w:t>6-10</w:t>
            </w:r>
          </w:p>
        </w:tc>
        <w:tc>
          <w:tcPr>
            <w:tcW w:w="1094" w:type="pct"/>
            <w:shd w:val="clear" w:color="auto" w:fill="auto"/>
            <w:vAlign w:val="center"/>
          </w:tcPr>
          <w:p w:rsidR="009112D4" w:rsidRDefault="006B1DCB">
            <w:pPr>
              <w:suppressAutoHyphens w:val="0"/>
              <w:snapToGrid w:val="0"/>
              <w:jc w:val="both"/>
              <w:rPr>
                <w:color w:val="000000"/>
                <w:sz w:val="20"/>
                <w:szCs w:val="20"/>
              </w:rPr>
            </w:pPr>
            <w:r>
              <w:rPr>
                <w:color w:val="000000"/>
                <w:sz w:val="20"/>
                <w:szCs w:val="20"/>
              </w:rPr>
              <w:t>4</w:t>
            </w:r>
          </w:p>
        </w:tc>
        <w:tc>
          <w:tcPr>
            <w:tcW w:w="1310" w:type="pct"/>
            <w:shd w:val="clear" w:color="auto" w:fill="auto"/>
            <w:vAlign w:val="center"/>
          </w:tcPr>
          <w:p w:rsidR="009112D4" w:rsidRDefault="006B1DCB">
            <w:pPr>
              <w:suppressAutoHyphens w:val="0"/>
              <w:snapToGrid w:val="0"/>
              <w:jc w:val="both"/>
              <w:rPr>
                <w:color w:val="000000"/>
                <w:sz w:val="20"/>
                <w:szCs w:val="20"/>
              </w:rPr>
            </w:pPr>
            <w:r>
              <w:rPr>
                <w:color w:val="000000"/>
                <w:sz w:val="20"/>
                <w:szCs w:val="20"/>
              </w:rPr>
              <w:t>4</w:t>
            </w:r>
          </w:p>
        </w:tc>
        <w:tc>
          <w:tcPr>
            <w:tcW w:w="1319" w:type="pct"/>
            <w:shd w:val="clear" w:color="auto" w:fill="auto"/>
            <w:vAlign w:val="center"/>
          </w:tcPr>
          <w:p w:rsidR="009112D4" w:rsidRDefault="006B1DCB">
            <w:pPr>
              <w:suppressAutoHyphens w:val="0"/>
              <w:snapToGrid w:val="0"/>
              <w:jc w:val="both"/>
              <w:rPr>
                <w:color w:val="000000"/>
                <w:sz w:val="20"/>
                <w:szCs w:val="20"/>
              </w:rPr>
            </w:pPr>
            <w:r>
              <w:rPr>
                <w:color w:val="000000"/>
                <w:sz w:val="20"/>
                <w:szCs w:val="20"/>
              </w:rPr>
              <w:t>3</w:t>
            </w:r>
          </w:p>
        </w:tc>
        <w:tc>
          <w:tcPr>
            <w:tcW w:w="417" w:type="pct"/>
            <w:shd w:val="clear" w:color="auto" w:fill="auto"/>
            <w:vAlign w:val="center"/>
          </w:tcPr>
          <w:p w:rsidR="009112D4" w:rsidRDefault="006B1DCB">
            <w:pPr>
              <w:suppressAutoHyphens w:val="0"/>
              <w:snapToGrid w:val="0"/>
              <w:jc w:val="both"/>
              <w:rPr>
                <w:color w:val="000000"/>
                <w:sz w:val="20"/>
                <w:szCs w:val="20"/>
              </w:rPr>
            </w:pPr>
            <w:r>
              <w:rPr>
                <w:color w:val="000000"/>
                <w:sz w:val="20"/>
                <w:szCs w:val="20"/>
              </w:rPr>
              <w:t>11</w:t>
            </w:r>
          </w:p>
        </w:tc>
      </w:tr>
      <w:tr w:rsidR="009112D4">
        <w:trPr>
          <w:jc w:val="center"/>
        </w:trPr>
        <w:tc>
          <w:tcPr>
            <w:tcW w:w="861" w:type="pct"/>
            <w:shd w:val="clear" w:color="auto" w:fill="auto"/>
            <w:vAlign w:val="center"/>
          </w:tcPr>
          <w:p w:rsidR="009112D4" w:rsidRDefault="006B1DCB">
            <w:pPr>
              <w:suppressAutoHyphens w:val="0"/>
              <w:snapToGrid w:val="0"/>
              <w:jc w:val="both"/>
              <w:rPr>
                <w:color w:val="000000"/>
                <w:sz w:val="20"/>
                <w:szCs w:val="20"/>
              </w:rPr>
            </w:pPr>
            <w:r>
              <w:rPr>
                <w:color w:val="000000"/>
                <w:sz w:val="20"/>
                <w:szCs w:val="20"/>
              </w:rPr>
              <w:t>11-15</w:t>
            </w:r>
          </w:p>
        </w:tc>
        <w:tc>
          <w:tcPr>
            <w:tcW w:w="1094" w:type="pct"/>
            <w:shd w:val="clear" w:color="auto" w:fill="auto"/>
            <w:vAlign w:val="center"/>
          </w:tcPr>
          <w:p w:rsidR="009112D4" w:rsidRDefault="006B1DCB">
            <w:pPr>
              <w:suppressAutoHyphens w:val="0"/>
              <w:snapToGrid w:val="0"/>
              <w:jc w:val="both"/>
              <w:rPr>
                <w:color w:val="000000"/>
                <w:sz w:val="20"/>
                <w:szCs w:val="20"/>
              </w:rPr>
            </w:pPr>
            <w:r>
              <w:rPr>
                <w:color w:val="000000"/>
                <w:sz w:val="20"/>
                <w:szCs w:val="20"/>
              </w:rPr>
              <w:t>13</w:t>
            </w:r>
          </w:p>
        </w:tc>
        <w:tc>
          <w:tcPr>
            <w:tcW w:w="1310" w:type="pct"/>
            <w:shd w:val="clear" w:color="auto" w:fill="auto"/>
            <w:vAlign w:val="center"/>
          </w:tcPr>
          <w:p w:rsidR="009112D4" w:rsidRDefault="006B1DCB">
            <w:pPr>
              <w:suppressAutoHyphens w:val="0"/>
              <w:snapToGrid w:val="0"/>
              <w:jc w:val="both"/>
              <w:rPr>
                <w:color w:val="000000"/>
                <w:sz w:val="20"/>
                <w:szCs w:val="20"/>
              </w:rPr>
            </w:pPr>
            <w:r>
              <w:rPr>
                <w:color w:val="000000"/>
                <w:sz w:val="20"/>
                <w:szCs w:val="20"/>
              </w:rPr>
              <w:t>2</w:t>
            </w:r>
          </w:p>
        </w:tc>
        <w:tc>
          <w:tcPr>
            <w:tcW w:w="1319" w:type="pct"/>
            <w:shd w:val="clear" w:color="auto" w:fill="auto"/>
            <w:vAlign w:val="center"/>
          </w:tcPr>
          <w:p w:rsidR="009112D4" w:rsidRDefault="006B1DCB">
            <w:pPr>
              <w:suppressAutoHyphens w:val="0"/>
              <w:snapToGrid w:val="0"/>
              <w:jc w:val="both"/>
              <w:rPr>
                <w:color w:val="000000"/>
                <w:sz w:val="20"/>
                <w:szCs w:val="20"/>
              </w:rPr>
            </w:pPr>
            <w:r>
              <w:rPr>
                <w:color w:val="000000"/>
                <w:sz w:val="20"/>
                <w:szCs w:val="20"/>
              </w:rPr>
              <w:t>1</w:t>
            </w:r>
          </w:p>
        </w:tc>
        <w:tc>
          <w:tcPr>
            <w:tcW w:w="417" w:type="pct"/>
            <w:shd w:val="clear" w:color="auto" w:fill="auto"/>
            <w:vAlign w:val="center"/>
          </w:tcPr>
          <w:p w:rsidR="009112D4" w:rsidRDefault="006B1DCB">
            <w:pPr>
              <w:suppressAutoHyphens w:val="0"/>
              <w:snapToGrid w:val="0"/>
              <w:jc w:val="both"/>
              <w:rPr>
                <w:color w:val="000000"/>
                <w:sz w:val="20"/>
                <w:szCs w:val="20"/>
              </w:rPr>
            </w:pPr>
            <w:r>
              <w:rPr>
                <w:color w:val="000000"/>
                <w:sz w:val="20"/>
                <w:szCs w:val="20"/>
              </w:rPr>
              <w:t>16</w:t>
            </w:r>
          </w:p>
        </w:tc>
      </w:tr>
      <w:tr w:rsidR="009112D4">
        <w:trPr>
          <w:jc w:val="center"/>
        </w:trPr>
        <w:tc>
          <w:tcPr>
            <w:tcW w:w="861" w:type="pct"/>
            <w:shd w:val="clear" w:color="auto" w:fill="auto"/>
            <w:vAlign w:val="center"/>
          </w:tcPr>
          <w:p w:rsidR="009112D4" w:rsidRDefault="006B1DCB">
            <w:pPr>
              <w:suppressAutoHyphens w:val="0"/>
              <w:snapToGrid w:val="0"/>
              <w:jc w:val="both"/>
              <w:rPr>
                <w:color w:val="000000"/>
                <w:sz w:val="20"/>
                <w:szCs w:val="20"/>
              </w:rPr>
            </w:pPr>
            <w:r>
              <w:rPr>
                <w:color w:val="000000"/>
                <w:sz w:val="20"/>
                <w:szCs w:val="20"/>
              </w:rPr>
              <w:t>16-20</w:t>
            </w:r>
          </w:p>
        </w:tc>
        <w:tc>
          <w:tcPr>
            <w:tcW w:w="1094" w:type="pct"/>
            <w:shd w:val="clear" w:color="auto" w:fill="auto"/>
            <w:vAlign w:val="center"/>
          </w:tcPr>
          <w:p w:rsidR="009112D4" w:rsidRDefault="006B1DCB">
            <w:pPr>
              <w:suppressAutoHyphens w:val="0"/>
              <w:snapToGrid w:val="0"/>
              <w:jc w:val="both"/>
              <w:rPr>
                <w:color w:val="000000"/>
                <w:sz w:val="20"/>
                <w:szCs w:val="20"/>
              </w:rPr>
            </w:pPr>
            <w:r>
              <w:rPr>
                <w:color w:val="000000"/>
                <w:sz w:val="20"/>
                <w:szCs w:val="20"/>
              </w:rPr>
              <w:t>11</w:t>
            </w:r>
          </w:p>
        </w:tc>
        <w:tc>
          <w:tcPr>
            <w:tcW w:w="1310" w:type="pct"/>
            <w:shd w:val="clear" w:color="auto" w:fill="auto"/>
            <w:vAlign w:val="center"/>
          </w:tcPr>
          <w:p w:rsidR="009112D4" w:rsidRDefault="006B1DCB">
            <w:pPr>
              <w:suppressAutoHyphens w:val="0"/>
              <w:snapToGrid w:val="0"/>
              <w:jc w:val="both"/>
              <w:rPr>
                <w:color w:val="000000"/>
                <w:sz w:val="20"/>
                <w:szCs w:val="20"/>
              </w:rPr>
            </w:pPr>
            <w:r>
              <w:rPr>
                <w:color w:val="000000"/>
                <w:sz w:val="20"/>
                <w:szCs w:val="20"/>
              </w:rPr>
              <w:t>3</w:t>
            </w:r>
          </w:p>
        </w:tc>
        <w:tc>
          <w:tcPr>
            <w:tcW w:w="1319" w:type="pct"/>
            <w:shd w:val="clear" w:color="auto" w:fill="auto"/>
            <w:vAlign w:val="center"/>
          </w:tcPr>
          <w:p w:rsidR="009112D4" w:rsidRDefault="006B1DCB">
            <w:pPr>
              <w:suppressAutoHyphens w:val="0"/>
              <w:snapToGrid w:val="0"/>
              <w:jc w:val="both"/>
              <w:rPr>
                <w:color w:val="000000"/>
                <w:sz w:val="20"/>
                <w:szCs w:val="20"/>
              </w:rPr>
            </w:pPr>
            <w:r>
              <w:rPr>
                <w:color w:val="000000"/>
                <w:sz w:val="20"/>
                <w:szCs w:val="20"/>
              </w:rPr>
              <w:t>0</w:t>
            </w:r>
          </w:p>
        </w:tc>
        <w:tc>
          <w:tcPr>
            <w:tcW w:w="417" w:type="pct"/>
            <w:shd w:val="clear" w:color="auto" w:fill="auto"/>
            <w:vAlign w:val="center"/>
          </w:tcPr>
          <w:p w:rsidR="009112D4" w:rsidRDefault="006B1DCB">
            <w:pPr>
              <w:suppressAutoHyphens w:val="0"/>
              <w:snapToGrid w:val="0"/>
              <w:jc w:val="both"/>
              <w:rPr>
                <w:color w:val="000000"/>
                <w:sz w:val="20"/>
                <w:szCs w:val="20"/>
              </w:rPr>
            </w:pPr>
            <w:r>
              <w:rPr>
                <w:color w:val="000000"/>
                <w:sz w:val="20"/>
                <w:szCs w:val="20"/>
              </w:rPr>
              <w:t>14</w:t>
            </w:r>
          </w:p>
        </w:tc>
      </w:tr>
      <w:tr w:rsidR="009112D4">
        <w:trPr>
          <w:jc w:val="center"/>
        </w:trPr>
        <w:tc>
          <w:tcPr>
            <w:tcW w:w="861" w:type="pct"/>
            <w:shd w:val="clear" w:color="auto" w:fill="auto"/>
            <w:vAlign w:val="center"/>
          </w:tcPr>
          <w:p w:rsidR="009112D4" w:rsidRDefault="006B1DCB">
            <w:pPr>
              <w:suppressAutoHyphens w:val="0"/>
              <w:snapToGrid w:val="0"/>
              <w:jc w:val="both"/>
              <w:rPr>
                <w:color w:val="000000"/>
                <w:sz w:val="20"/>
                <w:szCs w:val="20"/>
              </w:rPr>
            </w:pPr>
            <w:r>
              <w:rPr>
                <w:color w:val="000000"/>
                <w:sz w:val="20"/>
                <w:szCs w:val="20"/>
              </w:rPr>
              <w:t>21-25</w:t>
            </w:r>
          </w:p>
        </w:tc>
        <w:tc>
          <w:tcPr>
            <w:tcW w:w="1094" w:type="pct"/>
            <w:shd w:val="clear" w:color="auto" w:fill="auto"/>
            <w:vAlign w:val="center"/>
          </w:tcPr>
          <w:p w:rsidR="009112D4" w:rsidRDefault="006B1DCB">
            <w:pPr>
              <w:suppressAutoHyphens w:val="0"/>
              <w:snapToGrid w:val="0"/>
              <w:jc w:val="both"/>
              <w:rPr>
                <w:color w:val="000000"/>
                <w:sz w:val="20"/>
                <w:szCs w:val="20"/>
              </w:rPr>
            </w:pPr>
            <w:r>
              <w:rPr>
                <w:color w:val="000000"/>
                <w:sz w:val="20"/>
                <w:szCs w:val="20"/>
              </w:rPr>
              <w:t>10</w:t>
            </w:r>
          </w:p>
        </w:tc>
        <w:tc>
          <w:tcPr>
            <w:tcW w:w="1310" w:type="pct"/>
            <w:shd w:val="clear" w:color="auto" w:fill="auto"/>
            <w:vAlign w:val="center"/>
          </w:tcPr>
          <w:p w:rsidR="009112D4" w:rsidRDefault="006B1DCB">
            <w:pPr>
              <w:suppressAutoHyphens w:val="0"/>
              <w:snapToGrid w:val="0"/>
              <w:jc w:val="both"/>
              <w:rPr>
                <w:color w:val="000000"/>
                <w:sz w:val="20"/>
                <w:szCs w:val="20"/>
              </w:rPr>
            </w:pPr>
            <w:r>
              <w:rPr>
                <w:color w:val="000000"/>
                <w:sz w:val="20"/>
                <w:szCs w:val="20"/>
              </w:rPr>
              <w:t>2</w:t>
            </w:r>
          </w:p>
        </w:tc>
        <w:tc>
          <w:tcPr>
            <w:tcW w:w="1319" w:type="pct"/>
            <w:shd w:val="clear" w:color="auto" w:fill="auto"/>
            <w:vAlign w:val="center"/>
          </w:tcPr>
          <w:p w:rsidR="009112D4" w:rsidRDefault="006B1DCB">
            <w:pPr>
              <w:suppressAutoHyphens w:val="0"/>
              <w:snapToGrid w:val="0"/>
              <w:jc w:val="both"/>
              <w:rPr>
                <w:color w:val="000000"/>
                <w:sz w:val="20"/>
                <w:szCs w:val="20"/>
              </w:rPr>
            </w:pPr>
            <w:r>
              <w:rPr>
                <w:color w:val="000000"/>
                <w:sz w:val="20"/>
                <w:szCs w:val="20"/>
              </w:rPr>
              <w:t>0</w:t>
            </w:r>
          </w:p>
        </w:tc>
        <w:tc>
          <w:tcPr>
            <w:tcW w:w="417" w:type="pct"/>
            <w:shd w:val="clear" w:color="auto" w:fill="auto"/>
            <w:vAlign w:val="center"/>
          </w:tcPr>
          <w:p w:rsidR="009112D4" w:rsidRDefault="006B1DCB">
            <w:pPr>
              <w:suppressAutoHyphens w:val="0"/>
              <w:snapToGrid w:val="0"/>
              <w:jc w:val="both"/>
              <w:rPr>
                <w:color w:val="000000"/>
                <w:sz w:val="20"/>
                <w:szCs w:val="20"/>
              </w:rPr>
            </w:pPr>
            <w:r>
              <w:rPr>
                <w:color w:val="000000"/>
                <w:sz w:val="20"/>
                <w:szCs w:val="20"/>
              </w:rPr>
              <w:t>12</w:t>
            </w:r>
          </w:p>
        </w:tc>
      </w:tr>
      <w:tr w:rsidR="009112D4">
        <w:trPr>
          <w:jc w:val="center"/>
        </w:trPr>
        <w:tc>
          <w:tcPr>
            <w:tcW w:w="861" w:type="pct"/>
            <w:shd w:val="clear" w:color="auto" w:fill="auto"/>
            <w:vAlign w:val="center"/>
          </w:tcPr>
          <w:p w:rsidR="009112D4" w:rsidRDefault="006B1DCB">
            <w:pPr>
              <w:suppressAutoHyphens w:val="0"/>
              <w:snapToGrid w:val="0"/>
              <w:jc w:val="both"/>
              <w:rPr>
                <w:color w:val="000000"/>
                <w:sz w:val="20"/>
                <w:szCs w:val="20"/>
              </w:rPr>
            </w:pPr>
            <w:r>
              <w:rPr>
                <w:color w:val="000000"/>
                <w:sz w:val="20"/>
                <w:szCs w:val="20"/>
              </w:rPr>
              <w:t>26-30</w:t>
            </w:r>
          </w:p>
        </w:tc>
        <w:tc>
          <w:tcPr>
            <w:tcW w:w="1094" w:type="pct"/>
            <w:shd w:val="clear" w:color="auto" w:fill="auto"/>
            <w:vAlign w:val="center"/>
          </w:tcPr>
          <w:p w:rsidR="009112D4" w:rsidRDefault="006B1DCB">
            <w:pPr>
              <w:suppressAutoHyphens w:val="0"/>
              <w:snapToGrid w:val="0"/>
              <w:jc w:val="both"/>
              <w:rPr>
                <w:color w:val="000000"/>
                <w:sz w:val="20"/>
                <w:szCs w:val="20"/>
              </w:rPr>
            </w:pPr>
            <w:r>
              <w:rPr>
                <w:color w:val="000000"/>
                <w:sz w:val="20"/>
                <w:szCs w:val="20"/>
              </w:rPr>
              <w:t>9</w:t>
            </w:r>
          </w:p>
        </w:tc>
        <w:tc>
          <w:tcPr>
            <w:tcW w:w="1310" w:type="pct"/>
            <w:shd w:val="clear" w:color="auto" w:fill="auto"/>
            <w:vAlign w:val="center"/>
          </w:tcPr>
          <w:p w:rsidR="009112D4" w:rsidRDefault="006B1DCB">
            <w:pPr>
              <w:suppressAutoHyphens w:val="0"/>
              <w:snapToGrid w:val="0"/>
              <w:jc w:val="both"/>
              <w:rPr>
                <w:color w:val="000000"/>
                <w:sz w:val="20"/>
                <w:szCs w:val="20"/>
              </w:rPr>
            </w:pPr>
            <w:r>
              <w:rPr>
                <w:color w:val="000000"/>
                <w:sz w:val="20"/>
                <w:szCs w:val="20"/>
              </w:rPr>
              <w:t>0</w:t>
            </w:r>
          </w:p>
        </w:tc>
        <w:tc>
          <w:tcPr>
            <w:tcW w:w="1319" w:type="pct"/>
            <w:shd w:val="clear" w:color="auto" w:fill="auto"/>
            <w:vAlign w:val="center"/>
          </w:tcPr>
          <w:p w:rsidR="009112D4" w:rsidRDefault="006B1DCB">
            <w:pPr>
              <w:suppressAutoHyphens w:val="0"/>
              <w:snapToGrid w:val="0"/>
              <w:jc w:val="both"/>
              <w:rPr>
                <w:color w:val="000000"/>
                <w:sz w:val="20"/>
                <w:szCs w:val="20"/>
              </w:rPr>
            </w:pPr>
            <w:r>
              <w:rPr>
                <w:color w:val="000000"/>
                <w:sz w:val="20"/>
                <w:szCs w:val="20"/>
              </w:rPr>
              <w:t>0</w:t>
            </w:r>
          </w:p>
        </w:tc>
        <w:tc>
          <w:tcPr>
            <w:tcW w:w="417" w:type="pct"/>
            <w:shd w:val="clear" w:color="auto" w:fill="auto"/>
            <w:vAlign w:val="center"/>
          </w:tcPr>
          <w:p w:rsidR="009112D4" w:rsidRDefault="006B1DCB">
            <w:pPr>
              <w:suppressAutoHyphens w:val="0"/>
              <w:snapToGrid w:val="0"/>
              <w:jc w:val="both"/>
              <w:rPr>
                <w:color w:val="000000"/>
                <w:sz w:val="20"/>
                <w:szCs w:val="20"/>
              </w:rPr>
            </w:pPr>
            <w:r>
              <w:rPr>
                <w:color w:val="000000"/>
                <w:sz w:val="20"/>
                <w:szCs w:val="20"/>
              </w:rPr>
              <w:t>9</w:t>
            </w:r>
          </w:p>
        </w:tc>
      </w:tr>
      <w:tr w:rsidR="009112D4">
        <w:trPr>
          <w:jc w:val="center"/>
        </w:trPr>
        <w:tc>
          <w:tcPr>
            <w:tcW w:w="861" w:type="pct"/>
            <w:shd w:val="clear" w:color="auto" w:fill="auto"/>
            <w:vAlign w:val="center"/>
          </w:tcPr>
          <w:p w:rsidR="009112D4" w:rsidRDefault="006B1DCB">
            <w:pPr>
              <w:suppressAutoHyphens w:val="0"/>
              <w:snapToGrid w:val="0"/>
              <w:jc w:val="both"/>
              <w:rPr>
                <w:color w:val="000000"/>
                <w:sz w:val="20"/>
                <w:szCs w:val="20"/>
              </w:rPr>
            </w:pPr>
            <w:r>
              <w:rPr>
                <w:color w:val="000000"/>
                <w:sz w:val="20"/>
                <w:szCs w:val="20"/>
              </w:rPr>
              <w:t>31-35</w:t>
            </w:r>
          </w:p>
        </w:tc>
        <w:tc>
          <w:tcPr>
            <w:tcW w:w="1094" w:type="pct"/>
            <w:shd w:val="clear" w:color="auto" w:fill="auto"/>
            <w:vAlign w:val="center"/>
          </w:tcPr>
          <w:p w:rsidR="009112D4" w:rsidRDefault="006B1DCB">
            <w:pPr>
              <w:suppressAutoHyphens w:val="0"/>
              <w:snapToGrid w:val="0"/>
              <w:jc w:val="both"/>
              <w:rPr>
                <w:color w:val="000000"/>
                <w:sz w:val="20"/>
                <w:szCs w:val="20"/>
              </w:rPr>
            </w:pPr>
            <w:r>
              <w:rPr>
                <w:color w:val="000000"/>
                <w:sz w:val="20"/>
                <w:szCs w:val="20"/>
              </w:rPr>
              <w:t>11</w:t>
            </w:r>
          </w:p>
        </w:tc>
        <w:tc>
          <w:tcPr>
            <w:tcW w:w="1310" w:type="pct"/>
            <w:shd w:val="clear" w:color="auto" w:fill="auto"/>
            <w:vAlign w:val="center"/>
          </w:tcPr>
          <w:p w:rsidR="009112D4" w:rsidRDefault="006B1DCB">
            <w:pPr>
              <w:suppressAutoHyphens w:val="0"/>
              <w:snapToGrid w:val="0"/>
              <w:jc w:val="both"/>
              <w:rPr>
                <w:color w:val="000000"/>
                <w:sz w:val="20"/>
                <w:szCs w:val="20"/>
              </w:rPr>
            </w:pPr>
            <w:r>
              <w:rPr>
                <w:color w:val="000000"/>
                <w:sz w:val="20"/>
                <w:szCs w:val="20"/>
              </w:rPr>
              <w:t>1</w:t>
            </w:r>
          </w:p>
        </w:tc>
        <w:tc>
          <w:tcPr>
            <w:tcW w:w="1319" w:type="pct"/>
            <w:shd w:val="clear" w:color="auto" w:fill="auto"/>
            <w:vAlign w:val="center"/>
          </w:tcPr>
          <w:p w:rsidR="009112D4" w:rsidRDefault="006B1DCB">
            <w:pPr>
              <w:suppressAutoHyphens w:val="0"/>
              <w:snapToGrid w:val="0"/>
              <w:jc w:val="both"/>
              <w:rPr>
                <w:color w:val="000000"/>
                <w:sz w:val="20"/>
                <w:szCs w:val="20"/>
              </w:rPr>
            </w:pPr>
            <w:r>
              <w:rPr>
                <w:color w:val="000000"/>
                <w:sz w:val="20"/>
                <w:szCs w:val="20"/>
              </w:rPr>
              <w:t>0</w:t>
            </w:r>
          </w:p>
        </w:tc>
        <w:tc>
          <w:tcPr>
            <w:tcW w:w="417" w:type="pct"/>
            <w:shd w:val="clear" w:color="auto" w:fill="auto"/>
            <w:vAlign w:val="center"/>
          </w:tcPr>
          <w:p w:rsidR="009112D4" w:rsidRDefault="006B1DCB">
            <w:pPr>
              <w:suppressAutoHyphens w:val="0"/>
              <w:snapToGrid w:val="0"/>
              <w:jc w:val="both"/>
              <w:rPr>
                <w:color w:val="000000"/>
                <w:sz w:val="20"/>
                <w:szCs w:val="20"/>
              </w:rPr>
            </w:pPr>
            <w:r>
              <w:rPr>
                <w:color w:val="000000"/>
                <w:sz w:val="20"/>
                <w:szCs w:val="20"/>
              </w:rPr>
              <w:t>12</w:t>
            </w:r>
          </w:p>
        </w:tc>
      </w:tr>
      <w:tr w:rsidR="009112D4">
        <w:trPr>
          <w:jc w:val="center"/>
        </w:trPr>
        <w:tc>
          <w:tcPr>
            <w:tcW w:w="861" w:type="pct"/>
            <w:shd w:val="clear" w:color="auto" w:fill="auto"/>
            <w:vAlign w:val="center"/>
          </w:tcPr>
          <w:p w:rsidR="009112D4" w:rsidRDefault="006B1DCB">
            <w:pPr>
              <w:suppressAutoHyphens w:val="0"/>
              <w:snapToGrid w:val="0"/>
              <w:jc w:val="both"/>
              <w:rPr>
                <w:color w:val="000000"/>
                <w:sz w:val="20"/>
                <w:szCs w:val="20"/>
              </w:rPr>
            </w:pPr>
            <w:r>
              <w:rPr>
                <w:color w:val="000000"/>
                <w:sz w:val="20"/>
                <w:szCs w:val="20"/>
              </w:rPr>
              <w:t>36-40</w:t>
            </w:r>
          </w:p>
        </w:tc>
        <w:tc>
          <w:tcPr>
            <w:tcW w:w="1094" w:type="pct"/>
            <w:shd w:val="clear" w:color="auto" w:fill="auto"/>
            <w:vAlign w:val="center"/>
          </w:tcPr>
          <w:p w:rsidR="009112D4" w:rsidRDefault="006B1DCB">
            <w:pPr>
              <w:suppressAutoHyphens w:val="0"/>
              <w:snapToGrid w:val="0"/>
              <w:jc w:val="both"/>
              <w:rPr>
                <w:color w:val="000000"/>
                <w:sz w:val="20"/>
                <w:szCs w:val="20"/>
              </w:rPr>
            </w:pPr>
            <w:r>
              <w:rPr>
                <w:color w:val="000000"/>
                <w:sz w:val="20"/>
                <w:szCs w:val="20"/>
              </w:rPr>
              <w:t>10</w:t>
            </w:r>
          </w:p>
        </w:tc>
        <w:tc>
          <w:tcPr>
            <w:tcW w:w="1310" w:type="pct"/>
            <w:shd w:val="clear" w:color="auto" w:fill="auto"/>
            <w:vAlign w:val="center"/>
          </w:tcPr>
          <w:p w:rsidR="009112D4" w:rsidRDefault="006B1DCB">
            <w:pPr>
              <w:suppressAutoHyphens w:val="0"/>
              <w:snapToGrid w:val="0"/>
              <w:jc w:val="both"/>
              <w:rPr>
                <w:color w:val="000000"/>
                <w:sz w:val="20"/>
                <w:szCs w:val="20"/>
              </w:rPr>
            </w:pPr>
            <w:r>
              <w:rPr>
                <w:color w:val="000000"/>
                <w:sz w:val="20"/>
                <w:szCs w:val="20"/>
              </w:rPr>
              <w:t>0</w:t>
            </w:r>
          </w:p>
        </w:tc>
        <w:tc>
          <w:tcPr>
            <w:tcW w:w="1319" w:type="pct"/>
            <w:shd w:val="clear" w:color="auto" w:fill="auto"/>
            <w:vAlign w:val="center"/>
          </w:tcPr>
          <w:p w:rsidR="009112D4" w:rsidRDefault="006B1DCB">
            <w:pPr>
              <w:suppressAutoHyphens w:val="0"/>
              <w:snapToGrid w:val="0"/>
              <w:jc w:val="both"/>
              <w:rPr>
                <w:color w:val="000000"/>
                <w:sz w:val="20"/>
                <w:szCs w:val="20"/>
              </w:rPr>
            </w:pPr>
            <w:r>
              <w:rPr>
                <w:color w:val="000000"/>
                <w:sz w:val="20"/>
                <w:szCs w:val="20"/>
              </w:rPr>
              <w:t>0</w:t>
            </w:r>
          </w:p>
        </w:tc>
        <w:tc>
          <w:tcPr>
            <w:tcW w:w="417" w:type="pct"/>
            <w:shd w:val="clear" w:color="auto" w:fill="auto"/>
            <w:vAlign w:val="center"/>
          </w:tcPr>
          <w:p w:rsidR="009112D4" w:rsidRDefault="006B1DCB">
            <w:pPr>
              <w:suppressAutoHyphens w:val="0"/>
              <w:snapToGrid w:val="0"/>
              <w:jc w:val="both"/>
              <w:rPr>
                <w:color w:val="000000"/>
                <w:sz w:val="20"/>
                <w:szCs w:val="20"/>
              </w:rPr>
            </w:pPr>
            <w:r>
              <w:rPr>
                <w:color w:val="000000"/>
                <w:sz w:val="20"/>
                <w:szCs w:val="20"/>
              </w:rPr>
              <w:t>10</w:t>
            </w:r>
          </w:p>
        </w:tc>
      </w:tr>
      <w:tr w:rsidR="009112D4">
        <w:trPr>
          <w:jc w:val="center"/>
        </w:trPr>
        <w:tc>
          <w:tcPr>
            <w:tcW w:w="861" w:type="pct"/>
            <w:shd w:val="clear" w:color="auto" w:fill="auto"/>
            <w:vAlign w:val="center"/>
          </w:tcPr>
          <w:p w:rsidR="009112D4" w:rsidRDefault="006B1DCB">
            <w:pPr>
              <w:suppressAutoHyphens w:val="0"/>
              <w:snapToGrid w:val="0"/>
              <w:jc w:val="both"/>
              <w:rPr>
                <w:color w:val="000000"/>
                <w:sz w:val="20"/>
                <w:szCs w:val="20"/>
              </w:rPr>
            </w:pPr>
            <w:r>
              <w:rPr>
                <w:color w:val="000000"/>
                <w:sz w:val="20"/>
                <w:szCs w:val="20"/>
              </w:rPr>
              <w:t>Total</w:t>
            </w:r>
          </w:p>
        </w:tc>
        <w:tc>
          <w:tcPr>
            <w:tcW w:w="1094" w:type="pct"/>
            <w:shd w:val="clear" w:color="auto" w:fill="auto"/>
            <w:vAlign w:val="center"/>
          </w:tcPr>
          <w:p w:rsidR="009112D4" w:rsidRDefault="006B1DCB">
            <w:pPr>
              <w:suppressAutoHyphens w:val="0"/>
              <w:snapToGrid w:val="0"/>
              <w:jc w:val="both"/>
              <w:rPr>
                <w:color w:val="000000"/>
                <w:sz w:val="20"/>
                <w:szCs w:val="20"/>
              </w:rPr>
            </w:pPr>
            <w:r>
              <w:rPr>
                <w:color w:val="000000"/>
                <w:sz w:val="20"/>
                <w:szCs w:val="20"/>
              </w:rPr>
              <w:t>84</w:t>
            </w:r>
          </w:p>
        </w:tc>
        <w:tc>
          <w:tcPr>
            <w:tcW w:w="1310" w:type="pct"/>
            <w:shd w:val="clear" w:color="auto" w:fill="auto"/>
            <w:vAlign w:val="center"/>
          </w:tcPr>
          <w:p w:rsidR="009112D4" w:rsidRDefault="006B1DCB">
            <w:pPr>
              <w:suppressAutoHyphens w:val="0"/>
              <w:snapToGrid w:val="0"/>
              <w:jc w:val="both"/>
              <w:rPr>
                <w:color w:val="000000"/>
                <w:sz w:val="20"/>
                <w:szCs w:val="20"/>
              </w:rPr>
            </w:pPr>
            <w:r>
              <w:rPr>
                <w:color w:val="000000"/>
                <w:sz w:val="20"/>
                <w:szCs w:val="20"/>
              </w:rPr>
              <w:t>12</w:t>
            </w:r>
          </w:p>
        </w:tc>
        <w:tc>
          <w:tcPr>
            <w:tcW w:w="1319" w:type="pct"/>
            <w:shd w:val="clear" w:color="auto" w:fill="auto"/>
            <w:vAlign w:val="center"/>
          </w:tcPr>
          <w:p w:rsidR="009112D4" w:rsidRDefault="006B1DCB">
            <w:pPr>
              <w:suppressAutoHyphens w:val="0"/>
              <w:snapToGrid w:val="0"/>
              <w:jc w:val="both"/>
              <w:rPr>
                <w:color w:val="000000"/>
                <w:sz w:val="20"/>
                <w:szCs w:val="20"/>
              </w:rPr>
            </w:pPr>
            <w:r>
              <w:rPr>
                <w:color w:val="000000"/>
                <w:sz w:val="20"/>
                <w:szCs w:val="20"/>
              </w:rPr>
              <w:t>4</w:t>
            </w:r>
          </w:p>
        </w:tc>
        <w:tc>
          <w:tcPr>
            <w:tcW w:w="417" w:type="pct"/>
            <w:shd w:val="clear" w:color="auto" w:fill="auto"/>
            <w:vAlign w:val="center"/>
          </w:tcPr>
          <w:p w:rsidR="009112D4" w:rsidRDefault="006B1DCB">
            <w:pPr>
              <w:suppressAutoHyphens w:val="0"/>
              <w:snapToGrid w:val="0"/>
              <w:jc w:val="both"/>
              <w:rPr>
                <w:color w:val="000000"/>
                <w:sz w:val="20"/>
                <w:szCs w:val="20"/>
              </w:rPr>
            </w:pPr>
            <w:r>
              <w:rPr>
                <w:color w:val="000000"/>
                <w:sz w:val="20"/>
                <w:szCs w:val="20"/>
              </w:rPr>
              <w:t>100</w:t>
            </w:r>
          </w:p>
        </w:tc>
      </w:tr>
    </w:tbl>
    <w:p w:rsidR="009112D4" w:rsidRDefault="006B1DCB">
      <w:pPr>
        <w:suppressAutoHyphens w:val="0"/>
        <w:snapToGrid w:val="0"/>
        <w:jc w:val="both"/>
        <w:rPr>
          <w:b/>
          <w:sz w:val="20"/>
          <w:szCs w:val="20"/>
        </w:rPr>
      </w:pPr>
      <w:r>
        <w:rPr>
          <w:sz w:val="20"/>
          <w:szCs w:val="20"/>
        </w:rPr>
        <w:t>P &lt; 0.001</w:t>
      </w:r>
      <w:r>
        <w:rPr>
          <w:rFonts w:hint="eastAsia"/>
          <w:sz w:val="20"/>
          <w:szCs w:val="20"/>
          <w:lang w:eastAsia="zh-CN"/>
        </w:rPr>
        <w:t>；</w:t>
      </w:r>
      <w:r>
        <w:rPr>
          <w:rFonts w:hint="eastAsia"/>
          <w:sz w:val="20"/>
          <w:szCs w:val="20"/>
          <w:lang w:eastAsia="zh-CN"/>
        </w:rPr>
        <w:t xml:space="preserve"> </w:t>
      </w:r>
      <w:r>
        <w:rPr>
          <w:sz w:val="20"/>
          <w:szCs w:val="20"/>
        </w:rPr>
        <w:t>Chi square =13.45</w:t>
      </w:r>
    </w:p>
    <w:p w:rsidR="009112D4" w:rsidRDefault="009112D4">
      <w:pPr>
        <w:suppressAutoHyphens w:val="0"/>
        <w:snapToGrid w:val="0"/>
        <w:jc w:val="center"/>
        <w:rPr>
          <w:sz w:val="20"/>
          <w:szCs w:val="20"/>
          <w:lang w:eastAsia="zh-CN"/>
        </w:rPr>
      </w:pPr>
    </w:p>
    <w:p w:rsidR="009112D4" w:rsidRDefault="006B1DCB">
      <w:pPr>
        <w:suppressAutoHyphens w:val="0"/>
        <w:snapToGrid w:val="0"/>
        <w:jc w:val="center"/>
        <w:rPr>
          <w:sz w:val="20"/>
          <w:szCs w:val="20"/>
        </w:rPr>
      </w:pPr>
      <w:r>
        <w:rPr>
          <w:sz w:val="20"/>
          <w:szCs w:val="20"/>
        </w:rPr>
        <w:t xml:space="preserve">Table 4: level of level awareness of subjects on </w:t>
      </w:r>
      <w:r>
        <w:rPr>
          <w:i/>
          <w:sz w:val="20"/>
          <w:szCs w:val="20"/>
        </w:rPr>
        <w:t xml:space="preserve">Tinea </w:t>
      </w:r>
      <w:r>
        <w:rPr>
          <w:i/>
          <w:sz w:val="20"/>
          <w:szCs w:val="20"/>
        </w:rPr>
        <w:t>capitis</w:t>
      </w:r>
    </w:p>
    <w:tbl>
      <w:tblPr>
        <w:tblW w:w="0" w:type="auto"/>
        <w:jc w:val="center"/>
        <w:tblBorders>
          <w:top w:val="single" w:sz="4" w:space="0" w:color="auto"/>
          <w:bottom w:val="single" w:sz="4" w:space="0" w:color="auto"/>
        </w:tblBorders>
        <w:tblLook w:val="04A0"/>
      </w:tblPr>
      <w:tblGrid>
        <w:gridCol w:w="3978"/>
        <w:gridCol w:w="2430"/>
        <w:gridCol w:w="2340"/>
      </w:tblGrid>
      <w:tr w:rsidR="009112D4">
        <w:trPr>
          <w:jc w:val="center"/>
        </w:trPr>
        <w:tc>
          <w:tcPr>
            <w:tcW w:w="3978" w:type="dxa"/>
            <w:tcBorders>
              <w:top w:val="single" w:sz="4" w:space="0" w:color="auto"/>
              <w:bottom w:val="single" w:sz="4" w:space="0" w:color="auto"/>
            </w:tcBorders>
            <w:shd w:val="clear" w:color="auto" w:fill="auto"/>
          </w:tcPr>
          <w:p w:rsidR="009112D4" w:rsidRDefault="006B1DCB">
            <w:pPr>
              <w:suppressAutoHyphens w:val="0"/>
              <w:snapToGrid w:val="0"/>
              <w:jc w:val="both"/>
              <w:rPr>
                <w:color w:val="000000"/>
                <w:sz w:val="20"/>
                <w:szCs w:val="20"/>
              </w:rPr>
            </w:pPr>
            <w:r>
              <w:rPr>
                <w:color w:val="000000"/>
                <w:sz w:val="20"/>
                <w:szCs w:val="20"/>
              </w:rPr>
              <w:t>Level of Awareness</w:t>
            </w:r>
          </w:p>
        </w:tc>
        <w:tc>
          <w:tcPr>
            <w:tcW w:w="4770" w:type="dxa"/>
            <w:gridSpan w:val="2"/>
            <w:tcBorders>
              <w:top w:val="single" w:sz="4" w:space="0" w:color="auto"/>
              <w:bottom w:val="single" w:sz="4" w:space="0" w:color="auto"/>
            </w:tcBorders>
            <w:shd w:val="clear" w:color="auto" w:fill="auto"/>
          </w:tcPr>
          <w:p w:rsidR="009112D4" w:rsidRDefault="006B1DCB">
            <w:pPr>
              <w:suppressAutoHyphens w:val="0"/>
              <w:snapToGrid w:val="0"/>
              <w:jc w:val="both"/>
              <w:rPr>
                <w:color w:val="000000"/>
                <w:sz w:val="20"/>
                <w:szCs w:val="20"/>
              </w:rPr>
            </w:pPr>
            <w:r>
              <w:rPr>
                <w:color w:val="000000"/>
                <w:sz w:val="20"/>
                <w:szCs w:val="20"/>
              </w:rPr>
              <w:t>Frequency Percentage</w:t>
            </w:r>
          </w:p>
        </w:tc>
      </w:tr>
      <w:tr w:rsidR="009112D4">
        <w:trPr>
          <w:jc w:val="center"/>
        </w:trPr>
        <w:tc>
          <w:tcPr>
            <w:tcW w:w="3978" w:type="dxa"/>
            <w:tcBorders>
              <w:top w:val="single" w:sz="4" w:space="0" w:color="auto"/>
            </w:tcBorders>
            <w:shd w:val="clear" w:color="auto" w:fill="auto"/>
          </w:tcPr>
          <w:p w:rsidR="009112D4" w:rsidRDefault="006B1DCB">
            <w:pPr>
              <w:tabs>
                <w:tab w:val="left" w:pos="2995"/>
              </w:tabs>
              <w:suppressAutoHyphens w:val="0"/>
              <w:snapToGrid w:val="0"/>
              <w:jc w:val="both"/>
              <w:rPr>
                <w:color w:val="000000"/>
                <w:sz w:val="20"/>
                <w:szCs w:val="20"/>
              </w:rPr>
            </w:pPr>
            <w:r>
              <w:rPr>
                <w:color w:val="000000"/>
                <w:sz w:val="20"/>
                <w:szCs w:val="20"/>
              </w:rPr>
              <w:t>Aware</w:t>
            </w:r>
          </w:p>
        </w:tc>
        <w:tc>
          <w:tcPr>
            <w:tcW w:w="2430" w:type="dxa"/>
            <w:tcBorders>
              <w:top w:val="single" w:sz="4" w:space="0" w:color="auto"/>
            </w:tcBorders>
            <w:shd w:val="clear" w:color="auto" w:fill="auto"/>
          </w:tcPr>
          <w:p w:rsidR="009112D4" w:rsidRDefault="006B1DCB">
            <w:pPr>
              <w:suppressAutoHyphens w:val="0"/>
              <w:snapToGrid w:val="0"/>
              <w:jc w:val="both"/>
              <w:rPr>
                <w:color w:val="000000"/>
                <w:sz w:val="20"/>
                <w:szCs w:val="20"/>
              </w:rPr>
            </w:pPr>
            <w:r>
              <w:rPr>
                <w:color w:val="000000"/>
                <w:sz w:val="20"/>
                <w:szCs w:val="20"/>
              </w:rPr>
              <w:t>45</w:t>
            </w:r>
          </w:p>
        </w:tc>
        <w:tc>
          <w:tcPr>
            <w:tcW w:w="2340" w:type="dxa"/>
            <w:tcBorders>
              <w:top w:val="single" w:sz="4" w:space="0" w:color="auto"/>
            </w:tcBorders>
            <w:shd w:val="clear" w:color="auto" w:fill="auto"/>
          </w:tcPr>
          <w:p w:rsidR="009112D4" w:rsidRDefault="006B1DCB">
            <w:pPr>
              <w:suppressAutoHyphens w:val="0"/>
              <w:snapToGrid w:val="0"/>
              <w:jc w:val="both"/>
              <w:rPr>
                <w:color w:val="000000"/>
                <w:sz w:val="20"/>
                <w:szCs w:val="20"/>
              </w:rPr>
            </w:pPr>
            <w:r>
              <w:rPr>
                <w:color w:val="000000"/>
                <w:sz w:val="20"/>
                <w:szCs w:val="20"/>
              </w:rPr>
              <w:t>45.0</w:t>
            </w:r>
          </w:p>
        </w:tc>
      </w:tr>
      <w:tr w:rsidR="009112D4">
        <w:trPr>
          <w:jc w:val="center"/>
        </w:trPr>
        <w:tc>
          <w:tcPr>
            <w:tcW w:w="3978" w:type="dxa"/>
            <w:shd w:val="clear" w:color="auto" w:fill="auto"/>
          </w:tcPr>
          <w:p w:rsidR="009112D4" w:rsidRDefault="006B1DCB">
            <w:pPr>
              <w:suppressAutoHyphens w:val="0"/>
              <w:snapToGrid w:val="0"/>
              <w:jc w:val="both"/>
              <w:rPr>
                <w:color w:val="000000"/>
                <w:sz w:val="20"/>
                <w:szCs w:val="20"/>
              </w:rPr>
            </w:pPr>
            <w:r>
              <w:rPr>
                <w:color w:val="000000"/>
                <w:sz w:val="20"/>
                <w:szCs w:val="20"/>
              </w:rPr>
              <w:t>Not Aware</w:t>
            </w:r>
          </w:p>
        </w:tc>
        <w:tc>
          <w:tcPr>
            <w:tcW w:w="2430" w:type="dxa"/>
            <w:shd w:val="clear" w:color="auto" w:fill="auto"/>
          </w:tcPr>
          <w:p w:rsidR="009112D4" w:rsidRDefault="006B1DCB">
            <w:pPr>
              <w:suppressAutoHyphens w:val="0"/>
              <w:snapToGrid w:val="0"/>
              <w:jc w:val="both"/>
              <w:rPr>
                <w:color w:val="000000"/>
                <w:sz w:val="20"/>
                <w:szCs w:val="20"/>
              </w:rPr>
            </w:pPr>
            <w:r>
              <w:rPr>
                <w:color w:val="000000"/>
                <w:sz w:val="20"/>
                <w:szCs w:val="20"/>
              </w:rPr>
              <w:t>55</w:t>
            </w:r>
          </w:p>
        </w:tc>
        <w:tc>
          <w:tcPr>
            <w:tcW w:w="2340" w:type="dxa"/>
            <w:shd w:val="clear" w:color="auto" w:fill="auto"/>
          </w:tcPr>
          <w:p w:rsidR="009112D4" w:rsidRDefault="006B1DCB">
            <w:pPr>
              <w:suppressAutoHyphens w:val="0"/>
              <w:snapToGrid w:val="0"/>
              <w:jc w:val="both"/>
              <w:rPr>
                <w:color w:val="000000"/>
                <w:sz w:val="20"/>
                <w:szCs w:val="20"/>
              </w:rPr>
            </w:pPr>
            <w:r>
              <w:rPr>
                <w:color w:val="000000"/>
                <w:sz w:val="20"/>
                <w:szCs w:val="20"/>
              </w:rPr>
              <w:t>55.0</w:t>
            </w:r>
          </w:p>
        </w:tc>
      </w:tr>
      <w:tr w:rsidR="009112D4">
        <w:trPr>
          <w:jc w:val="center"/>
        </w:trPr>
        <w:tc>
          <w:tcPr>
            <w:tcW w:w="3978" w:type="dxa"/>
            <w:shd w:val="clear" w:color="auto" w:fill="auto"/>
          </w:tcPr>
          <w:p w:rsidR="009112D4" w:rsidRDefault="006B1DCB">
            <w:pPr>
              <w:suppressAutoHyphens w:val="0"/>
              <w:snapToGrid w:val="0"/>
              <w:jc w:val="both"/>
              <w:rPr>
                <w:color w:val="000000"/>
                <w:sz w:val="20"/>
                <w:szCs w:val="20"/>
              </w:rPr>
            </w:pPr>
            <w:r>
              <w:rPr>
                <w:color w:val="000000"/>
                <w:sz w:val="20"/>
                <w:szCs w:val="20"/>
              </w:rPr>
              <w:t>Total</w:t>
            </w:r>
          </w:p>
        </w:tc>
        <w:tc>
          <w:tcPr>
            <w:tcW w:w="2430" w:type="dxa"/>
            <w:shd w:val="clear" w:color="auto" w:fill="auto"/>
          </w:tcPr>
          <w:p w:rsidR="009112D4" w:rsidRDefault="006B1DCB">
            <w:pPr>
              <w:suppressAutoHyphens w:val="0"/>
              <w:snapToGrid w:val="0"/>
              <w:jc w:val="both"/>
              <w:rPr>
                <w:color w:val="000000"/>
                <w:sz w:val="20"/>
                <w:szCs w:val="20"/>
              </w:rPr>
            </w:pPr>
            <w:r>
              <w:rPr>
                <w:color w:val="000000"/>
                <w:sz w:val="20"/>
                <w:szCs w:val="20"/>
              </w:rPr>
              <w:t>100</w:t>
            </w:r>
          </w:p>
        </w:tc>
        <w:tc>
          <w:tcPr>
            <w:tcW w:w="2340" w:type="dxa"/>
            <w:shd w:val="clear" w:color="auto" w:fill="auto"/>
          </w:tcPr>
          <w:p w:rsidR="009112D4" w:rsidRDefault="006B1DCB">
            <w:pPr>
              <w:suppressAutoHyphens w:val="0"/>
              <w:snapToGrid w:val="0"/>
              <w:jc w:val="both"/>
              <w:rPr>
                <w:color w:val="000000"/>
                <w:sz w:val="20"/>
                <w:szCs w:val="20"/>
              </w:rPr>
            </w:pPr>
            <w:r>
              <w:rPr>
                <w:color w:val="000000"/>
                <w:sz w:val="20"/>
                <w:szCs w:val="20"/>
              </w:rPr>
              <w:t>100.0</w:t>
            </w:r>
          </w:p>
        </w:tc>
      </w:tr>
    </w:tbl>
    <w:p w:rsidR="009112D4" w:rsidRDefault="009112D4">
      <w:pPr>
        <w:suppressAutoHyphens w:val="0"/>
        <w:snapToGrid w:val="0"/>
        <w:jc w:val="both"/>
        <w:rPr>
          <w:rFonts w:hint="eastAsia"/>
          <w:b/>
          <w:sz w:val="20"/>
          <w:szCs w:val="20"/>
          <w:lang w:eastAsia="zh-CN"/>
        </w:rPr>
      </w:pPr>
    </w:p>
    <w:p w:rsidR="006B1DCB" w:rsidRDefault="006B1DCB">
      <w:pPr>
        <w:suppressAutoHyphens w:val="0"/>
        <w:snapToGrid w:val="0"/>
        <w:jc w:val="both"/>
        <w:rPr>
          <w:rFonts w:hint="eastAsia"/>
          <w:b/>
          <w:sz w:val="20"/>
          <w:szCs w:val="20"/>
          <w:lang w:eastAsia="zh-CN"/>
        </w:rPr>
      </w:pPr>
    </w:p>
    <w:p w:rsidR="009112D4" w:rsidRDefault="009112D4">
      <w:pPr>
        <w:suppressAutoHyphens w:val="0"/>
        <w:snapToGrid w:val="0"/>
        <w:jc w:val="both"/>
        <w:rPr>
          <w:b/>
          <w:sz w:val="20"/>
          <w:szCs w:val="20"/>
        </w:rPr>
        <w:sectPr w:rsidR="009112D4">
          <w:footnotePr>
            <w:pos w:val="beneathText"/>
          </w:footnotePr>
          <w:type w:val="continuous"/>
          <w:pgSz w:w="12240" w:h="15840" w:code="1"/>
          <w:pgMar w:top="1440" w:right="1440" w:bottom="1440" w:left="1440" w:header="720" w:footer="720" w:gutter="0"/>
          <w:cols w:space="720"/>
          <w:docGrid w:linePitch="360"/>
        </w:sectPr>
      </w:pPr>
    </w:p>
    <w:p w:rsidR="009112D4" w:rsidRDefault="006B1DCB">
      <w:pPr>
        <w:suppressAutoHyphens w:val="0"/>
        <w:snapToGrid w:val="0"/>
        <w:jc w:val="both"/>
        <w:rPr>
          <w:b/>
          <w:sz w:val="20"/>
          <w:szCs w:val="20"/>
        </w:rPr>
      </w:pPr>
      <w:r>
        <w:rPr>
          <w:b/>
          <w:sz w:val="20"/>
          <w:szCs w:val="20"/>
        </w:rPr>
        <w:lastRenderedPageBreak/>
        <w:t>Discussion</w:t>
      </w:r>
    </w:p>
    <w:p w:rsidR="009112D4" w:rsidRDefault="006B1DCB">
      <w:pPr>
        <w:suppressAutoHyphens w:val="0"/>
        <w:snapToGrid w:val="0"/>
        <w:ind w:firstLine="425"/>
        <w:jc w:val="both"/>
        <w:rPr>
          <w:color w:val="000000"/>
          <w:sz w:val="20"/>
          <w:szCs w:val="20"/>
          <w:shd w:val="clear" w:color="auto" w:fill="FFFFFF"/>
        </w:rPr>
      </w:pPr>
      <w:r>
        <w:rPr>
          <w:sz w:val="20"/>
          <w:szCs w:val="20"/>
        </w:rPr>
        <w:t xml:space="preserve">Dermatophytes (e.g. Tinea Capitis) represent the </w:t>
      </w:r>
      <w:r>
        <w:rPr>
          <w:sz w:val="20"/>
          <w:szCs w:val="20"/>
        </w:rPr>
        <w:t xml:space="preserve">prevailing type of fungi that cause infection worldwide but little attention has been given to it due to asymptomatic nature. In this study the fungi etiology of </w:t>
      </w:r>
      <w:r>
        <w:rPr>
          <w:i/>
          <w:sz w:val="20"/>
          <w:szCs w:val="20"/>
        </w:rPr>
        <w:t>Tinea capitis</w:t>
      </w:r>
      <w:r>
        <w:rPr>
          <w:sz w:val="20"/>
          <w:szCs w:val="20"/>
        </w:rPr>
        <w:t xml:space="preserve"> was isolated in 16% of the subjects. </w:t>
      </w:r>
      <w:r>
        <w:rPr>
          <w:color w:val="000000"/>
          <w:sz w:val="20"/>
          <w:szCs w:val="20"/>
          <w:shd w:val="clear" w:color="auto" w:fill="FFFFFF"/>
        </w:rPr>
        <w:t>The prevalence of this present study was cl</w:t>
      </w:r>
      <w:r>
        <w:rPr>
          <w:color w:val="000000"/>
          <w:sz w:val="20"/>
          <w:szCs w:val="20"/>
          <w:shd w:val="clear" w:color="auto" w:fill="FFFFFF"/>
        </w:rPr>
        <w:t>osely related to those obtained in other studies such as the 9.5% for study carried out in Kano State (</w:t>
      </w:r>
      <w:r>
        <w:rPr>
          <w:rStyle w:val="element-citation"/>
          <w:color w:val="000000"/>
          <w:sz w:val="20"/>
          <w:szCs w:val="20"/>
          <w:shd w:val="clear" w:color="auto" w:fill="FFFFFF"/>
        </w:rPr>
        <w:t xml:space="preserve">Adeleke </w:t>
      </w:r>
      <w:r>
        <w:rPr>
          <w:rStyle w:val="element-citation"/>
          <w:i/>
          <w:color w:val="000000"/>
          <w:sz w:val="20"/>
          <w:szCs w:val="20"/>
          <w:shd w:val="clear" w:color="auto" w:fill="FFFFFF"/>
        </w:rPr>
        <w:t>et al.,</w:t>
      </w:r>
      <w:r>
        <w:rPr>
          <w:rStyle w:val="element-citation"/>
          <w:color w:val="000000"/>
          <w:sz w:val="20"/>
          <w:szCs w:val="20"/>
          <w:shd w:val="clear" w:color="auto" w:fill="FFFFFF"/>
        </w:rPr>
        <w:t xml:space="preserve"> 2008)</w:t>
      </w:r>
      <w:r>
        <w:rPr>
          <w:color w:val="000000"/>
          <w:sz w:val="20"/>
          <w:szCs w:val="20"/>
          <w:shd w:val="clear" w:color="auto" w:fill="FFFFFF"/>
        </w:rPr>
        <w:t xml:space="preserve">, 15.4% for a study on 604 children in a rural settlement in southwestern Nigeria (Ayanlowo </w:t>
      </w:r>
      <w:r>
        <w:rPr>
          <w:i/>
          <w:color w:val="000000"/>
          <w:sz w:val="20"/>
          <w:szCs w:val="20"/>
          <w:shd w:val="clear" w:color="auto" w:fill="FFFFFF"/>
        </w:rPr>
        <w:t>et al.,</w:t>
      </w:r>
      <w:r>
        <w:rPr>
          <w:color w:val="000000"/>
          <w:sz w:val="20"/>
          <w:szCs w:val="20"/>
          <w:shd w:val="clear" w:color="auto" w:fill="FFFFFF"/>
        </w:rPr>
        <w:t xml:space="preserve"> 2014), and 9.4% for a study in </w:t>
      </w:r>
      <w:r>
        <w:rPr>
          <w:color w:val="000000"/>
          <w:sz w:val="20"/>
          <w:szCs w:val="20"/>
          <w:shd w:val="clear" w:color="auto" w:fill="FFFFFF"/>
        </w:rPr>
        <w:t>Anambra State (</w:t>
      </w:r>
      <w:r>
        <w:rPr>
          <w:rStyle w:val="element-citation"/>
          <w:color w:val="000000"/>
          <w:sz w:val="20"/>
          <w:szCs w:val="20"/>
          <w:shd w:val="clear" w:color="auto" w:fill="FFFFFF"/>
        </w:rPr>
        <w:t xml:space="preserve">Emele </w:t>
      </w:r>
      <w:r>
        <w:rPr>
          <w:rStyle w:val="element-citation"/>
          <w:i/>
          <w:color w:val="000000"/>
          <w:sz w:val="20"/>
          <w:szCs w:val="20"/>
          <w:shd w:val="clear" w:color="auto" w:fill="FFFFFF"/>
        </w:rPr>
        <w:t>et al.,</w:t>
      </w:r>
      <w:r>
        <w:rPr>
          <w:rStyle w:val="element-citation"/>
          <w:color w:val="000000"/>
          <w:sz w:val="20"/>
          <w:szCs w:val="20"/>
          <w:shd w:val="clear" w:color="auto" w:fill="FFFFFF"/>
        </w:rPr>
        <w:t xml:space="preserve"> 2003). </w:t>
      </w:r>
      <w:r>
        <w:rPr>
          <w:color w:val="000000"/>
          <w:sz w:val="20"/>
          <w:szCs w:val="20"/>
          <w:shd w:val="clear" w:color="auto" w:fill="FFFFFF"/>
        </w:rPr>
        <w:t>Ghannoum</w:t>
      </w:r>
      <w:r>
        <w:rPr>
          <w:rStyle w:val="apple-converted-space"/>
          <w:color w:val="000000"/>
          <w:sz w:val="20"/>
          <w:szCs w:val="20"/>
          <w:shd w:val="clear" w:color="auto" w:fill="FFFFFF"/>
        </w:rPr>
        <w:t> </w:t>
      </w:r>
      <w:r>
        <w:rPr>
          <w:rStyle w:val="Emphasis"/>
          <w:color w:val="000000"/>
          <w:sz w:val="20"/>
          <w:szCs w:val="20"/>
          <w:shd w:val="clear" w:color="auto" w:fill="FFFFFF"/>
        </w:rPr>
        <w:t>et al</w:t>
      </w:r>
      <w:r>
        <w:rPr>
          <w:color w:val="000000"/>
          <w:sz w:val="20"/>
          <w:szCs w:val="20"/>
          <w:shd w:val="clear" w:color="auto" w:fill="FFFFFF"/>
        </w:rPr>
        <w:t xml:space="preserve"> (2003) in Cleveland estimated a prevalence of 13%, and found that all the affected were African American. In another study in London, Hay</w:t>
      </w:r>
      <w:r>
        <w:rPr>
          <w:rStyle w:val="apple-converted-space"/>
          <w:color w:val="000000"/>
          <w:sz w:val="20"/>
          <w:szCs w:val="20"/>
          <w:shd w:val="clear" w:color="auto" w:fill="FFFFFF"/>
        </w:rPr>
        <w:t> </w:t>
      </w:r>
      <w:r>
        <w:rPr>
          <w:rStyle w:val="Emphasis"/>
          <w:color w:val="000000"/>
          <w:sz w:val="20"/>
          <w:szCs w:val="20"/>
          <w:shd w:val="clear" w:color="auto" w:fill="FFFFFF"/>
        </w:rPr>
        <w:t>et al</w:t>
      </w:r>
      <w:r>
        <w:rPr>
          <w:color w:val="000000"/>
          <w:sz w:val="20"/>
          <w:szCs w:val="20"/>
          <w:shd w:val="clear" w:color="auto" w:fill="FFFFFF"/>
        </w:rPr>
        <w:t xml:space="preserve"> (1996) observed that the prevalence ranged between 0 and 12%.</w:t>
      </w:r>
      <w:r>
        <w:rPr>
          <w:color w:val="000000"/>
          <w:sz w:val="20"/>
          <w:szCs w:val="20"/>
          <w:shd w:val="clear" w:color="auto" w:fill="FFFFFF"/>
        </w:rPr>
        <w:t xml:space="preserve"> Another study carried out in Ivory Coast reported a prevalence rate of 11.3% (Menan </w:t>
      </w:r>
      <w:r>
        <w:rPr>
          <w:i/>
          <w:color w:val="000000"/>
          <w:sz w:val="20"/>
          <w:szCs w:val="20"/>
          <w:shd w:val="clear" w:color="auto" w:fill="FFFFFF"/>
        </w:rPr>
        <w:t>et al.,</w:t>
      </w:r>
      <w:r>
        <w:rPr>
          <w:color w:val="000000"/>
          <w:sz w:val="20"/>
          <w:szCs w:val="20"/>
          <w:shd w:val="clear" w:color="auto" w:fill="FFFFFF"/>
        </w:rPr>
        <w:t xml:space="preserve"> 2002). </w:t>
      </w:r>
      <w:r>
        <w:rPr>
          <w:sz w:val="20"/>
          <w:szCs w:val="20"/>
        </w:rPr>
        <w:t xml:space="preserve">However, our prevalence data was lower than </w:t>
      </w:r>
      <w:r>
        <w:rPr>
          <w:color w:val="000000"/>
          <w:sz w:val="20"/>
          <w:szCs w:val="20"/>
          <w:shd w:val="clear" w:color="auto" w:fill="FFFFFF"/>
        </w:rPr>
        <w:t xml:space="preserve">43.53% reported in a study in Osogbo Nigeria (Akinboro </w:t>
      </w:r>
      <w:r>
        <w:rPr>
          <w:i/>
          <w:color w:val="000000"/>
          <w:sz w:val="20"/>
          <w:szCs w:val="20"/>
          <w:shd w:val="clear" w:color="auto" w:fill="FFFFFF"/>
        </w:rPr>
        <w:t>et al.,</w:t>
      </w:r>
      <w:r>
        <w:rPr>
          <w:color w:val="000000"/>
          <w:sz w:val="20"/>
          <w:szCs w:val="20"/>
          <w:shd w:val="clear" w:color="auto" w:fill="FFFFFF"/>
        </w:rPr>
        <w:t xml:space="preserve"> 2011). A number of factors may be attributed to t</w:t>
      </w:r>
      <w:r>
        <w:rPr>
          <w:color w:val="000000"/>
          <w:sz w:val="20"/>
          <w:szCs w:val="20"/>
          <w:shd w:val="clear" w:color="auto" w:fill="FFFFFF"/>
        </w:rPr>
        <w:t xml:space="preserve">he varying prevalence and frequency of tinea capitis in different parts of Nigeria as well as other countries (Ahmed </w:t>
      </w:r>
      <w:r>
        <w:rPr>
          <w:i/>
          <w:color w:val="000000"/>
          <w:sz w:val="20"/>
          <w:szCs w:val="20"/>
          <w:shd w:val="clear" w:color="auto" w:fill="FFFFFF"/>
        </w:rPr>
        <w:t>et al.,</w:t>
      </w:r>
      <w:r>
        <w:rPr>
          <w:color w:val="000000"/>
          <w:sz w:val="20"/>
          <w:szCs w:val="20"/>
          <w:shd w:val="clear" w:color="auto" w:fill="FFFFFF"/>
        </w:rPr>
        <w:t xml:space="preserve"> 2006). These include population growth, close contact among infected children at home and school, and poor personal hygiene (Moto </w:t>
      </w:r>
      <w:r>
        <w:rPr>
          <w:i/>
          <w:color w:val="000000"/>
          <w:sz w:val="20"/>
          <w:szCs w:val="20"/>
          <w:shd w:val="clear" w:color="auto" w:fill="FFFFFF"/>
        </w:rPr>
        <w:t>e</w:t>
      </w:r>
      <w:r>
        <w:rPr>
          <w:i/>
          <w:color w:val="000000"/>
          <w:sz w:val="20"/>
          <w:szCs w:val="20"/>
          <w:shd w:val="clear" w:color="auto" w:fill="FFFFFF"/>
        </w:rPr>
        <w:t>t al.,</w:t>
      </w:r>
      <w:r>
        <w:rPr>
          <w:color w:val="000000"/>
          <w:sz w:val="20"/>
          <w:szCs w:val="20"/>
          <w:shd w:val="clear" w:color="auto" w:fill="FFFFFF"/>
        </w:rPr>
        <w:t xml:space="preserve"> 2005).</w:t>
      </w:r>
    </w:p>
    <w:p w:rsidR="009112D4" w:rsidRDefault="006B1DCB">
      <w:pPr>
        <w:suppressAutoHyphens w:val="0"/>
        <w:snapToGrid w:val="0"/>
        <w:ind w:firstLine="425"/>
        <w:jc w:val="both"/>
        <w:rPr>
          <w:color w:val="000000"/>
          <w:sz w:val="20"/>
          <w:szCs w:val="20"/>
          <w:shd w:val="clear" w:color="auto" w:fill="FFFFFF"/>
        </w:rPr>
      </w:pPr>
      <w:r>
        <w:rPr>
          <w:sz w:val="20"/>
          <w:szCs w:val="20"/>
        </w:rPr>
        <w:t xml:space="preserve">In this study the fungus </w:t>
      </w:r>
      <w:r>
        <w:rPr>
          <w:i/>
          <w:sz w:val="20"/>
          <w:szCs w:val="20"/>
        </w:rPr>
        <w:t>Tinea capitis</w:t>
      </w:r>
      <w:r>
        <w:rPr>
          <w:sz w:val="20"/>
          <w:szCs w:val="20"/>
        </w:rPr>
        <w:t xml:space="preserve"> was isolated more in males than in females. Even though the difference is not statistically significant this contradicts the findings of Menan et al (2002), Al-Rubiay et al (2006) and Ilkit (2010) Who re</w:t>
      </w:r>
      <w:r>
        <w:rPr>
          <w:sz w:val="20"/>
          <w:szCs w:val="20"/>
        </w:rPr>
        <w:t xml:space="preserve">ported significant association between T capitis and gender of affected persons. However, it wascontrary to the study of Dogo </w:t>
      </w:r>
      <w:r>
        <w:rPr>
          <w:i/>
          <w:sz w:val="20"/>
          <w:szCs w:val="20"/>
        </w:rPr>
        <w:t>et al</w:t>
      </w:r>
      <w:r>
        <w:rPr>
          <w:sz w:val="20"/>
          <w:szCs w:val="20"/>
        </w:rPr>
        <w:t xml:space="preserve"> (2016) who reported t</w:t>
      </w:r>
      <w:r>
        <w:rPr>
          <w:color w:val="000000"/>
          <w:sz w:val="20"/>
          <w:szCs w:val="20"/>
          <w:shd w:val="clear" w:color="auto" w:fill="FFFFFF"/>
        </w:rPr>
        <w:t xml:space="preserve">he prevalence of </w:t>
      </w:r>
      <w:r>
        <w:rPr>
          <w:i/>
          <w:color w:val="000000"/>
          <w:sz w:val="20"/>
          <w:szCs w:val="20"/>
          <w:shd w:val="clear" w:color="auto" w:fill="FFFFFF"/>
        </w:rPr>
        <w:t>Tinea capitis</w:t>
      </w:r>
      <w:r>
        <w:rPr>
          <w:color w:val="000000"/>
          <w:sz w:val="20"/>
          <w:szCs w:val="20"/>
          <w:shd w:val="clear" w:color="auto" w:fill="FFFFFF"/>
        </w:rPr>
        <w:t xml:space="preserve"> among girls was higher (51.4%) than that among boys (41.5%) but not sign</w:t>
      </w:r>
      <w:r>
        <w:rPr>
          <w:color w:val="000000"/>
          <w:sz w:val="20"/>
          <w:szCs w:val="20"/>
          <w:shd w:val="clear" w:color="auto" w:fill="FFFFFF"/>
        </w:rPr>
        <w:t xml:space="preserve">ificantly different. </w:t>
      </w:r>
      <w:r>
        <w:rPr>
          <w:sz w:val="20"/>
          <w:szCs w:val="20"/>
        </w:rPr>
        <w:t>The reasons for this disparity could be due to difference in hygienic practices in both genders from these studies.</w:t>
      </w:r>
    </w:p>
    <w:p w:rsidR="009112D4" w:rsidRDefault="006B1DCB">
      <w:pPr>
        <w:suppressAutoHyphens w:val="0"/>
        <w:snapToGrid w:val="0"/>
        <w:ind w:firstLine="425"/>
        <w:jc w:val="both"/>
        <w:rPr>
          <w:sz w:val="20"/>
          <w:szCs w:val="20"/>
        </w:rPr>
      </w:pPr>
      <w:r>
        <w:rPr>
          <w:sz w:val="20"/>
          <w:szCs w:val="20"/>
        </w:rPr>
        <w:t xml:space="preserve">There was no statistical significance between keeping domesticated animal and </w:t>
      </w:r>
      <w:r>
        <w:rPr>
          <w:i/>
          <w:sz w:val="20"/>
          <w:szCs w:val="20"/>
        </w:rPr>
        <w:t>Tinea capitis</w:t>
      </w:r>
      <w:r>
        <w:rPr>
          <w:sz w:val="20"/>
          <w:szCs w:val="20"/>
        </w:rPr>
        <w:t xml:space="preserve"> this contradicts the resear</w:t>
      </w:r>
      <w:r>
        <w:rPr>
          <w:sz w:val="20"/>
          <w:szCs w:val="20"/>
        </w:rPr>
        <w:t xml:space="preserve">ch carried out by Al-Rubiay </w:t>
      </w:r>
      <w:r>
        <w:rPr>
          <w:i/>
          <w:sz w:val="20"/>
          <w:szCs w:val="20"/>
        </w:rPr>
        <w:t>et al</w:t>
      </w:r>
      <w:r>
        <w:rPr>
          <w:sz w:val="20"/>
          <w:szCs w:val="20"/>
        </w:rPr>
        <w:t xml:space="preserve"> (2006), Prescott </w:t>
      </w:r>
      <w:r>
        <w:rPr>
          <w:i/>
          <w:sz w:val="20"/>
          <w:szCs w:val="20"/>
        </w:rPr>
        <w:t>et al</w:t>
      </w:r>
      <w:r>
        <w:rPr>
          <w:sz w:val="20"/>
          <w:szCs w:val="20"/>
        </w:rPr>
        <w:t xml:space="preserve"> (1993), who reported significant difference between prevalence of </w:t>
      </w:r>
      <w:r>
        <w:rPr>
          <w:i/>
          <w:sz w:val="20"/>
          <w:szCs w:val="20"/>
        </w:rPr>
        <w:t>T capitis</w:t>
      </w:r>
      <w:r>
        <w:rPr>
          <w:sz w:val="20"/>
          <w:szCs w:val="20"/>
        </w:rPr>
        <w:t xml:space="preserve"> and keeping domesticated animals. The disparity in these results could be that the domestic animals kept by subjects in thi</w:t>
      </w:r>
      <w:r>
        <w:rPr>
          <w:sz w:val="20"/>
          <w:szCs w:val="20"/>
        </w:rPr>
        <w:t xml:space="preserve">s study were not harboring </w:t>
      </w:r>
      <w:r>
        <w:rPr>
          <w:i/>
          <w:sz w:val="20"/>
          <w:szCs w:val="20"/>
        </w:rPr>
        <w:t>T capitis.</w:t>
      </w:r>
    </w:p>
    <w:p w:rsidR="009112D4" w:rsidRDefault="006B1DCB">
      <w:pPr>
        <w:suppressAutoHyphens w:val="0"/>
        <w:snapToGrid w:val="0"/>
        <w:ind w:firstLine="425"/>
        <w:jc w:val="both"/>
        <w:rPr>
          <w:sz w:val="20"/>
          <w:szCs w:val="20"/>
          <w:lang w:eastAsia="zh-CN"/>
        </w:rPr>
      </w:pPr>
      <w:r>
        <w:rPr>
          <w:color w:val="000000"/>
          <w:sz w:val="20"/>
          <w:szCs w:val="20"/>
          <w:shd w:val="clear" w:color="auto" w:fill="FFFFFF"/>
        </w:rPr>
        <w:t>There was significant difference in the prevalence rate of</w:t>
      </w:r>
      <w:r>
        <w:rPr>
          <w:rStyle w:val="apple-converted-space"/>
          <w:color w:val="000000"/>
          <w:sz w:val="20"/>
          <w:szCs w:val="20"/>
          <w:shd w:val="clear" w:color="auto" w:fill="FFFFFF"/>
        </w:rPr>
        <w:t> </w:t>
      </w:r>
      <w:r>
        <w:rPr>
          <w:rStyle w:val="Emphasis"/>
          <w:color w:val="000000"/>
          <w:sz w:val="20"/>
          <w:szCs w:val="20"/>
          <w:shd w:val="clear" w:color="auto" w:fill="FFFFFF"/>
        </w:rPr>
        <w:t>Tinea capitis</w:t>
      </w:r>
      <w:r>
        <w:rPr>
          <w:rStyle w:val="apple-converted-space"/>
          <w:color w:val="000000"/>
          <w:sz w:val="20"/>
          <w:szCs w:val="20"/>
          <w:shd w:val="clear" w:color="auto" w:fill="FFFFFF"/>
        </w:rPr>
        <w:t> </w:t>
      </w:r>
      <w:r>
        <w:rPr>
          <w:color w:val="000000"/>
          <w:sz w:val="20"/>
          <w:szCs w:val="20"/>
          <w:shd w:val="clear" w:color="auto" w:fill="FFFFFF"/>
        </w:rPr>
        <w:t>between different age groups in subjects in this study. This findings in in consonance with the report of Menan</w:t>
      </w:r>
      <w:r>
        <w:rPr>
          <w:rStyle w:val="apple-converted-space"/>
          <w:color w:val="000000"/>
          <w:sz w:val="20"/>
          <w:szCs w:val="20"/>
          <w:shd w:val="clear" w:color="auto" w:fill="FFFFFF"/>
        </w:rPr>
        <w:t> </w:t>
      </w:r>
      <w:r>
        <w:rPr>
          <w:rStyle w:val="Emphasis"/>
          <w:color w:val="000000"/>
          <w:sz w:val="20"/>
          <w:szCs w:val="20"/>
          <w:shd w:val="clear" w:color="auto" w:fill="FFFFFF"/>
        </w:rPr>
        <w:t>et al</w:t>
      </w:r>
      <w:r>
        <w:rPr>
          <w:color w:val="000000"/>
          <w:sz w:val="20"/>
          <w:szCs w:val="20"/>
          <w:shd w:val="clear" w:color="auto" w:fill="FFFFFF"/>
        </w:rPr>
        <w:t xml:space="preserve"> (2002) who observed a higher incidence among the children in the age group of 8–11 years, and Ayaya</w:t>
      </w:r>
      <w:r>
        <w:rPr>
          <w:rStyle w:val="apple-converted-space"/>
          <w:color w:val="000000"/>
          <w:sz w:val="20"/>
          <w:szCs w:val="20"/>
          <w:shd w:val="clear" w:color="auto" w:fill="FFFFFF"/>
        </w:rPr>
        <w:t> </w:t>
      </w:r>
      <w:r>
        <w:rPr>
          <w:rStyle w:val="Emphasis"/>
          <w:color w:val="000000"/>
          <w:sz w:val="20"/>
          <w:szCs w:val="20"/>
          <w:shd w:val="clear" w:color="auto" w:fill="FFFFFF"/>
        </w:rPr>
        <w:t>et al</w:t>
      </w:r>
      <w:r>
        <w:rPr>
          <w:color w:val="000000"/>
          <w:sz w:val="20"/>
          <w:szCs w:val="20"/>
          <w:shd w:val="clear" w:color="auto" w:fill="FFFFFF"/>
        </w:rPr>
        <w:t xml:space="preserve"> (2001) have reported a significantly higher number of affected </w:t>
      </w:r>
      <w:r>
        <w:rPr>
          <w:color w:val="000000"/>
          <w:sz w:val="20"/>
          <w:szCs w:val="20"/>
          <w:shd w:val="clear" w:color="auto" w:fill="FFFFFF"/>
        </w:rPr>
        <w:lastRenderedPageBreak/>
        <w:t xml:space="preserve">children of around the age of 10 years. </w:t>
      </w:r>
      <w:r>
        <w:rPr>
          <w:sz w:val="20"/>
          <w:szCs w:val="20"/>
        </w:rPr>
        <w:t>Similar reports were obtained from the finding</w:t>
      </w:r>
      <w:r>
        <w:rPr>
          <w:sz w:val="20"/>
          <w:szCs w:val="20"/>
        </w:rPr>
        <w:t xml:space="preserve">s of Menan </w:t>
      </w:r>
      <w:r>
        <w:rPr>
          <w:i/>
          <w:sz w:val="20"/>
          <w:szCs w:val="20"/>
        </w:rPr>
        <w:t>et al</w:t>
      </w:r>
      <w:r>
        <w:rPr>
          <w:sz w:val="20"/>
          <w:szCs w:val="20"/>
        </w:rPr>
        <w:t xml:space="preserve"> (2002), Al-Rubiay </w:t>
      </w:r>
      <w:r>
        <w:rPr>
          <w:i/>
          <w:sz w:val="20"/>
          <w:szCs w:val="20"/>
        </w:rPr>
        <w:t>et al</w:t>
      </w:r>
      <w:r>
        <w:rPr>
          <w:sz w:val="20"/>
          <w:szCs w:val="20"/>
        </w:rPr>
        <w:t xml:space="preserve"> (2006) and Gupta </w:t>
      </w:r>
      <w:r>
        <w:rPr>
          <w:i/>
          <w:sz w:val="20"/>
          <w:szCs w:val="20"/>
        </w:rPr>
        <w:t>et al</w:t>
      </w:r>
      <w:r>
        <w:rPr>
          <w:sz w:val="20"/>
          <w:szCs w:val="20"/>
        </w:rPr>
        <w:t xml:space="preserve"> (2000) but contradicts the findings of Okafor and AgbubaerUlche (1998).</w:t>
      </w:r>
    </w:p>
    <w:p w:rsidR="009112D4" w:rsidRDefault="009112D4">
      <w:pPr>
        <w:suppressAutoHyphens w:val="0"/>
        <w:snapToGrid w:val="0"/>
        <w:ind w:firstLine="425"/>
        <w:jc w:val="both"/>
        <w:rPr>
          <w:sz w:val="20"/>
          <w:szCs w:val="20"/>
          <w:lang w:eastAsia="zh-CN"/>
        </w:rPr>
      </w:pPr>
    </w:p>
    <w:p w:rsidR="009112D4" w:rsidRDefault="006B1DCB">
      <w:pPr>
        <w:suppressAutoHyphens w:val="0"/>
        <w:snapToGrid w:val="0"/>
        <w:jc w:val="both"/>
        <w:rPr>
          <w:sz w:val="20"/>
          <w:szCs w:val="20"/>
        </w:rPr>
      </w:pPr>
      <w:r>
        <w:rPr>
          <w:b/>
          <w:sz w:val="20"/>
          <w:szCs w:val="20"/>
        </w:rPr>
        <w:t>Conclusion</w:t>
      </w:r>
    </w:p>
    <w:p w:rsidR="009112D4" w:rsidRDefault="006B1DCB">
      <w:pPr>
        <w:suppressAutoHyphens w:val="0"/>
        <w:snapToGrid w:val="0"/>
        <w:ind w:firstLine="425"/>
        <w:jc w:val="both"/>
        <w:rPr>
          <w:sz w:val="20"/>
          <w:szCs w:val="20"/>
          <w:shd w:val="clear" w:color="auto" w:fill="FFFFFF"/>
        </w:rPr>
      </w:pPr>
      <w:r>
        <w:rPr>
          <w:sz w:val="20"/>
          <w:szCs w:val="20"/>
        </w:rPr>
        <w:t xml:space="preserve">Findings from this study revealed that </w:t>
      </w:r>
      <w:r>
        <w:rPr>
          <w:rStyle w:val="Emphasis"/>
          <w:sz w:val="20"/>
          <w:szCs w:val="20"/>
          <w:shd w:val="clear" w:color="auto" w:fill="FFFFFF"/>
        </w:rPr>
        <w:t>Tinea capitis</w:t>
      </w:r>
      <w:r>
        <w:rPr>
          <w:rStyle w:val="apple-converted-space"/>
          <w:sz w:val="20"/>
          <w:szCs w:val="20"/>
          <w:shd w:val="clear" w:color="auto" w:fill="FFFFFF"/>
        </w:rPr>
        <w:t xml:space="preserve">  was </w:t>
      </w:r>
      <w:r>
        <w:rPr>
          <w:sz w:val="20"/>
          <w:szCs w:val="20"/>
          <w:shd w:val="clear" w:color="auto" w:fill="FFFFFF"/>
        </w:rPr>
        <w:t xml:space="preserve">12% prevalent in apparently healthy persons </w:t>
      </w:r>
      <w:r>
        <w:rPr>
          <w:sz w:val="20"/>
          <w:szCs w:val="20"/>
          <w:shd w:val="clear" w:color="auto" w:fill="FFFFFF"/>
        </w:rPr>
        <w:t>attending hairdressing saloons in metropolitan areas of Maiduguri, Nigeria. This warrants the need for community information and consistent preventive measures through appropriate training of hairdressers on how to sterilize their work equipment.</w:t>
      </w:r>
    </w:p>
    <w:p w:rsidR="009112D4" w:rsidRDefault="009112D4">
      <w:pPr>
        <w:suppressAutoHyphens w:val="0"/>
        <w:snapToGrid w:val="0"/>
        <w:jc w:val="both"/>
        <w:rPr>
          <w:b/>
          <w:sz w:val="20"/>
          <w:szCs w:val="20"/>
          <w:shd w:val="clear" w:color="auto" w:fill="FFFFFF"/>
          <w:lang w:eastAsia="zh-CN"/>
        </w:rPr>
      </w:pPr>
    </w:p>
    <w:p w:rsidR="009112D4" w:rsidRDefault="006B1DCB">
      <w:pPr>
        <w:suppressAutoHyphens w:val="0"/>
        <w:snapToGrid w:val="0"/>
        <w:jc w:val="both"/>
        <w:rPr>
          <w:b/>
          <w:sz w:val="20"/>
          <w:szCs w:val="20"/>
          <w:shd w:val="clear" w:color="auto" w:fill="FFFFFF"/>
        </w:rPr>
      </w:pPr>
      <w:r>
        <w:rPr>
          <w:b/>
          <w:sz w:val="20"/>
          <w:szCs w:val="20"/>
          <w:shd w:val="clear" w:color="auto" w:fill="FFFFFF"/>
        </w:rPr>
        <w:t>Conflict</w:t>
      </w:r>
      <w:r>
        <w:rPr>
          <w:b/>
          <w:sz w:val="20"/>
          <w:szCs w:val="20"/>
          <w:shd w:val="clear" w:color="auto" w:fill="FFFFFF"/>
        </w:rPr>
        <w:t xml:space="preserve"> of interest</w:t>
      </w:r>
    </w:p>
    <w:p w:rsidR="009112D4" w:rsidRDefault="006B1DCB">
      <w:pPr>
        <w:suppressAutoHyphens w:val="0"/>
        <w:snapToGrid w:val="0"/>
        <w:jc w:val="both"/>
        <w:rPr>
          <w:sz w:val="20"/>
          <w:szCs w:val="20"/>
          <w:shd w:val="clear" w:color="auto" w:fill="FFFFFF"/>
        </w:rPr>
      </w:pPr>
      <w:r>
        <w:rPr>
          <w:sz w:val="20"/>
          <w:szCs w:val="20"/>
          <w:shd w:val="clear" w:color="auto" w:fill="FFFFFF"/>
        </w:rPr>
        <w:t>None</w:t>
      </w:r>
    </w:p>
    <w:p w:rsidR="009112D4" w:rsidRDefault="009112D4">
      <w:pPr>
        <w:suppressAutoHyphens w:val="0"/>
        <w:snapToGrid w:val="0"/>
        <w:jc w:val="both"/>
        <w:rPr>
          <w:b/>
          <w:sz w:val="20"/>
          <w:szCs w:val="20"/>
          <w:lang w:eastAsia="zh-CN"/>
        </w:rPr>
      </w:pPr>
    </w:p>
    <w:p w:rsidR="009112D4" w:rsidRDefault="006B1DCB">
      <w:pPr>
        <w:suppressAutoHyphens w:val="0"/>
        <w:snapToGrid w:val="0"/>
        <w:jc w:val="both"/>
        <w:rPr>
          <w:b/>
          <w:sz w:val="20"/>
          <w:szCs w:val="20"/>
        </w:rPr>
      </w:pPr>
      <w:r>
        <w:rPr>
          <w:b/>
          <w:sz w:val="20"/>
          <w:szCs w:val="20"/>
        </w:rPr>
        <w:t>Acknowledgement</w:t>
      </w:r>
    </w:p>
    <w:p w:rsidR="009112D4" w:rsidRDefault="006B1DCB">
      <w:pPr>
        <w:suppressAutoHyphens w:val="0"/>
        <w:snapToGrid w:val="0"/>
        <w:ind w:firstLine="425"/>
        <w:jc w:val="both"/>
        <w:rPr>
          <w:sz w:val="20"/>
          <w:szCs w:val="20"/>
        </w:rPr>
      </w:pPr>
      <w:r>
        <w:rPr>
          <w:sz w:val="20"/>
          <w:szCs w:val="20"/>
        </w:rPr>
        <w:t>We wish to show our profound appreciation to staff of medical microbiology laboratory, University of Maiduguri Teaching Hospital, Nigeria for their technical input in this study.</w:t>
      </w:r>
    </w:p>
    <w:p w:rsidR="009112D4" w:rsidRDefault="009112D4">
      <w:pPr>
        <w:suppressAutoHyphens w:val="0"/>
        <w:snapToGrid w:val="0"/>
        <w:jc w:val="both"/>
        <w:rPr>
          <w:b/>
          <w:sz w:val="20"/>
          <w:szCs w:val="20"/>
          <w:lang w:eastAsia="zh-CN"/>
        </w:rPr>
      </w:pPr>
    </w:p>
    <w:p w:rsidR="009112D4" w:rsidRDefault="006B1DCB">
      <w:pPr>
        <w:suppressAutoHyphens w:val="0"/>
        <w:snapToGrid w:val="0"/>
        <w:jc w:val="both"/>
        <w:rPr>
          <w:b/>
          <w:sz w:val="20"/>
          <w:szCs w:val="20"/>
        </w:rPr>
      </w:pPr>
      <w:r>
        <w:rPr>
          <w:b/>
          <w:sz w:val="20"/>
          <w:szCs w:val="20"/>
        </w:rPr>
        <w:t>Corresponding author</w:t>
      </w:r>
    </w:p>
    <w:p w:rsidR="009112D4" w:rsidRDefault="006B1DCB">
      <w:pPr>
        <w:suppressAutoHyphens w:val="0"/>
        <w:snapToGrid w:val="0"/>
        <w:jc w:val="both"/>
        <w:rPr>
          <w:sz w:val="20"/>
          <w:szCs w:val="20"/>
        </w:rPr>
      </w:pPr>
      <w:r>
        <w:rPr>
          <w:sz w:val="20"/>
          <w:szCs w:val="20"/>
        </w:rPr>
        <w:t>Idris Abdullahi Nasi</w:t>
      </w:r>
      <w:r>
        <w:rPr>
          <w:sz w:val="20"/>
          <w:szCs w:val="20"/>
        </w:rPr>
        <w:t xml:space="preserve">r, </w:t>
      </w:r>
      <w:r>
        <w:rPr>
          <w:i/>
          <w:sz w:val="20"/>
          <w:szCs w:val="20"/>
        </w:rPr>
        <w:t>MSc</w:t>
      </w:r>
    </w:p>
    <w:p w:rsidR="009112D4" w:rsidRDefault="006B1DCB">
      <w:pPr>
        <w:suppressAutoHyphens w:val="0"/>
        <w:snapToGrid w:val="0"/>
        <w:jc w:val="both"/>
        <w:rPr>
          <w:sz w:val="20"/>
          <w:szCs w:val="20"/>
        </w:rPr>
      </w:pPr>
      <w:r>
        <w:rPr>
          <w:sz w:val="20"/>
          <w:szCs w:val="20"/>
        </w:rPr>
        <w:t>Department of Medical Laboratory Services</w:t>
      </w:r>
    </w:p>
    <w:p w:rsidR="009112D4" w:rsidRDefault="006B1DCB">
      <w:pPr>
        <w:suppressAutoHyphens w:val="0"/>
        <w:snapToGrid w:val="0"/>
        <w:jc w:val="both"/>
        <w:rPr>
          <w:sz w:val="20"/>
          <w:szCs w:val="20"/>
        </w:rPr>
      </w:pPr>
      <w:r>
        <w:rPr>
          <w:sz w:val="20"/>
          <w:szCs w:val="20"/>
        </w:rPr>
        <w:t>University of Abuja Teaching Hospital</w:t>
      </w:r>
    </w:p>
    <w:p w:rsidR="009112D4" w:rsidRDefault="006B1DCB">
      <w:pPr>
        <w:suppressAutoHyphens w:val="0"/>
        <w:snapToGrid w:val="0"/>
        <w:jc w:val="both"/>
        <w:rPr>
          <w:sz w:val="20"/>
          <w:szCs w:val="20"/>
        </w:rPr>
      </w:pPr>
      <w:r>
        <w:rPr>
          <w:sz w:val="20"/>
          <w:szCs w:val="20"/>
        </w:rPr>
        <w:t>Gwagwalada, FCT Abuja Nigeria</w:t>
      </w:r>
    </w:p>
    <w:p w:rsidR="009112D4" w:rsidRDefault="006B1DCB">
      <w:pPr>
        <w:suppressAutoHyphens w:val="0"/>
        <w:snapToGrid w:val="0"/>
        <w:jc w:val="both"/>
        <w:rPr>
          <w:sz w:val="20"/>
          <w:szCs w:val="20"/>
        </w:rPr>
      </w:pPr>
      <w:r>
        <w:rPr>
          <w:sz w:val="20"/>
          <w:szCs w:val="20"/>
        </w:rPr>
        <w:t xml:space="preserve">Email: </w:t>
      </w:r>
      <w:hyperlink r:id="rId15" w:history="1">
        <w:r>
          <w:rPr>
            <w:rStyle w:val="Hyperlink"/>
            <w:sz w:val="20"/>
            <w:szCs w:val="20"/>
          </w:rPr>
          <w:t>eedris888@yahoo.com</w:t>
        </w:r>
      </w:hyperlink>
    </w:p>
    <w:p w:rsidR="009112D4" w:rsidRDefault="006B1DCB">
      <w:pPr>
        <w:suppressAutoHyphens w:val="0"/>
        <w:snapToGrid w:val="0"/>
        <w:jc w:val="both"/>
        <w:rPr>
          <w:sz w:val="20"/>
          <w:szCs w:val="20"/>
        </w:rPr>
      </w:pPr>
      <w:r>
        <w:rPr>
          <w:sz w:val="20"/>
          <w:szCs w:val="20"/>
        </w:rPr>
        <w:t>Tel.: +2348022851352</w:t>
      </w:r>
    </w:p>
    <w:p w:rsidR="009112D4" w:rsidRDefault="009112D4">
      <w:pPr>
        <w:suppressAutoHyphens w:val="0"/>
        <w:snapToGrid w:val="0"/>
        <w:jc w:val="both"/>
        <w:rPr>
          <w:sz w:val="20"/>
          <w:szCs w:val="20"/>
          <w:shd w:val="clear" w:color="auto" w:fill="FFFFFF"/>
        </w:rPr>
      </w:pPr>
    </w:p>
    <w:p w:rsidR="009112D4" w:rsidRDefault="006B1DCB">
      <w:pPr>
        <w:suppressAutoHyphens w:val="0"/>
        <w:snapToGrid w:val="0"/>
        <w:jc w:val="both"/>
        <w:rPr>
          <w:b/>
          <w:sz w:val="20"/>
          <w:szCs w:val="20"/>
          <w:shd w:val="clear" w:color="auto" w:fill="FFFFFF"/>
        </w:rPr>
      </w:pPr>
      <w:r>
        <w:rPr>
          <w:b/>
          <w:sz w:val="20"/>
          <w:szCs w:val="20"/>
          <w:shd w:val="clear" w:color="auto" w:fill="FFFFFF"/>
        </w:rPr>
        <w:t>References</w:t>
      </w:r>
    </w:p>
    <w:p w:rsidR="009112D4" w:rsidRDefault="006B1DCB">
      <w:pPr>
        <w:pStyle w:val="ListParagraph"/>
        <w:numPr>
          <w:ilvl w:val="0"/>
          <w:numId w:val="2"/>
        </w:numPr>
        <w:suppressAutoHyphens w:val="0"/>
        <w:snapToGrid w:val="0"/>
        <w:ind w:firstLineChars="0"/>
        <w:jc w:val="both"/>
        <w:rPr>
          <w:rStyle w:val="element-citation"/>
          <w:sz w:val="20"/>
          <w:szCs w:val="20"/>
          <w:shd w:val="clear" w:color="auto" w:fill="FFFFFF"/>
        </w:rPr>
      </w:pPr>
      <w:r>
        <w:rPr>
          <w:rStyle w:val="element-citation"/>
          <w:sz w:val="20"/>
          <w:szCs w:val="20"/>
          <w:shd w:val="clear" w:color="auto" w:fill="FFFFFF"/>
        </w:rPr>
        <w:t>Adeleke S, Usman B, Ihesiulor G. Der</w:t>
      </w:r>
      <w:r>
        <w:rPr>
          <w:rStyle w:val="element-citation"/>
          <w:sz w:val="20"/>
          <w:szCs w:val="20"/>
          <w:shd w:val="clear" w:color="auto" w:fill="FFFFFF"/>
        </w:rPr>
        <w:t>matophytosis among itinerant quranic scholars in Kano (Northwest) Nigeria.</w:t>
      </w:r>
      <w:r>
        <w:rPr>
          <w:rStyle w:val="apple-converted-space"/>
          <w:sz w:val="20"/>
          <w:szCs w:val="20"/>
          <w:shd w:val="clear" w:color="auto" w:fill="FFFFFF"/>
        </w:rPr>
        <w:t xml:space="preserve"> </w:t>
      </w:r>
      <w:r>
        <w:rPr>
          <w:rStyle w:val="Emphasis"/>
          <w:sz w:val="20"/>
          <w:szCs w:val="20"/>
          <w:shd w:val="clear" w:color="auto" w:fill="FFFFFF"/>
        </w:rPr>
        <w:t>Nigerian Medical Practitioner</w:t>
      </w:r>
      <w:r>
        <w:rPr>
          <w:rStyle w:val="ref-journal"/>
          <w:sz w:val="20"/>
          <w:szCs w:val="20"/>
          <w:shd w:val="clear" w:color="auto" w:fill="FFFFFF"/>
        </w:rPr>
        <w:t>.</w:t>
      </w:r>
      <w:r>
        <w:rPr>
          <w:rStyle w:val="apple-converted-space"/>
          <w:sz w:val="20"/>
          <w:szCs w:val="20"/>
          <w:shd w:val="clear" w:color="auto" w:fill="FFFFFF"/>
        </w:rPr>
        <w:t xml:space="preserve"> </w:t>
      </w:r>
      <w:r>
        <w:rPr>
          <w:rStyle w:val="element-citation"/>
          <w:sz w:val="20"/>
          <w:szCs w:val="20"/>
          <w:shd w:val="clear" w:color="auto" w:fill="FFFFFF"/>
        </w:rPr>
        <w:t>2008;</w:t>
      </w:r>
      <w:r>
        <w:rPr>
          <w:rStyle w:val="ref-vol"/>
          <w:sz w:val="20"/>
          <w:szCs w:val="20"/>
          <w:shd w:val="clear" w:color="auto" w:fill="FFFFFF"/>
        </w:rPr>
        <w:t>53</w:t>
      </w:r>
      <w:r>
        <w:rPr>
          <w:rStyle w:val="element-citation"/>
          <w:sz w:val="20"/>
          <w:szCs w:val="20"/>
          <w:shd w:val="clear" w:color="auto" w:fill="FFFFFF"/>
        </w:rPr>
        <w:t>(3):33–35.</w:t>
      </w:r>
    </w:p>
    <w:p w:rsidR="009112D4" w:rsidRDefault="006B1DCB">
      <w:pPr>
        <w:pStyle w:val="ListParagraph"/>
        <w:numPr>
          <w:ilvl w:val="0"/>
          <w:numId w:val="2"/>
        </w:numPr>
        <w:suppressAutoHyphens w:val="0"/>
        <w:snapToGrid w:val="0"/>
        <w:ind w:firstLineChars="0"/>
        <w:jc w:val="both"/>
        <w:rPr>
          <w:sz w:val="20"/>
          <w:szCs w:val="20"/>
          <w:shd w:val="clear" w:color="auto" w:fill="FFFFFF"/>
        </w:rPr>
      </w:pPr>
      <w:r>
        <w:rPr>
          <w:sz w:val="20"/>
          <w:szCs w:val="20"/>
          <w:shd w:val="clear" w:color="auto" w:fill="FFFFFF"/>
        </w:rPr>
        <w:t>Ahmed I, Zaffar A, Sarwat N. Prevalence of tinea capitis and asymptomatic carriage amongst school going children.</w:t>
      </w:r>
      <w:r>
        <w:rPr>
          <w:rStyle w:val="apple-converted-space"/>
          <w:sz w:val="20"/>
          <w:szCs w:val="20"/>
          <w:shd w:val="clear" w:color="auto" w:fill="FFFFFF"/>
        </w:rPr>
        <w:t xml:space="preserve"> </w:t>
      </w:r>
      <w:r>
        <w:rPr>
          <w:rStyle w:val="Emphasis"/>
          <w:sz w:val="20"/>
          <w:szCs w:val="20"/>
          <w:shd w:val="clear" w:color="auto" w:fill="FFFFFF"/>
        </w:rPr>
        <w:t xml:space="preserve">Journal of </w:t>
      </w:r>
      <w:r>
        <w:rPr>
          <w:rStyle w:val="Emphasis"/>
          <w:sz w:val="20"/>
          <w:szCs w:val="20"/>
          <w:shd w:val="clear" w:color="auto" w:fill="FFFFFF"/>
        </w:rPr>
        <w:t>Pakistan Association of Dermatologists</w:t>
      </w:r>
      <w:r>
        <w:rPr>
          <w:rStyle w:val="ref-journal"/>
          <w:sz w:val="20"/>
          <w:szCs w:val="20"/>
          <w:shd w:val="clear" w:color="auto" w:fill="FFFFFF"/>
        </w:rPr>
        <w:t>.</w:t>
      </w:r>
      <w:r>
        <w:rPr>
          <w:rStyle w:val="apple-converted-space"/>
          <w:sz w:val="20"/>
          <w:szCs w:val="20"/>
          <w:shd w:val="clear" w:color="auto" w:fill="FFFFFF"/>
        </w:rPr>
        <w:t xml:space="preserve"> </w:t>
      </w:r>
      <w:r>
        <w:rPr>
          <w:sz w:val="20"/>
          <w:szCs w:val="20"/>
          <w:shd w:val="clear" w:color="auto" w:fill="FFFFFF"/>
        </w:rPr>
        <w:t>2006;</w:t>
      </w:r>
      <w:r>
        <w:rPr>
          <w:rStyle w:val="ref-vol"/>
          <w:sz w:val="20"/>
          <w:szCs w:val="20"/>
          <w:shd w:val="clear" w:color="auto" w:fill="FFFFFF"/>
        </w:rPr>
        <w:t>16</w:t>
      </w:r>
      <w:r>
        <w:rPr>
          <w:sz w:val="20"/>
          <w:szCs w:val="20"/>
          <w:shd w:val="clear" w:color="auto" w:fill="FFFFFF"/>
        </w:rPr>
        <w:t>:215–219.</w:t>
      </w:r>
    </w:p>
    <w:p w:rsidR="009112D4" w:rsidRDefault="006B1DCB">
      <w:pPr>
        <w:pStyle w:val="ListParagraph"/>
        <w:numPr>
          <w:ilvl w:val="0"/>
          <w:numId w:val="2"/>
        </w:numPr>
        <w:suppressAutoHyphens w:val="0"/>
        <w:snapToGrid w:val="0"/>
        <w:ind w:firstLineChars="0"/>
        <w:jc w:val="both"/>
        <w:rPr>
          <w:sz w:val="20"/>
          <w:szCs w:val="20"/>
        </w:rPr>
      </w:pPr>
      <w:r>
        <w:rPr>
          <w:sz w:val="20"/>
          <w:szCs w:val="20"/>
        </w:rPr>
        <w:t>AI- Rubiy KK, AI- Rubly LK. Dermatoepidemiology. A household survey among two urban areas in Basra city, Iraq. Int. Dermatol. 2006;.2(4):1-4.</w:t>
      </w:r>
    </w:p>
    <w:p w:rsidR="009112D4" w:rsidRDefault="006B1DCB">
      <w:pPr>
        <w:pStyle w:val="ListParagraph"/>
        <w:numPr>
          <w:ilvl w:val="0"/>
          <w:numId w:val="2"/>
        </w:numPr>
        <w:suppressAutoHyphens w:val="0"/>
        <w:snapToGrid w:val="0"/>
        <w:ind w:firstLineChars="0"/>
        <w:jc w:val="both"/>
        <w:rPr>
          <w:sz w:val="20"/>
          <w:szCs w:val="20"/>
          <w:shd w:val="clear" w:color="auto" w:fill="FFFFFF"/>
        </w:rPr>
      </w:pPr>
      <w:r>
        <w:rPr>
          <w:sz w:val="20"/>
          <w:szCs w:val="20"/>
          <w:shd w:val="clear" w:color="auto" w:fill="FFFFFF"/>
        </w:rPr>
        <w:t>Akinboro O, Olayinka A, Olasode A, Onayemi O. The pattern</w:t>
      </w:r>
      <w:r>
        <w:rPr>
          <w:sz w:val="20"/>
          <w:szCs w:val="20"/>
          <w:shd w:val="clear" w:color="auto" w:fill="FFFFFF"/>
        </w:rPr>
        <w:t>, Risk factors and clinic aetiological correlate of tinea capitis among the children in a tropical community setting of Osogbo, South-Western Nigeria</w:t>
      </w:r>
      <w:r>
        <w:rPr>
          <w:i/>
          <w:sz w:val="20"/>
          <w:szCs w:val="20"/>
          <w:shd w:val="clear" w:color="auto" w:fill="FFFFFF"/>
        </w:rPr>
        <w:t xml:space="preserve">. </w:t>
      </w:r>
      <w:r>
        <w:rPr>
          <w:rStyle w:val="Emphasis"/>
          <w:sz w:val="20"/>
          <w:szCs w:val="20"/>
          <w:shd w:val="clear" w:color="auto" w:fill="FFFFFF"/>
        </w:rPr>
        <w:t>Afro-Egypt Journal of Endemic Diseases</w:t>
      </w:r>
      <w:r>
        <w:rPr>
          <w:rStyle w:val="ref-journal"/>
          <w:sz w:val="20"/>
          <w:szCs w:val="20"/>
          <w:shd w:val="clear" w:color="auto" w:fill="FFFFFF"/>
        </w:rPr>
        <w:t>.</w:t>
      </w:r>
      <w:r>
        <w:rPr>
          <w:rStyle w:val="apple-converted-space"/>
          <w:sz w:val="20"/>
          <w:szCs w:val="20"/>
          <w:shd w:val="clear" w:color="auto" w:fill="FFFFFF"/>
        </w:rPr>
        <w:t xml:space="preserve"> </w:t>
      </w:r>
      <w:r>
        <w:rPr>
          <w:sz w:val="20"/>
          <w:szCs w:val="20"/>
          <w:shd w:val="clear" w:color="auto" w:fill="FFFFFF"/>
        </w:rPr>
        <w:t>2011;</w:t>
      </w:r>
      <w:r>
        <w:rPr>
          <w:rStyle w:val="ref-vol"/>
          <w:sz w:val="20"/>
          <w:szCs w:val="20"/>
          <w:shd w:val="clear" w:color="auto" w:fill="FFFFFF"/>
        </w:rPr>
        <w:t>1</w:t>
      </w:r>
      <w:r>
        <w:rPr>
          <w:sz w:val="20"/>
          <w:szCs w:val="20"/>
          <w:shd w:val="clear" w:color="auto" w:fill="FFFFFF"/>
        </w:rPr>
        <w:t>(2):53–64.</w:t>
      </w:r>
    </w:p>
    <w:p w:rsidR="009112D4" w:rsidRDefault="006B1DCB">
      <w:pPr>
        <w:pStyle w:val="ListParagraph"/>
        <w:numPr>
          <w:ilvl w:val="0"/>
          <w:numId w:val="2"/>
        </w:numPr>
        <w:suppressAutoHyphens w:val="0"/>
        <w:snapToGrid w:val="0"/>
        <w:ind w:firstLineChars="0"/>
        <w:jc w:val="both"/>
        <w:rPr>
          <w:rStyle w:val="element-citation"/>
          <w:sz w:val="20"/>
          <w:szCs w:val="20"/>
          <w:shd w:val="clear" w:color="auto" w:fill="FFFFFF"/>
        </w:rPr>
      </w:pPr>
      <w:r>
        <w:rPr>
          <w:rStyle w:val="element-citation"/>
          <w:sz w:val="20"/>
          <w:szCs w:val="20"/>
          <w:shd w:val="clear" w:color="auto" w:fill="FFFFFF"/>
        </w:rPr>
        <w:t>Ayanlowo O, Akinkugbe A, Oladele R, Balogun M. P</w:t>
      </w:r>
      <w:r>
        <w:rPr>
          <w:rStyle w:val="element-citation"/>
          <w:sz w:val="20"/>
          <w:szCs w:val="20"/>
          <w:shd w:val="clear" w:color="auto" w:fill="FFFFFF"/>
        </w:rPr>
        <w:t xml:space="preserve">revalence of Tinea capitis infection among primary school children in a rural setting in </w:t>
      </w:r>
      <w:r>
        <w:rPr>
          <w:rStyle w:val="element-citation"/>
          <w:sz w:val="20"/>
          <w:szCs w:val="20"/>
          <w:shd w:val="clear" w:color="auto" w:fill="FFFFFF"/>
        </w:rPr>
        <w:lastRenderedPageBreak/>
        <w:t>south-west Nigeria.</w:t>
      </w:r>
      <w:r>
        <w:rPr>
          <w:rStyle w:val="apple-converted-space"/>
          <w:sz w:val="20"/>
          <w:szCs w:val="20"/>
          <w:shd w:val="clear" w:color="auto" w:fill="FFFFFF"/>
        </w:rPr>
        <w:t xml:space="preserve"> </w:t>
      </w:r>
      <w:r>
        <w:rPr>
          <w:rStyle w:val="Emphasis"/>
          <w:sz w:val="20"/>
          <w:szCs w:val="20"/>
          <w:shd w:val="clear" w:color="auto" w:fill="FFFFFF"/>
        </w:rPr>
        <w:t>Journal of Public Health in Africa</w:t>
      </w:r>
      <w:r>
        <w:rPr>
          <w:rStyle w:val="ref-journal"/>
          <w:sz w:val="20"/>
          <w:szCs w:val="20"/>
          <w:shd w:val="clear" w:color="auto" w:fill="FFFFFF"/>
        </w:rPr>
        <w:t>.</w:t>
      </w:r>
      <w:r>
        <w:rPr>
          <w:rStyle w:val="apple-converted-space"/>
          <w:sz w:val="20"/>
          <w:szCs w:val="20"/>
          <w:shd w:val="clear" w:color="auto" w:fill="FFFFFF"/>
        </w:rPr>
        <w:t xml:space="preserve"> </w:t>
      </w:r>
      <w:r>
        <w:rPr>
          <w:rStyle w:val="element-citation"/>
          <w:sz w:val="20"/>
          <w:szCs w:val="20"/>
          <w:shd w:val="clear" w:color="auto" w:fill="FFFFFF"/>
        </w:rPr>
        <w:t>2014;</w:t>
      </w:r>
      <w:r>
        <w:rPr>
          <w:rStyle w:val="ref-vol"/>
          <w:sz w:val="20"/>
          <w:szCs w:val="20"/>
          <w:shd w:val="clear" w:color="auto" w:fill="FFFFFF"/>
        </w:rPr>
        <w:t>5</w:t>
      </w:r>
      <w:r>
        <w:rPr>
          <w:rStyle w:val="element-citation"/>
          <w:sz w:val="20"/>
          <w:szCs w:val="20"/>
          <w:shd w:val="clear" w:color="auto" w:fill="FFFFFF"/>
        </w:rPr>
        <w:t>(1) doi: 10.4081/jphia.2014.349.</w:t>
      </w:r>
    </w:p>
    <w:p w:rsidR="009112D4" w:rsidRDefault="006B1DCB">
      <w:pPr>
        <w:pStyle w:val="ListParagraph"/>
        <w:numPr>
          <w:ilvl w:val="0"/>
          <w:numId w:val="2"/>
        </w:numPr>
        <w:suppressAutoHyphens w:val="0"/>
        <w:snapToGrid w:val="0"/>
        <w:ind w:firstLineChars="0"/>
        <w:jc w:val="both"/>
        <w:rPr>
          <w:rFonts w:eastAsia="Times New Roman"/>
          <w:sz w:val="20"/>
          <w:szCs w:val="20"/>
        </w:rPr>
      </w:pPr>
      <w:r>
        <w:rPr>
          <w:rFonts w:eastAsia="Times New Roman"/>
          <w:sz w:val="20"/>
          <w:szCs w:val="20"/>
        </w:rPr>
        <w:t xml:space="preserve">Ayaya SO, Kamar KK, Kakai R. Aetiology of </w:t>
      </w:r>
      <w:r>
        <w:rPr>
          <w:rFonts w:eastAsia="Times New Roman"/>
          <w:iCs/>
          <w:sz w:val="20"/>
          <w:szCs w:val="20"/>
        </w:rPr>
        <w:t>Tinea capitis</w:t>
      </w:r>
      <w:r>
        <w:rPr>
          <w:rFonts w:eastAsia="Times New Roman"/>
          <w:sz w:val="20"/>
          <w:szCs w:val="20"/>
        </w:rPr>
        <w:t xml:space="preserve"> in school </w:t>
      </w:r>
      <w:r>
        <w:rPr>
          <w:rFonts w:eastAsia="Times New Roman"/>
          <w:sz w:val="20"/>
          <w:szCs w:val="20"/>
        </w:rPr>
        <w:t>children. East Afr Med J.</w:t>
      </w:r>
      <w:r>
        <w:rPr>
          <w:rFonts w:hint="eastAsia"/>
          <w:sz w:val="20"/>
          <w:szCs w:val="20"/>
          <w:lang w:eastAsia="zh-CN"/>
        </w:rPr>
        <w:t xml:space="preserve"> </w:t>
      </w:r>
      <w:r>
        <w:rPr>
          <w:rFonts w:eastAsia="Times New Roman"/>
          <w:sz w:val="20"/>
          <w:szCs w:val="20"/>
        </w:rPr>
        <w:t>2001;78:531–5.</w:t>
      </w:r>
    </w:p>
    <w:p w:rsidR="009112D4" w:rsidRDefault="006B1DCB">
      <w:pPr>
        <w:pStyle w:val="ListParagraph"/>
        <w:numPr>
          <w:ilvl w:val="0"/>
          <w:numId w:val="2"/>
        </w:numPr>
        <w:suppressAutoHyphens w:val="0"/>
        <w:snapToGrid w:val="0"/>
        <w:ind w:firstLineChars="0"/>
        <w:jc w:val="both"/>
        <w:rPr>
          <w:sz w:val="20"/>
          <w:szCs w:val="20"/>
        </w:rPr>
      </w:pPr>
      <w:r>
        <w:rPr>
          <w:sz w:val="20"/>
          <w:szCs w:val="20"/>
        </w:rPr>
        <w:t>David DL, Edward A, Zaruwa MZ, Addass PA. Barbing Saloon Associated Fungal Disease Infection in Mubi, Adamawa State-Nigeria. World J Med Sci. 2010; 5 (1): 17-21.</w:t>
      </w:r>
    </w:p>
    <w:p w:rsidR="009112D4" w:rsidRDefault="006B1DCB">
      <w:pPr>
        <w:pStyle w:val="ListParagraph"/>
        <w:numPr>
          <w:ilvl w:val="0"/>
          <w:numId w:val="2"/>
        </w:numPr>
        <w:suppressAutoHyphens w:val="0"/>
        <w:snapToGrid w:val="0"/>
        <w:ind w:firstLineChars="0"/>
        <w:jc w:val="both"/>
        <w:rPr>
          <w:rStyle w:val="nowrap"/>
          <w:sz w:val="20"/>
          <w:szCs w:val="20"/>
          <w:shd w:val="clear" w:color="auto" w:fill="FFFFFF"/>
        </w:rPr>
      </w:pPr>
      <w:r>
        <w:rPr>
          <w:rStyle w:val="element-citation"/>
          <w:sz w:val="20"/>
          <w:szCs w:val="20"/>
          <w:shd w:val="clear" w:color="auto" w:fill="FFFFFF"/>
        </w:rPr>
        <w:t>Emele FE, Oyeka CA. Tinea capitis among primary school</w:t>
      </w:r>
      <w:r>
        <w:rPr>
          <w:rStyle w:val="element-citation"/>
          <w:sz w:val="20"/>
          <w:szCs w:val="20"/>
          <w:shd w:val="clear" w:color="auto" w:fill="FFFFFF"/>
        </w:rPr>
        <w:t xml:space="preserve"> children in Anambra state of Nigeria. </w:t>
      </w:r>
      <w:r>
        <w:rPr>
          <w:rStyle w:val="Emphasis"/>
          <w:sz w:val="20"/>
          <w:szCs w:val="20"/>
          <w:shd w:val="clear" w:color="auto" w:fill="FFFFFF"/>
        </w:rPr>
        <w:t>Mycoses</w:t>
      </w:r>
      <w:r>
        <w:rPr>
          <w:rStyle w:val="ref-journal"/>
          <w:sz w:val="20"/>
          <w:szCs w:val="20"/>
          <w:shd w:val="clear" w:color="auto" w:fill="FFFFFF"/>
        </w:rPr>
        <w:t>.</w:t>
      </w:r>
      <w:r>
        <w:rPr>
          <w:rStyle w:val="apple-converted-space"/>
          <w:sz w:val="20"/>
          <w:szCs w:val="20"/>
          <w:shd w:val="clear" w:color="auto" w:fill="FFFFFF"/>
        </w:rPr>
        <w:t xml:space="preserve"> </w:t>
      </w:r>
      <w:r>
        <w:rPr>
          <w:rStyle w:val="element-citation"/>
          <w:sz w:val="20"/>
          <w:szCs w:val="20"/>
          <w:shd w:val="clear" w:color="auto" w:fill="FFFFFF"/>
        </w:rPr>
        <w:t>2008;</w:t>
      </w:r>
      <w:r>
        <w:rPr>
          <w:rStyle w:val="ref-vol"/>
          <w:sz w:val="20"/>
          <w:szCs w:val="20"/>
          <w:shd w:val="clear" w:color="auto" w:fill="FFFFFF"/>
        </w:rPr>
        <w:t>51</w:t>
      </w:r>
      <w:r>
        <w:rPr>
          <w:rStyle w:val="element-citation"/>
          <w:sz w:val="20"/>
          <w:szCs w:val="20"/>
          <w:shd w:val="clear" w:color="auto" w:fill="FFFFFF"/>
        </w:rPr>
        <w:t>(6):536–541.</w:t>
      </w:r>
    </w:p>
    <w:p w:rsidR="009112D4" w:rsidRDefault="006B1DCB">
      <w:pPr>
        <w:pStyle w:val="ListParagraph"/>
        <w:numPr>
          <w:ilvl w:val="0"/>
          <w:numId w:val="2"/>
        </w:numPr>
        <w:suppressAutoHyphens w:val="0"/>
        <w:snapToGrid w:val="0"/>
        <w:ind w:firstLineChars="0"/>
        <w:jc w:val="both"/>
        <w:rPr>
          <w:sz w:val="20"/>
          <w:szCs w:val="20"/>
        </w:rPr>
      </w:pPr>
      <w:r>
        <w:rPr>
          <w:sz w:val="20"/>
          <w:szCs w:val="20"/>
        </w:rPr>
        <w:t>Freedberg ML, FHzpatrick TB. Fitz Patrick Dermatology in General medicine. New York: Mc Graw - Hill, Medical Pub.2013.</w:t>
      </w:r>
    </w:p>
    <w:p w:rsidR="009112D4" w:rsidRDefault="006B1DCB">
      <w:pPr>
        <w:pStyle w:val="ListParagraph"/>
        <w:numPr>
          <w:ilvl w:val="0"/>
          <w:numId w:val="2"/>
        </w:numPr>
        <w:suppressAutoHyphens w:val="0"/>
        <w:snapToGrid w:val="0"/>
        <w:ind w:firstLineChars="0"/>
        <w:jc w:val="both"/>
        <w:rPr>
          <w:rStyle w:val="element-citation"/>
          <w:sz w:val="20"/>
          <w:szCs w:val="20"/>
          <w:shd w:val="clear" w:color="auto" w:fill="FFFFFF"/>
        </w:rPr>
      </w:pPr>
      <w:r>
        <w:rPr>
          <w:rStyle w:val="element-citation"/>
          <w:sz w:val="20"/>
          <w:szCs w:val="20"/>
          <w:shd w:val="clear" w:color="auto" w:fill="FFFFFF"/>
        </w:rPr>
        <w:t>Ghannoum M, Isham N, Hajjeh R, Cano M, Al-Hasawi F, Yearick D, et al.</w:t>
      </w:r>
      <w:r>
        <w:rPr>
          <w:rStyle w:val="apple-converted-space"/>
          <w:sz w:val="20"/>
          <w:szCs w:val="20"/>
          <w:shd w:val="clear" w:color="auto" w:fill="FFFFFF"/>
        </w:rPr>
        <w:t xml:space="preserve"> </w:t>
      </w:r>
      <w:r>
        <w:rPr>
          <w:rStyle w:val="Emphasis"/>
          <w:sz w:val="20"/>
          <w:szCs w:val="20"/>
          <w:shd w:val="clear" w:color="auto" w:fill="FFFFFF"/>
        </w:rPr>
        <w:t>Tinea capitis</w:t>
      </w:r>
      <w:r>
        <w:rPr>
          <w:rStyle w:val="apple-converted-space"/>
          <w:sz w:val="20"/>
          <w:szCs w:val="20"/>
          <w:shd w:val="clear" w:color="auto" w:fill="FFFFFF"/>
        </w:rPr>
        <w:t xml:space="preserve"> </w:t>
      </w:r>
      <w:r>
        <w:rPr>
          <w:rStyle w:val="element-citation"/>
          <w:sz w:val="20"/>
          <w:szCs w:val="20"/>
          <w:shd w:val="clear" w:color="auto" w:fill="FFFFFF"/>
        </w:rPr>
        <w:t>in Cleveland: Survey of elementary school students.</w:t>
      </w:r>
      <w:r>
        <w:rPr>
          <w:rStyle w:val="apple-converted-space"/>
          <w:sz w:val="20"/>
          <w:szCs w:val="20"/>
          <w:shd w:val="clear" w:color="auto" w:fill="FFFFFF"/>
        </w:rPr>
        <w:t xml:space="preserve"> </w:t>
      </w:r>
      <w:r>
        <w:rPr>
          <w:rStyle w:val="ref-journal"/>
          <w:sz w:val="20"/>
          <w:szCs w:val="20"/>
          <w:shd w:val="clear" w:color="auto" w:fill="FFFFFF"/>
        </w:rPr>
        <w:t>J Am Acad Dermatol.</w:t>
      </w:r>
      <w:r>
        <w:rPr>
          <w:rStyle w:val="apple-converted-space"/>
          <w:sz w:val="20"/>
          <w:szCs w:val="20"/>
          <w:shd w:val="clear" w:color="auto" w:fill="FFFFFF"/>
        </w:rPr>
        <w:t xml:space="preserve"> </w:t>
      </w:r>
      <w:r>
        <w:rPr>
          <w:rStyle w:val="element-citation"/>
          <w:sz w:val="20"/>
          <w:szCs w:val="20"/>
          <w:shd w:val="clear" w:color="auto" w:fill="FFFFFF"/>
        </w:rPr>
        <w:t>2003;</w:t>
      </w:r>
      <w:r>
        <w:rPr>
          <w:rStyle w:val="ref-vol"/>
          <w:sz w:val="20"/>
          <w:szCs w:val="20"/>
          <w:shd w:val="clear" w:color="auto" w:fill="FFFFFF"/>
        </w:rPr>
        <w:t>48</w:t>
      </w:r>
      <w:r>
        <w:rPr>
          <w:rStyle w:val="element-citation"/>
          <w:sz w:val="20"/>
          <w:szCs w:val="20"/>
          <w:shd w:val="clear" w:color="auto" w:fill="FFFFFF"/>
        </w:rPr>
        <w:t>:189–93.</w:t>
      </w:r>
    </w:p>
    <w:p w:rsidR="009112D4" w:rsidRDefault="006B1DCB">
      <w:pPr>
        <w:pStyle w:val="ListParagraph"/>
        <w:numPr>
          <w:ilvl w:val="0"/>
          <w:numId w:val="2"/>
        </w:numPr>
        <w:suppressAutoHyphens w:val="0"/>
        <w:snapToGrid w:val="0"/>
        <w:ind w:firstLineChars="0"/>
        <w:jc w:val="both"/>
        <w:rPr>
          <w:sz w:val="20"/>
          <w:szCs w:val="20"/>
        </w:rPr>
      </w:pPr>
      <w:r>
        <w:rPr>
          <w:sz w:val="20"/>
          <w:szCs w:val="20"/>
        </w:rPr>
        <w:t>Gupta AK, Ryder JE, Nicol FK. Superficial fungal infections an update on pityriasis versicolor, seborrheic dermatitis, tinea capitis, and oncyhomycosis. Clin Dermatol. 2010; 2(1</w:t>
      </w:r>
      <w:r>
        <w:rPr>
          <w:sz w:val="20"/>
          <w:szCs w:val="20"/>
        </w:rPr>
        <w:t>):4 17-425.</w:t>
      </w:r>
    </w:p>
    <w:p w:rsidR="009112D4" w:rsidRDefault="006B1DCB">
      <w:pPr>
        <w:pStyle w:val="ListParagraph"/>
        <w:numPr>
          <w:ilvl w:val="0"/>
          <w:numId w:val="2"/>
        </w:numPr>
        <w:suppressAutoHyphens w:val="0"/>
        <w:snapToGrid w:val="0"/>
        <w:ind w:firstLineChars="0"/>
        <w:jc w:val="both"/>
        <w:rPr>
          <w:rStyle w:val="element-citation"/>
          <w:sz w:val="20"/>
          <w:szCs w:val="20"/>
          <w:shd w:val="clear" w:color="auto" w:fill="FFFFFF"/>
        </w:rPr>
      </w:pPr>
      <w:r>
        <w:rPr>
          <w:rStyle w:val="element-citation"/>
          <w:sz w:val="20"/>
          <w:szCs w:val="20"/>
          <w:shd w:val="clear" w:color="auto" w:fill="FFFFFF"/>
        </w:rPr>
        <w:t>Hay RJ, Clayton YM, De Silva N, Midgley G, Rossor E.</w:t>
      </w:r>
      <w:r>
        <w:rPr>
          <w:rStyle w:val="apple-converted-space"/>
          <w:sz w:val="20"/>
          <w:szCs w:val="20"/>
          <w:shd w:val="clear" w:color="auto" w:fill="FFFFFF"/>
        </w:rPr>
        <w:t xml:space="preserve"> </w:t>
      </w:r>
      <w:r>
        <w:rPr>
          <w:rStyle w:val="Emphasis"/>
          <w:sz w:val="20"/>
          <w:szCs w:val="20"/>
          <w:shd w:val="clear" w:color="auto" w:fill="FFFFFF"/>
        </w:rPr>
        <w:t>Tinea capitis</w:t>
      </w:r>
      <w:r>
        <w:rPr>
          <w:rStyle w:val="apple-converted-space"/>
          <w:sz w:val="20"/>
          <w:szCs w:val="20"/>
          <w:shd w:val="clear" w:color="auto" w:fill="FFFFFF"/>
        </w:rPr>
        <w:t xml:space="preserve"> </w:t>
      </w:r>
      <w:r>
        <w:rPr>
          <w:rStyle w:val="element-citation"/>
          <w:sz w:val="20"/>
          <w:szCs w:val="20"/>
          <w:shd w:val="clear" w:color="auto" w:fill="FFFFFF"/>
        </w:rPr>
        <w:t>in South-east London a new pattern of infection with public health implications.</w:t>
      </w:r>
      <w:r>
        <w:rPr>
          <w:rStyle w:val="apple-converted-space"/>
          <w:sz w:val="20"/>
          <w:szCs w:val="20"/>
          <w:shd w:val="clear" w:color="auto" w:fill="FFFFFF"/>
        </w:rPr>
        <w:t xml:space="preserve"> </w:t>
      </w:r>
      <w:r>
        <w:rPr>
          <w:rStyle w:val="ref-journal"/>
          <w:sz w:val="20"/>
          <w:szCs w:val="20"/>
          <w:shd w:val="clear" w:color="auto" w:fill="FFFFFF"/>
        </w:rPr>
        <w:t>Br J Dermatol.</w:t>
      </w:r>
      <w:r>
        <w:rPr>
          <w:rStyle w:val="apple-converted-space"/>
          <w:sz w:val="20"/>
          <w:szCs w:val="20"/>
          <w:shd w:val="clear" w:color="auto" w:fill="FFFFFF"/>
        </w:rPr>
        <w:t xml:space="preserve"> </w:t>
      </w:r>
      <w:r>
        <w:rPr>
          <w:rStyle w:val="element-citation"/>
          <w:sz w:val="20"/>
          <w:szCs w:val="20"/>
          <w:shd w:val="clear" w:color="auto" w:fill="FFFFFF"/>
        </w:rPr>
        <w:t>1996;</w:t>
      </w:r>
      <w:r>
        <w:rPr>
          <w:rStyle w:val="ref-vol"/>
          <w:sz w:val="20"/>
          <w:szCs w:val="20"/>
          <w:shd w:val="clear" w:color="auto" w:fill="FFFFFF"/>
        </w:rPr>
        <w:t>135</w:t>
      </w:r>
      <w:r>
        <w:rPr>
          <w:rStyle w:val="element-citation"/>
          <w:sz w:val="20"/>
          <w:szCs w:val="20"/>
          <w:shd w:val="clear" w:color="auto" w:fill="FFFFFF"/>
        </w:rPr>
        <w:t>:955–8.</w:t>
      </w:r>
    </w:p>
    <w:p w:rsidR="009112D4" w:rsidRDefault="006B1DCB">
      <w:pPr>
        <w:pStyle w:val="ListParagraph"/>
        <w:numPr>
          <w:ilvl w:val="0"/>
          <w:numId w:val="2"/>
        </w:numPr>
        <w:suppressAutoHyphens w:val="0"/>
        <w:snapToGrid w:val="0"/>
        <w:ind w:firstLineChars="0"/>
        <w:jc w:val="both"/>
        <w:rPr>
          <w:sz w:val="20"/>
          <w:szCs w:val="20"/>
        </w:rPr>
      </w:pPr>
      <w:r>
        <w:rPr>
          <w:sz w:val="20"/>
          <w:szCs w:val="20"/>
        </w:rPr>
        <w:lastRenderedPageBreak/>
        <w:t>Ilkit M. Fauves of the scalp: an overvie</w:t>
      </w:r>
      <w:r>
        <w:rPr>
          <w:sz w:val="20"/>
          <w:szCs w:val="20"/>
        </w:rPr>
        <w:t>w and update mycopathologia. 2010; 170:143.</w:t>
      </w:r>
    </w:p>
    <w:p w:rsidR="009112D4" w:rsidRDefault="009112D4">
      <w:pPr>
        <w:pStyle w:val="Heading1"/>
        <w:keepNext w:val="0"/>
        <w:numPr>
          <w:ilvl w:val="0"/>
          <w:numId w:val="2"/>
        </w:numPr>
        <w:shd w:val="clear" w:color="auto" w:fill="FFFFFF"/>
        <w:suppressAutoHyphens w:val="0"/>
        <w:snapToGrid w:val="0"/>
        <w:jc w:val="both"/>
        <w:rPr>
          <w:b w:val="0"/>
          <w:sz w:val="20"/>
          <w:szCs w:val="20"/>
        </w:rPr>
      </w:pPr>
      <w:hyperlink r:id="rId16" w:history="1">
        <w:r w:rsidR="006B1DCB">
          <w:rPr>
            <w:rStyle w:val="Hyperlink"/>
            <w:b w:val="0"/>
            <w:sz w:val="20"/>
            <w:szCs w:val="20"/>
            <w:shd w:val="clear" w:color="auto" w:fill="FFFFFF"/>
          </w:rPr>
          <w:t>Kundu</w:t>
        </w:r>
      </w:hyperlink>
      <w:r w:rsidR="006B1DCB">
        <w:rPr>
          <w:b w:val="0"/>
          <w:sz w:val="20"/>
          <w:szCs w:val="20"/>
        </w:rPr>
        <w:t xml:space="preserve"> D</w:t>
      </w:r>
      <w:r w:rsidR="006B1DCB">
        <w:rPr>
          <w:b w:val="0"/>
          <w:sz w:val="20"/>
          <w:szCs w:val="20"/>
          <w:shd w:val="clear" w:color="auto" w:fill="FFFFFF"/>
        </w:rPr>
        <w:t>,</w:t>
      </w:r>
      <w:r w:rsidR="006B1DCB">
        <w:rPr>
          <w:rStyle w:val="apple-converted-space"/>
          <w:b w:val="0"/>
          <w:sz w:val="20"/>
          <w:szCs w:val="20"/>
          <w:shd w:val="clear" w:color="auto" w:fill="FFFFFF"/>
        </w:rPr>
        <w:t xml:space="preserve"> </w:t>
      </w:r>
      <w:hyperlink r:id="rId17" w:history="1">
        <w:r w:rsidR="006B1DCB">
          <w:rPr>
            <w:rStyle w:val="Hyperlink"/>
            <w:b w:val="0"/>
            <w:sz w:val="20"/>
            <w:szCs w:val="20"/>
            <w:shd w:val="clear" w:color="auto" w:fill="FFFFFF"/>
          </w:rPr>
          <w:t>Mandal</w:t>
        </w:r>
      </w:hyperlink>
      <w:r w:rsidR="006B1DCB">
        <w:rPr>
          <w:b w:val="0"/>
          <w:sz w:val="20"/>
          <w:szCs w:val="20"/>
        </w:rPr>
        <w:t xml:space="preserve"> L</w:t>
      </w:r>
      <w:r w:rsidR="006B1DCB">
        <w:rPr>
          <w:b w:val="0"/>
          <w:sz w:val="20"/>
          <w:szCs w:val="20"/>
          <w:shd w:val="clear" w:color="auto" w:fill="FFFFFF"/>
        </w:rPr>
        <w:t>,</w:t>
      </w:r>
      <w:r w:rsidR="006B1DCB">
        <w:rPr>
          <w:b w:val="0"/>
          <w:sz w:val="20"/>
          <w:szCs w:val="20"/>
          <w:shd w:val="clear" w:color="auto" w:fill="FFFFFF"/>
          <w:vertAlign w:val="superscript"/>
        </w:rPr>
        <w:t xml:space="preserve"> </w:t>
      </w:r>
      <w:r w:rsidR="006B1DCB">
        <w:rPr>
          <w:b w:val="0"/>
          <w:sz w:val="20"/>
          <w:szCs w:val="20"/>
          <w:shd w:val="clear" w:color="auto" w:fill="FFFFFF"/>
        </w:rPr>
        <w:t>Sen G</w:t>
      </w:r>
      <w:r w:rsidR="006B1DCB">
        <w:rPr>
          <w:b w:val="0"/>
          <w:sz w:val="20"/>
          <w:szCs w:val="20"/>
        </w:rPr>
        <w:t xml:space="preserve">. Prevalence of </w:t>
      </w:r>
      <w:r w:rsidR="006B1DCB">
        <w:rPr>
          <w:b w:val="0"/>
          <w:iCs/>
          <w:sz w:val="20"/>
          <w:szCs w:val="20"/>
        </w:rPr>
        <w:t>Tinea capitis</w:t>
      </w:r>
      <w:r w:rsidR="006B1DCB">
        <w:rPr>
          <w:b w:val="0"/>
          <w:sz w:val="20"/>
          <w:szCs w:val="20"/>
        </w:rPr>
        <w:t xml:space="preserve"> in school going children in Kolkata, West Bengal. </w:t>
      </w:r>
      <w:hyperlink r:id="rId18" w:history="1">
        <w:r w:rsidR="006B1DCB">
          <w:rPr>
            <w:rStyle w:val="Hyperlink"/>
            <w:b w:val="0"/>
            <w:sz w:val="20"/>
            <w:szCs w:val="20"/>
            <w:shd w:val="clear" w:color="auto" w:fill="FFFFFF"/>
          </w:rPr>
          <w:t>J Nat Sci Biol Med</w:t>
        </w:r>
      </w:hyperlink>
      <w:r w:rsidR="006B1DCB">
        <w:rPr>
          <w:b w:val="0"/>
          <w:sz w:val="20"/>
          <w:szCs w:val="20"/>
          <w:shd w:val="clear" w:color="auto" w:fill="FFFFFF"/>
        </w:rPr>
        <w:t>. 2012 Jul-Dec; 3(2): 152–155.</w:t>
      </w:r>
    </w:p>
    <w:p w:rsidR="009112D4" w:rsidRDefault="006B1DCB">
      <w:pPr>
        <w:pStyle w:val="ListParagraph"/>
        <w:numPr>
          <w:ilvl w:val="0"/>
          <w:numId w:val="2"/>
        </w:numPr>
        <w:suppressAutoHyphens w:val="0"/>
        <w:snapToGrid w:val="0"/>
        <w:ind w:firstLineChars="0"/>
        <w:jc w:val="both"/>
        <w:rPr>
          <w:rStyle w:val="nowrap"/>
          <w:sz w:val="20"/>
          <w:szCs w:val="20"/>
          <w:shd w:val="clear" w:color="auto" w:fill="FFFFFF"/>
        </w:rPr>
      </w:pPr>
      <w:r>
        <w:rPr>
          <w:sz w:val="20"/>
          <w:szCs w:val="20"/>
          <w:shd w:val="clear" w:color="auto" w:fill="FFFFFF"/>
        </w:rPr>
        <w:t xml:space="preserve">Menan El, Zongo </w:t>
      </w:r>
      <w:r>
        <w:rPr>
          <w:sz w:val="20"/>
          <w:szCs w:val="20"/>
          <w:shd w:val="clear" w:color="auto" w:fill="FFFFFF"/>
        </w:rPr>
        <w:t>Bonou O, Rouet F, Kiki-barro PC.</w:t>
      </w:r>
      <w:r>
        <w:rPr>
          <w:rStyle w:val="apple-converted-space"/>
          <w:sz w:val="20"/>
          <w:szCs w:val="20"/>
          <w:shd w:val="clear" w:color="auto" w:fill="FFFFFF"/>
        </w:rPr>
        <w:t xml:space="preserve"> </w:t>
      </w:r>
      <w:r>
        <w:rPr>
          <w:rStyle w:val="Emphasis"/>
          <w:sz w:val="20"/>
          <w:szCs w:val="20"/>
          <w:shd w:val="clear" w:color="auto" w:fill="FFFFFF"/>
        </w:rPr>
        <w:t>Tinea capitis</w:t>
      </w:r>
      <w:r>
        <w:rPr>
          <w:rStyle w:val="apple-converted-space"/>
          <w:sz w:val="20"/>
          <w:szCs w:val="20"/>
          <w:shd w:val="clear" w:color="auto" w:fill="FFFFFF"/>
        </w:rPr>
        <w:t xml:space="preserve"> </w:t>
      </w:r>
      <w:r>
        <w:rPr>
          <w:sz w:val="20"/>
          <w:szCs w:val="20"/>
          <w:shd w:val="clear" w:color="auto" w:fill="FFFFFF"/>
        </w:rPr>
        <w:t>in school children from Ivory Coast (western Africa) A 1998-1999 cross sectional study.</w:t>
      </w:r>
      <w:r>
        <w:rPr>
          <w:rStyle w:val="apple-converted-space"/>
          <w:sz w:val="20"/>
          <w:szCs w:val="20"/>
          <w:shd w:val="clear" w:color="auto" w:fill="FFFFFF"/>
        </w:rPr>
        <w:t xml:space="preserve"> </w:t>
      </w:r>
      <w:r>
        <w:rPr>
          <w:rStyle w:val="ref-journal"/>
          <w:sz w:val="20"/>
          <w:szCs w:val="20"/>
          <w:shd w:val="clear" w:color="auto" w:fill="FFFFFF"/>
        </w:rPr>
        <w:t>Int J Dermatol.</w:t>
      </w:r>
      <w:r>
        <w:rPr>
          <w:rStyle w:val="apple-converted-space"/>
          <w:sz w:val="20"/>
          <w:szCs w:val="20"/>
          <w:shd w:val="clear" w:color="auto" w:fill="FFFFFF"/>
        </w:rPr>
        <w:t xml:space="preserve"> </w:t>
      </w:r>
      <w:r>
        <w:rPr>
          <w:sz w:val="20"/>
          <w:szCs w:val="20"/>
          <w:shd w:val="clear" w:color="auto" w:fill="FFFFFF"/>
        </w:rPr>
        <w:t>2002;</w:t>
      </w:r>
      <w:r>
        <w:rPr>
          <w:rStyle w:val="ref-vol"/>
          <w:sz w:val="20"/>
          <w:szCs w:val="20"/>
          <w:shd w:val="clear" w:color="auto" w:fill="FFFFFF"/>
        </w:rPr>
        <w:t>41</w:t>
      </w:r>
      <w:r>
        <w:rPr>
          <w:sz w:val="20"/>
          <w:szCs w:val="20"/>
          <w:shd w:val="clear" w:color="auto" w:fill="FFFFFF"/>
        </w:rPr>
        <w:t>:204–7.</w:t>
      </w:r>
    </w:p>
    <w:p w:rsidR="009112D4" w:rsidRDefault="006B1DCB">
      <w:pPr>
        <w:pStyle w:val="ListParagraph"/>
        <w:numPr>
          <w:ilvl w:val="0"/>
          <w:numId w:val="2"/>
        </w:numPr>
        <w:suppressAutoHyphens w:val="0"/>
        <w:snapToGrid w:val="0"/>
        <w:ind w:firstLineChars="0"/>
        <w:jc w:val="both"/>
        <w:rPr>
          <w:rStyle w:val="ref-vol"/>
          <w:sz w:val="20"/>
          <w:szCs w:val="20"/>
          <w:shd w:val="clear" w:color="auto" w:fill="FFFFFF"/>
        </w:rPr>
      </w:pPr>
      <w:r>
        <w:rPr>
          <w:rStyle w:val="element-citation"/>
          <w:sz w:val="20"/>
          <w:szCs w:val="20"/>
          <w:shd w:val="clear" w:color="auto" w:fill="FFFFFF"/>
        </w:rPr>
        <w:t>Moto JN, Maingi JM, Nyamache AK. Prevalence of Tinea capitis in school going children from</w:t>
      </w:r>
      <w:r>
        <w:rPr>
          <w:rStyle w:val="element-citation"/>
          <w:sz w:val="20"/>
          <w:szCs w:val="20"/>
          <w:shd w:val="clear" w:color="auto" w:fill="FFFFFF"/>
        </w:rPr>
        <w:t xml:space="preserve"> Mathare, informal settlement in Nairobi, Kenya.</w:t>
      </w:r>
      <w:r>
        <w:rPr>
          <w:rStyle w:val="apple-converted-space"/>
          <w:sz w:val="20"/>
          <w:szCs w:val="20"/>
          <w:shd w:val="clear" w:color="auto" w:fill="FFFFFF"/>
        </w:rPr>
        <w:t xml:space="preserve"> </w:t>
      </w:r>
      <w:r>
        <w:rPr>
          <w:rStyle w:val="Emphasis"/>
          <w:sz w:val="20"/>
          <w:szCs w:val="20"/>
          <w:shd w:val="clear" w:color="auto" w:fill="FFFFFF"/>
        </w:rPr>
        <w:t>BMC Research Notes</w:t>
      </w:r>
      <w:r>
        <w:rPr>
          <w:rStyle w:val="ref-journal"/>
          <w:sz w:val="20"/>
          <w:szCs w:val="20"/>
          <w:shd w:val="clear" w:color="auto" w:fill="FFFFFF"/>
        </w:rPr>
        <w:t>.</w:t>
      </w:r>
      <w:r>
        <w:rPr>
          <w:rStyle w:val="apple-converted-space"/>
          <w:sz w:val="20"/>
          <w:szCs w:val="20"/>
          <w:shd w:val="clear" w:color="auto" w:fill="FFFFFF"/>
        </w:rPr>
        <w:t xml:space="preserve"> </w:t>
      </w:r>
      <w:r>
        <w:rPr>
          <w:rStyle w:val="element-citation"/>
          <w:sz w:val="20"/>
          <w:szCs w:val="20"/>
          <w:shd w:val="clear" w:color="auto" w:fill="FFFFFF"/>
        </w:rPr>
        <w:t>2015;</w:t>
      </w:r>
      <w:r>
        <w:rPr>
          <w:rStyle w:val="ref-vol"/>
          <w:sz w:val="20"/>
          <w:szCs w:val="20"/>
          <w:shd w:val="clear" w:color="auto" w:fill="FFFFFF"/>
        </w:rPr>
        <w:t>8, article 274.</w:t>
      </w:r>
    </w:p>
    <w:p w:rsidR="009112D4" w:rsidRDefault="006B1DCB">
      <w:pPr>
        <w:pStyle w:val="ListParagraph"/>
        <w:numPr>
          <w:ilvl w:val="0"/>
          <w:numId w:val="2"/>
        </w:numPr>
        <w:suppressAutoHyphens w:val="0"/>
        <w:snapToGrid w:val="0"/>
        <w:ind w:firstLineChars="0"/>
        <w:jc w:val="both"/>
        <w:rPr>
          <w:sz w:val="20"/>
          <w:szCs w:val="20"/>
        </w:rPr>
      </w:pPr>
      <w:r>
        <w:rPr>
          <w:sz w:val="20"/>
          <w:szCs w:val="20"/>
        </w:rPr>
        <w:t>Okafor JI, Agbubaekulche AK. Dermatophyte among school children in Aba, Abia state Nigeria and some physiological studies on isolated aetiological agents. J Common Di</w:t>
      </w:r>
      <w:r>
        <w:rPr>
          <w:sz w:val="20"/>
          <w:szCs w:val="20"/>
        </w:rPr>
        <w:t>s. 2008; 30(2), 44 - 49.</w:t>
      </w:r>
    </w:p>
    <w:p w:rsidR="009112D4" w:rsidRDefault="006B1DCB">
      <w:pPr>
        <w:pStyle w:val="ListParagraph"/>
        <w:numPr>
          <w:ilvl w:val="0"/>
          <w:numId w:val="2"/>
        </w:numPr>
        <w:suppressAutoHyphens w:val="0"/>
        <w:snapToGrid w:val="0"/>
        <w:ind w:firstLineChars="0"/>
        <w:jc w:val="both"/>
        <w:rPr>
          <w:sz w:val="20"/>
          <w:szCs w:val="20"/>
        </w:rPr>
      </w:pPr>
      <w:r>
        <w:rPr>
          <w:sz w:val="20"/>
          <w:szCs w:val="20"/>
        </w:rPr>
        <w:t>Prescott LM, Harley JP, Klein DA. Microbiology second edition, USA WNC: Brown Publishers. 2010.</w:t>
      </w:r>
    </w:p>
    <w:p w:rsidR="009112D4" w:rsidRDefault="006B1DCB">
      <w:pPr>
        <w:pStyle w:val="ListParagraph"/>
        <w:numPr>
          <w:ilvl w:val="0"/>
          <w:numId w:val="2"/>
        </w:numPr>
        <w:suppressAutoHyphens w:val="0"/>
        <w:snapToGrid w:val="0"/>
        <w:ind w:left="425" w:firstLineChars="0" w:hanging="425"/>
        <w:jc w:val="both"/>
        <w:rPr>
          <w:sz w:val="20"/>
          <w:szCs w:val="20"/>
          <w:lang w:eastAsia="zh-CN"/>
        </w:rPr>
      </w:pPr>
      <w:r>
        <w:rPr>
          <w:sz w:val="20"/>
          <w:szCs w:val="20"/>
        </w:rPr>
        <w:t>Weitzmari L, Summebell RC. The dermatophytes. CM microbiology Rey. 1995; 8:240-259.</w:t>
      </w:r>
      <w:r>
        <w:rPr>
          <w:rFonts w:hint="eastAsia"/>
          <w:sz w:val="20"/>
          <w:szCs w:val="20"/>
          <w:lang w:eastAsia="zh-CN"/>
        </w:rPr>
        <w:t xml:space="preserve"> </w:t>
      </w:r>
      <w:bookmarkStart w:id="0" w:name="_GoBack"/>
      <w:bookmarkEnd w:id="0"/>
    </w:p>
    <w:p w:rsidR="009112D4" w:rsidRDefault="009112D4">
      <w:pPr>
        <w:suppressAutoHyphens w:val="0"/>
        <w:snapToGrid w:val="0"/>
        <w:ind w:left="425" w:hanging="425"/>
        <w:jc w:val="both"/>
        <w:rPr>
          <w:sz w:val="20"/>
          <w:szCs w:val="20"/>
          <w:lang w:eastAsia="zh-CN"/>
        </w:rPr>
        <w:sectPr w:rsidR="009112D4">
          <w:footnotePr>
            <w:pos w:val="beneathText"/>
          </w:footnotePr>
          <w:type w:val="continuous"/>
          <w:pgSz w:w="12240" w:h="15840" w:code="1"/>
          <w:pgMar w:top="1440" w:right="1440" w:bottom="1440" w:left="1440" w:header="720" w:footer="720" w:gutter="0"/>
          <w:cols w:num="2" w:space="600"/>
          <w:docGrid w:linePitch="360"/>
        </w:sectPr>
      </w:pPr>
    </w:p>
    <w:p w:rsidR="009112D4" w:rsidRDefault="009112D4">
      <w:pPr>
        <w:suppressAutoHyphens w:val="0"/>
        <w:snapToGrid w:val="0"/>
        <w:ind w:left="425" w:hanging="425"/>
        <w:jc w:val="both"/>
        <w:rPr>
          <w:sz w:val="20"/>
          <w:szCs w:val="20"/>
          <w:lang w:eastAsia="zh-CN"/>
        </w:rPr>
      </w:pPr>
    </w:p>
    <w:p w:rsidR="009112D4" w:rsidRDefault="009112D4">
      <w:pPr>
        <w:suppressAutoHyphens w:val="0"/>
        <w:snapToGrid w:val="0"/>
        <w:ind w:left="425" w:hanging="425"/>
        <w:jc w:val="both"/>
        <w:rPr>
          <w:sz w:val="20"/>
          <w:szCs w:val="20"/>
          <w:lang w:eastAsia="zh-CN"/>
        </w:rPr>
      </w:pPr>
    </w:p>
    <w:p w:rsidR="009112D4" w:rsidRDefault="009112D4">
      <w:pPr>
        <w:suppressAutoHyphens w:val="0"/>
        <w:snapToGrid w:val="0"/>
        <w:ind w:left="425" w:hanging="425"/>
        <w:jc w:val="both"/>
        <w:rPr>
          <w:sz w:val="20"/>
          <w:szCs w:val="20"/>
          <w:lang w:eastAsia="zh-CN"/>
        </w:rPr>
      </w:pPr>
    </w:p>
    <w:p w:rsidR="009112D4" w:rsidRDefault="006B1DCB">
      <w:pPr>
        <w:suppressAutoHyphens w:val="0"/>
        <w:snapToGrid w:val="0"/>
        <w:ind w:left="425" w:hanging="425"/>
        <w:jc w:val="both"/>
        <w:rPr>
          <w:sz w:val="20"/>
          <w:szCs w:val="20"/>
        </w:rPr>
      </w:pPr>
      <w:r>
        <w:rPr>
          <w:sz w:val="20"/>
          <w:szCs w:val="20"/>
        </w:rPr>
        <w:t>2/25/2017</w:t>
      </w:r>
    </w:p>
    <w:sectPr w:rsidR="009112D4" w:rsidSect="009112D4">
      <w:footnotePr>
        <w:pos w:val="beneathText"/>
      </w:footnotePr>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2D4" w:rsidRDefault="009112D4" w:rsidP="009112D4">
      <w:r>
        <w:separator/>
      </w:r>
    </w:p>
  </w:endnote>
  <w:endnote w:type="continuationSeparator" w:id="0">
    <w:p w:rsidR="009112D4" w:rsidRDefault="009112D4" w:rsidP="009112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3" w:usb1="00000000" w:usb2="00000000" w:usb3="00000000" w:csb0="00000001" w:csb1="00000000"/>
  </w:font>
  <w:font w:name="DejaVu Sans">
    <w:altName w:val="DejaVu Sans"/>
    <w:charset w:val="00"/>
    <w:family w:val="swiss"/>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2D4" w:rsidRDefault="009112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2D4" w:rsidRDefault="009112D4">
    <w:pPr>
      <w:jc w:val="center"/>
      <w:rPr>
        <w:sz w:val="20"/>
      </w:rPr>
    </w:pPr>
    <w:r>
      <w:rPr>
        <w:sz w:val="20"/>
      </w:rPr>
      <w:fldChar w:fldCharType="begin"/>
    </w:r>
    <w:r w:rsidR="006B1DCB">
      <w:rPr>
        <w:sz w:val="20"/>
      </w:rPr>
      <w:instrText xml:space="preserve"> page </w:instrText>
    </w:r>
    <w:r>
      <w:rPr>
        <w:sz w:val="20"/>
      </w:rPr>
      <w:fldChar w:fldCharType="separate"/>
    </w:r>
    <w:r w:rsidR="006B1DCB">
      <w:rPr>
        <w:noProof/>
        <w:sz w:val="20"/>
      </w:rPr>
      <w:t>58</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2D4" w:rsidRDefault="009112D4" w:rsidP="009112D4">
      <w:r>
        <w:separator/>
      </w:r>
    </w:p>
  </w:footnote>
  <w:footnote w:type="continuationSeparator" w:id="0">
    <w:p w:rsidR="009112D4" w:rsidRDefault="009112D4" w:rsidP="009112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2D4" w:rsidRDefault="009112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2D4" w:rsidRDefault="006B1DCB">
    <w:pPr>
      <w:pBdr>
        <w:bottom w:val="thinThickMediumGap" w:sz="12" w:space="1" w:color="auto"/>
      </w:pBdr>
      <w:tabs>
        <w:tab w:val="left" w:pos="851"/>
        <w:tab w:val="right" w:pos="8364"/>
      </w:tabs>
      <w:adjustRightInd w:val="0"/>
      <w:snapToGrid w:val="0"/>
      <w:jc w:val="both"/>
      <w:rPr>
        <w:iCs/>
        <w:sz w:val="20"/>
        <w:szCs w:val="20"/>
      </w:rPr>
    </w:pPr>
    <w:r>
      <w:rPr>
        <w:rFonts w:hint="eastAsia"/>
        <w:sz w:val="20"/>
        <w:szCs w:val="20"/>
      </w:rPr>
      <w:tab/>
    </w:r>
    <w:r>
      <w:rPr>
        <w:sz w:val="20"/>
        <w:szCs w:val="20"/>
      </w:rPr>
      <w:t>New York Science Journal 201</w:t>
    </w:r>
    <w:r>
      <w:rPr>
        <w:rFonts w:hint="eastAsia"/>
        <w:sz w:val="20"/>
        <w:szCs w:val="20"/>
      </w:rPr>
      <w:t>7</w:t>
    </w:r>
    <w:r>
      <w:rPr>
        <w:sz w:val="20"/>
        <w:szCs w:val="20"/>
      </w:rPr>
      <w:t>;</w:t>
    </w:r>
    <w:r>
      <w:rPr>
        <w:rFonts w:hint="eastAsia"/>
        <w:sz w:val="20"/>
        <w:szCs w:val="20"/>
      </w:rPr>
      <w:t>10</w:t>
    </w:r>
    <w:r>
      <w:rPr>
        <w:sz w:val="20"/>
        <w:szCs w:val="20"/>
      </w:rPr>
      <w:t>(</w:t>
    </w:r>
    <w:r>
      <w:rPr>
        <w:rFonts w:hint="eastAsia"/>
        <w:sz w:val="20"/>
        <w:szCs w:val="20"/>
      </w:rPr>
      <w:t>3</w:t>
    </w:r>
    <w:r>
      <w:rPr>
        <w:sz w:val="20"/>
        <w:szCs w:val="20"/>
      </w:rPr>
      <w:t>)</w:t>
    </w:r>
    <w:r>
      <w:rPr>
        <w:iCs/>
        <w:sz w:val="20"/>
        <w:szCs w:val="20"/>
      </w:rPr>
      <w:t xml:space="preserve">     </w:t>
    </w:r>
    <w:r>
      <w:rPr>
        <w:rFonts w:hint="eastAsia"/>
        <w:iCs/>
        <w:sz w:val="20"/>
        <w:szCs w:val="20"/>
      </w:rPr>
      <w:tab/>
    </w:r>
    <w:r>
      <w:rPr>
        <w:iCs/>
        <w:sz w:val="20"/>
        <w:szCs w:val="20"/>
      </w:rPr>
      <w:t xml:space="preserve"> </w:t>
    </w:r>
    <w:r>
      <w:rPr>
        <w:rFonts w:hint="eastAsia"/>
        <w:iCs/>
        <w:sz w:val="20"/>
        <w:szCs w:val="20"/>
      </w:rPr>
      <w:t xml:space="preserve"> </w:t>
    </w:r>
    <w:r>
      <w:rPr>
        <w:iCs/>
        <w:sz w:val="20"/>
        <w:szCs w:val="20"/>
      </w:rPr>
      <w:t xml:space="preserve">   </w:t>
    </w:r>
    <w:hyperlink r:id="rId1" w:history="1">
      <w:r>
        <w:rPr>
          <w:rStyle w:val="Hyperlink"/>
          <w:sz w:val="20"/>
          <w:szCs w:val="20"/>
        </w:rPr>
        <w:t>http://www.sciencepub.net/newyork</w:t>
      </w:r>
    </w:hyperlink>
  </w:p>
  <w:p w:rsidR="009112D4" w:rsidRDefault="009112D4">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2D4" w:rsidRDefault="009112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BC1AC4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nsid w:val="00000002"/>
    <w:multiLevelType w:val="hybridMultilevel"/>
    <w:tmpl w:val="EDA8CB7C"/>
    <w:lvl w:ilvl="0" w:tplc="0409000F">
      <w:start w:val="1"/>
      <w:numFmt w:val="decimal"/>
      <w:lvlText w:val="%1."/>
      <w:lvlJc w:val="left"/>
      <w:pPr>
        <w:tabs>
          <w:tab w:val="left" w:pos="720"/>
        </w:tabs>
        <w:ind w:left="720" w:hanging="360"/>
      </w:p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3">
    <w:nsid w:val="00000003"/>
    <w:multiLevelType w:val="hybridMultilevel"/>
    <w:tmpl w:val="0C6E26DA"/>
    <w:lvl w:ilvl="0" w:tplc="0409000F">
      <w:start w:val="1"/>
      <w:numFmt w:val="decimal"/>
      <w:lvlText w:val="%1."/>
      <w:lvlJc w:val="left"/>
      <w:pPr>
        <w:tabs>
          <w:tab w:val="left" w:pos="600"/>
        </w:tabs>
        <w:ind w:left="600" w:hanging="360"/>
      </w:pPr>
    </w:lvl>
    <w:lvl w:ilvl="1" w:tplc="04090019" w:tentative="1">
      <w:start w:val="1"/>
      <w:numFmt w:val="lowerLetter"/>
      <w:lvlText w:val="%2."/>
      <w:lvlJc w:val="left"/>
      <w:pPr>
        <w:tabs>
          <w:tab w:val="left" w:pos="1320"/>
        </w:tabs>
        <w:ind w:left="1320" w:hanging="360"/>
      </w:pPr>
    </w:lvl>
    <w:lvl w:ilvl="2" w:tplc="0409001B" w:tentative="1">
      <w:start w:val="1"/>
      <w:numFmt w:val="lowerRoman"/>
      <w:lvlText w:val="%3."/>
      <w:lvlJc w:val="right"/>
      <w:pPr>
        <w:tabs>
          <w:tab w:val="left" w:pos="2040"/>
        </w:tabs>
        <w:ind w:left="2040" w:hanging="180"/>
      </w:pPr>
    </w:lvl>
    <w:lvl w:ilvl="3" w:tplc="0409000F" w:tentative="1">
      <w:start w:val="1"/>
      <w:numFmt w:val="decimal"/>
      <w:lvlText w:val="%4."/>
      <w:lvlJc w:val="left"/>
      <w:pPr>
        <w:tabs>
          <w:tab w:val="left" w:pos="2760"/>
        </w:tabs>
        <w:ind w:left="2760" w:hanging="360"/>
      </w:pPr>
    </w:lvl>
    <w:lvl w:ilvl="4" w:tplc="04090019" w:tentative="1">
      <w:start w:val="1"/>
      <w:numFmt w:val="lowerLetter"/>
      <w:lvlText w:val="%5."/>
      <w:lvlJc w:val="left"/>
      <w:pPr>
        <w:tabs>
          <w:tab w:val="left" w:pos="3480"/>
        </w:tabs>
        <w:ind w:left="3480" w:hanging="360"/>
      </w:pPr>
    </w:lvl>
    <w:lvl w:ilvl="5" w:tplc="0409001B" w:tentative="1">
      <w:start w:val="1"/>
      <w:numFmt w:val="lowerRoman"/>
      <w:lvlText w:val="%6."/>
      <w:lvlJc w:val="right"/>
      <w:pPr>
        <w:tabs>
          <w:tab w:val="left" w:pos="4200"/>
        </w:tabs>
        <w:ind w:left="4200" w:hanging="180"/>
      </w:pPr>
    </w:lvl>
    <w:lvl w:ilvl="6" w:tplc="0409000F" w:tentative="1">
      <w:start w:val="1"/>
      <w:numFmt w:val="decimal"/>
      <w:lvlText w:val="%7."/>
      <w:lvlJc w:val="left"/>
      <w:pPr>
        <w:tabs>
          <w:tab w:val="left" w:pos="4920"/>
        </w:tabs>
        <w:ind w:left="4920" w:hanging="360"/>
      </w:pPr>
    </w:lvl>
    <w:lvl w:ilvl="7" w:tplc="04090019" w:tentative="1">
      <w:start w:val="1"/>
      <w:numFmt w:val="lowerLetter"/>
      <w:lvlText w:val="%8."/>
      <w:lvlJc w:val="left"/>
      <w:pPr>
        <w:tabs>
          <w:tab w:val="left" w:pos="5640"/>
        </w:tabs>
        <w:ind w:left="5640" w:hanging="360"/>
      </w:pPr>
    </w:lvl>
    <w:lvl w:ilvl="8" w:tplc="0409001B" w:tentative="1">
      <w:start w:val="1"/>
      <w:numFmt w:val="lowerRoman"/>
      <w:lvlText w:val="%9."/>
      <w:lvlJc w:val="right"/>
      <w:pPr>
        <w:tabs>
          <w:tab w:val="left" w:pos="6360"/>
        </w:tabs>
        <w:ind w:left="6360" w:hanging="180"/>
      </w:pPr>
    </w:lvl>
  </w:abstractNum>
  <w:abstractNum w:abstractNumId="4">
    <w:nsid w:val="00000004"/>
    <w:multiLevelType w:val="hybridMultilevel"/>
    <w:tmpl w:val="C5F4AA2C"/>
    <w:lvl w:ilvl="0" w:tplc="0409000F">
      <w:start w:val="1"/>
      <w:numFmt w:val="decimal"/>
      <w:lvlText w:val="%1."/>
      <w:lvlJc w:val="left"/>
      <w:pPr>
        <w:tabs>
          <w:tab w:val="left" w:pos="720"/>
        </w:tabs>
        <w:ind w:left="720" w:hanging="360"/>
      </w:p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useFELayout/>
  </w:compat>
  <w:rsids>
    <w:rsidRoot w:val="009112D4"/>
    <w:rsid w:val="006B1DCB"/>
    <w:rsid w:val="009112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2D4"/>
    <w:pPr>
      <w:suppressAutoHyphens/>
    </w:pPr>
    <w:rPr>
      <w:sz w:val="24"/>
      <w:szCs w:val="24"/>
      <w:lang w:eastAsia="ar-SA"/>
    </w:rPr>
  </w:style>
  <w:style w:type="paragraph" w:styleId="Heading1">
    <w:name w:val="heading 1"/>
    <w:basedOn w:val="Normal"/>
    <w:next w:val="Normal"/>
    <w:qFormat/>
    <w:rsid w:val="009112D4"/>
    <w:pPr>
      <w:keepNext/>
      <w:tabs>
        <w:tab w:val="left" w:pos="0"/>
      </w:tabs>
      <w:outlineLvl w:val="0"/>
    </w:pPr>
    <w:rPr>
      <w:b/>
      <w:bCs/>
      <w:sz w:val="32"/>
    </w:rPr>
  </w:style>
  <w:style w:type="paragraph" w:styleId="Heading2">
    <w:name w:val="heading 2"/>
    <w:basedOn w:val="Normal"/>
    <w:next w:val="Normal"/>
    <w:qFormat/>
    <w:rsid w:val="009112D4"/>
    <w:pPr>
      <w:keepNext/>
      <w:tabs>
        <w:tab w:val="left" w:pos="0"/>
      </w:tabs>
      <w:jc w:val="both"/>
      <w:outlineLvl w:val="1"/>
    </w:pPr>
    <w:rPr>
      <w:b/>
      <w:sz w:val="28"/>
    </w:rPr>
  </w:style>
  <w:style w:type="paragraph" w:styleId="Heading3">
    <w:name w:val="heading 3"/>
    <w:basedOn w:val="Normal"/>
    <w:next w:val="Normal"/>
    <w:qFormat/>
    <w:rsid w:val="009112D4"/>
    <w:pPr>
      <w:keepNext/>
      <w:tabs>
        <w:tab w:val="left" w:pos="0"/>
      </w:tabs>
      <w:spacing w:line="360" w:lineRule="auto"/>
      <w:jc w:val="both"/>
      <w:outlineLvl w:val="2"/>
    </w:pPr>
    <w:rPr>
      <w:b/>
      <w:bCs/>
    </w:rPr>
  </w:style>
  <w:style w:type="paragraph" w:styleId="Heading6">
    <w:name w:val="heading 6"/>
    <w:basedOn w:val="Normal"/>
    <w:next w:val="Normal"/>
    <w:qFormat/>
    <w:rsid w:val="009112D4"/>
    <w:pPr>
      <w:keepNext/>
      <w:tabs>
        <w:tab w:val="left"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112D4"/>
  </w:style>
  <w:style w:type="character" w:customStyle="1" w:styleId="WW-Absatz-Standardschriftart">
    <w:name w:val="WW-Absatz-Standardschriftart"/>
    <w:rsid w:val="009112D4"/>
  </w:style>
  <w:style w:type="character" w:customStyle="1" w:styleId="WW-Absatz-Standardschriftart1">
    <w:name w:val="WW-Absatz-Standardschriftart1"/>
    <w:rsid w:val="009112D4"/>
  </w:style>
  <w:style w:type="character" w:customStyle="1" w:styleId="WW-Absatz-Standardschriftart11">
    <w:name w:val="WW-Absatz-Standardschriftart11"/>
    <w:rsid w:val="009112D4"/>
  </w:style>
  <w:style w:type="character" w:customStyle="1" w:styleId="WW-Absatz-Standardschriftart111">
    <w:name w:val="WW-Absatz-Standardschriftart111"/>
    <w:rsid w:val="009112D4"/>
  </w:style>
  <w:style w:type="character" w:customStyle="1" w:styleId="WW-Absatz-Standardschriftart1111">
    <w:name w:val="WW-Absatz-Standardschriftart1111"/>
    <w:rsid w:val="009112D4"/>
  </w:style>
  <w:style w:type="character" w:customStyle="1" w:styleId="WW-Absatz-Standardschriftart11111">
    <w:name w:val="WW-Absatz-Standardschriftart11111"/>
    <w:rsid w:val="009112D4"/>
  </w:style>
  <w:style w:type="character" w:customStyle="1" w:styleId="WW-Absatz-Standardschriftart111111">
    <w:name w:val="WW-Absatz-Standardschriftart111111"/>
    <w:rsid w:val="009112D4"/>
  </w:style>
  <w:style w:type="character" w:customStyle="1" w:styleId="WW-Absatz-Standardschriftart1111111">
    <w:name w:val="WW-Absatz-Standardschriftart1111111"/>
    <w:rsid w:val="009112D4"/>
  </w:style>
  <w:style w:type="character" w:customStyle="1" w:styleId="WW-Absatz-Standardschriftart11111111">
    <w:name w:val="WW-Absatz-Standardschriftart11111111"/>
    <w:rsid w:val="009112D4"/>
  </w:style>
  <w:style w:type="character" w:customStyle="1" w:styleId="WW-Absatz-Standardschriftart111111111">
    <w:name w:val="WW-Absatz-Standardschriftart111111111"/>
    <w:rsid w:val="009112D4"/>
  </w:style>
  <w:style w:type="character" w:customStyle="1" w:styleId="WW-Absatz-Standardschriftart1111111111">
    <w:name w:val="WW-Absatz-Standardschriftart1111111111"/>
    <w:rsid w:val="009112D4"/>
  </w:style>
  <w:style w:type="character" w:customStyle="1" w:styleId="WW-Absatz-Standardschriftart11111111111">
    <w:name w:val="WW-Absatz-Standardschriftart11111111111"/>
    <w:rsid w:val="009112D4"/>
  </w:style>
  <w:style w:type="character" w:customStyle="1" w:styleId="WW-Absatz-Standardschriftart111111111111">
    <w:name w:val="WW-Absatz-Standardschriftart111111111111"/>
    <w:rsid w:val="009112D4"/>
  </w:style>
  <w:style w:type="character" w:customStyle="1" w:styleId="WW-Absatz-Standardschriftart1111111111111">
    <w:name w:val="WW-Absatz-Standardschriftart1111111111111"/>
    <w:rsid w:val="009112D4"/>
  </w:style>
  <w:style w:type="character" w:customStyle="1" w:styleId="WW-Absatz-Standardschriftart11111111111111">
    <w:name w:val="WW-Absatz-Standardschriftart11111111111111"/>
    <w:rsid w:val="009112D4"/>
  </w:style>
  <w:style w:type="character" w:customStyle="1" w:styleId="WW-Absatz-Standardschriftart111111111111111">
    <w:name w:val="WW-Absatz-Standardschriftart111111111111111"/>
    <w:rsid w:val="009112D4"/>
  </w:style>
  <w:style w:type="character" w:customStyle="1" w:styleId="WW-Absatz-Standardschriftart1111111111111111">
    <w:name w:val="WW-Absatz-Standardschriftart1111111111111111"/>
    <w:rsid w:val="009112D4"/>
  </w:style>
  <w:style w:type="character" w:customStyle="1" w:styleId="WW8Num1z0">
    <w:name w:val="WW8Num1z0"/>
    <w:rsid w:val="009112D4"/>
    <w:rPr>
      <w:rFonts w:ascii="Symbol" w:eastAsia="Times New Roman" w:hAnsi="Symbol" w:cs="Times New Roman"/>
    </w:rPr>
  </w:style>
  <w:style w:type="character" w:customStyle="1" w:styleId="WW8Num1z1">
    <w:name w:val="WW8Num1z1"/>
    <w:rsid w:val="009112D4"/>
    <w:rPr>
      <w:rFonts w:ascii="Courier New" w:hAnsi="Courier New" w:cs="Courier New"/>
    </w:rPr>
  </w:style>
  <w:style w:type="character" w:customStyle="1" w:styleId="WW8Num1z2">
    <w:name w:val="WW8Num1z2"/>
    <w:rsid w:val="009112D4"/>
    <w:rPr>
      <w:rFonts w:ascii="Wingdings" w:hAnsi="Wingdings"/>
    </w:rPr>
  </w:style>
  <w:style w:type="character" w:customStyle="1" w:styleId="WW8Num1z3">
    <w:name w:val="WW8Num1z3"/>
    <w:rsid w:val="009112D4"/>
    <w:rPr>
      <w:rFonts w:ascii="Symbol" w:hAnsi="Symbol"/>
    </w:rPr>
  </w:style>
  <w:style w:type="character" w:styleId="PageNumber">
    <w:name w:val="page number"/>
    <w:basedOn w:val="DefaultParagraphFont"/>
    <w:rsid w:val="009112D4"/>
  </w:style>
  <w:style w:type="character" w:styleId="Hyperlink">
    <w:name w:val="Hyperlink"/>
    <w:basedOn w:val="DefaultParagraphFont"/>
    <w:uiPriority w:val="99"/>
    <w:rsid w:val="009112D4"/>
    <w:rPr>
      <w:color w:val="0000FF"/>
      <w:u w:val="single"/>
    </w:rPr>
  </w:style>
  <w:style w:type="character" w:styleId="FollowedHyperlink">
    <w:name w:val="FollowedHyperlink"/>
    <w:basedOn w:val="DefaultParagraphFont"/>
    <w:rsid w:val="009112D4"/>
    <w:rPr>
      <w:color w:val="800080"/>
      <w:u w:val="single"/>
    </w:rPr>
  </w:style>
  <w:style w:type="character" w:customStyle="1" w:styleId="NumberingSymbols">
    <w:name w:val="Numbering Symbols"/>
    <w:rsid w:val="009112D4"/>
  </w:style>
  <w:style w:type="paragraph" w:customStyle="1" w:styleId="Heading">
    <w:name w:val="Heading"/>
    <w:basedOn w:val="Normal"/>
    <w:next w:val="BodyText"/>
    <w:rsid w:val="009112D4"/>
    <w:pPr>
      <w:keepNext/>
      <w:spacing w:before="240" w:after="120"/>
    </w:pPr>
    <w:rPr>
      <w:rFonts w:ascii="Nimbus Sans L" w:eastAsia="DejaVu Sans" w:hAnsi="Nimbus Sans L" w:cs="DejaVu Sans"/>
      <w:sz w:val="28"/>
      <w:szCs w:val="28"/>
    </w:rPr>
  </w:style>
  <w:style w:type="paragraph" w:styleId="BodyText">
    <w:name w:val="Body Text"/>
    <w:basedOn w:val="Normal"/>
    <w:rsid w:val="009112D4"/>
    <w:pPr>
      <w:spacing w:line="360" w:lineRule="auto"/>
    </w:pPr>
  </w:style>
  <w:style w:type="paragraph" w:styleId="List">
    <w:name w:val="List"/>
    <w:basedOn w:val="BodyText"/>
    <w:rsid w:val="009112D4"/>
  </w:style>
  <w:style w:type="paragraph" w:styleId="Caption">
    <w:name w:val="caption"/>
    <w:basedOn w:val="Normal"/>
    <w:qFormat/>
    <w:rsid w:val="009112D4"/>
    <w:pPr>
      <w:suppressLineNumbers/>
      <w:spacing w:before="120" w:after="120"/>
    </w:pPr>
    <w:rPr>
      <w:i/>
      <w:iCs/>
    </w:rPr>
  </w:style>
  <w:style w:type="paragraph" w:customStyle="1" w:styleId="Index">
    <w:name w:val="Index"/>
    <w:basedOn w:val="Normal"/>
    <w:rsid w:val="009112D4"/>
    <w:pPr>
      <w:suppressLineNumbers/>
    </w:pPr>
  </w:style>
  <w:style w:type="paragraph" w:styleId="Header">
    <w:name w:val="header"/>
    <w:basedOn w:val="Normal"/>
    <w:next w:val="Heading1"/>
    <w:link w:val="HeaderChar"/>
    <w:rsid w:val="009112D4"/>
    <w:pPr>
      <w:tabs>
        <w:tab w:val="center" w:pos="4320"/>
        <w:tab w:val="right" w:pos="8640"/>
      </w:tabs>
    </w:pPr>
  </w:style>
  <w:style w:type="paragraph" w:styleId="BodyTextIndent3">
    <w:name w:val="Body Text Indent 3"/>
    <w:basedOn w:val="Normal"/>
    <w:rsid w:val="009112D4"/>
    <w:pPr>
      <w:spacing w:line="360" w:lineRule="auto"/>
      <w:ind w:firstLine="720"/>
      <w:jc w:val="both"/>
    </w:pPr>
    <w:rPr>
      <w:b/>
      <w:bCs/>
    </w:rPr>
  </w:style>
  <w:style w:type="paragraph" w:styleId="BodyTextIndent">
    <w:name w:val="Body Text Indent"/>
    <w:basedOn w:val="Normal"/>
    <w:rsid w:val="009112D4"/>
    <w:pPr>
      <w:ind w:left="540" w:hanging="720"/>
      <w:jc w:val="both"/>
    </w:pPr>
  </w:style>
  <w:style w:type="paragraph" w:styleId="BodyTextIndent2">
    <w:name w:val="Body Text Indent 2"/>
    <w:basedOn w:val="Normal"/>
    <w:rsid w:val="009112D4"/>
    <w:pPr>
      <w:spacing w:line="360" w:lineRule="auto"/>
      <w:ind w:firstLine="720"/>
      <w:jc w:val="both"/>
    </w:pPr>
  </w:style>
  <w:style w:type="paragraph" w:styleId="BodyText2">
    <w:name w:val="Body Text 2"/>
    <w:basedOn w:val="Normal"/>
    <w:rsid w:val="009112D4"/>
    <w:pPr>
      <w:spacing w:line="360" w:lineRule="auto"/>
      <w:jc w:val="both"/>
    </w:pPr>
  </w:style>
  <w:style w:type="paragraph" w:styleId="Footer">
    <w:name w:val="footer"/>
    <w:basedOn w:val="Normal"/>
    <w:rsid w:val="009112D4"/>
    <w:pPr>
      <w:tabs>
        <w:tab w:val="center" w:pos="4320"/>
        <w:tab w:val="right" w:pos="8640"/>
      </w:tabs>
    </w:pPr>
    <w:rPr>
      <w:sz w:val="32"/>
    </w:rPr>
  </w:style>
  <w:style w:type="paragraph" w:customStyle="1" w:styleId="TableContents">
    <w:name w:val="Table Contents"/>
    <w:basedOn w:val="Normal"/>
    <w:rsid w:val="009112D4"/>
    <w:pPr>
      <w:suppressLineNumbers/>
    </w:pPr>
  </w:style>
  <w:style w:type="paragraph" w:customStyle="1" w:styleId="TableHeading">
    <w:name w:val="Table Heading"/>
    <w:basedOn w:val="TableContents"/>
    <w:rsid w:val="009112D4"/>
    <w:pPr>
      <w:jc w:val="center"/>
    </w:pPr>
    <w:rPr>
      <w:b/>
      <w:bCs/>
    </w:rPr>
  </w:style>
  <w:style w:type="paragraph" w:customStyle="1" w:styleId="Framecontents">
    <w:name w:val="Frame contents"/>
    <w:basedOn w:val="BodyText"/>
    <w:rsid w:val="009112D4"/>
  </w:style>
  <w:style w:type="paragraph" w:customStyle="1" w:styleId="Text">
    <w:name w:val="Text"/>
    <w:basedOn w:val="Normal"/>
    <w:rsid w:val="009112D4"/>
    <w:pPr>
      <w:autoSpaceDE w:val="0"/>
      <w:spacing w:line="251" w:lineRule="auto"/>
      <w:ind w:firstLine="202"/>
    </w:pPr>
    <w:rPr>
      <w:rFonts w:eastAsia="PMingLiU"/>
      <w:kern w:val="1"/>
      <w:sz w:val="20"/>
      <w:szCs w:val="20"/>
    </w:rPr>
  </w:style>
  <w:style w:type="character" w:customStyle="1" w:styleId="HeaderChar">
    <w:name w:val="Header Char"/>
    <w:basedOn w:val="DefaultParagraphFont"/>
    <w:link w:val="Header"/>
    <w:rsid w:val="009112D4"/>
    <w:rPr>
      <w:sz w:val="24"/>
      <w:szCs w:val="24"/>
      <w:lang w:eastAsia="ar-SA"/>
    </w:rPr>
  </w:style>
  <w:style w:type="character" w:styleId="Emphasis">
    <w:name w:val="Emphasis"/>
    <w:uiPriority w:val="20"/>
    <w:qFormat/>
    <w:rsid w:val="009112D4"/>
    <w:rPr>
      <w:i/>
      <w:iCs/>
    </w:rPr>
  </w:style>
  <w:style w:type="character" w:customStyle="1" w:styleId="apple-converted-space">
    <w:name w:val="apple-converted-space"/>
    <w:basedOn w:val="DefaultParagraphFont"/>
    <w:rsid w:val="009112D4"/>
  </w:style>
  <w:style w:type="paragraph" w:customStyle="1" w:styleId="Default">
    <w:name w:val="Default"/>
    <w:rsid w:val="009112D4"/>
    <w:pPr>
      <w:autoSpaceDE w:val="0"/>
      <w:autoSpaceDN w:val="0"/>
      <w:adjustRightInd w:val="0"/>
    </w:pPr>
    <w:rPr>
      <w:rFonts w:ascii="Arial" w:eastAsia="Calibri" w:hAnsi="Arial" w:cs="Arial"/>
      <w:color w:val="000000"/>
      <w:sz w:val="24"/>
      <w:szCs w:val="24"/>
      <w:lang w:eastAsia="en-US"/>
    </w:rPr>
  </w:style>
  <w:style w:type="character" w:customStyle="1" w:styleId="element-citation">
    <w:name w:val="element-citation"/>
    <w:basedOn w:val="DefaultParagraphFont"/>
    <w:rsid w:val="009112D4"/>
  </w:style>
  <w:style w:type="character" w:customStyle="1" w:styleId="ref-journal">
    <w:name w:val="ref-journal"/>
    <w:basedOn w:val="DefaultParagraphFont"/>
    <w:rsid w:val="009112D4"/>
  </w:style>
  <w:style w:type="character" w:customStyle="1" w:styleId="ref-vol">
    <w:name w:val="ref-vol"/>
    <w:basedOn w:val="DefaultParagraphFont"/>
    <w:rsid w:val="009112D4"/>
  </w:style>
  <w:style w:type="character" w:customStyle="1" w:styleId="nowrap">
    <w:name w:val="nowrap"/>
    <w:basedOn w:val="DefaultParagraphFont"/>
    <w:rsid w:val="009112D4"/>
  </w:style>
  <w:style w:type="paragraph" w:styleId="ListParagraph">
    <w:name w:val="List Paragraph"/>
    <w:basedOn w:val="Normal"/>
    <w:uiPriority w:val="34"/>
    <w:qFormat/>
    <w:rsid w:val="009112D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18" Type="http://schemas.openxmlformats.org/officeDocument/2006/relationships/hyperlink" Target="https://www.ncbi.nlm.nih.gov/pmc/articles/PMC3510909/" TargetMode="External"/><Relationship Id="rId3" Type="http://schemas.openxmlformats.org/officeDocument/2006/relationships/settings" Target="settings.xml"/><Relationship Id="rId7" Type="http://schemas.openxmlformats.org/officeDocument/2006/relationships/hyperlink" Target="mailto:eedris888@yahoo.com" TargetMode="External"/><Relationship Id="rId12" Type="http://schemas.openxmlformats.org/officeDocument/2006/relationships/footer" Target="footer1.xml"/><Relationship Id="rId17" Type="http://schemas.openxmlformats.org/officeDocument/2006/relationships/hyperlink" Target="https://www.ncbi.nlm.nih.gov/pubmed/?term=Mandal%20L%5BAuthor%5D&amp;cauthor=true&amp;cauthor_uid=23225977" TargetMode="External"/><Relationship Id="rId2" Type="http://schemas.openxmlformats.org/officeDocument/2006/relationships/styles" Target="styles.xml"/><Relationship Id="rId16" Type="http://schemas.openxmlformats.org/officeDocument/2006/relationships/hyperlink" Target="https://www.ncbi.nlm.nih.gov/pubmed/?term=Kundu%20D%5BAuthor%5D&amp;cauthor=true&amp;cauthor_uid=2322597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eedris888@yahoo.com"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x.doi.org/10.7537/marsnys100317.07"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2915</Words>
  <Characters>16620</Characters>
  <Application>Microsoft Office Word</Application>
  <DocSecurity>0</DocSecurity>
  <Lines>138</Lines>
  <Paragraphs>38</Paragraphs>
  <ScaleCrop>false</ScaleCrop>
  <Manager>Marsland</Manager>
  <Company>Marsland Press</Company>
  <LinksUpToDate>false</LinksUpToDate>
  <CharactersWithSpaces>19497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2</cp:revision>
  <cp:lastPrinted>2008-06-25T09:46:00Z</cp:lastPrinted>
  <dcterms:created xsi:type="dcterms:W3CDTF">2017-03-17T01:39:00Z</dcterms:created>
  <dcterms:modified xsi:type="dcterms:W3CDTF">2017-03-17T01:39:00Z</dcterms:modified>
</cp:coreProperties>
</file>