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60" w:rsidRPr="00E57E65" w:rsidRDefault="00626D60" w:rsidP="00E57E65">
      <w:pPr>
        <w:bidi w:val="0"/>
        <w:snapToGrid w:val="0"/>
        <w:spacing w:after="0" w:line="240" w:lineRule="auto"/>
        <w:jc w:val="center"/>
        <w:rPr>
          <w:rFonts w:ascii="Times New Roman" w:hAnsi="Times New Roman" w:cs="Times New Roman"/>
          <w:b/>
          <w:bCs/>
          <w:sz w:val="20"/>
          <w:szCs w:val="20"/>
          <w:lang w:bidi="ar-EG"/>
        </w:rPr>
      </w:pPr>
      <w:r w:rsidRPr="00E57E65">
        <w:rPr>
          <w:rFonts w:ascii="Times New Roman" w:hAnsi="Times New Roman" w:cs="Times New Roman"/>
          <w:b/>
          <w:bCs/>
          <w:sz w:val="20"/>
          <w:szCs w:val="20"/>
          <w:lang w:bidi="ar-EG"/>
        </w:rPr>
        <w:t>Edessy ovarian cancer score</w:t>
      </w:r>
      <w:r w:rsidR="00F40D57" w:rsidRPr="00E57E65">
        <w:rPr>
          <w:rFonts w:ascii="Times New Roman" w:hAnsi="Times New Roman" w:cs="Times New Roman"/>
          <w:b/>
          <w:bCs/>
          <w:sz w:val="20"/>
          <w:szCs w:val="20"/>
          <w:lang w:bidi="ar-EG"/>
        </w:rPr>
        <w:t xml:space="preserve"> (EOCS)</w:t>
      </w:r>
      <w:r w:rsidRPr="00E57E65">
        <w:rPr>
          <w:rFonts w:ascii="Times New Roman" w:hAnsi="Times New Roman" w:cs="Times New Roman"/>
          <w:b/>
          <w:bCs/>
          <w:sz w:val="20"/>
          <w:szCs w:val="20"/>
          <w:lang w:bidi="ar-EG"/>
        </w:rPr>
        <w:t xml:space="preserve"> in prediction of malignant ovarian masses</w:t>
      </w:r>
    </w:p>
    <w:p w:rsidR="00540106" w:rsidRPr="00E57E65" w:rsidRDefault="00540106" w:rsidP="00E57E65">
      <w:pPr>
        <w:bidi w:val="0"/>
        <w:snapToGrid w:val="0"/>
        <w:spacing w:after="0" w:line="240" w:lineRule="auto"/>
        <w:jc w:val="center"/>
        <w:rPr>
          <w:rFonts w:ascii="Times New Roman" w:hAnsi="Times New Roman" w:cs="Times New Roman"/>
          <w:b/>
          <w:bCs/>
          <w:sz w:val="20"/>
          <w:szCs w:val="20"/>
          <w:lang w:bidi="ar-EG"/>
        </w:rPr>
      </w:pPr>
    </w:p>
    <w:p w:rsidR="00626D60" w:rsidRPr="00E57E65" w:rsidRDefault="00626D60" w:rsidP="00E57E65">
      <w:pPr>
        <w:bidi w:val="0"/>
        <w:snapToGrid w:val="0"/>
        <w:spacing w:after="0" w:line="240" w:lineRule="auto"/>
        <w:jc w:val="center"/>
        <w:rPr>
          <w:rFonts w:ascii="Times New Roman" w:hAnsi="Times New Roman" w:cs="Times New Roman"/>
          <w:sz w:val="20"/>
          <w:szCs w:val="20"/>
          <w:lang w:eastAsia="zh-CN" w:bidi="ar-EG"/>
        </w:rPr>
      </w:pPr>
      <w:r w:rsidRPr="00E57E65">
        <w:rPr>
          <w:rFonts w:ascii="Times New Roman" w:hAnsi="Times New Roman" w:cs="Times New Roman"/>
          <w:sz w:val="20"/>
          <w:szCs w:val="20"/>
          <w:lang w:bidi="ar-EG"/>
        </w:rPr>
        <w:t xml:space="preserve">Mahmoud Sayed El Edessy, Hesham Saleh mohammed, </w:t>
      </w:r>
      <w:r w:rsidR="003A5353" w:rsidRPr="00E57E65">
        <w:rPr>
          <w:rFonts w:ascii="Times New Roman" w:hAnsi="Times New Roman" w:cs="Times New Roman"/>
          <w:sz w:val="20"/>
          <w:szCs w:val="20"/>
          <w:lang w:bidi="ar-EG"/>
        </w:rPr>
        <w:t xml:space="preserve">and </w:t>
      </w:r>
      <w:r w:rsidRPr="00E57E65">
        <w:rPr>
          <w:rFonts w:ascii="Times New Roman" w:hAnsi="Times New Roman" w:cs="Times New Roman"/>
          <w:sz w:val="20"/>
          <w:szCs w:val="20"/>
          <w:lang w:bidi="ar-EG"/>
        </w:rPr>
        <w:t>Abd Alsttar Alwaziry</w:t>
      </w:r>
    </w:p>
    <w:p w:rsidR="00E57E65" w:rsidRPr="00E57E65" w:rsidRDefault="00E57E65" w:rsidP="00E57E65">
      <w:pPr>
        <w:bidi w:val="0"/>
        <w:snapToGrid w:val="0"/>
        <w:spacing w:after="0" w:line="240" w:lineRule="auto"/>
        <w:jc w:val="center"/>
        <w:rPr>
          <w:rFonts w:ascii="Times New Roman" w:hAnsi="Times New Roman" w:cs="Times New Roman"/>
          <w:sz w:val="20"/>
          <w:szCs w:val="20"/>
          <w:lang w:eastAsia="zh-CN" w:bidi="ar-EG"/>
        </w:rPr>
      </w:pPr>
    </w:p>
    <w:p w:rsidR="00626D60" w:rsidRPr="00E57E65" w:rsidRDefault="00626D60" w:rsidP="00E57E65">
      <w:pPr>
        <w:bidi w:val="0"/>
        <w:snapToGrid w:val="0"/>
        <w:spacing w:after="0" w:line="240" w:lineRule="auto"/>
        <w:jc w:val="center"/>
        <w:rPr>
          <w:rFonts w:ascii="Times New Roman" w:hAnsi="Times New Roman" w:cs="Times New Roman"/>
          <w:sz w:val="20"/>
          <w:szCs w:val="20"/>
          <w:lang w:bidi="ar-EG"/>
        </w:rPr>
      </w:pPr>
      <w:r w:rsidRPr="00E57E65">
        <w:rPr>
          <w:rFonts w:ascii="Times New Roman" w:hAnsi="Times New Roman" w:cs="Times New Roman"/>
          <w:sz w:val="20"/>
          <w:szCs w:val="20"/>
          <w:lang w:bidi="ar-EG"/>
        </w:rPr>
        <w:t xml:space="preserve">Obstetrics and Gynecology Department, Al-Azhar </w:t>
      </w:r>
      <w:r w:rsidR="00540106" w:rsidRPr="00E57E65">
        <w:rPr>
          <w:rFonts w:ascii="Times New Roman" w:hAnsi="Times New Roman" w:cs="Times New Roman"/>
          <w:sz w:val="20"/>
          <w:szCs w:val="20"/>
          <w:lang w:bidi="ar-EG"/>
        </w:rPr>
        <w:t>University</w:t>
      </w:r>
      <w:r w:rsidR="003A5353" w:rsidRPr="00E57E65">
        <w:rPr>
          <w:rFonts w:ascii="Times New Roman" w:hAnsi="Times New Roman" w:cs="Times New Roman"/>
          <w:sz w:val="20"/>
          <w:szCs w:val="20"/>
          <w:lang w:bidi="ar-EG"/>
        </w:rPr>
        <w:t xml:space="preserve">, </w:t>
      </w:r>
      <w:r w:rsidRPr="00E57E65">
        <w:rPr>
          <w:rFonts w:ascii="Times New Roman" w:hAnsi="Times New Roman" w:cs="Times New Roman"/>
          <w:sz w:val="20"/>
          <w:szCs w:val="20"/>
          <w:lang w:bidi="ar-EG"/>
        </w:rPr>
        <w:t>Assuit, Egypt</w:t>
      </w:r>
    </w:p>
    <w:p w:rsidR="00540106" w:rsidRPr="00E57E65" w:rsidRDefault="00C3362C" w:rsidP="00E57E65">
      <w:pPr>
        <w:bidi w:val="0"/>
        <w:snapToGrid w:val="0"/>
        <w:spacing w:after="0" w:line="240" w:lineRule="auto"/>
        <w:jc w:val="center"/>
        <w:rPr>
          <w:rFonts w:ascii="Times New Roman" w:hAnsi="Times New Roman" w:cs="Times New Roman"/>
          <w:sz w:val="20"/>
          <w:szCs w:val="20"/>
          <w:lang w:bidi="ar-EG"/>
        </w:rPr>
      </w:pPr>
      <w:hyperlink r:id="rId8" w:history="1">
        <w:r w:rsidR="00540106" w:rsidRPr="00E57E65">
          <w:rPr>
            <w:rStyle w:val="Hyperlink"/>
            <w:rFonts w:ascii="Times New Roman" w:hAnsi="Times New Roman" w:cs="Times New Roman"/>
            <w:sz w:val="20"/>
            <w:szCs w:val="20"/>
            <w:lang w:bidi="ar-EG"/>
          </w:rPr>
          <w:t>Abdalsttar.alwaziry@gmail.com</w:t>
        </w:r>
      </w:hyperlink>
    </w:p>
    <w:p w:rsidR="00540106" w:rsidRPr="00E57E65" w:rsidRDefault="00540106" w:rsidP="00E57E65">
      <w:pPr>
        <w:bidi w:val="0"/>
        <w:snapToGrid w:val="0"/>
        <w:spacing w:after="0" w:line="240" w:lineRule="auto"/>
        <w:jc w:val="center"/>
        <w:rPr>
          <w:rFonts w:ascii="Times New Roman" w:hAnsi="Times New Roman" w:cs="Times New Roman"/>
          <w:sz w:val="20"/>
          <w:szCs w:val="14"/>
          <w:lang w:bidi="ar-EG"/>
        </w:rPr>
      </w:pPr>
    </w:p>
    <w:p w:rsidR="00E340B9" w:rsidRPr="00E57E65" w:rsidRDefault="00A11558" w:rsidP="00E57E65">
      <w:pPr>
        <w:pStyle w:val="NoSpacing"/>
        <w:snapToGrid w:val="0"/>
        <w:jc w:val="both"/>
        <w:rPr>
          <w:rFonts w:ascii="Times New Roman" w:eastAsia="Times New Roman" w:hAnsi="Times New Roman" w:cs="Times New Roman"/>
          <w:sz w:val="20"/>
          <w:szCs w:val="20"/>
          <w:lang w:bidi="ar-EG"/>
        </w:rPr>
      </w:pPr>
      <w:r w:rsidRPr="00E57E65">
        <w:rPr>
          <w:rFonts w:ascii="Times New Roman" w:hAnsi="Times New Roman" w:cs="Times New Roman"/>
          <w:b/>
          <w:bCs/>
          <w:sz w:val="20"/>
          <w:szCs w:val="20"/>
          <w:lang w:bidi="ar-EG"/>
        </w:rPr>
        <w:t>A</w:t>
      </w:r>
      <w:r w:rsidR="005D0EC9" w:rsidRPr="00E57E65">
        <w:rPr>
          <w:rFonts w:ascii="Times New Roman" w:hAnsi="Times New Roman" w:cs="Times New Roman"/>
          <w:b/>
          <w:bCs/>
          <w:sz w:val="20"/>
          <w:szCs w:val="20"/>
          <w:lang w:bidi="ar-EG"/>
        </w:rPr>
        <w:t>bstract</w:t>
      </w:r>
      <w:r w:rsidR="00540106" w:rsidRPr="00E57E65">
        <w:rPr>
          <w:rFonts w:ascii="Times New Roman" w:hAnsi="Times New Roman" w:cs="Times New Roman"/>
          <w:b/>
          <w:bCs/>
          <w:sz w:val="20"/>
          <w:szCs w:val="20"/>
          <w:lang w:bidi="ar-EG"/>
        </w:rPr>
        <w:t xml:space="preserve">: </w:t>
      </w:r>
      <w:r w:rsidR="005D0EC9" w:rsidRPr="00E57E65">
        <w:rPr>
          <w:rFonts w:ascii="Times New Roman" w:hAnsi="Times New Roman" w:cs="Times New Roman"/>
          <w:b/>
          <w:bCs/>
          <w:sz w:val="20"/>
          <w:szCs w:val="20"/>
          <w:lang w:bidi="ar-EG"/>
        </w:rPr>
        <w:t>Background:</w:t>
      </w:r>
      <w:r w:rsidR="005D0EC9" w:rsidRPr="00E57E65">
        <w:rPr>
          <w:rFonts w:ascii="Times New Roman" w:hAnsi="Times New Roman" w:cs="Times New Roman"/>
          <w:sz w:val="20"/>
          <w:szCs w:val="20"/>
        </w:rPr>
        <w:t xml:space="preserve"> </w:t>
      </w:r>
      <w:r w:rsidR="005D0EC9" w:rsidRPr="00E57E65">
        <w:rPr>
          <w:rFonts w:ascii="Times New Roman" w:eastAsia="Times New Roman" w:hAnsi="Times New Roman" w:cs="Times New Roman"/>
          <w:sz w:val="20"/>
          <w:szCs w:val="20"/>
        </w:rPr>
        <w:t>recognizing cancer means that treatment is not delayed and appropriate staging can be carried out in specialized surgical centers</w:t>
      </w:r>
      <w:r w:rsidR="00DB633A" w:rsidRPr="00E57E65">
        <w:rPr>
          <w:rFonts w:ascii="Times New Roman" w:eastAsia="Times New Roman" w:hAnsi="Times New Roman" w:cs="Times New Roman"/>
          <w:sz w:val="20"/>
          <w:szCs w:val="20"/>
        </w:rPr>
        <w:t>.</w:t>
      </w:r>
      <w:r w:rsidR="00540106" w:rsidRPr="00E57E65">
        <w:rPr>
          <w:rFonts w:ascii="Times New Roman" w:eastAsia="Times New Roman" w:hAnsi="Times New Roman" w:cs="Times New Roman"/>
          <w:sz w:val="20"/>
          <w:szCs w:val="20"/>
        </w:rPr>
        <w:t xml:space="preserve"> </w:t>
      </w:r>
      <w:r w:rsidR="00626D60" w:rsidRPr="00E57E65">
        <w:rPr>
          <w:rFonts w:ascii="Times New Roman" w:hAnsi="Times New Roman" w:cs="Times New Roman"/>
          <w:b/>
          <w:bCs/>
          <w:sz w:val="20"/>
          <w:szCs w:val="20"/>
          <w:lang w:bidi="ar-EG"/>
        </w:rPr>
        <w:t>Objective:</w:t>
      </w:r>
      <w:r w:rsidR="00626D60" w:rsidRPr="00E57E65">
        <w:rPr>
          <w:rFonts w:ascii="Times New Roman" w:hAnsi="Times New Roman" w:cs="Times New Roman"/>
          <w:sz w:val="20"/>
          <w:szCs w:val="20"/>
          <w:lang w:bidi="ar-EG"/>
        </w:rPr>
        <w:t xml:space="preserve"> The aim of this study was to </w:t>
      </w:r>
      <w:r w:rsidR="003A5353" w:rsidRPr="00E57E65">
        <w:rPr>
          <w:rFonts w:ascii="Times New Roman" w:eastAsia="Times New Roman" w:hAnsi="Times New Roman" w:cs="Times New Roman"/>
          <w:sz w:val="20"/>
          <w:szCs w:val="20"/>
          <w:lang w:bidi="ar-EG"/>
        </w:rPr>
        <w:t>evaluate the risk factors of ovarian cancer and to f</w:t>
      </w:r>
      <w:r w:rsidR="00DB633A" w:rsidRPr="00E57E65">
        <w:rPr>
          <w:rFonts w:ascii="Times New Roman" w:eastAsia="Times New Roman" w:hAnsi="Times New Roman" w:cs="Times New Roman"/>
          <w:sz w:val="20"/>
          <w:szCs w:val="20"/>
          <w:lang w:bidi="ar-EG"/>
        </w:rPr>
        <w:t>ind out an ovarian cancer score</w:t>
      </w:r>
      <w:r w:rsidR="003A5353" w:rsidRPr="00E57E65">
        <w:rPr>
          <w:rFonts w:ascii="Times New Roman" w:eastAsia="Times New Roman" w:hAnsi="Times New Roman" w:cs="Times New Roman"/>
          <w:sz w:val="20"/>
          <w:szCs w:val="20"/>
          <w:lang w:bidi="ar-EG"/>
        </w:rPr>
        <w:t>.</w:t>
      </w:r>
      <w:r w:rsidR="00842AFD">
        <w:rPr>
          <w:rFonts w:ascii="Times New Roman" w:hAnsi="Times New Roman" w:cs="Times New Roman"/>
          <w:sz w:val="20"/>
          <w:szCs w:val="20"/>
          <w:lang w:bidi="ar-EG"/>
        </w:rPr>
        <w:t xml:space="preserve"> </w:t>
      </w:r>
      <w:r w:rsidR="00626D60" w:rsidRPr="00E57E65">
        <w:rPr>
          <w:rFonts w:ascii="Times New Roman" w:hAnsi="Times New Roman" w:cs="Times New Roman"/>
          <w:b/>
          <w:bCs/>
          <w:sz w:val="20"/>
          <w:szCs w:val="20"/>
          <w:lang w:bidi="ar-EG"/>
        </w:rPr>
        <w:t>Methods:</w:t>
      </w:r>
      <w:r w:rsidR="00626D60" w:rsidRPr="00E57E65">
        <w:rPr>
          <w:rFonts w:ascii="Times New Roman" w:hAnsi="Times New Roman" w:cs="Times New Roman"/>
          <w:sz w:val="20"/>
          <w:szCs w:val="20"/>
          <w:lang w:bidi="ar-EG"/>
        </w:rPr>
        <w:t xml:space="preserve"> This is a prospective study of </w:t>
      </w:r>
      <w:r w:rsidR="003A5353" w:rsidRPr="00E57E65">
        <w:rPr>
          <w:rFonts w:ascii="Times New Roman" w:hAnsi="Times New Roman" w:cs="Times New Roman"/>
          <w:sz w:val="20"/>
          <w:szCs w:val="20"/>
          <w:lang w:bidi="ar-EG"/>
        </w:rPr>
        <w:t>2</w:t>
      </w:r>
      <w:r w:rsidR="00626D60" w:rsidRPr="00E57E65">
        <w:rPr>
          <w:rFonts w:ascii="Times New Roman" w:hAnsi="Times New Roman" w:cs="Times New Roman"/>
          <w:sz w:val="20"/>
          <w:szCs w:val="20"/>
          <w:lang w:bidi="ar-EG"/>
        </w:rPr>
        <w:t xml:space="preserve">00 women admitted to the Department of Obstetrics and Gynecology of </w:t>
      </w:r>
      <w:r w:rsidR="003A5353" w:rsidRPr="00E57E65">
        <w:rPr>
          <w:rFonts w:ascii="Times New Roman" w:hAnsi="Times New Roman" w:cs="Times New Roman"/>
          <w:sz w:val="20"/>
          <w:szCs w:val="20"/>
          <w:lang w:bidi="ar-EG"/>
        </w:rPr>
        <w:t>El Maadi Military Medical compound &amp; Oncology institute after obtaining informed patients' consent</w:t>
      </w:r>
      <w:r w:rsidR="005C3ACF" w:rsidRPr="00E57E65">
        <w:rPr>
          <w:rFonts w:ascii="Times New Roman" w:hAnsi="Times New Roman" w:cs="Times New Roman"/>
          <w:sz w:val="20"/>
          <w:szCs w:val="20"/>
          <w:lang w:bidi="ar-EG"/>
        </w:rPr>
        <w:t xml:space="preserve"> </w:t>
      </w:r>
      <w:r w:rsidR="00626D60" w:rsidRPr="00E57E65">
        <w:rPr>
          <w:rFonts w:ascii="Times New Roman" w:hAnsi="Times New Roman" w:cs="Times New Roman"/>
          <w:sz w:val="20"/>
          <w:szCs w:val="20"/>
          <w:lang w:bidi="ar-EG"/>
        </w:rPr>
        <w:t>for surgical exploration of pelvic masses. To di</w:t>
      </w:r>
      <w:r w:rsidR="00E0644A" w:rsidRPr="00E57E65">
        <w:rPr>
          <w:rFonts w:ascii="Times New Roman" w:hAnsi="Times New Roman" w:cs="Times New Roman"/>
          <w:sz w:val="20"/>
          <w:szCs w:val="20"/>
          <w:lang w:bidi="ar-EG"/>
        </w:rPr>
        <w:t>agnose malignant ovarian tumors and calculate</w:t>
      </w:r>
      <w:r w:rsidR="00626D60" w:rsidRPr="00E57E65">
        <w:rPr>
          <w:rFonts w:ascii="Times New Roman" w:hAnsi="Times New Roman" w:cs="Times New Roman"/>
          <w:sz w:val="20"/>
          <w:szCs w:val="20"/>
          <w:lang w:bidi="ar-EG"/>
        </w:rPr>
        <w:t xml:space="preserve"> </w:t>
      </w:r>
      <w:r w:rsidR="005C3ACF" w:rsidRPr="00E57E65">
        <w:rPr>
          <w:rFonts w:ascii="Times New Roman" w:hAnsi="Times New Roman" w:cs="Times New Roman"/>
          <w:sz w:val="20"/>
          <w:szCs w:val="20"/>
          <w:lang w:bidi="ar-EG"/>
        </w:rPr>
        <w:t>Edessy ovarian cancer score</w:t>
      </w:r>
      <w:r w:rsidR="005D0EC9" w:rsidRPr="00E57E65">
        <w:rPr>
          <w:rFonts w:ascii="Times New Roman" w:hAnsi="Times New Roman" w:cs="Times New Roman"/>
          <w:sz w:val="20"/>
          <w:szCs w:val="20"/>
          <w:lang w:bidi="ar-EG"/>
        </w:rPr>
        <w:t xml:space="preserve"> for every case</w:t>
      </w:r>
      <w:r w:rsidR="00626D60" w:rsidRPr="00E57E65">
        <w:rPr>
          <w:rFonts w:ascii="Times New Roman" w:hAnsi="Times New Roman" w:cs="Times New Roman"/>
          <w:sz w:val="20"/>
          <w:szCs w:val="20"/>
          <w:lang w:bidi="ar-EG"/>
        </w:rPr>
        <w:t>.</w:t>
      </w:r>
      <w:r w:rsidR="001E78FB" w:rsidRPr="00E57E65">
        <w:rPr>
          <w:rFonts w:ascii="Times New Roman" w:hAnsi="Times New Roman" w:cs="Times New Roman"/>
          <w:sz w:val="20"/>
          <w:szCs w:val="20"/>
          <w:lang w:bidi="ar-EG"/>
        </w:rPr>
        <w:t xml:space="preserve"> </w:t>
      </w:r>
      <w:r w:rsidR="00626D60" w:rsidRPr="00E57E65">
        <w:rPr>
          <w:rFonts w:ascii="Times New Roman" w:hAnsi="Times New Roman" w:cs="Times New Roman"/>
          <w:b/>
          <w:bCs/>
          <w:sz w:val="20"/>
          <w:szCs w:val="20"/>
          <w:lang w:bidi="ar-EG"/>
        </w:rPr>
        <w:t>Results:</w:t>
      </w:r>
      <w:r w:rsidR="00626D60" w:rsidRPr="00E57E65">
        <w:rPr>
          <w:rFonts w:ascii="Times New Roman" w:hAnsi="Times New Roman" w:cs="Times New Roman"/>
          <w:sz w:val="20"/>
          <w:szCs w:val="20"/>
          <w:lang w:bidi="ar-EG"/>
        </w:rPr>
        <w:t xml:space="preserve"> </w:t>
      </w:r>
      <w:r w:rsidR="00EC12B1" w:rsidRPr="00E57E65">
        <w:rPr>
          <w:rFonts w:ascii="Times New Roman" w:hAnsi="Times New Roman" w:cs="Times New Roman"/>
          <w:sz w:val="20"/>
          <w:szCs w:val="20"/>
          <w:lang w:bidi="ar-EG"/>
        </w:rPr>
        <w:t>Using a cut-off level more than 5 to indicate malignancy, the suggested score gave sensitivity of 83%, specificity of 79.1%, PPV of 54.9%, and NPV of 93.8</w:t>
      </w:r>
      <w:r w:rsidR="001E78FB" w:rsidRPr="00E57E65">
        <w:rPr>
          <w:rFonts w:ascii="Times New Roman" w:hAnsi="Times New Roman" w:cs="Times New Roman"/>
          <w:sz w:val="20"/>
          <w:szCs w:val="20"/>
          <w:lang w:bidi="ar-EG"/>
        </w:rPr>
        <w:t>%,</w:t>
      </w:r>
      <w:r w:rsidR="00EC12B1" w:rsidRPr="00E57E65">
        <w:rPr>
          <w:rFonts w:ascii="Times New Roman" w:hAnsi="Times New Roman" w:cs="Times New Roman"/>
          <w:sz w:val="20"/>
          <w:szCs w:val="20"/>
          <w:lang w:bidi="ar-EG"/>
        </w:rPr>
        <w:t xml:space="preserve"> </w:t>
      </w:r>
      <w:r w:rsidR="00E0644A" w:rsidRPr="00E57E65">
        <w:rPr>
          <w:rFonts w:ascii="Times New Roman" w:eastAsia="Times New Roman" w:hAnsi="Times New Roman" w:cs="Times New Roman"/>
          <w:sz w:val="20"/>
          <w:szCs w:val="20"/>
        </w:rPr>
        <w:t>there were statisti</w:t>
      </w:r>
      <w:r w:rsidR="00A761CC" w:rsidRPr="00E57E65">
        <w:rPr>
          <w:rFonts w:ascii="Times New Roman" w:eastAsia="Times New Roman" w:hAnsi="Times New Roman" w:cs="Times New Roman"/>
          <w:sz w:val="20"/>
          <w:szCs w:val="20"/>
        </w:rPr>
        <w:t>cal significance increase in number</w:t>
      </w:r>
      <w:r w:rsidR="00E0644A" w:rsidRPr="00E57E65">
        <w:rPr>
          <w:rFonts w:ascii="Times New Roman" w:eastAsia="Times New Roman" w:hAnsi="Times New Roman" w:cs="Times New Roman"/>
          <w:sz w:val="20"/>
          <w:szCs w:val="20"/>
        </w:rPr>
        <w:t xml:space="preserve"> of cases showed malignancy in cases with score </w:t>
      </w:r>
      <w:r w:rsidR="00E0644A" w:rsidRPr="00E57E65">
        <w:rPr>
          <w:rFonts w:ascii="Times New Roman" w:hAnsi="Times New Roman" w:cs="Times New Roman"/>
          <w:sz w:val="20"/>
          <w:szCs w:val="20"/>
        </w:rPr>
        <w:t>more than 5</w:t>
      </w:r>
      <w:r w:rsidR="00E0644A" w:rsidRPr="00E57E65">
        <w:rPr>
          <w:rFonts w:ascii="Times New Roman" w:eastAsia="Times New Roman" w:hAnsi="Times New Roman" w:cs="Times New Roman"/>
          <w:sz w:val="20"/>
          <w:szCs w:val="20"/>
        </w:rPr>
        <w:t xml:space="preserve"> and significant increase in cases with benign lesions in those had score from 0 to 5.</w:t>
      </w:r>
      <w:r w:rsidR="001E78FB" w:rsidRPr="00E57E65">
        <w:rPr>
          <w:rFonts w:ascii="Times New Roman" w:eastAsia="Times New Roman" w:hAnsi="Times New Roman" w:cs="Times New Roman"/>
          <w:sz w:val="20"/>
          <w:szCs w:val="20"/>
        </w:rPr>
        <w:t xml:space="preserve"> </w:t>
      </w:r>
      <w:r w:rsidR="00626D60" w:rsidRPr="00E57E65">
        <w:rPr>
          <w:rFonts w:ascii="Times New Roman" w:hAnsi="Times New Roman" w:cs="Times New Roman"/>
          <w:b/>
          <w:bCs/>
          <w:sz w:val="20"/>
          <w:szCs w:val="20"/>
          <w:lang w:bidi="ar-EG"/>
        </w:rPr>
        <w:t>Conclusion:</w:t>
      </w:r>
      <w:r w:rsidR="00626D60" w:rsidRPr="00E57E65">
        <w:rPr>
          <w:rFonts w:ascii="Times New Roman" w:hAnsi="Times New Roman" w:cs="Times New Roman"/>
          <w:sz w:val="20"/>
          <w:szCs w:val="20"/>
          <w:lang w:bidi="ar-EG"/>
        </w:rPr>
        <w:t xml:space="preserve"> We concluded that </w:t>
      </w:r>
      <w:r w:rsidR="005C3ACF" w:rsidRPr="00E57E65">
        <w:rPr>
          <w:rFonts w:ascii="Times New Roman" w:hAnsi="Times New Roman" w:cs="Times New Roman"/>
          <w:sz w:val="20"/>
          <w:szCs w:val="20"/>
          <w:lang w:bidi="ar-EG"/>
        </w:rPr>
        <w:t xml:space="preserve">the suggested score </w:t>
      </w:r>
      <w:r w:rsidR="00626D60" w:rsidRPr="00E57E65">
        <w:rPr>
          <w:rFonts w:ascii="Times New Roman" w:hAnsi="Times New Roman" w:cs="Times New Roman"/>
          <w:sz w:val="20"/>
          <w:szCs w:val="20"/>
          <w:lang w:bidi="ar-EG"/>
        </w:rPr>
        <w:t>can be used for se</w:t>
      </w:r>
      <w:r w:rsidR="005C3ACF" w:rsidRPr="00E57E65">
        <w:rPr>
          <w:rFonts w:ascii="Times New Roman" w:hAnsi="Times New Roman" w:cs="Times New Roman"/>
          <w:sz w:val="20"/>
          <w:szCs w:val="20"/>
          <w:lang w:bidi="ar-EG"/>
        </w:rPr>
        <w:t>lection of cases for optimal the</w:t>
      </w:r>
      <w:r w:rsidR="00626D60" w:rsidRPr="00E57E65">
        <w:rPr>
          <w:rFonts w:ascii="Times New Roman" w:hAnsi="Times New Roman" w:cs="Times New Roman"/>
          <w:sz w:val="20"/>
          <w:szCs w:val="20"/>
          <w:lang w:bidi="ar-EG"/>
        </w:rPr>
        <w:t xml:space="preserve">rapy. </w:t>
      </w:r>
      <w:r w:rsidR="005C3ACF" w:rsidRPr="00E57E65">
        <w:rPr>
          <w:rFonts w:ascii="Times New Roman" w:hAnsi="Times New Roman" w:cs="Times New Roman"/>
          <w:sz w:val="20"/>
          <w:szCs w:val="20"/>
          <w:lang w:bidi="ar-EG"/>
        </w:rPr>
        <w:t>This score is a simple technique</w:t>
      </w:r>
      <w:r w:rsidR="00626D60" w:rsidRPr="00E57E65">
        <w:rPr>
          <w:rFonts w:ascii="Times New Roman" w:hAnsi="Times New Roman" w:cs="Times New Roman"/>
          <w:sz w:val="20"/>
          <w:szCs w:val="20"/>
          <w:lang w:bidi="ar-EG"/>
        </w:rPr>
        <w:t xml:space="preserve"> that can be used even in less­specialized gynecology </w:t>
      </w:r>
      <w:r w:rsidR="005C3ACF" w:rsidRPr="00E57E65">
        <w:rPr>
          <w:rFonts w:ascii="Times New Roman" w:hAnsi="Times New Roman" w:cs="Times New Roman"/>
          <w:sz w:val="20"/>
          <w:szCs w:val="20"/>
          <w:lang w:bidi="ar-EG"/>
        </w:rPr>
        <w:t>clinics to facilitate the selec</w:t>
      </w:r>
      <w:r w:rsidR="00626D60" w:rsidRPr="00E57E65">
        <w:rPr>
          <w:rFonts w:ascii="Times New Roman" w:hAnsi="Times New Roman" w:cs="Times New Roman"/>
          <w:sz w:val="20"/>
          <w:szCs w:val="20"/>
          <w:lang w:bidi="ar-EG"/>
        </w:rPr>
        <w:t>tion of case</w:t>
      </w:r>
      <w:r w:rsidR="005C3ACF" w:rsidRPr="00E57E65">
        <w:rPr>
          <w:rFonts w:ascii="Times New Roman" w:hAnsi="Times New Roman" w:cs="Times New Roman"/>
          <w:sz w:val="20"/>
          <w:szCs w:val="20"/>
          <w:lang w:bidi="ar-EG"/>
        </w:rPr>
        <w:t>s for referral to an oncology</w:t>
      </w:r>
      <w:r w:rsidR="00626D60" w:rsidRPr="00E57E65">
        <w:rPr>
          <w:rFonts w:ascii="Times New Roman" w:hAnsi="Times New Roman" w:cs="Times New Roman"/>
          <w:sz w:val="20"/>
          <w:szCs w:val="20"/>
          <w:lang w:bidi="ar-EG"/>
        </w:rPr>
        <w:t xml:space="preserve"> unit.</w:t>
      </w:r>
      <w:r w:rsidR="00DB633A" w:rsidRPr="00E57E65">
        <w:rPr>
          <w:rFonts w:ascii="Times New Roman" w:hAnsi="Times New Roman" w:cs="Times New Roman"/>
          <w:sz w:val="20"/>
          <w:szCs w:val="20"/>
        </w:rPr>
        <w:t xml:space="preserve"> </w:t>
      </w:r>
      <w:r w:rsidR="00DB633A" w:rsidRPr="00E57E65">
        <w:rPr>
          <w:rFonts w:ascii="Times New Roman" w:hAnsi="Times New Roman" w:cs="Times New Roman"/>
          <w:sz w:val="20"/>
          <w:szCs w:val="20"/>
          <w:lang w:bidi="ar-EG"/>
        </w:rPr>
        <w:t xml:space="preserve">Recommendations: </w:t>
      </w:r>
      <w:r w:rsidR="00DB633A" w:rsidRPr="00E57E65">
        <w:rPr>
          <w:rFonts w:ascii="Times New Roman" w:eastAsia="Times New Roman" w:hAnsi="Times New Roman" w:cs="Times New Roman"/>
          <w:sz w:val="20"/>
          <w:szCs w:val="20"/>
          <w:lang w:bidi="ar-EG"/>
        </w:rPr>
        <w:t xml:space="preserve">Giving multiple score points for ultrasonographic features may significantly improves the results of next studies aiming to find out a good new </w:t>
      </w:r>
      <w:r w:rsidR="00E340B9" w:rsidRPr="00E57E65">
        <w:rPr>
          <w:rFonts w:ascii="Times New Roman" w:eastAsia="Times New Roman" w:hAnsi="Times New Roman" w:cs="Times New Roman"/>
          <w:sz w:val="20"/>
          <w:szCs w:val="20"/>
          <w:lang w:bidi="ar-EG"/>
        </w:rPr>
        <w:t>score.</w:t>
      </w:r>
    </w:p>
    <w:p w:rsidR="008B69A9" w:rsidRPr="00E57E65" w:rsidRDefault="00E340B9" w:rsidP="00E57E65">
      <w:pPr>
        <w:bidi w:val="0"/>
        <w:snapToGrid w:val="0"/>
        <w:spacing w:after="0" w:line="240" w:lineRule="auto"/>
        <w:jc w:val="both"/>
        <w:rPr>
          <w:rFonts w:ascii="Times New Roman" w:hAnsi="Times New Roman" w:cs="Times New Roman"/>
          <w:sz w:val="20"/>
          <w:szCs w:val="20"/>
        </w:rPr>
      </w:pPr>
      <w:r w:rsidRPr="00E57E65">
        <w:rPr>
          <w:rFonts w:ascii="Times New Roman" w:eastAsia="Times New Roman" w:hAnsi="Times New Roman" w:cs="Times New Roman"/>
          <w:sz w:val="20"/>
          <w:szCs w:val="20"/>
          <w:lang w:bidi="ar-EG"/>
        </w:rPr>
        <w:t>[</w:t>
      </w:r>
      <w:r w:rsidRPr="00E57E65">
        <w:rPr>
          <w:rFonts w:ascii="Times New Roman" w:hAnsi="Times New Roman" w:cs="Times New Roman"/>
          <w:sz w:val="20"/>
          <w:szCs w:val="20"/>
          <w:lang w:bidi="ar-EG"/>
        </w:rPr>
        <w:t>Mahmoud Sayed El Edessy, Hesham Saleh mohammed, and Abd Alsttar Alwaziry</w:t>
      </w:r>
      <w:r w:rsidR="00E57E65" w:rsidRPr="00E57E65">
        <w:rPr>
          <w:rFonts w:ascii="Times New Roman" w:hAnsi="Times New Roman" w:cs="Times New Roman" w:hint="eastAsia"/>
          <w:sz w:val="20"/>
          <w:szCs w:val="20"/>
          <w:lang w:eastAsia="zh-CN" w:bidi="ar-EG"/>
        </w:rPr>
        <w:t>.</w:t>
      </w:r>
      <w:r w:rsidRPr="00E57E65">
        <w:rPr>
          <w:rFonts w:ascii="Times New Roman" w:hAnsi="Times New Roman" w:cs="Times New Roman"/>
          <w:sz w:val="20"/>
          <w:szCs w:val="20"/>
          <w:lang w:bidi="ar-EG"/>
        </w:rPr>
        <w:t xml:space="preserve"> </w:t>
      </w:r>
      <w:r w:rsidRPr="00E57E65">
        <w:rPr>
          <w:rFonts w:ascii="Times New Roman" w:hAnsi="Times New Roman" w:cs="Times New Roman"/>
          <w:b/>
          <w:bCs/>
          <w:sz w:val="20"/>
          <w:szCs w:val="20"/>
          <w:lang w:bidi="ar-EG"/>
        </w:rPr>
        <w:t>Edessy ovarian cancer score (EOCS) in prediction of malignant ovarian masses</w:t>
      </w:r>
      <w:r w:rsidR="008B69A9" w:rsidRPr="00E57E65">
        <w:rPr>
          <w:rFonts w:ascii="Times New Roman" w:eastAsia="Times New Roman" w:hAnsi="Times New Roman" w:cs="Times New Roman"/>
          <w:b/>
          <w:bCs/>
          <w:sz w:val="20"/>
          <w:szCs w:val="20"/>
          <w:lang w:bidi="fa-IR"/>
        </w:rPr>
        <w:t>.</w:t>
      </w:r>
      <w:r w:rsidR="008B69A9" w:rsidRPr="00E57E65">
        <w:rPr>
          <w:rFonts w:ascii="Times New Roman" w:hAnsi="Times New Roman" w:cs="Times New Roman"/>
          <w:bCs/>
          <w:i/>
          <w:sz w:val="20"/>
          <w:szCs w:val="20"/>
        </w:rPr>
        <w:t xml:space="preserve"> N Y Sci J</w:t>
      </w:r>
      <w:r w:rsidR="008B69A9" w:rsidRPr="00E57E65">
        <w:rPr>
          <w:rFonts w:ascii="Times New Roman" w:hAnsi="Times New Roman" w:cs="Times New Roman"/>
          <w:bCs/>
          <w:sz w:val="20"/>
          <w:szCs w:val="20"/>
        </w:rPr>
        <w:t xml:space="preserve"> </w:t>
      </w:r>
      <w:r w:rsidR="008B69A9" w:rsidRPr="00E57E65">
        <w:rPr>
          <w:rFonts w:ascii="Times New Roman" w:hAnsi="Times New Roman" w:cs="Times New Roman"/>
          <w:sz w:val="20"/>
          <w:szCs w:val="20"/>
        </w:rPr>
        <w:t>201</w:t>
      </w:r>
      <w:r w:rsidR="008B69A9" w:rsidRPr="00E57E65">
        <w:rPr>
          <w:rFonts w:ascii="Times New Roman" w:hAnsi="Times New Roman" w:cs="Times New Roman" w:hint="eastAsia"/>
          <w:sz w:val="20"/>
          <w:szCs w:val="20"/>
        </w:rPr>
        <w:t>7</w:t>
      </w:r>
      <w:r w:rsidR="008B69A9" w:rsidRPr="00E57E65">
        <w:rPr>
          <w:rFonts w:ascii="Times New Roman" w:hAnsi="Times New Roman" w:cs="Times New Roman"/>
          <w:sz w:val="20"/>
          <w:szCs w:val="20"/>
        </w:rPr>
        <w:t>;</w:t>
      </w:r>
      <w:r w:rsidR="008B69A9" w:rsidRPr="00E57E65">
        <w:rPr>
          <w:rFonts w:ascii="Times New Roman" w:hAnsi="Times New Roman" w:cs="Times New Roman" w:hint="eastAsia"/>
          <w:sz w:val="20"/>
          <w:szCs w:val="20"/>
        </w:rPr>
        <w:t>10</w:t>
      </w:r>
      <w:r w:rsidR="008B69A9" w:rsidRPr="00E57E65">
        <w:rPr>
          <w:rFonts w:ascii="Times New Roman" w:hAnsi="Times New Roman" w:cs="Times New Roman"/>
          <w:sz w:val="20"/>
          <w:szCs w:val="20"/>
        </w:rPr>
        <w:t>(</w:t>
      </w:r>
      <w:r w:rsidR="008B69A9" w:rsidRPr="00E57E65">
        <w:rPr>
          <w:rFonts w:ascii="Times New Roman" w:hAnsi="Times New Roman" w:cs="Times New Roman" w:hint="eastAsia"/>
          <w:sz w:val="20"/>
          <w:szCs w:val="20"/>
        </w:rPr>
        <w:t>3</w:t>
      </w:r>
      <w:r w:rsidR="008B69A9" w:rsidRPr="00E57E65">
        <w:rPr>
          <w:rFonts w:ascii="Times New Roman" w:hAnsi="Times New Roman" w:cs="Times New Roman"/>
          <w:sz w:val="20"/>
          <w:szCs w:val="20"/>
        </w:rPr>
        <w:t>):</w:t>
      </w:r>
      <w:r w:rsidR="006B62B1">
        <w:rPr>
          <w:rFonts w:ascii="Times New Roman" w:hAnsi="Times New Roman" w:cs="Times New Roman"/>
          <w:noProof/>
          <w:color w:val="000000"/>
          <w:sz w:val="20"/>
          <w:szCs w:val="20"/>
        </w:rPr>
        <w:t>75</w:t>
      </w:r>
      <w:r w:rsidR="008B69A9" w:rsidRPr="00E57E65">
        <w:rPr>
          <w:rFonts w:ascii="Times New Roman" w:hAnsi="Times New Roman" w:cs="Times New Roman"/>
          <w:color w:val="000000"/>
          <w:sz w:val="20"/>
          <w:szCs w:val="20"/>
        </w:rPr>
        <w:t>-</w:t>
      </w:r>
      <w:r w:rsidR="006B62B1">
        <w:rPr>
          <w:rFonts w:ascii="Times New Roman" w:hAnsi="Times New Roman" w:cs="Times New Roman"/>
          <w:noProof/>
          <w:color w:val="000000"/>
          <w:sz w:val="20"/>
          <w:szCs w:val="20"/>
        </w:rPr>
        <w:t>79</w:t>
      </w:r>
      <w:r w:rsidR="008B69A9" w:rsidRPr="00E57E65">
        <w:rPr>
          <w:rFonts w:ascii="Times New Roman" w:hAnsi="Times New Roman" w:cs="Times New Roman"/>
          <w:sz w:val="20"/>
          <w:szCs w:val="20"/>
        </w:rPr>
        <w:t xml:space="preserve">]. </w:t>
      </w:r>
      <w:r w:rsidR="008B69A9" w:rsidRPr="00E57E65">
        <w:rPr>
          <w:rFonts w:ascii="Times New Roman" w:hAnsi="Times New Roman" w:cs="Times New Roman"/>
          <w:iCs/>
          <w:color w:val="000000"/>
          <w:sz w:val="20"/>
          <w:szCs w:val="20"/>
        </w:rPr>
        <w:t>ISSN 1554-0200 (print); ISSN 2375-723X (online)</w:t>
      </w:r>
      <w:r w:rsidR="008B69A9" w:rsidRPr="00E57E65">
        <w:rPr>
          <w:rFonts w:ascii="Times New Roman" w:hAnsi="Times New Roman" w:cs="Times New Roman"/>
          <w:sz w:val="20"/>
          <w:szCs w:val="20"/>
        </w:rPr>
        <w:t xml:space="preserve">. </w:t>
      </w:r>
      <w:hyperlink r:id="rId9" w:history="1">
        <w:r w:rsidR="008B69A9" w:rsidRPr="00E57E65">
          <w:rPr>
            <w:rStyle w:val="Hyperlink"/>
            <w:rFonts w:ascii="Times New Roman" w:hAnsi="Times New Roman" w:cs="Times New Roman"/>
            <w:sz w:val="20"/>
            <w:szCs w:val="20"/>
          </w:rPr>
          <w:t>http://www.sciencepub.net/newyork</w:t>
        </w:r>
      </w:hyperlink>
      <w:r w:rsidR="008B69A9" w:rsidRPr="00E57E65">
        <w:rPr>
          <w:rFonts w:ascii="Times New Roman" w:hAnsi="Times New Roman" w:cs="Times New Roman"/>
          <w:sz w:val="20"/>
          <w:szCs w:val="20"/>
        </w:rPr>
        <w:t xml:space="preserve">. </w:t>
      </w:r>
      <w:r w:rsidR="00E57E65" w:rsidRPr="00E57E65">
        <w:rPr>
          <w:rFonts w:ascii="Times New Roman" w:hAnsi="Times New Roman" w:cs="Times New Roman" w:hint="eastAsia"/>
          <w:sz w:val="20"/>
          <w:szCs w:val="20"/>
          <w:lang w:eastAsia="zh-CN"/>
        </w:rPr>
        <w:t>11</w:t>
      </w:r>
      <w:r w:rsidR="008B69A9" w:rsidRPr="00E57E65">
        <w:rPr>
          <w:rFonts w:ascii="Times New Roman" w:hAnsi="Times New Roman" w:cs="Times New Roman" w:hint="eastAsia"/>
          <w:sz w:val="20"/>
          <w:szCs w:val="20"/>
        </w:rPr>
        <w:t xml:space="preserve">. </w:t>
      </w:r>
      <w:r w:rsidR="008B69A9" w:rsidRPr="00E57E65">
        <w:rPr>
          <w:rFonts w:ascii="Times New Roman" w:hAnsi="Times New Roman" w:cs="Times New Roman"/>
          <w:color w:val="000000"/>
          <w:sz w:val="20"/>
          <w:szCs w:val="20"/>
          <w:shd w:val="clear" w:color="auto" w:fill="FFFFFF"/>
        </w:rPr>
        <w:t>doi:</w:t>
      </w:r>
      <w:hyperlink r:id="rId10" w:history="1">
        <w:r w:rsidR="008B69A9" w:rsidRPr="00E57E65">
          <w:rPr>
            <w:rStyle w:val="Hyperlink"/>
            <w:rFonts w:ascii="Times New Roman" w:hAnsi="Times New Roman" w:cs="Times New Roman"/>
            <w:sz w:val="20"/>
            <w:szCs w:val="20"/>
            <w:shd w:val="clear" w:color="auto" w:fill="FFFFFF"/>
          </w:rPr>
          <w:t>10.7537/mars</w:t>
        </w:r>
        <w:r w:rsidR="008B69A9" w:rsidRPr="00E57E65">
          <w:rPr>
            <w:rStyle w:val="Hyperlink"/>
            <w:rFonts w:ascii="Times New Roman" w:hAnsi="Times New Roman" w:cs="Times New Roman" w:hint="eastAsia"/>
            <w:sz w:val="20"/>
            <w:szCs w:val="20"/>
            <w:shd w:val="clear" w:color="auto" w:fill="FFFFFF"/>
          </w:rPr>
          <w:t>nys100317.</w:t>
        </w:r>
        <w:r w:rsidR="00E57E65" w:rsidRPr="00E57E65">
          <w:rPr>
            <w:rStyle w:val="Hyperlink"/>
            <w:rFonts w:ascii="Times New Roman" w:hAnsi="Times New Roman" w:cs="Times New Roman" w:hint="eastAsia"/>
            <w:sz w:val="20"/>
            <w:szCs w:val="20"/>
            <w:shd w:val="clear" w:color="auto" w:fill="FFFFFF"/>
            <w:lang w:eastAsia="zh-CN"/>
          </w:rPr>
          <w:t>11</w:t>
        </w:r>
      </w:hyperlink>
      <w:r w:rsidR="008B69A9" w:rsidRPr="00E57E65">
        <w:rPr>
          <w:rFonts w:ascii="Times New Roman" w:hAnsi="Times New Roman" w:cs="Times New Roman"/>
          <w:color w:val="000000"/>
          <w:sz w:val="20"/>
          <w:szCs w:val="20"/>
          <w:shd w:val="clear" w:color="auto" w:fill="FFFFFF"/>
        </w:rPr>
        <w:t>.</w:t>
      </w:r>
    </w:p>
    <w:p w:rsidR="00E340B9" w:rsidRPr="00E57E65" w:rsidRDefault="00E340B9" w:rsidP="00E57E65">
      <w:pPr>
        <w:pStyle w:val="NoSpacing"/>
        <w:snapToGrid w:val="0"/>
        <w:jc w:val="both"/>
        <w:rPr>
          <w:rFonts w:ascii="Times New Roman" w:hAnsi="Times New Roman" w:cs="Times New Roman"/>
          <w:b/>
          <w:bCs/>
          <w:sz w:val="20"/>
          <w:szCs w:val="12"/>
          <w:lang w:bidi="ar-EG"/>
        </w:rPr>
      </w:pPr>
    </w:p>
    <w:p w:rsidR="001E78FB" w:rsidRPr="00E57E65" w:rsidRDefault="00626D60" w:rsidP="00E57E65">
      <w:pPr>
        <w:bidi w:val="0"/>
        <w:snapToGrid w:val="0"/>
        <w:spacing w:after="0" w:line="240" w:lineRule="auto"/>
        <w:jc w:val="both"/>
        <w:rPr>
          <w:rFonts w:ascii="Times New Roman" w:hAnsi="Times New Roman" w:cs="Times New Roman"/>
          <w:sz w:val="20"/>
          <w:szCs w:val="20"/>
          <w:lang w:bidi="ar-EG"/>
        </w:rPr>
      </w:pPr>
      <w:r w:rsidRPr="00E57E65">
        <w:rPr>
          <w:rFonts w:ascii="Times New Roman" w:hAnsi="Times New Roman" w:cs="Times New Roman"/>
          <w:b/>
          <w:bCs/>
          <w:sz w:val="20"/>
          <w:szCs w:val="20"/>
          <w:lang w:bidi="ar-EG"/>
        </w:rPr>
        <w:t>Keywords:</w:t>
      </w:r>
      <w:r w:rsidRPr="00E57E65">
        <w:rPr>
          <w:rFonts w:ascii="Times New Roman" w:hAnsi="Times New Roman" w:cs="Times New Roman"/>
          <w:sz w:val="20"/>
          <w:szCs w:val="20"/>
          <w:lang w:bidi="ar-EG"/>
        </w:rPr>
        <w:t xml:space="preserve"> Ovarian cancer, Pelvic mass, </w:t>
      </w:r>
      <w:r w:rsidR="006A4C43" w:rsidRPr="00E57E65">
        <w:rPr>
          <w:rFonts w:ascii="Times New Roman" w:hAnsi="Times New Roman" w:cs="Times New Roman"/>
          <w:sz w:val="20"/>
          <w:szCs w:val="20"/>
          <w:lang w:bidi="ar-EG"/>
        </w:rPr>
        <w:t>Ovarian cancer score</w:t>
      </w:r>
    </w:p>
    <w:p w:rsidR="00E57E65" w:rsidRDefault="00E57E65" w:rsidP="00E57E65">
      <w:pPr>
        <w:bidi w:val="0"/>
        <w:snapToGrid w:val="0"/>
        <w:spacing w:after="0" w:line="240" w:lineRule="auto"/>
        <w:jc w:val="both"/>
        <w:rPr>
          <w:rFonts w:ascii="Times New Roman" w:hAnsi="Times New Roman" w:cs="Times New Roman"/>
          <w:b/>
          <w:bCs/>
          <w:sz w:val="20"/>
          <w:szCs w:val="12"/>
          <w:lang w:bidi="ar-EG"/>
        </w:rPr>
      </w:pPr>
    </w:p>
    <w:p w:rsidR="00E57E65" w:rsidRPr="00E57E65" w:rsidRDefault="00E57E65" w:rsidP="00E57E65">
      <w:pPr>
        <w:bidi w:val="0"/>
        <w:snapToGrid w:val="0"/>
        <w:spacing w:after="0" w:line="240" w:lineRule="auto"/>
        <w:jc w:val="both"/>
        <w:rPr>
          <w:rFonts w:ascii="Times New Roman" w:hAnsi="Times New Roman" w:cs="Times New Roman"/>
          <w:b/>
          <w:bCs/>
          <w:sz w:val="20"/>
          <w:szCs w:val="12"/>
          <w:lang w:bidi="ar-EG"/>
        </w:rPr>
        <w:sectPr w:rsidR="00E57E65" w:rsidRPr="00E57E65" w:rsidSect="006B62B1">
          <w:headerReference w:type="default" r:id="rId11"/>
          <w:footerReference w:type="default" r:id="rId12"/>
          <w:type w:val="continuous"/>
          <w:pgSz w:w="12242" w:h="15842" w:code="1"/>
          <w:pgMar w:top="1440" w:right="1440" w:bottom="1440" w:left="1440" w:header="720" w:footer="720" w:gutter="0"/>
          <w:pgNumType w:start="75"/>
          <w:cols w:space="720"/>
          <w:docGrid w:linePitch="360"/>
        </w:sectPr>
      </w:pPr>
    </w:p>
    <w:p w:rsidR="00EC12B1" w:rsidRPr="00E57E65" w:rsidRDefault="001E78FB" w:rsidP="00E57E65">
      <w:pPr>
        <w:bidi w:val="0"/>
        <w:snapToGrid w:val="0"/>
        <w:spacing w:after="0" w:line="240" w:lineRule="auto"/>
        <w:jc w:val="both"/>
        <w:rPr>
          <w:rFonts w:ascii="Times New Roman" w:hAnsi="Times New Roman" w:cs="Times New Roman"/>
          <w:b/>
          <w:bCs/>
          <w:sz w:val="20"/>
          <w:szCs w:val="20"/>
          <w:lang w:bidi="ar-EG"/>
        </w:rPr>
      </w:pPr>
      <w:r w:rsidRPr="00E57E65">
        <w:rPr>
          <w:rFonts w:ascii="Times New Roman" w:hAnsi="Times New Roman" w:cs="Times New Roman"/>
          <w:b/>
          <w:bCs/>
          <w:sz w:val="20"/>
          <w:szCs w:val="20"/>
          <w:lang w:bidi="ar-EG"/>
        </w:rPr>
        <w:lastRenderedPageBreak/>
        <w:t xml:space="preserve">1. </w:t>
      </w:r>
      <w:r w:rsidR="00EC12B1" w:rsidRPr="00E57E65">
        <w:rPr>
          <w:rFonts w:ascii="Times New Roman" w:hAnsi="Times New Roman" w:cs="Times New Roman"/>
          <w:b/>
          <w:bCs/>
          <w:sz w:val="20"/>
          <w:szCs w:val="20"/>
          <w:lang w:bidi="ar-EG"/>
        </w:rPr>
        <w:t>Introduction</w:t>
      </w:r>
    </w:p>
    <w:p w:rsidR="00661304" w:rsidRPr="00E57E65" w:rsidRDefault="00A00588" w:rsidP="00E57E65">
      <w:pPr>
        <w:bidi w:val="0"/>
        <w:snapToGrid w:val="0"/>
        <w:spacing w:after="0" w:line="240" w:lineRule="auto"/>
        <w:ind w:firstLine="425"/>
        <w:jc w:val="both"/>
        <w:rPr>
          <w:rFonts w:ascii="Times New Roman" w:hAnsi="Times New Roman" w:cs="Times New Roman"/>
          <w:sz w:val="20"/>
          <w:szCs w:val="20"/>
          <w:lang w:bidi="ar-EG"/>
        </w:rPr>
      </w:pPr>
      <w:r w:rsidRPr="00E57E65">
        <w:rPr>
          <w:rFonts w:ascii="Times New Roman" w:eastAsia="Times New Roman" w:hAnsi="Times New Roman" w:cs="Times New Roman"/>
          <w:sz w:val="20"/>
          <w:szCs w:val="20"/>
          <w:lang w:bidi="ar-EG"/>
        </w:rPr>
        <w:t xml:space="preserve">Ovarian cancer is the leading cause of death from gynecologic malignancy in the united states. Approximately 21,990 cases are diagnosed annually, and there are 15,460 deaths attributed to ovarian cancer each year </w:t>
      </w:r>
      <w:r w:rsidRPr="00E57E65">
        <w:rPr>
          <w:rFonts w:ascii="Times New Roman" w:eastAsia="Times New Roman" w:hAnsi="Times New Roman" w:cs="Times New Roman"/>
          <w:i/>
          <w:iCs/>
          <w:sz w:val="20"/>
          <w:szCs w:val="20"/>
          <w:lang w:bidi="ar-EG"/>
        </w:rPr>
        <w:t>(Siegel R et al., 2011)</w:t>
      </w:r>
      <w:r w:rsidRPr="00E57E65">
        <w:rPr>
          <w:rFonts w:ascii="Times New Roman" w:eastAsia="Times New Roman" w:hAnsi="Times New Roman" w:cs="Times New Roman"/>
          <w:sz w:val="20"/>
          <w:szCs w:val="20"/>
          <w:lang w:bidi="ar-EG"/>
        </w:rPr>
        <w:t xml:space="preserve">. </w:t>
      </w:r>
      <w:r w:rsidR="00661304" w:rsidRPr="00E57E65">
        <w:rPr>
          <w:rFonts w:ascii="Times New Roman" w:hAnsi="Times New Roman" w:cs="Times New Roman"/>
          <w:sz w:val="20"/>
          <w:szCs w:val="20"/>
          <w:lang w:bidi="ar-EG"/>
        </w:rPr>
        <w:t>M</w:t>
      </w:r>
      <w:r w:rsidR="00661304" w:rsidRPr="00E57E65">
        <w:rPr>
          <w:rFonts w:ascii="Times New Roman" w:eastAsia="Times New Roman" w:hAnsi="Times New Roman" w:cs="Times New Roman"/>
          <w:sz w:val="20"/>
          <w:szCs w:val="20"/>
          <w:lang w:bidi="ar-EG"/>
        </w:rPr>
        <w:t>ost patients present with advanced disease where the prognosis is poor. Although early-stage ovarian cancer is highly curable with conventional treatment, it is estimated that only 15% of patients have the disease confined to the ovary at the time of diagnosis</w:t>
      </w:r>
      <w:r w:rsidR="00661304" w:rsidRPr="00E57E65">
        <w:rPr>
          <w:rFonts w:ascii="Times New Roman" w:eastAsia="Times New Roman" w:hAnsi="Times New Roman" w:cs="Times New Roman"/>
          <w:i/>
          <w:iCs/>
          <w:sz w:val="20"/>
          <w:szCs w:val="20"/>
          <w:lang w:bidi="ar-EG"/>
        </w:rPr>
        <w:t>) Jelovac et al., 2011).</w:t>
      </w:r>
    </w:p>
    <w:p w:rsidR="00661304" w:rsidRPr="00E57E65" w:rsidRDefault="00661304" w:rsidP="00E57E65">
      <w:pPr>
        <w:bidi w:val="0"/>
        <w:snapToGrid w:val="0"/>
        <w:spacing w:after="0" w:line="240" w:lineRule="auto"/>
        <w:ind w:firstLine="425"/>
        <w:jc w:val="both"/>
        <w:rPr>
          <w:rFonts w:ascii="Times New Roman" w:eastAsia="Times New Roman" w:hAnsi="Times New Roman" w:cs="Times New Roman"/>
          <w:sz w:val="20"/>
          <w:szCs w:val="20"/>
          <w:lang w:bidi="ar-EG"/>
        </w:rPr>
      </w:pPr>
      <w:r w:rsidRPr="00E57E65">
        <w:rPr>
          <w:rFonts w:ascii="Times New Roman" w:eastAsia="Times New Roman" w:hAnsi="Times New Roman" w:cs="Times New Roman"/>
          <w:sz w:val="20"/>
          <w:szCs w:val="20"/>
          <w:lang w:bidi="ar-EG"/>
        </w:rPr>
        <w:t>Most clinicians agree that the preliminary evaluation of a complex ovarian tumor should include a careful history, physical examination, laboratory studies including biomarker analysis, and appropriate imaging study</w:t>
      </w:r>
      <w:r w:rsidRPr="00E57E65">
        <w:rPr>
          <w:rFonts w:ascii="Times New Roman" w:eastAsia="Times New Roman" w:hAnsi="Times New Roman" w:cs="Times New Roman"/>
          <w:sz w:val="20"/>
          <w:szCs w:val="20"/>
        </w:rPr>
        <w:t xml:space="preserve"> </w:t>
      </w:r>
      <w:r w:rsidRPr="00E57E65">
        <w:rPr>
          <w:rFonts w:ascii="Times New Roman" w:eastAsia="Times New Roman" w:hAnsi="Times New Roman" w:cs="Times New Roman"/>
          <w:i/>
          <w:iCs/>
          <w:sz w:val="20"/>
          <w:szCs w:val="20"/>
          <w:lang w:bidi="ar-EG"/>
        </w:rPr>
        <w:t>(Myers et al., 2006)</w:t>
      </w:r>
      <w:r w:rsidR="00842AFD" w:rsidRPr="00E57E65">
        <w:rPr>
          <w:rFonts w:ascii="Times New Roman" w:eastAsia="Times New Roman" w:hAnsi="Times New Roman" w:cs="Times New Roman"/>
          <w:i/>
          <w:iCs/>
          <w:sz w:val="20"/>
          <w:szCs w:val="20"/>
          <w:lang w:bidi="ar-EG"/>
        </w:rPr>
        <w:t>.</w:t>
      </w:r>
      <w:r w:rsidR="00842AFD">
        <w:rPr>
          <w:rFonts w:ascii="Times New Roman" w:eastAsia="Times New Roman" w:hAnsi="Times New Roman" w:cs="Times New Roman"/>
          <w:i/>
          <w:iCs/>
          <w:sz w:val="20"/>
          <w:szCs w:val="20"/>
          <w:lang w:bidi="ar-EG"/>
        </w:rPr>
        <w:t xml:space="preserve"> </w:t>
      </w:r>
      <w:r w:rsidR="00842AFD" w:rsidRPr="00E57E65">
        <w:rPr>
          <w:rFonts w:ascii="Times New Roman" w:eastAsia="Times New Roman" w:hAnsi="Times New Roman" w:cs="Times New Roman"/>
          <w:sz w:val="20"/>
          <w:szCs w:val="20"/>
          <w:lang w:bidi="ar-EG"/>
        </w:rPr>
        <w:t>M</w:t>
      </w:r>
      <w:r w:rsidRPr="00E57E65">
        <w:rPr>
          <w:rFonts w:ascii="Times New Roman" w:eastAsia="Times New Roman" w:hAnsi="Times New Roman" w:cs="Times New Roman"/>
          <w:sz w:val="20"/>
          <w:szCs w:val="20"/>
          <w:lang w:bidi="ar-EG"/>
        </w:rPr>
        <w:t>any investigators believe that in order to have a significant impact on reducing ovarian cancer mortality, we must place more emphasis on the development and testing of methods for early detection of the disease. It has been estimated, for example, that if 75% of ovarian cancer cases could be detected with stage I or II disease, the number of women dying of this cancer would be reduced by one half. One approach to early detection of ovarian cancer is to screen women at risk for the disease before the onset of symptoms</w:t>
      </w:r>
      <w:r w:rsidRPr="00E57E65">
        <w:rPr>
          <w:rFonts w:ascii="Times New Roman" w:eastAsia="Times New Roman" w:hAnsi="Times New Roman" w:cs="Times New Roman"/>
          <w:i/>
          <w:iCs/>
          <w:sz w:val="20"/>
          <w:szCs w:val="20"/>
          <w:lang w:bidi="ar-EG"/>
        </w:rPr>
        <w:t>) Havrilesky et al., 2011).</w:t>
      </w:r>
    </w:p>
    <w:p w:rsidR="009C298B" w:rsidRPr="00E57E65" w:rsidRDefault="009C298B" w:rsidP="00E57E65">
      <w:pPr>
        <w:bidi w:val="0"/>
        <w:snapToGrid w:val="0"/>
        <w:spacing w:after="0" w:line="240" w:lineRule="auto"/>
        <w:ind w:firstLine="425"/>
        <w:jc w:val="both"/>
        <w:rPr>
          <w:rFonts w:ascii="Times New Roman" w:hAnsi="Times New Roman" w:cs="Times New Roman"/>
          <w:i/>
          <w:iCs/>
          <w:sz w:val="20"/>
          <w:szCs w:val="20"/>
          <w:lang w:bidi="ar-EG"/>
        </w:rPr>
      </w:pPr>
      <w:r w:rsidRPr="00E57E65">
        <w:rPr>
          <w:rFonts w:ascii="Times New Roman" w:hAnsi="Times New Roman" w:cs="Times New Roman"/>
          <w:sz w:val="20"/>
          <w:szCs w:val="20"/>
          <w:lang w:bidi="ar-EG"/>
        </w:rPr>
        <w:t>The risk of malignancy index (RMI) in </w:t>
      </w:r>
      <w:hyperlink r:id="rId13" w:history="1">
        <w:r w:rsidRPr="00E57E65">
          <w:rPr>
            <w:rFonts w:ascii="Times New Roman" w:hAnsi="Times New Roman" w:cs="Times New Roman"/>
            <w:sz w:val="20"/>
            <w:szCs w:val="20"/>
            <w:lang w:bidi="ar-EG"/>
          </w:rPr>
          <w:t>ovarian tumours</w:t>
        </w:r>
      </w:hyperlink>
      <w:r w:rsidRPr="00E57E65">
        <w:rPr>
          <w:rFonts w:ascii="Times New Roman" w:hAnsi="Times New Roman" w:cs="Times New Roman"/>
          <w:sz w:val="20"/>
          <w:szCs w:val="20"/>
          <w:lang w:bidi="ar-EG"/>
        </w:rPr>
        <w:t xml:space="preserve"> is a validated clinical tool used for risk </w:t>
      </w:r>
      <w:r w:rsidRPr="00E57E65">
        <w:rPr>
          <w:rFonts w:ascii="Times New Roman" w:hAnsi="Times New Roman" w:cs="Times New Roman"/>
          <w:sz w:val="20"/>
          <w:szCs w:val="20"/>
          <w:lang w:bidi="ar-EG"/>
        </w:rPr>
        <w:lastRenderedPageBreak/>
        <w:t>stratification of ovarian lesions, to guide further management </w:t>
      </w:r>
      <w:r w:rsidR="00ED177D" w:rsidRPr="00E57E65">
        <w:rPr>
          <w:rFonts w:ascii="Times New Roman" w:hAnsi="Times New Roman" w:cs="Times New Roman"/>
          <w:i/>
          <w:iCs/>
          <w:sz w:val="20"/>
          <w:szCs w:val="20"/>
          <w:lang w:bidi="ar-EG"/>
        </w:rPr>
        <w:t>(Meys et al., 2016</w:t>
      </w:r>
      <w:r w:rsidRPr="00E57E65">
        <w:rPr>
          <w:rFonts w:ascii="Times New Roman" w:hAnsi="Times New Roman" w:cs="Times New Roman"/>
          <w:i/>
          <w:iCs/>
          <w:sz w:val="20"/>
          <w:szCs w:val="20"/>
          <w:lang w:bidi="ar-EG"/>
        </w:rPr>
        <w:t>)</w:t>
      </w:r>
      <w:r w:rsidR="001E7E46" w:rsidRPr="00E57E65">
        <w:rPr>
          <w:rFonts w:ascii="Times New Roman" w:hAnsi="Times New Roman" w:cs="Times New Roman"/>
          <w:i/>
          <w:iCs/>
          <w:sz w:val="20"/>
          <w:szCs w:val="20"/>
          <w:lang w:bidi="ar-EG"/>
        </w:rPr>
        <w:t>.</w:t>
      </w:r>
    </w:p>
    <w:p w:rsidR="00D0083C" w:rsidRPr="00E57E65" w:rsidRDefault="00D0083C" w:rsidP="00E57E65">
      <w:pPr>
        <w:bidi w:val="0"/>
        <w:snapToGrid w:val="0"/>
        <w:spacing w:after="0" w:line="240" w:lineRule="auto"/>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 xml:space="preserve">Mean survival time for women with ovarian malignancy is significantly improved when managed within a specialist gynaecological oncology service. Hence early diagnosis and referral is important. As the risk of malignancy increases, the appropriate location for management changes. Therefore, while women with a low risk of malignancy (RMI I less than 200) may be managed in a general gynaecology or cancer unit, those who are at higher risk (RMI I greater than or equal to 200 and suspicious CT findings) should be discussed by a multidisciplinary team </w:t>
      </w:r>
      <w:r w:rsidRPr="00E57E65">
        <w:rPr>
          <w:rFonts w:ascii="Times New Roman" w:hAnsi="Times New Roman" w:cs="Times New Roman"/>
          <w:i/>
          <w:iCs/>
          <w:sz w:val="20"/>
          <w:szCs w:val="20"/>
          <w:lang w:bidi="ar-EG"/>
        </w:rPr>
        <w:t>(Geomini et al., 2011)</w:t>
      </w:r>
      <w:r w:rsidR="001E7E46" w:rsidRPr="00E57E65">
        <w:rPr>
          <w:rFonts w:ascii="Times New Roman" w:hAnsi="Times New Roman" w:cs="Times New Roman"/>
          <w:i/>
          <w:iCs/>
          <w:sz w:val="20"/>
          <w:szCs w:val="20"/>
          <w:lang w:bidi="ar-EG"/>
        </w:rPr>
        <w:t>.</w:t>
      </w:r>
    </w:p>
    <w:p w:rsidR="009A68C4" w:rsidRPr="00E57E65" w:rsidRDefault="00CD09E6" w:rsidP="00E57E65">
      <w:pPr>
        <w:bidi w:val="0"/>
        <w:snapToGrid w:val="0"/>
        <w:spacing w:after="0" w:line="240" w:lineRule="auto"/>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The purpose of this study was to evaluate the risk factors of ovarian cancer and to evaluate the ability of the suggested score to discriminate a benign from a malignant pelvic mass and to evaluate its performance.</w:t>
      </w:r>
    </w:p>
    <w:p w:rsidR="009C298B" w:rsidRPr="00E57E65" w:rsidRDefault="009C298B" w:rsidP="00E57E65">
      <w:pPr>
        <w:bidi w:val="0"/>
        <w:snapToGrid w:val="0"/>
        <w:spacing w:after="0" w:line="240" w:lineRule="auto"/>
        <w:jc w:val="both"/>
        <w:rPr>
          <w:rFonts w:ascii="Times New Roman" w:hAnsi="Times New Roman" w:cs="Times New Roman"/>
          <w:sz w:val="20"/>
          <w:szCs w:val="20"/>
          <w:lang w:bidi="ar-EG"/>
        </w:rPr>
      </w:pPr>
    </w:p>
    <w:p w:rsidR="00885028" w:rsidRPr="00E57E65" w:rsidRDefault="001E78FB" w:rsidP="00E57E65">
      <w:pPr>
        <w:bidi w:val="0"/>
        <w:snapToGrid w:val="0"/>
        <w:spacing w:after="0" w:line="240" w:lineRule="auto"/>
        <w:jc w:val="both"/>
        <w:rPr>
          <w:rFonts w:ascii="Times New Roman" w:hAnsi="Times New Roman" w:cs="Times New Roman"/>
          <w:b/>
          <w:bCs/>
          <w:sz w:val="20"/>
          <w:szCs w:val="20"/>
          <w:lang w:bidi="ar-EG"/>
        </w:rPr>
      </w:pPr>
      <w:r w:rsidRPr="00E57E65">
        <w:rPr>
          <w:rFonts w:ascii="Times New Roman" w:hAnsi="Times New Roman" w:cs="Times New Roman"/>
          <w:b/>
          <w:bCs/>
          <w:sz w:val="20"/>
          <w:szCs w:val="20"/>
          <w:lang w:bidi="ar-EG"/>
        </w:rPr>
        <w:t>2. Materials and Methods</w:t>
      </w:r>
    </w:p>
    <w:p w:rsidR="00211276" w:rsidRPr="00E57E65" w:rsidRDefault="00885028" w:rsidP="00E57E65">
      <w:pPr>
        <w:bidi w:val="0"/>
        <w:snapToGrid w:val="0"/>
        <w:spacing w:after="0" w:line="240" w:lineRule="auto"/>
        <w:ind w:firstLine="425"/>
        <w:jc w:val="both"/>
        <w:rPr>
          <w:rFonts w:ascii="Times New Roman" w:eastAsia="Times New Roman" w:hAnsi="Times New Roman" w:cs="Times New Roman"/>
          <w:sz w:val="20"/>
          <w:szCs w:val="20"/>
          <w:lang w:bidi="ar-EG"/>
        </w:rPr>
      </w:pPr>
      <w:r w:rsidRPr="00E57E65">
        <w:rPr>
          <w:rFonts w:ascii="Times New Roman" w:eastAsia="Times New Roman" w:hAnsi="Times New Roman" w:cs="Times New Roman"/>
          <w:sz w:val="20"/>
          <w:szCs w:val="20"/>
          <w:lang w:bidi="ar-EG"/>
        </w:rPr>
        <w:t xml:space="preserve">We conducted a </w:t>
      </w:r>
      <w:r w:rsidR="006B1F4D" w:rsidRPr="00E57E65">
        <w:rPr>
          <w:rFonts w:ascii="Times New Roman" w:eastAsia="Times New Roman" w:hAnsi="Times New Roman" w:cs="Times New Roman"/>
          <w:sz w:val="20"/>
          <w:szCs w:val="20"/>
          <w:lang w:bidi="ar-EG"/>
        </w:rPr>
        <w:t>prospective study of 200 women admitted to the Department of Obstetrics and Gynecology of El Maadi Military Medical compound &amp; Oncology institute after obtaining informed patients' consent for surgical exploration of pelvic masses.</w:t>
      </w:r>
      <w:r w:rsidR="00842AFD">
        <w:rPr>
          <w:rFonts w:ascii="Times New Roman" w:eastAsia="Times New Roman" w:hAnsi="Times New Roman" w:cs="Times New Roman"/>
          <w:sz w:val="20"/>
          <w:szCs w:val="20"/>
          <w:lang w:bidi="ar-EG"/>
        </w:rPr>
        <w:t xml:space="preserve"> </w:t>
      </w:r>
      <w:r w:rsidRPr="00E57E65">
        <w:rPr>
          <w:rFonts w:ascii="Times New Roman" w:eastAsia="Times New Roman" w:hAnsi="Times New Roman" w:cs="Times New Roman"/>
          <w:sz w:val="20"/>
          <w:szCs w:val="20"/>
          <w:lang w:bidi="ar-EG"/>
        </w:rPr>
        <w:t xml:space="preserve">between </w:t>
      </w:r>
      <w:r w:rsidR="006B1F4D" w:rsidRPr="00E57E65">
        <w:rPr>
          <w:rFonts w:ascii="Times New Roman" w:eastAsia="Times New Roman" w:hAnsi="Times New Roman" w:cs="Times New Roman"/>
          <w:sz w:val="20"/>
          <w:szCs w:val="20"/>
          <w:lang w:bidi="ar-EG"/>
        </w:rPr>
        <w:t>April</w:t>
      </w:r>
      <w:r w:rsidRPr="00E57E65">
        <w:rPr>
          <w:rFonts w:ascii="Times New Roman" w:eastAsia="Times New Roman" w:hAnsi="Times New Roman" w:cs="Times New Roman"/>
          <w:sz w:val="20"/>
          <w:szCs w:val="20"/>
          <w:lang w:bidi="ar-EG"/>
        </w:rPr>
        <w:t xml:space="preserve"> 20</w:t>
      </w:r>
      <w:r w:rsidR="006B1F4D" w:rsidRPr="00E57E65">
        <w:rPr>
          <w:rFonts w:ascii="Times New Roman" w:eastAsia="Times New Roman" w:hAnsi="Times New Roman" w:cs="Times New Roman"/>
          <w:sz w:val="20"/>
          <w:szCs w:val="20"/>
          <w:lang w:bidi="ar-EG"/>
        </w:rPr>
        <w:t>13</w:t>
      </w:r>
      <w:r w:rsidRPr="00E57E65">
        <w:rPr>
          <w:rFonts w:ascii="Times New Roman" w:eastAsia="Times New Roman" w:hAnsi="Times New Roman" w:cs="Times New Roman"/>
          <w:sz w:val="20"/>
          <w:szCs w:val="20"/>
          <w:lang w:bidi="ar-EG"/>
        </w:rPr>
        <w:t xml:space="preserve"> and December 20</w:t>
      </w:r>
      <w:r w:rsidR="006B1F4D" w:rsidRPr="00E57E65">
        <w:rPr>
          <w:rFonts w:ascii="Times New Roman" w:eastAsia="Times New Roman" w:hAnsi="Times New Roman" w:cs="Times New Roman"/>
          <w:sz w:val="20"/>
          <w:szCs w:val="20"/>
          <w:lang w:bidi="ar-EG"/>
        </w:rPr>
        <w:t>15</w:t>
      </w:r>
      <w:r w:rsidRPr="00E57E65">
        <w:rPr>
          <w:rFonts w:ascii="Times New Roman" w:eastAsia="Times New Roman" w:hAnsi="Times New Roman" w:cs="Times New Roman"/>
          <w:sz w:val="20"/>
          <w:szCs w:val="20"/>
          <w:lang w:bidi="ar-EG"/>
        </w:rPr>
        <w:t>.</w:t>
      </w:r>
      <w:r w:rsidR="00842AFD">
        <w:rPr>
          <w:rFonts w:ascii="Times New Roman" w:eastAsia="Times New Roman" w:hAnsi="Times New Roman" w:cs="Times New Roman"/>
          <w:sz w:val="20"/>
          <w:szCs w:val="20"/>
          <w:lang w:bidi="ar-EG"/>
        </w:rPr>
        <w:t xml:space="preserve"> </w:t>
      </w:r>
      <w:r w:rsidRPr="00E57E65">
        <w:rPr>
          <w:rFonts w:ascii="Times New Roman" w:eastAsia="Times New Roman" w:hAnsi="Times New Roman" w:cs="Times New Roman"/>
          <w:sz w:val="20"/>
          <w:szCs w:val="20"/>
          <w:lang w:bidi="ar-EG"/>
        </w:rPr>
        <w:t xml:space="preserve">The study was approved by the Ethics Committee of Faculty of Medicine, </w:t>
      </w:r>
      <w:r w:rsidR="006B1F4D" w:rsidRPr="00E57E65">
        <w:rPr>
          <w:rFonts w:ascii="Times New Roman" w:eastAsia="Times New Roman" w:hAnsi="Times New Roman" w:cs="Times New Roman"/>
          <w:sz w:val="20"/>
          <w:szCs w:val="20"/>
          <w:lang w:bidi="ar-EG"/>
        </w:rPr>
        <w:t>Al-Azhar university, Assuit</w:t>
      </w:r>
      <w:r w:rsidRPr="00E57E65">
        <w:rPr>
          <w:rFonts w:ascii="Times New Roman" w:eastAsia="Times New Roman" w:hAnsi="Times New Roman" w:cs="Times New Roman"/>
          <w:sz w:val="20"/>
          <w:szCs w:val="20"/>
          <w:lang w:bidi="ar-EG"/>
        </w:rPr>
        <w:t>.</w:t>
      </w:r>
      <w:r w:rsidR="00842AFD">
        <w:rPr>
          <w:rFonts w:ascii="Times New Roman" w:eastAsia="Times New Roman" w:hAnsi="Times New Roman" w:cs="Times New Roman"/>
          <w:sz w:val="20"/>
          <w:szCs w:val="20"/>
          <w:lang w:bidi="ar-EG"/>
        </w:rPr>
        <w:t xml:space="preserve"> </w:t>
      </w:r>
      <w:r w:rsidRPr="00E57E65">
        <w:rPr>
          <w:rFonts w:ascii="Times New Roman" w:eastAsia="Times New Roman" w:hAnsi="Times New Roman" w:cs="Times New Roman"/>
          <w:sz w:val="20"/>
          <w:szCs w:val="20"/>
          <w:lang w:bidi="ar-EG"/>
        </w:rPr>
        <w:t>We included patients</w:t>
      </w:r>
      <w:r w:rsidR="00A761CC" w:rsidRPr="00E57E65">
        <w:rPr>
          <w:rFonts w:ascii="Times New Roman" w:eastAsia="Times New Roman" w:hAnsi="Times New Roman" w:cs="Times New Roman"/>
          <w:sz w:val="20"/>
          <w:szCs w:val="20"/>
          <w:lang w:bidi="ar-EG"/>
        </w:rPr>
        <w:t xml:space="preserve"> who met the following criteria</w:t>
      </w:r>
      <w:r w:rsidRPr="00E57E65">
        <w:rPr>
          <w:rFonts w:ascii="Times New Roman" w:eastAsia="Times New Roman" w:hAnsi="Times New Roman" w:cs="Times New Roman"/>
          <w:sz w:val="20"/>
          <w:szCs w:val="20"/>
          <w:lang w:bidi="ar-EG"/>
        </w:rPr>
        <w:t>; 1) age of 3</w:t>
      </w:r>
      <w:r w:rsidR="006B1F4D" w:rsidRPr="00E57E65">
        <w:rPr>
          <w:rFonts w:ascii="Times New Roman" w:eastAsia="Times New Roman" w:hAnsi="Times New Roman" w:cs="Times New Roman"/>
          <w:sz w:val="20"/>
          <w:szCs w:val="20"/>
          <w:lang w:bidi="ar-EG"/>
        </w:rPr>
        <w:t>5</w:t>
      </w:r>
      <w:r w:rsidRPr="00E57E65">
        <w:rPr>
          <w:rFonts w:ascii="Times New Roman" w:eastAsia="Times New Roman" w:hAnsi="Times New Roman" w:cs="Times New Roman"/>
          <w:sz w:val="20"/>
          <w:szCs w:val="20"/>
          <w:lang w:bidi="ar-EG"/>
        </w:rPr>
        <w:t xml:space="preserve"> years or older 2) having adnexal mass diagnosed by an </w:t>
      </w:r>
      <w:r w:rsidRPr="00E57E65">
        <w:rPr>
          <w:rFonts w:ascii="Times New Roman" w:eastAsia="Times New Roman" w:hAnsi="Times New Roman" w:cs="Times New Roman"/>
          <w:sz w:val="20"/>
          <w:szCs w:val="20"/>
          <w:lang w:bidi="ar-EG"/>
        </w:rPr>
        <w:lastRenderedPageBreak/>
        <w:t xml:space="preserve">ultrasound evaluation by either </w:t>
      </w:r>
      <w:r w:rsidR="006B1F4D" w:rsidRPr="00E57E65">
        <w:rPr>
          <w:rFonts w:ascii="Times New Roman" w:eastAsia="Times New Roman" w:hAnsi="Times New Roman" w:cs="Times New Roman"/>
          <w:sz w:val="20"/>
          <w:szCs w:val="20"/>
          <w:lang w:bidi="ar-EG"/>
        </w:rPr>
        <w:t>an</w:t>
      </w:r>
      <w:r w:rsidRPr="00E57E65">
        <w:rPr>
          <w:rFonts w:ascii="Times New Roman" w:eastAsia="Times New Roman" w:hAnsi="Times New Roman" w:cs="Times New Roman"/>
          <w:sz w:val="20"/>
          <w:szCs w:val="20"/>
          <w:lang w:bidi="ar-EG"/>
        </w:rPr>
        <w:t xml:space="preserve"> abdominal transducer or a</w:t>
      </w:r>
      <w:r w:rsidR="00842AFD">
        <w:rPr>
          <w:rFonts w:ascii="Times New Roman" w:eastAsia="Times New Roman" w:hAnsi="Times New Roman" w:cs="Times New Roman"/>
          <w:sz w:val="20"/>
          <w:szCs w:val="20"/>
          <w:lang w:bidi="ar-EG"/>
        </w:rPr>
        <w:t xml:space="preserve"> </w:t>
      </w:r>
      <w:r w:rsidRPr="00E57E65">
        <w:rPr>
          <w:rFonts w:ascii="Times New Roman" w:eastAsia="Times New Roman" w:hAnsi="Times New Roman" w:cs="Times New Roman"/>
          <w:sz w:val="20"/>
          <w:szCs w:val="20"/>
          <w:lang w:bidi="ar-EG"/>
        </w:rPr>
        <w:t>transvaginal probe 3) having preoperative measurement of serum levels of CA 125 by using a radioimmunoassay and 4) laparotomy</w:t>
      </w:r>
      <w:r w:rsidR="007F08E9" w:rsidRPr="00E57E65">
        <w:rPr>
          <w:rFonts w:ascii="Times New Roman" w:eastAsia="Times New Roman" w:hAnsi="Times New Roman" w:cs="Times New Roman"/>
          <w:sz w:val="20"/>
          <w:szCs w:val="20"/>
          <w:lang w:bidi="ar-EG"/>
        </w:rPr>
        <w:t xml:space="preserve"> for excision of ovarian mass and histopathology</w:t>
      </w:r>
      <w:r w:rsidR="00A761CC" w:rsidRPr="00E57E65">
        <w:rPr>
          <w:rFonts w:ascii="Times New Roman" w:eastAsia="Times New Roman" w:hAnsi="Times New Roman" w:cs="Times New Roman"/>
          <w:sz w:val="20"/>
          <w:szCs w:val="20"/>
          <w:lang w:bidi="ar-EG"/>
        </w:rPr>
        <w:t>.</w:t>
      </w:r>
      <w:r w:rsidR="00842AFD">
        <w:rPr>
          <w:rFonts w:ascii="Times New Roman" w:eastAsia="Times New Roman" w:hAnsi="Times New Roman" w:cs="Times New Roman"/>
          <w:sz w:val="20"/>
          <w:szCs w:val="20"/>
          <w:lang w:bidi="ar-EG"/>
        </w:rPr>
        <w:t xml:space="preserve"> </w:t>
      </w:r>
      <w:r w:rsidR="00A761CC" w:rsidRPr="00E57E65">
        <w:rPr>
          <w:rFonts w:ascii="Times New Roman" w:eastAsia="Times New Roman" w:hAnsi="Times New Roman" w:cs="Times New Roman"/>
          <w:sz w:val="20"/>
          <w:szCs w:val="20"/>
          <w:lang w:bidi="ar-EG"/>
        </w:rPr>
        <w:t xml:space="preserve">The </w:t>
      </w:r>
      <w:r w:rsidR="00A761CC" w:rsidRPr="00E57E65">
        <w:rPr>
          <w:rFonts w:ascii="Times New Roman" w:eastAsia="Times New Roman" w:hAnsi="Times New Roman" w:cs="Times New Roman"/>
          <w:sz w:val="20"/>
          <w:szCs w:val="20"/>
          <w:lang w:bidi="ar-EG"/>
        </w:rPr>
        <w:lastRenderedPageBreak/>
        <w:t>exclusion criteria</w:t>
      </w:r>
      <w:r w:rsidRPr="00E57E65">
        <w:rPr>
          <w:rFonts w:ascii="Times New Roman" w:eastAsia="Times New Roman" w:hAnsi="Times New Roman" w:cs="Times New Roman"/>
          <w:sz w:val="20"/>
          <w:szCs w:val="20"/>
          <w:lang w:bidi="ar-EG"/>
        </w:rPr>
        <w:t xml:space="preserve"> were the patients with incomplete medical record</w:t>
      </w:r>
      <w:r w:rsidR="007F08E9" w:rsidRPr="00E57E65">
        <w:rPr>
          <w:rFonts w:ascii="Times New Roman" w:eastAsia="Times New Roman" w:hAnsi="Times New Roman" w:cs="Times New Roman"/>
          <w:sz w:val="20"/>
          <w:szCs w:val="20"/>
          <w:lang w:bidi="ar-EG"/>
        </w:rPr>
        <w:t>, Any contraindication to operative interference</w:t>
      </w:r>
      <w:r w:rsidRPr="00E57E65">
        <w:rPr>
          <w:rFonts w:ascii="Times New Roman" w:eastAsia="Times New Roman" w:hAnsi="Times New Roman" w:cs="Times New Roman"/>
          <w:sz w:val="20"/>
          <w:szCs w:val="20"/>
          <w:lang w:bidi="ar-EG"/>
        </w:rPr>
        <w:t xml:space="preserve"> or who already had histological diagnosis of malignant ovarian cancer.</w:t>
      </w:r>
    </w:p>
    <w:p w:rsidR="00E57E65" w:rsidRPr="00E57E65" w:rsidRDefault="00E57E65" w:rsidP="00E57E65">
      <w:pPr>
        <w:pStyle w:val="NoSpacing"/>
        <w:snapToGrid w:val="0"/>
        <w:ind w:firstLine="425"/>
        <w:jc w:val="both"/>
        <w:rPr>
          <w:rFonts w:ascii="Times New Roman" w:hAnsi="Times New Roman" w:cs="Times New Roman"/>
          <w:sz w:val="20"/>
          <w:szCs w:val="20"/>
        </w:rPr>
        <w:sectPr w:rsidR="00E57E65" w:rsidRPr="00E57E65" w:rsidSect="00E57E65">
          <w:headerReference w:type="default" r:id="rId14"/>
          <w:footerReference w:type="default" r:id="rId15"/>
          <w:type w:val="continuous"/>
          <w:pgSz w:w="12242" w:h="15842" w:code="1"/>
          <w:pgMar w:top="1440" w:right="1440" w:bottom="1440" w:left="1440" w:header="720" w:footer="720" w:gutter="0"/>
          <w:cols w:num="2" w:space="550"/>
          <w:docGrid w:linePitch="360"/>
        </w:sectPr>
      </w:pPr>
    </w:p>
    <w:p w:rsidR="00C34617" w:rsidRPr="00E57E65" w:rsidRDefault="00C34617" w:rsidP="00E57E65">
      <w:pPr>
        <w:pStyle w:val="NoSpacing"/>
        <w:snapToGrid w:val="0"/>
        <w:jc w:val="center"/>
        <w:rPr>
          <w:rFonts w:ascii="Times New Roman" w:hAnsi="Times New Roman" w:cs="Times New Roman"/>
          <w:sz w:val="20"/>
          <w:szCs w:val="20"/>
        </w:rPr>
      </w:pPr>
    </w:p>
    <w:p w:rsidR="009C298B" w:rsidRPr="00373CFB" w:rsidRDefault="009C298B" w:rsidP="00373CFB">
      <w:pPr>
        <w:pStyle w:val="NoSpacing"/>
        <w:snapToGrid w:val="0"/>
        <w:jc w:val="center"/>
        <w:rPr>
          <w:rFonts w:ascii="Times New Roman" w:hAnsi="Times New Roman" w:cs="Times New Roman"/>
          <w:sz w:val="19"/>
          <w:szCs w:val="19"/>
        </w:rPr>
      </w:pPr>
      <w:r w:rsidRPr="00373CFB">
        <w:rPr>
          <w:rFonts w:ascii="Times New Roman" w:hAnsi="Times New Roman" w:cs="Times New Roman"/>
          <w:sz w:val="19"/>
          <w:szCs w:val="19"/>
        </w:rPr>
        <w:t>Table 1</w:t>
      </w:r>
      <w:r w:rsidR="001E78FB" w:rsidRPr="00373CFB">
        <w:rPr>
          <w:rFonts w:ascii="Times New Roman" w:eastAsia="Times New Roman" w:hAnsi="Times New Roman" w:cs="Times New Roman"/>
          <w:sz w:val="19"/>
          <w:szCs w:val="19"/>
          <w:lang w:bidi="ar-EG"/>
        </w:rPr>
        <w:t xml:space="preserve"> Edessy ovarian cancer score (EOCS)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1580"/>
        <w:gridCol w:w="2608"/>
        <w:gridCol w:w="3297"/>
      </w:tblGrid>
      <w:tr w:rsidR="00211276" w:rsidRPr="00373CFB" w:rsidTr="009F6B81">
        <w:trPr>
          <w:jc w:val="center"/>
        </w:trPr>
        <w:tc>
          <w:tcPr>
            <w:tcW w:w="2093" w:type="dxa"/>
            <w:tcBorders>
              <w:tl2br w:val="single" w:sz="4" w:space="0" w:color="auto"/>
            </w:tcBorders>
            <w:vAlign w:val="center"/>
          </w:tcPr>
          <w:p w:rsidR="001E78FB" w:rsidRPr="00373CFB" w:rsidRDefault="00211276" w:rsidP="00373CFB">
            <w:pPr>
              <w:bidi w:val="0"/>
              <w:snapToGrid w:val="0"/>
              <w:spacing w:after="0" w:line="240" w:lineRule="auto"/>
              <w:jc w:val="right"/>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Score Value</w:t>
            </w:r>
          </w:p>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Parameter</w:t>
            </w:r>
          </w:p>
        </w:tc>
        <w:tc>
          <w:tcPr>
            <w:tcW w:w="1580" w:type="dxa"/>
            <w:vAlign w:val="center"/>
          </w:tcPr>
          <w:p w:rsidR="00211276" w:rsidRPr="009F6B81" w:rsidRDefault="00211276" w:rsidP="00373CFB">
            <w:pPr>
              <w:bidi w:val="0"/>
              <w:snapToGrid w:val="0"/>
              <w:spacing w:after="0" w:line="240" w:lineRule="auto"/>
              <w:jc w:val="both"/>
              <w:rPr>
                <w:rFonts w:ascii="Times New Roman" w:hAnsi="Times New Roman" w:cs="Times New Roman" w:hint="eastAsia"/>
                <w:color w:val="000000"/>
                <w:sz w:val="19"/>
                <w:szCs w:val="19"/>
                <w:lang w:eastAsia="zh-CN"/>
              </w:rPr>
            </w:pPr>
            <w:r w:rsidRPr="00373CFB">
              <w:rPr>
                <w:rFonts w:ascii="Times New Roman" w:eastAsia="Times New Roman" w:hAnsi="Times New Roman" w:cs="Times New Roman"/>
                <w:color w:val="000000"/>
                <w:sz w:val="19"/>
                <w:szCs w:val="19"/>
              </w:rPr>
              <w:t>Value = 0 (low risk)</w:t>
            </w:r>
          </w:p>
        </w:tc>
        <w:tc>
          <w:tcPr>
            <w:tcW w:w="0" w:type="auto"/>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Value = 1 (high risk)</w:t>
            </w:r>
          </w:p>
        </w:tc>
        <w:tc>
          <w:tcPr>
            <w:tcW w:w="0" w:type="auto"/>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Value =2 (very high risk)</w:t>
            </w:r>
          </w:p>
        </w:tc>
      </w:tr>
      <w:tr w:rsidR="00211276" w:rsidRPr="00373CFB" w:rsidTr="009F6B81">
        <w:trPr>
          <w:jc w:val="center"/>
        </w:trPr>
        <w:tc>
          <w:tcPr>
            <w:tcW w:w="2093" w:type="dxa"/>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Sonographic features (U)</w:t>
            </w:r>
          </w:p>
        </w:tc>
        <w:tc>
          <w:tcPr>
            <w:tcW w:w="1580" w:type="dxa"/>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Unilateral –Unilocular cyst</w:t>
            </w:r>
          </w:p>
        </w:tc>
        <w:tc>
          <w:tcPr>
            <w:tcW w:w="0" w:type="auto"/>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Unilateral - Multilocular cyst - Solid areas</w:t>
            </w:r>
          </w:p>
        </w:tc>
        <w:tc>
          <w:tcPr>
            <w:tcW w:w="0" w:type="auto"/>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Ascites or Bilateral lesions or Intra-abdominal metastases</w:t>
            </w:r>
          </w:p>
        </w:tc>
      </w:tr>
    </w:tbl>
    <w:p w:rsidR="00E340B9" w:rsidRPr="00373CFB" w:rsidRDefault="00E340B9" w:rsidP="00373CFB">
      <w:pPr>
        <w:bidi w:val="0"/>
        <w:snapToGrid w:val="0"/>
        <w:spacing w:after="0" w:line="240" w:lineRule="auto"/>
        <w:ind w:firstLine="425"/>
        <w:jc w:val="both"/>
        <w:rPr>
          <w:rFonts w:ascii="Times New Roman" w:eastAsia="Times New Roman" w:hAnsi="Times New Roman" w:cs="Times New Roman"/>
          <w:sz w:val="19"/>
          <w:szCs w:val="19"/>
        </w:rPr>
        <w:sectPr w:rsidR="00E340B9" w:rsidRPr="00373CFB" w:rsidSect="004B7BB1">
          <w:headerReference w:type="default" r:id="rId16"/>
          <w:footerReference w:type="default" r:id="rId17"/>
          <w:type w:val="continuous"/>
          <w:pgSz w:w="12242" w:h="15842" w:code="1"/>
          <w:pgMar w:top="1440" w:right="1440" w:bottom="1440" w:left="1440" w:header="720" w:footer="720" w:gutter="0"/>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4"/>
        <w:gridCol w:w="1584"/>
        <w:gridCol w:w="2617"/>
        <w:gridCol w:w="3283"/>
      </w:tblGrid>
      <w:tr w:rsidR="00211276" w:rsidRPr="00373CFB" w:rsidTr="009F6B81">
        <w:trPr>
          <w:jc w:val="center"/>
        </w:trPr>
        <w:tc>
          <w:tcPr>
            <w:tcW w:w="1093"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lastRenderedPageBreak/>
              <w:t>Age (A)</w:t>
            </w:r>
          </w:p>
        </w:tc>
        <w:tc>
          <w:tcPr>
            <w:tcW w:w="827"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35</w:t>
            </w:r>
            <w:r w:rsidR="00842AFD" w:rsidRPr="00373CFB">
              <w:rPr>
                <w:rFonts w:ascii="Times New Roman" w:eastAsia="Times New Roman" w:hAnsi="Times New Roman" w:cs="Times New Roman"/>
                <w:color w:val="000000"/>
                <w:sz w:val="19"/>
                <w:szCs w:val="19"/>
              </w:rPr>
              <w:t>:</w:t>
            </w:r>
            <w:r w:rsidRPr="00373CFB">
              <w:rPr>
                <w:rFonts w:ascii="Times New Roman" w:eastAsia="Times New Roman" w:hAnsi="Times New Roman" w:cs="Times New Roman"/>
                <w:color w:val="000000"/>
                <w:sz w:val="19"/>
                <w:szCs w:val="19"/>
              </w:rPr>
              <w:t xml:space="preserve"> 44 years</w:t>
            </w:r>
          </w:p>
        </w:tc>
        <w:tc>
          <w:tcPr>
            <w:tcW w:w="1366"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45</w:t>
            </w:r>
            <w:r w:rsidR="00842AFD" w:rsidRPr="00373CFB">
              <w:rPr>
                <w:rFonts w:ascii="Times New Roman" w:eastAsia="Times New Roman" w:hAnsi="Times New Roman" w:cs="Times New Roman"/>
                <w:color w:val="000000"/>
                <w:sz w:val="19"/>
                <w:szCs w:val="19"/>
              </w:rPr>
              <w:t>:</w:t>
            </w:r>
            <w:r w:rsidRPr="00373CFB">
              <w:rPr>
                <w:rFonts w:ascii="Times New Roman" w:eastAsia="Times New Roman" w:hAnsi="Times New Roman" w:cs="Times New Roman"/>
                <w:color w:val="000000"/>
                <w:sz w:val="19"/>
                <w:szCs w:val="19"/>
              </w:rPr>
              <w:t xml:space="preserve"> 55 years</w:t>
            </w:r>
          </w:p>
        </w:tc>
        <w:tc>
          <w:tcPr>
            <w:tcW w:w="1714"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bookmarkStart w:id="0" w:name="_GoBack"/>
            <w:bookmarkEnd w:id="0"/>
            <w:r w:rsidRPr="00373CFB">
              <w:rPr>
                <w:rFonts w:ascii="Times New Roman" w:eastAsia="Times New Roman" w:hAnsi="Times New Roman" w:cs="Times New Roman"/>
                <w:color w:val="000000"/>
                <w:sz w:val="19"/>
                <w:szCs w:val="19"/>
              </w:rPr>
              <w:t>56</w:t>
            </w:r>
            <w:r w:rsidR="00842AFD" w:rsidRPr="00373CFB">
              <w:rPr>
                <w:rFonts w:ascii="Times New Roman" w:eastAsia="Times New Roman" w:hAnsi="Times New Roman" w:cs="Times New Roman"/>
                <w:color w:val="000000"/>
                <w:sz w:val="19"/>
                <w:szCs w:val="19"/>
              </w:rPr>
              <w:t>:</w:t>
            </w:r>
            <w:r w:rsidRPr="00373CFB">
              <w:rPr>
                <w:rFonts w:ascii="Times New Roman" w:eastAsia="Times New Roman" w:hAnsi="Times New Roman" w:cs="Times New Roman"/>
                <w:color w:val="000000"/>
                <w:sz w:val="19"/>
                <w:szCs w:val="19"/>
              </w:rPr>
              <w:t xml:space="preserve"> 62 years</w:t>
            </w:r>
          </w:p>
        </w:tc>
      </w:tr>
      <w:tr w:rsidR="00211276" w:rsidRPr="00373CFB" w:rsidTr="009F6B81">
        <w:trPr>
          <w:jc w:val="center"/>
        </w:trPr>
        <w:tc>
          <w:tcPr>
            <w:tcW w:w="1093"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Serum CA 125 level (C)</w:t>
            </w:r>
          </w:p>
        </w:tc>
        <w:tc>
          <w:tcPr>
            <w:tcW w:w="827" w:type="pct"/>
            <w:vAlign w:val="center"/>
          </w:tcPr>
          <w:p w:rsidR="00211276" w:rsidRPr="00373CFB" w:rsidRDefault="00211276" w:rsidP="00373CFB">
            <w:pPr>
              <w:tabs>
                <w:tab w:val="center" w:pos="1096"/>
                <w:tab w:val="right" w:pos="2193"/>
              </w:tabs>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35 U/ml&gt;</w:t>
            </w:r>
          </w:p>
        </w:tc>
        <w:tc>
          <w:tcPr>
            <w:tcW w:w="1366"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35</w:t>
            </w:r>
            <w:r w:rsidR="00842AFD" w:rsidRPr="00373CFB">
              <w:rPr>
                <w:rFonts w:ascii="Times New Roman" w:eastAsia="Times New Roman" w:hAnsi="Times New Roman" w:cs="Times New Roman"/>
                <w:color w:val="000000"/>
                <w:sz w:val="19"/>
                <w:szCs w:val="19"/>
              </w:rPr>
              <w:t>:</w:t>
            </w:r>
            <w:r w:rsidRPr="00373CFB">
              <w:rPr>
                <w:rFonts w:ascii="Times New Roman" w:eastAsia="Times New Roman" w:hAnsi="Times New Roman" w:cs="Times New Roman"/>
                <w:color w:val="000000"/>
                <w:sz w:val="19"/>
                <w:szCs w:val="19"/>
              </w:rPr>
              <w:t xml:space="preserve"> 65 U/ml</w:t>
            </w:r>
          </w:p>
        </w:tc>
        <w:tc>
          <w:tcPr>
            <w:tcW w:w="1714"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lang w:bidi="ar-EG"/>
              </w:rPr>
            </w:pPr>
            <w:r w:rsidRPr="00373CFB">
              <w:rPr>
                <w:rFonts w:ascii="Times New Roman" w:eastAsia="Times New Roman" w:hAnsi="Times New Roman" w:cs="Times New Roman"/>
                <w:color w:val="000000"/>
                <w:sz w:val="19"/>
                <w:szCs w:val="19"/>
                <w:lang w:bidi="ar-EG"/>
              </w:rPr>
              <w:t>65 U/ml ˃</w:t>
            </w:r>
          </w:p>
        </w:tc>
      </w:tr>
      <w:tr w:rsidR="00211276" w:rsidRPr="00373CFB" w:rsidTr="009F6B81">
        <w:trPr>
          <w:jc w:val="center"/>
        </w:trPr>
        <w:tc>
          <w:tcPr>
            <w:tcW w:w="1093"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BMI (B)</w:t>
            </w:r>
          </w:p>
        </w:tc>
        <w:tc>
          <w:tcPr>
            <w:tcW w:w="827"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&lt; 25 Kg</w:t>
            </w:r>
            <w:r w:rsidRPr="00373CFB">
              <w:rPr>
                <w:rFonts w:ascii="Times New Roman" w:eastAsia="Times New Roman" w:hAnsi="Times New Roman" w:cs="Times New Roman"/>
                <w:color w:val="000000"/>
                <w:sz w:val="19"/>
                <w:szCs w:val="19"/>
                <w:lang w:bidi="ar-EG"/>
              </w:rPr>
              <w:t xml:space="preserve"> /m2</w:t>
            </w:r>
          </w:p>
        </w:tc>
        <w:tc>
          <w:tcPr>
            <w:tcW w:w="1366"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lang w:bidi="ar-EG"/>
              </w:rPr>
            </w:pPr>
            <w:r w:rsidRPr="00373CFB">
              <w:rPr>
                <w:rFonts w:ascii="Times New Roman" w:eastAsia="Times New Roman" w:hAnsi="Times New Roman" w:cs="Times New Roman"/>
                <w:color w:val="000000"/>
                <w:sz w:val="19"/>
                <w:szCs w:val="19"/>
              </w:rPr>
              <w:t>25</w:t>
            </w:r>
            <w:r w:rsidR="00842AFD" w:rsidRPr="00373CFB">
              <w:rPr>
                <w:rFonts w:ascii="Times New Roman" w:eastAsia="Times New Roman" w:hAnsi="Times New Roman" w:cs="Times New Roman"/>
                <w:color w:val="000000"/>
                <w:sz w:val="19"/>
                <w:szCs w:val="19"/>
              </w:rPr>
              <w:t>:</w:t>
            </w:r>
            <w:r w:rsidRPr="00373CFB">
              <w:rPr>
                <w:rFonts w:ascii="Times New Roman" w:eastAsia="Times New Roman" w:hAnsi="Times New Roman" w:cs="Times New Roman"/>
                <w:color w:val="000000"/>
                <w:sz w:val="19"/>
                <w:szCs w:val="19"/>
              </w:rPr>
              <w:t xml:space="preserve"> 35 Kg</w:t>
            </w:r>
            <w:r w:rsidRPr="00373CFB">
              <w:rPr>
                <w:rFonts w:ascii="Times New Roman" w:eastAsia="Times New Roman" w:hAnsi="Times New Roman" w:cs="Times New Roman"/>
                <w:color w:val="000000"/>
                <w:sz w:val="19"/>
                <w:szCs w:val="19"/>
                <w:lang w:bidi="ar-EG"/>
              </w:rPr>
              <w:t xml:space="preserve"> /m2</w:t>
            </w:r>
          </w:p>
        </w:tc>
        <w:tc>
          <w:tcPr>
            <w:tcW w:w="1714"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lang w:bidi="ar-EG"/>
              </w:rPr>
              <w:t>˃</w:t>
            </w:r>
            <w:r w:rsidRPr="00373CFB">
              <w:rPr>
                <w:rFonts w:ascii="Times New Roman" w:eastAsia="Times New Roman" w:hAnsi="Times New Roman" w:cs="Times New Roman"/>
                <w:color w:val="000000"/>
                <w:sz w:val="19"/>
                <w:szCs w:val="19"/>
              </w:rPr>
              <w:t xml:space="preserve"> 35 Kg</w:t>
            </w:r>
            <w:r w:rsidRPr="00373CFB">
              <w:rPr>
                <w:rFonts w:ascii="Times New Roman" w:eastAsia="Times New Roman" w:hAnsi="Times New Roman" w:cs="Times New Roman"/>
                <w:color w:val="000000"/>
                <w:sz w:val="19"/>
                <w:szCs w:val="19"/>
                <w:lang w:bidi="ar-EG"/>
              </w:rPr>
              <w:t xml:space="preserve"> /m2</w:t>
            </w:r>
          </w:p>
        </w:tc>
      </w:tr>
      <w:tr w:rsidR="00211276" w:rsidRPr="00373CFB" w:rsidTr="009F6B81">
        <w:trPr>
          <w:jc w:val="center"/>
        </w:trPr>
        <w:tc>
          <w:tcPr>
            <w:tcW w:w="1093"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Parity (P)</w:t>
            </w:r>
          </w:p>
        </w:tc>
        <w:tc>
          <w:tcPr>
            <w:tcW w:w="827"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3</w:t>
            </w:r>
            <w:r w:rsidRPr="00373CFB">
              <w:rPr>
                <w:rFonts w:ascii="Times New Roman" w:eastAsia="Times New Roman" w:hAnsi="Times New Roman" w:cs="Times New Roman"/>
                <w:color w:val="000000"/>
                <w:sz w:val="19"/>
                <w:szCs w:val="19"/>
                <w:vertAlign w:val="superscript"/>
              </w:rPr>
              <w:t>rd</w:t>
            </w:r>
            <w:r w:rsidRPr="00373CFB">
              <w:rPr>
                <w:rFonts w:ascii="Times New Roman" w:eastAsia="Times New Roman" w:hAnsi="Times New Roman" w:cs="Times New Roman"/>
                <w:color w:val="000000"/>
                <w:sz w:val="19"/>
                <w:szCs w:val="19"/>
              </w:rPr>
              <w:t xml:space="preserve"> para or more</w:t>
            </w:r>
          </w:p>
        </w:tc>
        <w:tc>
          <w:tcPr>
            <w:tcW w:w="1366"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1</w:t>
            </w:r>
            <w:r w:rsidRPr="00373CFB">
              <w:rPr>
                <w:rFonts w:ascii="Times New Roman" w:eastAsia="Times New Roman" w:hAnsi="Times New Roman" w:cs="Times New Roman"/>
                <w:color w:val="000000"/>
                <w:sz w:val="19"/>
                <w:szCs w:val="19"/>
                <w:vertAlign w:val="superscript"/>
              </w:rPr>
              <w:t>st</w:t>
            </w:r>
            <w:r w:rsidRPr="00373CFB">
              <w:rPr>
                <w:rFonts w:ascii="Times New Roman" w:eastAsia="Times New Roman" w:hAnsi="Times New Roman" w:cs="Times New Roman"/>
                <w:color w:val="000000"/>
                <w:sz w:val="19"/>
                <w:szCs w:val="19"/>
              </w:rPr>
              <w:t xml:space="preserve"> or 2</w:t>
            </w:r>
            <w:r w:rsidRPr="00373CFB">
              <w:rPr>
                <w:rFonts w:ascii="Times New Roman" w:eastAsia="Times New Roman" w:hAnsi="Times New Roman" w:cs="Times New Roman"/>
                <w:color w:val="000000"/>
                <w:sz w:val="19"/>
                <w:szCs w:val="19"/>
                <w:vertAlign w:val="superscript"/>
              </w:rPr>
              <w:t>nd</w:t>
            </w:r>
            <w:r w:rsidRPr="00373CFB">
              <w:rPr>
                <w:rFonts w:ascii="Times New Roman" w:eastAsia="Times New Roman" w:hAnsi="Times New Roman" w:cs="Times New Roman"/>
                <w:color w:val="000000"/>
                <w:sz w:val="19"/>
                <w:szCs w:val="19"/>
              </w:rPr>
              <w:t xml:space="preserve"> para</w:t>
            </w:r>
          </w:p>
        </w:tc>
        <w:tc>
          <w:tcPr>
            <w:tcW w:w="1714" w:type="pct"/>
            <w:vAlign w:val="center"/>
          </w:tcPr>
          <w:p w:rsidR="00211276" w:rsidRPr="00373CFB" w:rsidRDefault="00211276" w:rsidP="00373CFB">
            <w:pPr>
              <w:bidi w:val="0"/>
              <w:snapToGrid w:val="0"/>
              <w:spacing w:after="0" w:line="240" w:lineRule="auto"/>
              <w:jc w:val="both"/>
              <w:rPr>
                <w:rFonts w:ascii="Times New Roman" w:eastAsia="Times New Roman" w:hAnsi="Times New Roman" w:cs="Times New Roman"/>
                <w:color w:val="000000"/>
                <w:sz w:val="19"/>
                <w:szCs w:val="19"/>
              </w:rPr>
            </w:pPr>
            <w:r w:rsidRPr="00373CFB">
              <w:rPr>
                <w:rFonts w:ascii="Times New Roman" w:eastAsia="Times New Roman" w:hAnsi="Times New Roman" w:cs="Times New Roman"/>
                <w:color w:val="000000"/>
                <w:sz w:val="19"/>
                <w:szCs w:val="19"/>
              </w:rPr>
              <w:t>Nullipara</w:t>
            </w:r>
          </w:p>
        </w:tc>
      </w:tr>
    </w:tbl>
    <w:p w:rsidR="00E57E65" w:rsidRPr="00373CFB" w:rsidRDefault="00E57E65" w:rsidP="00373CFB">
      <w:pPr>
        <w:bidi w:val="0"/>
        <w:snapToGrid w:val="0"/>
        <w:spacing w:after="0" w:line="240" w:lineRule="auto"/>
        <w:ind w:firstLine="425"/>
        <w:jc w:val="both"/>
        <w:rPr>
          <w:rFonts w:ascii="Times New Roman" w:eastAsia="Times New Roman" w:hAnsi="Times New Roman" w:cs="Times New Roman"/>
          <w:sz w:val="19"/>
          <w:szCs w:val="19"/>
          <w:lang w:bidi="ar-EG"/>
        </w:rPr>
      </w:pPr>
    </w:p>
    <w:p w:rsidR="00E57E65" w:rsidRPr="00E57E65" w:rsidRDefault="00E57E65" w:rsidP="00E57E65">
      <w:pPr>
        <w:bidi w:val="0"/>
        <w:snapToGrid w:val="0"/>
        <w:spacing w:after="0" w:line="240" w:lineRule="auto"/>
        <w:ind w:firstLine="425"/>
        <w:jc w:val="both"/>
        <w:rPr>
          <w:rFonts w:ascii="Times New Roman" w:eastAsia="Times New Roman" w:hAnsi="Times New Roman" w:cs="Times New Roman"/>
          <w:sz w:val="20"/>
          <w:szCs w:val="20"/>
          <w:lang w:bidi="ar-EG"/>
        </w:rPr>
        <w:sectPr w:rsidR="00E57E65" w:rsidRPr="00E57E65" w:rsidSect="004B7BB1">
          <w:type w:val="continuous"/>
          <w:pgSz w:w="12242" w:h="15842" w:code="1"/>
          <w:pgMar w:top="1440" w:right="1440" w:bottom="1440" w:left="1440" w:header="720" w:footer="720" w:gutter="0"/>
          <w:cols w:space="720"/>
          <w:docGrid w:linePitch="360"/>
        </w:sectPr>
      </w:pPr>
    </w:p>
    <w:p w:rsidR="009A68C4" w:rsidRPr="00E57E65" w:rsidRDefault="00FC46EA" w:rsidP="00E57E65">
      <w:pPr>
        <w:bidi w:val="0"/>
        <w:snapToGrid w:val="0"/>
        <w:spacing w:after="0" w:line="240" w:lineRule="auto"/>
        <w:ind w:firstLine="425"/>
        <w:jc w:val="both"/>
        <w:rPr>
          <w:rFonts w:ascii="Times New Roman" w:eastAsia="Times New Roman" w:hAnsi="Times New Roman" w:cs="Times New Roman"/>
          <w:sz w:val="20"/>
          <w:szCs w:val="20"/>
          <w:lang w:bidi="ar-EG"/>
        </w:rPr>
      </w:pPr>
      <w:r w:rsidRPr="00E57E65">
        <w:rPr>
          <w:rFonts w:ascii="Times New Roman" w:eastAsia="Times New Roman" w:hAnsi="Times New Roman" w:cs="Times New Roman"/>
          <w:sz w:val="20"/>
          <w:szCs w:val="20"/>
          <w:lang w:bidi="ar-EG"/>
        </w:rPr>
        <w:lastRenderedPageBreak/>
        <w:t xml:space="preserve">Edessy ovarian cancer score </w:t>
      </w:r>
      <w:r w:rsidR="00355F0B" w:rsidRPr="00E57E65">
        <w:rPr>
          <w:rFonts w:ascii="Times New Roman" w:eastAsia="Times New Roman" w:hAnsi="Times New Roman" w:cs="Times New Roman"/>
          <w:sz w:val="20"/>
          <w:szCs w:val="20"/>
          <w:lang w:bidi="ar-EG"/>
        </w:rPr>
        <w:t>(EOCS)</w:t>
      </w:r>
      <w:r w:rsidRPr="00E57E65">
        <w:rPr>
          <w:rFonts w:ascii="Times New Roman" w:eastAsia="Times New Roman" w:hAnsi="Times New Roman" w:cs="Times New Roman"/>
          <w:sz w:val="20"/>
          <w:szCs w:val="20"/>
          <w:lang w:bidi="ar-EG"/>
        </w:rPr>
        <w:t>was</w:t>
      </w:r>
      <w:r w:rsidR="00885028" w:rsidRPr="00E57E65">
        <w:rPr>
          <w:rFonts w:ascii="Times New Roman" w:eastAsia="Times New Roman" w:hAnsi="Times New Roman" w:cs="Times New Roman"/>
          <w:sz w:val="20"/>
          <w:szCs w:val="20"/>
          <w:lang w:bidi="ar-EG"/>
        </w:rPr>
        <w:t xml:space="preserve"> calculated for all patients together with the sensitivity, specificity and positive and negative pred</w:t>
      </w:r>
      <w:r w:rsidRPr="00E57E65">
        <w:rPr>
          <w:rFonts w:ascii="Times New Roman" w:eastAsia="Times New Roman" w:hAnsi="Times New Roman" w:cs="Times New Roman"/>
          <w:sz w:val="20"/>
          <w:szCs w:val="20"/>
          <w:lang w:bidi="ar-EG"/>
        </w:rPr>
        <w:t>ictive values of the suggested score</w:t>
      </w:r>
      <w:r w:rsidR="00885028" w:rsidRPr="00E57E65">
        <w:rPr>
          <w:rFonts w:ascii="Times New Roman" w:eastAsia="Times New Roman" w:hAnsi="Times New Roman" w:cs="Times New Roman"/>
          <w:sz w:val="20"/>
          <w:szCs w:val="20"/>
          <w:lang w:bidi="ar-EG"/>
        </w:rPr>
        <w:t>.</w:t>
      </w:r>
      <w:r w:rsidR="00842AFD">
        <w:rPr>
          <w:rFonts w:ascii="Times New Roman" w:eastAsia="Times New Roman" w:hAnsi="Times New Roman" w:cs="Times New Roman"/>
          <w:sz w:val="20"/>
          <w:szCs w:val="20"/>
          <w:lang w:bidi="ar-EG"/>
        </w:rPr>
        <w:t xml:space="preserve"> </w:t>
      </w:r>
      <w:r w:rsidR="00885028" w:rsidRPr="00E57E65">
        <w:rPr>
          <w:rFonts w:ascii="Times New Roman" w:eastAsia="Times New Roman" w:hAnsi="Times New Roman" w:cs="Times New Roman"/>
          <w:sz w:val="20"/>
          <w:szCs w:val="20"/>
          <w:lang w:bidi="ar-EG"/>
        </w:rPr>
        <w:t>We us</w:t>
      </w:r>
      <w:r w:rsidR="00355F0B" w:rsidRPr="00E57E65">
        <w:rPr>
          <w:rFonts w:ascii="Times New Roman" w:eastAsia="Times New Roman" w:hAnsi="Times New Roman" w:cs="Times New Roman"/>
          <w:sz w:val="20"/>
          <w:szCs w:val="20"/>
          <w:lang w:bidi="ar-EG"/>
        </w:rPr>
        <w:t>ed cut-off level of more than 5</w:t>
      </w:r>
      <w:r w:rsidR="00885028" w:rsidRPr="00E57E65">
        <w:rPr>
          <w:rFonts w:ascii="Times New Roman" w:eastAsia="Times New Roman" w:hAnsi="Times New Roman" w:cs="Times New Roman"/>
          <w:sz w:val="20"/>
          <w:szCs w:val="20"/>
          <w:lang w:bidi="ar-EG"/>
        </w:rPr>
        <w:t xml:space="preserve"> for indicating malignancy.</w:t>
      </w:r>
      <w:r w:rsidR="00842AFD">
        <w:rPr>
          <w:rFonts w:ascii="Times New Roman" w:eastAsia="Times New Roman" w:hAnsi="Times New Roman" w:cs="Times New Roman"/>
          <w:sz w:val="20"/>
          <w:szCs w:val="20"/>
          <w:lang w:bidi="ar-EG"/>
        </w:rPr>
        <w:t xml:space="preserve"> </w:t>
      </w:r>
      <w:r w:rsidR="00885028" w:rsidRPr="00E57E65">
        <w:rPr>
          <w:rFonts w:ascii="Times New Roman" w:eastAsia="Times New Roman" w:hAnsi="Times New Roman" w:cs="Times New Roman"/>
          <w:sz w:val="20"/>
          <w:szCs w:val="20"/>
          <w:lang w:bidi="ar-EG"/>
        </w:rPr>
        <w:t xml:space="preserve">The methods for </w:t>
      </w:r>
      <w:r w:rsidR="00355F0B" w:rsidRPr="00E57E65">
        <w:rPr>
          <w:rFonts w:ascii="Times New Roman" w:eastAsia="Times New Roman" w:hAnsi="Times New Roman" w:cs="Times New Roman"/>
          <w:sz w:val="20"/>
          <w:szCs w:val="20"/>
          <w:lang w:bidi="ar-EG"/>
        </w:rPr>
        <w:t>Edessy ovarian cancer score</w:t>
      </w:r>
      <w:r w:rsidR="00885028" w:rsidRPr="00E57E65">
        <w:rPr>
          <w:rFonts w:ascii="Times New Roman" w:eastAsia="Times New Roman" w:hAnsi="Times New Roman" w:cs="Times New Roman"/>
          <w:sz w:val="20"/>
          <w:szCs w:val="20"/>
          <w:lang w:bidi="ar-EG"/>
        </w:rPr>
        <w:t xml:space="preserve"> calculation were as follows:</w:t>
      </w:r>
      <w:r w:rsidR="00842AFD">
        <w:rPr>
          <w:rFonts w:ascii="Times New Roman" w:eastAsia="Times New Roman" w:hAnsi="Times New Roman" w:cs="Times New Roman"/>
          <w:sz w:val="20"/>
          <w:szCs w:val="20"/>
          <w:lang w:bidi="ar-EG"/>
        </w:rPr>
        <w:t xml:space="preserve"> </w:t>
      </w:r>
      <w:r w:rsidR="00355F0B" w:rsidRPr="00E57E65">
        <w:rPr>
          <w:rFonts w:ascii="Times New Roman" w:eastAsia="Times New Roman" w:hAnsi="Times New Roman" w:cs="Times New Roman"/>
          <w:sz w:val="20"/>
          <w:szCs w:val="20"/>
          <w:lang w:bidi="ar-EG"/>
        </w:rPr>
        <w:t>EOCS = U + A + C + B + P</w:t>
      </w:r>
      <w:r w:rsidR="00885028" w:rsidRPr="00E57E65">
        <w:rPr>
          <w:rFonts w:ascii="Times New Roman" w:eastAsia="Times New Roman" w:hAnsi="Times New Roman" w:cs="Times New Roman"/>
          <w:sz w:val="20"/>
          <w:szCs w:val="20"/>
          <w:lang w:bidi="ar-EG"/>
        </w:rPr>
        <w:t xml:space="preserve">. </w:t>
      </w:r>
      <w:r w:rsidR="008C5892" w:rsidRPr="00E57E65">
        <w:rPr>
          <w:rFonts w:ascii="Times New Roman" w:eastAsia="Times New Roman" w:hAnsi="Times New Roman" w:cs="Times New Roman"/>
          <w:sz w:val="20"/>
          <w:szCs w:val="20"/>
          <w:lang w:bidi="ar-EG"/>
        </w:rPr>
        <w:t>The collected data were computerized and statistically analyzed using SPSS program (Statistical Package for Social Science) version 18.0. Qualitative data were represented as frequencies and relative percentages. Chi square test was used to calculate difference between qualitative variables in different groups. Reliability data were calculated using: Sensitivity</w:t>
      </w:r>
      <w:r w:rsidR="00842AFD" w:rsidRPr="00E57E65">
        <w:rPr>
          <w:rFonts w:ascii="Times New Roman" w:eastAsia="Times New Roman" w:hAnsi="Times New Roman" w:cs="Times New Roman"/>
          <w:sz w:val="20"/>
          <w:szCs w:val="20"/>
          <w:lang w:bidi="ar-EG"/>
        </w:rPr>
        <w:t>,</w:t>
      </w:r>
      <w:r w:rsidR="008C5892" w:rsidRPr="00E57E65">
        <w:rPr>
          <w:rFonts w:ascii="Times New Roman" w:eastAsia="Times New Roman" w:hAnsi="Times New Roman" w:cs="Times New Roman"/>
          <w:sz w:val="20"/>
          <w:szCs w:val="20"/>
          <w:lang w:bidi="ar-EG"/>
        </w:rPr>
        <w:t xml:space="preserve"> Specificity</w:t>
      </w:r>
      <w:r w:rsidR="00842AFD" w:rsidRPr="00E57E65">
        <w:rPr>
          <w:rFonts w:ascii="Times New Roman" w:eastAsia="Times New Roman" w:hAnsi="Times New Roman" w:cs="Times New Roman"/>
          <w:sz w:val="20"/>
          <w:szCs w:val="20"/>
          <w:lang w:bidi="ar-EG"/>
        </w:rPr>
        <w:t>,</w:t>
      </w:r>
      <w:r w:rsidR="008C5892" w:rsidRPr="00E57E65">
        <w:rPr>
          <w:rFonts w:ascii="Times New Roman" w:eastAsia="Times New Roman" w:hAnsi="Times New Roman" w:cs="Times New Roman"/>
          <w:sz w:val="20"/>
          <w:szCs w:val="20"/>
          <w:lang w:bidi="ar-EG"/>
        </w:rPr>
        <w:t xml:space="preserve"> Accuracy &amp; positive predictive and negative predictive value</w:t>
      </w:r>
      <w:r w:rsidR="00842AFD" w:rsidRPr="00E57E65">
        <w:rPr>
          <w:rFonts w:ascii="Times New Roman" w:eastAsia="Times New Roman" w:hAnsi="Times New Roman" w:cs="Times New Roman"/>
          <w:sz w:val="20"/>
          <w:szCs w:val="20"/>
          <w:lang w:bidi="ar-EG"/>
        </w:rPr>
        <w:t>.</w:t>
      </w:r>
      <w:r w:rsidR="008C5892" w:rsidRPr="00E57E65">
        <w:rPr>
          <w:rFonts w:ascii="Times New Roman" w:eastAsia="Times New Roman" w:hAnsi="Times New Roman" w:cs="Times New Roman"/>
          <w:sz w:val="20"/>
          <w:szCs w:val="20"/>
          <w:lang w:bidi="ar-EG"/>
        </w:rPr>
        <w:t xml:space="preserve"> </w:t>
      </w:r>
      <w:r w:rsidR="00355F0B" w:rsidRPr="00E57E65">
        <w:rPr>
          <w:rFonts w:ascii="Times New Roman" w:eastAsia="Times New Roman" w:hAnsi="Times New Roman" w:cs="Times New Roman"/>
          <w:sz w:val="20"/>
          <w:szCs w:val="20"/>
          <w:lang w:bidi="ar-EG"/>
        </w:rPr>
        <w:t>P value less than 0.05 was considered statistically significant</w:t>
      </w:r>
      <w:r w:rsidR="00EC2CF9" w:rsidRPr="00E57E65">
        <w:rPr>
          <w:rFonts w:ascii="Times New Roman" w:eastAsia="Times New Roman" w:hAnsi="Times New Roman" w:cs="Times New Roman"/>
          <w:sz w:val="20"/>
          <w:szCs w:val="20"/>
          <w:lang w:bidi="ar-EG"/>
        </w:rPr>
        <w:t>. The histopathological diagnosis was considered as the gold standard for defining the outcomes. Tumors were classified according to World Health Organization definitions (1973).</w:t>
      </w:r>
    </w:p>
    <w:p w:rsidR="009C5BD9" w:rsidRPr="00E57E65" w:rsidRDefault="009C5BD9" w:rsidP="00E57E65">
      <w:pPr>
        <w:bidi w:val="0"/>
        <w:snapToGrid w:val="0"/>
        <w:spacing w:after="0" w:line="240" w:lineRule="auto"/>
        <w:jc w:val="both"/>
        <w:rPr>
          <w:rFonts w:ascii="Times New Roman" w:hAnsi="Times New Roman" w:cs="Times New Roman"/>
          <w:sz w:val="20"/>
          <w:szCs w:val="14"/>
          <w:lang w:bidi="ar-EG"/>
        </w:rPr>
      </w:pPr>
    </w:p>
    <w:p w:rsidR="00EC2CF9" w:rsidRPr="009F6B81" w:rsidRDefault="001E78FB" w:rsidP="00E57E65">
      <w:pPr>
        <w:bidi w:val="0"/>
        <w:snapToGrid w:val="0"/>
        <w:spacing w:after="0" w:line="240" w:lineRule="auto"/>
        <w:jc w:val="both"/>
        <w:rPr>
          <w:rFonts w:ascii="Times New Roman" w:hAnsi="Times New Roman" w:cs="Times New Roman"/>
          <w:b/>
          <w:bCs/>
          <w:sz w:val="20"/>
          <w:szCs w:val="20"/>
          <w:lang w:bidi="ar-EG"/>
        </w:rPr>
      </w:pPr>
      <w:r w:rsidRPr="00E57E65">
        <w:rPr>
          <w:rFonts w:ascii="Times New Roman" w:hAnsi="Times New Roman" w:cs="Times New Roman"/>
          <w:b/>
          <w:bCs/>
          <w:sz w:val="20"/>
          <w:szCs w:val="20"/>
          <w:lang w:bidi="ar-EG"/>
        </w:rPr>
        <w:t>3. Result</w:t>
      </w:r>
    </w:p>
    <w:p w:rsidR="009F6B81" w:rsidRPr="00E57E65" w:rsidRDefault="009F6B81" w:rsidP="009F6B81">
      <w:pPr>
        <w:bidi w:val="0"/>
        <w:snapToGrid w:val="0"/>
        <w:spacing w:after="0" w:line="240" w:lineRule="auto"/>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The suggested score had a good negative predictive value in comparison with its positive predictive value making this score to be used as a good negative test in prediction of ovarian cancer and improving preoperative diagnosis.</w:t>
      </w:r>
      <w:r>
        <w:rPr>
          <w:rFonts w:ascii="Times New Roman" w:hAnsi="Times New Roman" w:cs="Times New Roman"/>
          <w:sz w:val="20"/>
          <w:szCs w:val="20"/>
          <w:lang w:bidi="ar-EG"/>
        </w:rPr>
        <w:t xml:space="preserve"> </w:t>
      </w:r>
      <w:r w:rsidRPr="00E57E65">
        <w:rPr>
          <w:rFonts w:ascii="Times New Roman" w:hAnsi="Times New Roman" w:cs="Times New Roman"/>
          <w:sz w:val="20"/>
          <w:szCs w:val="20"/>
          <w:lang w:bidi="ar-EG"/>
        </w:rPr>
        <w:t>In our study we found that the suggested score had a good sensitivity and specificity when compared with other scores.</w:t>
      </w:r>
      <w:r>
        <w:rPr>
          <w:rFonts w:ascii="Times New Roman" w:hAnsi="Times New Roman" w:cs="Times New Roman"/>
          <w:sz w:val="20"/>
          <w:szCs w:val="20"/>
          <w:lang w:bidi="ar-EG"/>
        </w:rPr>
        <w:t xml:space="preserve"> </w:t>
      </w:r>
      <w:r w:rsidRPr="00E57E65">
        <w:rPr>
          <w:rFonts w:ascii="Times New Roman" w:hAnsi="Times New Roman" w:cs="Times New Roman"/>
          <w:sz w:val="20"/>
          <w:szCs w:val="20"/>
          <w:lang w:bidi="ar-EG"/>
        </w:rPr>
        <w:t>We think that malignancy risk indices is more reliable than the menopausal status, serum CA­125 levels, ultrasound features and tumor size separately in detecting malignancy.</w:t>
      </w:r>
    </w:p>
    <w:p w:rsidR="001E78FB" w:rsidRDefault="009F6B81" w:rsidP="009F6B81">
      <w:pPr>
        <w:bidi w:val="0"/>
        <w:snapToGrid w:val="0"/>
        <w:spacing w:after="0" w:line="240" w:lineRule="auto"/>
        <w:ind w:firstLine="425"/>
        <w:jc w:val="both"/>
        <w:rPr>
          <w:rFonts w:ascii="Times New Roman" w:hAnsi="Times New Roman" w:cs="Times New Roman" w:hint="eastAsia"/>
          <w:sz w:val="20"/>
          <w:szCs w:val="20"/>
          <w:lang w:eastAsia="zh-CN" w:bidi="ar-EG"/>
        </w:rPr>
      </w:pPr>
      <w:r w:rsidRPr="00E57E65">
        <w:rPr>
          <w:rFonts w:ascii="Times New Roman" w:hAnsi="Times New Roman" w:cs="Times New Roman"/>
          <w:sz w:val="20"/>
          <w:szCs w:val="20"/>
          <w:lang w:bidi="ar-EG"/>
        </w:rPr>
        <w:t>There were 200 women included in the study.</w:t>
      </w:r>
      <w:r>
        <w:rPr>
          <w:rFonts w:ascii="Times New Roman" w:hAnsi="Times New Roman" w:cs="Times New Roman"/>
          <w:sz w:val="20"/>
          <w:szCs w:val="20"/>
          <w:lang w:bidi="ar-EG"/>
        </w:rPr>
        <w:t xml:space="preserve"> </w:t>
      </w:r>
      <w:r w:rsidRPr="00E57E65">
        <w:rPr>
          <w:rFonts w:ascii="Times New Roman" w:hAnsi="Times New Roman" w:cs="Times New Roman"/>
          <w:sz w:val="20"/>
          <w:szCs w:val="20"/>
          <w:lang w:bidi="ar-EG"/>
        </w:rPr>
        <w:t>Table 2 shows patients’ characteristics. For the histological examination, 47 of 200 patients (23.5%) had malignant, and 153 (76.5%) had benign disease.</w:t>
      </w:r>
      <w:r>
        <w:rPr>
          <w:rFonts w:ascii="Times New Roman" w:hAnsi="Times New Roman" w:cs="Times New Roman"/>
          <w:sz w:val="20"/>
          <w:szCs w:val="20"/>
          <w:lang w:bidi="ar-EG"/>
        </w:rPr>
        <w:t xml:space="preserve"> </w:t>
      </w:r>
      <w:r w:rsidRPr="00E57E65">
        <w:rPr>
          <w:rFonts w:ascii="Times New Roman" w:hAnsi="Times New Roman" w:cs="Times New Roman"/>
          <w:sz w:val="20"/>
          <w:szCs w:val="20"/>
          <w:lang w:bidi="ar-EG"/>
        </w:rPr>
        <w:t xml:space="preserve">The distribution of histological diagnoses is shown in Table 3. </w:t>
      </w:r>
    </w:p>
    <w:p w:rsidR="009F6B81" w:rsidRPr="009F6B81" w:rsidRDefault="009F6B81" w:rsidP="009F6B81">
      <w:pPr>
        <w:bidi w:val="0"/>
        <w:snapToGrid w:val="0"/>
        <w:spacing w:after="0" w:line="240" w:lineRule="auto"/>
        <w:ind w:firstLine="425"/>
        <w:jc w:val="both"/>
        <w:rPr>
          <w:rFonts w:ascii="Times New Roman" w:hAnsi="Times New Roman" w:cs="Times New Roman" w:hint="eastAsia"/>
          <w:sz w:val="20"/>
          <w:szCs w:val="20"/>
          <w:lang w:eastAsia="zh-CN" w:bidi="ar-EG"/>
        </w:rPr>
      </w:pPr>
    </w:p>
    <w:p w:rsidR="001E78FB" w:rsidRPr="009F6B81" w:rsidRDefault="001E78FB" w:rsidP="00E57E65">
      <w:pPr>
        <w:bidi w:val="0"/>
        <w:snapToGrid w:val="0"/>
        <w:spacing w:after="0" w:line="240" w:lineRule="auto"/>
        <w:jc w:val="center"/>
        <w:rPr>
          <w:rFonts w:ascii="Times New Roman" w:eastAsia="Calibri" w:hAnsi="Times New Roman" w:cs="Times New Roman"/>
          <w:iCs/>
          <w:sz w:val="20"/>
          <w:szCs w:val="20"/>
        </w:rPr>
      </w:pPr>
      <w:r w:rsidRPr="009F6B81">
        <w:rPr>
          <w:rFonts w:ascii="Times New Roman" w:eastAsia="Calibri" w:hAnsi="Times New Roman" w:cs="Times New Roman"/>
          <w:iCs/>
          <w:sz w:val="20"/>
          <w:szCs w:val="20"/>
        </w:rPr>
        <w:t>Table (2): Demographic data of the studied group:</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147"/>
        <w:gridCol w:w="2245"/>
        <w:gridCol w:w="1230"/>
      </w:tblGrid>
      <w:tr w:rsidR="001E78FB" w:rsidRPr="009F6B81" w:rsidTr="009F6B81">
        <w:trPr>
          <w:trHeight w:val="146"/>
          <w:jc w:val="center"/>
        </w:trPr>
        <w:tc>
          <w:tcPr>
            <w:tcW w:w="3668" w:type="pct"/>
            <w:gridSpan w:val="2"/>
            <w:tcBorders>
              <w:left w:val="nil"/>
              <w:bottom w:val="single" w:sz="12" w:space="0" w:color="auto"/>
              <w:right w:val="nil"/>
            </w:tcBorders>
            <w:shd w:val="clear" w:color="auto" w:fill="D9D9D9"/>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Variable</w:t>
            </w:r>
          </w:p>
        </w:tc>
        <w:tc>
          <w:tcPr>
            <w:tcW w:w="1332" w:type="pct"/>
            <w:tcBorders>
              <w:left w:val="nil"/>
              <w:right w:val="nil"/>
            </w:tcBorders>
            <w:shd w:val="clear" w:color="auto" w:fill="D9D9D9"/>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w:t>
            </w:r>
            <w:r w:rsidRPr="009F6B81">
              <w:rPr>
                <w:rFonts w:ascii="Times New Roman" w:eastAsia="Times New Roman" w:hAnsi="Times New Roman" w:cs="Times New Roman"/>
                <w:i/>
                <w:iCs/>
                <w:color w:val="000000"/>
                <w:sz w:val="20"/>
                <w:szCs w:val="20"/>
              </w:rPr>
              <w:t>n</w:t>
            </w:r>
            <w:r w:rsidRPr="009F6B81">
              <w:rPr>
                <w:rFonts w:ascii="Times New Roman" w:eastAsia="Times New Roman" w:hAnsi="Times New Roman" w:cs="Times New Roman"/>
                <w:color w:val="000000"/>
                <w:sz w:val="20"/>
                <w:szCs w:val="20"/>
              </w:rPr>
              <w:t>=200)</w:t>
            </w:r>
          </w:p>
        </w:tc>
      </w:tr>
      <w:tr w:rsidR="001E78FB" w:rsidRPr="009F6B81" w:rsidTr="009F6B81">
        <w:trPr>
          <w:trHeight w:val="197"/>
          <w:jc w:val="center"/>
        </w:trPr>
        <w:tc>
          <w:tcPr>
            <w:tcW w:w="1240" w:type="pct"/>
            <w:tcBorders>
              <w:left w:val="nil"/>
              <w:right w:val="nil"/>
            </w:tcBorders>
            <w:shd w:val="clear" w:color="auto" w:fill="FFFFFF"/>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Age</w:t>
            </w:r>
          </w:p>
        </w:tc>
        <w:tc>
          <w:tcPr>
            <w:tcW w:w="2429" w:type="pct"/>
            <w:tcBorders>
              <w:left w:val="nil"/>
              <w:right w:val="nil"/>
            </w:tcBorders>
            <w:shd w:val="clear" w:color="auto" w:fill="FFFFFF"/>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35</w:t>
            </w:r>
            <w:r w:rsidR="00842AFD" w:rsidRPr="009F6B81">
              <w:rPr>
                <w:rFonts w:ascii="Times New Roman" w:eastAsia="Times New Roman" w:hAnsi="Times New Roman" w:cs="Times New Roman"/>
                <w:i/>
                <w:iCs/>
                <w:color w:val="000000"/>
                <w:sz w:val="20"/>
                <w:szCs w:val="20"/>
              </w:rPr>
              <w:t>:</w:t>
            </w:r>
            <w:r w:rsidRPr="009F6B81">
              <w:rPr>
                <w:rFonts w:ascii="Times New Roman" w:eastAsia="Times New Roman" w:hAnsi="Times New Roman" w:cs="Times New Roman"/>
                <w:i/>
                <w:iCs/>
                <w:color w:val="000000"/>
                <w:sz w:val="20"/>
                <w:szCs w:val="20"/>
              </w:rPr>
              <w:t xml:space="preserve"> 44 years</w:t>
            </w:r>
            <w:r w:rsidR="00842AFD" w:rsidRPr="009F6B81">
              <w:rPr>
                <w:rFonts w:ascii="Times New Roman" w:eastAsia="Times New Roman" w:hAnsi="Times New Roman" w:cs="Times New Roman"/>
                <w:i/>
                <w:iCs/>
                <w:color w:val="000000"/>
                <w:sz w:val="20"/>
                <w:szCs w:val="20"/>
              </w:rPr>
              <w:t xml:space="preserve"> </w:t>
            </w:r>
            <w:r w:rsidRPr="009F6B81">
              <w:rPr>
                <w:rFonts w:ascii="Times New Roman" w:eastAsia="Times New Roman" w:hAnsi="Times New Roman" w:cs="Times New Roman"/>
                <w:i/>
                <w:iCs/>
                <w:color w:val="000000"/>
                <w:sz w:val="20"/>
                <w:szCs w:val="20"/>
              </w:rPr>
              <w:t>N(%)</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45</w:t>
            </w:r>
            <w:r w:rsidR="00842AFD" w:rsidRPr="009F6B81">
              <w:rPr>
                <w:rFonts w:ascii="Times New Roman" w:eastAsia="Times New Roman" w:hAnsi="Times New Roman" w:cs="Times New Roman"/>
                <w:i/>
                <w:iCs/>
                <w:color w:val="000000"/>
                <w:sz w:val="20"/>
                <w:szCs w:val="20"/>
              </w:rPr>
              <w:t>:</w:t>
            </w:r>
            <w:r w:rsidRPr="009F6B81">
              <w:rPr>
                <w:rFonts w:ascii="Times New Roman" w:eastAsia="Times New Roman" w:hAnsi="Times New Roman" w:cs="Times New Roman"/>
                <w:i/>
                <w:iCs/>
                <w:color w:val="000000"/>
                <w:sz w:val="20"/>
                <w:szCs w:val="20"/>
              </w:rPr>
              <w:t xml:space="preserve"> 55 years</w:t>
            </w:r>
            <w:r w:rsidR="00842AFD" w:rsidRPr="009F6B81">
              <w:rPr>
                <w:rFonts w:ascii="Times New Roman" w:eastAsia="Times New Roman" w:hAnsi="Times New Roman" w:cs="Times New Roman"/>
                <w:i/>
                <w:iCs/>
                <w:color w:val="000000"/>
                <w:sz w:val="20"/>
                <w:szCs w:val="20"/>
              </w:rPr>
              <w:t xml:space="preserve"> </w:t>
            </w:r>
            <w:r w:rsidRPr="009F6B81">
              <w:rPr>
                <w:rFonts w:ascii="Times New Roman" w:eastAsia="Times New Roman" w:hAnsi="Times New Roman" w:cs="Times New Roman"/>
                <w:i/>
                <w:iCs/>
                <w:color w:val="000000"/>
                <w:sz w:val="20"/>
                <w:szCs w:val="20"/>
              </w:rPr>
              <w:t>N(%)</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i/>
                <w:iCs/>
                <w:color w:val="000000"/>
                <w:sz w:val="20"/>
                <w:szCs w:val="20"/>
              </w:rPr>
              <w:t>56</w:t>
            </w:r>
            <w:r w:rsidR="00842AFD" w:rsidRPr="009F6B81">
              <w:rPr>
                <w:rFonts w:ascii="Times New Roman" w:eastAsia="Times New Roman" w:hAnsi="Times New Roman" w:cs="Times New Roman"/>
                <w:i/>
                <w:iCs/>
                <w:color w:val="000000"/>
                <w:sz w:val="20"/>
                <w:szCs w:val="20"/>
              </w:rPr>
              <w:t>:</w:t>
            </w:r>
            <w:r w:rsidRPr="009F6B81">
              <w:rPr>
                <w:rFonts w:ascii="Times New Roman" w:eastAsia="Times New Roman" w:hAnsi="Times New Roman" w:cs="Times New Roman"/>
                <w:i/>
                <w:iCs/>
                <w:color w:val="000000"/>
                <w:sz w:val="20"/>
                <w:szCs w:val="20"/>
              </w:rPr>
              <w:t xml:space="preserve"> 62 years</w:t>
            </w:r>
            <w:r w:rsidR="00842AFD" w:rsidRPr="009F6B81">
              <w:rPr>
                <w:rFonts w:ascii="Times New Roman" w:eastAsia="Times New Roman" w:hAnsi="Times New Roman" w:cs="Times New Roman"/>
                <w:i/>
                <w:iCs/>
                <w:color w:val="000000"/>
                <w:sz w:val="20"/>
                <w:szCs w:val="20"/>
              </w:rPr>
              <w:t xml:space="preserve"> </w:t>
            </w:r>
            <w:r w:rsidRPr="009F6B81">
              <w:rPr>
                <w:rFonts w:ascii="Times New Roman" w:eastAsia="Times New Roman" w:hAnsi="Times New Roman" w:cs="Times New Roman"/>
                <w:i/>
                <w:iCs/>
                <w:color w:val="000000"/>
                <w:sz w:val="20"/>
                <w:szCs w:val="20"/>
              </w:rPr>
              <w:t>N(%)</w:t>
            </w:r>
          </w:p>
        </w:tc>
        <w:tc>
          <w:tcPr>
            <w:tcW w:w="1332" w:type="pct"/>
            <w:tcBorders>
              <w:left w:val="nil"/>
              <w:right w:val="nil"/>
            </w:tcBorders>
            <w:shd w:val="clear" w:color="auto" w:fill="FFFFFF"/>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77 (38.5%)</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89 (44.5%)</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rPr>
              <w:t>34 (17%)</w:t>
            </w:r>
          </w:p>
        </w:tc>
      </w:tr>
      <w:tr w:rsidR="001E78FB" w:rsidRPr="009F6B81" w:rsidTr="009F6B81">
        <w:trPr>
          <w:trHeight w:val="306"/>
          <w:jc w:val="center"/>
        </w:trPr>
        <w:tc>
          <w:tcPr>
            <w:tcW w:w="1240" w:type="pct"/>
            <w:tcBorders>
              <w:top w:val="single" w:sz="12" w:space="0" w:color="auto"/>
              <w:left w:val="nil"/>
              <w:bottom w:val="single" w:sz="12" w:space="0" w:color="auto"/>
              <w:right w:val="nil"/>
            </w:tcBorders>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Residence</w:t>
            </w:r>
          </w:p>
        </w:tc>
        <w:tc>
          <w:tcPr>
            <w:tcW w:w="2429" w:type="pct"/>
            <w:tcBorders>
              <w:top w:val="single" w:sz="12" w:space="0" w:color="auto"/>
              <w:left w:val="nil"/>
              <w:bottom w:val="single" w:sz="12" w:space="0" w:color="auto"/>
              <w:right w:val="nil"/>
            </w:tcBorders>
            <w:shd w:val="clear" w:color="auto" w:fill="auto"/>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Rural</w:t>
            </w:r>
            <w:r w:rsidR="009F6B81" w:rsidRPr="009F6B81">
              <w:rPr>
                <w:rFonts w:ascii="Times New Roman" w:hAnsi="Times New Roman" w:cs="Times New Roman" w:hint="eastAsia"/>
                <w:i/>
                <w:iCs/>
                <w:color w:val="000000"/>
                <w:sz w:val="20"/>
                <w:szCs w:val="20"/>
                <w:lang w:eastAsia="zh-CN"/>
              </w:rPr>
              <w:t xml:space="preserve"> </w:t>
            </w:r>
            <w:r w:rsidRPr="009F6B81">
              <w:rPr>
                <w:rFonts w:ascii="Times New Roman" w:eastAsia="Times New Roman" w:hAnsi="Times New Roman" w:cs="Times New Roman"/>
                <w:i/>
                <w:iCs/>
                <w:color w:val="000000"/>
                <w:sz w:val="20"/>
                <w:szCs w:val="20"/>
              </w:rPr>
              <w:t>N(%)</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lang w:bidi="ar-EG"/>
              </w:rPr>
            </w:pPr>
            <w:r w:rsidRPr="009F6B81">
              <w:rPr>
                <w:rFonts w:ascii="Times New Roman" w:eastAsia="Times New Roman" w:hAnsi="Times New Roman" w:cs="Times New Roman"/>
                <w:i/>
                <w:iCs/>
                <w:color w:val="000000"/>
                <w:sz w:val="20"/>
                <w:szCs w:val="20"/>
              </w:rPr>
              <w:t>Urban</w:t>
            </w:r>
            <w:r w:rsidR="00842AFD" w:rsidRPr="009F6B81">
              <w:rPr>
                <w:rFonts w:ascii="Times New Roman" w:eastAsia="Times New Roman" w:hAnsi="Times New Roman" w:cs="Times New Roman"/>
                <w:i/>
                <w:iCs/>
                <w:color w:val="000000"/>
                <w:sz w:val="20"/>
                <w:szCs w:val="20"/>
              </w:rPr>
              <w:t xml:space="preserve"> </w:t>
            </w:r>
            <w:r w:rsidRPr="009F6B81">
              <w:rPr>
                <w:rFonts w:ascii="Times New Roman" w:eastAsia="Times New Roman" w:hAnsi="Times New Roman" w:cs="Times New Roman"/>
                <w:i/>
                <w:iCs/>
                <w:color w:val="000000"/>
                <w:sz w:val="20"/>
                <w:szCs w:val="20"/>
              </w:rPr>
              <w:t>N(%)</w:t>
            </w:r>
          </w:p>
        </w:tc>
        <w:tc>
          <w:tcPr>
            <w:tcW w:w="1332" w:type="pct"/>
            <w:tcBorders>
              <w:left w:val="nil"/>
              <w:right w:val="nil"/>
            </w:tcBorders>
            <w:shd w:val="clear" w:color="auto" w:fill="auto"/>
            <w:vAlign w:val="center"/>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106 (53%)</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94 (47%)</w:t>
            </w:r>
          </w:p>
        </w:tc>
      </w:tr>
      <w:tr w:rsidR="001E78FB" w:rsidRPr="009F6B81" w:rsidTr="009F6B81">
        <w:trPr>
          <w:trHeight w:val="306"/>
          <w:jc w:val="center"/>
        </w:trPr>
        <w:tc>
          <w:tcPr>
            <w:tcW w:w="1240" w:type="pct"/>
            <w:tcBorders>
              <w:top w:val="single" w:sz="12" w:space="0" w:color="auto"/>
              <w:left w:val="nil"/>
              <w:bottom w:val="single" w:sz="12" w:space="0" w:color="auto"/>
              <w:right w:val="nil"/>
            </w:tcBorders>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Parity</w:t>
            </w:r>
          </w:p>
        </w:tc>
        <w:tc>
          <w:tcPr>
            <w:tcW w:w="2429" w:type="pct"/>
            <w:tcBorders>
              <w:top w:val="single" w:sz="12" w:space="0" w:color="auto"/>
              <w:left w:val="nil"/>
              <w:bottom w:val="single" w:sz="12" w:space="0" w:color="auto"/>
              <w:right w:val="nil"/>
            </w:tcBorders>
            <w:shd w:val="clear" w:color="auto" w:fill="auto"/>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Nullipara</w:t>
            </w:r>
            <w:r w:rsidR="00842AFD" w:rsidRPr="009F6B81">
              <w:rPr>
                <w:rFonts w:ascii="Times New Roman" w:eastAsia="Times New Roman" w:hAnsi="Times New Roman" w:cs="Times New Roman"/>
                <w:i/>
                <w:iCs/>
                <w:color w:val="000000"/>
                <w:sz w:val="20"/>
                <w:szCs w:val="20"/>
              </w:rPr>
              <w:t xml:space="preserve"> </w:t>
            </w:r>
            <w:r w:rsidRPr="009F6B81">
              <w:rPr>
                <w:rFonts w:ascii="Times New Roman" w:eastAsia="Times New Roman" w:hAnsi="Times New Roman" w:cs="Times New Roman"/>
                <w:i/>
                <w:iCs/>
                <w:color w:val="000000"/>
                <w:sz w:val="20"/>
                <w:szCs w:val="20"/>
              </w:rPr>
              <w:t>N(%)</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1st or 2nd para</w:t>
            </w:r>
            <w:r w:rsidR="009F6B81" w:rsidRPr="009F6B81">
              <w:rPr>
                <w:rFonts w:ascii="Times New Roman" w:hAnsi="Times New Roman" w:cs="Times New Roman" w:hint="eastAsia"/>
                <w:i/>
                <w:iCs/>
                <w:color w:val="000000"/>
                <w:sz w:val="20"/>
                <w:szCs w:val="20"/>
                <w:lang w:eastAsia="zh-CN"/>
              </w:rPr>
              <w:t xml:space="preserve"> </w:t>
            </w:r>
            <w:r w:rsidRPr="009F6B81">
              <w:rPr>
                <w:rFonts w:ascii="Times New Roman" w:eastAsia="Times New Roman" w:hAnsi="Times New Roman" w:cs="Times New Roman"/>
                <w:i/>
                <w:iCs/>
                <w:color w:val="000000"/>
                <w:sz w:val="20"/>
                <w:szCs w:val="20"/>
              </w:rPr>
              <w:t>N(%)</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3rd para or more</w:t>
            </w:r>
            <w:r w:rsidR="009F6B81" w:rsidRPr="009F6B81">
              <w:rPr>
                <w:rFonts w:ascii="Times New Roman" w:hAnsi="Times New Roman" w:cs="Times New Roman" w:hint="eastAsia"/>
                <w:i/>
                <w:iCs/>
                <w:color w:val="000000"/>
                <w:sz w:val="20"/>
                <w:szCs w:val="20"/>
                <w:lang w:eastAsia="zh-CN"/>
              </w:rPr>
              <w:t xml:space="preserve"> </w:t>
            </w:r>
            <w:r w:rsidRPr="009F6B81">
              <w:rPr>
                <w:rFonts w:ascii="Times New Roman" w:eastAsia="Times New Roman" w:hAnsi="Times New Roman" w:cs="Times New Roman"/>
                <w:i/>
                <w:iCs/>
                <w:color w:val="000000"/>
                <w:sz w:val="20"/>
                <w:szCs w:val="20"/>
              </w:rPr>
              <w:t>N(%)</w:t>
            </w:r>
          </w:p>
        </w:tc>
        <w:tc>
          <w:tcPr>
            <w:tcW w:w="1332" w:type="pct"/>
            <w:tcBorders>
              <w:left w:val="nil"/>
              <w:right w:val="nil"/>
            </w:tcBorders>
            <w:shd w:val="clear" w:color="auto" w:fill="auto"/>
            <w:vAlign w:val="center"/>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108 (54%)</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40 (20%)</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52 (26%)</w:t>
            </w:r>
          </w:p>
        </w:tc>
      </w:tr>
      <w:tr w:rsidR="001E78FB" w:rsidRPr="009F6B81" w:rsidTr="009F6B81">
        <w:trPr>
          <w:trHeight w:val="113"/>
          <w:jc w:val="center"/>
        </w:trPr>
        <w:tc>
          <w:tcPr>
            <w:tcW w:w="1240" w:type="pct"/>
            <w:tcBorders>
              <w:top w:val="single" w:sz="12" w:space="0" w:color="auto"/>
              <w:left w:val="nil"/>
              <w:bottom w:val="single" w:sz="12" w:space="0" w:color="auto"/>
              <w:right w:val="nil"/>
            </w:tcBorders>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Smoking</w:t>
            </w:r>
          </w:p>
        </w:tc>
        <w:tc>
          <w:tcPr>
            <w:tcW w:w="2429" w:type="pct"/>
            <w:tcBorders>
              <w:top w:val="single" w:sz="12" w:space="0" w:color="auto"/>
              <w:left w:val="nil"/>
              <w:bottom w:val="single" w:sz="12" w:space="0" w:color="auto"/>
              <w:right w:val="nil"/>
            </w:tcBorders>
            <w:shd w:val="clear" w:color="auto" w:fill="auto"/>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N(%)</w:t>
            </w:r>
          </w:p>
        </w:tc>
        <w:tc>
          <w:tcPr>
            <w:tcW w:w="1332" w:type="pct"/>
            <w:tcBorders>
              <w:left w:val="nil"/>
              <w:right w:val="nil"/>
            </w:tcBorders>
            <w:shd w:val="clear" w:color="auto" w:fill="auto"/>
            <w:vAlign w:val="center"/>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13 (6.5%)</w:t>
            </w:r>
          </w:p>
        </w:tc>
      </w:tr>
    </w:tbl>
    <w:p w:rsidR="001E78FB" w:rsidRPr="009F6B81" w:rsidRDefault="001E78FB" w:rsidP="00E57E65">
      <w:pPr>
        <w:bidi w:val="0"/>
        <w:snapToGrid w:val="0"/>
        <w:spacing w:after="0" w:line="240" w:lineRule="auto"/>
        <w:ind w:firstLine="425"/>
        <w:jc w:val="both"/>
        <w:rPr>
          <w:rFonts w:ascii="Times New Roman" w:eastAsia="Calibri" w:hAnsi="Times New Roman" w:cs="Times New Roman"/>
          <w:i/>
          <w:iCs/>
          <w:sz w:val="20"/>
          <w:szCs w:val="20"/>
        </w:rPr>
      </w:pPr>
    </w:p>
    <w:p w:rsidR="00E57E65" w:rsidRPr="009F6B81" w:rsidRDefault="00E57E65" w:rsidP="00E57E65">
      <w:pPr>
        <w:bidi w:val="0"/>
        <w:snapToGrid w:val="0"/>
        <w:spacing w:after="0" w:line="240" w:lineRule="auto"/>
        <w:jc w:val="center"/>
        <w:rPr>
          <w:rFonts w:ascii="Times New Roman" w:hAnsi="Times New Roman" w:cs="Times New Roman"/>
          <w:i/>
          <w:iCs/>
          <w:sz w:val="20"/>
          <w:szCs w:val="20"/>
          <w:lang w:eastAsia="zh-CN"/>
        </w:rPr>
      </w:pPr>
    </w:p>
    <w:p w:rsidR="001E78FB" w:rsidRPr="009F6B81" w:rsidRDefault="001E78FB" w:rsidP="00E57E65">
      <w:pPr>
        <w:bidi w:val="0"/>
        <w:snapToGrid w:val="0"/>
        <w:spacing w:after="0" w:line="240" w:lineRule="auto"/>
        <w:jc w:val="center"/>
        <w:rPr>
          <w:rFonts w:ascii="Times New Roman" w:eastAsia="Calibri" w:hAnsi="Times New Roman" w:cs="Times New Roman"/>
          <w:iCs/>
          <w:sz w:val="20"/>
          <w:szCs w:val="20"/>
        </w:rPr>
      </w:pPr>
      <w:r w:rsidRPr="009F6B81">
        <w:rPr>
          <w:rFonts w:ascii="Times New Roman" w:eastAsia="Calibri" w:hAnsi="Times New Roman" w:cs="Times New Roman"/>
          <w:iCs/>
          <w:sz w:val="20"/>
          <w:szCs w:val="20"/>
        </w:rPr>
        <w:t>Table (3): Pathology results among the studied group:</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3373"/>
        <w:gridCol w:w="1249"/>
      </w:tblGrid>
      <w:tr w:rsidR="001E78FB" w:rsidRPr="009F6B81" w:rsidTr="009F6B81">
        <w:trPr>
          <w:trHeight w:val="168"/>
          <w:jc w:val="center"/>
        </w:trPr>
        <w:tc>
          <w:tcPr>
            <w:tcW w:w="3649" w:type="pct"/>
            <w:tcBorders>
              <w:left w:val="nil"/>
              <w:bottom w:val="single" w:sz="12" w:space="0" w:color="auto"/>
              <w:right w:val="nil"/>
            </w:tcBorders>
            <w:shd w:val="clear" w:color="auto" w:fill="D9D9D9"/>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Variable</w:t>
            </w:r>
          </w:p>
        </w:tc>
        <w:tc>
          <w:tcPr>
            <w:tcW w:w="1351" w:type="pct"/>
            <w:tcBorders>
              <w:left w:val="nil"/>
              <w:right w:val="nil"/>
            </w:tcBorders>
            <w:shd w:val="clear" w:color="auto" w:fill="D9D9D9"/>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N (%)</w:t>
            </w:r>
          </w:p>
        </w:tc>
      </w:tr>
      <w:tr w:rsidR="001E78FB" w:rsidRPr="009F6B81" w:rsidTr="009F6B81">
        <w:trPr>
          <w:trHeight w:val="227"/>
          <w:jc w:val="center"/>
        </w:trPr>
        <w:tc>
          <w:tcPr>
            <w:tcW w:w="3649" w:type="pct"/>
            <w:tcBorders>
              <w:left w:val="nil"/>
              <w:right w:val="nil"/>
            </w:tcBorders>
            <w:shd w:val="clear" w:color="auto" w:fill="FFFFFF"/>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color w:val="000000"/>
                <w:sz w:val="20"/>
                <w:szCs w:val="20"/>
              </w:rPr>
              <w:t>Benign</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Serous cyst adenoma</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Mucinous cyst adenoma</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Simple serous cyst</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Endometriotic cyst</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Dermoid cyst</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Tubo-ovarian abcess</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Retension cyst</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Fibroma</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Luteoma</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i/>
                <w:iCs/>
                <w:color w:val="000000"/>
                <w:sz w:val="20"/>
                <w:szCs w:val="20"/>
              </w:rPr>
              <w:t>Polycystic ovary</w:t>
            </w:r>
          </w:p>
        </w:tc>
        <w:tc>
          <w:tcPr>
            <w:tcW w:w="1351" w:type="pct"/>
            <w:tcBorders>
              <w:left w:val="nil"/>
              <w:right w:val="nil"/>
            </w:tcBorders>
            <w:shd w:val="clear" w:color="auto" w:fill="FFFFFF"/>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(n=153)</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53(34.6%)</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24(15.7%)</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24(15.7%)</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19(12.4%)</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9(5.9%)</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8(5.2%)</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8(5.2%)</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3(2.0%)</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3(2.0%)</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rPr>
              <w:t>2(1.3%)</w:t>
            </w:r>
          </w:p>
        </w:tc>
      </w:tr>
      <w:tr w:rsidR="001E78FB" w:rsidRPr="009F6B81" w:rsidTr="009F6B81">
        <w:trPr>
          <w:trHeight w:val="27"/>
          <w:jc w:val="center"/>
        </w:trPr>
        <w:tc>
          <w:tcPr>
            <w:tcW w:w="3649" w:type="pct"/>
            <w:tcBorders>
              <w:top w:val="single" w:sz="12" w:space="0" w:color="auto"/>
              <w:left w:val="nil"/>
              <w:bottom w:val="single" w:sz="12" w:space="0" w:color="auto"/>
              <w:right w:val="nil"/>
            </w:tcBorders>
            <w:shd w:val="clear" w:color="auto" w:fill="auto"/>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color w:val="000000"/>
                <w:sz w:val="20"/>
                <w:szCs w:val="20"/>
              </w:rPr>
              <w:t>Malignant</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Serous adenocarcinoma</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Mucinous adenocarcinoma</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Papillary cyst-adenocarcinoma</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Undifferentiated carcinoma</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Poorly differentiated serous adenocarcinoma</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rPr>
            </w:pPr>
            <w:r w:rsidRPr="009F6B81">
              <w:rPr>
                <w:rFonts w:ascii="Times New Roman" w:eastAsia="Times New Roman" w:hAnsi="Times New Roman" w:cs="Times New Roman"/>
                <w:i/>
                <w:iCs/>
                <w:color w:val="000000"/>
                <w:sz w:val="20"/>
                <w:szCs w:val="20"/>
              </w:rPr>
              <w:t>Clear cell carcinoma</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i/>
                <w:iCs/>
                <w:color w:val="000000"/>
                <w:sz w:val="20"/>
                <w:szCs w:val="20"/>
                <w:lang w:bidi="ar-EG"/>
              </w:rPr>
            </w:pPr>
            <w:r w:rsidRPr="009F6B81">
              <w:rPr>
                <w:rFonts w:ascii="Times New Roman" w:eastAsia="Times New Roman" w:hAnsi="Times New Roman" w:cs="Times New Roman"/>
                <w:i/>
                <w:iCs/>
                <w:color w:val="000000"/>
                <w:sz w:val="20"/>
                <w:szCs w:val="20"/>
              </w:rPr>
              <w:t>Endometroid carcinoma</w:t>
            </w:r>
          </w:p>
        </w:tc>
        <w:tc>
          <w:tcPr>
            <w:tcW w:w="1351" w:type="pct"/>
            <w:tcBorders>
              <w:left w:val="nil"/>
              <w:right w:val="nil"/>
            </w:tcBorders>
            <w:shd w:val="clear" w:color="auto" w:fill="auto"/>
            <w:vAlign w:val="center"/>
          </w:tcPr>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(n=47)</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21(44.7%)</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16(34.0%)</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5(10.6%)</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2(4.3%)</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1(2.1%)</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1(2.1%)</w:t>
            </w:r>
          </w:p>
          <w:p w:rsidR="001E78FB" w:rsidRPr="009F6B81" w:rsidRDefault="001E78FB" w:rsidP="00E57E65">
            <w:pPr>
              <w:autoSpaceDE w:val="0"/>
              <w:autoSpaceDN w:val="0"/>
              <w:bidi w:val="0"/>
              <w:adjustRightInd w:val="0"/>
              <w:snapToGrid w:val="0"/>
              <w:spacing w:after="0" w:line="240" w:lineRule="auto"/>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1(2.1%)</w:t>
            </w:r>
          </w:p>
        </w:tc>
      </w:tr>
    </w:tbl>
    <w:p w:rsidR="00E57E65" w:rsidRDefault="00E57E65" w:rsidP="00E57E65">
      <w:pPr>
        <w:bidi w:val="0"/>
        <w:snapToGrid w:val="0"/>
        <w:spacing w:after="0" w:line="240" w:lineRule="auto"/>
        <w:ind w:firstLine="425"/>
        <w:jc w:val="both"/>
        <w:rPr>
          <w:rFonts w:ascii="Times New Roman" w:hAnsi="Times New Roman" w:cs="Times New Roman" w:hint="eastAsia"/>
          <w:sz w:val="20"/>
          <w:szCs w:val="20"/>
          <w:lang w:eastAsia="zh-CN" w:bidi="ar-EG"/>
        </w:rPr>
      </w:pPr>
    </w:p>
    <w:p w:rsidR="00373CFB" w:rsidRPr="00E57E65" w:rsidRDefault="009F6B81" w:rsidP="00373CFB">
      <w:pPr>
        <w:bidi w:val="0"/>
        <w:snapToGrid w:val="0"/>
        <w:spacing w:after="0" w:line="240" w:lineRule="auto"/>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 xml:space="preserve">Univariate analysis showed that there were statistically significant differences between the benign, </w:t>
      </w:r>
      <w:r w:rsidRPr="00E57E65">
        <w:rPr>
          <w:rFonts w:ascii="Times New Roman" w:hAnsi="Times New Roman" w:cs="Times New Roman"/>
          <w:sz w:val="20"/>
          <w:szCs w:val="20"/>
          <w:lang w:bidi="ar-EG"/>
        </w:rPr>
        <w:lastRenderedPageBreak/>
        <w:t>and malignant group in these factors: Parity, BMI, and CA 125.</w:t>
      </w:r>
      <w:r>
        <w:rPr>
          <w:rFonts w:ascii="Times New Roman" w:hAnsi="Times New Roman" w:cs="Times New Roman"/>
          <w:sz w:val="20"/>
          <w:szCs w:val="20"/>
          <w:lang w:bidi="ar-EG"/>
        </w:rPr>
        <w:t xml:space="preserve"> </w:t>
      </w:r>
      <w:r w:rsidRPr="00E57E65">
        <w:rPr>
          <w:rFonts w:ascii="Times New Roman" w:hAnsi="Times New Roman" w:cs="Times New Roman"/>
          <w:sz w:val="20"/>
          <w:szCs w:val="20"/>
          <w:lang w:bidi="ar-EG"/>
        </w:rPr>
        <w:t xml:space="preserve">The results of evaluation by EOCS are summarized in Table 4. By using a cut-off level more than 5 to indicate malignancy, the EOCS gave sensitivity of 83%, specificity of 79.1%, positive predictive value of 54.9%, and negative predictive value of 93.8% (Table 5). Table 6 shows after </w:t>
      </w:r>
      <w:r w:rsidRPr="00E57E65">
        <w:rPr>
          <w:rFonts w:ascii="Times New Roman" w:hAnsi="Times New Roman" w:cs="Times New Roman"/>
          <w:sz w:val="20"/>
          <w:szCs w:val="20"/>
          <w:lang w:bidi="ar-EG"/>
        </w:rPr>
        <w:lastRenderedPageBreak/>
        <w:t>application of binary Logistic regression analysis for detection of significant risk factors of malignant ovarian lesions it was found that the significant risk factors were nulliparity, smoking, abdominal enlargement, CA 125 level more than 35 U/ml, ascites, lesions more than 10 cm, very high risk by US and score more than 5.</w:t>
      </w:r>
    </w:p>
    <w:p w:rsidR="00E57E65" w:rsidRPr="00E57E65" w:rsidRDefault="00E57E65" w:rsidP="00E57E65">
      <w:pPr>
        <w:bidi w:val="0"/>
        <w:snapToGrid w:val="0"/>
        <w:spacing w:after="0" w:line="240" w:lineRule="auto"/>
        <w:ind w:firstLine="425"/>
        <w:jc w:val="both"/>
        <w:rPr>
          <w:rFonts w:ascii="Times New Roman" w:eastAsia="Times New Roman" w:hAnsi="Times New Roman" w:cs="Times New Roman"/>
          <w:sz w:val="20"/>
          <w:szCs w:val="20"/>
          <w:lang w:bidi="ar-EG"/>
        </w:rPr>
        <w:sectPr w:rsidR="00E57E65" w:rsidRPr="00E57E65" w:rsidSect="00E57E65">
          <w:type w:val="continuous"/>
          <w:pgSz w:w="12242" w:h="15842" w:code="1"/>
          <w:pgMar w:top="1440" w:right="1440" w:bottom="1440" w:left="1440" w:header="720" w:footer="720" w:gutter="0"/>
          <w:cols w:num="2" w:space="550"/>
          <w:docGrid w:linePitch="360"/>
        </w:sectPr>
      </w:pPr>
    </w:p>
    <w:p w:rsidR="00C34617" w:rsidRPr="00E57E65" w:rsidRDefault="00C34617" w:rsidP="00E57E65">
      <w:pPr>
        <w:pStyle w:val="NoSpacing"/>
        <w:snapToGrid w:val="0"/>
        <w:ind w:firstLine="425"/>
        <w:jc w:val="both"/>
        <w:rPr>
          <w:rFonts w:ascii="Times New Roman" w:eastAsia="Calibri" w:hAnsi="Times New Roman" w:cs="Times New Roman"/>
          <w:sz w:val="20"/>
          <w:szCs w:val="16"/>
        </w:rPr>
      </w:pPr>
    </w:p>
    <w:p w:rsidR="00D0036E" w:rsidRPr="00E57E65" w:rsidRDefault="00D0036E" w:rsidP="00E57E65">
      <w:pPr>
        <w:pStyle w:val="NoSpacing"/>
        <w:snapToGrid w:val="0"/>
        <w:jc w:val="center"/>
        <w:rPr>
          <w:rFonts w:ascii="Times New Roman" w:eastAsia="Calibri" w:hAnsi="Times New Roman" w:cs="Times New Roman"/>
          <w:b/>
          <w:bCs/>
          <w:sz w:val="20"/>
          <w:szCs w:val="16"/>
        </w:rPr>
      </w:pPr>
      <w:r w:rsidRPr="00E57E65">
        <w:rPr>
          <w:rFonts w:ascii="Times New Roman" w:eastAsia="Calibri" w:hAnsi="Times New Roman" w:cs="Times New Roman"/>
          <w:b/>
          <w:bCs/>
          <w:sz w:val="20"/>
          <w:szCs w:val="16"/>
        </w:rPr>
        <w:t>Table (4): Comparison between benign and malignant cases in studied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7"/>
        <w:gridCol w:w="1847"/>
        <w:gridCol w:w="1639"/>
        <w:gridCol w:w="1742"/>
        <w:gridCol w:w="1804"/>
        <w:gridCol w:w="979"/>
      </w:tblGrid>
      <w:tr w:rsidR="00D0036E" w:rsidRPr="009F6B81" w:rsidTr="009F6B81">
        <w:trPr>
          <w:jc w:val="center"/>
        </w:trPr>
        <w:tc>
          <w:tcPr>
            <w:tcW w:w="0" w:type="auto"/>
            <w:gridSpan w:val="2"/>
            <w:shd w:val="clear" w:color="auto" w:fill="D9D9D9"/>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Variable</w:t>
            </w:r>
          </w:p>
        </w:tc>
        <w:tc>
          <w:tcPr>
            <w:tcW w:w="0" w:type="auto"/>
            <w:shd w:val="clear" w:color="auto" w:fill="D9D9D9"/>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Total</w:t>
            </w:r>
            <w:r w:rsidR="00373CFB" w:rsidRPr="009F6B81">
              <w:rPr>
                <w:rFonts w:ascii="Times New Roman" w:hAnsi="Times New Roman" w:cs="Times New Roman" w:hint="eastAsia"/>
                <w:color w:val="000000"/>
                <w:sz w:val="20"/>
                <w:szCs w:val="20"/>
                <w:lang w:eastAsia="zh-CN"/>
              </w:rPr>
              <w:t xml:space="preserve"> </w:t>
            </w:r>
            <w:r w:rsidRPr="009F6B81">
              <w:rPr>
                <w:rFonts w:ascii="Times New Roman" w:eastAsia="Times New Roman" w:hAnsi="Times New Roman" w:cs="Times New Roman"/>
                <w:color w:val="000000"/>
                <w:sz w:val="20"/>
                <w:szCs w:val="20"/>
              </w:rPr>
              <w:t>(n=200)</w:t>
            </w:r>
            <w:r w:rsidR="00373CFB" w:rsidRPr="009F6B81">
              <w:rPr>
                <w:rFonts w:ascii="Times New Roman" w:hAnsi="Times New Roman" w:cs="Times New Roman" w:hint="eastAsia"/>
                <w:color w:val="000000"/>
                <w:sz w:val="20"/>
                <w:szCs w:val="20"/>
                <w:lang w:eastAsia="zh-CN"/>
              </w:rPr>
              <w:t xml:space="preserve"> </w:t>
            </w:r>
            <w:r w:rsidRPr="009F6B81">
              <w:rPr>
                <w:rFonts w:ascii="Times New Roman" w:eastAsia="Times New Roman" w:hAnsi="Times New Roman" w:cs="Times New Roman"/>
                <w:color w:val="000000"/>
                <w:sz w:val="20"/>
                <w:szCs w:val="20"/>
              </w:rPr>
              <w:t>N (%)</w:t>
            </w:r>
          </w:p>
        </w:tc>
        <w:tc>
          <w:tcPr>
            <w:tcW w:w="0" w:type="auto"/>
            <w:shd w:val="clear" w:color="auto" w:fill="D9D9D9"/>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Benign</w:t>
            </w:r>
            <w:r w:rsidR="00373CFB" w:rsidRPr="009F6B81">
              <w:rPr>
                <w:rFonts w:ascii="Times New Roman" w:hAnsi="Times New Roman" w:cs="Times New Roman" w:hint="eastAsia"/>
                <w:color w:val="000000"/>
                <w:sz w:val="20"/>
                <w:szCs w:val="20"/>
                <w:lang w:eastAsia="zh-CN"/>
              </w:rPr>
              <w:t xml:space="preserve"> </w:t>
            </w:r>
            <w:r w:rsidRPr="009F6B81">
              <w:rPr>
                <w:rFonts w:ascii="Times New Roman" w:eastAsia="Times New Roman" w:hAnsi="Times New Roman" w:cs="Times New Roman"/>
                <w:color w:val="000000"/>
                <w:sz w:val="20"/>
                <w:szCs w:val="20"/>
              </w:rPr>
              <w:t>(n=153)</w:t>
            </w:r>
            <w:r w:rsidR="00373CFB" w:rsidRPr="009F6B81">
              <w:rPr>
                <w:rFonts w:ascii="Times New Roman" w:hAnsi="Times New Roman" w:cs="Times New Roman" w:hint="eastAsia"/>
                <w:color w:val="000000"/>
                <w:sz w:val="20"/>
                <w:szCs w:val="20"/>
                <w:lang w:eastAsia="zh-CN"/>
              </w:rPr>
              <w:t xml:space="preserve"> </w:t>
            </w:r>
            <w:r w:rsidRPr="009F6B81">
              <w:rPr>
                <w:rFonts w:ascii="Times New Roman" w:eastAsia="Times New Roman" w:hAnsi="Times New Roman" w:cs="Times New Roman"/>
                <w:color w:val="000000"/>
                <w:sz w:val="20"/>
                <w:szCs w:val="20"/>
              </w:rPr>
              <w:t>N (%)</w:t>
            </w:r>
          </w:p>
        </w:tc>
        <w:tc>
          <w:tcPr>
            <w:tcW w:w="0" w:type="auto"/>
            <w:shd w:val="clear" w:color="auto" w:fill="D9D9D9"/>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Malignant</w:t>
            </w:r>
            <w:r w:rsidR="00373CFB" w:rsidRPr="009F6B81">
              <w:rPr>
                <w:rFonts w:ascii="Times New Roman" w:hAnsi="Times New Roman" w:cs="Times New Roman" w:hint="eastAsia"/>
                <w:color w:val="000000"/>
                <w:sz w:val="20"/>
                <w:szCs w:val="20"/>
                <w:lang w:eastAsia="zh-CN"/>
              </w:rPr>
              <w:t xml:space="preserve"> </w:t>
            </w:r>
            <w:r w:rsidRPr="009F6B81">
              <w:rPr>
                <w:rFonts w:ascii="Times New Roman" w:eastAsia="Times New Roman" w:hAnsi="Times New Roman" w:cs="Times New Roman"/>
                <w:color w:val="000000"/>
                <w:sz w:val="20"/>
                <w:szCs w:val="20"/>
              </w:rPr>
              <w:t>(n=47)</w:t>
            </w:r>
            <w:r w:rsidR="00373CFB" w:rsidRPr="009F6B81">
              <w:rPr>
                <w:rFonts w:ascii="Times New Roman" w:hAnsi="Times New Roman" w:cs="Times New Roman" w:hint="eastAsia"/>
                <w:color w:val="000000"/>
                <w:sz w:val="20"/>
                <w:szCs w:val="20"/>
                <w:lang w:eastAsia="zh-CN"/>
              </w:rPr>
              <w:t xml:space="preserve"> </w:t>
            </w:r>
            <w:r w:rsidRPr="009F6B81">
              <w:rPr>
                <w:rFonts w:ascii="Times New Roman" w:eastAsia="Times New Roman" w:hAnsi="Times New Roman" w:cs="Times New Roman"/>
                <w:color w:val="000000"/>
                <w:sz w:val="20"/>
                <w:szCs w:val="20"/>
              </w:rPr>
              <w:t>N (%)</w:t>
            </w:r>
          </w:p>
        </w:tc>
        <w:tc>
          <w:tcPr>
            <w:tcW w:w="0" w:type="auto"/>
            <w:shd w:val="clear" w:color="auto" w:fill="D9D9D9"/>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P#</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Age</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35</w:t>
            </w:r>
            <w:r w:rsidR="00842AFD" w:rsidRPr="009F6B81">
              <w:rPr>
                <w:rFonts w:ascii="Times New Roman" w:eastAsia="Times New Roman" w:hAnsi="Times New Roman" w:cs="Times New Roman"/>
                <w:color w:val="000000"/>
                <w:sz w:val="20"/>
                <w:szCs w:val="20"/>
              </w:rPr>
              <w:t>:</w:t>
            </w:r>
            <w:r w:rsidRPr="009F6B81">
              <w:rPr>
                <w:rFonts w:ascii="Times New Roman" w:eastAsia="Times New Roman" w:hAnsi="Times New Roman" w:cs="Times New Roman"/>
                <w:color w:val="000000"/>
                <w:sz w:val="20"/>
                <w:szCs w:val="20"/>
              </w:rPr>
              <w:t xml:space="preserve"> 44 years</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45</w:t>
            </w:r>
            <w:r w:rsidR="00842AFD" w:rsidRPr="009F6B81">
              <w:rPr>
                <w:rFonts w:ascii="Times New Roman" w:eastAsia="Times New Roman" w:hAnsi="Times New Roman" w:cs="Times New Roman"/>
                <w:color w:val="000000"/>
                <w:sz w:val="20"/>
                <w:szCs w:val="20"/>
              </w:rPr>
              <w:t>:</w:t>
            </w:r>
            <w:r w:rsidRPr="009F6B81">
              <w:rPr>
                <w:rFonts w:ascii="Times New Roman" w:eastAsia="Times New Roman" w:hAnsi="Times New Roman" w:cs="Times New Roman"/>
                <w:color w:val="000000"/>
                <w:sz w:val="20"/>
                <w:szCs w:val="20"/>
              </w:rPr>
              <w:t xml:space="preserve"> 55 years</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56</w:t>
            </w:r>
            <w:r w:rsidR="00842AFD" w:rsidRPr="009F6B81">
              <w:rPr>
                <w:rFonts w:ascii="Times New Roman" w:eastAsia="Times New Roman" w:hAnsi="Times New Roman" w:cs="Times New Roman"/>
                <w:color w:val="000000"/>
                <w:sz w:val="20"/>
                <w:szCs w:val="20"/>
              </w:rPr>
              <w:t>:</w:t>
            </w:r>
            <w:r w:rsidRPr="009F6B81">
              <w:rPr>
                <w:rFonts w:ascii="Times New Roman" w:eastAsia="Times New Roman" w:hAnsi="Times New Roman" w:cs="Times New Roman"/>
                <w:color w:val="000000"/>
                <w:sz w:val="20"/>
                <w:szCs w:val="20"/>
              </w:rPr>
              <w:t xml:space="preserve"> 62 years</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77 (38.5%)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89 (44.5%)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rPr>
              <w:t>34 (17%)</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65 (42.5%)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64 (41.8%)</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24 (15.7%)</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12 (25.5%)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25 (53.2%)</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10 (21.3%)</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0.17</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0.37</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Residence</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Rural</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Urban</w:t>
            </w:r>
          </w:p>
        </w:tc>
        <w:tc>
          <w:tcPr>
            <w:tcW w:w="0" w:type="auto"/>
            <w:shd w:val="clear" w:color="auto" w:fill="auto"/>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106 (53%)</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94 (47%)</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87 (56.9%)</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66 (43.1%)</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19 (40.4%)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28 (59.6%)</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0.04*</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Parity</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Nulli-para</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1st or 2nd para</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3rd para or more</w:t>
            </w:r>
          </w:p>
        </w:tc>
        <w:tc>
          <w:tcPr>
            <w:tcW w:w="0" w:type="auto"/>
            <w:shd w:val="clear" w:color="auto" w:fill="auto"/>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108 (54%)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40 (20%)</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52 (26%)</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72 (47.1%)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32 (20.9%)</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49 (32.0%)</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36 (76.6%)</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8 (17.0%)</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vertAlign w:val="superscript"/>
                <w:lang w:bidi="ar-EG"/>
              </w:rPr>
            </w:pPr>
            <w:r w:rsidRPr="009F6B81">
              <w:rPr>
                <w:rFonts w:ascii="Times New Roman" w:eastAsia="Times New Roman" w:hAnsi="Times New Roman" w:cs="Times New Roman"/>
                <w:color w:val="000000"/>
                <w:sz w:val="20"/>
                <w:szCs w:val="20"/>
                <w:lang w:bidi="ar-EG"/>
              </w:rPr>
              <w:t>3 (6.4%)</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&lt;0.001**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0.56</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&lt;0.001**</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Smoking</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p>
        </w:tc>
        <w:tc>
          <w:tcPr>
            <w:tcW w:w="0" w:type="auto"/>
            <w:shd w:val="clear" w:color="auto" w:fill="auto"/>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13 (6.5%)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 (2.0%)</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10 (21.3%)</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&lt;0.001**</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History</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Pelvic pain</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Abdominal pain</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Abdominal bloating</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Menstrual irregularity</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Constipation</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Dyspareunia</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Abdominal enlargement</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112 (56%)</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75 (37.5%)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110 (55%)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115 (57.5%)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67(33.5%)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70 (35%)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92 (46%)</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91(59.5%)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53(34.6%)</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76(49.7%)</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83(54.2%)</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51(33.3%)</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52(34.0%)</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59(38.6%)</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21(44.7%)</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2(46.8%)2</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34(72.3%)</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32(68.1%)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16(34.0%)</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18(38.3%)</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33(70.2%)</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0.07</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0.13</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0.006**</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0.09</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0.93</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0.59</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vertAlign w:val="superscript"/>
                <w:lang w:bidi="ar-EG"/>
              </w:rPr>
            </w:pPr>
            <w:r w:rsidRPr="009F6B81">
              <w:rPr>
                <w:rFonts w:ascii="Times New Roman" w:eastAsia="Times New Roman" w:hAnsi="Times New Roman" w:cs="Times New Roman"/>
                <w:color w:val="000000"/>
                <w:sz w:val="20"/>
                <w:szCs w:val="20"/>
                <w:lang w:bidi="ar-EG"/>
              </w:rPr>
              <w:t>&lt;0.001**</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Comorbidity</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DM</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HPT</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23 (11.5%)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42 (21%)</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16 (10.5%)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33 (21.6%)</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 (14.9%)</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9 (19.1%)</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0.72</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vertAlign w:val="superscript"/>
                <w:lang w:bidi="ar-EG"/>
              </w:rPr>
            </w:pPr>
            <w:r w:rsidRPr="009F6B81">
              <w:rPr>
                <w:rFonts w:ascii="Times New Roman" w:eastAsia="Times New Roman" w:hAnsi="Times New Roman" w:cs="Times New Roman"/>
                <w:color w:val="000000"/>
                <w:sz w:val="20"/>
                <w:szCs w:val="20"/>
                <w:lang w:bidi="ar-EG"/>
              </w:rPr>
              <w:t>0.40</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BMI</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 25 Kg /m2</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25</w:t>
            </w:r>
            <w:r w:rsidR="00842AFD" w:rsidRPr="009F6B81">
              <w:rPr>
                <w:rFonts w:ascii="Times New Roman" w:eastAsia="Times New Roman" w:hAnsi="Times New Roman" w:cs="Times New Roman"/>
                <w:color w:val="000000"/>
                <w:sz w:val="20"/>
                <w:szCs w:val="20"/>
              </w:rPr>
              <w:t>:</w:t>
            </w:r>
            <w:r w:rsidRPr="009F6B81">
              <w:rPr>
                <w:rFonts w:ascii="Times New Roman" w:eastAsia="Times New Roman" w:hAnsi="Times New Roman" w:cs="Times New Roman"/>
                <w:color w:val="000000"/>
                <w:sz w:val="20"/>
                <w:szCs w:val="20"/>
              </w:rPr>
              <w:t xml:space="preserve"> 35 Kg /m2</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 35 Kg /m2</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82 (41%)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77 (38.5%)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41 (20.5%)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71 (46.4%)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57 (37.3%)</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25 (16.3%)</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11 (23.4%)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20 (42.6%)</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16 (34.0%)</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&lt;0.001**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0.51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vertAlign w:val="superscript"/>
                <w:lang w:bidi="ar-EG"/>
              </w:rPr>
            </w:pPr>
            <w:r w:rsidRPr="009F6B81">
              <w:rPr>
                <w:rFonts w:ascii="Times New Roman" w:eastAsia="Times New Roman" w:hAnsi="Times New Roman" w:cs="Times New Roman"/>
                <w:color w:val="000000"/>
                <w:sz w:val="20"/>
                <w:szCs w:val="20"/>
                <w:lang w:bidi="ar-EG"/>
              </w:rPr>
              <w:t>&lt;0.001**</w:t>
            </w:r>
          </w:p>
        </w:tc>
      </w:tr>
      <w:tr w:rsidR="00D0036E" w:rsidRPr="009F6B81" w:rsidTr="009F6B81">
        <w:trPr>
          <w:jc w:val="center"/>
        </w:trPr>
        <w:tc>
          <w:tcPr>
            <w:tcW w:w="0" w:type="auto"/>
            <w:gridSpan w:val="2"/>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Abdominal Mass</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51 (25.5%)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33 (21.6%)</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18 (38.3%)</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0.02*</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CA 125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 35 U/ml</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35</w:t>
            </w:r>
            <w:r w:rsidR="00842AFD" w:rsidRPr="009F6B81">
              <w:rPr>
                <w:rFonts w:ascii="Times New Roman" w:eastAsia="Times New Roman" w:hAnsi="Times New Roman" w:cs="Times New Roman"/>
                <w:color w:val="000000"/>
                <w:sz w:val="20"/>
                <w:szCs w:val="20"/>
              </w:rPr>
              <w:t>:</w:t>
            </w:r>
            <w:r w:rsidRPr="009F6B81">
              <w:rPr>
                <w:rFonts w:ascii="Times New Roman" w:eastAsia="Times New Roman" w:hAnsi="Times New Roman" w:cs="Times New Roman"/>
                <w:color w:val="000000"/>
                <w:sz w:val="20"/>
                <w:szCs w:val="20"/>
              </w:rPr>
              <w:t xml:space="preserve"> 65 U/ml</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 65 U/ml</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92 (46%)</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87 (43.5%)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21 (10.5%)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81 (52.9%)</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63 (41.2%)</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9 (5.9%)</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11 (23.4%)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24 (51.1%)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12 (25.5%)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&lt;0.001**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0.23</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vertAlign w:val="superscript"/>
                <w:lang w:bidi="ar-EG"/>
              </w:rPr>
            </w:pPr>
            <w:r w:rsidRPr="009F6B81">
              <w:rPr>
                <w:rFonts w:ascii="Times New Roman" w:eastAsia="Times New Roman" w:hAnsi="Times New Roman" w:cs="Times New Roman"/>
                <w:color w:val="000000"/>
                <w:sz w:val="20"/>
                <w:szCs w:val="20"/>
                <w:lang w:bidi="ar-EG"/>
              </w:rPr>
              <w:t>&lt;0.001**</w:t>
            </w:r>
          </w:p>
        </w:tc>
      </w:tr>
      <w:tr w:rsidR="00373CFB" w:rsidRPr="009F6B81" w:rsidTr="009F6B81">
        <w:trPr>
          <w:jc w:val="center"/>
        </w:trPr>
        <w:tc>
          <w:tcPr>
            <w:tcW w:w="0" w:type="auto"/>
            <w:vMerge w:val="restart"/>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Sonograhic feature</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Unilateral</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Bilateral</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133(66.5%)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67(33.5%)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120(78.4%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33(21.6%)</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(27.7%)13</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(72.3%)34</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&lt;0.001**</w:t>
            </w:r>
          </w:p>
        </w:tc>
      </w:tr>
      <w:tr w:rsidR="00373CFB" w:rsidRPr="009F6B81" w:rsidTr="009F6B81">
        <w:trPr>
          <w:jc w:val="center"/>
        </w:trPr>
        <w:tc>
          <w:tcPr>
            <w:tcW w:w="0" w:type="auto"/>
            <w:vMerge/>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Unilocular</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Multilocular</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45(22.5%)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155(77.5%)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40(26.1%)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113(73.9%)</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5(10.6%)</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42(89.4%)</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0.03*</w:t>
            </w:r>
          </w:p>
        </w:tc>
      </w:tr>
      <w:tr w:rsidR="00373CFB" w:rsidRPr="009F6B81" w:rsidTr="009F6B81">
        <w:trPr>
          <w:jc w:val="center"/>
        </w:trPr>
        <w:tc>
          <w:tcPr>
            <w:tcW w:w="0" w:type="auto"/>
            <w:vMerge/>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Solid area</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 (3.5%)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4(2.6%)</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3(6.4%)</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0.22</w:t>
            </w:r>
          </w:p>
        </w:tc>
      </w:tr>
      <w:tr w:rsidR="00373CFB" w:rsidRPr="009F6B81" w:rsidTr="009F6B81">
        <w:trPr>
          <w:jc w:val="center"/>
        </w:trPr>
        <w:tc>
          <w:tcPr>
            <w:tcW w:w="0" w:type="auto"/>
            <w:vMerge/>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Ascities</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9 (4.5%)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1(0.7%)</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8(17%)</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&lt;0.001**</w:t>
            </w:r>
          </w:p>
        </w:tc>
      </w:tr>
      <w:tr w:rsidR="00373CFB" w:rsidRPr="009F6B81" w:rsidTr="009F6B81">
        <w:trPr>
          <w:jc w:val="center"/>
        </w:trPr>
        <w:tc>
          <w:tcPr>
            <w:tcW w:w="0" w:type="auto"/>
            <w:vMerge/>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Metastasis</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2(1%)</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2(4.3%)</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0.04*</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Size</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 6 cm</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6</w:t>
            </w:r>
            <w:r w:rsidR="00842AFD" w:rsidRPr="009F6B81">
              <w:rPr>
                <w:rFonts w:ascii="Times New Roman" w:eastAsia="Times New Roman" w:hAnsi="Times New Roman" w:cs="Times New Roman"/>
                <w:color w:val="000000"/>
                <w:sz w:val="20"/>
                <w:szCs w:val="20"/>
              </w:rPr>
              <w:t>:</w:t>
            </w:r>
            <w:r w:rsidRPr="009F6B81">
              <w:rPr>
                <w:rFonts w:ascii="Times New Roman" w:eastAsia="Times New Roman" w:hAnsi="Times New Roman" w:cs="Times New Roman"/>
                <w:color w:val="000000"/>
                <w:sz w:val="20"/>
                <w:szCs w:val="20"/>
              </w:rPr>
              <w:t xml:space="preserve"> 10 cm</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 10 cm</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37(18.5%)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93(46.5%)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70(35%)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34(22.2%)</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74(48.4%)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45(29.4%)</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3(6.4%)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19(40.4%)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25(53.2%)</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0.34</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vertAlign w:val="superscript"/>
                <w:lang w:bidi="ar-EG"/>
              </w:rPr>
            </w:pPr>
            <w:r w:rsidRPr="009F6B81">
              <w:rPr>
                <w:rFonts w:ascii="Times New Roman" w:eastAsia="Times New Roman" w:hAnsi="Times New Roman" w:cs="Times New Roman"/>
                <w:color w:val="000000"/>
                <w:sz w:val="20"/>
                <w:szCs w:val="20"/>
                <w:lang w:bidi="ar-EG"/>
              </w:rPr>
              <w:t>0.002**</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Sonographic risk</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Low risk</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High risk</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Very high risk</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36 (18%)</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93 (46.5%)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71 (35.5%)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34 (22.2%)</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85 (55.6%)</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34 (22.2%)</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2 (4.3%)</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8 (17.0%)</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37 (78.7%)</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0.005**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&lt;0.001**</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&lt;0.001**</w:t>
            </w:r>
          </w:p>
        </w:tc>
      </w:tr>
      <w:tr w:rsidR="00373CFB" w:rsidRPr="009F6B81" w:rsidTr="009F6B81">
        <w:trPr>
          <w:jc w:val="center"/>
        </w:trPr>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Score point</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0 – 5 (n=129)</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rPr>
            </w:pPr>
            <w:r w:rsidRPr="009F6B81">
              <w:rPr>
                <w:rFonts w:ascii="Times New Roman" w:eastAsia="Times New Roman" w:hAnsi="Times New Roman" w:cs="Times New Roman"/>
                <w:color w:val="000000"/>
                <w:sz w:val="20"/>
                <w:szCs w:val="20"/>
              </w:rPr>
              <w:t>6 – 10 (n=71)</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129 (64.5%)</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71 (35.5%)</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121 (93.8%)</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32 (45.1%)</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8 (6.2%)</w:t>
            </w:r>
          </w:p>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39 (54.9%)</w:t>
            </w:r>
          </w:p>
        </w:tc>
        <w:tc>
          <w:tcPr>
            <w:tcW w:w="0" w:type="auto"/>
            <w:shd w:val="clear" w:color="auto" w:fill="FFFFFF"/>
            <w:vAlign w:val="center"/>
          </w:tcPr>
          <w:p w:rsidR="00D0036E" w:rsidRPr="009F6B81" w:rsidRDefault="00D0036E" w:rsidP="00373CFB">
            <w:pPr>
              <w:pStyle w:val="NoSpacing"/>
              <w:snapToGrid w:val="0"/>
              <w:jc w:val="both"/>
              <w:rPr>
                <w:rFonts w:ascii="Times New Roman" w:eastAsia="Times New Roman" w:hAnsi="Times New Roman" w:cs="Times New Roman"/>
                <w:color w:val="000000"/>
                <w:sz w:val="20"/>
                <w:szCs w:val="20"/>
                <w:lang w:bidi="ar-EG"/>
              </w:rPr>
            </w:pPr>
            <w:r w:rsidRPr="009F6B81">
              <w:rPr>
                <w:rFonts w:ascii="Times New Roman" w:eastAsia="Times New Roman" w:hAnsi="Times New Roman" w:cs="Times New Roman"/>
                <w:color w:val="000000"/>
                <w:sz w:val="20"/>
                <w:szCs w:val="20"/>
                <w:lang w:bidi="ar-EG"/>
              </w:rPr>
              <w:t>&lt;0.001**</w:t>
            </w:r>
          </w:p>
        </w:tc>
      </w:tr>
    </w:tbl>
    <w:p w:rsidR="00373CFB" w:rsidRDefault="00373CFB">
      <w:pPr>
        <w:bidi w:val="0"/>
        <w:rPr>
          <w:rFonts w:ascii="Times New Roman" w:hAnsi="Times New Roman" w:cs="Times New Roman" w:hint="eastAsia"/>
          <w:sz w:val="20"/>
          <w:szCs w:val="16"/>
          <w:lang w:eastAsia="zh-CN" w:bidi="ar-EG"/>
        </w:rPr>
      </w:pPr>
    </w:p>
    <w:p w:rsidR="009F6B81" w:rsidRDefault="009F6B81" w:rsidP="009F6B81">
      <w:pPr>
        <w:bidi w:val="0"/>
        <w:rPr>
          <w:rFonts w:ascii="Times New Roman" w:hAnsi="Times New Roman" w:cs="Times New Roman" w:hint="eastAsia"/>
          <w:sz w:val="20"/>
          <w:szCs w:val="16"/>
          <w:lang w:eastAsia="zh-CN" w:bidi="ar-EG"/>
        </w:rPr>
      </w:pPr>
    </w:p>
    <w:p w:rsidR="005E6B0F" w:rsidRPr="00E57E65" w:rsidRDefault="005E6B0F" w:rsidP="00E57E65">
      <w:pPr>
        <w:pStyle w:val="NoSpacing"/>
        <w:snapToGrid w:val="0"/>
        <w:jc w:val="center"/>
        <w:rPr>
          <w:rFonts w:ascii="Times New Roman" w:hAnsi="Times New Roman" w:cs="Times New Roman"/>
          <w:sz w:val="20"/>
          <w:szCs w:val="16"/>
          <w:lang w:bidi="ar-EG"/>
        </w:rPr>
      </w:pPr>
      <w:r w:rsidRPr="00E57E65">
        <w:rPr>
          <w:rFonts w:ascii="Times New Roman" w:hAnsi="Times New Roman" w:cs="Times New Roman"/>
          <w:sz w:val="20"/>
          <w:szCs w:val="16"/>
          <w:lang w:bidi="ar-EG"/>
        </w:rPr>
        <w:t>Table 5</w:t>
      </w:r>
    </w:p>
    <w:tbl>
      <w:tblPr>
        <w:tblStyle w:val="TableGrid"/>
        <w:tblW w:w="0" w:type="auto"/>
        <w:jc w:val="center"/>
        <w:tblInd w:w="-432" w:type="dxa"/>
        <w:tblLook w:val="04A0"/>
      </w:tblPr>
      <w:tblGrid>
        <w:gridCol w:w="930"/>
        <w:gridCol w:w="1461"/>
        <w:gridCol w:w="1461"/>
        <w:gridCol w:w="793"/>
        <w:gridCol w:w="821"/>
        <w:gridCol w:w="1352"/>
        <w:gridCol w:w="850"/>
        <w:gridCol w:w="1286"/>
      </w:tblGrid>
      <w:tr w:rsidR="005E6B0F" w:rsidRPr="00E57E65" w:rsidTr="001340AE">
        <w:trPr>
          <w:trHeight w:val="70"/>
          <w:jc w:val="center"/>
        </w:trPr>
        <w:tc>
          <w:tcPr>
            <w:tcW w:w="930"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Cut off</w:t>
            </w:r>
          </w:p>
        </w:tc>
        <w:tc>
          <w:tcPr>
            <w:tcW w:w="1461"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Sensitivity</w:t>
            </w:r>
          </w:p>
        </w:tc>
        <w:tc>
          <w:tcPr>
            <w:tcW w:w="1461"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Specificity</w:t>
            </w:r>
          </w:p>
        </w:tc>
        <w:tc>
          <w:tcPr>
            <w:tcW w:w="793"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PPV</w:t>
            </w:r>
          </w:p>
        </w:tc>
        <w:tc>
          <w:tcPr>
            <w:tcW w:w="821"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NPV</w:t>
            </w:r>
          </w:p>
        </w:tc>
        <w:tc>
          <w:tcPr>
            <w:tcW w:w="1352"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Accuracy</w:t>
            </w:r>
          </w:p>
        </w:tc>
        <w:tc>
          <w:tcPr>
            <w:tcW w:w="850"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AUC</w:t>
            </w:r>
          </w:p>
        </w:tc>
        <w:tc>
          <w:tcPr>
            <w:tcW w:w="1286"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P value</w:t>
            </w:r>
          </w:p>
        </w:tc>
      </w:tr>
      <w:tr w:rsidR="005E6B0F" w:rsidRPr="00E57E65" w:rsidTr="001340AE">
        <w:trPr>
          <w:jc w:val="center"/>
        </w:trPr>
        <w:tc>
          <w:tcPr>
            <w:tcW w:w="930"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&gt; 5</w:t>
            </w:r>
          </w:p>
        </w:tc>
        <w:tc>
          <w:tcPr>
            <w:tcW w:w="1461"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83</w:t>
            </w:r>
          </w:p>
        </w:tc>
        <w:tc>
          <w:tcPr>
            <w:tcW w:w="1461"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79.1</w:t>
            </w:r>
          </w:p>
        </w:tc>
        <w:tc>
          <w:tcPr>
            <w:tcW w:w="793"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54.9</w:t>
            </w:r>
          </w:p>
        </w:tc>
        <w:tc>
          <w:tcPr>
            <w:tcW w:w="821"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93.8</w:t>
            </w:r>
          </w:p>
        </w:tc>
        <w:tc>
          <w:tcPr>
            <w:tcW w:w="1352"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80</w:t>
            </w:r>
          </w:p>
        </w:tc>
        <w:tc>
          <w:tcPr>
            <w:tcW w:w="850"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0.86</w:t>
            </w:r>
          </w:p>
        </w:tc>
        <w:tc>
          <w:tcPr>
            <w:tcW w:w="1286" w:type="dxa"/>
            <w:vAlign w:val="center"/>
          </w:tcPr>
          <w:p w:rsidR="005E6B0F" w:rsidRPr="00E57E65" w:rsidRDefault="005E6B0F" w:rsidP="00E57E65">
            <w:pPr>
              <w:pStyle w:val="NoSpacing"/>
              <w:snapToGrid w:val="0"/>
              <w:jc w:val="both"/>
              <w:rPr>
                <w:rFonts w:ascii="Times New Roman" w:hAnsi="Times New Roman" w:cs="Times New Roman"/>
                <w:color w:val="000000"/>
                <w:sz w:val="20"/>
                <w:szCs w:val="16"/>
              </w:rPr>
            </w:pPr>
            <w:r w:rsidRPr="00E57E65">
              <w:rPr>
                <w:rFonts w:ascii="Times New Roman" w:hAnsi="Times New Roman" w:cs="Times New Roman"/>
                <w:color w:val="000000"/>
                <w:sz w:val="20"/>
                <w:szCs w:val="16"/>
              </w:rPr>
              <w:t>&lt;0.001**</w:t>
            </w:r>
          </w:p>
        </w:tc>
      </w:tr>
    </w:tbl>
    <w:p w:rsidR="00665B3A" w:rsidRDefault="00665B3A" w:rsidP="00E57E65">
      <w:pPr>
        <w:pStyle w:val="NoSpacing"/>
        <w:snapToGrid w:val="0"/>
        <w:jc w:val="center"/>
        <w:rPr>
          <w:rFonts w:ascii="Times New Roman" w:hAnsi="Times New Roman" w:cs="Times New Roman" w:hint="eastAsia"/>
          <w:sz w:val="20"/>
          <w:szCs w:val="16"/>
          <w:lang w:eastAsia="zh-CN"/>
        </w:rPr>
      </w:pPr>
    </w:p>
    <w:p w:rsidR="009F6B81" w:rsidRPr="00E57E65" w:rsidRDefault="009F6B81" w:rsidP="00E57E65">
      <w:pPr>
        <w:pStyle w:val="NoSpacing"/>
        <w:snapToGrid w:val="0"/>
        <w:jc w:val="center"/>
        <w:rPr>
          <w:rFonts w:ascii="Times New Roman" w:hAnsi="Times New Roman" w:cs="Times New Roman" w:hint="eastAsia"/>
          <w:sz w:val="20"/>
          <w:szCs w:val="16"/>
          <w:lang w:eastAsia="zh-CN"/>
        </w:rPr>
      </w:pPr>
    </w:p>
    <w:p w:rsidR="009928C2" w:rsidRPr="00E57E65" w:rsidRDefault="009928C2" w:rsidP="00E57E65">
      <w:pPr>
        <w:pStyle w:val="NoSpacing"/>
        <w:snapToGrid w:val="0"/>
        <w:jc w:val="center"/>
        <w:rPr>
          <w:rFonts w:ascii="Times New Roman" w:hAnsi="Times New Roman" w:cs="Times New Roman"/>
          <w:b/>
          <w:bCs/>
          <w:sz w:val="20"/>
          <w:szCs w:val="16"/>
        </w:rPr>
      </w:pPr>
      <w:r w:rsidRPr="00E57E65">
        <w:rPr>
          <w:rFonts w:ascii="Times New Roman" w:hAnsi="Times New Roman" w:cs="Times New Roman"/>
          <w:b/>
          <w:bCs/>
          <w:sz w:val="20"/>
          <w:szCs w:val="16"/>
        </w:rPr>
        <w:t>Table -6 Logistic regression analysis for detection of significant risk factor of malignant ovarian lesions:</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3109"/>
        <w:gridCol w:w="742"/>
        <w:gridCol w:w="637"/>
        <w:gridCol w:w="793"/>
        <w:gridCol w:w="1280"/>
        <w:gridCol w:w="1008"/>
        <w:gridCol w:w="905"/>
        <w:gridCol w:w="948"/>
      </w:tblGrid>
      <w:tr w:rsidR="00665B3A" w:rsidRPr="00373CFB" w:rsidTr="009F6B81">
        <w:trPr>
          <w:cantSplit/>
          <w:jc w:val="center"/>
        </w:trPr>
        <w:tc>
          <w:tcPr>
            <w:tcW w:w="1650" w:type="pct"/>
            <w:tcBorders>
              <w:top w:val="single" w:sz="18" w:space="0" w:color="000000"/>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p>
        </w:tc>
        <w:tc>
          <w:tcPr>
            <w:tcW w:w="394" w:type="pct"/>
            <w:vMerge w:val="restart"/>
            <w:tcBorders>
              <w:top w:val="single" w:sz="16" w:space="0" w:color="000000"/>
              <w:left w:val="single" w:sz="18" w:space="0" w:color="000000"/>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B</w:t>
            </w:r>
          </w:p>
        </w:tc>
        <w:tc>
          <w:tcPr>
            <w:tcW w:w="338"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S.E.</w:t>
            </w:r>
          </w:p>
        </w:tc>
        <w:tc>
          <w:tcPr>
            <w:tcW w:w="421"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Wald</w:t>
            </w:r>
          </w:p>
        </w:tc>
        <w:tc>
          <w:tcPr>
            <w:tcW w:w="679"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Sig.</w:t>
            </w:r>
          </w:p>
        </w:tc>
        <w:tc>
          <w:tcPr>
            <w:tcW w:w="535"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Exp(B)</w:t>
            </w:r>
          </w:p>
        </w:tc>
        <w:tc>
          <w:tcPr>
            <w:tcW w:w="983" w:type="pct"/>
            <w:gridSpan w:val="2"/>
            <w:tcBorders>
              <w:top w:val="single" w:sz="16" w:space="0" w:color="000000"/>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C.I.</w:t>
            </w:r>
          </w:p>
        </w:tc>
      </w:tr>
      <w:tr w:rsidR="00665B3A" w:rsidRPr="00373CFB" w:rsidTr="009F6B81">
        <w:trPr>
          <w:cantSplit/>
          <w:trHeight w:val="85"/>
          <w:jc w:val="center"/>
        </w:trPr>
        <w:tc>
          <w:tcPr>
            <w:tcW w:w="1650" w:type="pct"/>
            <w:tcBorders>
              <w:top w:val="nil"/>
              <w:left w:val="single" w:sz="12" w:space="0" w:color="000000"/>
              <w:bottom w:val="single" w:sz="16" w:space="0" w:color="000000"/>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Risk factor</w:t>
            </w:r>
          </w:p>
        </w:tc>
        <w:tc>
          <w:tcPr>
            <w:tcW w:w="394" w:type="pct"/>
            <w:vMerge/>
            <w:tcBorders>
              <w:top w:val="single" w:sz="16" w:space="0" w:color="000000"/>
              <w:left w:val="single" w:sz="18" w:space="0" w:color="000000"/>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p>
        </w:tc>
        <w:tc>
          <w:tcPr>
            <w:tcW w:w="338" w:type="pct"/>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p>
        </w:tc>
        <w:tc>
          <w:tcPr>
            <w:tcW w:w="421" w:type="pct"/>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p>
        </w:tc>
        <w:tc>
          <w:tcPr>
            <w:tcW w:w="679" w:type="pct"/>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p>
        </w:tc>
        <w:tc>
          <w:tcPr>
            <w:tcW w:w="535" w:type="pct"/>
            <w:vMerge/>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p>
        </w:tc>
        <w:tc>
          <w:tcPr>
            <w:tcW w:w="480" w:type="pct"/>
            <w:tcBorders>
              <w:bottom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Lower</w:t>
            </w:r>
          </w:p>
        </w:tc>
        <w:tc>
          <w:tcPr>
            <w:tcW w:w="503" w:type="pct"/>
            <w:tcBorders>
              <w:bottom w:val="single" w:sz="16" w:space="0" w:color="000000"/>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Upper</w:t>
            </w:r>
          </w:p>
        </w:tc>
      </w:tr>
      <w:tr w:rsidR="00665B3A" w:rsidRPr="00373CFB" w:rsidTr="009F6B81">
        <w:trPr>
          <w:cantSplit/>
          <w:jc w:val="center"/>
        </w:trPr>
        <w:tc>
          <w:tcPr>
            <w:tcW w:w="1650" w:type="pct"/>
            <w:tcBorders>
              <w:top w:val="single" w:sz="16" w:space="0" w:color="000000"/>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Age(35-44 years)</w:t>
            </w:r>
          </w:p>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Urban residence</w:t>
            </w:r>
          </w:p>
        </w:tc>
        <w:tc>
          <w:tcPr>
            <w:tcW w:w="394" w:type="pct"/>
            <w:tcBorders>
              <w:top w:val="single" w:sz="16" w:space="0" w:color="000000"/>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0.06</w:t>
            </w:r>
          </w:p>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0.70</w:t>
            </w:r>
          </w:p>
        </w:tc>
        <w:tc>
          <w:tcPr>
            <w:tcW w:w="338" w:type="pct"/>
            <w:tcBorders>
              <w:top w:val="single" w:sz="16"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0.44</w:t>
            </w:r>
          </w:p>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0.53</w:t>
            </w:r>
          </w:p>
        </w:tc>
        <w:tc>
          <w:tcPr>
            <w:tcW w:w="421" w:type="pct"/>
            <w:tcBorders>
              <w:top w:val="single" w:sz="16"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0.98</w:t>
            </w:r>
          </w:p>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1.73</w:t>
            </w:r>
          </w:p>
        </w:tc>
        <w:tc>
          <w:tcPr>
            <w:tcW w:w="679" w:type="pct"/>
            <w:tcBorders>
              <w:top w:val="single" w:sz="16"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0.19</w:t>
            </w:r>
          </w:p>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0.19</w:t>
            </w:r>
          </w:p>
        </w:tc>
        <w:tc>
          <w:tcPr>
            <w:tcW w:w="535" w:type="pct"/>
            <w:tcBorders>
              <w:top w:val="single" w:sz="16"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1.05</w:t>
            </w:r>
          </w:p>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2.02</w:t>
            </w:r>
          </w:p>
        </w:tc>
        <w:tc>
          <w:tcPr>
            <w:tcW w:w="480" w:type="pct"/>
            <w:tcBorders>
              <w:top w:val="single" w:sz="16"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0.63</w:t>
            </w:r>
          </w:p>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0.71</w:t>
            </w:r>
          </w:p>
        </w:tc>
        <w:tc>
          <w:tcPr>
            <w:tcW w:w="503"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4.15</w:t>
            </w:r>
          </w:p>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5.74</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Nullipara</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1.32</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0.65</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4.13</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0.04*</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3.73</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1.05</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13.24</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Smoking</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3.12</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0.86</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13.07</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&lt;0.001**</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22.73</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4.18</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123.61</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Abdominal bloating</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0.72</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0.55</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1.75</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0.19</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2.06</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0.71</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5.98</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Abdominal enlargement</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1.87</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0.68</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7.52</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0.006**</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6.48</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1.70</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24.6</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vertAlign w:val="superscript"/>
              </w:rPr>
            </w:pPr>
            <w:r w:rsidRPr="00373CFB">
              <w:rPr>
                <w:rFonts w:ascii="Times New Roman" w:hAnsi="Times New Roman" w:cs="Times New Roman"/>
                <w:color w:val="000000"/>
                <w:sz w:val="20"/>
                <w:szCs w:val="14"/>
              </w:rPr>
              <w:t>BMI &gt;25 Kg/m2</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0.60</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0.76</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0.57</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0.06</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2.13</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0.45</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1.34</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Abdominal mass</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-0.35</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0.67</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0.28</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0.56</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0.70</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0.19</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2.59</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CA 125 &gt; 35 U/ml</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3.01</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0.69</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12.14</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0.01*</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2.75</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6.71</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18.63</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Bilateral lesion</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-0.06</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1.59</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0.001</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0.97</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0.95</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0.04</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21.5</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Multilocular lesion</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0.58</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0.84</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0.47</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0.5</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1.78</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0.34</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9.22</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Ascites</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2.03</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0.89</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8.02</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0.02*</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6.95</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2.70</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24.6</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Metastasis</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0.75</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0.57</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1.85</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0.09</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2.4</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0.74</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4.08</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Size &gt; 10 cm</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3.9</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0.72</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11.23</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0.01*</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2.98</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8.90</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20.5</w:t>
            </w:r>
          </w:p>
        </w:tc>
      </w:tr>
      <w:tr w:rsidR="00665B3A" w:rsidRPr="00373CFB" w:rsidTr="009F6B81">
        <w:trPr>
          <w:cantSplit/>
          <w:jc w:val="center"/>
        </w:trPr>
        <w:tc>
          <w:tcPr>
            <w:tcW w:w="1650" w:type="pct"/>
            <w:tcBorders>
              <w:top w:val="nil"/>
              <w:left w:val="single" w:sz="12" w:space="0" w:color="000000"/>
              <w:bottom w:val="nil"/>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Very high risk</w:t>
            </w:r>
          </w:p>
        </w:tc>
        <w:tc>
          <w:tcPr>
            <w:tcW w:w="394" w:type="pct"/>
            <w:tcBorders>
              <w:top w:val="nil"/>
              <w:left w:val="single" w:sz="18" w:space="0" w:color="000000"/>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3.6</w:t>
            </w:r>
          </w:p>
        </w:tc>
        <w:tc>
          <w:tcPr>
            <w:tcW w:w="338"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0.67</w:t>
            </w:r>
          </w:p>
        </w:tc>
        <w:tc>
          <w:tcPr>
            <w:tcW w:w="421"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4.41</w:t>
            </w:r>
          </w:p>
        </w:tc>
        <w:tc>
          <w:tcPr>
            <w:tcW w:w="679"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0.01*</w:t>
            </w:r>
          </w:p>
        </w:tc>
        <w:tc>
          <w:tcPr>
            <w:tcW w:w="535"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13.41</w:t>
            </w:r>
          </w:p>
        </w:tc>
        <w:tc>
          <w:tcPr>
            <w:tcW w:w="480" w:type="pct"/>
            <w:tcBorders>
              <w:top w:val="nil"/>
              <w:bottom w:val="nil"/>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1.507</w:t>
            </w:r>
          </w:p>
        </w:tc>
        <w:tc>
          <w:tcPr>
            <w:tcW w:w="503" w:type="pct"/>
            <w:tcBorders>
              <w:top w:val="nil"/>
              <w:bottom w:val="nil"/>
              <w:right w:val="single" w:sz="16"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54.72</w:t>
            </w:r>
          </w:p>
        </w:tc>
      </w:tr>
      <w:tr w:rsidR="00665B3A" w:rsidRPr="00373CFB" w:rsidTr="009F6B81">
        <w:trPr>
          <w:cantSplit/>
          <w:jc w:val="center"/>
        </w:trPr>
        <w:tc>
          <w:tcPr>
            <w:tcW w:w="1650" w:type="pct"/>
            <w:tcBorders>
              <w:top w:val="nil"/>
              <w:left w:val="single" w:sz="12" w:space="0" w:color="000000"/>
              <w:bottom w:val="single" w:sz="12" w:space="0" w:color="000000"/>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Score&gt; 5</w:t>
            </w:r>
          </w:p>
        </w:tc>
        <w:tc>
          <w:tcPr>
            <w:tcW w:w="394" w:type="pct"/>
            <w:tcBorders>
              <w:top w:val="nil"/>
              <w:left w:val="single" w:sz="18" w:space="0" w:color="000000"/>
              <w:bottom w:val="single" w:sz="12"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1.34</w:t>
            </w:r>
          </w:p>
        </w:tc>
        <w:tc>
          <w:tcPr>
            <w:tcW w:w="338" w:type="pct"/>
            <w:tcBorders>
              <w:top w:val="nil"/>
              <w:bottom w:val="single" w:sz="12"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0.72</w:t>
            </w:r>
          </w:p>
        </w:tc>
        <w:tc>
          <w:tcPr>
            <w:tcW w:w="421" w:type="pct"/>
            <w:tcBorders>
              <w:top w:val="nil"/>
              <w:bottom w:val="single" w:sz="12"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3.47</w:t>
            </w:r>
          </w:p>
        </w:tc>
        <w:tc>
          <w:tcPr>
            <w:tcW w:w="679" w:type="pct"/>
            <w:tcBorders>
              <w:top w:val="nil"/>
              <w:bottom w:val="single" w:sz="12"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0.04*</w:t>
            </w:r>
          </w:p>
        </w:tc>
        <w:tc>
          <w:tcPr>
            <w:tcW w:w="535" w:type="pct"/>
            <w:tcBorders>
              <w:top w:val="nil"/>
              <w:bottom w:val="single" w:sz="12"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3.83</w:t>
            </w:r>
          </w:p>
        </w:tc>
        <w:tc>
          <w:tcPr>
            <w:tcW w:w="480" w:type="pct"/>
            <w:tcBorders>
              <w:top w:val="nil"/>
              <w:bottom w:val="single" w:sz="12"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2.933</w:t>
            </w:r>
          </w:p>
        </w:tc>
        <w:tc>
          <w:tcPr>
            <w:tcW w:w="503" w:type="pct"/>
            <w:tcBorders>
              <w:top w:val="nil"/>
              <w:bottom w:val="single" w:sz="12" w:space="0" w:color="000000"/>
              <w:right w:val="single" w:sz="18" w:space="0" w:color="000000"/>
            </w:tcBorders>
            <w:shd w:val="clear" w:color="auto" w:fill="FFFFFF"/>
            <w:tcMar>
              <w:top w:w="30" w:type="dxa"/>
              <w:left w:w="30" w:type="dxa"/>
              <w:bottom w:w="30" w:type="dxa"/>
              <w:right w:w="30" w:type="dxa"/>
            </w:tcMar>
            <w:vAlign w:val="center"/>
          </w:tcPr>
          <w:p w:rsidR="00665B3A" w:rsidRPr="00373CFB" w:rsidRDefault="00665B3A" w:rsidP="00373CFB">
            <w:pPr>
              <w:pStyle w:val="NoSpacing"/>
              <w:snapToGrid w:val="0"/>
              <w:jc w:val="both"/>
              <w:rPr>
                <w:rFonts w:ascii="Times New Roman" w:hAnsi="Times New Roman" w:cs="Times New Roman"/>
                <w:color w:val="000000"/>
                <w:sz w:val="20"/>
                <w:szCs w:val="14"/>
              </w:rPr>
            </w:pPr>
            <w:r w:rsidRPr="00373CFB">
              <w:rPr>
                <w:rFonts w:ascii="Times New Roman" w:hAnsi="Times New Roman" w:cs="Times New Roman"/>
                <w:color w:val="000000"/>
                <w:sz w:val="20"/>
                <w:szCs w:val="14"/>
              </w:rPr>
              <w:t>15.7</w:t>
            </w:r>
          </w:p>
        </w:tc>
      </w:tr>
    </w:tbl>
    <w:p w:rsidR="00E57E65" w:rsidRDefault="00E57E65" w:rsidP="00E57E65">
      <w:pPr>
        <w:bidi w:val="0"/>
        <w:snapToGrid w:val="0"/>
        <w:spacing w:after="0" w:line="240" w:lineRule="auto"/>
        <w:ind w:firstLine="425"/>
        <w:jc w:val="both"/>
        <w:rPr>
          <w:rFonts w:ascii="Times New Roman" w:hAnsi="Times New Roman" w:cs="Times New Roman" w:hint="eastAsia"/>
          <w:b/>
          <w:bCs/>
          <w:sz w:val="20"/>
          <w:szCs w:val="20"/>
          <w:lang w:eastAsia="zh-CN" w:bidi="ar-EG"/>
        </w:rPr>
      </w:pPr>
    </w:p>
    <w:p w:rsidR="009F6B81" w:rsidRDefault="009F6B81" w:rsidP="009F6B81">
      <w:pPr>
        <w:bidi w:val="0"/>
        <w:snapToGrid w:val="0"/>
        <w:spacing w:after="0" w:line="240" w:lineRule="auto"/>
        <w:ind w:firstLine="425"/>
        <w:jc w:val="both"/>
        <w:rPr>
          <w:rFonts w:ascii="Times New Roman" w:hAnsi="Times New Roman" w:cs="Times New Roman" w:hint="eastAsia"/>
          <w:b/>
          <w:bCs/>
          <w:sz w:val="20"/>
          <w:szCs w:val="20"/>
          <w:lang w:eastAsia="zh-CN" w:bidi="ar-EG"/>
        </w:rPr>
      </w:pPr>
    </w:p>
    <w:p w:rsidR="00E57E65" w:rsidRPr="00E57E65" w:rsidRDefault="00E57E65" w:rsidP="00E57E65">
      <w:pPr>
        <w:bidi w:val="0"/>
        <w:snapToGrid w:val="0"/>
        <w:spacing w:after="0" w:line="240" w:lineRule="auto"/>
        <w:ind w:firstLine="425"/>
        <w:jc w:val="both"/>
        <w:rPr>
          <w:rFonts w:ascii="Times New Roman" w:hAnsi="Times New Roman" w:cs="Times New Roman"/>
          <w:b/>
          <w:bCs/>
          <w:sz w:val="20"/>
          <w:szCs w:val="20"/>
          <w:lang w:bidi="ar-EG"/>
        </w:rPr>
        <w:sectPr w:rsidR="00E57E65" w:rsidRPr="00E57E65" w:rsidSect="004B7BB1">
          <w:type w:val="continuous"/>
          <w:pgSz w:w="12242" w:h="15842" w:code="1"/>
          <w:pgMar w:top="1440" w:right="1440" w:bottom="1440" w:left="1440" w:header="720" w:footer="720" w:gutter="0"/>
          <w:cols w:space="720"/>
          <w:docGrid w:linePitch="360"/>
        </w:sectPr>
      </w:pPr>
    </w:p>
    <w:p w:rsidR="00192974" w:rsidRPr="00E57E65" w:rsidRDefault="00E340B9" w:rsidP="00373CFB">
      <w:pPr>
        <w:bidi w:val="0"/>
        <w:snapToGrid w:val="0"/>
        <w:spacing w:after="0" w:line="240" w:lineRule="auto"/>
        <w:jc w:val="both"/>
        <w:rPr>
          <w:rFonts w:ascii="Times New Roman" w:hAnsi="Times New Roman" w:cs="Times New Roman"/>
          <w:b/>
          <w:bCs/>
          <w:sz w:val="20"/>
          <w:szCs w:val="20"/>
          <w:lang w:bidi="ar-EG"/>
        </w:rPr>
      </w:pPr>
      <w:r w:rsidRPr="00E57E65">
        <w:rPr>
          <w:rFonts w:ascii="Times New Roman" w:hAnsi="Times New Roman" w:cs="Times New Roman"/>
          <w:b/>
          <w:bCs/>
          <w:sz w:val="20"/>
          <w:szCs w:val="20"/>
          <w:lang w:bidi="ar-EG"/>
        </w:rPr>
        <w:lastRenderedPageBreak/>
        <w:t xml:space="preserve">4. </w:t>
      </w:r>
      <w:r w:rsidR="00E52118" w:rsidRPr="00E57E65">
        <w:rPr>
          <w:rFonts w:ascii="Times New Roman" w:hAnsi="Times New Roman" w:cs="Times New Roman"/>
          <w:b/>
          <w:bCs/>
          <w:sz w:val="20"/>
          <w:szCs w:val="20"/>
          <w:lang w:bidi="ar-EG"/>
        </w:rPr>
        <w:t>Discussion</w:t>
      </w:r>
    </w:p>
    <w:p w:rsidR="00E52118" w:rsidRPr="00E57E65" w:rsidRDefault="00E52118" w:rsidP="00E57E65">
      <w:pPr>
        <w:pStyle w:val="NoSpacing"/>
        <w:snapToGrid w:val="0"/>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Correctly discriminating between benign or malignant adnexal masses is the essential starting point for optimal management. Most women with an adnexal mass do not have cancer (Menon et al., 2009).</w:t>
      </w:r>
    </w:p>
    <w:p w:rsidR="00E52118" w:rsidRPr="00E57E65" w:rsidRDefault="00AF2CD0" w:rsidP="00E57E65">
      <w:pPr>
        <w:pStyle w:val="NoSpacing"/>
        <w:snapToGrid w:val="0"/>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Estimating the risk of malignancy is essential in the management of adnexal masses. An accurate differential diagnosis between benign and malignant masses will reduce morbidity and costs due to unnecessary operations, and will improve referral to a gynecologic oncologist for specialized cancer care, which improves outcome and overall survival</w:t>
      </w:r>
      <w:r w:rsidR="007B0E53" w:rsidRPr="00E57E65">
        <w:rPr>
          <w:rFonts w:ascii="Times New Roman" w:hAnsi="Times New Roman" w:cs="Times New Roman"/>
          <w:sz w:val="20"/>
          <w:szCs w:val="20"/>
          <w:lang w:bidi="ar-EG"/>
        </w:rPr>
        <w:t xml:space="preserve"> </w:t>
      </w:r>
      <w:r w:rsidR="007B0E53" w:rsidRPr="00E57E65">
        <w:rPr>
          <w:rFonts w:ascii="Times New Roman" w:hAnsi="Times New Roman" w:cs="Times New Roman"/>
          <w:i/>
          <w:iCs/>
          <w:sz w:val="20"/>
          <w:szCs w:val="20"/>
          <w:lang w:bidi="ar-EG"/>
        </w:rPr>
        <w:t>(Meys et al., 2015)</w:t>
      </w:r>
      <w:r w:rsidR="00920AB0" w:rsidRPr="00E57E65">
        <w:rPr>
          <w:rFonts w:ascii="Times New Roman" w:hAnsi="Times New Roman" w:cs="Times New Roman"/>
          <w:i/>
          <w:iCs/>
          <w:sz w:val="20"/>
          <w:szCs w:val="20"/>
          <w:lang w:bidi="ar-EG"/>
        </w:rPr>
        <w:t>.</w:t>
      </w:r>
    </w:p>
    <w:p w:rsidR="00346E61" w:rsidRPr="00E57E65" w:rsidRDefault="00346E61" w:rsidP="00E57E65">
      <w:pPr>
        <w:pStyle w:val="NoSpacing"/>
        <w:snapToGrid w:val="0"/>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 xml:space="preserve">Currently, the standard tools for detecting ovarian cancer are pelvic ultrasonography and measuring serum cancer antigen 125 (also called carbohydrate antigen 125; CA-125) levels, which could be combined with the menopausal status to calculate the risk malignancy index (RMI) and is considered a simple and affordable test </w:t>
      </w:r>
      <w:r w:rsidRPr="00E57E65">
        <w:rPr>
          <w:rFonts w:ascii="Times New Roman" w:hAnsi="Times New Roman" w:cs="Times New Roman"/>
          <w:i/>
          <w:iCs/>
          <w:sz w:val="20"/>
          <w:szCs w:val="20"/>
          <w:lang w:bidi="ar-EG"/>
        </w:rPr>
        <w:t>(Al-Musalhi et al., 2015)</w:t>
      </w:r>
      <w:r w:rsidR="00920AB0" w:rsidRPr="00E57E65">
        <w:rPr>
          <w:rFonts w:ascii="Times New Roman" w:hAnsi="Times New Roman" w:cs="Times New Roman"/>
          <w:i/>
          <w:iCs/>
          <w:sz w:val="20"/>
          <w:szCs w:val="20"/>
          <w:lang w:bidi="ar-EG"/>
        </w:rPr>
        <w:t>.</w:t>
      </w:r>
    </w:p>
    <w:p w:rsidR="00E52118" w:rsidRPr="00E57E65" w:rsidRDefault="00E52118" w:rsidP="00E57E65">
      <w:pPr>
        <w:pStyle w:val="NoSpacing"/>
        <w:snapToGrid w:val="0"/>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 xml:space="preserve">the present study aimed to evaluate the risk factors of ovarian cancer and to find out an ovarian </w:t>
      </w:r>
      <w:r w:rsidRPr="00E57E65">
        <w:rPr>
          <w:rFonts w:ascii="Times New Roman" w:hAnsi="Times New Roman" w:cs="Times New Roman"/>
          <w:sz w:val="20"/>
          <w:szCs w:val="20"/>
          <w:lang w:bidi="ar-EG"/>
        </w:rPr>
        <w:lastRenderedPageBreak/>
        <w:t>cancer score.</w:t>
      </w:r>
      <w:r w:rsidR="00842AFD">
        <w:rPr>
          <w:rFonts w:ascii="Times New Roman" w:hAnsi="Times New Roman" w:cs="Times New Roman"/>
          <w:sz w:val="20"/>
          <w:szCs w:val="20"/>
          <w:lang w:bidi="ar-EG"/>
        </w:rPr>
        <w:t xml:space="preserve"> </w:t>
      </w:r>
      <w:r w:rsidRPr="00E57E65">
        <w:rPr>
          <w:rFonts w:ascii="Times New Roman" w:hAnsi="Times New Roman" w:cs="Times New Roman"/>
          <w:sz w:val="20"/>
          <w:szCs w:val="20"/>
          <w:lang w:bidi="ar-EG"/>
        </w:rPr>
        <w:t>To achieve this target, we recruited 200 women presented with non-recurrent adnexal masses. They were subjected to careful history taking, thorough clinical examination, ultrasound examination, CA 125 assessment. We formulated a predictive score comprising ultrasound features, age, serum CA 125 levels, body mass index and parity.</w:t>
      </w:r>
    </w:p>
    <w:p w:rsidR="00E52118" w:rsidRPr="00E57E65" w:rsidRDefault="00E52118" w:rsidP="00E57E65">
      <w:pPr>
        <w:pStyle w:val="NoSpacing"/>
        <w:snapToGrid w:val="0"/>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In the current study, comparison between patients with benign and malignant tumors revealed that patients with malignant tumors are significantly older than patients with benign tumors. Also, they had higher frequency of BMI ≥ 35 kg/m2. In addition, they had higher frequency of nulliparity.</w:t>
      </w:r>
    </w:p>
    <w:p w:rsidR="00E52118" w:rsidRPr="00E57E65" w:rsidRDefault="00E52118" w:rsidP="00E57E65">
      <w:pPr>
        <w:pStyle w:val="NoSpacing"/>
        <w:snapToGrid w:val="0"/>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Also, we noted that patients with malignant tumors had significantly higher frequency of sonographic findings suggestive of malignancy when compared with patients with benign tumors.</w:t>
      </w:r>
    </w:p>
    <w:p w:rsidR="009A68C4" w:rsidRPr="00E57E65" w:rsidRDefault="009A68C4" w:rsidP="00E57E65">
      <w:pPr>
        <w:pStyle w:val="NoSpacing"/>
        <w:snapToGrid w:val="0"/>
        <w:ind w:firstLine="425"/>
        <w:jc w:val="both"/>
        <w:rPr>
          <w:rFonts w:ascii="Times New Roman" w:hAnsi="Times New Roman" w:cs="Times New Roman"/>
          <w:sz w:val="20"/>
          <w:szCs w:val="20"/>
          <w:lang w:bidi="ar-EG"/>
        </w:rPr>
      </w:pPr>
      <w:r w:rsidRPr="00E57E65">
        <w:rPr>
          <w:rFonts w:ascii="Times New Roman" w:hAnsi="Times New Roman" w:cs="Times New Roman"/>
          <w:sz w:val="20"/>
          <w:szCs w:val="20"/>
          <w:lang w:bidi="ar-EG"/>
        </w:rPr>
        <w:t>The EOCS had a good sensitivity and specificity when compared with other scores</w:t>
      </w:r>
      <w:r w:rsidR="00842AFD" w:rsidRPr="00E57E65">
        <w:rPr>
          <w:rFonts w:ascii="Times New Roman" w:hAnsi="Times New Roman" w:cs="Times New Roman"/>
          <w:sz w:val="20"/>
          <w:szCs w:val="20"/>
          <w:lang w:bidi="ar-EG"/>
        </w:rPr>
        <w:t>.</w:t>
      </w:r>
      <w:r w:rsidRPr="00E57E65">
        <w:rPr>
          <w:rFonts w:ascii="Times New Roman" w:hAnsi="Times New Roman" w:cs="Times New Roman"/>
          <w:sz w:val="20"/>
          <w:szCs w:val="20"/>
          <w:lang w:bidi="ar-EG"/>
        </w:rPr>
        <w:t xml:space="preserve"> Also it had a good negative predictive value in comparison with its positive predictive value making this score to be used as a good negative test in prediction of ovarian cancer and improving preoperative diagnosis</w:t>
      </w:r>
      <w:r w:rsidR="00842AFD" w:rsidRPr="00E57E65">
        <w:rPr>
          <w:rFonts w:ascii="Times New Roman" w:hAnsi="Times New Roman" w:cs="Times New Roman"/>
          <w:sz w:val="20"/>
          <w:szCs w:val="20"/>
          <w:lang w:bidi="ar-EG"/>
        </w:rPr>
        <w:t>.</w:t>
      </w:r>
    </w:p>
    <w:p w:rsidR="009A68C4" w:rsidRPr="00E57E65" w:rsidRDefault="009A68C4" w:rsidP="00E57E65">
      <w:pPr>
        <w:bidi w:val="0"/>
        <w:snapToGrid w:val="0"/>
        <w:spacing w:after="0" w:line="240" w:lineRule="auto"/>
        <w:ind w:firstLine="425"/>
        <w:jc w:val="both"/>
        <w:rPr>
          <w:rFonts w:ascii="Times New Roman" w:hAnsi="Times New Roman" w:cs="Times New Roman"/>
          <w:sz w:val="20"/>
          <w:szCs w:val="20"/>
        </w:rPr>
      </w:pPr>
    </w:p>
    <w:p w:rsidR="009C298B" w:rsidRPr="00E57E65" w:rsidRDefault="00192974" w:rsidP="00373CFB">
      <w:pPr>
        <w:pStyle w:val="NoSpacing"/>
        <w:snapToGrid w:val="0"/>
        <w:jc w:val="both"/>
        <w:rPr>
          <w:rFonts w:ascii="Times New Roman" w:hAnsi="Times New Roman" w:cs="Times New Roman"/>
          <w:b/>
          <w:bCs/>
          <w:sz w:val="20"/>
          <w:szCs w:val="20"/>
          <w:lang w:bidi="ar-EG"/>
        </w:rPr>
      </w:pPr>
      <w:r w:rsidRPr="00E57E65">
        <w:rPr>
          <w:rFonts w:ascii="Times New Roman" w:hAnsi="Times New Roman" w:cs="Times New Roman"/>
          <w:b/>
          <w:bCs/>
          <w:sz w:val="20"/>
          <w:szCs w:val="20"/>
          <w:lang w:bidi="ar-EG"/>
        </w:rPr>
        <w:t>References</w:t>
      </w:r>
    </w:p>
    <w:p w:rsidR="00842AFD" w:rsidRDefault="00346E61" w:rsidP="00E57E65">
      <w:pPr>
        <w:pStyle w:val="NoSpacing"/>
        <w:numPr>
          <w:ilvl w:val="0"/>
          <w:numId w:val="1"/>
        </w:numPr>
        <w:snapToGrid w:val="0"/>
        <w:ind w:left="425" w:hanging="425"/>
        <w:jc w:val="both"/>
        <w:rPr>
          <w:rFonts w:ascii="Times New Roman" w:hAnsi="Times New Roman" w:cs="Times New Roman"/>
          <w:sz w:val="20"/>
          <w:szCs w:val="20"/>
        </w:rPr>
      </w:pPr>
      <w:r w:rsidRPr="00E57E65">
        <w:rPr>
          <w:rFonts w:ascii="Times New Roman" w:hAnsi="Times New Roman" w:cs="Times New Roman"/>
          <w:sz w:val="20"/>
          <w:szCs w:val="20"/>
        </w:rPr>
        <w:t>Al-Musalhi K, Al-Kindi M, Ramadhan F, Al-Rawahi T, Al-Hatali</w:t>
      </w:r>
      <w:r w:rsidR="00842AFD">
        <w:rPr>
          <w:rFonts w:ascii="Times New Roman" w:hAnsi="Times New Roman" w:cs="Times New Roman"/>
          <w:sz w:val="20"/>
          <w:szCs w:val="20"/>
        </w:rPr>
        <w:t xml:space="preserve"> </w:t>
      </w:r>
      <w:r w:rsidRPr="00E57E65">
        <w:rPr>
          <w:rFonts w:ascii="Times New Roman" w:hAnsi="Times New Roman" w:cs="Times New Roman"/>
          <w:sz w:val="20"/>
          <w:szCs w:val="20"/>
        </w:rPr>
        <w:t xml:space="preserve">K, Mula-Abed </w:t>
      </w:r>
      <w:r w:rsidR="009F6B81">
        <w:rPr>
          <w:rFonts w:ascii="Times New Roman" w:hAnsi="Times New Roman" w:cs="Times New Roman"/>
          <w:sz w:val="20"/>
          <w:szCs w:val="20"/>
        </w:rPr>
        <w:t>WA.</w:t>
      </w:r>
      <w:r w:rsidR="009F6B81">
        <w:rPr>
          <w:rFonts w:ascii="Times New Roman" w:hAnsi="Times New Roman" w:cs="Times New Roman" w:hint="eastAsia"/>
          <w:sz w:val="20"/>
          <w:szCs w:val="20"/>
          <w:lang w:eastAsia="zh-CN"/>
        </w:rPr>
        <w:t xml:space="preserve"> </w:t>
      </w:r>
      <w:r w:rsidRPr="00E57E65">
        <w:rPr>
          <w:rFonts w:ascii="Times New Roman" w:hAnsi="Times New Roman" w:cs="Times New Roman"/>
          <w:sz w:val="20"/>
          <w:szCs w:val="20"/>
        </w:rPr>
        <w:t xml:space="preserve">Validity of Cancer Antigen-125 (CA-125) and Risk </w:t>
      </w:r>
      <w:r w:rsidR="00E340B9" w:rsidRPr="00E57E65">
        <w:rPr>
          <w:rFonts w:ascii="Times New Roman" w:hAnsi="Times New Roman" w:cs="Times New Roman"/>
          <w:sz w:val="20"/>
          <w:szCs w:val="20"/>
        </w:rPr>
        <w:t>of Malignancy</w:t>
      </w:r>
      <w:r w:rsidRPr="00E57E65">
        <w:rPr>
          <w:rFonts w:ascii="Times New Roman" w:hAnsi="Times New Roman" w:cs="Times New Roman"/>
          <w:sz w:val="20"/>
          <w:szCs w:val="20"/>
        </w:rPr>
        <w:t xml:space="preserve"> Index (RMI) in the Diagnosis of Ovarian Cancer. Oman </w:t>
      </w:r>
      <w:r w:rsidR="00E340B9" w:rsidRPr="00E57E65">
        <w:rPr>
          <w:rFonts w:ascii="Times New Roman" w:hAnsi="Times New Roman" w:cs="Times New Roman"/>
          <w:sz w:val="20"/>
          <w:szCs w:val="20"/>
        </w:rPr>
        <w:t>Med 2015</w:t>
      </w:r>
      <w:r w:rsidRPr="00E57E65">
        <w:rPr>
          <w:rFonts w:ascii="Times New Roman" w:hAnsi="Times New Roman" w:cs="Times New Roman"/>
          <w:sz w:val="20"/>
          <w:szCs w:val="20"/>
        </w:rPr>
        <w:t>. Nov;30(6):428-434. 10.5001/omj.2015.8</w:t>
      </w:r>
      <w:r w:rsidR="00842AFD" w:rsidRPr="00E57E65">
        <w:rPr>
          <w:rFonts w:ascii="Times New Roman" w:hAnsi="Times New Roman" w:cs="Times New Roman"/>
          <w:sz w:val="20"/>
          <w:szCs w:val="20"/>
        </w:rPr>
        <w:t>5</w:t>
      </w:r>
      <w:r w:rsidR="00842AFD">
        <w:rPr>
          <w:rFonts w:ascii="Times New Roman" w:hAnsi="Times New Roman" w:cs="Times New Roman"/>
          <w:sz w:val="20"/>
          <w:szCs w:val="20"/>
        </w:rPr>
        <w:t>.</w:t>
      </w:r>
    </w:p>
    <w:p w:rsidR="00D0083C" w:rsidRPr="00E57E65" w:rsidRDefault="00D0083C" w:rsidP="00E57E65">
      <w:pPr>
        <w:pStyle w:val="NoSpacing"/>
        <w:numPr>
          <w:ilvl w:val="0"/>
          <w:numId w:val="1"/>
        </w:numPr>
        <w:snapToGrid w:val="0"/>
        <w:ind w:left="425" w:hanging="425"/>
        <w:jc w:val="both"/>
        <w:rPr>
          <w:rFonts w:ascii="Times New Roman" w:hAnsi="Times New Roman" w:cs="Times New Roman"/>
          <w:sz w:val="20"/>
          <w:szCs w:val="20"/>
        </w:rPr>
      </w:pPr>
      <w:r w:rsidRPr="00E57E65">
        <w:rPr>
          <w:rFonts w:ascii="Times New Roman" w:hAnsi="Times New Roman" w:cs="Times New Roman"/>
          <w:sz w:val="20"/>
          <w:szCs w:val="20"/>
        </w:rPr>
        <w:t>Geomini PM, Kruitwagen RF</w:t>
      </w:r>
      <w:r w:rsidR="00842AFD" w:rsidRPr="00E57E65">
        <w:rPr>
          <w:rFonts w:ascii="Times New Roman" w:hAnsi="Times New Roman" w:cs="Times New Roman"/>
          <w:sz w:val="20"/>
          <w:szCs w:val="20"/>
        </w:rPr>
        <w:t>,</w:t>
      </w:r>
      <w:r w:rsidRPr="00E57E65">
        <w:rPr>
          <w:rFonts w:ascii="Times New Roman" w:hAnsi="Times New Roman" w:cs="Times New Roman"/>
          <w:sz w:val="20"/>
          <w:szCs w:val="20"/>
        </w:rPr>
        <w:t xml:space="preserve"> Bremer GL, Massuger L, Mol BW</w:t>
      </w:r>
      <w:r w:rsidR="001340AE" w:rsidRPr="00E57E65">
        <w:rPr>
          <w:rFonts w:ascii="Times New Roman" w:hAnsi="Times New Roman" w:cs="Times New Roman"/>
          <w:sz w:val="20"/>
          <w:szCs w:val="20"/>
        </w:rPr>
        <w:t xml:space="preserve"> </w:t>
      </w:r>
      <w:r w:rsidRPr="00E57E65">
        <w:rPr>
          <w:rFonts w:ascii="Times New Roman" w:hAnsi="Times New Roman" w:cs="Times New Roman"/>
          <w:sz w:val="20"/>
          <w:szCs w:val="20"/>
        </w:rPr>
        <w:t>Should we centralise care for the patient suspected of having ovarian malignancy? Gynecol Oncol 2011;</w:t>
      </w:r>
      <w:r w:rsidR="001340AE" w:rsidRPr="00E57E65">
        <w:rPr>
          <w:rFonts w:ascii="Times New Roman" w:hAnsi="Times New Roman" w:cs="Times New Roman"/>
          <w:sz w:val="20"/>
          <w:szCs w:val="20"/>
        </w:rPr>
        <w:t xml:space="preserve"> </w:t>
      </w:r>
      <w:r w:rsidRPr="00E57E65">
        <w:rPr>
          <w:rFonts w:ascii="Times New Roman" w:hAnsi="Times New Roman" w:cs="Times New Roman"/>
          <w:sz w:val="20"/>
          <w:szCs w:val="20"/>
        </w:rPr>
        <w:t>122:95–9.</w:t>
      </w:r>
    </w:p>
    <w:p w:rsidR="002D6A29" w:rsidRPr="00E57E65" w:rsidRDefault="002D6A29" w:rsidP="00E57E65">
      <w:pPr>
        <w:pStyle w:val="NoSpacing"/>
        <w:numPr>
          <w:ilvl w:val="0"/>
          <w:numId w:val="1"/>
        </w:numPr>
        <w:snapToGrid w:val="0"/>
        <w:ind w:left="425" w:hanging="425"/>
        <w:jc w:val="both"/>
        <w:rPr>
          <w:rFonts w:ascii="Times New Roman" w:hAnsi="Times New Roman" w:cs="Times New Roman"/>
          <w:sz w:val="20"/>
          <w:szCs w:val="20"/>
        </w:rPr>
      </w:pPr>
      <w:r w:rsidRPr="00E57E65">
        <w:rPr>
          <w:rFonts w:ascii="Times New Roman" w:hAnsi="Times New Roman" w:cs="Times New Roman"/>
          <w:sz w:val="20"/>
          <w:szCs w:val="20"/>
        </w:rPr>
        <w:t>Havrilesky LJ,</w:t>
      </w:r>
      <w:r w:rsidR="001340AE" w:rsidRPr="00E57E65">
        <w:rPr>
          <w:rFonts w:ascii="Times New Roman" w:hAnsi="Times New Roman" w:cs="Times New Roman"/>
          <w:sz w:val="20"/>
          <w:szCs w:val="20"/>
        </w:rPr>
        <w:t xml:space="preserve"> </w:t>
      </w:r>
      <w:r w:rsidRPr="00E57E65">
        <w:rPr>
          <w:rFonts w:ascii="Times New Roman" w:hAnsi="Times New Roman" w:cs="Times New Roman"/>
          <w:sz w:val="20"/>
          <w:szCs w:val="20"/>
        </w:rPr>
        <w:t>Sanders GD, Kulasingam S, et al. Development of an ovarian cancer screening decision model that incorporates disease heterogeneity. Cancer. 2011;117:545–553.</w:t>
      </w:r>
    </w:p>
    <w:p w:rsidR="002D6A29" w:rsidRPr="00E57E65" w:rsidRDefault="002D6A29" w:rsidP="00E57E65">
      <w:pPr>
        <w:pStyle w:val="NoSpacing"/>
        <w:numPr>
          <w:ilvl w:val="0"/>
          <w:numId w:val="1"/>
        </w:numPr>
        <w:snapToGrid w:val="0"/>
        <w:ind w:left="425" w:hanging="425"/>
        <w:jc w:val="both"/>
        <w:rPr>
          <w:rFonts w:ascii="Times New Roman" w:hAnsi="Times New Roman" w:cs="Times New Roman"/>
          <w:sz w:val="20"/>
          <w:szCs w:val="20"/>
        </w:rPr>
      </w:pPr>
      <w:r w:rsidRPr="00E57E65">
        <w:rPr>
          <w:rFonts w:ascii="Times New Roman" w:hAnsi="Times New Roman" w:cs="Times New Roman"/>
          <w:sz w:val="20"/>
          <w:szCs w:val="20"/>
        </w:rPr>
        <w:t>Jelovac D, Armstrong DK. Recent progress in the diagnosis and treatment of ovarian cancer. CA Cancer J Clin. 2011;61:183–203.</w:t>
      </w:r>
    </w:p>
    <w:p w:rsidR="009A68C4" w:rsidRPr="00E57E65" w:rsidRDefault="009A68C4" w:rsidP="00E57E65">
      <w:pPr>
        <w:pStyle w:val="NoSpacing"/>
        <w:numPr>
          <w:ilvl w:val="0"/>
          <w:numId w:val="1"/>
        </w:numPr>
        <w:snapToGrid w:val="0"/>
        <w:ind w:left="425" w:hanging="425"/>
        <w:jc w:val="both"/>
        <w:rPr>
          <w:rFonts w:ascii="Times New Roman" w:hAnsi="Times New Roman" w:cs="Times New Roman"/>
          <w:sz w:val="20"/>
          <w:szCs w:val="20"/>
        </w:rPr>
      </w:pPr>
      <w:r w:rsidRPr="00E57E65">
        <w:rPr>
          <w:rFonts w:ascii="Times New Roman" w:hAnsi="Times New Roman" w:cs="Times New Roman"/>
          <w:sz w:val="20"/>
          <w:szCs w:val="20"/>
        </w:rPr>
        <w:t>Menon U, Gentry-Maharaj A, Hallett R, Ryan A, Burnell M, Sharma A, Lewis S, Davies S, Philpott S, Lopes A, Godfrey K, Oram</w:t>
      </w:r>
      <w:r w:rsidR="00842AFD">
        <w:rPr>
          <w:rFonts w:ascii="Times New Roman" w:hAnsi="Times New Roman" w:cs="Times New Roman"/>
          <w:sz w:val="20"/>
          <w:szCs w:val="20"/>
        </w:rPr>
        <w:t xml:space="preserve"> </w:t>
      </w:r>
      <w:r w:rsidRPr="00E57E65">
        <w:rPr>
          <w:rFonts w:ascii="Times New Roman" w:hAnsi="Times New Roman" w:cs="Times New Roman"/>
          <w:sz w:val="20"/>
          <w:szCs w:val="20"/>
        </w:rPr>
        <w:t>D, Herod J, Williamson K, Seif MW, Scott I, Mould T, Woolas R, Murdoch J, Dobbs S, Amso NN, Leeson S, Cruickshank D, McGuire A</w:t>
      </w:r>
      <w:r w:rsidR="002F2B8C" w:rsidRPr="00E57E65">
        <w:rPr>
          <w:rFonts w:ascii="Times New Roman" w:hAnsi="Times New Roman" w:cs="Times New Roman"/>
          <w:sz w:val="20"/>
          <w:szCs w:val="20"/>
        </w:rPr>
        <w:t>, Campbell S</w:t>
      </w:r>
      <w:r w:rsidRPr="00E57E65">
        <w:rPr>
          <w:rFonts w:ascii="Times New Roman" w:hAnsi="Times New Roman" w:cs="Times New Roman"/>
          <w:sz w:val="20"/>
          <w:szCs w:val="20"/>
        </w:rPr>
        <w:t xml:space="preserve">, Jacobs I. Sensitivity and specificity of multimodal and ultrasound screening for ovarian cancer, and stage distribution of detected cancers: results of the prevalence screen of the UK Collaborative Trial of Ovarian Cancer </w:t>
      </w:r>
      <w:r w:rsidRPr="00E57E65">
        <w:rPr>
          <w:rFonts w:ascii="Times New Roman" w:hAnsi="Times New Roman" w:cs="Times New Roman"/>
          <w:sz w:val="20"/>
          <w:szCs w:val="20"/>
        </w:rPr>
        <w:lastRenderedPageBreak/>
        <w:t>Screening (UKCTOCS). Lancet Oncol 2009; 10: 327–340.</w:t>
      </w:r>
    </w:p>
    <w:p w:rsidR="009C298B" w:rsidRPr="00E57E65" w:rsidRDefault="007B0E53" w:rsidP="00E57E65">
      <w:pPr>
        <w:pStyle w:val="NoSpacing"/>
        <w:numPr>
          <w:ilvl w:val="0"/>
          <w:numId w:val="1"/>
        </w:numPr>
        <w:snapToGrid w:val="0"/>
        <w:ind w:left="425" w:hanging="425"/>
        <w:jc w:val="both"/>
        <w:rPr>
          <w:rFonts w:ascii="Times New Roman" w:hAnsi="Times New Roman" w:cs="Times New Roman"/>
          <w:sz w:val="20"/>
          <w:szCs w:val="20"/>
        </w:rPr>
      </w:pPr>
      <w:r w:rsidRPr="00E57E65">
        <w:rPr>
          <w:rFonts w:ascii="Times New Roman" w:hAnsi="Times New Roman" w:cs="Times New Roman"/>
          <w:sz w:val="20"/>
          <w:szCs w:val="20"/>
        </w:rPr>
        <w:t>Meys EM, Rutten IJ, Kruitwagen RF, Slangen BF, Bergmans MG,</w:t>
      </w:r>
      <w:r w:rsidR="00842AFD">
        <w:rPr>
          <w:rFonts w:ascii="Times New Roman" w:hAnsi="Times New Roman" w:cs="Times New Roman"/>
          <w:sz w:val="20"/>
          <w:szCs w:val="20"/>
        </w:rPr>
        <w:t xml:space="preserve"> </w:t>
      </w:r>
      <w:r w:rsidRPr="00E57E65">
        <w:rPr>
          <w:rFonts w:ascii="Times New Roman" w:hAnsi="Times New Roman" w:cs="Times New Roman"/>
          <w:sz w:val="20"/>
          <w:szCs w:val="20"/>
        </w:rPr>
        <w:t>Mertens HJ, Nolting E, Boskamp D, Beets-Tan RG, van Gorp T. Investigating the performance and cost-effectiveness of the simple ultrasound-based rules compared to the risk of malignancy index in</w:t>
      </w:r>
      <w:r w:rsidR="00842AFD">
        <w:rPr>
          <w:rFonts w:ascii="Times New Roman" w:hAnsi="Times New Roman" w:cs="Times New Roman"/>
          <w:sz w:val="20"/>
          <w:szCs w:val="20"/>
        </w:rPr>
        <w:t xml:space="preserve"> </w:t>
      </w:r>
      <w:r w:rsidRPr="00E57E65">
        <w:rPr>
          <w:rFonts w:ascii="Times New Roman" w:hAnsi="Times New Roman" w:cs="Times New Roman"/>
          <w:sz w:val="20"/>
          <w:szCs w:val="20"/>
        </w:rPr>
        <w:t xml:space="preserve">the diagnosis of ovarian cancer </w:t>
      </w:r>
      <w:r w:rsidR="001340AE" w:rsidRPr="00E57E65">
        <w:rPr>
          <w:rFonts w:ascii="Times New Roman" w:hAnsi="Times New Roman" w:cs="Times New Roman"/>
          <w:sz w:val="20"/>
          <w:szCs w:val="20"/>
        </w:rPr>
        <w:t>(SUBSONiC-study): protocol of a</w:t>
      </w:r>
      <w:r w:rsidRPr="00E57E65">
        <w:rPr>
          <w:rFonts w:ascii="Times New Roman" w:hAnsi="Times New Roman" w:cs="Times New Roman"/>
          <w:sz w:val="20"/>
          <w:szCs w:val="20"/>
        </w:rPr>
        <w:t xml:space="preserve"> prospective multicenter cohort study in the Netherlands. BMC ancer. 2015 Jun 26;15:482. doi: 10.1186/s12885-015-1319-5.</w:t>
      </w:r>
    </w:p>
    <w:p w:rsidR="009C298B" w:rsidRPr="00E57E65" w:rsidRDefault="009C298B" w:rsidP="00E57E65">
      <w:pPr>
        <w:pStyle w:val="NoSpacing"/>
        <w:numPr>
          <w:ilvl w:val="0"/>
          <w:numId w:val="1"/>
        </w:numPr>
        <w:snapToGrid w:val="0"/>
        <w:ind w:left="425" w:hanging="425"/>
        <w:jc w:val="both"/>
        <w:rPr>
          <w:rFonts w:ascii="Times New Roman" w:hAnsi="Times New Roman" w:cs="Times New Roman"/>
          <w:sz w:val="20"/>
          <w:szCs w:val="20"/>
        </w:rPr>
      </w:pPr>
      <w:r w:rsidRPr="00E57E65">
        <w:rPr>
          <w:rFonts w:ascii="Times New Roman" w:hAnsi="Times New Roman" w:cs="Times New Roman"/>
          <w:sz w:val="20"/>
          <w:szCs w:val="20"/>
        </w:rPr>
        <w:t xml:space="preserve">Meys EM, Kaijser J, Kruitwagen </w:t>
      </w:r>
      <w:r w:rsidR="001340AE" w:rsidRPr="00E57E65">
        <w:rPr>
          <w:rFonts w:ascii="Times New Roman" w:hAnsi="Times New Roman" w:cs="Times New Roman"/>
          <w:sz w:val="20"/>
          <w:szCs w:val="20"/>
        </w:rPr>
        <w:t>RF et-al. Subjective assessment</w:t>
      </w:r>
      <w:r w:rsidRPr="00E57E65">
        <w:rPr>
          <w:rFonts w:ascii="Times New Roman" w:hAnsi="Times New Roman" w:cs="Times New Roman"/>
          <w:sz w:val="20"/>
          <w:szCs w:val="20"/>
        </w:rPr>
        <w:t xml:space="preserve"> versus ultrasound models to diagnose ovarian cancer: A systematic review and meta-analysis. Eur. J. Cancer. 2016;58: 17-29.</w:t>
      </w:r>
    </w:p>
    <w:p w:rsidR="002D6A29" w:rsidRPr="00E57E65" w:rsidRDefault="002D6A29" w:rsidP="00E57E65">
      <w:pPr>
        <w:pStyle w:val="NoSpacing"/>
        <w:numPr>
          <w:ilvl w:val="0"/>
          <w:numId w:val="1"/>
        </w:numPr>
        <w:snapToGrid w:val="0"/>
        <w:ind w:left="425" w:hanging="425"/>
        <w:jc w:val="both"/>
        <w:rPr>
          <w:rFonts w:ascii="Times New Roman" w:hAnsi="Times New Roman" w:cs="Times New Roman"/>
          <w:sz w:val="20"/>
          <w:szCs w:val="20"/>
        </w:rPr>
      </w:pPr>
      <w:r w:rsidRPr="00E57E65">
        <w:rPr>
          <w:rFonts w:ascii="Times New Roman" w:hAnsi="Times New Roman" w:cs="Times New Roman"/>
          <w:sz w:val="20"/>
          <w:szCs w:val="20"/>
        </w:rPr>
        <w:t>Myers ER, Bastian LA, Havrilesky L, et al. Management of</w:t>
      </w:r>
      <w:r w:rsidR="001340AE" w:rsidRPr="00E57E65">
        <w:rPr>
          <w:rFonts w:ascii="Times New Roman" w:hAnsi="Times New Roman" w:cs="Times New Roman"/>
          <w:sz w:val="20"/>
          <w:szCs w:val="20"/>
        </w:rPr>
        <w:t xml:space="preserve"> </w:t>
      </w:r>
      <w:r w:rsidRPr="00E57E65">
        <w:rPr>
          <w:rFonts w:ascii="Times New Roman" w:hAnsi="Times New Roman" w:cs="Times New Roman"/>
          <w:sz w:val="20"/>
          <w:szCs w:val="20"/>
        </w:rPr>
        <w:t>Adnexal Mass Evidence</w:t>
      </w:r>
      <w:r w:rsidR="00392697">
        <w:rPr>
          <w:rFonts w:ascii="Times New Roman" w:hAnsi="Times New Roman" w:cs="Times New Roman" w:hint="eastAsia"/>
          <w:sz w:val="20"/>
          <w:szCs w:val="20"/>
          <w:lang w:eastAsia="zh-CN"/>
        </w:rPr>
        <w:t xml:space="preserve"> </w:t>
      </w:r>
      <w:r w:rsidRPr="00E57E65">
        <w:rPr>
          <w:rFonts w:ascii="Times New Roman" w:hAnsi="Times New Roman" w:cs="Times New Roman"/>
          <w:sz w:val="20"/>
          <w:szCs w:val="20"/>
        </w:rPr>
        <w:t>Report/ Technology Assessment No130 (Prepared by the</w:t>
      </w:r>
      <w:r w:rsidR="009F6B81">
        <w:rPr>
          <w:rFonts w:ascii="Times New Roman" w:hAnsi="Times New Roman" w:cs="Times New Roman" w:hint="eastAsia"/>
          <w:sz w:val="20"/>
          <w:szCs w:val="20"/>
          <w:lang w:eastAsia="zh-CN"/>
        </w:rPr>
        <w:t xml:space="preserve"> </w:t>
      </w:r>
      <w:r w:rsidRPr="00E57E65">
        <w:rPr>
          <w:rFonts w:ascii="Times New Roman" w:hAnsi="Times New Roman" w:cs="Times New Roman"/>
          <w:sz w:val="20"/>
          <w:szCs w:val="20"/>
        </w:rPr>
        <w:t>Duke Evide</w:t>
      </w:r>
      <w:r w:rsidR="001340AE" w:rsidRPr="00E57E65">
        <w:rPr>
          <w:rFonts w:ascii="Times New Roman" w:hAnsi="Times New Roman" w:cs="Times New Roman"/>
          <w:sz w:val="20"/>
          <w:szCs w:val="20"/>
        </w:rPr>
        <w:t>nce-based Practice Center under</w:t>
      </w:r>
      <w:r w:rsidR="009F6B81">
        <w:rPr>
          <w:rFonts w:ascii="Times New Roman" w:hAnsi="Times New Roman" w:cs="Times New Roman" w:hint="eastAsia"/>
          <w:sz w:val="20"/>
          <w:szCs w:val="20"/>
          <w:lang w:eastAsia="zh-CN"/>
        </w:rPr>
        <w:t xml:space="preserve"> </w:t>
      </w:r>
      <w:r w:rsidRPr="00E57E65">
        <w:rPr>
          <w:rFonts w:ascii="Times New Roman" w:hAnsi="Times New Roman" w:cs="Times New Roman"/>
          <w:sz w:val="20"/>
          <w:szCs w:val="20"/>
        </w:rPr>
        <w:t>Contract No 290-02-0025) AHRQ Publication No 06-E004.</w:t>
      </w:r>
    </w:p>
    <w:p w:rsidR="001340AE" w:rsidRPr="00E57E65" w:rsidRDefault="002D6A29" w:rsidP="00E57E65">
      <w:pPr>
        <w:pStyle w:val="NoSpacing"/>
        <w:numPr>
          <w:ilvl w:val="0"/>
          <w:numId w:val="1"/>
        </w:numPr>
        <w:snapToGrid w:val="0"/>
        <w:ind w:left="425" w:hanging="425"/>
        <w:jc w:val="both"/>
        <w:rPr>
          <w:rFonts w:ascii="Times New Roman" w:hAnsi="Times New Roman" w:cs="Times New Roman"/>
          <w:sz w:val="20"/>
          <w:szCs w:val="20"/>
        </w:rPr>
      </w:pPr>
      <w:r w:rsidRPr="00E57E65">
        <w:rPr>
          <w:rFonts w:ascii="Times New Roman" w:hAnsi="Times New Roman" w:cs="Times New Roman"/>
          <w:sz w:val="20"/>
          <w:szCs w:val="20"/>
        </w:rPr>
        <w:t>Rockville, MD:</w:t>
      </w:r>
      <w:r w:rsidR="001340AE" w:rsidRPr="00E57E65">
        <w:rPr>
          <w:rFonts w:ascii="Times New Roman" w:hAnsi="Times New Roman" w:cs="Times New Roman"/>
          <w:sz w:val="20"/>
          <w:szCs w:val="20"/>
        </w:rPr>
        <w:t xml:space="preserve"> </w:t>
      </w:r>
      <w:r w:rsidRPr="00E57E65">
        <w:rPr>
          <w:rFonts w:ascii="Times New Roman" w:hAnsi="Times New Roman" w:cs="Times New Roman"/>
          <w:sz w:val="20"/>
          <w:szCs w:val="20"/>
        </w:rPr>
        <w:t>Agency for Healthcare Research and Quality; 2006.</w:t>
      </w:r>
    </w:p>
    <w:p w:rsidR="00E57E65" w:rsidRPr="009F6B81" w:rsidRDefault="00192974" w:rsidP="00E57E65">
      <w:pPr>
        <w:pStyle w:val="NoSpacing"/>
        <w:numPr>
          <w:ilvl w:val="0"/>
          <w:numId w:val="1"/>
        </w:numPr>
        <w:snapToGrid w:val="0"/>
        <w:ind w:left="425" w:hanging="425"/>
        <w:jc w:val="both"/>
        <w:rPr>
          <w:rFonts w:ascii="Times New Roman" w:hAnsi="Times New Roman" w:cs="Times New Roman"/>
          <w:sz w:val="20"/>
          <w:szCs w:val="20"/>
        </w:rPr>
      </w:pPr>
      <w:r w:rsidRPr="009F6B81">
        <w:rPr>
          <w:rFonts w:ascii="Times New Roman" w:hAnsi="Times New Roman" w:cs="Times New Roman"/>
          <w:sz w:val="20"/>
          <w:szCs w:val="20"/>
        </w:rPr>
        <w:t>Siegel R, Ward E, Brawley O, Je</w:t>
      </w:r>
      <w:r w:rsidR="001340AE" w:rsidRPr="009F6B81">
        <w:rPr>
          <w:rFonts w:ascii="Times New Roman" w:hAnsi="Times New Roman" w:cs="Times New Roman"/>
          <w:sz w:val="20"/>
          <w:szCs w:val="20"/>
        </w:rPr>
        <w:t xml:space="preserve">mal A. cancer statistics, 2011: </w:t>
      </w:r>
      <w:r w:rsidRPr="009F6B81">
        <w:rPr>
          <w:rFonts w:ascii="Times New Roman" w:hAnsi="Times New Roman" w:cs="Times New Roman"/>
          <w:sz w:val="20"/>
          <w:szCs w:val="20"/>
        </w:rPr>
        <w:t>The impact of eliminating socioeconomic and racial disparities on</w:t>
      </w:r>
      <w:r w:rsidR="00842AFD" w:rsidRPr="009F6B81">
        <w:rPr>
          <w:rFonts w:ascii="Times New Roman" w:hAnsi="Times New Roman" w:cs="Times New Roman"/>
          <w:sz w:val="20"/>
          <w:szCs w:val="20"/>
        </w:rPr>
        <w:t xml:space="preserve"> </w:t>
      </w:r>
      <w:r w:rsidRPr="009F6B81">
        <w:rPr>
          <w:rFonts w:ascii="Times New Roman" w:hAnsi="Times New Roman" w:cs="Times New Roman"/>
          <w:sz w:val="20"/>
          <w:szCs w:val="20"/>
        </w:rPr>
        <w:t>premature cancer deaths. CA cancer J Clin 2011;61:212-236.</w:t>
      </w:r>
    </w:p>
    <w:p w:rsidR="00E57E65" w:rsidRPr="00E57E65" w:rsidRDefault="00E57E65" w:rsidP="00E57E65">
      <w:pPr>
        <w:pStyle w:val="NoSpacing"/>
        <w:snapToGrid w:val="0"/>
        <w:ind w:left="425" w:hanging="425"/>
        <w:jc w:val="both"/>
        <w:rPr>
          <w:rFonts w:ascii="Times New Roman" w:hAnsi="Times New Roman" w:cs="Times New Roman"/>
          <w:sz w:val="20"/>
          <w:szCs w:val="20"/>
        </w:rPr>
        <w:sectPr w:rsidR="00E57E65" w:rsidRPr="00E57E65" w:rsidSect="00E57E65">
          <w:type w:val="continuous"/>
          <w:pgSz w:w="12242" w:h="15842" w:code="1"/>
          <w:pgMar w:top="1440" w:right="1440" w:bottom="1440" w:left="1440" w:header="720" w:footer="720" w:gutter="0"/>
          <w:cols w:num="2" w:space="550"/>
          <w:docGrid w:linePitch="360"/>
        </w:sectPr>
      </w:pPr>
    </w:p>
    <w:p w:rsidR="008B69A9" w:rsidRPr="00E57E65" w:rsidRDefault="008B69A9" w:rsidP="00E57E65">
      <w:pPr>
        <w:pStyle w:val="NoSpacing"/>
        <w:snapToGrid w:val="0"/>
        <w:ind w:left="425" w:hanging="425"/>
        <w:jc w:val="both"/>
        <w:rPr>
          <w:rFonts w:ascii="Times New Roman" w:hAnsi="Times New Roman" w:cs="Times New Roman"/>
          <w:sz w:val="20"/>
          <w:szCs w:val="20"/>
          <w:lang w:eastAsia="zh-CN"/>
        </w:rPr>
      </w:pPr>
    </w:p>
    <w:p w:rsidR="00E57E65" w:rsidRPr="00E57E65" w:rsidRDefault="00E57E65" w:rsidP="00E57E65">
      <w:pPr>
        <w:pStyle w:val="NoSpacing"/>
        <w:snapToGrid w:val="0"/>
        <w:ind w:left="425" w:hanging="425"/>
        <w:jc w:val="both"/>
        <w:rPr>
          <w:rFonts w:ascii="Times New Roman" w:hAnsi="Times New Roman" w:cs="Times New Roman"/>
          <w:sz w:val="20"/>
          <w:szCs w:val="20"/>
          <w:lang w:eastAsia="zh-CN"/>
        </w:rPr>
      </w:pPr>
    </w:p>
    <w:p w:rsidR="00E57E65" w:rsidRPr="00E57E65" w:rsidRDefault="00E57E65" w:rsidP="00E57E65">
      <w:pPr>
        <w:pStyle w:val="NoSpacing"/>
        <w:snapToGrid w:val="0"/>
        <w:ind w:left="425" w:hanging="425"/>
        <w:jc w:val="both"/>
        <w:rPr>
          <w:rFonts w:ascii="Times New Roman" w:hAnsi="Times New Roman" w:cs="Times New Roman"/>
          <w:sz w:val="20"/>
          <w:szCs w:val="20"/>
          <w:lang w:eastAsia="zh-CN"/>
        </w:rPr>
      </w:pPr>
    </w:p>
    <w:p w:rsidR="00540106" w:rsidRPr="00E57E65" w:rsidRDefault="008B69A9" w:rsidP="00E57E65">
      <w:pPr>
        <w:pStyle w:val="NoSpacing"/>
        <w:snapToGrid w:val="0"/>
        <w:ind w:left="425" w:hanging="425"/>
        <w:jc w:val="both"/>
        <w:rPr>
          <w:rFonts w:ascii="Times New Roman" w:hAnsi="Times New Roman" w:cs="Times New Roman"/>
          <w:sz w:val="20"/>
          <w:szCs w:val="20"/>
        </w:rPr>
      </w:pPr>
      <w:r w:rsidRPr="00E57E65">
        <w:rPr>
          <w:rFonts w:ascii="Times New Roman" w:hAnsi="Times New Roman" w:cs="Times New Roman"/>
          <w:sz w:val="20"/>
          <w:szCs w:val="20"/>
        </w:rPr>
        <w:t>3/15/2017</w:t>
      </w:r>
    </w:p>
    <w:sectPr w:rsidR="00540106" w:rsidRPr="00E57E65" w:rsidSect="004B7BB1">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3DB" w:rsidRDefault="002C73DB" w:rsidP="002F2B8C">
      <w:pPr>
        <w:spacing w:after="0" w:line="240" w:lineRule="auto"/>
      </w:pPr>
      <w:r>
        <w:separator/>
      </w:r>
    </w:p>
  </w:endnote>
  <w:endnote w:type="continuationSeparator" w:id="0">
    <w:p w:rsidR="002C73DB" w:rsidRDefault="002C73DB" w:rsidP="002F2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65" w:rsidRPr="008B69A9" w:rsidRDefault="00C3362C" w:rsidP="008B69A9">
    <w:pPr>
      <w:bidi w:val="0"/>
      <w:spacing w:after="0" w:line="240" w:lineRule="auto"/>
      <w:jc w:val="center"/>
      <w:rPr>
        <w:rFonts w:ascii="Times New Roman" w:hAnsi="Times New Roman" w:cs="Times New Roman"/>
        <w:sz w:val="20"/>
      </w:rPr>
    </w:pPr>
    <w:r w:rsidRPr="008B69A9">
      <w:rPr>
        <w:rFonts w:ascii="Times New Roman" w:hAnsi="Times New Roman" w:cs="Times New Roman"/>
        <w:sz w:val="20"/>
      </w:rPr>
      <w:fldChar w:fldCharType="begin"/>
    </w:r>
    <w:r w:rsidR="00E57E65" w:rsidRPr="008B69A9">
      <w:rPr>
        <w:rFonts w:ascii="Times New Roman" w:hAnsi="Times New Roman" w:cs="Times New Roman"/>
        <w:sz w:val="20"/>
      </w:rPr>
      <w:instrText xml:space="preserve"> page </w:instrText>
    </w:r>
    <w:r w:rsidRPr="008B69A9">
      <w:rPr>
        <w:rFonts w:ascii="Times New Roman" w:hAnsi="Times New Roman" w:cs="Times New Roman"/>
        <w:sz w:val="20"/>
      </w:rPr>
      <w:fldChar w:fldCharType="separate"/>
    </w:r>
    <w:r w:rsidR="00392697">
      <w:rPr>
        <w:rFonts w:ascii="Times New Roman" w:hAnsi="Times New Roman" w:cs="Times New Roman"/>
        <w:noProof/>
        <w:sz w:val="20"/>
      </w:rPr>
      <w:t>75</w:t>
    </w:r>
    <w:r w:rsidRPr="008B69A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65" w:rsidRPr="008B69A9" w:rsidRDefault="00C3362C" w:rsidP="008B69A9">
    <w:pPr>
      <w:bidi w:val="0"/>
      <w:spacing w:after="0" w:line="240" w:lineRule="auto"/>
      <w:jc w:val="center"/>
      <w:rPr>
        <w:rFonts w:ascii="Times New Roman" w:hAnsi="Times New Roman" w:cs="Times New Roman"/>
        <w:sz w:val="20"/>
      </w:rPr>
    </w:pPr>
    <w:r w:rsidRPr="008B69A9">
      <w:rPr>
        <w:rFonts w:ascii="Times New Roman" w:hAnsi="Times New Roman" w:cs="Times New Roman"/>
        <w:sz w:val="20"/>
      </w:rPr>
      <w:fldChar w:fldCharType="begin"/>
    </w:r>
    <w:r w:rsidR="00E57E65" w:rsidRPr="008B69A9">
      <w:rPr>
        <w:rFonts w:ascii="Times New Roman" w:hAnsi="Times New Roman" w:cs="Times New Roman"/>
        <w:sz w:val="20"/>
      </w:rPr>
      <w:instrText xml:space="preserve"> page </w:instrText>
    </w:r>
    <w:r w:rsidRPr="008B69A9">
      <w:rPr>
        <w:rFonts w:ascii="Times New Roman" w:hAnsi="Times New Roman" w:cs="Times New Roman"/>
        <w:sz w:val="20"/>
      </w:rPr>
      <w:fldChar w:fldCharType="separate"/>
    </w:r>
    <w:r w:rsidR="00392697">
      <w:rPr>
        <w:rFonts w:ascii="Times New Roman" w:hAnsi="Times New Roman" w:cs="Times New Roman"/>
        <w:noProof/>
        <w:sz w:val="20"/>
      </w:rPr>
      <w:t>76</w:t>
    </w:r>
    <w:r w:rsidRPr="008B69A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A9" w:rsidRPr="008B69A9" w:rsidRDefault="00C3362C" w:rsidP="008B69A9">
    <w:pPr>
      <w:bidi w:val="0"/>
      <w:spacing w:after="0" w:line="240" w:lineRule="auto"/>
      <w:jc w:val="center"/>
      <w:rPr>
        <w:rFonts w:ascii="Times New Roman" w:hAnsi="Times New Roman" w:cs="Times New Roman"/>
        <w:sz w:val="20"/>
      </w:rPr>
    </w:pPr>
    <w:r w:rsidRPr="008B69A9">
      <w:rPr>
        <w:rFonts w:ascii="Times New Roman" w:hAnsi="Times New Roman" w:cs="Times New Roman"/>
        <w:sz w:val="20"/>
      </w:rPr>
      <w:fldChar w:fldCharType="begin"/>
    </w:r>
    <w:r w:rsidR="008B69A9" w:rsidRPr="008B69A9">
      <w:rPr>
        <w:rFonts w:ascii="Times New Roman" w:hAnsi="Times New Roman" w:cs="Times New Roman"/>
        <w:sz w:val="20"/>
      </w:rPr>
      <w:instrText xml:space="preserve"> page </w:instrText>
    </w:r>
    <w:r w:rsidRPr="008B69A9">
      <w:rPr>
        <w:rFonts w:ascii="Times New Roman" w:hAnsi="Times New Roman" w:cs="Times New Roman"/>
        <w:sz w:val="20"/>
      </w:rPr>
      <w:fldChar w:fldCharType="separate"/>
    </w:r>
    <w:r w:rsidR="00392697">
      <w:rPr>
        <w:rFonts w:ascii="Times New Roman" w:hAnsi="Times New Roman" w:cs="Times New Roman"/>
        <w:noProof/>
        <w:sz w:val="20"/>
      </w:rPr>
      <w:t>79</w:t>
    </w:r>
    <w:r w:rsidRPr="008B69A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3DB" w:rsidRDefault="002C73DB" w:rsidP="002F2B8C">
      <w:pPr>
        <w:spacing w:after="0" w:line="240" w:lineRule="auto"/>
      </w:pPr>
      <w:r>
        <w:separator/>
      </w:r>
    </w:p>
  </w:footnote>
  <w:footnote w:type="continuationSeparator" w:id="0">
    <w:p w:rsidR="002C73DB" w:rsidRDefault="002C73DB" w:rsidP="002F2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65" w:rsidRPr="008B69A9" w:rsidRDefault="00E57E65" w:rsidP="008B69A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B69A9">
      <w:rPr>
        <w:rFonts w:ascii="Times New Roman" w:hAnsi="Times New Roman" w:cs="Times New Roman" w:hint="eastAsia"/>
        <w:sz w:val="20"/>
        <w:szCs w:val="20"/>
      </w:rPr>
      <w:tab/>
    </w:r>
    <w:r w:rsidRPr="008B69A9">
      <w:rPr>
        <w:rFonts w:ascii="Times New Roman" w:hAnsi="Times New Roman" w:cs="Times New Roman"/>
        <w:sz w:val="20"/>
        <w:szCs w:val="20"/>
      </w:rPr>
      <w:t>New York Science Journal 201</w:t>
    </w:r>
    <w:r w:rsidRPr="008B69A9">
      <w:rPr>
        <w:rFonts w:ascii="Times New Roman" w:hAnsi="Times New Roman" w:cs="Times New Roman" w:hint="eastAsia"/>
        <w:sz w:val="20"/>
        <w:szCs w:val="20"/>
      </w:rPr>
      <w:t>7</w:t>
    </w:r>
    <w:r w:rsidRPr="008B69A9">
      <w:rPr>
        <w:rFonts w:ascii="Times New Roman" w:hAnsi="Times New Roman" w:cs="Times New Roman"/>
        <w:sz w:val="20"/>
        <w:szCs w:val="20"/>
      </w:rPr>
      <w:t>;</w:t>
    </w:r>
    <w:r w:rsidRPr="008B69A9">
      <w:rPr>
        <w:rFonts w:ascii="Times New Roman" w:hAnsi="Times New Roman" w:cs="Times New Roman" w:hint="eastAsia"/>
        <w:sz w:val="20"/>
        <w:szCs w:val="20"/>
      </w:rPr>
      <w:t>10</w:t>
    </w:r>
    <w:r w:rsidRPr="008B69A9">
      <w:rPr>
        <w:rFonts w:ascii="Times New Roman" w:hAnsi="Times New Roman" w:cs="Times New Roman"/>
        <w:sz w:val="20"/>
        <w:szCs w:val="20"/>
      </w:rPr>
      <w:t>(</w:t>
    </w:r>
    <w:r w:rsidRPr="008B69A9">
      <w:rPr>
        <w:rFonts w:ascii="Times New Roman" w:hAnsi="Times New Roman" w:cs="Times New Roman" w:hint="eastAsia"/>
        <w:sz w:val="20"/>
        <w:szCs w:val="20"/>
      </w:rPr>
      <w:t>3</w:t>
    </w:r>
    <w:r w:rsidRPr="008B69A9">
      <w:rPr>
        <w:rFonts w:ascii="Times New Roman" w:hAnsi="Times New Roman" w:cs="Times New Roman"/>
        <w:sz w:val="20"/>
        <w:szCs w:val="20"/>
      </w:rPr>
      <w:t>)</w:t>
    </w:r>
    <w:r w:rsidRPr="008B69A9">
      <w:rPr>
        <w:rFonts w:ascii="Times New Roman" w:hAnsi="Times New Roman" w:cs="Times New Roman"/>
        <w:iCs/>
        <w:sz w:val="20"/>
        <w:szCs w:val="20"/>
      </w:rPr>
      <w:t xml:space="preserve">     </w:t>
    </w:r>
    <w:r w:rsidRPr="008B69A9">
      <w:rPr>
        <w:rFonts w:ascii="Times New Roman" w:hAnsi="Times New Roman" w:cs="Times New Roman" w:hint="eastAsia"/>
        <w:iCs/>
        <w:sz w:val="20"/>
        <w:szCs w:val="20"/>
      </w:rPr>
      <w:tab/>
    </w:r>
    <w:r w:rsidRPr="008B69A9">
      <w:rPr>
        <w:rFonts w:ascii="Times New Roman" w:hAnsi="Times New Roman" w:cs="Times New Roman"/>
        <w:iCs/>
        <w:sz w:val="20"/>
        <w:szCs w:val="20"/>
      </w:rPr>
      <w:t xml:space="preserve"> </w:t>
    </w:r>
    <w:r w:rsidRPr="008B69A9">
      <w:rPr>
        <w:rFonts w:ascii="Times New Roman" w:hAnsi="Times New Roman" w:cs="Times New Roman" w:hint="eastAsia"/>
        <w:iCs/>
        <w:sz w:val="20"/>
        <w:szCs w:val="20"/>
      </w:rPr>
      <w:t xml:space="preserve"> </w:t>
    </w:r>
    <w:r w:rsidRPr="008B69A9">
      <w:rPr>
        <w:rFonts w:ascii="Times New Roman" w:hAnsi="Times New Roman" w:cs="Times New Roman"/>
        <w:iCs/>
        <w:sz w:val="20"/>
        <w:szCs w:val="20"/>
      </w:rPr>
      <w:t xml:space="preserve">   </w:t>
    </w:r>
    <w:hyperlink r:id="rId1" w:history="1">
      <w:r w:rsidRPr="008B69A9">
        <w:rPr>
          <w:rStyle w:val="Hyperlink"/>
          <w:rFonts w:ascii="Times New Roman" w:hAnsi="Times New Roman" w:cs="Times New Roman"/>
          <w:sz w:val="20"/>
          <w:szCs w:val="20"/>
        </w:rPr>
        <w:t>http://www.sciencepub.net/newyork</w:t>
      </w:r>
    </w:hyperlink>
  </w:p>
  <w:p w:rsidR="00E57E65" w:rsidRPr="008B69A9" w:rsidRDefault="00E57E65" w:rsidP="008B69A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E65" w:rsidRPr="008B69A9" w:rsidRDefault="00E57E65" w:rsidP="008B69A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B69A9">
      <w:rPr>
        <w:rFonts w:ascii="Times New Roman" w:hAnsi="Times New Roman" w:cs="Times New Roman" w:hint="eastAsia"/>
        <w:sz w:val="20"/>
        <w:szCs w:val="20"/>
      </w:rPr>
      <w:tab/>
    </w:r>
    <w:r w:rsidRPr="008B69A9">
      <w:rPr>
        <w:rFonts w:ascii="Times New Roman" w:hAnsi="Times New Roman" w:cs="Times New Roman"/>
        <w:sz w:val="20"/>
        <w:szCs w:val="20"/>
      </w:rPr>
      <w:t>New York Science Journal 201</w:t>
    </w:r>
    <w:r w:rsidRPr="008B69A9">
      <w:rPr>
        <w:rFonts w:ascii="Times New Roman" w:hAnsi="Times New Roman" w:cs="Times New Roman" w:hint="eastAsia"/>
        <w:sz w:val="20"/>
        <w:szCs w:val="20"/>
      </w:rPr>
      <w:t>7</w:t>
    </w:r>
    <w:r w:rsidRPr="008B69A9">
      <w:rPr>
        <w:rFonts w:ascii="Times New Roman" w:hAnsi="Times New Roman" w:cs="Times New Roman"/>
        <w:sz w:val="20"/>
        <w:szCs w:val="20"/>
      </w:rPr>
      <w:t>;</w:t>
    </w:r>
    <w:r w:rsidRPr="008B69A9">
      <w:rPr>
        <w:rFonts w:ascii="Times New Roman" w:hAnsi="Times New Roman" w:cs="Times New Roman" w:hint="eastAsia"/>
        <w:sz w:val="20"/>
        <w:szCs w:val="20"/>
      </w:rPr>
      <w:t>10</w:t>
    </w:r>
    <w:r w:rsidRPr="008B69A9">
      <w:rPr>
        <w:rFonts w:ascii="Times New Roman" w:hAnsi="Times New Roman" w:cs="Times New Roman"/>
        <w:sz w:val="20"/>
        <w:szCs w:val="20"/>
      </w:rPr>
      <w:t>(</w:t>
    </w:r>
    <w:r w:rsidRPr="008B69A9">
      <w:rPr>
        <w:rFonts w:ascii="Times New Roman" w:hAnsi="Times New Roman" w:cs="Times New Roman" w:hint="eastAsia"/>
        <w:sz w:val="20"/>
        <w:szCs w:val="20"/>
      </w:rPr>
      <w:t>3</w:t>
    </w:r>
    <w:r w:rsidRPr="008B69A9">
      <w:rPr>
        <w:rFonts w:ascii="Times New Roman" w:hAnsi="Times New Roman" w:cs="Times New Roman"/>
        <w:sz w:val="20"/>
        <w:szCs w:val="20"/>
      </w:rPr>
      <w:t>)</w:t>
    </w:r>
    <w:r w:rsidRPr="008B69A9">
      <w:rPr>
        <w:rFonts w:ascii="Times New Roman" w:hAnsi="Times New Roman" w:cs="Times New Roman"/>
        <w:iCs/>
        <w:sz w:val="20"/>
        <w:szCs w:val="20"/>
      </w:rPr>
      <w:t xml:space="preserve">     </w:t>
    </w:r>
    <w:r w:rsidRPr="008B69A9">
      <w:rPr>
        <w:rFonts w:ascii="Times New Roman" w:hAnsi="Times New Roman" w:cs="Times New Roman" w:hint="eastAsia"/>
        <w:iCs/>
        <w:sz w:val="20"/>
        <w:szCs w:val="20"/>
      </w:rPr>
      <w:tab/>
    </w:r>
    <w:r w:rsidRPr="008B69A9">
      <w:rPr>
        <w:rFonts w:ascii="Times New Roman" w:hAnsi="Times New Roman" w:cs="Times New Roman"/>
        <w:iCs/>
        <w:sz w:val="20"/>
        <w:szCs w:val="20"/>
      </w:rPr>
      <w:t xml:space="preserve"> </w:t>
    </w:r>
    <w:r w:rsidRPr="008B69A9">
      <w:rPr>
        <w:rFonts w:ascii="Times New Roman" w:hAnsi="Times New Roman" w:cs="Times New Roman" w:hint="eastAsia"/>
        <w:iCs/>
        <w:sz w:val="20"/>
        <w:szCs w:val="20"/>
      </w:rPr>
      <w:t xml:space="preserve"> </w:t>
    </w:r>
    <w:r w:rsidRPr="008B69A9">
      <w:rPr>
        <w:rFonts w:ascii="Times New Roman" w:hAnsi="Times New Roman" w:cs="Times New Roman"/>
        <w:iCs/>
        <w:sz w:val="20"/>
        <w:szCs w:val="20"/>
      </w:rPr>
      <w:t xml:space="preserve">   </w:t>
    </w:r>
    <w:hyperlink r:id="rId1" w:history="1">
      <w:r w:rsidRPr="008B69A9">
        <w:rPr>
          <w:rStyle w:val="Hyperlink"/>
          <w:rFonts w:ascii="Times New Roman" w:hAnsi="Times New Roman" w:cs="Times New Roman"/>
          <w:sz w:val="20"/>
          <w:szCs w:val="20"/>
        </w:rPr>
        <w:t>http://www.sciencepub.net/newyork</w:t>
      </w:r>
    </w:hyperlink>
  </w:p>
  <w:p w:rsidR="00E57E65" w:rsidRPr="008B69A9" w:rsidRDefault="00E57E65" w:rsidP="008B69A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9A9" w:rsidRPr="008B69A9" w:rsidRDefault="008B69A9" w:rsidP="008B69A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B69A9">
      <w:rPr>
        <w:rFonts w:ascii="Times New Roman" w:hAnsi="Times New Roman" w:cs="Times New Roman" w:hint="eastAsia"/>
        <w:sz w:val="20"/>
        <w:szCs w:val="20"/>
      </w:rPr>
      <w:tab/>
    </w:r>
    <w:r w:rsidRPr="008B69A9">
      <w:rPr>
        <w:rFonts w:ascii="Times New Roman" w:hAnsi="Times New Roman" w:cs="Times New Roman"/>
        <w:sz w:val="20"/>
        <w:szCs w:val="20"/>
      </w:rPr>
      <w:t>New York Science Journal 201</w:t>
    </w:r>
    <w:r w:rsidRPr="008B69A9">
      <w:rPr>
        <w:rFonts w:ascii="Times New Roman" w:hAnsi="Times New Roman" w:cs="Times New Roman" w:hint="eastAsia"/>
        <w:sz w:val="20"/>
        <w:szCs w:val="20"/>
      </w:rPr>
      <w:t>7</w:t>
    </w:r>
    <w:r w:rsidRPr="008B69A9">
      <w:rPr>
        <w:rFonts w:ascii="Times New Roman" w:hAnsi="Times New Roman" w:cs="Times New Roman"/>
        <w:sz w:val="20"/>
        <w:szCs w:val="20"/>
      </w:rPr>
      <w:t>;</w:t>
    </w:r>
    <w:r w:rsidRPr="008B69A9">
      <w:rPr>
        <w:rFonts w:ascii="Times New Roman" w:hAnsi="Times New Roman" w:cs="Times New Roman" w:hint="eastAsia"/>
        <w:sz w:val="20"/>
        <w:szCs w:val="20"/>
      </w:rPr>
      <w:t>10</w:t>
    </w:r>
    <w:r w:rsidRPr="008B69A9">
      <w:rPr>
        <w:rFonts w:ascii="Times New Roman" w:hAnsi="Times New Roman" w:cs="Times New Roman"/>
        <w:sz w:val="20"/>
        <w:szCs w:val="20"/>
      </w:rPr>
      <w:t>(</w:t>
    </w:r>
    <w:r w:rsidRPr="008B69A9">
      <w:rPr>
        <w:rFonts w:ascii="Times New Roman" w:hAnsi="Times New Roman" w:cs="Times New Roman" w:hint="eastAsia"/>
        <w:sz w:val="20"/>
        <w:szCs w:val="20"/>
      </w:rPr>
      <w:t>3</w:t>
    </w:r>
    <w:r w:rsidRPr="008B69A9">
      <w:rPr>
        <w:rFonts w:ascii="Times New Roman" w:hAnsi="Times New Roman" w:cs="Times New Roman"/>
        <w:sz w:val="20"/>
        <w:szCs w:val="20"/>
      </w:rPr>
      <w:t>)</w:t>
    </w:r>
    <w:r w:rsidRPr="008B69A9">
      <w:rPr>
        <w:rFonts w:ascii="Times New Roman" w:hAnsi="Times New Roman" w:cs="Times New Roman"/>
        <w:iCs/>
        <w:sz w:val="20"/>
        <w:szCs w:val="20"/>
      </w:rPr>
      <w:t xml:space="preserve">     </w:t>
    </w:r>
    <w:r w:rsidRPr="008B69A9">
      <w:rPr>
        <w:rFonts w:ascii="Times New Roman" w:hAnsi="Times New Roman" w:cs="Times New Roman" w:hint="eastAsia"/>
        <w:iCs/>
        <w:sz w:val="20"/>
        <w:szCs w:val="20"/>
      </w:rPr>
      <w:tab/>
    </w:r>
    <w:r w:rsidRPr="008B69A9">
      <w:rPr>
        <w:rFonts w:ascii="Times New Roman" w:hAnsi="Times New Roman" w:cs="Times New Roman"/>
        <w:iCs/>
        <w:sz w:val="20"/>
        <w:szCs w:val="20"/>
      </w:rPr>
      <w:t xml:space="preserve"> </w:t>
    </w:r>
    <w:r w:rsidRPr="008B69A9">
      <w:rPr>
        <w:rFonts w:ascii="Times New Roman" w:hAnsi="Times New Roman" w:cs="Times New Roman" w:hint="eastAsia"/>
        <w:iCs/>
        <w:sz w:val="20"/>
        <w:szCs w:val="20"/>
      </w:rPr>
      <w:t xml:space="preserve"> </w:t>
    </w:r>
    <w:r w:rsidRPr="008B69A9">
      <w:rPr>
        <w:rFonts w:ascii="Times New Roman" w:hAnsi="Times New Roman" w:cs="Times New Roman"/>
        <w:iCs/>
        <w:sz w:val="20"/>
        <w:szCs w:val="20"/>
      </w:rPr>
      <w:t xml:space="preserve">   </w:t>
    </w:r>
    <w:hyperlink r:id="rId1" w:history="1">
      <w:r w:rsidRPr="008B69A9">
        <w:rPr>
          <w:rStyle w:val="Hyperlink"/>
          <w:rFonts w:ascii="Times New Roman" w:hAnsi="Times New Roman" w:cs="Times New Roman"/>
          <w:sz w:val="20"/>
          <w:szCs w:val="20"/>
        </w:rPr>
        <w:t>http://www.sciencepub.net/newyork</w:t>
      </w:r>
    </w:hyperlink>
  </w:p>
  <w:p w:rsidR="008B69A9" w:rsidRPr="008B69A9" w:rsidRDefault="008B69A9" w:rsidP="008B69A9">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35AC6"/>
    <w:multiLevelType w:val="hybridMultilevel"/>
    <w:tmpl w:val="33ACDA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
  <w:rsids>
    <w:rsidRoot w:val="00626D60"/>
    <w:rsid w:val="000118D1"/>
    <w:rsid w:val="0009189F"/>
    <w:rsid w:val="000C6FA3"/>
    <w:rsid w:val="000E7EE4"/>
    <w:rsid w:val="001340AE"/>
    <w:rsid w:val="00141ED5"/>
    <w:rsid w:val="00182276"/>
    <w:rsid w:val="00192974"/>
    <w:rsid w:val="001D0EEE"/>
    <w:rsid w:val="001D48B1"/>
    <w:rsid w:val="001E1ACD"/>
    <w:rsid w:val="001E78FB"/>
    <w:rsid w:val="001E7E46"/>
    <w:rsid w:val="001F2858"/>
    <w:rsid w:val="00211276"/>
    <w:rsid w:val="00245E14"/>
    <w:rsid w:val="00287FC4"/>
    <w:rsid w:val="002A72C4"/>
    <w:rsid w:val="002B429B"/>
    <w:rsid w:val="002C73DB"/>
    <w:rsid w:val="002D6A29"/>
    <w:rsid w:val="002F2B8C"/>
    <w:rsid w:val="00301A31"/>
    <w:rsid w:val="00331876"/>
    <w:rsid w:val="00346E61"/>
    <w:rsid w:val="00346F16"/>
    <w:rsid w:val="00355F0B"/>
    <w:rsid w:val="00373CFB"/>
    <w:rsid w:val="00392697"/>
    <w:rsid w:val="00392E8C"/>
    <w:rsid w:val="003A5353"/>
    <w:rsid w:val="00424E12"/>
    <w:rsid w:val="00485F19"/>
    <w:rsid w:val="004B03B9"/>
    <w:rsid w:val="004B215F"/>
    <w:rsid w:val="004B7BB1"/>
    <w:rsid w:val="004C0551"/>
    <w:rsid w:val="00522616"/>
    <w:rsid w:val="00540106"/>
    <w:rsid w:val="005C3ACF"/>
    <w:rsid w:val="005D0EC9"/>
    <w:rsid w:val="005E6B0F"/>
    <w:rsid w:val="006038BF"/>
    <w:rsid w:val="00611CBC"/>
    <w:rsid w:val="00626D60"/>
    <w:rsid w:val="00661304"/>
    <w:rsid w:val="00665B3A"/>
    <w:rsid w:val="00671458"/>
    <w:rsid w:val="006A4C43"/>
    <w:rsid w:val="006B1F4D"/>
    <w:rsid w:val="006B62B1"/>
    <w:rsid w:val="006F0F27"/>
    <w:rsid w:val="007304B3"/>
    <w:rsid w:val="00733071"/>
    <w:rsid w:val="0074055A"/>
    <w:rsid w:val="00751F17"/>
    <w:rsid w:val="007663E7"/>
    <w:rsid w:val="007B0E53"/>
    <w:rsid w:val="007D054B"/>
    <w:rsid w:val="007F08E9"/>
    <w:rsid w:val="007F24FE"/>
    <w:rsid w:val="007F61AD"/>
    <w:rsid w:val="0080680A"/>
    <w:rsid w:val="00842AFD"/>
    <w:rsid w:val="00885028"/>
    <w:rsid w:val="00897C32"/>
    <w:rsid w:val="008B69A9"/>
    <w:rsid w:val="008C3593"/>
    <w:rsid w:val="008C501E"/>
    <w:rsid w:val="008C5892"/>
    <w:rsid w:val="0091028B"/>
    <w:rsid w:val="00920AB0"/>
    <w:rsid w:val="00924CAE"/>
    <w:rsid w:val="009928C2"/>
    <w:rsid w:val="0099544B"/>
    <w:rsid w:val="009A22F6"/>
    <w:rsid w:val="009A68C4"/>
    <w:rsid w:val="009C298B"/>
    <w:rsid w:val="009C5BD9"/>
    <w:rsid w:val="009F6B81"/>
    <w:rsid w:val="00A00588"/>
    <w:rsid w:val="00A11558"/>
    <w:rsid w:val="00A72B3F"/>
    <w:rsid w:val="00A761CC"/>
    <w:rsid w:val="00A904E1"/>
    <w:rsid w:val="00AF0B53"/>
    <w:rsid w:val="00AF2CD0"/>
    <w:rsid w:val="00C3362C"/>
    <w:rsid w:val="00C34617"/>
    <w:rsid w:val="00C4043A"/>
    <w:rsid w:val="00CD09E6"/>
    <w:rsid w:val="00CE105F"/>
    <w:rsid w:val="00CF200F"/>
    <w:rsid w:val="00D0036E"/>
    <w:rsid w:val="00D0083C"/>
    <w:rsid w:val="00D33A3E"/>
    <w:rsid w:val="00D5434C"/>
    <w:rsid w:val="00DB633A"/>
    <w:rsid w:val="00DD6D57"/>
    <w:rsid w:val="00E0644A"/>
    <w:rsid w:val="00E14F7A"/>
    <w:rsid w:val="00E340B9"/>
    <w:rsid w:val="00E450A1"/>
    <w:rsid w:val="00E52118"/>
    <w:rsid w:val="00E57E65"/>
    <w:rsid w:val="00E81D87"/>
    <w:rsid w:val="00EC12B1"/>
    <w:rsid w:val="00EC2CF9"/>
    <w:rsid w:val="00ED177D"/>
    <w:rsid w:val="00F40D57"/>
    <w:rsid w:val="00F6344E"/>
    <w:rsid w:val="00FC1056"/>
    <w:rsid w:val="00FC46EA"/>
    <w:rsid w:val="00FE0B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F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3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92974"/>
    <w:pPr>
      <w:spacing w:after="0" w:line="240" w:lineRule="auto"/>
    </w:pPr>
  </w:style>
  <w:style w:type="character" w:styleId="Hyperlink">
    <w:name w:val="Hyperlink"/>
    <w:basedOn w:val="DefaultParagraphFont"/>
    <w:uiPriority w:val="99"/>
    <w:unhideWhenUsed/>
    <w:rsid w:val="007B0E53"/>
    <w:rPr>
      <w:color w:val="0000FF"/>
      <w:u w:val="single"/>
    </w:rPr>
  </w:style>
  <w:style w:type="character" w:customStyle="1" w:styleId="apple-converted-space">
    <w:name w:val="apple-converted-space"/>
    <w:basedOn w:val="DefaultParagraphFont"/>
    <w:rsid w:val="00346E61"/>
  </w:style>
  <w:style w:type="character" w:customStyle="1" w:styleId="ref-title">
    <w:name w:val="ref-title"/>
    <w:basedOn w:val="DefaultParagraphFont"/>
    <w:rsid w:val="00346E61"/>
  </w:style>
  <w:style w:type="character" w:customStyle="1" w:styleId="ref-journal">
    <w:name w:val="ref-journal"/>
    <w:basedOn w:val="DefaultParagraphFont"/>
    <w:rsid w:val="00346E61"/>
  </w:style>
  <w:style w:type="character" w:customStyle="1" w:styleId="ref-vol">
    <w:name w:val="ref-vol"/>
    <w:basedOn w:val="DefaultParagraphFont"/>
    <w:rsid w:val="00346E61"/>
  </w:style>
  <w:style w:type="character" w:customStyle="1" w:styleId="ref-iss">
    <w:name w:val="ref-iss"/>
    <w:basedOn w:val="DefaultParagraphFont"/>
    <w:rsid w:val="00346E61"/>
  </w:style>
  <w:style w:type="character" w:styleId="Strong">
    <w:name w:val="Strong"/>
    <w:basedOn w:val="DefaultParagraphFont"/>
    <w:uiPriority w:val="22"/>
    <w:qFormat/>
    <w:rsid w:val="009C298B"/>
    <w:rPr>
      <w:b/>
      <w:bCs/>
    </w:rPr>
  </w:style>
  <w:style w:type="paragraph" w:styleId="Header">
    <w:name w:val="header"/>
    <w:basedOn w:val="Normal"/>
    <w:link w:val="HeaderChar"/>
    <w:uiPriority w:val="99"/>
    <w:semiHidden/>
    <w:unhideWhenUsed/>
    <w:rsid w:val="002F2B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2B8C"/>
  </w:style>
  <w:style w:type="paragraph" w:styleId="Footer">
    <w:name w:val="footer"/>
    <w:basedOn w:val="Normal"/>
    <w:link w:val="FooterChar"/>
    <w:uiPriority w:val="99"/>
    <w:semiHidden/>
    <w:unhideWhenUsed/>
    <w:rsid w:val="002F2B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2B8C"/>
  </w:style>
  <w:style w:type="paragraph" w:styleId="BalloonText">
    <w:name w:val="Balloon Text"/>
    <w:basedOn w:val="Normal"/>
    <w:link w:val="BalloonTextChar"/>
    <w:uiPriority w:val="99"/>
    <w:semiHidden/>
    <w:unhideWhenUsed/>
    <w:rsid w:val="0039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alsttar.alwaziry@gmail.com" TargetMode="External"/><Relationship Id="rId13" Type="http://schemas.openxmlformats.org/officeDocument/2006/relationships/hyperlink" Target="https://radiopaedia.org/articles/ovarian-tumou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x.doi.org/10.7537/marsnys100317.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B76D-B735-4019-92D3-861B0266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2601</Words>
  <Characters>14831</Characters>
  <Application>Microsoft Office Word</Application>
  <DocSecurity>0</DocSecurity>
  <Lines>123</Lines>
  <Paragraphs>34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SJo</dc:creator>
  <cp:lastModifiedBy>Administrator</cp:lastModifiedBy>
  <cp:revision>4</cp:revision>
  <cp:lastPrinted>2017-03-18T06:28:00Z</cp:lastPrinted>
  <dcterms:created xsi:type="dcterms:W3CDTF">2017-03-17T13:39:00Z</dcterms:created>
  <dcterms:modified xsi:type="dcterms:W3CDTF">2017-03-18T06:29:00Z</dcterms:modified>
</cp:coreProperties>
</file>