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C2" w:rsidRPr="002A163D" w:rsidRDefault="00F445C2" w:rsidP="002A163D">
      <w:pPr>
        <w:bidi w:val="0"/>
        <w:snapToGrid w:val="0"/>
        <w:jc w:val="center"/>
        <w:rPr>
          <w:rFonts w:eastAsia="Times New Roman"/>
          <w:b/>
          <w:bCs/>
          <w:sz w:val="20"/>
          <w:szCs w:val="20"/>
        </w:rPr>
      </w:pPr>
      <w:r w:rsidRPr="002A163D">
        <w:rPr>
          <w:rFonts w:eastAsia="Times New Roman"/>
          <w:b/>
          <w:bCs/>
          <w:sz w:val="20"/>
          <w:szCs w:val="20"/>
        </w:rPr>
        <w:t xml:space="preserve">Comparative Study between Triggering Ovulation with </w:t>
      </w:r>
      <w:proofErr w:type="spellStart"/>
      <w:r w:rsidRPr="002A163D">
        <w:rPr>
          <w:rFonts w:eastAsia="Times New Roman"/>
          <w:b/>
          <w:bCs/>
          <w:sz w:val="20"/>
          <w:szCs w:val="20"/>
        </w:rPr>
        <w:t>Gonadotropin</w:t>
      </w:r>
      <w:proofErr w:type="spellEnd"/>
      <w:r w:rsidRPr="002A163D">
        <w:rPr>
          <w:rFonts w:eastAsia="Times New Roman"/>
          <w:b/>
          <w:bCs/>
          <w:sz w:val="20"/>
          <w:szCs w:val="20"/>
        </w:rPr>
        <w:t xml:space="preserve">-releasing Hormone Agonist versus Triggering Ovulation with Human Chorionic </w:t>
      </w:r>
      <w:proofErr w:type="spellStart"/>
      <w:r w:rsidRPr="002A163D">
        <w:rPr>
          <w:rFonts w:eastAsia="Times New Roman"/>
          <w:b/>
          <w:bCs/>
          <w:sz w:val="20"/>
          <w:szCs w:val="20"/>
        </w:rPr>
        <w:t>Gonadotropin</w:t>
      </w:r>
      <w:proofErr w:type="spellEnd"/>
      <w:r w:rsidRPr="002A163D">
        <w:rPr>
          <w:rFonts w:eastAsia="Times New Roman"/>
          <w:b/>
          <w:bCs/>
          <w:sz w:val="20"/>
          <w:szCs w:val="20"/>
        </w:rPr>
        <w:t xml:space="preserve"> in Patients with Polycystic Ovarian Syndrome</w:t>
      </w:r>
    </w:p>
    <w:p w:rsidR="00B011C9" w:rsidRPr="002A163D" w:rsidRDefault="00B011C9" w:rsidP="002A163D">
      <w:pPr>
        <w:bidi w:val="0"/>
        <w:snapToGrid w:val="0"/>
        <w:jc w:val="center"/>
        <w:rPr>
          <w:rFonts w:eastAsia="Times New Roman"/>
          <w:b/>
          <w:bCs/>
          <w:sz w:val="20"/>
          <w:szCs w:val="20"/>
        </w:rPr>
      </w:pPr>
    </w:p>
    <w:p w:rsidR="00F445C2" w:rsidRPr="002A163D" w:rsidRDefault="00F445C2" w:rsidP="002A163D">
      <w:pPr>
        <w:bidi w:val="0"/>
        <w:snapToGrid w:val="0"/>
        <w:jc w:val="center"/>
        <w:rPr>
          <w:rFonts w:eastAsiaTheme="minorEastAsia"/>
          <w:sz w:val="20"/>
          <w:szCs w:val="20"/>
          <w:vertAlign w:val="superscript"/>
          <w:lang w:eastAsia="zh-CN" w:bidi="ar-EG"/>
        </w:rPr>
      </w:pPr>
      <w:proofErr w:type="spellStart"/>
      <w:r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Moneim</w:t>
      </w:r>
      <w:proofErr w:type="spellEnd"/>
      <w:r w:rsidRPr="002A163D">
        <w:rPr>
          <w:rFonts w:eastAsia="SimSun"/>
          <w:sz w:val="20"/>
          <w:szCs w:val="20"/>
          <w:lang w:eastAsia="zh-CN" w:bidi="ar-EG"/>
        </w:rPr>
        <w:t xml:space="preserve"> Mohamed Zakaria</w:t>
      </w:r>
      <w:r w:rsidR="00380F22" w:rsidRPr="002A163D">
        <w:rPr>
          <w:rFonts w:eastAsia="SimSun"/>
          <w:sz w:val="20"/>
          <w:szCs w:val="20"/>
          <w:vertAlign w:val="superscript"/>
          <w:lang w:eastAsia="zh-CN" w:bidi="ar-EG"/>
        </w:rPr>
        <w:t>1</w:t>
      </w:r>
      <w:r w:rsidRPr="002A163D">
        <w:rPr>
          <w:rFonts w:eastAsia="SimSun"/>
          <w:sz w:val="20"/>
          <w:szCs w:val="20"/>
          <w:lang w:eastAsia="zh-CN" w:bidi="ar-EG"/>
        </w:rPr>
        <w:t xml:space="preserve">, </w:t>
      </w:r>
      <w:proofErr w:type="spellStart"/>
      <w:r w:rsidRPr="002A163D">
        <w:rPr>
          <w:rFonts w:eastAsia="SimSun"/>
          <w:sz w:val="20"/>
          <w:szCs w:val="20"/>
          <w:lang w:eastAsia="zh-CN" w:bidi="ar-EG"/>
        </w:rPr>
        <w:t>Meky</w:t>
      </w:r>
      <w:proofErr w:type="spellEnd"/>
      <w:r w:rsidR="007A31D8" w:rsidRPr="002A163D">
        <w:rPr>
          <w:rFonts w:eastAsiaTheme="minorEastAsia" w:hint="eastAsia"/>
          <w:sz w:val="20"/>
          <w:szCs w:val="20"/>
          <w:lang w:eastAsia="zh-CN" w:bidi="ar-EG"/>
        </w:rPr>
        <w:t xml:space="preserve"> </w:t>
      </w:r>
      <w:proofErr w:type="spellStart"/>
      <w:r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Moneim</w:t>
      </w:r>
      <w:proofErr w:type="spellEnd"/>
      <w:r w:rsidRPr="002A163D">
        <w:rPr>
          <w:rFonts w:eastAsia="SimSun"/>
          <w:sz w:val="20"/>
          <w:szCs w:val="20"/>
          <w:lang w:eastAsia="zh-CN" w:bidi="ar-EG"/>
        </w:rPr>
        <w:t xml:space="preserve"> Ali</w:t>
      </w:r>
      <w:r w:rsidR="00380F22" w:rsidRPr="002A163D">
        <w:rPr>
          <w:rFonts w:eastAsia="SimSun"/>
          <w:sz w:val="20"/>
          <w:szCs w:val="20"/>
          <w:vertAlign w:val="superscript"/>
          <w:lang w:eastAsia="zh-CN" w:bidi="ar-EG"/>
        </w:rPr>
        <w:t>2</w:t>
      </w:r>
      <w:r w:rsidR="007207F8" w:rsidRPr="002A163D">
        <w:rPr>
          <w:rFonts w:eastAsia="SimSun"/>
          <w:sz w:val="20"/>
          <w:szCs w:val="20"/>
          <w:lang w:eastAsia="zh-CN" w:bidi="ar-EG"/>
        </w:rPr>
        <w:t xml:space="preserve">, </w:t>
      </w:r>
      <w:proofErr w:type="spellStart"/>
      <w:r w:rsidR="007207F8"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Monsef</w:t>
      </w:r>
      <w:proofErr w:type="spellEnd"/>
      <w:r w:rsidR="007A31D8" w:rsidRPr="002A163D">
        <w:rPr>
          <w:rFonts w:eastAsiaTheme="minorEastAsia" w:hint="eastAsia"/>
          <w:sz w:val="20"/>
          <w:szCs w:val="20"/>
          <w:lang w:eastAsia="zh-CN" w:bidi="ar-EG"/>
        </w:rPr>
        <w:t xml:space="preserve"> </w:t>
      </w:r>
      <w:proofErr w:type="spellStart"/>
      <w:r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Hamed</w:t>
      </w:r>
      <w:proofErr w:type="spellEnd"/>
      <w:r w:rsidR="007A31D8" w:rsidRPr="002A163D">
        <w:rPr>
          <w:rFonts w:eastAsiaTheme="minorEastAsia" w:hint="eastAsia"/>
          <w:sz w:val="20"/>
          <w:szCs w:val="20"/>
          <w:lang w:eastAsia="zh-CN" w:bidi="ar-EG"/>
        </w:rPr>
        <w:t xml:space="preserve"> </w:t>
      </w:r>
      <w:r w:rsidRPr="002A163D">
        <w:rPr>
          <w:rFonts w:eastAsia="SimSun"/>
          <w:sz w:val="20"/>
          <w:szCs w:val="20"/>
          <w:lang w:eastAsia="zh-CN" w:bidi="ar-EG"/>
        </w:rPr>
        <w:t>Sedek</w:t>
      </w:r>
      <w:r w:rsidR="00380F22" w:rsidRPr="002A163D">
        <w:rPr>
          <w:rFonts w:eastAsia="SimSun"/>
          <w:sz w:val="20"/>
          <w:szCs w:val="20"/>
          <w:vertAlign w:val="superscript"/>
          <w:lang w:eastAsia="zh-CN" w:bidi="ar-EG"/>
        </w:rPr>
        <w:t>1</w:t>
      </w:r>
      <w:r w:rsidRPr="002A163D">
        <w:rPr>
          <w:rFonts w:eastAsia="SimSun"/>
          <w:sz w:val="20"/>
          <w:szCs w:val="20"/>
          <w:lang w:eastAsia="zh-CN" w:bidi="ar-EG"/>
        </w:rPr>
        <w:t xml:space="preserve">, Osama </w:t>
      </w:r>
      <w:proofErr w:type="spellStart"/>
      <w:r w:rsidRPr="002A163D">
        <w:rPr>
          <w:rFonts w:eastAsia="SimSun"/>
          <w:sz w:val="20"/>
          <w:szCs w:val="20"/>
          <w:lang w:eastAsia="zh-CN" w:bidi="ar-EG"/>
        </w:rPr>
        <w:t>Labibe</w:t>
      </w:r>
      <w:proofErr w:type="spellEnd"/>
      <w:r w:rsidR="00B011C9" w:rsidRPr="002A163D">
        <w:rPr>
          <w:rFonts w:eastAsia="SimSun"/>
          <w:sz w:val="20"/>
          <w:szCs w:val="20"/>
          <w:lang w:eastAsia="zh-CN" w:bidi="ar-EG"/>
        </w:rPr>
        <w:t xml:space="preserve"> </w:t>
      </w:r>
      <w:r w:rsidRPr="002A163D">
        <w:rPr>
          <w:rFonts w:eastAsia="SimSun"/>
          <w:sz w:val="20"/>
          <w:szCs w:val="20"/>
          <w:lang w:eastAsia="zh-CN" w:bidi="ar-EG"/>
        </w:rPr>
        <w:t>Mousa</w:t>
      </w:r>
      <w:r w:rsidR="006A01E2" w:rsidRPr="002A163D">
        <w:rPr>
          <w:rFonts w:eastAsia="SimSun"/>
          <w:sz w:val="20"/>
          <w:szCs w:val="20"/>
          <w:vertAlign w:val="superscript"/>
          <w:lang w:eastAsia="zh-CN" w:bidi="ar-EG"/>
        </w:rPr>
        <w:t>1</w:t>
      </w:r>
    </w:p>
    <w:p w:rsidR="008D3F0E" w:rsidRPr="002A163D" w:rsidRDefault="008D3F0E" w:rsidP="002A163D">
      <w:pPr>
        <w:bidi w:val="0"/>
        <w:snapToGrid w:val="0"/>
        <w:jc w:val="center"/>
        <w:rPr>
          <w:rFonts w:eastAsiaTheme="minorEastAsia"/>
          <w:sz w:val="20"/>
          <w:szCs w:val="20"/>
          <w:lang w:eastAsia="zh-CN" w:bidi="ar-EG"/>
        </w:rPr>
      </w:pPr>
    </w:p>
    <w:p w:rsidR="00F445C2" w:rsidRPr="002A163D" w:rsidRDefault="007207F8" w:rsidP="002A163D">
      <w:pPr>
        <w:bidi w:val="0"/>
        <w:snapToGrid w:val="0"/>
        <w:jc w:val="center"/>
        <w:rPr>
          <w:rFonts w:eastAsia="SimSun"/>
          <w:sz w:val="20"/>
          <w:szCs w:val="20"/>
          <w:lang w:eastAsia="zh-CN" w:bidi="ar-EG"/>
        </w:rPr>
      </w:pPr>
      <w:r w:rsidRPr="002A163D">
        <w:rPr>
          <w:rFonts w:eastAsia="SimSun"/>
          <w:sz w:val="20"/>
          <w:szCs w:val="20"/>
          <w:vertAlign w:val="superscript"/>
          <w:lang w:eastAsia="zh-CN" w:bidi="ar-EG"/>
        </w:rPr>
        <w:t>1</w:t>
      </w:r>
      <w:r w:rsidR="00380F22" w:rsidRPr="002A163D">
        <w:rPr>
          <w:rFonts w:eastAsia="SimSun"/>
          <w:sz w:val="20"/>
          <w:szCs w:val="20"/>
          <w:lang w:eastAsia="zh-CN" w:bidi="ar-EG"/>
        </w:rPr>
        <w:t xml:space="preserve">Department of </w:t>
      </w:r>
      <w:r w:rsidR="00F445C2" w:rsidRPr="002A163D">
        <w:rPr>
          <w:rFonts w:eastAsia="SimSun"/>
          <w:sz w:val="20"/>
          <w:szCs w:val="20"/>
          <w:lang w:eastAsia="zh-CN" w:bidi="ar-EG"/>
        </w:rPr>
        <w:t>Obstetrics</w:t>
      </w:r>
      <w:r w:rsidR="002A19E4">
        <w:rPr>
          <w:rFonts w:eastAsia="SimSun"/>
          <w:sz w:val="20"/>
          <w:szCs w:val="20"/>
          <w:lang w:eastAsia="zh-CN" w:bidi="ar-EG"/>
        </w:rPr>
        <w:t xml:space="preserve"> </w:t>
      </w:r>
      <w:r w:rsidR="008D3F0E" w:rsidRPr="002A163D">
        <w:rPr>
          <w:rFonts w:eastAsia="SimSun"/>
          <w:sz w:val="20"/>
          <w:szCs w:val="20"/>
          <w:lang w:eastAsia="zh-CN" w:bidi="ar-EG"/>
        </w:rPr>
        <w:t>&amp;</w:t>
      </w:r>
      <w:r w:rsidR="002A19E4">
        <w:rPr>
          <w:rFonts w:eastAsia="SimSun"/>
          <w:sz w:val="20"/>
          <w:szCs w:val="20"/>
          <w:lang w:eastAsia="zh-CN" w:bidi="ar-EG"/>
        </w:rPr>
        <w:t xml:space="preserve"> </w:t>
      </w:r>
      <w:proofErr w:type="spellStart"/>
      <w:r w:rsidR="00F445C2" w:rsidRPr="002A163D">
        <w:rPr>
          <w:rFonts w:eastAsia="SimSun"/>
          <w:sz w:val="20"/>
          <w:szCs w:val="20"/>
          <w:lang w:eastAsia="zh-CN" w:bidi="ar-EG"/>
        </w:rPr>
        <w:t>Gynaecology</w:t>
      </w:r>
      <w:proofErr w:type="spellEnd"/>
      <w:r w:rsidR="005F4144" w:rsidRPr="002A163D">
        <w:rPr>
          <w:rFonts w:eastAsia="SimSun"/>
          <w:sz w:val="20"/>
          <w:szCs w:val="20"/>
          <w:lang w:eastAsia="zh-CN" w:bidi="ar-EG"/>
        </w:rPr>
        <w:t>,</w:t>
      </w:r>
      <w:r w:rsidR="00B011C9" w:rsidRPr="002A163D">
        <w:rPr>
          <w:rFonts w:eastAsia="SimSun"/>
          <w:sz w:val="20"/>
          <w:szCs w:val="20"/>
          <w:lang w:eastAsia="zh-CN" w:bidi="ar-EG"/>
        </w:rPr>
        <w:t xml:space="preserve"> </w:t>
      </w:r>
      <w:r w:rsidR="00F445C2" w:rsidRPr="002A163D">
        <w:rPr>
          <w:rFonts w:eastAsia="SimSun"/>
          <w:sz w:val="20"/>
          <w:szCs w:val="20"/>
          <w:lang w:eastAsia="zh-CN" w:bidi="ar-EG"/>
        </w:rPr>
        <w:t>Faculty of Medicine, Al-</w:t>
      </w:r>
      <w:proofErr w:type="spellStart"/>
      <w:r w:rsidR="00F445C2" w:rsidRPr="002A163D">
        <w:rPr>
          <w:rFonts w:eastAsia="SimSun"/>
          <w:sz w:val="20"/>
          <w:szCs w:val="20"/>
          <w:lang w:eastAsia="zh-CN" w:bidi="ar-EG"/>
        </w:rPr>
        <w:t>Azhar</w:t>
      </w:r>
      <w:proofErr w:type="spellEnd"/>
      <w:r w:rsidR="00F445C2" w:rsidRPr="002A163D">
        <w:rPr>
          <w:rFonts w:eastAsia="SimSun"/>
          <w:sz w:val="20"/>
          <w:szCs w:val="20"/>
          <w:lang w:eastAsia="zh-CN" w:bidi="ar-EG"/>
        </w:rPr>
        <w:t xml:space="preserve"> University</w:t>
      </w:r>
      <w:r w:rsidR="00136664" w:rsidRPr="002A163D">
        <w:rPr>
          <w:rFonts w:eastAsia="SimSun"/>
          <w:sz w:val="20"/>
          <w:szCs w:val="20"/>
          <w:lang w:eastAsia="zh-CN" w:bidi="ar-EG"/>
        </w:rPr>
        <w:t>, Egypt</w:t>
      </w:r>
    </w:p>
    <w:p w:rsidR="00F445C2" w:rsidRPr="002A163D" w:rsidRDefault="006A01E2" w:rsidP="002A163D">
      <w:pPr>
        <w:bidi w:val="0"/>
        <w:snapToGrid w:val="0"/>
        <w:jc w:val="center"/>
        <w:rPr>
          <w:rFonts w:eastAsia="SimSun"/>
          <w:sz w:val="20"/>
          <w:szCs w:val="20"/>
          <w:lang w:eastAsia="zh-CN" w:bidi="ar-EG"/>
        </w:rPr>
      </w:pPr>
      <w:r w:rsidRPr="002A163D">
        <w:rPr>
          <w:rFonts w:eastAsia="SimSun"/>
          <w:sz w:val="20"/>
          <w:szCs w:val="20"/>
          <w:vertAlign w:val="superscript"/>
          <w:lang w:eastAsia="zh-CN" w:bidi="ar-EG"/>
        </w:rPr>
        <w:t>2</w:t>
      </w:r>
      <w:r w:rsidR="007207F8" w:rsidRPr="002A163D">
        <w:rPr>
          <w:rFonts w:eastAsia="SimSun"/>
          <w:sz w:val="20"/>
          <w:szCs w:val="20"/>
          <w:lang w:eastAsia="zh-CN" w:bidi="ar-EG"/>
        </w:rPr>
        <w:t xml:space="preserve"> </w:t>
      </w:r>
      <w:r w:rsidRPr="002A163D">
        <w:rPr>
          <w:rFonts w:eastAsia="SimSun"/>
          <w:sz w:val="20"/>
          <w:szCs w:val="20"/>
          <w:lang w:eastAsia="zh-CN" w:bidi="ar-EG"/>
        </w:rPr>
        <w:t xml:space="preserve">Department of </w:t>
      </w:r>
      <w:r w:rsidR="00F445C2" w:rsidRPr="002A163D">
        <w:rPr>
          <w:rFonts w:eastAsia="SimSun"/>
          <w:sz w:val="20"/>
          <w:szCs w:val="20"/>
          <w:lang w:eastAsia="zh-CN" w:bidi="ar-EG"/>
        </w:rPr>
        <w:t>Clinical Pathology</w:t>
      </w:r>
      <w:r w:rsidRPr="002A163D">
        <w:rPr>
          <w:rFonts w:eastAsia="SimSun"/>
          <w:sz w:val="20"/>
          <w:szCs w:val="20"/>
          <w:lang w:eastAsia="zh-CN" w:bidi="ar-EG"/>
        </w:rPr>
        <w:t xml:space="preserve">, </w:t>
      </w:r>
      <w:r w:rsidR="00F445C2" w:rsidRPr="002A163D">
        <w:rPr>
          <w:rFonts w:eastAsia="SimSun"/>
          <w:sz w:val="20"/>
          <w:szCs w:val="20"/>
          <w:lang w:eastAsia="zh-CN" w:bidi="ar-EG"/>
        </w:rPr>
        <w:t>Faculty of Med</w:t>
      </w:r>
      <w:bookmarkStart w:id="0" w:name="_GoBack"/>
      <w:bookmarkEnd w:id="0"/>
      <w:r w:rsidR="00F445C2" w:rsidRPr="002A163D">
        <w:rPr>
          <w:rFonts w:eastAsia="SimSun"/>
          <w:sz w:val="20"/>
          <w:szCs w:val="20"/>
          <w:lang w:eastAsia="zh-CN" w:bidi="ar-EG"/>
        </w:rPr>
        <w:t>icine, Al-</w:t>
      </w:r>
      <w:proofErr w:type="spellStart"/>
      <w:r w:rsidR="00F445C2" w:rsidRPr="002A163D">
        <w:rPr>
          <w:rFonts w:eastAsia="SimSun"/>
          <w:sz w:val="20"/>
          <w:szCs w:val="20"/>
          <w:lang w:eastAsia="zh-CN" w:bidi="ar-EG"/>
        </w:rPr>
        <w:t>Azhar</w:t>
      </w:r>
      <w:proofErr w:type="spellEnd"/>
      <w:r w:rsidR="00F445C2" w:rsidRPr="002A163D">
        <w:rPr>
          <w:rFonts w:eastAsia="SimSun"/>
          <w:sz w:val="20"/>
          <w:szCs w:val="20"/>
          <w:lang w:eastAsia="zh-CN" w:bidi="ar-EG"/>
        </w:rPr>
        <w:t xml:space="preserve"> University</w:t>
      </w:r>
      <w:r w:rsidR="00136664" w:rsidRPr="002A163D">
        <w:rPr>
          <w:rFonts w:eastAsia="SimSun"/>
          <w:sz w:val="20"/>
          <w:szCs w:val="20"/>
          <w:lang w:eastAsia="zh-CN" w:bidi="ar-EG"/>
        </w:rPr>
        <w:t>, Egypt</w:t>
      </w:r>
    </w:p>
    <w:p w:rsidR="00136664" w:rsidRPr="002A163D" w:rsidRDefault="00A278EC" w:rsidP="002A163D">
      <w:pPr>
        <w:bidi w:val="0"/>
        <w:snapToGrid w:val="0"/>
        <w:jc w:val="center"/>
        <w:rPr>
          <w:rFonts w:eastAsia="SimSun"/>
          <w:sz w:val="20"/>
          <w:szCs w:val="20"/>
          <w:lang w:eastAsia="zh-CN" w:bidi="ar-EG"/>
        </w:rPr>
      </w:pPr>
      <w:hyperlink r:id="rId7" w:history="1">
        <w:r w:rsidR="00136664" w:rsidRPr="002A163D">
          <w:rPr>
            <w:rStyle w:val="Hyperlink"/>
            <w:rFonts w:eastAsia="SimSun"/>
            <w:sz w:val="20"/>
            <w:szCs w:val="20"/>
            <w:u w:val="none"/>
            <w:lang w:eastAsia="zh-CN" w:bidi="ar-EG"/>
          </w:rPr>
          <w:t>Dr_oss2091992@yahoo.com</w:t>
        </w:r>
      </w:hyperlink>
    </w:p>
    <w:p w:rsidR="00B011C9" w:rsidRPr="002A163D" w:rsidRDefault="00B011C9" w:rsidP="002A163D">
      <w:pPr>
        <w:bidi w:val="0"/>
        <w:snapToGrid w:val="0"/>
        <w:jc w:val="center"/>
        <w:rPr>
          <w:rFonts w:eastAsia="SimSun"/>
          <w:b/>
          <w:bCs/>
          <w:sz w:val="20"/>
          <w:szCs w:val="20"/>
          <w:lang w:eastAsia="zh-CN" w:bidi="ar-EG"/>
        </w:rPr>
      </w:pPr>
    </w:p>
    <w:p w:rsidR="00F546CF" w:rsidRPr="002A163D" w:rsidRDefault="00D837DC" w:rsidP="002A163D">
      <w:pPr>
        <w:bidi w:val="0"/>
        <w:snapToGrid w:val="0"/>
        <w:jc w:val="both"/>
        <w:rPr>
          <w:rFonts w:eastAsia="SimSun"/>
          <w:sz w:val="20"/>
          <w:szCs w:val="20"/>
          <w:lang w:eastAsia="zh-CN" w:bidi="ar-EG"/>
        </w:rPr>
      </w:pPr>
      <w:r w:rsidRPr="002A163D">
        <w:rPr>
          <w:rFonts w:eastAsia="SimSun"/>
          <w:b/>
          <w:bCs/>
          <w:sz w:val="20"/>
          <w:szCs w:val="20"/>
          <w:lang w:eastAsia="zh-CN" w:bidi="ar-EG"/>
        </w:rPr>
        <w:t>Abstract</w:t>
      </w:r>
      <w:r w:rsidR="00B011C9" w:rsidRPr="002A163D">
        <w:rPr>
          <w:rFonts w:eastAsia="SimSun"/>
          <w:b/>
          <w:bCs/>
          <w:sz w:val="20"/>
          <w:szCs w:val="20"/>
          <w:lang w:eastAsia="zh-CN" w:bidi="ar-EG"/>
        </w:rPr>
        <w:t xml:space="preserve">: </w:t>
      </w:r>
      <w:r w:rsidR="00E50917" w:rsidRPr="002A163D">
        <w:rPr>
          <w:rFonts w:eastAsia="SimSun"/>
          <w:b/>
          <w:bCs/>
          <w:sz w:val="20"/>
          <w:szCs w:val="20"/>
          <w:lang w:eastAsia="zh-CN" w:bidi="ar-EG"/>
        </w:rPr>
        <w:t>Background:</w:t>
      </w:r>
      <w:r w:rsidR="00B011C9" w:rsidRPr="002A163D">
        <w:rPr>
          <w:rFonts w:eastAsia="SimSun"/>
          <w:sz w:val="20"/>
          <w:szCs w:val="20"/>
          <w:lang w:eastAsia="zh-CN" w:bidi="ar-EG"/>
        </w:rPr>
        <w:t xml:space="preserve"> </w:t>
      </w:r>
      <w:r w:rsidR="00E50917" w:rsidRPr="002A163D">
        <w:rPr>
          <w:rFonts w:eastAsia="SimSun"/>
          <w:sz w:val="20"/>
          <w:szCs w:val="20"/>
          <w:lang w:eastAsia="zh-CN" w:bidi="ar-EG"/>
        </w:rPr>
        <w:t xml:space="preserve">Polycystic ovarian syndrome (PCOS) is the most common endocrine abnormality among women of reproductive age and is usually associated with </w:t>
      </w:r>
      <w:proofErr w:type="spellStart"/>
      <w:r w:rsidR="00E50917" w:rsidRPr="002A163D">
        <w:rPr>
          <w:rFonts w:eastAsia="SimSun"/>
          <w:sz w:val="20"/>
          <w:szCs w:val="20"/>
          <w:lang w:eastAsia="zh-CN" w:bidi="ar-EG"/>
        </w:rPr>
        <w:t>oligo-ovulation/anovulation</w:t>
      </w:r>
      <w:proofErr w:type="spellEnd"/>
      <w:r w:rsidR="00E50917" w:rsidRPr="002A163D">
        <w:rPr>
          <w:rFonts w:eastAsia="SimSun"/>
          <w:sz w:val="20"/>
          <w:szCs w:val="20"/>
          <w:lang w:eastAsia="zh-CN" w:bidi="ar-EG"/>
        </w:rPr>
        <w:t xml:space="preserve">, obesity, and insulin resistance. </w:t>
      </w:r>
      <w:proofErr w:type="spellStart"/>
      <w:r w:rsidR="00E50917" w:rsidRPr="002A163D">
        <w:rPr>
          <w:rFonts w:eastAsia="SimSun"/>
          <w:sz w:val="20"/>
          <w:szCs w:val="20"/>
          <w:lang w:eastAsia="zh-CN" w:bidi="ar-EG"/>
        </w:rPr>
        <w:t>Hypovitaminosis</w:t>
      </w:r>
      <w:proofErr w:type="spellEnd"/>
      <w:r w:rsidR="00E50917" w:rsidRPr="002A163D">
        <w:rPr>
          <w:rFonts w:eastAsia="SimSun"/>
          <w:sz w:val="20"/>
          <w:szCs w:val="20"/>
          <w:lang w:eastAsia="zh-CN" w:bidi="ar-EG"/>
        </w:rPr>
        <w:t xml:space="preserve"> D may also be a primary factor in the initiation and development of PCOS. </w:t>
      </w:r>
      <w:r w:rsidR="00F546CF" w:rsidRPr="002A163D">
        <w:rPr>
          <w:rFonts w:eastAsia="SimSun"/>
          <w:b/>
          <w:bCs/>
          <w:sz w:val="20"/>
          <w:szCs w:val="20"/>
          <w:lang w:eastAsia="zh-CN" w:bidi="ar-EG"/>
        </w:rPr>
        <w:t>Aim of the Study:</w:t>
      </w:r>
      <w:r w:rsidR="00B011C9" w:rsidRPr="002A163D">
        <w:rPr>
          <w:rFonts w:eastAsia="SimSun"/>
          <w:sz w:val="20"/>
          <w:szCs w:val="20"/>
          <w:lang w:eastAsia="zh-CN" w:bidi="ar-EG"/>
        </w:rPr>
        <w:t xml:space="preserve"> </w:t>
      </w:r>
      <w:r w:rsidR="00F546CF" w:rsidRPr="002A163D">
        <w:rPr>
          <w:rFonts w:eastAsia="SimSun"/>
          <w:sz w:val="20"/>
          <w:szCs w:val="20"/>
          <w:lang w:eastAsia="zh-CN" w:bidi="ar-EG"/>
        </w:rPr>
        <w:t xml:space="preserve">The aim of this work is to find out whether triggering ovulation with </w:t>
      </w:r>
      <w:proofErr w:type="spellStart"/>
      <w:r w:rsidR="00F546CF" w:rsidRPr="002A163D">
        <w:rPr>
          <w:rFonts w:eastAsia="SimSun"/>
          <w:sz w:val="20"/>
          <w:szCs w:val="20"/>
          <w:lang w:eastAsia="zh-CN" w:bidi="ar-EG"/>
        </w:rPr>
        <w:t>gonadotropin</w:t>
      </w:r>
      <w:proofErr w:type="spellEnd"/>
      <w:r w:rsidR="00F546CF" w:rsidRPr="002A163D">
        <w:rPr>
          <w:rFonts w:eastAsia="SimSun"/>
          <w:sz w:val="20"/>
          <w:szCs w:val="20"/>
          <w:lang w:eastAsia="zh-CN" w:bidi="ar-EG"/>
        </w:rPr>
        <w:t xml:space="preserve">-releasing hormone agonist rather than with human chorionic </w:t>
      </w:r>
      <w:proofErr w:type="spellStart"/>
      <w:r w:rsidR="00F546CF" w:rsidRPr="002A163D">
        <w:rPr>
          <w:rFonts w:eastAsia="SimSun"/>
          <w:sz w:val="20"/>
          <w:szCs w:val="20"/>
          <w:lang w:eastAsia="zh-CN" w:bidi="ar-EG"/>
        </w:rPr>
        <w:t>gonadotropin</w:t>
      </w:r>
      <w:proofErr w:type="spellEnd"/>
      <w:r w:rsidR="00F546CF" w:rsidRPr="002A163D">
        <w:rPr>
          <w:rFonts w:eastAsia="SimSun"/>
          <w:sz w:val="20"/>
          <w:szCs w:val="20"/>
          <w:lang w:eastAsia="zh-CN" w:bidi="ar-EG"/>
        </w:rPr>
        <w:t xml:space="preserve"> in patients with polycystic ovaries would provide better result. As regards ovulation rate, the occurrence of </w:t>
      </w:r>
      <w:proofErr w:type="spellStart"/>
      <w:r w:rsidR="00F546CF" w:rsidRPr="002A163D">
        <w:rPr>
          <w:rFonts w:eastAsia="SimSun"/>
          <w:sz w:val="20"/>
          <w:szCs w:val="20"/>
          <w:lang w:eastAsia="zh-CN" w:bidi="ar-EG"/>
        </w:rPr>
        <w:t>luteal</w:t>
      </w:r>
      <w:proofErr w:type="spellEnd"/>
      <w:r w:rsidR="00F546CF" w:rsidRPr="002A163D">
        <w:rPr>
          <w:rFonts w:eastAsia="SimSun"/>
          <w:sz w:val="20"/>
          <w:szCs w:val="20"/>
          <w:lang w:eastAsia="zh-CN" w:bidi="ar-EG"/>
        </w:rPr>
        <w:t xml:space="preserve"> phase defect and the pregnancy rate.</w:t>
      </w:r>
      <w:r w:rsidR="007A31D8" w:rsidRPr="002A163D">
        <w:rPr>
          <w:rFonts w:eastAsiaTheme="minorEastAsia" w:hint="eastAsia"/>
          <w:sz w:val="20"/>
          <w:szCs w:val="20"/>
          <w:lang w:eastAsia="zh-CN" w:bidi="ar-EG"/>
        </w:rPr>
        <w:t xml:space="preserve"> </w:t>
      </w:r>
      <w:r w:rsidR="00270C70" w:rsidRPr="002A163D">
        <w:rPr>
          <w:rFonts w:eastAsia="SimSun"/>
          <w:b/>
          <w:bCs/>
          <w:sz w:val="20"/>
          <w:szCs w:val="20"/>
          <w:lang w:eastAsia="zh-CN" w:bidi="ar-EG"/>
        </w:rPr>
        <w:t>Patients and Methods:</w:t>
      </w:r>
      <w:r w:rsidR="00270C70" w:rsidRPr="002A163D">
        <w:rPr>
          <w:rFonts w:eastAsia="SimSun"/>
          <w:sz w:val="20"/>
          <w:szCs w:val="20"/>
          <w:lang w:eastAsia="zh-CN" w:bidi="ar-EG"/>
        </w:rPr>
        <w:t xml:space="preserve"> This was a prospective study done at infertility clinic in Gynecology</w:t>
      </w:r>
      <w:r w:rsidR="002A19E4">
        <w:rPr>
          <w:rFonts w:eastAsia="SimSun"/>
          <w:sz w:val="20"/>
          <w:szCs w:val="20"/>
          <w:lang w:eastAsia="zh-CN" w:bidi="ar-EG"/>
        </w:rPr>
        <w:t xml:space="preserve"> </w:t>
      </w:r>
      <w:r w:rsidR="008D3F0E" w:rsidRPr="002A163D">
        <w:rPr>
          <w:rFonts w:eastAsia="SimSun"/>
          <w:sz w:val="20"/>
          <w:szCs w:val="20"/>
          <w:lang w:eastAsia="zh-CN" w:bidi="ar-EG"/>
        </w:rPr>
        <w:t>&amp;</w:t>
      </w:r>
      <w:r w:rsidR="002A19E4">
        <w:rPr>
          <w:rFonts w:eastAsia="SimSun"/>
          <w:sz w:val="20"/>
          <w:szCs w:val="20"/>
          <w:lang w:eastAsia="zh-CN" w:bidi="ar-EG"/>
        </w:rPr>
        <w:t xml:space="preserve"> </w:t>
      </w:r>
      <w:r w:rsidR="00270C70" w:rsidRPr="002A163D">
        <w:rPr>
          <w:rFonts w:eastAsia="SimSun"/>
          <w:sz w:val="20"/>
          <w:szCs w:val="20"/>
          <w:lang w:eastAsia="zh-CN" w:bidi="ar-EG"/>
        </w:rPr>
        <w:t xml:space="preserve">Obstetrics department of </w:t>
      </w:r>
      <w:proofErr w:type="spellStart"/>
      <w:r w:rsidR="0004022A" w:rsidRPr="002A163D">
        <w:rPr>
          <w:rFonts w:eastAsia="SimSun"/>
          <w:sz w:val="20"/>
          <w:szCs w:val="20"/>
          <w:lang w:eastAsia="zh-CN" w:bidi="ar-EG"/>
        </w:rPr>
        <w:t>Imbaba</w:t>
      </w:r>
      <w:proofErr w:type="spellEnd"/>
      <w:r w:rsidR="007A31D8" w:rsidRPr="002A163D">
        <w:rPr>
          <w:rFonts w:eastAsiaTheme="minorEastAsia" w:hint="eastAsia"/>
          <w:sz w:val="20"/>
          <w:szCs w:val="20"/>
          <w:lang w:eastAsia="zh-CN" w:bidi="ar-EG"/>
        </w:rPr>
        <w:t xml:space="preserve"> </w:t>
      </w:r>
      <w:r w:rsidR="00B14D89" w:rsidRPr="002A163D">
        <w:rPr>
          <w:rFonts w:eastAsia="SimSun"/>
          <w:sz w:val="20"/>
          <w:szCs w:val="20"/>
          <w:lang w:eastAsia="zh-CN" w:bidi="ar-EG"/>
        </w:rPr>
        <w:t>General Hospital</w:t>
      </w:r>
      <w:r w:rsidR="00270C70" w:rsidRPr="002A163D">
        <w:rPr>
          <w:rFonts w:eastAsia="SimSun"/>
          <w:sz w:val="20"/>
          <w:szCs w:val="20"/>
          <w:lang w:eastAsia="zh-CN" w:bidi="ar-EG"/>
        </w:rPr>
        <w:t xml:space="preserve">, Ministry of Health in </w:t>
      </w:r>
      <w:proofErr w:type="spellStart"/>
      <w:r w:rsidR="00270C70" w:rsidRPr="002A163D">
        <w:rPr>
          <w:rFonts w:eastAsia="SimSun"/>
          <w:sz w:val="20"/>
          <w:szCs w:val="20"/>
          <w:lang w:eastAsia="zh-CN" w:bidi="ar-EG"/>
        </w:rPr>
        <w:t>Geza</w:t>
      </w:r>
      <w:proofErr w:type="spellEnd"/>
      <w:r w:rsidR="00270C70" w:rsidRPr="002A163D">
        <w:rPr>
          <w:rFonts w:eastAsia="SimSun"/>
          <w:sz w:val="20"/>
          <w:szCs w:val="20"/>
          <w:lang w:eastAsia="zh-CN" w:bidi="ar-EG"/>
        </w:rPr>
        <w:t xml:space="preserve"> and El-</w:t>
      </w:r>
      <w:proofErr w:type="spellStart"/>
      <w:r w:rsidR="00270C70" w:rsidRPr="002A163D">
        <w:rPr>
          <w:rFonts w:eastAsia="SimSun"/>
          <w:sz w:val="20"/>
          <w:szCs w:val="20"/>
          <w:lang w:eastAsia="zh-CN" w:bidi="ar-EG"/>
        </w:rPr>
        <w:t>Sayed</w:t>
      </w:r>
      <w:proofErr w:type="spellEnd"/>
      <w:r w:rsidR="007A31D8" w:rsidRPr="002A163D">
        <w:rPr>
          <w:rFonts w:eastAsiaTheme="minorEastAsia" w:hint="eastAsia"/>
          <w:sz w:val="20"/>
          <w:szCs w:val="20"/>
          <w:lang w:eastAsia="zh-CN" w:bidi="ar-EG"/>
        </w:rPr>
        <w:t xml:space="preserve"> </w:t>
      </w:r>
      <w:proofErr w:type="spellStart"/>
      <w:r w:rsidR="00270C70" w:rsidRPr="002A163D">
        <w:rPr>
          <w:rFonts w:eastAsia="SimSun"/>
          <w:sz w:val="20"/>
          <w:szCs w:val="20"/>
          <w:lang w:eastAsia="zh-CN" w:bidi="ar-EG"/>
        </w:rPr>
        <w:t>Galal</w:t>
      </w:r>
      <w:proofErr w:type="spellEnd"/>
      <w:r w:rsidR="007A31D8" w:rsidRPr="002A163D">
        <w:rPr>
          <w:rFonts w:eastAsiaTheme="minorEastAsia" w:hint="eastAsia"/>
          <w:sz w:val="20"/>
          <w:szCs w:val="20"/>
          <w:lang w:eastAsia="zh-CN" w:bidi="ar-EG"/>
        </w:rPr>
        <w:t xml:space="preserve"> </w:t>
      </w:r>
      <w:r w:rsidR="003229AE" w:rsidRPr="002A163D">
        <w:rPr>
          <w:rFonts w:eastAsia="SimSun"/>
          <w:sz w:val="20"/>
          <w:szCs w:val="20"/>
          <w:lang w:eastAsia="zh-CN" w:bidi="ar-EG"/>
        </w:rPr>
        <w:t xml:space="preserve">University </w:t>
      </w:r>
      <w:r w:rsidR="00270C70" w:rsidRPr="002A163D">
        <w:rPr>
          <w:rFonts w:eastAsia="SimSun"/>
          <w:sz w:val="20"/>
          <w:szCs w:val="20"/>
          <w:lang w:eastAsia="zh-CN" w:bidi="ar-EG"/>
        </w:rPr>
        <w:t xml:space="preserve">hospital during the period from November 2015 to August 2016. The study included 80 infertile women who were diagnosed as having PCOS (30 patients from </w:t>
      </w:r>
      <w:proofErr w:type="spellStart"/>
      <w:r w:rsidR="00270C70" w:rsidRPr="002A163D">
        <w:rPr>
          <w:rFonts w:eastAsia="SimSun"/>
          <w:sz w:val="20"/>
          <w:szCs w:val="20"/>
          <w:lang w:eastAsia="zh-CN" w:bidi="ar-EG"/>
        </w:rPr>
        <w:t>Imbaba</w:t>
      </w:r>
      <w:proofErr w:type="spellEnd"/>
      <w:r w:rsidR="00270C70" w:rsidRPr="002A163D">
        <w:rPr>
          <w:rFonts w:eastAsia="SimSun"/>
          <w:sz w:val="20"/>
          <w:szCs w:val="20"/>
          <w:lang w:eastAsia="zh-CN" w:bidi="ar-EG"/>
        </w:rPr>
        <w:t xml:space="preserve"> general hospital</w:t>
      </w:r>
      <w:r w:rsidR="002A19E4">
        <w:rPr>
          <w:rFonts w:eastAsia="SimSun"/>
          <w:sz w:val="20"/>
          <w:szCs w:val="20"/>
          <w:lang w:eastAsia="zh-CN" w:bidi="ar-EG"/>
        </w:rPr>
        <w:t xml:space="preserve"> </w:t>
      </w:r>
      <w:r w:rsidR="008D3F0E" w:rsidRPr="002A163D">
        <w:rPr>
          <w:rFonts w:eastAsia="SimSun"/>
          <w:sz w:val="20"/>
          <w:szCs w:val="20"/>
          <w:lang w:eastAsia="zh-CN" w:bidi="ar-EG"/>
        </w:rPr>
        <w:t>&amp;</w:t>
      </w:r>
      <w:r w:rsidR="002A19E4">
        <w:rPr>
          <w:rFonts w:eastAsia="SimSun"/>
          <w:sz w:val="20"/>
          <w:szCs w:val="20"/>
          <w:lang w:eastAsia="zh-CN" w:bidi="ar-EG"/>
        </w:rPr>
        <w:t xml:space="preserve"> </w:t>
      </w:r>
      <w:r w:rsidR="00270C70" w:rsidRPr="002A163D">
        <w:rPr>
          <w:rFonts w:eastAsia="SimSun"/>
          <w:sz w:val="20"/>
          <w:szCs w:val="20"/>
          <w:lang w:eastAsia="zh-CN" w:bidi="ar-EG"/>
        </w:rPr>
        <w:t>50 patients from and EL-SAYED GALAL university hospital). Detailed history was taken and complete physical and local examinations were taken on all patients.</w:t>
      </w:r>
      <w:r w:rsidR="007A31D8" w:rsidRPr="002A163D">
        <w:rPr>
          <w:rFonts w:eastAsiaTheme="minorEastAsia" w:hint="eastAsia"/>
          <w:sz w:val="20"/>
          <w:szCs w:val="20"/>
          <w:lang w:eastAsia="zh-CN" w:bidi="ar-EG"/>
        </w:rPr>
        <w:t xml:space="preserve"> </w:t>
      </w:r>
      <w:r w:rsidR="00270C70" w:rsidRPr="002A163D">
        <w:rPr>
          <w:rFonts w:eastAsia="SimSun"/>
          <w:b/>
          <w:bCs/>
          <w:sz w:val="20"/>
          <w:szCs w:val="20"/>
          <w:lang w:eastAsia="zh-CN" w:bidi="ar-EG"/>
        </w:rPr>
        <w:t>Results:</w:t>
      </w:r>
      <w:r w:rsidR="007A31D8" w:rsidRPr="002A163D">
        <w:rPr>
          <w:rFonts w:eastAsiaTheme="minorEastAsia" w:hint="eastAsia"/>
          <w:b/>
          <w:bCs/>
          <w:sz w:val="20"/>
          <w:szCs w:val="20"/>
          <w:lang w:eastAsia="zh-CN" w:bidi="ar-EG"/>
        </w:rPr>
        <w:t xml:space="preserve"> </w:t>
      </w:r>
      <w:r w:rsidR="00350B59" w:rsidRPr="002A163D">
        <w:rPr>
          <w:rFonts w:eastAsia="SimSun"/>
          <w:sz w:val="20"/>
          <w:szCs w:val="20"/>
          <w:lang w:eastAsia="zh-CN" w:bidi="ar-EG"/>
        </w:rPr>
        <w:t>The present study revealed significant increase of pregnancy rate</w:t>
      </w:r>
      <w:r w:rsidR="002A19E4">
        <w:rPr>
          <w:rFonts w:eastAsiaTheme="minorEastAsia" w:hint="eastAsia"/>
          <w:sz w:val="20"/>
          <w:szCs w:val="20"/>
          <w:lang w:eastAsia="zh-CN" w:bidi="ar-EG"/>
        </w:rPr>
        <w:t xml:space="preserve"> </w:t>
      </w:r>
      <w:r w:rsidR="008D3F0E" w:rsidRPr="002A163D">
        <w:rPr>
          <w:rFonts w:eastAsia="SimSun"/>
          <w:sz w:val="20"/>
          <w:szCs w:val="20"/>
          <w:lang w:eastAsia="zh-CN" w:bidi="ar-EG"/>
        </w:rPr>
        <w:t>&amp;</w:t>
      </w:r>
      <w:r w:rsidR="002A19E4">
        <w:rPr>
          <w:rFonts w:eastAsia="SimSun"/>
          <w:sz w:val="20"/>
          <w:szCs w:val="20"/>
          <w:lang w:eastAsia="zh-CN" w:bidi="ar-EG"/>
        </w:rPr>
        <w:t xml:space="preserve"> </w:t>
      </w:r>
      <w:proofErr w:type="spellStart"/>
      <w:r w:rsidR="00350B59" w:rsidRPr="002A163D">
        <w:rPr>
          <w:rFonts w:eastAsia="SimSun"/>
          <w:sz w:val="20"/>
          <w:szCs w:val="20"/>
          <w:lang w:eastAsia="zh-CN" w:bidi="ar-EG"/>
        </w:rPr>
        <w:t>ovulatory</w:t>
      </w:r>
      <w:proofErr w:type="spellEnd"/>
      <w:r w:rsidR="00350B59" w:rsidRPr="002A163D">
        <w:rPr>
          <w:rFonts w:eastAsia="SimSun"/>
          <w:sz w:val="20"/>
          <w:szCs w:val="20"/>
          <w:lang w:eastAsia="zh-CN" w:bidi="ar-EG"/>
        </w:rPr>
        <w:t xml:space="preserve"> rate </w:t>
      </w:r>
      <w:r w:rsidR="00C42A2D" w:rsidRPr="002A163D">
        <w:rPr>
          <w:rFonts w:eastAsia="SimSun"/>
          <w:sz w:val="20"/>
          <w:szCs w:val="20"/>
          <w:lang w:eastAsia="zh-CN" w:bidi="ar-EG"/>
        </w:rPr>
        <w:t xml:space="preserve">and </w:t>
      </w:r>
      <w:r w:rsidR="00350B59" w:rsidRPr="002A163D">
        <w:rPr>
          <w:rFonts w:eastAsia="SimSun"/>
          <w:sz w:val="20"/>
          <w:szCs w:val="20"/>
          <w:lang w:eastAsia="zh-CN" w:bidi="ar-EG"/>
        </w:rPr>
        <w:t xml:space="preserve">decrease in </w:t>
      </w:r>
      <w:proofErr w:type="spellStart"/>
      <w:r w:rsidR="00350B59" w:rsidRPr="002A163D">
        <w:rPr>
          <w:rFonts w:eastAsia="SimSun"/>
          <w:sz w:val="20"/>
          <w:szCs w:val="20"/>
          <w:lang w:eastAsia="zh-CN" w:bidi="ar-EG"/>
        </w:rPr>
        <w:t>luteal</w:t>
      </w:r>
      <w:proofErr w:type="spellEnd"/>
      <w:r w:rsidR="00350B59" w:rsidRPr="002A163D">
        <w:rPr>
          <w:rFonts w:eastAsia="SimSun"/>
          <w:sz w:val="20"/>
          <w:szCs w:val="20"/>
          <w:lang w:eastAsia="zh-CN" w:bidi="ar-EG"/>
        </w:rPr>
        <w:t xml:space="preserve"> phase defect after administration of </w:t>
      </w:r>
      <w:proofErr w:type="spellStart"/>
      <w:r w:rsidR="00350B59" w:rsidRPr="002A163D">
        <w:rPr>
          <w:rFonts w:eastAsia="SimSun"/>
          <w:sz w:val="20"/>
          <w:szCs w:val="20"/>
          <w:lang w:eastAsia="zh-CN" w:bidi="ar-EG"/>
        </w:rPr>
        <w:t>GnRH</w:t>
      </w:r>
      <w:proofErr w:type="spellEnd"/>
      <w:r w:rsidR="00350B59" w:rsidRPr="002A163D">
        <w:rPr>
          <w:rFonts w:eastAsia="SimSun"/>
          <w:sz w:val="20"/>
          <w:szCs w:val="20"/>
          <w:lang w:eastAsia="zh-CN" w:bidi="ar-EG"/>
        </w:rPr>
        <w:t xml:space="preserve">-agonist. </w:t>
      </w:r>
      <w:r w:rsidR="00270C70" w:rsidRPr="002A163D">
        <w:rPr>
          <w:rFonts w:eastAsia="SimSun"/>
          <w:b/>
          <w:bCs/>
          <w:sz w:val="20"/>
          <w:szCs w:val="20"/>
          <w:lang w:eastAsia="zh-CN" w:bidi="ar-EG"/>
        </w:rPr>
        <w:t xml:space="preserve">Conclusion: </w:t>
      </w:r>
      <w:r w:rsidR="00270C70" w:rsidRPr="002A163D">
        <w:rPr>
          <w:rFonts w:eastAsia="SimSun"/>
          <w:sz w:val="20"/>
          <w:szCs w:val="20"/>
          <w:lang w:eastAsia="zh-CN" w:bidi="ar-EG"/>
        </w:rPr>
        <w:t xml:space="preserve">This study suggests that using of </w:t>
      </w:r>
      <w:proofErr w:type="spellStart"/>
      <w:r w:rsidR="00270C70" w:rsidRPr="002A163D">
        <w:rPr>
          <w:rFonts w:eastAsia="SimSun"/>
          <w:sz w:val="20"/>
          <w:szCs w:val="20"/>
          <w:lang w:eastAsia="zh-CN" w:bidi="ar-EG"/>
        </w:rPr>
        <w:t>GnRH</w:t>
      </w:r>
      <w:proofErr w:type="spellEnd"/>
      <w:r w:rsidR="00270C70" w:rsidRPr="002A163D">
        <w:rPr>
          <w:rFonts w:eastAsia="SimSun"/>
          <w:sz w:val="20"/>
          <w:szCs w:val="20"/>
          <w:lang w:eastAsia="zh-CN" w:bidi="ar-EG"/>
        </w:rPr>
        <w:t xml:space="preserve"> to trigger ovulation after induction by </w:t>
      </w:r>
      <w:proofErr w:type="spellStart"/>
      <w:r w:rsidR="00270C70" w:rsidRPr="002A163D">
        <w:rPr>
          <w:rFonts w:eastAsia="SimSun"/>
          <w:sz w:val="20"/>
          <w:szCs w:val="20"/>
          <w:lang w:eastAsia="zh-CN" w:bidi="ar-EG"/>
        </w:rPr>
        <w:t>clomiphene</w:t>
      </w:r>
      <w:proofErr w:type="spellEnd"/>
      <w:r w:rsidR="00270C70" w:rsidRPr="002A163D">
        <w:rPr>
          <w:rFonts w:eastAsia="SimSun"/>
          <w:sz w:val="20"/>
          <w:szCs w:val="20"/>
          <w:lang w:eastAsia="zh-CN" w:bidi="ar-EG"/>
        </w:rPr>
        <w:t xml:space="preserve"> citrate in PCOS patients is a more physiological approach; this protocol will result in enhancement the ovarian function and improvement reproductive outcome. </w:t>
      </w:r>
      <w:r w:rsidR="00270C70" w:rsidRPr="002A163D">
        <w:rPr>
          <w:rFonts w:eastAsia="SimSun"/>
          <w:b/>
          <w:bCs/>
          <w:sz w:val="20"/>
          <w:szCs w:val="20"/>
          <w:lang w:eastAsia="zh-CN" w:bidi="ar-EG"/>
        </w:rPr>
        <w:t xml:space="preserve">Recommendations: </w:t>
      </w:r>
      <w:r w:rsidR="00270C70" w:rsidRPr="002A163D">
        <w:rPr>
          <w:rFonts w:eastAsia="SimSun"/>
          <w:sz w:val="20"/>
          <w:szCs w:val="20"/>
          <w:lang w:eastAsia="zh-CN" w:bidi="ar-EG"/>
        </w:rPr>
        <w:t xml:space="preserve">Using CC for induction of ovulation will overlap the short half life of </w:t>
      </w:r>
      <w:proofErr w:type="spellStart"/>
      <w:r w:rsidR="00270C70" w:rsidRPr="002A163D">
        <w:rPr>
          <w:rFonts w:eastAsia="SimSun"/>
          <w:sz w:val="20"/>
          <w:szCs w:val="20"/>
          <w:lang w:eastAsia="zh-CN" w:bidi="ar-EG"/>
        </w:rPr>
        <w:t>GnRH</w:t>
      </w:r>
      <w:proofErr w:type="spellEnd"/>
      <w:r w:rsidR="00270C70" w:rsidRPr="002A163D">
        <w:rPr>
          <w:rFonts w:eastAsia="SimSun"/>
          <w:sz w:val="20"/>
          <w:szCs w:val="20"/>
          <w:lang w:eastAsia="zh-CN" w:bidi="ar-EG"/>
        </w:rPr>
        <w:t xml:space="preserve"> agonist.</w:t>
      </w:r>
    </w:p>
    <w:p w:rsidR="00AB6300" w:rsidRPr="002A163D" w:rsidRDefault="007207F8" w:rsidP="002A163D">
      <w:pPr>
        <w:bidi w:val="0"/>
        <w:snapToGrid w:val="0"/>
        <w:jc w:val="both"/>
        <w:rPr>
          <w:sz w:val="20"/>
          <w:szCs w:val="20"/>
        </w:rPr>
      </w:pPr>
      <w:r w:rsidRPr="002A163D">
        <w:rPr>
          <w:rFonts w:eastAsia="SimSun"/>
          <w:sz w:val="20"/>
          <w:szCs w:val="20"/>
          <w:lang w:eastAsia="zh-CN" w:bidi="ar-EG"/>
        </w:rPr>
        <w:t>[</w:t>
      </w:r>
      <w:proofErr w:type="spellStart"/>
      <w:r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Moneim</w:t>
      </w:r>
      <w:proofErr w:type="spellEnd"/>
      <w:r w:rsidRPr="002A163D">
        <w:rPr>
          <w:rFonts w:eastAsia="SimSun"/>
          <w:sz w:val="20"/>
          <w:szCs w:val="20"/>
          <w:lang w:eastAsia="zh-CN" w:bidi="ar-EG"/>
        </w:rPr>
        <w:t xml:space="preserve"> Mohamed </w:t>
      </w:r>
      <w:proofErr w:type="spellStart"/>
      <w:r w:rsidRPr="002A163D">
        <w:rPr>
          <w:rFonts w:eastAsia="SimSun"/>
          <w:sz w:val="20"/>
          <w:szCs w:val="20"/>
          <w:lang w:eastAsia="zh-CN" w:bidi="ar-EG"/>
        </w:rPr>
        <w:t>Zakaria</w:t>
      </w:r>
      <w:proofErr w:type="spellEnd"/>
      <w:r w:rsidRPr="002A163D">
        <w:rPr>
          <w:rFonts w:eastAsia="SimSun"/>
          <w:sz w:val="20"/>
          <w:szCs w:val="20"/>
          <w:lang w:eastAsia="zh-CN" w:bidi="ar-EG"/>
        </w:rPr>
        <w:t xml:space="preserve">, </w:t>
      </w:r>
      <w:proofErr w:type="spellStart"/>
      <w:r w:rsidRPr="002A163D">
        <w:rPr>
          <w:rFonts w:eastAsia="SimSun"/>
          <w:sz w:val="20"/>
          <w:szCs w:val="20"/>
          <w:lang w:eastAsia="zh-CN" w:bidi="ar-EG"/>
        </w:rPr>
        <w:t>Mek</w:t>
      </w:r>
      <w:r w:rsidR="002A19E4" w:rsidRPr="002A163D">
        <w:rPr>
          <w:rFonts w:eastAsia="SimSun"/>
          <w:sz w:val="20"/>
          <w:szCs w:val="20"/>
          <w:lang w:eastAsia="zh-CN" w:bidi="ar-EG"/>
        </w:rPr>
        <w:t>y</w:t>
      </w:r>
      <w:proofErr w:type="spellEnd"/>
      <w:r w:rsidR="002A19E4">
        <w:rPr>
          <w:rFonts w:eastAsia="SimSun"/>
          <w:sz w:val="20"/>
          <w:szCs w:val="20"/>
          <w:lang w:eastAsia="zh-CN" w:bidi="ar-EG"/>
        </w:rPr>
        <w:t xml:space="preserve"> </w:t>
      </w:r>
      <w:proofErr w:type="spellStart"/>
      <w:r w:rsidR="002A19E4" w:rsidRPr="002A163D">
        <w:rPr>
          <w:rFonts w:eastAsia="SimSun"/>
          <w:sz w:val="20"/>
          <w:szCs w:val="20"/>
          <w:lang w:eastAsia="zh-CN" w:bidi="ar-EG"/>
        </w:rPr>
        <w:t>A</w:t>
      </w:r>
      <w:r w:rsidRPr="002A163D">
        <w:rPr>
          <w:rFonts w:eastAsia="SimSun"/>
          <w:sz w:val="20"/>
          <w:szCs w:val="20"/>
          <w:lang w:eastAsia="zh-CN" w:bidi="ar-EG"/>
        </w:rPr>
        <w:t>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Moneim</w:t>
      </w:r>
      <w:proofErr w:type="spellEnd"/>
      <w:r w:rsidRPr="002A163D">
        <w:rPr>
          <w:rFonts w:eastAsia="SimSun"/>
          <w:sz w:val="20"/>
          <w:szCs w:val="20"/>
          <w:lang w:eastAsia="zh-CN" w:bidi="ar-EG"/>
        </w:rPr>
        <w:t xml:space="preserve"> Ali,</w:t>
      </w:r>
      <w:r w:rsidR="002A19E4">
        <w:rPr>
          <w:rFonts w:eastAsia="SimSun"/>
          <w:sz w:val="20"/>
          <w:szCs w:val="20"/>
          <w:lang w:eastAsia="zh-CN" w:bidi="ar-EG"/>
        </w:rPr>
        <w:t xml:space="preserve"> </w:t>
      </w:r>
      <w:proofErr w:type="spellStart"/>
      <w:r w:rsidRPr="002A163D">
        <w:rPr>
          <w:rFonts w:eastAsia="SimSun"/>
          <w:sz w:val="20"/>
          <w:szCs w:val="20"/>
          <w:lang w:eastAsia="zh-CN" w:bidi="ar-EG"/>
        </w:rPr>
        <w:t>Abd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Monse</w:t>
      </w:r>
      <w:r w:rsidR="002A19E4" w:rsidRPr="002A163D">
        <w:rPr>
          <w:rFonts w:eastAsia="SimSun"/>
          <w:sz w:val="20"/>
          <w:szCs w:val="20"/>
          <w:lang w:eastAsia="zh-CN" w:bidi="ar-EG"/>
        </w:rPr>
        <w:t>f</w:t>
      </w:r>
      <w:proofErr w:type="spellEnd"/>
      <w:r w:rsidR="002A19E4">
        <w:rPr>
          <w:rFonts w:eastAsia="SimSun"/>
          <w:sz w:val="20"/>
          <w:szCs w:val="20"/>
          <w:lang w:eastAsia="zh-CN" w:bidi="ar-EG"/>
        </w:rPr>
        <w:t xml:space="preserve"> </w:t>
      </w:r>
      <w:proofErr w:type="spellStart"/>
      <w:r w:rsidR="002A19E4" w:rsidRPr="002A163D">
        <w:rPr>
          <w:rFonts w:eastAsia="SimSun"/>
          <w:sz w:val="20"/>
          <w:szCs w:val="20"/>
          <w:lang w:eastAsia="zh-CN" w:bidi="ar-EG"/>
        </w:rPr>
        <w:t>A</w:t>
      </w:r>
      <w:r w:rsidRPr="002A163D">
        <w:rPr>
          <w:rFonts w:eastAsia="SimSun"/>
          <w:sz w:val="20"/>
          <w:szCs w:val="20"/>
          <w:lang w:eastAsia="zh-CN" w:bidi="ar-EG"/>
        </w:rPr>
        <w:t>bd</w:t>
      </w:r>
      <w:proofErr w:type="spellEnd"/>
      <w:r w:rsidRPr="002A163D">
        <w:rPr>
          <w:rFonts w:eastAsia="SimSun"/>
          <w:sz w:val="20"/>
          <w:szCs w:val="20"/>
          <w:lang w:eastAsia="zh-CN" w:bidi="ar-EG"/>
        </w:rPr>
        <w:t xml:space="preserve"> El </w:t>
      </w:r>
      <w:proofErr w:type="spellStart"/>
      <w:r w:rsidRPr="002A163D">
        <w:rPr>
          <w:rFonts w:eastAsia="SimSun"/>
          <w:sz w:val="20"/>
          <w:szCs w:val="20"/>
          <w:lang w:eastAsia="zh-CN" w:bidi="ar-EG"/>
        </w:rPr>
        <w:t>Hame</w:t>
      </w:r>
      <w:r w:rsidR="002A19E4" w:rsidRPr="002A163D">
        <w:rPr>
          <w:rFonts w:eastAsia="SimSun"/>
          <w:sz w:val="20"/>
          <w:szCs w:val="20"/>
          <w:lang w:eastAsia="zh-CN" w:bidi="ar-EG"/>
        </w:rPr>
        <w:t>d</w:t>
      </w:r>
      <w:proofErr w:type="spellEnd"/>
      <w:r w:rsidR="002A19E4">
        <w:rPr>
          <w:rFonts w:eastAsia="SimSun"/>
          <w:sz w:val="20"/>
          <w:szCs w:val="20"/>
          <w:lang w:eastAsia="zh-CN" w:bidi="ar-EG"/>
        </w:rPr>
        <w:t xml:space="preserve"> </w:t>
      </w:r>
      <w:proofErr w:type="spellStart"/>
      <w:r w:rsidR="002A19E4" w:rsidRPr="002A163D">
        <w:rPr>
          <w:rFonts w:eastAsia="SimSun"/>
          <w:sz w:val="20"/>
          <w:szCs w:val="20"/>
          <w:lang w:eastAsia="zh-CN" w:bidi="ar-EG"/>
        </w:rPr>
        <w:t>S</w:t>
      </w:r>
      <w:r w:rsidRPr="002A163D">
        <w:rPr>
          <w:rFonts w:eastAsia="SimSun"/>
          <w:sz w:val="20"/>
          <w:szCs w:val="20"/>
          <w:lang w:eastAsia="zh-CN" w:bidi="ar-EG"/>
        </w:rPr>
        <w:t>edek</w:t>
      </w:r>
      <w:proofErr w:type="spellEnd"/>
      <w:r w:rsidRPr="002A163D">
        <w:rPr>
          <w:rFonts w:eastAsia="SimSun"/>
          <w:sz w:val="20"/>
          <w:szCs w:val="20"/>
          <w:lang w:eastAsia="zh-CN" w:bidi="ar-EG"/>
        </w:rPr>
        <w:t xml:space="preserve">, Osama </w:t>
      </w:r>
      <w:proofErr w:type="spellStart"/>
      <w:r w:rsidRPr="002A163D">
        <w:rPr>
          <w:rFonts w:eastAsia="SimSun"/>
          <w:sz w:val="20"/>
          <w:szCs w:val="20"/>
          <w:lang w:eastAsia="zh-CN" w:bidi="ar-EG"/>
        </w:rPr>
        <w:t>Labibe</w:t>
      </w:r>
      <w:proofErr w:type="spellEnd"/>
      <w:r w:rsidRPr="002A163D">
        <w:rPr>
          <w:rFonts w:eastAsia="SimSun"/>
          <w:sz w:val="20"/>
          <w:szCs w:val="20"/>
          <w:lang w:eastAsia="zh-CN" w:bidi="ar-EG"/>
        </w:rPr>
        <w:t xml:space="preserve"> </w:t>
      </w:r>
      <w:proofErr w:type="spellStart"/>
      <w:r w:rsidRPr="002A163D">
        <w:rPr>
          <w:rFonts w:eastAsia="SimSun"/>
          <w:sz w:val="20"/>
          <w:szCs w:val="20"/>
          <w:lang w:eastAsia="zh-CN" w:bidi="ar-EG"/>
        </w:rPr>
        <w:t>Mousa</w:t>
      </w:r>
      <w:proofErr w:type="spellEnd"/>
      <w:r w:rsidR="002A163D">
        <w:rPr>
          <w:rFonts w:eastAsiaTheme="minorEastAsia" w:hint="eastAsia"/>
          <w:sz w:val="20"/>
          <w:szCs w:val="20"/>
          <w:lang w:eastAsia="zh-CN" w:bidi="ar-EG"/>
        </w:rPr>
        <w:t>.</w:t>
      </w:r>
      <w:r w:rsidRPr="002A163D">
        <w:rPr>
          <w:rFonts w:eastAsia="Times New Roman"/>
          <w:b/>
          <w:bCs/>
          <w:sz w:val="20"/>
          <w:szCs w:val="20"/>
        </w:rPr>
        <w:t xml:space="preserve"> </w:t>
      </w:r>
      <w:r w:rsidR="00B011C9" w:rsidRPr="002A163D">
        <w:rPr>
          <w:rFonts w:eastAsia="Times New Roman"/>
          <w:b/>
          <w:bCs/>
          <w:sz w:val="20"/>
          <w:szCs w:val="20"/>
        </w:rPr>
        <w:t xml:space="preserve">Comparative Study between Triggering Ovulation with </w:t>
      </w:r>
      <w:proofErr w:type="spellStart"/>
      <w:r w:rsidR="00B011C9" w:rsidRPr="002A163D">
        <w:rPr>
          <w:rFonts w:eastAsia="Times New Roman"/>
          <w:b/>
          <w:bCs/>
          <w:sz w:val="20"/>
          <w:szCs w:val="20"/>
        </w:rPr>
        <w:t>Gonadotropin</w:t>
      </w:r>
      <w:proofErr w:type="spellEnd"/>
      <w:r w:rsidR="00B011C9" w:rsidRPr="002A163D">
        <w:rPr>
          <w:rFonts w:eastAsia="Times New Roman"/>
          <w:b/>
          <w:bCs/>
          <w:sz w:val="20"/>
          <w:szCs w:val="20"/>
        </w:rPr>
        <w:t xml:space="preserve">-releasing Hormone Agonist versus Triggering Ovulation with Human Chorionic </w:t>
      </w:r>
      <w:proofErr w:type="spellStart"/>
      <w:r w:rsidR="00B011C9" w:rsidRPr="002A163D">
        <w:rPr>
          <w:rFonts w:eastAsia="Times New Roman"/>
          <w:b/>
          <w:bCs/>
          <w:sz w:val="20"/>
          <w:szCs w:val="20"/>
        </w:rPr>
        <w:t>Gonadotropin</w:t>
      </w:r>
      <w:proofErr w:type="spellEnd"/>
      <w:r w:rsidR="00B011C9" w:rsidRPr="002A163D">
        <w:rPr>
          <w:rFonts w:eastAsia="Times New Roman"/>
          <w:b/>
          <w:bCs/>
          <w:sz w:val="20"/>
          <w:szCs w:val="20"/>
        </w:rPr>
        <w:t xml:space="preserve"> in Patients with Polycystic Ovarian Syndrome</w:t>
      </w:r>
      <w:r w:rsidR="00AB6300" w:rsidRPr="002A163D">
        <w:rPr>
          <w:rFonts w:eastAsia="Times New Roman"/>
          <w:b/>
          <w:bCs/>
          <w:sz w:val="20"/>
          <w:szCs w:val="20"/>
          <w:lang w:bidi="fa-IR"/>
        </w:rPr>
        <w:t>.</w:t>
      </w:r>
      <w:r w:rsidR="00AB6300" w:rsidRPr="002A163D">
        <w:rPr>
          <w:bCs/>
          <w:i/>
          <w:sz w:val="20"/>
          <w:szCs w:val="20"/>
        </w:rPr>
        <w:t xml:space="preserve"> N Y </w:t>
      </w:r>
      <w:proofErr w:type="spellStart"/>
      <w:r w:rsidR="00AB6300" w:rsidRPr="002A163D">
        <w:rPr>
          <w:bCs/>
          <w:i/>
          <w:sz w:val="20"/>
          <w:szCs w:val="20"/>
        </w:rPr>
        <w:t>Sci</w:t>
      </w:r>
      <w:proofErr w:type="spellEnd"/>
      <w:r w:rsidR="00AB6300" w:rsidRPr="002A163D">
        <w:rPr>
          <w:bCs/>
          <w:i/>
          <w:sz w:val="20"/>
          <w:szCs w:val="20"/>
        </w:rPr>
        <w:t xml:space="preserve"> J</w:t>
      </w:r>
      <w:r w:rsidR="00AB6300" w:rsidRPr="002A163D">
        <w:rPr>
          <w:bCs/>
          <w:sz w:val="20"/>
          <w:szCs w:val="20"/>
        </w:rPr>
        <w:t xml:space="preserve"> </w:t>
      </w:r>
      <w:r w:rsidR="00AB6300" w:rsidRPr="002A163D">
        <w:rPr>
          <w:sz w:val="20"/>
          <w:szCs w:val="20"/>
        </w:rPr>
        <w:t>201</w:t>
      </w:r>
      <w:r w:rsidR="00AB6300" w:rsidRPr="002A163D">
        <w:rPr>
          <w:rFonts w:hint="eastAsia"/>
          <w:sz w:val="20"/>
          <w:szCs w:val="20"/>
        </w:rPr>
        <w:t>7</w:t>
      </w:r>
      <w:r w:rsidR="00AB6300" w:rsidRPr="002A163D">
        <w:rPr>
          <w:sz w:val="20"/>
          <w:szCs w:val="20"/>
        </w:rPr>
        <w:t>;</w:t>
      </w:r>
      <w:r w:rsidR="00AB6300" w:rsidRPr="002A163D">
        <w:rPr>
          <w:rFonts w:hint="eastAsia"/>
          <w:sz w:val="20"/>
          <w:szCs w:val="20"/>
        </w:rPr>
        <w:t>10</w:t>
      </w:r>
      <w:r w:rsidR="00AB6300" w:rsidRPr="002A163D">
        <w:rPr>
          <w:sz w:val="20"/>
          <w:szCs w:val="20"/>
        </w:rPr>
        <w:t>(</w:t>
      </w:r>
      <w:r w:rsidR="00AB6300" w:rsidRPr="002A163D">
        <w:rPr>
          <w:rFonts w:hint="eastAsia"/>
          <w:sz w:val="20"/>
          <w:szCs w:val="20"/>
        </w:rPr>
        <w:t>6</w:t>
      </w:r>
      <w:r w:rsidR="00AB6300" w:rsidRPr="002A163D">
        <w:rPr>
          <w:sz w:val="20"/>
          <w:szCs w:val="20"/>
        </w:rPr>
        <w:t>):</w:t>
      </w:r>
      <w:r w:rsidR="002E13BD">
        <w:rPr>
          <w:noProof/>
          <w:color w:val="000000"/>
          <w:sz w:val="20"/>
          <w:szCs w:val="20"/>
        </w:rPr>
        <w:t>47</w:t>
      </w:r>
      <w:r w:rsidR="00AB6300" w:rsidRPr="002A163D">
        <w:rPr>
          <w:color w:val="000000"/>
          <w:sz w:val="20"/>
          <w:szCs w:val="20"/>
        </w:rPr>
        <w:t>-</w:t>
      </w:r>
      <w:r w:rsidR="002E13BD">
        <w:rPr>
          <w:noProof/>
          <w:color w:val="000000"/>
          <w:sz w:val="20"/>
          <w:szCs w:val="20"/>
        </w:rPr>
        <w:t>56</w:t>
      </w:r>
      <w:r w:rsidR="00AB6300" w:rsidRPr="002A163D">
        <w:rPr>
          <w:sz w:val="20"/>
          <w:szCs w:val="20"/>
        </w:rPr>
        <w:t xml:space="preserve">]. </w:t>
      </w:r>
      <w:r w:rsidR="00AB6300" w:rsidRPr="002A163D">
        <w:rPr>
          <w:iCs/>
          <w:color w:val="000000"/>
          <w:sz w:val="20"/>
          <w:szCs w:val="20"/>
        </w:rPr>
        <w:t>ISSN 1554-0200 (print); ISSN 2375-723X (online)</w:t>
      </w:r>
      <w:r w:rsidR="00AB6300" w:rsidRPr="002A163D">
        <w:rPr>
          <w:sz w:val="20"/>
          <w:szCs w:val="20"/>
        </w:rPr>
        <w:t xml:space="preserve">. </w:t>
      </w:r>
      <w:hyperlink r:id="rId8" w:history="1">
        <w:r w:rsidR="00AB6300" w:rsidRPr="002A163D">
          <w:rPr>
            <w:rStyle w:val="Hyperlink"/>
            <w:color w:val="0000FF"/>
            <w:sz w:val="20"/>
            <w:szCs w:val="20"/>
          </w:rPr>
          <w:t>http://www.sciencepub.net/newyork</w:t>
        </w:r>
      </w:hyperlink>
      <w:r w:rsidR="00AB6300" w:rsidRPr="002A163D">
        <w:rPr>
          <w:sz w:val="20"/>
          <w:szCs w:val="20"/>
        </w:rPr>
        <w:t xml:space="preserve">. </w:t>
      </w:r>
      <w:r w:rsidR="002A163D">
        <w:rPr>
          <w:rFonts w:eastAsiaTheme="minorEastAsia" w:hint="eastAsia"/>
          <w:sz w:val="20"/>
          <w:szCs w:val="20"/>
          <w:lang w:eastAsia="zh-CN"/>
        </w:rPr>
        <w:t>7</w:t>
      </w:r>
      <w:r w:rsidR="00AB6300" w:rsidRPr="002A163D">
        <w:rPr>
          <w:rFonts w:hint="eastAsia"/>
          <w:sz w:val="20"/>
          <w:szCs w:val="20"/>
        </w:rPr>
        <w:t xml:space="preserve">. </w:t>
      </w:r>
      <w:r w:rsidR="00AB6300" w:rsidRPr="002A163D">
        <w:rPr>
          <w:color w:val="000000"/>
          <w:sz w:val="20"/>
          <w:szCs w:val="20"/>
          <w:shd w:val="clear" w:color="auto" w:fill="FFFFFF"/>
        </w:rPr>
        <w:t>doi:</w:t>
      </w:r>
      <w:hyperlink r:id="rId9" w:history="1">
        <w:r w:rsidR="00AB6300" w:rsidRPr="002A163D">
          <w:rPr>
            <w:rStyle w:val="Hyperlink"/>
            <w:color w:val="0000FF"/>
            <w:sz w:val="20"/>
            <w:szCs w:val="20"/>
            <w:shd w:val="clear" w:color="auto" w:fill="FFFFFF"/>
          </w:rPr>
          <w:t>10.7537/mars</w:t>
        </w:r>
        <w:r w:rsidR="00AB6300" w:rsidRPr="002A163D">
          <w:rPr>
            <w:rStyle w:val="Hyperlink"/>
            <w:rFonts w:hint="eastAsia"/>
            <w:color w:val="0000FF"/>
            <w:sz w:val="20"/>
            <w:szCs w:val="20"/>
            <w:shd w:val="clear" w:color="auto" w:fill="FFFFFF"/>
          </w:rPr>
          <w:t>nys100617.</w:t>
        </w:r>
        <w:r w:rsidR="00AB6300" w:rsidRPr="002A163D">
          <w:rPr>
            <w:rStyle w:val="Hyperlink"/>
            <w:color w:val="0000FF"/>
            <w:sz w:val="20"/>
            <w:szCs w:val="20"/>
            <w:shd w:val="clear" w:color="auto" w:fill="FFFFFF"/>
          </w:rPr>
          <w:t>0</w:t>
        </w:r>
        <w:r w:rsidR="002A163D">
          <w:rPr>
            <w:rStyle w:val="Hyperlink"/>
            <w:rFonts w:eastAsiaTheme="minorEastAsia" w:hint="eastAsia"/>
            <w:color w:val="0000FF"/>
            <w:sz w:val="20"/>
            <w:szCs w:val="20"/>
            <w:shd w:val="clear" w:color="auto" w:fill="FFFFFF"/>
            <w:lang w:eastAsia="zh-CN"/>
          </w:rPr>
          <w:t>7</w:t>
        </w:r>
      </w:hyperlink>
      <w:r w:rsidR="00AB6300" w:rsidRPr="002A163D">
        <w:rPr>
          <w:color w:val="000000"/>
          <w:sz w:val="20"/>
          <w:szCs w:val="20"/>
          <w:shd w:val="clear" w:color="auto" w:fill="FFFFFF"/>
        </w:rPr>
        <w:t>.</w:t>
      </w:r>
    </w:p>
    <w:p w:rsidR="00B011C9" w:rsidRPr="002A163D" w:rsidRDefault="00B011C9" w:rsidP="002A163D">
      <w:pPr>
        <w:bidi w:val="0"/>
        <w:snapToGrid w:val="0"/>
        <w:jc w:val="both"/>
        <w:rPr>
          <w:rFonts w:eastAsia="Times New Roman"/>
          <w:b/>
          <w:bCs/>
          <w:sz w:val="20"/>
          <w:szCs w:val="20"/>
        </w:rPr>
      </w:pPr>
    </w:p>
    <w:p w:rsidR="00270C70" w:rsidRPr="002A163D" w:rsidRDefault="00270C70" w:rsidP="002A163D">
      <w:pPr>
        <w:bidi w:val="0"/>
        <w:snapToGrid w:val="0"/>
        <w:jc w:val="both"/>
        <w:rPr>
          <w:rFonts w:eastAsia="SimSun"/>
          <w:sz w:val="20"/>
          <w:szCs w:val="20"/>
          <w:lang w:eastAsia="zh-CN" w:bidi="ar-EG"/>
        </w:rPr>
      </w:pPr>
      <w:r w:rsidRPr="002A163D">
        <w:rPr>
          <w:rFonts w:eastAsia="SimSun"/>
          <w:b/>
          <w:bCs/>
          <w:sz w:val="20"/>
          <w:szCs w:val="20"/>
          <w:lang w:eastAsia="zh-CN" w:bidi="ar-EG"/>
        </w:rPr>
        <w:t>Key words:</w:t>
      </w:r>
      <w:r w:rsidRPr="002A163D">
        <w:rPr>
          <w:rFonts w:eastAsia="SimSun"/>
          <w:sz w:val="20"/>
          <w:szCs w:val="20"/>
          <w:lang w:eastAsia="zh-CN" w:bidi="ar-EG"/>
        </w:rPr>
        <w:t xml:space="preserve"> PCOS, </w:t>
      </w:r>
      <w:r w:rsidR="00B14D89" w:rsidRPr="002A163D">
        <w:rPr>
          <w:rFonts w:eastAsia="SimSun"/>
          <w:sz w:val="20"/>
          <w:szCs w:val="20"/>
          <w:lang w:eastAsia="zh-CN" w:bidi="ar-EG"/>
        </w:rPr>
        <w:t xml:space="preserve">ovulation, </w:t>
      </w:r>
      <w:proofErr w:type="spellStart"/>
      <w:r w:rsidR="00B14D89" w:rsidRPr="002A163D">
        <w:rPr>
          <w:rFonts w:eastAsia="SimSun"/>
          <w:sz w:val="20"/>
          <w:szCs w:val="20"/>
          <w:lang w:eastAsia="zh-CN" w:bidi="ar-EG"/>
        </w:rPr>
        <w:t>GnRH</w:t>
      </w:r>
      <w:proofErr w:type="spellEnd"/>
      <w:r w:rsidR="008B2560" w:rsidRPr="002A163D">
        <w:rPr>
          <w:rFonts w:eastAsia="SimSun"/>
          <w:sz w:val="20"/>
          <w:szCs w:val="20"/>
          <w:lang w:eastAsia="zh-CN" w:bidi="ar-EG"/>
        </w:rPr>
        <w:t xml:space="preserve">, reproductive age, </w:t>
      </w:r>
      <w:proofErr w:type="spellStart"/>
      <w:r w:rsidR="008B2560" w:rsidRPr="002A163D">
        <w:rPr>
          <w:rFonts w:eastAsia="SimSun"/>
          <w:sz w:val="20"/>
          <w:szCs w:val="20"/>
          <w:lang w:eastAsia="zh-CN" w:bidi="ar-EG"/>
        </w:rPr>
        <w:t>oligo</w:t>
      </w:r>
      <w:proofErr w:type="spellEnd"/>
      <w:r w:rsidR="008B2560" w:rsidRPr="002A163D">
        <w:rPr>
          <w:rFonts w:eastAsia="SimSun"/>
          <w:sz w:val="20"/>
          <w:szCs w:val="20"/>
          <w:lang w:eastAsia="zh-CN" w:bidi="ar-EG"/>
        </w:rPr>
        <w:t xml:space="preserve">-ovulation, </w:t>
      </w:r>
      <w:proofErr w:type="spellStart"/>
      <w:r w:rsidR="008B2560" w:rsidRPr="002A163D">
        <w:rPr>
          <w:rFonts w:eastAsia="SimSun"/>
          <w:sz w:val="20"/>
          <w:szCs w:val="20"/>
          <w:lang w:eastAsia="zh-CN" w:bidi="ar-EG"/>
        </w:rPr>
        <w:t>anovulation</w:t>
      </w:r>
      <w:proofErr w:type="spellEnd"/>
      <w:r w:rsidR="001C2C74" w:rsidRPr="002A163D">
        <w:rPr>
          <w:rFonts w:eastAsia="SimSun"/>
          <w:sz w:val="20"/>
          <w:szCs w:val="20"/>
          <w:lang w:eastAsia="zh-CN" w:bidi="ar-EG"/>
        </w:rPr>
        <w:t xml:space="preserve">, </w:t>
      </w:r>
      <w:proofErr w:type="spellStart"/>
      <w:r w:rsidR="001C2C74" w:rsidRPr="002A163D">
        <w:rPr>
          <w:rFonts w:eastAsia="SimSun"/>
          <w:sz w:val="20"/>
          <w:szCs w:val="20"/>
          <w:lang w:eastAsia="zh-CN" w:bidi="ar-EG"/>
        </w:rPr>
        <w:t>Hypovitaminosis</w:t>
      </w:r>
      <w:proofErr w:type="spellEnd"/>
      <w:r w:rsidR="001C2C74" w:rsidRPr="002A163D">
        <w:rPr>
          <w:rFonts w:eastAsia="SimSun"/>
          <w:sz w:val="20"/>
          <w:szCs w:val="20"/>
          <w:lang w:eastAsia="zh-CN" w:bidi="ar-EG"/>
        </w:rPr>
        <w:t xml:space="preserve"> D</w:t>
      </w:r>
    </w:p>
    <w:p w:rsidR="002A163D" w:rsidRDefault="002A163D" w:rsidP="002A163D">
      <w:pPr>
        <w:bidi w:val="0"/>
        <w:snapToGrid w:val="0"/>
        <w:jc w:val="both"/>
        <w:rPr>
          <w:rFonts w:eastAsia="SimSun"/>
          <w:b/>
          <w:bCs/>
          <w:sz w:val="20"/>
          <w:szCs w:val="20"/>
          <w:lang w:eastAsia="zh-CN" w:bidi="ar-EG"/>
        </w:rPr>
      </w:pPr>
    </w:p>
    <w:p w:rsidR="002A163D" w:rsidRPr="002A163D" w:rsidRDefault="002A163D" w:rsidP="002A163D">
      <w:pPr>
        <w:bidi w:val="0"/>
        <w:snapToGrid w:val="0"/>
        <w:jc w:val="both"/>
        <w:rPr>
          <w:rFonts w:eastAsia="SimSun"/>
          <w:b/>
          <w:bCs/>
          <w:sz w:val="20"/>
          <w:szCs w:val="20"/>
          <w:lang w:eastAsia="zh-CN" w:bidi="ar-EG"/>
        </w:rPr>
        <w:sectPr w:rsidR="002A163D" w:rsidRPr="002A163D" w:rsidSect="002E13BD">
          <w:headerReference w:type="default" r:id="rId10"/>
          <w:footerReference w:type="even" r:id="rId11"/>
          <w:footerReference w:type="default" r:id="rId12"/>
          <w:type w:val="continuous"/>
          <w:pgSz w:w="12242" w:h="15842" w:code="1"/>
          <w:pgMar w:top="1440" w:right="1440" w:bottom="1440" w:left="1440" w:header="720" w:footer="720" w:gutter="0"/>
          <w:pgNumType w:start="47"/>
          <w:cols w:space="720"/>
          <w:docGrid w:linePitch="360"/>
        </w:sectPr>
      </w:pPr>
    </w:p>
    <w:p w:rsidR="006A01E2" w:rsidRPr="002A163D" w:rsidRDefault="007207F8" w:rsidP="002A163D">
      <w:pPr>
        <w:bidi w:val="0"/>
        <w:snapToGrid w:val="0"/>
        <w:jc w:val="both"/>
        <w:rPr>
          <w:rFonts w:eastAsia="SimSun"/>
          <w:b/>
          <w:bCs/>
          <w:sz w:val="20"/>
          <w:szCs w:val="20"/>
          <w:lang w:eastAsia="zh-CN" w:bidi="ar-EG"/>
        </w:rPr>
      </w:pPr>
      <w:r w:rsidRPr="002A163D">
        <w:rPr>
          <w:rFonts w:eastAsia="SimSun"/>
          <w:b/>
          <w:bCs/>
          <w:sz w:val="20"/>
          <w:szCs w:val="20"/>
          <w:lang w:eastAsia="zh-CN" w:bidi="ar-EG"/>
        </w:rPr>
        <w:lastRenderedPageBreak/>
        <w:t xml:space="preserve">1. </w:t>
      </w:r>
      <w:r w:rsidR="00EE20D4" w:rsidRPr="002A163D">
        <w:rPr>
          <w:rFonts w:eastAsia="SimSun"/>
          <w:b/>
          <w:bCs/>
          <w:sz w:val="20"/>
          <w:szCs w:val="20"/>
          <w:lang w:eastAsia="zh-CN" w:bidi="ar-EG"/>
        </w:rPr>
        <w:t>Introduction</w:t>
      </w:r>
    </w:p>
    <w:p w:rsidR="006E2C1D" w:rsidRPr="002A163D" w:rsidRDefault="006E2C1D" w:rsidP="002A163D">
      <w:pPr>
        <w:widowControl w:val="0"/>
        <w:bidi w:val="0"/>
        <w:snapToGrid w:val="0"/>
        <w:ind w:firstLine="425"/>
        <w:jc w:val="both"/>
        <w:rPr>
          <w:b/>
          <w:bCs/>
          <w:i/>
          <w:iCs/>
          <w:sz w:val="20"/>
          <w:szCs w:val="20"/>
        </w:rPr>
      </w:pPr>
      <w:r w:rsidRPr="002A163D">
        <w:rPr>
          <w:sz w:val="20"/>
          <w:szCs w:val="20"/>
        </w:rPr>
        <w:t xml:space="preserve">Polycystic ovary syndrome (PCOS) is a complex endocrine disorder affecting 5–10 % of women of reproductive age. It generally manifests with </w:t>
      </w:r>
      <w:proofErr w:type="spellStart"/>
      <w:r w:rsidRPr="002A163D">
        <w:rPr>
          <w:sz w:val="20"/>
          <w:szCs w:val="20"/>
        </w:rPr>
        <w:t>oligo/anovulatory</w:t>
      </w:r>
      <w:proofErr w:type="spellEnd"/>
      <w:r w:rsidRPr="002A163D">
        <w:rPr>
          <w:sz w:val="20"/>
          <w:szCs w:val="20"/>
        </w:rPr>
        <w:t xml:space="preserve"> cycles, </w:t>
      </w:r>
      <w:proofErr w:type="spellStart"/>
      <w:r w:rsidRPr="002A163D">
        <w:rPr>
          <w:sz w:val="20"/>
          <w:szCs w:val="20"/>
        </w:rPr>
        <w:t>hirsutism</w:t>
      </w:r>
      <w:proofErr w:type="spellEnd"/>
      <w:r w:rsidRPr="002A163D">
        <w:rPr>
          <w:sz w:val="20"/>
          <w:szCs w:val="20"/>
        </w:rPr>
        <w:t xml:space="preserve"> and polycystic ovaries, together with a considerable prevalence of insulin resistance. Although the </w:t>
      </w:r>
      <w:proofErr w:type="spellStart"/>
      <w:r w:rsidRPr="002A163D">
        <w:rPr>
          <w:sz w:val="20"/>
          <w:szCs w:val="20"/>
        </w:rPr>
        <w:t>aetiology</w:t>
      </w:r>
      <w:proofErr w:type="spellEnd"/>
      <w:r w:rsidRPr="002A163D">
        <w:rPr>
          <w:sz w:val="20"/>
          <w:szCs w:val="20"/>
        </w:rPr>
        <w:t xml:space="preserve"> of the syndrome is not completely understood yet, </w:t>
      </w:r>
      <w:proofErr w:type="spellStart"/>
      <w:r w:rsidRPr="002A163D">
        <w:rPr>
          <w:sz w:val="20"/>
          <w:szCs w:val="20"/>
        </w:rPr>
        <w:t>PCOSis</w:t>
      </w:r>
      <w:proofErr w:type="spellEnd"/>
      <w:r w:rsidRPr="002A163D">
        <w:rPr>
          <w:sz w:val="20"/>
          <w:szCs w:val="20"/>
        </w:rPr>
        <w:t xml:space="preserve"> considered a </w:t>
      </w:r>
      <w:proofErr w:type="spellStart"/>
      <w:r w:rsidRPr="002A163D">
        <w:rPr>
          <w:sz w:val="20"/>
          <w:szCs w:val="20"/>
        </w:rPr>
        <w:t>multifactorial</w:t>
      </w:r>
      <w:proofErr w:type="spellEnd"/>
      <w:r w:rsidRPr="002A163D">
        <w:rPr>
          <w:sz w:val="20"/>
          <w:szCs w:val="20"/>
        </w:rPr>
        <w:t xml:space="preserve"> disorder with various genetic, endocrine and environmental abnormalities. Moreover, PCOS patients have a higher risk of metabolic and cardiovascular diseases and their related morbidity, if compared to the general population </w:t>
      </w:r>
      <w:r w:rsidRPr="002A163D">
        <w:rPr>
          <w:b/>
          <w:bCs/>
          <w:i/>
          <w:iCs/>
          <w:sz w:val="20"/>
          <w:szCs w:val="20"/>
        </w:rPr>
        <w:t>(De Leo et al., 2016).</w:t>
      </w:r>
    </w:p>
    <w:p w:rsidR="006E2C1D" w:rsidRPr="002A163D" w:rsidRDefault="006E2C1D" w:rsidP="002A163D">
      <w:pPr>
        <w:bidi w:val="0"/>
        <w:snapToGrid w:val="0"/>
        <w:ind w:firstLine="425"/>
        <w:jc w:val="both"/>
        <w:rPr>
          <w:sz w:val="20"/>
          <w:szCs w:val="20"/>
        </w:rPr>
      </w:pPr>
      <w:r w:rsidRPr="002A163D">
        <w:rPr>
          <w:sz w:val="20"/>
          <w:szCs w:val="20"/>
        </w:rPr>
        <w:t>PCOS</w:t>
      </w:r>
      <w:r w:rsidRPr="002A163D">
        <w:rPr>
          <w:sz w:val="20"/>
          <w:szCs w:val="20"/>
        </w:rPr>
        <w:softHyphen/>
        <w:t xml:space="preserve"> is not only a reproductive pathology but also a systemic condition and its </w:t>
      </w:r>
      <w:proofErr w:type="spellStart"/>
      <w:r w:rsidRPr="002A163D">
        <w:rPr>
          <w:sz w:val="20"/>
          <w:szCs w:val="20"/>
        </w:rPr>
        <w:t>etiopathogenesis</w:t>
      </w:r>
      <w:proofErr w:type="spellEnd"/>
      <w:r w:rsidRPr="002A163D">
        <w:rPr>
          <w:sz w:val="20"/>
          <w:szCs w:val="20"/>
        </w:rPr>
        <w:t xml:space="preserve"> is still not completely understood. Recently, the approach of </w:t>
      </w:r>
      <w:r w:rsidRPr="002A163D">
        <w:rPr>
          <w:sz w:val="20"/>
          <w:szCs w:val="20"/>
        </w:rPr>
        <w:softHyphen/>
        <w:t xml:space="preserve">clinical practice has been a progressive changed and improved towards prevention together with the standard treatments for diseases. Therapeutic tools are represented by hormonal contraceptives, </w:t>
      </w:r>
      <w:proofErr w:type="spellStart"/>
      <w:r w:rsidRPr="002A163D">
        <w:rPr>
          <w:sz w:val="20"/>
          <w:szCs w:val="20"/>
        </w:rPr>
        <w:lastRenderedPageBreak/>
        <w:t>antiandrogen</w:t>
      </w:r>
      <w:proofErr w:type="spellEnd"/>
      <w:r w:rsidRPr="002A163D">
        <w:rPr>
          <w:sz w:val="20"/>
          <w:szCs w:val="20"/>
        </w:rPr>
        <w:t xml:space="preserve"> drugs, </w:t>
      </w:r>
      <w:proofErr w:type="spellStart"/>
      <w:r w:rsidRPr="002A163D">
        <w:rPr>
          <w:sz w:val="20"/>
          <w:szCs w:val="20"/>
        </w:rPr>
        <w:t>metformin</w:t>
      </w:r>
      <w:proofErr w:type="spellEnd"/>
      <w:r w:rsidRPr="002A163D">
        <w:rPr>
          <w:sz w:val="20"/>
          <w:szCs w:val="20"/>
        </w:rPr>
        <w:t xml:space="preserve"> and </w:t>
      </w:r>
      <w:proofErr w:type="spellStart"/>
      <w:r w:rsidRPr="002A163D">
        <w:rPr>
          <w:sz w:val="20"/>
          <w:szCs w:val="20"/>
        </w:rPr>
        <w:t>inositols</w:t>
      </w:r>
      <w:proofErr w:type="spellEnd"/>
      <w:r w:rsidR="00345B9A">
        <w:rPr>
          <w:rFonts w:eastAsiaTheme="minorEastAsia" w:hint="eastAsia"/>
          <w:sz w:val="20"/>
          <w:szCs w:val="20"/>
          <w:lang w:eastAsia="zh-CN"/>
        </w:rPr>
        <w:t xml:space="preserve"> </w:t>
      </w:r>
      <w:r w:rsidRPr="002A163D">
        <w:rPr>
          <w:b/>
          <w:bCs/>
          <w:i/>
          <w:iCs/>
          <w:sz w:val="20"/>
          <w:szCs w:val="20"/>
        </w:rPr>
        <w:t>(Denison et al., 2016).</w:t>
      </w:r>
    </w:p>
    <w:p w:rsidR="006E2C1D" w:rsidRPr="002A163D" w:rsidRDefault="006E2C1D" w:rsidP="002A163D">
      <w:pPr>
        <w:bidi w:val="0"/>
        <w:snapToGrid w:val="0"/>
        <w:ind w:firstLine="425"/>
        <w:jc w:val="both"/>
        <w:rPr>
          <w:sz w:val="20"/>
          <w:szCs w:val="20"/>
        </w:rPr>
      </w:pPr>
      <w:r w:rsidRPr="002A163D">
        <w:rPr>
          <w:sz w:val="20"/>
          <w:szCs w:val="20"/>
        </w:rPr>
        <w:t xml:space="preserve">In this context, PCOS is an excellent example of pathology in </w:t>
      </w:r>
      <w:proofErr w:type="spellStart"/>
      <w:r w:rsidRPr="002A163D">
        <w:rPr>
          <w:sz w:val="20"/>
          <w:szCs w:val="20"/>
        </w:rPr>
        <w:t>whih</w:t>
      </w:r>
      <w:proofErr w:type="spellEnd"/>
      <w:r w:rsidRPr="002A163D">
        <w:rPr>
          <w:sz w:val="20"/>
          <w:szCs w:val="20"/>
        </w:rPr>
        <w:t xml:space="preserve"> early diagnosis and treatment can prevent or delay its typical long-term </w:t>
      </w:r>
      <w:proofErr w:type="spellStart"/>
      <w:r w:rsidRPr="002A163D">
        <w:rPr>
          <w:sz w:val="20"/>
          <w:szCs w:val="20"/>
        </w:rPr>
        <w:t>sequelae</w:t>
      </w:r>
      <w:proofErr w:type="spellEnd"/>
      <w:r w:rsidRPr="002A163D">
        <w:rPr>
          <w:sz w:val="20"/>
          <w:szCs w:val="20"/>
        </w:rPr>
        <w:t xml:space="preserve">. In the past, therapy for PCOS has been </w:t>
      </w:r>
      <w:proofErr w:type="spellStart"/>
      <w:r w:rsidRPr="002A163D">
        <w:rPr>
          <w:sz w:val="20"/>
          <w:szCs w:val="20"/>
        </w:rPr>
        <w:t>centred</w:t>
      </w:r>
      <w:proofErr w:type="spellEnd"/>
      <w:r w:rsidRPr="002A163D">
        <w:rPr>
          <w:sz w:val="20"/>
          <w:szCs w:val="20"/>
        </w:rPr>
        <w:t xml:space="preserve"> on treatment of </w:t>
      </w:r>
      <w:proofErr w:type="spellStart"/>
      <w:r w:rsidRPr="002A163D">
        <w:rPr>
          <w:sz w:val="20"/>
          <w:szCs w:val="20"/>
        </w:rPr>
        <w:t>hirsutism</w:t>
      </w:r>
      <w:proofErr w:type="spellEnd"/>
      <w:r w:rsidRPr="002A163D">
        <w:rPr>
          <w:sz w:val="20"/>
          <w:szCs w:val="20"/>
        </w:rPr>
        <w:t xml:space="preserve"> and restoration of ovulation. However, it should be taken more into account the observation of </w:t>
      </w:r>
      <w:proofErr w:type="spellStart"/>
      <w:r w:rsidRPr="002A163D">
        <w:rPr>
          <w:sz w:val="20"/>
          <w:szCs w:val="20"/>
        </w:rPr>
        <w:t>hyperinsulinemia</w:t>
      </w:r>
      <w:proofErr w:type="spellEnd"/>
      <w:r w:rsidRPr="002A163D">
        <w:rPr>
          <w:sz w:val="20"/>
          <w:szCs w:val="20"/>
        </w:rPr>
        <w:t xml:space="preserve"> and insulin resistance, which are often implicated in the pathogenesis of the syndrome. Due to the fact that these alterations have major repercussions on health in the long period, the researchers should evaluate more appropriate strategies for control of the metabolic alterations of PCOS </w:t>
      </w:r>
      <w:r w:rsidRPr="002A163D">
        <w:rPr>
          <w:b/>
          <w:bCs/>
          <w:i/>
          <w:iCs/>
          <w:sz w:val="20"/>
          <w:szCs w:val="20"/>
        </w:rPr>
        <w:t>(Denison et al., 2016).</w:t>
      </w:r>
    </w:p>
    <w:p w:rsidR="00EE20D4" w:rsidRPr="002A163D" w:rsidRDefault="00EE20D4" w:rsidP="002A163D">
      <w:pPr>
        <w:bidi w:val="0"/>
        <w:snapToGrid w:val="0"/>
        <w:jc w:val="both"/>
        <w:rPr>
          <w:rFonts w:eastAsia="SimSun"/>
          <w:b/>
          <w:bCs/>
          <w:sz w:val="20"/>
          <w:szCs w:val="20"/>
          <w:lang w:eastAsia="zh-CN" w:bidi="ar-EG"/>
        </w:rPr>
      </w:pPr>
      <w:bookmarkStart w:id="1" w:name="_Toc464115553"/>
      <w:r w:rsidRPr="002A163D">
        <w:rPr>
          <w:rFonts w:eastAsia="SimSun"/>
          <w:b/>
          <w:bCs/>
          <w:sz w:val="20"/>
          <w:szCs w:val="20"/>
          <w:lang w:eastAsia="zh-CN" w:bidi="ar-EG"/>
        </w:rPr>
        <w:t>Aim of the Work</w:t>
      </w:r>
      <w:bookmarkEnd w:id="1"/>
    </w:p>
    <w:p w:rsidR="00EE20D4" w:rsidRPr="002A163D" w:rsidRDefault="00EE20D4" w:rsidP="002A163D">
      <w:pPr>
        <w:shd w:val="clear" w:color="auto" w:fill="FFFFFF"/>
        <w:bidi w:val="0"/>
        <w:snapToGrid w:val="0"/>
        <w:ind w:firstLine="425"/>
        <w:jc w:val="both"/>
        <w:outlineLvl w:val="2"/>
        <w:rPr>
          <w:sz w:val="20"/>
          <w:szCs w:val="20"/>
        </w:rPr>
      </w:pPr>
      <w:r w:rsidRPr="002A163D">
        <w:rPr>
          <w:color w:val="000000"/>
          <w:sz w:val="20"/>
          <w:szCs w:val="20"/>
        </w:rPr>
        <w:t xml:space="preserve">The aim of this work is to find out whether triggering ovulation with </w:t>
      </w:r>
      <w:proofErr w:type="spellStart"/>
      <w:r w:rsidRPr="002A163D">
        <w:rPr>
          <w:color w:val="000000"/>
          <w:sz w:val="20"/>
          <w:szCs w:val="20"/>
        </w:rPr>
        <w:t>gonadotropin</w:t>
      </w:r>
      <w:proofErr w:type="spellEnd"/>
      <w:r w:rsidRPr="002A163D">
        <w:rPr>
          <w:color w:val="000000"/>
          <w:sz w:val="20"/>
          <w:szCs w:val="20"/>
        </w:rPr>
        <w:t xml:space="preserve">-releasing hormone agonist rather than with human chorionic </w:t>
      </w:r>
      <w:proofErr w:type="spellStart"/>
      <w:r w:rsidRPr="002A163D">
        <w:rPr>
          <w:color w:val="000000"/>
          <w:sz w:val="20"/>
          <w:szCs w:val="20"/>
        </w:rPr>
        <w:t>gonadotropin</w:t>
      </w:r>
      <w:proofErr w:type="spellEnd"/>
      <w:r w:rsidRPr="002A163D">
        <w:rPr>
          <w:color w:val="000000"/>
          <w:sz w:val="20"/>
          <w:szCs w:val="20"/>
        </w:rPr>
        <w:t xml:space="preserve"> in patients with polycystic ovaries would provide better result.</w:t>
      </w:r>
      <w:r w:rsidRPr="002A163D">
        <w:rPr>
          <w:sz w:val="20"/>
          <w:szCs w:val="20"/>
        </w:rPr>
        <w:t xml:space="preserve"> As regards:</w:t>
      </w:r>
    </w:p>
    <w:p w:rsidR="00EE20D4" w:rsidRPr="002A163D" w:rsidRDefault="00EE20D4" w:rsidP="002A163D">
      <w:pPr>
        <w:numPr>
          <w:ilvl w:val="0"/>
          <w:numId w:val="1"/>
        </w:numPr>
        <w:shd w:val="clear" w:color="auto" w:fill="FFFFFF"/>
        <w:bidi w:val="0"/>
        <w:snapToGrid w:val="0"/>
        <w:ind w:left="0" w:firstLine="425"/>
        <w:jc w:val="both"/>
        <w:outlineLvl w:val="2"/>
        <w:rPr>
          <w:sz w:val="20"/>
          <w:szCs w:val="20"/>
        </w:rPr>
      </w:pPr>
      <w:r w:rsidRPr="002A163D">
        <w:rPr>
          <w:sz w:val="20"/>
          <w:szCs w:val="20"/>
        </w:rPr>
        <w:t>Ovulation rate.</w:t>
      </w:r>
    </w:p>
    <w:p w:rsidR="00EE20D4" w:rsidRPr="002A163D" w:rsidRDefault="00EE20D4" w:rsidP="002A163D">
      <w:pPr>
        <w:numPr>
          <w:ilvl w:val="0"/>
          <w:numId w:val="1"/>
        </w:numPr>
        <w:shd w:val="clear" w:color="auto" w:fill="FFFFFF"/>
        <w:bidi w:val="0"/>
        <w:snapToGrid w:val="0"/>
        <w:ind w:left="0" w:firstLine="425"/>
        <w:jc w:val="both"/>
        <w:outlineLvl w:val="2"/>
        <w:rPr>
          <w:sz w:val="20"/>
          <w:szCs w:val="20"/>
        </w:rPr>
      </w:pPr>
      <w:r w:rsidRPr="002A163D">
        <w:rPr>
          <w:sz w:val="20"/>
          <w:szCs w:val="20"/>
        </w:rPr>
        <w:lastRenderedPageBreak/>
        <w:t xml:space="preserve">The occurrence of </w:t>
      </w:r>
      <w:proofErr w:type="spellStart"/>
      <w:r w:rsidRPr="002A163D">
        <w:rPr>
          <w:sz w:val="20"/>
          <w:szCs w:val="20"/>
        </w:rPr>
        <w:t>luteal</w:t>
      </w:r>
      <w:proofErr w:type="spellEnd"/>
      <w:r w:rsidRPr="002A163D">
        <w:rPr>
          <w:sz w:val="20"/>
          <w:szCs w:val="20"/>
        </w:rPr>
        <w:t xml:space="preserve"> phase defect.</w:t>
      </w:r>
    </w:p>
    <w:p w:rsidR="006E2C1D" w:rsidRPr="002A163D" w:rsidRDefault="00EE20D4" w:rsidP="002A163D">
      <w:pPr>
        <w:numPr>
          <w:ilvl w:val="0"/>
          <w:numId w:val="1"/>
        </w:numPr>
        <w:shd w:val="clear" w:color="auto" w:fill="FFFFFF"/>
        <w:bidi w:val="0"/>
        <w:snapToGrid w:val="0"/>
        <w:ind w:left="0" w:firstLine="425"/>
        <w:jc w:val="both"/>
        <w:outlineLvl w:val="2"/>
        <w:rPr>
          <w:sz w:val="20"/>
          <w:szCs w:val="20"/>
        </w:rPr>
      </w:pPr>
      <w:r w:rsidRPr="002A163D">
        <w:rPr>
          <w:sz w:val="20"/>
          <w:szCs w:val="20"/>
        </w:rPr>
        <w:t>The pregnancy rate.</w:t>
      </w:r>
    </w:p>
    <w:p w:rsidR="007207F8" w:rsidRPr="002A163D" w:rsidRDefault="007207F8" w:rsidP="002A163D">
      <w:pPr>
        <w:bidi w:val="0"/>
        <w:snapToGrid w:val="0"/>
        <w:jc w:val="both"/>
        <w:rPr>
          <w:rFonts w:eastAsia="SimSun"/>
          <w:b/>
          <w:bCs/>
          <w:sz w:val="20"/>
          <w:szCs w:val="20"/>
          <w:lang w:eastAsia="zh-CN" w:bidi="ar-EG"/>
        </w:rPr>
      </w:pPr>
      <w:bookmarkStart w:id="2" w:name="_Toc464115557"/>
    </w:p>
    <w:p w:rsidR="00B330B4" w:rsidRPr="002A163D" w:rsidRDefault="007207F8" w:rsidP="002A163D">
      <w:pPr>
        <w:bidi w:val="0"/>
        <w:snapToGrid w:val="0"/>
        <w:jc w:val="both"/>
        <w:rPr>
          <w:rFonts w:eastAsia="SimSun"/>
          <w:b/>
          <w:bCs/>
          <w:sz w:val="20"/>
          <w:szCs w:val="20"/>
          <w:lang w:eastAsia="zh-CN" w:bidi="ar-EG"/>
        </w:rPr>
      </w:pPr>
      <w:r w:rsidRPr="002A163D">
        <w:rPr>
          <w:rFonts w:eastAsia="SimSun"/>
          <w:b/>
          <w:bCs/>
          <w:sz w:val="20"/>
          <w:szCs w:val="20"/>
          <w:lang w:eastAsia="zh-CN" w:bidi="ar-EG"/>
        </w:rPr>
        <w:t xml:space="preserve">2. </w:t>
      </w:r>
      <w:r w:rsidR="00B330B4" w:rsidRPr="002A163D">
        <w:rPr>
          <w:rFonts w:eastAsia="SimSun"/>
          <w:b/>
          <w:bCs/>
          <w:sz w:val="20"/>
          <w:szCs w:val="20"/>
          <w:lang w:eastAsia="zh-CN" w:bidi="ar-EG"/>
        </w:rPr>
        <w:t>Patients and Methods</w:t>
      </w:r>
      <w:bookmarkEnd w:id="2"/>
    </w:p>
    <w:p w:rsidR="00B330B4" w:rsidRPr="002A163D" w:rsidRDefault="00C15EBB" w:rsidP="002A163D">
      <w:pPr>
        <w:bidi w:val="0"/>
        <w:snapToGrid w:val="0"/>
        <w:ind w:firstLine="425"/>
        <w:jc w:val="both"/>
        <w:rPr>
          <w:sz w:val="20"/>
          <w:szCs w:val="20"/>
        </w:rPr>
      </w:pPr>
      <w:r w:rsidRPr="002A163D">
        <w:rPr>
          <w:sz w:val="20"/>
          <w:szCs w:val="20"/>
        </w:rPr>
        <w:t>T</w:t>
      </w:r>
      <w:r w:rsidR="00B330B4" w:rsidRPr="002A163D">
        <w:rPr>
          <w:sz w:val="20"/>
          <w:szCs w:val="20"/>
        </w:rPr>
        <w:t>his was a prospective study done at infertility clinic in Gynecology</w:t>
      </w:r>
      <w:r w:rsidR="002A19E4">
        <w:rPr>
          <w:sz w:val="20"/>
          <w:szCs w:val="20"/>
        </w:rPr>
        <w:t xml:space="preserve"> </w:t>
      </w:r>
      <w:r w:rsidR="008D3F0E" w:rsidRPr="002A163D">
        <w:rPr>
          <w:sz w:val="20"/>
          <w:szCs w:val="20"/>
        </w:rPr>
        <w:t>&amp;</w:t>
      </w:r>
      <w:r w:rsidR="002A19E4">
        <w:rPr>
          <w:sz w:val="20"/>
          <w:szCs w:val="20"/>
        </w:rPr>
        <w:t xml:space="preserve"> </w:t>
      </w:r>
      <w:r w:rsidR="00B330B4" w:rsidRPr="002A163D">
        <w:rPr>
          <w:sz w:val="20"/>
          <w:szCs w:val="20"/>
        </w:rPr>
        <w:t xml:space="preserve">Obstetrics department of IMBABA </w:t>
      </w:r>
      <w:r w:rsidR="00C42A2D" w:rsidRPr="002A163D">
        <w:rPr>
          <w:sz w:val="20"/>
          <w:szCs w:val="20"/>
        </w:rPr>
        <w:t>general</w:t>
      </w:r>
      <w:r w:rsidR="00B330B4" w:rsidRPr="002A163D">
        <w:rPr>
          <w:sz w:val="20"/>
          <w:szCs w:val="20"/>
        </w:rPr>
        <w:t xml:space="preserve"> hospital, Ministry of Health in </w:t>
      </w:r>
      <w:proofErr w:type="spellStart"/>
      <w:r w:rsidR="00B330B4" w:rsidRPr="002A163D">
        <w:rPr>
          <w:sz w:val="20"/>
          <w:szCs w:val="20"/>
        </w:rPr>
        <w:t>Gezaand</w:t>
      </w:r>
      <w:proofErr w:type="spellEnd"/>
      <w:r w:rsidR="00B330B4" w:rsidRPr="002A163D">
        <w:rPr>
          <w:sz w:val="20"/>
          <w:szCs w:val="20"/>
        </w:rPr>
        <w:t xml:space="preserve"> EL-SAYED GALAL university hospital during the period from November 2015 to August 2016. The study included 80 infertile women who were diagnosed as having PCOS (30 patients from </w:t>
      </w:r>
      <w:proofErr w:type="spellStart"/>
      <w:r w:rsidR="00B330B4" w:rsidRPr="002A163D">
        <w:rPr>
          <w:sz w:val="20"/>
          <w:szCs w:val="20"/>
        </w:rPr>
        <w:t>Imbaba</w:t>
      </w:r>
      <w:proofErr w:type="spellEnd"/>
      <w:r w:rsidR="00B330B4" w:rsidRPr="002A163D">
        <w:rPr>
          <w:sz w:val="20"/>
          <w:szCs w:val="20"/>
        </w:rPr>
        <w:t xml:space="preserve"> general hospital</w:t>
      </w:r>
      <w:r w:rsidR="002A19E4">
        <w:rPr>
          <w:sz w:val="20"/>
          <w:szCs w:val="20"/>
        </w:rPr>
        <w:t xml:space="preserve"> </w:t>
      </w:r>
      <w:r w:rsidR="008D3F0E" w:rsidRPr="002A163D">
        <w:rPr>
          <w:sz w:val="20"/>
          <w:szCs w:val="20"/>
        </w:rPr>
        <w:t xml:space="preserve">&amp; </w:t>
      </w:r>
      <w:r w:rsidR="00B330B4" w:rsidRPr="002A163D">
        <w:rPr>
          <w:sz w:val="20"/>
          <w:szCs w:val="20"/>
        </w:rPr>
        <w:t>50 patients from and EL-SAYED GALAL university hospital). Detailed history was taken and complete physical and local examinations were taken on all patients.</w:t>
      </w:r>
    </w:p>
    <w:p w:rsidR="00B330B4" w:rsidRPr="002A163D" w:rsidRDefault="00B330B4" w:rsidP="002A163D">
      <w:pPr>
        <w:autoSpaceDE w:val="0"/>
        <w:autoSpaceDN w:val="0"/>
        <w:bidi w:val="0"/>
        <w:adjustRightInd w:val="0"/>
        <w:snapToGrid w:val="0"/>
        <w:jc w:val="both"/>
        <w:rPr>
          <w:b/>
          <w:bCs/>
          <w:sz w:val="20"/>
          <w:szCs w:val="20"/>
        </w:rPr>
      </w:pPr>
      <w:r w:rsidRPr="002A163D">
        <w:rPr>
          <w:b/>
          <w:bCs/>
          <w:sz w:val="20"/>
          <w:szCs w:val="20"/>
        </w:rPr>
        <w:t>Criteria of PCOS in selected patients:</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According to </w:t>
      </w:r>
      <w:r w:rsidRPr="002A163D">
        <w:rPr>
          <w:b/>
          <w:bCs/>
          <w:i/>
          <w:iCs/>
          <w:sz w:val="20"/>
          <w:szCs w:val="20"/>
        </w:rPr>
        <w:t>the 2003 ESHRE/ASRM (Rotterdam)</w:t>
      </w:r>
      <w:r w:rsidRPr="002A163D">
        <w:rPr>
          <w:sz w:val="20"/>
          <w:szCs w:val="20"/>
        </w:rPr>
        <w:t xml:space="preserve"> criteria, PCOS could be diagnosed by having two of the following three features:</w:t>
      </w:r>
    </w:p>
    <w:p w:rsidR="00B330B4" w:rsidRPr="002A163D" w:rsidRDefault="00B330B4" w:rsidP="002A163D">
      <w:pPr>
        <w:numPr>
          <w:ilvl w:val="0"/>
          <w:numId w:val="9"/>
        </w:numPr>
        <w:autoSpaceDE w:val="0"/>
        <w:autoSpaceDN w:val="0"/>
        <w:bidi w:val="0"/>
        <w:adjustRightInd w:val="0"/>
        <w:snapToGrid w:val="0"/>
        <w:ind w:left="0" w:firstLine="425"/>
        <w:jc w:val="both"/>
        <w:rPr>
          <w:sz w:val="20"/>
          <w:szCs w:val="20"/>
        </w:rPr>
      </w:pPr>
      <w:r w:rsidRPr="002A163D">
        <w:rPr>
          <w:sz w:val="20"/>
          <w:szCs w:val="20"/>
        </w:rPr>
        <w:t>Menstrual irregularity (</w:t>
      </w:r>
      <w:proofErr w:type="spellStart"/>
      <w:r w:rsidRPr="002A163D">
        <w:rPr>
          <w:sz w:val="20"/>
          <w:szCs w:val="20"/>
        </w:rPr>
        <w:t>Oligo</w:t>
      </w:r>
      <w:proofErr w:type="spellEnd"/>
      <w:r w:rsidRPr="002A163D">
        <w:rPr>
          <w:sz w:val="20"/>
          <w:szCs w:val="20"/>
        </w:rPr>
        <w:t xml:space="preserve">- or </w:t>
      </w:r>
      <w:proofErr w:type="spellStart"/>
      <w:r w:rsidRPr="002A163D">
        <w:rPr>
          <w:sz w:val="20"/>
          <w:szCs w:val="20"/>
        </w:rPr>
        <w:t>anovulation</w:t>
      </w:r>
      <w:proofErr w:type="spellEnd"/>
      <w:r w:rsidRPr="002A163D">
        <w:rPr>
          <w:sz w:val="20"/>
          <w:szCs w:val="20"/>
        </w:rPr>
        <w:t>).</w:t>
      </w:r>
    </w:p>
    <w:p w:rsidR="00B330B4" w:rsidRPr="002A163D" w:rsidRDefault="00B330B4" w:rsidP="002A163D">
      <w:pPr>
        <w:numPr>
          <w:ilvl w:val="0"/>
          <w:numId w:val="9"/>
        </w:numPr>
        <w:autoSpaceDE w:val="0"/>
        <w:autoSpaceDN w:val="0"/>
        <w:bidi w:val="0"/>
        <w:adjustRightInd w:val="0"/>
        <w:snapToGrid w:val="0"/>
        <w:ind w:left="0" w:firstLine="425"/>
        <w:jc w:val="both"/>
        <w:rPr>
          <w:sz w:val="20"/>
          <w:szCs w:val="20"/>
        </w:rPr>
      </w:pPr>
      <w:r w:rsidRPr="002A163D">
        <w:rPr>
          <w:sz w:val="20"/>
          <w:szCs w:val="20"/>
        </w:rPr>
        <w:t xml:space="preserve">Clinical and/or biochemical signs of </w:t>
      </w:r>
      <w:proofErr w:type="spellStart"/>
      <w:r w:rsidRPr="002A163D">
        <w:rPr>
          <w:sz w:val="20"/>
          <w:szCs w:val="20"/>
        </w:rPr>
        <w:t>hyperandrogenism</w:t>
      </w:r>
      <w:proofErr w:type="spellEnd"/>
      <w:r w:rsidRPr="002A163D">
        <w:rPr>
          <w:sz w:val="20"/>
          <w:szCs w:val="20"/>
        </w:rPr>
        <w:t>;</w:t>
      </w:r>
    </w:p>
    <w:p w:rsidR="00B330B4" w:rsidRPr="002A163D" w:rsidRDefault="00B330B4" w:rsidP="002A163D">
      <w:pPr>
        <w:numPr>
          <w:ilvl w:val="0"/>
          <w:numId w:val="9"/>
        </w:numPr>
        <w:autoSpaceDE w:val="0"/>
        <w:autoSpaceDN w:val="0"/>
        <w:bidi w:val="0"/>
        <w:adjustRightInd w:val="0"/>
        <w:snapToGrid w:val="0"/>
        <w:ind w:left="0" w:firstLine="425"/>
        <w:jc w:val="both"/>
        <w:rPr>
          <w:sz w:val="20"/>
          <w:szCs w:val="20"/>
        </w:rPr>
      </w:pPr>
      <w:r w:rsidRPr="002A163D">
        <w:rPr>
          <w:sz w:val="20"/>
          <w:szCs w:val="20"/>
        </w:rPr>
        <w:t>Ultrasound appearance of polycystic ovaries.</w:t>
      </w:r>
    </w:p>
    <w:p w:rsidR="00B330B4" w:rsidRPr="002A163D" w:rsidRDefault="00B330B4" w:rsidP="002A163D">
      <w:pPr>
        <w:autoSpaceDE w:val="0"/>
        <w:autoSpaceDN w:val="0"/>
        <w:bidi w:val="0"/>
        <w:adjustRightInd w:val="0"/>
        <w:snapToGrid w:val="0"/>
        <w:jc w:val="both"/>
        <w:rPr>
          <w:b/>
          <w:bCs/>
          <w:sz w:val="20"/>
          <w:szCs w:val="20"/>
        </w:rPr>
      </w:pPr>
      <w:r w:rsidRPr="002A163D">
        <w:rPr>
          <w:b/>
          <w:bCs/>
          <w:sz w:val="20"/>
          <w:szCs w:val="20"/>
        </w:rPr>
        <w:t>NB:</w:t>
      </w:r>
    </w:p>
    <w:p w:rsidR="00B330B4" w:rsidRPr="002A163D" w:rsidRDefault="00B330B4" w:rsidP="002A163D">
      <w:pPr>
        <w:numPr>
          <w:ilvl w:val="0"/>
          <w:numId w:val="10"/>
        </w:numPr>
        <w:autoSpaceDE w:val="0"/>
        <w:autoSpaceDN w:val="0"/>
        <w:bidi w:val="0"/>
        <w:adjustRightInd w:val="0"/>
        <w:snapToGrid w:val="0"/>
        <w:ind w:left="0" w:firstLine="425"/>
        <w:jc w:val="both"/>
        <w:rPr>
          <w:b/>
          <w:bCs/>
          <w:i/>
          <w:iCs/>
          <w:sz w:val="20"/>
          <w:szCs w:val="20"/>
        </w:rPr>
      </w:pPr>
      <w:r w:rsidRPr="002A163D">
        <w:rPr>
          <w:sz w:val="20"/>
          <w:szCs w:val="20"/>
        </w:rPr>
        <w:t>A typical menstrual cycle lasts for about 28 days, although its length varies from 21-35 days (28±7) The first day of the menstrual bleeding is designated day 1 of the cycle</w:t>
      </w:r>
      <w:r w:rsidRPr="002A163D">
        <w:rPr>
          <w:b/>
          <w:bCs/>
          <w:i/>
          <w:iCs/>
          <w:sz w:val="20"/>
          <w:szCs w:val="20"/>
        </w:rPr>
        <w:t xml:space="preserve"> (</w:t>
      </w:r>
      <w:proofErr w:type="spellStart"/>
      <w:r w:rsidRPr="002A163D">
        <w:rPr>
          <w:b/>
          <w:bCs/>
          <w:i/>
          <w:iCs/>
          <w:sz w:val="20"/>
          <w:szCs w:val="20"/>
        </w:rPr>
        <w:t>Sivridis</w:t>
      </w:r>
      <w:proofErr w:type="spellEnd"/>
      <w:r w:rsidR="008D3F0E" w:rsidRPr="002A163D">
        <w:rPr>
          <w:b/>
          <w:bCs/>
          <w:i/>
          <w:iCs/>
          <w:sz w:val="20"/>
          <w:szCs w:val="20"/>
        </w:rPr>
        <w:t xml:space="preserve"> &amp; </w:t>
      </w:r>
      <w:proofErr w:type="spellStart"/>
      <w:r w:rsidRPr="002A163D">
        <w:rPr>
          <w:b/>
          <w:bCs/>
          <w:i/>
          <w:iCs/>
          <w:sz w:val="20"/>
          <w:szCs w:val="20"/>
        </w:rPr>
        <w:t>Giatromanolaki</w:t>
      </w:r>
      <w:proofErr w:type="spellEnd"/>
      <w:r w:rsidRPr="002A163D">
        <w:rPr>
          <w:b/>
          <w:bCs/>
          <w:i/>
          <w:iCs/>
          <w:sz w:val="20"/>
          <w:szCs w:val="20"/>
        </w:rPr>
        <w:t>, 2004).</w:t>
      </w:r>
    </w:p>
    <w:p w:rsidR="00B330B4" w:rsidRPr="002A163D" w:rsidRDefault="00B330B4" w:rsidP="002A163D">
      <w:pPr>
        <w:numPr>
          <w:ilvl w:val="0"/>
          <w:numId w:val="10"/>
        </w:numPr>
        <w:autoSpaceDE w:val="0"/>
        <w:autoSpaceDN w:val="0"/>
        <w:bidi w:val="0"/>
        <w:adjustRightInd w:val="0"/>
        <w:snapToGrid w:val="0"/>
        <w:ind w:left="0" w:firstLine="425"/>
        <w:jc w:val="both"/>
        <w:rPr>
          <w:rFonts w:eastAsia="Times New Roman"/>
          <w:sz w:val="20"/>
          <w:szCs w:val="20"/>
        </w:rPr>
      </w:pPr>
      <w:proofErr w:type="spellStart"/>
      <w:r w:rsidRPr="002A163D">
        <w:rPr>
          <w:sz w:val="20"/>
          <w:szCs w:val="20"/>
        </w:rPr>
        <w:t>Oligomenorrhea</w:t>
      </w:r>
      <w:proofErr w:type="spellEnd"/>
      <w:r w:rsidRPr="002A163D">
        <w:rPr>
          <w:sz w:val="20"/>
          <w:szCs w:val="20"/>
        </w:rPr>
        <w:t xml:space="preserve"> was defined as cycle duration between 35 days and six months </w:t>
      </w:r>
      <w:r w:rsidRPr="002A163D">
        <w:rPr>
          <w:b/>
          <w:bCs/>
          <w:i/>
          <w:iCs/>
          <w:sz w:val="20"/>
          <w:szCs w:val="20"/>
        </w:rPr>
        <w:t>(</w:t>
      </w:r>
      <w:proofErr w:type="spellStart"/>
      <w:r w:rsidRPr="002A163D">
        <w:rPr>
          <w:b/>
          <w:bCs/>
          <w:i/>
          <w:iCs/>
          <w:sz w:val="20"/>
          <w:szCs w:val="20"/>
        </w:rPr>
        <w:t>Palomba</w:t>
      </w:r>
      <w:proofErr w:type="spellEnd"/>
      <w:r w:rsidRPr="002A163D">
        <w:rPr>
          <w:b/>
          <w:bCs/>
          <w:i/>
          <w:iCs/>
          <w:sz w:val="20"/>
          <w:szCs w:val="20"/>
        </w:rPr>
        <w:t xml:space="preserve"> et al., 2006).</w:t>
      </w:r>
    </w:p>
    <w:p w:rsidR="00B330B4" w:rsidRPr="002A163D" w:rsidRDefault="00B330B4" w:rsidP="002A163D">
      <w:pPr>
        <w:numPr>
          <w:ilvl w:val="0"/>
          <w:numId w:val="10"/>
        </w:numPr>
        <w:bidi w:val="0"/>
        <w:snapToGrid w:val="0"/>
        <w:ind w:left="0" w:firstLine="425"/>
        <w:jc w:val="both"/>
        <w:rPr>
          <w:i/>
          <w:iCs/>
          <w:sz w:val="20"/>
          <w:szCs w:val="20"/>
        </w:rPr>
      </w:pPr>
      <w:r w:rsidRPr="002A163D">
        <w:rPr>
          <w:sz w:val="20"/>
          <w:szCs w:val="20"/>
        </w:rPr>
        <w:t xml:space="preserve">Polycystic ovary morphology on ultrasound scan, defined as the presence of 12 or more follicles in each ovary (with one ovary being sufficient for diagnosis) measuring 2-9mm in diameter, and/or increased ovarian volume &gt;10ml. This definition, however, not to be applied to women on the oral contraceptive pill as it changes the ovarian morphology </w:t>
      </w:r>
      <w:r w:rsidRPr="002A163D">
        <w:rPr>
          <w:b/>
          <w:bCs/>
          <w:i/>
          <w:iCs/>
          <w:sz w:val="20"/>
          <w:szCs w:val="20"/>
        </w:rPr>
        <w:t>(</w:t>
      </w:r>
      <w:r w:rsidR="007D0D2C" w:rsidRPr="002A163D">
        <w:rPr>
          <w:b/>
          <w:bCs/>
          <w:i/>
          <w:iCs/>
          <w:color w:val="000000"/>
          <w:sz w:val="20"/>
          <w:szCs w:val="20"/>
        </w:rPr>
        <w:t>Rotterdam ESHRE/ASRM, 2014</w:t>
      </w:r>
      <w:r w:rsidRPr="002A163D">
        <w:rPr>
          <w:b/>
          <w:bCs/>
          <w:i/>
          <w:iCs/>
          <w:sz w:val="20"/>
          <w:szCs w:val="20"/>
        </w:rPr>
        <w:t>)</w:t>
      </w:r>
      <w:r w:rsidRPr="002A163D">
        <w:rPr>
          <w:i/>
          <w:iCs/>
          <w:sz w:val="20"/>
          <w:szCs w:val="20"/>
        </w:rPr>
        <w:t>.</w:t>
      </w:r>
    </w:p>
    <w:p w:rsidR="00B330B4" w:rsidRPr="002A163D" w:rsidRDefault="00B330B4" w:rsidP="002A163D">
      <w:pPr>
        <w:autoSpaceDE w:val="0"/>
        <w:autoSpaceDN w:val="0"/>
        <w:bidi w:val="0"/>
        <w:adjustRightInd w:val="0"/>
        <w:snapToGrid w:val="0"/>
        <w:jc w:val="both"/>
        <w:rPr>
          <w:b/>
          <w:bCs/>
          <w:i/>
          <w:iCs/>
          <w:sz w:val="20"/>
          <w:szCs w:val="20"/>
        </w:rPr>
      </w:pPr>
      <w:r w:rsidRPr="002A163D">
        <w:rPr>
          <w:b/>
          <w:bCs/>
          <w:i/>
          <w:iCs/>
          <w:sz w:val="20"/>
          <w:szCs w:val="20"/>
        </w:rPr>
        <w:t>Inclusion criteria of patients in the study:</w:t>
      </w:r>
    </w:p>
    <w:p w:rsidR="00B330B4" w:rsidRPr="002A163D" w:rsidRDefault="00B330B4" w:rsidP="002A163D">
      <w:pPr>
        <w:numPr>
          <w:ilvl w:val="1"/>
          <w:numId w:val="9"/>
        </w:numPr>
        <w:bidi w:val="0"/>
        <w:snapToGrid w:val="0"/>
        <w:ind w:left="0" w:firstLine="425"/>
        <w:jc w:val="both"/>
        <w:rPr>
          <w:sz w:val="20"/>
          <w:szCs w:val="20"/>
        </w:rPr>
      </w:pPr>
      <w:r w:rsidRPr="002A163D">
        <w:rPr>
          <w:sz w:val="20"/>
          <w:szCs w:val="20"/>
        </w:rPr>
        <w:t>PCO diagnosed by clinical, laboratory and radiological criteria.</w:t>
      </w:r>
    </w:p>
    <w:p w:rsidR="00B330B4" w:rsidRPr="002A163D" w:rsidRDefault="00B330B4" w:rsidP="002A163D">
      <w:pPr>
        <w:numPr>
          <w:ilvl w:val="1"/>
          <w:numId w:val="9"/>
        </w:numPr>
        <w:bidi w:val="0"/>
        <w:snapToGrid w:val="0"/>
        <w:ind w:left="0" w:firstLine="425"/>
        <w:jc w:val="both"/>
        <w:rPr>
          <w:sz w:val="20"/>
          <w:szCs w:val="20"/>
        </w:rPr>
      </w:pPr>
      <w:r w:rsidRPr="002A163D">
        <w:rPr>
          <w:sz w:val="20"/>
          <w:szCs w:val="20"/>
        </w:rPr>
        <w:t>Absent or infrequent ovulation is the only cause of infertility with all other causes of infertility ruled out.</w:t>
      </w:r>
    </w:p>
    <w:p w:rsidR="00B330B4" w:rsidRPr="002A163D" w:rsidRDefault="00B330B4" w:rsidP="002A163D">
      <w:pPr>
        <w:numPr>
          <w:ilvl w:val="1"/>
          <w:numId w:val="9"/>
        </w:numPr>
        <w:bidi w:val="0"/>
        <w:snapToGrid w:val="0"/>
        <w:ind w:left="0" w:firstLine="425"/>
        <w:jc w:val="both"/>
        <w:rPr>
          <w:color w:val="1F497D"/>
          <w:sz w:val="20"/>
          <w:szCs w:val="20"/>
        </w:rPr>
      </w:pPr>
      <w:r w:rsidRPr="002A163D">
        <w:rPr>
          <w:sz w:val="20"/>
          <w:szCs w:val="20"/>
        </w:rPr>
        <w:t xml:space="preserve">Absence of medical or endocrinal disorders that can affect fertility e.g. </w:t>
      </w:r>
      <w:proofErr w:type="spellStart"/>
      <w:r w:rsidRPr="002A163D">
        <w:rPr>
          <w:sz w:val="20"/>
          <w:szCs w:val="20"/>
        </w:rPr>
        <w:t>hyperprolactinemia</w:t>
      </w:r>
      <w:proofErr w:type="spellEnd"/>
      <w:r w:rsidR="002A19E4" w:rsidRPr="002A163D">
        <w:rPr>
          <w:sz w:val="20"/>
          <w:szCs w:val="20"/>
        </w:rPr>
        <w:t>,</w:t>
      </w:r>
      <w:r w:rsidR="002A19E4">
        <w:rPr>
          <w:sz w:val="20"/>
          <w:szCs w:val="20"/>
        </w:rPr>
        <w:t xml:space="preserve"> </w:t>
      </w:r>
      <w:r w:rsidR="002A19E4" w:rsidRPr="002A163D">
        <w:rPr>
          <w:sz w:val="20"/>
          <w:szCs w:val="20"/>
        </w:rPr>
        <w:t>t</w:t>
      </w:r>
      <w:r w:rsidRPr="002A163D">
        <w:rPr>
          <w:sz w:val="20"/>
          <w:szCs w:val="20"/>
        </w:rPr>
        <w:t>hyroid diseases</w:t>
      </w:r>
      <w:r w:rsidRPr="002A163D">
        <w:rPr>
          <w:color w:val="1F497D"/>
          <w:sz w:val="20"/>
          <w:szCs w:val="20"/>
        </w:rPr>
        <w:t>.</w:t>
      </w:r>
    </w:p>
    <w:p w:rsidR="00B330B4" w:rsidRPr="002A163D" w:rsidRDefault="00B330B4" w:rsidP="002A163D">
      <w:pPr>
        <w:autoSpaceDE w:val="0"/>
        <w:autoSpaceDN w:val="0"/>
        <w:bidi w:val="0"/>
        <w:adjustRightInd w:val="0"/>
        <w:snapToGrid w:val="0"/>
        <w:jc w:val="both"/>
        <w:rPr>
          <w:sz w:val="20"/>
          <w:szCs w:val="20"/>
        </w:rPr>
      </w:pPr>
      <w:r w:rsidRPr="002A163D">
        <w:rPr>
          <w:b/>
          <w:bCs/>
          <w:i/>
          <w:iCs/>
          <w:sz w:val="20"/>
          <w:szCs w:val="20"/>
        </w:rPr>
        <w:t>Exclusion criteria of patients in the study:</w:t>
      </w:r>
    </w:p>
    <w:p w:rsidR="00B330B4" w:rsidRPr="002A163D" w:rsidRDefault="00B330B4" w:rsidP="002A163D">
      <w:pPr>
        <w:pStyle w:val="1"/>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proofErr w:type="spellStart"/>
      <w:r w:rsidRPr="002A163D">
        <w:rPr>
          <w:rFonts w:ascii="Times New Roman" w:hAnsi="Times New Roman" w:cs="Times New Roman"/>
          <w:sz w:val="20"/>
          <w:szCs w:val="20"/>
        </w:rPr>
        <w:t>Clomiphene</w:t>
      </w:r>
      <w:proofErr w:type="spellEnd"/>
      <w:r w:rsidRPr="002A163D">
        <w:rPr>
          <w:rFonts w:ascii="Times New Roman" w:hAnsi="Times New Roman" w:cs="Times New Roman"/>
          <w:sz w:val="20"/>
          <w:szCs w:val="20"/>
        </w:rPr>
        <w:t xml:space="preserve"> citrate resistant patients.</w:t>
      </w:r>
    </w:p>
    <w:p w:rsidR="00B330B4" w:rsidRPr="002A163D" w:rsidRDefault="00B330B4" w:rsidP="002A163D">
      <w:pPr>
        <w:pStyle w:val="msolistparagraph0"/>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2A163D">
        <w:rPr>
          <w:rFonts w:ascii="Times New Roman" w:hAnsi="Times New Roman" w:cs="Times New Roman"/>
          <w:sz w:val="20"/>
          <w:szCs w:val="20"/>
        </w:rPr>
        <w:t xml:space="preserve">Presence of other factors of </w:t>
      </w:r>
      <w:proofErr w:type="spellStart"/>
      <w:r w:rsidRPr="002A163D">
        <w:rPr>
          <w:rFonts w:ascii="Times New Roman" w:hAnsi="Times New Roman" w:cs="Times New Roman"/>
          <w:sz w:val="20"/>
          <w:szCs w:val="20"/>
        </w:rPr>
        <w:t>infertilitye.g</w:t>
      </w:r>
      <w:proofErr w:type="spellEnd"/>
      <w:r w:rsidRPr="002A163D">
        <w:rPr>
          <w:rFonts w:ascii="Times New Roman" w:hAnsi="Times New Roman" w:cs="Times New Roman"/>
          <w:sz w:val="20"/>
          <w:szCs w:val="20"/>
        </w:rPr>
        <w:t xml:space="preserve">. male, tubal, </w:t>
      </w:r>
      <w:r w:rsidRPr="002A163D">
        <w:rPr>
          <w:rFonts w:ascii="Times New Roman" w:hAnsi="Times New Roman" w:cs="Times New Roman"/>
          <w:sz w:val="20"/>
          <w:szCs w:val="20"/>
          <w:lang w:bidi="ar-EG"/>
        </w:rPr>
        <w:t>uterine</w:t>
      </w:r>
      <w:r w:rsidRPr="002A163D">
        <w:rPr>
          <w:rFonts w:ascii="Times New Roman" w:hAnsi="Times New Roman" w:cs="Times New Roman"/>
          <w:sz w:val="20"/>
          <w:szCs w:val="20"/>
        </w:rPr>
        <w:t xml:space="preserve"> and cervical factors.</w:t>
      </w:r>
    </w:p>
    <w:p w:rsidR="00B330B4" w:rsidRPr="002A163D" w:rsidRDefault="00B330B4" w:rsidP="002A163D">
      <w:pPr>
        <w:pStyle w:val="msolistparagraph0"/>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2A163D">
        <w:rPr>
          <w:rFonts w:ascii="Times New Roman" w:hAnsi="Times New Roman" w:cs="Times New Roman"/>
          <w:sz w:val="20"/>
          <w:szCs w:val="20"/>
        </w:rPr>
        <w:t xml:space="preserve">Past history of </w:t>
      </w:r>
      <w:proofErr w:type="spellStart"/>
      <w:r w:rsidRPr="002A163D">
        <w:rPr>
          <w:rFonts w:ascii="Times New Roman" w:hAnsi="Times New Roman" w:cs="Times New Roman"/>
          <w:sz w:val="20"/>
          <w:szCs w:val="20"/>
        </w:rPr>
        <w:t>abdomino</w:t>
      </w:r>
      <w:proofErr w:type="spellEnd"/>
      <w:r w:rsidRPr="002A163D">
        <w:rPr>
          <w:rFonts w:ascii="Times New Roman" w:hAnsi="Times New Roman" w:cs="Times New Roman"/>
          <w:sz w:val="20"/>
          <w:szCs w:val="20"/>
        </w:rPr>
        <w:t xml:space="preserve">-pelvic </w:t>
      </w:r>
      <w:proofErr w:type="spellStart"/>
      <w:r w:rsidRPr="002A163D">
        <w:rPr>
          <w:rFonts w:ascii="Times New Roman" w:hAnsi="Times New Roman" w:cs="Times New Roman"/>
          <w:sz w:val="20"/>
          <w:szCs w:val="20"/>
        </w:rPr>
        <w:t>surgerye.g</w:t>
      </w:r>
      <w:proofErr w:type="spellEnd"/>
      <w:r w:rsidRPr="002A163D">
        <w:rPr>
          <w:rFonts w:ascii="Times New Roman" w:hAnsi="Times New Roman" w:cs="Times New Roman"/>
          <w:sz w:val="20"/>
          <w:szCs w:val="20"/>
        </w:rPr>
        <w:t xml:space="preserve">. appendectomy and </w:t>
      </w:r>
      <w:proofErr w:type="spellStart"/>
      <w:r w:rsidRPr="002A163D">
        <w:rPr>
          <w:rFonts w:ascii="Times New Roman" w:hAnsi="Times New Roman" w:cs="Times New Roman"/>
          <w:sz w:val="20"/>
          <w:szCs w:val="20"/>
        </w:rPr>
        <w:t>myomectomy</w:t>
      </w:r>
      <w:proofErr w:type="spellEnd"/>
      <w:r w:rsidRPr="002A163D">
        <w:rPr>
          <w:rFonts w:ascii="Times New Roman" w:hAnsi="Times New Roman" w:cs="Times New Roman"/>
          <w:sz w:val="20"/>
          <w:szCs w:val="20"/>
        </w:rPr>
        <w:t>.</w:t>
      </w:r>
    </w:p>
    <w:p w:rsidR="00B330B4" w:rsidRPr="002A163D" w:rsidRDefault="00B330B4" w:rsidP="002A163D">
      <w:pPr>
        <w:pStyle w:val="msolistparagraph0"/>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2A163D">
        <w:rPr>
          <w:rFonts w:ascii="Times New Roman" w:hAnsi="Times New Roman" w:cs="Times New Roman"/>
          <w:sz w:val="20"/>
          <w:szCs w:val="20"/>
        </w:rPr>
        <w:lastRenderedPageBreak/>
        <w:t xml:space="preserve">Presence of medical or endocrinal disorders that can affect </w:t>
      </w:r>
      <w:proofErr w:type="spellStart"/>
      <w:r w:rsidRPr="002A163D">
        <w:rPr>
          <w:rFonts w:ascii="Times New Roman" w:hAnsi="Times New Roman" w:cs="Times New Roman"/>
          <w:sz w:val="20"/>
          <w:szCs w:val="20"/>
        </w:rPr>
        <w:t>fertilitye.g</w:t>
      </w:r>
      <w:proofErr w:type="spellEnd"/>
      <w:r w:rsidRPr="002A163D">
        <w:rPr>
          <w:rFonts w:ascii="Times New Roman" w:hAnsi="Times New Roman" w:cs="Times New Roman"/>
          <w:sz w:val="20"/>
          <w:szCs w:val="20"/>
        </w:rPr>
        <w:t xml:space="preserve">. </w:t>
      </w:r>
      <w:proofErr w:type="spellStart"/>
      <w:r w:rsidRPr="002A163D">
        <w:rPr>
          <w:rFonts w:ascii="Times New Roman" w:hAnsi="Times New Roman" w:cs="Times New Roman"/>
          <w:sz w:val="20"/>
          <w:szCs w:val="20"/>
        </w:rPr>
        <w:t>hyperprolactinemia</w:t>
      </w:r>
      <w:proofErr w:type="spellEnd"/>
      <w:r w:rsidRPr="002A163D">
        <w:rPr>
          <w:rFonts w:ascii="Times New Roman" w:hAnsi="Times New Roman" w:cs="Times New Roman"/>
          <w:sz w:val="20"/>
          <w:szCs w:val="20"/>
        </w:rPr>
        <w:t xml:space="preserve"> and thyroid diseases.</w:t>
      </w:r>
    </w:p>
    <w:p w:rsidR="00B330B4" w:rsidRPr="002A163D" w:rsidRDefault="00B330B4" w:rsidP="002A163D">
      <w:pPr>
        <w:bidi w:val="0"/>
        <w:snapToGrid w:val="0"/>
        <w:jc w:val="both"/>
        <w:rPr>
          <w:b/>
          <w:bCs/>
          <w:i/>
          <w:iCs/>
          <w:sz w:val="20"/>
          <w:szCs w:val="20"/>
        </w:rPr>
      </w:pPr>
      <w:r w:rsidRPr="002A163D">
        <w:rPr>
          <w:b/>
          <w:bCs/>
          <w:sz w:val="20"/>
          <w:szCs w:val="20"/>
          <w:lang w:bidi="ar-EG"/>
        </w:rPr>
        <w:t>Method of the study:</w:t>
      </w:r>
    </w:p>
    <w:p w:rsidR="00B330B4" w:rsidRPr="002A163D" w:rsidRDefault="00B330B4" w:rsidP="002A163D">
      <w:pPr>
        <w:bidi w:val="0"/>
        <w:snapToGrid w:val="0"/>
        <w:jc w:val="both"/>
        <w:rPr>
          <w:sz w:val="20"/>
          <w:szCs w:val="20"/>
        </w:rPr>
      </w:pPr>
      <w:r w:rsidRPr="002A163D">
        <w:rPr>
          <w:b/>
          <w:bCs/>
          <w:i/>
          <w:iCs/>
          <w:sz w:val="20"/>
          <w:szCs w:val="20"/>
        </w:rPr>
        <w:t>Clinical evaluation of patients:</w:t>
      </w:r>
    </w:p>
    <w:p w:rsidR="00B330B4" w:rsidRPr="002A163D" w:rsidRDefault="00B330B4" w:rsidP="002A163D">
      <w:pPr>
        <w:bidi w:val="0"/>
        <w:snapToGrid w:val="0"/>
        <w:jc w:val="both"/>
        <w:rPr>
          <w:b/>
          <w:bCs/>
          <w:i/>
          <w:iCs/>
          <w:sz w:val="20"/>
          <w:szCs w:val="20"/>
        </w:rPr>
      </w:pPr>
      <w:r w:rsidRPr="002A163D">
        <w:rPr>
          <w:b/>
          <w:bCs/>
          <w:i/>
          <w:iCs/>
          <w:sz w:val="20"/>
          <w:szCs w:val="20"/>
        </w:rPr>
        <w:t>(A) History taking:</w:t>
      </w:r>
    </w:p>
    <w:p w:rsidR="00B330B4" w:rsidRPr="002A163D" w:rsidRDefault="00B330B4" w:rsidP="002A163D">
      <w:pPr>
        <w:bidi w:val="0"/>
        <w:snapToGrid w:val="0"/>
        <w:jc w:val="both"/>
        <w:rPr>
          <w:b/>
          <w:bCs/>
          <w:sz w:val="20"/>
          <w:szCs w:val="20"/>
          <w:lang w:bidi="ar-EG"/>
        </w:rPr>
      </w:pPr>
      <w:r w:rsidRPr="002A163D">
        <w:rPr>
          <w:b/>
          <w:bCs/>
          <w:sz w:val="20"/>
          <w:szCs w:val="20"/>
          <w:lang w:bidi="ar-EG"/>
        </w:rPr>
        <w:t>Personal history:</w:t>
      </w:r>
    </w:p>
    <w:p w:rsidR="00B330B4" w:rsidRPr="002A163D" w:rsidRDefault="00B330B4" w:rsidP="002A163D">
      <w:pPr>
        <w:bidi w:val="0"/>
        <w:snapToGrid w:val="0"/>
        <w:ind w:firstLine="425"/>
        <w:jc w:val="both"/>
        <w:rPr>
          <w:sz w:val="20"/>
          <w:szCs w:val="20"/>
          <w:lang w:bidi="ar-EG"/>
        </w:rPr>
      </w:pPr>
      <w:r w:rsidRPr="002A163D">
        <w:rPr>
          <w:sz w:val="20"/>
          <w:szCs w:val="20"/>
          <w:lang w:bidi="ar-EG"/>
        </w:rPr>
        <w:t>The following data were collected: patient’s name, age, occupation, address and the husband data include: name, age, occupation, previous marriages and siblings.</w:t>
      </w:r>
    </w:p>
    <w:p w:rsidR="002A19E4"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Duration of marriag</w:t>
      </w:r>
      <w:r w:rsidR="002A19E4" w:rsidRPr="002A163D">
        <w:rPr>
          <w:sz w:val="20"/>
          <w:szCs w:val="20"/>
          <w:lang w:bidi="ar-EG"/>
        </w:rPr>
        <w:t>e</w:t>
      </w:r>
      <w:r w:rsidR="002A19E4">
        <w:rPr>
          <w:sz w:val="20"/>
          <w:szCs w:val="20"/>
          <w:lang w:bidi="ar-EG"/>
        </w:rPr>
        <w:t>.</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Previous marriages (if any) in regards to duration and previous pregnancies.</w:t>
      </w:r>
    </w:p>
    <w:p w:rsidR="00B330B4" w:rsidRPr="002A163D" w:rsidRDefault="00B330B4" w:rsidP="002A163D">
      <w:pPr>
        <w:bidi w:val="0"/>
        <w:snapToGrid w:val="0"/>
        <w:jc w:val="both"/>
        <w:rPr>
          <w:b/>
          <w:bCs/>
          <w:sz w:val="20"/>
          <w:szCs w:val="20"/>
          <w:lang w:bidi="ar-EG"/>
        </w:rPr>
      </w:pPr>
      <w:r w:rsidRPr="002A163D">
        <w:rPr>
          <w:b/>
          <w:bCs/>
          <w:sz w:val="20"/>
          <w:szCs w:val="20"/>
          <w:lang w:bidi="ar-EG"/>
        </w:rPr>
        <w:t>Menstrual history:</w:t>
      </w:r>
    </w:p>
    <w:p w:rsidR="00B330B4" w:rsidRPr="002A163D" w:rsidRDefault="00B330B4" w:rsidP="002A163D">
      <w:pPr>
        <w:bidi w:val="0"/>
        <w:snapToGrid w:val="0"/>
        <w:ind w:firstLine="425"/>
        <w:jc w:val="both"/>
        <w:rPr>
          <w:sz w:val="20"/>
          <w:szCs w:val="20"/>
          <w:lang w:bidi="ar-EG"/>
        </w:rPr>
      </w:pPr>
      <w:r w:rsidRPr="002A163D">
        <w:rPr>
          <w:sz w:val="20"/>
          <w:szCs w:val="20"/>
          <w:lang w:bidi="ar-EG"/>
        </w:rPr>
        <w:t>In regards to age of menarche, rhythm, amount of menstrual flow, length of</w:t>
      </w:r>
      <w:r w:rsidR="00345B9A">
        <w:rPr>
          <w:rFonts w:eastAsiaTheme="minorEastAsia" w:hint="eastAsia"/>
          <w:sz w:val="20"/>
          <w:szCs w:val="20"/>
          <w:lang w:eastAsia="zh-CN" w:bidi="ar-EG"/>
        </w:rPr>
        <w:t xml:space="preserve"> </w:t>
      </w:r>
      <w:r w:rsidRPr="002A163D">
        <w:rPr>
          <w:sz w:val="20"/>
          <w:szCs w:val="20"/>
          <w:lang w:bidi="ar-EG"/>
        </w:rPr>
        <w:t>the cycle</w:t>
      </w:r>
      <w:r w:rsidR="002A19E4" w:rsidRPr="002A163D">
        <w:rPr>
          <w:sz w:val="20"/>
          <w:szCs w:val="20"/>
          <w:lang w:bidi="ar-EG"/>
        </w:rPr>
        <w:t>,</w:t>
      </w:r>
      <w:r w:rsidR="002A19E4">
        <w:rPr>
          <w:sz w:val="20"/>
          <w:szCs w:val="20"/>
          <w:lang w:bidi="ar-EG"/>
        </w:rPr>
        <w:t xml:space="preserve"> </w:t>
      </w:r>
      <w:r w:rsidR="002A19E4" w:rsidRPr="002A163D">
        <w:rPr>
          <w:sz w:val="20"/>
          <w:szCs w:val="20"/>
          <w:lang w:bidi="ar-EG"/>
        </w:rPr>
        <w:t>t</w:t>
      </w:r>
      <w:r w:rsidRPr="002A163D">
        <w:rPr>
          <w:sz w:val="20"/>
          <w:szCs w:val="20"/>
          <w:lang w:bidi="ar-EG"/>
        </w:rPr>
        <w:t xml:space="preserve">he duration of period the first day of menstrual cycle, </w:t>
      </w:r>
      <w:proofErr w:type="spellStart"/>
      <w:r w:rsidRPr="002A163D">
        <w:rPr>
          <w:sz w:val="20"/>
          <w:szCs w:val="20"/>
          <w:lang w:bidi="ar-EG"/>
        </w:rPr>
        <w:t>dysmenorrhea</w:t>
      </w:r>
      <w:proofErr w:type="spellEnd"/>
      <w:r w:rsidRPr="002A163D">
        <w:rPr>
          <w:sz w:val="20"/>
          <w:szCs w:val="20"/>
          <w:lang w:bidi="ar-EG"/>
        </w:rPr>
        <w:t xml:space="preserve"> and </w:t>
      </w:r>
      <w:proofErr w:type="spellStart"/>
      <w:r w:rsidRPr="002A163D">
        <w:rPr>
          <w:sz w:val="20"/>
          <w:szCs w:val="20"/>
          <w:lang w:bidi="ar-EG"/>
        </w:rPr>
        <w:t>intermenstrual</w:t>
      </w:r>
      <w:proofErr w:type="spellEnd"/>
      <w:r w:rsidRPr="002A163D">
        <w:rPr>
          <w:sz w:val="20"/>
          <w:szCs w:val="20"/>
          <w:lang w:bidi="ar-EG"/>
        </w:rPr>
        <w:t xml:space="preserve"> spotting or discharge.</w:t>
      </w:r>
    </w:p>
    <w:p w:rsidR="00B330B4" w:rsidRPr="002A163D" w:rsidRDefault="00B330B4" w:rsidP="002A163D">
      <w:pPr>
        <w:bidi w:val="0"/>
        <w:snapToGrid w:val="0"/>
        <w:jc w:val="both"/>
        <w:rPr>
          <w:b/>
          <w:bCs/>
          <w:sz w:val="20"/>
          <w:szCs w:val="20"/>
          <w:lang w:bidi="ar-EG"/>
        </w:rPr>
      </w:pPr>
      <w:r w:rsidRPr="002A163D">
        <w:rPr>
          <w:b/>
          <w:bCs/>
          <w:sz w:val="20"/>
          <w:szCs w:val="20"/>
          <w:lang w:bidi="ar-EG"/>
        </w:rPr>
        <w:t>Present history including:</w:t>
      </w:r>
    </w:p>
    <w:p w:rsidR="00B330B4" w:rsidRPr="002A163D" w:rsidRDefault="00B330B4" w:rsidP="002A163D">
      <w:pPr>
        <w:bidi w:val="0"/>
        <w:snapToGrid w:val="0"/>
        <w:ind w:firstLine="425"/>
        <w:jc w:val="both"/>
        <w:rPr>
          <w:sz w:val="20"/>
          <w:szCs w:val="20"/>
          <w:lang w:bidi="ar-EG"/>
        </w:rPr>
      </w:pPr>
      <w:r w:rsidRPr="002A163D">
        <w:rPr>
          <w:sz w:val="20"/>
          <w:szCs w:val="20"/>
          <w:lang w:bidi="ar-EG"/>
        </w:rPr>
        <w:t>The patient's complaint (failure of conception) the following points should be ascertained:</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Sexual history as regards to frequency, any difficulties or </w:t>
      </w:r>
      <w:proofErr w:type="spellStart"/>
      <w:r w:rsidRPr="002A163D">
        <w:rPr>
          <w:sz w:val="20"/>
          <w:szCs w:val="20"/>
          <w:lang w:bidi="ar-EG"/>
        </w:rPr>
        <w:t>dyspareunia</w:t>
      </w:r>
      <w:proofErr w:type="spellEnd"/>
      <w:r w:rsidRPr="002A163D">
        <w:rPr>
          <w:sz w:val="20"/>
          <w:szCs w:val="20"/>
          <w:lang w:bidi="ar-EG"/>
        </w:rPr>
        <w:t>.</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Male factor:</w:t>
      </w:r>
    </w:p>
    <w:p w:rsidR="00B330B4" w:rsidRPr="002A163D" w:rsidRDefault="00B330B4" w:rsidP="002A163D">
      <w:pPr>
        <w:numPr>
          <w:ilvl w:val="1"/>
          <w:numId w:val="3"/>
        </w:numPr>
        <w:bidi w:val="0"/>
        <w:snapToGrid w:val="0"/>
        <w:ind w:left="0" w:firstLine="425"/>
        <w:jc w:val="both"/>
        <w:rPr>
          <w:sz w:val="20"/>
          <w:szCs w:val="20"/>
          <w:lang w:bidi="ar-EG"/>
        </w:rPr>
      </w:pPr>
      <w:r w:rsidRPr="002A163D">
        <w:rPr>
          <w:sz w:val="20"/>
          <w:szCs w:val="20"/>
          <w:lang w:bidi="ar-EG"/>
        </w:rPr>
        <w:t xml:space="preserve">Results of semen analysis following </w:t>
      </w:r>
      <w:r w:rsidRPr="002A163D">
        <w:rPr>
          <w:rFonts w:eastAsia="Batang"/>
          <w:sz w:val="20"/>
          <w:szCs w:val="20"/>
          <w:lang w:eastAsia="ko-KR"/>
        </w:rPr>
        <w:t>WHO laboratory manual for the Examination and processing of human semen, (2010)</w:t>
      </w:r>
      <w:r w:rsidRPr="002A163D">
        <w:rPr>
          <w:sz w:val="20"/>
          <w:szCs w:val="20"/>
          <w:lang w:bidi="ar-EG"/>
        </w:rPr>
        <w:t>.</w:t>
      </w:r>
    </w:p>
    <w:p w:rsidR="00B330B4" w:rsidRPr="002A163D" w:rsidRDefault="00B330B4" w:rsidP="002A163D">
      <w:pPr>
        <w:numPr>
          <w:ilvl w:val="1"/>
          <w:numId w:val="3"/>
        </w:numPr>
        <w:bidi w:val="0"/>
        <w:snapToGrid w:val="0"/>
        <w:ind w:left="0" w:firstLine="425"/>
        <w:jc w:val="both"/>
        <w:rPr>
          <w:sz w:val="20"/>
          <w:szCs w:val="20"/>
          <w:lang w:bidi="ar-EG"/>
        </w:rPr>
      </w:pPr>
      <w:r w:rsidRPr="002A163D">
        <w:rPr>
          <w:sz w:val="20"/>
          <w:szCs w:val="20"/>
          <w:lang w:bidi="ar-EG"/>
        </w:rPr>
        <w:t xml:space="preserve">Previous lines of therapy (medical treatment or operation for </w:t>
      </w:r>
      <w:proofErr w:type="spellStart"/>
      <w:r w:rsidRPr="002A163D">
        <w:rPr>
          <w:sz w:val="20"/>
          <w:szCs w:val="20"/>
          <w:lang w:bidi="ar-EG"/>
        </w:rPr>
        <w:t>varicocele</w:t>
      </w:r>
      <w:proofErr w:type="spellEnd"/>
      <w:r w:rsidRPr="002A163D">
        <w:rPr>
          <w:sz w:val="20"/>
          <w:szCs w:val="20"/>
          <w:lang w:bidi="ar-EG"/>
        </w:rPr>
        <w:t>).</w:t>
      </w:r>
    </w:p>
    <w:p w:rsidR="00B330B4" w:rsidRPr="002A163D" w:rsidRDefault="00B330B4" w:rsidP="002A163D">
      <w:pPr>
        <w:numPr>
          <w:ilvl w:val="1"/>
          <w:numId w:val="5"/>
        </w:numPr>
        <w:tabs>
          <w:tab w:val="clear" w:pos="1515"/>
        </w:tabs>
        <w:bidi w:val="0"/>
        <w:snapToGrid w:val="0"/>
        <w:ind w:left="0" w:firstLine="425"/>
        <w:jc w:val="both"/>
        <w:rPr>
          <w:rFonts w:eastAsia="Times New Roman"/>
          <w:sz w:val="20"/>
          <w:szCs w:val="20"/>
          <w:lang w:bidi="ar-EG"/>
        </w:rPr>
      </w:pPr>
      <w:r w:rsidRPr="002A163D">
        <w:rPr>
          <w:sz w:val="20"/>
          <w:szCs w:val="20"/>
          <w:lang w:bidi="ar-EG"/>
        </w:rPr>
        <w:t xml:space="preserve">History suggestive of ovulation: Regular cycles, mid-cycle pain, discharge or spotting, spasmodic </w:t>
      </w:r>
      <w:proofErr w:type="spellStart"/>
      <w:r w:rsidRPr="002A163D">
        <w:rPr>
          <w:sz w:val="20"/>
          <w:szCs w:val="20"/>
          <w:lang w:bidi="ar-EG"/>
        </w:rPr>
        <w:t>dysmenorrhea</w:t>
      </w:r>
      <w:proofErr w:type="spellEnd"/>
      <w:r w:rsidRPr="002A163D">
        <w:rPr>
          <w:sz w:val="20"/>
          <w:szCs w:val="20"/>
          <w:lang w:bidi="ar-EG"/>
        </w:rPr>
        <w:t xml:space="preserve"> and premenstrual tension.</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History suggestive of tubal factor: Chronic PID, previous appendicitis or pelvic surgery.</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History suggestive of hormonal disturbance: </w:t>
      </w:r>
      <w:proofErr w:type="spellStart"/>
      <w:r w:rsidRPr="002A163D">
        <w:rPr>
          <w:sz w:val="20"/>
          <w:szCs w:val="20"/>
          <w:lang w:bidi="ar-EG"/>
        </w:rPr>
        <w:t>Galactorrhea</w:t>
      </w:r>
      <w:proofErr w:type="spellEnd"/>
      <w:r w:rsidRPr="002A163D">
        <w:rPr>
          <w:sz w:val="20"/>
          <w:szCs w:val="20"/>
          <w:lang w:bidi="ar-EG"/>
        </w:rPr>
        <w:t xml:space="preserve">, </w:t>
      </w:r>
      <w:proofErr w:type="spellStart"/>
      <w:r w:rsidRPr="002A163D">
        <w:rPr>
          <w:sz w:val="20"/>
          <w:szCs w:val="20"/>
          <w:lang w:bidi="ar-EG"/>
        </w:rPr>
        <w:t>hirsutism</w:t>
      </w:r>
      <w:proofErr w:type="spellEnd"/>
      <w:r w:rsidRPr="002A163D">
        <w:rPr>
          <w:sz w:val="20"/>
          <w:szCs w:val="20"/>
          <w:lang w:bidi="ar-EG"/>
        </w:rPr>
        <w:t>, symptoms of hyper or hypothyroidism.</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History suggestive of cervical factor (erosion, vaginal discharge, chronic backache or cervical cauterization).</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Previous lines of therapy and any previous investigations and their result.</w:t>
      </w:r>
    </w:p>
    <w:p w:rsidR="00B330B4" w:rsidRPr="002A163D" w:rsidRDefault="00B330B4" w:rsidP="002A163D">
      <w:pPr>
        <w:bidi w:val="0"/>
        <w:snapToGrid w:val="0"/>
        <w:jc w:val="both"/>
        <w:rPr>
          <w:b/>
          <w:bCs/>
          <w:sz w:val="20"/>
          <w:szCs w:val="20"/>
          <w:lang w:bidi="ar-EG"/>
        </w:rPr>
      </w:pPr>
      <w:r w:rsidRPr="002A163D">
        <w:rPr>
          <w:b/>
          <w:bCs/>
          <w:sz w:val="20"/>
          <w:szCs w:val="20"/>
          <w:lang w:bidi="ar-EG"/>
        </w:rPr>
        <w:t>Past history:</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Hypertension</w:t>
      </w:r>
      <w:r w:rsidR="002A19E4" w:rsidRPr="002A163D">
        <w:rPr>
          <w:sz w:val="20"/>
          <w:szCs w:val="20"/>
          <w:lang w:bidi="ar-EG"/>
        </w:rPr>
        <w:t>,</w:t>
      </w:r>
      <w:r w:rsidR="002A19E4">
        <w:rPr>
          <w:sz w:val="20"/>
          <w:szCs w:val="20"/>
          <w:lang w:bidi="ar-EG"/>
        </w:rPr>
        <w:t xml:space="preserve"> </w:t>
      </w:r>
      <w:r w:rsidR="002A19E4" w:rsidRPr="002A163D">
        <w:rPr>
          <w:sz w:val="20"/>
          <w:szCs w:val="20"/>
          <w:lang w:bidi="ar-EG"/>
        </w:rPr>
        <w:t>d</w:t>
      </w:r>
      <w:r w:rsidRPr="002A163D">
        <w:rPr>
          <w:sz w:val="20"/>
          <w:szCs w:val="20"/>
          <w:lang w:bidi="ar-EG"/>
        </w:rPr>
        <w:t>iabetes or thyroid dysfunction.</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Previous abdominal-pelvic surgery.</w:t>
      </w:r>
    </w:p>
    <w:p w:rsidR="00B330B4" w:rsidRPr="002A163D" w:rsidRDefault="00B330B4" w:rsidP="002A163D">
      <w:pPr>
        <w:bidi w:val="0"/>
        <w:snapToGrid w:val="0"/>
        <w:jc w:val="both"/>
        <w:rPr>
          <w:b/>
          <w:bCs/>
          <w:i/>
          <w:iCs/>
          <w:sz w:val="20"/>
          <w:szCs w:val="20"/>
        </w:rPr>
      </w:pPr>
      <w:r w:rsidRPr="002A163D">
        <w:rPr>
          <w:b/>
          <w:bCs/>
          <w:i/>
          <w:iCs/>
          <w:sz w:val="20"/>
          <w:szCs w:val="20"/>
        </w:rPr>
        <w:t>(B) Examination:</w:t>
      </w:r>
    </w:p>
    <w:p w:rsidR="00B330B4" w:rsidRPr="002A163D" w:rsidRDefault="00B330B4" w:rsidP="002A163D">
      <w:pPr>
        <w:numPr>
          <w:ilvl w:val="0"/>
          <w:numId w:val="5"/>
        </w:numPr>
        <w:tabs>
          <w:tab w:val="clear" w:pos="795"/>
        </w:tabs>
        <w:bidi w:val="0"/>
        <w:snapToGrid w:val="0"/>
        <w:ind w:left="0" w:firstLine="0"/>
        <w:jc w:val="both"/>
        <w:rPr>
          <w:b/>
          <w:bCs/>
          <w:sz w:val="20"/>
          <w:szCs w:val="20"/>
          <w:lang w:bidi="ar-EG"/>
        </w:rPr>
      </w:pPr>
      <w:r w:rsidRPr="002A163D">
        <w:rPr>
          <w:b/>
          <w:bCs/>
          <w:sz w:val="20"/>
          <w:szCs w:val="20"/>
          <w:lang w:bidi="ar-EG"/>
        </w:rPr>
        <w:t>General examination:</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Vital signs; pulse, blood pressure and temperature to exclude hypertension, </w:t>
      </w:r>
      <w:proofErr w:type="spellStart"/>
      <w:r w:rsidRPr="002A163D">
        <w:rPr>
          <w:sz w:val="20"/>
          <w:szCs w:val="20"/>
          <w:lang w:bidi="ar-EG"/>
        </w:rPr>
        <w:t>anaemia</w:t>
      </w:r>
      <w:proofErr w:type="spellEnd"/>
      <w:r w:rsidRPr="002A163D">
        <w:rPr>
          <w:sz w:val="20"/>
          <w:szCs w:val="20"/>
          <w:lang w:bidi="ar-EG"/>
        </w:rPr>
        <w:t>, hyper or hypothyroidism.</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Examination of the breast for development and presence of </w:t>
      </w:r>
      <w:proofErr w:type="spellStart"/>
      <w:r w:rsidRPr="002A163D">
        <w:rPr>
          <w:sz w:val="20"/>
          <w:szCs w:val="20"/>
          <w:lang w:bidi="ar-EG"/>
        </w:rPr>
        <w:t>galactorrhea</w:t>
      </w:r>
      <w:proofErr w:type="spellEnd"/>
      <w:r w:rsidRPr="002A163D">
        <w:rPr>
          <w:sz w:val="20"/>
          <w:szCs w:val="20"/>
          <w:lang w:bidi="ar-EG"/>
        </w:rPr>
        <w:t>.</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Heart and chest examinations for detection of any abnormalities.</w:t>
      </w:r>
    </w:p>
    <w:p w:rsidR="00B330B4" w:rsidRPr="002A163D" w:rsidRDefault="00B330B4" w:rsidP="002A163D">
      <w:pPr>
        <w:numPr>
          <w:ilvl w:val="1"/>
          <w:numId w:val="5"/>
        </w:numPr>
        <w:tabs>
          <w:tab w:val="clear" w:pos="1515"/>
        </w:tabs>
        <w:bidi w:val="0"/>
        <w:snapToGrid w:val="0"/>
        <w:ind w:left="0" w:firstLine="425"/>
        <w:jc w:val="both"/>
        <w:rPr>
          <w:rFonts w:eastAsia="Batang"/>
          <w:color w:val="000000"/>
          <w:sz w:val="20"/>
          <w:szCs w:val="20"/>
          <w:lang w:eastAsia="ko-KR"/>
        </w:rPr>
      </w:pPr>
      <w:r w:rsidRPr="002A163D">
        <w:rPr>
          <w:rFonts w:eastAsia="Batang"/>
          <w:color w:val="000000"/>
          <w:sz w:val="20"/>
          <w:szCs w:val="20"/>
          <w:lang w:eastAsia="ko-KR"/>
        </w:rPr>
        <w:lastRenderedPageBreak/>
        <w:t xml:space="preserve">Clinical evaluation of </w:t>
      </w:r>
      <w:proofErr w:type="spellStart"/>
      <w:r w:rsidRPr="002A163D">
        <w:rPr>
          <w:rFonts w:eastAsia="Batang"/>
          <w:color w:val="000000"/>
          <w:sz w:val="20"/>
          <w:szCs w:val="20"/>
          <w:lang w:eastAsia="ko-KR"/>
        </w:rPr>
        <w:t>hirsutism</w:t>
      </w:r>
      <w:proofErr w:type="spellEnd"/>
      <w:r w:rsidRPr="002A163D">
        <w:rPr>
          <w:rFonts w:eastAsia="Batang"/>
          <w:color w:val="000000"/>
          <w:sz w:val="20"/>
          <w:szCs w:val="20"/>
          <w:lang w:eastAsia="ko-KR"/>
        </w:rPr>
        <w:t xml:space="preserve">: </w:t>
      </w:r>
      <w:proofErr w:type="spellStart"/>
      <w:r w:rsidRPr="002A163D">
        <w:rPr>
          <w:rFonts w:eastAsia="Batang"/>
          <w:color w:val="000000"/>
          <w:sz w:val="20"/>
          <w:szCs w:val="20"/>
          <w:lang w:eastAsia="ko-KR"/>
        </w:rPr>
        <w:t>Hirsutism</w:t>
      </w:r>
      <w:proofErr w:type="spellEnd"/>
      <w:r w:rsidRPr="002A163D">
        <w:rPr>
          <w:rFonts w:eastAsia="Batang"/>
          <w:color w:val="000000"/>
          <w:sz w:val="20"/>
          <w:szCs w:val="20"/>
          <w:lang w:eastAsia="ko-KR"/>
        </w:rPr>
        <w:t xml:space="preserve"> is usually classified as mild, moderate or severe as determined by clinical estimate. In an effort to objectively quantify the degree of </w:t>
      </w:r>
      <w:proofErr w:type="spellStart"/>
      <w:r w:rsidRPr="002A163D">
        <w:rPr>
          <w:rFonts w:eastAsia="Batang"/>
          <w:color w:val="000000"/>
          <w:sz w:val="20"/>
          <w:szCs w:val="20"/>
          <w:lang w:eastAsia="ko-KR"/>
        </w:rPr>
        <w:t>hirsutism</w:t>
      </w:r>
      <w:proofErr w:type="spellEnd"/>
      <w:r w:rsidRPr="002A163D">
        <w:rPr>
          <w:rFonts w:eastAsia="Batang"/>
          <w:color w:val="000000"/>
          <w:sz w:val="20"/>
          <w:szCs w:val="20"/>
          <w:lang w:eastAsia="ko-KR"/>
        </w:rPr>
        <w:t xml:space="preserve">, the </w:t>
      </w:r>
      <w:proofErr w:type="spellStart"/>
      <w:r w:rsidRPr="002A163D">
        <w:rPr>
          <w:rFonts w:eastAsia="Batang"/>
          <w:color w:val="000000"/>
          <w:sz w:val="20"/>
          <w:szCs w:val="20"/>
          <w:lang w:eastAsia="ko-KR"/>
        </w:rPr>
        <w:t>Ferriman</w:t>
      </w:r>
      <w:proofErr w:type="spellEnd"/>
      <w:r w:rsidRPr="002A163D">
        <w:rPr>
          <w:rFonts w:eastAsia="Batang"/>
          <w:color w:val="000000"/>
          <w:sz w:val="20"/>
          <w:szCs w:val="20"/>
          <w:lang w:eastAsia="ko-KR"/>
        </w:rPr>
        <w:t xml:space="preserve">– </w:t>
      </w:r>
      <w:proofErr w:type="spellStart"/>
      <w:r w:rsidRPr="002A163D">
        <w:rPr>
          <w:rFonts w:eastAsia="Batang"/>
          <w:color w:val="000000"/>
          <w:sz w:val="20"/>
          <w:szCs w:val="20"/>
          <w:lang w:eastAsia="ko-KR"/>
        </w:rPr>
        <w:t>Gallwey</w:t>
      </w:r>
      <w:proofErr w:type="spellEnd"/>
      <w:r w:rsidRPr="002A163D">
        <w:rPr>
          <w:rFonts w:eastAsia="Batang"/>
          <w:color w:val="000000"/>
          <w:sz w:val="20"/>
          <w:szCs w:val="20"/>
          <w:lang w:eastAsia="ko-KR"/>
        </w:rPr>
        <w:t xml:space="preserve"> (F–G) scoring system to assess hair growth was introduced in 1961</w:t>
      </w:r>
      <w:r w:rsidR="002A19E4" w:rsidRPr="002A163D">
        <w:rPr>
          <w:rFonts w:eastAsia="Batang"/>
          <w:color w:val="000000"/>
          <w:sz w:val="20"/>
          <w:szCs w:val="20"/>
          <w:lang w:eastAsia="ko-KR"/>
        </w:rPr>
        <w:t>.</w:t>
      </w:r>
      <w:r w:rsidR="002A19E4">
        <w:rPr>
          <w:rFonts w:eastAsia="Batang"/>
          <w:color w:val="000000"/>
          <w:sz w:val="20"/>
          <w:szCs w:val="20"/>
          <w:lang w:eastAsia="ko-KR"/>
        </w:rPr>
        <w:t xml:space="preserve"> </w:t>
      </w:r>
      <w:r w:rsidR="002A19E4" w:rsidRPr="002A163D">
        <w:rPr>
          <w:rFonts w:eastAsia="Batang"/>
          <w:color w:val="000000"/>
          <w:sz w:val="20"/>
          <w:szCs w:val="20"/>
          <w:lang w:eastAsia="ko-KR"/>
        </w:rPr>
        <w:t>T</w:t>
      </w:r>
      <w:r w:rsidRPr="002A163D">
        <w:rPr>
          <w:rFonts w:eastAsia="Batang"/>
          <w:color w:val="000000"/>
          <w:sz w:val="20"/>
          <w:szCs w:val="20"/>
          <w:lang w:eastAsia="ko-KR"/>
        </w:rPr>
        <w:t xml:space="preserve">he original system was based on the presence of hair in 11 areas of the body but has since been modified to include just nine regions. The scale is from 0 (absence of terminal hairs) to 4 (extensive terminal hair growth) and the numbers are added together to reach a maximum score of 36. Most researchers have defined </w:t>
      </w:r>
      <w:proofErr w:type="spellStart"/>
      <w:r w:rsidRPr="002A163D">
        <w:rPr>
          <w:rFonts w:eastAsia="Batang"/>
          <w:color w:val="000000"/>
          <w:sz w:val="20"/>
          <w:szCs w:val="20"/>
          <w:lang w:eastAsia="ko-KR"/>
        </w:rPr>
        <w:t>hirsutism</w:t>
      </w:r>
      <w:proofErr w:type="spellEnd"/>
      <w:r w:rsidRPr="002A163D">
        <w:rPr>
          <w:rFonts w:eastAsia="Batang"/>
          <w:color w:val="000000"/>
          <w:sz w:val="20"/>
          <w:szCs w:val="20"/>
          <w:lang w:eastAsia="ko-KR"/>
        </w:rPr>
        <w:t xml:space="preserve"> as a modified F–G score of 8 or above, although others use a cutoff of 6. The etiology of approximately 70% of </w:t>
      </w:r>
      <w:proofErr w:type="spellStart"/>
      <w:r w:rsidRPr="002A163D">
        <w:rPr>
          <w:rFonts w:eastAsia="Batang"/>
          <w:color w:val="000000"/>
          <w:sz w:val="20"/>
          <w:szCs w:val="20"/>
          <w:lang w:eastAsia="ko-KR"/>
        </w:rPr>
        <w:t>hirsutism</w:t>
      </w:r>
      <w:proofErr w:type="spellEnd"/>
      <w:r w:rsidRPr="002A163D">
        <w:rPr>
          <w:rFonts w:eastAsia="Batang"/>
          <w:color w:val="000000"/>
          <w:sz w:val="20"/>
          <w:szCs w:val="20"/>
          <w:lang w:eastAsia="ko-KR"/>
        </w:rPr>
        <w:t xml:space="preserve"> in women is PCOS </w:t>
      </w:r>
      <w:r w:rsidRPr="002A163D">
        <w:rPr>
          <w:rFonts w:eastAsia="Batang"/>
          <w:b/>
          <w:bCs/>
          <w:i/>
          <w:iCs/>
          <w:color w:val="000000"/>
          <w:sz w:val="20"/>
          <w:szCs w:val="20"/>
          <w:lang w:eastAsia="ko-KR"/>
        </w:rPr>
        <w:t>(Archer</w:t>
      </w:r>
      <w:r w:rsidR="002A19E4">
        <w:rPr>
          <w:rFonts w:eastAsia="Batang"/>
          <w:b/>
          <w:bCs/>
          <w:i/>
          <w:iCs/>
          <w:color w:val="000000"/>
          <w:sz w:val="20"/>
          <w:szCs w:val="20"/>
          <w:lang w:eastAsia="ko-KR"/>
        </w:rPr>
        <w:t xml:space="preserve"> </w:t>
      </w:r>
      <w:r w:rsidR="008D3F0E" w:rsidRPr="002A163D">
        <w:rPr>
          <w:rFonts w:eastAsia="Batang"/>
          <w:b/>
          <w:bCs/>
          <w:i/>
          <w:iCs/>
          <w:color w:val="000000"/>
          <w:sz w:val="20"/>
          <w:szCs w:val="20"/>
          <w:lang w:eastAsia="ko-KR"/>
        </w:rPr>
        <w:t>&amp;</w:t>
      </w:r>
      <w:r w:rsidR="002A19E4">
        <w:rPr>
          <w:rFonts w:eastAsia="Batang"/>
          <w:b/>
          <w:bCs/>
          <w:i/>
          <w:iCs/>
          <w:color w:val="000000"/>
          <w:sz w:val="20"/>
          <w:szCs w:val="20"/>
          <w:lang w:eastAsia="ko-KR"/>
        </w:rPr>
        <w:t xml:space="preserve"> </w:t>
      </w:r>
      <w:r w:rsidRPr="002A163D">
        <w:rPr>
          <w:rFonts w:eastAsia="Batang"/>
          <w:b/>
          <w:bCs/>
          <w:i/>
          <w:iCs/>
          <w:color w:val="000000"/>
          <w:sz w:val="20"/>
          <w:szCs w:val="20"/>
          <w:lang w:eastAsia="ko-KR"/>
        </w:rPr>
        <w:t>Chang, 2004)</w:t>
      </w:r>
      <w:r w:rsidRPr="002A163D">
        <w:rPr>
          <w:rFonts w:eastAsia="Batang"/>
          <w:color w:val="000000"/>
          <w:sz w:val="20"/>
          <w:szCs w:val="20"/>
          <w:lang w:eastAsia="ko-KR"/>
        </w:rPr>
        <w:t>.</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Abdominal examination for scars or </w:t>
      </w:r>
      <w:proofErr w:type="spellStart"/>
      <w:r w:rsidRPr="002A163D">
        <w:rPr>
          <w:sz w:val="20"/>
          <w:szCs w:val="20"/>
          <w:lang w:bidi="ar-EG"/>
        </w:rPr>
        <w:t>pelvi</w:t>
      </w:r>
      <w:proofErr w:type="spellEnd"/>
      <w:r w:rsidRPr="002A163D">
        <w:rPr>
          <w:sz w:val="20"/>
          <w:szCs w:val="20"/>
          <w:lang w:bidi="ar-EG"/>
        </w:rPr>
        <w:t>-abdominal swellings as fibroids.</w:t>
      </w:r>
    </w:p>
    <w:p w:rsidR="00B330B4" w:rsidRPr="002A163D" w:rsidRDefault="00B330B4" w:rsidP="002A163D">
      <w:pPr>
        <w:numPr>
          <w:ilvl w:val="0"/>
          <w:numId w:val="5"/>
        </w:numPr>
        <w:tabs>
          <w:tab w:val="clear" w:pos="795"/>
        </w:tabs>
        <w:bidi w:val="0"/>
        <w:snapToGrid w:val="0"/>
        <w:ind w:left="0" w:firstLine="425"/>
        <w:jc w:val="both"/>
        <w:rPr>
          <w:sz w:val="20"/>
          <w:szCs w:val="20"/>
          <w:lang w:bidi="ar-EG"/>
        </w:rPr>
      </w:pPr>
      <w:r w:rsidRPr="002A163D">
        <w:rPr>
          <w:sz w:val="20"/>
          <w:szCs w:val="20"/>
          <w:lang w:bidi="ar-EG"/>
        </w:rPr>
        <w:t>Local examinations for enlarged cystic ovaries, uterine size, mobility and speculum examination to exclude cervical and vaginal factors.</w:t>
      </w:r>
    </w:p>
    <w:p w:rsidR="00B330B4" w:rsidRPr="002A163D" w:rsidRDefault="00B330B4" w:rsidP="002A163D">
      <w:pPr>
        <w:bidi w:val="0"/>
        <w:snapToGrid w:val="0"/>
        <w:jc w:val="both"/>
        <w:rPr>
          <w:b/>
          <w:bCs/>
          <w:i/>
          <w:iCs/>
          <w:sz w:val="20"/>
          <w:szCs w:val="20"/>
        </w:rPr>
      </w:pPr>
      <w:r w:rsidRPr="002A163D">
        <w:rPr>
          <w:b/>
          <w:bCs/>
          <w:i/>
          <w:iCs/>
          <w:sz w:val="20"/>
          <w:szCs w:val="20"/>
        </w:rPr>
        <w:t>(C) Investigations:</w:t>
      </w:r>
    </w:p>
    <w:p w:rsidR="00B330B4" w:rsidRPr="002A163D" w:rsidRDefault="00B330B4" w:rsidP="002A163D">
      <w:pPr>
        <w:numPr>
          <w:ilvl w:val="0"/>
          <w:numId w:val="5"/>
        </w:numPr>
        <w:tabs>
          <w:tab w:val="clear" w:pos="795"/>
        </w:tabs>
        <w:bidi w:val="0"/>
        <w:snapToGrid w:val="0"/>
        <w:ind w:left="0" w:firstLine="0"/>
        <w:jc w:val="both"/>
        <w:rPr>
          <w:b/>
          <w:bCs/>
          <w:sz w:val="20"/>
          <w:szCs w:val="20"/>
          <w:lang w:bidi="ar-EG"/>
        </w:rPr>
      </w:pPr>
      <w:r w:rsidRPr="002A163D">
        <w:rPr>
          <w:b/>
          <w:bCs/>
          <w:sz w:val="20"/>
          <w:szCs w:val="20"/>
          <w:lang w:bidi="ar-EG"/>
        </w:rPr>
        <w:t>Diagnosis of PCO:</w:t>
      </w:r>
    </w:p>
    <w:p w:rsidR="00B330B4" w:rsidRPr="002A163D" w:rsidRDefault="00B330B4" w:rsidP="002A163D">
      <w:pPr>
        <w:numPr>
          <w:ilvl w:val="1"/>
          <w:numId w:val="5"/>
        </w:numPr>
        <w:tabs>
          <w:tab w:val="clear" w:pos="1515"/>
        </w:tabs>
        <w:bidi w:val="0"/>
        <w:snapToGrid w:val="0"/>
        <w:ind w:left="0" w:firstLine="0"/>
        <w:jc w:val="both"/>
        <w:rPr>
          <w:b/>
          <w:bCs/>
          <w:sz w:val="20"/>
          <w:szCs w:val="20"/>
          <w:lang w:bidi="ar-EG"/>
        </w:rPr>
      </w:pPr>
      <w:r w:rsidRPr="002A163D">
        <w:rPr>
          <w:b/>
          <w:bCs/>
          <w:sz w:val="20"/>
          <w:szCs w:val="20"/>
          <w:lang w:bidi="ar-EG"/>
        </w:rPr>
        <w:t>Diagnostic criteria of PCO:</w:t>
      </w:r>
    </w:p>
    <w:p w:rsidR="00B330B4" w:rsidRPr="002A163D" w:rsidRDefault="00B330B4" w:rsidP="002A163D">
      <w:pPr>
        <w:numPr>
          <w:ilvl w:val="2"/>
          <w:numId w:val="5"/>
        </w:numPr>
        <w:tabs>
          <w:tab w:val="clear" w:pos="2235"/>
        </w:tabs>
        <w:bidi w:val="0"/>
        <w:snapToGrid w:val="0"/>
        <w:ind w:left="0" w:firstLine="425"/>
        <w:jc w:val="both"/>
        <w:rPr>
          <w:sz w:val="20"/>
          <w:szCs w:val="20"/>
          <w:lang w:bidi="ar-EG"/>
        </w:rPr>
      </w:pPr>
      <w:proofErr w:type="spellStart"/>
      <w:r w:rsidRPr="002A163D">
        <w:rPr>
          <w:sz w:val="20"/>
          <w:szCs w:val="20"/>
          <w:lang w:bidi="ar-EG"/>
        </w:rPr>
        <w:t>Anovulation</w:t>
      </w:r>
      <w:proofErr w:type="spellEnd"/>
      <w:r w:rsidRPr="002A163D">
        <w:rPr>
          <w:sz w:val="20"/>
          <w:szCs w:val="20"/>
          <w:lang w:bidi="ar-EG"/>
        </w:rPr>
        <w:t>.</w:t>
      </w:r>
    </w:p>
    <w:p w:rsidR="00B330B4" w:rsidRPr="002A163D" w:rsidRDefault="00B330B4" w:rsidP="002A163D">
      <w:pPr>
        <w:numPr>
          <w:ilvl w:val="2"/>
          <w:numId w:val="5"/>
        </w:numPr>
        <w:tabs>
          <w:tab w:val="clear" w:pos="2235"/>
        </w:tabs>
        <w:bidi w:val="0"/>
        <w:snapToGrid w:val="0"/>
        <w:ind w:left="0" w:firstLine="425"/>
        <w:jc w:val="both"/>
        <w:rPr>
          <w:sz w:val="20"/>
          <w:szCs w:val="20"/>
          <w:lang w:bidi="ar-EG"/>
        </w:rPr>
      </w:pPr>
      <w:r w:rsidRPr="002A163D">
        <w:rPr>
          <w:sz w:val="20"/>
          <w:szCs w:val="20"/>
          <w:lang w:bidi="ar-EG"/>
        </w:rPr>
        <w:t xml:space="preserve">Excessive androgen detected by clinical criteria (clinical evaluation of </w:t>
      </w:r>
      <w:proofErr w:type="spellStart"/>
      <w:r w:rsidRPr="002A163D">
        <w:rPr>
          <w:sz w:val="20"/>
          <w:szCs w:val="20"/>
          <w:lang w:bidi="ar-EG"/>
        </w:rPr>
        <w:t>hirsutism</w:t>
      </w:r>
      <w:proofErr w:type="spellEnd"/>
      <w:r w:rsidRPr="002A163D">
        <w:rPr>
          <w:sz w:val="20"/>
          <w:szCs w:val="20"/>
          <w:lang w:bidi="ar-EG"/>
        </w:rPr>
        <w:t>).</w:t>
      </w:r>
    </w:p>
    <w:p w:rsidR="00B330B4" w:rsidRPr="002A163D" w:rsidRDefault="00B330B4" w:rsidP="002A163D">
      <w:pPr>
        <w:numPr>
          <w:ilvl w:val="1"/>
          <w:numId w:val="5"/>
        </w:numPr>
        <w:tabs>
          <w:tab w:val="clear" w:pos="1515"/>
        </w:tabs>
        <w:bidi w:val="0"/>
        <w:snapToGrid w:val="0"/>
        <w:ind w:left="0" w:firstLine="0"/>
        <w:jc w:val="both"/>
        <w:rPr>
          <w:b/>
          <w:bCs/>
          <w:sz w:val="20"/>
          <w:szCs w:val="20"/>
          <w:lang w:bidi="ar-EG"/>
        </w:rPr>
      </w:pPr>
      <w:r w:rsidRPr="002A163D">
        <w:rPr>
          <w:b/>
          <w:bCs/>
          <w:sz w:val="20"/>
          <w:szCs w:val="20"/>
          <w:lang w:bidi="ar-EG"/>
        </w:rPr>
        <w:t>Radiologic:</w:t>
      </w:r>
    </w:p>
    <w:p w:rsidR="00B330B4" w:rsidRPr="002A163D" w:rsidRDefault="00B330B4" w:rsidP="002A163D">
      <w:pPr>
        <w:numPr>
          <w:ilvl w:val="0"/>
          <w:numId w:val="8"/>
        </w:numPr>
        <w:bidi w:val="0"/>
        <w:snapToGrid w:val="0"/>
        <w:ind w:left="0" w:firstLine="425"/>
        <w:jc w:val="both"/>
        <w:rPr>
          <w:sz w:val="20"/>
          <w:szCs w:val="20"/>
          <w:lang w:bidi="ar-EG"/>
        </w:rPr>
      </w:pPr>
      <w:r w:rsidRPr="002A163D">
        <w:rPr>
          <w:sz w:val="20"/>
          <w:szCs w:val="20"/>
          <w:lang w:bidi="ar-EG"/>
        </w:rPr>
        <w:t xml:space="preserve">Trans-vaginal </w:t>
      </w:r>
      <w:proofErr w:type="spellStart"/>
      <w:r w:rsidRPr="002A163D">
        <w:rPr>
          <w:sz w:val="20"/>
          <w:szCs w:val="20"/>
          <w:lang w:bidi="ar-EG"/>
        </w:rPr>
        <w:t>ultrasonography</w:t>
      </w:r>
      <w:proofErr w:type="spellEnd"/>
      <w:r w:rsidRPr="002A163D">
        <w:rPr>
          <w:sz w:val="20"/>
          <w:szCs w:val="20"/>
          <w:lang w:bidi="ar-EG"/>
        </w:rPr>
        <w:t xml:space="preserve"> with </w:t>
      </w:r>
      <w:proofErr w:type="spellStart"/>
      <w:r w:rsidRPr="002A163D">
        <w:rPr>
          <w:sz w:val="20"/>
          <w:szCs w:val="20"/>
          <w:lang w:bidi="ar-EG"/>
        </w:rPr>
        <w:t>antral</w:t>
      </w:r>
      <w:proofErr w:type="spellEnd"/>
      <w:r w:rsidRPr="002A163D">
        <w:rPr>
          <w:sz w:val="20"/>
          <w:szCs w:val="20"/>
          <w:lang w:bidi="ar-EG"/>
        </w:rPr>
        <w:t xml:space="preserve"> follicular count more than12 at day 2 of the cycle or necklace appearance.</w:t>
      </w:r>
    </w:p>
    <w:p w:rsidR="00B330B4" w:rsidRPr="002A163D" w:rsidRDefault="00B330B4" w:rsidP="002A163D">
      <w:pPr>
        <w:bidi w:val="0"/>
        <w:snapToGrid w:val="0"/>
        <w:jc w:val="both"/>
        <w:rPr>
          <w:b/>
          <w:bCs/>
          <w:sz w:val="20"/>
          <w:szCs w:val="20"/>
          <w:lang w:bidi="ar-EG"/>
        </w:rPr>
      </w:pPr>
      <w:r w:rsidRPr="002A163D">
        <w:rPr>
          <w:b/>
          <w:bCs/>
          <w:sz w:val="20"/>
          <w:szCs w:val="20"/>
          <w:lang w:bidi="ar-EG"/>
        </w:rPr>
        <w:t>To fulfill inclusion and exclusion criteria:</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Semen analysis</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Thyroid stimulating hormone</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r w:rsidRPr="002A163D">
        <w:rPr>
          <w:sz w:val="20"/>
          <w:szCs w:val="20"/>
          <w:lang w:bidi="ar-EG"/>
        </w:rPr>
        <w:t xml:space="preserve">Serum </w:t>
      </w:r>
      <w:proofErr w:type="spellStart"/>
      <w:r w:rsidRPr="002A163D">
        <w:rPr>
          <w:sz w:val="20"/>
          <w:szCs w:val="20"/>
          <w:lang w:bidi="ar-EG"/>
        </w:rPr>
        <w:t>prolactin</w:t>
      </w:r>
      <w:proofErr w:type="spellEnd"/>
      <w:r w:rsidRPr="002A163D">
        <w:rPr>
          <w:sz w:val="20"/>
          <w:szCs w:val="20"/>
          <w:lang w:bidi="ar-EG"/>
        </w:rPr>
        <w:t>.</w:t>
      </w:r>
    </w:p>
    <w:p w:rsidR="00B330B4" w:rsidRPr="002A163D" w:rsidRDefault="00B330B4" w:rsidP="002A163D">
      <w:pPr>
        <w:numPr>
          <w:ilvl w:val="1"/>
          <w:numId w:val="5"/>
        </w:numPr>
        <w:tabs>
          <w:tab w:val="clear" w:pos="1515"/>
        </w:tabs>
        <w:bidi w:val="0"/>
        <w:snapToGrid w:val="0"/>
        <w:ind w:left="0" w:firstLine="425"/>
        <w:jc w:val="both"/>
        <w:rPr>
          <w:sz w:val="20"/>
          <w:szCs w:val="20"/>
          <w:lang w:bidi="ar-EG"/>
        </w:rPr>
      </w:pPr>
      <w:proofErr w:type="spellStart"/>
      <w:r w:rsidRPr="002A163D">
        <w:rPr>
          <w:sz w:val="20"/>
          <w:szCs w:val="20"/>
          <w:lang w:bidi="ar-EG"/>
        </w:rPr>
        <w:t>Hysterosalpingography</w:t>
      </w:r>
      <w:proofErr w:type="spellEnd"/>
      <w:r w:rsidRPr="002A163D">
        <w:rPr>
          <w:sz w:val="20"/>
          <w:szCs w:val="20"/>
          <w:lang w:bidi="ar-EG"/>
        </w:rPr>
        <w:t xml:space="preserve"> if the patient hasn’t had it done before.</w:t>
      </w:r>
    </w:p>
    <w:p w:rsidR="00B330B4" w:rsidRPr="002A163D" w:rsidRDefault="00B330B4" w:rsidP="002A163D">
      <w:pPr>
        <w:numPr>
          <w:ilvl w:val="0"/>
          <w:numId w:val="6"/>
        </w:numPr>
        <w:bidi w:val="0"/>
        <w:snapToGrid w:val="0"/>
        <w:ind w:left="0" w:firstLine="0"/>
        <w:jc w:val="both"/>
        <w:rPr>
          <w:sz w:val="20"/>
          <w:szCs w:val="20"/>
        </w:rPr>
      </w:pPr>
      <w:r w:rsidRPr="002A163D">
        <w:rPr>
          <w:b/>
          <w:bCs/>
          <w:sz w:val="20"/>
          <w:szCs w:val="20"/>
          <w:lang w:bidi="ar-EG"/>
        </w:rPr>
        <w:t>Measurement of progesterone level (</w:t>
      </w:r>
      <w:r w:rsidRPr="002A163D">
        <w:rPr>
          <w:b/>
          <w:bCs/>
          <w:sz w:val="20"/>
          <w:szCs w:val="20"/>
        </w:rPr>
        <w:t>approximately 7-9</w:t>
      </w:r>
      <w:r w:rsidRPr="002A163D">
        <w:rPr>
          <w:sz w:val="20"/>
          <w:szCs w:val="20"/>
        </w:rPr>
        <w:t xml:space="preserve"> days after ovulation) to evaluate occurrence of ovulation and </w:t>
      </w:r>
      <w:proofErr w:type="spellStart"/>
      <w:r w:rsidRPr="002A163D">
        <w:rPr>
          <w:sz w:val="20"/>
          <w:szCs w:val="20"/>
        </w:rPr>
        <w:t>luteal</w:t>
      </w:r>
      <w:proofErr w:type="spellEnd"/>
      <w:r w:rsidRPr="002A163D">
        <w:rPr>
          <w:sz w:val="20"/>
          <w:szCs w:val="20"/>
        </w:rPr>
        <w:t xml:space="preserve"> phase defect. </w:t>
      </w:r>
      <w:r w:rsidRPr="002A163D">
        <w:rPr>
          <w:color w:val="000000"/>
          <w:sz w:val="20"/>
          <w:szCs w:val="20"/>
        </w:rPr>
        <w:t>Common method used for the diagnosis of LPD is measurement of serum progesterone levels. Progesterone is secreted in pulses that reflect LH pulses, and levels may fluctuate up to 8-fold within 90 minutes</w:t>
      </w:r>
      <w:r w:rsidR="002A19E4" w:rsidRPr="002A163D">
        <w:rPr>
          <w:color w:val="000066"/>
          <w:sz w:val="20"/>
          <w:szCs w:val="20"/>
        </w:rPr>
        <w:t>.</w:t>
      </w:r>
      <w:r w:rsidR="002A19E4">
        <w:rPr>
          <w:color w:val="000066"/>
          <w:sz w:val="20"/>
          <w:szCs w:val="20"/>
        </w:rPr>
        <w:t xml:space="preserve"> </w:t>
      </w:r>
      <w:r w:rsidR="002A19E4" w:rsidRPr="002A163D">
        <w:rPr>
          <w:color w:val="000000"/>
          <w:sz w:val="20"/>
          <w:szCs w:val="20"/>
        </w:rPr>
        <w:t>I</w:t>
      </w:r>
      <w:r w:rsidRPr="002A163D">
        <w:rPr>
          <w:color w:val="000000"/>
          <w:sz w:val="20"/>
          <w:szCs w:val="20"/>
        </w:rPr>
        <w:t>n the absence of pregnancy, progesterone levels peak at 6 to 8 days after ovulation</w:t>
      </w:r>
      <w:r w:rsidRPr="002A163D">
        <w:rPr>
          <w:b/>
          <w:bCs/>
          <w:i/>
          <w:iCs/>
          <w:color w:val="000000"/>
          <w:sz w:val="20"/>
          <w:szCs w:val="20"/>
        </w:rPr>
        <w:t xml:space="preserve"> (</w:t>
      </w:r>
      <w:r w:rsidR="007D0D2C" w:rsidRPr="002A163D">
        <w:rPr>
          <w:b/>
          <w:bCs/>
          <w:i/>
          <w:iCs/>
          <w:color w:val="000000"/>
          <w:sz w:val="20"/>
          <w:szCs w:val="20"/>
        </w:rPr>
        <w:t>Rotterdam ESHRE/ASRM</w:t>
      </w:r>
      <w:r w:rsidRPr="002A163D">
        <w:rPr>
          <w:b/>
          <w:bCs/>
          <w:i/>
          <w:iCs/>
          <w:color w:val="000000"/>
          <w:sz w:val="20"/>
          <w:szCs w:val="20"/>
        </w:rPr>
        <w:t xml:space="preserve">, </w:t>
      </w:r>
      <w:r w:rsidR="007D0D2C" w:rsidRPr="002A163D">
        <w:rPr>
          <w:b/>
          <w:bCs/>
          <w:i/>
          <w:iCs/>
          <w:color w:val="000000"/>
          <w:sz w:val="20"/>
          <w:szCs w:val="20"/>
        </w:rPr>
        <w:t>2014</w:t>
      </w:r>
      <w:r w:rsidRPr="002A163D">
        <w:rPr>
          <w:b/>
          <w:bCs/>
          <w:i/>
          <w:iCs/>
          <w:color w:val="000000"/>
          <w:sz w:val="20"/>
          <w:szCs w:val="20"/>
        </w:rPr>
        <w:t>).</w:t>
      </w:r>
    </w:p>
    <w:p w:rsidR="00B330B4" w:rsidRPr="002A163D" w:rsidRDefault="00B330B4" w:rsidP="002A163D">
      <w:pPr>
        <w:autoSpaceDE w:val="0"/>
        <w:autoSpaceDN w:val="0"/>
        <w:bidi w:val="0"/>
        <w:adjustRightInd w:val="0"/>
        <w:snapToGrid w:val="0"/>
        <w:ind w:firstLine="425"/>
        <w:jc w:val="both"/>
        <w:rPr>
          <w:sz w:val="20"/>
          <w:szCs w:val="20"/>
        </w:rPr>
      </w:pPr>
      <w:r w:rsidRPr="002A163D">
        <w:rPr>
          <w:color w:val="000000"/>
          <w:sz w:val="20"/>
          <w:szCs w:val="20"/>
        </w:rPr>
        <w:t xml:space="preserve">Serum progesterone determinations provide a reliable and objective measure of </w:t>
      </w:r>
      <w:proofErr w:type="spellStart"/>
      <w:r w:rsidRPr="002A163D">
        <w:rPr>
          <w:color w:val="000000"/>
          <w:sz w:val="20"/>
          <w:szCs w:val="20"/>
        </w:rPr>
        <w:t>ovulatory</w:t>
      </w:r>
      <w:proofErr w:type="spellEnd"/>
      <w:r w:rsidRPr="002A163D">
        <w:rPr>
          <w:color w:val="000000"/>
          <w:sz w:val="20"/>
          <w:szCs w:val="20"/>
        </w:rPr>
        <w:t xml:space="preserve"> function as long as they are obtained at the appropriate time in the cycle. Given the range of normal variation in </w:t>
      </w:r>
      <w:proofErr w:type="spellStart"/>
      <w:r w:rsidRPr="002A163D">
        <w:rPr>
          <w:color w:val="000000"/>
          <w:sz w:val="20"/>
          <w:szCs w:val="20"/>
        </w:rPr>
        <w:t>ovulatory</w:t>
      </w:r>
      <w:proofErr w:type="spellEnd"/>
      <w:r w:rsidRPr="002A163D">
        <w:rPr>
          <w:color w:val="000000"/>
          <w:sz w:val="20"/>
          <w:szCs w:val="20"/>
        </w:rPr>
        <w:t xml:space="preserve"> cycles, a progesterone concentration greater than3 </w:t>
      </w:r>
      <w:proofErr w:type="spellStart"/>
      <w:r w:rsidRPr="002A163D">
        <w:rPr>
          <w:color w:val="000000"/>
          <w:sz w:val="20"/>
          <w:szCs w:val="20"/>
        </w:rPr>
        <w:t>ng/mL</w:t>
      </w:r>
      <w:proofErr w:type="spellEnd"/>
      <w:r w:rsidRPr="002A163D">
        <w:rPr>
          <w:color w:val="000000"/>
          <w:sz w:val="20"/>
          <w:szCs w:val="20"/>
        </w:rPr>
        <w:t xml:space="preserve"> provides presumptive but reliable evidence of recent ovulation. Although higher threshold values have been used commonly as a measure of the quality of </w:t>
      </w:r>
      <w:proofErr w:type="spellStart"/>
      <w:r w:rsidRPr="002A163D">
        <w:rPr>
          <w:color w:val="000000"/>
          <w:sz w:val="20"/>
          <w:szCs w:val="20"/>
        </w:rPr>
        <w:t>luteal</w:t>
      </w:r>
      <w:proofErr w:type="spellEnd"/>
      <w:r w:rsidRPr="002A163D">
        <w:rPr>
          <w:color w:val="000000"/>
          <w:sz w:val="20"/>
          <w:szCs w:val="20"/>
        </w:rPr>
        <w:t xml:space="preserve"> function (e.g., </w:t>
      </w:r>
      <w:r w:rsidRPr="002A163D">
        <w:rPr>
          <w:b/>
          <w:bCs/>
          <w:sz w:val="20"/>
          <w:szCs w:val="20"/>
        </w:rPr>
        <w:t xml:space="preserve">≥ </w:t>
      </w:r>
      <w:r w:rsidRPr="002A163D">
        <w:rPr>
          <w:color w:val="000000"/>
          <w:sz w:val="20"/>
          <w:szCs w:val="20"/>
        </w:rPr>
        <w:t xml:space="preserve">10 </w:t>
      </w:r>
      <w:proofErr w:type="spellStart"/>
      <w:r w:rsidRPr="002A163D">
        <w:rPr>
          <w:color w:val="000000"/>
          <w:sz w:val="20"/>
          <w:szCs w:val="20"/>
        </w:rPr>
        <w:lastRenderedPageBreak/>
        <w:t>ng/mL</w:t>
      </w:r>
      <w:proofErr w:type="spellEnd"/>
      <w:r w:rsidRPr="002A163D">
        <w:rPr>
          <w:color w:val="000000"/>
          <w:sz w:val="20"/>
          <w:szCs w:val="20"/>
        </w:rPr>
        <w:t>)</w:t>
      </w:r>
      <w:r w:rsidRPr="002A163D">
        <w:rPr>
          <w:color w:val="000066"/>
          <w:sz w:val="20"/>
          <w:szCs w:val="20"/>
        </w:rPr>
        <w:t xml:space="preserve">, </w:t>
      </w:r>
      <w:r w:rsidRPr="002A163D">
        <w:rPr>
          <w:color w:val="000000"/>
          <w:sz w:val="20"/>
          <w:szCs w:val="20"/>
        </w:rPr>
        <w:t xml:space="preserve">the criterion is not reliable because corpus </w:t>
      </w:r>
      <w:proofErr w:type="spellStart"/>
      <w:r w:rsidRPr="002A163D">
        <w:rPr>
          <w:color w:val="000000"/>
          <w:sz w:val="20"/>
          <w:szCs w:val="20"/>
        </w:rPr>
        <w:t>luteum</w:t>
      </w:r>
      <w:proofErr w:type="spellEnd"/>
      <w:r w:rsidRPr="002A163D">
        <w:rPr>
          <w:color w:val="000000"/>
          <w:sz w:val="20"/>
          <w:szCs w:val="20"/>
        </w:rPr>
        <w:t xml:space="preserve"> progesterone secretion is </w:t>
      </w:r>
      <w:proofErr w:type="spellStart"/>
      <w:r w:rsidRPr="002A163D">
        <w:rPr>
          <w:color w:val="000000"/>
          <w:sz w:val="20"/>
          <w:szCs w:val="20"/>
        </w:rPr>
        <w:t>pulsatile</w:t>
      </w:r>
      <w:proofErr w:type="spellEnd"/>
      <w:r w:rsidRPr="002A163D">
        <w:rPr>
          <w:color w:val="000000"/>
          <w:sz w:val="20"/>
          <w:szCs w:val="20"/>
        </w:rPr>
        <w:t xml:space="preserve"> and serum concentrations may vary up to 7-fold within an interval of few hours</w:t>
      </w:r>
      <w:r w:rsidRPr="002A163D">
        <w:rPr>
          <w:b/>
          <w:bCs/>
          <w:i/>
          <w:iCs/>
          <w:color w:val="000000"/>
          <w:sz w:val="20"/>
          <w:szCs w:val="20"/>
        </w:rPr>
        <w:t xml:space="preserve"> (</w:t>
      </w:r>
      <w:r w:rsidR="003E472E" w:rsidRPr="002A163D">
        <w:rPr>
          <w:b/>
          <w:bCs/>
          <w:i/>
          <w:iCs/>
          <w:color w:val="000000"/>
          <w:sz w:val="20"/>
          <w:szCs w:val="20"/>
        </w:rPr>
        <w:t>Rotterdam ESHRE/ASRM, 2014</w:t>
      </w:r>
      <w:r w:rsidRPr="002A163D">
        <w:rPr>
          <w:b/>
          <w:bCs/>
          <w:i/>
          <w:iCs/>
          <w:color w:val="000000"/>
          <w:sz w:val="20"/>
          <w:szCs w:val="20"/>
        </w:rPr>
        <w:t>).</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lang w:bidi="ar-EG"/>
        </w:rPr>
        <w:t xml:space="preserve">All the patients' induction of ovulation starting from day 3 of the cycle with </w:t>
      </w:r>
      <w:proofErr w:type="spellStart"/>
      <w:r w:rsidRPr="002A163D">
        <w:rPr>
          <w:sz w:val="20"/>
          <w:szCs w:val="20"/>
          <w:lang w:bidi="ar-EG"/>
        </w:rPr>
        <w:t>clomiphene</w:t>
      </w:r>
      <w:proofErr w:type="spellEnd"/>
      <w:r w:rsidRPr="002A163D">
        <w:rPr>
          <w:sz w:val="20"/>
          <w:szCs w:val="20"/>
          <w:lang w:bidi="ar-EG"/>
        </w:rPr>
        <w:t xml:space="preserve"> citrate 50 mg tablets in a dose of twice daily for 5 successive days.</w:t>
      </w:r>
    </w:p>
    <w:p w:rsidR="00B330B4" w:rsidRPr="002A163D" w:rsidRDefault="00B330B4" w:rsidP="002A163D">
      <w:pPr>
        <w:autoSpaceDE w:val="0"/>
        <w:autoSpaceDN w:val="0"/>
        <w:bidi w:val="0"/>
        <w:adjustRightInd w:val="0"/>
        <w:snapToGrid w:val="0"/>
        <w:ind w:firstLine="425"/>
        <w:jc w:val="both"/>
        <w:rPr>
          <w:sz w:val="20"/>
          <w:szCs w:val="20"/>
          <w:lang w:bidi="ar-EG"/>
        </w:rPr>
      </w:pPr>
      <w:r w:rsidRPr="002A163D">
        <w:rPr>
          <w:sz w:val="20"/>
          <w:szCs w:val="20"/>
        </w:rPr>
        <w:t>Early administration of CC in patients with PCOS will lead to more follicular growth and endometrial thickness, which might result in higher pregnancy rate</w:t>
      </w:r>
      <w:r w:rsidRPr="002A163D">
        <w:rPr>
          <w:b/>
          <w:bCs/>
          <w:i/>
          <w:iCs/>
          <w:sz w:val="20"/>
          <w:szCs w:val="20"/>
        </w:rPr>
        <w:t xml:space="preserve"> (</w:t>
      </w:r>
      <w:proofErr w:type="spellStart"/>
      <w:r w:rsidRPr="002A163D">
        <w:rPr>
          <w:b/>
          <w:bCs/>
          <w:i/>
          <w:iCs/>
          <w:sz w:val="20"/>
          <w:szCs w:val="20"/>
        </w:rPr>
        <w:t>Badawy</w:t>
      </w:r>
      <w:proofErr w:type="spellEnd"/>
      <w:r w:rsidRPr="002A163D">
        <w:rPr>
          <w:b/>
          <w:bCs/>
          <w:i/>
          <w:iCs/>
          <w:sz w:val="20"/>
          <w:szCs w:val="20"/>
        </w:rPr>
        <w:t xml:space="preserve"> et al., 2009).</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lang w:bidi="ar-EG"/>
        </w:rPr>
        <w:t xml:space="preserve">A </w:t>
      </w:r>
      <w:proofErr w:type="spellStart"/>
      <w:r w:rsidRPr="002A163D">
        <w:rPr>
          <w:sz w:val="20"/>
          <w:szCs w:val="20"/>
          <w:lang w:bidi="ar-EG"/>
        </w:rPr>
        <w:t>folliculometry</w:t>
      </w:r>
      <w:proofErr w:type="spellEnd"/>
      <w:r w:rsidRPr="002A163D">
        <w:rPr>
          <w:sz w:val="20"/>
          <w:szCs w:val="20"/>
          <w:lang w:bidi="ar-EG"/>
        </w:rPr>
        <w:t xml:space="preserve"> was done for all patients starting at day 10 of the cycle with trans-vaginal </w:t>
      </w:r>
      <w:proofErr w:type="spellStart"/>
      <w:r w:rsidRPr="002A163D">
        <w:rPr>
          <w:sz w:val="20"/>
          <w:szCs w:val="20"/>
          <w:lang w:bidi="ar-EG"/>
        </w:rPr>
        <w:t>ultrasonography</w:t>
      </w:r>
      <w:proofErr w:type="spellEnd"/>
      <w:r w:rsidRPr="002A163D">
        <w:rPr>
          <w:sz w:val="20"/>
          <w:szCs w:val="20"/>
          <w:lang w:bidi="ar-EG"/>
        </w:rPr>
        <w:t xml:space="preserve"> till reaching the size of mature follicle being 18-22 mm in diameter. Endometrial thickness is measured with trans-vaginal </w:t>
      </w:r>
      <w:proofErr w:type="spellStart"/>
      <w:r w:rsidRPr="002A163D">
        <w:rPr>
          <w:sz w:val="20"/>
          <w:szCs w:val="20"/>
          <w:lang w:bidi="ar-EG"/>
        </w:rPr>
        <w:t>ultrasonography</w:t>
      </w:r>
      <w:proofErr w:type="spellEnd"/>
      <w:r w:rsidRPr="002A163D">
        <w:rPr>
          <w:sz w:val="20"/>
          <w:szCs w:val="20"/>
          <w:lang w:bidi="ar-EG"/>
        </w:rPr>
        <w:t>. Normal thickness equal 8 mm</w:t>
      </w:r>
      <w:r w:rsidR="002A19E4" w:rsidRPr="002A163D">
        <w:rPr>
          <w:sz w:val="20"/>
          <w:szCs w:val="20"/>
          <w:lang w:bidi="ar-EG"/>
        </w:rPr>
        <w:t>.</w:t>
      </w:r>
      <w:r w:rsidR="002A19E4">
        <w:rPr>
          <w:sz w:val="20"/>
          <w:szCs w:val="20"/>
          <w:lang w:bidi="ar-EG"/>
        </w:rPr>
        <w:t xml:space="preserve"> </w:t>
      </w:r>
      <w:r w:rsidR="002A19E4" w:rsidRPr="002A163D">
        <w:rPr>
          <w:sz w:val="20"/>
          <w:szCs w:val="20"/>
          <w:lang w:bidi="ar-EG"/>
        </w:rPr>
        <w:t>R</w:t>
      </w:r>
      <w:r w:rsidRPr="002A163D">
        <w:rPr>
          <w:sz w:val="20"/>
          <w:szCs w:val="20"/>
          <w:lang w:bidi="ar-EG"/>
        </w:rPr>
        <w:t>esistant patients showing poor follicular development were excluded.</w:t>
      </w:r>
    </w:p>
    <w:p w:rsidR="00B330B4" w:rsidRPr="002A163D" w:rsidRDefault="00B330B4" w:rsidP="002A163D">
      <w:pPr>
        <w:autoSpaceDE w:val="0"/>
        <w:autoSpaceDN w:val="0"/>
        <w:bidi w:val="0"/>
        <w:adjustRightInd w:val="0"/>
        <w:snapToGrid w:val="0"/>
        <w:ind w:firstLine="425"/>
        <w:jc w:val="both"/>
        <w:rPr>
          <w:sz w:val="20"/>
          <w:szCs w:val="20"/>
        </w:rPr>
      </w:pPr>
      <w:r w:rsidRPr="002A163D">
        <w:rPr>
          <w:rFonts w:eastAsia="Batang"/>
          <w:sz w:val="20"/>
          <w:szCs w:val="20"/>
        </w:rPr>
        <w:t xml:space="preserve">Typically, progesterone levels are obtained approximately 12-14 days after the completion of </w:t>
      </w:r>
      <w:proofErr w:type="spellStart"/>
      <w:r w:rsidRPr="002A163D">
        <w:rPr>
          <w:rFonts w:eastAsia="Batang"/>
          <w:sz w:val="20"/>
          <w:szCs w:val="20"/>
        </w:rPr>
        <w:t>clomiphene</w:t>
      </w:r>
      <w:proofErr w:type="spellEnd"/>
      <w:r w:rsidRPr="002A163D">
        <w:rPr>
          <w:rFonts w:eastAsia="Batang"/>
          <w:sz w:val="20"/>
          <w:szCs w:val="20"/>
        </w:rPr>
        <w:t xml:space="preserve"> to assess ovulation</w:t>
      </w:r>
      <w:r w:rsidR="002A19E4" w:rsidRPr="002A163D">
        <w:rPr>
          <w:rFonts w:eastAsia="Batang"/>
          <w:sz w:val="20"/>
          <w:szCs w:val="20"/>
        </w:rPr>
        <w:t>.</w:t>
      </w:r>
      <w:r w:rsidR="002A19E4">
        <w:rPr>
          <w:rFonts w:eastAsia="Batang"/>
          <w:sz w:val="20"/>
          <w:szCs w:val="20"/>
        </w:rPr>
        <w:t xml:space="preserve"> </w:t>
      </w:r>
      <w:r w:rsidR="002A19E4" w:rsidRPr="002A163D">
        <w:rPr>
          <w:rFonts w:eastAsia="Batang"/>
          <w:sz w:val="20"/>
          <w:szCs w:val="20"/>
        </w:rPr>
        <w:t>I</w:t>
      </w:r>
      <w:r w:rsidRPr="002A163D">
        <w:rPr>
          <w:rFonts w:eastAsia="Batang"/>
          <w:sz w:val="20"/>
          <w:szCs w:val="20"/>
        </w:rPr>
        <w:t xml:space="preserve">f the cycle is </w:t>
      </w:r>
      <w:proofErr w:type="spellStart"/>
      <w:r w:rsidRPr="002A163D">
        <w:rPr>
          <w:rFonts w:eastAsia="Batang"/>
          <w:sz w:val="20"/>
          <w:szCs w:val="20"/>
        </w:rPr>
        <w:t>anovulatory</w:t>
      </w:r>
      <w:proofErr w:type="spellEnd"/>
      <w:r w:rsidRPr="002A163D">
        <w:rPr>
          <w:rFonts w:eastAsia="Batang"/>
          <w:sz w:val="20"/>
          <w:szCs w:val="20"/>
        </w:rPr>
        <w:t xml:space="preserve">, the </w:t>
      </w:r>
      <w:proofErr w:type="spellStart"/>
      <w:r w:rsidRPr="002A163D">
        <w:rPr>
          <w:rFonts w:eastAsia="Batang"/>
          <w:sz w:val="20"/>
          <w:szCs w:val="20"/>
        </w:rPr>
        <w:t>clomiphene</w:t>
      </w:r>
      <w:proofErr w:type="spellEnd"/>
      <w:r w:rsidRPr="002A163D">
        <w:rPr>
          <w:rFonts w:eastAsia="Batang"/>
          <w:sz w:val="20"/>
          <w:szCs w:val="20"/>
        </w:rPr>
        <w:t xml:space="preserve"> dose is increased by 50 mg in the subsequent cycle. Using this approach, 52% ovulate in response to 50 mg, and 22% ovulate with 100 mg, and 12% respond to 150 mg </w:t>
      </w:r>
      <w:r w:rsidRPr="002A163D">
        <w:rPr>
          <w:rFonts w:eastAsia="Batang"/>
          <w:b/>
          <w:bCs/>
          <w:i/>
          <w:iCs/>
          <w:sz w:val="20"/>
          <w:szCs w:val="20"/>
        </w:rPr>
        <w:t>(Hurst et al., 2009)</w:t>
      </w:r>
      <w:r w:rsidRPr="002A163D">
        <w:rPr>
          <w:rFonts w:eastAsia="Batang"/>
          <w:sz w:val="20"/>
          <w:szCs w:val="20"/>
        </w:rPr>
        <w:t>.</w:t>
      </w:r>
    </w:p>
    <w:p w:rsidR="002A19E4" w:rsidRDefault="00B330B4" w:rsidP="002A163D">
      <w:pPr>
        <w:autoSpaceDE w:val="0"/>
        <w:autoSpaceDN w:val="0"/>
        <w:bidi w:val="0"/>
        <w:adjustRightInd w:val="0"/>
        <w:snapToGrid w:val="0"/>
        <w:ind w:firstLine="425"/>
        <w:jc w:val="both"/>
        <w:rPr>
          <w:sz w:val="20"/>
          <w:szCs w:val="20"/>
        </w:rPr>
      </w:pPr>
      <w:r w:rsidRPr="002A163D">
        <w:rPr>
          <w:sz w:val="20"/>
          <w:szCs w:val="20"/>
        </w:rPr>
        <w:t>Patients were assigned randomly to either group A or B through closed envelop and the patient choose their group blindl</w:t>
      </w:r>
      <w:r w:rsidR="002A19E4" w:rsidRPr="002A163D">
        <w:rPr>
          <w:sz w:val="20"/>
          <w:szCs w:val="20"/>
        </w:rPr>
        <w:t>y</w:t>
      </w:r>
      <w:r w:rsidR="002A19E4">
        <w:rPr>
          <w:sz w:val="20"/>
          <w:szCs w:val="20"/>
        </w:rPr>
        <w:t>.</w:t>
      </w:r>
    </w:p>
    <w:p w:rsidR="00B330B4" w:rsidRPr="002A163D" w:rsidRDefault="00B330B4" w:rsidP="002A163D">
      <w:pPr>
        <w:pStyle w:val="NormalWeb"/>
        <w:snapToGrid w:val="0"/>
        <w:spacing w:before="0" w:beforeAutospacing="0" w:after="0" w:afterAutospacing="0"/>
        <w:jc w:val="both"/>
        <w:rPr>
          <w:sz w:val="20"/>
          <w:szCs w:val="20"/>
        </w:rPr>
      </w:pPr>
      <w:r w:rsidRPr="002A163D">
        <w:rPr>
          <w:b/>
          <w:bCs/>
          <w:i/>
          <w:iCs/>
          <w:sz w:val="20"/>
          <w:szCs w:val="20"/>
          <w:lang w:bidi="ar-EG"/>
        </w:rPr>
        <w:t>Group A</w:t>
      </w:r>
      <w:r w:rsidRPr="002A163D">
        <w:rPr>
          <w:sz w:val="20"/>
          <w:szCs w:val="20"/>
          <w:lang w:bidi="ar-EG"/>
        </w:rPr>
        <w:t xml:space="preserve">: </w:t>
      </w:r>
      <w:r w:rsidRPr="002A163D">
        <w:rPr>
          <w:sz w:val="20"/>
          <w:szCs w:val="20"/>
        </w:rPr>
        <w:t>includes 40 women who received</w:t>
      </w:r>
      <w:r w:rsidRPr="002A163D">
        <w:rPr>
          <w:sz w:val="20"/>
          <w:szCs w:val="20"/>
          <w:lang w:bidi="ar-EG"/>
        </w:rPr>
        <w:t xml:space="preserve"> LHRH analogue (</w:t>
      </w:r>
      <w:proofErr w:type="spellStart"/>
      <w:r w:rsidRPr="002A163D">
        <w:rPr>
          <w:sz w:val="20"/>
          <w:szCs w:val="20"/>
        </w:rPr>
        <w:t>Triptorelin</w:t>
      </w:r>
      <w:proofErr w:type="spellEnd"/>
      <w:r w:rsidRPr="002A163D">
        <w:rPr>
          <w:sz w:val="20"/>
          <w:szCs w:val="20"/>
          <w:lang w:bidi="ar-EG"/>
        </w:rPr>
        <w:t xml:space="preserve">)in a single dose of 0.2mg subcutaneous </w:t>
      </w:r>
      <w:r w:rsidRPr="002A163D">
        <w:rPr>
          <w:b/>
          <w:bCs/>
          <w:i/>
          <w:iCs/>
          <w:sz w:val="20"/>
          <w:szCs w:val="20"/>
          <w:lang w:bidi="ar-EG"/>
        </w:rPr>
        <w:t>(</w:t>
      </w:r>
      <w:proofErr w:type="spellStart"/>
      <w:r w:rsidRPr="002A163D">
        <w:rPr>
          <w:b/>
          <w:bCs/>
          <w:i/>
          <w:iCs/>
          <w:sz w:val="20"/>
          <w:szCs w:val="20"/>
          <w:lang w:bidi="ar-EG"/>
        </w:rPr>
        <w:t>Humaidan</w:t>
      </w:r>
      <w:proofErr w:type="spellEnd"/>
      <w:r w:rsidRPr="002A163D">
        <w:rPr>
          <w:b/>
          <w:bCs/>
          <w:i/>
          <w:iCs/>
          <w:sz w:val="20"/>
          <w:szCs w:val="20"/>
          <w:lang w:bidi="ar-EG"/>
        </w:rPr>
        <w:t xml:space="preserve"> et al., 2011)</w:t>
      </w:r>
      <w:r w:rsidRPr="002A163D">
        <w:rPr>
          <w:sz w:val="20"/>
          <w:szCs w:val="20"/>
          <w:lang w:bidi="ar-EG"/>
        </w:rPr>
        <w:t xml:space="preserve"> in the day of follicular maturation (by trans-vaginal </w:t>
      </w:r>
      <w:proofErr w:type="spellStart"/>
      <w:r w:rsidRPr="002A163D">
        <w:rPr>
          <w:sz w:val="20"/>
          <w:szCs w:val="20"/>
          <w:lang w:bidi="ar-EG"/>
        </w:rPr>
        <w:t>ultrasongraphy</w:t>
      </w:r>
      <w:proofErr w:type="spellEnd"/>
      <w:r w:rsidRPr="002A163D">
        <w:rPr>
          <w:sz w:val="20"/>
          <w:szCs w:val="20"/>
          <w:lang w:bidi="ar-EG"/>
        </w:rPr>
        <w:t xml:space="preserve"> when follicular size </w:t>
      </w:r>
      <w:proofErr w:type="spellStart"/>
      <w:r w:rsidRPr="002A163D">
        <w:rPr>
          <w:sz w:val="20"/>
          <w:szCs w:val="20"/>
          <w:lang w:bidi="ar-EG"/>
        </w:rPr>
        <w:t>reachs</w:t>
      </w:r>
      <w:proofErr w:type="spellEnd"/>
      <w:r w:rsidRPr="002A163D">
        <w:rPr>
          <w:sz w:val="20"/>
          <w:szCs w:val="20"/>
          <w:lang w:bidi="ar-EG"/>
        </w:rPr>
        <w:t xml:space="preserve"> 18-22 mm in diameter) to trigger ovulation followed by planned intercourse within the following 36 hours.</w:t>
      </w:r>
    </w:p>
    <w:p w:rsidR="00B330B4" w:rsidRPr="002A163D" w:rsidRDefault="00B330B4" w:rsidP="002A163D">
      <w:pPr>
        <w:autoSpaceDE w:val="0"/>
        <w:autoSpaceDN w:val="0"/>
        <w:bidi w:val="0"/>
        <w:adjustRightInd w:val="0"/>
        <w:snapToGrid w:val="0"/>
        <w:jc w:val="both"/>
        <w:rPr>
          <w:sz w:val="20"/>
          <w:szCs w:val="20"/>
        </w:rPr>
      </w:pPr>
      <w:r w:rsidRPr="002A163D">
        <w:rPr>
          <w:b/>
          <w:bCs/>
          <w:i/>
          <w:iCs/>
          <w:sz w:val="20"/>
          <w:szCs w:val="20"/>
          <w:lang w:bidi="ar-EG"/>
        </w:rPr>
        <w:t>Group B</w:t>
      </w:r>
      <w:r w:rsidRPr="002A163D">
        <w:rPr>
          <w:sz w:val="20"/>
          <w:szCs w:val="20"/>
          <w:lang w:bidi="ar-EG"/>
        </w:rPr>
        <w:t>:</w:t>
      </w:r>
      <w:r w:rsidRPr="002A163D">
        <w:rPr>
          <w:sz w:val="20"/>
          <w:szCs w:val="20"/>
        </w:rPr>
        <w:t xml:space="preserve"> includes40 women who received</w:t>
      </w:r>
      <w:r w:rsidRPr="002A163D">
        <w:rPr>
          <w:sz w:val="20"/>
          <w:szCs w:val="20"/>
          <w:lang w:bidi="ar-EG"/>
        </w:rPr>
        <w:t xml:space="preserve"> HCG in a dose of 10,000 IU IM in day of follicular maturation to (by trans-vaginal </w:t>
      </w:r>
      <w:proofErr w:type="spellStart"/>
      <w:r w:rsidRPr="002A163D">
        <w:rPr>
          <w:sz w:val="20"/>
          <w:szCs w:val="20"/>
          <w:lang w:bidi="ar-EG"/>
        </w:rPr>
        <w:t>ultrasongraphy</w:t>
      </w:r>
      <w:proofErr w:type="spellEnd"/>
      <w:r w:rsidRPr="002A163D">
        <w:rPr>
          <w:sz w:val="20"/>
          <w:szCs w:val="20"/>
          <w:lang w:bidi="ar-EG"/>
        </w:rPr>
        <w:t xml:space="preserve"> when follicular size reaches 18-22 mm in </w:t>
      </w:r>
      <w:proofErr w:type="spellStart"/>
      <w:r w:rsidRPr="002A163D">
        <w:rPr>
          <w:sz w:val="20"/>
          <w:szCs w:val="20"/>
          <w:lang w:bidi="ar-EG"/>
        </w:rPr>
        <w:t>diamerter</w:t>
      </w:r>
      <w:proofErr w:type="spellEnd"/>
      <w:r w:rsidRPr="002A163D">
        <w:rPr>
          <w:sz w:val="20"/>
          <w:szCs w:val="20"/>
          <w:lang w:bidi="ar-EG"/>
        </w:rPr>
        <w:t>) trigger ovulation followed by planned intercourse within the following 36 hours.</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lang w:bidi="ar-EG"/>
        </w:rPr>
        <w:t>Patients who did not get pregnant were followed up with same procedure for 3 successive cycles.</w:t>
      </w:r>
    </w:p>
    <w:p w:rsidR="00B330B4" w:rsidRPr="002A163D" w:rsidRDefault="00B330B4" w:rsidP="002A163D">
      <w:pPr>
        <w:autoSpaceDE w:val="0"/>
        <w:autoSpaceDN w:val="0"/>
        <w:bidi w:val="0"/>
        <w:adjustRightInd w:val="0"/>
        <w:snapToGrid w:val="0"/>
        <w:jc w:val="both"/>
        <w:rPr>
          <w:b/>
          <w:bCs/>
          <w:i/>
          <w:iCs/>
          <w:sz w:val="20"/>
          <w:szCs w:val="20"/>
        </w:rPr>
      </w:pPr>
      <w:r w:rsidRPr="002A163D">
        <w:rPr>
          <w:b/>
          <w:bCs/>
          <w:i/>
          <w:iCs/>
          <w:sz w:val="20"/>
          <w:szCs w:val="20"/>
        </w:rPr>
        <w:t>The following parameters were compared in both groups:</w:t>
      </w:r>
    </w:p>
    <w:p w:rsidR="00B330B4" w:rsidRPr="002A163D" w:rsidRDefault="00B330B4" w:rsidP="002A163D">
      <w:pPr>
        <w:pStyle w:val="1"/>
        <w:numPr>
          <w:ilvl w:val="0"/>
          <w:numId w:val="7"/>
        </w:numPr>
        <w:bidi w:val="0"/>
        <w:snapToGrid w:val="0"/>
        <w:spacing w:after="0" w:line="240" w:lineRule="auto"/>
        <w:ind w:left="0" w:firstLine="425"/>
        <w:jc w:val="both"/>
        <w:rPr>
          <w:rFonts w:ascii="Times New Roman" w:hAnsi="Times New Roman" w:cs="Times New Roman"/>
          <w:sz w:val="20"/>
          <w:szCs w:val="20"/>
          <w:lang w:bidi="ar-EG"/>
        </w:rPr>
      </w:pPr>
      <w:r w:rsidRPr="002A163D">
        <w:rPr>
          <w:rFonts w:ascii="Times New Roman" w:hAnsi="Times New Roman" w:cs="Times New Roman"/>
          <w:sz w:val="20"/>
          <w:szCs w:val="20"/>
          <w:lang w:bidi="ar-EG"/>
        </w:rPr>
        <w:t>Ovulation rate.</w:t>
      </w:r>
    </w:p>
    <w:p w:rsidR="00B330B4" w:rsidRPr="002A163D" w:rsidRDefault="00B330B4" w:rsidP="002A163D">
      <w:pPr>
        <w:pStyle w:val="1"/>
        <w:numPr>
          <w:ilvl w:val="0"/>
          <w:numId w:val="7"/>
        </w:numPr>
        <w:bidi w:val="0"/>
        <w:snapToGrid w:val="0"/>
        <w:spacing w:after="0" w:line="240" w:lineRule="auto"/>
        <w:ind w:left="0" w:firstLine="425"/>
        <w:jc w:val="both"/>
        <w:rPr>
          <w:rFonts w:ascii="Times New Roman" w:hAnsi="Times New Roman" w:cs="Times New Roman"/>
          <w:sz w:val="20"/>
          <w:szCs w:val="20"/>
          <w:lang w:bidi="ar-EG"/>
        </w:rPr>
      </w:pPr>
      <w:r w:rsidRPr="002A163D">
        <w:rPr>
          <w:rFonts w:ascii="Times New Roman" w:hAnsi="Times New Roman" w:cs="Times New Roman"/>
          <w:sz w:val="20"/>
          <w:szCs w:val="20"/>
        </w:rPr>
        <w:t xml:space="preserve">The occurrence of </w:t>
      </w:r>
      <w:proofErr w:type="spellStart"/>
      <w:r w:rsidRPr="002A163D">
        <w:rPr>
          <w:rFonts w:ascii="Times New Roman" w:hAnsi="Times New Roman" w:cs="Times New Roman"/>
          <w:sz w:val="20"/>
          <w:szCs w:val="20"/>
        </w:rPr>
        <w:t>luteal</w:t>
      </w:r>
      <w:proofErr w:type="spellEnd"/>
      <w:r w:rsidRPr="002A163D">
        <w:rPr>
          <w:rFonts w:ascii="Times New Roman" w:hAnsi="Times New Roman" w:cs="Times New Roman"/>
          <w:sz w:val="20"/>
          <w:szCs w:val="20"/>
        </w:rPr>
        <w:t xml:space="preserve"> phase defect</w:t>
      </w:r>
      <w:r w:rsidRPr="002A163D">
        <w:rPr>
          <w:rFonts w:ascii="Times New Roman" w:hAnsi="Times New Roman" w:cs="Times New Roman"/>
          <w:sz w:val="20"/>
          <w:szCs w:val="20"/>
          <w:lang w:bidi="ar-EG"/>
        </w:rPr>
        <w:t>.</w:t>
      </w:r>
    </w:p>
    <w:p w:rsidR="00B330B4" w:rsidRPr="002A163D" w:rsidRDefault="00B330B4" w:rsidP="002A163D">
      <w:pPr>
        <w:pStyle w:val="1"/>
        <w:numPr>
          <w:ilvl w:val="0"/>
          <w:numId w:val="7"/>
        </w:numPr>
        <w:bidi w:val="0"/>
        <w:snapToGrid w:val="0"/>
        <w:spacing w:after="0" w:line="240" w:lineRule="auto"/>
        <w:ind w:left="0" w:firstLine="425"/>
        <w:jc w:val="both"/>
        <w:rPr>
          <w:rFonts w:ascii="Times New Roman" w:hAnsi="Times New Roman" w:cs="Times New Roman"/>
          <w:sz w:val="20"/>
          <w:szCs w:val="20"/>
          <w:lang w:bidi="ar-EG"/>
        </w:rPr>
      </w:pPr>
      <w:r w:rsidRPr="002A163D">
        <w:rPr>
          <w:rFonts w:ascii="Times New Roman" w:hAnsi="Times New Roman" w:cs="Times New Roman"/>
          <w:sz w:val="20"/>
          <w:szCs w:val="20"/>
        </w:rPr>
        <w:t>T</w:t>
      </w:r>
      <w:r w:rsidRPr="002A163D">
        <w:rPr>
          <w:rFonts w:ascii="Times New Roman" w:hAnsi="Times New Roman" w:cs="Times New Roman"/>
          <w:sz w:val="20"/>
          <w:szCs w:val="20"/>
          <w:lang w:bidi="ar-EG"/>
        </w:rPr>
        <w:t>he pregnancy rates.</w:t>
      </w:r>
    </w:p>
    <w:p w:rsidR="00B330B4" w:rsidRPr="002A163D" w:rsidRDefault="00B330B4" w:rsidP="002A163D">
      <w:pPr>
        <w:bidi w:val="0"/>
        <w:snapToGrid w:val="0"/>
        <w:jc w:val="both"/>
        <w:rPr>
          <w:sz w:val="20"/>
          <w:szCs w:val="20"/>
          <w:lang w:bidi="ar-EG"/>
        </w:rPr>
      </w:pPr>
      <w:r w:rsidRPr="002A163D">
        <w:rPr>
          <w:b/>
          <w:bCs/>
          <w:sz w:val="20"/>
          <w:szCs w:val="20"/>
        </w:rPr>
        <w:t>Statistical analysis:</w:t>
      </w:r>
    </w:p>
    <w:p w:rsidR="00B330B4" w:rsidRPr="002A163D" w:rsidRDefault="00B330B4" w:rsidP="002A163D">
      <w:pPr>
        <w:bidi w:val="0"/>
        <w:snapToGrid w:val="0"/>
        <w:ind w:firstLine="425"/>
        <w:jc w:val="both"/>
        <w:rPr>
          <w:sz w:val="20"/>
          <w:szCs w:val="20"/>
        </w:rPr>
      </w:pPr>
      <w:r w:rsidRPr="002A163D">
        <w:rPr>
          <w:sz w:val="20"/>
          <w:szCs w:val="20"/>
        </w:rPr>
        <w:t>Data entry and analysis were done using SPSS version 16. Data were presented as number, percentages, mean and standard deviation.</w:t>
      </w:r>
    </w:p>
    <w:p w:rsidR="00EE20D4" w:rsidRPr="002A163D" w:rsidRDefault="00B330B4" w:rsidP="002A163D">
      <w:pPr>
        <w:shd w:val="clear" w:color="auto" w:fill="FFFFFF"/>
        <w:bidi w:val="0"/>
        <w:snapToGrid w:val="0"/>
        <w:ind w:firstLine="425"/>
        <w:jc w:val="both"/>
        <w:outlineLvl w:val="2"/>
        <w:rPr>
          <w:sz w:val="20"/>
          <w:szCs w:val="20"/>
        </w:rPr>
      </w:pPr>
      <w:r w:rsidRPr="002A163D">
        <w:rPr>
          <w:sz w:val="20"/>
          <w:szCs w:val="20"/>
        </w:rPr>
        <w:lastRenderedPageBreak/>
        <w:t>Chi-square test was used to compare between qualitative data. Independent samples t-test was used to compare between quantitative data. P-value was considered significant when</w:t>
      </w:r>
      <w:r w:rsidR="00345B9A">
        <w:rPr>
          <w:rFonts w:eastAsiaTheme="minorEastAsia" w:hint="eastAsia"/>
          <w:sz w:val="20"/>
          <w:szCs w:val="20"/>
          <w:lang w:eastAsia="zh-CN"/>
        </w:rPr>
        <w:t xml:space="preserve"> </w:t>
      </w:r>
      <w:r w:rsidRPr="002A163D">
        <w:rPr>
          <w:sz w:val="20"/>
          <w:szCs w:val="20"/>
        </w:rPr>
        <w:t>p &lt; 0.05.</w:t>
      </w:r>
    </w:p>
    <w:p w:rsidR="007207F8" w:rsidRPr="002A163D" w:rsidRDefault="007207F8" w:rsidP="002A163D">
      <w:pPr>
        <w:bidi w:val="0"/>
        <w:snapToGrid w:val="0"/>
        <w:jc w:val="both"/>
        <w:rPr>
          <w:b/>
          <w:bCs/>
          <w:sz w:val="20"/>
          <w:szCs w:val="20"/>
        </w:rPr>
      </w:pPr>
      <w:bookmarkStart w:id="3" w:name="_Toc464115558"/>
    </w:p>
    <w:p w:rsidR="00B330B4" w:rsidRPr="002A163D" w:rsidRDefault="007207F8" w:rsidP="002A163D">
      <w:pPr>
        <w:bidi w:val="0"/>
        <w:snapToGrid w:val="0"/>
        <w:jc w:val="both"/>
        <w:rPr>
          <w:b/>
          <w:bCs/>
          <w:sz w:val="20"/>
          <w:szCs w:val="20"/>
        </w:rPr>
      </w:pPr>
      <w:r w:rsidRPr="002A163D">
        <w:rPr>
          <w:b/>
          <w:bCs/>
          <w:sz w:val="20"/>
          <w:szCs w:val="20"/>
        </w:rPr>
        <w:t xml:space="preserve">3. </w:t>
      </w:r>
      <w:r w:rsidR="00B330B4" w:rsidRPr="002A163D">
        <w:rPr>
          <w:b/>
          <w:bCs/>
          <w:sz w:val="20"/>
          <w:szCs w:val="20"/>
        </w:rPr>
        <w:t>Results</w:t>
      </w:r>
      <w:bookmarkEnd w:id="3"/>
    </w:p>
    <w:p w:rsidR="00B330B4" w:rsidRPr="002A163D" w:rsidRDefault="00C42A2D" w:rsidP="002A163D">
      <w:pPr>
        <w:bidi w:val="0"/>
        <w:snapToGrid w:val="0"/>
        <w:ind w:firstLine="425"/>
        <w:jc w:val="both"/>
        <w:rPr>
          <w:sz w:val="20"/>
          <w:szCs w:val="20"/>
        </w:rPr>
      </w:pPr>
      <w:r w:rsidRPr="002A163D">
        <w:rPr>
          <w:sz w:val="20"/>
          <w:szCs w:val="20"/>
        </w:rPr>
        <w:t>T</w:t>
      </w:r>
      <w:r w:rsidR="00B330B4" w:rsidRPr="002A163D">
        <w:rPr>
          <w:sz w:val="20"/>
          <w:szCs w:val="20"/>
        </w:rPr>
        <w:t xml:space="preserve">he study included 80 infertile women who were diagnosed as having PCOS (30 patients from </w:t>
      </w:r>
      <w:proofErr w:type="spellStart"/>
      <w:r w:rsidRPr="002A163D">
        <w:rPr>
          <w:sz w:val="20"/>
          <w:szCs w:val="20"/>
        </w:rPr>
        <w:t>Imbaba</w:t>
      </w:r>
      <w:proofErr w:type="spellEnd"/>
      <w:r w:rsidRPr="002A163D">
        <w:rPr>
          <w:sz w:val="20"/>
          <w:szCs w:val="20"/>
        </w:rPr>
        <w:t xml:space="preserve"> General </w:t>
      </w:r>
      <w:r w:rsidR="00B330B4" w:rsidRPr="002A163D">
        <w:rPr>
          <w:sz w:val="20"/>
          <w:szCs w:val="20"/>
        </w:rPr>
        <w:t>Hospital</w:t>
      </w:r>
      <w:r w:rsidR="002A19E4">
        <w:rPr>
          <w:sz w:val="20"/>
          <w:szCs w:val="20"/>
        </w:rPr>
        <w:t xml:space="preserve"> </w:t>
      </w:r>
      <w:r w:rsidR="008D3F0E" w:rsidRPr="002A163D">
        <w:rPr>
          <w:sz w:val="20"/>
          <w:szCs w:val="20"/>
        </w:rPr>
        <w:t>&amp;</w:t>
      </w:r>
      <w:r w:rsidR="002A19E4">
        <w:rPr>
          <w:sz w:val="20"/>
          <w:szCs w:val="20"/>
        </w:rPr>
        <w:t xml:space="preserve"> </w:t>
      </w:r>
      <w:r w:rsidR="00B330B4" w:rsidRPr="002A163D">
        <w:rPr>
          <w:sz w:val="20"/>
          <w:szCs w:val="20"/>
        </w:rPr>
        <w:t xml:space="preserve">50 patients from </w:t>
      </w:r>
      <w:r w:rsidRPr="002A163D">
        <w:rPr>
          <w:sz w:val="20"/>
          <w:szCs w:val="20"/>
        </w:rPr>
        <w:t xml:space="preserve">El </w:t>
      </w:r>
      <w:proofErr w:type="spellStart"/>
      <w:r w:rsidRPr="002A163D">
        <w:rPr>
          <w:sz w:val="20"/>
          <w:szCs w:val="20"/>
        </w:rPr>
        <w:t>Saye</w:t>
      </w:r>
      <w:r w:rsidR="002A19E4" w:rsidRPr="002A163D">
        <w:rPr>
          <w:sz w:val="20"/>
          <w:szCs w:val="20"/>
        </w:rPr>
        <w:t>d</w:t>
      </w:r>
      <w:proofErr w:type="spellEnd"/>
      <w:r w:rsidR="002A19E4">
        <w:rPr>
          <w:sz w:val="20"/>
          <w:szCs w:val="20"/>
        </w:rPr>
        <w:t xml:space="preserve"> </w:t>
      </w:r>
      <w:proofErr w:type="spellStart"/>
      <w:r w:rsidR="002A19E4" w:rsidRPr="002A163D">
        <w:rPr>
          <w:sz w:val="20"/>
          <w:szCs w:val="20"/>
        </w:rPr>
        <w:t>G</w:t>
      </w:r>
      <w:r w:rsidRPr="002A163D">
        <w:rPr>
          <w:sz w:val="20"/>
          <w:szCs w:val="20"/>
        </w:rPr>
        <w:t>alal</w:t>
      </w:r>
      <w:proofErr w:type="spellEnd"/>
      <w:r w:rsidRPr="002A163D">
        <w:rPr>
          <w:sz w:val="20"/>
          <w:szCs w:val="20"/>
        </w:rPr>
        <w:t xml:space="preserve"> University </w:t>
      </w:r>
      <w:r w:rsidR="00B330B4" w:rsidRPr="002A163D">
        <w:rPr>
          <w:sz w:val="20"/>
          <w:szCs w:val="20"/>
        </w:rPr>
        <w:t>hospital), detailed history was taken and complete physical and local examinations were taken on all patients.</w:t>
      </w:r>
    </w:p>
    <w:p w:rsidR="00B330B4" w:rsidRPr="002A163D" w:rsidRDefault="00B330B4" w:rsidP="002A163D">
      <w:pPr>
        <w:bidi w:val="0"/>
        <w:snapToGrid w:val="0"/>
        <w:jc w:val="both"/>
        <w:rPr>
          <w:b/>
          <w:bCs/>
          <w:sz w:val="20"/>
          <w:szCs w:val="20"/>
        </w:rPr>
      </w:pPr>
      <w:r w:rsidRPr="002A163D">
        <w:rPr>
          <w:b/>
          <w:bCs/>
          <w:sz w:val="20"/>
          <w:szCs w:val="20"/>
        </w:rPr>
        <w:t xml:space="preserve">The patients were </w:t>
      </w:r>
      <w:r w:rsidR="00C42A2D" w:rsidRPr="002A163D">
        <w:rPr>
          <w:b/>
          <w:bCs/>
          <w:sz w:val="20"/>
          <w:szCs w:val="20"/>
        </w:rPr>
        <w:t>divided</w:t>
      </w:r>
      <w:r w:rsidRPr="002A163D">
        <w:rPr>
          <w:b/>
          <w:bCs/>
          <w:sz w:val="20"/>
          <w:szCs w:val="20"/>
        </w:rPr>
        <w:t xml:space="preserve"> into two groups:</w:t>
      </w:r>
    </w:p>
    <w:p w:rsidR="00B330B4" w:rsidRPr="002A163D" w:rsidRDefault="00B330B4" w:rsidP="002A163D">
      <w:pPr>
        <w:numPr>
          <w:ilvl w:val="0"/>
          <w:numId w:val="11"/>
        </w:numPr>
        <w:bidi w:val="0"/>
        <w:snapToGrid w:val="0"/>
        <w:ind w:left="0" w:firstLine="0"/>
        <w:jc w:val="both"/>
        <w:rPr>
          <w:sz w:val="20"/>
          <w:szCs w:val="20"/>
        </w:rPr>
      </w:pPr>
      <w:r w:rsidRPr="002A163D">
        <w:rPr>
          <w:b/>
          <w:bCs/>
          <w:sz w:val="20"/>
          <w:szCs w:val="20"/>
        </w:rPr>
        <w:t xml:space="preserve">Group A: </w:t>
      </w:r>
      <w:r w:rsidRPr="002A163D">
        <w:rPr>
          <w:sz w:val="20"/>
          <w:szCs w:val="20"/>
        </w:rPr>
        <w:t xml:space="preserve">In this group 40 women were given 50mg </w:t>
      </w:r>
      <w:proofErr w:type="spellStart"/>
      <w:r w:rsidRPr="002A163D">
        <w:rPr>
          <w:sz w:val="20"/>
          <w:szCs w:val="20"/>
        </w:rPr>
        <w:t>clomiphene</w:t>
      </w:r>
      <w:proofErr w:type="spellEnd"/>
      <w:r w:rsidRPr="002A163D">
        <w:rPr>
          <w:sz w:val="20"/>
          <w:szCs w:val="20"/>
        </w:rPr>
        <w:t xml:space="preserve"> citrate </w:t>
      </w:r>
      <w:r w:rsidRPr="002A163D">
        <w:rPr>
          <w:sz w:val="20"/>
          <w:szCs w:val="20"/>
          <w:lang w:bidi="ar-EG"/>
        </w:rPr>
        <w:t>twice daily for 5 successive days</w:t>
      </w:r>
      <w:r w:rsidRPr="002A163D">
        <w:rPr>
          <w:sz w:val="20"/>
          <w:szCs w:val="20"/>
        </w:rPr>
        <w:t xml:space="preserve"> then received</w:t>
      </w:r>
      <w:r w:rsidRPr="002A163D">
        <w:rPr>
          <w:sz w:val="20"/>
          <w:szCs w:val="20"/>
          <w:lang w:bidi="ar-EG"/>
        </w:rPr>
        <w:t xml:space="preserve"> LHRH analogue (</w:t>
      </w:r>
      <w:proofErr w:type="spellStart"/>
      <w:r w:rsidRPr="002A163D">
        <w:rPr>
          <w:sz w:val="20"/>
          <w:szCs w:val="20"/>
        </w:rPr>
        <w:t>Triptorelin</w:t>
      </w:r>
      <w:proofErr w:type="spellEnd"/>
      <w:r w:rsidRPr="002A163D">
        <w:rPr>
          <w:sz w:val="20"/>
          <w:szCs w:val="20"/>
          <w:lang w:bidi="ar-EG"/>
        </w:rPr>
        <w:t xml:space="preserve">) in a single dose of 0.2mg subcutaneous in the day of follicular maturation (by trans-vaginal </w:t>
      </w:r>
      <w:proofErr w:type="spellStart"/>
      <w:r w:rsidRPr="002A163D">
        <w:rPr>
          <w:sz w:val="20"/>
          <w:szCs w:val="20"/>
          <w:lang w:bidi="ar-EG"/>
        </w:rPr>
        <w:t>ultrasongraphy</w:t>
      </w:r>
      <w:proofErr w:type="spellEnd"/>
      <w:r w:rsidRPr="002A163D">
        <w:rPr>
          <w:sz w:val="20"/>
          <w:szCs w:val="20"/>
          <w:lang w:bidi="ar-EG"/>
        </w:rPr>
        <w:t xml:space="preserve"> when follicular size reach 18-22 mm in </w:t>
      </w:r>
      <w:r w:rsidR="0016523C" w:rsidRPr="002A163D">
        <w:rPr>
          <w:sz w:val="20"/>
          <w:szCs w:val="20"/>
          <w:lang w:bidi="ar-EG"/>
        </w:rPr>
        <w:t>diameter</w:t>
      </w:r>
      <w:r w:rsidRPr="002A163D">
        <w:rPr>
          <w:sz w:val="20"/>
          <w:szCs w:val="20"/>
          <w:lang w:bidi="ar-EG"/>
        </w:rPr>
        <w:t>) to trigger ovulation followed by planned intercourse within the following 36 hours.</w:t>
      </w:r>
    </w:p>
    <w:p w:rsidR="00B330B4" w:rsidRPr="002A163D" w:rsidRDefault="00B330B4" w:rsidP="002A163D">
      <w:pPr>
        <w:numPr>
          <w:ilvl w:val="0"/>
          <w:numId w:val="11"/>
        </w:numPr>
        <w:bidi w:val="0"/>
        <w:snapToGrid w:val="0"/>
        <w:ind w:left="0" w:firstLine="0"/>
        <w:jc w:val="both"/>
        <w:rPr>
          <w:sz w:val="20"/>
          <w:szCs w:val="20"/>
        </w:rPr>
      </w:pPr>
      <w:r w:rsidRPr="002A163D">
        <w:rPr>
          <w:b/>
          <w:bCs/>
          <w:sz w:val="20"/>
          <w:szCs w:val="20"/>
        </w:rPr>
        <w:t xml:space="preserve">Group B: </w:t>
      </w:r>
      <w:r w:rsidRPr="002A163D">
        <w:rPr>
          <w:sz w:val="20"/>
          <w:szCs w:val="20"/>
        </w:rPr>
        <w:t xml:space="preserve">In this group 40 women were given 50 mg </w:t>
      </w:r>
      <w:proofErr w:type="spellStart"/>
      <w:r w:rsidRPr="002A163D">
        <w:rPr>
          <w:sz w:val="20"/>
          <w:szCs w:val="20"/>
        </w:rPr>
        <w:t>clomiphene</w:t>
      </w:r>
      <w:proofErr w:type="spellEnd"/>
      <w:r w:rsidRPr="002A163D">
        <w:rPr>
          <w:sz w:val="20"/>
          <w:szCs w:val="20"/>
        </w:rPr>
        <w:t xml:space="preserve"> citrate </w:t>
      </w:r>
      <w:r w:rsidRPr="002A163D">
        <w:rPr>
          <w:sz w:val="20"/>
          <w:szCs w:val="20"/>
          <w:lang w:bidi="ar-EG"/>
        </w:rPr>
        <w:t>twice daily for 5 successive days</w:t>
      </w:r>
      <w:r w:rsidRPr="002A163D">
        <w:rPr>
          <w:sz w:val="20"/>
          <w:szCs w:val="20"/>
        </w:rPr>
        <w:t xml:space="preserve"> then received</w:t>
      </w:r>
      <w:r w:rsidRPr="002A163D">
        <w:rPr>
          <w:sz w:val="20"/>
          <w:szCs w:val="20"/>
          <w:lang w:bidi="ar-EG"/>
        </w:rPr>
        <w:t xml:space="preserve"> HCG in a dose of 10,000 IU IM in a day of follicular maturation (by trans-vaginal </w:t>
      </w:r>
      <w:proofErr w:type="spellStart"/>
      <w:r w:rsidRPr="002A163D">
        <w:rPr>
          <w:sz w:val="20"/>
          <w:szCs w:val="20"/>
          <w:lang w:bidi="ar-EG"/>
        </w:rPr>
        <w:t>ultrasongraphy</w:t>
      </w:r>
      <w:proofErr w:type="spellEnd"/>
      <w:r w:rsidRPr="002A163D">
        <w:rPr>
          <w:sz w:val="20"/>
          <w:szCs w:val="20"/>
          <w:lang w:bidi="ar-EG"/>
        </w:rPr>
        <w:t xml:space="preserve"> when follicular size reach 18-22 mm in </w:t>
      </w:r>
      <w:proofErr w:type="spellStart"/>
      <w:r w:rsidRPr="002A163D">
        <w:rPr>
          <w:sz w:val="20"/>
          <w:szCs w:val="20"/>
          <w:lang w:bidi="ar-EG"/>
        </w:rPr>
        <w:t>diamerter</w:t>
      </w:r>
      <w:proofErr w:type="spellEnd"/>
      <w:r w:rsidRPr="002A163D">
        <w:rPr>
          <w:sz w:val="20"/>
          <w:szCs w:val="20"/>
          <w:lang w:bidi="ar-EG"/>
        </w:rPr>
        <w:t>) to trigger ovulation followed by planned intercourse within the following 36 hours.</w:t>
      </w:r>
    </w:p>
    <w:p w:rsidR="008D3F0E" w:rsidRPr="002A163D" w:rsidRDefault="008D3F0E" w:rsidP="002A163D">
      <w:pPr>
        <w:bidi w:val="0"/>
        <w:snapToGrid w:val="0"/>
        <w:jc w:val="center"/>
        <w:rPr>
          <w:rFonts w:eastAsiaTheme="minorEastAsia"/>
          <w:b/>
          <w:bCs/>
          <w:sz w:val="20"/>
          <w:szCs w:val="20"/>
          <w:lang w:eastAsia="zh-CN"/>
        </w:rPr>
      </w:pPr>
      <w:bookmarkStart w:id="4" w:name="_Toc464115611"/>
      <w:bookmarkStart w:id="5" w:name="_Toc464286370"/>
      <w:bookmarkStart w:id="6" w:name="_Toc465183491"/>
      <w:bookmarkStart w:id="7" w:name="_Toc468954885"/>
    </w:p>
    <w:p w:rsidR="00B330B4" w:rsidRPr="002A163D" w:rsidRDefault="00B330B4" w:rsidP="002A163D">
      <w:pPr>
        <w:bidi w:val="0"/>
        <w:snapToGrid w:val="0"/>
        <w:jc w:val="both"/>
        <w:rPr>
          <w:sz w:val="20"/>
          <w:szCs w:val="20"/>
        </w:rPr>
      </w:pPr>
      <w:r w:rsidRPr="002A163D">
        <w:rPr>
          <w:b/>
          <w:bCs/>
          <w:sz w:val="20"/>
          <w:szCs w:val="20"/>
        </w:rPr>
        <w:t>Table (</w:t>
      </w:r>
      <w:r w:rsidR="00A278EC" w:rsidRPr="002A163D">
        <w:rPr>
          <w:b/>
          <w:bCs/>
          <w:sz w:val="20"/>
          <w:szCs w:val="20"/>
        </w:rPr>
        <w:fldChar w:fldCharType="begin"/>
      </w:r>
      <w:r w:rsidRPr="002A163D">
        <w:rPr>
          <w:b/>
          <w:bCs/>
          <w:sz w:val="20"/>
          <w:szCs w:val="20"/>
        </w:rPr>
        <w:instrText xml:space="preserve"> SEQ Table \* ARABIC </w:instrText>
      </w:r>
      <w:r w:rsidR="00A278EC" w:rsidRPr="002A163D">
        <w:rPr>
          <w:b/>
          <w:bCs/>
          <w:sz w:val="20"/>
          <w:szCs w:val="20"/>
        </w:rPr>
        <w:fldChar w:fldCharType="separate"/>
      </w:r>
      <w:r w:rsidR="00B95E1C" w:rsidRPr="002A163D">
        <w:rPr>
          <w:b/>
          <w:bCs/>
          <w:noProof/>
          <w:sz w:val="20"/>
          <w:szCs w:val="20"/>
        </w:rPr>
        <w:t>1</w:t>
      </w:r>
      <w:r w:rsidR="00A278EC" w:rsidRPr="002A163D">
        <w:rPr>
          <w:b/>
          <w:bCs/>
          <w:sz w:val="20"/>
          <w:szCs w:val="20"/>
        </w:rPr>
        <w:fldChar w:fldCharType="end"/>
      </w:r>
      <w:r w:rsidRPr="002A163D">
        <w:rPr>
          <w:b/>
          <w:bCs/>
          <w:sz w:val="20"/>
          <w:szCs w:val="20"/>
        </w:rPr>
        <w:t>):</w:t>
      </w:r>
      <w:r w:rsidR="002A163D">
        <w:rPr>
          <w:rFonts w:eastAsiaTheme="minorEastAsia" w:hint="eastAsia"/>
          <w:b/>
          <w:bCs/>
          <w:sz w:val="20"/>
          <w:szCs w:val="20"/>
          <w:lang w:eastAsia="zh-CN"/>
        </w:rPr>
        <w:t xml:space="preserve"> </w:t>
      </w:r>
      <w:r w:rsidRPr="002A163D">
        <w:rPr>
          <w:sz w:val="20"/>
          <w:szCs w:val="20"/>
        </w:rPr>
        <w:t>Comparison between occurrence of pregnancies in both group A and group B</w:t>
      </w:r>
      <w:bookmarkEnd w:id="4"/>
      <w:bookmarkEnd w:id="5"/>
      <w:bookmarkEnd w:id="6"/>
      <w:bookmarkEnd w:id="7"/>
    </w:p>
    <w:tbl>
      <w:tblPr>
        <w:tblW w:w="0" w:type="auto"/>
        <w:jc w:val="center"/>
        <w:tblLook w:val="0000"/>
      </w:tblPr>
      <w:tblGrid>
        <w:gridCol w:w="1251"/>
        <w:gridCol w:w="481"/>
        <w:gridCol w:w="621"/>
        <w:gridCol w:w="481"/>
        <w:gridCol w:w="621"/>
        <w:gridCol w:w="796"/>
      </w:tblGrid>
      <w:tr w:rsidR="00B330B4" w:rsidRPr="002A163D" w:rsidTr="002A163D">
        <w:trPr>
          <w:jc w:val="center"/>
        </w:trPr>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A</w:t>
            </w:r>
          </w:p>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(n=40)</w:t>
            </w: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B</w:t>
            </w:r>
          </w:p>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(n=40)</w:t>
            </w:r>
          </w:p>
        </w:tc>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P-value</w:t>
            </w:r>
          </w:p>
        </w:tc>
      </w:tr>
      <w:tr w:rsidR="00B330B4" w:rsidRPr="002A163D" w:rsidTr="002A163D">
        <w:trPr>
          <w:jc w:val="center"/>
        </w:trPr>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b/>
                <w:bCs/>
                <w:color w:val="000000"/>
                <w:sz w:val="18"/>
                <w:szCs w:val="20"/>
              </w:rPr>
            </w:pPr>
          </w:p>
        </w:tc>
      </w:tr>
      <w:tr w:rsidR="00B330B4" w:rsidRPr="002A163D" w:rsidTr="002A163D">
        <w:trPr>
          <w:jc w:val="center"/>
        </w:trPr>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First cycle:</w:t>
            </w: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0.496</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7.5</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92.5</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Second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0.829</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5</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95</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Third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0.723</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15</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85</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bl>
    <w:p w:rsidR="002A163D" w:rsidRDefault="002A163D" w:rsidP="002A163D">
      <w:pPr>
        <w:bidi w:val="0"/>
        <w:snapToGrid w:val="0"/>
        <w:ind w:firstLine="425"/>
        <w:jc w:val="both"/>
        <w:rPr>
          <w:rFonts w:eastAsiaTheme="minorEastAsia"/>
          <w:sz w:val="20"/>
          <w:szCs w:val="20"/>
          <w:lang w:eastAsia="zh-CN"/>
        </w:rPr>
      </w:pPr>
    </w:p>
    <w:p w:rsidR="00B330B4" w:rsidRPr="002A163D" w:rsidRDefault="00B330B4" w:rsidP="002A163D">
      <w:pPr>
        <w:bidi w:val="0"/>
        <w:snapToGrid w:val="0"/>
        <w:ind w:firstLine="425"/>
        <w:jc w:val="both"/>
        <w:rPr>
          <w:sz w:val="20"/>
          <w:szCs w:val="20"/>
        </w:rPr>
      </w:pPr>
      <w:r w:rsidRPr="002A163D">
        <w:rPr>
          <w:sz w:val="20"/>
          <w:szCs w:val="20"/>
        </w:rPr>
        <w:t xml:space="preserve">It is clear that there is no significant difference between the two groups in pregnancies rate; P= 0.496, 0.829, 0.723in the </w:t>
      </w:r>
      <w:proofErr w:type="spellStart"/>
      <w:r w:rsidRPr="002A163D">
        <w:rPr>
          <w:sz w:val="20"/>
          <w:szCs w:val="20"/>
        </w:rPr>
        <w:t>the</w:t>
      </w:r>
      <w:proofErr w:type="spellEnd"/>
      <w:r w:rsidRPr="002A163D">
        <w:rPr>
          <w:sz w:val="20"/>
          <w:szCs w:val="20"/>
        </w:rPr>
        <w:t xml:space="preserve"> first, second and third cycles respectively. But a significant increase of pregnancy rate in the third cycle of group A following the administration of the </w:t>
      </w:r>
      <w:proofErr w:type="spellStart"/>
      <w:r w:rsidRPr="002A163D">
        <w:rPr>
          <w:sz w:val="20"/>
          <w:szCs w:val="20"/>
        </w:rPr>
        <w:t>GnRH</w:t>
      </w:r>
      <w:proofErr w:type="spellEnd"/>
      <w:r w:rsidRPr="002A163D">
        <w:rPr>
          <w:sz w:val="20"/>
          <w:szCs w:val="20"/>
        </w:rPr>
        <w:t>–agonist was found</w:t>
      </w:r>
      <w:r w:rsidRPr="002A163D">
        <w:rPr>
          <w:color w:val="FF0000"/>
          <w:sz w:val="20"/>
          <w:szCs w:val="20"/>
        </w:rPr>
        <w:t xml:space="preserve">. </w:t>
      </w:r>
      <w:r w:rsidRPr="002A163D">
        <w:rPr>
          <w:sz w:val="20"/>
          <w:szCs w:val="20"/>
        </w:rPr>
        <w:t xml:space="preserve">No pregnancy occurred in group A in the first three cycles </w:t>
      </w:r>
      <w:r w:rsidRPr="002A163D">
        <w:rPr>
          <w:sz w:val="20"/>
          <w:szCs w:val="20"/>
        </w:rPr>
        <w:lastRenderedPageBreak/>
        <w:t>while an increase of %20 was detected during the third cycle. On other hand, group B showed a variation in pregnancy rate of which increased up to %15.</w:t>
      </w:r>
    </w:p>
    <w:p w:rsidR="0070729D" w:rsidRPr="002A163D" w:rsidRDefault="0070729D" w:rsidP="002A163D">
      <w:pPr>
        <w:bidi w:val="0"/>
        <w:snapToGrid w:val="0"/>
        <w:ind w:firstLine="425"/>
        <w:jc w:val="both"/>
        <w:rPr>
          <w:rFonts w:eastAsiaTheme="minorEastAsia"/>
          <w:sz w:val="20"/>
          <w:szCs w:val="20"/>
          <w:lang w:eastAsia="zh-CN"/>
        </w:rPr>
      </w:pPr>
    </w:p>
    <w:p w:rsidR="0070729D" w:rsidRPr="002A163D" w:rsidRDefault="0070729D" w:rsidP="002A163D">
      <w:pPr>
        <w:bidi w:val="0"/>
        <w:snapToGrid w:val="0"/>
        <w:jc w:val="center"/>
        <w:rPr>
          <w:b/>
          <w:bCs/>
          <w:sz w:val="20"/>
          <w:szCs w:val="20"/>
        </w:rPr>
      </w:pPr>
      <w:r w:rsidRPr="002A163D">
        <w:rPr>
          <w:b/>
          <w:bCs/>
          <w:noProof/>
          <w:sz w:val="20"/>
          <w:szCs w:val="20"/>
          <w:lang w:eastAsia="zh-CN"/>
        </w:rPr>
        <w:drawing>
          <wp:inline distT="0" distB="0" distL="0" distR="0">
            <wp:extent cx="2739725" cy="1979875"/>
            <wp:effectExtent l="19050" t="0" r="3475"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8731" cy="1986383"/>
                    </a:xfrm>
                    <a:prstGeom prst="rect">
                      <a:avLst/>
                    </a:prstGeom>
                    <a:noFill/>
                  </pic:spPr>
                </pic:pic>
              </a:graphicData>
            </a:graphic>
          </wp:inline>
        </w:drawing>
      </w:r>
    </w:p>
    <w:p w:rsidR="0070729D" w:rsidRPr="002A163D" w:rsidRDefault="0070729D" w:rsidP="002A163D">
      <w:pPr>
        <w:bidi w:val="0"/>
        <w:snapToGrid w:val="0"/>
        <w:jc w:val="both"/>
        <w:rPr>
          <w:sz w:val="20"/>
          <w:szCs w:val="20"/>
        </w:rPr>
      </w:pPr>
      <w:bookmarkStart w:id="8" w:name="_Toc464115919"/>
      <w:bookmarkStart w:id="9" w:name="_Toc464286485"/>
      <w:bookmarkStart w:id="10" w:name="_Toc465183594"/>
      <w:bookmarkStart w:id="11" w:name="_Toc468955252"/>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Pr="002A163D">
        <w:rPr>
          <w:b/>
          <w:bCs/>
          <w:noProof/>
          <w:sz w:val="20"/>
          <w:szCs w:val="20"/>
        </w:rPr>
        <w:t>1</w:t>
      </w:r>
      <w:r w:rsidR="00A278EC" w:rsidRPr="002A163D">
        <w:rPr>
          <w:sz w:val="20"/>
          <w:szCs w:val="20"/>
        </w:rPr>
        <w:fldChar w:fldCharType="end"/>
      </w:r>
      <w:r w:rsidRPr="002A163D">
        <w:rPr>
          <w:b/>
          <w:bCs/>
          <w:sz w:val="20"/>
          <w:szCs w:val="20"/>
        </w:rPr>
        <w:t xml:space="preserve">): </w:t>
      </w:r>
      <w:r w:rsidRPr="002A163D">
        <w:rPr>
          <w:sz w:val="20"/>
          <w:szCs w:val="20"/>
        </w:rPr>
        <w:t>Comparison in pregnancy rate between group A and group B.</w:t>
      </w:r>
      <w:bookmarkEnd w:id="8"/>
      <w:bookmarkEnd w:id="9"/>
      <w:bookmarkEnd w:id="10"/>
      <w:bookmarkEnd w:id="11"/>
    </w:p>
    <w:p w:rsidR="007207F8" w:rsidRPr="002A163D" w:rsidRDefault="007207F8" w:rsidP="002A163D">
      <w:pPr>
        <w:bidi w:val="0"/>
        <w:snapToGrid w:val="0"/>
        <w:ind w:firstLine="425"/>
        <w:jc w:val="both"/>
        <w:rPr>
          <w:rFonts w:eastAsiaTheme="minorEastAsia"/>
          <w:sz w:val="20"/>
          <w:szCs w:val="20"/>
          <w:lang w:eastAsia="zh-CN"/>
        </w:rPr>
      </w:pPr>
    </w:p>
    <w:p w:rsidR="00B330B4" w:rsidRPr="002A163D" w:rsidRDefault="00B330B4" w:rsidP="002A163D">
      <w:pPr>
        <w:bidi w:val="0"/>
        <w:snapToGrid w:val="0"/>
        <w:jc w:val="both"/>
        <w:rPr>
          <w:sz w:val="20"/>
          <w:szCs w:val="20"/>
        </w:rPr>
      </w:pPr>
      <w:bookmarkStart w:id="12" w:name="_Toc464115612"/>
      <w:bookmarkStart w:id="13" w:name="_Toc464286371"/>
      <w:bookmarkStart w:id="14" w:name="_Toc465183492"/>
      <w:bookmarkStart w:id="15" w:name="_Toc468954886"/>
      <w:r w:rsidRPr="002A163D">
        <w:rPr>
          <w:b/>
          <w:bCs/>
          <w:sz w:val="20"/>
          <w:szCs w:val="20"/>
        </w:rPr>
        <w:t>Table (</w:t>
      </w:r>
      <w:r w:rsidR="00A278EC" w:rsidRPr="002A163D">
        <w:rPr>
          <w:b/>
          <w:bCs/>
          <w:sz w:val="20"/>
          <w:szCs w:val="20"/>
        </w:rPr>
        <w:fldChar w:fldCharType="begin"/>
      </w:r>
      <w:r w:rsidRPr="002A163D">
        <w:rPr>
          <w:b/>
          <w:bCs/>
          <w:sz w:val="20"/>
          <w:szCs w:val="20"/>
        </w:rPr>
        <w:instrText xml:space="preserve"> SEQ Table \* ARABIC </w:instrText>
      </w:r>
      <w:r w:rsidR="00A278EC" w:rsidRPr="002A163D">
        <w:rPr>
          <w:b/>
          <w:bCs/>
          <w:sz w:val="20"/>
          <w:szCs w:val="20"/>
        </w:rPr>
        <w:fldChar w:fldCharType="separate"/>
      </w:r>
      <w:r w:rsidR="00B95E1C" w:rsidRPr="002A163D">
        <w:rPr>
          <w:b/>
          <w:bCs/>
          <w:noProof/>
          <w:sz w:val="20"/>
          <w:szCs w:val="20"/>
        </w:rPr>
        <w:t>2</w:t>
      </w:r>
      <w:r w:rsidR="00A278EC" w:rsidRPr="002A163D">
        <w:rPr>
          <w:b/>
          <w:bCs/>
          <w:sz w:val="20"/>
          <w:szCs w:val="20"/>
        </w:rPr>
        <w:fldChar w:fldCharType="end"/>
      </w:r>
      <w:r w:rsidRPr="002A163D">
        <w:rPr>
          <w:b/>
          <w:bCs/>
          <w:sz w:val="20"/>
          <w:szCs w:val="20"/>
        </w:rPr>
        <w:t>):</w:t>
      </w:r>
      <w:r w:rsidR="007207F8" w:rsidRPr="002A163D">
        <w:rPr>
          <w:b/>
          <w:bCs/>
          <w:sz w:val="20"/>
          <w:szCs w:val="20"/>
        </w:rPr>
        <w:t xml:space="preserve"> </w:t>
      </w:r>
      <w:r w:rsidRPr="002A163D">
        <w:rPr>
          <w:sz w:val="20"/>
          <w:szCs w:val="20"/>
        </w:rPr>
        <w:t xml:space="preserve">Comparison of occurrence of </w:t>
      </w:r>
      <w:proofErr w:type="spellStart"/>
      <w:r w:rsidRPr="002A163D">
        <w:rPr>
          <w:sz w:val="20"/>
          <w:szCs w:val="20"/>
        </w:rPr>
        <w:t>lutel</w:t>
      </w:r>
      <w:proofErr w:type="spellEnd"/>
      <w:r w:rsidRPr="002A163D">
        <w:rPr>
          <w:sz w:val="20"/>
          <w:szCs w:val="20"/>
        </w:rPr>
        <w:t xml:space="preserve"> phase defect between group A and group B.</w:t>
      </w:r>
      <w:bookmarkEnd w:id="12"/>
      <w:bookmarkEnd w:id="13"/>
      <w:bookmarkEnd w:id="14"/>
      <w:bookmarkEnd w:id="15"/>
    </w:p>
    <w:tbl>
      <w:tblPr>
        <w:tblW w:w="0" w:type="auto"/>
        <w:jc w:val="center"/>
        <w:tblLook w:val="0000"/>
      </w:tblPr>
      <w:tblGrid>
        <w:gridCol w:w="1251"/>
        <w:gridCol w:w="481"/>
        <w:gridCol w:w="621"/>
        <w:gridCol w:w="481"/>
        <w:gridCol w:w="621"/>
        <w:gridCol w:w="796"/>
      </w:tblGrid>
      <w:tr w:rsidR="00B330B4" w:rsidRPr="002A163D" w:rsidTr="002A163D">
        <w:trPr>
          <w:jc w:val="center"/>
        </w:trPr>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A</w:t>
            </w: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B</w:t>
            </w:r>
          </w:p>
        </w:tc>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P-value</w:t>
            </w:r>
          </w:p>
        </w:tc>
      </w:tr>
      <w:tr w:rsidR="00B330B4" w:rsidRPr="002A163D" w:rsidTr="002A163D">
        <w:trPr>
          <w:jc w:val="center"/>
        </w:trPr>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b/>
                <w:bCs/>
                <w:color w:val="000000"/>
                <w:sz w:val="18"/>
                <w:szCs w:val="20"/>
              </w:rPr>
            </w:pPr>
          </w:p>
        </w:tc>
      </w:tr>
      <w:tr w:rsidR="00B330B4" w:rsidRPr="002A163D" w:rsidTr="002A163D">
        <w:trPr>
          <w:jc w:val="center"/>
        </w:trPr>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First cycle:</w:t>
            </w: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0.265</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68.8</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53.6</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31.3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46.4</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32</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28</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Second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0.550</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35.0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25.0</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65.0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65.0</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36</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Third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0.016*</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30.6</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91.4</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69.4</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35</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36</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bl>
    <w:p w:rsidR="002A163D" w:rsidRDefault="002A163D" w:rsidP="002A163D">
      <w:pPr>
        <w:autoSpaceDE w:val="0"/>
        <w:autoSpaceDN w:val="0"/>
        <w:bidi w:val="0"/>
        <w:adjustRightInd w:val="0"/>
        <w:snapToGrid w:val="0"/>
        <w:ind w:firstLine="425"/>
        <w:jc w:val="both"/>
        <w:rPr>
          <w:rFonts w:eastAsia="Times New Roman"/>
          <w:sz w:val="20"/>
          <w:szCs w:val="20"/>
        </w:rPr>
      </w:pPr>
    </w:p>
    <w:p w:rsidR="00B330B4" w:rsidRPr="002A163D" w:rsidRDefault="00B330B4" w:rsidP="002A163D">
      <w:pPr>
        <w:autoSpaceDE w:val="0"/>
        <w:autoSpaceDN w:val="0"/>
        <w:bidi w:val="0"/>
        <w:adjustRightInd w:val="0"/>
        <w:snapToGrid w:val="0"/>
        <w:ind w:firstLine="425"/>
        <w:jc w:val="both"/>
        <w:rPr>
          <w:sz w:val="20"/>
          <w:szCs w:val="20"/>
        </w:rPr>
      </w:pPr>
      <w:proofErr w:type="spellStart"/>
      <w:r w:rsidRPr="002A163D">
        <w:rPr>
          <w:rFonts w:eastAsia="Times New Roman"/>
          <w:sz w:val="20"/>
          <w:szCs w:val="20"/>
        </w:rPr>
        <w:t>Luteal</w:t>
      </w:r>
      <w:proofErr w:type="spellEnd"/>
      <w:r w:rsidRPr="002A163D">
        <w:rPr>
          <w:rFonts w:eastAsia="Times New Roman"/>
          <w:sz w:val="20"/>
          <w:szCs w:val="20"/>
        </w:rPr>
        <w:t xml:space="preserve"> phase deficiency (LPD) has been described as a condition in which endogenous progesterone is not sufficient to maintain a functional </w:t>
      </w:r>
      <w:proofErr w:type="spellStart"/>
      <w:r w:rsidRPr="002A163D">
        <w:rPr>
          <w:rFonts w:eastAsia="Times New Roman"/>
          <w:sz w:val="20"/>
          <w:szCs w:val="20"/>
        </w:rPr>
        <w:t>secretory</w:t>
      </w:r>
      <w:proofErr w:type="spellEnd"/>
      <w:r w:rsidRPr="002A163D">
        <w:rPr>
          <w:rFonts w:eastAsia="Times New Roman"/>
          <w:sz w:val="20"/>
          <w:szCs w:val="20"/>
        </w:rPr>
        <w:t xml:space="preserve"> </w:t>
      </w:r>
      <w:proofErr w:type="spellStart"/>
      <w:r w:rsidRPr="002A163D">
        <w:rPr>
          <w:rFonts w:eastAsia="Times New Roman"/>
          <w:sz w:val="20"/>
          <w:szCs w:val="20"/>
        </w:rPr>
        <w:t>endometrium</w:t>
      </w:r>
      <w:proofErr w:type="spellEnd"/>
      <w:r w:rsidRPr="002A163D">
        <w:rPr>
          <w:rFonts w:eastAsia="Times New Roman"/>
          <w:sz w:val="20"/>
          <w:szCs w:val="20"/>
        </w:rPr>
        <w:t xml:space="preserve"> and allow normal embryo implantation and growth. Common method used for the diagnosis of LPD is the measurement of serum progesterone levels which is secreted in pulses that reflect LH pulses.</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After exclude the </w:t>
      </w:r>
      <w:proofErr w:type="spellStart"/>
      <w:r w:rsidRPr="002A163D">
        <w:rPr>
          <w:sz w:val="20"/>
          <w:szCs w:val="20"/>
        </w:rPr>
        <w:t>anovulatory</w:t>
      </w:r>
      <w:proofErr w:type="spellEnd"/>
      <w:r w:rsidRPr="002A163D">
        <w:rPr>
          <w:sz w:val="20"/>
          <w:szCs w:val="20"/>
        </w:rPr>
        <w:t xml:space="preserve"> patients, this table shows no significant difference between the two groups in occurrence of </w:t>
      </w:r>
      <w:proofErr w:type="spellStart"/>
      <w:r w:rsidRPr="002A163D">
        <w:rPr>
          <w:sz w:val="20"/>
          <w:szCs w:val="20"/>
        </w:rPr>
        <w:t>luteal</w:t>
      </w:r>
      <w:proofErr w:type="spellEnd"/>
      <w:r w:rsidRPr="002A163D">
        <w:rPr>
          <w:sz w:val="20"/>
          <w:szCs w:val="20"/>
        </w:rPr>
        <w:t xml:space="preserve"> phase defect in first and second cycles; while a significant difference in the third cycle between the two groups was detected.</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The occurrence of </w:t>
      </w:r>
      <w:proofErr w:type="spellStart"/>
      <w:r w:rsidRPr="002A163D">
        <w:rPr>
          <w:sz w:val="20"/>
          <w:szCs w:val="20"/>
        </w:rPr>
        <w:t>luteal</w:t>
      </w:r>
      <w:proofErr w:type="spellEnd"/>
      <w:r w:rsidRPr="002A163D">
        <w:rPr>
          <w:sz w:val="20"/>
          <w:szCs w:val="20"/>
        </w:rPr>
        <w:t xml:space="preserve"> phase in all cycles in relation to the progesterone level detected on approximately 6-8 days after ovulation.</w:t>
      </w:r>
    </w:p>
    <w:p w:rsidR="00B330B4" w:rsidRPr="002A163D" w:rsidRDefault="00B330B4" w:rsidP="002A163D">
      <w:pPr>
        <w:bidi w:val="0"/>
        <w:snapToGrid w:val="0"/>
        <w:jc w:val="center"/>
        <w:rPr>
          <w:sz w:val="20"/>
          <w:szCs w:val="20"/>
        </w:rPr>
      </w:pPr>
      <w:r w:rsidRPr="002A163D">
        <w:rPr>
          <w:noProof/>
          <w:sz w:val="20"/>
          <w:szCs w:val="20"/>
          <w:lang w:eastAsia="zh-CN"/>
        </w:rPr>
        <w:lastRenderedPageBreak/>
        <w:drawing>
          <wp:inline distT="0" distB="0" distL="0" distR="0">
            <wp:extent cx="2763907" cy="2170706"/>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680" cy="2169742"/>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16" w:name="_Toc464115921"/>
      <w:bookmarkStart w:id="17" w:name="_Toc464286487"/>
      <w:bookmarkStart w:id="18" w:name="_Toc465183596"/>
      <w:bookmarkStart w:id="19" w:name="_Toc468955253"/>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2</w:t>
      </w:r>
      <w:r w:rsidR="00A278EC" w:rsidRPr="002A163D">
        <w:rPr>
          <w:sz w:val="20"/>
          <w:szCs w:val="20"/>
        </w:rPr>
        <w:fldChar w:fldCharType="end"/>
      </w:r>
      <w:r w:rsidRPr="002A163D">
        <w:rPr>
          <w:b/>
          <w:bCs/>
          <w:sz w:val="20"/>
          <w:szCs w:val="20"/>
        </w:rPr>
        <w:t xml:space="preserve">): </w:t>
      </w:r>
      <w:r w:rsidRPr="002A163D">
        <w:rPr>
          <w:sz w:val="20"/>
          <w:szCs w:val="20"/>
        </w:rPr>
        <w:t xml:space="preserve">Comparison of occurrence of </w:t>
      </w:r>
      <w:proofErr w:type="spellStart"/>
      <w:r w:rsidRPr="002A163D">
        <w:rPr>
          <w:sz w:val="20"/>
          <w:szCs w:val="20"/>
        </w:rPr>
        <w:t>lutel</w:t>
      </w:r>
      <w:proofErr w:type="spellEnd"/>
      <w:r w:rsidRPr="002A163D">
        <w:rPr>
          <w:sz w:val="20"/>
          <w:szCs w:val="20"/>
        </w:rPr>
        <w:t xml:space="preserve"> phase defect between group A and group B.</w:t>
      </w:r>
      <w:bookmarkEnd w:id="16"/>
      <w:bookmarkEnd w:id="17"/>
      <w:bookmarkEnd w:id="18"/>
      <w:bookmarkEnd w:id="19"/>
    </w:p>
    <w:p w:rsidR="007207F8" w:rsidRPr="002A163D" w:rsidRDefault="007207F8" w:rsidP="002A163D">
      <w:pPr>
        <w:bidi w:val="0"/>
        <w:snapToGrid w:val="0"/>
        <w:ind w:firstLine="425"/>
        <w:jc w:val="both"/>
        <w:rPr>
          <w:sz w:val="20"/>
          <w:szCs w:val="20"/>
        </w:rPr>
      </w:pPr>
    </w:p>
    <w:p w:rsidR="002A19E4" w:rsidRDefault="00B330B4" w:rsidP="002A163D">
      <w:pPr>
        <w:bidi w:val="0"/>
        <w:snapToGrid w:val="0"/>
        <w:ind w:firstLine="425"/>
        <w:jc w:val="both"/>
        <w:rPr>
          <w:sz w:val="20"/>
          <w:szCs w:val="20"/>
        </w:rPr>
      </w:pPr>
      <w:r w:rsidRPr="002A163D">
        <w:rPr>
          <w:sz w:val="20"/>
          <w:szCs w:val="20"/>
        </w:rPr>
        <w:t>Figure (</w:t>
      </w:r>
      <w:r w:rsidR="002E518A" w:rsidRPr="002A163D">
        <w:rPr>
          <w:sz w:val="20"/>
          <w:szCs w:val="20"/>
        </w:rPr>
        <w:t>2</w:t>
      </w:r>
      <w:r w:rsidRPr="002A163D">
        <w:rPr>
          <w:sz w:val="20"/>
          <w:szCs w:val="20"/>
        </w:rPr>
        <w:t xml:space="preserve">) shows that no significant difference between the two groups in occurrence of </w:t>
      </w:r>
      <w:proofErr w:type="spellStart"/>
      <w:r w:rsidRPr="002A163D">
        <w:rPr>
          <w:sz w:val="20"/>
          <w:szCs w:val="20"/>
        </w:rPr>
        <w:t>luteal</w:t>
      </w:r>
      <w:proofErr w:type="spellEnd"/>
      <w:r w:rsidRPr="002A163D">
        <w:rPr>
          <w:sz w:val="20"/>
          <w:szCs w:val="20"/>
        </w:rPr>
        <w:t xml:space="preserve"> phase defect in the first cycle could be detecte</w:t>
      </w:r>
      <w:r w:rsidR="002A19E4" w:rsidRPr="002A163D">
        <w:rPr>
          <w:sz w:val="20"/>
          <w:szCs w:val="20"/>
        </w:rPr>
        <w:t>d</w:t>
      </w:r>
      <w:r w:rsidR="002A19E4">
        <w:rPr>
          <w:sz w:val="20"/>
          <w:szCs w:val="20"/>
        </w:rPr>
        <w:t>.</w:t>
      </w:r>
    </w:p>
    <w:p w:rsidR="00B330B4" w:rsidRPr="002A163D" w:rsidRDefault="00B330B4" w:rsidP="002A163D">
      <w:pPr>
        <w:bidi w:val="0"/>
        <w:snapToGrid w:val="0"/>
        <w:ind w:firstLine="425"/>
        <w:jc w:val="both"/>
        <w:rPr>
          <w:rFonts w:eastAsiaTheme="minorEastAsia"/>
          <w:sz w:val="20"/>
          <w:szCs w:val="20"/>
          <w:lang w:eastAsia="zh-CN"/>
        </w:rPr>
      </w:pPr>
      <w:r w:rsidRPr="002A163D">
        <w:rPr>
          <w:sz w:val="20"/>
          <w:szCs w:val="20"/>
        </w:rPr>
        <w:t xml:space="preserve">Occurrences of </w:t>
      </w:r>
      <w:proofErr w:type="spellStart"/>
      <w:r w:rsidRPr="002A163D">
        <w:rPr>
          <w:sz w:val="20"/>
          <w:szCs w:val="20"/>
        </w:rPr>
        <w:t>luteal</w:t>
      </w:r>
      <w:proofErr w:type="spellEnd"/>
      <w:r w:rsidRPr="002A163D">
        <w:rPr>
          <w:sz w:val="20"/>
          <w:szCs w:val="20"/>
        </w:rPr>
        <w:t xml:space="preserve"> phase defect were detected during the first cycle between the two groups (in group A it was 68.8% while in group B it was 53.6%.</w:t>
      </w:r>
    </w:p>
    <w:p w:rsidR="0070729D" w:rsidRPr="002A163D" w:rsidRDefault="0070729D" w:rsidP="002A163D">
      <w:pPr>
        <w:bidi w:val="0"/>
        <w:snapToGrid w:val="0"/>
        <w:ind w:firstLine="425"/>
        <w:jc w:val="both"/>
        <w:rPr>
          <w:rFonts w:eastAsiaTheme="minorEastAsia"/>
          <w:sz w:val="20"/>
          <w:szCs w:val="20"/>
          <w:lang w:eastAsia="zh-CN"/>
        </w:rPr>
      </w:pPr>
    </w:p>
    <w:p w:rsidR="00B330B4" w:rsidRPr="002A163D" w:rsidRDefault="00B330B4" w:rsidP="002A163D">
      <w:pPr>
        <w:bidi w:val="0"/>
        <w:snapToGrid w:val="0"/>
        <w:jc w:val="center"/>
        <w:rPr>
          <w:b/>
          <w:bCs/>
          <w:sz w:val="20"/>
          <w:szCs w:val="20"/>
        </w:rPr>
      </w:pPr>
      <w:r w:rsidRPr="002A163D">
        <w:rPr>
          <w:b/>
          <w:bCs/>
          <w:noProof/>
          <w:sz w:val="20"/>
          <w:szCs w:val="20"/>
          <w:lang w:eastAsia="zh-CN"/>
        </w:rPr>
        <w:drawing>
          <wp:inline distT="0" distB="0" distL="0" distR="0">
            <wp:extent cx="2761126" cy="2067339"/>
            <wp:effectExtent l="19050" t="0" r="1124"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0234" cy="2066671"/>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20" w:name="_Toc464115922"/>
      <w:bookmarkStart w:id="21" w:name="_Toc464286488"/>
      <w:bookmarkStart w:id="22" w:name="_Toc465183597"/>
      <w:bookmarkStart w:id="23" w:name="_Toc468955254"/>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3</w:t>
      </w:r>
      <w:r w:rsidR="00A278EC" w:rsidRPr="002A163D">
        <w:rPr>
          <w:sz w:val="20"/>
          <w:szCs w:val="20"/>
        </w:rPr>
        <w:fldChar w:fldCharType="end"/>
      </w:r>
      <w:r w:rsidRPr="002A163D">
        <w:rPr>
          <w:b/>
          <w:bCs/>
          <w:sz w:val="20"/>
          <w:szCs w:val="20"/>
        </w:rPr>
        <w:t xml:space="preserve">): </w:t>
      </w:r>
      <w:r w:rsidRPr="002A163D">
        <w:rPr>
          <w:sz w:val="20"/>
          <w:szCs w:val="20"/>
        </w:rPr>
        <w:t xml:space="preserve">The occurrence of </w:t>
      </w:r>
      <w:proofErr w:type="spellStart"/>
      <w:r w:rsidRPr="002A163D">
        <w:rPr>
          <w:sz w:val="20"/>
          <w:szCs w:val="20"/>
        </w:rPr>
        <w:t>lute</w:t>
      </w:r>
      <w:r w:rsidR="002E518A" w:rsidRPr="002A163D">
        <w:rPr>
          <w:sz w:val="20"/>
          <w:szCs w:val="20"/>
        </w:rPr>
        <w:t>a</w:t>
      </w:r>
      <w:r w:rsidRPr="002A163D">
        <w:rPr>
          <w:sz w:val="20"/>
          <w:szCs w:val="20"/>
        </w:rPr>
        <w:t>l</w:t>
      </w:r>
      <w:proofErr w:type="spellEnd"/>
      <w:r w:rsidRPr="002A163D">
        <w:rPr>
          <w:sz w:val="20"/>
          <w:szCs w:val="20"/>
        </w:rPr>
        <w:t xml:space="preserve"> phase defect in the second cycle.</w:t>
      </w:r>
      <w:bookmarkEnd w:id="20"/>
      <w:bookmarkEnd w:id="21"/>
      <w:bookmarkEnd w:id="22"/>
      <w:bookmarkEnd w:id="23"/>
    </w:p>
    <w:p w:rsidR="007207F8" w:rsidRPr="002A163D" w:rsidRDefault="007207F8" w:rsidP="002A163D">
      <w:pPr>
        <w:bidi w:val="0"/>
        <w:snapToGrid w:val="0"/>
        <w:ind w:firstLine="425"/>
        <w:jc w:val="both"/>
        <w:rPr>
          <w:sz w:val="20"/>
          <w:szCs w:val="20"/>
        </w:rPr>
      </w:pPr>
    </w:p>
    <w:p w:rsidR="00B330B4" w:rsidRPr="002A163D" w:rsidRDefault="00B330B4" w:rsidP="002A163D">
      <w:pPr>
        <w:bidi w:val="0"/>
        <w:snapToGrid w:val="0"/>
        <w:ind w:firstLine="425"/>
        <w:jc w:val="both"/>
        <w:rPr>
          <w:sz w:val="20"/>
          <w:szCs w:val="20"/>
        </w:rPr>
      </w:pPr>
      <w:r w:rsidRPr="002A163D">
        <w:rPr>
          <w:sz w:val="20"/>
          <w:szCs w:val="20"/>
        </w:rPr>
        <w:t>Figure (</w:t>
      </w:r>
      <w:r w:rsidR="002E518A" w:rsidRPr="002A163D">
        <w:rPr>
          <w:sz w:val="20"/>
          <w:szCs w:val="20"/>
        </w:rPr>
        <w:t>3</w:t>
      </w:r>
      <w:r w:rsidRPr="002A163D">
        <w:rPr>
          <w:sz w:val="20"/>
          <w:szCs w:val="20"/>
        </w:rPr>
        <w:t xml:space="preserve">) shows that no statistical significant differences between the two groups in occurrence of </w:t>
      </w:r>
      <w:proofErr w:type="spellStart"/>
      <w:r w:rsidRPr="002A163D">
        <w:rPr>
          <w:sz w:val="20"/>
          <w:szCs w:val="20"/>
        </w:rPr>
        <w:t>luteal</w:t>
      </w:r>
      <w:proofErr w:type="spellEnd"/>
      <w:r w:rsidRPr="002A163D">
        <w:rPr>
          <w:sz w:val="20"/>
          <w:szCs w:val="20"/>
        </w:rPr>
        <w:t xml:space="preserve"> phase defect in the second cycle could be detected.</w:t>
      </w:r>
    </w:p>
    <w:p w:rsidR="00B330B4" w:rsidRPr="002A163D" w:rsidRDefault="00B330B4" w:rsidP="002A163D">
      <w:pPr>
        <w:bidi w:val="0"/>
        <w:snapToGrid w:val="0"/>
        <w:ind w:firstLine="425"/>
        <w:jc w:val="both"/>
        <w:rPr>
          <w:sz w:val="20"/>
          <w:szCs w:val="20"/>
        </w:rPr>
      </w:pPr>
      <w:r w:rsidRPr="002A163D">
        <w:rPr>
          <w:sz w:val="20"/>
          <w:szCs w:val="20"/>
        </w:rPr>
        <w:t xml:space="preserve">The occurrence of </w:t>
      </w:r>
      <w:proofErr w:type="spellStart"/>
      <w:r w:rsidRPr="002A163D">
        <w:rPr>
          <w:sz w:val="20"/>
          <w:szCs w:val="20"/>
        </w:rPr>
        <w:t>luteal</w:t>
      </w:r>
      <w:proofErr w:type="spellEnd"/>
      <w:r w:rsidRPr="002A163D">
        <w:rPr>
          <w:sz w:val="20"/>
          <w:szCs w:val="20"/>
        </w:rPr>
        <w:t xml:space="preserve"> phase defect in the second cycle was deceased when compared with the first cycle (in group A it was 35% while in group B it was 25%).</w:t>
      </w:r>
    </w:p>
    <w:p w:rsidR="002A19E4" w:rsidRPr="002A163D" w:rsidRDefault="002A19E4" w:rsidP="002A19E4">
      <w:pPr>
        <w:tabs>
          <w:tab w:val="right" w:pos="426"/>
        </w:tabs>
        <w:bidi w:val="0"/>
        <w:snapToGrid w:val="0"/>
        <w:ind w:firstLine="425"/>
        <w:jc w:val="both"/>
        <w:rPr>
          <w:sz w:val="20"/>
          <w:szCs w:val="20"/>
        </w:rPr>
      </w:pPr>
      <w:r w:rsidRPr="002A163D">
        <w:rPr>
          <w:sz w:val="20"/>
          <w:szCs w:val="20"/>
        </w:rPr>
        <w:t xml:space="preserve">Figure (4) shows that there is a significant difference between the two groups in occurrence of </w:t>
      </w:r>
      <w:proofErr w:type="spellStart"/>
      <w:r w:rsidRPr="002A163D">
        <w:rPr>
          <w:sz w:val="20"/>
          <w:szCs w:val="20"/>
        </w:rPr>
        <w:t>luteal</w:t>
      </w:r>
      <w:proofErr w:type="spellEnd"/>
      <w:r w:rsidRPr="002A163D">
        <w:rPr>
          <w:sz w:val="20"/>
          <w:szCs w:val="20"/>
        </w:rPr>
        <w:t xml:space="preserve"> phase defect in the third.</w:t>
      </w:r>
    </w:p>
    <w:p w:rsidR="002A19E4" w:rsidRPr="002A163D" w:rsidRDefault="002A19E4" w:rsidP="002A19E4">
      <w:pPr>
        <w:tabs>
          <w:tab w:val="right" w:pos="426"/>
        </w:tabs>
        <w:bidi w:val="0"/>
        <w:snapToGrid w:val="0"/>
        <w:ind w:firstLine="425"/>
        <w:jc w:val="both"/>
        <w:rPr>
          <w:sz w:val="20"/>
          <w:szCs w:val="20"/>
        </w:rPr>
      </w:pPr>
      <w:r w:rsidRPr="002A163D">
        <w:rPr>
          <w:sz w:val="20"/>
          <w:szCs w:val="20"/>
        </w:rPr>
        <w:t xml:space="preserve">The occurrence of </w:t>
      </w:r>
      <w:proofErr w:type="spellStart"/>
      <w:r w:rsidRPr="002A163D">
        <w:rPr>
          <w:sz w:val="20"/>
          <w:szCs w:val="20"/>
        </w:rPr>
        <w:t>luteal</w:t>
      </w:r>
      <w:proofErr w:type="spellEnd"/>
      <w:r w:rsidRPr="002A163D">
        <w:rPr>
          <w:sz w:val="20"/>
          <w:szCs w:val="20"/>
        </w:rPr>
        <w:t xml:space="preserve"> phase defect in the third cycle of group A was deceased more than that found </w:t>
      </w:r>
      <w:r w:rsidRPr="002A163D">
        <w:rPr>
          <w:sz w:val="20"/>
          <w:szCs w:val="20"/>
        </w:rPr>
        <w:lastRenderedPageBreak/>
        <w:t>in the second cycle (in group A it was 8.6% while in group B it was 31.2%).</w:t>
      </w:r>
    </w:p>
    <w:p w:rsidR="002A19E4" w:rsidRPr="002A163D" w:rsidRDefault="002A19E4" w:rsidP="002A19E4">
      <w:pPr>
        <w:tabs>
          <w:tab w:val="right" w:pos="426"/>
        </w:tabs>
        <w:bidi w:val="0"/>
        <w:snapToGrid w:val="0"/>
        <w:ind w:firstLine="425"/>
        <w:jc w:val="both"/>
        <w:rPr>
          <w:sz w:val="20"/>
          <w:szCs w:val="20"/>
        </w:rPr>
      </w:pPr>
      <w:r w:rsidRPr="002A163D">
        <w:rPr>
          <w:sz w:val="20"/>
          <w:szCs w:val="20"/>
        </w:rPr>
        <w:t xml:space="preserve">The incidence of </w:t>
      </w:r>
      <w:proofErr w:type="spellStart"/>
      <w:r w:rsidRPr="002A163D">
        <w:rPr>
          <w:sz w:val="20"/>
          <w:szCs w:val="20"/>
        </w:rPr>
        <w:t>luteal</w:t>
      </w:r>
      <w:proofErr w:type="spellEnd"/>
      <w:r w:rsidRPr="002A163D">
        <w:rPr>
          <w:sz w:val="20"/>
          <w:szCs w:val="20"/>
        </w:rPr>
        <w:t xml:space="preserve"> phase defect showed a decrease over the three cycles in both groups with observed decrease of occurrence of LPD in group</w:t>
      </w:r>
      <w:r>
        <w:rPr>
          <w:sz w:val="20"/>
          <w:szCs w:val="20"/>
        </w:rPr>
        <w:t xml:space="preserve"> </w:t>
      </w:r>
      <w:r w:rsidRPr="002A163D">
        <w:rPr>
          <w:sz w:val="20"/>
          <w:szCs w:val="20"/>
        </w:rPr>
        <w:t>A (8.6%) in the third cycle in compared to group B (31.2%) during the third</w:t>
      </w:r>
      <w:r w:rsidR="00345B9A">
        <w:rPr>
          <w:rFonts w:eastAsiaTheme="minorEastAsia" w:hint="eastAsia"/>
          <w:sz w:val="20"/>
          <w:szCs w:val="20"/>
          <w:lang w:eastAsia="zh-CN"/>
        </w:rPr>
        <w:t xml:space="preserve"> </w:t>
      </w:r>
      <w:r w:rsidRPr="002A163D">
        <w:rPr>
          <w:sz w:val="20"/>
          <w:szCs w:val="20"/>
        </w:rPr>
        <w:t>cycle.</w:t>
      </w:r>
    </w:p>
    <w:p w:rsidR="007207F8" w:rsidRPr="002A163D" w:rsidRDefault="007207F8" w:rsidP="002A163D">
      <w:pPr>
        <w:bidi w:val="0"/>
        <w:snapToGrid w:val="0"/>
        <w:ind w:firstLine="425"/>
        <w:jc w:val="both"/>
        <w:rPr>
          <w:sz w:val="20"/>
          <w:szCs w:val="20"/>
        </w:rPr>
      </w:pPr>
    </w:p>
    <w:p w:rsidR="00B330B4" w:rsidRPr="002A163D" w:rsidRDefault="00B330B4" w:rsidP="002A163D">
      <w:pPr>
        <w:bidi w:val="0"/>
        <w:snapToGrid w:val="0"/>
        <w:jc w:val="center"/>
        <w:rPr>
          <w:b/>
          <w:bCs/>
          <w:sz w:val="20"/>
          <w:szCs w:val="20"/>
        </w:rPr>
      </w:pPr>
      <w:r w:rsidRPr="002A163D">
        <w:rPr>
          <w:b/>
          <w:bCs/>
          <w:noProof/>
          <w:sz w:val="20"/>
          <w:szCs w:val="20"/>
          <w:lang w:eastAsia="zh-CN"/>
        </w:rPr>
        <w:drawing>
          <wp:inline distT="0" distB="0" distL="0" distR="0">
            <wp:extent cx="2724150" cy="2146852"/>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768" cy="2147339"/>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24" w:name="_Toc464115923"/>
      <w:bookmarkStart w:id="25" w:name="_Toc464286489"/>
      <w:bookmarkStart w:id="26" w:name="_Toc465183598"/>
      <w:bookmarkStart w:id="27" w:name="_Toc468955255"/>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4</w:t>
      </w:r>
      <w:r w:rsidR="00A278EC" w:rsidRPr="002A163D">
        <w:rPr>
          <w:sz w:val="20"/>
          <w:szCs w:val="20"/>
        </w:rPr>
        <w:fldChar w:fldCharType="end"/>
      </w:r>
      <w:r w:rsidRPr="002A163D">
        <w:rPr>
          <w:b/>
          <w:bCs/>
          <w:sz w:val="20"/>
          <w:szCs w:val="20"/>
        </w:rPr>
        <w:t xml:space="preserve">): </w:t>
      </w:r>
      <w:r w:rsidRPr="002A163D">
        <w:rPr>
          <w:sz w:val="20"/>
          <w:szCs w:val="20"/>
        </w:rPr>
        <w:t xml:space="preserve">The occurrence of </w:t>
      </w:r>
      <w:proofErr w:type="spellStart"/>
      <w:r w:rsidRPr="002A163D">
        <w:rPr>
          <w:sz w:val="20"/>
          <w:szCs w:val="20"/>
        </w:rPr>
        <w:t>lute</w:t>
      </w:r>
      <w:r w:rsidR="002E518A" w:rsidRPr="002A163D">
        <w:rPr>
          <w:sz w:val="20"/>
          <w:szCs w:val="20"/>
        </w:rPr>
        <w:t>a</w:t>
      </w:r>
      <w:r w:rsidRPr="002A163D">
        <w:rPr>
          <w:sz w:val="20"/>
          <w:szCs w:val="20"/>
        </w:rPr>
        <w:t>l</w:t>
      </w:r>
      <w:proofErr w:type="spellEnd"/>
      <w:r w:rsidRPr="002A163D">
        <w:rPr>
          <w:sz w:val="20"/>
          <w:szCs w:val="20"/>
        </w:rPr>
        <w:t xml:space="preserve"> phase defect in the third cycle.</w:t>
      </w:r>
      <w:bookmarkEnd w:id="24"/>
      <w:bookmarkEnd w:id="25"/>
      <w:bookmarkEnd w:id="26"/>
      <w:bookmarkEnd w:id="27"/>
    </w:p>
    <w:p w:rsidR="007207F8" w:rsidRPr="002A163D" w:rsidRDefault="007207F8" w:rsidP="002A163D">
      <w:pPr>
        <w:bidi w:val="0"/>
        <w:snapToGrid w:val="0"/>
        <w:jc w:val="center"/>
        <w:rPr>
          <w:b/>
          <w:bCs/>
          <w:sz w:val="20"/>
          <w:szCs w:val="20"/>
        </w:rPr>
      </w:pPr>
      <w:bookmarkStart w:id="28" w:name="_Toc464115614"/>
      <w:bookmarkStart w:id="29" w:name="_Toc464286373"/>
      <w:bookmarkStart w:id="30" w:name="_Toc465183493"/>
      <w:bookmarkStart w:id="31" w:name="_Toc468954887"/>
    </w:p>
    <w:p w:rsidR="00B330B4" w:rsidRPr="002A163D" w:rsidRDefault="00B330B4" w:rsidP="002A163D">
      <w:pPr>
        <w:bidi w:val="0"/>
        <w:snapToGrid w:val="0"/>
        <w:jc w:val="both"/>
        <w:rPr>
          <w:sz w:val="20"/>
          <w:szCs w:val="20"/>
        </w:rPr>
      </w:pPr>
      <w:r w:rsidRPr="002A163D">
        <w:rPr>
          <w:b/>
          <w:bCs/>
          <w:sz w:val="20"/>
          <w:szCs w:val="20"/>
        </w:rPr>
        <w:t>Table (</w:t>
      </w:r>
      <w:r w:rsidR="00A278EC" w:rsidRPr="002A163D">
        <w:rPr>
          <w:b/>
          <w:bCs/>
          <w:sz w:val="20"/>
          <w:szCs w:val="20"/>
        </w:rPr>
        <w:fldChar w:fldCharType="begin"/>
      </w:r>
      <w:r w:rsidRPr="002A163D">
        <w:rPr>
          <w:b/>
          <w:bCs/>
          <w:sz w:val="20"/>
          <w:szCs w:val="20"/>
        </w:rPr>
        <w:instrText xml:space="preserve"> SEQ Table \* ARABIC </w:instrText>
      </w:r>
      <w:r w:rsidR="00A278EC" w:rsidRPr="002A163D">
        <w:rPr>
          <w:b/>
          <w:bCs/>
          <w:sz w:val="20"/>
          <w:szCs w:val="20"/>
        </w:rPr>
        <w:fldChar w:fldCharType="separate"/>
      </w:r>
      <w:r w:rsidR="00B95E1C" w:rsidRPr="002A163D">
        <w:rPr>
          <w:b/>
          <w:bCs/>
          <w:noProof/>
          <w:sz w:val="20"/>
          <w:szCs w:val="20"/>
        </w:rPr>
        <w:t>3</w:t>
      </w:r>
      <w:r w:rsidR="00A278EC" w:rsidRPr="002A163D">
        <w:rPr>
          <w:b/>
          <w:bCs/>
          <w:sz w:val="20"/>
          <w:szCs w:val="20"/>
        </w:rPr>
        <w:fldChar w:fldCharType="end"/>
      </w:r>
      <w:r w:rsidRPr="002A163D">
        <w:rPr>
          <w:b/>
          <w:bCs/>
          <w:sz w:val="20"/>
          <w:szCs w:val="20"/>
        </w:rPr>
        <w:t xml:space="preserve">): </w:t>
      </w:r>
      <w:r w:rsidRPr="002A163D">
        <w:rPr>
          <w:sz w:val="20"/>
          <w:szCs w:val="20"/>
        </w:rPr>
        <w:t>Comparison between group A and group B in ovulation rate.</w:t>
      </w:r>
      <w:bookmarkEnd w:id="28"/>
      <w:bookmarkEnd w:id="29"/>
      <w:bookmarkEnd w:id="30"/>
      <w:bookmarkEnd w:id="31"/>
    </w:p>
    <w:tbl>
      <w:tblPr>
        <w:tblW w:w="0" w:type="auto"/>
        <w:jc w:val="center"/>
        <w:tblLook w:val="0000"/>
      </w:tblPr>
      <w:tblGrid>
        <w:gridCol w:w="1251"/>
        <w:gridCol w:w="481"/>
        <w:gridCol w:w="621"/>
        <w:gridCol w:w="481"/>
        <w:gridCol w:w="621"/>
        <w:gridCol w:w="796"/>
      </w:tblGrid>
      <w:tr w:rsidR="00B330B4" w:rsidRPr="002A163D" w:rsidTr="002A163D">
        <w:trPr>
          <w:jc w:val="center"/>
        </w:trPr>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A</w:t>
            </w:r>
          </w:p>
        </w:tc>
        <w:tc>
          <w:tcPr>
            <w:tcW w:w="0" w:type="auto"/>
            <w:gridSpan w:val="2"/>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Group B</w:t>
            </w:r>
          </w:p>
        </w:tc>
        <w:tc>
          <w:tcPr>
            <w:tcW w:w="0" w:type="auto"/>
            <w:vMerge w:val="restart"/>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P-value</w:t>
            </w:r>
          </w:p>
        </w:tc>
      </w:tr>
      <w:tr w:rsidR="00B330B4" w:rsidRPr="002A163D" w:rsidTr="002A163D">
        <w:trPr>
          <w:jc w:val="center"/>
        </w:trPr>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No.</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w:t>
            </w:r>
          </w:p>
        </w:tc>
        <w:tc>
          <w:tcPr>
            <w:tcW w:w="0" w:type="auto"/>
            <w:vMerge/>
            <w:tcBorders>
              <w:top w:val="single" w:sz="18" w:space="0" w:color="000000"/>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b/>
                <w:bCs/>
                <w:color w:val="000000"/>
                <w:sz w:val="18"/>
                <w:szCs w:val="20"/>
              </w:rPr>
            </w:pPr>
          </w:p>
        </w:tc>
      </w:tr>
      <w:tr w:rsidR="00B330B4" w:rsidRPr="002A163D" w:rsidTr="002A163D">
        <w:trPr>
          <w:jc w:val="center"/>
        </w:trPr>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First cycle:</w:t>
            </w: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single" w:sz="18"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0.284</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&lt; 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32.5</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37.5</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30</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single" w:sz="18" w:space="0" w:color="000000"/>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Second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0.191</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&lt; 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5.26</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26.32</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68.42</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38</w:t>
            </w:r>
          </w:p>
        </w:tc>
        <w:tc>
          <w:tcPr>
            <w:tcW w:w="0" w:type="auto"/>
            <w:tcBorders>
              <w:top w:val="single" w:sz="6" w:space="0" w:color="000000"/>
              <w:left w:val="single" w:sz="6" w:space="0" w:color="000000"/>
              <w:bottom w:val="double" w:sz="4" w:space="0" w:color="auto"/>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double" w:sz="4" w:space="0" w:color="auto"/>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Third cycle:</w:t>
            </w: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tcBorders>
              <w:top w:val="double" w:sz="4" w:space="0" w:color="auto"/>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p>
        </w:tc>
        <w:tc>
          <w:tcPr>
            <w:tcW w:w="0" w:type="auto"/>
            <w:vMerge w:val="restart"/>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0.024*</w:t>
            </w: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&lt; 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0.00</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 –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7.50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30.56</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&gt; 10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92.50</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color w:val="000000"/>
                <w:sz w:val="18"/>
                <w:szCs w:val="20"/>
              </w:rPr>
            </w:pPr>
            <w:r w:rsidRPr="002A163D">
              <w:rPr>
                <w:color w:val="000000"/>
                <w:sz w:val="18"/>
                <w:szCs w:val="20"/>
              </w:rPr>
              <w:t>69.44</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r w:rsidR="00B330B4" w:rsidRPr="002A163D" w:rsidTr="002A163D">
        <w:trPr>
          <w:jc w:val="center"/>
        </w:trPr>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Total</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40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36</w:t>
            </w:r>
          </w:p>
        </w:tc>
        <w:tc>
          <w:tcPr>
            <w:tcW w:w="0" w:type="auto"/>
            <w:tcBorders>
              <w:top w:val="single" w:sz="6" w:space="0" w:color="000000"/>
              <w:left w:val="single" w:sz="6" w:space="0" w:color="000000"/>
              <w:bottom w:val="single" w:sz="18" w:space="0" w:color="000000"/>
              <w:right w:val="single" w:sz="6" w:space="0" w:color="000000"/>
            </w:tcBorders>
            <w:vAlign w:val="center"/>
          </w:tcPr>
          <w:p w:rsidR="00B330B4" w:rsidRPr="002A163D" w:rsidRDefault="00B330B4" w:rsidP="002A163D">
            <w:pPr>
              <w:widowControl w:val="0"/>
              <w:autoSpaceDE w:val="0"/>
              <w:autoSpaceDN w:val="0"/>
              <w:bidi w:val="0"/>
              <w:adjustRightInd w:val="0"/>
              <w:snapToGrid w:val="0"/>
              <w:jc w:val="both"/>
              <w:rPr>
                <w:b/>
                <w:bCs/>
                <w:color w:val="000000"/>
                <w:sz w:val="18"/>
                <w:szCs w:val="20"/>
              </w:rPr>
            </w:pPr>
            <w:r w:rsidRPr="002A163D">
              <w:rPr>
                <w:b/>
                <w:bCs/>
                <w:color w:val="000000"/>
                <w:sz w:val="18"/>
                <w:szCs w:val="20"/>
              </w:rPr>
              <w:t>100.0</w:t>
            </w:r>
          </w:p>
        </w:tc>
        <w:tc>
          <w:tcPr>
            <w:tcW w:w="0" w:type="auto"/>
            <w:vMerge/>
            <w:tcBorders>
              <w:top w:val="double" w:sz="4" w:space="0" w:color="auto"/>
              <w:left w:val="single" w:sz="6" w:space="0" w:color="000000"/>
              <w:bottom w:val="single" w:sz="18" w:space="0" w:color="000000"/>
              <w:right w:val="single" w:sz="6" w:space="0" w:color="000000"/>
            </w:tcBorders>
            <w:vAlign w:val="center"/>
          </w:tcPr>
          <w:p w:rsidR="00B330B4" w:rsidRPr="002A163D" w:rsidRDefault="00B330B4" w:rsidP="002A163D">
            <w:pPr>
              <w:bidi w:val="0"/>
              <w:snapToGrid w:val="0"/>
              <w:jc w:val="both"/>
              <w:rPr>
                <w:color w:val="000000"/>
                <w:sz w:val="18"/>
                <w:szCs w:val="20"/>
              </w:rPr>
            </w:pPr>
          </w:p>
        </w:tc>
      </w:tr>
    </w:tbl>
    <w:p w:rsidR="0070729D" w:rsidRPr="002A163D" w:rsidRDefault="0070729D" w:rsidP="002A163D">
      <w:pPr>
        <w:bidi w:val="0"/>
        <w:snapToGrid w:val="0"/>
        <w:ind w:firstLine="425"/>
        <w:jc w:val="both"/>
        <w:rPr>
          <w:sz w:val="20"/>
          <w:szCs w:val="20"/>
        </w:rPr>
      </w:pPr>
    </w:p>
    <w:p w:rsidR="00B330B4" w:rsidRPr="002A163D" w:rsidRDefault="00B330B4" w:rsidP="002A163D">
      <w:pPr>
        <w:bidi w:val="0"/>
        <w:snapToGrid w:val="0"/>
        <w:ind w:firstLine="425"/>
        <w:jc w:val="both"/>
        <w:rPr>
          <w:sz w:val="20"/>
          <w:szCs w:val="20"/>
        </w:rPr>
      </w:pPr>
      <w:r w:rsidRPr="002A163D">
        <w:rPr>
          <w:sz w:val="20"/>
          <w:szCs w:val="20"/>
        </w:rPr>
        <w:t>This table shows no significant difference between the two groups in ovulation rate in the first and second cycles; but a significant difference in ovulation rate was detected between the two groups in the third cycle.</w:t>
      </w:r>
    </w:p>
    <w:p w:rsidR="00B330B4" w:rsidRPr="002A163D" w:rsidRDefault="00B330B4" w:rsidP="002A163D">
      <w:pPr>
        <w:bidi w:val="0"/>
        <w:snapToGrid w:val="0"/>
        <w:ind w:firstLine="425"/>
        <w:jc w:val="both"/>
        <w:rPr>
          <w:sz w:val="20"/>
          <w:szCs w:val="20"/>
        </w:rPr>
      </w:pPr>
      <w:r w:rsidRPr="002A163D">
        <w:rPr>
          <w:sz w:val="20"/>
          <w:szCs w:val="20"/>
        </w:rPr>
        <w:t>The table shows rates of ovulation variation in the first cycle with relation to the progesterone level detected on approximately 6-8 days after ovulation.</w:t>
      </w:r>
    </w:p>
    <w:p w:rsidR="007207F8" w:rsidRPr="002A163D" w:rsidRDefault="007207F8" w:rsidP="002A163D">
      <w:pPr>
        <w:bidi w:val="0"/>
        <w:snapToGrid w:val="0"/>
        <w:ind w:firstLine="425"/>
        <w:jc w:val="both"/>
        <w:rPr>
          <w:sz w:val="20"/>
          <w:szCs w:val="20"/>
        </w:rPr>
      </w:pPr>
    </w:p>
    <w:p w:rsidR="00B330B4" w:rsidRPr="002A163D" w:rsidRDefault="00B330B4" w:rsidP="002A163D">
      <w:pPr>
        <w:bidi w:val="0"/>
        <w:snapToGrid w:val="0"/>
        <w:jc w:val="center"/>
        <w:rPr>
          <w:b/>
          <w:bCs/>
          <w:sz w:val="20"/>
          <w:szCs w:val="20"/>
        </w:rPr>
      </w:pPr>
      <w:r w:rsidRPr="002A163D">
        <w:rPr>
          <w:b/>
          <w:bCs/>
          <w:noProof/>
          <w:sz w:val="20"/>
          <w:szCs w:val="20"/>
          <w:lang w:eastAsia="zh-CN"/>
        </w:rPr>
        <w:lastRenderedPageBreak/>
        <w:drawing>
          <wp:inline distT="0" distB="0" distL="0" distR="0">
            <wp:extent cx="2731687" cy="20752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1868" cy="2075428"/>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32" w:name="_Toc464115925"/>
      <w:bookmarkStart w:id="33" w:name="_Toc464286491"/>
      <w:bookmarkStart w:id="34" w:name="_Toc465183599"/>
      <w:bookmarkStart w:id="35" w:name="_Toc468955256"/>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5</w:t>
      </w:r>
      <w:r w:rsidR="00A278EC" w:rsidRPr="002A163D">
        <w:rPr>
          <w:sz w:val="20"/>
          <w:szCs w:val="20"/>
        </w:rPr>
        <w:fldChar w:fldCharType="end"/>
      </w:r>
      <w:r w:rsidRPr="002A163D">
        <w:rPr>
          <w:b/>
          <w:bCs/>
          <w:sz w:val="20"/>
          <w:szCs w:val="20"/>
        </w:rPr>
        <w:t xml:space="preserve">): </w:t>
      </w:r>
      <w:r w:rsidRPr="002A163D">
        <w:rPr>
          <w:sz w:val="20"/>
          <w:szCs w:val="20"/>
        </w:rPr>
        <w:t>Comparison between group A and group B in ovulation rate in the first cycle.</w:t>
      </w:r>
      <w:bookmarkEnd w:id="32"/>
      <w:bookmarkEnd w:id="33"/>
      <w:bookmarkEnd w:id="34"/>
      <w:bookmarkEnd w:id="35"/>
    </w:p>
    <w:p w:rsidR="007207F8" w:rsidRPr="002A163D" w:rsidRDefault="007207F8" w:rsidP="002A163D">
      <w:pPr>
        <w:bidi w:val="0"/>
        <w:snapToGrid w:val="0"/>
        <w:ind w:firstLine="425"/>
        <w:jc w:val="both"/>
        <w:rPr>
          <w:sz w:val="20"/>
          <w:szCs w:val="20"/>
        </w:rPr>
      </w:pPr>
    </w:p>
    <w:p w:rsidR="00B330B4" w:rsidRPr="002A163D" w:rsidRDefault="00B330B4" w:rsidP="002A163D">
      <w:pPr>
        <w:bidi w:val="0"/>
        <w:snapToGrid w:val="0"/>
        <w:ind w:firstLine="425"/>
        <w:jc w:val="both"/>
        <w:rPr>
          <w:sz w:val="20"/>
          <w:szCs w:val="20"/>
        </w:rPr>
      </w:pPr>
      <w:r w:rsidRPr="002A163D">
        <w:rPr>
          <w:sz w:val="20"/>
          <w:szCs w:val="20"/>
        </w:rPr>
        <w:t>This figure shows that there is no significant difference between the two groups in ovulation rate in the first cycle.</w:t>
      </w:r>
    </w:p>
    <w:p w:rsidR="00B330B4" w:rsidRPr="002A163D" w:rsidRDefault="00B330B4" w:rsidP="002A163D">
      <w:pPr>
        <w:bidi w:val="0"/>
        <w:snapToGrid w:val="0"/>
        <w:ind w:firstLine="425"/>
        <w:jc w:val="both"/>
        <w:rPr>
          <w:sz w:val="20"/>
          <w:szCs w:val="20"/>
        </w:rPr>
      </w:pPr>
      <w:r w:rsidRPr="002A163D">
        <w:rPr>
          <w:sz w:val="20"/>
          <w:szCs w:val="20"/>
        </w:rPr>
        <w:t xml:space="preserve">More </w:t>
      </w:r>
      <w:proofErr w:type="spellStart"/>
      <w:r w:rsidRPr="002A163D">
        <w:rPr>
          <w:sz w:val="20"/>
          <w:szCs w:val="20"/>
        </w:rPr>
        <w:t>ovulatory</w:t>
      </w:r>
      <w:proofErr w:type="spellEnd"/>
      <w:r w:rsidRPr="002A163D">
        <w:rPr>
          <w:sz w:val="20"/>
          <w:szCs w:val="20"/>
        </w:rPr>
        <w:t xml:space="preserve"> patients (progesterone level 3-10 range) were detected during this first cycle.</w:t>
      </w:r>
    </w:p>
    <w:p w:rsidR="00B330B4" w:rsidRPr="002A163D" w:rsidRDefault="00B330B4" w:rsidP="002A163D">
      <w:pPr>
        <w:bidi w:val="0"/>
        <w:snapToGrid w:val="0"/>
        <w:ind w:firstLine="425"/>
        <w:jc w:val="both"/>
        <w:rPr>
          <w:rFonts w:eastAsia="Batang"/>
          <w:sz w:val="20"/>
          <w:szCs w:val="20"/>
        </w:rPr>
      </w:pPr>
      <w:proofErr w:type="spellStart"/>
      <w:r w:rsidRPr="002A163D">
        <w:rPr>
          <w:sz w:val="20"/>
          <w:szCs w:val="20"/>
        </w:rPr>
        <w:t>Anovulatory</w:t>
      </w:r>
      <w:proofErr w:type="spellEnd"/>
      <w:r w:rsidRPr="002A163D">
        <w:rPr>
          <w:sz w:val="20"/>
          <w:szCs w:val="20"/>
        </w:rPr>
        <w:t xml:space="preserve"> patients (progesterone level &lt; 3 range) were detected during this first cycle in group A: 20% and in group B 32.5%.</w:t>
      </w:r>
    </w:p>
    <w:p w:rsidR="00B330B4" w:rsidRPr="002A163D" w:rsidRDefault="00B330B4" w:rsidP="002A163D">
      <w:pPr>
        <w:bidi w:val="0"/>
        <w:snapToGrid w:val="0"/>
        <w:ind w:firstLine="425"/>
        <w:jc w:val="both"/>
        <w:rPr>
          <w:rFonts w:eastAsiaTheme="minorEastAsia"/>
          <w:sz w:val="20"/>
          <w:szCs w:val="20"/>
          <w:lang w:eastAsia="zh-CN"/>
        </w:rPr>
      </w:pPr>
      <w:r w:rsidRPr="002A163D">
        <w:rPr>
          <w:rFonts w:eastAsia="Batang"/>
          <w:sz w:val="20"/>
          <w:szCs w:val="20"/>
        </w:rPr>
        <w:t xml:space="preserve">If the cycle is </w:t>
      </w:r>
      <w:proofErr w:type="spellStart"/>
      <w:r w:rsidRPr="002A163D">
        <w:rPr>
          <w:rFonts w:eastAsia="Batang"/>
          <w:sz w:val="20"/>
          <w:szCs w:val="20"/>
        </w:rPr>
        <w:t>anovulatory</w:t>
      </w:r>
      <w:proofErr w:type="spellEnd"/>
      <w:r w:rsidRPr="002A163D">
        <w:rPr>
          <w:rFonts w:eastAsia="Batang"/>
          <w:sz w:val="20"/>
          <w:szCs w:val="20"/>
        </w:rPr>
        <w:t xml:space="preserve">, the </w:t>
      </w:r>
      <w:proofErr w:type="spellStart"/>
      <w:r w:rsidRPr="002A163D">
        <w:rPr>
          <w:rFonts w:eastAsia="Batang"/>
          <w:sz w:val="20"/>
          <w:szCs w:val="20"/>
        </w:rPr>
        <w:t>clomiphene</w:t>
      </w:r>
      <w:proofErr w:type="spellEnd"/>
      <w:r w:rsidRPr="002A163D">
        <w:rPr>
          <w:rFonts w:eastAsia="Batang"/>
          <w:sz w:val="20"/>
          <w:szCs w:val="20"/>
        </w:rPr>
        <w:t xml:space="preserve"> </w:t>
      </w:r>
      <w:proofErr w:type="spellStart"/>
      <w:r w:rsidRPr="002A163D">
        <w:rPr>
          <w:rFonts w:eastAsia="Batang"/>
          <w:sz w:val="20"/>
          <w:szCs w:val="20"/>
        </w:rPr>
        <w:t>citerate</w:t>
      </w:r>
      <w:proofErr w:type="spellEnd"/>
      <w:r w:rsidRPr="002A163D">
        <w:rPr>
          <w:rFonts w:eastAsia="Batang"/>
          <w:sz w:val="20"/>
          <w:szCs w:val="20"/>
        </w:rPr>
        <w:t xml:space="preserve"> dose is increased by 50 mg in the subsequent cycle.</w:t>
      </w:r>
    </w:p>
    <w:p w:rsidR="008D3F0E" w:rsidRPr="002A163D" w:rsidRDefault="008D3F0E" w:rsidP="002A163D">
      <w:pPr>
        <w:bidi w:val="0"/>
        <w:snapToGrid w:val="0"/>
        <w:jc w:val="both"/>
        <w:rPr>
          <w:rFonts w:eastAsiaTheme="minorEastAsia"/>
          <w:b/>
          <w:bCs/>
          <w:sz w:val="20"/>
          <w:szCs w:val="20"/>
          <w:lang w:eastAsia="zh-CN"/>
        </w:rPr>
      </w:pPr>
    </w:p>
    <w:p w:rsidR="00B330B4" w:rsidRPr="002A163D" w:rsidRDefault="00B330B4" w:rsidP="002A163D">
      <w:pPr>
        <w:bidi w:val="0"/>
        <w:snapToGrid w:val="0"/>
        <w:jc w:val="center"/>
        <w:rPr>
          <w:sz w:val="20"/>
          <w:szCs w:val="20"/>
        </w:rPr>
      </w:pPr>
      <w:r w:rsidRPr="002A163D">
        <w:rPr>
          <w:noProof/>
          <w:sz w:val="20"/>
          <w:szCs w:val="20"/>
          <w:lang w:eastAsia="zh-CN"/>
        </w:rPr>
        <w:drawing>
          <wp:inline distT="0" distB="0" distL="0" distR="0">
            <wp:extent cx="2850431" cy="2059388"/>
            <wp:effectExtent l="19050" t="0" r="7069"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1509" cy="2060167"/>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36" w:name="_Toc464115926"/>
      <w:bookmarkStart w:id="37" w:name="_Toc464286492"/>
      <w:bookmarkStart w:id="38" w:name="_Toc465183600"/>
      <w:bookmarkStart w:id="39" w:name="_Toc468955257"/>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6</w:t>
      </w:r>
      <w:r w:rsidR="00A278EC" w:rsidRPr="002A163D">
        <w:rPr>
          <w:sz w:val="20"/>
          <w:szCs w:val="20"/>
        </w:rPr>
        <w:fldChar w:fldCharType="end"/>
      </w:r>
      <w:r w:rsidRPr="002A163D">
        <w:rPr>
          <w:b/>
          <w:bCs/>
          <w:sz w:val="20"/>
          <w:szCs w:val="20"/>
        </w:rPr>
        <w:t>):</w:t>
      </w:r>
      <w:r w:rsidR="007207F8" w:rsidRPr="002A163D">
        <w:rPr>
          <w:sz w:val="20"/>
          <w:szCs w:val="20"/>
        </w:rPr>
        <w:t xml:space="preserve"> </w:t>
      </w:r>
      <w:r w:rsidRPr="002A163D">
        <w:rPr>
          <w:sz w:val="20"/>
          <w:szCs w:val="20"/>
        </w:rPr>
        <w:t>Comparison between group A and group B in ovulation rate in the second cycle.</w:t>
      </w:r>
      <w:bookmarkEnd w:id="36"/>
      <w:bookmarkEnd w:id="37"/>
      <w:bookmarkEnd w:id="38"/>
      <w:bookmarkEnd w:id="39"/>
    </w:p>
    <w:p w:rsidR="00332929" w:rsidRPr="002A163D" w:rsidRDefault="00332929" w:rsidP="002A163D">
      <w:pPr>
        <w:bidi w:val="0"/>
        <w:snapToGrid w:val="0"/>
        <w:ind w:firstLine="425"/>
        <w:jc w:val="both"/>
        <w:rPr>
          <w:sz w:val="20"/>
          <w:szCs w:val="20"/>
        </w:rPr>
      </w:pPr>
    </w:p>
    <w:p w:rsidR="00B330B4" w:rsidRPr="002A163D" w:rsidRDefault="00B330B4" w:rsidP="002A163D">
      <w:pPr>
        <w:bidi w:val="0"/>
        <w:snapToGrid w:val="0"/>
        <w:ind w:firstLine="425"/>
        <w:jc w:val="both"/>
        <w:rPr>
          <w:sz w:val="20"/>
          <w:szCs w:val="20"/>
        </w:rPr>
      </w:pPr>
      <w:r w:rsidRPr="002A163D">
        <w:rPr>
          <w:sz w:val="20"/>
          <w:szCs w:val="20"/>
        </w:rPr>
        <w:t>This figure shows that no significant difference between the two groups in ovulation rate in the second cycle.</w:t>
      </w:r>
    </w:p>
    <w:p w:rsidR="00B330B4" w:rsidRPr="002A163D" w:rsidRDefault="00B330B4" w:rsidP="002A163D">
      <w:pPr>
        <w:bidi w:val="0"/>
        <w:snapToGrid w:val="0"/>
        <w:ind w:firstLine="425"/>
        <w:jc w:val="both"/>
        <w:rPr>
          <w:rFonts w:eastAsiaTheme="minorEastAsia"/>
          <w:sz w:val="20"/>
          <w:szCs w:val="20"/>
          <w:lang w:eastAsia="zh-CN"/>
        </w:rPr>
      </w:pPr>
      <w:r w:rsidRPr="002A163D">
        <w:rPr>
          <w:sz w:val="20"/>
          <w:szCs w:val="20"/>
        </w:rPr>
        <w:t xml:space="preserve">More </w:t>
      </w:r>
      <w:proofErr w:type="spellStart"/>
      <w:r w:rsidRPr="002A163D">
        <w:rPr>
          <w:sz w:val="20"/>
          <w:szCs w:val="20"/>
        </w:rPr>
        <w:t>ovulatory</w:t>
      </w:r>
      <w:proofErr w:type="spellEnd"/>
      <w:r w:rsidRPr="002A163D">
        <w:rPr>
          <w:sz w:val="20"/>
          <w:szCs w:val="20"/>
        </w:rPr>
        <w:t xml:space="preserve"> patients were detected when progesterone level &gt; 10 during the second cycle. When progesterone level reached &lt;3 a decrease in number of </w:t>
      </w:r>
      <w:proofErr w:type="spellStart"/>
      <w:r w:rsidRPr="002A163D">
        <w:rPr>
          <w:sz w:val="20"/>
          <w:szCs w:val="20"/>
        </w:rPr>
        <w:t>anovulatory</w:t>
      </w:r>
      <w:proofErr w:type="spellEnd"/>
      <w:r w:rsidRPr="002A163D">
        <w:rPr>
          <w:sz w:val="20"/>
          <w:szCs w:val="20"/>
        </w:rPr>
        <w:t xml:space="preserve"> patients to </w:t>
      </w:r>
      <w:proofErr w:type="spellStart"/>
      <w:r w:rsidRPr="002A163D">
        <w:rPr>
          <w:sz w:val="20"/>
          <w:szCs w:val="20"/>
        </w:rPr>
        <w:t>nill</w:t>
      </w:r>
      <w:proofErr w:type="spellEnd"/>
      <w:r w:rsidRPr="002A163D">
        <w:rPr>
          <w:sz w:val="20"/>
          <w:szCs w:val="20"/>
        </w:rPr>
        <w:t xml:space="preserve"> in group A was observed.</w:t>
      </w:r>
    </w:p>
    <w:p w:rsidR="0070729D" w:rsidRPr="002A163D" w:rsidRDefault="0070729D" w:rsidP="002A163D">
      <w:pPr>
        <w:bidi w:val="0"/>
        <w:snapToGrid w:val="0"/>
        <w:ind w:firstLine="425"/>
        <w:jc w:val="both"/>
        <w:rPr>
          <w:rFonts w:eastAsiaTheme="minorEastAsia"/>
          <w:sz w:val="20"/>
          <w:szCs w:val="20"/>
          <w:lang w:eastAsia="zh-CN"/>
        </w:rPr>
      </w:pPr>
    </w:p>
    <w:p w:rsidR="00B330B4" w:rsidRPr="002A163D" w:rsidRDefault="00B330B4" w:rsidP="002A163D">
      <w:pPr>
        <w:bidi w:val="0"/>
        <w:snapToGrid w:val="0"/>
        <w:jc w:val="center"/>
        <w:rPr>
          <w:b/>
          <w:bCs/>
          <w:sz w:val="20"/>
          <w:szCs w:val="20"/>
        </w:rPr>
      </w:pPr>
      <w:r w:rsidRPr="002A163D">
        <w:rPr>
          <w:b/>
          <w:bCs/>
          <w:noProof/>
          <w:sz w:val="20"/>
          <w:szCs w:val="20"/>
          <w:lang w:eastAsia="zh-CN"/>
        </w:rPr>
        <w:lastRenderedPageBreak/>
        <w:drawing>
          <wp:inline distT="0" distB="0" distL="0" distR="0">
            <wp:extent cx="2732100" cy="20752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771" cy="2075799"/>
                    </a:xfrm>
                    <a:prstGeom prst="rect">
                      <a:avLst/>
                    </a:prstGeom>
                    <a:noFill/>
                  </pic:spPr>
                </pic:pic>
              </a:graphicData>
            </a:graphic>
          </wp:inline>
        </w:drawing>
      </w:r>
    </w:p>
    <w:p w:rsidR="00B330B4" w:rsidRPr="002A163D" w:rsidRDefault="00B330B4" w:rsidP="002A163D">
      <w:pPr>
        <w:bidi w:val="0"/>
        <w:snapToGrid w:val="0"/>
        <w:jc w:val="both"/>
        <w:rPr>
          <w:sz w:val="20"/>
          <w:szCs w:val="20"/>
        </w:rPr>
      </w:pPr>
      <w:bookmarkStart w:id="40" w:name="_Toc464115927"/>
      <w:bookmarkStart w:id="41" w:name="_Toc464286493"/>
      <w:bookmarkStart w:id="42" w:name="_Toc465183601"/>
      <w:bookmarkStart w:id="43" w:name="_Toc468955258"/>
      <w:r w:rsidRPr="002A163D">
        <w:rPr>
          <w:b/>
          <w:bCs/>
          <w:sz w:val="20"/>
          <w:szCs w:val="20"/>
        </w:rPr>
        <w:t>Figure (</w:t>
      </w:r>
      <w:r w:rsidR="00A278EC" w:rsidRPr="00A278EC">
        <w:rPr>
          <w:b/>
          <w:bCs/>
          <w:sz w:val="20"/>
          <w:szCs w:val="20"/>
        </w:rPr>
        <w:fldChar w:fldCharType="begin"/>
      </w:r>
      <w:r w:rsidRPr="002A163D">
        <w:rPr>
          <w:b/>
          <w:bCs/>
          <w:sz w:val="20"/>
          <w:szCs w:val="20"/>
        </w:rPr>
        <w:instrText xml:space="preserve"> SEQ Figure \* ARABIC </w:instrText>
      </w:r>
      <w:r w:rsidR="00A278EC" w:rsidRPr="00A278EC">
        <w:rPr>
          <w:b/>
          <w:bCs/>
          <w:sz w:val="20"/>
          <w:szCs w:val="20"/>
        </w:rPr>
        <w:fldChar w:fldCharType="separate"/>
      </w:r>
      <w:r w:rsidR="00B95E1C" w:rsidRPr="002A163D">
        <w:rPr>
          <w:b/>
          <w:bCs/>
          <w:noProof/>
          <w:sz w:val="20"/>
          <w:szCs w:val="20"/>
        </w:rPr>
        <w:t>7</w:t>
      </w:r>
      <w:r w:rsidR="00A278EC" w:rsidRPr="002A163D">
        <w:rPr>
          <w:sz w:val="20"/>
          <w:szCs w:val="20"/>
        </w:rPr>
        <w:fldChar w:fldCharType="end"/>
      </w:r>
      <w:r w:rsidRPr="002A163D">
        <w:rPr>
          <w:b/>
          <w:bCs/>
          <w:sz w:val="20"/>
          <w:szCs w:val="20"/>
        </w:rPr>
        <w:t xml:space="preserve">): </w:t>
      </w:r>
      <w:r w:rsidRPr="002A163D">
        <w:rPr>
          <w:sz w:val="20"/>
          <w:szCs w:val="20"/>
        </w:rPr>
        <w:t>Comparison between group A and group B in ovulation rate in the third cycle.</w:t>
      </w:r>
      <w:bookmarkEnd w:id="40"/>
      <w:bookmarkEnd w:id="41"/>
      <w:bookmarkEnd w:id="42"/>
      <w:bookmarkEnd w:id="43"/>
    </w:p>
    <w:p w:rsidR="007207F8" w:rsidRPr="002A163D" w:rsidRDefault="007207F8" w:rsidP="002A163D">
      <w:pPr>
        <w:bidi w:val="0"/>
        <w:snapToGrid w:val="0"/>
        <w:ind w:firstLine="425"/>
        <w:jc w:val="both"/>
        <w:rPr>
          <w:sz w:val="20"/>
          <w:szCs w:val="20"/>
        </w:rPr>
      </w:pPr>
    </w:p>
    <w:p w:rsidR="00B330B4" w:rsidRPr="002A163D" w:rsidRDefault="00B330B4" w:rsidP="002A163D">
      <w:pPr>
        <w:bidi w:val="0"/>
        <w:snapToGrid w:val="0"/>
        <w:ind w:firstLine="425"/>
        <w:jc w:val="both"/>
        <w:rPr>
          <w:sz w:val="20"/>
          <w:szCs w:val="20"/>
        </w:rPr>
      </w:pPr>
      <w:r w:rsidRPr="002A163D">
        <w:rPr>
          <w:sz w:val="20"/>
          <w:szCs w:val="20"/>
        </w:rPr>
        <w:t>This figure shows that significant difference could be detected between the two groups in ovulation rate in the third cycle.</w:t>
      </w:r>
    </w:p>
    <w:p w:rsidR="00B330B4" w:rsidRPr="002A163D" w:rsidRDefault="00B330B4" w:rsidP="002A163D">
      <w:pPr>
        <w:shd w:val="clear" w:color="auto" w:fill="FFFFFF"/>
        <w:bidi w:val="0"/>
        <w:snapToGrid w:val="0"/>
        <w:ind w:firstLine="425"/>
        <w:jc w:val="both"/>
        <w:outlineLvl w:val="2"/>
        <w:rPr>
          <w:sz w:val="20"/>
          <w:szCs w:val="20"/>
        </w:rPr>
      </w:pPr>
      <w:r w:rsidRPr="002A163D">
        <w:rPr>
          <w:sz w:val="20"/>
          <w:szCs w:val="20"/>
        </w:rPr>
        <w:t xml:space="preserve">An increasing number of </w:t>
      </w:r>
      <w:proofErr w:type="spellStart"/>
      <w:r w:rsidRPr="002A163D">
        <w:rPr>
          <w:sz w:val="20"/>
          <w:szCs w:val="20"/>
        </w:rPr>
        <w:t>ovulatory</w:t>
      </w:r>
      <w:proofErr w:type="spellEnd"/>
      <w:r w:rsidRPr="002A163D">
        <w:rPr>
          <w:sz w:val="20"/>
          <w:szCs w:val="20"/>
        </w:rPr>
        <w:t xml:space="preserve"> patients (progesterone level &gt;10) was detected during the third cycle within the two groups was observed. There was a disappearance of the </w:t>
      </w:r>
      <w:proofErr w:type="spellStart"/>
      <w:r w:rsidRPr="002A163D">
        <w:rPr>
          <w:sz w:val="20"/>
          <w:szCs w:val="20"/>
        </w:rPr>
        <w:t>anovulatory</w:t>
      </w:r>
      <w:proofErr w:type="spellEnd"/>
      <w:r w:rsidRPr="002A163D">
        <w:rPr>
          <w:sz w:val="20"/>
          <w:szCs w:val="20"/>
        </w:rPr>
        <w:t xml:space="preserve"> patients (when </w:t>
      </w:r>
      <w:proofErr w:type="spellStart"/>
      <w:r w:rsidRPr="002A163D">
        <w:rPr>
          <w:sz w:val="20"/>
          <w:szCs w:val="20"/>
        </w:rPr>
        <w:t>progestrone</w:t>
      </w:r>
      <w:proofErr w:type="spellEnd"/>
      <w:r w:rsidRPr="002A163D">
        <w:rPr>
          <w:sz w:val="20"/>
          <w:szCs w:val="20"/>
        </w:rPr>
        <w:t xml:space="preserve"> level was below 3) in group A 92.5% had good ovulation (progesterone level was &gt;10ng/ml) while in group B 69.44% had good ovulation.</w:t>
      </w:r>
    </w:p>
    <w:p w:rsidR="007207F8" w:rsidRPr="002A163D" w:rsidRDefault="007207F8" w:rsidP="002A163D">
      <w:pPr>
        <w:autoSpaceDE w:val="0"/>
        <w:autoSpaceDN w:val="0"/>
        <w:bidi w:val="0"/>
        <w:adjustRightInd w:val="0"/>
        <w:snapToGrid w:val="0"/>
        <w:jc w:val="both"/>
        <w:rPr>
          <w:b/>
          <w:bCs/>
          <w:sz w:val="20"/>
          <w:szCs w:val="20"/>
        </w:rPr>
      </w:pPr>
      <w:bookmarkStart w:id="44" w:name="_Toc464115559"/>
    </w:p>
    <w:p w:rsidR="00B330B4" w:rsidRPr="002A163D" w:rsidRDefault="00332929" w:rsidP="002A163D">
      <w:pPr>
        <w:autoSpaceDE w:val="0"/>
        <w:autoSpaceDN w:val="0"/>
        <w:bidi w:val="0"/>
        <w:adjustRightInd w:val="0"/>
        <w:snapToGrid w:val="0"/>
        <w:jc w:val="both"/>
        <w:rPr>
          <w:b/>
          <w:bCs/>
          <w:sz w:val="20"/>
          <w:szCs w:val="20"/>
        </w:rPr>
      </w:pPr>
      <w:r w:rsidRPr="002A163D">
        <w:rPr>
          <w:b/>
          <w:bCs/>
          <w:sz w:val="20"/>
          <w:szCs w:val="20"/>
        </w:rPr>
        <w:t xml:space="preserve">4. </w:t>
      </w:r>
      <w:r w:rsidR="00B330B4" w:rsidRPr="002A163D">
        <w:rPr>
          <w:b/>
          <w:bCs/>
          <w:sz w:val="20"/>
          <w:szCs w:val="20"/>
        </w:rPr>
        <w:t>Discussion</w:t>
      </w:r>
      <w:bookmarkEnd w:id="44"/>
    </w:p>
    <w:p w:rsidR="00B330B4" w:rsidRPr="002A163D" w:rsidRDefault="0016523C" w:rsidP="002A163D">
      <w:pPr>
        <w:autoSpaceDE w:val="0"/>
        <w:autoSpaceDN w:val="0"/>
        <w:bidi w:val="0"/>
        <w:adjustRightInd w:val="0"/>
        <w:snapToGrid w:val="0"/>
        <w:ind w:firstLine="425"/>
        <w:jc w:val="both"/>
        <w:rPr>
          <w:b/>
          <w:bCs/>
          <w:i/>
          <w:iCs/>
          <w:sz w:val="20"/>
          <w:szCs w:val="20"/>
        </w:rPr>
      </w:pPr>
      <w:r w:rsidRPr="002A163D">
        <w:rPr>
          <w:sz w:val="20"/>
          <w:szCs w:val="20"/>
        </w:rPr>
        <w:t>P</w:t>
      </w:r>
      <w:r w:rsidR="00B330B4" w:rsidRPr="002A163D">
        <w:rPr>
          <w:sz w:val="20"/>
          <w:szCs w:val="20"/>
        </w:rPr>
        <w:t xml:space="preserve">olycystic ovary syndrome (PCOS) is the most common form of WHO type II </w:t>
      </w:r>
      <w:proofErr w:type="spellStart"/>
      <w:r w:rsidR="00B330B4" w:rsidRPr="002A163D">
        <w:rPr>
          <w:sz w:val="20"/>
          <w:szCs w:val="20"/>
        </w:rPr>
        <w:t>anovulatory</w:t>
      </w:r>
      <w:proofErr w:type="spellEnd"/>
      <w:r w:rsidR="00B330B4" w:rsidRPr="002A163D">
        <w:rPr>
          <w:sz w:val="20"/>
          <w:szCs w:val="20"/>
        </w:rPr>
        <w:t xml:space="preserve"> infertility and is associated with </w:t>
      </w:r>
      <w:proofErr w:type="spellStart"/>
      <w:r w:rsidR="00B330B4" w:rsidRPr="002A163D">
        <w:rPr>
          <w:sz w:val="20"/>
          <w:szCs w:val="20"/>
        </w:rPr>
        <w:t>hyperandrogenemia</w:t>
      </w:r>
      <w:proofErr w:type="spellEnd"/>
      <w:r w:rsidR="00345B9A">
        <w:rPr>
          <w:rFonts w:eastAsiaTheme="minorEastAsia" w:hint="eastAsia"/>
          <w:sz w:val="20"/>
          <w:szCs w:val="20"/>
          <w:lang w:eastAsia="zh-CN"/>
        </w:rPr>
        <w:t xml:space="preserve"> </w:t>
      </w:r>
      <w:r w:rsidR="00B330B4" w:rsidRPr="002A163D">
        <w:rPr>
          <w:b/>
          <w:bCs/>
          <w:i/>
          <w:iCs/>
          <w:sz w:val="20"/>
          <w:szCs w:val="20"/>
        </w:rPr>
        <w:t xml:space="preserve">(Abu </w:t>
      </w:r>
      <w:proofErr w:type="spellStart"/>
      <w:r w:rsidR="00B330B4" w:rsidRPr="002A163D">
        <w:rPr>
          <w:b/>
          <w:bCs/>
          <w:i/>
          <w:iCs/>
          <w:sz w:val="20"/>
          <w:szCs w:val="20"/>
        </w:rPr>
        <w:t>Hashim</w:t>
      </w:r>
      <w:proofErr w:type="spellEnd"/>
      <w:r w:rsidR="00B330B4" w:rsidRPr="002A163D">
        <w:rPr>
          <w:b/>
          <w:bCs/>
          <w:i/>
          <w:iCs/>
          <w:sz w:val="20"/>
          <w:szCs w:val="20"/>
        </w:rPr>
        <w:t>, 2012).</w:t>
      </w:r>
    </w:p>
    <w:p w:rsidR="00B330B4" w:rsidRPr="002A163D" w:rsidRDefault="00B330B4" w:rsidP="002A163D">
      <w:pPr>
        <w:autoSpaceDE w:val="0"/>
        <w:autoSpaceDN w:val="0"/>
        <w:bidi w:val="0"/>
        <w:adjustRightInd w:val="0"/>
        <w:snapToGrid w:val="0"/>
        <w:ind w:firstLine="425"/>
        <w:jc w:val="both"/>
        <w:rPr>
          <w:i/>
          <w:iCs/>
          <w:sz w:val="20"/>
          <w:szCs w:val="20"/>
        </w:rPr>
      </w:pPr>
      <w:r w:rsidRPr="002A163D">
        <w:rPr>
          <w:sz w:val="20"/>
          <w:szCs w:val="20"/>
        </w:rPr>
        <w:t xml:space="preserve">The PCOS is the commonest </w:t>
      </w:r>
      <w:proofErr w:type="spellStart"/>
      <w:r w:rsidRPr="002A163D">
        <w:rPr>
          <w:sz w:val="20"/>
          <w:szCs w:val="20"/>
        </w:rPr>
        <w:t>hyperandrogenic</w:t>
      </w:r>
      <w:proofErr w:type="spellEnd"/>
      <w:r w:rsidRPr="002A163D">
        <w:rPr>
          <w:sz w:val="20"/>
          <w:szCs w:val="20"/>
        </w:rPr>
        <w:t xml:space="preserve"> disorder in women and one of the most common causes of </w:t>
      </w:r>
      <w:proofErr w:type="spellStart"/>
      <w:r w:rsidRPr="002A163D">
        <w:rPr>
          <w:sz w:val="20"/>
          <w:szCs w:val="20"/>
        </w:rPr>
        <w:t>ovulatory</w:t>
      </w:r>
      <w:proofErr w:type="spellEnd"/>
      <w:r w:rsidRPr="002A163D">
        <w:rPr>
          <w:sz w:val="20"/>
          <w:szCs w:val="20"/>
        </w:rPr>
        <w:t xml:space="preserve"> infertility, with an estimated prevalence of 4–7% worldwide </w:t>
      </w:r>
      <w:r w:rsidRPr="002A163D">
        <w:rPr>
          <w:b/>
          <w:bCs/>
          <w:i/>
          <w:iCs/>
          <w:sz w:val="20"/>
          <w:szCs w:val="20"/>
        </w:rPr>
        <w:t>(</w:t>
      </w:r>
      <w:proofErr w:type="spellStart"/>
      <w:r w:rsidRPr="002A163D">
        <w:rPr>
          <w:b/>
          <w:bCs/>
          <w:i/>
          <w:iCs/>
          <w:sz w:val="20"/>
          <w:szCs w:val="20"/>
        </w:rPr>
        <w:t>Pasquali</w:t>
      </w:r>
      <w:proofErr w:type="spellEnd"/>
      <w:r w:rsidRPr="002A163D">
        <w:rPr>
          <w:b/>
          <w:bCs/>
          <w:i/>
          <w:iCs/>
          <w:sz w:val="20"/>
          <w:szCs w:val="20"/>
        </w:rPr>
        <w:t>, 2009).</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Polycystic ovary syndrome is a </w:t>
      </w:r>
      <w:proofErr w:type="spellStart"/>
      <w:r w:rsidRPr="002A163D">
        <w:rPr>
          <w:sz w:val="20"/>
          <w:szCs w:val="20"/>
        </w:rPr>
        <w:t>multifactorial</w:t>
      </w:r>
      <w:proofErr w:type="spellEnd"/>
      <w:r w:rsidRPr="002A163D">
        <w:rPr>
          <w:sz w:val="20"/>
          <w:szCs w:val="20"/>
        </w:rPr>
        <w:t xml:space="preserve">, polygenic, heterogeneous endocrine disorder. Several mechanisms, including disorders in the HPG axis, ovarian and adrenal androgen production, insulin action, and several candidate genes regulating androgen and insulin biosynthetic pathways, have been implicated in the pathogenesis of the disorder, </w:t>
      </w:r>
      <w:proofErr w:type="spellStart"/>
      <w:r w:rsidRPr="002A163D">
        <w:rPr>
          <w:sz w:val="20"/>
          <w:szCs w:val="20"/>
        </w:rPr>
        <w:t>hyperandrogenism</w:t>
      </w:r>
      <w:proofErr w:type="spellEnd"/>
      <w:r w:rsidRPr="002A163D">
        <w:rPr>
          <w:sz w:val="20"/>
          <w:szCs w:val="20"/>
        </w:rPr>
        <w:t xml:space="preserve"> and insulin resistance, largely modulated by obesity, appear to be central to the </w:t>
      </w:r>
      <w:proofErr w:type="spellStart"/>
      <w:r w:rsidRPr="002A163D">
        <w:rPr>
          <w:sz w:val="20"/>
          <w:szCs w:val="20"/>
        </w:rPr>
        <w:t>pathophysiology</w:t>
      </w:r>
      <w:proofErr w:type="spellEnd"/>
      <w:r w:rsidRPr="002A163D">
        <w:rPr>
          <w:sz w:val="20"/>
          <w:szCs w:val="20"/>
        </w:rPr>
        <w:t xml:space="preserve"> of the disease </w:t>
      </w:r>
      <w:r w:rsidRPr="002A163D">
        <w:rPr>
          <w:b/>
          <w:bCs/>
          <w:i/>
          <w:iCs/>
          <w:sz w:val="20"/>
          <w:szCs w:val="20"/>
        </w:rPr>
        <w:t>(</w:t>
      </w:r>
      <w:proofErr w:type="spellStart"/>
      <w:r w:rsidRPr="002A163D">
        <w:rPr>
          <w:b/>
          <w:bCs/>
          <w:i/>
          <w:iCs/>
          <w:sz w:val="20"/>
          <w:szCs w:val="20"/>
        </w:rPr>
        <w:t>Allahbadia</w:t>
      </w:r>
      <w:proofErr w:type="spellEnd"/>
      <w:r w:rsidR="008D3F0E" w:rsidRPr="002A163D">
        <w:rPr>
          <w:b/>
          <w:bCs/>
          <w:i/>
          <w:iCs/>
          <w:sz w:val="20"/>
          <w:szCs w:val="20"/>
        </w:rPr>
        <w:t xml:space="preserve"> &amp;</w:t>
      </w:r>
      <w:r w:rsidR="002A19E4">
        <w:rPr>
          <w:b/>
          <w:bCs/>
          <w:i/>
          <w:iCs/>
          <w:sz w:val="20"/>
          <w:szCs w:val="20"/>
        </w:rPr>
        <w:t xml:space="preserve"> </w:t>
      </w:r>
      <w:r w:rsidRPr="002A163D">
        <w:rPr>
          <w:b/>
          <w:bCs/>
          <w:i/>
          <w:iCs/>
          <w:sz w:val="20"/>
          <w:szCs w:val="20"/>
        </w:rPr>
        <w:t>Merchant, 2011).</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Management of PCOS includes a symptom-orientated approach to the presenting problem and a preventive strategy for the associated long-term morbidity</w:t>
      </w:r>
      <w:r w:rsidRPr="002A163D">
        <w:rPr>
          <w:b/>
          <w:bCs/>
          <w:i/>
          <w:iCs/>
          <w:sz w:val="20"/>
          <w:szCs w:val="20"/>
        </w:rPr>
        <w:t xml:space="preserve"> (</w:t>
      </w:r>
      <w:proofErr w:type="spellStart"/>
      <w:r w:rsidRPr="002A163D">
        <w:rPr>
          <w:b/>
          <w:bCs/>
          <w:i/>
          <w:iCs/>
          <w:sz w:val="20"/>
          <w:szCs w:val="20"/>
        </w:rPr>
        <w:t>Amer</w:t>
      </w:r>
      <w:proofErr w:type="spellEnd"/>
      <w:r w:rsidRPr="002A163D">
        <w:rPr>
          <w:b/>
          <w:bCs/>
          <w:i/>
          <w:iCs/>
          <w:sz w:val="20"/>
          <w:szCs w:val="20"/>
        </w:rPr>
        <w:t>, 2009).</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For </w:t>
      </w:r>
      <w:proofErr w:type="spellStart"/>
      <w:r w:rsidRPr="002A163D">
        <w:rPr>
          <w:sz w:val="20"/>
          <w:szCs w:val="20"/>
        </w:rPr>
        <w:t>anovulatory</w:t>
      </w:r>
      <w:proofErr w:type="spellEnd"/>
      <w:r w:rsidRPr="002A163D">
        <w:rPr>
          <w:sz w:val="20"/>
          <w:szCs w:val="20"/>
        </w:rPr>
        <w:t xml:space="preserve"> infertility in women with PCOS, different treatment approaches have been widely used to restore ovulation such as </w:t>
      </w:r>
      <w:r w:rsidRPr="002A163D">
        <w:rPr>
          <w:b/>
          <w:bCs/>
          <w:i/>
          <w:iCs/>
          <w:sz w:val="20"/>
          <w:szCs w:val="20"/>
        </w:rPr>
        <w:t>(</w:t>
      </w:r>
      <w:proofErr w:type="spellStart"/>
      <w:r w:rsidRPr="002A163D">
        <w:rPr>
          <w:b/>
          <w:bCs/>
          <w:i/>
          <w:iCs/>
          <w:sz w:val="20"/>
          <w:szCs w:val="20"/>
        </w:rPr>
        <w:t>Amer</w:t>
      </w:r>
      <w:proofErr w:type="spellEnd"/>
      <w:r w:rsidRPr="002A163D">
        <w:rPr>
          <w:b/>
          <w:bCs/>
          <w:i/>
          <w:iCs/>
          <w:sz w:val="20"/>
          <w:szCs w:val="20"/>
        </w:rPr>
        <w:t>, 2009)</w:t>
      </w:r>
      <w:r w:rsidRPr="002A163D">
        <w:rPr>
          <w:sz w:val="20"/>
          <w:szCs w:val="20"/>
        </w:rPr>
        <w:t>:</w:t>
      </w:r>
    </w:p>
    <w:p w:rsidR="002A19E4" w:rsidRDefault="00B330B4" w:rsidP="002A163D">
      <w:pPr>
        <w:pStyle w:val="msonormalcxspmiddle"/>
        <w:numPr>
          <w:ilvl w:val="0"/>
          <w:numId w:val="12"/>
        </w:numPr>
        <w:autoSpaceDE w:val="0"/>
        <w:autoSpaceDN w:val="0"/>
        <w:adjustRightInd w:val="0"/>
        <w:snapToGrid w:val="0"/>
        <w:spacing w:before="0" w:beforeAutospacing="0" w:after="0" w:afterAutospacing="0"/>
        <w:ind w:left="0" w:firstLine="425"/>
        <w:jc w:val="both"/>
        <w:rPr>
          <w:sz w:val="20"/>
          <w:szCs w:val="20"/>
        </w:rPr>
      </w:pPr>
      <w:r w:rsidRPr="002A163D">
        <w:rPr>
          <w:sz w:val="20"/>
          <w:szCs w:val="20"/>
        </w:rPr>
        <w:t>Weight reductio</w:t>
      </w:r>
      <w:r w:rsidR="002A19E4" w:rsidRPr="002A163D">
        <w:rPr>
          <w:sz w:val="20"/>
          <w:szCs w:val="20"/>
        </w:rPr>
        <w:t>n</w:t>
      </w:r>
      <w:r w:rsidR="002A19E4">
        <w:rPr>
          <w:sz w:val="20"/>
          <w:szCs w:val="20"/>
        </w:rPr>
        <w:t>.</w:t>
      </w:r>
    </w:p>
    <w:p w:rsidR="002A19E4" w:rsidRDefault="00B330B4" w:rsidP="002A163D">
      <w:pPr>
        <w:pStyle w:val="msonormalcxspmiddle"/>
        <w:numPr>
          <w:ilvl w:val="0"/>
          <w:numId w:val="12"/>
        </w:numPr>
        <w:autoSpaceDE w:val="0"/>
        <w:autoSpaceDN w:val="0"/>
        <w:adjustRightInd w:val="0"/>
        <w:snapToGrid w:val="0"/>
        <w:spacing w:before="0" w:beforeAutospacing="0" w:after="0" w:afterAutospacing="0"/>
        <w:ind w:left="0" w:firstLine="425"/>
        <w:jc w:val="both"/>
        <w:rPr>
          <w:sz w:val="20"/>
          <w:szCs w:val="20"/>
        </w:rPr>
      </w:pPr>
      <w:r w:rsidRPr="002A163D">
        <w:rPr>
          <w:sz w:val="20"/>
          <w:szCs w:val="20"/>
        </w:rPr>
        <w:lastRenderedPageBreak/>
        <w:t>Laparoscopic ovarian drilling (LOD</w:t>
      </w:r>
      <w:r w:rsidR="002A19E4" w:rsidRPr="002A163D">
        <w:rPr>
          <w:sz w:val="20"/>
          <w:szCs w:val="20"/>
        </w:rPr>
        <w:t>)</w:t>
      </w:r>
      <w:r w:rsidR="002A19E4">
        <w:rPr>
          <w:sz w:val="20"/>
          <w:szCs w:val="20"/>
        </w:rPr>
        <w:t>.</w:t>
      </w:r>
    </w:p>
    <w:p w:rsidR="00B330B4" w:rsidRPr="002A163D" w:rsidRDefault="00B330B4" w:rsidP="002A163D">
      <w:pPr>
        <w:pStyle w:val="msonormalcxspmiddle"/>
        <w:numPr>
          <w:ilvl w:val="0"/>
          <w:numId w:val="12"/>
        </w:numPr>
        <w:autoSpaceDE w:val="0"/>
        <w:autoSpaceDN w:val="0"/>
        <w:adjustRightInd w:val="0"/>
        <w:snapToGrid w:val="0"/>
        <w:spacing w:before="0" w:beforeAutospacing="0" w:after="0" w:afterAutospacing="0"/>
        <w:ind w:left="0" w:firstLine="425"/>
        <w:jc w:val="both"/>
        <w:rPr>
          <w:sz w:val="20"/>
          <w:szCs w:val="20"/>
        </w:rPr>
      </w:pPr>
      <w:r w:rsidRPr="002A163D">
        <w:rPr>
          <w:sz w:val="20"/>
          <w:szCs w:val="20"/>
        </w:rPr>
        <w:t>Drugs to induce ovulation and this include:</w:t>
      </w:r>
    </w:p>
    <w:p w:rsidR="00B330B4" w:rsidRPr="002A163D" w:rsidRDefault="00B330B4" w:rsidP="002A163D">
      <w:pPr>
        <w:pStyle w:val="msonormalcxspmiddle"/>
        <w:numPr>
          <w:ilvl w:val="0"/>
          <w:numId w:val="13"/>
        </w:numPr>
        <w:autoSpaceDE w:val="0"/>
        <w:autoSpaceDN w:val="0"/>
        <w:adjustRightInd w:val="0"/>
        <w:snapToGrid w:val="0"/>
        <w:spacing w:before="0" w:beforeAutospacing="0" w:after="0" w:afterAutospacing="0"/>
        <w:ind w:left="0" w:firstLine="425"/>
        <w:jc w:val="both"/>
        <w:rPr>
          <w:sz w:val="20"/>
          <w:szCs w:val="20"/>
        </w:rPr>
      </w:pPr>
      <w:proofErr w:type="spellStart"/>
      <w:r w:rsidRPr="002A163D">
        <w:rPr>
          <w:sz w:val="20"/>
          <w:szCs w:val="20"/>
        </w:rPr>
        <w:t>Clomiphene</w:t>
      </w:r>
      <w:proofErr w:type="spellEnd"/>
      <w:r w:rsidRPr="002A163D">
        <w:rPr>
          <w:sz w:val="20"/>
          <w:szCs w:val="20"/>
        </w:rPr>
        <w:t xml:space="preserve"> Citrate.</w:t>
      </w:r>
    </w:p>
    <w:p w:rsidR="00B330B4" w:rsidRPr="002A163D" w:rsidRDefault="00B330B4" w:rsidP="002A163D">
      <w:pPr>
        <w:pStyle w:val="msonormalcxspmiddle"/>
        <w:numPr>
          <w:ilvl w:val="0"/>
          <w:numId w:val="13"/>
        </w:numPr>
        <w:autoSpaceDE w:val="0"/>
        <w:autoSpaceDN w:val="0"/>
        <w:adjustRightInd w:val="0"/>
        <w:snapToGrid w:val="0"/>
        <w:spacing w:before="0" w:beforeAutospacing="0" w:after="0" w:afterAutospacing="0"/>
        <w:ind w:left="0" w:firstLine="425"/>
        <w:jc w:val="both"/>
        <w:rPr>
          <w:sz w:val="20"/>
          <w:szCs w:val="20"/>
        </w:rPr>
      </w:pPr>
      <w:proofErr w:type="spellStart"/>
      <w:r w:rsidRPr="002A163D">
        <w:rPr>
          <w:sz w:val="20"/>
          <w:szCs w:val="20"/>
        </w:rPr>
        <w:t>Gonadotropin</w:t>
      </w:r>
      <w:proofErr w:type="spellEnd"/>
      <w:r w:rsidRPr="002A163D">
        <w:rPr>
          <w:sz w:val="20"/>
          <w:szCs w:val="20"/>
        </w:rPr>
        <w:t xml:space="preserve"> </w:t>
      </w:r>
      <w:proofErr w:type="spellStart"/>
      <w:r w:rsidRPr="002A163D">
        <w:rPr>
          <w:sz w:val="20"/>
          <w:szCs w:val="20"/>
        </w:rPr>
        <w:t>Therpy</w:t>
      </w:r>
      <w:proofErr w:type="spellEnd"/>
      <w:r w:rsidRPr="002A163D">
        <w:rPr>
          <w:sz w:val="20"/>
          <w:szCs w:val="20"/>
        </w:rPr>
        <w:t>.</w:t>
      </w:r>
    </w:p>
    <w:p w:rsidR="00B330B4" w:rsidRPr="002A163D" w:rsidRDefault="00B330B4" w:rsidP="002A163D">
      <w:pPr>
        <w:pStyle w:val="msonormalcxspmiddle"/>
        <w:numPr>
          <w:ilvl w:val="0"/>
          <w:numId w:val="13"/>
        </w:numPr>
        <w:autoSpaceDE w:val="0"/>
        <w:autoSpaceDN w:val="0"/>
        <w:adjustRightInd w:val="0"/>
        <w:snapToGrid w:val="0"/>
        <w:spacing w:before="0" w:beforeAutospacing="0" w:after="0" w:afterAutospacing="0"/>
        <w:ind w:left="0" w:firstLine="425"/>
        <w:jc w:val="both"/>
        <w:rPr>
          <w:sz w:val="20"/>
          <w:szCs w:val="20"/>
        </w:rPr>
      </w:pPr>
      <w:proofErr w:type="spellStart"/>
      <w:r w:rsidRPr="002A163D">
        <w:rPr>
          <w:sz w:val="20"/>
          <w:szCs w:val="20"/>
        </w:rPr>
        <w:t>Metformin</w:t>
      </w:r>
      <w:proofErr w:type="spellEnd"/>
      <w:r w:rsidRPr="002A163D">
        <w:rPr>
          <w:sz w:val="20"/>
          <w:szCs w:val="20"/>
        </w:rPr>
        <w:t>.</w:t>
      </w:r>
    </w:p>
    <w:p w:rsidR="00B330B4" w:rsidRPr="002A163D" w:rsidRDefault="00B330B4" w:rsidP="002A163D">
      <w:pPr>
        <w:pStyle w:val="msonormalcxspmiddle"/>
        <w:numPr>
          <w:ilvl w:val="0"/>
          <w:numId w:val="13"/>
        </w:numPr>
        <w:autoSpaceDE w:val="0"/>
        <w:autoSpaceDN w:val="0"/>
        <w:adjustRightInd w:val="0"/>
        <w:snapToGrid w:val="0"/>
        <w:spacing w:before="0" w:beforeAutospacing="0" w:after="0" w:afterAutospacing="0"/>
        <w:ind w:left="0" w:firstLine="425"/>
        <w:jc w:val="both"/>
        <w:rPr>
          <w:sz w:val="20"/>
          <w:szCs w:val="20"/>
        </w:rPr>
      </w:pPr>
      <w:proofErr w:type="spellStart"/>
      <w:r w:rsidRPr="002A163D">
        <w:rPr>
          <w:sz w:val="20"/>
          <w:szCs w:val="20"/>
        </w:rPr>
        <w:t>Letrozole</w:t>
      </w:r>
      <w:proofErr w:type="spellEnd"/>
      <w:r w:rsidRPr="002A163D">
        <w:rPr>
          <w:sz w:val="20"/>
          <w:szCs w:val="20"/>
        </w:rPr>
        <w:t>.</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WHO group II (essentially PCOS): </w:t>
      </w:r>
      <w:proofErr w:type="spellStart"/>
      <w:r w:rsidRPr="002A163D">
        <w:rPr>
          <w:sz w:val="20"/>
          <w:szCs w:val="20"/>
        </w:rPr>
        <w:t>clomiphene</w:t>
      </w:r>
      <w:proofErr w:type="spellEnd"/>
      <w:r w:rsidRPr="002A163D">
        <w:rPr>
          <w:sz w:val="20"/>
          <w:szCs w:val="20"/>
        </w:rPr>
        <w:t xml:space="preserve"> citrate, which is an </w:t>
      </w:r>
      <w:proofErr w:type="spellStart"/>
      <w:r w:rsidRPr="002A163D">
        <w:rPr>
          <w:sz w:val="20"/>
          <w:szCs w:val="20"/>
        </w:rPr>
        <w:t>antioestrogenic</w:t>
      </w:r>
      <w:proofErr w:type="spellEnd"/>
      <w:r w:rsidRPr="002A163D">
        <w:rPr>
          <w:sz w:val="20"/>
          <w:szCs w:val="20"/>
        </w:rPr>
        <w:t xml:space="preserve"> compound, is considered the first-line treatment for ovulation</w:t>
      </w:r>
      <w:r w:rsidRPr="002A163D">
        <w:rPr>
          <w:b/>
          <w:bCs/>
          <w:i/>
          <w:iCs/>
          <w:sz w:val="20"/>
          <w:szCs w:val="20"/>
        </w:rPr>
        <w:t xml:space="preserve"> (</w:t>
      </w:r>
      <w:proofErr w:type="spellStart"/>
      <w:r w:rsidRPr="002A163D">
        <w:rPr>
          <w:b/>
          <w:bCs/>
          <w:i/>
          <w:iCs/>
          <w:sz w:val="20"/>
          <w:szCs w:val="20"/>
        </w:rPr>
        <w:t>Amer</w:t>
      </w:r>
      <w:proofErr w:type="spellEnd"/>
      <w:r w:rsidRPr="002A163D">
        <w:rPr>
          <w:b/>
          <w:bCs/>
          <w:i/>
          <w:iCs/>
          <w:sz w:val="20"/>
          <w:szCs w:val="20"/>
        </w:rPr>
        <w:t>, 2009).</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CC treatment will successfully induce ovulation in approximately 80% of properly selected candidates. Likelihood of response declines with increasing age, body mass index (BMI), and free androgen index. Approximately 70% to 75% of </w:t>
      </w:r>
      <w:proofErr w:type="spellStart"/>
      <w:r w:rsidRPr="002A163D">
        <w:rPr>
          <w:sz w:val="20"/>
          <w:szCs w:val="20"/>
        </w:rPr>
        <w:t>anovulatory</w:t>
      </w:r>
      <w:proofErr w:type="spellEnd"/>
      <w:r w:rsidRPr="002A163D">
        <w:rPr>
          <w:sz w:val="20"/>
          <w:szCs w:val="20"/>
        </w:rPr>
        <w:t xml:space="preserve"> women who respond to CC (50 mg/day to 150 mg/day, as required) may be expected to conceive within six to nine cycles of treatment. </w:t>
      </w:r>
      <w:proofErr w:type="spellStart"/>
      <w:r w:rsidRPr="002A163D">
        <w:rPr>
          <w:sz w:val="20"/>
          <w:szCs w:val="20"/>
        </w:rPr>
        <w:t>Amenorrheic</w:t>
      </w:r>
      <w:proofErr w:type="spellEnd"/>
      <w:r w:rsidRPr="002A163D">
        <w:rPr>
          <w:sz w:val="20"/>
          <w:szCs w:val="20"/>
        </w:rPr>
        <w:t xml:space="preserve"> women are more likely to conceive than </w:t>
      </w:r>
      <w:proofErr w:type="spellStart"/>
      <w:r w:rsidRPr="002A163D">
        <w:rPr>
          <w:sz w:val="20"/>
          <w:szCs w:val="20"/>
        </w:rPr>
        <w:t>oligomenorrheic</w:t>
      </w:r>
      <w:proofErr w:type="spellEnd"/>
      <w:r w:rsidRPr="002A163D">
        <w:rPr>
          <w:sz w:val="20"/>
          <w:szCs w:val="20"/>
        </w:rPr>
        <w:t xml:space="preserve"> women, probably because those who already ovulate, albeit inconsistently, are more likely to have other co-existing infertility factors. In infertile women with </w:t>
      </w:r>
      <w:proofErr w:type="spellStart"/>
      <w:r w:rsidRPr="002A163D">
        <w:rPr>
          <w:sz w:val="20"/>
          <w:szCs w:val="20"/>
        </w:rPr>
        <w:t>luteal</w:t>
      </w:r>
      <w:proofErr w:type="spellEnd"/>
      <w:r w:rsidRPr="002A163D">
        <w:rPr>
          <w:sz w:val="20"/>
          <w:szCs w:val="20"/>
        </w:rPr>
        <w:t xml:space="preserve"> phase deficiency, CC treatment increases </w:t>
      </w:r>
      <w:proofErr w:type="spellStart"/>
      <w:r w:rsidRPr="002A163D">
        <w:rPr>
          <w:sz w:val="20"/>
          <w:szCs w:val="20"/>
        </w:rPr>
        <w:t>luteal</w:t>
      </w:r>
      <w:proofErr w:type="spellEnd"/>
      <w:r w:rsidRPr="002A163D">
        <w:rPr>
          <w:sz w:val="20"/>
          <w:szCs w:val="20"/>
        </w:rPr>
        <w:t xml:space="preserve"> phase duration and serum P levels and improves fecundity </w:t>
      </w:r>
      <w:r w:rsidRPr="002A163D">
        <w:rPr>
          <w:b/>
          <w:bCs/>
          <w:i/>
          <w:iCs/>
          <w:sz w:val="20"/>
          <w:szCs w:val="20"/>
        </w:rPr>
        <w:t>(ASRM, 2006).</w:t>
      </w:r>
    </w:p>
    <w:p w:rsidR="00B330B4" w:rsidRPr="002A163D" w:rsidRDefault="00B330B4" w:rsidP="002A163D">
      <w:pPr>
        <w:autoSpaceDE w:val="0"/>
        <w:autoSpaceDN w:val="0"/>
        <w:bidi w:val="0"/>
        <w:adjustRightInd w:val="0"/>
        <w:snapToGrid w:val="0"/>
        <w:ind w:firstLine="425"/>
        <w:jc w:val="both"/>
        <w:rPr>
          <w:b/>
          <w:bCs/>
          <w:i/>
          <w:iCs/>
          <w:sz w:val="20"/>
          <w:szCs w:val="20"/>
        </w:rPr>
      </w:pPr>
      <w:r w:rsidRPr="002A163D">
        <w:rPr>
          <w:sz w:val="20"/>
          <w:szCs w:val="20"/>
        </w:rPr>
        <w:t xml:space="preserve">A prospective follow-up of thin women with </w:t>
      </w:r>
      <w:proofErr w:type="spellStart"/>
      <w:r w:rsidRPr="002A163D">
        <w:rPr>
          <w:sz w:val="20"/>
          <w:szCs w:val="20"/>
        </w:rPr>
        <w:t>ovulatory</w:t>
      </w:r>
      <w:proofErr w:type="spellEnd"/>
      <w:r w:rsidRPr="002A163D">
        <w:rPr>
          <w:sz w:val="20"/>
          <w:szCs w:val="20"/>
        </w:rPr>
        <w:t xml:space="preserve"> dysfunction has shown high conception rates in </w:t>
      </w:r>
      <w:proofErr w:type="spellStart"/>
      <w:r w:rsidRPr="002A163D">
        <w:rPr>
          <w:sz w:val="20"/>
          <w:szCs w:val="20"/>
        </w:rPr>
        <w:t>ovulatory</w:t>
      </w:r>
      <w:proofErr w:type="spellEnd"/>
      <w:r w:rsidRPr="002A163D">
        <w:rPr>
          <w:sz w:val="20"/>
          <w:szCs w:val="20"/>
        </w:rPr>
        <w:t xml:space="preserve"> responders treated with </w:t>
      </w:r>
      <w:proofErr w:type="spellStart"/>
      <w:r w:rsidRPr="002A163D">
        <w:rPr>
          <w:sz w:val="20"/>
          <w:szCs w:val="20"/>
        </w:rPr>
        <w:t>clomiphen</w:t>
      </w:r>
      <w:proofErr w:type="spellEnd"/>
      <w:r w:rsidR="002A19E4" w:rsidRPr="002A163D">
        <w:rPr>
          <w:sz w:val="20"/>
          <w:szCs w:val="20"/>
        </w:rPr>
        <w:t>,</w:t>
      </w:r>
      <w:r w:rsidR="002A19E4">
        <w:rPr>
          <w:sz w:val="20"/>
          <w:szCs w:val="20"/>
        </w:rPr>
        <w:t xml:space="preserve"> </w:t>
      </w:r>
      <w:r w:rsidR="002A19E4" w:rsidRPr="002A163D">
        <w:rPr>
          <w:sz w:val="20"/>
          <w:szCs w:val="20"/>
        </w:rPr>
        <w:t>a</w:t>
      </w:r>
      <w:r w:rsidRPr="002A163D">
        <w:rPr>
          <w:sz w:val="20"/>
          <w:szCs w:val="20"/>
        </w:rPr>
        <w:t xml:space="preserve">pproaching 50% after three cycles of treatment, and 75% </w:t>
      </w:r>
      <w:proofErr w:type="spellStart"/>
      <w:r w:rsidRPr="002A163D">
        <w:rPr>
          <w:sz w:val="20"/>
          <w:szCs w:val="20"/>
        </w:rPr>
        <w:t>withen</w:t>
      </w:r>
      <w:proofErr w:type="spellEnd"/>
      <w:r w:rsidRPr="002A163D">
        <w:rPr>
          <w:sz w:val="20"/>
          <w:szCs w:val="20"/>
        </w:rPr>
        <w:t xml:space="preserve"> nine cycles</w:t>
      </w:r>
      <w:r w:rsidRPr="002A163D">
        <w:rPr>
          <w:b/>
          <w:bCs/>
          <w:i/>
          <w:iCs/>
          <w:sz w:val="20"/>
          <w:szCs w:val="20"/>
        </w:rPr>
        <w:t>(Norman et al.,2007).</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In ovulation induction cycles monitored by ultrasound, once follicular size has reached 18 to 22 mm in size, an ovulation trigger is advocated as a surrogate for the endogenous LH surge. Administration of an ovulation trigger allows better timing of either intercourse or intra-uterine insemination</w:t>
      </w:r>
      <w:r w:rsidR="00345B9A">
        <w:rPr>
          <w:rFonts w:eastAsiaTheme="minorEastAsia" w:hint="eastAsia"/>
          <w:sz w:val="20"/>
          <w:szCs w:val="20"/>
          <w:lang w:eastAsia="zh-CN"/>
        </w:rPr>
        <w:t xml:space="preserve"> </w:t>
      </w:r>
      <w:r w:rsidRPr="002A163D">
        <w:rPr>
          <w:b/>
          <w:bCs/>
          <w:i/>
          <w:iCs/>
          <w:sz w:val="20"/>
          <w:szCs w:val="20"/>
          <w:lang w:eastAsia="ar-SA"/>
        </w:rPr>
        <w:t>(</w:t>
      </w:r>
      <w:r w:rsidRPr="002A163D">
        <w:rPr>
          <w:b/>
          <w:bCs/>
          <w:i/>
          <w:iCs/>
          <w:sz w:val="20"/>
          <w:szCs w:val="20"/>
        </w:rPr>
        <w:t>George et al.</w:t>
      </w:r>
      <w:r w:rsidRPr="002A163D">
        <w:rPr>
          <w:b/>
          <w:bCs/>
          <w:i/>
          <w:iCs/>
          <w:sz w:val="20"/>
          <w:szCs w:val="20"/>
          <w:lang w:eastAsia="ar-SA"/>
        </w:rPr>
        <w:t>, 2010).</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Urinary-derived human chorionic </w:t>
      </w:r>
      <w:proofErr w:type="spellStart"/>
      <w:r w:rsidRPr="002A163D">
        <w:rPr>
          <w:sz w:val="20"/>
          <w:szCs w:val="20"/>
        </w:rPr>
        <w:t>gonadotrophin</w:t>
      </w:r>
      <w:proofErr w:type="spellEnd"/>
      <w:r w:rsidRPr="002A163D">
        <w:rPr>
          <w:sz w:val="20"/>
          <w:szCs w:val="20"/>
        </w:rPr>
        <w:t xml:space="preserve"> (</w:t>
      </w:r>
      <w:proofErr w:type="spellStart"/>
      <w:r w:rsidRPr="002A163D">
        <w:rPr>
          <w:sz w:val="20"/>
          <w:szCs w:val="20"/>
        </w:rPr>
        <w:t>hCG</w:t>
      </w:r>
      <w:proofErr w:type="spellEnd"/>
      <w:r w:rsidRPr="002A163D">
        <w:rPr>
          <w:sz w:val="20"/>
          <w:szCs w:val="20"/>
        </w:rPr>
        <w:t xml:space="preserve">) is commonly used to trigger ovulation. Alternative drugs that are available include recombinant </w:t>
      </w:r>
      <w:proofErr w:type="spellStart"/>
      <w:r w:rsidRPr="002A163D">
        <w:rPr>
          <w:sz w:val="20"/>
          <w:szCs w:val="20"/>
        </w:rPr>
        <w:t>hCG</w:t>
      </w:r>
      <w:proofErr w:type="spellEnd"/>
      <w:r w:rsidRPr="002A163D">
        <w:rPr>
          <w:sz w:val="20"/>
          <w:szCs w:val="20"/>
        </w:rPr>
        <w:t xml:space="preserve"> (</w:t>
      </w:r>
      <w:proofErr w:type="spellStart"/>
      <w:r w:rsidRPr="002A163D">
        <w:rPr>
          <w:sz w:val="20"/>
          <w:szCs w:val="20"/>
        </w:rPr>
        <w:t>rhCG</w:t>
      </w:r>
      <w:proofErr w:type="spellEnd"/>
      <w:r w:rsidRPr="002A163D">
        <w:rPr>
          <w:sz w:val="20"/>
          <w:szCs w:val="20"/>
        </w:rPr>
        <w:t>), recombinant LH (</w:t>
      </w:r>
      <w:proofErr w:type="spellStart"/>
      <w:r w:rsidRPr="002A163D">
        <w:rPr>
          <w:sz w:val="20"/>
          <w:szCs w:val="20"/>
        </w:rPr>
        <w:t>rLH</w:t>
      </w:r>
      <w:proofErr w:type="spellEnd"/>
      <w:r w:rsidRPr="002A163D">
        <w:rPr>
          <w:sz w:val="20"/>
          <w:szCs w:val="20"/>
        </w:rPr>
        <w:t xml:space="preserve">) or a </w:t>
      </w:r>
      <w:proofErr w:type="spellStart"/>
      <w:r w:rsidRPr="002A163D">
        <w:rPr>
          <w:sz w:val="20"/>
          <w:szCs w:val="20"/>
        </w:rPr>
        <w:t>gonadotrophin</w:t>
      </w:r>
      <w:proofErr w:type="spellEnd"/>
      <w:r w:rsidRPr="002A163D">
        <w:rPr>
          <w:sz w:val="20"/>
          <w:szCs w:val="20"/>
        </w:rPr>
        <w:t>-releasing hormone (</w:t>
      </w:r>
      <w:proofErr w:type="spellStart"/>
      <w:r w:rsidRPr="002A163D">
        <w:rPr>
          <w:sz w:val="20"/>
          <w:szCs w:val="20"/>
        </w:rPr>
        <w:t>GnRH</w:t>
      </w:r>
      <w:proofErr w:type="spellEnd"/>
      <w:r w:rsidRPr="002A163D">
        <w:rPr>
          <w:sz w:val="20"/>
          <w:szCs w:val="20"/>
        </w:rPr>
        <w:t xml:space="preserve">) agonist. The </w:t>
      </w:r>
      <w:proofErr w:type="spellStart"/>
      <w:r w:rsidRPr="002A163D">
        <w:rPr>
          <w:sz w:val="20"/>
          <w:szCs w:val="20"/>
        </w:rPr>
        <w:t>hCG</w:t>
      </w:r>
      <w:proofErr w:type="spellEnd"/>
      <w:r w:rsidR="00345B9A">
        <w:rPr>
          <w:rFonts w:eastAsiaTheme="minorEastAsia" w:hint="eastAsia"/>
          <w:sz w:val="20"/>
          <w:szCs w:val="20"/>
          <w:lang w:eastAsia="zh-CN"/>
        </w:rPr>
        <w:t xml:space="preserve"> </w:t>
      </w:r>
      <w:r w:rsidRPr="002A163D">
        <w:rPr>
          <w:sz w:val="20"/>
          <w:szCs w:val="20"/>
        </w:rPr>
        <w:t xml:space="preserve">(urinary or recombinant) and </w:t>
      </w:r>
      <w:proofErr w:type="spellStart"/>
      <w:r w:rsidRPr="002A163D">
        <w:rPr>
          <w:sz w:val="20"/>
          <w:szCs w:val="20"/>
        </w:rPr>
        <w:t>rLHact</w:t>
      </w:r>
      <w:proofErr w:type="spellEnd"/>
      <w:r w:rsidRPr="002A163D">
        <w:rPr>
          <w:sz w:val="20"/>
          <w:szCs w:val="20"/>
        </w:rPr>
        <w:t xml:space="preserve"> directly on the follicle while </w:t>
      </w:r>
      <w:proofErr w:type="spellStart"/>
      <w:r w:rsidRPr="002A163D">
        <w:rPr>
          <w:sz w:val="20"/>
          <w:szCs w:val="20"/>
        </w:rPr>
        <w:t>GnRH</w:t>
      </w:r>
      <w:proofErr w:type="spellEnd"/>
      <w:r w:rsidRPr="002A163D">
        <w:rPr>
          <w:sz w:val="20"/>
          <w:szCs w:val="20"/>
        </w:rPr>
        <w:t xml:space="preserve"> agonists stimulate the release of endogenous LH from the pituitary</w:t>
      </w:r>
      <w:r w:rsidRPr="002A163D">
        <w:rPr>
          <w:b/>
          <w:bCs/>
          <w:i/>
          <w:iCs/>
          <w:sz w:val="20"/>
          <w:szCs w:val="20"/>
        </w:rPr>
        <w:t xml:space="preserve"> (</w:t>
      </w:r>
      <w:proofErr w:type="spellStart"/>
      <w:r w:rsidRPr="002A163D">
        <w:rPr>
          <w:b/>
          <w:bCs/>
          <w:i/>
          <w:iCs/>
          <w:sz w:val="20"/>
          <w:szCs w:val="20"/>
        </w:rPr>
        <w:t>Fauser</w:t>
      </w:r>
      <w:proofErr w:type="spellEnd"/>
      <w:r w:rsidR="008D3F0E" w:rsidRPr="002A163D">
        <w:rPr>
          <w:b/>
          <w:bCs/>
          <w:i/>
          <w:iCs/>
          <w:sz w:val="20"/>
          <w:szCs w:val="20"/>
        </w:rPr>
        <w:t xml:space="preserve"> &amp; </w:t>
      </w:r>
      <w:proofErr w:type="spellStart"/>
      <w:r w:rsidRPr="002A163D">
        <w:rPr>
          <w:b/>
          <w:bCs/>
          <w:i/>
          <w:iCs/>
          <w:sz w:val="20"/>
          <w:szCs w:val="20"/>
        </w:rPr>
        <w:t>Macklon</w:t>
      </w:r>
      <w:proofErr w:type="spellEnd"/>
      <w:r w:rsidRPr="002A163D">
        <w:rPr>
          <w:b/>
          <w:bCs/>
          <w:i/>
          <w:iCs/>
          <w:sz w:val="20"/>
          <w:szCs w:val="20"/>
        </w:rPr>
        <w:t>, 2004).</w:t>
      </w:r>
    </w:p>
    <w:p w:rsidR="00B330B4" w:rsidRPr="002A163D" w:rsidRDefault="00B330B4" w:rsidP="002A163D">
      <w:pPr>
        <w:autoSpaceDE w:val="0"/>
        <w:autoSpaceDN w:val="0"/>
        <w:bidi w:val="0"/>
        <w:adjustRightInd w:val="0"/>
        <w:snapToGrid w:val="0"/>
        <w:ind w:firstLine="425"/>
        <w:jc w:val="both"/>
        <w:rPr>
          <w:b/>
          <w:bCs/>
          <w:i/>
          <w:iCs/>
          <w:sz w:val="20"/>
          <w:szCs w:val="20"/>
        </w:rPr>
      </w:pPr>
      <w:r w:rsidRPr="002A163D">
        <w:rPr>
          <w:sz w:val="20"/>
          <w:szCs w:val="20"/>
        </w:rPr>
        <w:t xml:space="preserve">Unlike </w:t>
      </w:r>
      <w:proofErr w:type="spellStart"/>
      <w:r w:rsidRPr="002A163D">
        <w:rPr>
          <w:sz w:val="20"/>
          <w:szCs w:val="20"/>
        </w:rPr>
        <w:t>hCG</w:t>
      </w:r>
      <w:proofErr w:type="spellEnd"/>
      <w:r w:rsidRPr="002A163D">
        <w:rPr>
          <w:sz w:val="20"/>
          <w:szCs w:val="20"/>
        </w:rPr>
        <w:t xml:space="preserve"> triggering of </w:t>
      </w:r>
      <w:proofErr w:type="spellStart"/>
      <w:r w:rsidRPr="002A163D">
        <w:rPr>
          <w:sz w:val="20"/>
          <w:szCs w:val="20"/>
        </w:rPr>
        <w:t>ﬁnal</w:t>
      </w:r>
      <w:proofErr w:type="spellEnd"/>
      <w:r w:rsidRPr="002A163D">
        <w:rPr>
          <w:sz w:val="20"/>
          <w:szCs w:val="20"/>
        </w:rPr>
        <w:t xml:space="preserve"> </w:t>
      </w:r>
      <w:proofErr w:type="spellStart"/>
      <w:r w:rsidRPr="002A163D">
        <w:rPr>
          <w:sz w:val="20"/>
          <w:szCs w:val="20"/>
        </w:rPr>
        <w:t>oocyte</w:t>
      </w:r>
      <w:proofErr w:type="spellEnd"/>
      <w:r w:rsidRPr="002A163D">
        <w:rPr>
          <w:sz w:val="20"/>
          <w:szCs w:val="20"/>
        </w:rPr>
        <w:t xml:space="preserve"> maturation, </w:t>
      </w:r>
      <w:proofErr w:type="spellStart"/>
      <w:r w:rsidRPr="002A163D">
        <w:rPr>
          <w:sz w:val="20"/>
          <w:szCs w:val="20"/>
        </w:rPr>
        <w:t>GnRHa</w:t>
      </w:r>
      <w:proofErr w:type="spellEnd"/>
      <w:r w:rsidRPr="002A163D">
        <w:rPr>
          <w:sz w:val="20"/>
          <w:szCs w:val="20"/>
        </w:rPr>
        <w:t xml:space="preserve"> triggering is a more physiological approach, eliciting a surge of </w:t>
      </w:r>
      <w:proofErr w:type="spellStart"/>
      <w:r w:rsidRPr="002A163D">
        <w:rPr>
          <w:sz w:val="20"/>
          <w:szCs w:val="20"/>
        </w:rPr>
        <w:t>gonadotrophins</w:t>
      </w:r>
      <w:proofErr w:type="spellEnd"/>
      <w:r w:rsidRPr="002A163D">
        <w:rPr>
          <w:sz w:val="20"/>
          <w:szCs w:val="20"/>
        </w:rPr>
        <w:t xml:space="preserve">, similar to that of the natural mid-cycle surge. Thus, in contrast to </w:t>
      </w:r>
      <w:proofErr w:type="spellStart"/>
      <w:r w:rsidRPr="002A163D">
        <w:rPr>
          <w:sz w:val="20"/>
          <w:szCs w:val="20"/>
        </w:rPr>
        <w:t>hCG</w:t>
      </w:r>
      <w:proofErr w:type="spellEnd"/>
      <w:r w:rsidRPr="002A163D">
        <w:rPr>
          <w:sz w:val="20"/>
          <w:szCs w:val="20"/>
        </w:rPr>
        <w:t xml:space="preserve"> triggering, </w:t>
      </w:r>
      <w:proofErr w:type="spellStart"/>
      <w:r w:rsidRPr="002A163D">
        <w:rPr>
          <w:sz w:val="20"/>
          <w:szCs w:val="20"/>
        </w:rPr>
        <w:t>GnRHa</w:t>
      </w:r>
      <w:proofErr w:type="spellEnd"/>
      <w:r w:rsidRPr="002A163D">
        <w:rPr>
          <w:sz w:val="20"/>
          <w:szCs w:val="20"/>
        </w:rPr>
        <w:t xml:space="preserve"> triggering induces an endogenous surge of FSH as well as LH </w:t>
      </w:r>
      <w:r w:rsidRPr="002A163D">
        <w:rPr>
          <w:b/>
          <w:bCs/>
          <w:i/>
          <w:iCs/>
          <w:sz w:val="20"/>
          <w:szCs w:val="20"/>
        </w:rPr>
        <w:t xml:space="preserve">(Castillo et al., 2010, 2011; </w:t>
      </w:r>
      <w:proofErr w:type="spellStart"/>
      <w:r w:rsidRPr="002A163D">
        <w:rPr>
          <w:b/>
          <w:bCs/>
          <w:i/>
          <w:iCs/>
          <w:sz w:val="20"/>
          <w:szCs w:val="20"/>
        </w:rPr>
        <w:t>Papanikolaou</w:t>
      </w:r>
      <w:proofErr w:type="spellEnd"/>
      <w:r w:rsidRPr="002A163D">
        <w:rPr>
          <w:b/>
          <w:bCs/>
          <w:i/>
          <w:iCs/>
          <w:sz w:val="20"/>
          <w:szCs w:val="20"/>
        </w:rPr>
        <w:t xml:space="preserve"> et al., 2011</w:t>
      </w:r>
      <w:r w:rsidR="002A19E4">
        <w:rPr>
          <w:b/>
          <w:bCs/>
          <w:i/>
          <w:iCs/>
          <w:sz w:val="20"/>
          <w:szCs w:val="20"/>
        </w:rPr>
        <w:t xml:space="preserve"> </w:t>
      </w:r>
      <w:r w:rsidR="008D3F0E" w:rsidRPr="002A163D">
        <w:rPr>
          <w:b/>
          <w:bCs/>
          <w:i/>
          <w:iCs/>
          <w:sz w:val="20"/>
          <w:szCs w:val="20"/>
        </w:rPr>
        <w:t xml:space="preserve">&amp; </w:t>
      </w:r>
      <w:proofErr w:type="spellStart"/>
      <w:r w:rsidRPr="002A163D">
        <w:rPr>
          <w:b/>
          <w:bCs/>
          <w:i/>
          <w:iCs/>
          <w:sz w:val="20"/>
          <w:szCs w:val="20"/>
        </w:rPr>
        <w:t>Humaidan</w:t>
      </w:r>
      <w:proofErr w:type="spellEnd"/>
      <w:r w:rsidRPr="002A163D">
        <w:rPr>
          <w:b/>
          <w:bCs/>
          <w:i/>
          <w:iCs/>
          <w:sz w:val="20"/>
          <w:szCs w:val="20"/>
        </w:rPr>
        <w:t xml:space="preserve"> et al., 2010).</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The study included 80 infertile women who were diagnosed as having PCOS (30 patients were from </w:t>
      </w:r>
      <w:proofErr w:type="spellStart"/>
      <w:r w:rsidRPr="002A163D">
        <w:rPr>
          <w:sz w:val="20"/>
          <w:szCs w:val="20"/>
        </w:rPr>
        <w:lastRenderedPageBreak/>
        <w:t>Imbaba</w:t>
      </w:r>
      <w:proofErr w:type="spellEnd"/>
      <w:r w:rsidRPr="002A163D">
        <w:rPr>
          <w:sz w:val="20"/>
          <w:szCs w:val="20"/>
        </w:rPr>
        <w:t xml:space="preserve"> general hospital,</w:t>
      </w:r>
      <w:r w:rsidR="002A19E4">
        <w:rPr>
          <w:sz w:val="20"/>
          <w:szCs w:val="20"/>
        </w:rPr>
        <w:t xml:space="preserve"> </w:t>
      </w:r>
      <w:r w:rsidR="008D3F0E" w:rsidRPr="002A163D">
        <w:rPr>
          <w:sz w:val="20"/>
          <w:szCs w:val="20"/>
        </w:rPr>
        <w:t xml:space="preserve">&amp; </w:t>
      </w:r>
      <w:r w:rsidRPr="002A163D">
        <w:rPr>
          <w:sz w:val="20"/>
          <w:szCs w:val="20"/>
        </w:rPr>
        <w:t>50 patients were from EL SAYED GALAL</w:t>
      </w:r>
      <w:r w:rsidR="00345B9A">
        <w:rPr>
          <w:rFonts w:eastAsiaTheme="minorEastAsia" w:hint="eastAsia"/>
          <w:sz w:val="20"/>
          <w:szCs w:val="20"/>
          <w:lang w:eastAsia="zh-CN"/>
        </w:rPr>
        <w:t xml:space="preserve"> </w:t>
      </w:r>
      <w:r w:rsidRPr="002A163D">
        <w:rPr>
          <w:sz w:val="20"/>
          <w:szCs w:val="20"/>
        </w:rPr>
        <w:t>university hospital).</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Patients were assigned randomly to either group A or B through closed envelop and the patient choose their group blindly.</w:t>
      </w:r>
    </w:p>
    <w:p w:rsidR="00B330B4" w:rsidRPr="002A163D" w:rsidRDefault="00B330B4" w:rsidP="002A163D">
      <w:pPr>
        <w:autoSpaceDE w:val="0"/>
        <w:autoSpaceDN w:val="0"/>
        <w:bidi w:val="0"/>
        <w:adjustRightInd w:val="0"/>
        <w:snapToGrid w:val="0"/>
        <w:jc w:val="both"/>
        <w:rPr>
          <w:b/>
          <w:bCs/>
          <w:i/>
          <w:iCs/>
          <w:sz w:val="20"/>
          <w:szCs w:val="20"/>
          <w:lang w:bidi="ar-EG"/>
        </w:rPr>
      </w:pPr>
      <w:r w:rsidRPr="002A163D">
        <w:rPr>
          <w:b/>
          <w:bCs/>
          <w:i/>
          <w:iCs/>
          <w:sz w:val="20"/>
          <w:szCs w:val="20"/>
          <w:lang w:bidi="ar-EG"/>
        </w:rPr>
        <w:t>Group A</w:t>
      </w:r>
      <w:r w:rsidRPr="002A163D">
        <w:rPr>
          <w:sz w:val="20"/>
          <w:szCs w:val="20"/>
          <w:lang w:bidi="ar-EG"/>
        </w:rPr>
        <w:t xml:space="preserve">: </w:t>
      </w:r>
      <w:r w:rsidRPr="002A163D">
        <w:rPr>
          <w:sz w:val="20"/>
          <w:szCs w:val="20"/>
        </w:rPr>
        <w:t>includes 40 women who received</w:t>
      </w:r>
      <w:r w:rsidRPr="002A163D">
        <w:rPr>
          <w:sz w:val="20"/>
          <w:szCs w:val="20"/>
          <w:lang w:bidi="ar-EG"/>
        </w:rPr>
        <w:t xml:space="preserve"> LHRH analogue (</w:t>
      </w:r>
      <w:proofErr w:type="spellStart"/>
      <w:r w:rsidRPr="002A163D">
        <w:rPr>
          <w:sz w:val="20"/>
          <w:szCs w:val="20"/>
        </w:rPr>
        <w:t>Triptorelin</w:t>
      </w:r>
      <w:proofErr w:type="spellEnd"/>
      <w:r w:rsidRPr="002A163D">
        <w:rPr>
          <w:sz w:val="20"/>
          <w:szCs w:val="20"/>
        </w:rPr>
        <w:t xml:space="preserve">) </w:t>
      </w:r>
      <w:r w:rsidRPr="002A163D">
        <w:rPr>
          <w:sz w:val="20"/>
          <w:szCs w:val="20"/>
          <w:lang w:bidi="ar-EG"/>
        </w:rPr>
        <w:t>in a single dose of 0.2mg subcutaneous in the day of follicular maturation (</w:t>
      </w:r>
      <w:r w:rsidRPr="002A163D">
        <w:rPr>
          <w:sz w:val="20"/>
          <w:szCs w:val="20"/>
        </w:rPr>
        <w:t xml:space="preserve">by trans-vaginal </w:t>
      </w:r>
      <w:proofErr w:type="spellStart"/>
      <w:r w:rsidRPr="002A163D">
        <w:rPr>
          <w:sz w:val="20"/>
          <w:szCs w:val="20"/>
        </w:rPr>
        <w:t>ultrasonograghy</w:t>
      </w:r>
      <w:proofErr w:type="spellEnd"/>
      <w:r w:rsidRPr="002A163D">
        <w:rPr>
          <w:sz w:val="20"/>
          <w:szCs w:val="20"/>
        </w:rPr>
        <w:t xml:space="preserve"> when follicle reach to 18-20mm in diameter)</w:t>
      </w:r>
      <w:r w:rsidRPr="002A163D">
        <w:rPr>
          <w:sz w:val="20"/>
          <w:szCs w:val="20"/>
          <w:lang w:bidi="ar-EG"/>
        </w:rPr>
        <w:t>to trigger ovulation followed by planned intercourse within the following 36 hours.</w:t>
      </w:r>
    </w:p>
    <w:p w:rsidR="00B330B4" w:rsidRPr="002A163D" w:rsidRDefault="00B330B4" w:rsidP="002A163D">
      <w:pPr>
        <w:autoSpaceDE w:val="0"/>
        <w:autoSpaceDN w:val="0"/>
        <w:bidi w:val="0"/>
        <w:adjustRightInd w:val="0"/>
        <w:snapToGrid w:val="0"/>
        <w:jc w:val="both"/>
        <w:rPr>
          <w:sz w:val="20"/>
          <w:szCs w:val="20"/>
          <w:lang w:bidi="ar-EG"/>
        </w:rPr>
      </w:pPr>
      <w:r w:rsidRPr="002A163D">
        <w:rPr>
          <w:b/>
          <w:bCs/>
          <w:i/>
          <w:iCs/>
          <w:sz w:val="20"/>
          <w:szCs w:val="20"/>
          <w:lang w:bidi="ar-EG"/>
        </w:rPr>
        <w:t>Group B</w:t>
      </w:r>
      <w:r w:rsidRPr="002A163D">
        <w:rPr>
          <w:sz w:val="20"/>
          <w:szCs w:val="20"/>
          <w:lang w:bidi="ar-EG"/>
        </w:rPr>
        <w:t>:</w:t>
      </w:r>
      <w:r w:rsidRPr="002A163D">
        <w:rPr>
          <w:sz w:val="20"/>
          <w:szCs w:val="20"/>
        </w:rPr>
        <w:t xml:space="preserve"> includes 40 women who received</w:t>
      </w:r>
      <w:r w:rsidRPr="002A163D">
        <w:rPr>
          <w:sz w:val="20"/>
          <w:szCs w:val="20"/>
          <w:lang w:bidi="ar-EG"/>
        </w:rPr>
        <w:t xml:space="preserve"> HCG in a dose of 10,000 IU IM in a day of follicular maturation (</w:t>
      </w:r>
      <w:r w:rsidRPr="002A163D">
        <w:rPr>
          <w:sz w:val="20"/>
          <w:szCs w:val="20"/>
        </w:rPr>
        <w:t xml:space="preserve">by trans-vaginal </w:t>
      </w:r>
      <w:proofErr w:type="spellStart"/>
      <w:r w:rsidRPr="002A163D">
        <w:rPr>
          <w:sz w:val="20"/>
          <w:szCs w:val="20"/>
        </w:rPr>
        <w:t>ultrasonograghy</w:t>
      </w:r>
      <w:proofErr w:type="spellEnd"/>
      <w:r w:rsidRPr="002A163D">
        <w:rPr>
          <w:sz w:val="20"/>
          <w:szCs w:val="20"/>
        </w:rPr>
        <w:t xml:space="preserve"> when follicle reach to 18-20mm in diameter)</w:t>
      </w:r>
      <w:r w:rsidRPr="002A163D">
        <w:rPr>
          <w:sz w:val="20"/>
          <w:szCs w:val="20"/>
          <w:lang w:bidi="ar-EG"/>
        </w:rPr>
        <w:t>to trigger ovulation followed by planned intercourse within the following 36 hours.</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lang w:bidi="ar-EG"/>
        </w:rPr>
        <w:t>Patients who didn't get pregnant followed up with same procedure for 3 successive cycles.</w:t>
      </w:r>
    </w:p>
    <w:p w:rsidR="002A19E4" w:rsidRDefault="00B330B4" w:rsidP="002A163D">
      <w:pPr>
        <w:autoSpaceDE w:val="0"/>
        <w:autoSpaceDN w:val="0"/>
        <w:bidi w:val="0"/>
        <w:adjustRightInd w:val="0"/>
        <w:snapToGrid w:val="0"/>
        <w:ind w:firstLine="425"/>
        <w:jc w:val="both"/>
        <w:rPr>
          <w:sz w:val="20"/>
          <w:szCs w:val="20"/>
        </w:rPr>
      </w:pPr>
      <w:r w:rsidRPr="002A163D">
        <w:rPr>
          <w:sz w:val="20"/>
          <w:szCs w:val="20"/>
        </w:rPr>
        <w:t xml:space="preserve">In this study, after induction of ovulation by </w:t>
      </w:r>
      <w:proofErr w:type="spellStart"/>
      <w:r w:rsidRPr="002A163D">
        <w:rPr>
          <w:sz w:val="20"/>
          <w:szCs w:val="20"/>
        </w:rPr>
        <w:t>clomiphene</w:t>
      </w:r>
      <w:proofErr w:type="spellEnd"/>
      <w:r w:rsidRPr="002A163D">
        <w:rPr>
          <w:sz w:val="20"/>
          <w:szCs w:val="20"/>
        </w:rPr>
        <w:t xml:space="preserve"> citrate </w:t>
      </w:r>
      <w:proofErr w:type="spellStart"/>
      <w:r w:rsidRPr="002A163D">
        <w:rPr>
          <w:sz w:val="20"/>
          <w:szCs w:val="20"/>
        </w:rPr>
        <w:t>GnRH</w:t>
      </w:r>
      <w:proofErr w:type="spellEnd"/>
      <w:r w:rsidR="00345B9A">
        <w:rPr>
          <w:rFonts w:eastAsiaTheme="minorEastAsia" w:hint="eastAsia"/>
          <w:sz w:val="20"/>
          <w:szCs w:val="20"/>
          <w:lang w:eastAsia="zh-CN"/>
        </w:rPr>
        <w:t xml:space="preserve"> </w:t>
      </w:r>
      <w:r w:rsidRPr="002A163D">
        <w:rPr>
          <w:sz w:val="20"/>
          <w:szCs w:val="20"/>
        </w:rPr>
        <w:t xml:space="preserve">was given to trigger ovulation in group </w:t>
      </w:r>
      <w:proofErr w:type="spellStart"/>
      <w:r w:rsidRPr="002A163D">
        <w:rPr>
          <w:sz w:val="20"/>
          <w:szCs w:val="20"/>
        </w:rPr>
        <w:t>AversuesHCGin</w:t>
      </w:r>
      <w:proofErr w:type="spellEnd"/>
      <w:r w:rsidRPr="002A163D">
        <w:rPr>
          <w:sz w:val="20"/>
          <w:szCs w:val="20"/>
        </w:rPr>
        <w:t xml:space="preserve"> group B, the following parameters were compared in both groups: ovulation rate, occurrence of </w:t>
      </w:r>
      <w:proofErr w:type="spellStart"/>
      <w:r w:rsidRPr="002A163D">
        <w:rPr>
          <w:sz w:val="20"/>
          <w:szCs w:val="20"/>
        </w:rPr>
        <w:t>luteal</w:t>
      </w:r>
      <w:proofErr w:type="spellEnd"/>
      <w:r w:rsidRPr="002A163D">
        <w:rPr>
          <w:sz w:val="20"/>
          <w:szCs w:val="20"/>
        </w:rPr>
        <w:t xml:space="preserve"> phase sufficiency, pregnancy rat</w:t>
      </w:r>
      <w:r w:rsidR="002A19E4" w:rsidRPr="002A163D">
        <w:rPr>
          <w:sz w:val="20"/>
          <w:szCs w:val="20"/>
        </w:rPr>
        <w:t>e</w:t>
      </w:r>
      <w:r w:rsidR="002A19E4">
        <w:rPr>
          <w:sz w:val="20"/>
          <w:szCs w:val="20"/>
        </w:rPr>
        <w:t>.</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This study showed no significant difference between the two groups in pregnancy rate along three cycles</w:t>
      </w:r>
      <w:r w:rsidR="002A19E4" w:rsidRPr="002A163D">
        <w:rPr>
          <w:sz w:val="20"/>
          <w:szCs w:val="20"/>
        </w:rPr>
        <w:t>.</w:t>
      </w:r>
      <w:r w:rsidR="002A19E4">
        <w:rPr>
          <w:sz w:val="20"/>
          <w:szCs w:val="20"/>
        </w:rPr>
        <w:t xml:space="preserve"> </w:t>
      </w:r>
      <w:r w:rsidR="002A19E4" w:rsidRPr="002A163D">
        <w:rPr>
          <w:sz w:val="20"/>
          <w:szCs w:val="20"/>
        </w:rPr>
        <w:t>N</w:t>
      </w:r>
      <w:r w:rsidRPr="002A163D">
        <w:rPr>
          <w:sz w:val="20"/>
          <w:szCs w:val="20"/>
        </w:rPr>
        <w:t xml:space="preserve">o pregnancy occurred in the first two </w:t>
      </w:r>
      <w:proofErr w:type="spellStart"/>
      <w:r w:rsidRPr="002A163D">
        <w:rPr>
          <w:sz w:val="20"/>
          <w:szCs w:val="20"/>
        </w:rPr>
        <w:t>cyclefor</w:t>
      </w:r>
      <w:proofErr w:type="spellEnd"/>
      <w:r w:rsidRPr="002A163D">
        <w:rPr>
          <w:sz w:val="20"/>
          <w:szCs w:val="20"/>
        </w:rPr>
        <w:t xml:space="preserve"> group A, while an increase of up to 17.1% during the third cycle. The pregnancy rate in group B: in the first cycle</w:t>
      </w:r>
      <w:r w:rsidR="00345B9A">
        <w:rPr>
          <w:rFonts w:eastAsiaTheme="minorEastAsia" w:hint="eastAsia"/>
          <w:sz w:val="20"/>
          <w:szCs w:val="20"/>
          <w:lang w:eastAsia="zh-CN"/>
        </w:rPr>
        <w:t xml:space="preserve"> </w:t>
      </w:r>
      <w:r w:rsidRPr="002A163D">
        <w:rPr>
          <w:sz w:val="20"/>
          <w:szCs w:val="20"/>
        </w:rPr>
        <w:t>was 5.7%, in the second cycle it was 3% and in the third group it was 12.5%.</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In the first two cycles lower in pregnancy rates after </w:t>
      </w:r>
      <w:proofErr w:type="spellStart"/>
      <w:r w:rsidRPr="002A163D">
        <w:rPr>
          <w:sz w:val="20"/>
          <w:szCs w:val="20"/>
        </w:rPr>
        <w:t>GnRH</w:t>
      </w:r>
      <w:proofErr w:type="spellEnd"/>
      <w:r w:rsidRPr="002A163D">
        <w:rPr>
          <w:sz w:val="20"/>
          <w:szCs w:val="20"/>
        </w:rPr>
        <w:t xml:space="preserve"> trigger than HCG trigger</w:t>
      </w:r>
      <w:r w:rsidR="00345B9A">
        <w:rPr>
          <w:rFonts w:eastAsiaTheme="minorEastAsia" w:hint="eastAsia"/>
          <w:sz w:val="20"/>
          <w:szCs w:val="20"/>
          <w:lang w:eastAsia="zh-CN"/>
        </w:rPr>
        <w:t xml:space="preserve"> </w:t>
      </w:r>
      <w:r w:rsidRPr="002A163D">
        <w:rPr>
          <w:sz w:val="20"/>
          <w:szCs w:val="20"/>
        </w:rPr>
        <w:t xml:space="preserve">was observed. This is in agreement with </w:t>
      </w:r>
      <w:proofErr w:type="spellStart"/>
      <w:r w:rsidRPr="002A163D">
        <w:rPr>
          <w:b/>
          <w:bCs/>
          <w:i/>
          <w:iCs/>
          <w:sz w:val="20"/>
          <w:szCs w:val="20"/>
        </w:rPr>
        <w:t>Engmann</w:t>
      </w:r>
      <w:proofErr w:type="spellEnd"/>
      <w:r w:rsidR="008D3F0E" w:rsidRPr="002A163D">
        <w:rPr>
          <w:b/>
          <w:bCs/>
          <w:i/>
          <w:iCs/>
          <w:sz w:val="20"/>
          <w:szCs w:val="20"/>
        </w:rPr>
        <w:t xml:space="preserve"> &amp; </w:t>
      </w:r>
      <w:proofErr w:type="spellStart"/>
      <w:r w:rsidRPr="002A163D">
        <w:rPr>
          <w:b/>
          <w:bCs/>
          <w:i/>
          <w:iCs/>
          <w:sz w:val="20"/>
          <w:szCs w:val="20"/>
        </w:rPr>
        <w:t>Benadiva</w:t>
      </w:r>
      <w:proofErr w:type="spellEnd"/>
      <w:r w:rsidRPr="002A163D">
        <w:rPr>
          <w:b/>
          <w:bCs/>
          <w:i/>
          <w:iCs/>
          <w:sz w:val="20"/>
          <w:szCs w:val="20"/>
        </w:rPr>
        <w:t xml:space="preserve"> (2012) study.</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A single dose of </w:t>
      </w:r>
      <w:proofErr w:type="spellStart"/>
      <w:r w:rsidRPr="002A163D">
        <w:rPr>
          <w:sz w:val="20"/>
          <w:szCs w:val="20"/>
        </w:rPr>
        <w:t>GnRHa</w:t>
      </w:r>
      <w:proofErr w:type="spellEnd"/>
      <w:r w:rsidRPr="002A163D">
        <w:rPr>
          <w:sz w:val="20"/>
          <w:szCs w:val="20"/>
        </w:rPr>
        <w:t xml:space="preserve"> induced an endogenous LH surge that has a short half-life, resulting in defective corpus </w:t>
      </w:r>
      <w:proofErr w:type="spellStart"/>
      <w:r w:rsidRPr="002A163D">
        <w:rPr>
          <w:sz w:val="20"/>
          <w:szCs w:val="20"/>
        </w:rPr>
        <w:t>luteum</w:t>
      </w:r>
      <w:proofErr w:type="spellEnd"/>
      <w:r w:rsidRPr="002A163D">
        <w:rPr>
          <w:sz w:val="20"/>
          <w:szCs w:val="20"/>
        </w:rPr>
        <w:t xml:space="preserve"> (CL) formation.</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These results are in agreement with the finding of </w:t>
      </w:r>
      <w:r w:rsidRPr="002A163D">
        <w:rPr>
          <w:b/>
          <w:bCs/>
          <w:i/>
          <w:iCs/>
          <w:sz w:val="20"/>
          <w:szCs w:val="20"/>
        </w:rPr>
        <w:t>(</w:t>
      </w:r>
      <w:proofErr w:type="spellStart"/>
      <w:r w:rsidRPr="002A163D">
        <w:rPr>
          <w:b/>
          <w:bCs/>
          <w:i/>
          <w:iCs/>
          <w:sz w:val="20"/>
          <w:szCs w:val="20"/>
        </w:rPr>
        <w:t>Sismanoglu</w:t>
      </w:r>
      <w:proofErr w:type="spellEnd"/>
      <w:r w:rsidRPr="002A163D">
        <w:rPr>
          <w:b/>
          <w:bCs/>
          <w:i/>
          <w:iCs/>
          <w:sz w:val="20"/>
          <w:szCs w:val="20"/>
        </w:rPr>
        <w:t xml:space="preserve"> et al., 2009)</w:t>
      </w:r>
      <w:r w:rsidR="00345B9A">
        <w:rPr>
          <w:rFonts w:eastAsiaTheme="minorEastAsia" w:hint="eastAsia"/>
          <w:b/>
          <w:bCs/>
          <w:i/>
          <w:iCs/>
          <w:sz w:val="20"/>
          <w:szCs w:val="20"/>
          <w:lang w:eastAsia="zh-CN"/>
        </w:rPr>
        <w:t xml:space="preserve"> </w:t>
      </w:r>
      <w:proofErr w:type="spellStart"/>
      <w:r w:rsidRPr="002A163D">
        <w:rPr>
          <w:sz w:val="20"/>
          <w:szCs w:val="20"/>
        </w:rPr>
        <w:t>GnRH</w:t>
      </w:r>
      <w:proofErr w:type="spellEnd"/>
      <w:r w:rsidRPr="002A163D">
        <w:rPr>
          <w:sz w:val="20"/>
          <w:szCs w:val="20"/>
        </w:rPr>
        <w:t xml:space="preserve"> agonist use resulted in significantly lower implantation and clinical pregnancy rates, in addition to a significantly higher rate of early pregnancy loss, than observed with </w:t>
      </w:r>
      <w:proofErr w:type="spellStart"/>
      <w:r w:rsidRPr="002A163D">
        <w:rPr>
          <w:sz w:val="20"/>
          <w:szCs w:val="20"/>
        </w:rPr>
        <w:t>hCG</w:t>
      </w:r>
      <w:proofErr w:type="spellEnd"/>
      <w:r w:rsidRPr="002A163D">
        <w:rPr>
          <w:sz w:val="20"/>
          <w:szCs w:val="20"/>
        </w:rPr>
        <w:t xml:space="preserve">, with these differences likely due to </w:t>
      </w:r>
      <w:proofErr w:type="spellStart"/>
      <w:r w:rsidRPr="002A163D">
        <w:rPr>
          <w:sz w:val="20"/>
          <w:szCs w:val="20"/>
        </w:rPr>
        <w:t>luteal</w:t>
      </w:r>
      <w:proofErr w:type="spellEnd"/>
      <w:r w:rsidRPr="002A163D">
        <w:rPr>
          <w:sz w:val="20"/>
          <w:szCs w:val="20"/>
        </w:rPr>
        <w:t xml:space="preserve"> phase deficiency. This study shows that there was a significant increased of pregnancy rate in third cycle of the group A on administration of the </w:t>
      </w:r>
      <w:proofErr w:type="spellStart"/>
      <w:r w:rsidRPr="002A163D">
        <w:rPr>
          <w:sz w:val="20"/>
          <w:szCs w:val="20"/>
        </w:rPr>
        <w:t>GnRH</w:t>
      </w:r>
      <w:proofErr w:type="spellEnd"/>
      <w:r w:rsidRPr="002A163D">
        <w:rPr>
          <w:sz w:val="20"/>
          <w:szCs w:val="20"/>
        </w:rPr>
        <w:t>-agonist. Pregnancy rate of group A shows an increase up to %17.1 during the third cycle. On other hand, group B shows a variation in pregnancy rate which increased to %12.5.</w:t>
      </w:r>
    </w:p>
    <w:p w:rsidR="00B330B4" w:rsidRPr="002A163D" w:rsidRDefault="00B330B4" w:rsidP="002A163D">
      <w:pPr>
        <w:autoSpaceDE w:val="0"/>
        <w:autoSpaceDN w:val="0"/>
        <w:bidi w:val="0"/>
        <w:adjustRightInd w:val="0"/>
        <w:snapToGrid w:val="0"/>
        <w:ind w:firstLine="425"/>
        <w:jc w:val="both"/>
        <w:rPr>
          <w:sz w:val="20"/>
          <w:szCs w:val="20"/>
        </w:rPr>
      </w:pPr>
      <w:r w:rsidRPr="002A163D">
        <w:rPr>
          <w:sz w:val="20"/>
          <w:szCs w:val="20"/>
        </w:rPr>
        <w:t xml:space="preserve">Results of this study demonstrated that there are no significant differences between the two groups in occurrence of </w:t>
      </w:r>
      <w:proofErr w:type="spellStart"/>
      <w:r w:rsidRPr="002A163D">
        <w:rPr>
          <w:sz w:val="20"/>
          <w:szCs w:val="20"/>
        </w:rPr>
        <w:t>luteal</w:t>
      </w:r>
      <w:proofErr w:type="spellEnd"/>
      <w:r w:rsidRPr="002A163D">
        <w:rPr>
          <w:sz w:val="20"/>
          <w:szCs w:val="20"/>
        </w:rPr>
        <w:t xml:space="preserve"> phase defect in the first and second cycles as opposed to the third cycle in two groups.</w:t>
      </w:r>
    </w:p>
    <w:p w:rsidR="00B330B4" w:rsidRPr="002A163D" w:rsidRDefault="00B330B4" w:rsidP="002A163D">
      <w:pPr>
        <w:bidi w:val="0"/>
        <w:snapToGrid w:val="0"/>
        <w:ind w:firstLine="425"/>
        <w:jc w:val="both"/>
        <w:rPr>
          <w:sz w:val="20"/>
          <w:szCs w:val="20"/>
        </w:rPr>
      </w:pPr>
      <w:r w:rsidRPr="002A163D">
        <w:rPr>
          <w:sz w:val="20"/>
          <w:szCs w:val="20"/>
        </w:rPr>
        <w:lastRenderedPageBreak/>
        <w:t>In group A</w:t>
      </w:r>
      <w:r w:rsidR="002A19E4" w:rsidRPr="002A163D">
        <w:rPr>
          <w:sz w:val="20"/>
          <w:szCs w:val="20"/>
        </w:rPr>
        <w:t>:</w:t>
      </w:r>
      <w:r w:rsidR="002A19E4">
        <w:rPr>
          <w:sz w:val="20"/>
          <w:szCs w:val="20"/>
        </w:rPr>
        <w:t xml:space="preserve"> </w:t>
      </w:r>
      <w:r w:rsidR="002A19E4" w:rsidRPr="002A163D">
        <w:rPr>
          <w:sz w:val="20"/>
          <w:szCs w:val="20"/>
        </w:rPr>
        <w:t>t</w:t>
      </w:r>
      <w:r w:rsidRPr="002A163D">
        <w:rPr>
          <w:sz w:val="20"/>
          <w:szCs w:val="20"/>
        </w:rPr>
        <w:t>he first cycle was 68.8% (22</w:t>
      </w:r>
      <w:r w:rsidR="00345B9A">
        <w:rPr>
          <w:rFonts w:eastAsiaTheme="minorEastAsia" w:hint="eastAsia"/>
          <w:sz w:val="20"/>
          <w:szCs w:val="20"/>
          <w:lang w:eastAsia="zh-CN"/>
        </w:rPr>
        <w:t xml:space="preserve"> </w:t>
      </w:r>
      <w:r w:rsidRPr="002A163D">
        <w:rPr>
          <w:sz w:val="20"/>
          <w:szCs w:val="20"/>
        </w:rPr>
        <w:t>out of 32</w:t>
      </w:r>
      <w:r w:rsidR="00345B9A">
        <w:rPr>
          <w:rFonts w:eastAsiaTheme="minorEastAsia" w:hint="eastAsia"/>
          <w:sz w:val="20"/>
          <w:szCs w:val="20"/>
          <w:lang w:eastAsia="zh-CN"/>
        </w:rPr>
        <w:t xml:space="preserve"> </w:t>
      </w:r>
      <w:r w:rsidRPr="002A163D">
        <w:rPr>
          <w:sz w:val="20"/>
          <w:szCs w:val="20"/>
        </w:rPr>
        <w:t>cases), in the second cycle it was 35% (14 out of 40 cases) and in the third cycle it was 8.6%</w:t>
      </w:r>
      <w:r w:rsidR="00345B9A">
        <w:rPr>
          <w:rFonts w:eastAsiaTheme="minorEastAsia" w:hint="eastAsia"/>
          <w:sz w:val="20"/>
          <w:szCs w:val="20"/>
          <w:lang w:eastAsia="zh-CN"/>
        </w:rPr>
        <w:t xml:space="preserve"> </w:t>
      </w:r>
      <w:r w:rsidRPr="002A163D">
        <w:rPr>
          <w:sz w:val="20"/>
          <w:szCs w:val="20"/>
        </w:rPr>
        <w:t>(3</w:t>
      </w:r>
      <w:r w:rsidR="00345B9A">
        <w:rPr>
          <w:rFonts w:eastAsiaTheme="minorEastAsia" w:hint="eastAsia"/>
          <w:sz w:val="20"/>
          <w:szCs w:val="20"/>
          <w:lang w:eastAsia="zh-CN"/>
        </w:rPr>
        <w:t xml:space="preserve"> </w:t>
      </w:r>
      <w:r w:rsidRPr="002A163D">
        <w:rPr>
          <w:sz w:val="20"/>
          <w:szCs w:val="20"/>
        </w:rPr>
        <w:t>out of 35 cases), but in group B: the first cycle was 53.6%</w:t>
      </w:r>
      <w:r w:rsidR="00345B9A">
        <w:rPr>
          <w:rFonts w:eastAsiaTheme="minorEastAsia" w:hint="eastAsia"/>
          <w:sz w:val="20"/>
          <w:szCs w:val="20"/>
          <w:lang w:eastAsia="zh-CN"/>
        </w:rPr>
        <w:t xml:space="preserve"> </w:t>
      </w:r>
      <w:r w:rsidRPr="002A163D">
        <w:rPr>
          <w:sz w:val="20"/>
          <w:szCs w:val="20"/>
        </w:rPr>
        <w:t>(15</w:t>
      </w:r>
      <w:r w:rsidR="00345B9A">
        <w:rPr>
          <w:rFonts w:eastAsiaTheme="minorEastAsia" w:hint="eastAsia"/>
          <w:sz w:val="20"/>
          <w:szCs w:val="20"/>
          <w:lang w:eastAsia="zh-CN"/>
        </w:rPr>
        <w:t xml:space="preserve"> </w:t>
      </w:r>
      <w:r w:rsidRPr="002A163D">
        <w:rPr>
          <w:sz w:val="20"/>
          <w:szCs w:val="20"/>
        </w:rPr>
        <w:t>out of 28 cases), in the second cycle it was 25% (10 out of 36 cases) and in the third cycle it was</w:t>
      </w:r>
      <w:r w:rsidR="00345B9A">
        <w:rPr>
          <w:rFonts w:eastAsiaTheme="minorEastAsia" w:hint="eastAsia"/>
          <w:sz w:val="20"/>
          <w:szCs w:val="20"/>
          <w:lang w:eastAsia="zh-CN"/>
        </w:rPr>
        <w:t xml:space="preserve"> </w:t>
      </w:r>
      <w:r w:rsidRPr="002A163D">
        <w:rPr>
          <w:sz w:val="20"/>
          <w:szCs w:val="20"/>
        </w:rPr>
        <w:t>30.6%</w:t>
      </w:r>
      <w:r w:rsidR="00345B9A">
        <w:rPr>
          <w:rFonts w:eastAsiaTheme="minorEastAsia" w:hint="eastAsia"/>
          <w:sz w:val="20"/>
          <w:szCs w:val="20"/>
          <w:lang w:eastAsia="zh-CN"/>
        </w:rPr>
        <w:t xml:space="preserve"> </w:t>
      </w:r>
      <w:r w:rsidRPr="002A163D">
        <w:rPr>
          <w:sz w:val="20"/>
          <w:szCs w:val="20"/>
        </w:rPr>
        <w:t>(11</w:t>
      </w:r>
      <w:r w:rsidR="00345B9A">
        <w:rPr>
          <w:rFonts w:eastAsiaTheme="minorEastAsia" w:hint="eastAsia"/>
          <w:sz w:val="20"/>
          <w:szCs w:val="20"/>
          <w:lang w:eastAsia="zh-CN"/>
        </w:rPr>
        <w:t xml:space="preserve"> </w:t>
      </w:r>
      <w:r w:rsidRPr="002A163D">
        <w:rPr>
          <w:sz w:val="20"/>
          <w:szCs w:val="20"/>
        </w:rPr>
        <w:t>out of 36 cases).</w:t>
      </w:r>
    </w:p>
    <w:p w:rsidR="00B330B4" w:rsidRPr="002A163D" w:rsidRDefault="00B330B4" w:rsidP="002A163D">
      <w:pPr>
        <w:bidi w:val="0"/>
        <w:snapToGrid w:val="0"/>
        <w:ind w:firstLine="425"/>
        <w:jc w:val="both"/>
        <w:rPr>
          <w:sz w:val="20"/>
          <w:szCs w:val="20"/>
        </w:rPr>
      </w:pPr>
      <w:r w:rsidRPr="002A163D">
        <w:rPr>
          <w:sz w:val="20"/>
          <w:szCs w:val="20"/>
        </w:rPr>
        <w:t xml:space="preserve">The first two cycles has shown an increase in the incidences of </w:t>
      </w:r>
      <w:proofErr w:type="spellStart"/>
      <w:r w:rsidRPr="002A163D">
        <w:rPr>
          <w:sz w:val="20"/>
          <w:szCs w:val="20"/>
        </w:rPr>
        <w:t>luteal</w:t>
      </w:r>
      <w:proofErr w:type="spellEnd"/>
      <w:r w:rsidRPr="002A163D">
        <w:rPr>
          <w:sz w:val="20"/>
          <w:szCs w:val="20"/>
        </w:rPr>
        <w:t xml:space="preserve"> phase defect in group A than group B.</w:t>
      </w:r>
    </w:p>
    <w:p w:rsidR="00B330B4" w:rsidRPr="002A163D" w:rsidRDefault="00B330B4" w:rsidP="002A163D">
      <w:pPr>
        <w:bidi w:val="0"/>
        <w:snapToGrid w:val="0"/>
        <w:ind w:firstLine="425"/>
        <w:jc w:val="both"/>
        <w:rPr>
          <w:sz w:val="20"/>
          <w:szCs w:val="20"/>
        </w:rPr>
      </w:pPr>
      <w:r w:rsidRPr="002A163D">
        <w:rPr>
          <w:sz w:val="20"/>
          <w:szCs w:val="20"/>
        </w:rPr>
        <w:t xml:space="preserve">The theoretical background of the </w:t>
      </w:r>
      <w:proofErr w:type="spellStart"/>
      <w:r w:rsidRPr="002A163D">
        <w:rPr>
          <w:sz w:val="20"/>
          <w:szCs w:val="20"/>
        </w:rPr>
        <w:t>luteal</w:t>
      </w:r>
      <w:proofErr w:type="spellEnd"/>
      <w:r w:rsidRPr="002A163D">
        <w:rPr>
          <w:sz w:val="20"/>
          <w:szCs w:val="20"/>
        </w:rPr>
        <w:t xml:space="preserve"> phase deficiency seen</w:t>
      </w:r>
      <w:r w:rsidR="00345B9A">
        <w:rPr>
          <w:rFonts w:eastAsiaTheme="minorEastAsia" w:hint="eastAsia"/>
          <w:sz w:val="20"/>
          <w:szCs w:val="20"/>
          <w:lang w:eastAsia="zh-CN"/>
        </w:rPr>
        <w:t xml:space="preserve"> </w:t>
      </w:r>
      <w:r w:rsidRPr="002A163D">
        <w:rPr>
          <w:sz w:val="20"/>
          <w:szCs w:val="20"/>
        </w:rPr>
        <w:t xml:space="preserve">when </w:t>
      </w:r>
      <w:proofErr w:type="spellStart"/>
      <w:r w:rsidRPr="002A163D">
        <w:rPr>
          <w:sz w:val="20"/>
          <w:szCs w:val="20"/>
        </w:rPr>
        <w:t>GnRHa</w:t>
      </w:r>
      <w:proofErr w:type="spellEnd"/>
      <w:r w:rsidRPr="002A163D">
        <w:rPr>
          <w:sz w:val="20"/>
          <w:szCs w:val="20"/>
        </w:rPr>
        <w:t xml:space="preserve"> is used to trigger ovulation</w:t>
      </w:r>
      <w:r w:rsidR="002A19E4" w:rsidRPr="002A163D">
        <w:rPr>
          <w:sz w:val="20"/>
          <w:szCs w:val="20"/>
        </w:rPr>
        <w:t>.</w:t>
      </w:r>
      <w:r w:rsidR="002A19E4">
        <w:rPr>
          <w:sz w:val="20"/>
          <w:szCs w:val="20"/>
        </w:rPr>
        <w:t xml:space="preserve"> </w:t>
      </w:r>
      <w:r w:rsidR="002A19E4" w:rsidRPr="002A163D">
        <w:rPr>
          <w:sz w:val="20"/>
          <w:szCs w:val="20"/>
        </w:rPr>
        <w:t>T</w:t>
      </w:r>
      <w:r w:rsidRPr="002A163D">
        <w:rPr>
          <w:sz w:val="20"/>
          <w:szCs w:val="20"/>
        </w:rPr>
        <w:t>his</w:t>
      </w:r>
      <w:r w:rsidR="002A19E4">
        <w:rPr>
          <w:rFonts w:eastAsiaTheme="minorEastAsia" w:hint="eastAsia"/>
          <w:sz w:val="20"/>
          <w:szCs w:val="20"/>
          <w:lang w:eastAsia="zh-CN"/>
        </w:rPr>
        <w:t xml:space="preserve"> </w:t>
      </w:r>
      <w:r w:rsidRPr="002A163D">
        <w:rPr>
          <w:sz w:val="20"/>
          <w:szCs w:val="20"/>
        </w:rPr>
        <w:t>is usually described as either indirect or direct:</w:t>
      </w:r>
    </w:p>
    <w:p w:rsidR="00B330B4" w:rsidRPr="002A163D" w:rsidRDefault="00B330B4" w:rsidP="002A163D">
      <w:pPr>
        <w:pStyle w:val="msolistparagraph0"/>
        <w:numPr>
          <w:ilvl w:val="0"/>
          <w:numId w:val="17"/>
        </w:numPr>
        <w:bidi w:val="0"/>
        <w:snapToGrid w:val="0"/>
        <w:spacing w:after="0" w:line="240" w:lineRule="auto"/>
        <w:ind w:left="0" w:firstLine="0"/>
        <w:jc w:val="both"/>
        <w:rPr>
          <w:rFonts w:ascii="Times New Roman" w:hAnsi="Times New Roman" w:cs="Times New Roman"/>
          <w:sz w:val="20"/>
          <w:szCs w:val="20"/>
        </w:rPr>
      </w:pPr>
      <w:r w:rsidRPr="002A163D">
        <w:rPr>
          <w:rFonts w:ascii="Times New Roman" w:hAnsi="Times New Roman" w:cs="Times New Roman"/>
          <w:b/>
          <w:bCs/>
          <w:sz w:val="20"/>
          <w:szCs w:val="20"/>
        </w:rPr>
        <w:t>Indirect</w:t>
      </w:r>
      <w:r w:rsidRPr="002A163D">
        <w:rPr>
          <w:rFonts w:ascii="Times New Roman" w:hAnsi="Times New Roman" w:cs="Times New Roman"/>
          <w:sz w:val="20"/>
          <w:szCs w:val="20"/>
        </w:rPr>
        <w:t xml:space="preserve">: the </w:t>
      </w:r>
      <w:proofErr w:type="spellStart"/>
      <w:r w:rsidRPr="002A163D">
        <w:rPr>
          <w:rFonts w:ascii="Times New Roman" w:hAnsi="Times New Roman" w:cs="Times New Roman"/>
          <w:sz w:val="20"/>
          <w:szCs w:val="20"/>
        </w:rPr>
        <w:t>GnRHa</w:t>
      </w:r>
      <w:proofErr w:type="spellEnd"/>
      <w:r w:rsidRPr="002A163D">
        <w:rPr>
          <w:rFonts w:ascii="Times New Roman" w:hAnsi="Times New Roman" w:cs="Times New Roman"/>
          <w:sz w:val="20"/>
          <w:szCs w:val="20"/>
        </w:rPr>
        <w:t xml:space="preserve"> suppresses the pituitary after the initial ‘flair up’</w:t>
      </w:r>
      <w:r w:rsidR="00345B9A">
        <w:rPr>
          <w:rFonts w:ascii="Times New Roman" w:eastAsiaTheme="minorEastAsia" w:hAnsi="Times New Roman" w:cs="Times New Roman" w:hint="eastAsia"/>
          <w:sz w:val="20"/>
          <w:szCs w:val="20"/>
          <w:lang w:eastAsia="zh-CN"/>
        </w:rPr>
        <w:t xml:space="preserve"> </w:t>
      </w:r>
      <w:r w:rsidRPr="002A163D">
        <w:rPr>
          <w:rFonts w:ascii="Times New Roman" w:hAnsi="Times New Roman" w:cs="Times New Roman"/>
          <w:sz w:val="20"/>
          <w:szCs w:val="20"/>
        </w:rPr>
        <w:t xml:space="preserve">that leads to endogenous LH concentrations to the extent that the function of the corpus </w:t>
      </w:r>
      <w:proofErr w:type="spellStart"/>
      <w:r w:rsidRPr="002A163D">
        <w:rPr>
          <w:rFonts w:ascii="Times New Roman" w:hAnsi="Times New Roman" w:cs="Times New Roman"/>
          <w:sz w:val="20"/>
          <w:szCs w:val="20"/>
        </w:rPr>
        <w:t>luteum</w:t>
      </w:r>
      <w:proofErr w:type="spellEnd"/>
      <w:r w:rsidRPr="002A163D">
        <w:rPr>
          <w:rFonts w:ascii="Times New Roman" w:hAnsi="Times New Roman" w:cs="Times New Roman"/>
          <w:sz w:val="20"/>
          <w:szCs w:val="20"/>
        </w:rPr>
        <w:t xml:space="preserve"> is compromised, that leads to corpus </w:t>
      </w:r>
      <w:proofErr w:type="spellStart"/>
      <w:r w:rsidRPr="002A163D">
        <w:rPr>
          <w:rFonts w:ascii="Times New Roman" w:hAnsi="Times New Roman" w:cs="Times New Roman"/>
          <w:sz w:val="20"/>
          <w:szCs w:val="20"/>
        </w:rPr>
        <w:t>luteum</w:t>
      </w:r>
      <w:proofErr w:type="spellEnd"/>
      <w:r w:rsidRPr="002A163D">
        <w:rPr>
          <w:rFonts w:ascii="Times New Roman" w:hAnsi="Times New Roman" w:cs="Times New Roman"/>
          <w:sz w:val="20"/>
          <w:szCs w:val="20"/>
        </w:rPr>
        <w:t xml:space="preserve"> demise.</w:t>
      </w:r>
    </w:p>
    <w:p w:rsidR="002A19E4" w:rsidRDefault="00B330B4" w:rsidP="002A163D">
      <w:pPr>
        <w:numPr>
          <w:ilvl w:val="0"/>
          <w:numId w:val="17"/>
        </w:numPr>
        <w:bidi w:val="0"/>
        <w:snapToGrid w:val="0"/>
        <w:ind w:left="0" w:firstLine="0"/>
        <w:jc w:val="both"/>
        <w:rPr>
          <w:b/>
          <w:bCs/>
          <w:i/>
          <w:iCs/>
          <w:sz w:val="20"/>
          <w:szCs w:val="20"/>
        </w:rPr>
      </w:pPr>
      <w:r w:rsidRPr="002A163D">
        <w:rPr>
          <w:b/>
          <w:bCs/>
          <w:sz w:val="20"/>
          <w:szCs w:val="20"/>
        </w:rPr>
        <w:t>Direct</w:t>
      </w:r>
      <w:r w:rsidRPr="002A163D">
        <w:rPr>
          <w:sz w:val="20"/>
          <w:szCs w:val="20"/>
        </w:rPr>
        <w:t xml:space="preserve">: the </w:t>
      </w:r>
      <w:proofErr w:type="spellStart"/>
      <w:r w:rsidRPr="002A163D">
        <w:rPr>
          <w:sz w:val="20"/>
          <w:szCs w:val="20"/>
        </w:rPr>
        <w:t>GnRHa</w:t>
      </w:r>
      <w:proofErr w:type="spellEnd"/>
      <w:r w:rsidRPr="002A163D">
        <w:rPr>
          <w:sz w:val="20"/>
          <w:szCs w:val="20"/>
        </w:rPr>
        <w:t xml:space="preserve"> compromises the normal function of the corpus </w:t>
      </w:r>
      <w:proofErr w:type="spellStart"/>
      <w:r w:rsidRPr="002A163D">
        <w:rPr>
          <w:sz w:val="20"/>
          <w:szCs w:val="20"/>
        </w:rPr>
        <w:t>luteum</w:t>
      </w:r>
      <w:proofErr w:type="spellEnd"/>
      <w:r w:rsidRPr="002A163D">
        <w:rPr>
          <w:sz w:val="20"/>
          <w:szCs w:val="20"/>
        </w:rPr>
        <w:t xml:space="preserve"> via blockage of </w:t>
      </w:r>
      <w:proofErr w:type="spellStart"/>
      <w:r w:rsidRPr="002A163D">
        <w:rPr>
          <w:sz w:val="20"/>
          <w:szCs w:val="20"/>
        </w:rPr>
        <w:t>GnRH</w:t>
      </w:r>
      <w:proofErr w:type="spellEnd"/>
      <w:r w:rsidRPr="002A163D">
        <w:rPr>
          <w:sz w:val="20"/>
          <w:szCs w:val="20"/>
        </w:rPr>
        <w:t xml:space="preserve"> receptors present in human </w:t>
      </w:r>
      <w:proofErr w:type="spellStart"/>
      <w:r w:rsidRPr="002A163D">
        <w:rPr>
          <w:sz w:val="20"/>
          <w:szCs w:val="20"/>
        </w:rPr>
        <w:t>granulosa</w:t>
      </w:r>
      <w:proofErr w:type="spellEnd"/>
      <w:r w:rsidRPr="002A163D">
        <w:rPr>
          <w:sz w:val="20"/>
          <w:szCs w:val="20"/>
        </w:rPr>
        <w:t xml:space="preserve"> cells.</w:t>
      </w:r>
      <w:r w:rsidR="00332929" w:rsidRPr="002A163D">
        <w:rPr>
          <w:sz w:val="20"/>
          <w:szCs w:val="20"/>
        </w:rPr>
        <w:t xml:space="preserve"> </w:t>
      </w:r>
      <w:r w:rsidRPr="002A163D">
        <w:rPr>
          <w:b/>
          <w:bCs/>
          <w:i/>
          <w:iCs/>
          <w:sz w:val="20"/>
          <w:szCs w:val="20"/>
        </w:rPr>
        <w:t>(</w:t>
      </w:r>
      <w:proofErr w:type="spellStart"/>
      <w:r w:rsidRPr="002A163D">
        <w:rPr>
          <w:b/>
          <w:bCs/>
          <w:i/>
          <w:iCs/>
          <w:sz w:val="20"/>
          <w:szCs w:val="20"/>
        </w:rPr>
        <w:t>Humaidan</w:t>
      </w:r>
      <w:proofErr w:type="spellEnd"/>
      <w:r w:rsidRPr="002A163D">
        <w:rPr>
          <w:b/>
          <w:bCs/>
          <w:i/>
          <w:iCs/>
          <w:sz w:val="20"/>
          <w:szCs w:val="20"/>
        </w:rPr>
        <w:t xml:space="preserve"> et al., 2006</w:t>
      </w:r>
      <w:r w:rsidR="002A19E4" w:rsidRPr="002A163D">
        <w:rPr>
          <w:b/>
          <w:bCs/>
          <w:i/>
          <w:iCs/>
          <w:sz w:val="20"/>
          <w:szCs w:val="20"/>
        </w:rPr>
        <w:t>)</w:t>
      </w:r>
      <w:r w:rsidR="002A19E4">
        <w:rPr>
          <w:b/>
          <w:bCs/>
          <w:i/>
          <w:iCs/>
          <w:sz w:val="20"/>
          <w:szCs w:val="20"/>
        </w:rPr>
        <w:t>.</w:t>
      </w:r>
    </w:p>
    <w:p w:rsidR="00B330B4" w:rsidRPr="002A163D" w:rsidRDefault="00B330B4" w:rsidP="002A163D">
      <w:pPr>
        <w:bidi w:val="0"/>
        <w:snapToGrid w:val="0"/>
        <w:ind w:firstLine="425"/>
        <w:jc w:val="both"/>
        <w:rPr>
          <w:sz w:val="20"/>
          <w:szCs w:val="20"/>
        </w:rPr>
      </w:pPr>
      <w:r w:rsidRPr="002A163D">
        <w:rPr>
          <w:sz w:val="20"/>
          <w:szCs w:val="20"/>
        </w:rPr>
        <w:t xml:space="preserve">In a previous study </w:t>
      </w:r>
      <w:r w:rsidRPr="002A163D">
        <w:rPr>
          <w:b/>
          <w:bCs/>
          <w:i/>
          <w:iCs/>
          <w:sz w:val="20"/>
          <w:szCs w:val="20"/>
        </w:rPr>
        <w:t>(</w:t>
      </w:r>
      <w:proofErr w:type="spellStart"/>
      <w:r w:rsidRPr="002A163D">
        <w:rPr>
          <w:b/>
          <w:bCs/>
          <w:i/>
          <w:iCs/>
          <w:sz w:val="20"/>
          <w:szCs w:val="20"/>
        </w:rPr>
        <w:t>Humaidan</w:t>
      </w:r>
      <w:proofErr w:type="spellEnd"/>
      <w:r w:rsidRPr="002A163D">
        <w:rPr>
          <w:b/>
          <w:bCs/>
          <w:i/>
          <w:iCs/>
          <w:sz w:val="20"/>
          <w:szCs w:val="20"/>
        </w:rPr>
        <w:t xml:space="preserve"> et al., 2005),</w:t>
      </w:r>
      <w:r w:rsidRPr="002A163D">
        <w:rPr>
          <w:sz w:val="20"/>
          <w:szCs w:val="20"/>
        </w:rPr>
        <w:t xml:space="preserve"> comparing HCG with </w:t>
      </w:r>
      <w:proofErr w:type="spellStart"/>
      <w:r w:rsidRPr="002A163D">
        <w:rPr>
          <w:sz w:val="20"/>
          <w:szCs w:val="20"/>
        </w:rPr>
        <w:t>GnRH</w:t>
      </w:r>
      <w:proofErr w:type="spellEnd"/>
      <w:r w:rsidRPr="002A163D">
        <w:rPr>
          <w:sz w:val="20"/>
          <w:szCs w:val="20"/>
        </w:rPr>
        <w:t xml:space="preserve"> triggered final </w:t>
      </w:r>
      <w:proofErr w:type="spellStart"/>
      <w:r w:rsidRPr="002A163D">
        <w:rPr>
          <w:sz w:val="20"/>
          <w:szCs w:val="20"/>
        </w:rPr>
        <w:t>oocyte</w:t>
      </w:r>
      <w:proofErr w:type="spellEnd"/>
      <w:r w:rsidRPr="002A163D">
        <w:rPr>
          <w:sz w:val="20"/>
          <w:szCs w:val="20"/>
        </w:rPr>
        <w:t xml:space="preserve"> maturation, the mean </w:t>
      </w:r>
      <w:proofErr w:type="spellStart"/>
      <w:r w:rsidRPr="002A163D">
        <w:rPr>
          <w:sz w:val="20"/>
          <w:szCs w:val="20"/>
        </w:rPr>
        <w:t>midluteal</w:t>
      </w:r>
      <w:proofErr w:type="spellEnd"/>
      <w:r w:rsidRPr="002A163D">
        <w:rPr>
          <w:sz w:val="20"/>
          <w:szCs w:val="20"/>
        </w:rPr>
        <w:t xml:space="preserve"> progesterone concentration of the </w:t>
      </w:r>
      <w:proofErr w:type="spellStart"/>
      <w:r w:rsidRPr="002A163D">
        <w:rPr>
          <w:sz w:val="20"/>
          <w:szCs w:val="20"/>
        </w:rPr>
        <w:t>GnRHa</w:t>
      </w:r>
      <w:proofErr w:type="spellEnd"/>
      <w:r w:rsidRPr="002A163D">
        <w:rPr>
          <w:sz w:val="20"/>
          <w:szCs w:val="20"/>
        </w:rPr>
        <w:t xml:space="preserve"> arm was significantly lower than that of the HCG arm.</w:t>
      </w:r>
    </w:p>
    <w:p w:rsidR="00B330B4" w:rsidRPr="002A163D" w:rsidRDefault="00B330B4" w:rsidP="002A163D">
      <w:pPr>
        <w:bidi w:val="0"/>
        <w:snapToGrid w:val="0"/>
        <w:ind w:firstLine="425"/>
        <w:jc w:val="both"/>
        <w:rPr>
          <w:sz w:val="20"/>
          <w:szCs w:val="20"/>
        </w:rPr>
      </w:pPr>
      <w:r w:rsidRPr="002A163D">
        <w:rPr>
          <w:sz w:val="20"/>
          <w:szCs w:val="20"/>
        </w:rPr>
        <w:t xml:space="preserve">While the endogenous LH surge triggered by </w:t>
      </w:r>
      <w:proofErr w:type="spellStart"/>
      <w:r w:rsidRPr="002A163D">
        <w:rPr>
          <w:sz w:val="20"/>
          <w:szCs w:val="20"/>
        </w:rPr>
        <w:t>GnRHa</w:t>
      </w:r>
      <w:proofErr w:type="spellEnd"/>
      <w:r w:rsidRPr="002A163D">
        <w:rPr>
          <w:sz w:val="20"/>
          <w:szCs w:val="20"/>
        </w:rPr>
        <w:t xml:space="preserve"> is associated with a normal follicular-</w:t>
      </w:r>
      <w:proofErr w:type="spellStart"/>
      <w:r w:rsidRPr="002A163D">
        <w:rPr>
          <w:sz w:val="20"/>
          <w:szCs w:val="20"/>
        </w:rPr>
        <w:t>luteal</w:t>
      </w:r>
      <w:proofErr w:type="spellEnd"/>
      <w:r w:rsidRPr="002A163D">
        <w:rPr>
          <w:sz w:val="20"/>
          <w:szCs w:val="20"/>
        </w:rPr>
        <w:t xml:space="preserve"> shift in ovarian </w:t>
      </w:r>
      <w:proofErr w:type="spellStart"/>
      <w:r w:rsidRPr="002A163D">
        <w:rPr>
          <w:sz w:val="20"/>
          <w:szCs w:val="20"/>
        </w:rPr>
        <w:t>steroidogenesis</w:t>
      </w:r>
      <w:proofErr w:type="spellEnd"/>
      <w:r w:rsidRPr="002A163D">
        <w:rPr>
          <w:sz w:val="20"/>
          <w:szCs w:val="20"/>
        </w:rPr>
        <w:t xml:space="preserve">, serum levels of E and P during the </w:t>
      </w:r>
      <w:proofErr w:type="spellStart"/>
      <w:r w:rsidRPr="002A163D">
        <w:rPr>
          <w:sz w:val="20"/>
          <w:szCs w:val="20"/>
        </w:rPr>
        <w:t>luteal</w:t>
      </w:r>
      <w:proofErr w:type="spellEnd"/>
      <w:r w:rsidRPr="002A163D">
        <w:rPr>
          <w:sz w:val="20"/>
          <w:szCs w:val="20"/>
        </w:rPr>
        <w:t xml:space="preserve"> phase are lower compared with those achieved after </w:t>
      </w:r>
      <w:proofErr w:type="spellStart"/>
      <w:r w:rsidRPr="002A163D">
        <w:rPr>
          <w:sz w:val="20"/>
          <w:szCs w:val="20"/>
        </w:rPr>
        <w:t>hCG</w:t>
      </w:r>
      <w:proofErr w:type="spellEnd"/>
      <w:r w:rsidRPr="002A163D">
        <w:rPr>
          <w:sz w:val="20"/>
          <w:szCs w:val="20"/>
        </w:rPr>
        <w:t xml:space="preserve"> administration. This may be related to the longer duration of plasma </w:t>
      </w:r>
      <w:proofErr w:type="spellStart"/>
      <w:r w:rsidRPr="002A163D">
        <w:rPr>
          <w:sz w:val="20"/>
          <w:szCs w:val="20"/>
        </w:rPr>
        <w:t>hCG</w:t>
      </w:r>
      <w:proofErr w:type="spellEnd"/>
      <w:r w:rsidRPr="002A163D">
        <w:rPr>
          <w:sz w:val="20"/>
          <w:szCs w:val="20"/>
        </w:rPr>
        <w:t xml:space="preserve"> activity compared with the shorter </w:t>
      </w:r>
      <w:proofErr w:type="spellStart"/>
      <w:r w:rsidRPr="002A163D">
        <w:rPr>
          <w:sz w:val="20"/>
          <w:szCs w:val="20"/>
        </w:rPr>
        <w:t>GnRHa</w:t>
      </w:r>
      <w:proofErr w:type="spellEnd"/>
      <w:r w:rsidRPr="002A163D">
        <w:rPr>
          <w:sz w:val="20"/>
          <w:szCs w:val="20"/>
        </w:rPr>
        <w:t xml:space="preserve"> induced LH elevation. Normal function of the corpus </w:t>
      </w:r>
      <w:proofErr w:type="spellStart"/>
      <w:r w:rsidRPr="002A163D">
        <w:rPr>
          <w:sz w:val="20"/>
          <w:szCs w:val="20"/>
        </w:rPr>
        <w:t>luteum</w:t>
      </w:r>
      <w:proofErr w:type="spellEnd"/>
      <w:r w:rsidRPr="002A163D">
        <w:rPr>
          <w:sz w:val="20"/>
          <w:szCs w:val="20"/>
        </w:rPr>
        <w:t xml:space="preserve"> is dependent on pituitary LH </w:t>
      </w:r>
      <w:r w:rsidRPr="002A163D">
        <w:rPr>
          <w:b/>
          <w:bCs/>
          <w:i/>
          <w:iCs/>
          <w:sz w:val="20"/>
          <w:szCs w:val="20"/>
        </w:rPr>
        <w:t>(</w:t>
      </w:r>
      <w:proofErr w:type="spellStart"/>
      <w:r w:rsidRPr="002A163D">
        <w:rPr>
          <w:b/>
          <w:bCs/>
          <w:i/>
          <w:iCs/>
          <w:sz w:val="20"/>
          <w:szCs w:val="20"/>
        </w:rPr>
        <w:t>Kol</w:t>
      </w:r>
      <w:proofErr w:type="spellEnd"/>
      <w:r w:rsidRPr="002A163D">
        <w:rPr>
          <w:b/>
          <w:bCs/>
          <w:i/>
          <w:iCs/>
          <w:sz w:val="20"/>
          <w:szCs w:val="20"/>
        </w:rPr>
        <w:t>, 2004).</w:t>
      </w:r>
    </w:p>
    <w:p w:rsidR="00B330B4" w:rsidRPr="002A163D" w:rsidRDefault="00B330B4" w:rsidP="002A163D">
      <w:pPr>
        <w:bidi w:val="0"/>
        <w:snapToGrid w:val="0"/>
        <w:ind w:firstLine="425"/>
        <w:jc w:val="both"/>
        <w:rPr>
          <w:sz w:val="20"/>
          <w:szCs w:val="20"/>
        </w:rPr>
      </w:pPr>
      <w:r w:rsidRPr="002A163D">
        <w:rPr>
          <w:sz w:val="20"/>
          <w:szCs w:val="20"/>
        </w:rPr>
        <w:t xml:space="preserve">The </w:t>
      </w:r>
      <w:proofErr w:type="spellStart"/>
      <w:r w:rsidRPr="002A163D">
        <w:rPr>
          <w:sz w:val="20"/>
          <w:szCs w:val="20"/>
        </w:rPr>
        <w:t>occureance</w:t>
      </w:r>
      <w:proofErr w:type="spellEnd"/>
      <w:r w:rsidRPr="002A163D">
        <w:rPr>
          <w:sz w:val="20"/>
          <w:szCs w:val="20"/>
        </w:rPr>
        <w:t xml:space="preserve"> of </w:t>
      </w:r>
      <w:proofErr w:type="spellStart"/>
      <w:r w:rsidRPr="002A163D">
        <w:rPr>
          <w:sz w:val="20"/>
          <w:szCs w:val="20"/>
        </w:rPr>
        <w:t>luteal</w:t>
      </w:r>
      <w:proofErr w:type="spellEnd"/>
      <w:r w:rsidRPr="002A163D">
        <w:rPr>
          <w:sz w:val="20"/>
          <w:szCs w:val="20"/>
        </w:rPr>
        <w:t xml:space="preserve"> phase showed a decrease over the three cycles in both groups with higher decrease detected in the grou</w:t>
      </w:r>
      <w:r w:rsidR="002A19E4" w:rsidRPr="002A163D">
        <w:rPr>
          <w:sz w:val="20"/>
          <w:szCs w:val="20"/>
        </w:rPr>
        <w:t>p</w:t>
      </w:r>
      <w:r w:rsidR="002A19E4">
        <w:rPr>
          <w:sz w:val="20"/>
          <w:szCs w:val="20"/>
        </w:rPr>
        <w:t xml:space="preserve"> </w:t>
      </w:r>
      <w:r w:rsidR="002A19E4" w:rsidRPr="002A163D">
        <w:rPr>
          <w:sz w:val="20"/>
          <w:szCs w:val="20"/>
        </w:rPr>
        <w:t>A</w:t>
      </w:r>
      <w:r w:rsidRPr="002A163D">
        <w:rPr>
          <w:sz w:val="20"/>
          <w:szCs w:val="20"/>
        </w:rPr>
        <w:t xml:space="preserve"> (8.6%) in the third cycle compared to group B (31.2) % during the third cycle.</w:t>
      </w:r>
    </w:p>
    <w:p w:rsidR="00B330B4" w:rsidRPr="002A163D" w:rsidRDefault="00B330B4" w:rsidP="002A163D">
      <w:pPr>
        <w:bidi w:val="0"/>
        <w:snapToGrid w:val="0"/>
        <w:ind w:firstLine="425"/>
        <w:jc w:val="both"/>
        <w:rPr>
          <w:sz w:val="20"/>
          <w:szCs w:val="20"/>
        </w:rPr>
      </w:pPr>
      <w:proofErr w:type="spellStart"/>
      <w:r w:rsidRPr="002A163D">
        <w:rPr>
          <w:sz w:val="20"/>
          <w:szCs w:val="20"/>
        </w:rPr>
        <w:t>Clomiphene</w:t>
      </w:r>
      <w:proofErr w:type="spellEnd"/>
      <w:r w:rsidRPr="002A163D">
        <w:rPr>
          <w:sz w:val="20"/>
          <w:szCs w:val="20"/>
        </w:rPr>
        <w:t xml:space="preserve"> Citrate (CC) was used for ovarian stimulation during the follicular phase. Due to the long half-life of CC, a higher pituitary secretion of LH during the </w:t>
      </w:r>
      <w:proofErr w:type="spellStart"/>
      <w:r w:rsidRPr="002A163D">
        <w:rPr>
          <w:sz w:val="20"/>
          <w:szCs w:val="20"/>
        </w:rPr>
        <w:t>luteal</w:t>
      </w:r>
      <w:proofErr w:type="spellEnd"/>
      <w:r w:rsidRPr="002A163D">
        <w:rPr>
          <w:sz w:val="20"/>
          <w:szCs w:val="20"/>
        </w:rPr>
        <w:t xml:space="preserve"> phase could be expected counteracting the </w:t>
      </w:r>
      <w:proofErr w:type="spellStart"/>
      <w:r w:rsidRPr="002A163D">
        <w:rPr>
          <w:sz w:val="20"/>
          <w:szCs w:val="20"/>
        </w:rPr>
        <w:t>luteolytic</w:t>
      </w:r>
      <w:proofErr w:type="spellEnd"/>
      <w:r w:rsidRPr="002A163D">
        <w:rPr>
          <w:sz w:val="20"/>
          <w:szCs w:val="20"/>
        </w:rPr>
        <w:t xml:space="preserve"> action following the </w:t>
      </w:r>
      <w:proofErr w:type="spellStart"/>
      <w:r w:rsidRPr="002A163D">
        <w:rPr>
          <w:sz w:val="20"/>
          <w:szCs w:val="20"/>
        </w:rPr>
        <w:t>GnRHa</w:t>
      </w:r>
      <w:proofErr w:type="spellEnd"/>
      <w:r w:rsidRPr="002A163D">
        <w:rPr>
          <w:sz w:val="20"/>
          <w:szCs w:val="20"/>
        </w:rPr>
        <w:t xml:space="preserve"> trigger </w:t>
      </w:r>
      <w:r w:rsidRPr="002A163D">
        <w:rPr>
          <w:b/>
          <w:bCs/>
          <w:i/>
          <w:iCs/>
          <w:sz w:val="20"/>
          <w:szCs w:val="20"/>
        </w:rPr>
        <w:t>(</w:t>
      </w:r>
      <w:proofErr w:type="spellStart"/>
      <w:r w:rsidRPr="002A163D">
        <w:rPr>
          <w:b/>
          <w:bCs/>
          <w:i/>
          <w:iCs/>
          <w:sz w:val="20"/>
          <w:szCs w:val="20"/>
        </w:rPr>
        <w:t>Kol</w:t>
      </w:r>
      <w:proofErr w:type="spellEnd"/>
      <w:r w:rsidRPr="002A163D">
        <w:rPr>
          <w:b/>
          <w:bCs/>
          <w:i/>
          <w:iCs/>
          <w:sz w:val="20"/>
          <w:szCs w:val="20"/>
        </w:rPr>
        <w:t xml:space="preserve"> et al., 2011).</w:t>
      </w:r>
    </w:p>
    <w:p w:rsidR="00B330B4" w:rsidRPr="002A163D" w:rsidRDefault="00B330B4" w:rsidP="002A163D">
      <w:pPr>
        <w:bidi w:val="0"/>
        <w:snapToGrid w:val="0"/>
        <w:ind w:firstLine="425"/>
        <w:jc w:val="both"/>
        <w:rPr>
          <w:b/>
          <w:bCs/>
          <w:i/>
          <w:iCs/>
          <w:sz w:val="20"/>
          <w:szCs w:val="20"/>
        </w:rPr>
      </w:pPr>
      <w:r w:rsidRPr="002A163D">
        <w:rPr>
          <w:color w:val="231F20"/>
          <w:sz w:val="20"/>
          <w:szCs w:val="20"/>
        </w:rPr>
        <w:t xml:space="preserve">The </w:t>
      </w:r>
      <w:proofErr w:type="spellStart"/>
      <w:r w:rsidRPr="002A163D">
        <w:rPr>
          <w:color w:val="231F20"/>
          <w:sz w:val="20"/>
          <w:szCs w:val="20"/>
        </w:rPr>
        <w:t>luteal</w:t>
      </w:r>
      <w:proofErr w:type="spellEnd"/>
      <w:r w:rsidRPr="002A163D">
        <w:rPr>
          <w:color w:val="231F20"/>
          <w:sz w:val="20"/>
          <w:szCs w:val="20"/>
        </w:rPr>
        <w:t xml:space="preserve"> phase insufficiency connected with </w:t>
      </w:r>
      <w:proofErr w:type="spellStart"/>
      <w:r w:rsidRPr="002A163D">
        <w:rPr>
          <w:color w:val="231F20"/>
          <w:sz w:val="20"/>
          <w:szCs w:val="20"/>
        </w:rPr>
        <w:t>GnRHa</w:t>
      </w:r>
      <w:proofErr w:type="spellEnd"/>
      <w:r w:rsidRPr="002A163D">
        <w:rPr>
          <w:color w:val="231F20"/>
          <w:sz w:val="20"/>
          <w:szCs w:val="20"/>
        </w:rPr>
        <w:t xml:space="preserve"> triggering seems to be involving both the corpus </w:t>
      </w:r>
      <w:proofErr w:type="spellStart"/>
      <w:r w:rsidRPr="002A163D">
        <w:rPr>
          <w:color w:val="231F20"/>
          <w:sz w:val="20"/>
          <w:szCs w:val="20"/>
        </w:rPr>
        <w:t>luteum</w:t>
      </w:r>
      <w:proofErr w:type="spellEnd"/>
      <w:r w:rsidRPr="002A163D">
        <w:rPr>
          <w:color w:val="231F20"/>
          <w:sz w:val="20"/>
          <w:szCs w:val="20"/>
        </w:rPr>
        <w:t xml:space="preserve"> function as the </w:t>
      </w:r>
      <w:proofErr w:type="spellStart"/>
      <w:r w:rsidRPr="002A163D">
        <w:rPr>
          <w:color w:val="231F20"/>
          <w:sz w:val="20"/>
          <w:szCs w:val="20"/>
        </w:rPr>
        <w:t>endometrium</w:t>
      </w:r>
      <w:proofErr w:type="spellEnd"/>
      <w:r w:rsidRPr="002A163D">
        <w:rPr>
          <w:color w:val="231F20"/>
          <w:sz w:val="20"/>
          <w:szCs w:val="20"/>
        </w:rPr>
        <w:t xml:space="preserve"> and </w:t>
      </w:r>
      <w:r w:rsidRPr="002A163D">
        <w:rPr>
          <w:sz w:val="20"/>
          <w:szCs w:val="20"/>
        </w:rPr>
        <w:t>endogenous</w:t>
      </w:r>
      <w:r w:rsidRPr="002A163D">
        <w:rPr>
          <w:color w:val="231F20"/>
          <w:sz w:val="20"/>
          <w:szCs w:val="20"/>
        </w:rPr>
        <w:t xml:space="preserve"> LH seems to play a crucial role during the </w:t>
      </w:r>
      <w:proofErr w:type="spellStart"/>
      <w:r w:rsidRPr="002A163D">
        <w:rPr>
          <w:color w:val="231F20"/>
          <w:sz w:val="20"/>
          <w:szCs w:val="20"/>
        </w:rPr>
        <w:t>luteal</w:t>
      </w:r>
      <w:proofErr w:type="spellEnd"/>
      <w:r w:rsidRPr="002A163D">
        <w:rPr>
          <w:color w:val="231F20"/>
          <w:sz w:val="20"/>
          <w:szCs w:val="20"/>
        </w:rPr>
        <w:t xml:space="preserve"> phase</w:t>
      </w:r>
      <w:r w:rsidR="002A19E4" w:rsidRPr="002A163D">
        <w:rPr>
          <w:color w:val="231F20"/>
          <w:sz w:val="20"/>
          <w:szCs w:val="20"/>
        </w:rPr>
        <w:t>.</w:t>
      </w:r>
      <w:r w:rsidR="002A19E4">
        <w:rPr>
          <w:color w:val="231F20"/>
          <w:sz w:val="20"/>
          <w:szCs w:val="20"/>
        </w:rPr>
        <w:t xml:space="preserve"> </w:t>
      </w:r>
      <w:r w:rsidR="002A19E4" w:rsidRPr="002A163D">
        <w:rPr>
          <w:color w:val="231F20"/>
          <w:sz w:val="20"/>
          <w:szCs w:val="20"/>
        </w:rPr>
        <w:t>L</w:t>
      </w:r>
      <w:r w:rsidRPr="002A163D">
        <w:rPr>
          <w:color w:val="231F20"/>
          <w:sz w:val="20"/>
          <w:szCs w:val="20"/>
        </w:rPr>
        <w:t xml:space="preserve">H support during the </w:t>
      </w:r>
      <w:proofErr w:type="spellStart"/>
      <w:r w:rsidRPr="002A163D">
        <w:rPr>
          <w:color w:val="231F20"/>
          <w:sz w:val="20"/>
          <w:szCs w:val="20"/>
        </w:rPr>
        <w:t>luteal</w:t>
      </w:r>
      <w:proofErr w:type="spellEnd"/>
      <w:r w:rsidRPr="002A163D">
        <w:rPr>
          <w:color w:val="231F20"/>
          <w:sz w:val="20"/>
          <w:szCs w:val="20"/>
        </w:rPr>
        <w:t xml:space="preserve"> phase is totally responsible for the maintenance and the </w:t>
      </w:r>
      <w:proofErr w:type="spellStart"/>
      <w:r w:rsidRPr="002A163D">
        <w:rPr>
          <w:color w:val="231F20"/>
          <w:sz w:val="20"/>
          <w:szCs w:val="20"/>
        </w:rPr>
        <w:t>steroidogenic</w:t>
      </w:r>
      <w:proofErr w:type="spellEnd"/>
      <w:r w:rsidRPr="002A163D">
        <w:rPr>
          <w:color w:val="231F20"/>
          <w:sz w:val="20"/>
          <w:szCs w:val="20"/>
        </w:rPr>
        <w:t xml:space="preserve"> activity of the corpus </w:t>
      </w:r>
      <w:proofErr w:type="spellStart"/>
      <w:r w:rsidRPr="002A163D">
        <w:rPr>
          <w:color w:val="231F20"/>
          <w:sz w:val="20"/>
          <w:szCs w:val="20"/>
        </w:rPr>
        <w:t>luteum</w:t>
      </w:r>
      <w:proofErr w:type="spellEnd"/>
      <w:r w:rsidR="002A19E4" w:rsidRPr="002A163D">
        <w:rPr>
          <w:color w:val="231F20"/>
          <w:sz w:val="20"/>
          <w:szCs w:val="20"/>
        </w:rPr>
        <w:t>.</w:t>
      </w:r>
      <w:r w:rsidR="002A19E4">
        <w:rPr>
          <w:color w:val="231F20"/>
          <w:sz w:val="20"/>
          <w:szCs w:val="20"/>
        </w:rPr>
        <w:t xml:space="preserve"> </w:t>
      </w:r>
      <w:r w:rsidR="002A19E4" w:rsidRPr="002A163D">
        <w:rPr>
          <w:color w:val="231F20"/>
          <w:sz w:val="20"/>
          <w:szCs w:val="20"/>
        </w:rPr>
        <w:t>M</w:t>
      </w:r>
      <w:r w:rsidRPr="002A163D">
        <w:rPr>
          <w:color w:val="231F20"/>
          <w:sz w:val="20"/>
          <w:szCs w:val="20"/>
        </w:rPr>
        <w:t xml:space="preserve">oreover, LH is also responsible for the up-regulation of growth </w:t>
      </w:r>
      <w:r w:rsidRPr="002A163D">
        <w:rPr>
          <w:color w:val="231F20"/>
          <w:sz w:val="20"/>
          <w:szCs w:val="20"/>
        </w:rPr>
        <w:lastRenderedPageBreak/>
        <w:t xml:space="preserve">factors like vascular endothelial growth factor A and fibroblast growth factor which play a dynamic role in </w:t>
      </w:r>
      <w:proofErr w:type="spellStart"/>
      <w:r w:rsidRPr="002A163D">
        <w:rPr>
          <w:color w:val="231F20"/>
          <w:sz w:val="20"/>
          <w:szCs w:val="20"/>
        </w:rPr>
        <w:t>luteal</w:t>
      </w:r>
      <w:proofErr w:type="spellEnd"/>
      <w:r w:rsidRPr="002A163D">
        <w:rPr>
          <w:color w:val="231F20"/>
          <w:sz w:val="20"/>
          <w:szCs w:val="20"/>
        </w:rPr>
        <w:t xml:space="preserve"> </w:t>
      </w:r>
      <w:proofErr w:type="spellStart"/>
      <w:r w:rsidRPr="002A163D">
        <w:rPr>
          <w:color w:val="231F20"/>
          <w:sz w:val="20"/>
          <w:szCs w:val="20"/>
        </w:rPr>
        <w:t>angiogenesi</w:t>
      </w:r>
      <w:proofErr w:type="spellEnd"/>
      <w:r w:rsidR="00345B9A">
        <w:rPr>
          <w:rFonts w:eastAsiaTheme="minorEastAsia" w:hint="eastAsia"/>
          <w:color w:val="231F20"/>
          <w:sz w:val="20"/>
          <w:szCs w:val="20"/>
          <w:lang w:eastAsia="zh-CN"/>
        </w:rPr>
        <w:t xml:space="preserve"> </w:t>
      </w:r>
      <w:r w:rsidRPr="002A163D">
        <w:rPr>
          <w:b/>
          <w:bCs/>
          <w:i/>
          <w:iCs/>
          <w:sz w:val="20"/>
          <w:szCs w:val="20"/>
        </w:rPr>
        <w:t>(</w:t>
      </w:r>
      <w:proofErr w:type="spellStart"/>
      <w:r w:rsidRPr="002A163D">
        <w:rPr>
          <w:b/>
          <w:bCs/>
          <w:i/>
          <w:iCs/>
          <w:sz w:val="20"/>
          <w:szCs w:val="20"/>
        </w:rPr>
        <w:t>Humaidan</w:t>
      </w:r>
      <w:proofErr w:type="spellEnd"/>
      <w:r w:rsidRPr="002A163D">
        <w:rPr>
          <w:b/>
          <w:bCs/>
          <w:i/>
          <w:iCs/>
          <w:sz w:val="20"/>
          <w:szCs w:val="20"/>
        </w:rPr>
        <w:t xml:space="preserve"> et al., 2009).</w:t>
      </w:r>
    </w:p>
    <w:p w:rsidR="00B330B4" w:rsidRPr="002A163D" w:rsidRDefault="00B330B4" w:rsidP="002A163D">
      <w:pPr>
        <w:bidi w:val="0"/>
        <w:snapToGrid w:val="0"/>
        <w:ind w:firstLine="425"/>
        <w:jc w:val="both"/>
        <w:rPr>
          <w:color w:val="FF0000"/>
          <w:sz w:val="20"/>
          <w:szCs w:val="20"/>
        </w:rPr>
      </w:pPr>
      <w:r w:rsidRPr="002A163D">
        <w:rPr>
          <w:sz w:val="20"/>
          <w:szCs w:val="20"/>
        </w:rPr>
        <w:t xml:space="preserve">This study shows no significant difference between the two groups in ovulation rate in the first cycle. Comparing the two groups, it appears that the number of </w:t>
      </w:r>
      <w:proofErr w:type="spellStart"/>
      <w:r w:rsidRPr="002A163D">
        <w:rPr>
          <w:sz w:val="20"/>
          <w:szCs w:val="20"/>
        </w:rPr>
        <w:t>ovulatory</w:t>
      </w:r>
      <w:proofErr w:type="spellEnd"/>
      <w:r w:rsidRPr="002A163D">
        <w:rPr>
          <w:sz w:val="20"/>
          <w:szCs w:val="20"/>
        </w:rPr>
        <w:t xml:space="preserve"> patients in the first </w:t>
      </w:r>
      <w:proofErr w:type="spellStart"/>
      <w:r w:rsidRPr="002A163D">
        <w:rPr>
          <w:sz w:val="20"/>
          <w:szCs w:val="20"/>
        </w:rPr>
        <w:t>cylce</w:t>
      </w:r>
      <w:proofErr w:type="spellEnd"/>
      <w:r w:rsidRPr="002A163D">
        <w:rPr>
          <w:sz w:val="20"/>
          <w:szCs w:val="20"/>
        </w:rPr>
        <w:t xml:space="preserve"> is larger than </w:t>
      </w:r>
      <w:proofErr w:type="spellStart"/>
      <w:r w:rsidRPr="002A163D">
        <w:rPr>
          <w:sz w:val="20"/>
          <w:szCs w:val="20"/>
        </w:rPr>
        <w:t>anovulatory</w:t>
      </w:r>
      <w:proofErr w:type="spellEnd"/>
      <w:r w:rsidRPr="002A163D">
        <w:rPr>
          <w:sz w:val="20"/>
          <w:szCs w:val="20"/>
        </w:rPr>
        <w:t xml:space="preserve"> patients (in group A, 25.7%were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 xml:space="preserve">/ml) and 54.3% had good ovulation (progesterone level was&gt;10 </w:t>
      </w:r>
      <w:proofErr w:type="spellStart"/>
      <w:r w:rsidRPr="002A163D">
        <w:rPr>
          <w:sz w:val="20"/>
          <w:szCs w:val="20"/>
        </w:rPr>
        <w:t>ng</w:t>
      </w:r>
      <w:proofErr w:type="spellEnd"/>
      <w:r w:rsidRPr="002A163D">
        <w:rPr>
          <w:sz w:val="20"/>
          <w:szCs w:val="20"/>
        </w:rPr>
        <w:t xml:space="preserve">/ml), but in group B 37.1% 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 xml:space="preserve">/ml) and 31.4% had good ovulation (progesterone level was&gt;10 </w:t>
      </w:r>
      <w:proofErr w:type="spellStart"/>
      <w:r w:rsidRPr="002A163D">
        <w:rPr>
          <w:sz w:val="20"/>
          <w:szCs w:val="20"/>
        </w:rPr>
        <w:t>ng</w:t>
      </w:r>
      <w:proofErr w:type="spellEnd"/>
      <w:r w:rsidRPr="002A163D">
        <w:rPr>
          <w:sz w:val="20"/>
          <w:szCs w:val="20"/>
        </w:rPr>
        <w:t>/ml)</w:t>
      </w:r>
    </w:p>
    <w:p w:rsidR="00B330B4" w:rsidRPr="002A163D" w:rsidRDefault="00B330B4" w:rsidP="002A163D">
      <w:pPr>
        <w:bidi w:val="0"/>
        <w:snapToGrid w:val="0"/>
        <w:ind w:firstLine="425"/>
        <w:jc w:val="both"/>
        <w:rPr>
          <w:sz w:val="20"/>
          <w:szCs w:val="20"/>
        </w:rPr>
      </w:pPr>
      <w:r w:rsidRPr="002A163D">
        <w:rPr>
          <w:sz w:val="20"/>
          <w:szCs w:val="20"/>
        </w:rPr>
        <w:t xml:space="preserve">Also our results revealed that there </w:t>
      </w:r>
      <w:proofErr w:type="spellStart"/>
      <w:r w:rsidRPr="002A163D">
        <w:rPr>
          <w:sz w:val="20"/>
          <w:szCs w:val="20"/>
        </w:rPr>
        <w:t>isno</w:t>
      </w:r>
      <w:proofErr w:type="spellEnd"/>
      <w:r w:rsidRPr="002A163D">
        <w:rPr>
          <w:sz w:val="20"/>
          <w:szCs w:val="20"/>
        </w:rPr>
        <w:t xml:space="preserve"> significant difference between the two groups in ovulation rate in the second cycle. In group A: 34.3%</w:t>
      </w:r>
      <w:r w:rsidR="00345B9A">
        <w:rPr>
          <w:rFonts w:eastAsiaTheme="minorEastAsia" w:hint="eastAsia"/>
          <w:sz w:val="20"/>
          <w:szCs w:val="20"/>
          <w:lang w:eastAsia="zh-CN"/>
        </w:rPr>
        <w:t xml:space="preserve"> </w:t>
      </w:r>
      <w:r w:rsidRPr="002A163D">
        <w:rPr>
          <w:sz w:val="20"/>
          <w:szCs w:val="20"/>
        </w:rPr>
        <w:t xml:space="preserve">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 xml:space="preserve">/ml) and 65.7% had good ovulation (progesterone level was&gt;10 </w:t>
      </w:r>
      <w:proofErr w:type="spellStart"/>
      <w:r w:rsidRPr="002A163D">
        <w:rPr>
          <w:sz w:val="20"/>
          <w:szCs w:val="20"/>
        </w:rPr>
        <w:t>ng</w:t>
      </w:r>
      <w:proofErr w:type="spellEnd"/>
      <w:r w:rsidRPr="002A163D">
        <w:rPr>
          <w:sz w:val="20"/>
          <w:szCs w:val="20"/>
        </w:rPr>
        <w:t>/ml), while in group B27.3%</w:t>
      </w:r>
      <w:r w:rsidR="00345B9A">
        <w:rPr>
          <w:rFonts w:eastAsiaTheme="minorEastAsia" w:hint="eastAsia"/>
          <w:sz w:val="20"/>
          <w:szCs w:val="20"/>
          <w:lang w:eastAsia="zh-CN"/>
        </w:rPr>
        <w:t xml:space="preserve"> </w:t>
      </w:r>
      <w:r w:rsidRPr="002A163D">
        <w:rPr>
          <w:sz w:val="20"/>
          <w:szCs w:val="20"/>
        </w:rPr>
        <w:t xml:space="preserve">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/ml) and 66.7%</w:t>
      </w:r>
      <w:r w:rsidR="00345B9A">
        <w:rPr>
          <w:rFonts w:eastAsiaTheme="minorEastAsia" w:hint="eastAsia"/>
          <w:sz w:val="20"/>
          <w:szCs w:val="20"/>
          <w:lang w:eastAsia="zh-CN"/>
        </w:rPr>
        <w:t xml:space="preserve"> </w:t>
      </w:r>
      <w:r w:rsidRPr="002A163D">
        <w:rPr>
          <w:sz w:val="20"/>
          <w:szCs w:val="20"/>
        </w:rPr>
        <w:t xml:space="preserve">had good ovulation (progesterone level was&gt;10 </w:t>
      </w:r>
      <w:proofErr w:type="spellStart"/>
      <w:r w:rsidRPr="002A163D">
        <w:rPr>
          <w:sz w:val="20"/>
          <w:szCs w:val="20"/>
        </w:rPr>
        <w:t>ng</w:t>
      </w:r>
      <w:proofErr w:type="spellEnd"/>
      <w:r w:rsidRPr="002A163D">
        <w:rPr>
          <w:sz w:val="20"/>
          <w:szCs w:val="20"/>
        </w:rPr>
        <w:t>/ml).</w:t>
      </w:r>
    </w:p>
    <w:p w:rsidR="002A19E4" w:rsidRDefault="00B330B4" w:rsidP="002A163D">
      <w:pPr>
        <w:bidi w:val="0"/>
        <w:snapToGrid w:val="0"/>
        <w:ind w:firstLine="425"/>
        <w:jc w:val="both"/>
        <w:rPr>
          <w:sz w:val="20"/>
          <w:szCs w:val="20"/>
        </w:rPr>
      </w:pPr>
      <w:r w:rsidRPr="002A163D">
        <w:rPr>
          <w:sz w:val="20"/>
          <w:szCs w:val="20"/>
        </w:rPr>
        <w:t xml:space="preserve">This study shows a significant difference between the two groups in ovulation rate in the third cycle. In group A: 8.6%were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 xml:space="preserve">/ml) and 91.4% had good ovulation (progesterone level was&gt;10 </w:t>
      </w:r>
      <w:proofErr w:type="spellStart"/>
      <w:r w:rsidRPr="002A163D">
        <w:rPr>
          <w:sz w:val="20"/>
          <w:szCs w:val="20"/>
        </w:rPr>
        <w:t>ng</w:t>
      </w:r>
      <w:proofErr w:type="spellEnd"/>
      <w:r w:rsidRPr="002A163D">
        <w:rPr>
          <w:sz w:val="20"/>
          <w:szCs w:val="20"/>
        </w:rPr>
        <w:t xml:space="preserve">/ml), while in group B: 31.2% were </w:t>
      </w:r>
      <w:proofErr w:type="spellStart"/>
      <w:r w:rsidRPr="002A163D">
        <w:rPr>
          <w:sz w:val="20"/>
          <w:szCs w:val="20"/>
        </w:rPr>
        <w:t>ovulatory</w:t>
      </w:r>
      <w:proofErr w:type="spellEnd"/>
      <w:r w:rsidRPr="002A163D">
        <w:rPr>
          <w:sz w:val="20"/>
          <w:szCs w:val="20"/>
        </w:rPr>
        <w:t xml:space="preserve"> (progesterone level was 3-10 </w:t>
      </w:r>
      <w:proofErr w:type="spellStart"/>
      <w:r w:rsidRPr="002A163D">
        <w:rPr>
          <w:sz w:val="20"/>
          <w:szCs w:val="20"/>
        </w:rPr>
        <w:t>ng</w:t>
      </w:r>
      <w:proofErr w:type="spellEnd"/>
      <w:r w:rsidRPr="002A163D">
        <w:rPr>
          <w:sz w:val="20"/>
          <w:szCs w:val="20"/>
        </w:rPr>
        <w:t xml:space="preserve">/ml) and 68.8% had good ovulation (progesterone level was&gt;10 </w:t>
      </w:r>
      <w:proofErr w:type="spellStart"/>
      <w:r w:rsidRPr="002A163D">
        <w:rPr>
          <w:sz w:val="20"/>
          <w:szCs w:val="20"/>
        </w:rPr>
        <w:t>ng</w:t>
      </w:r>
      <w:proofErr w:type="spellEnd"/>
      <w:r w:rsidRPr="002A163D">
        <w:rPr>
          <w:sz w:val="20"/>
          <w:szCs w:val="20"/>
        </w:rPr>
        <w:t>/ml</w:t>
      </w:r>
      <w:r w:rsidR="002A19E4" w:rsidRPr="002A163D">
        <w:rPr>
          <w:sz w:val="20"/>
          <w:szCs w:val="20"/>
        </w:rPr>
        <w:t>)</w:t>
      </w:r>
      <w:r w:rsidR="002A19E4">
        <w:rPr>
          <w:sz w:val="20"/>
          <w:szCs w:val="20"/>
        </w:rPr>
        <w:t>.</w:t>
      </w:r>
    </w:p>
    <w:p w:rsidR="00B330B4" w:rsidRPr="002A163D" w:rsidRDefault="00B330B4" w:rsidP="002A163D">
      <w:pPr>
        <w:bidi w:val="0"/>
        <w:snapToGrid w:val="0"/>
        <w:ind w:firstLine="425"/>
        <w:jc w:val="both"/>
        <w:rPr>
          <w:sz w:val="20"/>
          <w:szCs w:val="20"/>
        </w:rPr>
      </w:pPr>
      <w:proofErr w:type="spellStart"/>
      <w:r w:rsidRPr="002A163D">
        <w:rPr>
          <w:sz w:val="20"/>
          <w:szCs w:val="20"/>
        </w:rPr>
        <w:t>Clomiphene</w:t>
      </w:r>
      <w:proofErr w:type="spellEnd"/>
      <w:r w:rsidRPr="002A163D">
        <w:rPr>
          <w:sz w:val="20"/>
          <w:szCs w:val="20"/>
        </w:rPr>
        <w:t xml:space="preserve"> is a selective </w:t>
      </w:r>
      <w:proofErr w:type="spellStart"/>
      <w:r w:rsidRPr="002A163D">
        <w:rPr>
          <w:sz w:val="20"/>
          <w:szCs w:val="20"/>
        </w:rPr>
        <w:t>oestrogen</w:t>
      </w:r>
      <w:proofErr w:type="spellEnd"/>
      <w:r w:rsidRPr="002A163D">
        <w:rPr>
          <w:sz w:val="20"/>
          <w:szCs w:val="20"/>
        </w:rPr>
        <w:t xml:space="preserve">-receptor modulator that </w:t>
      </w:r>
      <w:proofErr w:type="spellStart"/>
      <w:r w:rsidRPr="002A163D">
        <w:rPr>
          <w:sz w:val="20"/>
          <w:szCs w:val="20"/>
        </w:rPr>
        <w:t>antagonises</w:t>
      </w:r>
      <w:proofErr w:type="spellEnd"/>
      <w:r w:rsidRPr="002A163D">
        <w:rPr>
          <w:sz w:val="20"/>
          <w:szCs w:val="20"/>
        </w:rPr>
        <w:t xml:space="preserve"> the negative feedback of endogenous </w:t>
      </w:r>
      <w:proofErr w:type="spellStart"/>
      <w:r w:rsidRPr="002A163D">
        <w:rPr>
          <w:sz w:val="20"/>
          <w:szCs w:val="20"/>
        </w:rPr>
        <w:t>oestrogen</w:t>
      </w:r>
      <w:proofErr w:type="spellEnd"/>
      <w:r w:rsidRPr="002A163D">
        <w:rPr>
          <w:sz w:val="20"/>
          <w:szCs w:val="20"/>
        </w:rPr>
        <w:t xml:space="preserve"> on the hypothalamic–pituitary axis. Treatment with </w:t>
      </w:r>
      <w:proofErr w:type="spellStart"/>
      <w:r w:rsidRPr="002A163D">
        <w:rPr>
          <w:sz w:val="20"/>
          <w:szCs w:val="20"/>
        </w:rPr>
        <w:t>clomiphene</w:t>
      </w:r>
      <w:proofErr w:type="spellEnd"/>
      <w:r w:rsidRPr="002A163D">
        <w:rPr>
          <w:sz w:val="20"/>
          <w:szCs w:val="20"/>
        </w:rPr>
        <w:t xml:space="preserve"> should return LH to normal and increase FSH secretion, and there by stimulates follicle growth and ovulation. </w:t>
      </w:r>
      <w:proofErr w:type="spellStart"/>
      <w:r w:rsidRPr="002A163D">
        <w:rPr>
          <w:sz w:val="20"/>
          <w:szCs w:val="20"/>
        </w:rPr>
        <w:t>Clomiphene</w:t>
      </w:r>
      <w:proofErr w:type="spellEnd"/>
      <w:r w:rsidRPr="002A163D">
        <w:rPr>
          <w:sz w:val="20"/>
          <w:szCs w:val="20"/>
        </w:rPr>
        <w:t xml:space="preserve"> has been the gold standard treatment for induction of ovulation in women with polycystic ovary syndrome for many decades </w:t>
      </w:r>
      <w:r w:rsidRPr="002A163D">
        <w:rPr>
          <w:b/>
          <w:bCs/>
          <w:i/>
          <w:iCs/>
          <w:sz w:val="20"/>
          <w:szCs w:val="20"/>
        </w:rPr>
        <w:t>(Norman et al., 2007).</w:t>
      </w:r>
    </w:p>
    <w:p w:rsidR="00B330B4" w:rsidRPr="002A163D" w:rsidRDefault="00B330B4" w:rsidP="002A163D">
      <w:pPr>
        <w:bidi w:val="0"/>
        <w:snapToGrid w:val="0"/>
        <w:ind w:firstLine="425"/>
        <w:jc w:val="both"/>
        <w:rPr>
          <w:rFonts w:eastAsia="Batang"/>
          <w:sz w:val="20"/>
          <w:szCs w:val="20"/>
        </w:rPr>
      </w:pPr>
      <w:r w:rsidRPr="002A163D">
        <w:rPr>
          <w:rFonts w:eastAsia="Batang"/>
          <w:sz w:val="20"/>
          <w:szCs w:val="20"/>
        </w:rPr>
        <w:t xml:space="preserve">Typically, progesterone levels are obtained approximately 12-14 days after the completion of </w:t>
      </w:r>
      <w:proofErr w:type="spellStart"/>
      <w:r w:rsidRPr="002A163D">
        <w:rPr>
          <w:rFonts w:eastAsia="Batang"/>
          <w:sz w:val="20"/>
          <w:szCs w:val="20"/>
        </w:rPr>
        <w:t>clomiphene</w:t>
      </w:r>
      <w:proofErr w:type="spellEnd"/>
      <w:r w:rsidRPr="002A163D">
        <w:rPr>
          <w:rFonts w:eastAsia="Batang"/>
          <w:sz w:val="20"/>
          <w:szCs w:val="20"/>
        </w:rPr>
        <w:t xml:space="preserve"> to assess ovulation</w:t>
      </w:r>
      <w:r w:rsidR="002A19E4" w:rsidRPr="002A163D">
        <w:rPr>
          <w:rFonts w:eastAsia="Batang"/>
          <w:sz w:val="20"/>
          <w:szCs w:val="20"/>
        </w:rPr>
        <w:t>.</w:t>
      </w:r>
      <w:r w:rsidR="002A19E4">
        <w:rPr>
          <w:rFonts w:eastAsia="Batang"/>
          <w:sz w:val="20"/>
          <w:szCs w:val="20"/>
        </w:rPr>
        <w:t xml:space="preserve"> </w:t>
      </w:r>
      <w:r w:rsidR="002A19E4" w:rsidRPr="002A163D">
        <w:rPr>
          <w:rFonts w:eastAsia="Batang"/>
          <w:sz w:val="20"/>
          <w:szCs w:val="20"/>
        </w:rPr>
        <w:t>I</w:t>
      </w:r>
      <w:r w:rsidRPr="002A163D">
        <w:rPr>
          <w:rFonts w:eastAsia="Batang"/>
          <w:sz w:val="20"/>
          <w:szCs w:val="20"/>
        </w:rPr>
        <w:t xml:space="preserve">f the cycle is </w:t>
      </w:r>
      <w:proofErr w:type="spellStart"/>
      <w:r w:rsidRPr="002A163D">
        <w:rPr>
          <w:rFonts w:eastAsia="Batang"/>
          <w:sz w:val="20"/>
          <w:szCs w:val="20"/>
        </w:rPr>
        <w:t>anovulatory</w:t>
      </w:r>
      <w:proofErr w:type="spellEnd"/>
      <w:r w:rsidRPr="002A163D">
        <w:rPr>
          <w:rFonts w:eastAsia="Batang"/>
          <w:sz w:val="20"/>
          <w:szCs w:val="20"/>
        </w:rPr>
        <w:t xml:space="preserve">, the </w:t>
      </w:r>
      <w:proofErr w:type="spellStart"/>
      <w:r w:rsidRPr="002A163D">
        <w:rPr>
          <w:rFonts w:eastAsia="Batang"/>
          <w:sz w:val="20"/>
          <w:szCs w:val="20"/>
        </w:rPr>
        <w:t>clomiphene</w:t>
      </w:r>
      <w:proofErr w:type="spellEnd"/>
      <w:r w:rsidRPr="002A163D">
        <w:rPr>
          <w:rFonts w:eastAsia="Batang"/>
          <w:sz w:val="20"/>
          <w:szCs w:val="20"/>
        </w:rPr>
        <w:t xml:space="preserve"> dose is increased by 50 mg in the subsequent cycle. Using this approach, 52% ovulate in response to 50 mg, and 22% ovulate with 100 mg, and 12% respond to 150 mg </w:t>
      </w:r>
      <w:r w:rsidRPr="002A163D">
        <w:rPr>
          <w:rFonts w:eastAsia="Batang"/>
          <w:b/>
          <w:bCs/>
          <w:i/>
          <w:iCs/>
          <w:sz w:val="20"/>
          <w:szCs w:val="20"/>
        </w:rPr>
        <w:t>(Hurst et al., 2009).</w:t>
      </w:r>
    </w:p>
    <w:p w:rsidR="00B330B4" w:rsidRPr="002A163D" w:rsidRDefault="00B330B4" w:rsidP="002A163D">
      <w:pPr>
        <w:bidi w:val="0"/>
        <w:snapToGrid w:val="0"/>
        <w:ind w:firstLine="425"/>
        <w:jc w:val="both"/>
        <w:rPr>
          <w:rFonts w:eastAsia="Times New Roman"/>
          <w:sz w:val="20"/>
          <w:szCs w:val="20"/>
        </w:rPr>
      </w:pPr>
      <w:r w:rsidRPr="002A163D">
        <w:rPr>
          <w:sz w:val="20"/>
          <w:szCs w:val="20"/>
        </w:rPr>
        <w:t>Rates of ovulation variation in the first cycle with relation to the progesterone level detected on approximately 6-8 days after ovulation.</w:t>
      </w:r>
    </w:p>
    <w:p w:rsidR="00B330B4" w:rsidRPr="002A163D" w:rsidRDefault="00B330B4" w:rsidP="002A163D">
      <w:pPr>
        <w:bidi w:val="0"/>
        <w:snapToGrid w:val="0"/>
        <w:ind w:firstLine="425"/>
        <w:jc w:val="both"/>
        <w:rPr>
          <w:color w:val="231F20"/>
          <w:sz w:val="20"/>
          <w:szCs w:val="20"/>
        </w:rPr>
      </w:pPr>
      <w:r w:rsidRPr="002A163D">
        <w:rPr>
          <w:rFonts w:eastAsia="Batang"/>
          <w:sz w:val="20"/>
          <w:szCs w:val="20"/>
        </w:rPr>
        <w:t xml:space="preserve">A prospective follow-up of women with </w:t>
      </w:r>
      <w:proofErr w:type="spellStart"/>
      <w:r w:rsidRPr="002A163D">
        <w:rPr>
          <w:rFonts w:eastAsia="Batang"/>
          <w:sz w:val="20"/>
          <w:szCs w:val="20"/>
        </w:rPr>
        <w:t>ovulatory</w:t>
      </w:r>
      <w:proofErr w:type="spellEnd"/>
      <w:r w:rsidRPr="002A163D">
        <w:rPr>
          <w:rFonts w:eastAsia="Batang"/>
          <w:sz w:val="20"/>
          <w:szCs w:val="20"/>
        </w:rPr>
        <w:t xml:space="preserve"> dysfunction has shown high conception rates in </w:t>
      </w:r>
      <w:proofErr w:type="spellStart"/>
      <w:r w:rsidRPr="002A163D">
        <w:rPr>
          <w:rFonts w:eastAsia="Batang"/>
          <w:sz w:val="20"/>
          <w:szCs w:val="20"/>
        </w:rPr>
        <w:t>ovulatory</w:t>
      </w:r>
      <w:proofErr w:type="spellEnd"/>
      <w:r w:rsidRPr="002A163D">
        <w:rPr>
          <w:rFonts w:eastAsia="Batang"/>
          <w:sz w:val="20"/>
          <w:szCs w:val="20"/>
        </w:rPr>
        <w:t xml:space="preserve"> responders treated with </w:t>
      </w:r>
      <w:proofErr w:type="spellStart"/>
      <w:r w:rsidRPr="002A163D">
        <w:rPr>
          <w:rFonts w:eastAsia="Batang"/>
          <w:sz w:val="20"/>
          <w:szCs w:val="20"/>
        </w:rPr>
        <w:t>clomiphene</w:t>
      </w:r>
      <w:proofErr w:type="spellEnd"/>
      <w:r w:rsidRPr="002A163D">
        <w:rPr>
          <w:rFonts w:eastAsia="Batang"/>
          <w:sz w:val="20"/>
          <w:szCs w:val="20"/>
        </w:rPr>
        <w:t>, approaching 50% after three cycles of treatment, and 75% within nine cycles</w:t>
      </w:r>
      <w:r w:rsidR="00345B9A">
        <w:rPr>
          <w:rFonts w:eastAsiaTheme="minorEastAsia" w:hint="eastAsia"/>
          <w:sz w:val="20"/>
          <w:szCs w:val="20"/>
          <w:lang w:eastAsia="zh-CN"/>
        </w:rPr>
        <w:t xml:space="preserve"> </w:t>
      </w:r>
      <w:r w:rsidRPr="002A163D">
        <w:rPr>
          <w:b/>
          <w:bCs/>
          <w:i/>
          <w:iCs/>
          <w:sz w:val="20"/>
          <w:szCs w:val="20"/>
        </w:rPr>
        <w:t>(Norman et al., 2007).</w:t>
      </w:r>
    </w:p>
    <w:p w:rsidR="00B330B4" w:rsidRPr="002A163D" w:rsidRDefault="00B330B4" w:rsidP="002A163D">
      <w:pPr>
        <w:bidi w:val="0"/>
        <w:snapToGrid w:val="0"/>
        <w:ind w:firstLine="425"/>
        <w:jc w:val="both"/>
        <w:rPr>
          <w:sz w:val="20"/>
          <w:szCs w:val="20"/>
        </w:rPr>
      </w:pPr>
      <w:r w:rsidRPr="002A163D">
        <w:rPr>
          <w:color w:val="231F20"/>
          <w:sz w:val="20"/>
          <w:szCs w:val="20"/>
        </w:rPr>
        <w:lastRenderedPageBreak/>
        <w:t xml:space="preserve">Furthermore the retrieval of more mature </w:t>
      </w:r>
      <w:proofErr w:type="spellStart"/>
      <w:r w:rsidRPr="002A163D">
        <w:rPr>
          <w:color w:val="231F20"/>
          <w:sz w:val="20"/>
          <w:szCs w:val="20"/>
        </w:rPr>
        <w:t>oocytes</w:t>
      </w:r>
      <w:proofErr w:type="spellEnd"/>
      <w:r w:rsidRPr="002A163D">
        <w:rPr>
          <w:color w:val="231F20"/>
          <w:sz w:val="20"/>
          <w:szCs w:val="20"/>
        </w:rPr>
        <w:t xml:space="preserve"> in the </w:t>
      </w:r>
      <w:proofErr w:type="spellStart"/>
      <w:r w:rsidRPr="002A163D">
        <w:rPr>
          <w:color w:val="231F20"/>
          <w:sz w:val="20"/>
          <w:szCs w:val="20"/>
        </w:rPr>
        <w:t>GnRHa</w:t>
      </w:r>
      <w:proofErr w:type="spellEnd"/>
      <w:r w:rsidRPr="002A163D">
        <w:rPr>
          <w:color w:val="231F20"/>
          <w:sz w:val="20"/>
          <w:szCs w:val="20"/>
        </w:rPr>
        <w:t xml:space="preserve"> triggered group supported previous clinical findings of a possible beneficial effect of the mid-cycle FSH surge on </w:t>
      </w:r>
      <w:proofErr w:type="spellStart"/>
      <w:r w:rsidRPr="002A163D">
        <w:rPr>
          <w:color w:val="231F20"/>
          <w:sz w:val="20"/>
          <w:szCs w:val="20"/>
        </w:rPr>
        <w:t>oocyte</w:t>
      </w:r>
      <w:proofErr w:type="spellEnd"/>
      <w:r w:rsidRPr="002A163D">
        <w:rPr>
          <w:color w:val="231F20"/>
          <w:sz w:val="20"/>
          <w:szCs w:val="20"/>
        </w:rPr>
        <w:t xml:space="preserve"> </w:t>
      </w:r>
      <w:r w:rsidRPr="002A163D">
        <w:rPr>
          <w:b/>
          <w:bCs/>
          <w:i/>
          <w:iCs/>
          <w:color w:val="231F20"/>
          <w:sz w:val="20"/>
          <w:szCs w:val="20"/>
        </w:rPr>
        <w:t>(</w:t>
      </w:r>
      <w:proofErr w:type="spellStart"/>
      <w:r w:rsidRPr="002A163D">
        <w:rPr>
          <w:b/>
          <w:bCs/>
          <w:i/>
          <w:iCs/>
          <w:sz w:val="20"/>
          <w:szCs w:val="20"/>
        </w:rPr>
        <w:t>Humaidan</w:t>
      </w:r>
      <w:proofErr w:type="spellEnd"/>
      <w:r w:rsidRPr="002A163D">
        <w:rPr>
          <w:b/>
          <w:bCs/>
          <w:i/>
          <w:iCs/>
          <w:color w:val="231F20"/>
          <w:sz w:val="20"/>
          <w:szCs w:val="20"/>
        </w:rPr>
        <w:t xml:space="preserve"> et al., 2009).</w:t>
      </w:r>
    </w:p>
    <w:p w:rsidR="00B330B4" w:rsidRPr="002A163D" w:rsidRDefault="00B330B4" w:rsidP="002A163D">
      <w:pPr>
        <w:bidi w:val="0"/>
        <w:snapToGrid w:val="0"/>
        <w:ind w:firstLine="425"/>
        <w:jc w:val="both"/>
        <w:rPr>
          <w:sz w:val="20"/>
          <w:szCs w:val="20"/>
        </w:rPr>
      </w:pPr>
      <w:proofErr w:type="spellStart"/>
      <w:r w:rsidRPr="002A163D">
        <w:rPr>
          <w:sz w:val="20"/>
          <w:szCs w:val="20"/>
        </w:rPr>
        <w:t>GnRH</w:t>
      </w:r>
      <w:proofErr w:type="spellEnd"/>
      <w:r w:rsidRPr="002A163D">
        <w:rPr>
          <w:sz w:val="20"/>
          <w:szCs w:val="20"/>
        </w:rPr>
        <w:t xml:space="preserve"> agonists administered in the </w:t>
      </w:r>
      <w:proofErr w:type="spellStart"/>
      <w:r w:rsidRPr="002A163D">
        <w:rPr>
          <w:sz w:val="20"/>
          <w:szCs w:val="20"/>
        </w:rPr>
        <w:t>midcycle</w:t>
      </w:r>
      <w:proofErr w:type="spellEnd"/>
      <w:r w:rsidRPr="002A163D">
        <w:rPr>
          <w:sz w:val="20"/>
          <w:szCs w:val="20"/>
        </w:rPr>
        <w:t xml:space="preserve"> are capable of eliciting the </w:t>
      </w:r>
      <w:proofErr w:type="spellStart"/>
      <w:r w:rsidRPr="002A163D">
        <w:rPr>
          <w:sz w:val="20"/>
          <w:szCs w:val="20"/>
        </w:rPr>
        <w:t>gonadotropin</w:t>
      </w:r>
      <w:proofErr w:type="spellEnd"/>
      <w:r w:rsidRPr="002A163D">
        <w:rPr>
          <w:sz w:val="20"/>
          <w:szCs w:val="20"/>
        </w:rPr>
        <w:t xml:space="preserve"> surge from the </w:t>
      </w:r>
      <w:proofErr w:type="spellStart"/>
      <w:r w:rsidRPr="002A163D">
        <w:rPr>
          <w:sz w:val="20"/>
          <w:szCs w:val="20"/>
        </w:rPr>
        <w:t>hypophysary</w:t>
      </w:r>
      <w:proofErr w:type="spellEnd"/>
      <w:r w:rsidRPr="002A163D">
        <w:rPr>
          <w:sz w:val="20"/>
          <w:szCs w:val="20"/>
        </w:rPr>
        <w:t xml:space="preserve">, which is necessary to provoke </w:t>
      </w:r>
      <w:proofErr w:type="spellStart"/>
      <w:r w:rsidRPr="002A163D">
        <w:rPr>
          <w:sz w:val="20"/>
          <w:szCs w:val="20"/>
        </w:rPr>
        <w:t>ﬁnal</w:t>
      </w:r>
      <w:proofErr w:type="spellEnd"/>
      <w:r w:rsidRPr="002A163D">
        <w:rPr>
          <w:sz w:val="20"/>
          <w:szCs w:val="20"/>
        </w:rPr>
        <w:t xml:space="preserve"> </w:t>
      </w:r>
      <w:proofErr w:type="spellStart"/>
      <w:r w:rsidRPr="002A163D">
        <w:rPr>
          <w:sz w:val="20"/>
          <w:szCs w:val="20"/>
        </w:rPr>
        <w:t>oocyte</w:t>
      </w:r>
      <w:proofErr w:type="spellEnd"/>
      <w:r w:rsidRPr="002A163D">
        <w:rPr>
          <w:sz w:val="20"/>
          <w:szCs w:val="20"/>
        </w:rPr>
        <w:t xml:space="preserve"> maturation </w:t>
      </w:r>
      <w:r w:rsidRPr="002A163D">
        <w:rPr>
          <w:b/>
          <w:bCs/>
          <w:i/>
          <w:iCs/>
          <w:sz w:val="20"/>
          <w:szCs w:val="20"/>
        </w:rPr>
        <w:t>(</w:t>
      </w:r>
      <w:proofErr w:type="spellStart"/>
      <w:r w:rsidR="001336A3" w:rsidRPr="002A163D">
        <w:rPr>
          <w:b/>
          <w:bCs/>
          <w:i/>
          <w:iCs/>
          <w:sz w:val="20"/>
          <w:szCs w:val="20"/>
        </w:rPr>
        <w:t>Gülekli</w:t>
      </w:r>
      <w:proofErr w:type="spellEnd"/>
      <w:r w:rsidR="00345B9A">
        <w:rPr>
          <w:rFonts w:eastAsiaTheme="minorEastAsia" w:hint="eastAsia"/>
          <w:b/>
          <w:bCs/>
          <w:i/>
          <w:iCs/>
          <w:sz w:val="20"/>
          <w:szCs w:val="20"/>
          <w:lang w:eastAsia="zh-CN"/>
        </w:rPr>
        <w:t xml:space="preserve"> </w:t>
      </w:r>
      <w:r w:rsidRPr="002A163D">
        <w:rPr>
          <w:b/>
          <w:bCs/>
          <w:i/>
          <w:iCs/>
          <w:sz w:val="20"/>
          <w:szCs w:val="20"/>
        </w:rPr>
        <w:t xml:space="preserve">et al., </w:t>
      </w:r>
      <w:r w:rsidR="001336A3" w:rsidRPr="002A163D">
        <w:rPr>
          <w:b/>
          <w:bCs/>
          <w:i/>
          <w:iCs/>
          <w:sz w:val="20"/>
          <w:szCs w:val="20"/>
        </w:rPr>
        <w:t>2015</w:t>
      </w:r>
      <w:r w:rsidRPr="002A163D">
        <w:rPr>
          <w:b/>
          <w:bCs/>
          <w:i/>
          <w:iCs/>
          <w:sz w:val="20"/>
          <w:szCs w:val="20"/>
        </w:rPr>
        <w:t>).</w:t>
      </w:r>
    </w:p>
    <w:p w:rsidR="00B330B4" w:rsidRDefault="00B330B4" w:rsidP="002A163D">
      <w:pPr>
        <w:shd w:val="clear" w:color="auto" w:fill="FFFFFF"/>
        <w:bidi w:val="0"/>
        <w:snapToGrid w:val="0"/>
        <w:jc w:val="both"/>
        <w:outlineLvl w:val="2"/>
        <w:rPr>
          <w:rFonts w:eastAsiaTheme="minorEastAsia"/>
          <w:sz w:val="20"/>
          <w:szCs w:val="20"/>
          <w:lang w:eastAsia="zh-CN"/>
        </w:rPr>
      </w:pPr>
      <w:r w:rsidRPr="002A163D">
        <w:rPr>
          <w:b/>
          <w:bCs/>
          <w:i/>
          <w:iCs/>
          <w:sz w:val="20"/>
          <w:szCs w:val="20"/>
        </w:rPr>
        <w:t>In conclusion</w:t>
      </w:r>
      <w:r w:rsidRPr="002A163D">
        <w:rPr>
          <w:sz w:val="20"/>
          <w:szCs w:val="20"/>
        </w:rPr>
        <w:t xml:space="preserve">, this study suggests that using of </w:t>
      </w:r>
      <w:proofErr w:type="spellStart"/>
      <w:r w:rsidRPr="002A163D">
        <w:rPr>
          <w:sz w:val="20"/>
          <w:szCs w:val="20"/>
        </w:rPr>
        <w:t>GnRH</w:t>
      </w:r>
      <w:proofErr w:type="spellEnd"/>
      <w:r w:rsidR="00345B9A">
        <w:rPr>
          <w:rFonts w:eastAsiaTheme="minorEastAsia" w:hint="eastAsia"/>
          <w:sz w:val="20"/>
          <w:szCs w:val="20"/>
          <w:lang w:eastAsia="zh-CN"/>
        </w:rPr>
        <w:t xml:space="preserve"> </w:t>
      </w:r>
      <w:r w:rsidRPr="002A163D">
        <w:rPr>
          <w:sz w:val="20"/>
          <w:szCs w:val="20"/>
        </w:rPr>
        <w:t xml:space="preserve">to trigger ovulation after induction by </w:t>
      </w:r>
      <w:proofErr w:type="spellStart"/>
      <w:r w:rsidRPr="002A163D">
        <w:rPr>
          <w:sz w:val="20"/>
          <w:szCs w:val="20"/>
        </w:rPr>
        <w:t>clomiphene</w:t>
      </w:r>
      <w:proofErr w:type="spellEnd"/>
      <w:r w:rsidRPr="002A163D">
        <w:rPr>
          <w:sz w:val="20"/>
          <w:szCs w:val="20"/>
        </w:rPr>
        <w:t xml:space="preserve"> citrate in PCOS patients is considered a more physiological approach as </w:t>
      </w:r>
      <w:proofErr w:type="spellStart"/>
      <w:r w:rsidRPr="002A163D">
        <w:rPr>
          <w:sz w:val="20"/>
          <w:szCs w:val="20"/>
        </w:rPr>
        <w:t>GnRHa</w:t>
      </w:r>
      <w:proofErr w:type="spellEnd"/>
      <w:r w:rsidRPr="002A163D">
        <w:rPr>
          <w:sz w:val="20"/>
          <w:szCs w:val="20"/>
        </w:rPr>
        <w:t xml:space="preserve"> trigger lead to reduction in circulating endogenous LH level which is correlated the ovarian function unlike HCG</w:t>
      </w:r>
      <w:r w:rsidR="002A19E4" w:rsidRPr="002A163D">
        <w:rPr>
          <w:sz w:val="20"/>
          <w:szCs w:val="20"/>
        </w:rPr>
        <w:t>.</w:t>
      </w:r>
      <w:r w:rsidR="002A19E4">
        <w:rPr>
          <w:sz w:val="20"/>
          <w:szCs w:val="20"/>
        </w:rPr>
        <w:t xml:space="preserve"> </w:t>
      </w:r>
      <w:r w:rsidR="00345B9A" w:rsidRPr="002A163D">
        <w:rPr>
          <w:sz w:val="20"/>
          <w:szCs w:val="20"/>
        </w:rPr>
        <w:t>W</w:t>
      </w:r>
      <w:r w:rsidRPr="002A163D">
        <w:rPr>
          <w:sz w:val="20"/>
          <w:szCs w:val="20"/>
        </w:rPr>
        <w:t>hich</w:t>
      </w:r>
      <w:r w:rsidR="00345B9A">
        <w:rPr>
          <w:rFonts w:eastAsiaTheme="minorEastAsia" w:hint="eastAsia"/>
          <w:sz w:val="20"/>
          <w:szCs w:val="20"/>
          <w:lang w:eastAsia="zh-CN"/>
        </w:rPr>
        <w:t xml:space="preserve"> </w:t>
      </w:r>
      <w:r w:rsidRPr="002A163D">
        <w:rPr>
          <w:sz w:val="20"/>
          <w:szCs w:val="20"/>
        </w:rPr>
        <w:t xml:space="preserve">elicits a surge of </w:t>
      </w:r>
      <w:proofErr w:type="spellStart"/>
      <w:r w:rsidRPr="002A163D">
        <w:rPr>
          <w:sz w:val="20"/>
          <w:szCs w:val="20"/>
        </w:rPr>
        <w:t>gonadotropins</w:t>
      </w:r>
      <w:proofErr w:type="spellEnd"/>
      <w:r w:rsidRPr="002A163D">
        <w:rPr>
          <w:sz w:val="20"/>
          <w:szCs w:val="20"/>
        </w:rPr>
        <w:t xml:space="preserve">, similar to that of the natural mid-cycle surge. This protocol will result in enhancement the ovarian function and improvement reproductive outcome. Using CC for induction of ovulation will overlap the short half life of </w:t>
      </w:r>
      <w:proofErr w:type="spellStart"/>
      <w:r w:rsidRPr="002A163D">
        <w:rPr>
          <w:sz w:val="20"/>
          <w:szCs w:val="20"/>
        </w:rPr>
        <w:t>GnRH</w:t>
      </w:r>
      <w:proofErr w:type="spellEnd"/>
      <w:r w:rsidRPr="002A163D">
        <w:rPr>
          <w:sz w:val="20"/>
          <w:szCs w:val="20"/>
        </w:rPr>
        <w:t xml:space="preserve"> agonist.</w:t>
      </w:r>
    </w:p>
    <w:p w:rsidR="002A19E4" w:rsidRPr="002A19E4" w:rsidRDefault="002A19E4" w:rsidP="002A19E4">
      <w:pPr>
        <w:shd w:val="clear" w:color="auto" w:fill="FFFFFF"/>
        <w:bidi w:val="0"/>
        <w:snapToGrid w:val="0"/>
        <w:jc w:val="both"/>
        <w:outlineLvl w:val="2"/>
        <w:rPr>
          <w:rFonts w:eastAsiaTheme="minorEastAsia"/>
          <w:sz w:val="20"/>
          <w:szCs w:val="20"/>
          <w:lang w:eastAsia="zh-CN" w:bidi="ar-EG"/>
        </w:rPr>
      </w:pPr>
    </w:p>
    <w:p w:rsidR="00B330B4" w:rsidRPr="002A163D" w:rsidRDefault="00824394" w:rsidP="002A163D">
      <w:pPr>
        <w:shd w:val="clear" w:color="auto" w:fill="FFFFFF"/>
        <w:bidi w:val="0"/>
        <w:snapToGrid w:val="0"/>
        <w:jc w:val="both"/>
        <w:outlineLvl w:val="2"/>
        <w:rPr>
          <w:b/>
          <w:bCs/>
          <w:sz w:val="20"/>
          <w:szCs w:val="20"/>
        </w:rPr>
      </w:pPr>
      <w:r w:rsidRPr="002A163D">
        <w:rPr>
          <w:b/>
          <w:bCs/>
          <w:sz w:val="20"/>
          <w:szCs w:val="20"/>
        </w:rPr>
        <w:t>References</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 xml:space="preserve">Abu </w:t>
      </w:r>
      <w:proofErr w:type="spellStart"/>
      <w:r w:rsidRPr="002A19E4">
        <w:rPr>
          <w:rFonts w:eastAsiaTheme="minorHAnsi"/>
          <w:bCs/>
          <w:sz w:val="20"/>
          <w:szCs w:val="20"/>
        </w:rPr>
        <w:t>Hashim</w:t>
      </w:r>
      <w:proofErr w:type="spellEnd"/>
      <w:r w:rsidRPr="002A19E4">
        <w:rPr>
          <w:rFonts w:eastAsiaTheme="minorHAnsi"/>
          <w:bCs/>
          <w:sz w:val="20"/>
          <w:szCs w:val="20"/>
        </w:rPr>
        <w:t xml:space="preserve"> H (2012):</w:t>
      </w:r>
      <w:r w:rsidRPr="002A19E4">
        <w:rPr>
          <w:rFonts w:eastAsiaTheme="minorHAnsi"/>
          <w:sz w:val="20"/>
          <w:szCs w:val="20"/>
        </w:rPr>
        <w:t xml:space="preserve"> Management of women with </w:t>
      </w:r>
      <w:proofErr w:type="spellStart"/>
      <w:r w:rsidRPr="002A19E4">
        <w:rPr>
          <w:rFonts w:eastAsiaTheme="minorHAnsi"/>
          <w:sz w:val="20"/>
          <w:szCs w:val="20"/>
        </w:rPr>
        <w:t>clomiphene</w:t>
      </w:r>
      <w:proofErr w:type="spellEnd"/>
      <w:r w:rsidRPr="002A19E4">
        <w:rPr>
          <w:rFonts w:eastAsiaTheme="minorHAnsi"/>
          <w:sz w:val="20"/>
          <w:szCs w:val="20"/>
        </w:rPr>
        <w:t xml:space="preserve"> citrate resistant polycystic ovary syndrome evidence based approach. I</w:t>
      </w:r>
      <w:r w:rsidR="002A19E4" w:rsidRPr="002A19E4">
        <w:rPr>
          <w:rFonts w:eastAsiaTheme="minorHAnsi"/>
          <w:sz w:val="20"/>
          <w:szCs w:val="20"/>
        </w:rPr>
        <w:t>n</w:t>
      </w:r>
      <w:r w:rsidR="002A19E4">
        <w:rPr>
          <w:rFonts w:eastAsiaTheme="minorHAnsi"/>
          <w:sz w:val="20"/>
          <w:szCs w:val="20"/>
        </w:rPr>
        <w:t xml:space="preserve"> </w:t>
      </w:r>
      <w:proofErr w:type="spellStart"/>
      <w:r w:rsidR="002A19E4" w:rsidRPr="002A19E4">
        <w:rPr>
          <w:rFonts w:eastAsiaTheme="minorHAnsi"/>
          <w:sz w:val="20"/>
          <w:szCs w:val="20"/>
        </w:rPr>
        <w:t>M</w:t>
      </w:r>
      <w:r w:rsidRPr="002A19E4">
        <w:rPr>
          <w:rFonts w:eastAsiaTheme="minorHAnsi"/>
          <w:sz w:val="20"/>
          <w:szCs w:val="20"/>
        </w:rPr>
        <w:t>ukherjee</w:t>
      </w:r>
      <w:proofErr w:type="spellEnd"/>
      <w:r w:rsidRPr="002A19E4">
        <w:rPr>
          <w:rFonts w:eastAsiaTheme="minorHAnsi"/>
          <w:sz w:val="20"/>
          <w:szCs w:val="20"/>
        </w:rPr>
        <w:t xml:space="preserve"> S, editor. Polycystic Ovary Syndrome, Croatia: published by in Tech: 1-20.</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Allahbadia</w:t>
      </w:r>
      <w:proofErr w:type="spellEnd"/>
      <w:r w:rsidRPr="002A19E4">
        <w:rPr>
          <w:rFonts w:eastAsiaTheme="minorHAnsi"/>
          <w:bCs/>
          <w:sz w:val="20"/>
          <w:szCs w:val="20"/>
        </w:rPr>
        <w:t xml:space="preserve"> GN and Merchan</w:t>
      </w:r>
      <w:r w:rsidR="002A19E4" w:rsidRPr="002A19E4">
        <w:rPr>
          <w:rFonts w:eastAsiaTheme="minorHAnsi"/>
          <w:bCs/>
          <w:sz w:val="20"/>
          <w:szCs w:val="20"/>
        </w:rPr>
        <w:t>t</w:t>
      </w:r>
      <w:r w:rsidR="002A19E4">
        <w:rPr>
          <w:rFonts w:eastAsiaTheme="minorHAnsi"/>
          <w:bCs/>
          <w:sz w:val="20"/>
          <w:szCs w:val="20"/>
        </w:rPr>
        <w:t xml:space="preserve"> </w:t>
      </w:r>
      <w:r w:rsidR="002A19E4" w:rsidRPr="002A19E4">
        <w:rPr>
          <w:rFonts w:eastAsiaTheme="minorHAnsi"/>
          <w:bCs/>
          <w:sz w:val="20"/>
          <w:szCs w:val="20"/>
        </w:rPr>
        <w:t>R</w:t>
      </w:r>
      <w:r w:rsidRPr="002A19E4">
        <w:rPr>
          <w:rFonts w:eastAsiaTheme="minorHAnsi"/>
          <w:bCs/>
          <w:sz w:val="20"/>
          <w:szCs w:val="20"/>
        </w:rPr>
        <w:t>(2011):</w:t>
      </w:r>
      <w:r w:rsidRPr="002A19E4">
        <w:rPr>
          <w:rFonts w:eastAsiaTheme="minorHAnsi"/>
          <w:sz w:val="20"/>
          <w:szCs w:val="20"/>
        </w:rPr>
        <w:t xml:space="preserve"> Polycystic Ovary syndrome and impact on health</w:t>
      </w:r>
      <w:r w:rsidR="002A19E4" w:rsidRPr="002A19E4">
        <w:rPr>
          <w:rFonts w:eastAsiaTheme="minorHAnsi"/>
          <w:sz w:val="20"/>
          <w:szCs w:val="20"/>
        </w:rPr>
        <w:t>.</w:t>
      </w:r>
      <w:r w:rsidR="002A19E4">
        <w:rPr>
          <w:rFonts w:eastAsiaTheme="minorHAnsi"/>
          <w:sz w:val="20"/>
          <w:szCs w:val="20"/>
        </w:rPr>
        <w:t xml:space="preserve"> </w:t>
      </w:r>
      <w:r w:rsidR="002A19E4" w:rsidRPr="002A19E4">
        <w:rPr>
          <w:rFonts w:eastAsiaTheme="minorHAnsi"/>
          <w:sz w:val="20"/>
          <w:szCs w:val="20"/>
        </w:rPr>
        <w:t>M</w:t>
      </w:r>
      <w:r w:rsidRPr="002A19E4">
        <w:rPr>
          <w:rFonts w:eastAsiaTheme="minorHAnsi"/>
          <w:sz w:val="20"/>
          <w:szCs w:val="20"/>
        </w:rPr>
        <w:t>iddle East Fertility Society Journal. (16): 19-37.</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Amer</w:t>
      </w:r>
      <w:proofErr w:type="spellEnd"/>
      <w:r w:rsidRPr="002A19E4">
        <w:rPr>
          <w:rFonts w:eastAsiaTheme="minorHAnsi"/>
          <w:bCs/>
          <w:sz w:val="20"/>
          <w:szCs w:val="20"/>
        </w:rPr>
        <w:t xml:space="preserve"> S</w:t>
      </w:r>
      <w:r w:rsidRPr="002A19E4">
        <w:rPr>
          <w:rFonts w:eastAsiaTheme="minorHAnsi"/>
          <w:sz w:val="20"/>
          <w:szCs w:val="20"/>
        </w:rPr>
        <w:t xml:space="preserve">A </w:t>
      </w:r>
      <w:r w:rsidRPr="002A19E4">
        <w:rPr>
          <w:rFonts w:eastAsiaTheme="minorHAnsi"/>
          <w:bCs/>
          <w:sz w:val="20"/>
          <w:szCs w:val="20"/>
        </w:rPr>
        <w:t>(2009):</w:t>
      </w:r>
      <w:r w:rsidRPr="002A19E4">
        <w:rPr>
          <w:rFonts w:eastAsiaTheme="minorHAnsi"/>
          <w:sz w:val="20"/>
          <w:szCs w:val="20"/>
        </w:rPr>
        <w:t xml:space="preserve"> Polycystic ovarian syndrome: diagnosis and management of related infertility. </w:t>
      </w:r>
      <w:proofErr w:type="spellStart"/>
      <w:r w:rsidRPr="002A19E4">
        <w:rPr>
          <w:rFonts w:eastAsiaTheme="minorHAnsi"/>
          <w:sz w:val="20"/>
          <w:szCs w:val="20"/>
        </w:rPr>
        <w:t>Obestetrice</w:t>
      </w:r>
      <w:proofErr w:type="spellEnd"/>
      <w:r w:rsidRPr="002A19E4">
        <w:rPr>
          <w:rFonts w:eastAsiaTheme="minorHAnsi"/>
          <w:sz w:val="20"/>
          <w:szCs w:val="20"/>
        </w:rPr>
        <w:t xml:space="preserve">, </w:t>
      </w:r>
      <w:proofErr w:type="spellStart"/>
      <w:r w:rsidRPr="002A19E4">
        <w:rPr>
          <w:rFonts w:eastAsiaTheme="minorHAnsi"/>
          <w:sz w:val="20"/>
          <w:szCs w:val="20"/>
        </w:rPr>
        <w:t>Gynaecology</w:t>
      </w:r>
      <w:proofErr w:type="spellEnd"/>
      <w:r w:rsidRPr="002A19E4">
        <w:rPr>
          <w:rFonts w:eastAsiaTheme="minorHAnsi"/>
          <w:sz w:val="20"/>
          <w:szCs w:val="20"/>
        </w:rPr>
        <w:t xml:space="preserve"> and Reproductive 19(10): 263-70.</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Archer JS, Chang RJ (2004)</w:t>
      </w:r>
      <w:r w:rsidR="002A19E4" w:rsidRPr="002A19E4">
        <w:rPr>
          <w:rFonts w:eastAsiaTheme="minorHAnsi"/>
          <w:bCs/>
          <w:sz w:val="20"/>
          <w:szCs w:val="20"/>
        </w:rPr>
        <w:t>:</w:t>
      </w:r>
      <w:r w:rsidR="002A19E4">
        <w:rPr>
          <w:rFonts w:eastAsiaTheme="minorHAnsi"/>
          <w:bCs/>
          <w:sz w:val="20"/>
          <w:szCs w:val="20"/>
        </w:rPr>
        <w:t xml:space="preserve"> </w:t>
      </w:r>
      <w:proofErr w:type="spellStart"/>
      <w:r w:rsidR="002A19E4" w:rsidRPr="002A19E4">
        <w:rPr>
          <w:rFonts w:eastAsiaTheme="minorHAnsi"/>
          <w:sz w:val="20"/>
          <w:szCs w:val="20"/>
        </w:rPr>
        <w:t>H</w:t>
      </w:r>
      <w:r w:rsidRPr="002A19E4">
        <w:rPr>
          <w:rFonts w:eastAsiaTheme="minorHAnsi"/>
          <w:sz w:val="20"/>
          <w:szCs w:val="20"/>
        </w:rPr>
        <w:t>irsutism</w:t>
      </w:r>
      <w:proofErr w:type="spellEnd"/>
      <w:r w:rsidRPr="002A19E4">
        <w:rPr>
          <w:rFonts w:eastAsiaTheme="minorHAnsi"/>
          <w:sz w:val="20"/>
          <w:szCs w:val="20"/>
        </w:rPr>
        <w:t xml:space="preserve"> and acne in polycystic ovary syndrome. Best </w:t>
      </w:r>
      <w:proofErr w:type="spellStart"/>
      <w:r w:rsidRPr="002A19E4">
        <w:rPr>
          <w:rFonts w:eastAsiaTheme="minorHAnsi"/>
          <w:sz w:val="20"/>
          <w:szCs w:val="20"/>
        </w:rPr>
        <w:t>Pract</w:t>
      </w:r>
      <w:proofErr w:type="spellEnd"/>
      <w:r w:rsidRPr="002A19E4">
        <w:rPr>
          <w:rFonts w:eastAsiaTheme="minorHAnsi"/>
          <w:sz w:val="20"/>
          <w:szCs w:val="20"/>
        </w:rPr>
        <w:t xml:space="preserve"> Res </w:t>
      </w:r>
      <w:proofErr w:type="spellStart"/>
      <w:r w:rsidRPr="002A19E4">
        <w:rPr>
          <w:rFonts w:eastAsiaTheme="minorHAnsi"/>
          <w:sz w:val="20"/>
          <w:szCs w:val="20"/>
        </w:rPr>
        <w:t>Cli</w:t>
      </w:r>
      <w:r w:rsidR="002A19E4" w:rsidRPr="002A19E4">
        <w:rPr>
          <w:rFonts w:eastAsiaTheme="minorHAnsi"/>
          <w:sz w:val="20"/>
          <w:szCs w:val="20"/>
        </w:rPr>
        <w:t>n</w:t>
      </w:r>
      <w:proofErr w:type="spellEnd"/>
      <w:r w:rsidR="002A19E4">
        <w:rPr>
          <w:rFonts w:eastAsiaTheme="minorHAnsi"/>
          <w:sz w:val="20"/>
          <w:szCs w:val="20"/>
        </w:rPr>
        <w:t xml:space="preserve"> </w:t>
      </w:r>
      <w:proofErr w:type="spellStart"/>
      <w:r w:rsidR="002A19E4" w:rsidRPr="002A19E4">
        <w:rPr>
          <w:rFonts w:eastAsiaTheme="minorHAnsi"/>
          <w:sz w:val="20"/>
          <w:szCs w:val="20"/>
        </w:rPr>
        <w:t>O</w:t>
      </w:r>
      <w:r w:rsidRPr="002A19E4">
        <w:rPr>
          <w:rFonts w:eastAsiaTheme="minorHAnsi"/>
          <w:sz w:val="20"/>
          <w:szCs w:val="20"/>
        </w:rPr>
        <w:t>bste</w:t>
      </w:r>
      <w:r w:rsidR="002A19E4" w:rsidRPr="002A19E4">
        <w:rPr>
          <w:rFonts w:eastAsiaTheme="minorHAnsi"/>
          <w:sz w:val="20"/>
          <w:szCs w:val="20"/>
        </w:rPr>
        <w:t>t</w:t>
      </w:r>
      <w:proofErr w:type="spellEnd"/>
      <w:r w:rsidR="002A19E4">
        <w:rPr>
          <w:rFonts w:eastAsiaTheme="minorHAnsi"/>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ynaecol</w:t>
      </w:r>
      <w:proofErr w:type="spellEnd"/>
      <w:r w:rsidRPr="002A19E4">
        <w:rPr>
          <w:rFonts w:eastAsiaTheme="minorHAnsi"/>
          <w:sz w:val="20"/>
          <w:szCs w:val="20"/>
        </w:rPr>
        <w:t xml:space="preserve"> 18: 737-754.</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ASRM(2006):</w:t>
      </w:r>
      <w:r w:rsidRPr="002A19E4">
        <w:rPr>
          <w:rFonts w:eastAsiaTheme="minorHAnsi"/>
          <w:sz w:val="20"/>
          <w:szCs w:val="20"/>
        </w:rPr>
        <w:t xml:space="preserve"> The Practice Committee of the American Society for Reproductive Medicine, Use of </w:t>
      </w:r>
      <w:proofErr w:type="spellStart"/>
      <w:r w:rsidRPr="002A19E4">
        <w:rPr>
          <w:rFonts w:eastAsiaTheme="minorHAnsi"/>
          <w:sz w:val="20"/>
          <w:szCs w:val="20"/>
        </w:rPr>
        <w:t>clomiphene</w:t>
      </w:r>
      <w:proofErr w:type="spellEnd"/>
      <w:r w:rsidRPr="002A19E4">
        <w:rPr>
          <w:rFonts w:eastAsiaTheme="minorHAnsi"/>
          <w:sz w:val="20"/>
          <w:szCs w:val="20"/>
        </w:rPr>
        <w:t xml:space="preserve"> citrate in women, Fertility and sterility Update; 86(l 4): s187-s193.</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Badawy</w:t>
      </w:r>
      <w:proofErr w:type="spellEnd"/>
      <w:r w:rsidRPr="002A19E4">
        <w:rPr>
          <w:rFonts w:eastAsiaTheme="minorHAnsi"/>
          <w:bCs/>
          <w:sz w:val="20"/>
          <w:szCs w:val="20"/>
        </w:rPr>
        <w:t xml:space="preserve"> A, Abdel </w:t>
      </w:r>
      <w:proofErr w:type="spellStart"/>
      <w:r w:rsidRPr="002A19E4">
        <w:rPr>
          <w:rFonts w:eastAsiaTheme="minorHAnsi"/>
          <w:bCs/>
          <w:sz w:val="20"/>
          <w:szCs w:val="20"/>
        </w:rPr>
        <w:t>Aal</w:t>
      </w:r>
      <w:proofErr w:type="spellEnd"/>
      <w:r w:rsidRPr="002A19E4">
        <w:rPr>
          <w:rFonts w:eastAsiaTheme="minorHAnsi"/>
          <w:bCs/>
          <w:sz w:val="20"/>
          <w:szCs w:val="20"/>
        </w:rPr>
        <w:t xml:space="preserve"> I, </w:t>
      </w:r>
      <w:proofErr w:type="spellStart"/>
      <w:r w:rsidRPr="002A19E4">
        <w:rPr>
          <w:rFonts w:eastAsiaTheme="minorHAnsi"/>
          <w:bCs/>
          <w:sz w:val="20"/>
          <w:szCs w:val="20"/>
        </w:rPr>
        <w:t>Abulatta</w:t>
      </w:r>
      <w:proofErr w:type="spellEnd"/>
      <w:r w:rsidRPr="002A19E4">
        <w:rPr>
          <w:rFonts w:eastAsiaTheme="minorHAnsi"/>
          <w:bCs/>
          <w:sz w:val="20"/>
          <w:szCs w:val="20"/>
        </w:rPr>
        <w:t xml:space="preserve"> M (2009):</w:t>
      </w:r>
      <w:r w:rsidRPr="002A19E4">
        <w:rPr>
          <w:rFonts w:eastAsiaTheme="minorHAnsi"/>
          <w:sz w:val="20"/>
          <w:szCs w:val="20"/>
        </w:rPr>
        <w:t xml:space="preserve"> </w:t>
      </w:r>
      <w:proofErr w:type="spellStart"/>
      <w:r w:rsidRPr="002A19E4">
        <w:rPr>
          <w:rFonts w:eastAsiaTheme="minorHAnsi"/>
          <w:sz w:val="20"/>
          <w:szCs w:val="20"/>
        </w:rPr>
        <w:t>Clomiphene</w:t>
      </w:r>
      <w:proofErr w:type="spellEnd"/>
      <w:r w:rsidRPr="002A19E4">
        <w:rPr>
          <w:rFonts w:eastAsiaTheme="minorHAnsi"/>
          <w:sz w:val="20"/>
          <w:szCs w:val="20"/>
        </w:rPr>
        <w:t xml:space="preserve"> citrate or </w:t>
      </w:r>
      <w:proofErr w:type="spellStart"/>
      <w:r w:rsidRPr="002A19E4">
        <w:rPr>
          <w:rFonts w:eastAsiaTheme="minorHAnsi"/>
          <w:sz w:val="20"/>
          <w:szCs w:val="20"/>
        </w:rPr>
        <w:t>letrozole</w:t>
      </w:r>
      <w:proofErr w:type="spellEnd"/>
      <w:r w:rsidRPr="002A19E4">
        <w:rPr>
          <w:rFonts w:eastAsiaTheme="minorHAnsi"/>
          <w:sz w:val="20"/>
          <w:szCs w:val="20"/>
        </w:rPr>
        <w:t xml:space="preserve"> for ovulation induction in women with polycystic ovarian syndrome: a prospective randomized trial. </w:t>
      </w:r>
      <w:proofErr w:type="spellStart"/>
      <w:r w:rsidRPr="002A19E4">
        <w:rPr>
          <w:rFonts w:eastAsiaTheme="minorHAnsi"/>
          <w:sz w:val="20"/>
          <w:szCs w:val="20"/>
        </w:rPr>
        <w:t>Ferti</w:t>
      </w:r>
      <w:r w:rsidR="002A19E4" w:rsidRPr="002A19E4">
        <w:rPr>
          <w:rFonts w:eastAsiaTheme="minorHAnsi"/>
          <w:sz w:val="20"/>
          <w:szCs w:val="20"/>
        </w:rPr>
        <w:t>l</w:t>
      </w:r>
      <w:proofErr w:type="spellEnd"/>
      <w:r w:rsidR="002A19E4">
        <w:rPr>
          <w:rFonts w:eastAsiaTheme="minorHAnsi"/>
          <w:sz w:val="20"/>
          <w:szCs w:val="20"/>
        </w:rPr>
        <w:t xml:space="preserve"> </w:t>
      </w:r>
      <w:proofErr w:type="spellStart"/>
      <w:r w:rsidR="002A19E4" w:rsidRPr="002A19E4">
        <w:rPr>
          <w:rFonts w:eastAsiaTheme="minorHAnsi"/>
          <w:sz w:val="20"/>
          <w:szCs w:val="20"/>
        </w:rPr>
        <w:t>S</w:t>
      </w:r>
      <w:r w:rsidRPr="002A19E4">
        <w:rPr>
          <w:rFonts w:eastAsiaTheme="minorHAnsi"/>
          <w:sz w:val="20"/>
          <w:szCs w:val="20"/>
        </w:rPr>
        <w:t>teril</w:t>
      </w:r>
      <w:proofErr w:type="spellEnd"/>
      <w:r w:rsidRPr="002A19E4">
        <w:rPr>
          <w:rFonts w:eastAsiaTheme="minorHAnsi"/>
          <w:sz w:val="20"/>
          <w:szCs w:val="20"/>
        </w:rPr>
        <w:t xml:space="preserve"> 92: 849-852.</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 xml:space="preserve">Castillo JC, </w:t>
      </w:r>
      <w:proofErr w:type="spellStart"/>
      <w:r w:rsidRPr="002A19E4">
        <w:rPr>
          <w:rFonts w:eastAsiaTheme="minorHAnsi"/>
          <w:bCs/>
          <w:sz w:val="20"/>
          <w:szCs w:val="20"/>
        </w:rPr>
        <w:t>Dolz</w:t>
      </w:r>
      <w:proofErr w:type="spellEnd"/>
      <w:r w:rsidRPr="002A19E4">
        <w:rPr>
          <w:rFonts w:eastAsiaTheme="minorHAnsi"/>
          <w:bCs/>
          <w:sz w:val="20"/>
          <w:szCs w:val="20"/>
        </w:rPr>
        <w:t xml:space="preserve"> M, </w:t>
      </w:r>
      <w:proofErr w:type="spellStart"/>
      <w:r w:rsidRPr="002A19E4">
        <w:rPr>
          <w:rFonts w:eastAsiaTheme="minorHAnsi"/>
          <w:bCs/>
          <w:sz w:val="20"/>
          <w:szCs w:val="20"/>
        </w:rPr>
        <w:t>Bienvenido</w:t>
      </w:r>
      <w:proofErr w:type="spellEnd"/>
      <w:r w:rsidRPr="002A19E4">
        <w:rPr>
          <w:rFonts w:eastAsiaTheme="minorHAnsi"/>
          <w:bCs/>
          <w:sz w:val="20"/>
          <w:szCs w:val="20"/>
        </w:rPr>
        <w:t xml:space="preserve"> E, Abad L, </w:t>
      </w:r>
      <w:proofErr w:type="spellStart"/>
      <w:r w:rsidRPr="002A19E4">
        <w:rPr>
          <w:rFonts w:eastAsiaTheme="minorHAnsi"/>
          <w:bCs/>
          <w:sz w:val="20"/>
          <w:szCs w:val="20"/>
        </w:rPr>
        <w:t>Casan</w:t>
      </w:r>
      <w:proofErr w:type="spellEnd"/>
      <w:r w:rsidRPr="002A19E4">
        <w:rPr>
          <w:rFonts w:eastAsiaTheme="minorHAnsi"/>
          <w:bCs/>
          <w:sz w:val="20"/>
          <w:szCs w:val="20"/>
        </w:rPr>
        <w:t xml:space="preserve"> EM, Bonilla-</w:t>
      </w:r>
      <w:proofErr w:type="spellStart"/>
      <w:r w:rsidRPr="002A19E4">
        <w:rPr>
          <w:rFonts w:eastAsiaTheme="minorHAnsi"/>
          <w:bCs/>
          <w:sz w:val="20"/>
          <w:szCs w:val="20"/>
        </w:rPr>
        <w:t>Musoles</w:t>
      </w:r>
      <w:proofErr w:type="spellEnd"/>
      <w:r w:rsidRPr="002A19E4">
        <w:rPr>
          <w:rFonts w:eastAsiaTheme="minorHAnsi"/>
          <w:bCs/>
          <w:sz w:val="20"/>
          <w:szCs w:val="20"/>
        </w:rPr>
        <w:t xml:space="preserve"> F (2010): </w:t>
      </w:r>
      <w:r w:rsidRPr="002A19E4">
        <w:rPr>
          <w:rFonts w:eastAsiaTheme="minorHAnsi"/>
          <w:sz w:val="20"/>
          <w:szCs w:val="20"/>
        </w:rPr>
        <w:t xml:space="preserve">Cycles triggered with </w:t>
      </w:r>
      <w:proofErr w:type="spellStart"/>
      <w:r w:rsidRPr="002A19E4">
        <w:rPr>
          <w:rFonts w:eastAsiaTheme="minorHAnsi"/>
          <w:sz w:val="20"/>
          <w:szCs w:val="20"/>
        </w:rPr>
        <w:t>GnRH</w:t>
      </w:r>
      <w:proofErr w:type="spellEnd"/>
      <w:r w:rsidRPr="002A19E4">
        <w:rPr>
          <w:rFonts w:eastAsiaTheme="minorHAnsi"/>
          <w:sz w:val="20"/>
          <w:szCs w:val="20"/>
        </w:rPr>
        <w:t xml:space="preserve"> agonist: exploring low-dose HCG for </w:t>
      </w:r>
      <w:proofErr w:type="spellStart"/>
      <w:r w:rsidRPr="002A19E4">
        <w:rPr>
          <w:rFonts w:eastAsiaTheme="minorHAnsi"/>
          <w:sz w:val="20"/>
          <w:szCs w:val="20"/>
        </w:rPr>
        <w:t>luteal</w:t>
      </w:r>
      <w:proofErr w:type="spellEnd"/>
      <w:r w:rsidRPr="002A19E4">
        <w:rPr>
          <w:rFonts w:eastAsiaTheme="minorHAnsi"/>
          <w:sz w:val="20"/>
          <w:szCs w:val="20"/>
        </w:rPr>
        <w:t xml:space="preserve"> support. </w:t>
      </w:r>
      <w:proofErr w:type="spellStart"/>
      <w:r w:rsidRPr="002A19E4">
        <w:rPr>
          <w:rFonts w:eastAsiaTheme="minorHAnsi"/>
          <w:sz w:val="20"/>
          <w:szCs w:val="20"/>
        </w:rPr>
        <w:t>Reprod</w:t>
      </w:r>
      <w:proofErr w:type="spellEnd"/>
      <w:r w:rsidRPr="002A19E4">
        <w:rPr>
          <w:rFonts w:eastAsiaTheme="minorHAnsi"/>
          <w:sz w:val="20"/>
          <w:szCs w:val="20"/>
        </w:rPr>
        <w:t xml:space="preserve"> Biomed Online; 20: 175–181.</w:t>
      </w:r>
    </w:p>
    <w:p w:rsidR="00350B59" w:rsidRPr="002A19E4" w:rsidRDefault="00A278EC" w:rsidP="002A19E4">
      <w:pPr>
        <w:pStyle w:val="ListParagraph"/>
        <w:numPr>
          <w:ilvl w:val="0"/>
          <w:numId w:val="20"/>
        </w:numPr>
        <w:bidi w:val="0"/>
        <w:snapToGrid w:val="0"/>
        <w:jc w:val="both"/>
        <w:rPr>
          <w:rFonts w:eastAsiaTheme="minorHAnsi"/>
          <w:sz w:val="20"/>
          <w:szCs w:val="20"/>
        </w:rPr>
      </w:pPr>
      <w:hyperlink r:id="rId20" w:history="1">
        <w:r w:rsidR="00350B59" w:rsidRPr="002A19E4">
          <w:rPr>
            <w:rFonts w:eastAsiaTheme="minorHAnsi"/>
            <w:bCs/>
            <w:sz w:val="20"/>
            <w:szCs w:val="20"/>
          </w:rPr>
          <w:t>De Leo V</w:t>
        </w:r>
      </w:hyperlink>
      <w:r w:rsidR="00350B59" w:rsidRPr="002A19E4">
        <w:rPr>
          <w:rFonts w:eastAsiaTheme="minorHAnsi"/>
          <w:bCs/>
          <w:sz w:val="20"/>
          <w:szCs w:val="20"/>
        </w:rPr>
        <w:t>,</w:t>
      </w:r>
      <w:r w:rsidR="00345B9A">
        <w:rPr>
          <w:rFonts w:eastAsiaTheme="minorEastAsia" w:hint="eastAsia"/>
          <w:bCs/>
          <w:sz w:val="20"/>
          <w:szCs w:val="20"/>
          <w:lang w:eastAsia="zh-CN"/>
        </w:rPr>
        <w:t xml:space="preserve"> </w:t>
      </w:r>
      <w:hyperlink r:id="rId21" w:history="1">
        <w:proofErr w:type="spellStart"/>
        <w:r w:rsidR="00350B59" w:rsidRPr="002A19E4">
          <w:rPr>
            <w:rFonts w:eastAsiaTheme="minorHAnsi"/>
            <w:bCs/>
            <w:sz w:val="20"/>
            <w:szCs w:val="20"/>
          </w:rPr>
          <w:t>Musacchio</w:t>
        </w:r>
        <w:proofErr w:type="spellEnd"/>
        <w:r w:rsidR="00350B59" w:rsidRPr="002A19E4">
          <w:rPr>
            <w:rFonts w:eastAsiaTheme="minorHAnsi"/>
            <w:bCs/>
            <w:sz w:val="20"/>
            <w:szCs w:val="20"/>
          </w:rPr>
          <w:t xml:space="preserve"> MC</w:t>
        </w:r>
      </w:hyperlink>
      <w:r w:rsidR="00350B59" w:rsidRPr="002A19E4">
        <w:rPr>
          <w:rFonts w:eastAsiaTheme="minorHAnsi"/>
          <w:bCs/>
          <w:sz w:val="20"/>
          <w:szCs w:val="20"/>
        </w:rPr>
        <w:t>,</w:t>
      </w:r>
      <w:r w:rsidR="00345B9A">
        <w:rPr>
          <w:rFonts w:eastAsiaTheme="minorEastAsia" w:hint="eastAsia"/>
          <w:bCs/>
          <w:sz w:val="20"/>
          <w:szCs w:val="20"/>
          <w:lang w:eastAsia="zh-CN"/>
        </w:rPr>
        <w:t xml:space="preserve"> </w:t>
      </w:r>
      <w:hyperlink r:id="rId22" w:history="1">
        <w:proofErr w:type="spellStart"/>
        <w:r w:rsidR="00350B59" w:rsidRPr="002A19E4">
          <w:rPr>
            <w:rFonts w:eastAsiaTheme="minorHAnsi"/>
            <w:bCs/>
            <w:sz w:val="20"/>
            <w:szCs w:val="20"/>
          </w:rPr>
          <w:t>Cappelli</w:t>
        </w:r>
        <w:proofErr w:type="spellEnd"/>
        <w:r w:rsidR="00350B59" w:rsidRPr="002A19E4">
          <w:rPr>
            <w:rFonts w:eastAsiaTheme="minorHAnsi"/>
            <w:bCs/>
            <w:sz w:val="20"/>
            <w:szCs w:val="20"/>
          </w:rPr>
          <w:t xml:space="preserve"> V</w:t>
        </w:r>
      </w:hyperlink>
      <w:r w:rsidR="00350B59" w:rsidRPr="002A19E4">
        <w:rPr>
          <w:rFonts w:eastAsiaTheme="minorHAnsi"/>
          <w:bCs/>
          <w:sz w:val="20"/>
          <w:szCs w:val="20"/>
        </w:rPr>
        <w:t>,</w:t>
      </w:r>
      <w:r w:rsidR="00345B9A">
        <w:rPr>
          <w:rFonts w:eastAsiaTheme="minorEastAsia" w:hint="eastAsia"/>
          <w:bCs/>
          <w:sz w:val="20"/>
          <w:szCs w:val="20"/>
          <w:lang w:eastAsia="zh-CN"/>
        </w:rPr>
        <w:t xml:space="preserve"> </w:t>
      </w:r>
      <w:hyperlink r:id="rId23" w:history="1">
        <w:proofErr w:type="spellStart"/>
        <w:r w:rsidR="00350B59" w:rsidRPr="002A19E4">
          <w:rPr>
            <w:rFonts w:eastAsiaTheme="minorHAnsi"/>
            <w:bCs/>
            <w:sz w:val="20"/>
            <w:szCs w:val="20"/>
          </w:rPr>
          <w:t>Massaro</w:t>
        </w:r>
        <w:proofErr w:type="spellEnd"/>
        <w:r w:rsidR="00350B59" w:rsidRPr="002A19E4">
          <w:rPr>
            <w:rFonts w:eastAsiaTheme="minorHAnsi"/>
            <w:bCs/>
            <w:sz w:val="20"/>
            <w:szCs w:val="20"/>
          </w:rPr>
          <w:t xml:space="preserve"> MG</w:t>
        </w:r>
      </w:hyperlink>
      <w:r w:rsidR="00350B59" w:rsidRPr="002A19E4">
        <w:rPr>
          <w:rFonts w:eastAsiaTheme="minorHAnsi"/>
          <w:bCs/>
          <w:sz w:val="20"/>
          <w:szCs w:val="20"/>
        </w:rPr>
        <w:t>,</w:t>
      </w:r>
      <w:r w:rsidR="00345B9A">
        <w:rPr>
          <w:rFonts w:eastAsiaTheme="minorEastAsia" w:hint="eastAsia"/>
          <w:bCs/>
          <w:sz w:val="20"/>
          <w:szCs w:val="20"/>
          <w:lang w:eastAsia="zh-CN"/>
        </w:rPr>
        <w:t xml:space="preserve"> </w:t>
      </w:r>
      <w:hyperlink r:id="rId24" w:history="1">
        <w:proofErr w:type="spellStart"/>
        <w:r w:rsidR="00350B59" w:rsidRPr="002A19E4">
          <w:rPr>
            <w:rFonts w:eastAsiaTheme="minorHAnsi"/>
            <w:bCs/>
            <w:sz w:val="20"/>
            <w:szCs w:val="20"/>
          </w:rPr>
          <w:t>Morgante</w:t>
        </w:r>
        <w:proofErr w:type="spellEnd"/>
        <w:r w:rsidR="00350B59" w:rsidRPr="002A19E4">
          <w:rPr>
            <w:rFonts w:eastAsiaTheme="minorHAnsi"/>
            <w:bCs/>
            <w:sz w:val="20"/>
            <w:szCs w:val="20"/>
          </w:rPr>
          <w:t xml:space="preserve"> G</w:t>
        </w:r>
      </w:hyperlink>
      <w:r w:rsidR="00350B59" w:rsidRPr="002A19E4">
        <w:rPr>
          <w:rFonts w:eastAsiaTheme="minorHAnsi"/>
          <w:bCs/>
          <w:sz w:val="20"/>
          <w:szCs w:val="20"/>
        </w:rPr>
        <w:t xml:space="preserve"> and </w:t>
      </w:r>
      <w:hyperlink r:id="rId25" w:history="1">
        <w:proofErr w:type="spellStart"/>
        <w:r w:rsidR="00350B59" w:rsidRPr="002A19E4">
          <w:rPr>
            <w:rFonts w:eastAsiaTheme="minorHAnsi"/>
            <w:bCs/>
            <w:sz w:val="20"/>
            <w:szCs w:val="20"/>
          </w:rPr>
          <w:t>Petraglia</w:t>
        </w:r>
        <w:proofErr w:type="spellEnd"/>
        <w:r w:rsidR="00350B59" w:rsidRPr="002A19E4">
          <w:rPr>
            <w:rFonts w:eastAsiaTheme="minorHAnsi"/>
            <w:bCs/>
            <w:sz w:val="20"/>
            <w:szCs w:val="20"/>
          </w:rPr>
          <w:t xml:space="preserve"> F</w:t>
        </w:r>
      </w:hyperlink>
      <w:r w:rsidR="00350B59" w:rsidRPr="002A19E4">
        <w:rPr>
          <w:rFonts w:eastAsiaTheme="minorHAnsi"/>
          <w:bCs/>
          <w:sz w:val="20"/>
          <w:szCs w:val="20"/>
        </w:rPr>
        <w:t>.</w:t>
      </w:r>
      <w:r w:rsidR="00345B9A">
        <w:rPr>
          <w:rFonts w:eastAsiaTheme="minorEastAsia" w:hint="eastAsia"/>
          <w:bCs/>
          <w:sz w:val="20"/>
          <w:szCs w:val="20"/>
          <w:lang w:eastAsia="zh-CN"/>
        </w:rPr>
        <w:t xml:space="preserve"> </w:t>
      </w:r>
      <w:r w:rsidR="00350B59" w:rsidRPr="002A19E4">
        <w:rPr>
          <w:rFonts w:eastAsiaTheme="minorHAnsi"/>
          <w:sz w:val="20"/>
          <w:szCs w:val="20"/>
        </w:rPr>
        <w:t xml:space="preserve">Genetic, hormonal and metabolic aspects of PCOS: an </w:t>
      </w:r>
      <w:r w:rsidR="00350B59" w:rsidRPr="002A19E4">
        <w:rPr>
          <w:rFonts w:eastAsiaTheme="minorHAnsi"/>
          <w:sz w:val="20"/>
          <w:szCs w:val="20"/>
        </w:rPr>
        <w:lastRenderedPageBreak/>
        <w:t xml:space="preserve">update. </w:t>
      </w:r>
      <w:hyperlink r:id="rId26" w:tooltip="Reproductive biology and endocrinology : RB&amp;E." w:history="1">
        <w:proofErr w:type="spellStart"/>
        <w:r w:rsidR="00350B59" w:rsidRPr="002A19E4">
          <w:rPr>
            <w:rFonts w:eastAsiaTheme="minorHAnsi"/>
            <w:sz w:val="20"/>
            <w:szCs w:val="20"/>
          </w:rPr>
          <w:t>Repro</w:t>
        </w:r>
        <w:r w:rsidR="002A19E4" w:rsidRPr="002A19E4">
          <w:rPr>
            <w:rFonts w:eastAsiaTheme="minorHAnsi"/>
            <w:sz w:val="20"/>
            <w:szCs w:val="20"/>
          </w:rPr>
          <w:t>d</w:t>
        </w:r>
        <w:proofErr w:type="spellEnd"/>
        <w:r w:rsidR="002A19E4">
          <w:rPr>
            <w:rFonts w:eastAsiaTheme="minorHAnsi"/>
            <w:sz w:val="20"/>
            <w:szCs w:val="20"/>
          </w:rPr>
          <w:t xml:space="preserve"> </w:t>
        </w:r>
        <w:proofErr w:type="spellStart"/>
        <w:r w:rsidR="002A19E4" w:rsidRPr="002A19E4">
          <w:rPr>
            <w:rFonts w:eastAsiaTheme="minorHAnsi"/>
            <w:sz w:val="20"/>
            <w:szCs w:val="20"/>
          </w:rPr>
          <w:t>B</w:t>
        </w:r>
        <w:r w:rsidR="00350B59" w:rsidRPr="002A19E4">
          <w:rPr>
            <w:rFonts w:eastAsiaTheme="minorHAnsi"/>
            <w:sz w:val="20"/>
            <w:szCs w:val="20"/>
          </w:rPr>
          <w:t>io</w:t>
        </w:r>
        <w:r w:rsidR="002A19E4" w:rsidRPr="002A19E4">
          <w:rPr>
            <w:rFonts w:eastAsiaTheme="minorHAnsi"/>
            <w:sz w:val="20"/>
            <w:szCs w:val="20"/>
          </w:rPr>
          <w:t>l</w:t>
        </w:r>
        <w:proofErr w:type="spellEnd"/>
        <w:r w:rsidR="002A19E4">
          <w:rPr>
            <w:rFonts w:eastAsiaTheme="minorHAnsi"/>
            <w:sz w:val="20"/>
            <w:szCs w:val="20"/>
          </w:rPr>
          <w:t xml:space="preserve"> </w:t>
        </w:r>
        <w:proofErr w:type="spellStart"/>
        <w:r w:rsidR="002A19E4" w:rsidRPr="002A19E4">
          <w:rPr>
            <w:rFonts w:eastAsiaTheme="minorHAnsi"/>
            <w:sz w:val="20"/>
            <w:szCs w:val="20"/>
          </w:rPr>
          <w:t>E</w:t>
        </w:r>
        <w:r w:rsidR="00350B59" w:rsidRPr="002A19E4">
          <w:rPr>
            <w:rFonts w:eastAsiaTheme="minorHAnsi"/>
            <w:sz w:val="20"/>
            <w:szCs w:val="20"/>
          </w:rPr>
          <w:t>ndocrinol</w:t>
        </w:r>
        <w:proofErr w:type="spellEnd"/>
        <w:r w:rsidR="00350B59" w:rsidRPr="002A19E4">
          <w:rPr>
            <w:rFonts w:eastAsiaTheme="minorHAnsi"/>
            <w:sz w:val="20"/>
            <w:szCs w:val="20"/>
          </w:rPr>
          <w:t>.</w:t>
        </w:r>
      </w:hyperlink>
      <w:r w:rsidR="00350B59" w:rsidRPr="002A19E4">
        <w:rPr>
          <w:rFonts w:eastAsiaTheme="minorHAnsi"/>
          <w:sz w:val="20"/>
          <w:szCs w:val="20"/>
        </w:rPr>
        <w:t> 2016 Jul 16;14(1):38.</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Denison FC, Roberts KA, Barr SM, Norman JE.</w:t>
      </w:r>
      <w:r w:rsidR="00345B9A">
        <w:rPr>
          <w:rFonts w:eastAsiaTheme="minorEastAsia" w:hint="eastAsia"/>
          <w:bCs/>
          <w:sz w:val="20"/>
          <w:szCs w:val="20"/>
          <w:lang w:eastAsia="zh-CN"/>
        </w:rPr>
        <w:t xml:space="preserve"> </w:t>
      </w:r>
      <w:r w:rsidRPr="002A19E4">
        <w:rPr>
          <w:rFonts w:eastAsiaTheme="minorHAnsi"/>
          <w:sz w:val="20"/>
          <w:szCs w:val="20"/>
        </w:rPr>
        <w:t>Obesity, pregnancy, inflammation and vascular function</w:t>
      </w:r>
      <w:r w:rsidR="002A19E4" w:rsidRPr="002A19E4">
        <w:rPr>
          <w:rFonts w:eastAsiaTheme="minorHAnsi"/>
          <w:sz w:val="20"/>
          <w:szCs w:val="20"/>
        </w:rPr>
        <w:t>.</w:t>
      </w:r>
      <w:r w:rsidR="002A19E4">
        <w:rPr>
          <w:rFonts w:eastAsiaTheme="minorHAnsi"/>
          <w:sz w:val="20"/>
          <w:szCs w:val="20"/>
        </w:rPr>
        <w:t xml:space="preserve"> </w:t>
      </w:r>
      <w:r w:rsidR="002A19E4" w:rsidRPr="002A19E4">
        <w:rPr>
          <w:rFonts w:eastAsiaTheme="minorHAnsi"/>
          <w:sz w:val="20"/>
          <w:szCs w:val="20"/>
        </w:rPr>
        <w:t>R</w:t>
      </w:r>
      <w:r w:rsidRPr="002A19E4">
        <w:rPr>
          <w:rFonts w:eastAsiaTheme="minorHAnsi"/>
          <w:sz w:val="20"/>
          <w:szCs w:val="20"/>
        </w:rPr>
        <w:t>eproduction. 2010;24:112–45.</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Engmann</w:t>
      </w:r>
      <w:proofErr w:type="spellEnd"/>
      <w:r w:rsidRPr="002A19E4">
        <w:rPr>
          <w:rFonts w:eastAsiaTheme="minorHAnsi"/>
          <w:bCs/>
          <w:sz w:val="20"/>
          <w:szCs w:val="20"/>
        </w:rPr>
        <w:t xml:space="preserve"> L and </w:t>
      </w:r>
      <w:proofErr w:type="spellStart"/>
      <w:r w:rsidRPr="002A19E4">
        <w:rPr>
          <w:rFonts w:eastAsiaTheme="minorHAnsi"/>
          <w:bCs/>
          <w:sz w:val="20"/>
          <w:szCs w:val="20"/>
        </w:rPr>
        <w:t>Benadiva</w:t>
      </w:r>
      <w:proofErr w:type="spellEnd"/>
      <w:r w:rsidRPr="002A19E4">
        <w:rPr>
          <w:rFonts w:eastAsiaTheme="minorHAnsi"/>
          <w:bCs/>
          <w:sz w:val="20"/>
          <w:szCs w:val="20"/>
        </w:rPr>
        <w:t xml:space="preserve"> C (2012): </w:t>
      </w:r>
      <w:r w:rsidRPr="002A19E4">
        <w:rPr>
          <w:rFonts w:eastAsiaTheme="minorHAnsi"/>
          <w:sz w:val="20"/>
          <w:szCs w:val="20"/>
        </w:rPr>
        <w:t xml:space="preserve">Agonist trigger: what is the best approach? Agonist trigger with aggressive </w:t>
      </w:r>
      <w:proofErr w:type="spellStart"/>
      <w:r w:rsidRPr="002A19E4">
        <w:rPr>
          <w:rFonts w:eastAsiaTheme="minorHAnsi"/>
          <w:sz w:val="20"/>
          <w:szCs w:val="20"/>
        </w:rPr>
        <w:t>luteal</w:t>
      </w:r>
      <w:proofErr w:type="spellEnd"/>
      <w:r w:rsidRPr="002A19E4">
        <w:rPr>
          <w:rFonts w:eastAsiaTheme="minorHAnsi"/>
          <w:sz w:val="20"/>
          <w:szCs w:val="20"/>
        </w:rPr>
        <w:t xml:space="preserve"> support. Fertility and Sterility; 97(3): 531-33.</w:t>
      </w:r>
    </w:p>
    <w:p w:rsidR="00350B59" w:rsidRPr="002A19E4" w:rsidRDefault="00350B59" w:rsidP="002A19E4">
      <w:pPr>
        <w:pStyle w:val="ListParagraph"/>
        <w:numPr>
          <w:ilvl w:val="0"/>
          <w:numId w:val="20"/>
        </w:numPr>
        <w:bidi w:val="0"/>
        <w:snapToGrid w:val="0"/>
        <w:jc w:val="both"/>
        <w:rPr>
          <w:rFonts w:eastAsiaTheme="minorHAnsi"/>
          <w:bCs/>
          <w:sz w:val="20"/>
          <w:szCs w:val="20"/>
        </w:rPr>
      </w:pPr>
      <w:proofErr w:type="spellStart"/>
      <w:r w:rsidRPr="002A19E4">
        <w:rPr>
          <w:rFonts w:eastAsiaTheme="minorHAnsi"/>
          <w:bCs/>
          <w:sz w:val="20"/>
          <w:szCs w:val="20"/>
        </w:rPr>
        <w:t>Fauser</w:t>
      </w:r>
      <w:proofErr w:type="spellEnd"/>
      <w:r w:rsidRPr="002A19E4">
        <w:rPr>
          <w:rFonts w:eastAsiaTheme="minorHAnsi"/>
          <w:bCs/>
          <w:sz w:val="20"/>
          <w:szCs w:val="20"/>
        </w:rPr>
        <w:t xml:space="preserve"> and </w:t>
      </w:r>
      <w:proofErr w:type="spellStart"/>
      <w:r w:rsidRPr="002A19E4">
        <w:rPr>
          <w:rFonts w:eastAsiaTheme="minorHAnsi"/>
          <w:bCs/>
          <w:sz w:val="20"/>
          <w:szCs w:val="20"/>
        </w:rPr>
        <w:t>Macklon</w:t>
      </w:r>
      <w:proofErr w:type="spellEnd"/>
      <w:r w:rsidRPr="002A19E4">
        <w:rPr>
          <w:rFonts w:eastAsiaTheme="minorHAnsi"/>
          <w:bCs/>
          <w:sz w:val="20"/>
          <w:szCs w:val="20"/>
        </w:rPr>
        <w:t xml:space="preserve"> (2004):</w:t>
      </w:r>
      <w:r w:rsidRPr="002A19E4">
        <w:rPr>
          <w:rFonts w:eastAsiaTheme="minorHAnsi"/>
          <w:sz w:val="20"/>
          <w:szCs w:val="20"/>
        </w:rPr>
        <w:t xml:space="preserve"> Medical approaches to ovarian stimulation </w:t>
      </w:r>
      <w:proofErr w:type="spellStart"/>
      <w:r w:rsidRPr="002A19E4">
        <w:rPr>
          <w:rFonts w:eastAsiaTheme="minorHAnsi"/>
          <w:sz w:val="20"/>
          <w:szCs w:val="20"/>
        </w:rPr>
        <w:t>forinfertility</w:t>
      </w:r>
      <w:proofErr w:type="spellEnd"/>
      <w:r w:rsidRPr="002A19E4">
        <w:rPr>
          <w:rFonts w:eastAsiaTheme="minorHAnsi"/>
          <w:sz w:val="20"/>
          <w:szCs w:val="20"/>
        </w:rPr>
        <w:t xml:space="preserve">. In: Strauss JF, </w:t>
      </w:r>
      <w:proofErr w:type="spellStart"/>
      <w:r w:rsidRPr="002A19E4">
        <w:rPr>
          <w:rFonts w:eastAsiaTheme="minorHAnsi"/>
          <w:sz w:val="20"/>
          <w:szCs w:val="20"/>
        </w:rPr>
        <w:t>Barbieri</w:t>
      </w:r>
      <w:proofErr w:type="spellEnd"/>
      <w:r w:rsidRPr="002A19E4">
        <w:rPr>
          <w:rFonts w:eastAsiaTheme="minorHAnsi"/>
          <w:sz w:val="20"/>
          <w:szCs w:val="20"/>
        </w:rPr>
        <w:t xml:space="preserve"> RL editor(s). Yen and Jaffe’</w:t>
      </w:r>
      <w:r w:rsidR="002A19E4" w:rsidRPr="002A19E4">
        <w:rPr>
          <w:rFonts w:eastAsiaTheme="minorHAnsi"/>
          <w:sz w:val="20"/>
          <w:szCs w:val="20"/>
        </w:rPr>
        <w:t>s</w:t>
      </w:r>
      <w:r w:rsidR="002A19E4">
        <w:rPr>
          <w:rFonts w:eastAsiaTheme="minorHAnsi"/>
          <w:sz w:val="20"/>
          <w:szCs w:val="20"/>
        </w:rPr>
        <w:t xml:space="preserve"> </w:t>
      </w:r>
      <w:r w:rsidR="002A19E4" w:rsidRPr="002A19E4">
        <w:rPr>
          <w:rFonts w:eastAsiaTheme="minorHAnsi"/>
          <w:sz w:val="20"/>
          <w:szCs w:val="20"/>
        </w:rPr>
        <w:t>R</w:t>
      </w:r>
      <w:r w:rsidRPr="002A19E4">
        <w:rPr>
          <w:rFonts w:eastAsiaTheme="minorHAnsi"/>
          <w:sz w:val="20"/>
          <w:szCs w:val="20"/>
        </w:rPr>
        <w:t>eproductive Endocrinology.5th Edition. Philadelphia: Elsevie</w:t>
      </w:r>
      <w:r w:rsidR="002A19E4" w:rsidRPr="002A19E4">
        <w:rPr>
          <w:rFonts w:eastAsiaTheme="minorHAnsi"/>
          <w:sz w:val="20"/>
          <w:szCs w:val="20"/>
        </w:rPr>
        <w:t>r</w:t>
      </w:r>
      <w:r w:rsidR="002A19E4">
        <w:rPr>
          <w:rFonts w:eastAsiaTheme="minorHAnsi"/>
          <w:sz w:val="20"/>
          <w:szCs w:val="20"/>
        </w:rPr>
        <w:t xml:space="preserve"> </w:t>
      </w:r>
      <w:r w:rsidR="002A19E4" w:rsidRPr="002A19E4">
        <w:rPr>
          <w:rFonts w:eastAsiaTheme="minorHAnsi"/>
          <w:sz w:val="20"/>
          <w:szCs w:val="20"/>
        </w:rPr>
        <w:t>S</w:t>
      </w:r>
      <w:r w:rsidRPr="002A19E4">
        <w:rPr>
          <w:rFonts w:eastAsiaTheme="minorHAnsi"/>
          <w:sz w:val="20"/>
          <w:szCs w:val="20"/>
        </w:rPr>
        <w:t>aunders: 965–1012</w:t>
      </w:r>
      <w:r w:rsidRPr="002A19E4">
        <w:rPr>
          <w:rFonts w:eastAsiaTheme="minorHAnsi"/>
          <w:bCs/>
          <w:sz w:val="20"/>
          <w:szCs w:val="20"/>
        </w:rPr>
        <w:t>.</w:t>
      </w:r>
    </w:p>
    <w:p w:rsidR="00350B59" w:rsidRPr="002A19E4" w:rsidRDefault="00350B59" w:rsidP="002A19E4">
      <w:pPr>
        <w:pStyle w:val="ListParagraph"/>
        <w:numPr>
          <w:ilvl w:val="0"/>
          <w:numId w:val="20"/>
        </w:numPr>
        <w:bidi w:val="0"/>
        <w:snapToGrid w:val="0"/>
        <w:jc w:val="both"/>
        <w:rPr>
          <w:rFonts w:eastAsia="Times New Roman"/>
          <w:sz w:val="20"/>
          <w:szCs w:val="20"/>
        </w:rPr>
      </w:pPr>
      <w:r w:rsidRPr="002A19E4">
        <w:rPr>
          <w:rFonts w:eastAsiaTheme="minorHAnsi"/>
          <w:bCs/>
          <w:sz w:val="20"/>
          <w:szCs w:val="20"/>
        </w:rPr>
        <w:t xml:space="preserve">George K, Nair R and </w:t>
      </w:r>
      <w:proofErr w:type="spellStart"/>
      <w:r w:rsidRPr="002A19E4">
        <w:rPr>
          <w:rFonts w:eastAsiaTheme="minorHAnsi"/>
          <w:bCs/>
          <w:sz w:val="20"/>
          <w:szCs w:val="20"/>
        </w:rPr>
        <w:t>Tharyan</w:t>
      </w:r>
      <w:proofErr w:type="spellEnd"/>
      <w:r w:rsidRPr="002A19E4">
        <w:rPr>
          <w:rFonts w:eastAsiaTheme="minorHAnsi"/>
          <w:bCs/>
          <w:sz w:val="20"/>
          <w:szCs w:val="20"/>
        </w:rPr>
        <w:t xml:space="preserve"> P(2010):</w:t>
      </w:r>
      <w:r w:rsidRPr="002A19E4">
        <w:rPr>
          <w:rFonts w:eastAsiaTheme="minorHAnsi"/>
          <w:sz w:val="20"/>
          <w:szCs w:val="20"/>
        </w:rPr>
        <w:t xml:space="preserve"> Ovulation triggers in </w:t>
      </w:r>
      <w:proofErr w:type="spellStart"/>
      <w:r w:rsidRPr="002A19E4">
        <w:rPr>
          <w:rFonts w:eastAsiaTheme="minorHAnsi"/>
          <w:sz w:val="20"/>
          <w:szCs w:val="20"/>
        </w:rPr>
        <w:t>anovulatory</w:t>
      </w:r>
      <w:proofErr w:type="spellEnd"/>
      <w:r w:rsidRPr="002A19E4">
        <w:rPr>
          <w:rFonts w:eastAsiaTheme="minorHAnsi"/>
          <w:sz w:val="20"/>
          <w:szCs w:val="20"/>
        </w:rPr>
        <w:t xml:space="preserve"> women undergoing ovulation induction</w:t>
      </w:r>
      <w:r w:rsidR="002A19E4" w:rsidRPr="002A19E4">
        <w:rPr>
          <w:rFonts w:eastAsiaTheme="minorHAnsi"/>
          <w:sz w:val="20"/>
          <w:szCs w:val="20"/>
        </w:rPr>
        <w:t>.</w:t>
      </w:r>
      <w:r w:rsidR="002A19E4">
        <w:rPr>
          <w:rFonts w:eastAsiaTheme="minorHAnsi"/>
          <w:sz w:val="20"/>
          <w:szCs w:val="20"/>
        </w:rPr>
        <w:t xml:space="preserve"> </w:t>
      </w:r>
      <w:r w:rsidR="002A19E4" w:rsidRPr="002A19E4">
        <w:rPr>
          <w:rFonts w:eastAsia="Times New Roman"/>
          <w:sz w:val="20"/>
          <w:szCs w:val="20"/>
        </w:rPr>
        <w:t>T</w:t>
      </w:r>
      <w:r w:rsidRPr="002A19E4">
        <w:rPr>
          <w:rFonts w:eastAsia="Times New Roman"/>
          <w:sz w:val="20"/>
          <w:szCs w:val="20"/>
        </w:rPr>
        <w:t>he Cochrane Collaboration</w:t>
      </w:r>
      <w:r w:rsidR="002A19E4" w:rsidRPr="002A19E4">
        <w:rPr>
          <w:rFonts w:eastAsia="Times New Roman"/>
          <w:sz w:val="20"/>
          <w:szCs w:val="20"/>
        </w:rPr>
        <w:t>.</w:t>
      </w:r>
      <w:r w:rsidR="002A19E4">
        <w:rPr>
          <w:rFonts w:eastAsia="Times New Roman"/>
          <w:sz w:val="20"/>
          <w:szCs w:val="20"/>
        </w:rPr>
        <w:t xml:space="preserve"> </w:t>
      </w:r>
      <w:r w:rsidR="002A19E4" w:rsidRPr="002A19E4">
        <w:rPr>
          <w:rFonts w:eastAsia="Times New Roman"/>
          <w:sz w:val="20"/>
          <w:szCs w:val="20"/>
        </w:rPr>
        <w:t>P</w:t>
      </w:r>
      <w:r w:rsidRPr="002A19E4">
        <w:rPr>
          <w:rFonts w:eastAsia="Times New Roman"/>
          <w:sz w:val="20"/>
          <w:szCs w:val="20"/>
        </w:rPr>
        <w:t>ublished by Joh</w:t>
      </w:r>
      <w:r w:rsidR="002A19E4" w:rsidRPr="002A19E4">
        <w:rPr>
          <w:rFonts w:eastAsia="Times New Roman"/>
          <w:sz w:val="20"/>
          <w:szCs w:val="20"/>
        </w:rPr>
        <w:t>n</w:t>
      </w:r>
      <w:r w:rsidR="002A19E4">
        <w:rPr>
          <w:rFonts w:eastAsia="Times New Roman"/>
          <w:sz w:val="20"/>
          <w:szCs w:val="20"/>
        </w:rPr>
        <w:t xml:space="preserve"> </w:t>
      </w:r>
      <w:r w:rsidR="002A19E4" w:rsidRPr="002A19E4">
        <w:rPr>
          <w:rFonts w:eastAsia="Times New Roman"/>
          <w:sz w:val="20"/>
          <w:szCs w:val="20"/>
        </w:rPr>
        <w:t>W</w:t>
      </w:r>
      <w:r w:rsidRPr="002A19E4">
        <w:rPr>
          <w:rFonts w:eastAsia="Times New Roman"/>
          <w:sz w:val="20"/>
          <w:szCs w:val="20"/>
        </w:rPr>
        <w:t>iley</w:t>
      </w:r>
      <w:r w:rsidR="008D3F0E" w:rsidRPr="002A19E4">
        <w:rPr>
          <w:rFonts w:eastAsia="Times New Roman"/>
          <w:sz w:val="20"/>
          <w:szCs w:val="20"/>
        </w:rPr>
        <w:t xml:space="preserve"> &amp;</w:t>
      </w:r>
      <w:r w:rsidR="002A19E4">
        <w:rPr>
          <w:rFonts w:eastAsia="Times New Roman"/>
          <w:sz w:val="20"/>
          <w:szCs w:val="20"/>
        </w:rPr>
        <w:t xml:space="preserve"> </w:t>
      </w:r>
      <w:r w:rsidRPr="002A19E4">
        <w:rPr>
          <w:rFonts w:eastAsia="Times New Roman"/>
          <w:sz w:val="20"/>
          <w:szCs w:val="20"/>
        </w:rPr>
        <w:t>Sons, Ltd</w:t>
      </w:r>
      <w:r w:rsidR="002A19E4" w:rsidRPr="002A19E4">
        <w:rPr>
          <w:rFonts w:eastAsia="Times New Roman"/>
          <w:sz w:val="20"/>
          <w:szCs w:val="20"/>
        </w:rPr>
        <w:t>.</w:t>
      </w:r>
      <w:r w:rsidR="002A19E4">
        <w:rPr>
          <w:rFonts w:eastAsia="Times New Roman"/>
          <w:sz w:val="20"/>
          <w:szCs w:val="20"/>
        </w:rPr>
        <w:t xml:space="preserve"> </w:t>
      </w:r>
      <w:r w:rsidR="002A19E4" w:rsidRPr="002A19E4">
        <w:rPr>
          <w:rFonts w:eastAsia="Times New Roman"/>
          <w:sz w:val="20"/>
          <w:szCs w:val="20"/>
        </w:rPr>
        <w:t>p</w:t>
      </w:r>
      <w:r w:rsidRPr="002A19E4">
        <w:rPr>
          <w:rFonts w:eastAsia="Times New Roman"/>
          <w:sz w:val="20"/>
          <w:szCs w:val="20"/>
        </w:rPr>
        <w:t>ublished in Issue 11:1-21.</w:t>
      </w:r>
    </w:p>
    <w:p w:rsidR="00350B59" w:rsidRPr="002A19E4" w:rsidRDefault="00350B59" w:rsidP="002A19E4">
      <w:pPr>
        <w:pStyle w:val="ListParagraph"/>
        <w:numPr>
          <w:ilvl w:val="0"/>
          <w:numId w:val="20"/>
        </w:numPr>
        <w:autoSpaceDE w:val="0"/>
        <w:autoSpaceDN w:val="0"/>
        <w:bidi w:val="0"/>
        <w:adjustRightInd w:val="0"/>
        <w:snapToGrid w:val="0"/>
        <w:jc w:val="both"/>
        <w:rPr>
          <w:rFonts w:eastAsiaTheme="minorHAnsi"/>
          <w:sz w:val="20"/>
          <w:szCs w:val="20"/>
        </w:rPr>
      </w:pPr>
      <w:proofErr w:type="spellStart"/>
      <w:r w:rsidRPr="002A19E4">
        <w:rPr>
          <w:rFonts w:eastAsiaTheme="minorHAnsi"/>
          <w:bCs/>
          <w:sz w:val="20"/>
          <w:szCs w:val="20"/>
        </w:rPr>
        <w:t>Gülekli</w:t>
      </w:r>
      <w:proofErr w:type="spellEnd"/>
      <w:r w:rsidRPr="002A19E4">
        <w:rPr>
          <w:rFonts w:eastAsiaTheme="minorHAnsi"/>
          <w:bCs/>
          <w:sz w:val="20"/>
          <w:szCs w:val="20"/>
        </w:rPr>
        <w:t xml:space="preserve"> B, </w:t>
      </w:r>
      <w:proofErr w:type="spellStart"/>
      <w:r w:rsidRPr="002A19E4">
        <w:rPr>
          <w:rFonts w:eastAsiaTheme="minorHAnsi"/>
          <w:bCs/>
          <w:sz w:val="20"/>
          <w:szCs w:val="20"/>
        </w:rPr>
        <w:t>Gode</w:t>
      </w:r>
      <w:proofErr w:type="spellEnd"/>
      <w:r w:rsidRPr="002A19E4">
        <w:rPr>
          <w:rFonts w:eastAsiaTheme="minorHAnsi"/>
          <w:bCs/>
          <w:sz w:val="20"/>
          <w:szCs w:val="20"/>
        </w:rPr>
        <w:t xml:space="preserve"> F, </w:t>
      </w:r>
      <w:proofErr w:type="spellStart"/>
      <w:r w:rsidRPr="002A19E4">
        <w:rPr>
          <w:rFonts w:eastAsiaTheme="minorHAnsi"/>
          <w:bCs/>
          <w:sz w:val="20"/>
          <w:szCs w:val="20"/>
        </w:rPr>
        <w:t>Sertkaya</w:t>
      </w:r>
      <w:proofErr w:type="spellEnd"/>
      <w:r w:rsidRPr="002A19E4">
        <w:rPr>
          <w:rFonts w:eastAsiaTheme="minorHAnsi"/>
          <w:bCs/>
          <w:sz w:val="20"/>
          <w:szCs w:val="20"/>
        </w:rPr>
        <w:t xml:space="preserve"> Z, </w:t>
      </w:r>
      <w:proofErr w:type="spellStart"/>
      <w:r w:rsidRPr="002A19E4">
        <w:rPr>
          <w:rFonts w:eastAsiaTheme="minorHAnsi"/>
          <w:bCs/>
          <w:sz w:val="20"/>
          <w:szCs w:val="20"/>
        </w:rPr>
        <w:t>Isik</w:t>
      </w:r>
      <w:proofErr w:type="spellEnd"/>
      <w:r w:rsidRPr="002A19E4">
        <w:rPr>
          <w:rFonts w:eastAsiaTheme="minorHAnsi"/>
          <w:bCs/>
          <w:sz w:val="20"/>
          <w:szCs w:val="20"/>
        </w:rPr>
        <w:t xml:space="preserve"> AZ</w:t>
      </w:r>
      <w:r w:rsidR="002A19E4" w:rsidRPr="002A19E4">
        <w:rPr>
          <w:rFonts w:eastAsiaTheme="minorHAnsi"/>
          <w:bCs/>
          <w:sz w:val="20"/>
          <w:szCs w:val="20"/>
        </w:rPr>
        <w:t>.</w:t>
      </w:r>
      <w:r w:rsidR="002A19E4">
        <w:rPr>
          <w:rFonts w:eastAsiaTheme="minorHAnsi"/>
          <w:bCs/>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onadotropin</w:t>
      </w:r>
      <w:proofErr w:type="spellEnd"/>
      <w:r w:rsidRPr="002A19E4">
        <w:rPr>
          <w:rFonts w:eastAsiaTheme="minorHAnsi"/>
          <w:sz w:val="20"/>
          <w:szCs w:val="20"/>
        </w:rPr>
        <w:t xml:space="preserve">-releasing hormone agonist triggering is effective, even at a low dose, for final </w:t>
      </w:r>
      <w:proofErr w:type="spellStart"/>
      <w:r w:rsidRPr="002A19E4">
        <w:rPr>
          <w:rFonts w:eastAsiaTheme="minorHAnsi"/>
          <w:sz w:val="20"/>
          <w:szCs w:val="20"/>
        </w:rPr>
        <w:t>oocyte</w:t>
      </w:r>
      <w:proofErr w:type="spellEnd"/>
      <w:r w:rsidRPr="002A19E4">
        <w:rPr>
          <w:rFonts w:eastAsiaTheme="minorHAnsi"/>
          <w:sz w:val="20"/>
          <w:szCs w:val="20"/>
        </w:rPr>
        <w:t xml:space="preserve"> maturation in ART cycles: Case series. J Turk Ge</w:t>
      </w:r>
      <w:r w:rsidR="002A19E4" w:rsidRPr="002A19E4">
        <w:rPr>
          <w:rFonts w:eastAsiaTheme="minorHAnsi"/>
          <w:sz w:val="20"/>
          <w:szCs w:val="20"/>
        </w:rPr>
        <w:t>r</w:t>
      </w:r>
      <w:r w:rsidR="002A19E4">
        <w:rPr>
          <w:rFonts w:eastAsiaTheme="minorHAnsi"/>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yneco</w:t>
      </w:r>
      <w:r w:rsidR="002A19E4" w:rsidRPr="002A19E4">
        <w:rPr>
          <w:rFonts w:eastAsiaTheme="minorHAnsi"/>
          <w:sz w:val="20"/>
          <w:szCs w:val="20"/>
        </w:rPr>
        <w:t>l</w:t>
      </w:r>
      <w:proofErr w:type="spellEnd"/>
      <w:r w:rsidR="002A19E4">
        <w:rPr>
          <w:rFonts w:eastAsiaTheme="minorHAnsi"/>
          <w:sz w:val="20"/>
          <w:szCs w:val="20"/>
        </w:rPr>
        <w:t xml:space="preserve"> </w:t>
      </w:r>
      <w:r w:rsidR="002A19E4" w:rsidRPr="002A19E4">
        <w:rPr>
          <w:rFonts w:eastAsiaTheme="minorHAnsi"/>
          <w:sz w:val="20"/>
          <w:szCs w:val="20"/>
        </w:rPr>
        <w:t>A</w:t>
      </w:r>
      <w:r w:rsidRPr="002A19E4">
        <w:rPr>
          <w:rFonts w:eastAsiaTheme="minorHAnsi"/>
          <w:sz w:val="20"/>
          <w:szCs w:val="20"/>
        </w:rPr>
        <w:t>ssoc 16: 35-40.</w:t>
      </w:r>
    </w:p>
    <w:p w:rsidR="00350B59" w:rsidRPr="002A19E4" w:rsidRDefault="00350B59" w:rsidP="002A19E4">
      <w:pPr>
        <w:pStyle w:val="ListParagraph"/>
        <w:numPr>
          <w:ilvl w:val="0"/>
          <w:numId w:val="20"/>
        </w:numPr>
        <w:autoSpaceDE w:val="0"/>
        <w:autoSpaceDN w:val="0"/>
        <w:bidi w:val="0"/>
        <w:adjustRightInd w:val="0"/>
        <w:snapToGrid w:val="0"/>
        <w:jc w:val="both"/>
        <w:rPr>
          <w:rFonts w:eastAsiaTheme="minorHAnsi"/>
          <w:sz w:val="20"/>
          <w:szCs w:val="20"/>
        </w:rPr>
      </w:pPr>
      <w:proofErr w:type="spellStart"/>
      <w:r w:rsidRPr="002A19E4">
        <w:rPr>
          <w:rFonts w:eastAsiaTheme="minorHAnsi"/>
          <w:bCs/>
          <w:sz w:val="20"/>
          <w:szCs w:val="20"/>
        </w:rPr>
        <w:t>Humaidan</w:t>
      </w:r>
      <w:proofErr w:type="spellEnd"/>
      <w:r w:rsidRPr="002A19E4">
        <w:rPr>
          <w:rFonts w:eastAsiaTheme="minorHAnsi"/>
          <w:bCs/>
          <w:sz w:val="20"/>
          <w:szCs w:val="20"/>
        </w:rPr>
        <w:t xml:space="preserve"> P, </w:t>
      </w:r>
      <w:proofErr w:type="spellStart"/>
      <w:r w:rsidRPr="002A19E4">
        <w:rPr>
          <w:rFonts w:eastAsiaTheme="minorHAnsi"/>
          <w:bCs/>
          <w:sz w:val="20"/>
          <w:szCs w:val="20"/>
        </w:rPr>
        <w:t>Bredkjaer</w:t>
      </w:r>
      <w:proofErr w:type="spellEnd"/>
      <w:r w:rsidRPr="002A19E4">
        <w:rPr>
          <w:rFonts w:eastAsiaTheme="minorHAnsi"/>
          <w:bCs/>
          <w:sz w:val="20"/>
          <w:szCs w:val="20"/>
        </w:rPr>
        <w:t xml:space="preserve"> HE, </w:t>
      </w:r>
      <w:proofErr w:type="spellStart"/>
      <w:r w:rsidRPr="002A19E4">
        <w:rPr>
          <w:rFonts w:eastAsiaTheme="minorHAnsi"/>
          <w:bCs/>
          <w:sz w:val="20"/>
          <w:szCs w:val="20"/>
        </w:rPr>
        <w:t>Bungum</w:t>
      </w:r>
      <w:proofErr w:type="spellEnd"/>
      <w:r w:rsidRPr="002A19E4">
        <w:rPr>
          <w:rFonts w:eastAsiaTheme="minorHAnsi"/>
          <w:bCs/>
          <w:sz w:val="20"/>
          <w:szCs w:val="20"/>
        </w:rPr>
        <w:t xml:space="preserve"> L, </w:t>
      </w:r>
      <w:proofErr w:type="spellStart"/>
      <w:r w:rsidRPr="002A19E4">
        <w:rPr>
          <w:rFonts w:eastAsiaTheme="minorHAnsi"/>
          <w:bCs/>
          <w:sz w:val="20"/>
          <w:szCs w:val="20"/>
        </w:rPr>
        <w:t>Bungum</w:t>
      </w:r>
      <w:proofErr w:type="spellEnd"/>
      <w:r w:rsidRPr="002A19E4">
        <w:rPr>
          <w:rFonts w:eastAsiaTheme="minorHAnsi"/>
          <w:bCs/>
          <w:sz w:val="20"/>
          <w:szCs w:val="20"/>
        </w:rPr>
        <w:t xml:space="preserve"> M, </w:t>
      </w:r>
      <w:proofErr w:type="spellStart"/>
      <w:r w:rsidRPr="002A19E4">
        <w:rPr>
          <w:rFonts w:eastAsiaTheme="minorHAnsi"/>
          <w:bCs/>
          <w:sz w:val="20"/>
          <w:szCs w:val="20"/>
        </w:rPr>
        <w:t>Grondahl</w:t>
      </w:r>
      <w:proofErr w:type="spellEnd"/>
      <w:r w:rsidRPr="002A19E4">
        <w:rPr>
          <w:rFonts w:eastAsiaTheme="minorHAnsi"/>
          <w:bCs/>
          <w:sz w:val="20"/>
          <w:szCs w:val="20"/>
        </w:rPr>
        <w:t xml:space="preserve"> ML, </w:t>
      </w:r>
      <w:proofErr w:type="spellStart"/>
      <w:r w:rsidRPr="002A19E4">
        <w:rPr>
          <w:rFonts w:eastAsiaTheme="minorHAnsi"/>
          <w:bCs/>
          <w:sz w:val="20"/>
          <w:szCs w:val="20"/>
        </w:rPr>
        <w:t>Westergaard</w:t>
      </w:r>
      <w:proofErr w:type="spellEnd"/>
      <w:r w:rsidRPr="002A19E4">
        <w:rPr>
          <w:rFonts w:eastAsiaTheme="minorHAnsi"/>
          <w:bCs/>
          <w:sz w:val="20"/>
          <w:szCs w:val="20"/>
        </w:rPr>
        <w:t xml:space="preserve"> L, Andersen CY</w:t>
      </w:r>
      <w:r w:rsidR="00345B9A">
        <w:rPr>
          <w:rFonts w:eastAsiaTheme="minorEastAsia" w:hint="eastAsia"/>
          <w:bCs/>
          <w:sz w:val="20"/>
          <w:szCs w:val="20"/>
          <w:lang w:eastAsia="zh-CN"/>
        </w:rPr>
        <w:t xml:space="preserve"> </w:t>
      </w:r>
      <w:r w:rsidRPr="002A19E4">
        <w:rPr>
          <w:rFonts w:eastAsiaTheme="minorHAnsi"/>
          <w:bCs/>
          <w:sz w:val="20"/>
          <w:szCs w:val="20"/>
        </w:rPr>
        <w:t>(2005)</w:t>
      </w:r>
      <w:r w:rsidR="002A19E4" w:rsidRPr="002A19E4">
        <w:rPr>
          <w:rFonts w:eastAsiaTheme="minorHAnsi"/>
          <w:bCs/>
          <w:sz w:val="20"/>
          <w:szCs w:val="20"/>
        </w:rPr>
        <w:t>:</w:t>
      </w:r>
      <w:r w:rsidR="002A19E4">
        <w:rPr>
          <w:rFonts w:eastAsiaTheme="minorHAnsi"/>
          <w:bCs/>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nRH</w:t>
      </w:r>
      <w:proofErr w:type="spellEnd"/>
      <w:r w:rsidRPr="002A19E4">
        <w:rPr>
          <w:rFonts w:eastAsiaTheme="minorHAnsi"/>
          <w:sz w:val="20"/>
          <w:szCs w:val="20"/>
        </w:rPr>
        <w:t xml:space="preserve"> agonist (</w:t>
      </w:r>
      <w:proofErr w:type="spellStart"/>
      <w:r w:rsidRPr="002A19E4">
        <w:rPr>
          <w:rFonts w:eastAsiaTheme="minorHAnsi"/>
          <w:sz w:val="20"/>
          <w:szCs w:val="20"/>
        </w:rPr>
        <w:t>buserelin</w:t>
      </w:r>
      <w:proofErr w:type="spellEnd"/>
      <w:r w:rsidRPr="002A19E4">
        <w:rPr>
          <w:rFonts w:eastAsiaTheme="minorHAnsi"/>
          <w:sz w:val="20"/>
          <w:szCs w:val="20"/>
        </w:rPr>
        <w:t xml:space="preserve">) or </w:t>
      </w:r>
      <w:proofErr w:type="spellStart"/>
      <w:r w:rsidRPr="002A19E4">
        <w:rPr>
          <w:rFonts w:eastAsiaTheme="minorHAnsi"/>
          <w:sz w:val="20"/>
          <w:szCs w:val="20"/>
        </w:rPr>
        <w:t>hCG</w:t>
      </w:r>
      <w:proofErr w:type="spellEnd"/>
      <w:r w:rsidRPr="002A19E4">
        <w:rPr>
          <w:rFonts w:eastAsiaTheme="minorHAnsi"/>
          <w:sz w:val="20"/>
          <w:szCs w:val="20"/>
        </w:rPr>
        <w:t xml:space="preserve"> for ovulation induction in </w:t>
      </w:r>
      <w:proofErr w:type="spellStart"/>
      <w:r w:rsidRPr="002A19E4">
        <w:rPr>
          <w:rFonts w:eastAsiaTheme="minorHAnsi"/>
          <w:sz w:val="20"/>
          <w:szCs w:val="20"/>
        </w:rPr>
        <w:t>GnRH</w:t>
      </w:r>
      <w:proofErr w:type="spellEnd"/>
      <w:r w:rsidRPr="002A19E4">
        <w:rPr>
          <w:rFonts w:eastAsiaTheme="minorHAnsi"/>
          <w:sz w:val="20"/>
          <w:szCs w:val="20"/>
        </w:rPr>
        <w:t xml:space="preserve"> antagonist IVF/ICSI cycles: a prospective randomized study. Hum </w:t>
      </w:r>
      <w:proofErr w:type="spellStart"/>
      <w:r w:rsidRPr="002A19E4">
        <w:rPr>
          <w:rFonts w:eastAsiaTheme="minorHAnsi"/>
          <w:sz w:val="20"/>
          <w:szCs w:val="20"/>
        </w:rPr>
        <w:t>Reprod</w:t>
      </w:r>
      <w:proofErr w:type="spellEnd"/>
      <w:r w:rsidRPr="002A19E4">
        <w:rPr>
          <w:rFonts w:eastAsiaTheme="minorHAnsi"/>
          <w:sz w:val="20"/>
          <w:szCs w:val="20"/>
        </w:rPr>
        <w:t>; 20: 1213–1220.</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Humaidan</w:t>
      </w:r>
      <w:proofErr w:type="spellEnd"/>
      <w:r w:rsidRPr="002A19E4">
        <w:rPr>
          <w:rFonts w:eastAsiaTheme="minorHAnsi"/>
          <w:bCs/>
          <w:sz w:val="20"/>
          <w:szCs w:val="20"/>
        </w:rPr>
        <w:t xml:space="preserve"> P, </w:t>
      </w:r>
      <w:proofErr w:type="spellStart"/>
      <w:r w:rsidRPr="002A19E4">
        <w:rPr>
          <w:rFonts w:eastAsiaTheme="minorHAnsi"/>
          <w:bCs/>
          <w:sz w:val="20"/>
          <w:szCs w:val="20"/>
        </w:rPr>
        <w:t>Bungum</w:t>
      </w:r>
      <w:proofErr w:type="spellEnd"/>
      <w:r w:rsidRPr="002A19E4">
        <w:rPr>
          <w:rFonts w:eastAsiaTheme="minorHAnsi"/>
          <w:bCs/>
          <w:sz w:val="20"/>
          <w:szCs w:val="20"/>
        </w:rPr>
        <w:t xml:space="preserve"> L, </w:t>
      </w:r>
      <w:proofErr w:type="spellStart"/>
      <w:r w:rsidRPr="002A19E4">
        <w:rPr>
          <w:rFonts w:eastAsiaTheme="minorHAnsi"/>
          <w:bCs/>
          <w:sz w:val="20"/>
          <w:szCs w:val="20"/>
        </w:rPr>
        <w:t>Bungum</w:t>
      </w:r>
      <w:proofErr w:type="spellEnd"/>
      <w:r w:rsidRPr="002A19E4">
        <w:rPr>
          <w:rFonts w:eastAsiaTheme="minorHAnsi"/>
          <w:bCs/>
          <w:sz w:val="20"/>
          <w:szCs w:val="20"/>
        </w:rPr>
        <w:t xml:space="preserve"> M, Andersen CY (2006):</w:t>
      </w:r>
      <w:r w:rsidRPr="002A19E4">
        <w:rPr>
          <w:rFonts w:eastAsiaTheme="minorHAnsi"/>
          <w:sz w:val="20"/>
          <w:szCs w:val="20"/>
        </w:rPr>
        <w:t xml:space="preserve"> Rescue of corpus </w:t>
      </w:r>
      <w:proofErr w:type="spellStart"/>
      <w:r w:rsidRPr="002A19E4">
        <w:rPr>
          <w:rFonts w:eastAsiaTheme="minorHAnsi"/>
          <w:sz w:val="20"/>
          <w:szCs w:val="20"/>
        </w:rPr>
        <w:t>luteum</w:t>
      </w:r>
      <w:proofErr w:type="spellEnd"/>
      <w:r w:rsidRPr="002A19E4">
        <w:rPr>
          <w:rFonts w:eastAsiaTheme="minorHAnsi"/>
          <w:sz w:val="20"/>
          <w:szCs w:val="20"/>
        </w:rPr>
        <w:t xml:space="preserve"> function with </w:t>
      </w:r>
      <w:proofErr w:type="spellStart"/>
      <w:r w:rsidRPr="002A19E4">
        <w:rPr>
          <w:rFonts w:eastAsiaTheme="minorHAnsi"/>
          <w:sz w:val="20"/>
          <w:szCs w:val="20"/>
        </w:rPr>
        <w:t>periovulatory</w:t>
      </w:r>
      <w:proofErr w:type="spellEnd"/>
      <w:r w:rsidRPr="002A19E4">
        <w:rPr>
          <w:rFonts w:eastAsiaTheme="minorHAnsi"/>
          <w:sz w:val="20"/>
          <w:szCs w:val="20"/>
        </w:rPr>
        <w:t xml:space="preserve"> HCG supplementation in IVF/ICS </w:t>
      </w:r>
      <w:proofErr w:type="spellStart"/>
      <w:r w:rsidRPr="002A19E4">
        <w:rPr>
          <w:rFonts w:eastAsiaTheme="minorHAnsi"/>
          <w:sz w:val="20"/>
          <w:szCs w:val="20"/>
        </w:rPr>
        <w:t>GnRH</w:t>
      </w:r>
      <w:proofErr w:type="spellEnd"/>
      <w:r w:rsidRPr="002A19E4">
        <w:rPr>
          <w:rFonts w:eastAsiaTheme="minorHAnsi"/>
          <w:sz w:val="20"/>
          <w:szCs w:val="20"/>
        </w:rPr>
        <w:t xml:space="preserve"> antagonist cycles in which ovulation was triggered with a </w:t>
      </w:r>
      <w:proofErr w:type="spellStart"/>
      <w:r w:rsidRPr="002A19E4">
        <w:rPr>
          <w:rFonts w:eastAsiaTheme="minorHAnsi"/>
          <w:sz w:val="20"/>
          <w:szCs w:val="20"/>
        </w:rPr>
        <w:t>GnRH</w:t>
      </w:r>
      <w:proofErr w:type="spellEnd"/>
      <w:r w:rsidRPr="002A19E4">
        <w:rPr>
          <w:rFonts w:eastAsiaTheme="minorHAnsi"/>
          <w:sz w:val="20"/>
          <w:szCs w:val="20"/>
        </w:rPr>
        <w:t xml:space="preserve"> agonist: a pilot study</w:t>
      </w:r>
      <w:r w:rsidRPr="002A19E4">
        <w:rPr>
          <w:rFonts w:eastAsiaTheme="minorHAnsi"/>
          <w:bCs/>
          <w:sz w:val="20"/>
          <w:szCs w:val="20"/>
        </w:rPr>
        <w:t>.</w:t>
      </w:r>
      <w:r w:rsidRPr="002A19E4">
        <w:rPr>
          <w:rFonts w:eastAsiaTheme="minorHAnsi"/>
          <w:sz w:val="20"/>
          <w:szCs w:val="20"/>
        </w:rPr>
        <w:t xml:space="preserve"> Reproductive Bi</w:t>
      </w:r>
      <w:r w:rsidR="002A19E4" w:rsidRPr="002A19E4">
        <w:rPr>
          <w:rFonts w:eastAsiaTheme="minorHAnsi"/>
          <w:sz w:val="20"/>
          <w:szCs w:val="20"/>
        </w:rPr>
        <w:t>o</w:t>
      </w:r>
      <w:r w:rsidR="002A19E4">
        <w:rPr>
          <w:rFonts w:eastAsiaTheme="minorHAnsi"/>
          <w:sz w:val="20"/>
          <w:szCs w:val="20"/>
        </w:rPr>
        <w:t xml:space="preserve"> </w:t>
      </w:r>
      <w:r w:rsidR="002A19E4" w:rsidRPr="002A19E4">
        <w:rPr>
          <w:rFonts w:eastAsiaTheme="minorHAnsi"/>
          <w:sz w:val="20"/>
          <w:szCs w:val="20"/>
        </w:rPr>
        <w:t>M</w:t>
      </w:r>
      <w:r w:rsidRPr="002A19E4">
        <w:rPr>
          <w:rFonts w:eastAsiaTheme="minorHAnsi"/>
          <w:sz w:val="20"/>
          <w:szCs w:val="20"/>
        </w:rPr>
        <w:t>edicine; 13(2): 173-178.</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Humaidan</w:t>
      </w:r>
      <w:proofErr w:type="spellEnd"/>
      <w:r w:rsidRPr="002A19E4">
        <w:rPr>
          <w:rFonts w:eastAsiaTheme="minorHAnsi"/>
          <w:bCs/>
          <w:sz w:val="20"/>
          <w:szCs w:val="20"/>
        </w:rPr>
        <w:t xml:space="preserve"> P, </w:t>
      </w:r>
      <w:proofErr w:type="spellStart"/>
      <w:r w:rsidRPr="002A19E4">
        <w:rPr>
          <w:rFonts w:eastAsiaTheme="minorHAnsi"/>
          <w:bCs/>
          <w:sz w:val="20"/>
          <w:szCs w:val="20"/>
        </w:rPr>
        <w:t>Ejdru</w:t>
      </w:r>
      <w:r w:rsidR="002A19E4" w:rsidRPr="002A19E4">
        <w:rPr>
          <w:rFonts w:eastAsiaTheme="minorHAnsi"/>
          <w:bCs/>
          <w:sz w:val="20"/>
          <w:szCs w:val="20"/>
        </w:rPr>
        <w:t>p</w:t>
      </w:r>
      <w:proofErr w:type="spellEnd"/>
      <w:r w:rsidR="002A19E4">
        <w:rPr>
          <w:rFonts w:eastAsiaTheme="minorHAnsi"/>
          <w:bCs/>
          <w:sz w:val="20"/>
          <w:szCs w:val="20"/>
        </w:rPr>
        <w:t xml:space="preserve"> </w:t>
      </w:r>
      <w:proofErr w:type="spellStart"/>
      <w:r w:rsidR="002A19E4" w:rsidRPr="002A19E4">
        <w:rPr>
          <w:rFonts w:eastAsiaTheme="minorHAnsi"/>
          <w:bCs/>
          <w:sz w:val="20"/>
          <w:szCs w:val="20"/>
        </w:rPr>
        <w:t>B</w:t>
      </w:r>
      <w:r w:rsidRPr="002A19E4">
        <w:rPr>
          <w:rFonts w:eastAsiaTheme="minorHAnsi"/>
          <w:bCs/>
          <w:sz w:val="20"/>
          <w:szCs w:val="20"/>
        </w:rPr>
        <w:t>redkjaer</w:t>
      </w:r>
      <w:proofErr w:type="spellEnd"/>
      <w:r w:rsidRPr="002A19E4">
        <w:rPr>
          <w:rFonts w:eastAsiaTheme="minorHAnsi"/>
          <w:bCs/>
          <w:sz w:val="20"/>
          <w:szCs w:val="20"/>
        </w:rPr>
        <w:t xml:space="preserve"> H, </w:t>
      </w:r>
      <w:proofErr w:type="spellStart"/>
      <w:r w:rsidRPr="002A19E4">
        <w:rPr>
          <w:rFonts w:eastAsiaTheme="minorHAnsi"/>
          <w:bCs/>
          <w:sz w:val="20"/>
          <w:szCs w:val="20"/>
        </w:rPr>
        <w:t>Westergaard</w:t>
      </w:r>
      <w:proofErr w:type="spellEnd"/>
      <w:r w:rsidRPr="002A19E4">
        <w:rPr>
          <w:rFonts w:eastAsiaTheme="minorHAnsi"/>
          <w:bCs/>
          <w:sz w:val="20"/>
          <w:szCs w:val="20"/>
        </w:rPr>
        <w:t xml:space="preserve"> LG, Andersen CY (2010):</w:t>
      </w:r>
      <w:r w:rsidRPr="002A19E4">
        <w:rPr>
          <w:rFonts w:eastAsiaTheme="minorHAnsi"/>
          <w:sz w:val="20"/>
          <w:szCs w:val="20"/>
        </w:rPr>
        <w:t xml:space="preserve"> 1,500 IU human chorionic </w:t>
      </w:r>
      <w:proofErr w:type="spellStart"/>
      <w:r w:rsidRPr="002A19E4">
        <w:rPr>
          <w:rFonts w:eastAsiaTheme="minorHAnsi"/>
          <w:sz w:val="20"/>
          <w:szCs w:val="20"/>
        </w:rPr>
        <w:t>gonadotropin</w:t>
      </w:r>
      <w:proofErr w:type="spellEnd"/>
      <w:r w:rsidRPr="002A19E4">
        <w:rPr>
          <w:rFonts w:eastAsiaTheme="minorHAnsi"/>
          <w:sz w:val="20"/>
          <w:szCs w:val="20"/>
        </w:rPr>
        <w:t xml:space="preserve"> administered at </w:t>
      </w:r>
      <w:proofErr w:type="spellStart"/>
      <w:r w:rsidRPr="002A19E4">
        <w:rPr>
          <w:rFonts w:eastAsiaTheme="minorHAnsi"/>
          <w:sz w:val="20"/>
          <w:szCs w:val="20"/>
        </w:rPr>
        <w:t>oocyte</w:t>
      </w:r>
      <w:proofErr w:type="spellEnd"/>
      <w:r w:rsidRPr="002A19E4">
        <w:rPr>
          <w:rFonts w:eastAsiaTheme="minorHAnsi"/>
          <w:sz w:val="20"/>
          <w:szCs w:val="20"/>
        </w:rPr>
        <w:t xml:space="preserve"> retrieval rescues the </w:t>
      </w:r>
      <w:proofErr w:type="spellStart"/>
      <w:r w:rsidRPr="002A19E4">
        <w:rPr>
          <w:rFonts w:eastAsiaTheme="minorHAnsi"/>
          <w:sz w:val="20"/>
          <w:szCs w:val="20"/>
        </w:rPr>
        <w:t>luteal</w:t>
      </w:r>
      <w:proofErr w:type="spellEnd"/>
      <w:r w:rsidRPr="002A19E4">
        <w:rPr>
          <w:rFonts w:eastAsiaTheme="minorHAnsi"/>
          <w:sz w:val="20"/>
          <w:szCs w:val="20"/>
        </w:rPr>
        <w:t xml:space="preserve"> phase when </w:t>
      </w:r>
      <w:proofErr w:type="spellStart"/>
      <w:r w:rsidRPr="002A19E4">
        <w:rPr>
          <w:rFonts w:eastAsiaTheme="minorHAnsi"/>
          <w:sz w:val="20"/>
          <w:szCs w:val="20"/>
        </w:rPr>
        <w:t>gonadotropin</w:t>
      </w:r>
      <w:proofErr w:type="spellEnd"/>
      <w:r w:rsidRPr="002A19E4">
        <w:rPr>
          <w:rFonts w:eastAsiaTheme="minorHAnsi"/>
          <w:sz w:val="20"/>
          <w:szCs w:val="20"/>
        </w:rPr>
        <w:t xml:space="preserve">-releasing hormone agonist is used for ovulation induction: a prospective, randomized, controlled study. </w:t>
      </w:r>
      <w:proofErr w:type="spellStart"/>
      <w:r w:rsidRPr="002A19E4">
        <w:rPr>
          <w:rFonts w:eastAsiaTheme="minorHAnsi"/>
          <w:sz w:val="20"/>
          <w:szCs w:val="20"/>
        </w:rPr>
        <w:t>Ferti</w:t>
      </w:r>
      <w:r w:rsidR="002A19E4" w:rsidRPr="002A19E4">
        <w:rPr>
          <w:rFonts w:eastAsiaTheme="minorHAnsi"/>
          <w:sz w:val="20"/>
          <w:szCs w:val="20"/>
        </w:rPr>
        <w:t>l</w:t>
      </w:r>
      <w:proofErr w:type="spellEnd"/>
      <w:r w:rsidR="002A19E4">
        <w:rPr>
          <w:rFonts w:eastAsiaTheme="minorHAnsi"/>
          <w:sz w:val="20"/>
          <w:szCs w:val="20"/>
        </w:rPr>
        <w:t xml:space="preserve"> </w:t>
      </w:r>
      <w:proofErr w:type="spellStart"/>
      <w:r w:rsidR="002A19E4" w:rsidRPr="002A19E4">
        <w:rPr>
          <w:rFonts w:eastAsiaTheme="minorHAnsi"/>
          <w:sz w:val="20"/>
          <w:szCs w:val="20"/>
        </w:rPr>
        <w:t>S</w:t>
      </w:r>
      <w:r w:rsidRPr="002A19E4">
        <w:rPr>
          <w:rFonts w:eastAsiaTheme="minorHAnsi"/>
          <w:sz w:val="20"/>
          <w:szCs w:val="20"/>
        </w:rPr>
        <w:t>teril</w:t>
      </w:r>
      <w:proofErr w:type="spellEnd"/>
      <w:r w:rsidRPr="002A19E4">
        <w:rPr>
          <w:rFonts w:eastAsiaTheme="minorHAnsi"/>
          <w:sz w:val="20"/>
          <w:szCs w:val="20"/>
        </w:rPr>
        <w:t>; 93: 847–854.</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Humaidan</w:t>
      </w:r>
      <w:proofErr w:type="spellEnd"/>
      <w:r w:rsidRPr="002A19E4">
        <w:rPr>
          <w:rFonts w:eastAsiaTheme="minorHAnsi"/>
          <w:bCs/>
          <w:sz w:val="20"/>
          <w:szCs w:val="20"/>
        </w:rPr>
        <w:t xml:space="preserve"> P, </w:t>
      </w:r>
      <w:proofErr w:type="spellStart"/>
      <w:r w:rsidRPr="002A19E4">
        <w:rPr>
          <w:rFonts w:eastAsiaTheme="minorHAnsi"/>
          <w:bCs/>
          <w:sz w:val="20"/>
          <w:szCs w:val="20"/>
        </w:rPr>
        <w:t>Kol</w:t>
      </w:r>
      <w:proofErr w:type="spellEnd"/>
      <w:r w:rsidRPr="002A19E4">
        <w:rPr>
          <w:rFonts w:eastAsiaTheme="minorHAnsi"/>
          <w:bCs/>
          <w:sz w:val="20"/>
          <w:szCs w:val="20"/>
        </w:rPr>
        <w:t xml:space="preserve"> S. and </w:t>
      </w:r>
      <w:proofErr w:type="spellStart"/>
      <w:r w:rsidRPr="002A19E4">
        <w:rPr>
          <w:rFonts w:eastAsiaTheme="minorHAnsi"/>
          <w:bCs/>
          <w:sz w:val="20"/>
          <w:szCs w:val="20"/>
        </w:rPr>
        <w:t>Papanikolaou</w:t>
      </w:r>
      <w:proofErr w:type="spellEnd"/>
      <w:r w:rsidRPr="002A19E4">
        <w:rPr>
          <w:rFonts w:eastAsiaTheme="minorHAnsi"/>
          <w:bCs/>
          <w:sz w:val="20"/>
          <w:szCs w:val="20"/>
        </w:rPr>
        <w:t xml:space="preserve"> EG. (2011): </w:t>
      </w:r>
      <w:proofErr w:type="spellStart"/>
      <w:r w:rsidRPr="002A19E4">
        <w:rPr>
          <w:rFonts w:eastAsiaTheme="minorHAnsi"/>
          <w:sz w:val="20"/>
          <w:szCs w:val="20"/>
        </w:rPr>
        <w:t>GnRH</w:t>
      </w:r>
      <w:proofErr w:type="spellEnd"/>
      <w:r w:rsidRPr="002A19E4">
        <w:rPr>
          <w:rFonts w:eastAsiaTheme="minorHAnsi"/>
          <w:sz w:val="20"/>
          <w:szCs w:val="20"/>
        </w:rPr>
        <w:t xml:space="preserve"> agonist for triggering of final </w:t>
      </w:r>
      <w:proofErr w:type="spellStart"/>
      <w:r w:rsidRPr="002A19E4">
        <w:rPr>
          <w:rFonts w:eastAsiaTheme="minorHAnsi"/>
          <w:sz w:val="20"/>
          <w:szCs w:val="20"/>
        </w:rPr>
        <w:t>oocyte</w:t>
      </w:r>
      <w:proofErr w:type="spellEnd"/>
      <w:r w:rsidRPr="002A19E4">
        <w:rPr>
          <w:rFonts w:eastAsiaTheme="minorHAnsi"/>
          <w:sz w:val="20"/>
          <w:szCs w:val="20"/>
        </w:rPr>
        <w:t xml:space="preserve"> maturation: time for a change of practice? Hum </w:t>
      </w:r>
      <w:proofErr w:type="spellStart"/>
      <w:r w:rsidRPr="002A19E4">
        <w:rPr>
          <w:rFonts w:eastAsiaTheme="minorHAnsi"/>
          <w:sz w:val="20"/>
          <w:szCs w:val="20"/>
        </w:rPr>
        <w:t>Reprod</w:t>
      </w:r>
      <w:proofErr w:type="spellEnd"/>
      <w:r w:rsidRPr="002A19E4">
        <w:rPr>
          <w:rFonts w:eastAsiaTheme="minorHAnsi"/>
          <w:sz w:val="20"/>
          <w:szCs w:val="20"/>
        </w:rPr>
        <w:t xml:space="preserve"> Update; 17: 510–524.</w:t>
      </w:r>
    </w:p>
    <w:p w:rsidR="00350B59" w:rsidRPr="002A19E4" w:rsidRDefault="00350B59" w:rsidP="002A19E4">
      <w:pPr>
        <w:pStyle w:val="ListParagraph"/>
        <w:numPr>
          <w:ilvl w:val="0"/>
          <w:numId w:val="20"/>
        </w:numPr>
        <w:autoSpaceDE w:val="0"/>
        <w:autoSpaceDN w:val="0"/>
        <w:bidi w:val="0"/>
        <w:adjustRightInd w:val="0"/>
        <w:snapToGrid w:val="0"/>
        <w:jc w:val="both"/>
        <w:rPr>
          <w:rFonts w:eastAsiaTheme="minorHAnsi"/>
          <w:sz w:val="20"/>
          <w:szCs w:val="20"/>
        </w:rPr>
      </w:pPr>
      <w:proofErr w:type="spellStart"/>
      <w:r w:rsidRPr="002A19E4">
        <w:rPr>
          <w:rFonts w:eastAsiaTheme="minorHAnsi"/>
          <w:bCs/>
          <w:sz w:val="20"/>
          <w:szCs w:val="20"/>
        </w:rPr>
        <w:t>Humaidan</w:t>
      </w:r>
      <w:proofErr w:type="spellEnd"/>
      <w:r w:rsidRPr="002A19E4">
        <w:rPr>
          <w:rFonts w:eastAsiaTheme="minorHAnsi"/>
          <w:bCs/>
          <w:sz w:val="20"/>
          <w:szCs w:val="20"/>
        </w:rPr>
        <w:t xml:space="preserve"> P, </w:t>
      </w:r>
      <w:proofErr w:type="spellStart"/>
      <w:r w:rsidRPr="002A19E4">
        <w:rPr>
          <w:rFonts w:eastAsiaTheme="minorHAnsi"/>
          <w:bCs/>
          <w:sz w:val="20"/>
          <w:szCs w:val="20"/>
        </w:rPr>
        <w:t>Westergaard</w:t>
      </w:r>
      <w:proofErr w:type="spellEnd"/>
      <w:r w:rsidRPr="002A19E4">
        <w:rPr>
          <w:rFonts w:eastAsiaTheme="minorHAnsi"/>
          <w:bCs/>
          <w:sz w:val="20"/>
          <w:szCs w:val="20"/>
        </w:rPr>
        <w:t xml:space="preserve"> LG, </w:t>
      </w:r>
      <w:proofErr w:type="spellStart"/>
      <w:r w:rsidRPr="002A19E4">
        <w:rPr>
          <w:rFonts w:eastAsiaTheme="minorHAnsi"/>
          <w:bCs/>
          <w:sz w:val="20"/>
          <w:szCs w:val="20"/>
        </w:rPr>
        <w:t>Mikkelsen</w:t>
      </w:r>
      <w:proofErr w:type="spellEnd"/>
      <w:r w:rsidRPr="002A19E4">
        <w:rPr>
          <w:rFonts w:eastAsiaTheme="minorHAnsi"/>
          <w:bCs/>
          <w:sz w:val="20"/>
          <w:szCs w:val="20"/>
        </w:rPr>
        <w:t xml:space="preserve"> AL, Fukuda M, </w:t>
      </w:r>
      <w:proofErr w:type="spellStart"/>
      <w:r w:rsidRPr="002A19E4">
        <w:rPr>
          <w:rFonts w:eastAsiaTheme="minorHAnsi"/>
          <w:bCs/>
          <w:sz w:val="20"/>
          <w:szCs w:val="20"/>
        </w:rPr>
        <w:t>Yding</w:t>
      </w:r>
      <w:proofErr w:type="spellEnd"/>
      <w:r w:rsidRPr="002A19E4">
        <w:rPr>
          <w:rFonts w:eastAsiaTheme="minorHAnsi"/>
          <w:bCs/>
          <w:sz w:val="20"/>
          <w:szCs w:val="20"/>
        </w:rPr>
        <w:t xml:space="preserve"> Andersen C(2009):</w:t>
      </w:r>
      <w:r w:rsidRPr="002A19E4">
        <w:rPr>
          <w:rFonts w:eastAsiaTheme="minorHAnsi"/>
          <w:sz w:val="20"/>
          <w:szCs w:val="20"/>
        </w:rPr>
        <w:t xml:space="preserve"> Levels of the EGF-like peptide </w:t>
      </w:r>
      <w:proofErr w:type="spellStart"/>
      <w:r w:rsidRPr="002A19E4">
        <w:rPr>
          <w:rFonts w:eastAsiaTheme="minorHAnsi"/>
          <w:sz w:val="20"/>
          <w:szCs w:val="20"/>
        </w:rPr>
        <w:t>amphiregulin</w:t>
      </w:r>
      <w:proofErr w:type="spellEnd"/>
      <w:r w:rsidRPr="002A19E4">
        <w:rPr>
          <w:rFonts w:eastAsiaTheme="minorHAnsi"/>
          <w:sz w:val="20"/>
          <w:szCs w:val="20"/>
        </w:rPr>
        <w:t xml:space="preserve"> are </w:t>
      </w:r>
      <w:proofErr w:type="spellStart"/>
      <w:r w:rsidRPr="002A19E4">
        <w:rPr>
          <w:rFonts w:eastAsiaTheme="minorHAnsi"/>
          <w:sz w:val="20"/>
          <w:szCs w:val="20"/>
        </w:rPr>
        <w:t>signiﬁcantly</w:t>
      </w:r>
      <w:proofErr w:type="spellEnd"/>
      <w:r w:rsidRPr="002A19E4">
        <w:rPr>
          <w:rFonts w:eastAsiaTheme="minorHAnsi"/>
          <w:sz w:val="20"/>
          <w:szCs w:val="20"/>
        </w:rPr>
        <w:t xml:space="preserve"> reduced in follicular </w:t>
      </w:r>
      <w:proofErr w:type="spellStart"/>
      <w:r w:rsidRPr="002A19E4">
        <w:rPr>
          <w:rFonts w:eastAsiaTheme="minorHAnsi"/>
          <w:sz w:val="20"/>
          <w:szCs w:val="20"/>
        </w:rPr>
        <w:t>ﬂuid</w:t>
      </w:r>
      <w:proofErr w:type="spellEnd"/>
      <w:r w:rsidRPr="002A19E4">
        <w:rPr>
          <w:rFonts w:eastAsiaTheme="minorHAnsi"/>
          <w:sz w:val="20"/>
          <w:szCs w:val="20"/>
        </w:rPr>
        <w:t xml:space="preserve"> after </w:t>
      </w:r>
      <w:proofErr w:type="spellStart"/>
      <w:r w:rsidRPr="002A19E4">
        <w:rPr>
          <w:rFonts w:eastAsiaTheme="minorHAnsi"/>
          <w:sz w:val="20"/>
          <w:szCs w:val="20"/>
        </w:rPr>
        <w:t>GnRHa</w:t>
      </w:r>
      <w:proofErr w:type="spellEnd"/>
      <w:r w:rsidRPr="002A19E4">
        <w:rPr>
          <w:rFonts w:eastAsiaTheme="minorHAnsi"/>
          <w:sz w:val="20"/>
          <w:szCs w:val="20"/>
        </w:rPr>
        <w:t xml:space="preserve"> triggering of </w:t>
      </w:r>
      <w:proofErr w:type="spellStart"/>
      <w:r w:rsidRPr="002A19E4">
        <w:rPr>
          <w:rFonts w:eastAsiaTheme="minorHAnsi"/>
          <w:sz w:val="20"/>
          <w:szCs w:val="20"/>
        </w:rPr>
        <w:t>ﬁnal</w:t>
      </w:r>
      <w:proofErr w:type="spellEnd"/>
      <w:r w:rsidRPr="002A19E4">
        <w:rPr>
          <w:rFonts w:eastAsiaTheme="minorHAnsi"/>
          <w:sz w:val="20"/>
          <w:szCs w:val="20"/>
        </w:rPr>
        <w:t xml:space="preserve"> </w:t>
      </w:r>
      <w:proofErr w:type="spellStart"/>
      <w:r w:rsidRPr="002A19E4">
        <w:rPr>
          <w:rFonts w:eastAsiaTheme="minorHAnsi"/>
          <w:sz w:val="20"/>
          <w:szCs w:val="20"/>
        </w:rPr>
        <w:t>oocytre</w:t>
      </w:r>
      <w:proofErr w:type="spellEnd"/>
      <w:r w:rsidRPr="002A19E4">
        <w:rPr>
          <w:rFonts w:eastAsiaTheme="minorHAnsi"/>
          <w:sz w:val="20"/>
          <w:szCs w:val="20"/>
        </w:rPr>
        <w:t xml:space="preserve"> maturation. Hum Reprod;24 (Supplement 1): O-284.</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lastRenderedPageBreak/>
        <w:t>Hurst BS, Hickman JM, Matthews ML, et al. (2009):</w:t>
      </w:r>
      <w:r w:rsidRPr="002A19E4">
        <w:rPr>
          <w:rFonts w:eastAsiaTheme="minorHAnsi"/>
          <w:sz w:val="20"/>
          <w:szCs w:val="20"/>
        </w:rPr>
        <w:t xml:space="preserve"> Novel </w:t>
      </w:r>
      <w:proofErr w:type="spellStart"/>
      <w:r w:rsidRPr="002A19E4">
        <w:rPr>
          <w:rFonts w:eastAsiaTheme="minorHAnsi"/>
          <w:sz w:val="20"/>
          <w:szCs w:val="20"/>
        </w:rPr>
        <w:t>clomiphene</w:t>
      </w:r>
      <w:proofErr w:type="spellEnd"/>
      <w:r w:rsidRPr="002A19E4">
        <w:rPr>
          <w:rFonts w:eastAsiaTheme="minorHAnsi"/>
          <w:sz w:val="20"/>
          <w:szCs w:val="20"/>
        </w:rPr>
        <w:t xml:space="preserve"> “stair-step” protocol reduces time to ovulation in women with polycystic ovarian syndrome. Am J </w:t>
      </w:r>
      <w:proofErr w:type="spellStart"/>
      <w:r w:rsidRPr="002A19E4">
        <w:rPr>
          <w:rFonts w:eastAsiaTheme="minorHAnsi"/>
          <w:sz w:val="20"/>
          <w:szCs w:val="20"/>
        </w:rPr>
        <w:t>Obste</w:t>
      </w:r>
      <w:r w:rsidR="002A19E4" w:rsidRPr="002A19E4">
        <w:rPr>
          <w:rFonts w:eastAsiaTheme="minorHAnsi"/>
          <w:sz w:val="20"/>
          <w:szCs w:val="20"/>
        </w:rPr>
        <w:t>t</w:t>
      </w:r>
      <w:proofErr w:type="spellEnd"/>
      <w:r w:rsidR="002A19E4">
        <w:rPr>
          <w:rFonts w:eastAsiaTheme="minorHAnsi"/>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ynecol</w:t>
      </w:r>
      <w:proofErr w:type="spellEnd"/>
      <w:r w:rsidRPr="002A19E4">
        <w:rPr>
          <w:rFonts w:eastAsiaTheme="minorHAnsi"/>
          <w:sz w:val="20"/>
          <w:szCs w:val="20"/>
        </w:rPr>
        <w:t>; 200: 51.e1-51.e4.</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Kol</w:t>
      </w:r>
      <w:proofErr w:type="spellEnd"/>
      <w:r w:rsidRPr="002A19E4">
        <w:rPr>
          <w:rFonts w:eastAsiaTheme="minorHAnsi"/>
          <w:bCs/>
          <w:sz w:val="20"/>
          <w:szCs w:val="20"/>
        </w:rPr>
        <w:t xml:space="preserve"> S (2004): </w:t>
      </w:r>
      <w:proofErr w:type="spellStart"/>
      <w:r w:rsidRPr="002A19E4">
        <w:rPr>
          <w:rFonts w:eastAsiaTheme="minorHAnsi"/>
          <w:sz w:val="20"/>
          <w:szCs w:val="20"/>
        </w:rPr>
        <w:t>Luteolysis</w:t>
      </w:r>
      <w:proofErr w:type="spellEnd"/>
      <w:r w:rsidRPr="002A19E4">
        <w:rPr>
          <w:rFonts w:eastAsiaTheme="minorHAnsi"/>
          <w:sz w:val="20"/>
          <w:szCs w:val="20"/>
        </w:rPr>
        <w:t xml:space="preserve"> induced by a </w:t>
      </w:r>
      <w:proofErr w:type="spellStart"/>
      <w:r w:rsidRPr="002A19E4">
        <w:rPr>
          <w:rFonts w:eastAsiaTheme="minorHAnsi"/>
          <w:sz w:val="20"/>
          <w:szCs w:val="20"/>
        </w:rPr>
        <w:t>gonadotropin</w:t>
      </w:r>
      <w:proofErr w:type="spellEnd"/>
      <w:r w:rsidR="00345B9A">
        <w:rPr>
          <w:rFonts w:eastAsiaTheme="minorEastAsia" w:hint="eastAsia"/>
          <w:sz w:val="20"/>
          <w:szCs w:val="20"/>
          <w:lang w:eastAsia="zh-CN"/>
        </w:rPr>
        <w:t xml:space="preserve"> </w:t>
      </w:r>
      <w:r w:rsidRPr="002A19E4">
        <w:rPr>
          <w:rFonts w:eastAsiaTheme="minorHAnsi"/>
          <w:sz w:val="20"/>
          <w:szCs w:val="20"/>
        </w:rPr>
        <w:t xml:space="preserve">releasing hormone agonist is the key to prevention of ovarian </w:t>
      </w:r>
      <w:proofErr w:type="spellStart"/>
      <w:r w:rsidRPr="002A19E4">
        <w:rPr>
          <w:rFonts w:eastAsiaTheme="minorHAnsi"/>
          <w:sz w:val="20"/>
          <w:szCs w:val="20"/>
        </w:rPr>
        <w:t>hyperstimulation</w:t>
      </w:r>
      <w:proofErr w:type="spellEnd"/>
      <w:r w:rsidRPr="002A19E4">
        <w:rPr>
          <w:rFonts w:eastAsiaTheme="minorHAnsi"/>
          <w:sz w:val="20"/>
          <w:szCs w:val="20"/>
        </w:rPr>
        <w:t xml:space="preserve"> syndrome. Fertility and Sterility; 81(1): 510-515.</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Kol</w:t>
      </w:r>
      <w:proofErr w:type="spellEnd"/>
      <w:r w:rsidRPr="002A19E4">
        <w:rPr>
          <w:rFonts w:eastAsiaTheme="minorHAnsi"/>
          <w:bCs/>
          <w:sz w:val="20"/>
          <w:szCs w:val="20"/>
        </w:rPr>
        <w:t xml:space="preserve"> S, </w:t>
      </w:r>
      <w:proofErr w:type="spellStart"/>
      <w:r w:rsidRPr="002A19E4">
        <w:rPr>
          <w:rFonts w:eastAsiaTheme="minorHAnsi"/>
          <w:bCs/>
          <w:sz w:val="20"/>
          <w:szCs w:val="20"/>
        </w:rPr>
        <w:t>Humaidan</w:t>
      </w:r>
      <w:proofErr w:type="spellEnd"/>
      <w:r w:rsidRPr="002A19E4">
        <w:rPr>
          <w:rFonts w:eastAsiaTheme="minorHAnsi"/>
          <w:bCs/>
          <w:sz w:val="20"/>
          <w:szCs w:val="20"/>
        </w:rPr>
        <w:t xml:space="preserve"> P and </w:t>
      </w:r>
      <w:proofErr w:type="spellStart"/>
      <w:r w:rsidRPr="002A19E4">
        <w:rPr>
          <w:rFonts w:eastAsiaTheme="minorHAnsi"/>
          <w:bCs/>
          <w:sz w:val="20"/>
          <w:szCs w:val="20"/>
        </w:rPr>
        <w:t>Itskovitz-Eldor</w:t>
      </w:r>
      <w:proofErr w:type="spellEnd"/>
      <w:r w:rsidRPr="002A19E4">
        <w:rPr>
          <w:rFonts w:eastAsiaTheme="minorHAnsi"/>
          <w:bCs/>
          <w:sz w:val="20"/>
          <w:szCs w:val="20"/>
        </w:rPr>
        <w:t xml:space="preserve"> J(2011)</w:t>
      </w:r>
      <w:r w:rsidR="002A19E4" w:rsidRPr="002A19E4">
        <w:rPr>
          <w:rFonts w:eastAsiaTheme="minorHAnsi"/>
          <w:bCs/>
          <w:sz w:val="20"/>
          <w:szCs w:val="20"/>
        </w:rPr>
        <w:t>:</w:t>
      </w:r>
      <w:r w:rsidR="002A19E4">
        <w:rPr>
          <w:rFonts w:eastAsiaTheme="minorHAnsi"/>
          <w:bCs/>
          <w:sz w:val="20"/>
          <w:szCs w:val="20"/>
        </w:rPr>
        <w:t xml:space="preserve"> </w:t>
      </w:r>
      <w:proofErr w:type="spellStart"/>
      <w:r w:rsidR="002A19E4" w:rsidRPr="002A19E4">
        <w:rPr>
          <w:rFonts w:eastAsiaTheme="minorHAnsi"/>
          <w:sz w:val="20"/>
          <w:szCs w:val="20"/>
        </w:rPr>
        <w:t>G</w:t>
      </w:r>
      <w:r w:rsidRPr="002A19E4">
        <w:rPr>
          <w:rFonts w:eastAsiaTheme="minorHAnsi"/>
          <w:sz w:val="20"/>
          <w:szCs w:val="20"/>
        </w:rPr>
        <w:t>nRH</w:t>
      </w:r>
      <w:proofErr w:type="spellEnd"/>
      <w:r w:rsidRPr="002A19E4">
        <w:rPr>
          <w:rFonts w:eastAsiaTheme="minorHAnsi"/>
          <w:sz w:val="20"/>
          <w:szCs w:val="20"/>
        </w:rPr>
        <w:t xml:space="preserve"> agonist ovulation trigger and </w:t>
      </w:r>
      <w:proofErr w:type="spellStart"/>
      <w:r w:rsidRPr="002A19E4">
        <w:rPr>
          <w:rFonts w:eastAsiaTheme="minorHAnsi"/>
          <w:sz w:val="20"/>
          <w:szCs w:val="20"/>
        </w:rPr>
        <w:t>hCG</w:t>
      </w:r>
      <w:proofErr w:type="spellEnd"/>
      <w:r w:rsidRPr="002A19E4">
        <w:rPr>
          <w:rFonts w:eastAsiaTheme="minorHAnsi"/>
          <w:sz w:val="20"/>
          <w:szCs w:val="20"/>
        </w:rPr>
        <w:t xml:space="preserve">-based, progesterone-free </w:t>
      </w:r>
      <w:proofErr w:type="spellStart"/>
      <w:r w:rsidRPr="002A19E4">
        <w:rPr>
          <w:rFonts w:eastAsiaTheme="minorHAnsi"/>
          <w:sz w:val="20"/>
          <w:szCs w:val="20"/>
        </w:rPr>
        <w:t>luteal</w:t>
      </w:r>
      <w:proofErr w:type="spellEnd"/>
      <w:r w:rsidRPr="002A19E4">
        <w:rPr>
          <w:rFonts w:eastAsiaTheme="minorHAnsi"/>
          <w:sz w:val="20"/>
          <w:szCs w:val="20"/>
        </w:rPr>
        <w:t xml:space="preserve"> support: a proof of concept study. Human Reproduction; 26(10):2874-7.</w:t>
      </w:r>
    </w:p>
    <w:p w:rsidR="00350B59" w:rsidRPr="002A19E4" w:rsidRDefault="00350B59" w:rsidP="002A19E4">
      <w:pPr>
        <w:pStyle w:val="ListParagraph"/>
        <w:numPr>
          <w:ilvl w:val="0"/>
          <w:numId w:val="20"/>
        </w:numPr>
        <w:bidi w:val="0"/>
        <w:snapToGrid w:val="0"/>
        <w:jc w:val="both"/>
        <w:rPr>
          <w:rFonts w:eastAsiaTheme="minorHAnsi"/>
          <w:sz w:val="20"/>
          <w:szCs w:val="20"/>
        </w:rPr>
      </w:pPr>
      <w:r w:rsidRPr="002A19E4">
        <w:rPr>
          <w:rFonts w:eastAsiaTheme="minorHAnsi"/>
          <w:bCs/>
          <w:sz w:val="20"/>
          <w:szCs w:val="20"/>
        </w:rPr>
        <w:t xml:space="preserve">Norman R, </w:t>
      </w:r>
      <w:proofErr w:type="spellStart"/>
      <w:r w:rsidRPr="002A19E4">
        <w:rPr>
          <w:rFonts w:eastAsiaTheme="minorHAnsi"/>
          <w:bCs/>
          <w:sz w:val="20"/>
          <w:szCs w:val="20"/>
        </w:rPr>
        <w:t>Dewaihhy</w:t>
      </w:r>
      <w:proofErr w:type="spellEnd"/>
      <w:r w:rsidRPr="002A19E4">
        <w:rPr>
          <w:rFonts w:eastAsiaTheme="minorHAnsi"/>
          <w:bCs/>
          <w:sz w:val="20"/>
          <w:szCs w:val="20"/>
        </w:rPr>
        <w:t xml:space="preserve"> D, </w:t>
      </w:r>
      <w:proofErr w:type="spellStart"/>
      <w:r w:rsidRPr="002A19E4">
        <w:rPr>
          <w:rFonts w:eastAsiaTheme="minorHAnsi"/>
          <w:bCs/>
          <w:sz w:val="20"/>
          <w:szCs w:val="20"/>
        </w:rPr>
        <w:t>Legro</w:t>
      </w:r>
      <w:proofErr w:type="spellEnd"/>
      <w:r w:rsidRPr="002A19E4">
        <w:rPr>
          <w:rFonts w:eastAsiaTheme="minorHAnsi"/>
          <w:bCs/>
          <w:sz w:val="20"/>
          <w:szCs w:val="20"/>
        </w:rPr>
        <w:t xml:space="preserve"> RS, Hickey TE (2007): </w:t>
      </w:r>
      <w:r w:rsidRPr="002A19E4">
        <w:rPr>
          <w:rFonts w:eastAsiaTheme="minorHAnsi"/>
          <w:sz w:val="20"/>
          <w:szCs w:val="20"/>
        </w:rPr>
        <w:t>Polycystic ovary syndrome, Lancet; 370: 685-97.</w:t>
      </w:r>
    </w:p>
    <w:p w:rsidR="00350B59" w:rsidRPr="002A19E4" w:rsidRDefault="00350B59" w:rsidP="002A19E4">
      <w:pPr>
        <w:pStyle w:val="ListParagraph"/>
        <w:numPr>
          <w:ilvl w:val="0"/>
          <w:numId w:val="20"/>
        </w:numPr>
        <w:autoSpaceDE w:val="0"/>
        <w:autoSpaceDN w:val="0"/>
        <w:bidi w:val="0"/>
        <w:adjustRightInd w:val="0"/>
        <w:snapToGrid w:val="0"/>
        <w:jc w:val="both"/>
        <w:rPr>
          <w:rFonts w:eastAsiaTheme="minorHAnsi"/>
          <w:sz w:val="20"/>
          <w:szCs w:val="20"/>
        </w:rPr>
      </w:pPr>
      <w:proofErr w:type="spellStart"/>
      <w:r w:rsidRPr="002A19E4">
        <w:rPr>
          <w:rFonts w:eastAsiaTheme="minorHAnsi"/>
          <w:sz w:val="20"/>
          <w:szCs w:val="20"/>
        </w:rPr>
        <w:t>Palomba</w:t>
      </w:r>
      <w:proofErr w:type="spellEnd"/>
      <w:r w:rsidRPr="002A19E4">
        <w:rPr>
          <w:rFonts w:eastAsiaTheme="minorHAnsi"/>
          <w:sz w:val="20"/>
          <w:szCs w:val="20"/>
        </w:rPr>
        <w:t xml:space="preserve"> S, Russo T, </w:t>
      </w:r>
      <w:proofErr w:type="spellStart"/>
      <w:r w:rsidRPr="002A19E4">
        <w:rPr>
          <w:rFonts w:eastAsiaTheme="minorHAnsi"/>
          <w:sz w:val="20"/>
          <w:szCs w:val="20"/>
        </w:rPr>
        <w:t>Falbo</w:t>
      </w:r>
      <w:proofErr w:type="spellEnd"/>
      <w:r w:rsidRPr="002A19E4">
        <w:rPr>
          <w:rFonts w:eastAsiaTheme="minorHAnsi"/>
          <w:sz w:val="20"/>
          <w:szCs w:val="20"/>
        </w:rPr>
        <w:t xml:space="preserve"> A, </w:t>
      </w:r>
      <w:proofErr w:type="spellStart"/>
      <w:r w:rsidRPr="002A19E4">
        <w:rPr>
          <w:rFonts w:eastAsiaTheme="minorHAnsi"/>
          <w:sz w:val="20"/>
          <w:szCs w:val="20"/>
        </w:rPr>
        <w:t>Orio</w:t>
      </w:r>
      <w:proofErr w:type="spellEnd"/>
      <w:r w:rsidRPr="002A19E4">
        <w:rPr>
          <w:rFonts w:eastAsiaTheme="minorHAnsi"/>
          <w:sz w:val="20"/>
          <w:szCs w:val="20"/>
        </w:rPr>
        <w:t xml:space="preserve"> F, Jr., </w:t>
      </w:r>
      <w:proofErr w:type="spellStart"/>
      <w:r w:rsidRPr="002A19E4">
        <w:rPr>
          <w:rFonts w:eastAsiaTheme="minorHAnsi"/>
          <w:sz w:val="20"/>
          <w:szCs w:val="20"/>
        </w:rPr>
        <w:t>Manguso</w:t>
      </w:r>
      <w:proofErr w:type="spellEnd"/>
      <w:r w:rsidRPr="002A19E4">
        <w:rPr>
          <w:rFonts w:eastAsiaTheme="minorHAnsi"/>
          <w:sz w:val="20"/>
          <w:szCs w:val="20"/>
        </w:rPr>
        <w:t xml:space="preserve"> F, et al. Clinical use of the </w:t>
      </w:r>
      <w:proofErr w:type="spellStart"/>
      <w:r w:rsidRPr="002A19E4">
        <w:rPr>
          <w:rFonts w:eastAsiaTheme="minorHAnsi"/>
          <w:sz w:val="20"/>
          <w:szCs w:val="20"/>
        </w:rPr>
        <w:t>perifollicular</w:t>
      </w:r>
      <w:proofErr w:type="spellEnd"/>
      <w:r w:rsidRPr="002A19E4">
        <w:rPr>
          <w:rFonts w:eastAsiaTheme="minorHAnsi"/>
          <w:sz w:val="20"/>
          <w:szCs w:val="20"/>
        </w:rPr>
        <w:t xml:space="preserve"> </w:t>
      </w:r>
      <w:proofErr w:type="spellStart"/>
      <w:r w:rsidRPr="002A19E4">
        <w:rPr>
          <w:rFonts w:eastAsiaTheme="minorHAnsi"/>
          <w:sz w:val="20"/>
          <w:szCs w:val="20"/>
        </w:rPr>
        <w:t>vascularity</w:t>
      </w:r>
      <w:proofErr w:type="spellEnd"/>
      <w:r w:rsidRPr="002A19E4">
        <w:rPr>
          <w:rFonts w:eastAsiaTheme="minorHAnsi"/>
          <w:sz w:val="20"/>
          <w:szCs w:val="20"/>
        </w:rPr>
        <w:t xml:space="preserve"> assessment in IVF cycles: a pilot study. Hum </w:t>
      </w:r>
      <w:proofErr w:type="spellStart"/>
      <w:r w:rsidRPr="002A19E4">
        <w:rPr>
          <w:rFonts w:eastAsiaTheme="minorHAnsi"/>
          <w:sz w:val="20"/>
          <w:szCs w:val="20"/>
        </w:rPr>
        <w:t>Reprod</w:t>
      </w:r>
      <w:proofErr w:type="spellEnd"/>
      <w:r w:rsidRPr="002A19E4">
        <w:rPr>
          <w:rFonts w:eastAsiaTheme="minorHAnsi"/>
          <w:sz w:val="20"/>
          <w:szCs w:val="20"/>
        </w:rPr>
        <w:t xml:space="preserve"> 2006; 21: 1055-1061.</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Papanikolaou</w:t>
      </w:r>
      <w:proofErr w:type="spellEnd"/>
      <w:r w:rsidRPr="002A19E4">
        <w:rPr>
          <w:rFonts w:eastAsiaTheme="minorHAnsi"/>
          <w:bCs/>
          <w:sz w:val="20"/>
          <w:szCs w:val="20"/>
        </w:rPr>
        <w:t xml:space="preserve"> EG, </w:t>
      </w:r>
      <w:proofErr w:type="spellStart"/>
      <w:r w:rsidRPr="002A19E4">
        <w:rPr>
          <w:rFonts w:eastAsiaTheme="minorHAnsi"/>
          <w:bCs/>
          <w:sz w:val="20"/>
          <w:szCs w:val="20"/>
        </w:rPr>
        <w:t>Verpoest</w:t>
      </w:r>
      <w:proofErr w:type="spellEnd"/>
      <w:r w:rsidRPr="002A19E4">
        <w:rPr>
          <w:rFonts w:eastAsiaTheme="minorHAnsi"/>
          <w:bCs/>
          <w:sz w:val="20"/>
          <w:szCs w:val="20"/>
        </w:rPr>
        <w:t xml:space="preserve"> W, </w:t>
      </w:r>
      <w:proofErr w:type="spellStart"/>
      <w:r w:rsidRPr="002A19E4">
        <w:rPr>
          <w:rFonts w:eastAsiaTheme="minorHAnsi"/>
          <w:bCs/>
          <w:sz w:val="20"/>
          <w:szCs w:val="20"/>
        </w:rPr>
        <w:t>Fatemi</w:t>
      </w:r>
      <w:proofErr w:type="spellEnd"/>
      <w:r w:rsidRPr="002A19E4">
        <w:rPr>
          <w:rFonts w:eastAsiaTheme="minorHAnsi"/>
          <w:bCs/>
          <w:sz w:val="20"/>
          <w:szCs w:val="20"/>
        </w:rPr>
        <w:t xml:space="preserve"> H, </w:t>
      </w:r>
      <w:proofErr w:type="spellStart"/>
      <w:r w:rsidRPr="002A19E4">
        <w:rPr>
          <w:rFonts w:eastAsiaTheme="minorHAnsi"/>
          <w:bCs/>
          <w:sz w:val="20"/>
          <w:szCs w:val="20"/>
        </w:rPr>
        <w:t>Tarlatzis</w:t>
      </w:r>
      <w:proofErr w:type="spellEnd"/>
      <w:r w:rsidRPr="002A19E4">
        <w:rPr>
          <w:rFonts w:eastAsiaTheme="minorHAnsi"/>
          <w:bCs/>
          <w:sz w:val="20"/>
          <w:szCs w:val="20"/>
        </w:rPr>
        <w:t xml:space="preserve"> B, </w:t>
      </w:r>
      <w:proofErr w:type="spellStart"/>
      <w:r w:rsidRPr="002A19E4">
        <w:rPr>
          <w:rFonts w:eastAsiaTheme="minorHAnsi"/>
          <w:bCs/>
          <w:sz w:val="20"/>
          <w:szCs w:val="20"/>
        </w:rPr>
        <w:t>Devroey</w:t>
      </w:r>
      <w:proofErr w:type="spellEnd"/>
      <w:r w:rsidRPr="002A19E4">
        <w:rPr>
          <w:rFonts w:eastAsiaTheme="minorHAnsi"/>
          <w:bCs/>
          <w:sz w:val="20"/>
          <w:szCs w:val="20"/>
        </w:rPr>
        <w:t xml:space="preserve"> P, </w:t>
      </w:r>
      <w:proofErr w:type="spellStart"/>
      <w:r w:rsidRPr="002A19E4">
        <w:rPr>
          <w:rFonts w:eastAsiaTheme="minorHAnsi"/>
          <w:bCs/>
          <w:sz w:val="20"/>
          <w:szCs w:val="20"/>
        </w:rPr>
        <w:t>Tournaye</w:t>
      </w:r>
      <w:proofErr w:type="spellEnd"/>
      <w:r w:rsidRPr="002A19E4">
        <w:rPr>
          <w:rFonts w:eastAsiaTheme="minorHAnsi"/>
          <w:bCs/>
          <w:sz w:val="20"/>
          <w:szCs w:val="20"/>
        </w:rPr>
        <w:t xml:space="preserve"> H(2011):</w:t>
      </w:r>
      <w:r w:rsidRPr="002A19E4">
        <w:rPr>
          <w:rFonts w:eastAsiaTheme="minorHAnsi"/>
          <w:sz w:val="20"/>
          <w:szCs w:val="20"/>
        </w:rPr>
        <w:t xml:space="preserve"> A novel method of </w:t>
      </w:r>
      <w:proofErr w:type="spellStart"/>
      <w:r w:rsidRPr="002A19E4">
        <w:rPr>
          <w:rFonts w:eastAsiaTheme="minorHAnsi"/>
          <w:sz w:val="20"/>
          <w:szCs w:val="20"/>
        </w:rPr>
        <w:t>luteal</w:t>
      </w:r>
      <w:proofErr w:type="spellEnd"/>
      <w:r w:rsidRPr="002A19E4">
        <w:rPr>
          <w:rFonts w:eastAsiaTheme="minorHAnsi"/>
          <w:sz w:val="20"/>
          <w:szCs w:val="20"/>
        </w:rPr>
        <w:t xml:space="preserve"> supplementation with </w:t>
      </w:r>
      <w:r w:rsidRPr="002A19E4">
        <w:rPr>
          <w:rFonts w:eastAsiaTheme="minorHAnsi"/>
          <w:sz w:val="20"/>
          <w:szCs w:val="20"/>
        </w:rPr>
        <w:lastRenderedPageBreak/>
        <w:t xml:space="preserve">recombinant LH, when a </w:t>
      </w:r>
      <w:proofErr w:type="spellStart"/>
      <w:r w:rsidRPr="002A19E4">
        <w:rPr>
          <w:rFonts w:eastAsiaTheme="minorHAnsi"/>
          <w:sz w:val="20"/>
          <w:szCs w:val="20"/>
        </w:rPr>
        <w:t>GnRH</w:t>
      </w:r>
      <w:proofErr w:type="spellEnd"/>
      <w:r w:rsidRPr="002A19E4">
        <w:rPr>
          <w:rFonts w:eastAsiaTheme="minorHAnsi"/>
          <w:sz w:val="20"/>
          <w:szCs w:val="20"/>
        </w:rPr>
        <w:t>-Agonist is used instead of HCG for ovulation triggering. A randomized prospective proof of concept study</w:t>
      </w:r>
      <w:r w:rsidR="002A19E4" w:rsidRPr="002A19E4">
        <w:rPr>
          <w:rFonts w:eastAsiaTheme="minorHAnsi"/>
          <w:sz w:val="20"/>
          <w:szCs w:val="20"/>
        </w:rPr>
        <w:t>.</w:t>
      </w:r>
      <w:r w:rsidR="002A19E4">
        <w:rPr>
          <w:rFonts w:eastAsiaTheme="minorHAnsi"/>
          <w:sz w:val="20"/>
          <w:szCs w:val="20"/>
        </w:rPr>
        <w:t xml:space="preserve"> </w:t>
      </w:r>
      <w:proofErr w:type="spellStart"/>
      <w:r w:rsidR="002A19E4" w:rsidRPr="002A19E4">
        <w:rPr>
          <w:rFonts w:eastAsiaTheme="minorHAnsi"/>
          <w:sz w:val="20"/>
          <w:szCs w:val="20"/>
        </w:rPr>
        <w:t>F</w:t>
      </w:r>
      <w:r w:rsidRPr="002A19E4">
        <w:rPr>
          <w:rFonts w:eastAsiaTheme="minorHAnsi"/>
          <w:sz w:val="20"/>
          <w:szCs w:val="20"/>
        </w:rPr>
        <w:t>erti</w:t>
      </w:r>
      <w:r w:rsidR="002A19E4" w:rsidRPr="002A19E4">
        <w:rPr>
          <w:rFonts w:eastAsiaTheme="minorHAnsi"/>
          <w:sz w:val="20"/>
          <w:szCs w:val="20"/>
        </w:rPr>
        <w:t>l</w:t>
      </w:r>
      <w:proofErr w:type="spellEnd"/>
      <w:r w:rsidR="002A19E4">
        <w:rPr>
          <w:rFonts w:eastAsiaTheme="minorHAnsi"/>
          <w:sz w:val="20"/>
          <w:szCs w:val="20"/>
        </w:rPr>
        <w:t xml:space="preserve"> </w:t>
      </w:r>
      <w:proofErr w:type="spellStart"/>
      <w:r w:rsidR="002A19E4" w:rsidRPr="002A19E4">
        <w:rPr>
          <w:rFonts w:eastAsiaTheme="minorHAnsi"/>
          <w:sz w:val="20"/>
          <w:szCs w:val="20"/>
        </w:rPr>
        <w:t>S</w:t>
      </w:r>
      <w:r w:rsidRPr="002A19E4">
        <w:rPr>
          <w:rFonts w:eastAsiaTheme="minorHAnsi"/>
          <w:sz w:val="20"/>
          <w:szCs w:val="20"/>
        </w:rPr>
        <w:t>teril</w:t>
      </w:r>
      <w:proofErr w:type="spellEnd"/>
      <w:r w:rsidRPr="002A19E4">
        <w:rPr>
          <w:rFonts w:eastAsiaTheme="minorHAnsi"/>
          <w:sz w:val="20"/>
          <w:szCs w:val="20"/>
        </w:rPr>
        <w:t>; 95: 1174-1177.</w:t>
      </w:r>
    </w:p>
    <w:p w:rsidR="00350B59" w:rsidRPr="002A19E4" w:rsidRDefault="00350B59" w:rsidP="002A19E4">
      <w:pPr>
        <w:pStyle w:val="ListParagraph"/>
        <w:numPr>
          <w:ilvl w:val="0"/>
          <w:numId w:val="20"/>
        </w:numPr>
        <w:bidi w:val="0"/>
        <w:snapToGrid w:val="0"/>
        <w:jc w:val="both"/>
        <w:rPr>
          <w:rFonts w:eastAsiaTheme="minorHAnsi"/>
          <w:sz w:val="20"/>
          <w:szCs w:val="20"/>
        </w:rPr>
      </w:pPr>
      <w:proofErr w:type="spellStart"/>
      <w:r w:rsidRPr="002A19E4">
        <w:rPr>
          <w:rFonts w:eastAsiaTheme="minorHAnsi"/>
          <w:bCs/>
          <w:sz w:val="20"/>
          <w:szCs w:val="20"/>
        </w:rPr>
        <w:t>Pasquali</w:t>
      </w:r>
      <w:proofErr w:type="spellEnd"/>
      <w:r w:rsidRPr="002A19E4">
        <w:rPr>
          <w:rFonts w:eastAsiaTheme="minorHAnsi"/>
          <w:bCs/>
          <w:sz w:val="20"/>
          <w:szCs w:val="20"/>
        </w:rPr>
        <w:t xml:space="preserve"> R (2009):</w:t>
      </w:r>
      <w:r w:rsidRPr="002A19E4">
        <w:rPr>
          <w:rFonts w:eastAsiaTheme="minorHAnsi"/>
          <w:sz w:val="20"/>
          <w:szCs w:val="20"/>
        </w:rPr>
        <w:t xml:space="preserve"> Clinical manifestation of PCOS. In. </w:t>
      </w:r>
      <w:proofErr w:type="spellStart"/>
      <w:r w:rsidRPr="002A19E4">
        <w:rPr>
          <w:rFonts w:eastAsiaTheme="minorHAnsi"/>
          <w:sz w:val="20"/>
          <w:szCs w:val="20"/>
        </w:rPr>
        <w:t>Farid</w:t>
      </w:r>
      <w:proofErr w:type="spellEnd"/>
      <w:r w:rsidRPr="002A19E4">
        <w:rPr>
          <w:rFonts w:eastAsiaTheme="minorHAnsi"/>
          <w:sz w:val="20"/>
          <w:szCs w:val="20"/>
        </w:rPr>
        <w:t xml:space="preserve"> NR· </w:t>
      </w:r>
      <w:proofErr w:type="spellStart"/>
      <w:r w:rsidRPr="002A19E4">
        <w:rPr>
          <w:rFonts w:eastAsiaTheme="minorHAnsi"/>
          <w:sz w:val="20"/>
          <w:szCs w:val="20"/>
        </w:rPr>
        <w:t>Diamanti</w:t>
      </w:r>
      <w:proofErr w:type="spellEnd"/>
      <w:r w:rsidRPr="002A19E4">
        <w:rPr>
          <w:rFonts w:eastAsiaTheme="minorHAnsi"/>
          <w:sz w:val="20"/>
          <w:szCs w:val="20"/>
        </w:rPr>
        <w:t xml:space="preserve"> - </w:t>
      </w:r>
      <w:proofErr w:type="spellStart"/>
      <w:r w:rsidRPr="002A19E4">
        <w:rPr>
          <w:rFonts w:eastAsiaTheme="minorHAnsi"/>
          <w:sz w:val="20"/>
          <w:szCs w:val="20"/>
        </w:rPr>
        <w:t>Kandaraki</w:t>
      </w:r>
      <w:r w:rsidR="002A19E4" w:rsidRPr="002A19E4">
        <w:rPr>
          <w:rFonts w:eastAsiaTheme="minorHAnsi"/>
          <w:sz w:val="20"/>
          <w:szCs w:val="20"/>
        </w:rPr>
        <w:t>s</w:t>
      </w:r>
      <w:proofErr w:type="spellEnd"/>
      <w:r w:rsidR="002A19E4">
        <w:rPr>
          <w:rFonts w:eastAsiaTheme="minorHAnsi"/>
          <w:sz w:val="20"/>
          <w:szCs w:val="20"/>
        </w:rPr>
        <w:t xml:space="preserve"> </w:t>
      </w:r>
      <w:r w:rsidR="002A19E4" w:rsidRPr="002A19E4">
        <w:rPr>
          <w:rFonts w:eastAsiaTheme="minorHAnsi"/>
          <w:sz w:val="20"/>
          <w:szCs w:val="20"/>
        </w:rPr>
        <w:t>E.</w:t>
      </w:r>
      <w:r w:rsidR="002A19E4">
        <w:rPr>
          <w:rFonts w:eastAsiaTheme="minorHAnsi"/>
          <w:sz w:val="20"/>
          <w:szCs w:val="20"/>
        </w:rPr>
        <w:t xml:space="preserve"> </w:t>
      </w:r>
      <w:r w:rsidR="002A19E4" w:rsidRPr="002A19E4">
        <w:rPr>
          <w:rFonts w:eastAsiaTheme="minorHAnsi"/>
          <w:sz w:val="20"/>
          <w:szCs w:val="20"/>
        </w:rPr>
        <w:t>E</w:t>
      </w:r>
      <w:r w:rsidRPr="002A19E4">
        <w:rPr>
          <w:rFonts w:eastAsiaTheme="minorHAnsi"/>
          <w:sz w:val="20"/>
          <w:szCs w:val="20"/>
        </w:rPr>
        <w:t>ditors</w:t>
      </w:r>
      <w:r w:rsidR="002A19E4" w:rsidRPr="002A19E4">
        <w:rPr>
          <w:rFonts w:eastAsiaTheme="minorHAnsi"/>
          <w:sz w:val="20"/>
          <w:szCs w:val="20"/>
        </w:rPr>
        <w:t>.</w:t>
      </w:r>
      <w:r w:rsidR="002A19E4">
        <w:rPr>
          <w:rFonts w:eastAsiaTheme="minorHAnsi"/>
          <w:sz w:val="20"/>
          <w:szCs w:val="20"/>
        </w:rPr>
        <w:t xml:space="preserve"> </w:t>
      </w:r>
      <w:r w:rsidR="002A19E4" w:rsidRPr="002A19E4">
        <w:rPr>
          <w:rFonts w:eastAsiaTheme="minorHAnsi"/>
          <w:sz w:val="20"/>
          <w:szCs w:val="20"/>
        </w:rPr>
        <w:t>D</w:t>
      </w:r>
      <w:r w:rsidRPr="002A19E4">
        <w:rPr>
          <w:rFonts w:eastAsiaTheme="minorHAnsi"/>
          <w:sz w:val="20"/>
          <w:szCs w:val="20"/>
        </w:rPr>
        <w:t xml:space="preserve">iagnosis and </w:t>
      </w:r>
      <w:proofErr w:type="spellStart"/>
      <w:r w:rsidRPr="002A19E4">
        <w:rPr>
          <w:rFonts w:eastAsiaTheme="minorHAnsi"/>
          <w:sz w:val="20"/>
          <w:szCs w:val="20"/>
        </w:rPr>
        <w:t>Mangement</w:t>
      </w:r>
      <w:proofErr w:type="spellEnd"/>
      <w:r w:rsidRPr="002A19E4">
        <w:rPr>
          <w:rFonts w:eastAsiaTheme="minorHAnsi"/>
          <w:sz w:val="20"/>
          <w:szCs w:val="20"/>
        </w:rPr>
        <w:t xml:space="preserve"> of PCOS. USA: 3-14.</w:t>
      </w:r>
    </w:p>
    <w:p w:rsidR="002A19E4" w:rsidRDefault="00350B59" w:rsidP="002A19E4">
      <w:pPr>
        <w:pStyle w:val="ListParagraph"/>
        <w:numPr>
          <w:ilvl w:val="0"/>
          <w:numId w:val="20"/>
        </w:numPr>
        <w:autoSpaceDE w:val="0"/>
        <w:autoSpaceDN w:val="0"/>
        <w:bidi w:val="0"/>
        <w:adjustRightInd w:val="0"/>
        <w:snapToGrid w:val="0"/>
        <w:jc w:val="both"/>
        <w:rPr>
          <w:rFonts w:eastAsiaTheme="minorHAnsi"/>
          <w:sz w:val="20"/>
          <w:szCs w:val="20"/>
        </w:rPr>
      </w:pPr>
      <w:r w:rsidRPr="002A19E4">
        <w:rPr>
          <w:rFonts w:eastAsiaTheme="minorHAnsi"/>
          <w:bCs/>
          <w:sz w:val="20"/>
          <w:szCs w:val="20"/>
        </w:rPr>
        <w:t>Rotterdam ESHRE/ASRM-Sponsored PCOS Consensus Workshop Group.</w:t>
      </w:r>
      <w:r w:rsidRPr="002A19E4">
        <w:rPr>
          <w:rFonts w:eastAsiaTheme="minorHAnsi"/>
          <w:sz w:val="20"/>
          <w:szCs w:val="20"/>
        </w:rPr>
        <w:t xml:space="preserve"> Revised 2003 consensus on diagnostic criteria and long-term health risks related to polycystic ovary syndrome. </w:t>
      </w:r>
      <w:proofErr w:type="spellStart"/>
      <w:r w:rsidRPr="002A19E4">
        <w:rPr>
          <w:rFonts w:eastAsiaTheme="minorHAnsi"/>
          <w:sz w:val="20"/>
          <w:szCs w:val="20"/>
        </w:rPr>
        <w:t>Ferti</w:t>
      </w:r>
      <w:r w:rsidR="002A19E4" w:rsidRPr="002A19E4">
        <w:rPr>
          <w:rFonts w:eastAsiaTheme="minorHAnsi"/>
          <w:sz w:val="20"/>
          <w:szCs w:val="20"/>
        </w:rPr>
        <w:t>l</w:t>
      </w:r>
      <w:proofErr w:type="spellEnd"/>
      <w:r w:rsidR="002A19E4">
        <w:rPr>
          <w:rFonts w:eastAsiaTheme="minorHAnsi"/>
          <w:sz w:val="20"/>
          <w:szCs w:val="20"/>
        </w:rPr>
        <w:t xml:space="preserve"> </w:t>
      </w:r>
      <w:proofErr w:type="spellStart"/>
      <w:r w:rsidR="002A19E4" w:rsidRPr="002A19E4">
        <w:rPr>
          <w:rFonts w:eastAsiaTheme="minorHAnsi"/>
          <w:sz w:val="20"/>
          <w:szCs w:val="20"/>
        </w:rPr>
        <w:t>S</w:t>
      </w:r>
      <w:r w:rsidRPr="002A19E4">
        <w:rPr>
          <w:rFonts w:eastAsiaTheme="minorHAnsi"/>
          <w:sz w:val="20"/>
          <w:szCs w:val="20"/>
        </w:rPr>
        <w:t>teril</w:t>
      </w:r>
      <w:proofErr w:type="spellEnd"/>
      <w:r w:rsidRPr="002A19E4">
        <w:rPr>
          <w:rFonts w:eastAsiaTheme="minorHAnsi"/>
          <w:sz w:val="20"/>
          <w:szCs w:val="20"/>
        </w:rPr>
        <w:t>. 2004;81:19–2</w:t>
      </w:r>
      <w:r w:rsidR="002A19E4" w:rsidRPr="002A19E4">
        <w:rPr>
          <w:rFonts w:eastAsiaTheme="minorHAnsi"/>
          <w:sz w:val="20"/>
          <w:szCs w:val="20"/>
        </w:rPr>
        <w:t>5</w:t>
      </w:r>
      <w:r w:rsidR="002A19E4">
        <w:rPr>
          <w:rFonts w:eastAsiaTheme="minorHAnsi"/>
          <w:sz w:val="20"/>
          <w:szCs w:val="20"/>
        </w:rPr>
        <w:t>.</w:t>
      </w:r>
    </w:p>
    <w:p w:rsidR="00350B59" w:rsidRPr="002A19E4" w:rsidRDefault="00350B59" w:rsidP="002A19E4">
      <w:pPr>
        <w:pStyle w:val="ListParagraph"/>
        <w:numPr>
          <w:ilvl w:val="0"/>
          <w:numId w:val="20"/>
        </w:numPr>
        <w:shd w:val="clear" w:color="auto" w:fill="FFFFFF"/>
        <w:bidi w:val="0"/>
        <w:snapToGrid w:val="0"/>
        <w:jc w:val="both"/>
        <w:outlineLvl w:val="2"/>
        <w:rPr>
          <w:sz w:val="20"/>
          <w:szCs w:val="20"/>
        </w:rPr>
      </w:pPr>
      <w:proofErr w:type="spellStart"/>
      <w:r w:rsidRPr="002A19E4">
        <w:rPr>
          <w:rFonts w:eastAsiaTheme="minorHAnsi"/>
          <w:bCs/>
          <w:sz w:val="20"/>
          <w:szCs w:val="20"/>
        </w:rPr>
        <w:t>Sismanoglu</w:t>
      </w:r>
      <w:proofErr w:type="spellEnd"/>
      <w:r w:rsidRPr="002A19E4">
        <w:rPr>
          <w:rFonts w:eastAsiaTheme="minorHAnsi"/>
          <w:bCs/>
          <w:sz w:val="20"/>
          <w:szCs w:val="20"/>
        </w:rPr>
        <w:t xml:space="preserve"> A, </w:t>
      </w:r>
      <w:proofErr w:type="spellStart"/>
      <w:r w:rsidRPr="002A19E4">
        <w:rPr>
          <w:rFonts w:eastAsiaTheme="minorHAnsi"/>
          <w:bCs/>
          <w:sz w:val="20"/>
          <w:szCs w:val="20"/>
        </w:rPr>
        <w:t>Tekin</w:t>
      </w:r>
      <w:proofErr w:type="spellEnd"/>
      <w:r w:rsidRPr="002A19E4">
        <w:rPr>
          <w:rFonts w:eastAsiaTheme="minorHAnsi"/>
          <w:bCs/>
          <w:sz w:val="20"/>
          <w:szCs w:val="20"/>
        </w:rPr>
        <w:t xml:space="preserve"> HI, </w:t>
      </w:r>
      <w:proofErr w:type="spellStart"/>
      <w:r w:rsidRPr="002A19E4">
        <w:rPr>
          <w:rFonts w:eastAsiaTheme="minorHAnsi"/>
          <w:bCs/>
          <w:sz w:val="20"/>
          <w:szCs w:val="20"/>
        </w:rPr>
        <w:t>Erden</w:t>
      </w:r>
      <w:proofErr w:type="spellEnd"/>
      <w:r w:rsidRPr="002A19E4">
        <w:rPr>
          <w:rFonts w:eastAsiaTheme="minorHAnsi"/>
          <w:bCs/>
          <w:sz w:val="20"/>
          <w:szCs w:val="20"/>
        </w:rPr>
        <w:t xml:space="preserve"> HF, </w:t>
      </w:r>
      <w:proofErr w:type="spellStart"/>
      <w:r w:rsidRPr="002A19E4">
        <w:rPr>
          <w:rFonts w:eastAsiaTheme="minorHAnsi"/>
          <w:bCs/>
          <w:sz w:val="20"/>
          <w:szCs w:val="20"/>
        </w:rPr>
        <w:t>Ciray</w:t>
      </w:r>
      <w:proofErr w:type="spellEnd"/>
      <w:r w:rsidRPr="002A19E4">
        <w:rPr>
          <w:rFonts w:eastAsiaTheme="minorHAnsi"/>
          <w:bCs/>
          <w:sz w:val="20"/>
          <w:szCs w:val="20"/>
        </w:rPr>
        <w:t xml:space="preserve"> NH, </w:t>
      </w:r>
      <w:proofErr w:type="spellStart"/>
      <w:r w:rsidRPr="002A19E4">
        <w:rPr>
          <w:rFonts w:eastAsiaTheme="minorHAnsi"/>
          <w:bCs/>
          <w:sz w:val="20"/>
          <w:szCs w:val="20"/>
        </w:rPr>
        <w:t>Ulug</w:t>
      </w:r>
      <w:proofErr w:type="spellEnd"/>
      <w:r w:rsidRPr="002A19E4">
        <w:rPr>
          <w:rFonts w:eastAsiaTheme="minorHAnsi"/>
          <w:bCs/>
          <w:sz w:val="20"/>
          <w:szCs w:val="20"/>
        </w:rPr>
        <w:t xml:space="preserve"> U and </w:t>
      </w:r>
      <w:proofErr w:type="spellStart"/>
      <w:r w:rsidRPr="002A19E4">
        <w:rPr>
          <w:rFonts w:eastAsiaTheme="minorHAnsi"/>
          <w:bCs/>
          <w:sz w:val="20"/>
          <w:szCs w:val="20"/>
        </w:rPr>
        <w:t>Bahceci</w:t>
      </w:r>
      <w:proofErr w:type="spellEnd"/>
      <w:r w:rsidRPr="002A19E4">
        <w:rPr>
          <w:rFonts w:eastAsiaTheme="minorHAnsi"/>
          <w:bCs/>
          <w:sz w:val="20"/>
          <w:szCs w:val="20"/>
        </w:rPr>
        <w:t xml:space="preserve"> M (2009): </w:t>
      </w:r>
      <w:r w:rsidRPr="002A19E4">
        <w:rPr>
          <w:rFonts w:eastAsiaTheme="minorHAnsi"/>
          <w:sz w:val="20"/>
          <w:szCs w:val="20"/>
        </w:rPr>
        <w:t xml:space="preserve">Ovulation triggering with </w:t>
      </w:r>
      <w:proofErr w:type="spellStart"/>
      <w:r w:rsidRPr="002A19E4">
        <w:rPr>
          <w:rFonts w:eastAsiaTheme="minorHAnsi"/>
          <w:sz w:val="20"/>
          <w:szCs w:val="20"/>
        </w:rPr>
        <w:t>GnRH</w:t>
      </w:r>
      <w:proofErr w:type="spellEnd"/>
      <w:r w:rsidRPr="002A19E4">
        <w:rPr>
          <w:rFonts w:eastAsiaTheme="minorHAnsi"/>
          <w:sz w:val="20"/>
          <w:szCs w:val="20"/>
        </w:rPr>
        <w:t xml:space="preserve"> agonist vs. </w:t>
      </w:r>
      <w:proofErr w:type="spellStart"/>
      <w:r w:rsidRPr="002A19E4">
        <w:rPr>
          <w:rFonts w:eastAsiaTheme="minorHAnsi"/>
          <w:sz w:val="20"/>
          <w:szCs w:val="20"/>
        </w:rPr>
        <w:t>hCG</w:t>
      </w:r>
      <w:proofErr w:type="spellEnd"/>
      <w:r w:rsidRPr="002A19E4">
        <w:rPr>
          <w:rFonts w:eastAsiaTheme="minorHAnsi"/>
          <w:sz w:val="20"/>
          <w:szCs w:val="20"/>
        </w:rPr>
        <w:t xml:space="preserve"> in the same egg donor population undergoing donor </w:t>
      </w:r>
      <w:proofErr w:type="spellStart"/>
      <w:r w:rsidRPr="002A19E4">
        <w:rPr>
          <w:rFonts w:eastAsiaTheme="minorHAnsi"/>
          <w:sz w:val="20"/>
          <w:szCs w:val="20"/>
        </w:rPr>
        <w:t>oocyte</w:t>
      </w:r>
      <w:proofErr w:type="spellEnd"/>
      <w:r w:rsidRPr="002A19E4">
        <w:rPr>
          <w:rFonts w:eastAsiaTheme="minorHAnsi"/>
          <w:sz w:val="20"/>
          <w:szCs w:val="20"/>
        </w:rPr>
        <w:t xml:space="preserve"> cycles with </w:t>
      </w:r>
      <w:proofErr w:type="spellStart"/>
      <w:r w:rsidRPr="002A19E4">
        <w:rPr>
          <w:rFonts w:eastAsiaTheme="minorHAnsi"/>
          <w:sz w:val="20"/>
          <w:szCs w:val="20"/>
        </w:rPr>
        <w:t>GnRH</w:t>
      </w:r>
      <w:proofErr w:type="spellEnd"/>
      <w:r w:rsidRPr="002A19E4">
        <w:rPr>
          <w:rFonts w:eastAsiaTheme="minorHAnsi"/>
          <w:sz w:val="20"/>
          <w:szCs w:val="20"/>
        </w:rPr>
        <w:t xml:space="preserve"> antagonist: a prospective randomized cross-over trial J Assist </w:t>
      </w:r>
      <w:proofErr w:type="spellStart"/>
      <w:r w:rsidRPr="002A19E4">
        <w:rPr>
          <w:rFonts w:eastAsiaTheme="minorHAnsi"/>
          <w:sz w:val="20"/>
          <w:szCs w:val="20"/>
        </w:rPr>
        <w:t>Reprod</w:t>
      </w:r>
      <w:proofErr w:type="spellEnd"/>
      <w:r w:rsidRPr="002A19E4">
        <w:rPr>
          <w:rFonts w:eastAsiaTheme="minorHAnsi"/>
          <w:sz w:val="20"/>
          <w:szCs w:val="20"/>
        </w:rPr>
        <w:t xml:space="preserve"> Genet 26: 251–256.</w:t>
      </w:r>
    </w:p>
    <w:p w:rsidR="002A163D" w:rsidRPr="00345B9A" w:rsidRDefault="00350B59" w:rsidP="002A163D">
      <w:pPr>
        <w:pStyle w:val="ListParagraph"/>
        <w:numPr>
          <w:ilvl w:val="0"/>
          <w:numId w:val="20"/>
        </w:numPr>
        <w:bidi w:val="0"/>
        <w:snapToGrid w:val="0"/>
        <w:ind w:left="425" w:hanging="425"/>
        <w:jc w:val="both"/>
        <w:rPr>
          <w:rFonts w:eastAsiaTheme="minorHAnsi"/>
          <w:sz w:val="20"/>
          <w:szCs w:val="20"/>
        </w:rPr>
      </w:pPr>
      <w:proofErr w:type="spellStart"/>
      <w:r w:rsidRPr="00345B9A">
        <w:rPr>
          <w:rFonts w:eastAsiaTheme="minorHAnsi"/>
          <w:bCs/>
          <w:sz w:val="20"/>
          <w:szCs w:val="20"/>
        </w:rPr>
        <w:t>Sivridis</w:t>
      </w:r>
      <w:proofErr w:type="spellEnd"/>
      <w:r w:rsidRPr="00345B9A">
        <w:rPr>
          <w:rFonts w:eastAsiaTheme="minorHAnsi"/>
          <w:bCs/>
          <w:sz w:val="20"/>
          <w:szCs w:val="20"/>
        </w:rPr>
        <w:t xml:space="preserve"> E, </w:t>
      </w:r>
      <w:proofErr w:type="spellStart"/>
      <w:r w:rsidRPr="00345B9A">
        <w:rPr>
          <w:rFonts w:eastAsiaTheme="minorHAnsi"/>
          <w:bCs/>
          <w:sz w:val="20"/>
          <w:szCs w:val="20"/>
        </w:rPr>
        <w:t>Giatromanolaki</w:t>
      </w:r>
      <w:proofErr w:type="spellEnd"/>
      <w:r w:rsidRPr="00345B9A">
        <w:rPr>
          <w:rFonts w:eastAsiaTheme="minorHAnsi"/>
          <w:bCs/>
          <w:sz w:val="20"/>
          <w:szCs w:val="20"/>
        </w:rPr>
        <w:t xml:space="preserve"> A. </w:t>
      </w:r>
      <w:r w:rsidRPr="00345B9A">
        <w:rPr>
          <w:rFonts w:eastAsiaTheme="minorHAnsi"/>
          <w:sz w:val="20"/>
          <w:szCs w:val="20"/>
        </w:rPr>
        <w:t>New insights into the normal menstrual cycle-regulatory molecules</w:t>
      </w:r>
      <w:r w:rsidR="002A19E4" w:rsidRPr="00345B9A">
        <w:rPr>
          <w:rFonts w:eastAsiaTheme="minorHAnsi"/>
          <w:sz w:val="20"/>
          <w:szCs w:val="20"/>
        </w:rPr>
        <w:t xml:space="preserve">. </w:t>
      </w:r>
      <w:proofErr w:type="spellStart"/>
      <w:r w:rsidR="002A19E4" w:rsidRPr="00345B9A">
        <w:rPr>
          <w:rFonts w:eastAsiaTheme="minorHAnsi"/>
          <w:sz w:val="20"/>
          <w:szCs w:val="20"/>
        </w:rPr>
        <w:t>H</w:t>
      </w:r>
      <w:r w:rsidRPr="00345B9A">
        <w:rPr>
          <w:rFonts w:eastAsiaTheme="minorHAnsi"/>
          <w:sz w:val="20"/>
          <w:szCs w:val="20"/>
        </w:rPr>
        <w:t>isto</w:t>
      </w:r>
      <w:r w:rsidR="002A19E4" w:rsidRPr="00345B9A">
        <w:rPr>
          <w:rFonts w:eastAsiaTheme="minorHAnsi"/>
          <w:sz w:val="20"/>
          <w:szCs w:val="20"/>
        </w:rPr>
        <w:t>l</w:t>
      </w:r>
      <w:proofErr w:type="spellEnd"/>
      <w:r w:rsidR="002A19E4" w:rsidRPr="00345B9A">
        <w:rPr>
          <w:rFonts w:eastAsiaTheme="minorHAnsi"/>
          <w:sz w:val="20"/>
          <w:szCs w:val="20"/>
        </w:rPr>
        <w:t xml:space="preserve"> </w:t>
      </w:r>
      <w:proofErr w:type="spellStart"/>
      <w:r w:rsidR="002A19E4" w:rsidRPr="00345B9A">
        <w:rPr>
          <w:rFonts w:eastAsiaTheme="minorHAnsi"/>
          <w:sz w:val="20"/>
          <w:szCs w:val="20"/>
        </w:rPr>
        <w:t>H</w:t>
      </w:r>
      <w:r w:rsidRPr="00345B9A">
        <w:rPr>
          <w:rFonts w:eastAsiaTheme="minorHAnsi"/>
          <w:sz w:val="20"/>
          <w:szCs w:val="20"/>
        </w:rPr>
        <w:t>istopathol</w:t>
      </w:r>
      <w:proofErr w:type="spellEnd"/>
      <w:r w:rsidRPr="00345B9A">
        <w:rPr>
          <w:rFonts w:eastAsiaTheme="minorHAnsi"/>
          <w:sz w:val="20"/>
          <w:szCs w:val="20"/>
        </w:rPr>
        <w:t xml:space="preserve"> 2004; 19: 511-516.</w:t>
      </w:r>
      <w:r w:rsidR="00345B9A" w:rsidRPr="00345B9A">
        <w:rPr>
          <w:rFonts w:eastAsiaTheme="minorEastAsia" w:hint="eastAsia"/>
          <w:sz w:val="20"/>
          <w:szCs w:val="20"/>
          <w:lang w:eastAsia="zh-CN"/>
        </w:rPr>
        <w:t xml:space="preserve"> </w:t>
      </w:r>
    </w:p>
    <w:p w:rsidR="002A163D" w:rsidRPr="002A163D" w:rsidRDefault="002A163D" w:rsidP="002A163D">
      <w:pPr>
        <w:bidi w:val="0"/>
        <w:snapToGrid w:val="0"/>
        <w:ind w:left="425" w:hanging="425"/>
        <w:jc w:val="both"/>
        <w:rPr>
          <w:rFonts w:eastAsiaTheme="minorHAnsi"/>
          <w:sz w:val="20"/>
          <w:szCs w:val="20"/>
        </w:rPr>
        <w:sectPr w:rsidR="002A163D" w:rsidRPr="002A163D" w:rsidSect="00AB6300">
          <w:headerReference w:type="default" r:id="rId27"/>
          <w:footerReference w:type="even" r:id="rId28"/>
          <w:footerReference w:type="default" r:id="rId29"/>
          <w:type w:val="continuous"/>
          <w:pgSz w:w="12242" w:h="15842" w:code="1"/>
          <w:pgMar w:top="1440" w:right="1440" w:bottom="1440" w:left="1440" w:header="720" w:footer="720" w:gutter="0"/>
          <w:cols w:num="2" w:space="600"/>
          <w:docGrid w:linePitch="360"/>
        </w:sectPr>
      </w:pPr>
    </w:p>
    <w:p w:rsidR="008D3F0E" w:rsidRPr="002A163D" w:rsidRDefault="008D3F0E" w:rsidP="002A163D">
      <w:pPr>
        <w:bidi w:val="0"/>
        <w:snapToGrid w:val="0"/>
        <w:ind w:left="425" w:hanging="425"/>
        <w:jc w:val="both"/>
        <w:rPr>
          <w:rFonts w:eastAsiaTheme="minorEastAsia"/>
          <w:sz w:val="20"/>
          <w:szCs w:val="20"/>
          <w:lang w:eastAsia="zh-CN"/>
        </w:rPr>
      </w:pPr>
    </w:p>
    <w:p w:rsidR="0070729D" w:rsidRPr="002A163D" w:rsidRDefault="0070729D" w:rsidP="002A163D">
      <w:pPr>
        <w:bidi w:val="0"/>
        <w:snapToGrid w:val="0"/>
        <w:ind w:left="425" w:hanging="425"/>
        <w:jc w:val="both"/>
        <w:rPr>
          <w:rFonts w:eastAsiaTheme="minorEastAsia"/>
          <w:sz w:val="20"/>
          <w:szCs w:val="20"/>
          <w:lang w:eastAsia="zh-CN"/>
        </w:rPr>
      </w:pPr>
    </w:p>
    <w:p w:rsidR="0070729D" w:rsidRPr="002A163D" w:rsidRDefault="0070729D" w:rsidP="002A163D">
      <w:pPr>
        <w:bidi w:val="0"/>
        <w:snapToGrid w:val="0"/>
        <w:ind w:left="425" w:hanging="425"/>
        <w:jc w:val="both"/>
        <w:rPr>
          <w:rFonts w:eastAsiaTheme="minorEastAsia"/>
          <w:sz w:val="20"/>
          <w:szCs w:val="20"/>
          <w:lang w:eastAsia="zh-CN"/>
        </w:rPr>
      </w:pPr>
    </w:p>
    <w:p w:rsidR="00B011C9" w:rsidRPr="002A163D" w:rsidRDefault="008D3F0E" w:rsidP="002A163D">
      <w:pPr>
        <w:bidi w:val="0"/>
        <w:snapToGrid w:val="0"/>
        <w:ind w:left="425" w:hanging="425"/>
        <w:jc w:val="both"/>
        <w:rPr>
          <w:rFonts w:eastAsiaTheme="minorHAnsi"/>
          <w:sz w:val="20"/>
          <w:szCs w:val="20"/>
        </w:rPr>
      </w:pPr>
      <w:r w:rsidRPr="002A163D">
        <w:rPr>
          <w:rFonts w:eastAsiaTheme="minorHAnsi"/>
          <w:noProof/>
          <w:sz w:val="20"/>
          <w:szCs w:val="20"/>
        </w:rPr>
        <w:t>5/1</w:t>
      </w:r>
      <w:r w:rsidR="002A19E4">
        <w:rPr>
          <w:rFonts w:eastAsiaTheme="minorEastAsia" w:hint="eastAsia"/>
          <w:noProof/>
          <w:sz w:val="20"/>
          <w:szCs w:val="20"/>
          <w:lang w:eastAsia="zh-CN"/>
        </w:rPr>
        <w:t>5</w:t>
      </w:r>
      <w:r w:rsidRPr="002A163D">
        <w:rPr>
          <w:rFonts w:eastAsiaTheme="minorHAnsi"/>
          <w:noProof/>
          <w:sz w:val="20"/>
          <w:szCs w:val="20"/>
        </w:rPr>
        <w:t>/2017</w:t>
      </w:r>
    </w:p>
    <w:sectPr w:rsidR="00B011C9" w:rsidRPr="002A163D" w:rsidSect="008D3F0E">
      <w:headerReference w:type="default" r:id="rId30"/>
      <w:footerReference w:type="even" r:id="rId31"/>
      <w:footerReference w:type="default" r:id="rId32"/>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FC" w:rsidRDefault="003343FC" w:rsidP="008E66EB">
      <w:r>
        <w:separator/>
      </w:r>
    </w:p>
  </w:endnote>
  <w:endnote w:type="continuationSeparator" w:id="0">
    <w:p w:rsidR="003343FC" w:rsidRDefault="003343FC" w:rsidP="008E66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Default="00A278EC" w:rsidP="008E66EB">
    <w:pPr>
      <w:pStyle w:val="Footer"/>
      <w:framePr w:wrap="around" w:vAnchor="text" w:hAnchor="margin" w:xAlign="center" w:y="1"/>
      <w:rPr>
        <w:rStyle w:val="PageNumber"/>
      </w:rPr>
    </w:pPr>
    <w:r>
      <w:rPr>
        <w:rStyle w:val="PageNumber"/>
        <w:rtl/>
      </w:rPr>
      <w:fldChar w:fldCharType="begin"/>
    </w:r>
    <w:r w:rsidR="002A163D">
      <w:rPr>
        <w:rStyle w:val="PageNumber"/>
      </w:rPr>
      <w:instrText xml:space="preserve">PAGE  </w:instrText>
    </w:r>
    <w:r>
      <w:rPr>
        <w:rStyle w:val="PageNumber"/>
        <w:rtl/>
      </w:rPr>
      <w:fldChar w:fldCharType="end"/>
    </w:r>
  </w:p>
  <w:p w:rsidR="002A163D" w:rsidRDefault="002A1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Pr="00AB6300" w:rsidRDefault="00A278EC" w:rsidP="00AB6300">
    <w:pPr>
      <w:bidi w:val="0"/>
      <w:jc w:val="center"/>
      <w:rPr>
        <w:sz w:val="20"/>
      </w:rPr>
    </w:pPr>
    <w:r w:rsidRPr="00AB6300">
      <w:rPr>
        <w:sz w:val="20"/>
      </w:rPr>
      <w:fldChar w:fldCharType="begin"/>
    </w:r>
    <w:r w:rsidR="002A163D" w:rsidRPr="00AB6300">
      <w:rPr>
        <w:sz w:val="20"/>
      </w:rPr>
      <w:instrText xml:space="preserve"> page </w:instrText>
    </w:r>
    <w:r w:rsidRPr="00AB6300">
      <w:rPr>
        <w:sz w:val="20"/>
      </w:rPr>
      <w:fldChar w:fldCharType="separate"/>
    </w:r>
    <w:r w:rsidR="00345B9A">
      <w:rPr>
        <w:noProof/>
        <w:sz w:val="20"/>
      </w:rPr>
      <w:t>47</w:t>
    </w:r>
    <w:r w:rsidRPr="00AB630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Default="00A278EC" w:rsidP="008E66EB">
    <w:pPr>
      <w:pStyle w:val="Footer"/>
      <w:framePr w:wrap="around" w:vAnchor="text" w:hAnchor="margin" w:xAlign="center" w:y="1"/>
      <w:rPr>
        <w:rStyle w:val="PageNumber"/>
      </w:rPr>
    </w:pPr>
    <w:r>
      <w:rPr>
        <w:rStyle w:val="PageNumber"/>
        <w:rtl/>
      </w:rPr>
      <w:fldChar w:fldCharType="begin"/>
    </w:r>
    <w:r w:rsidR="002A163D">
      <w:rPr>
        <w:rStyle w:val="PageNumber"/>
      </w:rPr>
      <w:instrText xml:space="preserve">PAGE  </w:instrText>
    </w:r>
    <w:r>
      <w:rPr>
        <w:rStyle w:val="PageNumber"/>
        <w:rtl/>
      </w:rPr>
      <w:fldChar w:fldCharType="end"/>
    </w:r>
  </w:p>
  <w:p w:rsidR="002A163D" w:rsidRDefault="002A16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Pr="00AB6300" w:rsidRDefault="00A278EC" w:rsidP="00AB6300">
    <w:pPr>
      <w:bidi w:val="0"/>
      <w:jc w:val="center"/>
      <w:rPr>
        <w:sz w:val="20"/>
      </w:rPr>
    </w:pPr>
    <w:r w:rsidRPr="00AB6300">
      <w:rPr>
        <w:sz w:val="20"/>
      </w:rPr>
      <w:fldChar w:fldCharType="begin"/>
    </w:r>
    <w:r w:rsidR="002A163D" w:rsidRPr="00AB6300">
      <w:rPr>
        <w:sz w:val="20"/>
      </w:rPr>
      <w:instrText xml:space="preserve"> page </w:instrText>
    </w:r>
    <w:r w:rsidRPr="00AB6300">
      <w:rPr>
        <w:sz w:val="20"/>
      </w:rPr>
      <w:fldChar w:fldCharType="separate"/>
    </w:r>
    <w:r w:rsidR="00345B9A">
      <w:rPr>
        <w:noProof/>
        <w:sz w:val="20"/>
      </w:rPr>
      <w:t>56</w:t>
    </w:r>
    <w:r w:rsidRPr="00AB630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0" w:rsidRDefault="00A278EC" w:rsidP="008E66EB">
    <w:pPr>
      <w:pStyle w:val="Footer"/>
      <w:framePr w:wrap="around" w:vAnchor="text" w:hAnchor="margin" w:xAlign="center" w:y="1"/>
      <w:rPr>
        <w:rStyle w:val="PageNumber"/>
      </w:rPr>
    </w:pPr>
    <w:r>
      <w:rPr>
        <w:rStyle w:val="PageNumber"/>
        <w:rtl/>
      </w:rPr>
      <w:fldChar w:fldCharType="begin"/>
    </w:r>
    <w:r w:rsidR="00AB6300">
      <w:rPr>
        <w:rStyle w:val="PageNumber"/>
      </w:rPr>
      <w:instrText xml:space="preserve">PAGE  </w:instrText>
    </w:r>
    <w:r>
      <w:rPr>
        <w:rStyle w:val="PageNumber"/>
        <w:rtl/>
      </w:rPr>
      <w:fldChar w:fldCharType="end"/>
    </w:r>
  </w:p>
  <w:p w:rsidR="00AB6300" w:rsidRDefault="00AB630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0" w:rsidRPr="00AB6300" w:rsidRDefault="00A278EC" w:rsidP="00AB6300">
    <w:pPr>
      <w:bidi w:val="0"/>
      <w:jc w:val="center"/>
      <w:rPr>
        <w:sz w:val="20"/>
      </w:rPr>
    </w:pPr>
    <w:r w:rsidRPr="00AB6300">
      <w:rPr>
        <w:sz w:val="20"/>
      </w:rPr>
      <w:fldChar w:fldCharType="begin"/>
    </w:r>
    <w:r w:rsidR="00AB6300" w:rsidRPr="00AB6300">
      <w:rPr>
        <w:sz w:val="20"/>
      </w:rPr>
      <w:instrText xml:space="preserve"> page </w:instrText>
    </w:r>
    <w:r w:rsidRPr="00AB6300">
      <w:rPr>
        <w:sz w:val="20"/>
      </w:rPr>
      <w:fldChar w:fldCharType="separate"/>
    </w:r>
    <w:r w:rsidR="002A163D">
      <w:rPr>
        <w:noProof/>
        <w:sz w:val="20"/>
      </w:rPr>
      <w:t>12</w:t>
    </w:r>
    <w:r w:rsidRPr="00AB630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FC" w:rsidRDefault="003343FC" w:rsidP="008E66EB">
      <w:r>
        <w:separator/>
      </w:r>
    </w:p>
  </w:footnote>
  <w:footnote w:type="continuationSeparator" w:id="0">
    <w:p w:rsidR="003343FC" w:rsidRDefault="003343FC" w:rsidP="008E6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Pr="00AB6300" w:rsidRDefault="002A163D" w:rsidP="00AB6300">
    <w:pPr>
      <w:pBdr>
        <w:bottom w:val="thinThickMediumGap" w:sz="12" w:space="1" w:color="auto"/>
      </w:pBdr>
      <w:tabs>
        <w:tab w:val="left" w:pos="851"/>
        <w:tab w:val="right" w:pos="8364"/>
      </w:tabs>
      <w:bidi w:val="0"/>
      <w:adjustRightInd w:val="0"/>
      <w:snapToGrid w:val="0"/>
      <w:jc w:val="both"/>
      <w:rPr>
        <w:iCs/>
        <w:sz w:val="20"/>
        <w:szCs w:val="20"/>
      </w:rPr>
    </w:pPr>
    <w:r w:rsidRPr="00AB6300">
      <w:rPr>
        <w:rFonts w:hint="eastAsia"/>
        <w:sz w:val="20"/>
        <w:szCs w:val="20"/>
      </w:rPr>
      <w:tab/>
    </w:r>
    <w:r w:rsidRPr="00AB6300">
      <w:rPr>
        <w:sz w:val="20"/>
        <w:szCs w:val="20"/>
      </w:rPr>
      <w:t>New York Science Journal 201</w:t>
    </w:r>
    <w:r w:rsidRPr="00AB6300">
      <w:rPr>
        <w:rFonts w:hint="eastAsia"/>
        <w:sz w:val="20"/>
        <w:szCs w:val="20"/>
      </w:rPr>
      <w:t>7</w:t>
    </w:r>
    <w:r w:rsidRPr="00AB6300">
      <w:rPr>
        <w:sz w:val="20"/>
        <w:szCs w:val="20"/>
      </w:rPr>
      <w:t>;</w:t>
    </w:r>
    <w:r w:rsidRPr="00AB6300">
      <w:rPr>
        <w:rFonts w:hint="eastAsia"/>
        <w:sz w:val="20"/>
        <w:szCs w:val="20"/>
      </w:rPr>
      <w:t>10</w:t>
    </w:r>
    <w:r w:rsidRPr="00AB6300">
      <w:rPr>
        <w:sz w:val="20"/>
        <w:szCs w:val="20"/>
      </w:rPr>
      <w:t>(</w:t>
    </w:r>
    <w:r w:rsidRPr="00AB6300">
      <w:rPr>
        <w:rFonts w:hint="eastAsia"/>
        <w:sz w:val="20"/>
        <w:szCs w:val="20"/>
      </w:rPr>
      <w:t>6</w:t>
    </w:r>
    <w:r w:rsidRPr="00AB6300">
      <w:rPr>
        <w:sz w:val="20"/>
        <w:szCs w:val="20"/>
      </w:rPr>
      <w:t>)</w:t>
    </w:r>
    <w:r w:rsidRPr="00AB6300">
      <w:rPr>
        <w:iCs/>
        <w:sz w:val="20"/>
        <w:szCs w:val="20"/>
      </w:rPr>
      <w:t xml:space="preserve">     </w:t>
    </w:r>
    <w:r w:rsidRPr="00AB6300">
      <w:rPr>
        <w:rFonts w:hint="eastAsia"/>
        <w:iCs/>
        <w:sz w:val="20"/>
        <w:szCs w:val="20"/>
      </w:rPr>
      <w:tab/>
    </w:r>
    <w:r w:rsidRPr="00AB6300">
      <w:rPr>
        <w:iCs/>
        <w:sz w:val="20"/>
        <w:szCs w:val="20"/>
      </w:rPr>
      <w:t xml:space="preserve"> </w:t>
    </w:r>
    <w:r w:rsidRPr="00AB6300">
      <w:rPr>
        <w:rFonts w:hint="eastAsia"/>
        <w:iCs/>
        <w:sz w:val="20"/>
        <w:szCs w:val="20"/>
      </w:rPr>
      <w:t xml:space="preserve"> </w:t>
    </w:r>
    <w:r w:rsidRPr="00AB6300">
      <w:rPr>
        <w:iCs/>
        <w:sz w:val="20"/>
        <w:szCs w:val="20"/>
      </w:rPr>
      <w:t xml:space="preserve">   </w:t>
    </w:r>
    <w:hyperlink r:id="rId1" w:history="1">
      <w:r w:rsidRPr="00AB6300">
        <w:rPr>
          <w:rStyle w:val="Hyperlink"/>
          <w:color w:val="0000FF"/>
          <w:sz w:val="20"/>
          <w:szCs w:val="20"/>
        </w:rPr>
        <w:t>http://www.sciencepub.net/newyork</w:t>
      </w:r>
    </w:hyperlink>
  </w:p>
  <w:p w:rsidR="002A163D" w:rsidRPr="00AB6300" w:rsidRDefault="002A163D" w:rsidP="00AB6300">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3D" w:rsidRPr="00AB6300" w:rsidRDefault="002A163D" w:rsidP="00AB6300">
    <w:pPr>
      <w:pBdr>
        <w:bottom w:val="thinThickMediumGap" w:sz="12" w:space="1" w:color="auto"/>
      </w:pBdr>
      <w:tabs>
        <w:tab w:val="left" w:pos="851"/>
        <w:tab w:val="right" w:pos="8364"/>
      </w:tabs>
      <w:bidi w:val="0"/>
      <w:adjustRightInd w:val="0"/>
      <w:snapToGrid w:val="0"/>
      <w:jc w:val="both"/>
      <w:rPr>
        <w:iCs/>
        <w:sz w:val="20"/>
        <w:szCs w:val="20"/>
      </w:rPr>
    </w:pPr>
    <w:r w:rsidRPr="00AB6300">
      <w:rPr>
        <w:rFonts w:hint="eastAsia"/>
        <w:sz w:val="20"/>
        <w:szCs w:val="20"/>
      </w:rPr>
      <w:tab/>
    </w:r>
    <w:r w:rsidRPr="00AB6300">
      <w:rPr>
        <w:sz w:val="20"/>
        <w:szCs w:val="20"/>
      </w:rPr>
      <w:t>New York Science Journal 201</w:t>
    </w:r>
    <w:r w:rsidRPr="00AB6300">
      <w:rPr>
        <w:rFonts w:hint="eastAsia"/>
        <w:sz w:val="20"/>
        <w:szCs w:val="20"/>
      </w:rPr>
      <w:t>7</w:t>
    </w:r>
    <w:r w:rsidRPr="00AB6300">
      <w:rPr>
        <w:sz w:val="20"/>
        <w:szCs w:val="20"/>
      </w:rPr>
      <w:t>;</w:t>
    </w:r>
    <w:r w:rsidRPr="00AB6300">
      <w:rPr>
        <w:rFonts w:hint="eastAsia"/>
        <w:sz w:val="20"/>
        <w:szCs w:val="20"/>
      </w:rPr>
      <w:t>10</w:t>
    </w:r>
    <w:r w:rsidRPr="00AB6300">
      <w:rPr>
        <w:sz w:val="20"/>
        <w:szCs w:val="20"/>
      </w:rPr>
      <w:t>(</w:t>
    </w:r>
    <w:r w:rsidRPr="00AB6300">
      <w:rPr>
        <w:rFonts w:hint="eastAsia"/>
        <w:sz w:val="20"/>
        <w:szCs w:val="20"/>
      </w:rPr>
      <w:t>6</w:t>
    </w:r>
    <w:r w:rsidRPr="00AB6300">
      <w:rPr>
        <w:sz w:val="20"/>
        <w:szCs w:val="20"/>
      </w:rPr>
      <w:t>)</w:t>
    </w:r>
    <w:r w:rsidRPr="00AB6300">
      <w:rPr>
        <w:iCs/>
        <w:sz w:val="20"/>
        <w:szCs w:val="20"/>
      </w:rPr>
      <w:t xml:space="preserve">     </w:t>
    </w:r>
    <w:r w:rsidRPr="00AB6300">
      <w:rPr>
        <w:rFonts w:hint="eastAsia"/>
        <w:iCs/>
        <w:sz w:val="20"/>
        <w:szCs w:val="20"/>
      </w:rPr>
      <w:tab/>
    </w:r>
    <w:r w:rsidRPr="00AB6300">
      <w:rPr>
        <w:iCs/>
        <w:sz w:val="20"/>
        <w:szCs w:val="20"/>
      </w:rPr>
      <w:t xml:space="preserve"> </w:t>
    </w:r>
    <w:r w:rsidRPr="00AB6300">
      <w:rPr>
        <w:rFonts w:hint="eastAsia"/>
        <w:iCs/>
        <w:sz w:val="20"/>
        <w:szCs w:val="20"/>
      </w:rPr>
      <w:t xml:space="preserve"> </w:t>
    </w:r>
    <w:r w:rsidRPr="00AB6300">
      <w:rPr>
        <w:iCs/>
        <w:sz w:val="20"/>
        <w:szCs w:val="20"/>
      </w:rPr>
      <w:t xml:space="preserve">   </w:t>
    </w:r>
    <w:hyperlink r:id="rId1" w:history="1">
      <w:r w:rsidRPr="00AB6300">
        <w:rPr>
          <w:rStyle w:val="Hyperlink"/>
          <w:color w:val="0000FF"/>
          <w:sz w:val="20"/>
          <w:szCs w:val="20"/>
        </w:rPr>
        <w:t>http://www.sciencepub.net/newyork</w:t>
      </w:r>
    </w:hyperlink>
  </w:p>
  <w:p w:rsidR="002A163D" w:rsidRPr="00AB6300" w:rsidRDefault="002A163D" w:rsidP="00AB6300">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0" w:rsidRPr="00AB6300" w:rsidRDefault="00AB6300" w:rsidP="00AB6300">
    <w:pPr>
      <w:pBdr>
        <w:bottom w:val="thinThickMediumGap" w:sz="12" w:space="1" w:color="auto"/>
      </w:pBdr>
      <w:tabs>
        <w:tab w:val="left" w:pos="851"/>
        <w:tab w:val="right" w:pos="8364"/>
      </w:tabs>
      <w:bidi w:val="0"/>
      <w:adjustRightInd w:val="0"/>
      <w:snapToGrid w:val="0"/>
      <w:jc w:val="both"/>
      <w:rPr>
        <w:iCs/>
        <w:sz w:val="20"/>
        <w:szCs w:val="20"/>
      </w:rPr>
    </w:pPr>
    <w:r w:rsidRPr="00AB6300">
      <w:rPr>
        <w:rFonts w:hint="eastAsia"/>
        <w:sz w:val="20"/>
        <w:szCs w:val="20"/>
      </w:rPr>
      <w:tab/>
    </w:r>
    <w:r w:rsidRPr="00AB6300">
      <w:rPr>
        <w:sz w:val="20"/>
        <w:szCs w:val="20"/>
      </w:rPr>
      <w:t>New York Science Journal 201</w:t>
    </w:r>
    <w:r w:rsidRPr="00AB6300">
      <w:rPr>
        <w:rFonts w:hint="eastAsia"/>
        <w:sz w:val="20"/>
        <w:szCs w:val="20"/>
      </w:rPr>
      <w:t>7</w:t>
    </w:r>
    <w:r w:rsidRPr="00AB6300">
      <w:rPr>
        <w:sz w:val="20"/>
        <w:szCs w:val="20"/>
      </w:rPr>
      <w:t>;</w:t>
    </w:r>
    <w:r w:rsidRPr="00AB6300">
      <w:rPr>
        <w:rFonts w:hint="eastAsia"/>
        <w:sz w:val="20"/>
        <w:szCs w:val="20"/>
      </w:rPr>
      <w:t>10</w:t>
    </w:r>
    <w:r w:rsidRPr="00AB6300">
      <w:rPr>
        <w:sz w:val="20"/>
        <w:szCs w:val="20"/>
      </w:rPr>
      <w:t>(</w:t>
    </w:r>
    <w:r w:rsidRPr="00AB6300">
      <w:rPr>
        <w:rFonts w:hint="eastAsia"/>
        <w:sz w:val="20"/>
        <w:szCs w:val="20"/>
      </w:rPr>
      <w:t>6</w:t>
    </w:r>
    <w:r w:rsidRPr="00AB6300">
      <w:rPr>
        <w:sz w:val="20"/>
        <w:szCs w:val="20"/>
      </w:rPr>
      <w:t>)</w:t>
    </w:r>
    <w:r w:rsidRPr="00AB6300">
      <w:rPr>
        <w:iCs/>
        <w:sz w:val="20"/>
        <w:szCs w:val="20"/>
      </w:rPr>
      <w:t xml:space="preserve">     </w:t>
    </w:r>
    <w:r w:rsidRPr="00AB6300">
      <w:rPr>
        <w:rFonts w:hint="eastAsia"/>
        <w:iCs/>
        <w:sz w:val="20"/>
        <w:szCs w:val="20"/>
      </w:rPr>
      <w:tab/>
    </w:r>
    <w:r w:rsidRPr="00AB6300">
      <w:rPr>
        <w:iCs/>
        <w:sz w:val="20"/>
        <w:szCs w:val="20"/>
      </w:rPr>
      <w:t xml:space="preserve"> </w:t>
    </w:r>
    <w:r w:rsidRPr="00AB6300">
      <w:rPr>
        <w:rFonts w:hint="eastAsia"/>
        <w:iCs/>
        <w:sz w:val="20"/>
        <w:szCs w:val="20"/>
      </w:rPr>
      <w:t xml:space="preserve"> </w:t>
    </w:r>
    <w:r w:rsidRPr="00AB6300">
      <w:rPr>
        <w:iCs/>
        <w:sz w:val="20"/>
        <w:szCs w:val="20"/>
      </w:rPr>
      <w:t xml:space="preserve">   </w:t>
    </w:r>
    <w:hyperlink r:id="rId1" w:history="1">
      <w:r w:rsidRPr="00AB6300">
        <w:rPr>
          <w:rStyle w:val="Hyperlink"/>
          <w:color w:val="0000FF"/>
          <w:sz w:val="20"/>
          <w:szCs w:val="20"/>
        </w:rPr>
        <w:t>http://www.sciencepub.net/newyork</w:t>
      </w:r>
    </w:hyperlink>
  </w:p>
  <w:p w:rsidR="00AB6300" w:rsidRPr="00AB6300" w:rsidRDefault="00AB6300" w:rsidP="00AB6300">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1F3"/>
    <w:multiLevelType w:val="hybridMultilevel"/>
    <w:tmpl w:val="3BE882D6"/>
    <w:lvl w:ilvl="0" w:tplc="04090005">
      <w:start w:val="1"/>
      <w:numFmt w:val="bullet"/>
      <w:lvlText w:val=""/>
      <w:lvlJc w:val="left"/>
      <w:pPr>
        <w:ind w:left="629" w:hanging="360"/>
      </w:pPr>
      <w:rPr>
        <w:rFonts w:ascii="Wingdings" w:hAnsi="Wingdings" w:hint="default"/>
      </w:rPr>
    </w:lvl>
    <w:lvl w:ilvl="1" w:tplc="04090003">
      <w:start w:val="1"/>
      <w:numFmt w:val="bullet"/>
      <w:lvlText w:val="o"/>
      <w:lvlJc w:val="left"/>
      <w:pPr>
        <w:ind w:left="1349" w:hanging="360"/>
      </w:pPr>
      <w:rPr>
        <w:rFonts w:ascii="Courier New" w:hAnsi="Courier New" w:hint="default"/>
      </w:rPr>
    </w:lvl>
    <w:lvl w:ilvl="2" w:tplc="04090005">
      <w:start w:val="1"/>
      <w:numFmt w:val="bullet"/>
      <w:lvlText w:val=""/>
      <w:lvlJc w:val="left"/>
      <w:pPr>
        <w:ind w:left="2069" w:hanging="360"/>
      </w:pPr>
      <w:rPr>
        <w:rFonts w:ascii="Wingdings" w:hAnsi="Wingdings" w:hint="default"/>
      </w:rPr>
    </w:lvl>
    <w:lvl w:ilvl="3" w:tplc="04090001">
      <w:start w:val="1"/>
      <w:numFmt w:val="bullet"/>
      <w:lvlText w:val=""/>
      <w:lvlJc w:val="left"/>
      <w:pPr>
        <w:ind w:left="2789" w:hanging="360"/>
      </w:pPr>
      <w:rPr>
        <w:rFonts w:ascii="Symbol" w:hAnsi="Symbol" w:hint="default"/>
      </w:rPr>
    </w:lvl>
    <w:lvl w:ilvl="4" w:tplc="04090003">
      <w:start w:val="1"/>
      <w:numFmt w:val="bullet"/>
      <w:lvlText w:val="o"/>
      <w:lvlJc w:val="left"/>
      <w:pPr>
        <w:ind w:left="3509" w:hanging="360"/>
      </w:pPr>
      <w:rPr>
        <w:rFonts w:ascii="Courier New" w:hAnsi="Courier New" w:hint="default"/>
      </w:rPr>
    </w:lvl>
    <w:lvl w:ilvl="5" w:tplc="04090005">
      <w:start w:val="1"/>
      <w:numFmt w:val="bullet"/>
      <w:lvlText w:val=""/>
      <w:lvlJc w:val="left"/>
      <w:pPr>
        <w:ind w:left="4229" w:hanging="360"/>
      </w:pPr>
      <w:rPr>
        <w:rFonts w:ascii="Wingdings" w:hAnsi="Wingdings" w:hint="default"/>
      </w:rPr>
    </w:lvl>
    <w:lvl w:ilvl="6" w:tplc="04090001">
      <w:start w:val="1"/>
      <w:numFmt w:val="bullet"/>
      <w:lvlText w:val=""/>
      <w:lvlJc w:val="left"/>
      <w:pPr>
        <w:ind w:left="4949" w:hanging="360"/>
      </w:pPr>
      <w:rPr>
        <w:rFonts w:ascii="Symbol" w:hAnsi="Symbol" w:hint="default"/>
      </w:rPr>
    </w:lvl>
    <w:lvl w:ilvl="7" w:tplc="04090003">
      <w:start w:val="1"/>
      <w:numFmt w:val="bullet"/>
      <w:lvlText w:val="o"/>
      <w:lvlJc w:val="left"/>
      <w:pPr>
        <w:ind w:left="5669" w:hanging="360"/>
      </w:pPr>
      <w:rPr>
        <w:rFonts w:ascii="Courier New" w:hAnsi="Courier New" w:hint="default"/>
      </w:rPr>
    </w:lvl>
    <w:lvl w:ilvl="8" w:tplc="04090005">
      <w:start w:val="1"/>
      <w:numFmt w:val="bullet"/>
      <w:lvlText w:val=""/>
      <w:lvlJc w:val="left"/>
      <w:pPr>
        <w:ind w:left="6389" w:hanging="360"/>
      </w:pPr>
      <w:rPr>
        <w:rFonts w:ascii="Wingdings" w:hAnsi="Wingdings" w:hint="default"/>
      </w:rPr>
    </w:lvl>
  </w:abstractNum>
  <w:abstractNum w:abstractNumId="1">
    <w:nsid w:val="13764571"/>
    <w:multiLevelType w:val="hybridMultilevel"/>
    <w:tmpl w:val="9C5283E2"/>
    <w:lvl w:ilvl="0" w:tplc="EE5CE60C">
      <w:start w:val="1"/>
      <w:numFmt w:val="decimal"/>
      <w:lvlText w:val="%1-"/>
      <w:lvlJc w:val="left"/>
      <w:pPr>
        <w:ind w:left="720" w:hanging="360"/>
      </w:pPr>
      <w:rPr>
        <w:rFonts w:cs="Arial"/>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38D3673"/>
    <w:multiLevelType w:val="hybridMultilevel"/>
    <w:tmpl w:val="BDCE27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A417868"/>
    <w:multiLevelType w:val="hybridMultilevel"/>
    <w:tmpl w:val="CDCA50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FB14D2"/>
    <w:multiLevelType w:val="hybridMultilevel"/>
    <w:tmpl w:val="CD6E7A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A44DCB"/>
    <w:multiLevelType w:val="hybridMultilevel"/>
    <w:tmpl w:val="853825B4"/>
    <w:lvl w:ilvl="0" w:tplc="E9F6025A">
      <w:start w:val="1"/>
      <w:numFmt w:val="decimal"/>
      <w:lvlText w:val="%1."/>
      <w:lvlJc w:val="left"/>
      <w:pPr>
        <w:ind w:left="720" w:hanging="360"/>
      </w:pPr>
      <w:rPr>
        <w:rFonts w:cs="Times New Roman"/>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22C3909"/>
    <w:multiLevelType w:val="hybridMultilevel"/>
    <w:tmpl w:val="7620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36C76"/>
    <w:multiLevelType w:val="hybridMultilevel"/>
    <w:tmpl w:val="899EFE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FD2367"/>
    <w:multiLevelType w:val="hybridMultilevel"/>
    <w:tmpl w:val="60065D1E"/>
    <w:lvl w:ilvl="0" w:tplc="04090005">
      <w:start w:val="1"/>
      <w:numFmt w:val="bullet"/>
      <w:lvlText w:val=""/>
      <w:lvlJc w:val="left"/>
      <w:pPr>
        <w:tabs>
          <w:tab w:val="num" w:pos="795"/>
        </w:tabs>
        <w:ind w:left="795" w:hanging="360"/>
      </w:pPr>
      <w:rPr>
        <w:rFonts w:ascii="Wingdings" w:hAnsi="Wingdings" w:hint="default"/>
      </w:rPr>
    </w:lvl>
    <w:lvl w:ilvl="1" w:tplc="04090005">
      <w:start w:val="1"/>
      <w:numFmt w:val="bullet"/>
      <w:lvlText w:val=""/>
      <w:lvlJc w:val="left"/>
      <w:pPr>
        <w:tabs>
          <w:tab w:val="num" w:pos="1515"/>
        </w:tabs>
        <w:ind w:left="1515" w:hanging="360"/>
      </w:pPr>
      <w:rPr>
        <w:rFonts w:ascii="Wingdings" w:hAnsi="Wingdings"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9">
    <w:nsid w:val="34100756"/>
    <w:multiLevelType w:val="hybridMultilevel"/>
    <w:tmpl w:val="23F02830"/>
    <w:lvl w:ilvl="0" w:tplc="04090005">
      <w:start w:val="1"/>
      <w:numFmt w:val="bullet"/>
      <w:lvlText w:val=""/>
      <w:lvlJc w:val="left"/>
      <w:pPr>
        <w:tabs>
          <w:tab w:val="num" w:pos="720"/>
        </w:tabs>
        <w:ind w:left="720" w:hanging="360"/>
      </w:pPr>
      <w:rPr>
        <w:rFonts w:ascii="Wingdings" w:hAnsi="Wingdings" w:hint="default"/>
      </w:rPr>
    </w:lvl>
    <w:lvl w:ilvl="1" w:tplc="47749D88">
      <w:start w:val="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5B1B3C"/>
    <w:multiLevelType w:val="hybridMultilevel"/>
    <w:tmpl w:val="7BC0E3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A1F85"/>
    <w:multiLevelType w:val="hybridMultilevel"/>
    <w:tmpl w:val="D102E0E6"/>
    <w:lvl w:ilvl="0" w:tplc="4796BB0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994B1D"/>
    <w:multiLevelType w:val="hybridMultilevel"/>
    <w:tmpl w:val="A7804F52"/>
    <w:lvl w:ilvl="0" w:tplc="7C1838C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6423F2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4">
    <w:nsid w:val="66424F39"/>
    <w:multiLevelType w:val="hybridMultilevel"/>
    <w:tmpl w:val="C2861F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7E50515"/>
    <w:multiLevelType w:val="hybridMultilevel"/>
    <w:tmpl w:val="D31EA476"/>
    <w:lvl w:ilvl="0" w:tplc="E32A7E04">
      <w:start w:val="1"/>
      <w:numFmt w:val="lowerRoman"/>
      <w:lvlText w:val="(%1)"/>
      <w:lvlJc w:val="left"/>
      <w:pPr>
        <w:ind w:left="1709" w:hanging="1080"/>
      </w:pPr>
      <w:rPr>
        <w:b/>
        <w:bCs/>
      </w:rPr>
    </w:lvl>
    <w:lvl w:ilvl="1" w:tplc="04090019" w:tentative="1">
      <w:start w:val="1"/>
      <w:numFmt w:val="lowerLetter"/>
      <w:lvlText w:val="%2."/>
      <w:lvlJc w:val="left"/>
      <w:pPr>
        <w:tabs>
          <w:tab w:val="num" w:pos="1709"/>
        </w:tabs>
        <w:ind w:left="1709" w:hanging="360"/>
      </w:pPr>
    </w:lvl>
    <w:lvl w:ilvl="2" w:tplc="0409001B" w:tentative="1">
      <w:start w:val="1"/>
      <w:numFmt w:val="lowerRoman"/>
      <w:lvlText w:val="%3."/>
      <w:lvlJc w:val="right"/>
      <w:pPr>
        <w:tabs>
          <w:tab w:val="num" w:pos="2429"/>
        </w:tabs>
        <w:ind w:left="2429" w:hanging="180"/>
      </w:pPr>
    </w:lvl>
    <w:lvl w:ilvl="3" w:tplc="0409000F" w:tentative="1">
      <w:start w:val="1"/>
      <w:numFmt w:val="decimal"/>
      <w:lvlText w:val="%4."/>
      <w:lvlJc w:val="left"/>
      <w:pPr>
        <w:tabs>
          <w:tab w:val="num" w:pos="3149"/>
        </w:tabs>
        <w:ind w:left="3149" w:hanging="360"/>
      </w:pPr>
    </w:lvl>
    <w:lvl w:ilvl="4" w:tplc="04090019" w:tentative="1">
      <w:start w:val="1"/>
      <w:numFmt w:val="lowerLetter"/>
      <w:lvlText w:val="%5."/>
      <w:lvlJc w:val="left"/>
      <w:pPr>
        <w:tabs>
          <w:tab w:val="num" w:pos="3869"/>
        </w:tabs>
        <w:ind w:left="3869" w:hanging="360"/>
      </w:pPr>
    </w:lvl>
    <w:lvl w:ilvl="5" w:tplc="0409001B" w:tentative="1">
      <w:start w:val="1"/>
      <w:numFmt w:val="lowerRoman"/>
      <w:lvlText w:val="%6."/>
      <w:lvlJc w:val="right"/>
      <w:pPr>
        <w:tabs>
          <w:tab w:val="num" w:pos="4589"/>
        </w:tabs>
        <w:ind w:left="4589" w:hanging="180"/>
      </w:pPr>
    </w:lvl>
    <w:lvl w:ilvl="6" w:tplc="0409000F" w:tentative="1">
      <w:start w:val="1"/>
      <w:numFmt w:val="decimal"/>
      <w:lvlText w:val="%7."/>
      <w:lvlJc w:val="left"/>
      <w:pPr>
        <w:tabs>
          <w:tab w:val="num" w:pos="5309"/>
        </w:tabs>
        <w:ind w:left="5309" w:hanging="360"/>
      </w:pPr>
    </w:lvl>
    <w:lvl w:ilvl="7" w:tplc="04090019" w:tentative="1">
      <w:start w:val="1"/>
      <w:numFmt w:val="lowerLetter"/>
      <w:lvlText w:val="%8."/>
      <w:lvlJc w:val="left"/>
      <w:pPr>
        <w:tabs>
          <w:tab w:val="num" w:pos="6029"/>
        </w:tabs>
        <w:ind w:left="6029" w:hanging="360"/>
      </w:pPr>
    </w:lvl>
    <w:lvl w:ilvl="8" w:tplc="0409001B" w:tentative="1">
      <w:start w:val="1"/>
      <w:numFmt w:val="lowerRoman"/>
      <w:lvlText w:val="%9."/>
      <w:lvlJc w:val="right"/>
      <w:pPr>
        <w:tabs>
          <w:tab w:val="num" w:pos="6749"/>
        </w:tabs>
        <w:ind w:left="6749" w:hanging="180"/>
      </w:pPr>
    </w:lvl>
  </w:abstractNum>
  <w:abstractNum w:abstractNumId="16">
    <w:nsid w:val="6D1E5840"/>
    <w:multiLevelType w:val="hybridMultilevel"/>
    <w:tmpl w:val="762CD41E"/>
    <w:lvl w:ilvl="0" w:tplc="2E468A26">
      <w:start w:val="1"/>
      <w:numFmt w:val="lowerLetter"/>
      <w:lvlText w:val="(%1)"/>
      <w:lvlJc w:val="left"/>
      <w:pPr>
        <w:tabs>
          <w:tab w:val="num" w:pos="1348"/>
        </w:tabs>
        <w:ind w:left="1348" w:hanging="384"/>
      </w:pPr>
      <w:rPr>
        <w:rFonts w:hint="default"/>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17">
    <w:nsid w:val="789070E5"/>
    <w:multiLevelType w:val="hybridMultilevel"/>
    <w:tmpl w:val="C53AFCC0"/>
    <w:lvl w:ilvl="0" w:tplc="C3F64CB0">
      <w:start w:val="1"/>
      <w:numFmt w:val="lowerLetter"/>
      <w:lvlText w:val="(%1)"/>
      <w:lvlJc w:val="left"/>
      <w:pPr>
        <w:ind w:left="750" w:hanging="390"/>
      </w:pPr>
      <w:rPr>
        <w:rFonts w:hint="default"/>
        <w:b/>
        <w:bCs/>
      </w:rPr>
    </w:lvl>
    <w:lvl w:ilvl="1" w:tplc="D528F43C">
      <w:start w:val="1"/>
      <w:numFmt w:val="decimal"/>
      <w:lvlText w:val="%2-"/>
      <w:lvlJc w:val="left"/>
      <w:pPr>
        <w:ind w:left="786"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7"/>
  </w:num>
  <w:num w:numId="10">
    <w:abstractNumId w:val="7"/>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5"/>
  </w:num>
  <w:num w:numId="18">
    <w:abstractNumId w:val="0"/>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F445C2"/>
    <w:rsid w:val="00030529"/>
    <w:rsid w:val="0004022A"/>
    <w:rsid w:val="00062AFA"/>
    <w:rsid w:val="000B41A5"/>
    <w:rsid w:val="000C0C98"/>
    <w:rsid w:val="0011657F"/>
    <w:rsid w:val="001336A3"/>
    <w:rsid w:val="00136664"/>
    <w:rsid w:val="0016523C"/>
    <w:rsid w:val="001C2C74"/>
    <w:rsid w:val="00270C70"/>
    <w:rsid w:val="002772CF"/>
    <w:rsid w:val="0029486E"/>
    <w:rsid w:val="002A163D"/>
    <w:rsid w:val="002A19E4"/>
    <w:rsid w:val="002E13BD"/>
    <w:rsid w:val="002E518A"/>
    <w:rsid w:val="002E5B55"/>
    <w:rsid w:val="003229AE"/>
    <w:rsid w:val="00332929"/>
    <w:rsid w:val="003343FC"/>
    <w:rsid w:val="00345B9A"/>
    <w:rsid w:val="00350B59"/>
    <w:rsid w:val="00380F22"/>
    <w:rsid w:val="003C38C6"/>
    <w:rsid w:val="003E472E"/>
    <w:rsid w:val="003E6481"/>
    <w:rsid w:val="00445430"/>
    <w:rsid w:val="00484DA8"/>
    <w:rsid w:val="0048518E"/>
    <w:rsid w:val="00500555"/>
    <w:rsid w:val="00536C2C"/>
    <w:rsid w:val="005741A9"/>
    <w:rsid w:val="005C0995"/>
    <w:rsid w:val="005D1D70"/>
    <w:rsid w:val="005E661F"/>
    <w:rsid w:val="005F4144"/>
    <w:rsid w:val="00664E65"/>
    <w:rsid w:val="006A01E2"/>
    <w:rsid w:val="006A6812"/>
    <w:rsid w:val="006E2C1D"/>
    <w:rsid w:val="0070729D"/>
    <w:rsid w:val="007207F8"/>
    <w:rsid w:val="007A31D8"/>
    <w:rsid w:val="007D0D2C"/>
    <w:rsid w:val="00806FFA"/>
    <w:rsid w:val="00824394"/>
    <w:rsid w:val="00833E67"/>
    <w:rsid w:val="008B2560"/>
    <w:rsid w:val="008D3F0E"/>
    <w:rsid w:val="008E4942"/>
    <w:rsid w:val="008E66EB"/>
    <w:rsid w:val="00901971"/>
    <w:rsid w:val="0093386A"/>
    <w:rsid w:val="00945F69"/>
    <w:rsid w:val="00947E55"/>
    <w:rsid w:val="009F65E3"/>
    <w:rsid w:val="00A278EC"/>
    <w:rsid w:val="00A624F9"/>
    <w:rsid w:val="00AB6300"/>
    <w:rsid w:val="00AF0467"/>
    <w:rsid w:val="00B011C9"/>
    <w:rsid w:val="00B14D89"/>
    <w:rsid w:val="00B330B4"/>
    <w:rsid w:val="00B95E1C"/>
    <w:rsid w:val="00C07F97"/>
    <w:rsid w:val="00C15EBB"/>
    <w:rsid w:val="00C42A2D"/>
    <w:rsid w:val="00C83377"/>
    <w:rsid w:val="00CF310F"/>
    <w:rsid w:val="00D242A5"/>
    <w:rsid w:val="00D837DC"/>
    <w:rsid w:val="00D86354"/>
    <w:rsid w:val="00DC1A40"/>
    <w:rsid w:val="00E50917"/>
    <w:rsid w:val="00E55043"/>
    <w:rsid w:val="00E71D63"/>
    <w:rsid w:val="00EA7362"/>
    <w:rsid w:val="00EE20D4"/>
    <w:rsid w:val="00F445C2"/>
    <w:rsid w:val="00F546CF"/>
    <w:rsid w:val="00FB5F73"/>
    <w:rsid w:val="00FF4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C2"/>
    <w:pPr>
      <w:bidi/>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EE20D4"/>
    <w:pPr>
      <w:keepNext/>
      <w:keepLines/>
      <w:numPr>
        <w:numId w:val="2"/>
      </w:numPr>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E20D4"/>
    <w:pPr>
      <w:keepNext/>
      <w:keepLines/>
      <w:numPr>
        <w:ilvl w:val="1"/>
        <w:numId w:val="2"/>
      </w:numPr>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EE20D4"/>
    <w:pPr>
      <w:keepNext/>
      <w:keepLines/>
      <w:numPr>
        <w:ilvl w:val="2"/>
        <w:numId w:val="2"/>
      </w:numPr>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qFormat/>
    <w:rsid w:val="00EE20D4"/>
    <w:pPr>
      <w:keepNext/>
      <w:keepLines/>
      <w:numPr>
        <w:ilvl w:val="3"/>
        <w:numId w:val="2"/>
      </w:numPr>
      <w:spacing w:before="200" w:line="276" w:lineRule="auto"/>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qFormat/>
    <w:rsid w:val="00EE20D4"/>
    <w:pPr>
      <w:keepNext/>
      <w:keepLines/>
      <w:numPr>
        <w:ilvl w:val="4"/>
        <w:numId w:val="2"/>
      </w:numPr>
      <w:spacing w:before="200" w:line="276" w:lineRule="auto"/>
      <w:outlineLvl w:val="4"/>
    </w:pPr>
    <w:rPr>
      <w:rFonts w:ascii="Cambria" w:eastAsia="Times New Roman" w:hAnsi="Cambria"/>
      <w:color w:val="243F60"/>
      <w:sz w:val="22"/>
      <w:szCs w:val="22"/>
    </w:rPr>
  </w:style>
  <w:style w:type="paragraph" w:styleId="Heading6">
    <w:name w:val="heading 6"/>
    <w:basedOn w:val="Normal"/>
    <w:next w:val="Normal"/>
    <w:link w:val="Heading6Char"/>
    <w:qFormat/>
    <w:rsid w:val="00EE20D4"/>
    <w:pPr>
      <w:keepNext/>
      <w:keepLines/>
      <w:numPr>
        <w:ilvl w:val="5"/>
        <w:numId w:val="2"/>
      </w:numPr>
      <w:spacing w:before="200" w:line="276" w:lineRule="auto"/>
      <w:outlineLvl w:val="5"/>
    </w:pPr>
    <w:rPr>
      <w:rFonts w:ascii="Cambria" w:eastAsia="Times New Roman" w:hAnsi="Cambria"/>
      <w:i/>
      <w:iCs/>
      <w:color w:val="243F60"/>
      <w:sz w:val="22"/>
      <w:szCs w:val="22"/>
    </w:rPr>
  </w:style>
  <w:style w:type="paragraph" w:styleId="Heading7">
    <w:name w:val="heading 7"/>
    <w:basedOn w:val="Normal"/>
    <w:next w:val="Normal"/>
    <w:link w:val="Heading7Char"/>
    <w:qFormat/>
    <w:rsid w:val="00EE20D4"/>
    <w:pPr>
      <w:keepNext/>
      <w:numPr>
        <w:ilvl w:val="6"/>
        <w:numId w:val="2"/>
      </w:numPr>
      <w:bidi w:val="0"/>
      <w:jc w:val="center"/>
      <w:outlineLvl w:val="6"/>
    </w:pPr>
    <w:rPr>
      <w:rFonts w:eastAsia="Times New Roman"/>
      <w:sz w:val="32"/>
      <w:szCs w:val="32"/>
      <w:lang w:eastAsia="ar-SA"/>
    </w:rPr>
  </w:style>
  <w:style w:type="paragraph" w:styleId="Heading8">
    <w:name w:val="heading 8"/>
    <w:basedOn w:val="Normal"/>
    <w:next w:val="Normal"/>
    <w:link w:val="Heading8Char"/>
    <w:qFormat/>
    <w:rsid w:val="00EE20D4"/>
    <w:pPr>
      <w:keepNext/>
      <w:keepLines/>
      <w:numPr>
        <w:ilvl w:val="7"/>
        <w:numId w:val="2"/>
      </w:numPr>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EE20D4"/>
    <w:pPr>
      <w:keepNext/>
      <w:keepLines/>
      <w:numPr>
        <w:ilvl w:val="8"/>
        <w:numId w:val="2"/>
      </w:numPr>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44"/>
    <w:pPr>
      <w:ind w:left="720"/>
      <w:contextualSpacing/>
    </w:pPr>
  </w:style>
  <w:style w:type="character" w:customStyle="1" w:styleId="Heading1Char">
    <w:name w:val="Heading 1 Char"/>
    <w:basedOn w:val="DefaultParagraphFont"/>
    <w:link w:val="Heading1"/>
    <w:rsid w:val="00EE20D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E20D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EE20D4"/>
    <w:rPr>
      <w:rFonts w:ascii="Cambria" w:eastAsia="Times New Roman" w:hAnsi="Cambria" w:cs="Times New Roman"/>
      <w:b/>
      <w:bCs/>
      <w:color w:val="4F81BD"/>
    </w:rPr>
  </w:style>
  <w:style w:type="character" w:customStyle="1" w:styleId="Heading4Char">
    <w:name w:val="Heading 4 Char"/>
    <w:basedOn w:val="DefaultParagraphFont"/>
    <w:link w:val="Heading4"/>
    <w:rsid w:val="00EE20D4"/>
    <w:rPr>
      <w:rFonts w:ascii="Cambria" w:eastAsia="Times New Roman" w:hAnsi="Cambria" w:cs="Times New Roman"/>
      <w:b/>
      <w:bCs/>
      <w:i/>
      <w:iCs/>
      <w:color w:val="4F81BD"/>
    </w:rPr>
  </w:style>
  <w:style w:type="character" w:customStyle="1" w:styleId="Heading5Char">
    <w:name w:val="Heading 5 Char"/>
    <w:basedOn w:val="DefaultParagraphFont"/>
    <w:link w:val="Heading5"/>
    <w:rsid w:val="00EE20D4"/>
    <w:rPr>
      <w:rFonts w:ascii="Cambria" w:eastAsia="Times New Roman" w:hAnsi="Cambria" w:cs="Times New Roman"/>
      <w:color w:val="243F60"/>
    </w:rPr>
  </w:style>
  <w:style w:type="character" w:customStyle="1" w:styleId="Heading6Char">
    <w:name w:val="Heading 6 Char"/>
    <w:basedOn w:val="DefaultParagraphFont"/>
    <w:link w:val="Heading6"/>
    <w:rsid w:val="00EE20D4"/>
    <w:rPr>
      <w:rFonts w:ascii="Cambria" w:eastAsia="Times New Roman" w:hAnsi="Cambria" w:cs="Times New Roman"/>
      <w:i/>
      <w:iCs/>
      <w:color w:val="243F60"/>
    </w:rPr>
  </w:style>
  <w:style w:type="character" w:customStyle="1" w:styleId="Heading7Char">
    <w:name w:val="Heading 7 Char"/>
    <w:basedOn w:val="DefaultParagraphFont"/>
    <w:link w:val="Heading7"/>
    <w:rsid w:val="00EE20D4"/>
    <w:rPr>
      <w:rFonts w:ascii="Times New Roman" w:eastAsia="Times New Roman" w:hAnsi="Times New Roman" w:cs="Times New Roman"/>
      <w:sz w:val="32"/>
      <w:szCs w:val="32"/>
      <w:lang w:eastAsia="ar-SA"/>
    </w:rPr>
  </w:style>
  <w:style w:type="character" w:customStyle="1" w:styleId="Heading8Char">
    <w:name w:val="Heading 8 Char"/>
    <w:basedOn w:val="DefaultParagraphFont"/>
    <w:link w:val="Heading8"/>
    <w:rsid w:val="00EE20D4"/>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EE20D4"/>
    <w:rPr>
      <w:rFonts w:ascii="Cambria" w:eastAsia="Times New Roman" w:hAnsi="Cambria" w:cs="Times New Roman"/>
      <w:i/>
      <w:iCs/>
      <w:color w:val="404040"/>
      <w:sz w:val="20"/>
      <w:szCs w:val="20"/>
    </w:rPr>
  </w:style>
  <w:style w:type="paragraph" w:customStyle="1" w:styleId="1">
    <w:name w:val="سرد الفقرات1"/>
    <w:basedOn w:val="Normal"/>
    <w:rsid w:val="00B330B4"/>
    <w:pPr>
      <w:spacing w:after="200" w:line="276" w:lineRule="auto"/>
      <w:ind w:left="720"/>
    </w:pPr>
    <w:rPr>
      <w:rFonts w:ascii="Calibri" w:eastAsia="Times New Roman" w:hAnsi="Calibri" w:cs="Arial"/>
      <w:sz w:val="22"/>
      <w:szCs w:val="22"/>
    </w:rPr>
  </w:style>
  <w:style w:type="paragraph" w:styleId="NormalWeb">
    <w:name w:val="Normal (Web)"/>
    <w:basedOn w:val="Normal"/>
    <w:rsid w:val="00B330B4"/>
    <w:pPr>
      <w:bidi w:val="0"/>
      <w:spacing w:before="100" w:beforeAutospacing="1" w:after="100" w:afterAutospacing="1"/>
    </w:pPr>
    <w:rPr>
      <w:rFonts w:eastAsia="Times New Roman"/>
    </w:rPr>
  </w:style>
  <w:style w:type="paragraph" w:customStyle="1" w:styleId="msolistparagraph0">
    <w:name w:val="msolistparagraph"/>
    <w:basedOn w:val="Normal"/>
    <w:rsid w:val="00B330B4"/>
    <w:pPr>
      <w:spacing w:after="200" w:line="276" w:lineRule="auto"/>
      <w:ind w:left="720"/>
    </w:pPr>
    <w:rPr>
      <w:rFonts w:ascii="Calibri" w:eastAsia="Times New Roman" w:hAnsi="Calibri" w:cs="Arial"/>
      <w:sz w:val="22"/>
      <w:szCs w:val="22"/>
    </w:rPr>
  </w:style>
  <w:style w:type="paragraph" w:styleId="BalloonText">
    <w:name w:val="Balloon Text"/>
    <w:basedOn w:val="Normal"/>
    <w:link w:val="BalloonTextChar"/>
    <w:uiPriority w:val="99"/>
    <w:semiHidden/>
    <w:unhideWhenUsed/>
    <w:rsid w:val="00B330B4"/>
    <w:rPr>
      <w:rFonts w:ascii="Tahoma" w:hAnsi="Tahoma" w:cs="Tahoma"/>
      <w:sz w:val="16"/>
      <w:szCs w:val="16"/>
    </w:rPr>
  </w:style>
  <w:style w:type="character" w:customStyle="1" w:styleId="BalloonTextChar">
    <w:name w:val="Balloon Text Char"/>
    <w:basedOn w:val="DefaultParagraphFont"/>
    <w:link w:val="BalloonText"/>
    <w:uiPriority w:val="99"/>
    <w:semiHidden/>
    <w:rsid w:val="00B330B4"/>
    <w:rPr>
      <w:rFonts w:ascii="Tahoma" w:eastAsia="Calibri" w:hAnsi="Tahoma" w:cs="Tahoma"/>
      <w:sz w:val="16"/>
      <w:szCs w:val="16"/>
    </w:rPr>
  </w:style>
  <w:style w:type="paragraph" w:customStyle="1" w:styleId="msonormalcxspmiddle">
    <w:name w:val="msonormalcxspmiddle"/>
    <w:basedOn w:val="Normal"/>
    <w:rsid w:val="00B330B4"/>
    <w:pPr>
      <w:bidi w:val="0"/>
      <w:spacing w:before="100" w:beforeAutospacing="1" w:after="100" w:afterAutospacing="1"/>
    </w:pPr>
    <w:rPr>
      <w:rFonts w:eastAsia="Times New Roman"/>
    </w:rPr>
  </w:style>
  <w:style w:type="paragraph" w:styleId="Footer">
    <w:name w:val="footer"/>
    <w:basedOn w:val="Normal"/>
    <w:link w:val="FooterChar"/>
    <w:uiPriority w:val="99"/>
    <w:unhideWhenUsed/>
    <w:rsid w:val="008E66EB"/>
    <w:pPr>
      <w:tabs>
        <w:tab w:val="center" w:pos="4680"/>
        <w:tab w:val="right" w:pos="9360"/>
      </w:tabs>
    </w:pPr>
  </w:style>
  <w:style w:type="character" w:customStyle="1" w:styleId="FooterChar">
    <w:name w:val="Footer Char"/>
    <w:basedOn w:val="DefaultParagraphFont"/>
    <w:link w:val="Footer"/>
    <w:uiPriority w:val="99"/>
    <w:rsid w:val="008E66EB"/>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8E66EB"/>
  </w:style>
  <w:style w:type="paragraph" w:styleId="Header">
    <w:name w:val="header"/>
    <w:basedOn w:val="Normal"/>
    <w:link w:val="HeaderChar"/>
    <w:uiPriority w:val="99"/>
    <w:unhideWhenUsed/>
    <w:rsid w:val="008E66EB"/>
    <w:pPr>
      <w:tabs>
        <w:tab w:val="center" w:pos="4680"/>
        <w:tab w:val="right" w:pos="9360"/>
      </w:tabs>
    </w:pPr>
  </w:style>
  <w:style w:type="character" w:customStyle="1" w:styleId="HeaderChar">
    <w:name w:val="Header Char"/>
    <w:basedOn w:val="DefaultParagraphFont"/>
    <w:link w:val="Header"/>
    <w:uiPriority w:val="99"/>
    <w:rsid w:val="008E66EB"/>
    <w:rPr>
      <w:rFonts w:ascii="Times New Roman" w:eastAsia="Calibri" w:hAnsi="Times New Roman" w:cs="Times New Roman"/>
      <w:sz w:val="24"/>
      <w:szCs w:val="24"/>
    </w:rPr>
  </w:style>
  <w:style w:type="character" w:styleId="Hyperlink">
    <w:name w:val="Hyperlink"/>
    <w:basedOn w:val="DefaultParagraphFont"/>
    <w:uiPriority w:val="99"/>
    <w:unhideWhenUsed/>
    <w:rsid w:val="00136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C2"/>
    <w:pPr>
      <w:bidi/>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EE20D4"/>
    <w:pPr>
      <w:keepNext/>
      <w:keepLines/>
      <w:numPr>
        <w:numId w:val="2"/>
      </w:numPr>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E20D4"/>
    <w:pPr>
      <w:keepNext/>
      <w:keepLines/>
      <w:numPr>
        <w:ilvl w:val="1"/>
        <w:numId w:val="2"/>
      </w:numPr>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EE20D4"/>
    <w:pPr>
      <w:keepNext/>
      <w:keepLines/>
      <w:numPr>
        <w:ilvl w:val="2"/>
        <w:numId w:val="2"/>
      </w:numPr>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qFormat/>
    <w:rsid w:val="00EE20D4"/>
    <w:pPr>
      <w:keepNext/>
      <w:keepLines/>
      <w:numPr>
        <w:ilvl w:val="3"/>
        <w:numId w:val="2"/>
      </w:numPr>
      <w:spacing w:before="200" w:line="276" w:lineRule="auto"/>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qFormat/>
    <w:rsid w:val="00EE20D4"/>
    <w:pPr>
      <w:keepNext/>
      <w:keepLines/>
      <w:numPr>
        <w:ilvl w:val="4"/>
        <w:numId w:val="2"/>
      </w:numPr>
      <w:spacing w:before="200" w:line="276" w:lineRule="auto"/>
      <w:outlineLvl w:val="4"/>
    </w:pPr>
    <w:rPr>
      <w:rFonts w:ascii="Cambria" w:eastAsia="Times New Roman" w:hAnsi="Cambria"/>
      <w:color w:val="243F60"/>
      <w:sz w:val="22"/>
      <w:szCs w:val="22"/>
    </w:rPr>
  </w:style>
  <w:style w:type="paragraph" w:styleId="Heading6">
    <w:name w:val="heading 6"/>
    <w:basedOn w:val="Normal"/>
    <w:next w:val="Normal"/>
    <w:link w:val="Heading6Char"/>
    <w:qFormat/>
    <w:rsid w:val="00EE20D4"/>
    <w:pPr>
      <w:keepNext/>
      <w:keepLines/>
      <w:numPr>
        <w:ilvl w:val="5"/>
        <w:numId w:val="2"/>
      </w:numPr>
      <w:spacing w:before="200" w:line="276" w:lineRule="auto"/>
      <w:outlineLvl w:val="5"/>
    </w:pPr>
    <w:rPr>
      <w:rFonts w:ascii="Cambria" w:eastAsia="Times New Roman" w:hAnsi="Cambria"/>
      <w:i/>
      <w:iCs/>
      <w:color w:val="243F60"/>
      <w:sz w:val="22"/>
      <w:szCs w:val="22"/>
    </w:rPr>
  </w:style>
  <w:style w:type="paragraph" w:styleId="Heading7">
    <w:name w:val="heading 7"/>
    <w:basedOn w:val="Normal"/>
    <w:next w:val="Normal"/>
    <w:link w:val="Heading7Char"/>
    <w:qFormat/>
    <w:rsid w:val="00EE20D4"/>
    <w:pPr>
      <w:keepNext/>
      <w:numPr>
        <w:ilvl w:val="6"/>
        <w:numId w:val="2"/>
      </w:numPr>
      <w:bidi w:val="0"/>
      <w:jc w:val="center"/>
      <w:outlineLvl w:val="6"/>
    </w:pPr>
    <w:rPr>
      <w:rFonts w:eastAsia="Times New Roman"/>
      <w:sz w:val="32"/>
      <w:szCs w:val="32"/>
      <w:lang w:eastAsia="ar-SA"/>
    </w:rPr>
  </w:style>
  <w:style w:type="paragraph" w:styleId="Heading8">
    <w:name w:val="heading 8"/>
    <w:basedOn w:val="Normal"/>
    <w:next w:val="Normal"/>
    <w:link w:val="Heading8Char"/>
    <w:qFormat/>
    <w:rsid w:val="00EE20D4"/>
    <w:pPr>
      <w:keepNext/>
      <w:keepLines/>
      <w:numPr>
        <w:ilvl w:val="7"/>
        <w:numId w:val="2"/>
      </w:numPr>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EE20D4"/>
    <w:pPr>
      <w:keepNext/>
      <w:keepLines/>
      <w:numPr>
        <w:ilvl w:val="8"/>
        <w:numId w:val="2"/>
      </w:numPr>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44"/>
    <w:pPr>
      <w:ind w:left="720"/>
      <w:contextualSpacing/>
    </w:pPr>
  </w:style>
  <w:style w:type="character" w:customStyle="1" w:styleId="Heading1Char">
    <w:name w:val="Heading 1 Char"/>
    <w:basedOn w:val="DefaultParagraphFont"/>
    <w:link w:val="Heading1"/>
    <w:rsid w:val="00EE20D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E20D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EE20D4"/>
    <w:rPr>
      <w:rFonts w:ascii="Cambria" w:eastAsia="Times New Roman" w:hAnsi="Cambria" w:cs="Times New Roman"/>
      <w:b/>
      <w:bCs/>
      <w:color w:val="4F81BD"/>
    </w:rPr>
  </w:style>
  <w:style w:type="character" w:customStyle="1" w:styleId="Heading4Char">
    <w:name w:val="Heading 4 Char"/>
    <w:basedOn w:val="DefaultParagraphFont"/>
    <w:link w:val="Heading4"/>
    <w:rsid w:val="00EE20D4"/>
    <w:rPr>
      <w:rFonts w:ascii="Cambria" w:eastAsia="Times New Roman" w:hAnsi="Cambria" w:cs="Times New Roman"/>
      <w:b/>
      <w:bCs/>
      <w:i/>
      <w:iCs/>
      <w:color w:val="4F81BD"/>
    </w:rPr>
  </w:style>
  <w:style w:type="character" w:customStyle="1" w:styleId="Heading5Char">
    <w:name w:val="Heading 5 Char"/>
    <w:basedOn w:val="DefaultParagraphFont"/>
    <w:link w:val="Heading5"/>
    <w:rsid w:val="00EE20D4"/>
    <w:rPr>
      <w:rFonts w:ascii="Cambria" w:eastAsia="Times New Roman" w:hAnsi="Cambria" w:cs="Times New Roman"/>
      <w:color w:val="243F60"/>
    </w:rPr>
  </w:style>
  <w:style w:type="character" w:customStyle="1" w:styleId="Heading6Char">
    <w:name w:val="Heading 6 Char"/>
    <w:basedOn w:val="DefaultParagraphFont"/>
    <w:link w:val="Heading6"/>
    <w:rsid w:val="00EE20D4"/>
    <w:rPr>
      <w:rFonts w:ascii="Cambria" w:eastAsia="Times New Roman" w:hAnsi="Cambria" w:cs="Times New Roman"/>
      <w:i/>
      <w:iCs/>
      <w:color w:val="243F60"/>
    </w:rPr>
  </w:style>
  <w:style w:type="character" w:customStyle="1" w:styleId="Heading7Char">
    <w:name w:val="Heading 7 Char"/>
    <w:basedOn w:val="DefaultParagraphFont"/>
    <w:link w:val="Heading7"/>
    <w:rsid w:val="00EE20D4"/>
    <w:rPr>
      <w:rFonts w:ascii="Times New Roman" w:eastAsia="Times New Roman" w:hAnsi="Times New Roman" w:cs="Times New Roman"/>
      <w:sz w:val="32"/>
      <w:szCs w:val="32"/>
      <w:lang w:eastAsia="ar-SA"/>
    </w:rPr>
  </w:style>
  <w:style w:type="character" w:customStyle="1" w:styleId="Heading8Char">
    <w:name w:val="Heading 8 Char"/>
    <w:basedOn w:val="DefaultParagraphFont"/>
    <w:link w:val="Heading8"/>
    <w:rsid w:val="00EE20D4"/>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EE20D4"/>
    <w:rPr>
      <w:rFonts w:ascii="Cambria" w:eastAsia="Times New Roman" w:hAnsi="Cambria" w:cs="Times New Roman"/>
      <w:i/>
      <w:iCs/>
      <w:color w:val="404040"/>
      <w:sz w:val="20"/>
      <w:szCs w:val="20"/>
    </w:rPr>
  </w:style>
  <w:style w:type="paragraph" w:customStyle="1" w:styleId="1">
    <w:name w:val="سرد الفقرات1"/>
    <w:basedOn w:val="Normal"/>
    <w:rsid w:val="00B330B4"/>
    <w:pPr>
      <w:spacing w:after="200" w:line="276" w:lineRule="auto"/>
      <w:ind w:left="720"/>
    </w:pPr>
    <w:rPr>
      <w:rFonts w:ascii="Calibri" w:eastAsia="Times New Roman" w:hAnsi="Calibri" w:cs="Arial"/>
      <w:sz w:val="22"/>
      <w:szCs w:val="22"/>
    </w:rPr>
  </w:style>
  <w:style w:type="paragraph" w:styleId="NormalWeb">
    <w:name w:val="Normal (Web)"/>
    <w:basedOn w:val="Normal"/>
    <w:rsid w:val="00B330B4"/>
    <w:pPr>
      <w:bidi w:val="0"/>
      <w:spacing w:before="100" w:beforeAutospacing="1" w:after="100" w:afterAutospacing="1"/>
    </w:pPr>
    <w:rPr>
      <w:rFonts w:eastAsia="Times New Roman"/>
    </w:rPr>
  </w:style>
  <w:style w:type="paragraph" w:customStyle="1" w:styleId="msolistparagraph0">
    <w:name w:val="msolistparagraph"/>
    <w:basedOn w:val="Normal"/>
    <w:rsid w:val="00B330B4"/>
    <w:pPr>
      <w:spacing w:after="200" w:line="276" w:lineRule="auto"/>
      <w:ind w:left="720"/>
    </w:pPr>
    <w:rPr>
      <w:rFonts w:ascii="Calibri" w:eastAsia="Times New Roman" w:hAnsi="Calibri" w:cs="Arial"/>
      <w:sz w:val="22"/>
      <w:szCs w:val="22"/>
    </w:rPr>
  </w:style>
  <w:style w:type="paragraph" w:styleId="BalloonText">
    <w:name w:val="Balloon Text"/>
    <w:basedOn w:val="Normal"/>
    <w:link w:val="BalloonTextChar"/>
    <w:uiPriority w:val="99"/>
    <w:semiHidden/>
    <w:unhideWhenUsed/>
    <w:rsid w:val="00B330B4"/>
    <w:rPr>
      <w:rFonts w:ascii="Tahoma" w:hAnsi="Tahoma" w:cs="Tahoma"/>
      <w:sz w:val="16"/>
      <w:szCs w:val="16"/>
    </w:rPr>
  </w:style>
  <w:style w:type="character" w:customStyle="1" w:styleId="BalloonTextChar">
    <w:name w:val="Balloon Text Char"/>
    <w:basedOn w:val="DefaultParagraphFont"/>
    <w:link w:val="BalloonText"/>
    <w:uiPriority w:val="99"/>
    <w:semiHidden/>
    <w:rsid w:val="00B330B4"/>
    <w:rPr>
      <w:rFonts w:ascii="Tahoma" w:eastAsia="Calibri" w:hAnsi="Tahoma" w:cs="Tahoma"/>
      <w:sz w:val="16"/>
      <w:szCs w:val="16"/>
    </w:rPr>
  </w:style>
  <w:style w:type="paragraph" w:customStyle="1" w:styleId="msonormalcxspmiddle">
    <w:name w:val="msonormalcxspmiddle"/>
    <w:basedOn w:val="Normal"/>
    <w:rsid w:val="00B330B4"/>
    <w:pPr>
      <w:bidi w:val="0"/>
      <w:spacing w:before="100" w:beforeAutospacing="1" w:after="100" w:afterAutospacing="1"/>
    </w:pPr>
    <w:rPr>
      <w:rFonts w:eastAsia="Times New Roman"/>
    </w:rPr>
  </w:style>
  <w:style w:type="paragraph" w:styleId="Footer">
    <w:name w:val="footer"/>
    <w:basedOn w:val="Normal"/>
    <w:link w:val="FooterChar"/>
    <w:uiPriority w:val="99"/>
    <w:unhideWhenUsed/>
    <w:rsid w:val="008E66EB"/>
    <w:pPr>
      <w:tabs>
        <w:tab w:val="center" w:pos="4680"/>
        <w:tab w:val="right" w:pos="9360"/>
      </w:tabs>
    </w:pPr>
  </w:style>
  <w:style w:type="character" w:customStyle="1" w:styleId="FooterChar">
    <w:name w:val="Footer Char"/>
    <w:basedOn w:val="DefaultParagraphFont"/>
    <w:link w:val="Footer"/>
    <w:uiPriority w:val="99"/>
    <w:rsid w:val="008E66EB"/>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8E66EB"/>
  </w:style>
  <w:style w:type="paragraph" w:styleId="Header">
    <w:name w:val="header"/>
    <w:basedOn w:val="Normal"/>
    <w:link w:val="HeaderChar"/>
    <w:uiPriority w:val="99"/>
    <w:unhideWhenUsed/>
    <w:rsid w:val="008E66EB"/>
    <w:pPr>
      <w:tabs>
        <w:tab w:val="center" w:pos="4680"/>
        <w:tab w:val="right" w:pos="9360"/>
      </w:tabs>
    </w:pPr>
  </w:style>
  <w:style w:type="character" w:customStyle="1" w:styleId="HeaderChar">
    <w:name w:val="Header Char"/>
    <w:basedOn w:val="DefaultParagraphFont"/>
    <w:link w:val="Header"/>
    <w:uiPriority w:val="99"/>
    <w:rsid w:val="008E66EB"/>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ncbi.nlm.nih.gov/pubmed/27423183" TargetMode="External"/><Relationship Id="rId3" Type="http://schemas.openxmlformats.org/officeDocument/2006/relationships/settings" Target="settings.xml"/><Relationship Id="rId21" Type="http://schemas.openxmlformats.org/officeDocument/2006/relationships/hyperlink" Target="http://www.ncbi.nlm.nih.gov/pubmed/?term=Musacchio%20MC%5BAuthor%5D&amp;cauthor=true&amp;cauthor_uid=27423183" TargetMode="External"/><Relationship Id="rId34" Type="http://schemas.openxmlformats.org/officeDocument/2006/relationships/theme" Target="theme/theme1.xml"/><Relationship Id="rId7" Type="http://schemas.openxmlformats.org/officeDocument/2006/relationships/hyperlink" Target="mailto:Dr_oss2091992@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www.ncbi.nlm.nih.gov/pubmed/?term=Petraglia%20F%5BAuthor%5D&amp;cauthor=true&amp;cauthor_uid=274231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ncbi.nlm.nih.gov/pubmed/?term=De%20Leo%20V%5BAuthor%5D&amp;cauthor=true&amp;cauthor_uid=27423183"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Morgante%20G%5BAuthor%5D&amp;cauthor=true&amp;cauthor_uid=27423183"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ncbi.nlm.nih.gov/pubmed/?term=Massaro%20MG%5BAuthor%5D&amp;cauthor=true&amp;cauthor_uid=27423183"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100617.07" TargetMode="External"/><Relationship Id="rId14" Type="http://schemas.openxmlformats.org/officeDocument/2006/relationships/image" Target="media/image2.png"/><Relationship Id="rId22" Type="http://schemas.openxmlformats.org/officeDocument/2006/relationships/hyperlink" Target="http://www.ncbi.nlm.nih.gov/pubmed/?term=Cappelli%20V%5BAuthor%5D&amp;cauthor=true&amp;cauthor_uid=27423183"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5944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dc:creator>
  <cp:lastModifiedBy>Administrator</cp:lastModifiedBy>
  <cp:revision>3</cp:revision>
  <cp:lastPrinted>2017-05-14T10:20:00Z</cp:lastPrinted>
  <dcterms:created xsi:type="dcterms:W3CDTF">2017-05-16T12:01:00Z</dcterms:created>
  <dcterms:modified xsi:type="dcterms:W3CDTF">2017-05-16T23:50:00Z</dcterms:modified>
</cp:coreProperties>
</file>