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602" w:rsidRPr="00311FFC" w:rsidRDefault="00403126" w:rsidP="00311FFC">
      <w:pPr>
        <w:tabs>
          <w:tab w:val="left" w:pos="3060"/>
        </w:tabs>
        <w:bidi w:val="0"/>
        <w:spacing w:after="0" w:line="240" w:lineRule="auto"/>
        <w:jc w:val="center"/>
        <w:rPr>
          <w:rFonts w:asciiTheme="majorBidi" w:hAnsiTheme="majorBidi" w:cstheme="majorBidi"/>
          <w:b/>
          <w:sz w:val="20"/>
          <w:szCs w:val="20"/>
        </w:rPr>
      </w:pPr>
      <w:r w:rsidRPr="00311FFC">
        <w:rPr>
          <w:rFonts w:asciiTheme="majorBidi" w:hAnsiTheme="majorBidi" w:cstheme="majorBidi"/>
          <w:b/>
          <w:sz w:val="20"/>
          <w:szCs w:val="20"/>
        </w:rPr>
        <w:t>Validation for simultaneous determination of tetracycline by using QuEChERS method and LC-MS/MS in liver of buffalo</w:t>
      </w:r>
    </w:p>
    <w:p w:rsidR="008E2602" w:rsidRPr="00311FFC" w:rsidRDefault="008E2602" w:rsidP="00311FFC">
      <w:pPr>
        <w:tabs>
          <w:tab w:val="left" w:pos="3060"/>
        </w:tabs>
        <w:bidi w:val="0"/>
        <w:spacing w:after="0" w:line="240" w:lineRule="auto"/>
        <w:jc w:val="center"/>
        <w:rPr>
          <w:rFonts w:asciiTheme="majorBidi" w:hAnsiTheme="majorBidi" w:cstheme="majorBidi"/>
          <w:sz w:val="20"/>
          <w:szCs w:val="20"/>
        </w:rPr>
      </w:pPr>
    </w:p>
    <w:p w:rsidR="008E2602" w:rsidRPr="00311FFC" w:rsidRDefault="00403126" w:rsidP="00311FFC">
      <w:pPr>
        <w:tabs>
          <w:tab w:val="left" w:pos="3060"/>
        </w:tabs>
        <w:bidi w:val="0"/>
        <w:spacing w:after="0" w:line="240" w:lineRule="auto"/>
        <w:jc w:val="center"/>
        <w:rPr>
          <w:rFonts w:asciiTheme="majorBidi" w:hAnsiTheme="majorBidi" w:cstheme="majorBidi"/>
          <w:sz w:val="20"/>
          <w:szCs w:val="20"/>
        </w:rPr>
      </w:pPr>
      <w:r w:rsidRPr="00311FFC">
        <w:rPr>
          <w:rFonts w:asciiTheme="majorBidi" w:hAnsiTheme="majorBidi" w:cstheme="majorBidi"/>
          <w:sz w:val="20"/>
          <w:szCs w:val="20"/>
        </w:rPr>
        <w:t>Kamal Magdy Kamal</w:t>
      </w:r>
      <w:r w:rsidRPr="00311FFC">
        <w:rPr>
          <w:rFonts w:asciiTheme="majorBidi" w:hAnsiTheme="majorBidi" w:cstheme="majorBidi"/>
          <w:sz w:val="20"/>
          <w:szCs w:val="20"/>
          <w:vertAlign w:val="superscript"/>
        </w:rPr>
        <w:t>1</w:t>
      </w:r>
      <w:r w:rsidRPr="00311FFC">
        <w:rPr>
          <w:rFonts w:asciiTheme="majorBidi" w:hAnsiTheme="majorBidi" w:cstheme="majorBidi"/>
          <w:sz w:val="20"/>
          <w:szCs w:val="20"/>
        </w:rPr>
        <w:t>, Amgad Mostafa Rady</w:t>
      </w:r>
      <w:r w:rsidRPr="00311FFC">
        <w:rPr>
          <w:rFonts w:asciiTheme="majorBidi" w:hAnsiTheme="majorBidi" w:cstheme="majorBidi"/>
          <w:sz w:val="20"/>
          <w:szCs w:val="20"/>
          <w:vertAlign w:val="superscript"/>
        </w:rPr>
        <w:t>1</w:t>
      </w:r>
      <w:r w:rsidRPr="00311FFC">
        <w:rPr>
          <w:rFonts w:asciiTheme="majorBidi" w:hAnsiTheme="majorBidi" w:cstheme="majorBidi"/>
          <w:sz w:val="20"/>
          <w:szCs w:val="20"/>
        </w:rPr>
        <w:t>, Lamia Ryad</w:t>
      </w:r>
      <w:r w:rsidRPr="00311FFC">
        <w:rPr>
          <w:rFonts w:asciiTheme="majorBidi" w:hAnsiTheme="majorBidi" w:cstheme="majorBidi"/>
          <w:sz w:val="20"/>
          <w:szCs w:val="20"/>
          <w:vertAlign w:val="superscript"/>
        </w:rPr>
        <w:t>2</w:t>
      </w:r>
      <w:r w:rsidRPr="00311FFC">
        <w:rPr>
          <w:rFonts w:asciiTheme="majorBidi" w:hAnsiTheme="majorBidi" w:cstheme="majorBidi"/>
          <w:sz w:val="20"/>
          <w:szCs w:val="20"/>
        </w:rPr>
        <w:t>, and Nermine Gad</w:t>
      </w:r>
      <w:r w:rsidRPr="00311FFC">
        <w:rPr>
          <w:rFonts w:asciiTheme="majorBidi" w:hAnsiTheme="majorBidi" w:cstheme="majorBidi"/>
          <w:sz w:val="20"/>
          <w:szCs w:val="20"/>
          <w:vertAlign w:val="superscript"/>
        </w:rPr>
        <w:t>2</w:t>
      </w:r>
    </w:p>
    <w:p w:rsidR="008E2602" w:rsidRPr="00311FFC" w:rsidRDefault="00403126" w:rsidP="00311FFC">
      <w:pPr>
        <w:tabs>
          <w:tab w:val="left" w:pos="3060"/>
        </w:tabs>
        <w:bidi w:val="0"/>
        <w:spacing w:after="0" w:line="240" w:lineRule="auto"/>
        <w:jc w:val="center"/>
        <w:rPr>
          <w:rFonts w:asciiTheme="majorBidi" w:hAnsiTheme="majorBidi" w:cstheme="majorBidi"/>
          <w:sz w:val="20"/>
          <w:szCs w:val="20"/>
        </w:rPr>
      </w:pPr>
      <w:r w:rsidRPr="00311FFC">
        <w:rPr>
          <w:rFonts w:asciiTheme="majorBidi" w:hAnsiTheme="majorBidi" w:cstheme="majorBidi"/>
          <w:sz w:val="20"/>
          <w:szCs w:val="20"/>
          <w:vertAlign w:val="superscript"/>
        </w:rPr>
        <w:t>1</w:t>
      </w:r>
      <w:r w:rsidRPr="00311FFC">
        <w:rPr>
          <w:rFonts w:asciiTheme="majorBidi" w:hAnsiTheme="majorBidi" w:cstheme="majorBidi"/>
          <w:sz w:val="20"/>
          <w:szCs w:val="20"/>
        </w:rPr>
        <w:t>Faculty of Biotechnology, October University for Modern Science and Art</w:t>
      </w:r>
    </w:p>
    <w:p w:rsidR="008E2602" w:rsidRPr="00311FFC" w:rsidRDefault="00403126" w:rsidP="00311FFC">
      <w:pPr>
        <w:tabs>
          <w:tab w:val="left" w:pos="3060"/>
        </w:tabs>
        <w:bidi w:val="0"/>
        <w:spacing w:after="0" w:line="240" w:lineRule="auto"/>
        <w:jc w:val="center"/>
        <w:rPr>
          <w:rFonts w:asciiTheme="majorBidi" w:hAnsiTheme="majorBidi" w:cstheme="majorBidi"/>
          <w:sz w:val="20"/>
          <w:szCs w:val="20"/>
        </w:rPr>
      </w:pPr>
      <w:r w:rsidRPr="00311FFC">
        <w:rPr>
          <w:rFonts w:asciiTheme="majorBidi" w:hAnsiTheme="majorBidi" w:cstheme="majorBidi"/>
          <w:sz w:val="20"/>
          <w:szCs w:val="20"/>
          <w:vertAlign w:val="superscript"/>
        </w:rPr>
        <w:t>2</w:t>
      </w:r>
      <w:r w:rsidRPr="00311FFC">
        <w:rPr>
          <w:rFonts w:asciiTheme="majorBidi" w:hAnsiTheme="majorBidi" w:cstheme="majorBidi"/>
          <w:sz w:val="20"/>
          <w:szCs w:val="20"/>
        </w:rPr>
        <w:t>Central Laboratory of Analysis of Pesticide Residues and Heavy Metals in Food,</w:t>
      </w:r>
      <w:r w:rsidRPr="00311FFC">
        <w:rPr>
          <w:rFonts w:asciiTheme="majorBidi" w:hAnsiTheme="majorBidi" w:cstheme="majorBidi"/>
          <w:i/>
          <w:sz w:val="20"/>
          <w:szCs w:val="20"/>
        </w:rPr>
        <w:t xml:space="preserve"> ARC, Giza, Egypt</w:t>
      </w:r>
    </w:p>
    <w:p w:rsidR="008E2602" w:rsidRPr="00311FFC" w:rsidRDefault="00337471" w:rsidP="00311FFC">
      <w:pPr>
        <w:tabs>
          <w:tab w:val="left" w:pos="3060"/>
        </w:tabs>
        <w:bidi w:val="0"/>
        <w:spacing w:after="0" w:line="240" w:lineRule="auto"/>
        <w:jc w:val="center"/>
        <w:rPr>
          <w:rFonts w:asciiTheme="majorBidi" w:hAnsiTheme="majorBidi" w:cstheme="majorBidi"/>
          <w:sz w:val="20"/>
          <w:szCs w:val="20"/>
        </w:rPr>
      </w:pPr>
      <w:hyperlink r:id="rId7">
        <w:r w:rsidR="00403126" w:rsidRPr="00311FFC">
          <w:rPr>
            <w:rFonts w:asciiTheme="majorBidi" w:hAnsiTheme="majorBidi" w:cstheme="majorBidi"/>
            <w:color w:val="0000FF"/>
            <w:sz w:val="20"/>
            <w:szCs w:val="20"/>
          </w:rPr>
          <w:t>kamaleldohy@gmail.com</w:t>
        </w:r>
      </w:hyperlink>
    </w:p>
    <w:p w:rsidR="008E2602" w:rsidRPr="00311FFC" w:rsidRDefault="008E2602" w:rsidP="00311FFC">
      <w:pPr>
        <w:tabs>
          <w:tab w:val="left" w:pos="3060"/>
        </w:tabs>
        <w:bidi w:val="0"/>
        <w:spacing w:after="0" w:line="240" w:lineRule="auto"/>
        <w:jc w:val="both"/>
        <w:rPr>
          <w:rFonts w:asciiTheme="majorBidi" w:hAnsiTheme="majorBidi" w:cstheme="majorBidi"/>
          <w:sz w:val="20"/>
          <w:szCs w:val="20"/>
        </w:rPr>
      </w:pPr>
    </w:p>
    <w:p w:rsidR="008E2602" w:rsidRPr="00311FFC" w:rsidRDefault="00403126" w:rsidP="00311FFC">
      <w:pPr>
        <w:tabs>
          <w:tab w:val="left" w:pos="3060"/>
        </w:tabs>
        <w:bidi w:val="0"/>
        <w:spacing w:after="0" w:line="240" w:lineRule="auto"/>
        <w:jc w:val="both"/>
        <w:rPr>
          <w:rFonts w:asciiTheme="majorBidi" w:hAnsiTheme="majorBidi" w:cstheme="majorBidi"/>
          <w:sz w:val="20"/>
          <w:szCs w:val="20"/>
        </w:rPr>
      </w:pPr>
      <w:r w:rsidRPr="00311FFC">
        <w:rPr>
          <w:rFonts w:asciiTheme="majorBidi" w:hAnsiTheme="majorBidi" w:cstheme="majorBidi"/>
          <w:sz w:val="20"/>
          <w:szCs w:val="20"/>
        </w:rPr>
        <w:t>Abstract: The aim of this study is to determine a method validation for the presence of tetracycline antibiotics (Tetracycline (TC), Oxytetracycline (OTC), Chlortetracycline (CTC) and Doxycycline (DOC) in liver tissue of buffalo. LC-MS/MS was used for determination of tetracycline antibiotic residues. Separation was carried out by with electrospray ionization (ESI) in positive -ion mode using mobile phase at a flow rate of 400 ml/min and injection volume 5 ul. The recoveries of analyzed drugs were in between 75 and 80 ppb</w:t>
      </w:r>
    </w:p>
    <w:p w:rsidR="008E2602" w:rsidRPr="00AA0E7E" w:rsidRDefault="00403126" w:rsidP="00AA0E7E">
      <w:pPr>
        <w:bidi w:val="0"/>
        <w:spacing w:after="0"/>
        <w:jc w:val="both"/>
        <w:rPr>
          <w:rFonts w:asciiTheme="majorBidi" w:hAnsiTheme="majorBidi" w:cstheme="majorBidi"/>
          <w:b/>
          <w:sz w:val="20"/>
          <w:szCs w:val="20"/>
        </w:rPr>
      </w:pPr>
      <w:r w:rsidRPr="00AA0E7E">
        <w:rPr>
          <w:rFonts w:asciiTheme="majorBidi" w:hAnsiTheme="majorBidi" w:cstheme="majorBidi"/>
          <w:sz w:val="20"/>
          <w:szCs w:val="20"/>
        </w:rPr>
        <w:t>[Kamal Magdy Kamal, Amgad Mostafa Rady, Lamia Ryad, and Nermine Gad</w:t>
      </w:r>
      <w:r w:rsidRPr="00AA0E7E">
        <w:rPr>
          <w:rFonts w:asciiTheme="majorBidi" w:hAnsiTheme="majorBidi" w:cstheme="majorBidi"/>
          <w:b/>
          <w:sz w:val="20"/>
          <w:szCs w:val="20"/>
        </w:rPr>
        <w:t xml:space="preserve"> Validation for simultaneous determination of tetracycline by using QuEChERS method and LC-MS/MS in liver of buffalo</w:t>
      </w:r>
      <w:r w:rsidRPr="00AA0E7E">
        <w:rPr>
          <w:rFonts w:asciiTheme="majorBidi" w:hAnsiTheme="majorBidi" w:cstheme="majorBidi"/>
          <w:i/>
          <w:sz w:val="20"/>
          <w:szCs w:val="20"/>
        </w:rPr>
        <w:t xml:space="preserve"> </w:t>
      </w:r>
      <w:r w:rsidR="00AA0E7E" w:rsidRPr="00AA0E7E">
        <w:rPr>
          <w:rFonts w:asciiTheme="majorBidi" w:hAnsiTheme="majorBidi" w:cstheme="majorBidi"/>
          <w:i/>
          <w:iCs/>
          <w:sz w:val="20"/>
          <w:szCs w:val="20"/>
          <w:shd w:val="clear" w:color="auto" w:fill="FFFFFF"/>
        </w:rPr>
        <w:t>N Y Sci J</w:t>
      </w:r>
      <w:r w:rsidR="00AA0E7E" w:rsidRPr="00AA0E7E">
        <w:rPr>
          <w:rFonts w:asciiTheme="majorBidi" w:hAnsiTheme="majorBidi" w:cstheme="majorBidi"/>
          <w:sz w:val="20"/>
          <w:szCs w:val="20"/>
          <w:shd w:val="clear" w:color="auto" w:fill="FFFFFF"/>
        </w:rPr>
        <w:t> 2017;10</w:t>
      </w:r>
      <w:r w:rsidR="00AA0E7E">
        <w:rPr>
          <w:rFonts w:asciiTheme="majorBidi" w:hAnsiTheme="majorBidi" w:cstheme="majorBidi"/>
          <w:sz w:val="20"/>
          <w:szCs w:val="20"/>
          <w:shd w:val="clear" w:color="auto" w:fill="FFFFFF"/>
        </w:rPr>
        <w:t xml:space="preserve"> </w:t>
      </w:r>
      <w:r w:rsidR="00AA0E7E" w:rsidRPr="00AA0E7E">
        <w:rPr>
          <w:rFonts w:asciiTheme="majorBidi" w:hAnsiTheme="majorBidi" w:cstheme="majorBidi"/>
          <w:sz w:val="20"/>
          <w:szCs w:val="20"/>
          <w:shd w:val="clear" w:color="auto" w:fill="FFFFFF"/>
        </w:rPr>
        <w:t>(6):</w:t>
      </w:r>
      <w:r w:rsidR="00AA0E7E">
        <w:rPr>
          <w:rFonts w:asciiTheme="majorBidi" w:hAnsiTheme="majorBidi" w:cstheme="majorBidi"/>
          <w:sz w:val="20"/>
          <w:szCs w:val="20"/>
          <w:shd w:val="clear" w:color="auto" w:fill="FFFFFF"/>
        </w:rPr>
        <w:t xml:space="preserve"> </w:t>
      </w:r>
      <w:r w:rsidR="00AA0E7E" w:rsidRPr="00AA0E7E">
        <w:rPr>
          <w:rFonts w:asciiTheme="majorBidi" w:hAnsiTheme="majorBidi" w:cstheme="majorBidi"/>
          <w:sz w:val="20"/>
          <w:szCs w:val="20"/>
          <w:shd w:val="clear" w:color="auto" w:fill="FFFFFF"/>
        </w:rPr>
        <w:t>111-114</w:t>
      </w:r>
      <w:r w:rsidR="00AA0E7E">
        <w:rPr>
          <w:rFonts w:asciiTheme="majorBidi" w:hAnsiTheme="majorBidi" w:cstheme="majorBidi"/>
          <w:sz w:val="20"/>
          <w:szCs w:val="20"/>
          <w:shd w:val="clear" w:color="auto" w:fill="FFFFFF"/>
        </w:rPr>
        <w:t xml:space="preserve">]. ISSN1554-0200 (print); </w:t>
      </w:r>
      <w:r w:rsidR="00AA0E7E" w:rsidRPr="00AA0E7E">
        <w:rPr>
          <w:rFonts w:asciiTheme="majorBidi" w:hAnsiTheme="majorBidi" w:cstheme="majorBidi"/>
          <w:sz w:val="20"/>
          <w:szCs w:val="20"/>
          <w:shd w:val="clear" w:color="auto" w:fill="FFFFFF"/>
        </w:rPr>
        <w:t>ISSN</w:t>
      </w:r>
      <w:r w:rsidR="00AA0E7E">
        <w:rPr>
          <w:rFonts w:asciiTheme="majorBidi" w:hAnsiTheme="majorBidi" w:cstheme="majorBidi"/>
          <w:sz w:val="20"/>
          <w:szCs w:val="20"/>
          <w:shd w:val="clear" w:color="auto" w:fill="FFFFFF"/>
        </w:rPr>
        <w:t xml:space="preserve">2375-723X </w:t>
      </w:r>
      <w:r w:rsidR="00AA0E7E" w:rsidRPr="00AA0E7E">
        <w:rPr>
          <w:rFonts w:asciiTheme="majorBidi" w:hAnsiTheme="majorBidi" w:cstheme="majorBidi"/>
          <w:sz w:val="20"/>
          <w:szCs w:val="20"/>
          <w:shd w:val="clear" w:color="auto" w:fill="FFFFFF"/>
        </w:rPr>
        <w:t>(online).</w:t>
      </w:r>
      <w:r w:rsidR="00AA0E7E">
        <w:rPr>
          <w:rFonts w:asciiTheme="majorBidi" w:hAnsiTheme="majorBidi" w:cstheme="majorBidi"/>
        </w:rPr>
        <w:t xml:space="preserve"> </w:t>
      </w:r>
      <w:hyperlink r:id="rId8" w:history="1">
        <w:r w:rsidR="00AA0E7E" w:rsidRPr="00AA0E7E">
          <w:rPr>
            <w:rStyle w:val="Hyperlink"/>
            <w:rFonts w:asciiTheme="majorBidi" w:hAnsiTheme="majorBidi" w:cstheme="majorBidi"/>
            <w:sz w:val="20"/>
            <w:szCs w:val="20"/>
            <w:shd w:val="clear" w:color="auto" w:fill="FFFFFF"/>
          </w:rPr>
          <w:t>http://www.sciencepub.net/newyork</w:t>
        </w:r>
      </w:hyperlink>
      <w:r w:rsidR="00AA0E7E" w:rsidRPr="00AA0E7E">
        <w:rPr>
          <w:rFonts w:asciiTheme="majorBidi" w:hAnsiTheme="majorBidi" w:cstheme="majorBidi"/>
          <w:sz w:val="20"/>
          <w:szCs w:val="20"/>
          <w:shd w:val="clear" w:color="auto" w:fill="FFFFFF"/>
        </w:rPr>
        <w:t>.</w:t>
      </w:r>
      <w:r w:rsidR="00AA0E7E">
        <w:rPr>
          <w:rFonts w:asciiTheme="majorBidi" w:hAnsiTheme="majorBidi" w:cstheme="majorBidi"/>
          <w:sz w:val="20"/>
          <w:szCs w:val="20"/>
          <w:shd w:val="clear" w:color="auto" w:fill="FFFFFF"/>
        </w:rPr>
        <w:t xml:space="preserve"> </w:t>
      </w:r>
      <w:r w:rsidR="00AA0E7E" w:rsidRPr="00AA0E7E">
        <w:rPr>
          <w:rFonts w:asciiTheme="majorBidi" w:hAnsiTheme="majorBidi" w:cstheme="majorBidi"/>
          <w:sz w:val="20"/>
          <w:szCs w:val="20"/>
          <w:shd w:val="clear" w:color="auto" w:fill="FFFFFF"/>
        </w:rPr>
        <w:t>15</w:t>
      </w:r>
      <w:r w:rsidR="00AA0E7E">
        <w:rPr>
          <w:rFonts w:asciiTheme="majorBidi" w:hAnsiTheme="majorBidi" w:cstheme="majorBidi"/>
          <w:sz w:val="20"/>
          <w:szCs w:val="20"/>
          <w:shd w:val="clear" w:color="auto" w:fill="FFFFFF"/>
        </w:rPr>
        <w:t>.</w:t>
      </w:r>
      <w:r w:rsidR="00AA0E7E" w:rsidRPr="00AA0E7E">
        <w:rPr>
          <w:rFonts w:asciiTheme="majorBidi" w:hAnsiTheme="majorBidi" w:cstheme="majorBidi"/>
          <w:sz w:val="20"/>
          <w:szCs w:val="20"/>
          <w:shd w:val="clear" w:color="auto" w:fill="FFFFFF"/>
        </w:rPr>
        <w:t>doi:</w:t>
      </w:r>
      <w:hyperlink r:id="rId9" w:history="1">
        <w:r w:rsidR="00AA0E7E" w:rsidRPr="00AA0E7E">
          <w:rPr>
            <w:rStyle w:val="Hyperlink"/>
            <w:rFonts w:asciiTheme="majorBidi" w:hAnsiTheme="majorBidi" w:cstheme="majorBidi"/>
            <w:sz w:val="20"/>
            <w:szCs w:val="20"/>
            <w:shd w:val="clear" w:color="auto" w:fill="FFFFFF"/>
          </w:rPr>
          <w:t>10.7537/marsnys100617.15</w:t>
        </w:r>
      </w:hyperlink>
      <w:r w:rsidR="00AA0E7E" w:rsidRPr="00AA0E7E">
        <w:rPr>
          <w:rFonts w:asciiTheme="majorBidi" w:hAnsiTheme="majorBidi" w:cstheme="majorBidi"/>
          <w:sz w:val="20"/>
          <w:szCs w:val="20"/>
          <w:shd w:val="clear" w:color="auto" w:fill="FFFFFF"/>
        </w:rPr>
        <w:t>.</w:t>
      </w:r>
    </w:p>
    <w:p w:rsidR="008E2602" w:rsidRPr="00AA0E7E" w:rsidRDefault="008E2602" w:rsidP="00311FFC">
      <w:pPr>
        <w:tabs>
          <w:tab w:val="left" w:pos="3060"/>
        </w:tabs>
        <w:bidi w:val="0"/>
        <w:spacing w:after="0" w:line="240" w:lineRule="auto"/>
        <w:jc w:val="both"/>
        <w:rPr>
          <w:rFonts w:asciiTheme="majorBidi" w:hAnsiTheme="majorBidi" w:cstheme="majorBidi"/>
          <w:b/>
          <w:sz w:val="20"/>
          <w:szCs w:val="20"/>
        </w:rPr>
      </w:pPr>
    </w:p>
    <w:p w:rsidR="008E2602" w:rsidRPr="00311FFC" w:rsidRDefault="00403126" w:rsidP="00311FFC">
      <w:pPr>
        <w:tabs>
          <w:tab w:val="left" w:pos="3060"/>
        </w:tabs>
        <w:bidi w:val="0"/>
        <w:spacing w:after="0" w:line="240" w:lineRule="auto"/>
        <w:jc w:val="both"/>
        <w:rPr>
          <w:rFonts w:asciiTheme="majorBidi" w:hAnsiTheme="majorBidi" w:cstheme="majorBidi"/>
          <w:sz w:val="20"/>
          <w:szCs w:val="20"/>
        </w:rPr>
      </w:pPr>
      <w:r w:rsidRPr="00311FFC">
        <w:rPr>
          <w:rFonts w:asciiTheme="majorBidi" w:hAnsiTheme="majorBidi" w:cstheme="majorBidi"/>
          <w:b/>
          <w:sz w:val="20"/>
          <w:szCs w:val="20"/>
        </w:rPr>
        <w:t>Key words:</w:t>
      </w:r>
      <w:r w:rsidRPr="00311FFC">
        <w:rPr>
          <w:rFonts w:asciiTheme="majorBidi" w:hAnsiTheme="majorBidi" w:cstheme="majorBidi"/>
          <w:sz w:val="20"/>
          <w:szCs w:val="20"/>
        </w:rPr>
        <w:t xml:space="preserve"> Tetracyclines, LC-MS/MS, validation, EU commission.</w:t>
      </w:r>
    </w:p>
    <w:p w:rsidR="008E2602" w:rsidRPr="00311FFC" w:rsidRDefault="008E2602" w:rsidP="00311FFC">
      <w:pPr>
        <w:tabs>
          <w:tab w:val="left" w:pos="3060"/>
        </w:tabs>
        <w:bidi w:val="0"/>
        <w:spacing w:after="0" w:line="240" w:lineRule="auto"/>
        <w:jc w:val="both"/>
        <w:rPr>
          <w:rFonts w:asciiTheme="majorBidi" w:hAnsiTheme="majorBidi" w:cstheme="majorBidi"/>
          <w:sz w:val="20"/>
          <w:szCs w:val="20"/>
        </w:rPr>
      </w:pPr>
    </w:p>
    <w:p w:rsidR="008E2602" w:rsidRPr="00311FFC" w:rsidRDefault="008E2602" w:rsidP="00311FFC">
      <w:pPr>
        <w:tabs>
          <w:tab w:val="left" w:pos="3060"/>
        </w:tabs>
        <w:bidi w:val="0"/>
        <w:spacing w:after="0" w:line="240" w:lineRule="auto"/>
        <w:jc w:val="both"/>
        <w:rPr>
          <w:rFonts w:asciiTheme="majorBidi" w:hAnsiTheme="majorBidi" w:cstheme="majorBidi"/>
          <w:b/>
          <w:sz w:val="20"/>
          <w:szCs w:val="20"/>
        </w:rPr>
        <w:sectPr w:rsidR="008E2602" w:rsidRPr="00311FFC" w:rsidSect="00AA0E7E">
          <w:headerReference w:type="default" r:id="rId10"/>
          <w:footerReference w:type="default" r:id="rId11"/>
          <w:pgSz w:w="11906" w:h="16838"/>
          <w:pgMar w:top="1440" w:right="1440" w:bottom="1440" w:left="1440" w:header="0" w:footer="720" w:gutter="0"/>
          <w:pgNumType w:start="111"/>
          <w:cols w:space="720"/>
        </w:sectPr>
      </w:pPr>
    </w:p>
    <w:p w:rsidR="008E2602" w:rsidRPr="00311FFC" w:rsidRDefault="00403126" w:rsidP="00311FFC">
      <w:pPr>
        <w:tabs>
          <w:tab w:val="left" w:pos="3060"/>
        </w:tabs>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lastRenderedPageBreak/>
        <w:t xml:space="preserve">1. Introduction  </w:t>
      </w:r>
    </w:p>
    <w:p w:rsidR="008E2602" w:rsidRPr="00311FFC" w:rsidRDefault="00403126" w:rsidP="00311FFC">
      <w:pPr>
        <w:tabs>
          <w:tab w:val="left" w:pos="3060"/>
        </w:tabs>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Tetracyclines (TCs) are essential group of antibiotics which were used in farm animals mass production and in veterinary medicines. They were commonly used for the prevention and treatment of dairy cattle for several infectious diseases ,Tetracyclines could be administrated orally through food or drinking water(Alfredsson, et al 2008),However ,TCs were given to animals for human consumption , not only to treat and stop some diseases , but also to promote growth, the rich and wrong use of TCs may result in the presence of their residues in edible animal tissues , which might be toxic and risky for human health , and might lead to serious allergic reactions , Moreover the accumulation of TCs might lead to the evolution of microorganisms  frustrating resistance to antibiotics . The European Union residue tolerance for DOC, OTC, TC, and CTC is 100 ppb in tissue which is globally confirmed (Samanidou, et al 2009)</w:t>
      </w:r>
    </w:p>
    <w:p w:rsidR="008E2602" w:rsidRPr="00311FFC" w:rsidRDefault="00403126" w:rsidP="00311FFC">
      <w:pPr>
        <w:tabs>
          <w:tab w:val="left" w:pos="3060"/>
        </w:tabs>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TC’s were problematic to analyze because they are unstable, and dut to their ability to bind with proteins, so, it is important to take these considerations into account when developing a method or when doing routine analysis of these antibiotics. Most reported methods for TC analysis were time-consuming and its sample preparation procedures are weak sample cleanup. As a result, there was a need for a simple method for the analysis of TC antibiotics in liver tissue of buffalo. Liquid-liquid extraction/partitioning was difficult to perform due to TC’s charge and low affinity for organic solvents. Therefore, solid-phase extraction (SPE) combined with LC–MS/MS analysis was used for the determination of TC residues in liver tissue (Lopez, 2014)</w:t>
      </w:r>
    </w:p>
    <w:p w:rsidR="008E2602" w:rsidRPr="00311FFC" w:rsidRDefault="00403126" w:rsidP="00311FFC">
      <w:pPr>
        <w:tabs>
          <w:tab w:val="left" w:pos="3060"/>
        </w:tabs>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The method was based on liquid–liquid extraction followed by liquid chromatography– tandem mass spectrometry (LC–MS) determination with electrospray ion source (ESI) in positive </w:t>
      </w:r>
      <w:r w:rsidRPr="00311FFC">
        <w:rPr>
          <w:rFonts w:asciiTheme="majorBidi" w:hAnsiTheme="majorBidi" w:cstheme="majorBidi"/>
          <w:sz w:val="20"/>
          <w:szCs w:val="20"/>
        </w:rPr>
        <w:lastRenderedPageBreak/>
        <w:t>mode. The method was simple, fast and inexpensive for simultaneous analysis of selected antibiotics which are common in use with liver tissue. (Zhu, 2009)</w:t>
      </w:r>
    </w:p>
    <w:p w:rsidR="008E2602" w:rsidRPr="00311FFC" w:rsidRDefault="00403126" w:rsidP="00311FFC">
      <w:pPr>
        <w:tabs>
          <w:tab w:val="left" w:pos="3060"/>
        </w:tabs>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 Liver samples were vortexed and homogenized in mixture of EDTA-Citrate buffer solution at PH 4.0 and acetonitrile followed by centrifugation. Repeated extraction with acetonitrile was performed the supernatant was combined and evaporated till dryness. Additional acetonitrile volume was added to the sample to facilitate the evaporation process reaching to complete dryness and the residue was re-dissolved in methanol/buffer (25:75). Quantitation and confirmation of each compound was done by liquid chromatography tandem mass spectrometry (LC-MS/MS) with electrospray ionization (ESI) in positive -ion mode, the mass spectrometer was operated in </w:t>
      </w:r>
      <w:bookmarkStart w:id="0" w:name="30j0zll" w:colFirst="0" w:colLast="0"/>
      <w:bookmarkStart w:id="1" w:name="gjdgxs" w:colFirst="0" w:colLast="0"/>
      <w:bookmarkEnd w:id="0"/>
      <w:bookmarkEnd w:id="1"/>
      <w:r w:rsidRPr="00311FFC">
        <w:rPr>
          <w:rFonts w:asciiTheme="majorBidi" w:hAnsiTheme="majorBidi" w:cstheme="majorBidi"/>
          <w:sz w:val="20"/>
          <w:szCs w:val="20"/>
        </w:rPr>
        <w:t>multiple reactions monitoring (MRM) mode. Two different MRM were used for confirmation.</w:t>
      </w:r>
    </w:p>
    <w:p w:rsidR="008E2602" w:rsidRPr="00311FFC" w:rsidRDefault="008E2602" w:rsidP="00311FFC">
      <w:pPr>
        <w:tabs>
          <w:tab w:val="left" w:pos="3060"/>
        </w:tabs>
        <w:bidi w:val="0"/>
        <w:spacing w:after="0" w:line="240" w:lineRule="auto"/>
        <w:jc w:val="both"/>
        <w:rPr>
          <w:rFonts w:asciiTheme="majorBidi" w:hAnsiTheme="majorBidi" w:cstheme="majorBidi"/>
          <w:sz w:val="20"/>
          <w:szCs w:val="20"/>
        </w:rPr>
      </w:pPr>
    </w:p>
    <w:p w:rsidR="008E2602" w:rsidRPr="00311FFC" w:rsidRDefault="00403126" w:rsidP="00311FFC">
      <w:pPr>
        <w:tabs>
          <w:tab w:val="left" w:pos="3060"/>
        </w:tabs>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2. Methods and materials</w:t>
      </w: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Chemicals and materials</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Methanol and acetonitrile were HPLC graded and were purchased from Merck (Darmstadt, Germany). Sodium hydroxide, citric acid monohydrate, ammonium hydroxide, and formic acid were purchased from Riedel-deHaen ≥99%. Ethylenediamine Tetra Acetic Acid disodium salt dihydrate (Na2-EDTA) was purchased from Fluka ≥99%. Commercial antibiotic (SAs) standard was supplied by (Dr.Ehrenstorfer, Germany).</w:t>
      </w:r>
    </w:p>
    <w:p w:rsidR="008E2602" w:rsidRPr="00311FFC" w:rsidRDefault="00403126" w:rsidP="00311FFC">
      <w:pPr>
        <w:tabs>
          <w:tab w:val="left" w:pos="3060"/>
          <w:tab w:val="left" w:pos="8306"/>
        </w:tabs>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Extraction</w:t>
      </w:r>
    </w:p>
    <w:p w:rsidR="008E2602" w:rsidRPr="00311FFC" w:rsidRDefault="00403126" w:rsidP="00311FFC">
      <w:pPr>
        <w:tabs>
          <w:tab w:val="left" w:pos="3060"/>
          <w:tab w:val="left" w:pos="8306"/>
        </w:tabs>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2.0g ±  0.1 (W) sample liver of buffalo was weighed in disposable 50 ml plastic with screw cap tubes with Laboratory balance, capable of weighing to 0.1 mg ,then it was fortified  with the four concentrations 25 ul,50 ul,100 ul and 200 ul of DOC, OTC, TC, and CTC each one with six </w:t>
      </w:r>
      <w:r w:rsidRPr="00311FFC">
        <w:rPr>
          <w:rFonts w:asciiTheme="majorBidi" w:hAnsiTheme="majorBidi" w:cstheme="majorBidi"/>
          <w:sz w:val="20"/>
          <w:szCs w:val="20"/>
        </w:rPr>
        <w:lastRenderedPageBreak/>
        <w:t xml:space="preserve">replicates , after that 1 ml from both I M Sodium citrate buffer at PH 4 and 0.5 Na2EDTA were added on the tubes , moreover 10.0 ml of Acetonitrile will be added then were homogenized for 2-3 min using Homogenizer ,Ultra-Turrax IKA @T25digital. Andthen washed for one minute. Followed by the centrifugation at 4000 rpm for 10 min at 4 ˚C using Centrifuge, BIOFUGE Primo R; THERMO) then the supernatant was decanted into 100 ml round-bottomed flask. The extraction was repeated with another 10 ml Acetonitrile and shaked for 1 min followed by centrifugation again as previously described and combined the supernatant at the same 100 ml round-bottomed flask. After that the flasks was evaporated using Rotary evaporator (Heidolph VV2000) at 35±2 ˚C. However aqueous bubbles must be avoided in order to avoid the back-suction. Then 2 ml of Methanol buffer was re-dissolved into the flasks then sonicated using Sonicator. After that the samples were filtered using disposable acrodisc 0.45 um coupled with 5 ml plastic syringe in amber vail and will only 15 μl of the sample were injected into Liquid chromatography tandem mass spectrometry (LC-MS/MS) equipped with electrospray ion source API 4000 QTrape. The instructions were followed which mentioned in the instrument log </w:t>
      </w:r>
      <w:r w:rsidRPr="00311FFC">
        <w:rPr>
          <w:rFonts w:asciiTheme="majorBidi" w:hAnsiTheme="majorBidi" w:cstheme="majorBidi"/>
          <w:sz w:val="20"/>
          <w:szCs w:val="20"/>
        </w:rPr>
        <w:lastRenderedPageBreak/>
        <w:t>book for LC-MS/MS operation and conditions.</w:t>
      </w:r>
    </w:p>
    <w:p w:rsidR="008E2602" w:rsidRPr="00311FFC" w:rsidRDefault="008E2602" w:rsidP="00311FFC">
      <w:pPr>
        <w:tabs>
          <w:tab w:val="left" w:pos="3060"/>
          <w:tab w:val="left" w:pos="8306"/>
        </w:tabs>
        <w:bidi w:val="0"/>
        <w:spacing w:after="0" w:line="240" w:lineRule="auto"/>
        <w:ind w:left="284"/>
        <w:jc w:val="both"/>
        <w:rPr>
          <w:rFonts w:asciiTheme="majorBidi" w:hAnsiTheme="majorBidi" w:cstheme="majorBidi"/>
          <w:sz w:val="20"/>
          <w:szCs w:val="20"/>
        </w:r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3. Results and Discussion</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Complete validation of TCs was done according to EU decision 37/2010 the MRL of TCs 300μg/kg, and all parameters were complied with EU requirements, trueness, coefficient variation (CV) and Recovery were calculated at three different concentrations according to EU decision i.e. at 25ppb, 50ppb and 100ppb of MRL. However an extra concentration of 200ppb was calculated in order to increase the accuracy and linearity </w:t>
      </w: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Linearity and sensitivity</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Commonly, the quantification of antibiotic residues was performed by using a matrix-matched calibration curve made from fortified blank samples prepared in the same matrix as the real samples. To test the linearity of the calibration curve, four standards of TCs in the blank liver matrix were analyzed. The calibration curve showed a good linearity, for the calibration curve based on pure standard solutions prepared in methanol, indicating that there was a matrix enhancement showed in Figure 1</w:t>
      </w:r>
    </w:p>
    <w:p w:rsidR="008E2602" w:rsidRPr="00311FFC" w:rsidRDefault="008E2602" w:rsidP="00311FFC">
      <w:pPr>
        <w:bidi w:val="0"/>
        <w:spacing w:after="0" w:line="240" w:lineRule="auto"/>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num="2" w:space="720" w:equalWidth="0">
            <w:col w:w="4158" w:space="709"/>
            <w:col w:w="4158" w:space="0"/>
          </w:cols>
        </w:sectPr>
      </w:pPr>
    </w:p>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403126" w:rsidP="00311FFC">
      <w:pPr>
        <w:bidi w:val="0"/>
        <w:spacing w:after="0" w:line="240" w:lineRule="auto"/>
        <w:jc w:val="center"/>
        <w:rPr>
          <w:rFonts w:asciiTheme="majorBidi" w:hAnsiTheme="majorBidi" w:cstheme="majorBidi"/>
          <w:b/>
          <w:sz w:val="20"/>
          <w:szCs w:val="20"/>
        </w:rPr>
      </w:pPr>
      <w:r w:rsidRPr="00311FFC">
        <w:rPr>
          <w:rFonts w:asciiTheme="majorBidi" w:hAnsiTheme="majorBidi" w:cstheme="majorBidi"/>
          <w:b/>
          <w:sz w:val="20"/>
          <w:szCs w:val="20"/>
        </w:rPr>
        <w:t>Figure 1: matrix effect of TCs from liver samples</w:t>
      </w:r>
      <w:r w:rsidRPr="00311FFC">
        <w:rPr>
          <w:rFonts w:asciiTheme="majorBidi" w:hAnsiTheme="majorBidi" w:cstheme="majorBidi"/>
          <w:noProof/>
          <w:sz w:val="20"/>
          <w:szCs w:val="20"/>
        </w:rPr>
        <w:drawing>
          <wp:anchor distT="0" distB="0" distL="114300" distR="114300" simplePos="0" relativeHeight="251658240" behindDoc="0" locked="0" layoutInCell="1" allowOverlap="1">
            <wp:simplePos x="0" y="0"/>
            <wp:positionH relativeFrom="margin">
              <wp:posOffset>51117</wp:posOffset>
            </wp:positionH>
            <wp:positionV relativeFrom="paragraph">
              <wp:posOffset>67310</wp:posOffset>
            </wp:positionV>
            <wp:extent cx="5629275" cy="1838325"/>
            <wp:effectExtent l="19050" t="0" r="9525" b="0"/>
            <wp:wrapSquare wrapText="bothSides" distT="0" distB="0" distL="114300" distR="11430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8E2602" w:rsidP="00311FFC">
      <w:pPr>
        <w:bidi w:val="0"/>
        <w:spacing w:after="0" w:line="240" w:lineRule="auto"/>
        <w:jc w:val="both"/>
        <w:rPr>
          <w:rFonts w:asciiTheme="majorBidi" w:hAnsiTheme="majorBidi" w:cstheme="majorBidi"/>
          <w:b/>
          <w:sz w:val="20"/>
          <w:szCs w:val="20"/>
        </w:rPr>
        <w:sectPr w:rsidR="008E2602" w:rsidRPr="00311FFC">
          <w:type w:val="continuous"/>
          <w:pgSz w:w="11906" w:h="16838"/>
          <w:pgMar w:top="1440" w:right="1440" w:bottom="1440" w:left="1440" w:header="0" w:footer="720" w:gutter="0"/>
          <w:cols w:space="720"/>
        </w:sect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lastRenderedPageBreak/>
        <w:t>Recovery</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The recoveries were obtained by spiking blank pool samples at four different levels (25, 50, 100 and 200 μgkg−1). Recoveries for fortified samples were reported in Table 1. Overall recoveries of OTC ranged from ( 73 to 75 μg kg−1) </w:t>
      </w:r>
      <w:r w:rsidRPr="00311FFC">
        <w:rPr>
          <w:rFonts w:asciiTheme="majorBidi" w:hAnsiTheme="majorBidi" w:cstheme="majorBidi"/>
          <w:sz w:val="20"/>
          <w:szCs w:val="20"/>
        </w:rPr>
        <w:lastRenderedPageBreak/>
        <w:t>, recoveries of CTC ranged from ( 73.25 to 78.5 μg kg−1) , recoveries of DOC ranged from( 73.7 to 77.8 μg kg−1) while recoveries of TC ranged from 74.2 to 78.3 μg kg−1), meeting Commission of the European Guidelines for RSD 3.9-12.8%</w:t>
      </w:r>
    </w:p>
    <w:p w:rsidR="008E2602" w:rsidRPr="00311FFC" w:rsidRDefault="008E2602" w:rsidP="00311FFC">
      <w:pPr>
        <w:bidi w:val="0"/>
        <w:spacing w:after="0" w:line="240" w:lineRule="auto"/>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num="2" w:space="720" w:equalWidth="0">
            <w:col w:w="4158" w:space="709"/>
            <w:col w:w="4158" w:space="0"/>
          </w:cols>
        </w:sectPr>
      </w:pPr>
    </w:p>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Table 1: Mean and overall recoveries of TCs from liver samples fortified at (25, 50, 100 and 200 μgkg−1).</w:t>
      </w:r>
    </w:p>
    <w:tbl>
      <w:tblPr>
        <w:tblStyle w:val="a0"/>
        <w:bidiVisual/>
        <w:tblW w:w="9288" w:type="dxa"/>
        <w:tblInd w:w="-115" w:type="dxa"/>
        <w:tblBorders>
          <w:top w:val="nil"/>
          <w:left w:val="nil"/>
          <w:bottom w:val="nil"/>
          <w:right w:val="nil"/>
          <w:insideH w:val="nil"/>
          <w:insideV w:val="nil"/>
        </w:tblBorders>
        <w:tblLayout w:type="fixed"/>
        <w:tblLook w:val="0400"/>
      </w:tblPr>
      <w:tblGrid>
        <w:gridCol w:w="9288"/>
      </w:tblGrid>
      <w:tr w:rsidR="008E2602" w:rsidRPr="00311FFC">
        <w:trPr>
          <w:trHeight w:val="1920"/>
        </w:trPr>
        <w:tc>
          <w:tcPr>
            <w:tcW w:w="9288" w:type="dxa"/>
          </w:tcPr>
          <w:p w:rsidR="008E2602" w:rsidRPr="00311FFC" w:rsidRDefault="008E2602" w:rsidP="00311FFC">
            <w:pPr>
              <w:bidi w:val="0"/>
              <w:spacing w:line="276" w:lineRule="auto"/>
              <w:contextualSpacing w:val="0"/>
              <w:rPr>
                <w:rFonts w:asciiTheme="majorBidi" w:hAnsiTheme="majorBidi" w:cstheme="majorBidi"/>
                <w:b/>
                <w:sz w:val="20"/>
                <w:szCs w:val="20"/>
              </w:rPr>
            </w:pPr>
          </w:p>
          <w:tbl>
            <w:tblPr>
              <w:tblStyle w:val="a"/>
              <w:bidiVisual/>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4"/>
              <w:gridCol w:w="969"/>
              <w:gridCol w:w="969"/>
              <w:gridCol w:w="969"/>
              <w:gridCol w:w="969"/>
              <w:gridCol w:w="969"/>
              <w:gridCol w:w="969"/>
              <w:gridCol w:w="969"/>
              <w:gridCol w:w="1009"/>
            </w:tblGrid>
            <w:tr w:rsidR="008E2602" w:rsidRPr="00311FFC">
              <w:trPr>
                <w:trHeight w:val="180"/>
              </w:trPr>
              <w:tc>
                <w:tcPr>
                  <w:tcW w:w="1124" w:type="dxa"/>
                  <w:vMerge w:val="restart"/>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 xml:space="preserve">Analytes  </w:t>
                  </w:r>
                </w:p>
              </w:tc>
              <w:tc>
                <w:tcPr>
                  <w:tcW w:w="3876" w:type="dxa"/>
                  <w:gridSpan w:val="4"/>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Average Recoveries %</w:t>
                  </w:r>
                </w:p>
              </w:tc>
              <w:tc>
                <w:tcPr>
                  <w:tcW w:w="3916" w:type="dxa"/>
                  <w:gridSpan w:val="4"/>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Overall Relative Standard Deviation (RSD %)</w:t>
                  </w:r>
                </w:p>
              </w:tc>
            </w:tr>
            <w:tr w:rsidR="008E2602" w:rsidRPr="00311FFC">
              <w:trPr>
                <w:trHeight w:val="20"/>
              </w:trPr>
              <w:tc>
                <w:tcPr>
                  <w:tcW w:w="1124" w:type="dxa"/>
                  <w:vMerge/>
                  <w:shd w:val="clear" w:color="auto" w:fill="DEEAF6"/>
                </w:tcPr>
                <w:p w:rsidR="008E2602" w:rsidRPr="00311FFC" w:rsidRDefault="008E2602" w:rsidP="00311FFC">
                  <w:pPr>
                    <w:bidi w:val="0"/>
                    <w:contextualSpacing w:val="0"/>
                    <w:jc w:val="both"/>
                    <w:rPr>
                      <w:rFonts w:asciiTheme="majorBidi" w:hAnsiTheme="majorBidi" w:cstheme="majorBidi"/>
                      <w:b/>
                      <w:sz w:val="20"/>
                      <w:szCs w:val="20"/>
                    </w:rPr>
                  </w:pP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25 (µg/kg)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50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100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200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25</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50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96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100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1009" w:type="dxa"/>
                  <w:shd w:val="clear" w:color="auto" w:fill="DEEAF6"/>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200</w:t>
                  </w:r>
                </w:p>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r>
            <w:tr w:rsidR="008E2602" w:rsidRPr="00311FFC">
              <w:trPr>
                <w:trHeight w:val="180"/>
              </w:trPr>
              <w:tc>
                <w:tcPr>
                  <w:tcW w:w="1124"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OTC</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75</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77.8</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73.7</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74.1</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12.7</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7.6</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4.7</w:t>
                  </w:r>
                </w:p>
              </w:tc>
              <w:tc>
                <w:tcPr>
                  <w:tcW w:w="100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3.9</w:t>
                  </w:r>
                </w:p>
              </w:tc>
            </w:tr>
            <w:tr w:rsidR="008E2602" w:rsidRPr="00311FFC">
              <w:trPr>
                <w:trHeight w:val="180"/>
              </w:trPr>
              <w:tc>
                <w:tcPr>
                  <w:tcW w:w="1124"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CTC</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77.6</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78.5</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73.25</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73.26</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14.6</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6.5</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4.8</w:t>
                  </w:r>
                </w:p>
              </w:tc>
              <w:tc>
                <w:tcPr>
                  <w:tcW w:w="100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4.4</w:t>
                  </w:r>
                </w:p>
              </w:tc>
            </w:tr>
            <w:tr w:rsidR="008E2602" w:rsidRPr="00311FFC">
              <w:trPr>
                <w:trHeight w:val="180"/>
              </w:trPr>
              <w:tc>
                <w:tcPr>
                  <w:tcW w:w="1124"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DOC</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75</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77.8</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73.7</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74.4</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12.7</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7.6</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4.7</w:t>
                  </w:r>
                </w:p>
              </w:tc>
              <w:tc>
                <w:tcPr>
                  <w:tcW w:w="100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3.9</w:t>
                  </w:r>
                </w:p>
              </w:tc>
            </w:tr>
            <w:tr w:rsidR="008E2602" w:rsidRPr="00311FFC">
              <w:trPr>
                <w:trHeight w:val="200"/>
              </w:trPr>
              <w:tc>
                <w:tcPr>
                  <w:tcW w:w="1124"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TC</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78</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78.3</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74.4</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74.2</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12.8</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7.0</w:t>
                  </w:r>
                </w:p>
              </w:tc>
              <w:tc>
                <w:tcPr>
                  <w:tcW w:w="96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4.9</w:t>
                  </w:r>
                </w:p>
              </w:tc>
              <w:tc>
                <w:tcPr>
                  <w:tcW w:w="1009" w:type="dxa"/>
                </w:tcPr>
                <w:p w:rsidR="008E2602" w:rsidRPr="00311FFC" w:rsidRDefault="00403126" w:rsidP="00311FFC">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4.3</w:t>
                  </w:r>
                </w:p>
              </w:tc>
            </w:tr>
          </w:tbl>
          <w:p w:rsidR="008E2602" w:rsidRPr="00311FFC" w:rsidRDefault="008E2602" w:rsidP="00311FFC">
            <w:pPr>
              <w:bidi w:val="0"/>
              <w:contextualSpacing w:val="0"/>
              <w:jc w:val="both"/>
              <w:rPr>
                <w:rFonts w:asciiTheme="majorBidi" w:hAnsiTheme="majorBidi" w:cstheme="majorBidi"/>
                <w:sz w:val="20"/>
                <w:szCs w:val="20"/>
              </w:rPr>
            </w:pPr>
          </w:p>
        </w:tc>
      </w:tr>
    </w:tbl>
    <w:p w:rsidR="008E2602" w:rsidRPr="00311FFC" w:rsidRDefault="008E2602" w:rsidP="00311FFC">
      <w:pPr>
        <w:bidi w:val="0"/>
        <w:spacing w:after="0" w:line="240" w:lineRule="auto"/>
        <w:jc w:val="both"/>
        <w:rPr>
          <w:rFonts w:asciiTheme="majorBidi" w:hAnsiTheme="majorBidi" w:cstheme="majorBidi"/>
          <w:b/>
          <w:sz w:val="20"/>
          <w:szCs w:val="20"/>
        </w:rPr>
        <w:sectPr w:rsidR="008E2602" w:rsidRPr="00311FFC">
          <w:type w:val="continuous"/>
          <w:pgSz w:w="11906" w:h="16838"/>
          <w:pgMar w:top="1440" w:right="1440" w:bottom="1440" w:left="1440" w:header="0" w:footer="720" w:gutter="0"/>
          <w:cols w:space="720"/>
        </w:sect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lastRenderedPageBreak/>
        <w:t>Repeatability and Reproducibility:</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Forty eight samples of the blank pool were fortified with the analytes to yield concentrations of 25, 50, 100 and 200 μg kg−1 (</w:t>
      </w:r>
      <w:r w:rsidRPr="00311FFC">
        <w:rPr>
          <w:rFonts w:asciiTheme="majorBidi" w:hAnsiTheme="majorBidi" w:cstheme="majorBidi"/>
          <w:i/>
          <w:sz w:val="20"/>
          <w:szCs w:val="20"/>
        </w:rPr>
        <w:t xml:space="preserve">n </w:t>
      </w:r>
      <w:r w:rsidRPr="00311FFC">
        <w:rPr>
          <w:rFonts w:asciiTheme="majorBidi" w:hAnsiTheme="majorBidi" w:cstheme="majorBidi"/>
          <w:sz w:val="20"/>
          <w:szCs w:val="20"/>
        </w:rPr>
        <w:t>= 6, each level). This procedure was repeated on two days with the same aseptic conditions. Overall inter laboratory relative repeatability (RSDr) and overall within-</w:t>
      </w:r>
      <w:r w:rsidRPr="00311FFC">
        <w:rPr>
          <w:rFonts w:asciiTheme="majorBidi" w:hAnsiTheme="majorBidi" w:cstheme="majorBidi"/>
          <w:sz w:val="20"/>
          <w:szCs w:val="20"/>
        </w:rPr>
        <w:lastRenderedPageBreak/>
        <w:t>laboratory reproducibility (RSDR) for all residues at 25, 50, 100 and 200 μg kg−1 1 were found below 15% (Table 2), meeting Codex Alimentarius and Commission of the European Communities guidelines for repeatability (20 and 15 %,) respectively, when the target level is &gt;10 μg/kg).</w:t>
      </w:r>
    </w:p>
    <w:p w:rsidR="008E2602" w:rsidRPr="00311FFC" w:rsidRDefault="008E2602" w:rsidP="00311FFC">
      <w:pPr>
        <w:bidi w:val="0"/>
        <w:spacing w:after="0" w:line="240" w:lineRule="auto"/>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num="2" w:space="720" w:equalWidth="0">
            <w:col w:w="4158" w:space="709"/>
            <w:col w:w="4158" w:space="0"/>
          </w:cols>
        </w:sectPr>
      </w:pPr>
    </w:p>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t xml:space="preserve"> Table 2: Repeatability and Reproducibility for the determination of TCs in spiked liver samples</w:t>
      </w:r>
    </w:p>
    <w:tbl>
      <w:tblPr>
        <w:tblStyle w:val="a2"/>
        <w:bidiVisual/>
        <w:tblW w:w="9256" w:type="dxa"/>
        <w:tblInd w:w="-115" w:type="dxa"/>
        <w:tblLayout w:type="fixed"/>
        <w:tblLook w:val="0400"/>
      </w:tblPr>
      <w:tblGrid>
        <w:gridCol w:w="9256"/>
      </w:tblGrid>
      <w:tr w:rsidR="008E2602" w:rsidRPr="00311FFC" w:rsidTr="00AA0E7E">
        <w:trPr>
          <w:trHeight w:val="1520"/>
        </w:trPr>
        <w:tc>
          <w:tcPr>
            <w:tcW w:w="9256" w:type="dxa"/>
          </w:tcPr>
          <w:tbl>
            <w:tblPr>
              <w:tblStyle w:val="a1"/>
              <w:tblpPr w:leftFromText="180" w:rightFromText="180" w:vertAnchor="text" w:horzAnchor="margin" w:tblpY="-247"/>
              <w:tblOverlap w:val="never"/>
              <w:bidiVisual/>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29"/>
              <w:gridCol w:w="2084"/>
              <w:gridCol w:w="2084"/>
              <w:gridCol w:w="2387"/>
            </w:tblGrid>
            <w:tr w:rsidR="00AA0E7E" w:rsidRPr="00311FFC" w:rsidTr="00AA0E7E">
              <w:trPr>
                <w:trHeight w:val="100"/>
              </w:trPr>
              <w:tc>
                <w:tcPr>
                  <w:tcW w:w="8784" w:type="dxa"/>
                  <w:gridSpan w:val="4"/>
                  <w:shd w:val="clear" w:color="auto" w:fill="DBE5F1"/>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Overall Relative Standard Deviation (RSD %)</w:t>
                  </w:r>
                </w:p>
              </w:tc>
            </w:tr>
            <w:tr w:rsidR="00AA0E7E" w:rsidRPr="00311FFC" w:rsidTr="00AA0E7E">
              <w:trPr>
                <w:trHeight w:val="220"/>
              </w:trPr>
              <w:tc>
                <w:tcPr>
                  <w:tcW w:w="2229" w:type="dxa"/>
                  <w:shd w:val="clear" w:color="auto" w:fill="DBE5F1"/>
                </w:tcPr>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25</w:t>
                  </w:r>
                </w:p>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(µg/kg)</w:t>
                  </w:r>
                </w:p>
              </w:tc>
              <w:tc>
                <w:tcPr>
                  <w:tcW w:w="2084" w:type="dxa"/>
                  <w:shd w:val="clear" w:color="auto" w:fill="DBE5F1"/>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50</w:t>
                  </w:r>
                </w:p>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(µg/kg)</w:t>
                  </w:r>
                </w:p>
              </w:tc>
              <w:tc>
                <w:tcPr>
                  <w:tcW w:w="2084" w:type="dxa"/>
                  <w:shd w:val="clear" w:color="auto" w:fill="DBE5F1"/>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100</w:t>
                  </w:r>
                </w:p>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(µg/kg)</w:t>
                  </w:r>
                </w:p>
              </w:tc>
              <w:tc>
                <w:tcPr>
                  <w:tcW w:w="2387" w:type="dxa"/>
                  <w:shd w:val="clear" w:color="auto" w:fill="DBE5F1"/>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200</w:t>
                  </w:r>
                </w:p>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(µg/kg)</w:t>
                  </w:r>
                </w:p>
              </w:tc>
            </w:tr>
            <w:tr w:rsidR="00AA0E7E" w:rsidRPr="00311FFC" w:rsidTr="00AA0E7E">
              <w:trPr>
                <w:trHeight w:val="100"/>
              </w:trPr>
              <w:tc>
                <w:tcPr>
                  <w:tcW w:w="2229" w:type="dxa"/>
                </w:tcPr>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12.7</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7.6</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4.7</w:t>
                  </w:r>
                </w:p>
              </w:tc>
              <w:tc>
                <w:tcPr>
                  <w:tcW w:w="2387"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3.9</w:t>
                  </w:r>
                </w:p>
              </w:tc>
            </w:tr>
            <w:tr w:rsidR="00AA0E7E" w:rsidRPr="00311FFC" w:rsidTr="00AA0E7E">
              <w:trPr>
                <w:trHeight w:val="100"/>
              </w:trPr>
              <w:tc>
                <w:tcPr>
                  <w:tcW w:w="2229" w:type="dxa"/>
                </w:tcPr>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14.6</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6.5</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4.8</w:t>
                  </w:r>
                </w:p>
              </w:tc>
              <w:tc>
                <w:tcPr>
                  <w:tcW w:w="2387"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4.4</w:t>
                  </w:r>
                </w:p>
              </w:tc>
            </w:tr>
            <w:tr w:rsidR="00AA0E7E" w:rsidRPr="00311FFC" w:rsidTr="00AA0E7E">
              <w:trPr>
                <w:trHeight w:val="100"/>
              </w:trPr>
              <w:tc>
                <w:tcPr>
                  <w:tcW w:w="2229" w:type="dxa"/>
                </w:tcPr>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12.7</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7.6</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4.7</w:t>
                  </w:r>
                </w:p>
              </w:tc>
              <w:tc>
                <w:tcPr>
                  <w:tcW w:w="2387"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3.9</w:t>
                  </w:r>
                </w:p>
              </w:tc>
            </w:tr>
            <w:tr w:rsidR="00AA0E7E" w:rsidRPr="00311FFC" w:rsidTr="00AA0E7E">
              <w:trPr>
                <w:trHeight w:val="280"/>
              </w:trPr>
              <w:tc>
                <w:tcPr>
                  <w:tcW w:w="2229" w:type="dxa"/>
                </w:tcPr>
                <w:p w:rsidR="00AA0E7E" w:rsidRPr="00311FFC" w:rsidRDefault="00AA0E7E" w:rsidP="00424DC5">
                  <w:pPr>
                    <w:bidi w:val="0"/>
                    <w:contextualSpacing w:val="0"/>
                    <w:jc w:val="both"/>
                    <w:rPr>
                      <w:rFonts w:asciiTheme="majorBidi" w:hAnsiTheme="majorBidi" w:cstheme="majorBidi"/>
                      <w:b/>
                      <w:sz w:val="20"/>
                      <w:szCs w:val="20"/>
                    </w:rPr>
                  </w:pPr>
                  <w:r w:rsidRPr="00311FFC">
                    <w:rPr>
                      <w:rFonts w:asciiTheme="majorBidi" w:hAnsiTheme="majorBidi" w:cstheme="majorBidi"/>
                      <w:b/>
                      <w:sz w:val="20"/>
                      <w:szCs w:val="20"/>
                    </w:rPr>
                    <w:t>12.8</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7.0</w:t>
                  </w:r>
                </w:p>
              </w:tc>
              <w:tc>
                <w:tcPr>
                  <w:tcW w:w="2084"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4.9</w:t>
                  </w:r>
                </w:p>
              </w:tc>
              <w:tc>
                <w:tcPr>
                  <w:tcW w:w="2387" w:type="dxa"/>
                </w:tcPr>
                <w:p w:rsidR="00AA0E7E" w:rsidRPr="00311FFC" w:rsidRDefault="00AA0E7E" w:rsidP="00424DC5">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4.3</w:t>
                  </w:r>
                </w:p>
              </w:tc>
            </w:tr>
          </w:tbl>
          <w:p w:rsidR="008E2602" w:rsidRPr="00311FFC" w:rsidRDefault="008E2602" w:rsidP="00311FFC">
            <w:pPr>
              <w:bidi w:val="0"/>
              <w:contextualSpacing w:val="0"/>
              <w:jc w:val="both"/>
              <w:rPr>
                <w:rFonts w:asciiTheme="majorBidi" w:hAnsiTheme="majorBidi" w:cstheme="majorBidi"/>
                <w:b/>
                <w:sz w:val="20"/>
                <w:szCs w:val="20"/>
              </w:rPr>
            </w:pPr>
          </w:p>
        </w:tc>
      </w:tr>
    </w:tbl>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8E2602" w:rsidP="00311FFC">
      <w:pPr>
        <w:bidi w:val="0"/>
        <w:spacing w:after="0" w:line="240" w:lineRule="auto"/>
        <w:jc w:val="both"/>
        <w:rPr>
          <w:rFonts w:asciiTheme="majorBidi" w:hAnsiTheme="majorBidi" w:cstheme="majorBidi"/>
          <w:b/>
          <w:sz w:val="20"/>
          <w:szCs w:val="20"/>
        </w:rPr>
        <w:sectPr w:rsidR="008E2602" w:rsidRPr="00311FFC">
          <w:type w:val="continuous"/>
          <w:pgSz w:w="11906" w:h="16838"/>
          <w:pgMar w:top="1440" w:right="1440" w:bottom="1440" w:left="1440" w:header="0" w:footer="720" w:gutter="0"/>
          <w:cols w:space="720"/>
        </w:sect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lastRenderedPageBreak/>
        <w:t>Decision limits (CCα) and Detection capabilities (CCβ):</w:t>
      </w:r>
    </w:p>
    <w:p w:rsidR="008E2602" w:rsidRPr="00311FFC" w:rsidRDefault="00403126" w:rsidP="00311FFC">
      <w:pPr>
        <w:bidi w:val="0"/>
        <w:spacing w:after="0" w:line="240" w:lineRule="auto"/>
        <w:ind w:firstLine="426"/>
        <w:jc w:val="both"/>
        <w:rPr>
          <w:rFonts w:asciiTheme="majorBidi" w:hAnsiTheme="majorBidi" w:cstheme="majorBidi"/>
          <w:sz w:val="20"/>
          <w:szCs w:val="20"/>
        </w:rPr>
      </w:pPr>
      <w:r w:rsidRPr="00311FFC">
        <w:rPr>
          <w:rFonts w:asciiTheme="majorBidi" w:hAnsiTheme="majorBidi" w:cstheme="majorBidi"/>
          <w:sz w:val="20"/>
          <w:szCs w:val="20"/>
        </w:rPr>
        <w:t xml:space="preserve">The EU decision introduces the concepts of decision limit (CCα) and detection capability (CCβ) for a chemical analytical method. These parameters are to be used instead of the more familiar limit of detection and limit of quantification. The definition of the CCα for a forbidden compound is: “The limit at and above which it can be concluded with an error probability of 1% that a sample is noncompliant”. The </w:t>
      </w:r>
      <w:r w:rsidRPr="00311FFC">
        <w:rPr>
          <w:rFonts w:asciiTheme="majorBidi" w:hAnsiTheme="majorBidi" w:cstheme="majorBidi"/>
          <w:sz w:val="20"/>
          <w:szCs w:val="20"/>
        </w:rPr>
        <w:lastRenderedPageBreak/>
        <w:t>definition of the CCβ for a forbidden compound is: “The lowest concentration at which a method is able to detect truly contaminated samples with an error probability of 5%”. CCα and CCβ were calculated at level 100 ppb in matrix of liver. For CCα and β calculation following equations was used.  As shown in table 3</w:t>
      </w:r>
    </w:p>
    <w:p w:rsidR="008E2602" w:rsidRPr="00311FFC" w:rsidRDefault="00403126" w:rsidP="00311FFC">
      <w:pPr>
        <w:bidi w:val="0"/>
        <w:spacing w:after="0" w:line="240" w:lineRule="auto"/>
        <w:jc w:val="both"/>
        <w:rPr>
          <w:rFonts w:asciiTheme="majorBidi" w:hAnsiTheme="majorBidi" w:cstheme="majorBidi"/>
          <w:sz w:val="20"/>
          <w:szCs w:val="20"/>
        </w:rPr>
      </w:pPr>
      <w:r w:rsidRPr="00311FFC">
        <w:rPr>
          <w:rFonts w:asciiTheme="majorBidi" w:hAnsiTheme="majorBidi" w:cstheme="majorBidi"/>
          <w:sz w:val="20"/>
          <w:szCs w:val="20"/>
        </w:rPr>
        <w:t>CCα = MRL+1.64*SD of 20 fortified blanks at MRL</w:t>
      </w:r>
    </w:p>
    <w:p w:rsidR="008E2602" w:rsidRPr="00311FFC" w:rsidRDefault="00403126" w:rsidP="00311FFC">
      <w:pPr>
        <w:bidi w:val="0"/>
        <w:spacing w:after="0" w:line="240" w:lineRule="auto"/>
        <w:jc w:val="both"/>
        <w:rPr>
          <w:rFonts w:asciiTheme="majorBidi" w:hAnsiTheme="majorBidi" w:cstheme="majorBidi"/>
          <w:sz w:val="20"/>
          <w:szCs w:val="20"/>
        </w:rPr>
      </w:pPr>
      <w:r w:rsidRPr="00311FFC">
        <w:rPr>
          <w:rFonts w:asciiTheme="majorBidi" w:hAnsiTheme="majorBidi" w:cstheme="majorBidi"/>
          <w:sz w:val="20"/>
          <w:szCs w:val="20"/>
        </w:rPr>
        <w:t>CCβ = CCα+1.64*SD of 20 fortified blanks at CCα</w:t>
      </w:r>
    </w:p>
    <w:p w:rsidR="008E2602" w:rsidRPr="00311FFC" w:rsidRDefault="008E2602" w:rsidP="00311FFC">
      <w:pPr>
        <w:bidi w:val="0"/>
        <w:spacing w:after="0" w:line="240" w:lineRule="auto"/>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num="2" w:space="720" w:equalWidth="0">
            <w:col w:w="4158" w:space="709"/>
            <w:col w:w="4158" w:space="0"/>
          </w:cols>
        </w:sectPr>
      </w:pPr>
    </w:p>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403126" w:rsidP="00311FFC">
      <w:pPr>
        <w:bidi w:val="0"/>
        <w:spacing w:after="0" w:line="240" w:lineRule="auto"/>
        <w:jc w:val="both"/>
        <w:rPr>
          <w:rFonts w:asciiTheme="majorBidi" w:hAnsiTheme="majorBidi" w:cstheme="majorBidi"/>
          <w:b/>
          <w:sz w:val="20"/>
          <w:szCs w:val="20"/>
        </w:rPr>
      </w:pPr>
      <w:bookmarkStart w:id="2" w:name="_1fob9te" w:colFirst="0" w:colLast="0"/>
      <w:bookmarkEnd w:id="2"/>
      <w:r w:rsidRPr="00311FFC">
        <w:rPr>
          <w:rFonts w:asciiTheme="majorBidi" w:hAnsiTheme="majorBidi" w:cstheme="majorBidi"/>
          <w:b/>
          <w:sz w:val="20"/>
          <w:szCs w:val="20"/>
        </w:rPr>
        <w:t>Table 3: Calculation of CCα and CCβ of TCs by fortification at the level 100 ppb</w:t>
      </w:r>
    </w:p>
    <w:tbl>
      <w:tblPr>
        <w:tblStyle w:val="a3"/>
        <w:bidiVisual/>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53"/>
        <w:gridCol w:w="2842"/>
        <w:gridCol w:w="2850"/>
      </w:tblGrid>
      <w:tr w:rsidR="008E2602" w:rsidRPr="00311FFC">
        <w:trPr>
          <w:trHeight w:val="60"/>
          <w:jc w:val="center"/>
        </w:trPr>
        <w:tc>
          <w:tcPr>
            <w:tcW w:w="2853" w:type="dxa"/>
          </w:tcPr>
          <w:p w:rsidR="008E2602" w:rsidRPr="00311FFC" w:rsidRDefault="00403126" w:rsidP="00311FFC">
            <w:pPr>
              <w:bidi w:val="0"/>
              <w:contextualSpacing w:val="0"/>
              <w:jc w:val="right"/>
              <w:rPr>
                <w:rFonts w:asciiTheme="majorBidi" w:hAnsiTheme="majorBidi" w:cstheme="majorBidi"/>
                <w:b/>
                <w:sz w:val="20"/>
                <w:szCs w:val="20"/>
              </w:rPr>
            </w:pPr>
            <w:r w:rsidRPr="00311FFC">
              <w:rPr>
                <w:rFonts w:asciiTheme="majorBidi" w:hAnsiTheme="majorBidi" w:cstheme="majorBidi"/>
                <w:b/>
                <w:sz w:val="20"/>
                <w:szCs w:val="20"/>
              </w:rPr>
              <w:t>Analytes</w:t>
            </w:r>
          </w:p>
        </w:tc>
        <w:tc>
          <w:tcPr>
            <w:tcW w:w="2842"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CCα</w:t>
            </w:r>
          </w:p>
        </w:tc>
        <w:tc>
          <w:tcPr>
            <w:tcW w:w="2850"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CCβ</w:t>
            </w:r>
          </w:p>
        </w:tc>
      </w:tr>
      <w:tr w:rsidR="008E2602" w:rsidRPr="00311FFC">
        <w:trPr>
          <w:trHeight w:val="240"/>
          <w:jc w:val="center"/>
        </w:trPr>
        <w:tc>
          <w:tcPr>
            <w:tcW w:w="2853" w:type="dxa"/>
          </w:tcPr>
          <w:p w:rsidR="008E2602" w:rsidRPr="00311FFC" w:rsidRDefault="00403126" w:rsidP="00311FFC">
            <w:pPr>
              <w:bidi w:val="0"/>
              <w:contextualSpacing w:val="0"/>
              <w:rPr>
                <w:rFonts w:asciiTheme="majorBidi" w:hAnsiTheme="majorBidi" w:cstheme="majorBidi"/>
                <w:b/>
                <w:sz w:val="20"/>
                <w:szCs w:val="20"/>
              </w:rPr>
            </w:pPr>
            <w:r w:rsidRPr="00311FFC">
              <w:rPr>
                <w:rFonts w:asciiTheme="majorBidi" w:hAnsiTheme="majorBidi" w:cstheme="majorBidi"/>
                <w:b/>
                <w:sz w:val="20"/>
                <w:szCs w:val="20"/>
              </w:rPr>
              <w:t>OTC</w:t>
            </w:r>
          </w:p>
        </w:tc>
        <w:tc>
          <w:tcPr>
            <w:tcW w:w="2842"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105.729</w:t>
            </w:r>
          </w:p>
        </w:tc>
        <w:tc>
          <w:tcPr>
            <w:tcW w:w="2850"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112.156</w:t>
            </w:r>
          </w:p>
        </w:tc>
      </w:tr>
      <w:tr w:rsidR="008E2602" w:rsidRPr="00311FFC">
        <w:trPr>
          <w:trHeight w:val="240"/>
          <w:jc w:val="center"/>
        </w:trPr>
        <w:tc>
          <w:tcPr>
            <w:tcW w:w="2853" w:type="dxa"/>
          </w:tcPr>
          <w:p w:rsidR="008E2602" w:rsidRPr="00311FFC" w:rsidRDefault="00403126" w:rsidP="00311FFC">
            <w:pPr>
              <w:bidi w:val="0"/>
              <w:contextualSpacing w:val="0"/>
              <w:jc w:val="right"/>
              <w:rPr>
                <w:rFonts w:asciiTheme="majorBidi" w:hAnsiTheme="majorBidi" w:cstheme="majorBidi"/>
                <w:b/>
                <w:sz w:val="20"/>
                <w:szCs w:val="20"/>
              </w:rPr>
            </w:pPr>
            <w:r w:rsidRPr="00311FFC">
              <w:rPr>
                <w:rFonts w:asciiTheme="majorBidi" w:hAnsiTheme="majorBidi" w:cstheme="majorBidi"/>
                <w:b/>
                <w:sz w:val="20"/>
                <w:szCs w:val="20"/>
              </w:rPr>
              <w:t>CTC</w:t>
            </w:r>
          </w:p>
        </w:tc>
        <w:tc>
          <w:tcPr>
            <w:tcW w:w="2842"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105.772</w:t>
            </w:r>
          </w:p>
        </w:tc>
        <w:tc>
          <w:tcPr>
            <w:tcW w:w="2850"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112.122</w:t>
            </w:r>
          </w:p>
        </w:tc>
      </w:tr>
      <w:tr w:rsidR="008E2602" w:rsidRPr="00311FFC">
        <w:trPr>
          <w:trHeight w:val="240"/>
          <w:jc w:val="center"/>
        </w:trPr>
        <w:tc>
          <w:tcPr>
            <w:tcW w:w="2853" w:type="dxa"/>
          </w:tcPr>
          <w:p w:rsidR="008E2602" w:rsidRPr="00311FFC" w:rsidRDefault="00403126" w:rsidP="00311FFC">
            <w:pPr>
              <w:bidi w:val="0"/>
              <w:contextualSpacing w:val="0"/>
              <w:jc w:val="right"/>
              <w:rPr>
                <w:rFonts w:asciiTheme="majorBidi" w:hAnsiTheme="majorBidi" w:cstheme="majorBidi"/>
                <w:b/>
                <w:sz w:val="20"/>
                <w:szCs w:val="20"/>
              </w:rPr>
            </w:pPr>
            <w:r w:rsidRPr="00311FFC">
              <w:rPr>
                <w:rFonts w:asciiTheme="majorBidi" w:hAnsiTheme="majorBidi" w:cstheme="majorBidi"/>
                <w:b/>
                <w:sz w:val="20"/>
                <w:szCs w:val="20"/>
              </w:rPr>
              <w:t>DOC</w:t>
            </w:r>
          </w:p>
        </w:tc>
        <w:tc>
          <w:tcPr>
            <w:tcW w:w="2842"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105.729</w:t>
            </w:r>
          </w:p>
        </w:tc>
        <w:tc>
          <w:tcPr>
            <w:tcW w:w="2850"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112.343</w:t>
            </w:r>
          </w:p>
        </w:tc>
      </w:tr>
      <w:tr w:rsidR="008E2602" w:rsidRPr="00311FFC">
        <w:trPr>
          <w:trHeight w:val="240"/>
          <w:jc w:val="center"/>
        </w:trPr>
        <w:tc>
          <w:tcPr>
            <w:tcW w:w="2853" w:type="dxa"/>
          </w:tcPr>
          <w:p w:rsidR="008E2602" w:rsidRPr="00311FFC" w:rsidRDefault="00403126" w:rsidP="00311FFC">
            <w:pPr>
              <w:bidi w:val="0"/>
              <w:contextualSpacing w:val="0"/>
              <w:jc w:val="right"/>
              <w:rPr>
                <w:rFonts w:asciiTheme="majorBidi" w:hAnsiTheme="majorBidi" w:cstheme="majorBidi"/>
                <w:b/>
                <w:sz w:val="20"/>
                <w:szCs w:val="20"/>
              </w:rPr>
            </w:pPr>
            <w:r w:rsidRPr="00311FFC">
              <w:rPr>
                <w:rFonts w:asciiTheme="majorBidi" w:hAnsiTheme="majorBidi" w:cstheme="majorBidi"/>
                <w:b/>
                <w:sz w:val="20"/>
                <w:szCs w:val="20"/>
              </w:rPr>
              <w:t>TC</w:t>
            </w:r>
          </w:p>
        </w:tc>
        <w:tc>
          <w:tcPr>
            <w:tcW w:w="2842"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106.034</w:t>
            </w:r>
          </w:p>
        </w:tc>
        <w:tc>
          <w:tcPr>
            <w:tcW w:w="2850" w:type="dxa"/>
          </w:tcPr>
          <w:p w:rsidR="008E2602" w:rsidRPr="00311FFC" w:rsidRDefault="00403126" w:rsidP="00311FFC">
            <w:pPr>
              <w:bidi w:val="0"/>
              <w:contextualSpacing w:val="0"/>
              <w:jc w:val="center"/>
              <w:rPr>
                <w:rFonts w:asciiTheme="majorBidi" w:hAnsiTheme="majorBidi" w:cstheme="majorBidi"/>
                <w:b/>
                <w:sz w:val="20"/>
                <w:szCs w:val="20"/>
              </w:rPr>
            </w:pPr>
            <w:r w:rsidRPr="00311FFC">
              <w:rPr>
                <w:rFonts w:asciiTheme="majorBidi" w:hAnsiTheme="majorBidi" w:cstheme="majorBidi"/>
                <w:b/>
                <w:sz w:val="20"/>
                <w:szCs w:val="20"/>
              </w:rPr>
              <w:t>112.144</w:t>
            </w:r>
          </w:p>
        </w:tc>
      </w:tr>
    </w:tbl>
    <w:p w:rsidR="008E2602" w:rsidRPr="00311FFC" w:rsidRDefault="008E2602" w:rsidP="00311FFC">
      <w:pPr>
        <w:bidi w:val="0"/>
        <w:spacing w:after="0" w:line="240" w:lineRule="auto"/>
        <w:jc w:val="both"/>
        <w:rPr>
          <w:rFonts w:asciiTheme="majorBidi" w:hAnsiTheme="majorBidi" w:cstheme="majorBidi"/>
          <w:sz w:val="20"/>
          <w:szCs w:val="20"/>
        </w:rPr>
      </w:pPr>
    </w:p>
    <w:p w:rsidR="008E2602" w:rsidRPr="00311FFC" w:rsidRDefault="008E2602" w:rsidP="00311FFC">
      <w:pPr>
        <w:bidi w:val="0"/>
        <w:spacing w:after="0" w:line="240" w:lineRule="auto"/>
        <w:jc w:val="both"/>
        <w:rPr>
          <w:rFonts w:asciiTheme="majorBidi" w:hAnsiTheme="majorBidi" w:cstheme="majorBidi"/>
          <w:b/>
          <w:sz w:val="20"/>
          <w:szCs w:val="20"/>
        </w:rPr>
        <w:sectPr w:rsidR="008E2602" w:rsidRPr="00311FFC">
          <w:type w:val="continuous"/>
          <w:pgSz w:w="11906" w:h="16838"/>
          <w:pgMar w:top="1440" w:right="1440" w:bottom="1440" w:left="1440" w:header="0" w:footer="720" w:gutter="0"/>
          <w:cols w:space="720"/>
        </w:sectPr>
      </w:pPr>
    </w:p>
    <w:p w:rsidR="008E2602" w:rsidRPr="00311FFC" w:rsidRDefault="00403126" w:rsidP="00311FFC">
      <w:pPr>
        <w:bidi w:val="0"/>
        <w:spacing w:after="0" w:line="240" w:lineRule="auto"/>
        <w:jc w:val="both"/>
        <w:rPr>
          <w:rFonts w:asciiTheme="majorBidi" w:hAnsiTheme="majorBidi" w:cstheme="majorBidi"/>
          <w:b/>
          <w:sz w:val="20"/>
          <w:szCs w:val="20"/>
        </w:rPr>
      </w:pPr>
      <w:r w:rsidRPr="00311FFC">
        <w:rPr>
          <w:rFonts w:asciiTheme="majorBidi" w:hAnsiTheme="majorBidi" w:cstheme="majorBidi"/>
          <w:b/>
          <w:sz w:val="20"/>
          <w:szCs w:val="20"/>
        </w:rPr>
        <w:lastRenderedPageBreak/>
        <w:t xml:space="preserve">References </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Alfredsson, G., Branzell, C., Granelli, K., &amp; Lundström, Å. (2005). Simple and rapid screening and confirmation of tetracyclines in honey and egg by a dipstick test and LC–MS/MS. </w:t>
      </w:r>
      <w:r w:rsidRPr="00311FFC">
        <w:rPr>
          <w:rFonts w:asciiTheme="majorBidi" w:hAnsiTheme="majorBidi" w:cstheme="majorBidi"/>
          <w:i/>
          <w:sz w:val="20"/>
          <w:szCs w:val="20"/>
        </w:rPr>
        <w:t>Analytica Chimica Acta</w:t>
      </w:r>
      <w:r w:rsidRPr="00311FFC">
        <w:rPr>
          <w:rFonts w:asciiTheme="majorBidi" w:hAnsiTheme="majorBidi" w:cstheme="majorBidi"/>
          <w:sz w:val="20"/>
          <w:szCs w:val="20"/>
        </w:rPr>
        <w:t>, </w:t>
      </w:r>
      <w:r w:rsidRPr="00311FFC">
        <w:rPr>
          <w:rFonts w:asciiTheme="majorBidi" w:hAnsiTheme="majorBidi" w:cstheme="majorBidi"/>
          <w:i/>
          <w:sz w:val="20"/>
          <w:szCs w:val="20"/>
        </w:rPr>
        <w:t>529</w:t>
      </w:r>
      <w:r w:rsidRPr="00311FFC">
        <w:rPr>
          <w:rFonts w:asciiTheme="majorBidi" w:hAnsiTheme="majorBidi" w:cstheme="majorBidi"/>
          <w:sz w:val="20"/>
          <w:szCs w:val="20"/>
        </w:rPr>
        <w:t>(1), 47-51.</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Andersen, W. C., Roybal, J. E., Gonzales, S. A., Turnipseed, S. B., Pfenning, A. P., &amp; Kuck, L. R. (2005). Determination of tetracycline residues in shrimp and whole milk using liquid chromatography with ultraviolet detection and residue confirmation by mass spectrometry. </w:t>
      </w:r>
      <w:r w:rsidRPr="00311FFC">
        <w:rPr>
          <w:rFonts w:asciiTheme="majorBidi" w:hAnsiTheme="majorBidi" w:cstheme="majorBidi"/>
          <w:i/>
          <w:sz w:val="20"/>
          <w:szCs w:val="20"/>
        </w:rPr>
        <w:t>Analytica Chimica Acta</w:t>
      </w:r>
      <w:r w:rsidRPr="00311FFC">
        <w:rPr>
          <w:rFonts w:asciiTheme="majorBidi" w:hAnsiTheme="majorBidi" w:cstheme="majorBidi"/>
          <w:sz w:val="20"/>
          <w:szCs w:val="20"/>
        </w:rPr>
        <w:t>, </w:t>
      </w:r>
      <w:r w:rsidRPr="00311FFC">
        <w:rPr>
          <w:rFonts w:asciiTheme="majorBidi" w:hAnsiTheme="majorBidi" w:cstheme="majorBidi"/>
          <w:i/>
          <w:sz w:val="20"/>
          <w:szCs w:val="20"/>
        </w:rPr>
        <w:t>529</w:t>
      </w:r>
      <w:r w:rsidRPr="00311FFC">
        <w:rPr>
          <w:rFonts w:asciiTheme="majorBidi" w:hAnsiTheme="majorBidi" w:cstheme="majorBidi"/>
          <w:sz w:val="20"/>
          <w:szCs w:val="20"/>
        </w:rPr>
        <w:t>(1), 145-150.</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Andreu, V., Vazquez-Roig, P., Blasco, C., &amp; Picó, Y. (2009). Determination of tetracycline residues in soil by pressurized liquid extraction and liquid chromatography tandem mass spectrometry. </w:t>
      </w:r>
      <w:r w:rsidRPr="00311FFC">
        <w:rPr>
          <w:rFonts w:asciiTheme="majorBidi" w:hAnsiTheme="majorBidi" w:cstheme="majorBidi"/>
          <w:i/>
          <w:sz w:val="20"/>
          <w:szCs w:val="20"/>
        </w:rPr>
        <w:t>Analytical and bioanalytical chemistry</w:t>
      </w:r>
      <w:r w:rsidRPr="00311FFC">
        <w:rPr>
          <w:rFonts w:asciiTheme="majorBidi" w:hAnsiTheme="majorBidi" w:cstheme="majorBidi"/>
          <w:sz w:val="20"/>
          <w:szCs w:val="20"/>
        </w:rPr>
        <w:t>, </w:t>
      </w:r>
      <w:r w:rsidRPr="00311FFC">
        <w:rPr>
          <w:rFonts w:asciiTheme="majorBidi" w:hAnsiTheme="majorBidi" w:cstheme="majorBidi"/>
          <w:i/>
          <w:sz w:val="20"/>
          <w:szCs w:val="20"/>
        </w:rPr>
        <w:t>394</w:t>
      </w:r>
      <w:r w:rsidRPr="00311FFC">
        <w:rPr>
          <w:rFonts w:asciiTheme="majorBidi" w:hAnsiTheme="majorBidi" w:cstheme="majorBidi"/>
          <w:sz w:val="20"/>
          <w:szCs w:val="20"/>
        </w:rPr>
        <w:t>(5), 1329-1339.</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 xml:space="preserve">Blasco, C., Di Corcia, A., &amp; Picó, Y. (2009). Determination of tetracyclines in multi-specie </w:t>
      </w:r>
      <w:r w:rsidRPr="00311FFC">
        <w:rPr>
          <w:rFonts w:asciiTheme="majorBidi" w:hAnsiTheme="majorBidi" w:cstheme="majorBidi"/>
          <w:sz w:val="20"/>
          <w:szCs w:val="20"/>
        </w:rPr>
        <w:lastRenderedPageBreak/>
        <w:t>animal tissues by pressurized liquid extraction and liquid chromatography–tandem mass spectrometry. </w:t>
      </w:r>
      <w:r w:rsidRPr="00311FFC">
        <w:rPr>
          <w:rFonts w:asciiTheme="majorBidi" w:hAnsiTheme="majorBidi" w:cstheme="majorBidi"/>
          <w:i/>
          <w:sz w:val="20"/>
          <w:szCs w:val="20"/>
        </w:rPr>
        <w:t>Food Chemistry</w:t>
      </w:r>
      <w:r w:rsidRPr="00311FFC">
        <w:rPr>
          <w:rFonts w:asciiTheme="majorBidi" w:hAnsiTheme="majorBidi" w:cstheme="majorBidi"/>
          <w:sz w:val="20"/>
          <w:szCs w:val="20"/>
        </w:rPr>
        <w:t>, </w:t>
      </w:r>
      <w:r w:rsidRPr="00311FFC">
        <w:rPr>
          <w:rFonts w:asciiTheme="majorBidi" w:hAnsiTheme="majorBidi" w:cstheme="majorBidi"/>
          <w:i/>
          <w:sz w:val="20"/>
          <w:szCs w:val="20"/>
        </w:rPr>
        <w:t>116</w:t>
      </w:r>
      <w:r w:rsidRPr="00311FFC">
        <w:rPr>
          <w:rFonts w:asciiTheme="majorBidi" w:hAnsiTheme="majorBidi" w:cstheme="majorBidi"/>
          <w:sz w:val="20"/>
          <w:szCs w:val="20"/>
        </w:rPr>
        <w:t>(4), 1005-1012.</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Cháfer-Pericás, C., Maquieira, Á., Puchades, R., Miralles, J., &amp; Moreno, A. (2013). Multiresidue determination of antibiotics in feed and fish samples for food safety evaluation. Comparison of immunoassay vs LC-MS-MS. </w:t>
      </w:r>
      <w:r w:rsidRPr="00311FFC">
        <w:rPr>
          <w:rFonts w:asciiTheme="majorBidi" w:hAnsiTheme="majorBidi" w:cstheme="majorBidi"/>
          <w:i/>
          <w:sz w:val="20"/>
          <w:szCs w:val="20"/>
        </w:rPr>
        <w:t>Food Control</w:t>
      </w:r>
      <w:r w:rsidRPr="00311FFC">
        <w:rPr>
          <w:rFonts w:asciiTheme="majorBidi" w:hAnsiTheme="majorBidi" w:cstheme="majorBidi"/>
          <w:sz w:val="20"/>
          <w:szCs w:val="20"/>
        </w:rPr>
        <w:t>, </w:t>
      </w:r>
      <w:r w:rsidRPr="00311FFC">
        <w:rPr>
          <w:rFonts w:asciiTheme="majorBidi" w:hAnsiTheme="majorBidi" w:cstheme="majorBidi"/>
          <w:i/>
          <w:sz w:val="20"/>
          <w:szCs w:val="20"/>
        </w:rPr>
        <w:t>22</w:t>
      </w:r>
      <w:r w:rsidRPr="00311FFC">
        <w:rPr>
          <w:rFonts w:asciiTheme="majorBidi" w:hAnsiTheme="majorBidi" w:cstheme="majorBidi"/>
          <w:sz w:val="20"/>
          <w:szCs w:val="20"/>
        </w:rPr>
        <w:t>(6), 993-999.</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i/>
          <w:sz w:val="20"/>
          <w:szCs w:val="20"/>
        </w:rPr>
      </w:pPr>
      <w:r w:rsidRPr="00311FFC">
        <w:rPr>
          <w:rFonts w:asciiTheme="majorBidi" w:hAnsiTheme="majorBidi" w:cstheme="majorBidi"/>
          <w:sz w:val="20"/>
          <w:szCs w:val="20"/>
        </w:rPr>
        <w:t xml:space="preserve">EUROPEAN COMMISSION REGULATION (2010) NO 37/2010 of 26 January 2010 on aying down requirements on the quality of aeronautical data and aeronautical information for the single European sky, </w:t>
      </w:r>
      <w:r w:rsidRPr="00311FFC">
        <w:rPr>
          <w:rFonts w:asciiTheme="majorBidi" w:hAnsiTheme="majorBidi" w:cstheme="majorBidi"/>
          <w:i/>
          <w:sz w:val="20"/>
          <w:szCs w:val="20"/>
        </w:rPr>
        <w:t>Official Journal of the European Union</w:t>
      </w:r>
      <w:r w:rsidRPr="00311FFC">
        <w:rPr>
          <w:rFonts w:asciiTheme="majorBidi" w:hAnsiTheme="majorBidi" w:cstheme="majorBidi"/>
          <w:sz w:val="20"/>
          <w:szCs w:val="20"/>
        </w:rPr>
        <w:t>l15/19 P.9-10</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Lopez, M. I., Pettis, J. S., Smith, I. B., &amp; Chu, P. S. (2014). Multiclass determination and confirmation of antibiotic residues in honey using LC-MS/MS. </w:t>
      </w:r>
      <w:r w:rsidRPr="00311FFC">
        <w:rPr>
          <w:rFonts w:asciiTheme="majorBidi" w:hAnsiTheme="majorBidi" w:cstheme="majorBidi"/>
          <w:i/>
          <w:sz w:val="20"/>
          <w:szCs w:val="20"/>
        </w:rPr>
        <w:t>Journal of agricultural and food chemistry</w:t>
      </w:r>
      <w:r w:rsidRPr="00311FFC">
        <w:rPr>
          <w:rFonts w:asciiTheme="majorBidi" w:hAnsiTheme="majorBidi" w:cstheme="majorBidi"/>
          <w:sz w:val="20"/>
          <w:szCs w:val="20"/>
        </w:rPr>
        <w:t>, </w:t>
      </w:r>
      <w:r w:rsidRPr="00311FFC">
        <w:rPr>
          <w:rFonts w:asciiTheme="majorBidi" w:hAnsiTheme="majorBidi" w:cstheme="majorBidi"/>
          <w:i/>
          <w:sz w:val="20"/>
          <w:szCs w:val="20"/>
        </w:rPr>
        <w:t>56</w:t>
      </w:r>
      <w:r w:rsidRPr="00311FFC">
        <w:rPr>
          <w:rFonts w:asciiTheme="majorBidi" w:hAnsiTheme="majorBidi" w:cstheme="majorBidi"/>
          <w:sz w:val="20"/>
          <w:szCs w:val="20"/>
        </w:rPr>
        <w:t>(5), 1553-1559.</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 xml:space="preserve">Nakazawa, H., Ino, S., Kato, K., Watanabe, </w:t>
      </w:r>
      <w:r w:rsidRPr="00311FFC">
        <w:rPr>
          <w:rFonts w:asciiTheme="majorBidi" w:hAnsiTheme="majorBidi" w:cstheme="majorBidi"/>
          <w:sz w:val="20"/>
          <w:szCs w:val="20"/>
        </w:rPr>
        <w:lastRenderedPageBreak/>
        <w:t>T., Ito, Y., &amp; Oka, H. (1999). Simultaneous determination of residual tetracyclines in foods by high-performance liquid chromatography with atmospheric pressure chemical ionization tandem mass spectrometry. </w:t>
      </w:r>
      <w:r w:rsidRPr="00311FFC">
        <w:rPr>
          <w:rFonts w:asciiTheme="majorBidi" w:hAnsiTheme="majorBidi" w:cstheme="majorBidi"/>
          <w:i/>
          <w:sz w:val="20"/>
          <w:szCs w:val="20"/>
        </w:rPr>
        <w:t>Journal of Chromatography B: Biomedical Sciences and Applications</w:t>
      </w:r>
      <w:r w:rsidRPr="00311FFC">
        <w:rPr>
          <w:rFonts w:asciiTheme="majorBidi" w:hAnsiTheme="majorBidi" w:cstheme="majorBidi"/>
          <w:sz w:val="20"/>
          <w:szCs w:val="20"/>
        </w:rPr>
        <w:t>, </w:t>
      </w:r>
      <w:r w:rsidRPr="00311FFC">
        <w:rPr>
          <w:rFonts w:asciiTheme="majorBidi" w:hAnsiTheme="majorBidi" w:cstheme="majorBidi"/>
          <w:i/>
          <w:sz w:val="20"/>
          <w:szCs w:val="20"/>
        </w:rPr>
        <w:t>732</w:t>
      </w:r>
      <w:r w:rsidRPr="00311FFC">
        <w:rPr>
          <w:rFonts w:asciiTheme="majorBidi" w:hAnsiTheme="majorBidi" w:cstheme="majorBidi"/>
          <w:sz w:val="20"/>
          <w:szCs w:val="20"/>
        </w:rPr>
        <w:t>(1), 55-64.</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Samanidou, V. F., Nikolaidou, K. I., &amp; Papadoyannis, I. N. (2009). Development and validation of an HPLC confirmatory method for the determination of seven tetracycline antibiotics residues in milk according to the European Union Decision 2002/657/EC. </w:t>
      </w:r>
      <w:r w:rsidRPr="00311FFC">
        <w:rPr>
          <w:rFonts w:asciiTheme="majorBidi" w:hAnsiTheme="majorBidi" w:cstheme="majorBidi"/>
          <w:i/>
          <w:sz w:val="20"/>
          <w:szCs w:val="20"/>
        </w:rPr>
        <w:t>Journal of separation science</w:t>
      </w:r>
      <w:r w:rsidRPr="00311FFC">
        <w:rPr>
          <w:rFonts w:asciiTheme="majorBidi" w:hAnsiTheme="majorBidi" w:cstheme="majorBidi"/>
          <w:sz w:val="20"/>
          <w:szCs w:val="20"/>
        </w:rPr>
        <w:t>,</w:t>
      </w:r>
      <w:r w:rsidRPr="00311FFC">
        <w:rPr>
          <w:rFonts w:asciiTheme="majorBidi" w:hAnsiTheme="majorBidi" w:cstheme="majorBidi"/>
          <w:i/>
          <w:sz w:val="20"/>
          <w:szCs w:val="20"/>
        </w:rPr>
        <w:t>30</w:t>
      </w:r>
      <w:r w:rsidRPr="00311FFC">
        <w:rPr>
          <w:rFonts w:asciiTheme="majorBidi" w:hAnsiTheme="majorBidi" w:cstheme="majorBidi"/>
          <w:sz w:val="20"/>
          <w:szCs w:val="20"/>
        </w:rPr>
        <w:t>(15), 2430-2439.</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lastRenderedPageBreak/>
        <w:t>Yang, S., Cha, J., &amp; Carlson, K. (2004). Quantitative determination of trace concentrations of tetracycline and sulfonamide antibiotics in surface water using solid</w:t>
      </w:r>
      <w:r w:rsidRPr="00311FFC">
        <w:rPr>
          <w:rFonts w:ascii="Cambria" w:eastAsia="Cambria" w:hAnsi="Cambria" w:cstheme="majorBidi"/>
          <w:sz w:val="20"/>
          <w:szCs w:val="20"/>
        </w:rPr>
        <w:t>‐</w:t>
      </w:r>
      <w:r w:rsidRPr="00311FFC">
        <w:rPr>
          <w:rFonts w:asciiTheme="majorBidi" w:hAnsiTheme="majorBidi" w:cstheme="majorBidi"/>
          <w:sz w:val="20"/>
          <w:szCs w:val="20"/>
        </w:rPr>
        <w:t>phase extraction and liquid chromatography/ion trap tandem mass spectrometry. </w:t>
      </w:r>
      <w:r w:rsidRPr="00311FFC">
        <w:rPr>
          <w:rFonts w:asciiTheme="majorBidi" w:hAnsiTheme="majorBidi" w:cstheme="majorBidi"/>
          <w:i/>
          <w:sz w:val="20"/>
          <w:szCs w:val="20"/>
        </w:rPr>
        <w:t>Rapid communications in mass spectrometry</w:t>
      </w:r>
      <w:r w:rsidRPr="00311FFC">
        <w:rPr>
          <w:rFonts w:asciiTheme="majorBidi" w:hAnsiTheme="majorBidi" w:cstheme="majorBidi"/>
          <w:sz w:val="20"/>
          <w:szCs w:val="20"/>
        </w:rPr>
        <w:t>, </w:t>
      </w:r>
      <w:r w:rsidRPr="00311FFC">
        <w:rPr>
          <w:rFonts w:asciiTheme="majorBidi" w:hAnsiTheme="majorBidi" w:cstheme="majorBidi"/>
          <w:i/>
          <w:sz w:val="20"/>
          <w:szCs w:val="20"/>
        </w:rPr>
        <w:t>18</w:t>
      </w:r>
      <w:r w:rsidRPr="00311FFC">
        <w:rPr>
          <w:rFonts w:asciiTheme="majorBidi" w:hAnsiTheme="majorBidi" w:cstheme="majorBidi"/>
          <w:sz w:val="20"/>
          <w:szCs w:val="20"/>
        </w:rPr>
        <w:t>(18), 2131-2145.</w:t>
      </w:r>
    </w:p>
    <w:p w:rsidR="008E2602" w:rsidRPr="00311FFC" w:rsidRDefault="00403126" w:rsidP="00311FFC">
      <w:pPr>
        <w:numPr>
          <w:ilvl w:val="0"/>
          <w:numId w:val="1"/>
        </w:numPr>
        <w:bidi w:val="0"/>
        <w:spacing w:after="0" w:line="240" w:lineRule="auto"/>
        <w:ind w:left="426" w:hanging="360"/>
        <w:contextualSpacing/>
        <w:jc w:val="both"/>
        <w:rPr>
          <w:rFonts w:asciiTheme="majorBidi" w:hAnsiTheme="majorBidi" w:cstheme="majorBidi"/>
          <w:sz w:val="20"/>
          <w:szCs w:val="20"/>
        </w:rPr>
      </w:pPr>
      <w:r w:rsidRPr="00311FFC">
        <w:rPr>
          <w:rFonts w:asciiTheme="majorBidi" w:hAnsiTheme="majorBidi" w:cstheme="majorBidi"/>
          <w:sz w:val="20"/>
          <w:szCs w:val="20"/>
        </w:rPr>
        <w:t>Zhu, J., Snow, D. D., Cassada, D. A., Monson, S. J., &amp; Spalding, R. F. (2009). Analysis of oxytetracycline, tetracycline, and chlortetracycline in water using solid-phase extraction and liquid chromatography–tandem mass spectrometry. </w:t>
      </w:r>
      <w:r w:rsidRPr="00311FFC">
        <w:rPr>
          <w:rFonts w:asciiTheme="majorBidi" w:hAnsiTheme="majorBidi" w:cstheme="majorBidi"/>
          <w:i/>
          <w:sz w:val="20"/>
          <w:szCs w:val="20"/>
        </w:rPr>
        <w:t>Journal of Chromatography A</w:t>
      </w:r>
      <w:r w:rsidRPr="00311FFC">
        <w:rPr>
          <w:rFonts w:asciiTheme="majorBidi" w:hAnsiTheme="majorBidi" w:cstheme="majorBidi"/>
          <w:sz w:val="20"/>
          <w:szCs w:val="20"/>
        </w:rPr>
        <w:t>, </w:t>
      </w:r>
      <w:r w:rsidRPr="00311FFC">
        <w:rPr>
          <w:rFonts w:asciiTheme="majorBidi" w:hAnsiTheme="majorBidi" w:cstheme="majorBidi"/>
          <w:i/>
          <w:sz w:val="20"/>
          <w:szCs w:val="20"/>
        </w:rPr>
        <w:t>928</w:t>
      </w:r>
      <w:r w:rsidRPr="00311FFC">
        <w:rPr>
          <w:rFonts w:asciiTheme="majorBidi" w:hAnsiTheme="majorBidi" w:cstheme="majorBidi"/>
          <w:sz w:val="20"/>
          <w:szCs w:val="20"/>
        </w:rPr>
        <w:t>(2), 177-186.</w:t>
      </w:r>
    </w:p>
    <w:p w:rsidR="008E2602" w:rsidRPr="00311FFC" w:rsidRDefault="008E2602" w:rsidP="00311FFC">
      <w:pPr>
        <w:bidi w:val="0"/>
        <w:spacing w:after="0" w:line="240" w:lineRule="auto"/>
        <w:ind w:left="426"/>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num="2" w:space="720" w:equalWidth="0">
            <w:col w:w="4158" w:space="709"/>
            <w:col w:w="4158" w:space="0"/>
          </w:cols>
        </w:sectPr>
      </w:pPr>
    </w:p>
    <w:p w:rsidR="008E2602" w:rsidRPr="00311FFC" w:rsidRDefault="008E2602" w:rsidP="00311FFC">
      <w:pPr>
        <w:bidi w:val="0"/>
        <w:spacing w:after="0" w:line="240" w:lineRule="auto"/>
        <w:ind w:left="426"/>
        <w:jc w:val="both"/>
        <w:rPr>
          <w:rFonts w:asciiTheme="majorBidi" w:hAnsiTheme="majorBidi" w:cstheme="majorBidi"/>
          <w:sz w:val="20"/>
          <w:szCs w:val="20"/>
        </w:rPr>
      </w:pPr>
    </w:p>
    <w:p w:rsidR="008E2602" w:rsidRPr="00311FFC" w:rsidRDefault="008E2602" w:rsidP="00311FFC">
      <w:pPr>
        <w:bidi w:val="0"/>
        <w:spacing w:after="0" w:line="240" w:lineRule="auto"/>
        <w:jc w:val="both"/>
        <w:rPr>
          <w:rFonts w:asciiTheme="majorBidi" w:hAnsiTheme="majorBidi" w:cstheme="majorBidi"/>
          <w:sz w:val="20"/>
          <w:szCs w:val="20"/>
        </w:rPr>
        <w:sectPr w:rsidR="008E2602" w:rsidRPr="00311FFC">
          <w:type w:val="continuous"/>
          <w:pgSz w:w="11906" w:h="16838"/>
          <w:pgMar w:top="1440" w:right="1440" w:bottom="1440" w:left="1440" w:header="0" w:footer="720" w:gutter="0"/>
          <w:cols w:space="720"/>
        </w:sectPr>
      </w:pPr>
    </w:p>
    <w:p w:rsidR="008E2602" w:rsidRPr="00311FFC" w:rsidRDefault="008E2602" w:rsidP="00311FFC">
      <w:pPr>
        <w:bidi w:val="0"/>
        <w:spacing w:after="0" w:line="240" w:lineRule="auto"/>
        <w:jc w:val="both"/>
        <w:rPr>
          <w:rFonts w:asciiTheme="majorBidi" w:hAnsiTheme="majorBidi" w:cstheme="majorBidi"/>
          <w:sz w:val="20"/>
          <w:szCs w:val="20"/>
        </w:rPr>
      </w:pPr>
    </w:p>
    <w:sectPr w:rsidR="008E2602" w:rsidRPr="00311FFC" w:rsidSect="008E2602">
      <w:type w:val="continuous"/>
      <w:pgSz w:w="11906" w:h="16838"/>
      <w:pgMar w:top="1440" w:right="1440" w:bottom="1440" w:left="1440" w:header="0" w:footer="720" w:gutter="0"/>
      <w:cols w:num="2" w:space="720" w:equalWidth="0">
        <w:col w:w="4158" w:space="709"/>
        <w:col w:w="415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183" w:rsidRDefault="00C96183" w:rsidP="008E2602">
      <w:pPr>
        <w:spacing w:after="0" w:line="240" w:lineRule="auto"/>
      </w:pPr>
      <w:r>
        <w:separator/>
      </w:r>
    </w:p>
  </w:endnote>
  <w:endnote w:type="continuationSeparator" w:id="1">
    <w:p w:rsidR="00C96183" w:rsidRDefault="00C96183" w:rsidP="008E2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39714"/>
      <w:docPartObj>
        <w:docPartGallery w:val="Page Numbers (Bottom of Page)"/>
        <w:docPartUnique/>
      </w:docPartObj>
    </w:sdtPr>
    <w:sdtContent>
      <w:p w:rsidR="00AA0E7E" w:rsidRDefault="00AA0E7E">
        <w:pPr>
          <w:pStyle w:val="Footer"/>
          <w:jc w:val="center"/>
        </w:pPr>
        <w:fldSimple w:instr=" PAGE   \* MERGEFORMAT ">
          <w:r w:rsidRPr="00AA0E7E">
            <w:rPr>
              <w:noProof/>
              <w:rtl/>
            </w:rPr>
            <w:t>114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183" w:rsidRDefault="00C96183" w:rsidP="008E2602">
      <w:pPr>
        <w:spacing w:after="0" w:line="240" w:lineRule="auto"/>
      </w:pPr>
      <w:r>
        <w:separator/>
      </w:r>
    </w:p>
  </w:footnote>
  <w:footnote w:type="continuationSeparator" w:id="1">
    <w:p w:rsidR="00C96183" w:rsidRDefault="00C96183" w:rsidP="008E2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7E" w:rsidRDefault="00AA0E7E" w:rsidP="00AA0E7E">
    <w:pPr>
      <w:pBdr>
        <w:bottom w:val="single" w:sz="12" w:space="1" w:color="000000"/>
      </w:pBdr>
      <w:tabs>
        <w:tab w:val="center" w:pos="4680"/>
        <w:tab w:val="right" w:pos="9360"/>
      </w:tabs>
      <w:bidi w:val="0"/>
      <w:spacing w:after="0" w:line="240" w:lineRule="auto"/>
      <w:jc w:val="center"/>
      <w:rPr>
        <w:sz w:val="20"/>
        <w:szCs w:val="20"/>
      </w:rPr>
    </w:pPr>
  </w:p>
  <w:p w:rsidR="00AA0E7E" w:rsidRDefault="00AA0E7E" w:rsidP="00AA0E7E">
    <w:pPr>
      <w:pBdr>
        <w:bottom w:val="single" w:sz="12" w:space="1" w:color="000000"/>
      </w:pBdr>
      <w:tabs>
        <w:tab w:val="center" w:pos="4680"/>
        <w:tab w:val="right" w:pos="9360"/>
      </w:tabs>
      <w:bidi w:val="0"/>
      <w:spacing w:after="0" w:line="240" w:lineRule="auto"/>
      <w:jc w:val="center"/>
      <w:rPr>
        <w:sz w:val="20"/>
        <w:szCs w:val="20"/>
      </w:rPr>
    </w:pPr>
  </w:p>
  <w:p w:rsidR="00AA0E7E" w:rsidRDefault="00AA0E7E" w:rsidP="00AA0E7E">
    <w:pPr>
      <w:pBdr>
        <w:bottom w:val="single" w:sz="12" w:space="1" w:color="000000"/>
      </w:pBdr>
      <w:tabs>
        <w:tab w:val="center" w:pos="4680"/>
        <w:tab w:val="right" w:pos="9360"/>
      </w:tabs>
      <w:bidi w:val="0"/>
      <w:spacing w:after="0" w:line="240" w:lineRule="auto"/>
      <w:jc w:val="center"/>
      <w:rPr>
        <w:rFonts w:asciiTheme="majorBidi" w:hAnsiTheme="majorBidi" w:cstheme="majorBidi"/>
        <w:sz w:val="20"/>
        <w:szCs w:val="20"/>
      </w:rPr>
    </w:pPr>
  </w:p>
  <w:p w:rsidR="008E2602" w:rsidRPr="00AA0E7E" w:rsidRDefault="00403126" w:rsidP="00AA0E7E">
    <w:pPr>
      <w:pBdr>
        <w:bottom w:val="single" w:sz="12" w:space="1" w:color="000000"/>
      </w:pBdr>
      <w:tabs>
        <w:tab w:val="center" w:pos="4680"/>
        <w:tab w:val="right" w:pos="9360"/>
      </w:tabs>
      <w:bidi w:val="0"/>
      <w:spacing w:after="0" w:line="240" w:lineRule="auto"/>
      <w:jc w:val="center"/>
      <w:rPr>
        <w:rFonts w:asciiTheme="majorBidi" w:hAnsiTheme="majorBidi" w:cstheme="majorBidi"/>
        <w:sz w:val="20"/>
        <w:szCs w:val="20"/>
        <w:lang w:bidi="ar-EG"/>
      </w:rPr>
    </w:pPr>
    <w:r w:rsidRPr="00AA0E7E">
      <w:rPr>
        <w:rFonts w:asciiTheme="majorBidi" w:hAnsiTheme="majorBidi" w:cstheme="majorBidi"/>
        <w:sz w:val="20"/>
        <w:szCs w:val="20"/>
      </w:rPr>
      <w:t>New York Science Journal 2017;10(</w:t>
    </w:r>
    <w:r w:rsidR="00AA0E7E" w:rsidRPr="00AA0E7E">
      <w:rPr>
        <w:rFonts w:asciiTheme="majorBidi" w:hAnsiTheme="majorBidi" w:cstheme="majorBidi"/>
        <w:sz w:val="20"/>
        <w:szCs w:val="20"/>
      </w:rPr>
      <w:t>6</w:t>
    </w:r>
    <w:r w:rsidRPr="00AA0E7E">
      <w:rPr>
        <w:rFonts w:asciiTheme="majorBidi" w:hAnsiTheme="majorBidi" w:cstheme="majorBidi"/>
        <w:sz w:val="20"/>
        <w:szCs w:val="20"/>
      </w:rPr>
      <w:t xml:space="preserve">)                             </w:t>
    </w:r>
    <w:hyperlink r:id="rId1">
      <w:r w:rsidRPr="00AA0E7E">
        <w:rPr>
          <w:rFonts w:asciiTheme="majorBidi" w:hAnsiTheme="majorBidi" w:cstheme="majorBidi"/>
          <w:color w:val="0000FF"/>
          <w:sz w:val="20"/>
          <w:szCs w:val="20"/>
          <w:u w:val="single"/>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65537"/>
    <w:multiLevelType w:val="multilevel"/>
    <w:tmpl w:val="B86CBE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rsids>
    <w:rsidRoot w:val="008E2602"/>
    <w:rsid w:val="00311FFC"/>
    <w:rsid w:val="00337471"/>
    <w:rsid w:val="00403126"/>
    <w:rsid w:val="008E2602"/>
    <w:rsid w:val="00AA0E7E"/>
    <w:rsid w:val="00C75E38"/>
    <w:rsid w:val="00C96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F7"/>
  </w:style>
  <w:style w:type="paragraph" w:styleId="Heading1">
    <w:name w:val="heading 1"/>
    <w:basedOn w:val="normal0"/>
    <w:next w:val="normal0"/>
    <w:rsid w:val="008E2602"/>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unhideWhenUsed/>
    <w:qFormat/>
    <w:rsid w:val="00385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55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55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55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0"/>
    <w:next w:val="normal0"/>
    <w:rsid w:val="008E260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2602"/>
  </w:style>
  <w:style w:type="paragraph" w:styleId="Title">
    <w:name w:val="Title"/>
    <w:basedOn w:val="Normal"/>
    <w:next w:val="Normal"/>
    <w:link w:val="TitleChar"/>
    <w:uiPriority w:val="10"/>
    <w:qFormat/>
    <w:rsid w:val="00385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85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55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55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855F7"/>
    <w:rPr>
      <w:rFonts w:asciiTheme="majorHAnsi" w:eastAsiaTheme="majorEastAsia" w:hAnsiTheme="majorHAnsi" w:cstheme="majorBidi"/>
      <w:color w:val="243F60" w:themeColor="accent1" w:themeShade="7F"/>
    </w:rPr>
  </w:style>
  <w:style w:type="character" w:customStyle="1" w:styleId="TitleChar">
    <w:name w:val="Title Char"/>
    <w:basedOn w:val="DefaultParagraphFont"/>
    <w:link w:val="Title"/>
    <w:uiPriority w:val="10"/>
    <w:rsid w:val="003855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sid w:val="008E2602"/>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3855F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C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3555"/>
  </w:style>
  <w:style w:type="paragraph" w:styleId="Footer">
    <w:name w:val="footer"/>
    <w:basedOn w:val="Normal"/>
    <w:link w:val="FooterChar"/>
    <w:uiPriority w:val="99"/>
    <w:unhideWhenUsed/>
    <w:rsid w:val="003C35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3555"/>
  </w:style>
  <w:style w:type="paragraph" w:styleId="ListParagraph">
    <w:name w:val="List Paragraph"/>
    <w:basedOn w:val="Normal"/>
    <w:uiPriority w:val="34"/>
    <w:qFormat/>
    <w:rsid w:val="00A53F86"/>
    <w:pPr>
      <w:ind w:left="720"/>
      <w:contextualSpacing/>
    </w:pPr>
  </w:style>
  <w:style w:type="table" w:customStyle="1" w:styleId="TableGrid1">
    <w:name w:val="Table Grid1"/>
    <w:basedOn w:val="TableNormal"/>
    <w:next w:val="TableGrid"/>
    <w:uiPriority w:val="39"/>
    <w:rsid w:val="0047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7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DD6"/>
    <w:rPr>
      <w:color w:val="0000FF" w:themeColor="hyperlink"/>
      <w:u w:val="single"/>
    </w:rPr>
  </w:style>
  <w:style w:type="table" w:customStyle="1" w:styleId="a">
    <w:basedOn w:val="TableNormal"/>
    <w:rsid w:val="008E260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E260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E260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E260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E2602"/>
    <w:pPr>
      <w:spacing w:after="0" w:line="240" w:lineRule="auto"/>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aleldohy@gmail.com"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617.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Matrix effect</a:t>
            </a:r>
          </a:p>
        </c:rich>
      </c:tx>
      <c:spPr>
        <a:noFill/>
        <a:ln>
          <a:noFill/>
        </a:ln>
        <a:effectLst/>
      </c:spPr>
    </c:title>
    <c:plotArea>
      <c:layout/>
      <c:barChart>
        <c:barDir val="col"/>
        <c:grouping val="clustered"/>
        <c:ser>
          <c:idx val="0"/>
          <c:order val="0"/>
          <c:spPr>
            <a:solidFill>
              <a:schemeClr val="accent1"/>
            </a:solidFill>
            <a:ln>
              <a:noFill/>
            </a:ln>
            <a:effectLst/>
          </c:spPr>
          <c:cat>
            <c:strRef>
              <c:f>Sheet1!$A$1:$A$4</c:f>
              <c:strCache>
                <c:ptCount val="4"/>
                <c:pt idx="0">
                  <c:v>Deoxydetracycline</c:v>
                </c:pt>
                <c:pt idx="1">
                  <c:v>Tetracycline</c:v>
                </c:pt>
                <c:pt idx="2">
                  <c:v>Oxytetracycline</c:v>
                </c:pt>
                <c:pt idx="3">
                  <c:v>Chlorotetracycline</c:v>
                </c:pt>
              </c:strCache>
            </c:strRef>
          </c:cat>
          <c:val>
            <c:numRef>
              <c:f>Sheet1!$B$1:$B$4</c:f>
              <c:numCache>
                <c:formatCode>General</c:formatCode>
                <c:ptCount val="4"/>
                <c:pt idx="0">
                  <c:v>25</c:v>
                </c:pt>
                <c:pt idx="1">
                  <c:v>30</c:v>
                </c:pt>
                <c:pt idx="2">
                  <c:v>22</c:v>
                </c:pt>
                <c:pt idx="3">
                  <c:v>15</c:v>
                </c:pt>
              </c:numCache>
            </c:numRef>
          </c:val>
        </c:ser>
        <c:gapWidth val="219"/>
        <c:overlap val="-27"/>
        <c:axId val="81384576"/>
        <c:axId val="81386112"/>
      </c:barChart>
      <c:catAx>
        <c:axId val="81384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EG"/>
          </a:p>
        </c:txPr>
        <c:crossAx val="81386112"/>
        <c:crosses val="autoZero"/>
        <c:auto val="1"/>
        <c:lblAlgn val="ctr"/>
        <c:lblOffset val="100"/>
      </c:catAx>
      <c:valAx>
        <c:axId val="81386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EG"/>
          </a:p>
        </c:txPr>
        <c:crossAx val="81384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drmonazaki</cp:lastModifiedBy>
  <cp:revision>3</cp:revision>
  <dcterms:created xsi:type="dcterms:W3CDTF">2017-07-06T12:48:00Z</dcterms:created>
  <dcterms:modified xsi:type="dcterms:W3CDTF">2017-07-06T12:53:00Z</dcterms:modified>
</cp:coreProperties>
</file>