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378" w:rsidRPr="002C5EE0" w:rsidRDefault="00296378" w:rsidP="002C5EE0">
      <w:pPr>
        <w:bidi w:val="0"/>
        <w:snapToGrid w:val="0"/>
        <w:spacing w:after="0" w:line="240" w:lineRule="auto"/>
        <w:jc w:val="center"/>
        <w:rPr>
          <w:rFonts w:ascii="Times New Roman" w:eastAsia="Times New Roman" w:hAnsi="Times New Roman" w:cs="Times New Roman"/>
          <w:b/>
          <w:color w:val="000000"/>
          <w:sz w:val="20"/>
          <w:szCs w:val="20"/>
        </w:rPr>
      </w:pPr>
      <w:r w:rsidRPr="002C5EE0">
        <w:rPr>
          <w:rFonts w:ascii="Times New Roman" w:eastAsia="Batang" w:hAnsi="Times New Roman" w:cs="Times New Roman"/>
          <w:b/>
          <w:color w:val="000000"/>
          <w:sz w:val="20"/>
          <w:szCs w:val="20"/>
        </w:rPr>
        <w:t xml:space="preserve">Comparative Study </w:t>
      </w:r>
      <w:r w:rsidR="00042C44" w:rsidRPr="002C5EE0">
        <w:rPr>
          <w:rFonts w:ascii="Times New Roman" w:eastAsia="Batang" w:hAnsi="Times New Roman" w:cs="Times New Roman"/>
          <w:b/>
          <w:color w:val="000000"/>
          <w:sz w:val="20"/>
          <w:szCs w:val="20"/>
        </w:rPr>
        <w:t xml:space="preserve">between </w:t>
      </w:r>
      <w:proofErr w:type="spellStart"/>
      <w:r w:rsidRPr="002C5EE0">
        <w:rPr>
          <w:rFonts w:ascii="Times New Roman" w:eastAsia="Batang" w:hAnsi="Times New Roman" w:cs="Times New Roman"/>
          <w:b/>
          <w:color w:val="000000"/>
          <w:sz w:val="20"/>
          <w:szCs w:val="20"/>
        </w:rPr>
        <w:t>Letrozole</w:t>
      </w:r>
      <w:proofErr w:type="spellEnd"/>
      <w:r w:rsidRPr="002C5EE0">
        <w:rPr>
          <w:rFonts w:ascii="Times New Roman" w:eastAsia="Batang" w:hAnsi="Times New Roman" w:cs="Times New Roman"/>
          <w:b/>
          <w:color w:val="000000"/>
          <w:sz w:val="20"/>
          <w:szCs w:val="20"/>
        </w:rPr>
        <w:t xml:space="preserve"> </w:t>
      </w:r>
      <w:r w:rsidR="00042C44" w:rsidRPr="002C5EE0">
        <w:rPr>
          <w:rFonts w:ascii="Times New Roman" w:eastAsia="Batang" w:hAnsi="Times New Roman" w:cs="Times New Roman"/>
          <w:b/>
          <w:color w:val="000000"/>
          <w:sz w:val="20"/>
          <w:szCs w:val="20"/>
        </w:rPr>
        <w:t>and</w:t>
      </w:r>
      <w:r w:rsidRPr="002C5EE0">
        <w:rPr>
          <w:rFonts w:ascii="Times New Roman" w:eastAsia="Batang" w:hAnsi="Times New Roman" w:cs="Times New Roman"/>
          <w:b/>
          <w:color w:val="000000"/>
          <w:sz w:val="20"/>
          <w:szCs w:val="20"/>
        </w:rPr>
        <w:t xml:space="preserve"> </w:t>
      </w:r>
      <w:proofErr w:type="spellStart"/>
      <w:r w:rsidRPr="002C5EE0">
        <w:rPr>
          <w:rFonts w:ascii="Times New Roman" w:eastAsia="Batang" w:hAnsi="Times New Roman" w:cs="Times New Roman"/>
          <w:b/>
          <w:color w:val="000000"/>
          <w:sz w:val="20"/>
          <w:szCs w:val="20"/>
        </w:rPr>
        <w:t>Tamoxifen</w:t>
      </w:r>
      <w:proofErr w:type="spellEnd"/>
      <w:r w:rsidRPr="002C5EE0">
        <w:rPr>
          <w:rFonts w:ascii="Times New Roman" w:eastAsia="Batang" w:hAnsi="Times New Roman" w:cs="Times New Roman"/>
          <w:b/>
          <w:color w:val="000000"/>
          <w:sz w:val="20"/>
          <w:szCs w:val="20"/>
        </w:rPr>
        <w:t xml:space="preserve"> Citrate </w:t>
      </w:r>
      <w:r w:rsidR="00042C44" w:rsidRPr="002C5EE0">
        <w:rPr>
          <w:rFonts w:ascii="Times New Roman" w:eastAsia="Batang" w:hAnsi="Times New Roman" w:cs="Times New Roman"/>
          <w:b/>
          <w:color w:val="000000"/>
          <w:sz w:val="20"/>
          <w:szCs w:val="20"/>
        </w:rPr>
        <w:t>in</w:t>
      </w:r>
      <w:r w:rsidRPr="002C5EE0">
        <w:rPr>
          <w:rFonts w:ascii="Times New Roman" w:eastAsia="Batang" w:hAnsi="Times New Roman" w:cs="Times New Roman"/>
          <w:b/>
          <w:color w:val="000000"/>
          <w:sz w:val="20"/>
          <w:szCs w:val="20"/>
        </w:rPr>
        <w:t xml:space="preserve"> Treatment </w:t>
      </w:r>
      <w:r w:rsidR="00042C44" w:rsidRPr="002C5EE0">
        <w:rPr>
          <w:rFonts w:ascii="Times New Roman" w:eastAsia="Batang" w:hAnsi="Times New Roman" w:cs="Times New Roman"/>
          <w:b/>
          <w:color w:val="000000"/>
          <w:sz w:val="20"/>
          <w:szCs w:val="20"/>
        </w:rPr>
        <w:t>of</w:t>
      </w:r>
      <w:r w:rsidRPr="002C5EE0">
        <w:rPr>
          <w:rFonts w:ascii="Times New Roman" w:eastAsia="Batang" w:hAnsi="Times New Roman" w:cs="Times New Roman"/>
          <w:b/>
          <w:color w:val="000000"/>
          <w:sz w:val="20"/>
          <w:szCs w:val="20"/>
        </w:rPr>
        <w:t xml:space="preserve"> </w:t>
      </w:r>
      <w:proofErr w:type="spellStart"/>
      <w:r w:rsidRPr="002C5EE0">
        <w:rPr>
          <w:rFonts w:ascii="Times New Roman" w:eastAsia="Batang" w:hAnsi="Times New Roman" w:cs="Times New Roman"/>
          <w:b/>
          <w:color w:val="000000"/>
          <w:sz w:val="20"/>
          <w:szCs w:val="20"/>
        </w:rPr>
        <w:t>Clomiphene</w:t>
      </w:r>
      <w:proofErr w:type="spellEnd"/>
      <w:r w:rsidRPr="002C5EE0">
        <w:rPr>
          <w:rFonts w:ascii="Times New Roman" w:eastAsia="Batang" w:hAnsi="Times New Roman" w:cs="Times New Roman"/>
          <w:b/>
          <w:color w:val="000000"/>
          <w:sz w:val="20"/>
          <w:szCs w:val="20"/>
        </w:rPr>
        <w:t xml:space="preserve"> Citrate Resistant Polycystic Ovarian Syndrome</w:t>
      </w:r>
    </w:p>
    <w:p w:rsidR="00D13EE9" w:rsidRPr="002C5EE0" w:rsidRDefault="00D13EE9" w:rsidP="002C5EE0">
      <w:pPr>
        <w:bidi w:val="0"/>
        <w:snapToGrid w:val="0"/>
        <w:spacing w:after="0" w:line="240" w:lineRule="auto"/>
        <w:jc w:val="center"/>
        <w:rPr>
          <w:rFonts w:ascii="Times New Roman" w:hAnsi="Times New Roman" w:cs="Times New Roman"/>
          <w:sz w:val="20"/>
          <w:szCs w:val="20"/>
          <w:lang w:bidi="ar-EG"/>
        </w:rPr>
      </w:pPr>
    </w:p>
    <w:p w:rsidR="00296378" w:rsidRPr="002C5EE0" w:rsidRDefault="00296378" w:rsidP="002C5EE0">
      <w:pPr>
        <w:bidi w:val="0"/>
        <w:snapToGrid w:val="0"/>
        <w:spacing w:after="0" w:line="240" w:lineRule="auto"/>
        <w:jc w:val="center"/>
        <w:rPr>
          <w:rFonts w:ascii="Times New Roman" w:hAnsi="Times New Roman" w:cs="Times New Roman"/>
          <w:bCs/>
          <w:color w:val="000000"/>
          <w:sz w:val="20"/>
          <w:szCs w:val="20"/>
          <w:lang w:eastAsia="zh-CN"/>
        </w:rPr>
      </w:pPr>
      <w:proofErr w:type="spellStart"/>
      <w:r w:rsidRPr="002C5EE0">
        <w:rPr>
          <w:rFonts w:ascii="Times New Roman" w:hAnsi="Times New Roman" w:cs="Times New Roman"/>
          <w:bCs/>
          <w:color w:val="000000"/>
          <w:sz w:val="20"/>
          <w:szCs w:val="20"/>
        </w:rPr>
        <w:t>Farid</w:t>
      </w:r>
      <w:proofErr w:type="spellEnd"/>
      <w:r w:rsidRPr="002C5EE0">
        <w:rPr>
          <w:rFonts w:ascii="Times New Roman" w:hAnsi="Times New Roman" w:cs="Times New Roman"/>
          <w:bCs/>
          <w:color w:val="000000"/>
          <w:sz w:val="20"/>
          <w:szCs w:val="20"/>
        </w:rPr>
        <w:t xml:space="preserve"> Ibrahim </w:t>
      </w:r>
      <w:r w:rsidR="00042C44" w:rsidRPr="002C5EE0">
        <w:rPr>
          <w:rFonts w:ascii="Times New Roman" w:hAnsi="Times New Roman" w:cs="Times New Roman"/>
          <w:bCs/>
          <w:color w:val="000000"/>
          <w:sz w:val="20"/>
          <w:szCs w:val="20"/>
        </w:rPr>
        <w:t>Hassan</w:t>
      </w:r>
      <w:r w:rsidR="00042C44" w:rsidRPr="002C5EE0">
        <w:rPr>
          <w:rFonts w:ascii="Times New Roman" w:hAnsi="Times New Roman" w:cs="Times New Roman"/>
          <w:bCs/>
          <w:sz w:val="20"/>
          <w:szCs w:val="20"/>
          <w:lang w:bidi="ar-EG"/>
        </w:rPr>
        <w:t>,</w:t>
      </w:r>
      <w:r w:rsidR="00042C44" w:rsidRPr="002C5EE0">
        <w:rPr>
          <w:rFonts w:ascii="Times New Roman" w:hAnsi="Times New Roman" w:cs="Times New Roman"/>
          <w:bCs/>
          <w:color w:val="000000"/>
          <w:sz w:val="20"/>
          <w:szCs w:val="20"/>
        </w:rPr>
        <w:t xml:space="preserve"> </w:t>
      </w:r>
      <w:proofErr w:type="spellStart"/>
      <w:r w:rsidRPr="002C5EE0">
        <w:rPr>
          <w:rFonts w:ascii="Times New Roman" w:hAnsi="Times New Roman" w:cs="Times New Roman"/>
          <w:bCs/>
          <w:color w:val="000000"/>
          <w:sz w:val="20"/>
          <w:szCs w:val="20"/>
        </w:rPr>
        <w:t>Abd</w:t>
      </w:r>
      <w:proofErr w:type="spellEnd"/>
      <w:r w:rsidRPr="002C5EE0">
        <w:rPr>
          <w:rFonts w:ascii="Times New Roman" w:hAnsi="Times New Roman" w:cs="Times New Roman"/>
          <w:bCs/>
          <w:color w:val="000000"/>
          <w:sz w:val="20"/>
          <w:szCs w:val="20"/>
        </w:rPr>
        <w:t xml:space="preserve"> Allah </w:t>
      </w:r>
      <w:proofErr w:type="spellStart"/>
      <w:r w:rsidRPr="002C5EE0">
        <w:rPr>
          <w:rFonts w:ascii="Times New Roman" w:hAnsi="Times New Roman" w:cs="Times New Roman"/>
          <w:bCs/>
          <w:color w:val="000000"/>
          <w:sz w:val="20"/>
          <w:szCs w:val="20"/>
        </w:rPr>
        <w:t>Khalil</w:t>
      </w:r>
      <w:proofErr w:type="spellEnd"/>
      <w:r w:rsidRPr="002C5EE0">
        <w:rPr>
          <w:rFonts w:ascii="Times New Roman" w:hAnsi="Times New Roman" w:cs="Times New Roman"/>
          <w:bCs/>
          <w:color w:val="000000"/>
          <w:sz w:val="20"/>
          <w:szCs w:val="20"/>
        </w:rPr>
        <w:t xml:space="preserve"> Ahmed, </w:t>
      </w:r>
      <w:proofErr w:type="spellStart"/>
      <w:r w:rsidRPr="002C5EE0">
        <w:rPr>
          <w:rFonts w:ascii="Times New Roman" w:hAnsi="Times New Roman" w:cs="Times New Roman"/>
          <w:bCs/>
          <w:color w:val="000000"/>
          <w:sz w:val="20"/>
          <w:szCs w:val="20"/>
        </w:rPr>
        <w:t>Abd</w:t>
      </w:r>
      <w:proofErr w:type="spellEnd"/>
      <w:r w:rsidRPr="002C5EE0">
        <w:rPr>
          <w:rFonts w:ascii="Times New Roman" w:hAnsi="Times New Roman" w:cs="Times New Roman"/>
          <w:bCs/>
          <w:color w:val="000000"/>
          <w:sz w:val="20"/>
          <w:szCs w:val="20"/>
        </w:rPr>
        <w:t xml:space="preserve"> El </w:t>
      </w:r>
      <w:proofErr w:type="spellStart"/>
      <w:r w:rsidRPr="002C5EE0">
        <w:rPr>
          <w:rFonts w:ascii="Times New Roman" w:hAnsi="Times New Roman" w:cs="Times New Roman"/>
          <w:bCs/>
          <w:color w:val="000000"/>
          <w:sz w:val="20"/>
          <w:szCs w:val="20"/>
        </w:rPr>
        <w:t>Raouf</w:t>
      </w:r>
      <w:proofErr w:type="spellEnd"/>
      <w:r w:rsidR="00042C44" w:rsidRPr="002C5EE0">
        <w:rPr>
          <w:rFonts w:ascii="Times New Roman" w:hAnsi="Times New Roman" w:cs="Times New Roman"/>
          <w:bCs/>
          <w:color w:val="000000"/>
          <w:sz w:val="20"/>
          <w:szCs w:val="20"/>
        </w:rPr>
        <w:t xml:space="preserve"> </w:t>
      </w:r>
      <w:proofErr w:type="spellStart"/>
      <w:r w:rsidRPr="002C5EE0">
        <w:rPr>
          <w:rFonts w:ascii="Times New Roman" w:hAnsi="Times New Roman" w:cs="Times New Roman"/>
          <w:bCs/>
          <w:color w:val="000000"/>
          <w:sz w:val="20"/>
          <w:szCs w:val="20"/>
        </w:rPr>
        <w:t>Abd</w:t>
      </w:r>
      <w:proofErr w:type="spellEnd"/>
      <w:r w:rsidRPr="002C5EE0">
        <w:rPr>
          <w:rFonts w:ascii="Times New Roman" w:hAnsi="Times New Roman" w:cs="Times New Roman"/>
          <w:bCs/>
          <w:color w:val="000000"/>
          <w:sz w:val="20"/>
          <w:szCs w:val="20"/>
        </w:rPr>
        <w:t xml:space="preserve"> El </w:t>
      </w:r>
      <w:proofErr w:type="spellStart"/>
      <w:r w:rsidRPr="002C5EE0">
        <w:rPr>
          <w:rFonts w:ascii="Times New Roman" w:hAnsi="Times New Roman" w:cs="Times New Roman"/>
          <w:bCs/>
          <w:color w:val="000000"/>
          <w:sz w:val="20"/>
          <w:szCs w:val="20"/>
        </w:rPr>
        <w:t>Raouf</w:t>
      </w:r>
      <w:proofErr w:type="spellEnd"/>
      <w:r w:rsidRPr="002C5EE0">
        <w:rPr>
          <w:rFonts w:ascii="Times New Roman" w:hAnsi="Times New Roman" w:cs="Times New Roman"/>
          <w:bCs/>
          <w:color w:val="000000"/>
          <w:sz w:val="20"/>
          <w:szCs w:val="20"/>
        </w:rPr>
        <w:t xml:space="preserve"> </w:t>
      </w:r>
      <w:proofErr w:type="spellStart"/>
      <w:r w:rsidRPr="002C5EE0">
        <w:rPr>
          <w:rFonts w:ascii="Times New Roman" w:hAnsi="Times New Roman" w:cs="Times New Roman"/>
          <w:bCs/>
          <w:color w:val="000000"/>
          <w:sz w:val="20"/>
          <w:szCs w:val="20"/>
        </w:rPr>
        <w:t>Abo</w:t>
      </w:r>
      <w:proofErr w:type="spellEnd"/>
      <w:r w:rsidRPr="002C5EE0">
        <w:rPr>
          <w:rFonts w:ascii="Times New Roman" w:hAnsi="Times New Roman" w:cs="Times New Roman"/>
          <w:bCs/>
          <w:color w:val="000000"/>
          <w:sz w:val="20"/>
          <w:szCs w:val="20"/>
        </w:rPr>
        <w:t xml:space="preserve"> Nar and </w:t>
      </w:r>
      <w:proofErr w:type="spellStart"/>
      <w:r w:rsidRPr="002C5EE0">
        <w:rPr>
          <w:rFonts w:ascii="Times New Roman" w:hAnsi="Times New Roman" w:cs="Times New Roman"/>
          <w:bCs/>
          <w:color w:val="000000"/>
          <w:sz w:val="20"/>
          <w:szCs w:val="20"/>
        </w:rPr>
        <w:t>Abd</w:t>
      </w:r>
      <w:proofErr w:type="spellEnd"/>
      <w:r w:rsidRPr="002C5EE0">
        <w:rPr>
          <w:rFonts w:ascii="Times New Roman" w:hAnsi="Times New Roman" w:cs="Times New Roman"/>
          <w:bCs/>
          <w:color w:val="000000"/>
          <w:sz w:val="20"/>
          <w:szCs w:val="20"/>
        </w:rPr>
        <w:t xml:space="preserve"> El </w:t>
      </w:r>
      <w:proofErr w:type="spellStart"/>
      <w:r w:rsidRPr="002C5EE0">
        <w:rPr>
          <w:rFonts w:ascii="Times New Roman" w:hAnsi="Times New Roman" w:cs="Times New Roman"/>
          <w:bCs/>
          <w:color w:val="000000"/>
          <w:sz w:val="20"/>
          <w:szCs w:val="20"/>
        </w:rPr>
        <w:t>Hamid</w:t>
      </w:r>
      <w:proofErr w:type="spellEnd"/>
      <w:r w:rsidRPr="002C5EE0">
        <w:rPr>
          <w:rFonts w:ascii="Times New Roman" w:hAnsi="Times New Roman" w:cs="Times New Roman"/>
          <w:bCs/>
          <w:color w:val="000000"/>
          <w:sz w:val="20"/>
          <w:szCs w:val="20"/>
        </w:rPr>
        <w:t xml:space="preserve"> Mohamed </w:t>
      </w:r>
      <w:proofErr w:type="spellStart"/>
      <w:r w:rsidRPr="002C5EE0">
        <w:rPr>
          <w:rFonts w:ascii="Times New Roman" w:hAnsi="Times New Roman" w:cs="Times New Roman"/>
          <w:bCs/>
          <w:color w:val="000000"/>
          <w:sz w:val="20"/>
          <w:szCs w:val="20"/>
        </w:rPr>
        <w:t>Zaky</w:t>
      </w:r>
      <w:proofErr w:type="spellEnd"/>
      <w:r w:rsidR="00042C44" w:rsidRPr="002C5EE0">
        <w:rPr>
          <w:rFonts w:ascii="Times New Roman" w:hAnsi="Times New Roman" w:cs="Times New Roman"/>
          <w:bCs/>
          <w:color w:val="000000"/>
          <w:sz w:val="20"/>
          <w:szCs w:val="20"/>
        </w:rPr>
        <w:t xml:space="preserve"> </w:t>
      </w:r>
      <w:proofErr w:type="spellStart"/>
      <w:r w:rsidRPr="002C5EE0">
        <w:rPr>
          <w:rFonts w:ascii="Times New Roman" w:hAnsi="Times New Roman" w:cs="Times New Roman"/>
          <w:bCs/>
          <w:color w:val="000000"/>
          <w:sz w:val="20"/>
          <w:szCs w:val="20"/>
        </w:rPr>
        <w:t>Elsanhoury</w:t>
      </w:r>
      <w:proofErr w:type="spellEnd"/>
    </w:p>
    <w:p w:rsidR="004B07CF" w:rsidRPr="002C5EE0" w:rsidRDefault="004B07CF" w:rsidP="002C5EE0">
      <w:pPr>
        <w:bidi w:val="0"/>
        <w:snapToGrid w:val="0"/>
        <w:spacing w:after="0" w:line="240" w:lineRule="auto"/>
        <w:jc w:val="center"/>
        <w:rPr>
          <w:rFonts w:ascii="Times New Roman" w:hAnsi="Times New Roman" w:cs="Times New Roman"/>
          <w:bCs/>
          <w:color w:val="000000"/>
          <w:sz w:val="20"/>
          <w:szCs w:val="20"/>
          <w:lang w:eastAsia="zh-CN"/>
        </w:rPr>
      </w:pPr>
    </w:p>
    <w:p w:rsidR="00CD6DE0" w:rsidRPr="002C5EE0" w:rsidRDefault="00CD6DE0" w:rsidP="002C5EE0">
      <w:pPr>
        <w:autoSpaceDE w:val="0"/>
        <w:autoSpaceDN w:val="0"/>
        <w:bidi w:val="0"/>
        <w:adjustRightInd w:val="0"/>
        <w:snapToGrid w:val="0"/>
        <w:spacing w:after="0" w:line="240" w:lineRule="auto"/>
        <w:jc w:val="center"/>
        <w:rPr>
          <w:rFonts w:ascii="Times New Roman" w:hAnsi="Times New Roman" w:cs="Times New Roman"/>
          <w:b/>
          <w:bCs/>
          <w:color w:val="000000"/>
          <w:sz w:val="20"/>
          <w:szCs w:val="20"/>
        </w:rPr>
      </w:pPr>
      <w:r w:rsidRPr="002C5EE0">
        <w:rPr>
          <w:rFonts w:ascii="Times New Roman" w:eastAsia="Times New Roman" w:hAnsi="Times New Roman" w:cs="Times New Roman"/>
          <w:color w:val="000000"/>
          <w:sz w:val="20"/>
          <w:szCs w:val="20"/>
        </w:rPr>
        <w:t xml:space="preserve">Obstetrics and Gynecology Department, </w:t>
      </w:r>
      <w:r w:rsidR="00042C44" w:rsidRPr="002C5EE0">
        <w:rPr>
          <w:rFonts w:ascii="Times New Roman" w:eastAsia="Times New Roman" w:hAnsi="Times New Roman" w:cs="Times New Roman"/>
          <w:color w:val="000000"/>
          <w:sz w:val="20"/>
          <w:szCs w:val="20"/>
        </w:rPr>
        <w:t xml:space="preserve">Faculty of Medicine, </w:t>
      </w:r>
      <w:r w:rsidRPr="002C5EE0">
        <w:rPr>
          <w:rFonts w:ascii="Times New Roman" w:eastAsia="Times New Roman" w:hAnsi="Times New Roman" w:cs="Times New Roman"/>
          <w:color w:val="000000"/>
          <w:sz w:val="20"/>
          <w:szCs w:val="20"/>
        </w:rPr>
        <w:t>Al-</w:t>
      </w:r>
      <w:proofErr w:type="spellStart"/>
      <w:r w:rsidRPr="002C5EE0">
        <w:rPr>
          <w:rFonts w:ascii="Times New Roman" w:eastAsia="Times New Roman" w:hAnsi="Times New Roman" w:cs="Times New Roman"/>
          <w:color w:val="000000"/>
          <w:sz w:val="20"/>
          <w:szCs w:val="20"/>
        </w:rPr>
        <w:t>Azhar</w:t>
      </w:r>
      <w:proofErr w:type="spellEnd"/>
      <w:r w:rsidR="00042C44" w:rsidRPr="002C5EE0">
        <w:rPr>
          <w:rFonts w:ascii="Times New Roman" w:eastAsia="Times New Roman" w:hAnsi="Times New Roman" w:cs="Times New Roman"/>
          <w:color w:val="000000"/>
          <w:sz w:val="20"/>
          <w:szCs w:val="20"/>
        </w:rPr>
        <w:t xml:space="preserve"> University, Egypt</w:t>
      </w:r>
    </w:p>
    <w:p w:rsidR="00BA7717" w:rsidRPr="002C5EE0" w:rsidRDefault="0040553D" w:rsidP="002C5EE0">
      <w:pPr>
        <w:autoSpaceDE w:val="0"/>
        <w:autoSpaceDN w:val="0"/>
        <w:bidi w:val="0"/>
        <w:adjustRightInd w:val="0"/>
        <w:snapToGrid w:val="0"/>
        <w:spacing w:after="0" w:line="240" w:lineRule="auto"/>
        <w:jc w:val="center"/>
        <w:rPr>
          <w:rFonts w:ascii="Times New Roman" w:hAnsi="Times New Roman" w:cs="Times New Roman"/>
          <w:color w:val="000000"/>
          <w:sz w:val="20"/>
          <w:szCs w:val="20"/>
        </w:rPr>
      </w:pPr>
      <w:hyperlink r:id="rId8" w:history="1">
        <w:r w:rsidR="00BA7717" w:rsidRPr="002C5EE0">
          <w:rPr>
            <w:rStyle w:val="Hyperlink"/>
            <w:rFonts w:ascii="Times New Roman" w:hAnsi="Times New Roman" w:cs="Times New Roman"/>
            <w:sz w:val="20"/>
            <w:szCs w:val="20"/>
            <w:u w:val="none"/>
          </w:rPr>
          <w:t>drelsanhoury2014@gmail.com</w:t>
        </w:r>
      </w:hyperlink>
    </w:p>
    <w:p w:rsidR="00A00D8A" w:rsidRPr="002C5EE0" w:rsidRDefault="00A00D8A" w:rsidP="002C5EE0">
      <w:pPr>
        <w:autoSpaceDE w:val="0"/>
        <w:autoSpaceDN w:val="0"/>
        <w:bidi w:val="0"/>
        <w:adjustRightInd w:val="0"/>
        <w:snapToGrid w:val="0"/>
        <w:spacing w:after="0" w:line="240" w:lineRule="auto"/>
        <w:jc w:val="center"/>
        <w:rPr>
          <w:rFonts w:ascii="Times New Roman" w:hAnsi="Times New Roman" w:cs="Times New Roman"/>
          <w:b/>
          <w:bCs/>
          <w:color w:val="000000"/>
          <w:sz w:val="20"/>
          <w:szCs w:val="20"/>
        </w:rPr>
      </w:pPr>
    </w:p>
    <w:p w:rsidR="00296378" w:rsidRPr="002C5EE0" w:rsidRDefault="00042C44" w:rsidP="002C5EE0">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2C5EE0">
        <w:rPr>
          <w:rFonts w:ascii="Times New Roman" w:hAnsi="Times New Roman" w:cs="Times New Roman"/>
          <w:b/>
          <w:bCs/>
          <w:color w:val="000000"/>
          <w:sz w:val="20"/>
          <w:szCs w:val="20"/>
        </w:rPr>
        <w:t>Abstract:</w:t>
      </w:r>
      <w:r w:rsidR="00A00D8A" w:rsidRPr="002C5EE0">
        <w:rPr>
          <w:rFonts w:ascii="Times New Roman" w:hAnsi="Times New Roman" w:cs="Times New Roman"/>
          <w:b/>
          <w:bCs/>
          <w:color w:val="000000"/>
          <w:sz w:val="20"/>
          <w:szCs w:val="20"/>
        </w:rPr>
        <w:t xml:space="preserve"> </w:t>
      </w:r>
      <w:r w:rsidR="00296378" w:rsidRPr="002C5EE0">
        <w:rPr>
          <w:rFonts w:ascii="Times New Roman" w:hAnsi="Times New Roman" w:cs="Times New Roman"/>
          <w:b/>
          <w:bCs/>
          <w:color w:val="000000"/>
          <w:sz w:val="20"/>
          <w:szCs w:val="20"/>
        </w:rPr>
        <w:t xml:space="preserve">Background: </w:t>
      </w:r>
      <w:r w:rsidR="00296378" w:rsidRPr="002C5EE0">
        <w:rPr>
          <w:rFonts w:ascii="Times New Roman" w:hAnsi="Times New Roman" w:cs="Times New Roman"/>
          <w:color w:val="000000"/>
          <w:sz w:val="20"/>
          <w:szCs w:val="20"/>
        </w:rPr>
        <w:t xml:space="preserve">The objective of this prospective randomized study was to make a comparison between the effects of </w:t>
      </w:r>
      <w:proofErr w:type="spellStart"/>
      <w:r w:rsidR="00296378" w:rsidRPr="002C5EE0">
        <w:rPr>
          <w:rFonts w:ascii="Times New Roman" w:hAnsi="Times New Roman" w:cs="Times New Roman"/>
          <w:color w:val="000000"/>
          <w:sz w:val="20"/>
          <w:szCs w:val="20"/>
        </w:rPr>
        <w:t>letrozole</w:t>
      </w:r>
      <w:proofErr w:type="spellEnd"/>
      <w:r w:rsidR="00296378" w:rsidRPr="002C5EE0">
        <w:rPr>
          <w:rFonts w:ascii="Times New Roman" w:hAnsi="Times New Roman" w:cs="Times New Roman"/>
          <w:color w:val="000000"/>
          <w:sz w:val="20"/>
          <w:szCs w:val="20"/>
        </w:rPr>
        <w:t xml:space="preserve"> and </w:t>
      </w:r>
      <w:proofErr w:type="spellStart"/>
      <w:r w:rsidR="00296378" w:rsidRPr="002C5EE0">
        <w:rPr>
          <w:rFonts w:ascii="Times New Roman" w:hAnsi="Times New Roman" w:cs="Times New Roman"/>
          <w:color w:val="000000"/>
          <w:sz w:val="20"/>
          <w:szCs w:val="20"/>
        </w:rPr>
        <w:t>tamoxifen</w:t>
      </w:r>
      <w:proofErr w:type="spellEnd"/>
      <w:r w:rsidR="00296378" w:rsidRPr="002C5EE0">
        <w:rPr>
          <w:rFonts w:ascii="Times New Roman" w:hAnsi="Times New Roman" w:cs="Times New Roman"/>
          <w:color w:val="000000"/>
          <w:sz w:val="20"/>
          <w:szCs w:val="20"/>
        </w:rPr>
        <w:t xml:space="preserve"> (TMX) in ovulation induction in </w:t>
      </w:r>
      <w:proofErr w:type="spellStart"/>
      <w:r w:rsidR="00296378" w:rsidRPr="002C5EE0">
        <w:rPr>
          <w:rFonts w:ascii="Times New Roman" w:hAnsi="Times New Roman" w:cs="Times New Roman"/>
          <w:color w:val="000000"/>
          <w:sz w:val="20"/>
          <w:szCs w:val="20"/>
        </w:rPr>
        <w:t>clomiphene</w:t>
      </w:r>
      <w:proofErr w:type="spellEnd"/>
      <w:r w:rsidR="00296378" w:rsidRPr="002C5EE0">
        <w:rPr>
          <w:rFonts w:ascii="Times New Roman" w:hAnsi="Times New Roman" w:cs="Times New Roman"/>
          <w:color w:val="000000"/>
          <w:sz w:val="20"/>
          <w:szCs w:val="20"/>
        </w:rPr>
        <w:t xml:space="preserve"> (CC)-resistant women with polycystic ovarian syndrome (PCOS).</w:t>
      </w:r>
      <w:r w:rsidR="00A00D8A" w:rsidRPr="002C5EE0">
        <w:rPr>
          <w:rFonts w:ascii="Times New Roman" w:hAnsi="Times New Roman" w:cs="Times New Roman"/>
          <w:b/>
          <w:bCs/>
          <w:color w:val="000000"/>
          <w:sz w:val="20"/>
          <w:szCs w:val="20"/>
        </w:rPr>
        <w:t xml:space="preserve"> </w:t>
      </w:r>
      <w:r w:rsidR="00296378" w:rsidRPr="002C5EE0">
        <w:rPr>
          <w:rFonts w:ascii="Times New Roman" w:hAnsi="Times New Roman" w:cs="Times New Roman"/>
          <w:b/>
          <w:bCs/>
          <w:color w:val="000000"/>
          <w:sz w:val="20"/>
          <w:szCs w:val="20"/>
        </w:rPr>
        <w:t xml:space="preserve">Methods: </w:t>
      </w:r>
      <w:r w:rsidR="00296378" w:rsidRPr="002C5EE0">
        <w:rPr>
          <w:rFonts w:ascii="Times New Roman" w:hAnsi="Times New Roman" w:cs="Times New Roman"/>
          <w:color w:val="000000"/>
          <w:sz w:val="20"/>
          <w:szCs w:val="20"/>
        </w:rPr>
        <w:t>The study comprised a total of 60 infertile women (60 cycles) with CC-resistant PCOS selected from the clinics affiliated to the Department of Obstetrics and Gynecology of Al-</w:t>
      </w:r>
      <w:proofErr w:type="spellStart"/>
      <w:r w:rsidR="00296378" w:rsidRPr="002C5EE0">
        <w:rPr>
          <w:rFonts w:ascii="Times New Roman" w:hAnsi="Times New Roman" w:cs="Times New Roman"/>
          <w:color w:val="000000"/>
          <w:sz w:val="20"/>
          <w:szCs w:val="20"/>
        </w:rPr>
        <w:t>Azhar</w:t>
      </w:r>
      <w:proofErr w:type="spellEnd"/>
      <w:r w:rsidR="00296378" w:rsidRPr="002C5EE0">
        <w:rPr>
          <w:rFonts w:ascii="Times New Roman" w:hAnsi="Times New Roman" w:cs="Times New Roman"/>
          <w:color w:val="000000"/>
          <w:sz w:val="20"/>
          <w:szCs w:val="20"/>
        </w:rPr>
        <w:t xml:space="preserve"> University. Patients were randomized to treatment with 2.5mg of </w:t>
      </w:r>
      <w:proofErr w:type="spellStart"/>
      <w:r w:rsidR="00296378" w:rsidRPr="002C5EE0">
        <w:rPr>
          <w:rFonts w:ascii="Times New Roman" w:hAnsi="Times New Roman" w:cs="Times New Roman"/>
          <w:color w:val="000000"/>
          <w:sz w:val="20"/>
          <w:szCs w:val="20"/>
        </w:rPr>
        <w:t>letrozole</w:t>
      </w:r>
      <w:proofErr w:type="spellEnd"/>
      <w:r w:rsidR="00296378" w:rsidRPr="002C5EE0">
        <w:rPr>
          <w:rFonts w:ascii="Times New Roman" w:hAnsi="Times New Roman" w:cs="Times New Roman"/>
          <w:color w:val="000000"/>
          <w:sz w:val="20"/>
          <w:szCs w:val="20"/>
        </w:rPr>
        <w:t xml:space="preserve"> daily (50patients, one cycle) or 20 mg of TMX daily (50 patients, one cycle) for 5 days from day 5 of menses and 10000 IU </w:t>
      </w:r>
      <w:proofErr w:type="spellStart"/>
      <w:r w:rsidR="00296378" w:rsidRPr="002C5EE0">
        <w:rPr>
          <w:rFonts w:ascii="Times New Roman" w:hAnsi="Times New Roman" w:cs="Times New Roman"/>
          <w:color w:val="000000"/>
          <w:sz w:val="20"/>
          <w:szCs w:val="20"/>
        </w:rPr>
        <w:t>hCG</w:t>
      </w:r>
      <w:proofErr w:type="spellEnd"/>
      <w:r w:rsidR="00296378" w:rsidRPr="002C5EE0">
        <w:rPr>
          <w:rFonts w:ascii="Times New Roman" w:hAnsi="Times New Roman" w:cs="Times New Roman"/>
          <w:color w:val="000000"/>
          <w:sz w:val="20"/>
          <w:szCs w:val="20"/>
        </w:rPr>
        <w:t xml:space="preserve"> when mature follicles become ≥18 mm in diameter. The chi-square and t-test were used for comparing two groups and p&lt;0.05 was considered significant.</w:t>
      </w:r>
      <w:r w:rsidR="00A00D8A" w:rsidRPr="002C5EE0">
        <w:rPr>
          <w:rFonts w:ascii="Times New Roman" w:hAnsi="Times New Roman" w:cs="Times New Roman"/>
          <w:b/>
          <w:bCs/>
          <w:color w:val="000000"/>
          <w:sz w:val="20"/>
          <w:szCs w:val="20"/>
        </w:rPr>
        <w:t xml:space="preserve"> </w:t>
      </w:r>
      <w:r w:rsidR="00296378" w:rsidRPr="002C5EE0">
        <w:rPr>
          <w:rFonts w:ascii="Times New Roman" w:hAnsi="Times New Roman" w:cs="Times New Roman"/>
          <w:b/>
          <w:bCs/>
          <w:color w:val="000000"/>
          <w:sz w:val="20"/>
          <w:szCs w:val="20"/>
        </w:rPr>
        <w:t xml:space="preserve">Results: </w:t>
      </w:r>
      <w:r w:rsidR="00296378" w:rsidRPr="002C5EE0">
        <w:rPr>
          <w:rFonts w:ascii="Times New Roman" w:hAnsi="Times New Roman" w:cs="Times New Roman"/>
          <w:color w:val="000000"/>
          <w:sz w:val="20"/>
          <w:szCs w:val="20"/>
        </w:rPr>
        <w:t xml:space="preserve">The total number of follicles (≥18 mm) in the </w:t>
      </w:r>
      <w:proofErr w:type="spellStart"/>
      <w:r w:rsidR="00296378" w:rsidRPr="002C5EE0">
        <w:rPr>
          <w:rFonts w:ascii="Times New Roman" w:hAnsi="Times New Roman" w:cs="Times New Roman"/>
          <w:color w:val="000000"/>
          <w:sz w:val="20"/>
          <w:szCs w:val="20"/>
        </w:rPr>
        <w:t>letrozole</w:t>
      </w:r>
      <w:proofErr w:type="spellEnd"/>
      <w:r w:rsidR="00296378" w:rsidRPr="002C5EE0">
        <w:rPr>
          <w:rFonts w:ascii="Times New Roman" w:hAnsi="Times New Roman" w:cs="Times New Roman"/>
          <w:color w:val="000000"/>
          <w:sz w:val="20"/>
          <w:szCs w:val="20"/>
        </w:rPr>
        <w:t xml:space="preserve"> group was more than TMX group. The endometrial thickness at the time of </w:t>
      </w:r>
      <w:proofErr w:type="spellStart"/>
      <w:r w:rsidR="00296378" w:rsidRPr="002C5EE0">
        <w:rPr>
          <w:rFonts w:ascii="Times New Roman" w:hAnsi="Times New Roman" w:cs="Times New Roman"/>
          <w:color w:val="000000"/>
          <w:sz w:val="20"/>
          <w:szCs w:val="20"/>
        </w:rPr>
        <w:t>hCG</w:t>
      </w:r>
      <w:proofErr w:type="spellEnd"/>
      <w:r w:rsidR="00296378" w:rsidRPr="002C5EE0">
        <w:rPr>
          <w:rFonts w:ascii="Times New Roman" w:hAnsi="Times New Roman" w:cs="Times New Roman"/>
          <w:color w:val="000000"/>
          <w:sz w:val="20"/>
          <w:szCs w:val="20"/>
        </w:rPr>
        <w:t xml:space="preserve"> administration was significantly higher (p&lt;0.044, at 95% CI) in the </w:t>
      </w:r>
      <w:proofErr w:type="spellStart"/>
      <w:r w:rsidR="00296378" w:rsidRPr="002C5EE0">
        <w:rPr>
          <w:rFonts w:ascii="Times New Roman" w:hAnsi="Times New Roman" w:cs="Times New Roman"/>
          <w:color w:val="000000"/>
          <w:sz w:val="20"/>
          <w:szCs w:val="20"/>
        </w:rPr>
        <w:t>letrozole</w:t>
      </w:r>
      <w:proofErr w:type="spellEnd"/>
      <w:r w:rsidR="00296378" w:rsidRPr="002C5EE0">
        <w:rPr>
          <w:rFonts w:ascii="Times New Roman" w:hAnsi="Times New Roman" w:cs="Times New Roman"/>
          <w:color w:val="000000"/>
          <w:sz w:val="20"/>
          <w:szCs w:val="20"/>
        </w:rPr>
        <w:t xml:space="preserve"> group than that of TMX group (10.2±0.7 vs. 9.1±0.2 mm). Ovulation occurred in 23.33% of cycles in the </w:t>
      </w:r>
      <w:proofErr w:type="spellStart"/>
      <w:r w:rsidR="00296378" w:rsidRPr="002C5EE0">
        <w:rPr>
          <w:rFonts w:ascii="Times New Roman" w:hAnsi="Times New Roman" w:cs="Times New Roman"/>
          <w:color w:val="000000"/>
          <w:sz w:val="20"/>
          <w:szCs w:val="20"/>
        </w:rPr>
        <w:t>letrozole</w:t>
      </w:r>
      <w:proofErr w:type="spellEnd"/>
      <w:r w:rsidR="00296378" w:rsidRPr="002C5EE0">
        <w:rPr>
          <w:rFonts w:ascii="Times New Roman" w:hAnsi="Times New Roman" w:cs="Times New Roman"/>
          <w:color w:val="000000"/>
          <w:sz w:val="20"/>
          <w:szCs w:val="20"/>
        </w:rPr>
        <w:t xml:space="preserve"> group and in 8.89% in the TMX group.</w:t>
      </w:r>
      <w:r w:rsidR="00A00D8A" w:rsidRPr="002C5EE0">
        <w:rPr>
          <w:rFonts w:ascii="Times New Roman" w:hAnsi="Times New Roman" w:cs="Times New Roman"/>
          <w:b/>
          <w:bCs/>
          <w:color w:val="000000"/>
          <w:sz w:val="20"/>
          <w:szCs w:val="20"/>
        </w:rPr>
        <w:t xml:space="preserve"> </w:t>
      </w:r>
      <w:r w:rsidR="00296378" w:rsidRPr="002C5EE0">
        <w:rPr>
          <w:rFonts w:ascii="Times New Roman" w:hAnsi="Times New Roman" w:cs="Times New Roman"/>
          <w:b/>
          <w:bCs/>
          <w:color w:val="000000"/>
          <w:sz w:val="20"/>
          <w:szCs w:val="20"/>
        </w:rPr>
        <w:t xml:space="preserve">Conclusion: </w:t>
      </w:r>
      <w:r w:rsidR="00296378" w:rsidRPr="002C5EE0">
        <w:rPr>
          <w:rFonts w:ascii="Times New Roman" w:hAnsi="Times New Roman" w:cs="Times New Roman"/>
          <w:color w:val="000000"/>
          <w:sz w:val="20"/>
          <w:szCs w:val="20"/>
        </w:rPr>
        <w:t xml:space="preserve">Both </w:t>
      </w:r>
      <w:proofErr w:type="spellStart"/>
      <w:r w:rsidR="00296378" w:rsidRPr="002C5EE0">
        <w:rPr>
          <w:rFonts w:ascii="Times New Roman" w:hAnsi="Times New Roman" w:cs="Times New Roman"/>
          <w:color w:val="000000"/>
          <w:sz w:val="20"/>
          <w:szCs w:val="20"/>
        </w:rPr>
        <w:t>letrozole</w:t>
      </w:r>
      <w:proofErr w:type="spellEnd"/>
      <w:r w:rsidR="00296378" w:rsidRPr="002C5EE0">
        <w:rPr>
          <w:rFonts w:ascii="Times New Roman" w:hAnsi="Times New Roman" w:cs="Times New Roman"/>
          <w:color w:val="000000"/>
          <w:sz w:val="20"/>
          <w:szCs w:val="20"/>
        </w:rPr>
        <w:t xml:space="preserve"> and TMX should be considered as optional therapies for CC-resistant women. In addition, </w:t>
      </w:r>
      <w:proofErr w:type="spellStart"/>
      <w:r w:rsidR="00296378" w:rsidRPr="002C5EE0">
        <w:rPr>
          <w:rFonts w:ascii="Times New Roman" w:hAnsi="Times New Roman" w:cs="Times New Roman"/>
          <w:color w:val="000000"/>
          <w:sz w:val="20"/>
          <w:szCs w:val="20"/>
        </w:rPr>
        <w:t>letrozole</w:t>
      </w:r>
      <w:proofErr w:type="spellEnd"/>
      <w:r w:rsidR="00296378" w:rsidRPr="002C5EE0">
        <w:rPr>
          <w:rFonts w:ascii="Times New Roman" w:hAnsi="Times New Roman" w:cs="Times New Roman"/>
          <w:color w:val="000000"/>
          <w:sz w:val="20"/>
          <w:szCs w:val="20"/>
        </w:rPr>
        <w:t xml:space="preserve"> was superior to TMX in achieving a higher pregnancy and ovulation rate and also lesser side effects in comparison to </w:t>
      </w:r>
      <w:proofErr w:type="spellStart"/>
      <w:r w:rsidR="00296378" w:rsidRPr="002C5EE0">
        <w:rPr>
          <w:rFonts w:ascii="Times New Roman" w:hAnsi="Times New Roman" w:cs="Times New Roman"/>
          <w:color w:val="000000"/>
          <w:sz w:val="20"/>
          <w:szCs w:val="20"/>
        </w:rPr>
        <w:t>tamoxifen</w:t>
      </w:r>
      <w:proofErr w:type="spellEnd"/>
      <w:r w:rsidR="00296378" w:rsidRPr="002C5EE0">
        <w:rPr>
          <w:rFonts w:ascii="Times New Roman" w:hAnsi="Times New Roman" w:cs="Times New Roman"/>
          <w:color w:val="000000"/>
          <w:sz w:val="20"/>
          <w:szCs w:val="20"/>
        </w:rPr>
        <w:t>.</w:t>
      </w:r>
    </w:p>
    <w:p w:rsidR="002C5EE0" w:rsidRPr="002C5EE0" w:rsidRDefault="002C5EE0" w:rsidP="002C5EE0">
      <w:pPr>
        <w:bidi w:val="0"/>
        <w:snapToGrid w:val="0"/>
        <w:spacing w:after="0" w:line="240" w:lineRule="auto"/>
        <w:jc w:val="both"/>
        <w:rPr>
          <w:rFonts w:ascii="Times New Roman" w:hAnsi="Times New Roman" w:cs="Times New Roman"/>
          <w:sz w:val="20"/>
          <w:szCs w:val="20"/>
        </w:rPr>
      </w:pPr>
      <w:r w:rsidRPr="002C5EE0">
        <w:rPr>
          <w:rFonts w:ascii="Times New Roman" w:hAnsi="Times New Roman" w:cs="Times New Roman"/>
          <w:bCs/>
          <w:sz w:val="20"/>
          <w:szCs w:val="20"/>
        </w:rPr>
        <w:t>[</w:t>
      </w:r>
      <w:proofErr w:type="spellStart"/>
      <w:r w:rsidRPr="002C5EE0">
        <w:rPr>
          <w:rFonts w:ascii="Times New Roman" w:hAnsi="Times New Roman" w:cs="Times New Roman"/>
          <w:bCs/>
          <w:color w:val="000000"/>
          <w:sz w:val="20"/>
          <w:szCs w:val="20"/>
        </w:rPr>
        <w:t>Farid</w:t>
      </w:r>
      <w:proofErr w:type="spellEnd"/>
      <w:r w:rsidRPr="002C5EE0">
        <w:rPr>
          <w:rFonts w:ascii="Times New Roman" w:hAnsi="Times New Roman" w:cs="Times New Roman"/>
          <w:bCs/>
          <w:color w:val="000000"/>
          <w:sz w:val="20"/>
          <w:szCs w:val="20"/>
        </w:rPr>
        <w:t xml:space="preserve"> Ibrahim Hassan</w:t>
      </w:r>
      <w:r w:rsidRPr="002C5EE0">
        <w:rPr>
          <w:rFonts w:ascii="Times New Roman" w:hAnsi="Times New Roman" w:cs="Times New Roman"/>
          <w:bCs/>
          <w:sz w:val="20"/>
          <w:szCs w:val="20"/>
          <w:lang w:bidi="ar-EG"/>
        </w:rPr>
        <w:t>,</w:t>
      </w:r>
      <w:r w:rsidRPr="002C5EE0">
        <w:rPr>
          <w:rFonts w:ascii="Times New Roman" w:hAnsi="Times New Roman" w:cs="Times New Roman"/>
          <w:bCs/>
          <w:color w:val="000000"/>
          <w:sz w:val="20"/>
          <w:szCs w:val="20"/>
        </w:rPr>
        <w:t xml:space="preserve"> </w:t>
      </w:r>
      <w:proofErr w:type="spellStart"/>
      <w:r w:rsidRPr="002C5EE0">
        <w:rPr>
          <w:rFonts w:ascii="Times New Roman" w:hAnsi="Times New Roman" w:cs="Times New Roman"/>
          <w:bCs/>
          <w:color w:val="000000"/>
          <w:sz w:val="20"/>
          <w:szCs w:val="20"/>
        </w:rPr>
        <w:t>Abd</w:t>
      </w:r>
      <w:proofErr w:type="spellEnd"/>
      <w:r w:rsidRPr="002C5EE0">
        <w:rPr>
          <w:rFonts w:ascii="Times New Roman" w:hAnsi="Times New Roman" w:cs="Times New Roman"/>
          <w:bCs/>
          <w:color w:val="000000"/>
          <w:sz w:val="20"/>
          <w:szCs w:val="20"/>
        </w:rPr>
        <w:t xml:space="preserve"> Allah </w:t>
      </w:r>
      <w:proofErr w:type="spellStart"/>
      <w:r w:rsidRPr="002C5EE0">
        <w:rPr>
          <w:rFonts w:ascii="Times New Roman" w:hAnsi="Times New Roman" w:cs="Times New Roman"/>
          <w:bCs/>
          <w:color w:val="000000"/>
          <w:sz w:val="20"/>
          <w:szCs w:val="20"/>
        </w:rPr>
        <w:t>Khalil</w:t>
      </w:r>
      <w:proofErr w:type="spellEnd"/>
      <w:r w:rsidRPr="002C5EE0">
        <w:rPr>
          <w:rFonts w:ascii="Times New Roman" w:hAnsi="Times New Roman" w:cs="Times New Roman"/>
          <w:bCs/>
          <w:color w:val="000000"/>
          <w:sz w:val="20"/>
          <w:szCs w:val="20"/>
        </w:rPr>
        <w:t xml:space="preserve"> Ahmed, </w:t>
      </w:r>
      <w:proofErr w:type="spellStart"/>
      <w:r w:rsidRPr="002C5EE0">
        <w:rPr>
          <w:rFonts w:ascii="Times New Roman" w:hAnsi="Times New Roman" w:cs="Times New Roman"/>
          <w:bCs/>
          <w:color w:val="000000"/>
          <w:sz w:val="20"/>
          <w:szCs w:val="20"/>
        </w:rPr>
        <w:t>Abd</w:t>
      </w:r>
      <w:proofErr w:type="spellEnd"/>
      <w:r w:rsidRPr="002C5EE0">
        <w:rPr>
          <w:rFonts w:ascii="Times New Roman" w:hAnsi="Times New Roman" w:cs="Times New Roman"/>
          <w:bCs/>
          <w:color w:val="000000"/>
          <w:sz w:val="20"/>
          <w:szCs w:val="20"/>
        </w:rPr>
        <w:t xml:space="preserve"> El </w:t>
      </w:r>
      <w:proofErr w:type="spellStart"/>
      <w:r w:rsidRPr="002C5EE0">
        <w:rPr>
          <w:rFonts w:ascii="Times New Roman" w:hAnsi="Times New Roman" w:cs="Times New Roman"/>
          <w:bCs/>
          <w:color w:val="000000"/>
          <w:sz w:val="20"/>
          <w:szCs w:val="20"/>
        </w:rPr>
        <w:t>Raouf</w:t>
      </w:r>
      <w:proofErr w:type="spellEnd"/>
      <w:r w:rsidRPr="002C5EE0">
        <w:rPr>
          <w:rFonts w:ascii="Times New Roman" w:hAnsi="Times New Roman" w:cs="Times New Roman"/>
          <w:bCs/>
          <w:color w:val="000000"/>
          <w:sz w:val="20"/>
          <w:szCs w:val="20"/>
        </w:rPr>
        <w:t xml:space="preserve"> </w:t>
      </w:r>
      <w:proofErr w:type="spellStart"/>
      <w:r w:rsidRPr="002C5EE0">
        <w:rPr>
          <w:rFonts w:ascii="Times New Roman" w:hAnsi="Times New Roman" w:cs="Times New Roman"/>
          <w:bCs/>
          <w:color w:val="000000"/>
          <w:sz w:val="20"/>
          <w:szCs w:val="20"/>
        </w:rPr>
        <w:t>Abd</w:t>
      </w:r>
      <w:proofErr w:type="spellEnd"/>
      <w:r w:rsidRPr="002C5EE0">
        <w:rPr>
          <w:rFonts w:ascii="Times New Roman" w:hAnsi="Times New Roman" w:cs="Times New Roman"/>
          <w:bCs/>
          <w:color w:val="000000"/>
          <w:sz w:val="20"/>
          <w:szCs w:val="20"/>
        </w:rPr>
        <w:t xml:space="preserve"> El </w:t>
      </w:r>
      <w:proofErr w:type="spellStart"/>
      <w:r w:rsidRPr="002C5EE0">
        <w:rPr>
          <w:rFonts w:ascii="Times New Roman" w:hAnsi="Times New Roman" w:cs="Times New Roman"/>
          <w:bCs/>
          <w:color w:val="000000"/>
          <w:sz w:val="20"/>
          <w:szCs w:val="20"/>
        </w:rPr>
        <w:t>Raouf</w:t>
      </w:r>
      <w:proofErr w:type="spellEnd"/>
      <w:r w:rsidRPr="002C5EE0">
        <w:rPr>
          <w:rFonts w:ascii="Times New Roman" w:hAnsi="Times New Roman" w:cs="Times New Roman"/>
          <w:bCs/>
          <w:color w:val="000000"/>
          <w:sz w:val="20"/>
          <w:szCs w:val="20"/>
        </w:rPr>
        <w:t xml:space="preserve"> </w:t>
      </w:r>
      <w:proofErr w:type="spellStart"/>
      <w:r w:rsidRPr="002C5EE0">
        <w:rPr>
          <w:rFonts w:ascii="Times New Roman" w:hAnsi="Times New Roman" w:cs="Times New Roman"/>
          <w:bCs/>
          <w:color w:val="000000"/>
          <w:sz w:val="20"/>
          <w:szCs w:val="20"/>
        </w:rPr>
        <w:t>Abo</w:t>
      </w:r>
      <w:proofErr w:type="spellEnd"/>
      <w:r w:rsidRPr="002C5EE0">
        <w:rPr>
          <w:rFonts w:ascii="Times New Roman" w:hAnsi="Times New Roman" w:cs="Times New Roman"/>
          <w:bCs/>
          <w:color w:val="000000"/>
          <w:sz w:val="20"/>
          <w:szCs w:val="20"/>
        </w:rPr>
        <w:t xml:space="preserve"> Nar and </w:t>
      </w:r>
      <w:proofErr w:type="spellStart"/>
      <w:r w:rsidRPr="002C5EE0">
        <w:rPr>
          <w:rFonts w:ascii="Times New Roman" w:hAnsi="Times New Roman" w:cs="Times New Roman"/>
          <w:bCs/>
          <w:color w:val="000000"/>
          <w:sz w:val="20"/>
          <w:szCs w:val="20"/>
        </w:rPr>
        <w:t>Abd</w:t>
      </w:r>
      <w:proofErr w:type="spellEnd"/>
      <w:r w:rsidRPr="002C5EE0">
        <w:rPr>
          <w:rFonts w:ascii="Times New Roman" w:hAnsi="Times New Roman" w:cs="Times New Roman"/>
          <w:bCs/>
          <w:color w:val="000000"/>
          <w:sz w:val="20"/>
          <w:szCs w:val="20"/>
        </w:rPr>
        <w:t xml:space="preserve"> El </w:t>
      </w:r>
      <w:proofErr w:type="spellStart"/>
      <w:r w:rsidRPr="002C5EE0">
        <w:rPr>
          <w:rFonts w:ascii="Times New Roman" w:hAnsi="Times New Roman" w:cs="Times New Roman"/>
          <w:bCs/>
          <w:color w:val="000000"/>
          <w:sz w:val="20"/>
          <w:szCs w:val="20"/>
        </w:rPr>
        <w:t>Hamid</w:t>
      </w:r>
      <w:proofErr w:type="spellEnd"/>
      <w:r w:rsidRPr="002C5EE0">
        <w:rPr>
          <w:rFonts w:ascii="Times New Roman" w:hAnsi="Times New Roman" w:cs="Times New Roman"/>
          <w:bCs/>
          <w:color w:val="000000"/>
          <w:sz w:val="20"/>
          <w:szCs w:val="20"/>
        </w:rPr>
        <w:t xml:space="preserve"> Mohamed </w:t>
      </w:r>
      <w:proofErr w:type="spellStart"/>
      <w:r w:rsidRPr="002C5EE0">
        <w:rPr>
          <w:rFonts w:ascii="Times New Roman" w:hAnsi="Times New Roman" w:cs="Times New Roman"/>
          <w:bCs/>
          <w:color w:val="000000"/>
          <w:sz w:val="20"/>
          <w:szCs w:val="20"/>
        </w:rPr>
        <w:t>Zaky</w:t>
      </w:r>
      <w:proofErr w:type="spellEnd"/>
      <w:r w:rsidRPr="002C5EE0">
        <w:rPr>
          <w:rFonts w:ascii="Times New Roman" w:hAnsi="Times New Roman" w:cs="Times New Roman"/>
          <w:bCs/>
          <w:color w:val="000000"/>
          <w:sz w:val="20"/>
          <w:szCs w:val="20"/>
        </w:rPr>
        <w:t xml:space="preserve"> </w:t>
      </w:r>
      <w:proofErr w:type="spellStart"/>
      <w:r w:rsidRPr="002C5EE0">
        <w:rPr>
          <w:rFonts w:ascii="Times New Roman" w:hAnsi="Times New Roman" w:cs="Times New Roman"/>
          <w:bCs/>
          <w:color w:val="000000"/>
          <w:sz w:val="20"/>
          <w:szCs w:val="20"/>
        </w:rPr>
        <w:t>Elsanhoury</w:t>
      </w:r>
      <w:proofErr w:type="spellEnd"/>
      <w:r w:rsidRPr="002C5EE0">
        <w:rPr>
          <w:rFonts w:ascii="Times New Roman" w:hAnsi="Times New Roman" w:cs="Times New Roman"/>
          <w:sz w:val="20"/>
          <w:szCs w:val="20"/>
        </w:rPr>
        <w:t>.</w:t>
      </w:r>
      <w:r w:rsidRPr="002C5EE0">
        <w:rPr>
          <w:rFonts w:ascii="Times New Roman" w:hAnsi="Times New Roman" w:cs="Times New Roman" w:hint="eastAsia"/>
          <w:b/>
          <w:bCs/>
          <w:sz w:val="20"/>
          <w:szCs w:val="20"/>
          <w:lang w:bidi="fa-IR"/>
        </w:rPr>
        <w:t xml:space="preserve"> </w:t>
      </w:r>
      <w:r w:rsidRPr="002C5EE0">
        <w:rPr>
          <w:rFonts w:ascii="Times New Roman" w:eastAsia="Batang" w:hAnsi="Times New Roman" w:cs="Times New Roman"/>
          <w:b/>
          <w:color w:val="000000"/>
          <w:sz w:val="20"/>
          <w:szCs w:val="20"/>
        </w:rPr>
        <w:t xml:space="preserve">Comparative Study between </w:t>
      </w:r>
      <w:proofErr w:type="spellStart"/>
      <w:r w:rsidRPr="002C5EE0">
        <w:rPr>
          <w:rFonts w:ascii="Times New Roman" w:eastAsia="Batang" w:hAnsi="Times New Roman" w:cs="Times New Roman"/>
          <w:b/>
          <w:color w:val="000000"/>
          <w:sz w:val="20"/>
          <w:szCs w:val="20"/>
        </w:rPr>
        <w:t>Letrozole</w:t>
      </w:r>
      <w:proofErr w:type="spellEnd"/>
      <w:r w:rsidRPr="002C5EE0">
        <w:rPr>
          <w:rFonts w:ascii="Times New Roman" w:eastAsia="Batang" w:hAnsi="Times New Roman" w:cs="Times New Roman"/>
          <w:b/>
          <w:color w:val="000000"/>
          <w:sz w:val="20"/>
          <w:szCs w:val="20"/>
        </w:rPr>
        <w:t xml:space="preserve"> and </w:t>
      </w:r>
      <w:proofErr w:type="spellStart"/>
      <w:r w:rsidRPr="002C5EE0">
        <w:rPr>
          <w:rFonts w:ascii="Times New Roman" w:eastAsia="Batang" w:hAnsi="Times New Roman" w:cs="Times New Roman"/>
          <w:b/>
          <w:color w:val="000000"/>
          <w:sz w:val="20"/>
          <w:szCs w:val="20"/>
        </w:rPr>
        <w:t>Tamoxifen</w:t>
      </w:r>
      <w:proofErr w:type="spellEnd"/>
      <w:r w:rsidRPr="002C5EE0">
        <w:rPr>
          <w:rFonts w:ascii="Times New Roman" w:eastAsia="Batang" w:hAnsi="Times New Roman" w:cs="Times New Roman"/>
          <w:b/>
          <w:color w:val="000000"/>
          <w:sz w:val="20"/>
          <w:szCs w:val="20"/>
        </w:rPr>
        <w:t xml:space="preserve"> Citrate in Treatment of </w:t>
      </w:r>
      <w:proofErr w:type="spellStart"/>
      <w:r w:rsidRPr="002C5EE0">
        <w:rPr>
          <w:rFonts w:ascii="Times New Roman" w:eastAsia="Batang" w:hAnsi="Times New Roman" w:cs="Times New Roman"/>
          <w:b/>
          <w:color w:val="000000"/>
          <w:sz w:val="20"/>
          <w:szCs w:val="20"/>
        </w:rPr>
        <w:t>Clomiphene</w:t>
      </w:r>
      <w:proofErr w:type="spellEnd"/>
      <w:r w:rsidRPr="002C5EE0">
        <w:rPr>
          <w:rFonts w:ascii="Times New Roman" w:eastAsia="Batang" w:hAnsi="Times New Roman" w:cs="Times New Roman"/>
          <w:b/>
          <w:color w:val="000000"/>
          <w:sz w:val="20"/>
          <w:szCs w:val="20"/>
        </w:rPr>
        <w:t xml:space="preserve"> Citrate Resistant Polycystic Ovarian Syndrome</w:t>
      </w:r>
      <w:r w:rsidRPr="002C5EE0">
        <w:rPr>
          <w:rFonts w:ascii="Times New Roman" w:eastAsia="Times New Roman" w:hAnsi="Times New Roman" w:cs="Times New Roman"/>
          <w:b/>
          <w:bCs/>
          <w:sz w:val="20"/>
          <w:szCs w:val="20"/>
          <w:lang w:bidi="fa-IR"/>
        </w:rPr>
        <w:t>.</w:t>
      </w:r>
      <w:r w:rsidRPr="002C5EE0">
        <w:rPr>
          <w:rFonts w:ascii="Times New Roman" w:hAnsi="Times New Roman" w:cs="Times New Roman"/>
          <w:bCs/>
          <w:i/>
          <w:sz w:val="20"/>
          <w:szCs w:val="20"/>
        </w:rPr>
        <w:t xml:space="preserve"> N Y </w:t>
      </w:r>
      <w:proofErr w:type="spellStart"/>
      <w:r w:rsidRPr="002C5EE0">
        <w:rPr>
          <w:rFonts w:ascii="Times New Roman" w:hAnsi="Times New Roman" w:cs="Times New Roman"/>
          <w:bCs/>
          <w:i/>
          <w:sz w:val="20"/>
          <w:szCs w:val="20"/>
        </w:rPr>
        <w:t>Sci</w:t>
      </w:r>
      <w:proofErr w:type="spellEnd"/>
      <w:r w:rsidRPr="002C5EE0">
        <w:rPr>
          <w:rFonts w:ascii="Times New Roman" w:hAnsi="Times New Roman" w:cs="Times New Roman"/>
          <w:bCs/>
          <w:i/>
          <w:sz w:val="20"/>
          <w:szCs w:val="20"/>
        </w:rPr>
        <w:t xml:space="preserve"> J</w:t>
      </w:r>
      <w:r w:rsidRPr="002C5EE0">
        <w:rPr>
          <w:rFonts w:ascii="Times New Roman" w:hAnsi="Times New Roman" w:cs="Times New Roman"/>
          <w:bCs/>
          <w:sz w:val="20"/>
          <w:szCs w:val="20"/>
        </w:rPr>
        <w:t xml:space="preserve"> </w:t>
      </w:r>
      <w:r w:rsidRPr="002C5EE0">
        <w:rPr>
          <w:rFonts w:ascii="Times New Roman" w:hAnsi="Times New Roman" w:cs="Times New Roman"/>
          <w:sz w:val="20"/>
          <w:szCs w:val="20"/>
        </w:rPr>
        <w:t>201</w:t>
      </w:r>
      <w:r w:rsidRPr="002C5EE0">
        <w:rPr>
          <w:rFonts w:ascii="Times New Roman" w:hAnsi="Times New Roman" w:cs="Times New Roman" w:hint="eastAsia"/>
          <w:sz w:val="20"/>
          <w:szCs w:val="20"/>
        </w:rPr>
        <w:t>7</w:t>
      </w:r>
      <w:r w:rsidRPr="002C5EE0">
        <w:rPr>
          <w:rFonts w:ascii="Times New Roman" w:hAnsi="Times New Roman" w:cs="Times New Roman"/>
          <w:sz w:val="20"/>
          <w:szCs w:val="20"/>
        </w:rPr>
        <w:t>;</w:t>
      </w:r>
      <w:r w:rsidRPr="002C5EE0">
        <w:rPr>
          <w:rFonts w:ascii="Times New Roman" w:hAnsi="Times New Roman" w:cs="Times New Roman" w:hint="eastAsia"/>
          <w:sz w:val="20"/>
          <w:szCs w:val="20"/>
        </w:rPr>
        <w:t>10</w:t>
      </w:r>
      <w:r w:rsidRPr="002C5EE0">
        <w:rPr>
          <w:rFonts w:ascii="Times New Roman" w:hAnsi="Times New Roman" w:cs="Times New Roman"/>
          <w:sz w:val="20"/>
          <w:szCs w:val="20"/>
        </w:rPr>
        <w:t>(</w:t>
      </w:r>
      <w:r w:rsidRPr="002C5EE0">
        <w:rPr>
          <w:rFonts w:ascii="Times New Roman" w:hAnsi="Times New Roman" w:cs="Times New Roman" w:hint="eastAsia"/>
          <w:sz w:val="20"/>
          <w:szCs w:val="20"/>
        </w:rPr>
        <w:t>7</w:t>
      </w:r>
      <w:r w:rsidRPr="002C5EE0">
        <w:rPr>
          <w:rFonts w:ascii="Times New Roman" w:hAnsi="Times New Roman" w:cs="Times New Roman"/>
          <w:sz w:val="20"/>
          <w:szCs w:val="20"/>
        </w:rPr>
        <w:t>):</w:t>
      </w:r>
      <w:r w:rsidR="00022128">
        <w:rPr>
          <w:rFonts w:ascii="Times New Roman" w:hAnsi="Times New Roman" w:cs="Times New Roman"/>
          <w:noProof/>
          <w:color w:val="000000"/>
          <w:sz w:val="20"/>
          <w:szCs w:val="20"/>
        </w:rPr>
        <w:t>1-9</w:t>
      </w:r>
      <w:r w:rsidRPr="002C5EE0">
        <w:rPr>
          <w:rFonts w:ascii="Times New Roman" w:hAnsi="Times New Roman" w:cs="Times New Roman"/>
          <w:sz w:val="20"/>
          <w:szCs w:val="20"/>
        </w:rPr>
        <w:t xml:space="preserve">]. </w:t>
      </w:r>
      <w:r w:rsidRPr="002C5EE0">
        <w:rPr>
          <w:rFonts w:ascii="Times New Roman" w:hAnsi="Times New Roman" w:cs="Times New Roman"/>
          <w:iCs/>
          <w:color w:val="000000"/>
          <w:sz w:val="20"/>
          <w:szCs w:val="20"/>
        </w:rPr>
        <w:t>ISSN 1554-0200 (print); ISSN 2375-723X (online)</w:t>
      </w:r>
      <w:r w:rsidRPr="002C5EE0">
        <w:rPr>
          <w:rFonts w:ascii="Times New Roman" w:hAnsi="Times New Roman" w:cs="Times New Roman"/>
          <w:sz w:val="20"/>
          <w:szCs w:val="20"/>
        </w:rPr>
        <w:t xml:space="preserve">. </w:t>
      </w:r>
      <w:hyperlink r:id="rId9" w:history="1">
        <w:r w:rsidRPr="002C5EE0">
          <w:rPr>
            <w:rStyle w:val="Hyperlink"/>
            <w:rFonts w:ascii="Times New Roman" w:hAnsi="Times New Roman" w:cs="Times New Roman"/>
            <w:color w:val="0000FF"/>
            <w:sz w:val="20"/>
            <w:szCs w:val="20"/>
          </w:rPr>
          <w:t>http://www.sciencepub.net/newyork</w:t>
        </w:r>
      </w:hyperlink>
      <w:r w:rsidRPr="002C5EE0">
        <w:rPr>
          <w:rFonts w:ascii="Times New Roman" w:hAnsi="Times New Roman" w:cs="Times New Roman"/>
          <w:sz w:val="20"/>
          <w:szCs w:val="20"/>
        </w:rPr>
        <w:t xml:space="preserve">. </w:t>
      </w:r>
      <w:r w:rsidRPr="002C5EE0">
        <w:rPr>
          <w:rFonts w:ascii="Times New Roman" w:hAnsi="Times New Roman" w:cs="Times New Roman" w:hint="eastAsia"/>
          <w:sz w:val="20"/>
          <w:szCs w:val="20"/>
          <w:lang w:eastAsia="zh-CN"/>
        </w:rPr>
        <w:t>1</w:t>
      </w:r>
      <w:r w:rsidRPr="002C5EE0">
        <w:rPr>
          <w:rFonts w:ascii="Times New Roman" w:hAnsi="Times New Roman" w:cs="Times New Roman" w:hint="eastAsia"/>
          <w:sz w:val="20"/>
          <w:szCs w:val="20"/>
        </w:rPr>
        <w:t xml:space="preserve">. </w:t>
      </w:r>
      <w:r w:rsidRPr="002C5EE0">
        <w:rPr>
          <w:rFonts w:ascii="Times New Roman" w:hAnsi="Times New Roman" w:cs="Times New Roman"/>
          <w:color w:val="000000"/>
          <w:sz w:val="20"/>
          <w:szCs w:val="20"/>
          <w:shd w:val="clear" w:color="auto" w:fill="FFFFFF"/>
        </w:rPr>
        <w:t>doi:</w:t>
      </w:r>
      <w:hyperlink r:id="rId10" w:history="1">
        <w:r w:rsidRPr="002C5EE0">
          <w:rPr>
            <w:rStyle w:val="Hyperlink"/>
            <w:rFonts w:ascii="Times New Roman" w:hAnsi="Times New Roman" w:cs="Times New Roman"/>
            <w:color w:val="0000FF"/>
            <w:sz w:val="20"/>
            <w:szCs w:val="20"/>
            <w:shd w:val="clear" w:color="auto" w:fill="FFFFFF"/>
          </w:rPr>
          <w:t>10.7537/mars</w:t>
        </w:r>
        <w:r w:rsidRPr="002C5EE0">
          <w:rPr>
            <w:rStyle w:val="Hyperlink"/>
            <w:rFonts w:ascii="Times New Roman" w:hAnsi="Times New Roman" w:cs="Times New Roman" w:hint="eastAsia"/>
            <w:color w:val="0000FF"/>
            <w:sz w:val="20"/>
            <w:szCs w:val="20"/>
            <w:shd w:val="clear" w:color="auto" w:fill="FFFFFF"/>
          </w:rPr>
          <w:t>nys100717.</w:t>
        </w:r>
        <w:r w:rsidRPr="002C5EE0">
          <w:rPr>
            <w:rStyle w:val="Hyperlink"/>
            <w:rFonts w:ascii="Times New Roman" w:hAnsi="Times New Roman" w:cs="Times New Roman"/>
            <w:color w:val="0000FF"/>
            <w:sz w:val="20"/>
            <w:szCs w:val="20"/>
            <w:shd w:val="clear" w:color="auto" w:fill="FFFFFF"/>
          </w:rPr>
          <w:t>0</w:t>
        </w:r>
        <w:r w:rsidRPr="002C5EE0">
          <w:rPr>
            <w:rStyle w:val="Hyperlink"/>
            <w:rFonts w:ascii="Times New Roman" w:hAnsi="Times New Roman" w:cs="Times New Roman" w:hint="eastAsia"/>
            <w:color w:val="0000FF"/>
            <w:sz w:val="20"/>
            <w:szCs w:val="20"/>
            <w:shd w:val="clear" w:color="auto" w:fill="FFFFFF"/>
            <w:lang w:eastAsia="zh-CN"/>
          </w:rPr>
          <w:t>1</w:t>
        </w:r>
      </w:hyperlink>
      <w:r w:rsidRPr="002C5EE0">
        <w:rPr>
          <w:rFonts w:ascii="Times New Roman" w:hAnsi="Times New Roman" w:cs="Times New Roman"/>
          <w:color w:val="000000"/>
          <w:sz w:val="20"/>
          <w:szCs w:val="20"/>
          <w:shd w:val="clear" w:color="auto" w:fill="FFFFFF"/>
        </w:rPr>
        <w:t>.</w:t>
      </w:r>
    </w:p>
    <w:p w:rsidR="00A00D8A" w:rsidRPr="002C5EE0" w:rsidRDefault="00A00D8A" w:rsidP="002C5EE0">
      <w:pPr>
        <w:pStyle w:val="MSGENFONTSTYLENAMETEMPLATEROLENUMBERMSGENFONTSTYLENAMEBYROLETEXT50"/>
        <w:shd w:val="clear" w:color="auto" w:fill="auto"/>
        <w:snapToGrid w:val="0"/>
        <w:spacing w:before="0" w:line="240" w:lineRule="auto"/>
        <w:jc w:val="both"/>
        <w:rPr>
          <w:rFonts w:ascii="Times New Roman" w:hAnsi="Times New Roman" w:cs="Times New Roman"/>
          <w:bCs w:val="0"/>
          <w:color w:val="000000"/>
          <w:sz w:val="20"/>
          <w:szCs w:val="20"/>
        </w:rPr>
      </w:pPr>
    </w:p>
    <w:p w:rsidR="00296378" w:rsidRPr="002C5EE0" w:rsidRDefault="00296378" w:rsidP="002C5EE0">
      <w:pPr>
        <w:autoSpaceDE w:val="0"/>
        <w:autoSpaceDN w:val="0"/>
        <w:bidi w:val="0"/>
        <w:adjustRightInd w:val="0"/>
        <w:snapToGrid w:val="0"/>
        <w:spacing w:after="0" w:line="240" w:lineRule="auto"/>
        <w:jc w:val="both"/>
        <w:rPr>
          <w:rFonts w:ascii="Times New Roman" w:hAnsi="Times New Roman" w:cs="Times New Roman"/>
          <w:b/>
          <w:color w:val="000000"/>
          <w:sz w:val="20"/>
          <w:szCs w:val="20"/>
        </w:rPr>
      </w:pPr>
      <w:r w:rsidRPr="002C5EE0">
        <w:rPr>
          <w:rFonts w:ascii="Times New Roman" w:hAnsi="Times New Roman" w:cs="Times New Roman"/>
          <w:b/>
          <w:bCs/>
          <w:color w:val="000000"/>
          <w:sz w:val="20"/>
          <w:szCs w:val="20"/>
        </w:rPr>
        <w:t xml:space="preserve">Keywords: </w:t>
      </w:r>
      <w:proofErr w:type="spellStart"/>
      <w:r w:rsidRPr="002C5EE0">
        <w:rPr>
          <w:rFonts w:ascii="Times New Roman" w:hAnsi="Times New Roman" w:cs="Times New Roman"/>
          <w:color w:val="000000"/>
          <w:sz w:val="20"/>
          <w:szCs w:val="20"/>
        </w:rPr>
        <w:t>Clomiphene</w:t>
      </w:r>
      <w:proofErr w:type="spellEnd"/>
      <w:r w:rsidRPr="002C5EE0">
        <w:rPr>
          <w:rFonts w:ascii="Times New Roman" w:hAnsi="Times New Roman" w:cs="Times New Roman"/>
          <w:color w:val="000000"/>
          <w:sz w:val="20"/>
          <w:szCs w:val="20"/>
        </w:rPr>
        <w:t xml:space="preserve"> resistance, Infertility, </w:t>
      </w:r>
      <w:proofErr w:type="spellStart"/>
      <w:r w:rsidRPr="002C5EE0">
        <w:rPr>
          <w:rFonts w:ascii="Times New Roman" w:hAnsi="Times New Roman" w:cs="Times New Roman"/>
          <w:color w:val="000000"/>
          <w:sz w:val="20"/>
          <w:szCs w:val="20"/>
        </w:rPr>
        <w:t>Letrozole</w:t>
      </w:r>
      <w:proofErr w:type="spellEnd"/>
      <w:r w:rsidRPr="002C5EE0">
        <w:rPr>
          <w:rFonts w:ascii="Times New Roman" w:hAnsi="Times New Roman" w:cs="Times New Roman"/>
          <w:color w:val="000000"/>
          <w:sz w:val="20"/>
          <w:szCs w:val="20"/>
        </w:rPr>
        <w:t xml:space="preserve">, </w:t>
      </w:r>
      <w:proofErr w:type="spellStart"/>
      <w:r w:rsidRPr="002C5EE0">
        <w:rPr>
          <w:rFonts w:ascii="Times New Roman" w:hAnsi="Times New Roman" w:cs="Times New Roman"/>
          <w:color w:val="000000"/>
          <w:sz w:val="20"/>
          <w:szCs w:val="20"/>
        </w:rPr>
        <w:t>Oligomenorrhea</w:t>
      </w:r>
      <w:proofErr w:type="spellEnd"/>
      <w:r w:rsidRPr="002C5EE0">
        <w:rPr>
          <w:rFonts w:ascii="Times New Roman" w:hAnsi="Times New Roman" w:cs="Times New Roman"/>
          <w:color w:val="000000"/>
          <w:sz w:val="20"/>
          <w:szCs w:val="20"/>
        </w:rPr>
        <w:t>, Ovulation induction</w:t>
      </w:r>
      <w:r w:rsidRPr="002C5EE0">
        <w:rPr>
          <w:rFonts w:ascii="Times New Roman" w:hAnsi="Times New Roman" w:cs="Times New Roman"/>
          <w:b/>
          <w:bCs/>
          <w:color w:val="000000"/>
          <w:sz w:val="20"/>
          <w:szCs w:val="20"/>
        </w:rPr>
        <w:t xml:space="preserve">, </w:t>
      </w:r>
      <w:r w:rsidRPr="002C5EE0">
        <w:rPr>
          <w:rFonts w:ascii="Times New Roman" w:hAnsi="Times New Roman" w:cs="Times New Roman"/>
          <w:color w:val="000000"/>
          <w:sz w:val="20"/>
          <w:szCs w:val="20"/>
        </w:rPr>
        <w:t xml:space="preserve">Polycystic ovarian syndrome, </w:t>
      </w:r>
      <w:proofErr w:type="spellStart"/>
      <w:r w:rsidRPr="002C5EE0">
        <w:rPr>
          <w:rFonts w:ascii="Times New Roman" w:hAnsi="Times New Roman" w:cs="Times New Roman"/>
          <w:color w:val="000000"/>
          <w:sz w:val="20"/>
          <w:szCs w:val="20"/>
        </w:rPr>
        <w:t>Tamoxifen</w:t>
      </w:r>
      <w:proofErr w:type="spellEnd"/>
      <w:r w:rsidRPr="002C5EE0">
        <w:rPr>
          <w:rFonts w:ascii="Times New Roman" w:hAnsi="Times New Roman" w:cs="Times New Roman"/>
          <w:color w:val="000000"/>
          <w:sz w:val="20"/>
          <w:szCs w:val="20"/>
        </w:rPr>
        <w:t>.</w:t>
      </w:r>
    </w:p>
    <w:p w:rsidR="002C5EE0" w:rsidRDefault="002C5EE0" w:rsidP="002C5EE0">
      <w:pPr>
        <w:bidi w:val="0"/>
        <w:snapToGrid w:val="0"/>
        <w:spacing w:after="0" w:line="240" w:lineRule="auto"/>
        <w:jc w:val="both"/>
        <w:rPr>
          <w:rFonts w:ascii="Times New Roman" w:eastAsia="Batang" w:hAnsi="Times New Roman" w:cs="Times New Roman"/>
          <w:b/>
          <w:bCs/>
          <w:color w:val="000000"/>
          <w:sz w:val="20"/>
          <w:szCs w:val="20"/>
        </w:rPr>
      </w:pPr>
    </w:p>
    <w:p w:rsidR="002C5EE0" w:rsidRPr="002C5EE0" w:rsidRDefault="002C5EE0" w:rsidP="002C5EE0">
      <w:pPr>
        <w:bidi w:val="0"/>
        <w:snapToGrid w:val="0"/>
        <w:spacing w:after="0" w:line="240" w:lineRule="auto"/>
        <w:jc w:val="both"/>
        <w:rPr>
          <w:rFonts w:ascii="Times New Roman" w:eastAsia="Batang" w:hAnsi="Times New Roman" w:cs="Times New Roman"/>
          <w:b/>
          <w:bCs/>
          <w:color w:val="000000"/>
          <w:sz w:val="20"/>
          <w:szCs w:val="20"/>
        </w:rPr>
        <w:sectPr w:rsidR="002C5EE0" w:rsidRPr="002C5EE0" w:rsidSect="004B07CF">
          <w:headerReference w:type="default" r:id="rId11"/>
          <w:footerReference w:type="default" r:id="rId12"/>
          <w:type w:val="continuous"/>
          <w:pgSz w:w="12242" w:h="15842" w:code="1"/>
          <w:pgMar w:top="1440" w:right="1440" w:bottom="1440" w:left="1440" w:header="720" w:footer="720" w:gutter="0"/>
          <w:cols w:space="708"/>
          <w:docGrid w:linePitch="360"/>
        </w:sectPr>
      </w:pPr>
    </w:p>
    <w:p w:rsidR="00296378" w:rsidRPr="002C5EE0" w:rsidRDefault="00A173BE" w:rsidP="002C5EE0">
      <w:pPr>
        <w:bidi w:val="0"/>
        <w:snapToGrid w:val="0"/>
        <w:spacing w:after="0" w:line="240" w:lineRule="auto"/>
        <w:jc w:val="both"/>
        <w:rPr>
          <w:rFonts w:ascii="Times New Roman" w:eastAsia="Times New Roman" w:hAnsi="Times New Roman" w:cs="Times New Roman"/>
          <w:b/>
          <w:bCs/>
          <w:color w:val="000000"/>
          <w:sz w:val="20"/>
          <w:szCs w:val="20"/>
        </w:rPr>
      </w:pPr>
      <w:r w:rsidRPr="002C5EE0">
        <w:rPr>
          <w:rFonts w:ascii="Times New Roman" w:eastAsia="Batang" w:hAnsi="Times New Roman" w:cs="Times New Roman"/>
          <w:b/>
          <w:bCs/>
          <w:color w:val="000000"/>
          <w:sz w:val="20"/>
          <w:szCs w:val="20"/>
        </w:rPr>
        <w:lastRenderedPageBreak/>
        <w:t xml:space="preserve">1. </w:t>
      </w:r>
      <w:r w:rsidR="00A00D8A" w:rsidRPr="002C5EE0">
        <w:rPr>
          <w:rFonts w:ascii="Times New Roman" w:eastAsia="Batang" w:hAnsi="Times New Roman" w:cs="Times New Roman"/>
          <w:b/>
          <w:bCs/>
          <w:color w:val="000000"/>
          <w:sz w:val="20"/>
          <w:szCs w:val="20"/>
        </w:rPr>
        <w:t>Introduction</w:t>
      </w:r>
    </w:p>
    <w:p w:rsidR="00296378" w:rsidRPr="002C5EE0" w:rsidRDefault="00296378" w:rsidP="002C5EE0">
      <w:pPr>
        <w:bidi w:val="0"/>
        <w:snapToGrid w:val="0"/>
        <w:spacing w:after="0" w:line="240" w:lineRule="auto"/>
        <w:ind w:firstLine="425"/>
        <w:jc w:val="both"/>
        <w:rPr>
          <w:rFonts w:ascii="Times New Roman" w:eastAsia="Times New Roman" w:hAnsi="Times New Roman" w:cs="Times New Roman"/>
          <w:color w:val="000000"/>
          <w:sz w:val="20"/>
          <w:szCs w:val="20"/>
        </w:rPr>
      </w:pPr>
      <w:r w:rsidRPr="002C5EE0">
        <w:rPr>
          <w:rFonts w:ascii="Times New Roman" w:eastAsia="Times New Roman" w:hAnsi="Times New Roman" w:cs="Times New Roman"/>
          <w:color w:val="000000"/>
          <w:sz w:val="20"/>
          <w:szCs w:val="20"/>
        </w:rPr>
        <w:t xml:space="preserve">Polycystic ovary syndrome (PCOS) is one of the most common causes of </w:t>
      </w:r>
      <w:proofErr w:type="spellStart"/>
      <w:r w:rsidRPr="002C5EE0">
        <w:rPr>
          <w:rFonts w:ascii="Times New Roman" w:eastAsia="Times New Roman" w:hAnsi="Times New Roman" w:cs="Times New Roman"/>
          <w:color w:val="000000"/>
          <w:sz w:val="20"/>
          <w:szCs w:val="20"/>
        </w:rPr>
        <w:t>anovulatory</w:t>
      </w:r>
      <w:proofErr w:type="spellEnd"/>
      <w:r w:rsidRPr="002C5EE0">
        <w:rPr>
          <w:rFonts w:ascii="Times New Roman" w:eastAsia="Times New Roman" w:hAnsi="Times New Roman" w:cs="Times New Roman"/>
          <w:color w:val="000000"/>
          <w:sz w:val="20"/>
          <w:szCs w:val="20"/>
        </w:rPr>
        <w:t xml:space="preserve"> infertility which affects 4-7% of women worldwide. It is by far the most common cause of hyper androgenic </w:t>
      </w:r>
      <w:proofErr w:type="spellStart"/>
      <w:r w:rsidRPr="002C5EE0">
        <w:rPr>
          <w:rFonts w:ascii="Times New Roman" w:eastAsia="Times New Roman" w:hAnsi="Times New Roman" w:cs="Times New Roman"/>
          <w:color w:val="000000"/>
          <w:sz w:val="20"/>
          <w:szCs w:val="20"/>
        </w:rPr>
        <w:t>anovulatory</w:t>
      </w:r>
      <w:proofErr w:type="spellEnd"/>
      <w:r w:rsidRPr="002C5EE0">
        <w:rPr>
          <w:rFonts w:ascii="Times New Roman" w:eastAsia="Times New Roman" w:hAnsi="Times New Roman" w:cs="Times New Roman"/>
          <w:color w:val="000000"/>
          <w:sz w:val="20"/>
          <w:szCs w:val="20"/>
        </w:rPr>
        <w:t xml:space="preserve"> infertility and was described more than half a century ago, the underlying cause of this disorder is still uncertain </w:t>
      </w:r>
      <w:r w:rsidRPr="002C5EE0">
        <w:rPr>
          <w:rFonts w:ascii="Times New Roman" w:eastAsia="Times New Roman" w:hAnsi="Times New Roman" w:cs="Times New Roman"/>
          <w:b/>
          <w:i/>
          <w:color w:val="000000"/>
          <w:sz w:val="20"/>
          <w:szCs w:val="20"/>
        </w:rPr>
        <w:t>(Weil et al., 1999)</w:t>
      </w:r>
      <w:r w:rsidRPr="002C5EE0">
        <w:rPr>
          <w:rFonts w:ascii="Times New Roman" w:eastAsia="Times New Roman" w:hAnsi="Times New Roman" w:cs="Times New Roman"/>
          <w:b/>
          <w:color w:val="000000"/>
          <w:sz w:val="20"/>
          <w:szCs w:val="20"/>
        </w:rPr>
        <w:t>.</w:t>
      </w:r>
    </w:p>
    <w:p w:rsidR="00296378" w:rsidRPr="002C5EE0" w:rsidRDefault="00296378" w:rsidP="002C5EE0">
      <w:pPr>
        <w:bidi w:val="0"/>
        <w:snapToGrid w:val="0"/>
        <w:spacing w:after="0" w:line="240" w:lineRule="auto"/>
        <w:ind w:firstLine="425"/>
        <w:jc w:val="both"/>
        <w:rPr>
          <w:rFonts w:ascii="Times New Roman" w:eastAsia="Times New Roman" w:hAnsi="Times New Roman" w:cs="Times New Roman"/>
          <w:b/>
          <w:color w:val="000000"/>
          <w:sz w:val="20"/>
          <w:szCs w:val="20"/>
        </w:rPr>
      </w:pPr>
      <w:proofErr w:type="spellStart"/>
      <w:r w:rsidRPr="002C5EE0">
        <w:rPr>
          <w:rFonts w:ascii="Times New Roman" w:eastAsia="Times New Roman" w:hAnsi="Times New Roman" w:cs="Times New Roman"/>
          <w:color w:val="000000"/>
          <w:sz w:val="20"/>
          <w:szCs w:val="20"/>
        </w:rPr>
        <w:t>Clomiphene</w:t>
      </w:r>
      <w:proofErr w:type="spellEnd"/>
      <w:r w:rsidRPr="002C5EE0">
        <w:rPr>
          <w:rFonts w:ascii="Times New Roman" w:eastAsia="Times New Roman" w:hAnsi="Times New Roman" w:cs="Times New Roman"/>
          <w:color w:val="000000"/>
          <w:sz w:val="20"/>
          <w:szCs w:val="20"/>
        </w:rPr>
        <w:t xml:space="preserve"> Citrate (CC), a selective estrogen-receptor modulator that antagonizes the negative feedback of estrogen at the hypothalamus with a consequent increase in ovarian stimulation by endogenous </w:t>
      </w:r>
      <w:proofErr w:type="spellStart"/>
      <w:r w:rsidRPr="002C5EE0">
        <w:rPr>
          <w:rFonts w:ascii="Times New Roman" w:eastAsia="Times New Roman" w:hAnsi="Times New Roman" w:cs="Times New Roman"/>
          <w:color w:val="000000"/>
          <w:sz w:val="20"/>
          <w:szCs w:val="20"/>
        </w:rPr>
        <w:t>gonadotropin</w:t>
      </w:r>
      <w:proofErr w:type="spellEnd"/>
      <w:r w:rsidRPr="002C5EE0">
        <w:rPr>
          <w:rFonts w:ascii="Times New Roman" w:eastAsia="Times New Roman" w:hAnsi="Times New Roman" w:cs="Times New Roman"/>
          <w:color w:val="000000"/>
          <w:sz w:val="20"/>
          <w:szCs w:val="20"/>
        </w:rPr>
        <w:t xml:space="preserve"> has become the most widely prescribed drug for ovulation induction to reverse </w:t>
      </w:r>
      <w:proofErr w:type="spellStart"/>
      <w:r w:rsidRPr="002C5EE0">
        <w:rPr>
          <w:rFonts w:ascii="Times New Roman" w:eastAsia="Times New Roman" w:hAnsi="Times New Roman" w:cs="Times New Roman"/>
          <w:color w:val="000000"/>
          <w:sz w:val="20"/>
          <w:szCs w:val="20"/>
        </w:rPr>
        <w:t>anovulation</w:t>
      </w:r>
      <w:proofErr w:type="spellEnd"/>
      <w:r w:rsidRPr="002C5EE0">
        <w:rPr>
          <w:rFonts w:ascii="Times New Roman" w:eastAsia="Times New Roman" w:hAnsi="Times New Roman" w:cs="Times New Roman"/>
          <w:color w:val="000000"/>
          <w:sz w:val="20"/>
          <w:szCs w:val="20"/>
        </w:rPr>
        <w:t xml:space="preserve"> or </w:t>
      </w:r>
      <w:proofErr w:type="spellStart"/>
      <w:r w:rsidRPr="002C5EE0">
        <w:rPr>
          <w:rFonts w:ascii="Times New Roman" w:eastAsia="Times New Roman" w:hAnsi="Times New Roman" w:cs="Times New Roman"/>
          <w:color w:val="000000"/>
          <w:sz w:val="20"/>
          <w:szCs w:val="20"/>
        </w:rPr>
        <w:t>oligoovulatio</w:t>
      </w:r>
      <w:r w:rsidR="004B07CF" w:rsidRPr="002C5EE0">
        <w:rPr>
          <w:rFonts w:ascii="Times New Roman" w:eastAsia="Times New Roman" w:hAnsi="Times New Roman" w:cs="Times New Roman"/>
          <w:color w:val="000000"/>
          <w:sz w:val="20"/>
          <w:szCs w:val="20"/>
        </w:rPr>
        <w:t>n</w:t>
      </w:r>
      <w:proofErr w:type="spellEnd"/>
      <w:r w:rsidR="004B07CF" w:rsidRPr="002C5EE0">
        <w:rPr>
          <w:rFonts w:ascii="Times New Roman" w:eastAsia="Times New Roman" w:hAnsi="Times New Roman" w:cs="Times New Roman"/>
          <w:color w:val="000000"/>
          <w:sz w:val="20"/>
          <w:szCs w:val="20"/>
        </w:rPr>
        <w:t xml:space="preserve"> </w:t>
      </w:r>
      <w:r w:rsidR="004B07CF" w:rsidRPr="002C5EE0">
        <w:rPr>
          <w:rFonts w:ascii="Times New Roman" w:eastAsia="Times New Roman" w:hAnsi="Times New Roman" w:cs="Times New Roman"/>
          <w:b/>
          <w:i/>
          <w:color w:val="000000"/>
          <w:sz w:val="20"/>
          <w:szCs w:val="20"/>
        </w:rPr>
        <w:t>(</w:t>
      </w:r>
      <w:r w:rsidRPr="002C5EE0">
        <w:rPr>
          <w:rFonts w:ascii="Times New Roman" w:eastAsia="Times New Roman" w:hAnsi="Times New Roman" w:cs="Times New Roman"/>
          <w:b/>
          <w:i/>
          <w:color w:val="000000"/>
          <w:sz w:val="20"/>
          <w:szCs w:val="20"/>
        </w:rPr>
        <w:t>The Practice Committee of the American Society for Reproductiv</w:t>
      </w:r>
      <w:r w:rsidR="002C5EE0" w:rsidRPr="002C5EE0">
        <w:rPr>
          <w:rFonts w:ascii="Times New Roman" w:eastAsia="Times New Roman" w:hAnsi="Times New Roman" w:cs="Times New Roman"/>
          <w:b/>
          <w:i/>
          <w:color w:val="000000"/>
          <w:sz w:val="20"/>
          <w:szCs w:val="20"/>
        </w:rPr>
        <w:t>e</w:t>
      </w:r>
      <w:r w:rsidR="002C5EE0">
        <w:rPr>
          <w:rFonts w:ascii="Times New Roman" w:eastAsia="Times New Roman" w:hAnsi="Times New Roman" w:cs="Times New Roman"/>
          <w:b/>
          <w:i/>
          <w:color w:val="000000"/>
          <w:sz w:val="20"/>
          <w:szCs w:val="20"/>
        </w:rPr>
        <w:t xml:space="preserve"> </w:t>
      </w:r>
      <w:r w:rsidR="002C5EE0" w:rsidRPr="002C5EE0">
        <w:rPr>
          <w:rFonts w:ascii="Times New Roman" w:eastAsia="Times New Roman" w:hAnsi="Times New Roman" w:cs="Times New Roman"/>
          <w:b/>
          <w:i/>
          <w:color w:val="000000"/>
          <w:sz w:val="20"/>
          <w:szCs w:val="20"/>
        </w:rPr>
        <w:t>M</w:t>
      </w:r>
      <w:r w:rsidRPr="002C5EE0">
        <w:rPr>
          <w:rFonts w:ascii="Times New Roman" w:eastAsia="Times New Roman" w:hAnsi="Times New Roman" w:cs="Times New Roman"/>
          <w:b/>
          <w:i/>
          <w:color w:val="000000"/>
          <w:sz w:val="20"/>
          <w:szCs w:val="20"/>
        </w:rPr>
        <w:t>edicine, 2013).</w:t>
      </w:r>
    </w:p>
    <w:p w:rsidR="00296378" w:rsidRPr="002C5EE0" w:rsidRDefault="00296378" w:rsidP="002C5EE0">
      <w:pPr>
        <w:bidi w:val="0"/>
        <w:snapToGrid w:val="0"/>
        <w:spacing w:after="0" w:line="240" w:lineRule="auto"/>
        <w:ind w:firstLine="425"/>
        <w:jc w:val="both"/>
        <w:rPr>
          <w:rFonts w:ascii="Times New Roman" w:eastAsia="Times New Roman" w:hAnsi="Times New Roman" w:cs="Times New Roman"/>
          <w:color w:val="000000"/>
          <w:sz w:val="20"/>
          <w:szCs w:val="20"/>
        </w:rPr>
      </w:pPr>
      <w:r w:rsidRPr="002C5EE0">
        <w:rPr>
          <w:rFonts w:ascii="Times New Roman" w:eastAsia="Times New Roman" w:hAnsi="Times New Roman" w:cs="Times New Roman"/>
          <w:color w:val="000000"/>
          <w:sz w:val="20"/>
          <w:szCs w:val="20"/>
        </w:rPr>
        <w:t xml:space="preserve">The therapeutic strategies for </w:t>
      </w:r>
      <w:proofErr w:type="spellStart"/>
      <w:r w:rsidRPr="002C5EE0">
        <w:rPr>
          <w:rFonts w:ascii="Times New Roman" w:eastAsia="Times New Roman" w:hAnsi="Times New Roman" w:cs="Times New Roman"/>
          <w:color w:val="000000"/>
          <w:sz w:val="20"/>
          <w:szCs w:val="20"/>
        </w:rPr>
        <w:t>clomiphene</w:t>
      </w:r>
      <w:proofErr w:type="spellEnd"/>
      <w:r w:rsidRPr="002C5EE0">
        <w:rPr>
          <w:rFonts w:ascii="Times New Roman" w:eastAsia="Times New Roman" w:hAnsi="Times New Roman" w:cs="Times New Roman"/>
          <w:color w:val="000000"/>
          <w:sz w:val="20"/>
          <w:szCs w:val="20"/>
        </w:rPr>
        <w:t xml:space="preserve"> citrate resistant patients include the addition of corticosteroid such as: </w:t>
      </w:r>
      <w:proofErr w:type="spellStart"/>
      <w:r w:rsidRPr="002C5EE0">
        <w:rPr>
          <w:rFonts w:ascii="Times New Roman" w:eastAsia="Times New Roman" w:hAnsi="Times New Roman" w:cs="Times New Roman"/>
          <w:color w:val="000000"/>
          <w:sz w:val="20"/>
          <w:szCs w:val="20"/>
        </w:rPr>
        <w:t>dexamethasone</w:t>
      </w:r>
      <w:proofErr w:type="spellEnd"/>
      <w:r w:rsidRPr="002C5EE0">
        <w:rPr>
          <w:rFonts w:ascii="Times New Roman" w:eastAsia="Times New Roman" w:hAnsi="Times New Roman" w:cs="Times New Roman"/>
          <w:color w:val="000000"/>
          <w:sz w:val="20"/>
          <w:szCs w:val="20"/>
        </w:rPr>
        <w:t>, (</w:t>
      </w:r>
      <w:proofErr w:type="spellStart"/>
      <w:r w:rsidRPr="002C5EE0">
        <w:rPr>
          <w:rFonts w:ascii="Times New Roman" w:eastAsia="Times New Roman" w:hAnsi="Times New Roman" w:cs="Times New Roman"/>
          <w:b/>
          <w:i/>
          <w:color w:val="000000"/>
          <w:sz w:val="20"/>
          <w:szCs w:val="20"/>
        </w:rPr>
        <w:t>Elnashar</w:t>
      </w:r>
      <w:proofErr w:type="spellEnd"/>
      <w:r w:rsidRPr="002C5EE0">
        <w:rPr>
          <w:rFonts w:ascii="Times New Roman" w:eastAsia="Times New Roman" w:hAnsi="Times New Roman" w:cs="Times New Roman"/>
          <w:b/>
          <w:i/>
          <w:color w:val="000000"/>
          <w:sz w:val="20"/>
          <w:szCs w:val="20"/>
        </w:rPr>
        <w:t xml:space="preserve"> et al., 2006) </w:t>
      </w:r>
      <w:r w:rsidRPr="002C5EE0">
        <w:rPr>
          <w:rFonts w:ascii="Times New Roman" w:eastAsia="Times New Roman" w:hAnsi="Times New Roman" w:cs="Times New Roman"/>
          <w:color w:val="000000"/>
          <w:sz w:val="20"/>
          <w:szCs w:val="20"/>
        </w:rPr>
        <w:t xml:space="preserve">extended duration of </w:t>
      </w:r>
      <w:proofErr w:type="spellStart"/>
      <w:r w:rsidRPr="002C5EE0">
        <w:rPr>
          <w:rFonts w:ascii="Times New Roman" w:eastAsia="Times New Roman" w:hAnsi="Times New Roman" w:cs="Times New Roman"/>
          <w:color w:val="000000"/>
          <w:sz w:val="20"/>
          <w:szCs w:val="20"/>
        </w:rPr>
        <w:t>clomiphene</w:t>
      </w:r>
      <w:proofErr w:type="spellEnd"/>
      <w:r w:rsidRPr="002C5EE0">
        <w:rPr>
          <w:rFonts w:ascii="Times New Roman" w:eastAsia="Times New Roman" w:hAnsi="Times New Roman" w:cs="Times New Roman"/>
          <w:color w:val="000000"/>
          <w:sz w:val="20"/>
          <w:szCs w:val="20"/>
        </w:rPr>
        <w:t xml:space="preserve">, </w:t>
      </w:r>
      <w:r w:rsidRPr="002C5EE0">
        <w:rPr>
          <w:rFonts w:ascii="Times New Roman" w:eastAsia="Times New Roman" w:hAnsi="Times New Roman" w:cs="Times New Roman"/>
          <w:b/>
          <w:i/>
          <w:color w:val="000000"/>
          <w:sz w:val="20"/>
          <w:szCs w:val="20"/>
        </w:rPr>
        <w:t>(</w:t>
      </w:r>
      <w:proofErr w:type="spellStart"/>
      <w:r w:rsidRPr="002C5EE0">
        <w:rPr>
          <w:rFonts w:ascii="Times New Roman" w:eastAsia="Times New Roman" w:hAnsi="Times New Roman" w:cs="Times New Roman"/>
          <w:b/>
          <w:i/>
          <w:color w:val="000000"/>
          <w:sz w:val="20"/>
          <w:szCs w:val="20"/>
        </w:rPr>
        <w:t>Badawy</w:t>
      </w:r>
      <w:proofErr w:type="spellEnd"/>
      <w:r w:rsidRPr="002C5EE0">
        <w:rPr>
          <w:rFonts w:ascii="Times New Roman" w:eastAsia="Times New Roman" w:hAnsi="Times New Roman" w:cs="Times New Roman"/>
          <w:b/>
          <w:i/>
          <w:color w:val="000000"/>
          <w:sz w:val="20"/>
          <w:szCs w:val="20"/>
        </w:rPr>
        <w:t xml:space="preserve"> et al., 2008)</w:t>
      </w:r>
      <w:r w:rsidRPr="002C5EE0">
        <w:rPr>
          <w:rFonts w:ascii="Times New Roman" w:eastAsia="Times New Roman" w:hAnsi="Times New Roman" w:cs="Times New Roman"/>
          <w:color w:val="000000"/>
          <w:sz w:val="20"/>
          <w:szCs w:val="20"/>
        </w:rPr>
        <w:t xml:space="preserve"> the use of </w:t>
      </w:r>
      <w:proofErr w:type="spellStart"/>
      <w:r w:rsidRPr="002C5EE0">
        <w:rPr>
          <w:rFonts w:ascii="Times New Roman" w:eastAsia="Times New Roman" w:hAnsi="Times New Roman" w:cs="Times New Roman"/>
          <w:color w:val="000000"/>
          <w:sz w:val="20"/>
          <w:szCs w:val="20"/>
        </w:rPr>
        <w:t>aromatase</w:t>
      </w:r>
      <w:proofErr w:type="spellEnd"/>
      <w:r w:rsidRPr="002C5EE0">
        <w:rPr>
          <w:rFonts w:ascii="Times New Roman" w:eastAsia="Times New Roman" w:hAnsi="Times New Roman" w:cs="Times New Roman"/>
          <w:color w:val="000000"/>
          <w:sz w:val="20"/>
          <w:szCs w:val="20"/>
        </w:rPr>
        <w:t xml:space="preserve"> inhibitors (</w:t>
      </w:r>
      <w:proofErr w:type="spellStart"/>
      <w:r w:rsidRPr="002C5EE0">
        <w:rPr>
          <w:rFonts w:ascii="Times New Roman" w:eastAsia="Times New Roman" w:hAnsi="Times New Roman" w:cs="Times New Roman"/>
          <w:b/>
          <w:i/>
          <w:color w:val="000000"/>
          <w:sz w:val="20"/>
          <w:szCs w:val="20"/>
        </w:rPr>
        <w:t>Badawy</w:t>
      </w:r>
      <w:proofErr w:type="spellEnd"/>
      <w:r w:rsidRPr="002C5EE0">
        <w:rPr>
          <w:rFonts w:ascii="Times New Roman" w:eastAsia="Times New Roman" w:hAnsi="Times New Roman" w:cs="Times New Roman"/>
          <w:b/>
          <w:i/>
          <w:color w:val="000000"/>
          <w:sz w:val="20"/>
          <w:szCs w:val="20"/>
        </w:rPr>
        <w:t xml:space="preserve"> et al., 2008),</w:t>
      </w:r>
      <w:r w:rsidRPr="002C5EE0">
        <w:rPr>
          <w:rFonts w:ascii="Times New Roman" w:eastAsia="Times New Roman" w:hAnsi="Times New Roman" w:cs="Times New Roman"/>
          <w:color w:val="000000"/>
          <w:sz w:val="20"/>
          <w:szCs w:val="20"/>
        </w:rPr>
        <w:t xml:space="preserve"> laparoscopic ovarian drilling, or in vitro fertilization </w:t>
      </w:r>
      <w:r w:rsidRPr="002C5EE0">
        <w:rPr>
          <w:rFonts w:ascii="Times New Roman" w:eastAsia="Times New Roman" w:hAnsi="Times New Roman" w:cs="Times New Roman"/>
          <w:b/>
          <w:i/>
          <w:color w:val="000000"/>
          <w:sz w:val="20"/>
          <w:szCs w:val="20"/>
        </w:rPr>
        <w:t>(Thessaloniki, 2008).</w:t>
      </w:r>
    </w:p>
    <w:p w:rsidR="007A1D81" w:rsidRPr="002C5EE0" w:rsidRDefault="007A1D81" w:rsidP="002C5EE0">
      <w:pPr>
        <w:bidi w:val="0"/>
        <w:snapToGrid w:val="0"/>
        <w:spacing w:after="0" w:line="240" w:lineRule="auto"/>
        <w:ind w:firstLine="425"/>
        <w:jc w:val="both"/>
        <w:rPr>
          <w:rFonts w:ascii="Times New Roman" w:eastAsia="Times New Roman" w:hAnsi="Times New Roman" w:cs="Times New Roman"/>
          <w:color w:val="000000"/>
          <w:sz w:val="20"/>
          <w:szCs w:val="20"/>
        </w:rPr>
      </w:pPr>
      <w:proofErr w:type="spellStart"/>
      <w:r w:rsidRPr="002C5EE0">
        <w:rPr>
          <w:rFonts w:ascii="Times New Roman" w:eastAsia="Times New Roman" w:hAnsi="Times New Roman" w:cs="Times New Roman"/>
          <w:i/>
          <w:color w:val="000000"/>
          <w:sz w:val="20"/>
          <w:szCs w:val="20"/>
        </w:rPr>
        <w:t>Letrozol</w:t>
      </w:r>
      <w:proofErr w:type="spellEnd"/>
      <w:r w:rsidRPr="002C5EE0">
        <w:rPr>
          <w:rFonts w:ascii="Times New Roman" w:eastAsia="Times New Roman" w:hAnsi="Times New Roman" w:cs="Times New Roman"/>
          <w:i/>
          <w:color w:val="000000"/>
          <w:sz w:val="20"/>
          <w:szCs w:val="20"/>
        </w:rPr>
        <w:t xml:space="preserve"> is an </w:t>
      </w:r>
      <w:proofErr w:type="spellStart"/>
      <w:r w:rsidRPr="002C5EE0">
        <w:rPr>
          <w:rFonts w:ascii="Times New Roman" w:eastAsia="Times New Roman" w:hAnsi="Times New Roman" w:cs="Times New Roman"/>
          <w:i/>
          <w:color w:val="000000"/>
          <w:sz w:val="20"/>
          <w:szCs w:val="20"/>
        </w:rPr>
        <w:t>aromatase</w:t>
      </w:r>
      <w:proofErr w:type="spellEnd"/>
      <w:r w:rsidRPr="002C5EE0">
        <w:rPr>
          <w:rFonts w:ascii="Times New Roman" w:eastAsia="Times New Roman" w:hAnsi="Times New Roman" w:cs="Times New Roman"/>
          <w:i/>
          <w:color w:val="000000"/>
          <w:sz w:val="20"/>
          <w:szCs w:val="20"/>
        </w:rPr>
        <w:t xml:space="preserve"> inhibitor</w:t>
      </w:r>
      <w:r w:rsidRPr="002C5EE0">
        <w:rPr>
          <w:rFonts w:ascii="Times New Roman" w:eastAsia="Times New Roman" w:hAnsi="Times New Roman" w:cs="Times New Roman"/>
          <w:color w:val="000000"/>
          <w:sz w:val="20"/>
          <w:szCs w:val="20"/>
        </w:rPr>
        <w:t xml:space="preserve"> and before the onset of </w:t>
      </w:r>
      <w:proofErr w:type="spellStart"/>
      <w:r w:rsidRPr="002C5EE0">
        <w:rPr>
          <w:rFonts w:ascii="Times New Roman" w:eastAsia="Times New Roman" w:hAnsi="Times New Roman" w:cs="Times New Roman"/>
          <w:color w:val="000000"/>
          <w:sz w:val="20"/>
          <w:szCs w:val="20"/>
        </w:rPr>
        <w:t>letrozole</w:t>
      </w:r>
      <w:proofErr w:type="spellEnd"/>
      <w:r w:rsidRPr="002C5EE0">
        <w:rPr>
          <w:rFonts w:ascii="Times New Roman" w:eastAsia="Times New Roman" w:hAnsi="Times New Roman" w:cs="Times New Roman"/>
          <w:color w:val="000000"/>
          <w:sz w:val="20"/>
          <w:szCs w:val="20"/>
        </w:rPr>
        <w:t xml:space="preserve"> administration, early pregnancy </w:t>
      </w:r>
      <w:r w:rsidRPr="002C5EE0">
        <w:rPr>
          <w:rFonts w:ascii="Times New Roman" w:eastAsia="Times New Roman" w:hAnsi="Times New Roman" w:cs="Times New Roman"/>
          <w:color w:val="000000"/>
          <w:sz w:val="20"/>
          <w:szCs w:val="20"/>
        </w:rPr>
        <w:lastRenderedPageBreak/>
        <w:t xml:space="preserve">should be ruled out, since information regarding possible </w:t>
      </w:r>
      <w:proofErr w:type="spellStart"/>
      <w:r w:rsidRPr="002C5EE0">
        <w:rPr>
          <w:rFonts w:ascii="Times New Roman" w:eastAsia="Times New Roman" w:hAnsi="Times New Roman" w:cs="Times New Roman"/>
          <w:color w:val="000000"/>
          <w:sz w:val="20"/>
          <w:szCs w:val="20"/>
        </w:rPr>
        <w:t>teratogenic</w:t>
      </w:r>
      <w:proofErr w:type="spellEnd"/>
      <w:r w:rsidRPr="002C5EE0">
        <w:rPr>
          <w:rFonts w:ascii="Times New Roman" w:eastAsia="Times New Roman" w:hAnsi="Times New Roman" w:cs="Times New Roman"/>
          <w:color w:val="000000"/>
          <w:sz w:val="20"/>
          <w:szCs w:val="20"/>
        </w:rPr>
        <w:t xml:space="preserve"> effects of this drug is limited (</w:t>
      </w:r>
      <w:r w:rsidRPr="002C5EE0">
        <w:rPr>
          <w:rFonts w:ascii="Times New Roman" w:eastAsia="Times New Roman" w:hAnsi="Times New Roman" w:cs="Times New Roman"/>
          <w:b/>
          <w:i/>
          <w:color w:val="000000"/>
          <w:sz w:val="20"/>
          <w:szCs w:val="20"/>
        </w:rPr>
        <w:t>Casper, 2003).</w:t>
      </w:r>
    </w:p>
    <w:p w:rsidR="002C5EE0" w:rsidRDefault="007A1D81" w:rsidP="002C5EE0">
      <w:pPr>
        <w:bidi w:val="0"/>
        <w:snapToGrid w:val="0"/>
        <w:spacing w:after="0" w:line="240" w:lineRule="auto"/>
        <w:ind w:firstLine="425"/>
        <w:jc w:val="both"/>
        <w:rPr>
          <w:rFonts w:ascii="Times New Roman" w:eastAsia="Times New Roman" w:hAnsi="Times New Roman" w:cs="Times New Roman"/>
          <w:b/>
          <w:i/>
          <w:color w:val="000000"/>
          <w:sz w:val="20"/>
          <w:szCs w:val="20"/>
        </w:rPr>
      </w:pPr>
      <w:proofErr w:type="spellStart"/>
      <w:r w:rsidRPr="002C5EE0">
        <w:rPr>
          <w:rFonts w:ascii="Times New Roman" w:eastAsia="Times New Roman" w:hAnsi="Times New Roman" w:cs="Times New Roman"/>
          <w:color w:val="000000"/>
          <w:sz w:val="20"/>
          <w:szCs w:val="20"/>
        </w:rPr>
        <w:t>Tamoxifen</w:t>
      </w:r>
      <w:proofErr w:type="spellEnd"/>
      <w:r w:rsidRPr="002C5EE0">
        <w:rPr>
          <w:rFonts w:ascii="Times New Roman" w:eastAsia="Times New Roman" w:hAnsi="Times New Roman" w:cs="Times New Roman"/>
          <w:color w:val="000000"/>
          <w:sz w:val="20"/>
          <w:szCs w:val="20"/>
        </w:rPr>
        <w:t xml:space="preserve"> citrate (TMX) is a </w:t>
      </w:r>
      <w:proofErr w:type="spellStart"/>
      <w:r w:rsidRPr="002C5EE0">
        <w:rPr>
          <w:rFonts w:ascii="Times New Roman" w:eastAsia="Times New Roman" w:hAnsi="Times New Roman" w:cs="Times New Roman"/>
          <w:color w:val="000000"/>
          <w:sz w:val="20"/>
          <w:szCs w:val="20"/>
        </w:rPr>
        <w:t>triphenyl</w:t>
      </w:r>
      <w:proofErr w:type="spellEnd"/>
      <w:r w:rsidRPr="002C5EE0">
        <w:rPr>
          <w:rFonts w:ascii="Times New Roman" w:eastAsia="Times New Roman" w:hAnsi="Times New Roman" w:cs="Times New Roman"/>
          <w:color w:val="000000"/>
          <w:sz w:val="20"/>
          <w:szCs w:val="20"/>
        </w:rPr>
        <w:t xml:space="preserve"> ethylene derivative with a structure similar to CC. The suggested dose is 20-40 </w:t>
      </w:r>
      <w:r w:rsidRPr="002C5EE0">
        <w:rPr>
          <w:rFonts w:ascii="Times New Roman" w:eastAsia="Times New Roman" w:hAnsi="Times New Roman" w:cs="Times New Roman"/>
          <w:i/>
          <w:color w:val="000000"/>
          <w:sz w:val="20"/>
          <w:szCs w:val="20"/>
        </w:rPr>
        <w:t>mg</w:t>
      </w:r>
      <w:r w:rsidRPr="002C5EE0">
        <w:rPr>
          <w:rFonts w:ascii="Times New Roman" w:eastAsia="Times New Roman" w:hAnsi="Times New Roman" w:cs="Times New Roman"/>
          <w:color w:val="000000"/>
          <w:sz w:val="20"/>
          <w:szCs w:val="20"/>
        </w:rPr>
        <w:t xml:space="preserve"> daily in ovulation-induction, beginning on cycle day 3, and it continues for 5 days (</w:t>
      </w:r>
      <w:r w:rsidRPr="002C5EE0">
        <w:rPr>
          <w:rFonts w:ascii="Times New Roman" w:eastAsia="Times New Roman" w:hAnsi="Times New Roman" w:cs="Times New Roman"/>
          <w:b/>
          <w:i/>
          <w:color w:val="000000"/>
          <w:sz w:val="20"/>
          <w:szCs w:val="20"/>
        </w:rPr>
        <w:t>EL-</w:t>
      </w:r>
      <w:proofErr w:type="spellStart"/>
      <w:r w:rsidRPr="002C5EE0">
        <w:rPr>
          <w:rFonts w:ascii="Times New Roman" w:eastAsia="Times New Roman" w:hAnsi="Times New Roman" w:cs="Times New Roman"/>
          <w:b/>
          <w:i/>
          <w:color w:val="000000"/>
          <w:sz w:val="20"/>
          <w:szCs w:val="20"/>
        </w:rPr>
        <w:t>Gharib</w:t>
      </w:r>
      <w:proofErr w:type="spellEnd"/>
      <w:r w:rsidRPr="002C5EE0">
        <w:rPr>
          <w:rFonts w:ascii="Times New Roman" w:eastAsia="Times New Roman" w:hAnsi="Times New Roman" w:cs="Times New Roman"/>
          <w:b/>
          <w:i/>
          <w:color w:val="000000"/>
          <w:sz w:val="20"/>
          <w:szCs w:val="20"/>
        </w:rPr>
        <w:t xml:space="preserve"> et al., 2014)</w:t>
      </w:r>
      <w:r w:rsidRPr="002C5EE0">
        <w:rPr>
          <w:rFonts w:ascii="Times New Roman" w:eastAsia="Times New Roman" w:hAnsi="Times New Roman" w:cs="Times New Roman"/>
          <w:color w:val="000000"/>
          <w:sz w:val="20"/>
          <w:szCs w:val="20"/>
        </w:rPr>
        <w:t xml:space="preserve">. It is less frequently used for ovulation induction as this indication is not licensed, although it is sometimes prescribed for women who experience side effects of </w:t>
      </w:r>
      <w:proofErr w:type="spellStart"/>
      <w:r w:rsidRPr="002C5EE0">
        <w:rPr>
          <w:rFonts w:ascii="Times New Roman" w:eastAsia="Times New Roman" w:hAnsi="Times New Roman" w:cs="Times New Roman"/>
          <w:color w:val="000000"/>
          <w:sz w:val="20"/>
          <w:szCs w:val="20"/>
        </w:rPr>
        <w:t>Clomiphene</w:t>
      </w:r>
      <w:proofErr w:type="spellEnd"/>
      <w:r w:rsidRPr="002C5EE0">
        <w:rPr>
          <w:rFonts w:ascii="Times New Roman" w:eastAsia="Times New Roman" w:hAnsi="Times New Roman" w:cs="Times New Roman"/>
          <w:color w:val="000000"/>
          <w:sz w:val="20"/>
          <w:szCs w:val="20"/>
        </w:rPr>
        <w:t xml:space="preserve"> citrate (CC) administration, and a meta-analysis has shown the comparative rates of ovulation when compared with </w:t>
      </w:r>
      <w:proofErr w:type="spellStart"/>
      <w:r w:rsidRPr="002C5EE0">
        <w:rPr>
          <w:rFonts w:ascii="Times New Roman" w:eastAsia="Times New Roman" w:hAnsi="Times New Roman" w:cs="Times New Roman"/>
          <w:color w:val="000000"/>
          <w:sz w:val="20"/>
          <w:szCs w:val="20"/>
        </w:rPr>
        <w:t>Clomiphene</w:t>
      </w:r>
      <w:proofErr w:type="spellEnd"/>
      <w:r w:rsidRPr="002C5EE0">
        <w:rPr>
          <w:rFonts w:ascii="Times New Roman" w:eastAsia="Times New Roman" w:hAnsi="Times New Roman" w:cs="Times New Roman"/>
          <w:color w:val="000000"/>
          <w:sz w:val="20"/>
          <w:szCs w:val="20"/>
        </w:rPr>
        <w:t xml:space="preserve"> citrate</w:t>
      </w:r>
      <w:r w:rsidR="002C5EE0">
        <w:rPr>
          <w:rFonts w:ascii="Times New Roman" w:eastAsia="Times New Roman" w:hAnsi="Times New Roman" w:cs="Times New Roman"/>
          <w:color w:val="000000"/>
          <w:sz w:val="20"/>
          <w:szCs w:val="20"/>
        </w:rPr>
        <w:t xml:space="preserve"> </w:t>
      </w:r>
      <w:r w:rsidRPr="002C5EE0">
        <w:rPr>
          <w:rFonts w:ascii="Times New Roman" w:eastAsia="Times New Roman" w:hAnsi="Times New Roman" w:cs="Times New Roman"/>
          <w:color w:val="000000"/>
          <w:sz w:val="20"/>
          <w:szCs w:val="20"/>
        </w:rPr>
        <w:t xml:space="preserve">(CC) </w:t>
      </w:r>
      <w:r w:rsidRPr="002C5EE0">
        <w:rPr>
          <w:rFonts w:ascii="Times New Roman" w:eastAsia="Times New Roman" w:hAnsi="Times New Roman" w:cs="Times New Roman"/>
          <w:b/>
          <w:i/>
          <w:color w:val="000000"/>
          <w:sz w:val="20"/>
          <w:szCs w:val="20"/>
        </w:rPr>
        <w:t>(Brown et al., 2009</w:t>
      </w:r>
      <w:r w:rsidR="002C5EE0" w:rsidRPr="002C5EE0">
        <w:rPr>
          <w:rFonts w:ascii="Times New Roman" w:eastAsia="Times New Roman" w:hAnsi="Times New Roman" w:cs="Times New Roman"/>
          <w:b/>
          <w:i/>
          <w:color w:val="000000"/>
          <w:sz w:val="20"/>
          <w:szCs w:val="20"/>
        </w:rPr>
        <w:t>)</w:t>
      </w:r>
      <w:r w:rsidR="002C5EE0">
        <w:rPr>
          <w:rFonts w:ascii="Times New Roman" w:eastAsia="Times New Roman" w:hAnsi="Times New Roman" w:cs="Times New Roman"/>
          <w:b/>
          <w:i/>
          <w:color w:val="000000"/>
          <w:sz w:val="20"/>
          <w:szCs w:val="20"/>
        </w:rPr>
        <w:t>.</w:t>
      </w:r>
    </w:p>
    <w:p w:rsidR="007A1D81" w:rsidRPr="002C5EE0" w:rsidRDefault="007A1D81" w:rsidP="002C5EE0">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vertAlign w:val="superscript"/>
          <w:lang w:val="en-GB"/>
        </w:rPr>
      </w:pPr>
      <w:r w:rsidRPr="002C5EE0">
        <w:rPr>
          <w:rFonts w:ascii="Times New Roman" w:eastAsia="Times New Roman" w:hAnsi="Times New Roman" w:cs="Times New Roman"/>
          <w:sz w:val="20"/>
          <w:szCs w:val="20"/>
          <w:lang w:val="en-GB"/>
        </w:rPr>
        <w:t xml:space="preserve">With expectant management female partner should be </w:t>
      </w:r>
      <w:proofErr w:type="spellStart"/>
      <w:r w:rsidRPr="002C5EE0">
        <w:rPr>
          <w:rFonts w:ascii="Times New Roman" w:eastAsia="Times New Roman" w:hAnsi="Times New Roman" w:cs="Times New Roman"/>
          <w:sz w:val="20"/>
          <w:szCs w:val="20"/>
          <w:lang w:val="en-GB"/>
        </w:rPr>
        <w:t>counceled</w:t>
      </w:r>
      <w:proofErr w:type="spellEnd"/>
      <w:r w:rsidRPr="002C5EE0">
        <w:rPr>
          <w:rFonts w:ascii="Times New Roman" w:eastAsia="Times New Roman" w:hAnsi="Times New Roman" w:cs="Times New Roman"/>
          <w:sz w:val="20"/>
          <w:szCs w:val="20"/>
          <w:lang w:val="en-GB"/>
        </w:rPr>
        <w:t xml:space="preserve"> to achieve a normal Body Mass Inde</w:t>
      </w:r>
      <w:r w:rsidR="004B07CF" w:rsidRPr="002C5EE0">
        <w:rPr>
          <w:rFonts w:ascii="Times New Roman" w:eastAsia="Times New Roman" w:hAnsi="Times New Roman" w:cs="Times New Roman"/>
          <w:sz w:val="20"/>
          <w:szCs w:val="20"/>
          <w:lang w:val="en-GB"/>
        </w:rPr>
        <w:t>x (</w:t>
      </w:r>
      <w:r w:rsidRPr="002C5EE0">
        <w:rPr>
          <w:rFonts w:ascii="Times New Roman" w:eastAsia="Times New Roman" w:hAnsi="Times New Roman" w:cs="Times New Roman"/>
          <w:sz w:val="20"/>
          <w:szCs w:val="20"/>
          <w:lang w:val="en-GB"/>
        </w:rPr>
        <w:t xml:space="preserve"> BMI), reduce caffeine intake to no more than 250 mg daily (2 cups of coffee) and reduce alcohol intake to no more than 4 standardized drinks per week. Age of female partner influenced the pregnancy rate associated with expectant management</w:t>
      </w:r>
      <w:r w:rsidRPr="002C5EE0">
        <w:rPr>
          <w:rFonts w:ascii="Times New Roman" w:eastAsia="Times New Roman" w:hAnsi="Times New Roman" w:cs="Times New Roman"/>
          <w:b/>
          <w:bCs/>
          <w:i/>
          <w:iCs/>
          <w:sz w:val="20"/>
          <w:szCs w:val="20"/>
          <w:lang w:val="en-GB"/>
        </w:rPr>
        <w:t xml:space="preserve"> (</w:t>
      </w:r>
      <w:proofErr w:type="spellStart"/>
      <w:r w:rsidRPr="002C5EE0">
        <w:rPr>
          <w:rFonts w:ascii="Times New Roman" w:eastAsia="Times New Roman" w:hAnsi="Times New Roman" w:cs="Times New Roman"/>
          <w:b/>
          <w:bCs/>
          <w:i/>
          <w:iCs/>
          <w:sz w:val="20"/>
          <w:szCs w:val="20"/>
          <w:lang w:val="en-GB"/>
        </w:rPr>
        <w:t>Barbieri</w:t>
      </w:r>
      <w:proofErr w:type="spellEnd"/>
      <w:r w:rsidRPr="002C5EE0">
        <w:rPr>
          <w:rFonts w:ascii="Times New Roman" w:eastAsia="Times New Roman" w:hAnsi="Times New Roman" w:cs="Times New Roman"/>
          <w:b/>
          <w:bCs/>
          <w:i/>
          <w:iCs/>
          <w:sz w:val="20"/>
          <w:szCs w:val="20"/>
          <w:lang w:val="en-GB"/>
        </w:rPr>
        <w:t>, 2001</w:t>
      </w:r>
      <w:r w:rsidR="00C00E76">
        <w:rPr>
          <w:rFonts w:ascii="Times New Roman" w:hAnsi="Times New Roman" w:cs="Times New Roman" w:hint="eastAsia"/>
          <w:b/>
          <w:bCs/>
          <w:i/>
          <w:iCs/>
          <w:sz w:val="20"/>
          <w:szCs w:val="20"/>
          <w:lang w:val="en-GB" w:eastAsia="zh-CN"/>
        </w:rPr>
        <w:t xml:space="preserve"> </w:t>
      </w:r>
      <w:r w:rsidRPr="002C5EE0">
        <w:rPr>
          <w:rFonts w:ascii="Times New Roman" w:eastAsia="Times New Roman" w:hAnsi="Times New Roman" w:cs="Times New Roman"/>
          <w:b/>
          <w:bCs/>
          <w:i/>
          <w:iCs/>
          <w:sz w:val="20"/>
          <w:szCs w:val="20"/>
          <w:lang w:val="en-GB"/>
        </w:rPr>
        <w:t xml:space="preserve">and </w:t>
      </w:r>
      <w:proofErr w:type="spellStart"/>
      <w:r w:rsidRPr="002C5EE0">
        <w:rPr>
          <w:rFonts w:ascii="Times New Roman" w:eastAsia="Times New Roman" w:hAnsi="Times New Roman" w:cs="Times New Roman"/>
          <w:b/>
          <w:bCs/>
          <w:i/>
          <w:iCs/>
          <w:sz w:val="20"/>
          <w:szCs w:val="20"/>
          <w:lang w:val="en-GB"/>
        </w:rPr>
        <w:t>Eijkemans</w:t>
      </w:r>
      <w:proofErr w:type="spellEnd"/>
      <w:r w:rsidRPr="002C5EE0">
        <w:rPr>
          <w:rFonts w:ascii="Times New Roman" w:eastAsia="Times New Roman" w:hAnsi="Times New Roman" w:cs="Times New Roman"/>
          <w:b/>
          <w:bCs/>
          <w:i/>
          <w:iCs/>
          <w:sz w:val="20"/>
          <w:szCs w:val="20"/>
          <w:lang w:val="en-GB"/>
        </w:rPr>
        <w:t xml:space="preserve"> et al., 2008)</w:t>
      </w:r>
      <w:r w:rsidRPr="002C5EE0">
        <w:rPr>
          <w:rFonts w:ascii="Times New Roman" w:eastAsia="Times New Roman" w:hAnsi="Times New Roman" w:cs="Times New Roman"/>
          <w:b/>
          <w:bCs/>
          <w:sz w:val="20"/>
          <w:szCs w:val="20"/>
          <w:lang w:val="en-GB"/>
        </w:rPr>
        <w:t>.</w:t>
      </w:r>
    </w:p>
    <w:p w:rsidR="007A1D81" w:rsidRPr="002C5EE0" w:rsidRDefault="007A1D81" w:rsidP="002C5EE0">
      <w:pPr>
        <w:bidi w:val="0"/>
        <w:snapToGrid w:val="0"/>
        <w:spacing w:after="0" w:line="240" w:lineRule="auto"/>
        <w:ind w:firstLine="425"/>
        <w:jc w:val="both"/>
        <w:rPr>
          <w:rFonts w:ascii="Times New Roman" w:eastAsia="Times New Roman" w:hAnsi="Times New Roman" w:cs="Times New Roman"/>
          <w:b/>
          <w:bCs/>
          <w:sz w:val="20"/>
          <w:szCs w:val="20"/>
          <w:lang w:val="en-GB"/>
        </w:rPr>
      </w:pPr>
      <w:r w:rsidRPr="002C5EE0">
        <w:rPr>
          <w:rFonts w:ascii="Times New Roman" w:eastAsia="Times New Roman" w:hAnsi="Times New Roman" w:cs="Times New Roman"/>
          <w:sz w:val="20"/>
          <w:szCs w:val="20"/>
          <w:lang w:val="en-GB"/>
        </w:rPr>
        <w:t xml:space="preserve">Before any formal investigations begin, the major causes of infertility and the basic components of the infertility evaluation should be outlined for the </w:t>
      </w:r>
      <w:r w:rsidRPr="002C5EE0">
        <w:rPr>
          <w:rFonts w:ascii="Times New Roman" w:eastAsia="Times New Roman" w:hAnsi="Times New Roman" w:cs="Times New Roman"/>
          <w:sz w:val="20"/>
          <w:szCs w:val="20"/>
          <w:lang w:val="en-GB"/>
        </w:rPr>
        <w:lastRenderedPageBreak/>
        <w:t xml:space="preserve">couple. The causes of infertility include mainly: </w:t>
      </w:r>
      <w:proofErr w:type="spellStart"/>
      <w:r w:rsidRPr="002C5EE0">
        <w:rPr>
          <w:rFonts w:ascii="Times New Roman" w:eastAsia="Times New Roman" w:hAnsi="Times New Roman" w:cs="Times New Roman"/>
          <w:sz w:val="20"/>
          <w:szCs w:val="20"/>
          <w:lang w:val="en-GB"/>
        </w:rPr>
        <w:t>ovulatory</w:t>
      </w:r>
      <w:proofErr w:type="spellEnd"/>
      <w:r w:rsidRPr="002C5EE0">
        <w:rPr>
          <w:rFonts w:ascii="Times New Roman" w:eastAsia="Times New Roman" w:hAnsi="Times New Roman" w:cs="Times New Roman"/>
          <w:sz w:val="20"/>
          <w:szCs w:val="20"/>
          <w:lang w:val="en-GB"/>
        </w:rPr>
        <w:t xml:space="preserve"> dysfunction (20-40%), then tubal factor (30%), male factor (30-40%) and the remainder are largely unexplained. Disorders of ovulation account for approximately 30% of the problems identified in </w:t>
      </w:r>
      <w:r w:rsidRPr="002C5EE0">
        <w:rPr>
          <w:rFonts w:ascii="Times New Roman" w:eastAsia="Times New Roman" w:hAnsi="Times New Roman" w:cs="Times New Roman"/>
          <w:sz w:val="20"/>
          <w:szCs w:val="20"/>
          <w:lang w:val="en-GB"/>
        </w:rPr>
        <w:lastRenderedPageBreak/>
        <w:t xml:space="preserve">infertile couple. </w:t>
      </w:r>
      <w:proofErr w:type="spellStart"/>
      <w:r w:rsidRPr="002C5EE0">
        <w:rPr>
          <w:rFonts w:ascii="Times New Roman" w:eastAsia="Times New Roman" w:hAnsi="Times New Roman" w:cs="Times New Roman"/>
          <w:sz w:val="20"/>
          <w:szCs w:val="20"/>
          <w:lang w:val="en-GB"/>
        </w:rPr>
        <w:t>Ovulatory</w:t>
      </w:r>
      <w:proofErr w:type="spellEnd"/>
      <w:r w:rsidRPr="002C5EE0">
        <w:rPr>
          <w:rFonts w:ascii="Times New Roman" w:eastAsia="Times New Roman" w:hAnsi="Times New Roman" w:cs="Times New Roman"/>
          <w:sz w:val="20"/>
          <w:szCs w:val="20"/>
          <w:lang w:val="en-GB"/>
        </w:rPr>
        <w:t xml:space="preserve"> dysfunction can be severe enough to prevent conception (</w:t>
      </w:r>
      <w:proofErr w:type="spellStart"/>
      <w:r w:rsidRPr="002C5EE0">
        <w:rPr>
          <w:rFonts w:ascii="Times New Roman" w:eastAsia="Times New Roman" w:hAnsi="Times New Roman" w:cs="Times New Roman"/>
          <w:sz w:val="20"/>
          <w:szCs w:val="20"/>
          <w:lang w:val="en-GB"/>
        </w:rPr>
        <w:t>anovulation</w:t>
      </w:r>
      <w:proofErr w:type="spellEnd"/>
      <w:r w:rsidRPr="002C5EE0">
        <w:rPr>
          <w:rFonts w:ascii="Times New Roman" w:eastAsia="Times New Roman" w:hAnsi="Times New Roman" w:cs="Times New Roman"/>
          <w:sz w:val="20"/>
          <w:szCs w:val="20"/>
          <w:lang w:val="en-GB"/>
        </w:rPr>
        <w:t>), or only a contributing factor (</w:t>
      </w:r>
      <w:proofErr w:type="spellStart"/>
      <w:r w:rsidRPr="002C5EE0">
        <w:rPr>
          <w:rFonts w:ascii="Times New Roman" w:eastAsia="Times New Roman" w:hAnsi="Times New Roman" w:cs="Times New Roman"/>
          <w:sz w:val="20"/>
          <w:szCs w:val="20"/>
          <w:lang w:val="en-GB"/>
        </w:rPr>
        <w:t>oligo</w:t>
      </w:r>
      <w:proofErr w:type="spellEnd"/>
      <w:r w:rsidRPr="002C5EE0">
        <w:rPr>
          <w:rFonts w:ascii="Times New Roman" w:eastAsia="Times New Roman" w:hAnsi="Times New Roman" w:cs="Times New Roman"/>
          <w:sz w:val="20"/>
          <w:szCs w:val="20"/>
          <w:lang w:val="en-GB"/>
        </w:rPr>
        <w:t>-ovulation)</w:t>
      </w:r>
      <w:r w:rsidRPr="002C5EE0">
        <w:rPr>
          <w:rFonts w:ascii="Times New Roman" w:eastAsia="Times New Roman" w:hAnsi="Times New Roman" w:cs="Times New Roman"/>
          <w:b/>
          <w:bCs/>
          <w:i/>
          <w:iCs/>
          <w:sz w:val="20"/>
          <w:szCs w:val="20"/>
          <w:lang w:val="en-GB"/>
        </w:rPr>
        <w:t xml:space="preserve"> (Gupta, 2005)</w:t>
      </w:r>
      <w:r w:rsidRPr="002C5EE0">
        <w:rPr>
          <w:rFonts w:ascii="Times New Roman" w:eastAsia="Times New Roman" w:hAnsi="Times New Roman" w:cs="Times New Roman"/>
          <w:b/>
          <w:bCs/>
          <w:sz w:val="20"/>
          <w:szCs w:val="20"/>
          <w:lang w:val="en-GB"/>
        </w:rPr>
        <w:t>.</w:t>
      </w:r>
    </w:p>
    <w:p w:rsidR="00B45591" w:rsidRPr="002C5EE0" w:rsidRDefault="00B45591" w:rsidP="002C5EE0">
      <w:pPr>
        <w:bidi w:val="0"/>
        <w:snapToGrid w:val="0"/>
        <w:spacing w:after="0" w:line="240" w:lineRule="auto"/>
        <w:jc w:val="both"/>
        <w:rPr>
          <w:rFonts w:ascii="Times New Roman" w:eastAsia="Times New Roman" w:hAnsi="Times New Roman" w:cs="Times New Roman"/>
          <w:b/>
          <w:bCs/>
          <w:sz w:val="20"/>
          <w:szCs w:val="20"/>
          <w:lang w:bidi="ar-EG"/>
        </w:rPr>
      </w:pPr>
      <w:r w:rsidRPr="002C5EE0">
        <w:rPr>
          <w:rFonts w:ascii="Times New Roman" w:eastAsia="Times New Roman" w:hAnsi="Times New Roman" w:cs="Times New Roman"/>
          <w:b/>
          <w:bCs/>
          <w:color w:val="000000"/>
          <w:sz w:val="20"/>
          <w:szCs w:val="20"/>
          <w:lang w:val="en-GB"/>
        </w:rPr>
        <w:t>Polycystic ovarian syndrome (PCOS)</w:t>
      </w:r>
    </w:p>
    <w:p w:rsidR="002C5EE0" w:rsidRPr="002C5EE0" w:rsidRDefault="002C5EE0" w:rsidP="002C5EE0">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lang w:val="en-GB"/>
        </w:rPr>
        <w:sectPr w:rsidR="002C5EE0" w:rsidRPr="002C5EE0" w:rsidSect="002C5EE0">
          <w:headerReference w:type="default" r:id="rId13"/>
          <w:footerReference w:type="default" r:id="rId14"/>
          <w:type w:val="continuous"/>
          <w:pgSz w:w="12242" w:h="15842" w:code="1"/>
          <w:pgMar w:top="1440" w:right="1440" w:bottom="1440" w:left="1440" w:header="720" w:footer="720" w:gutter="0"/>
          <w:cols w:num="2" w:space="550"/>
          <w:docGrid w:linePitch="360"/>
        </w:sectPr>
      </w:pPr>
    </w:p>
    <w:p w:rsidR="00042C44" w:rsidRPr="002C5EE0" w:rsidRDefault="00042C44" w:rsidP="002C5EE0">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lang w:val="en-GB"/>
        </w:rPr>
      </w:pPr>
    </w:p>
    <w:p w:rsidR="00B45591" w:rsidRPr="002C5EE0" w:rsidRDefault="00B45591" w:rsidP="002C5EE0">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vertAlign w:val="superscript"/>
          <w:lang w:val="en-GB"/>
        </w:rPr>
      </w:pPr>
      <w:r w:rsidRPr="002C5EE0">
        <w:rPr>
          <w:rFonts w:ascii="Times New Roman" w:eastAsia="Times New Roman" w:hAnsi="Times New Roman" w:cs="Times New Roman"/>
          <w:b/>
          <w:bCs/>
          <w:sz w:val="20"/>
          <w:szCs w:val="20"/>
          <w:lang w:val="en-GB"/>
        </w:rPr>
        <w:t>Current criteria for the definition of PCOS</w:t>
      </w:r>
      <w:r w:rsidRPr="002C5EE0">
        <w:rPr>
          <w:rFonts w:ascii="Times New Roman" w:eastAsia="Times New Roman" w:hAnsi="Times New Roman" w:cs="Times New Roman"/>
          <w:b/>
          <w:bCs/>
          <w:i/>
          <w:iCs/>
          <w:sz w:val="20"/>
          <w:szCs w:val="20"/>
          <w:lang w:val="en-GB"/>
        </w:rPr>
        <w:t xml:space="preserve"> (Rotterdam ESHRE/ASRM-Sponsored PCOS Consensus Workshop Group, 2004)</w:t>
      </w:r>
      <w:r w:rsidRPr="002C5EE0">
        <w:rPr>
          <w:rFonts w:ascii="Times New Roman" w:eastAsia="Times New Roman" w:hAnsi="Times New Roman" w:cs="Times New Roman"/>
          <w:b/>
          <w:bCs/>
          <w:sz w:val="20"/>
          <w:szCs w:val="20"/>
          <w:lang w:val="en-GB"/>
        </w:rPr>
        <w:t>.</w:t>
      </w:r>
    </w:p>
    <w:tbl>
      <w:tblPr>
        <w:bidiVisual/>
        <w:tblW w:w="5000" w:type="pct"/>
        <w:jc w:val="center"/>
        <w:tblBorders>
          <w:top w:val="thinThickSmallGap" w:sz="18" w:space="0" w:color="auto"/>
          <w:left w:val="thickThinSmallGap" w:sz="18" w:space="0" w:color="auto"/>
          <w:bottom w:val="thinThickSmallGap" w:sz="18" w:space="0" w:color="auto"/>
          <w:right w:val="thinThickSmallGap" w:sz="18" w:space="0" w:color="auto"/>
          <w:insideH w:val="single" w:sz="4" w:space="0" w:color="000000"/>
          <w:insideV w:val="single" w:sz="4" w:space="0" w:color="000000"/>
        </w:tblBorders>
        <w:tblLook w:val="0000"/>
      </w:tblPr>
      <w:tblGrid>
        <w:gridCol w:w="3057"/>
        <w:gridCol w:w="6521"/>
      </w:tblGrid>
      <w:tr w:rsidR="00B45591" w:rsidRPr="002C5EE0" w:rsidTr="00C00E76">
        <w:trPr>
          <w:cantSplit/>
          <w:trHeight w:val="20"/>
          <w:jc w:val="center"/>
        </w:trPr>
        <w:tc>
          <w:tcPr>
            <w:tcW w:w="1596" w:type="pct"/>
            <w:shd w:val="clear" w:color="000000" w:fill="FFFFFF"/>
            <w:vAlign w:val="center"/>
          </w:tcPr>
          <w:p w:rsidR="00B45591" w:rsidRPr="002C5EE0" w:rsidRDefault="00B45591" w:rsidP="002C5EE0">
            <w:pPr>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rPr>
            </w:pPr>
            <w:r w:rsidRPr="002C5EE0">
              <w:rPr>
                <w:rFonts w:ascii="Times New Roman" w:eastAsia="Times New Roman" w:hAnsi="Times New Roman" w:cs="Times New Roman"/>
                <w:b/>
                <w:bCs/>
                <w:color w:val="000000"/>
                <w:sz w:val="20"/>
                <w:szCs w:val="20"/>
                <w:lang w:val="en-GB"/>
              </w:rPr>
              <w:t>Reference</w:t>
            </w:r>
          </w:p>
        </w:tc>
        <w:tc>
          <w:tcPr>
            <w:tcW w:w="3404" w:type="pct"/>
            <w:shd w:val="clear" w:color="000000" w:fill="FFFFFF"/>
            <w:vAlign w:val="center"/>
          </w:tcPr>
          <w:p w:rsidR="00B45591" w:rsidRPr="002C5EE0" w:rsidRDefault="00B45591" w:rsidP="002C5EE0">
            <w:pPr>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rPr>
            </w:pPr>
            <w:r w:rsidRPr="002C5EE0">
              <w:rPr>
                <w:rFonts w:ascii="Times New Roman" w:eastAsia="Times New Roman" w:hAnsi="Times New Roman" w:cs="Times New Roman"/>
                <w:b/>
                <w:bCs/>
                <w:color w:val="000000"/>
                <w:sz w:val="20"/>
                <w:szCs w:val="20"/>
                <w:lang w:val="en-GB"/>
              </w:rPr>
              <w:t>Criteria</w:t>
            </w:r>
          </w:p>
        </w:tc>
      </w:tr>
      <w:tr w:rsidR="00B45591" w:rsidRPr="002C5EE0" w:rsidTr="00C00E76">
        <w:trPr>
          <w:cantSplit/>
          <w:trHeight w:val="20"/>
          <w:jc w:val="center"/>
        </w:trPr>
        <w:tc>
          <w:tcPr>
            <w:tcW w:w="1596" w:type="pct"/>
            <w:shd w:val="clear" w:color="000000" w:fill="FFFFFF"/>
            <w:vAlign w:val="center"/>
          </w:tcPr>
          <w:p w:rsidR="00B45591" w:rsidRPr="002C5EE0" w:rsidRDefault="00B45591" w:rsidP="002C5EE0">
            <w:pPr>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rPr>
            </w:pPr>
            <w:r w:rsidRPr="002C5EE0">
              <w:rPr>
                <w:rFonts w:ascii="Times New Roman" w:eastAsia="Times New Roman" w:hAnsi="Times New Roman" w:cs="Times New Roman"/>
                <w:color w:val="000000"/>
                <w:sz w:val="20"/>
                <w:szCs w:val="20"/>
                <w:lang w:val="en-GB"/>
              </w:rPr>
              <w:t>NIH, 1990</w:t>
            </w:r>
            <w:r w:rsidRPr="002C5EE0">
              <w:rPr>
                <w:rFonts w:ascii="Times New Roman" w:eastAsia="Times New Roman" w:hAnsi="Times New Roman" w:cs="Times New Roman"/>
                <w:color w:val="0000FF"/>
                <w:sz w:val="20"/>
                <w:szCs w:val="20"/>
                <w:lang w:val="en-GB"/>
              </w:rPr>
              <w:t>.</w:t>
            </w:r>
          </w:p>
        </w:tc>
        <w:tc>
          <w:tcPr>
            <w:tcW w:w="3404" w:type="pct"/>
            <w:shd w:val="clear" w:color="000000" w:fill="FFFFFF"/>
            <w:vAlign w:val="center"/>
          </w:tcPr>
          <w:p w:rsidR="00B45591" w:rsidRPr="002C5EE0" w:rsidRDefault="00B45591" w:rsidP="002C5EE0">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lang w:val="en-GB"/>
              </w:rPr>
            </w:pPr>
            <w:r w:rsidRPr="002C5EE0">
              <w:rPr>
                <w:rFonts w:ascii="Times New Roman" w:eastAsia="Times New Roman" w:hAnsi="Times New Roman" w:cs="Times New Roman"/>
                <w:b/>
                <w:bCs/>
                <w:color w:val="000000"/>
                <w:sz w:val="20"/>
                <w:szCs w:val="20"/>
                <w:lang w:val="en-GB"/>
              </w:rPr>
              <w:t>To include all of the following:</w:t>
            </w:r>
          </w:p>
        </w:tc>
      </w:tr>
      <w:tr w:rsidR="00B45591" w:rsidRPr="002C5EE0" w:rsidTr="00C00E76">
        <w:trPr>
          <w:cantSplit/>
          <w:trHeight w:val="20"/>
          <w:jc w:val="center"/>
        </w:trPr>
        <w:tc>
          <w:tcPr>
            <w:tcW w:w="1596" w:type="pct"/>
            <w:shd w:val="clear" w:color="000000" w:fill="FFFFFF"/>
            <w:vAlign w:val="center"/>
          </w:tcPr>
          <w:p w:rsidR="00B45591" w:rsidRPr="002C5EE0" w:rsidRDefault="00B45591" w:rsidP="002C5EE0">
            <w:pPr>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rPr>
            </w:pPr>
          </w:p>
        </w:tc>
        <w:tc>
          <w:tcPr>
            <w:tcW w:w="3404" w:type="pct"/>
            <w:shd w:val="clear" w:color="000000" w:fill="FFFFFF"/>
            <w:vAlign w:val="center"/>
          </w:tcPr>
          <w:p w:rsidR="00B45591" w:rsidRPr="002C5EE0" w:rsidRDefault="00B45591" w:rsidP="002C5EE0">
            <w:pPr>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rPr>
            </w:pPr>
            <w:r w:rsidRPr="002C5EE0">
              <w:rPr>
                <w:rFonts w:ascii="Times New Roman" w:eastAsia="Times New Roman" w:hAnsi="Times New Roman" w:cs="Times New Roman"/>
                <w:color w:val="000000"/>
                <w:sz w:val="20"/>
                <w:szCs w:val="20"/>
                <w:lang w:val="en-GB"/>
              </w:rPr>
              <w:t xml:space="preserve">1) </w:t>
            </w:r>
            <w:proofErr w:type="spellStart"/>
            <w:r w:rsidRPr="002C5EE0">
              <w:rPr>
                <w:rFonts w:ascii="Times New Roman" w:eastAsia="Times New Roman" w:hAnsi="Times New Roman" w:cs="Times New Roman"/>
                <w:color w:val="000000"/>
                <w:sz w:val="20"/>
                <w:szCs w:val="20"/>
                <w:lang w:val="en-GB"/>
              </w:rPr>
              <w:t>Hyperandrogenism</w:t>
            </w:r>
            <w:proofErr w:type="spellEnd"/>
            <w:r w:rsidRPr="002C5EE0">
              <w:rPr>
                <w:rFonts w:ascii="Times New Roman" w:eastAsia="Times New Roman" w:hAnsi="Times New Roman" w:cs="Times New Roman"/>
                <w:color w:val="000000"/>
                <w:sz w:val="20"/>
                <w:szCs w:val="20"/>
                <w:lang w:val="en-GB"/>
              </w:rPr>
              <w:t xml:space="preserve"> and/or </w:t>
            </w:r>
            <w:proofErr w:type="spellStart"/>
            <w:r w:rsidRPr="002C5EE0">
              <w:rPr>
                <w:rFonts w:ascii="Times New Roman" w:eastAsia="Times New Roman" w:hAnsi="Times New Roman" w:cs="Times New Roman"/>
                <w:color w:val="000000"/>
                <w:sz w:val="20"/>
                <w:szCs w:val="20"/>
                <w:lang w:val="en-GB"/>
              </w:rPr>
              <w:t>hyperandrogenemia</w:t>
            </w:r>
            <w:proofErr w:type="spellEnd"/>
          </w:p>
        </w:tc>
      </w:tr>
      <w:tr w:rsidR="00B45591" w:rsidRPr="002C5EE0" w:rsidTr="00C00E76">
        <w:trPr>
          <w:cantSplit/>
          <w:trHeight w:val="20"/>
          <w:jc w:val="center"/>
        </w:trPr>
        <w:tc>
          <w:tcPr>
            <w:tcW w:w="1596" w:type="pct"/>
            <w:shd w:val="clear" w:color="000000" w:fill="FFFFFF"/>
            <w:vAlign w:val="center"/>
          </w:tcPr>
          <w:p w:rsidR="00B45591" w:rsidRPr="002C5EE0" w:rsidRDefault="00B45591" w:rsidP="002C5EE0">
            <w:pPr>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rPr>
            </w:pPr>
          </w:p>
        </w:tc>
        <w:tc>
          <w:tcPr>
            <w:tcW w:w="3404" w:type="pct"/>
            <w:shd w:val="clear" w:color="000000" w:fill="FFFFFF"/>
            <w:vAlign w:val="center"/>
          </w:tcPr>
          <w:p w:rsidR="00B45591" w:rsidRPr="002C5EE0" w:rsidRDefault="00B45591" w:rsidP="002C5EE0">
            <w:pPr>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rPr>
            </w:pPr>
            <w:r w:rsidRPr="002C5EE0">
              <w:rPr>
                <w:rFonts w:ascii="Times New Roman" w:eastAsia="Times New Roman" w:hAnsi="Times New Roman" w:cs="Times New Roman"/>
                <w:color w:val="000000"/>
                <w:sz w:val="20"/>
                <w:szCs w:val="20"/>
                <w:lang w:val="en-GB"/>
              </w:rPr>
              <w:t xml:space="preserve">2) </w:t>
            </w:r>
            <w:proofErr w:type="spellStart"/>
            <w:r w:rsidRPr="002C5EE0">
              <w:rPr>
                <w:rFonts w:ascii="Times New Roman" w:eastAsia="Times New Roman" w:hAnsi="Times New Roman" w:cs="Times New Roman"/>
                <w:color w:val="000000"/>
                <w:sz w:val="20"/>
                <w:szCs w:val="20"/>
                <w:lang w:val="en-GB"/>
              </w:rPr>
              <w:t>Oligoovulation</w:t>
            </w:r>
            <w:proofErr w:type="spellEnd"/>
          </w:p>
        </w:tc>
      </w:tr>
      <w:tr w:rsidR="00B45591" w:rsidRPr="002C5EE0" w:rsidTr="00C00E76">
        <w:trPr>
          <w:cantSplit/>
          <w:trHeight w:val="20"/>
          <w:jc w:val="center"/>
        </w:trPr>
        <w:tc>
          <w:tcPr>
            <w:tcW w:w="1596" w:type="pct"/>
            <w:shd w:val="clear" w:color="000000" w:fill="FFFFFF"/>
            <w:vAlign w:val="center"/>
          </w:tcPr>
          <w:p w:rsidR="00B45591" w:rsidRPr="002C5EE0" w:rsidRDefault="00B45591" w:rsidP="002C5EE0">
            <w:pPr>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rPr>
            </w:pPr>
          </w:p>
        </w:tc>
        <w:tc>
          <w:tcPr>
            <w:tcW w:w="3404" w:type="pct"/>
            <w:shd w:val="clear" w:color="000000" w:fill="FFFFFF"/>
            <w:vAlign w:val="center"/>
          </w:tcPr>
          <w:p w:rsidR="00B45591" w:rsidRPr="002C5EE0" w:rsidRDefault="00B45591" w:rsidP="002C5EE0">
            <w:pPr>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rPr>
            </w:pPr>
            <w:r w:rsidRPr="002C5EE0">
              <w:rPr>
                <w:rFonts w:ascii="Times New Roman" w:eastAsia="Times New Roman" w:hAnsi="Times New Roman" w:cs="Times New Roman"/>
                <w:color w:val="000000"/>
                <w:sz w:val="20"/>
                <w:szCs w:val="20"/>
                <w:lang w:val="en-GB"/>
              </w:rPr>
              <w:t>3) Exclusion of related disorders</w:t>
            </w:r>
          </w:p>
        </w:tc>
      </w:tr>
      <w:tr w:rsidR="00B45591" w:rsidRPr="002C5EE0" w:rsidTr="00C00E76">
        <w:trPr>
          <w:cantSplit/>
          <w:trHeight w:val="20"/>
          <w:jc w:val="center"/>
        </w:trPr>
        <w:tc>
          <w:tcPr>
            <w:tcW w:w="1596" w:type="pct"/>
            <w:shd w:val="clear" w:color="000000" w:fill="FFFFFF"/>
            <w:vAlign w:val="center"/>
          </w:tcPr>
          <w:p w:rsidR="00B45591" w:rsidRPr="002C5EE0" w:rsidRDefault="00B45591" w:rsidP="002C5EE0">
            <w:pPr>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rPr>
            </w:pPr>
            <w:r w:rsidRPr="002C5EE0">
              <w:rPr>
                <w:rFonts w:ascii="Times New Roman" w:eastAsia="Times New Roman" w:hAnsi="Times New Roman" w:cs="Times New Roman"/>
                <w:color w:val="000000"/>
                <w:sz w:val="20"/>
                <w:szCs w:val="20"/>
                <w:lang w:val="en-GB"/>
              </w:rPr>
              <w:t>ESHRE/ASRM (Rotterdam), 2003</w:t>
            </w:r>
          </w:p>
        </w:tc>
        <w:tc>
          <w:tcPr>
            <w:tcW w:w="3404" w:type="pct"/>
            <w:shd w:val="clear" w:color="000000" w:fill="FFFFFF"/>
            <w:vAlign w:val="center"/>
          </w:tcPr>
          <w:p w:rsidR="00B45591" w:rsidRPr="002C5EE0" w:rsidRDefault="00B45591" w:rsidP="002C5EE0">
            <w:pPr>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rPr>
            </w:pPr>
            <w:r w:rsidRPr="002C5EE0">
              <w:rPr>
                <w:rFonts w:ascii="Times New Roman" w:eastAsia="Times New Roman" w:hAnsi="Times New Roman" w:cs="Times New Roman"/>
                <w:color w:val="000000"/>
                <w:sz w:val="20"/>
                <w:szCs w:val="20"/>
                <w:lang w:val="en-GB"/>
              </w:rPr>
              <w:t>To include two of the following, in addition to exclusion of related disorders:</w:t>
            </w:r>
          </w:p>
        </w:tc>
      </w:tr>
      <w:tr w:rsidR="00B45591" w:rsidRPr="002C5EE0" w:rsidTr="00C00E76">
        <w:trPr>
          <w:cantSplit/>
          <w:trHeight w:val="20"/>
          <w:jc w:val="center"/>
        </w:trPr>
        <w:tc>
          <w:tcPr>
            <w:tcW w:w="1596" w:type="pct"/>
            <w:shd w:val="clear" w:color="000000" w:fill="FFFFFF"/>
            <w:vAlign w:val="center"/>
          </w:tcPr>
          <w:p w:rsidR="00B45591" w:rsidRPr="002C5EE0" w:rsidRDefault="00B45591" w:rsidP="002C5EE0">
            <w:pPr>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rPr>
            </w:pPr>
          </w:p>
        </w:tc>
        <w:tc>
          <w:tcPr>
            <w:tcW w:w="3404" w:type="pct"/>
            <w:shd w:val="clear" w:color="000000" w:fill="FFFFFF"/>
            <w:vAlign w:val="center"/>
          </w:tcPr>
          <w:p w:rsidR="00B45591" w:rsidRPr="002C5EE0" w:rsidRDefault="00B45591" w:rsidP="002C5EE0">
            <w:pPr>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rPr>
            </w:pPr>
            <w:r w:rsidRPr="002C5EE0">
              <w:rPr>
                <w:rFonts w:ascii="Times New Roman" w:eastAsia="Times New Roman" w:hAnsi="Times New Roman" w:cs="Times New Roman"/>
                <w:color w:val="000000"/>
                <w:sz w:val="20"/>
                <w:szCs w:val="20"/>
                <w:lang w:val="en-GB"/>
              </w:rPr>
              <w:t xml:space="preserve">1) </w:t>
            </w:r>
            <w:proofErr w:type="spellStart"/>
            <w:r w:rsidRPr="002C5EE0">
              <w:rPr>
                <w:rFonts w:ascii="Times New Roman" w:eastAsia="Times New Roman" w:hAnsi="Times New Roman" w:cs="Times New Roman"/>
                <w:color w:val="000000"/>
                <w:sz w:val="20"/>
                <w:szCs w:val="20"/>
                <w:lang w:val="en-GB"/>
              </w:rPr>
              <w:t>Oligo</w:t>
            </w:r>
            <w:proofErr w:type="spellEnd"/>
            <w:r w:rsidRPr="002C5EE0">
              <w:rPr>
                <w:rFonts w:ascii="Times New Roman" w:eastAsia="Times New Roman" w:hAnsi="Times New Roman" w:cs="Times New Roman"/>
                <w:color w:val="000000"/>
                <w:sz w:val="20"/>
                <w:szCs w:val="20"/>
                <w:lang w:val="en-GB"/>
              </w:rPr>
              <w:t xml:space="preserve">- or </w:t>
            </w:r>
            <w:proofErr w:type="spellStart"/>
            <w:r w:rsidRPr="002C5EE0">
              <w:rPr>
                <w:rFonts w:ascii="Times New Roman" w:eastAsia="Times New Roman" w:hAnsi="Times New Roman" w:cs="Times New Roman"/>
                <w:color w:val="000000"/>
                <w:sz w:val="20"/>
                <w:szCs w:val="20"/>
                <w:lang w:val="en-GB"/>
              </w:rPr>
              <w:t>anovulation</w:t>
            </w:r>
            <w:proofErr w:type="spellEnd"/>
          </w:p>
        </w:tc>
      </w:tr>
      <w:tr w:rsidR="00B45591" w:rsidRPr="002C5EE0" w:rsidTr="00C00E76">
        <w:trPr>
          <w:cantSplit/>
          <w:trHeight w:val="20"/>
          <w:jc w:val="center"/>
        </w:trPr>
        <w:tc>
          <w:tcPr>
            <w:tcW w:w="1596" w:type="pct"/>
            <w:shd w:val="clear" w:color="000000" w:fill="FFFFFF"/>
            <w:vAlign w:val="center"/>
          </w:tcPr>
          <w:p w:rsidR="00B45591" w:rsidRPr="002C5EE0" w:rsidRDefault="00B45591" w:rsidP="002C5EE0">
            <w:pPr>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rPr>
            </w:pPr>
          </w:p>
        </w:tc>
        <w:tc>
          <w:tcPr>
            <w:tcW w:w="3404" w:type="pct"/>
            <w:shd w:val="clear" w:color="000000" w:fill="FFFFFF"/>
            <w:vAlign w:val="center"/>
          </w:tcPr>
          <w:p w:rsidR="00B45591" w:rsidRPr="002C5EE0" w:rsidRDefault="00B45591" w:rsidP="002C5EE0">
            <w:pPr>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rPr>
            </w:pPr>
            <w:r w:rsidRPr="002C5EE0">
              <w:rPr>
                <w:rFonts w:ascii="Times New Roman" w:eastAsia="Times New Roman" w:hAnsi="Times New Roman" w:cs="Times New Roman"/>
                <w:color w:val="000000"/>
                <w:sz w:val="20"/>
                <w:szCs w:val="20"/>
                <w:lang w:val="en-GB"/>
              </w:rPr>
              <w:t>2) Clinical and/or biochemical signs of</w:t>
            </w:r>
            <w:r w:rsidR="002C5EE0">
              <w:rPr>
                <w:rFonts w:ascii="Times New Roman" w:eastAsia="Times New Roman" w:hAnsi="Times New Roman" w:cs="Times New Roman"/>
                <w:color w:val="000000"/>
                <w:sz w:val="20"/>
                <w:szCs w:val="20"/>
                <w:lang w:val="en-GB"/>
              </w:rPr>
              <w:t xml:space="preserve"> </w:t>
            </w:r>
            <w:proofErr w:type="spellStart"/>
            <w:r w:rsidRPr="002C5EE0">
              <w:rPr>
                <w:rFonts w:ascii="Times New Roman" w:eastAsia="Times New Roman" w:hAnsi="Times New Roman" w:cs="Times New Roman"/>
                <w:color w:val="000000"/>
                <w:sz w:val="20"/>
                <w:szCs w:val="20"/>
                <w:lang w:val="en-GB"/>
              </w:rPr>
              <w:t>hyperandrogenism</w:t>
            </w:r>
            <w:proofErr w:type="spellEnd"/>
          </w:p>
        </w:tc>
      </w:tr>
      <w:tr w:rsidR="00B45591" w:rsidRPr="002C5EE0" w:rsidTr="00C00E76">
        <w:trPr>
          <w:cantSplit/>
          <w:trHeight w:val="20"/>
          <w:jc w:val="center"/>
        </w:trPr>
        <w:tc>
          <w:tcPr>
            <w:tcW w:w="1596" w:type="pct"/>
            <w:shd w:val="clear" w:color="000000" w:fill="FFFFFF"/>
            <w:vAlign w:val="center"/>
          </w:tcPr>
          <w:p w:rsidR="00B45591" w:rsidRPr="002C5EE0" w:rsidRDefault="00B45591" w:rsidP="002C5EE0">
            <w:pPr>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rPr>
            </w:pPr>
          </w:p>
        </w:tc>
        <w:tc>
          <w:tcPr>
            <w:tcW w:w="3404" w:type="pct"/>
            <w:shd w:val="clear" w:color="000000" w:fill="FFFFFF"/>
            <w:vAlign w:val="center"/>
          </w:tcPr>
          <w:p w:rsidR="00B45591" w:rsidRPr="002C5EE0" w:rsidRDefault="00B45591" w:rsidP="002C5EE0">
            <w:pPr>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rPr>
            </w:pPr>
            <w:r w:rsidRPr="002C5EE0">
              <w:rPr>
                <w:rFonts w:ascii="Times New Roman" w:eastAsia="Times New Roman" w:hAnsi="Times New Roman" w:cs="Times New Roman"/>
                <w:color w:val="000000"/>
                <w:sz w:val="20"/>
                <w:szCs w:val="20"/>
                <w:lang w:val="en-GB"/>
              </w:rPr>
              <w:t>3) Polycystic ovaries</w:t>
            </w:r>
          </w:p>
        </w:tc>
      </w:tr>
    </w:tbl>
    <w:p w:rsidR="002C5EE0" w:rsidRDefault="002C5EE0" w:rsidP="002C5EE0">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val="en-GB"/>
        </w:rPr>
      </w:pPr>
    </w:p>
    <w:p w:rsidR="002C5EE0" w:rsidRPr="002C5EE0" w:rsidRDefault="002C5EE0" w:rsidP="002C5EE0">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val="en-GB"/>
        </w:rPr>
        <w:sectPr w:rsidR="002C5EE0" w:rsidRPr="002C5EE0" w:rsidSect="004B07CF">
          <w:headerReference w:type="default" r:id="rId15"/>
          <w:footerReference w:type="default" r:id="rId16"/>
          <w:type w:val="continuous"/>
          <w:pgSz w:w="12242" w:h="15842" w:code="1"/>
          <w:pgMar w:top="1440" w:right="1440" w:bottom="1440" w:left="1440" w:header="720" w:footer="720" w:gutter="0"/>
          <w:cols w:space="709"/>
          <w:docGrid w:linePitch="360"/>
        </w:sectPr>
      </w:pPr>
    </w:p>
    <w:p w:rsidR="00B45591" w:rsidRPr="002C5EE0" w:rsidRDefault="00B45591" w:rsidP="002C5EE0">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val="en-GB"/>
        </w:rPr>
      </w:pPr>
      <w:r w:rsidRPr="002C5EE0">
        <w:rPr>
          <w:rFonts w:ascii="Times New Roman" w:eastAsia="Times New Roman" w:hAnsi="Times New Roman" w:cs="Times New Roman"/>
          <w:sz w:val="20"/>
          <w:szCs w:val="20"/>
          <w:lang w:val="en-GB"/>
        </w:rPr>
        <w:lastRenderedPageBreak/>
        <w:t xml:space="preserve">According to the table above, the combination of </w:t>
      </w:r>
      <w:proofErr w:type="spellStart"/>
      <w:r w:rsidRPr="002C5EE0">
        <w:rPr>
          <w:rFonts w:ascii="Times New Roman" w:eastAsia="Times New Roman" w:hAnsi="Times New Roman" w:cs="Times New Roman"/>
          <w:sz w:val="20"/>
          <w:szCs w:val="20"/>
          <w:lang w:val="en-GB"/>
        </w:rPr>
        <w:t>hyperandrogenism</w:t>
      </w:r>
      <w:proofErr w:type="spellEnd"/>
      <w:r w:rsidRPr="002C5EE0">
        <w:rPr>
          <w:rFonts w:ascii="Times New Roman" w:eastAsia="Times New Roman" w:hAnsi="Times New Roman" w:cs="Times New Roman"/>
          <w:sz w:val="20"/>
          <w:szCs w:val="20"/>
          <w:lang w:val="en-GB"/>
        </w:rPr>
        <w:t xml:space="preserve"> and chronic </w:t>
      </w:r>
      <w:proofErr w:type="spellStart"/>
      <w:r w:rsidRPr="002C5EE0">
        <w:rPr>
          <w:rFonts w:ascii="Times New Roman" w:eastAsia="Times New Roman" w:hAnsi="Times New Roman" w:cs="Times New Roman"/>
          <w:sz w:val="20"/>
          <w:szCs w:val="20"/>
          <w:lang w:val="en-GB"/>
        </w:rPr>
        <w:t>anovulation</w:t>
      </w:r>
      <w:proofErr w:type="spellEnd"/>
      <w:r w:rsidRPr="002C5EE0">
        <w:rPr>
          <w:rFonts w:ascii="Times New Roman" w:eastAsia="Times New Roman" w:hAnsi="Times New Roman" w:cs="Times New Roman"/>
          <w:sz w:val="20"/>
          <w:szCs w:val="20"/>
          <w:lang w:val="en-GB"/>
        </w:rPr>
        <w:t xml:space="preserve"> remained main stay in definition of PCOS for the past half century, this was the basis for the definition of National Institutes of Health (NIH) 1990. Here the ovarian morphology does not form part of this definition in contrast to Rotterdam criteria.</w:t>
      </w:r>
    </w:p>
    <w:p w:rsidR="00F06B9E" w:rsidRPr="002C5EE0" w:rsidRDefault="00B45591" w:rsidP="002C5EE0">
      <w:pPr>
        <w:bidi w:val="0"/>
        <w:snapToGrid w:val="0"/>
        <w:spacing w:after="0" w:line="240" w:lineRule="auto"/>
        <w:ind w:firstLine="425"/>
        <w:jc w:val="both"/>
        <w:rPr>
          <w:rFonts w:ascii="Times New Roman" w:hAnsi="Times New Roman" w:cs="Times New Roman"/>
          <w:sz w:val="20"/>
          <w:szCs w:val="20"/>
          <w:lang w:val="en-GB" w:bidi="ar-EG"/>
        </w:rPr>
      </w:pPr>
      <w:r w:rsidRPr="002C5EE0">
        <w:rPr>
          <w:rFonts w:ascii="Times New Roman" w:eastAsia="Times New Roman" w:hAnsi="Times New Roman" w:cs="Times New Roman"/>
          <w:sz w:val="20"/>
          <w:szCs w:val="20"/>
        </w:rPr>
        <w:t xml:space="preserve">A broad range of laboratory findings has been associated with </w:t>
      </w:r>
      <w:r w:rsidRPr="002C5EE0">
        <w:rPr>
          <w:rFonts w:ascii="Times New Roman" w:eastAsia="Times New Roman" w:hAnsi="Times New Roman" w:cs="Times New Roman"/>
          <w:sz w:val="20"/>
          <w:szCs w:val="20"/>
          <w:lang w:val="en-GB"/>
        </w:rPr>
        <w:t>PCOS</w:t>
      </w:r>
      <w:r w:rsidRPr="002C5EE0">
        <w:rPr>
          <w:rFonts w:ascii="Times New Roman" w:eastAsia="Times New Roman" w:hAnsi="Times New Roman" w:cs="Times New Roman"/>
          <w:sz w:val="20"/>
          <w:szCs w:val="20"/>
        </w:rPr>
        <w:t xml:space="preserve">. These findings include: elevated serum LH, elevated LH/FSH ratio, elevated serum </w:t>
      </w:r>
      <w:proofErr w:type="spellStart"/>
      <w:r w:rsidRPr="002C5EE0">
        <w:rPr>
          <w:rFonts w:ascii="Times New Roman" w:eastAsia="Times New Roman" w:hAnsi="Times New Roman" w:cs="Times New Roman"/>
          <w:sz w:val="20"/>
          <w:szCs w:val="20"/>
        </w:rPr>
        <w:t>testostrone</w:t>
      </w:r>
      <w:proofErr w:type="spellEnd"/>
      <w:r w:rsidRPr="002C5EE0">
        <w:rPr>
          <w:rFonts w:ascii="Times New Roman" w:eastAsia="Times New Roman" w:hAnsi="Times New Roman" w:cs="Times New Roman"/>
          <w:sz w:val="20"/>
          <w:szCs w:val="20"/>
        </w:rPr>
        <w:t xml:space="preserve"> and/or </w:t>
      </w:r>
      <w:proofErr w:type="spellStart"/>
      <w:r w:rsidRPr="002C5EE0">
        <w:rPr>
          <w:rFonts w:ascii="Times New Roman" w:eastAsia="Times New Roman" w:hAnsi="Times New Roman" w:cs="Times New Roman"/>
          <w:sz w:val="20"/>
          <w:szCs w:val="20"/>
        </w:rPr>
        <w:t>Dehydroepianderostendionesulphate</w:t>
      </w:r>
      <w:proofErr w:type="spellEnd"/>
      <w:r w:rsidRPr="002C5EE0">
        <w:rPr>
          <w:rFonts w:ascii="Times New Roman" w:eastAsia="Times New Roman" w:hAnsi="Times New Roman" w:cs="Times New Roman"/>
          <w:sz w:val="20"/>
          <w:szCs w:val="20"/>
        </w:rPr>
        <w:t xml:space="preserve"> (DHEAS), decreased serum sex-hormone binding globulin (SHBG), and recently: </w:t>
      </w:r>
      <w:proofErr w:type="spellStart"/>
      <w:r w:rsidRPr="002C5EE0">
        <w:rPr>
          <w:rFonts w:ascii="Times New Roman" w:eastAsia="Times New Roman" w:hAnsi="Times New Roman" w:cs="Times New Roman"/>
          <w:sz w:val="20"/>
          <w:szCs w:val="20"/>
        </w:rPr>
        <w:t>hyperlipidemia</w:t>
      </w:r>
      <w:proofErr w:type="spellEnd"/>
      <w:r w:rsidRPr="002C5EE0">
        <w:rPr>
          <w:rFonts w:ascii="Times New Roman" w:eastAsia="Times New Roman" w:hAnsi="Times New Roman" w:cs="Times New Roman"/>
          <w:sz w:val="20"/>
          <w:szCs w:val="20"/>
        </w:rPr>
        <w:t xml:space="preserve"> </w:t>
      </w:r>
      <w:r w:rsidR="00042C44" w:rsidRPr="002C5EE0">
        <w:rPr>
          <w:rFonts w:ascii="Times New Roman" w:eastAsia="Times New Roman" w:hAnsi="Times New Roman" w:cs="Times New Roman"/>
          <w:sz w:val="20"/>
          <w:szCs w:val="20"/>
        </w:rPr>
        <w:t xml:space="preserve">and </w:t>
      </w:r>
      <w:proofErr w:type="spellStart"/>
      <w:r w:rsidR="00042C44" w:rsidRPr="002C5EE0">
        <w:rPr>
          <w:rFonts w:ascii="Times New Roman" w:eastAsia="Times New Roman" w:hAnsi="Times New Roman" w:cs="Times New Roman"/>
          <w:sz w:val="20"/>
          <w:szCs w:val="20"/>
        </w:rPr>
        <w:t>hyperinsulinemia</w:t>
      </w:r>
      <w:proofErr w:type="spellEnd"/>
      <w:r w:rsidRPr="002C5EE0">
        <w:rPr>
          <w:rFonts w:ascii="Times New Roman" w:eastAsia="Times New Roman" w:hAnsi="Times New Roman" w:cs="Times New Roman"/>
          <w:b/>
          <w:bCs/>
          <w:i/>
          <w:iCs/>
          <w:sz w:val="20"/>
          <w:szCs w:val="20"/>
          <w:lang w:val="en-GB"/>
        </w:rPr>
        <w:t xml:space="preserve"> (</w:t>
      </w:r>
      <w:proofErr w:type="spellStart"/>
      <w:r w:rsidRPr="002C5EE0">
        <w:rPr>
          <w:rFonts w:ascii="Times New Roman" w:eastAsia="Times New Roman" w:hAnsi="Times New Roman" w:cs="Times New Roman"/>
          <w:b/>
          <w:bCs/>
          <w:i/>
          <w:iCs/>
          <w:sz w:val="20"/>
          <w:szCs w:val="20"/>
          <w:lang w:val="en-GB"/>
        </w:rPr>
        <w:t>Speroff</w:t>
      </w:r>
      <w:proofErr w:type="spellEnd"/>
      <w:r w:rsidRPr="002C5EE0">
        <w:rPr>
          <w:rFonts w:ascii="Times New Roman" w:eastAsia="Times New Roman" w:hAnsi="Times New Roman" w:cs="Times New Roman"/>
          <w:b/>
          <w:bCs/>
          <w:i/>
          <w:iCs/>
          <w:sz w:val="20"/>
          <w:szCs w:val="20"/>
          <w:lang w:val="en-GB"/>
        </w:rPr>
        <w:t xml:space="preserve"> and Fritz, 2005)</w:t>
      </w:r>
      <w:r w:rsidRPr="002C5EE0">
        <w:rPr>
          <w:rFonts w:ascii="Times New Roman" w:eastAsia="Times New Roman" w:hAnsi="Times New Roman" w:cs="Times New Roman"/>
          <w:b/>
          <w:bCs/>
          <w:sz w:val="20"/>
          <w:szCs w:val="20"/>
        </w:rPr>
        <w:t>.</w:t>
      </w:r>
    </w:p>
    <w:p w:rsidR="00F06B9E" w:rsidRPr="002C5EE0" w:rsidRDefault="00A00D8A" w:rsidP="002C5EE0">
      <w:pPr>
        <w:bidi w:val="0"/>
        <w:snapToGrid w:val="0"/>
        <w:spacing w:after="0" w:line="240" w:lineRule="auto"/>
        <w:jc w:val="both"/>
        <w:rPr>
          <w:rFonts w:ascii="Times New Roman" w:hAnsi="Times New Roman" w:cs="Times New Roman"/>
          <w:color w:val="000000"/>
          <w:sz w:val="20"/>
          <w:szCs w:val="20"/>
        </w:rPr>
      </w:pPr>
      <w:r w:rsidRPr="002C5EE0">
        <w:rPr>
          <w:rFonts w:ascii="Times New Roman" w:hAnsi="Times New Roman" w:cs="Times New Roman"/>
          <w:b/>
          <w:color w:val="000000"/>
          <w:sz w:val="20"/>
          <w:szCs w:val="20"/>
        </w:rPr>
        <w:t>Aim of the work</w:t>
      </w:r>
    </w:p>
    <w:p w:rsidR="00F06B9E" w:rsidRPr="002C5EE0" w:rsidRDefault="00F06B9E" w:rsidP="002C5EE0">
      <w:pPr>
        <w:bidi w:val="0"/>
        <w:snapToGrid w:val="0"/>
        <w:spacing w:after="0" w:line="240" w:lineRule="auto"/>
        <w:ind w:firstLine="425"/>
        <w:jc w:val="both"/>
        <w:rPr>
          <w:rFonts w:ascii="Times New Roman" w:hAnsi="Times New Roman" w:cs="Times New Roman"/>
          <w:color w:val="000000"/>
          <w:sz w:val="20"/>
          <w:szCs w:val="20"/>
          <w:lang w:bidi="ar-EG"/>
        </w:rPr>
      </w:pPr>
      <w:r w:rsidRPr="002C5EE0">
        <w:rPr>
          <w:rFonts w:ascii="Times New Roman" w:hAnsi="Times New Roman" w:cs="Times New Roman"/>
          <w:color w:val="000000"/>
          <w:sz w:val="20"/>
          <w:szCs w:val="20"/>
        </w:rPr>
        <w:t xml:space="preserve">The aim of our study is to determine the efficacy of </w:t>
      </w:r>
      <w:proofErr w:type="spellStart"/>
      <w:r w:rsidRPr="002C5EE0">
        <w:rPr>
          <w:rFonts w:ascii="Times New Roman" w:hAnsi="Times New Roman" w:cs="Times New Roman"/>
          <w:color w:val="000000"/>
          <w:sz w:val="20"/>
          <w:szCs w:val="20"/>
        </w:rPr>
        <w:t>tamoxifen</w:t>
      </w:r>
      <w:proofErr w:type="spellEnd"/>
      <w:r w:rsidRPr="002C5EE0">
        <w:rPr>
          <w:rFonts w:ascii="Times New Roman" w:hAnsi="Times New Roman" w:cs="Times New Roman"/>
          <w:color w:val="000000"/>
          <w:sz w:val="20"/>
          <w:szCs w:val="20"/>
        </w:rPr>
        <w:t xml:space="preserve"> citrate (TMX) compared to </w:t>
      </w:r>
      <w:proofErr w:type="spellStart"/>
      <w:r w:rsidRPr="002C5EE0">
        <w:rPr>
          <w:rFonts w:ascii="Times New Roman" w:hAnsi="Times New Roman" w:cs="Times New Roman"/>
          <w:color w:val="000000"/>
          <w:sz w:val="20"/>
          <w:szCs w:val="20"/>
        </w:rPr>
        <w:t>letrozole</w:t>
      </w:r>
      <w:proofErr w:type="spellEnd"/>
      <w:r w:rsidRPr="002C5EE0">
        <w:rPr>
          <w:rFonts w:ascii="Times New Roman" w:hAnsi="Times New Roman" w:cs="Times New Roman"/>
          <w:color w:val="000000"/>
          <w:sz w:val="20"/>
          <w:szCs w:val="20"/>
        </w:rPr>
        <w:t xml:space="preserve"> in achieving ovulation induction in </w:t>
      </w:r>
      <w:proofErr w:type="spellStart"/>
      <w:r w:rsidRPr="002C5EE0">
        <w:rPr>
          <w:rFonts w:ascii="Times New Roman" w:hAnsi="Times New Roman" w:cs="Times New Roman"/>
          <w:color w:val="000000"/>
          <w:sz w:val="20"/>
          <w:szCs w:val="20"/>
        </w:rPr>
        <w:t>clomiphene</w:t>
      </w:r>
      <w:proofErr w:type="spellEnd"/>
      <w:r w:rsidRPr="002C5EE0">
        <w:rPr>
          <w:rFonts w:ascii="Times New Roman" w:hAnsi="Times New Roman" w:cs="Times New Roman"/>
          <w:color w:val="000000"/>
          <w:sz w:val="20"/>
          <w:szCs w:val="20"/>
        </w:rPr>
        <w:t xml:space="preserve"> citrate resistant women with PCOS.</w:t>
      </w:r>
    </w:p>
    <w:p w:rsidR="00F06B9E" w:rsidRPr="002C5EE0" w:rsidRDefault="00F06B9E" w:rsidP="002C5EE0">
      <w:pPr>
        <w:bidi w:val="0"/>
        <w:snapToGrid w:val="0"/>
        <w:spacing w:after="0" w:line="240" w:lineRule="auto"/>
        <w:jc w:val="both"/>
        <w:rPr>
          <w:rFonts w:ascii="Times New Roman" w:hAnsi="Times New Roman" w:cs="Times New Roman"/>
          <w:b/>
          <w:color w:val="000000"/>
          <w:sz w:val="20"/>
          <w:szCs w:val="20"/>
          <w:lang w:bidi="ar-EG"/>
        </w:rPr>
      </w:pPr>
    </w:p>
    <w:p w:rsidR="00B45591" w:rsidRPr="002C5EE0" w:rsidRDefault="00A173BE" w:rsidP="002C5EE0">
      <w:pPr>
        <w:bidi w:val="0"/>
        <w:snapToGrid w:val="0"/>
        <w:spacing w:after="0" w:line="240" w:lineRule="auto"/>
        <w:jc w:val="both"/>
        <w:rPr>
          <w:rFonts w:ascii="Times New Roman" w:hAnsi="Times New Roman" w:cs="Times New Roman"/>
          <w:color w:val="000000"/>
          <w:sz w:val="20"/>
          <w:szCs w:val="20"/>
          <w:lang w:bidi="ar-EG"/>
        </w:rPr>
      </w:pPr>
      <w:r w:rsidRPr="002C5EE0">
        <w:rPr>
          <w:rFonts w:ascii="Times New Roman" w:hAnsi="Times New Roman" w:cs="Times New Roman"/>
          <w:b/>
          <w:color w:val="000000"/>
          <w:sz w:val="20"/>
          <w:szCs w:val="20"/>
        </w:rPr>
        <w:t xml:space="preserve">2. </w:t>
      </w:r>
      <w:r w:rsidR="00A00D8A" w:rsidRPr="002C5EE0">
        <w:rPr>
          <w:rFonts w:ascii="Times New Roman" w:hAnsi="Times New Roman" w:cs="Times New Roman"/>
          <w:b/>
          <w:color w:val="000000"/>
          <w:sz w:val="20"/>
          <w:szCs w:val="20"/>
        </w:rPr>
        <w:t>Patients and methods</w:t>
      </w:r>
    </w:p>
    <w:p w:rsidR="00B45591" w:rsidRPr="002C5EE0" w:rsidRDefault="00B45591" w:rsidP="002C5EE0">
      <w:pPr>
        <w:bidi w:val="0"/>
        <w:snapToGrid w:val="0"/>
        <w:spacing w:after="0" w:line="240" w:lineRule="auto"/>
        <w:ind w:firstLine="425"/>
        <w:jc w:val="both"/>
        <w:rPr>
          <w:rFonts w:ascii="Times New Roman" w:eastAsia="Times New Roman" w:hAnsi="Times New Roman" w:cs="Times New Roman"/>
          <w:color w:val="000000"/>
          <w:sz w:val="20"/>
          <w:szCs w:val="20"/>
        </w:rPr>
      </w:pPr>
      <w:r w:rsidRPr="002C5EE0">
        <w:rPr>
          <w:rFonts w:ascii="Times New Roman" w:eastAsia="Times New Roman" w:hAnsi="Times New Roman" w:cs="Times New Roman"/>
          <w:color w:val="000000"/>
          <w:sz w:val="20"/>
          <w:szCs w:val="20"/>
        </w:rPr>
        <w:t xml:space="preserve">This prospective study was carried out on 100 </w:t>
      </w:r>
      <w:proofErr w:type="spellStart"/>
      <w:r w:rsidRPr="002C5EE0">
        <w:rPr>
          <w:rFonts w:ascii="Times New Roman" w:eastAsia="Times New Roman" w:hAnsi="Times New Roman" w:cs="Times New Roman"/>
          <w:color w:val="000000"/>
          <w:sz w:val="20"/>
          <w:szCs w:val="20"/>
        </w:rPr>
        <w:t>clomiphene</w:t>
      </w:r>
      <w:proofErr w:type="spellEnd"/>
      <w:r w:rsidRPr="002C5EE0">
        <w:rPr>
          <w:rFonts w:ascii="Times New Roman" w:eastAsia="Times New Roman" w:hAnsi="Times New Roman" w:cs="Times New Roman"/>
          <w:color w:val="000000"/>
          <w:sz w:val="20"/>
          <w:szCs w:val="20"/>
        </w:rPr>
        <w:t xml:space="preserve"> citrate resistant infertile women seeking for fertility at Al Hussein University Hospital from November 2015 to January 2017.</w:t>
      </w:r>
    </w:p>
    <w:p w:rsidR="00B45591" w:rsidRPr="002C5EE0" w:rsidRDefault="00B45591" w:rsidP="002C5EE0">
      <w:pPr>
        <w:bidi w:val="0"/>
        <w:snapToGrid w:val="0"/>
        <w:spacing w:after="0" w:line="240" w:lineRule="auto"/>
        <w:ind w:firstLine="425"/>
        <w:jc w:val="both"/>
        <w:rPr>
          <w:rFonts w:ascii="Times New Roman" w:eastAsia="Times New Roman" w:hAnsi="Times New Roman" w:cs="Times New Roman"/>
          <w:color w:val="000000"/>
          <w:sz w:val="20"/>
          <w:szCs w:val="20"/>
        </w:rPr>
      </w:pPr>
      <w:r w:rsidRPr="002C5EE0">
        <w:rPr>
          <w:rFonts w:ascii="Times New Roman" w:eastAsia="Times New Roman" w:hAnsi="Times New Roman" w:cs="Times New Roman"/>
          <w:color w:val="000000"/>
          <w:sz w:val="20"/>
          <w:szCs w:val="20"/>
        </w:rPr>
        <w:t xml:space="preserve">The patients were diagnosed with PCOS according to Rotterdam criteria </w:t>
      </w:r>
      <w:r w:rsidRPr="002C5EE0">
        <w:rPr>
          <w:rFonts w:ascii="Times New Roman" w:eastAsia="Times New Roman" w:hAnsi="Times New Roman" w:cs="Times New Roman"/>
          <w:b/>
          <w:i/>
          <w:color w:val="000000"/>
          <w:sz w:val="20"/>
          <w:szCs w:val="20"/>
        </w:rPr>
        <w:t>(Brown et al., 2009).</w:t>
      </w:r>
      <w:r w:rsidRPr="002C5EE0">
        <w:rPr>
          <w:rFonts w:ascii="Times New Roman" w:eastAsia="Times New Roman" w:hAnsi="Times New Roman" w:cs="Times New Roman"/>
          <w:color w:val="000000"/>
          <w:sz w:val="20"/>
          <w:szCs w:val="20"/>
        </w:rPr>
        <w:t xml:space="preserve"> Moreover, the patients failed to ovulate after receiving 150</w:t>
      </w:r>
      <w:r w:rsidRPr="002C5EE0">
        <w:rPr>
          <w:rFonts w:ascii="Times New Roman" w:eastAsia="Times New Roman" w:hAnsi="Times New Roman" w:cs="Times New Roman"/>
          <w:iCs/>
          <w:color w:val="000000"/>
          <w:sz w:val="20"/>
          <w:szCs w:val="20"/>
        </w:rPr>
        <w:t>mg</w:t>
      </w:r>
      <w:r w:rsidRPr="002C5EE0">
        <w:rPr>
          <w:rFonts w:ascii="Times New Roman" w:eastAsia="Times New Roman" w:hAnsi="Times New Roman" w:cs="Times New Roman"/>
          <w:color w:val="000000"/>
          <w:sz w:val="20"/>
          <w:szCs w:val="20"/>
        </w:rPr>
        <w:t xml:space="preserve"> of </w:t>
      </w:r>
      <w:proofErr w:type="spellStart"/>
      <w:r w:rsidRPr="002C5EE0">
        <w:rPr>
          <w:rFonts w:ascii="Times New Roman" w:eastAsia="Times New Roman" w:hAnsi="Times New Roman" w:cs="Times New Roman"/>
          <w:color w:val="000000"/>
          <w:sz w:val="20"/>
          <w:szCs w:val="20"/>
        </w:rPr>
        <w:t>clomiphene</w:t>
      </w:r>
      <w:proofErr w:type="spellEnd"/>
      <w:r w:rsidRPr="002C5EE0">
        <w:rPr>
          <w:rFonts w:ascii="Times New Roman" w:eastAsia="Times New Roman" w:hAnsi="Times New Roman" w:cs="Times New Roman"/>
          <w:color w:val="000000"/>
          <w:sz w:val="20"/>
          <w:szCs w:val="20"/>
        </w:rPr>
        <w:t xml:space="preserve"> citrate daily for 5 days per cycle, for at least three cycles and will be arranged at random, by sealed envelopes, into 2 groups, each group will contain 50 patients:</w:t>
      </w:r>
    </w:p>
    <w:p w:rsidR="00B45591" w:rsidRPr="002C5EE0" w:rsidRDefault="00B45591" w:rsidP="002C5EE0">
      <w:pPr>
        <w:bidi w:val="0"/>
        <w:snapToGrid w:val="0"/>
        <w:spacing w:after="0" w:line="240" w:lineRule="auto"/>
        <w:ind w:firstLine="425"/>
        <w:jc w:val="both"/>
        <w:rPr>
          <w:rFonts w:ascii="Times New Roman" w:eastAsia="Times New Roman" w:hAnsi="Times New Roman" w:cs="Times New Roman"/>
          <w:color w:val="000000"/>
          <w:sz w:val="20"/>
          <w:szCs w:val="20"/>
        </w:rPr>
      </w:pPr>
      <w:r w:rsidRPr="002C5EE0">
        <w:rPr>
          <w:rFonts w:ascii="Times New Roman" w:eastAsia="Times New Roman" w:hAnsi="Times New Roman" w:cs="Times New Roman"/>
          <w:color w:val="000000"/>
          <w:sz w:val="20"/>
          <w:szCs w:val="20"/>
        </w:rPr>
        <w:t xml:space="preserve">Group (A) received </w:t>
      </w:r>
      <w:proofErr w:type="spellStart"/>
      <w:r w:rsidRPr="002C5EE0">
        <w:rPr>
          <w:rFonts w:ascii="Times New Roman" w:eastAsia="Times New Roman" w:hAnsi="Times New Roman" w:cs="Times New Roman"/>
          <w:color w:val="000000"/>
          <w:sz w:val="20"/>
          <w:szCs w:val="20"/>
        </w:rPr>
        <w:t>letrozole</w:t>
      </w:r>
      <w:proofErr w:type="spellEnd"/>
      <w:r w:rsidRPr="002C5EE0">
        <w:rPr>
          <w:rFonts w:ascii="Times New Roman" w:eastAsia="Times New Roman" w:hAnsi="Times New Roman" w:cs="Times New Roman"/>
          <w:color w:val="000000"/>
          <w:sz w:val="20"/>
          <w:szCs w:val="20"/>
        </w:rPr>
        <w:t xml:space="preserve"> (</w:t>
      </w:r>
      <w:proofErr w:type="spellStart"/>
      <w:r w:rsidRPr="002C5EE0">
        <w:rPr>
          <w:rFonts w:ascii="Times New Roman" w:eastAsia="Times New Roman" w:hAnsi="Times New Roman" w:cs="Times New Roman"/>
          <w:color w:val="000000"/>
          <w:sz w:val="20"/>
          <w:szCs w:val="20"/>
        </w:rPr>
        <w:t>Femara</w:t>
      </w:r>
      <w:proofErr w:type="spellEnd"/>
      <w:r w:rsidRPr="002C5EE0">
        <w:rPr>
          <w:rFonts w:ascii="Times New Roman" w:eastAsia="Times New Roman" w:hAnsi="Times New Roman" w:cs="Times New Roman"/>
          <w:color w:val="000000"/>
          <w:sz w:val="20"/>
          <w:szCs w:val="20"/>
        </w:rPr>
        <w:t>; Novartis) with a dose of 2.5</w:t>
      </w:r>
      <w:r w:rsidRPr="002C5EE0">
        <w:rPr>
          <w:rFonts w:ascii="Times New Roman" w:eastAsia="Times New Roman" w:hAnsi="Times New Roman" w:cs="Times New Roman"/>
          <w:iCs/>
          <w:color w:val="000000"/>
          <w:sz w:val="20"/>
          <w:szCs w:val="20"/>
        </w:rPr>
        <w:t>mg/day</w:t>
      </w:r>
      <w:r w:rsidRPr="002C5EE0">
        <w:rPr>
          <w:rFonts w:ascii="Times New Roman" w:eastAsia="Times New Roman" w:hAnsi="Times New Roman" w:cs="Times New Roman"/>
          <w:color w:val="000000"/>
          <w:sz w:val="20"/>
          <w:szCs w:val="20"/>
        </w:rPr>
        <w:t xml:space="preserve"> given from day 3-7 of the menstrual cycle, for one cycle.</w:t>
      </w:r>
    </w:p>
    <w:p w:rsidR="00B45591" w:rsidRPr="002C5EE0" w:rsidRDefault="00B45591" w:rsidP="002C5EE0">
      <w:pPr>
        <w:bidi w:val="0"/>
        <w:snapToGrid w:val="0"/>
        <w:spacing w:after="0" w:line="240" w:lineRule="auto"/>
        <w:ind w:firstLine="425"/>
        <w:jc w:val="both"/>
        <w:rPr>
          <w:rFonts w:ascii="Times New Roman" w:eastAsia="Times New Roman" w:hAnsi="Times New Roman" w:cs="Times New Roman"/>
          <w:color w:val="000000"/>
          <w:sz w:val="20"/>
          <w:szCs w:val="20"/>
        </w:rPr>
      </w:pPr>
      <w:r w:rsidRPr="002C5EE0">
        <w:rPr>
          <w:rFonts w:ascii="Times New Roman" w:eastAsia="Times New Roman" w:hAnsi="Times New Roman" w:cs="Times New Roman"/>
          <w:color w:val="000000"/>
          <w:sz w:val="20"/>
          <w:szCs w:val="20"/>
        </w:rPr>
        <w:lastRenderedPageBreak/>
        <w:t xml:space="preserve">Group (B) received </w:t>
      </w:r>
      <w:proofErr w:type="spellStart"/>
      <w:r w:rsidRPr="002C5EE0">
        <w:rPr>
          <w:rFonts w:ascii="Times New Roman" w:eastAsia="Times New Roman" w:hAnsi="Times New Roman" w:cs="Times New Roman"/>
          <w:color w:val="000000"/>
          <w:sz w:val="20"/>
          <w:szCs w:val="20"/>
        </w:rPr>
        <w:t>tamoxifen</w:t>
      </w:r>
      <w:proofErr w:type="spellEnd"/>
      <w:r w:rsidRPr="002C5EE0">
        <w:rPr>
          <w:rFonts w:ascii="Times New Roman" w:eastAsia="Times New Roman" w:hAnsi="Times New Roman" w:cs="Times New Roman"/>
          <w:color w:val="000000"/>
          <w:sz w:val="20"/>
          <w:szCs w:val="20"/>
        </w:rPr>
        <w:t xml:space="preserve"> citrate (TMX) with a dose of 20 </w:t>
      </w:r>
      <w:r w:rsidRPr="002C5EE0">
        <w:rPr>
          <w:rFonts w:ascii="Times New Roman" w:eastAsia="Times New Roman" w:hAnsi="Times New Roman" w:cs="Times New Roman"/>
          <w:i/>
          <w:color w:val="000000"/>
          <w:sz w:val="20"/>
          <w:szCs w:val="20"/>
        </w:rPr>
        <w:t>mg/ day</w:t>
      </w:r>
      <w:r w:rsidRPr="002C5EE0">
        <w:rPr>
          <w:rFonts w:ascii="Times New Roman" w:eastAsia="Times New Roman" w:hAnsi="Times New Roman" w:cs="Times New Roman"/>
          <w:color w:val="000000"/>
          <w:sz w:val="20"/>
          <w:szCs w:val="20"/>
        </w:rPr>
        <w:t xml:space="preserve"> given from day 3-7 of the menstrual cycle, for one cycle.</w:t>
      </w:r>
    </w:p>
    <w:p w:rsidR="00B45591" w:rsidRPr="002C5EE0" w:rsidRDefault="00B45591" w:rsidP="002C5EE0">
      <w:pPr>
        <w:bidi w:val="0"/>
        <w:snapToGrid w:val="0"/>
        <w:spacing w:after="0" w:line="240" w:lineRule="auto"/>
        <w:ind w:firstLine="425"/>
        <w:jc w:val="both"/>
        <w:rPr>
          <w:rFonts w:ascii="Times New Roman" w:eastAsia="Times New Roman" w:hAnsi="Times New Roman" w:cs="Times New Roman"/>
          <w:color w:val="000000"/>
          <w:sz w:val="20"/>
          <w:szCs w:val="20"/>
        </w:rPr>
      </w:pPr>
      <w:r w:rsidRPr="002C5EE0">
        <w:rPr>
          <w:rFonts w:ascii="Times New Roman" w:eastAsia="Times New Roman" w:hAnsi="Times New Roman" w:cs="Times New Roman"/>
          <w:color w:val="000000"/>
          <w:sz w:val="20"/>
          <w:szCs w:val="20"/>
        </w:rPr>
        <w:t>This study was approved by the ethical committee of the university</w:t>
      </w:r>
      <w:r w:rsidR="002C5EE0" w:rsidRPr="002C5EE0">
        <w:rPr>
          <w:rFonts w:ascii="Times New Roman" w:eastAsia="Times New Roman" w:hAnsi="Times New Roman" w:cs="Times New Roman"/>
          <w:color w:val="000000"/>
          <w:sz w:val="20"/>
          <w:szCs w:val="20"/>
        </w:rPr>
        <w:t>.</w:t>
      </w:r>
    </w:p>
    <w:p w:rsidR="00B45591" w:rsidRPr="002C5EE0" w:rsidRDefault="00B45591" w:rsidP="002C5EE0">
      <w:pPr>
        <w:bidi w:val="0"/>
        <w:snapToGrid w:val="0"/>
        <w:spacing w:after="0" w:line="240" w:lineRule="auto"/>
        <w:ind w:firstLine="425"/>
        <w:jc w:val="both"/>
        <w:rPr>
          <w:rFonts w:ascii="Times New Roman" w:eastAsia="Times New Roman" w:hAnsi="Times New Roman" w:cs="Times New Roman"/>
          <w:color w:val="000000"/>
          <w:sz w:val="20"/>
          <w:szCs w:val="20"/>
        </w:rPr>
      </w:pPr>
      <w:r w:rsidRPr="002C5EE0">
        <w:rPr>
          <w:rFonts w:ascii="Times New Roman" w:eastAsia="Times New Roman" w:hAnsi="Times New Roman" w:cs="Times New Roman"/>
          <w:color w:val="000000"/>
          <w:sz w:val="20"/>
          <w:szCs w:val="20"/>
        </w:rPr>
        <w:t>All women were subjected to history taking, physical examination, counseling and signing a written consent were taken from each case.</w:t>
      </w:r>
    </w:p>
    <w:p w:rsidR="00B45591" w:rsidRPr="002C5EE0" w:rsidRDefault="00B45591" w:rsidP="002C5EE0">
      <w:pPr>
        <w:bidi w:val="0"/>
        <w:snapToGrid w:val="0"/>
        <w:spacing w:after="0" w:line="240" w:lineRule="auto"/>
        <w:ind w:firstLine="425"/>
        <w:jc w:val="both"/>
        <w:rPr>
          <w:rFonts w:ascii="Times New Roman" w:eastAsia="Times New Roman" w:hAnsi="Times New Roman" w:cs="Times New Roman"/>
          <w:color w:val="000000"/>
          <w:sz w:val="20"/>
          <w:szCs w:val="20"/>
        </w:rPr>
      </w:pPr>
      <w:r w:rsidRPr="002C5EE0">
        <w:rPr>
          <w:rFonts w:ascii="Times New Roman" w:eastAsia="Times New Roman" w:hAnsi="Times New Roman" w:cs="Times New Roman"/>
          <w:color w:val="000000"/>
          <w:sz w:val="20"/>
          <w:szCs w:val="20"/>
        </w:rPr>
        <w:t>Serum FSH and LH levels were measured on the second day of menstrual cycle.</w:t>
      </w:r>
    </w:p>
    <w:p w:rsidR="00B45591" w:rsidRPr="002C5EE0" w:rsidRDefault="00B45591" w:rsidP="002C5EE0">
      <w:pPr>
        <w:bidi w:val="0"/>
        <w:snapToGrid w:val="0"/>
        <w:spacing w:after="0" w:line="240" w:lineRule="auto"/>
        <w:ind w:firstLine="425"/>
        <w:jc w:val="both"/>
        <w:rPr>
          <w:rFonts w:ascii="Times New Roman" w:eastAsia="Times New Roman" w:hAnsi="Times New Roman" w:cs="Times New Roman"/>
          <w:color w:val="000000"/>
          <w:sz w:val="20"/>
          <w:szCs w:val="20"/>
        </w:rPr>
      </w:pPr>
      <w:proofErr w:type="spellStart"/>
      <w:r w:rsidRPr="002C5EE0">
        <w:rPr>
          <w:rFonts w:ascii="Times New Roman" w:eastAsia="Times New Roman" w:hAnsi="Times New Roman" w:cs="Times New Roman"/>
          <w:color w:val="000000"/>
          <w:sz w:val="20"/>
          <w:szCs w:val="20"/>
        </w:rPr>
        <w:t>Hysterosalpingography</w:t>
      </w:r>
      <w:proofErr w:type="spellEnd"/>
      <w:r w:rsidRPr="002C5EE0">
        <w:rPr>
          <w:rFonts w:ascii="Times New Roman" w:eastAsia="Times New Roman" w:hAnsi="Times New Roman" w:cs="Times New Roman"/>
          <w:color w:val="000000"/>
          <w:sz w:val="20"/>
          <w:szCs w:val="20"/>
        </w:rPr>
        <w:t xml:space="preserve"> were performed for each case for exclusion of tubal or uterine factor infertility.</w:t>
      </w:r>
    </w:p>
    <w:p w:rsidR="00B45591" w:rsidRPr="002C5EE0" w:rsidRDefault="00B45591" w:rsidP="002C5EE0">
      <w:pPr>
        <w:bidi w:val="0"/>
        <w:snapToGrid w:val="0"/>
        <w:spacing w:after="0" w:line="240" w:lineRule="auto"/>
        <w:jc w:val="both"/>
        <w:rPr>
          <w:rFonts w:ascii="Times New Roman" w:eastAsia="Times New Roman" w:hAnsi="Times New Roman" w:cs="Times New Roman"/>
          <w:b/>
          <w:color w:val="000000"/>
          <w:sz w:val="20"/>
          <w:szCs w:val="20"/>
        </w:rPr>
      </w:pPr>
      <w:r w:rsidRPr="002C5EE0">
        <w:rPr>
          <w:rFonts w:ascii="Times New Roman" w:eastAsia="Times New Roman" w:hAnsi="Times New Roman" w:cs="Times New Roman"/>
          <w:b/>
          <w:color w:val="000000"/>
          <w:sz w:val="20"/>
          <w:szCs w:val="20"/>
        </w:rPr>
        <w:t>Inclusion criteria included:</w:t>
      </w:r>
    </w:p>
    <w:p w:rsidR="00B45591" w:rsidRPr="002C5EE0" w:rsidRDefault="00B45591" w:rsidP="002C5EE0">
      <w:pPr>
        <w:numPr>
          <w:ilvl w:val="0"/>
          <w:numId w:val="1"/>
        </w:numPr>
        <w:tabs>
          <w:tab w:val="left" w:pos="360"/>
        </w:tabs>
        <w:bidi w:val="0"/>
        <w:snapToGrid w:val="0"/>
        <w:spacing w:after="0" w:line="240" w:lineRule="auto"/>
        <w:ind w:firstLine="425"/>
        <w:jc w:val="both"/>
        <w:rPr>
          <w:rFonts w:ascii="Times New Roman" w:eastAsia="Times New Roman" w:hAnsi="Times New Roman" w:cs="Times New Roman"/>
          <w:color w:val="000000"/>
          <w:sz w:val="20"/>
          <w:szCs w:val="20"/>
        </w:rPr>
      </w:pPr>
      <w:r w:rsidRPr="002C5EE0">
        <w:rPr>
          <w:rFonts w:ascii="Times New Roman" w:eastAsia="Times New Roman" w:hAnsi="Times New Roman" w:cs="Times New Roman"/>
          <w:color w:val="000000"/>
          <w:sz w:val="20"/>
          <w:szCs w:val="20"/>
        </w:rPr>
        <w:t>Fulfillment of at least two of Rotterdam criteria of PCOS.</w:t>
      </w:r>
    </w:p>
    <w:p w:rsidR="00B45591" w:rsidRPr="002C5EE0" w:rsidRDefault="00B45591" w:rsidP="002C5EE0">
      <w:pPr>
        <w:numPr>
          <w:ilvl w:val="0"/>
          <w:numId w:val="1"/>
        </w:numPr>
        <w:tabs>
          <w:tab w:val="left" w:pos="360"/>
        </w:tabs>
        <w:bidi w:val="0"/>
        <w:snapToGrid w:val="0"/>
        <w:spacing w:after="0" w:line="240" w:lineRule="auto"/>
        <w:ind w:firstLine="425"/>
        <w:jc w:val="both"/>
        <w:rPr>
          <w:rFonts w:ascii="Times New Roman" w:eastAsia="Times New Roman" w:hAnsi="Times New Roman" w:cs="Times New Roman"/>
          <w:color w:val="000000"/>
          <w:sz w:val="20"/>
          <w:szCs w:val="20"/>
        </w:rPr>
      </w:pPr>
      <w:r w:rsidRPr="002C5EE0">
        <w:rPr>
          <w:rFonts w:ascii="Times New Roman" w:eastAsia="Times New Roman" w:hAnsi="Times New Roman" w:cs="Times New Roman"/>
          <w:color w:val="000000"/>
          <w:sz w:val="20"/>
          <w:szCs w:val="20"/>
        </w:rPr>
        <w:t xml:space="preserve">Negative history of medical problems that can affect fertility such as diabetes mellitus, thyroid dysfunction, </w:t>
      </w:r>
      <w:proofErr w:type="spellStart"/>
      <w:r w:rsidRPr="002C5EE0">
        <w:rPr>
          <w:rFonts w:ascii="Times New Roman" w:eastAsia="Times New Roman" w:hAnsi="Times New Roman" w:cs="Times New Roman"/>
          <w:color w:val="000000"/>
          <w:sz w:val="20"/>
          <w:szCs w:val="20"/>
        </w:rPr>
        <w:t>hyperprolactinemia</w:t>
      </w:r>
      <w:proofErr w:type="spellEnd"/>
      <w:r w:rsidRPr="002C5EE0">
        <w:rPr>
          <w:rFonts w:ascii="Times New Roman" w:eastAsia="Times New Roman" w:hAnsi="Times New Roman" w:cs="Times New Roman"/>
          <w:color w:val="000000"/>
          <w:sz w:val="20"/>
          <w:szCs w:val="20"/>
        </w:rPr>
        <w:t>, congenital adrenal hyperplasia.</w:t>
      </w:r>
    </w:p>
    <w:p w:rsidR="00B45591" w:rsidRPr="002C5EE0" w:rsidRDefault="00B45591" w:rsidP="002C5EE0">
      <w:pPr>
        <w:numPr>
          <w:ilvl w:val="0"/>
          <w:numId w:val="1"/>
        </w:numPr>
        <w:tabs>
          <w:tab w:val="left" w:pos="360"/>
        </w:tabs>
        <w:bidi w:val="0"/>
        <w:snapToGrid w:val="0"/>
        <w:spacing w:after="0" w:line="240" w:lineRule="auto"/>
        <w:ind w:firstLine="425"/>
        <w:jc w:val="both"/>
        <w:rPr>
          <w:rFonts w:ascii="Times New Roman" w:eastAsia="Times New Roman" w:hAnsi="Times New Roman" w:cs="Times New Roman"/>
          <w:color w:val="000000"/>
          <w:sz w:val="20"/>
          <w:szCs w:val="20"/>
        </w:rPr>
      </w:pPr>
      <w:r w:rsidRPr="002C5EE0">
        <w:rPr>
          <w:rFonts w:ascii="Times New Roman" w:eastAsia="Times New Roman" w:hAnsi="Times New Roman" w:cs="Times New Roman"/>
          <w:color w:val="000000"/>
          <w:sz w:val="20"/>
          <w:szCs w:val="20"/>
        </w:rPr>
        <w:t xml:space="preserve">Normal </w:t>
      </w:r>
      <w:proofErr w:type="spellStart"/>
      <w:r w:rsidRPr="002C5EE0">
        <w:rPr>
          <w:rFonts w:ascii="Times New Roman" w:eastAsia="Times New Roman" w:hAnsi="Times New Roman" w:cs="Times New Roman"/>
          <w:color w:val="000000"/>
          <w:sz w:val="20"/>
          <w:szCs w:val="20"/>
        </w:rPr>
        <w:t>hysterosalpingograph</w:t>
      </w:r>
      <w:r w:rsidR="004B07CF" w:rsidRPr="002C5EE0">
        <w:rPr>
          <w:rFonts w:ascii="Times New Roman" w:eastAsia="Times New Roman" w:hAnsi="Times New Roman" w:cs="Times New Roman"/>
          <w:color w:val="000000"/>
          <w:sz w:val="20"/>
          <w:szCs w:val="20"/>
        </w:rPr>
        <w:t>y</w:t>
      </w:r>
      <w:proofErr w:type="spellEnd"/>
      <w:r w:rsidR="004B07CF" w:rsidRPr="002C5EE0">
        <w:rPr>
          <w:rFonts w:ascii="Times New Roman" w:eastAsia="Times New Roman" w:hAnsi="Times New Roman" w:cs="Times New Roman"/>
          <w:color w:val="000000"/>
          <w:sz w:val="20"/>
          <w:szCs w:val="20"/>
        </w:rPr>
        <w:t xml:space="preserve"> (</w:t>
      </w:r>
      <w:r w:rsidRPr="002C5EE0">
        <w:rPr>
          <w:rFonts w:ascii="Times New Roman" w:eastAsia="Times New Roman" w:hAnsi="Times New Roman" w:cs="Times New Roman"/>
          <w:color w:val="000000"/>
          <w:sz w:val="20"/>
          <w:szCs w:val="20"/>
        </w:rPr>
        <w:t>HSG) and BMI between 20 and 30Kg /m.</w:t>
      </w:r>
    </w:p>
    <w:p w:rsidR="00B45591" w:rsidRPr="002C5EE0" w:rsidRDefault="00B45591" w:rsidP="002C5EE0">
      <w:pPr>
        <w:bidi w:val="0"/>
        <w:snapToGrid w:val="0"/>
        <w:spacing w:after="0" w:line="240" w:lineRule="auto"/>
        <w:jc w:val="both"/>
        <w:rPr>
          <w:rFonts w:ascii="Times New Roman" w:eastAsia="Times New Roman" w:hAnsi="Times New Roman" w:cs="Times New Roman"/>
          <w:b/>
          <w:color w:val="000000"/>
          <w:sz w:val="20"/>
          <w:szCs w:val="20"/>
        </w:rPr>
      </w:pPr>
      <w:r w:rsidRPr="002C5EE0">
        <w:rPr>
          <w:rFonts w:ascii="Times New Roman" w:eastAsia="Times New Roman" w:hAnsi="Times New Roman" w:cs="Times New Roman"/>
          <w:b/>
          <w:color w:val="000000"/>
          <w:sz w:val="20"/>
          <w:szCs w:val="20"/>
        </w:rPr>
        <w:t xml:space="preserve">The exclusion </w:t>
      </w:r>
      <w:proofErr w:type="spellStart"/>
      <w:r w:rsidRPr="002C5EE0">
        <w:rPr>
          <w:rFonts w:ascii="Times New Roman" w:eastAsia="Times New Roman" w:hAnsi="Times New Roman" w:cs="Times New Roman"/>
          <w:b/>
          <w:color w:val="000000"/>
          <w:sz w:val="20"/>
          <w:szCs w:val="20"/>
        </w:rPr>
        <w:t>criteriawas</w:t>
      </w:r>
      <w:proofErr w:type="spellEnd"/>
      <w:r w:rsidRPr="002C5EE0">
        <w:rPr>
          <w:rFonts w:ascii="Times New Roman" w:eastAsia="Times New Roman" w:hAnsi="Times New Roman" w:cs="Times New Roman"/>
          <w:b/>
          <w:color w:val="000000"/>
          <w:sz w:val="20"/>
          <w:szCs w:val="20"/>
        </w:rPr>
        <w:t xml:space="preserve"> include:</w:t>
      </w:r>
    </w:p>
    <w:p w:rsidR="00B45591" w:rsidRPr="002C5EE0" w:rsidRDefault="00B45591" w:rsidP="002C5EE0">
      <w:pPr>
        <w:numPr>
          <w:ilvl w:val="0"/>
          <w:numId w:val="2"/>
        </w:numPr>
        <w:tabs>
          <w:tab w:val="left" w:pos="300"/>
        </w:tabs>
        <w:bidi w:val="0"/>
        <w:snapToGrid w:val="0"/>
        <w:spacing w:after="0" w:line="240" w:lineRule="auto"/>
        <w:ind w:firstLine="425"/>
        <w:jc w:val="both"/>
        <w:rPr>
          <w:rFonts w:ascii="Times New Roman" w:eastAsia="Times New Roman" w:hAnsi="Times New Roman" w:cs="Times New Roman"/>
          <w:color w:val="000000"/>
          <w:sz w:val="20"/>
          <w:szCs w:val="20"/>
        </w:rPr>
      </w:pPr>
      <w:r w:rsidRPr="002C5EE0">
        <w:rPr>
          <w:rFonts w:ascii="Times New Roman" w:eastAsia="Times New Roman" w:hAnsi="Times New Roman" w:cs="Times New Roman"/>
          <w:color w:val="000000"/>
          <w:sz w:val="20"/>
          <w:szCs w:val="20"/>
        </w:rPr>
        <w:t>Woman having history of medical problems which affect fertility.</w:t>
      </w:r>
    </w:p>
    <w:p w:rsidR="00B45591" w:rsidRPr="002C5EE0" w:rsidRDefault="00B45591" w:rsidP="002C5EE0">
      <w:pPr>
        <w:numPr>
          <w:ilvl w:val="0"/>
          <w:numId w:val="2"/>
        </w:numPr>
        <w:tabs>
          <w:tab w:val="left" w:pos="300"/>
        </w:tabs>
        <w:bidi w:val="0"/>
        <w:snapToGrid w:val="0"/>
        <w:spacing w:after="0" w:line="240" w:lineRule="auto"/>
        <w:ind w:firstLine="425"/>
        <w:jc w:val="both"/>
        <w:rPr>
          <w:rFonts w:ascii="Times New Roman" w:eastAsia="Times New Roman" w:hAnsi="Times New Roman" w:cs="Times New Roman"/>
          <w:color w:val="000000"/>
          <w:sz w:val="20"/>
          <w:szCs w:val="20"/>
        </w:rPr>
      </w:pPr>
      <w:r w:rsidRPr="002C5EE0">
        <w:rPr>
          <w:rFonts w:ascii="Times New Roman" w:eastAsia="Times New Roman" w:hAnsi="Times New Roman" w:cs="Times New Roman"/>
          <w:color w:val="000000"/>
          <w:sz w:val="20"/>
          <w:szCs w:val="20"/>
        </w:rPr>
        <w:t>History of recent hormonal therapy, having pelvic infections and/or having abnormal laboratory findings other than PCOS findings.</w:t>
      </w:r>
    </w:p>
    <w:p w:rsidR="00B45591" w:rsidRPr="002C5EE0" w:rsidRDefault="00B45591" w:rsidP="002C5EE0">
      <w:pPr>
        <w:bidi w:val="0"/>
        <w:snapToGrid w:val="0"/>
        <w:spacing w:after="0" w:line="240" w:lineRule="auto"/>
        <w:ind w:firstLine="425"/>
        <w:jc w:val="both"/>
        <w:rPr>
          <w:rFonts w:ascii="Times New Roman" w:eastAsia="Times New Roman" w:hAnsi="Times New Roman" w:cs="Times New Roman"/>
          <w:color w:val="000000"/>
          <w:sz w:val="20"/>
          <w:szCs w:val="20"/>
        </w:rPr>
      </w:pPr>
      <w:r w:rsidRPr="002C5EE0">
        <w:rPr>
          <w:rFonts w:ascii="Times New Roman" w:eastAsia="Times New Roman" w:hAnsi="Times New Roman" w:cs="Times New Roman"/>
          <w:color w:val="000000"/>
          <w:sz w:val="20"/>
          <w:szCs w:val="20"/>
        </w:rPr>
        <w:t>Serial trans vaginal</w:t>
      </w:r>
      <w:r w:rsidR="002C5EE0">
        <w:rPr>
          <w:rFonts w:ascii="Times New Roman" w:eastAsia="Times New Roman" w:hAnsi="Times New Roman" w:cs="Times New Roman"/>
          <w:color w:val="000000"/>
          <w:sz w:val="20"/>
          <w:szCs w:val="20"/>
        </w:rPr>
        <w:t xml:space="preserve"> </w:t>
      </w:r>
      <w:r w:rsidRPr="002C5EE0">
        <w:rPr>
          <w:rFonts w:ascii="Times New Roman" w:eastAsia="Times New Roman" w:hAnsi="Times New Roman" w:cs="Times New Roman"/>
          <w:color w:val="000000"/>
          <w:sz w:val="20"/>
          <w:szCs w:val="20"/>
        </w:rPr>
        <w:t xml:space="preserve">ultrasound (TVU) </w:t>
      </w:r>
      <w:proofErr w:type="spellStart"/>
      <w:r w:rsidRPr="002C5EE0">
        <w:rPr>
          <w:rFonts w:ascii="Times New Roman" w:eastAsia="Times New Roman" w:hAnsi="Times New Roman" w:cs="Times New Roman"/>
          <w:color w:val="000000"/>
          <w:sz w:val="20"/>
          <w:szCs w:val="20"/>
        </w:rPr>
        <w:t>monitorings</w:t>
      </w:r>
      <w:proofErr w:type="spellEnd"/>
      <w:r w:rsidRPr="002C5EE0">
        <w:rPr>
          <w:rFonts w:ascii="Times New Roman" w:eastAsia="Times New Roman" w:hAnsi="Times New Roman" w:cs="Times New Roman"/>
          <w:color w:val="000000"/>
          <w:sz w:val="20"/>
          <w:szCs w:val="20"/>
        </w:rPr>
        <w:t xml:space="preserve"> were conducted for each case for detection of ovulation throughout in each stimulated cycle starting from day 10 of menstrual cycle until reaching </w:t>
      </w:r>
      <w:proofErr w:type="spellStart"/>
      <w:r w:rsidRPr="002C5EE0">
        <w:rPr>
          <w:rFonts w:ascii="Times New Roman" w:eastAsia="Times New Roman" w:hAnsi="Times New Roman" w:cs="Times New Roman"/>
          <w:color w:val="000000"/>
          <w:sz w:val="20"/>
          <w:szCs w:val="20"/>
        </w:rPr>
        <w:t>folliculer</w:t>
      </w:r>
      <w:proofErr w:type="spellEnd"/>
      <w:r w:rsidRPr="002C5EE0">
        <w:rPr>
          <w:rFonts w:ascii="Times New Roman" w:eastAsia="Times New Roman" w:hAnsi="Times New Roman" w:cs="Times New Roman"/>
          <w:color w:val="000000"/>
          <w:sz w:val="20"/>
          <w:szCs w:val="20"/>
        </w:rPr>
        <w:t xml:space="preserve"> maturation (follicular size (18-24 </w:t>
      </w:r>
      <w:r w:rsidRPr="002C5EE0">
        <w:rPr>
          <w:rFonts w:ascii="Times New Roman" w:eastAsia="Times New Roman" w:hAnsi="Times New Roman" w:cs="Times New Roman"/>
          <w:iCs/>
          <w:color w:val="000000"/>
          <w:sz w:val="20"/>
          <w:szCs w:val="20"/>
        </w:rPr>
        <w:t>mm</w:t>
      </w:r>
      <w:r w:rsidRPr="002C5EE0">
        <w:rPr>
          <w:rFonts w:ascii="Times New Roman" w:eastAsia="Times New Roman" w:hAnsi="Times New Roman" w:cs="Times New Roman"/>
          <w:color w:val="000000"/>
          <w:sz w:val="20"/>
          <w:szCs w:val="20"/>
        </w:rPr>
        <w:t xml:space="preserve">)) from which human chorionic </w:t>
      </w:r>
      <w:proofErr w:type="spellStart"/>
      <w:r w:rsidRPr="002C5EE0">
        <w:rPr>
          <w:rFonts w:ascii="Times New Roman" w:eastAsia="Times New Roman" w:hAnsi="Times New Roman" w:cs="Times New Roman"/>
          <w:color w:val="000000"/>
          <w:sz w:val="20"/>
          <w:szCs w:val="20"/>
        </w:rPr>
        <w:t>gonadotropin</w:t>
      </w:r>
      <w:proofErr w:type="spellEnd"/>
      <w:r w:rsidRPr="002C5EE0">
        <w:rPr>
          <w:rFonts w:ascii="Times New Roman" w:eastAsia="Times New Roman" w:hAnsi="Times New Roman" w:cs="Times New Roman"/>
          <w:color w:val="000000"/>
          <w:sz w:val="20"/>
          <w:szCs w:val="20"/>
        </w:rPr>
        <w:t xml:space="preserve"> (HCG) at a</w:t>
      </w:r>
      <w:r w:rsidR="00C00E76">
        <w:rPr>
          <w:rFonts w:ascii="Times New Roman" w:hAnsi="Times New Roman" w:cs="Times New Roman" w:hint="eastAsia"/>
          <w:color w:val="000000"/>
          <w:sz w:val="20"/>
          <w:szCs w:val="20"/>
          <w:lang w:eastAsia="zh-CN"/>
        </w:rPr>
        <w:t xml:space="preserve"> </w:t>
      </w:r>
      <w:r w:rsidRPr="002C5EE0">
        <w:rPr>
          <w:rFonts w:ascii="Times New Roman" w:eastAsia="Times New Roman" w:hAnsi="Times New Roman" w:cs="Times New Roman"/>
          <w:color w:val="000000"/>
          <w:sz w:val="20"/>
          <w:szCs w:val="20"/>
        </w:rPr>
        <w:t xml:space="preserve">dose of 10000 IU </w:t>
      </w:r>
      <w:proofErr w:type="spellStart"/>
      <w:r w:rsidRPr="002C5EE0">
        <w:rPr>
          <w:rFonts w:ascii="Times New Roman" w:eastAsia="Times New Roman" w:hAnsi="Times New Roman" w:cs="Times New Roman"/>
          <w:color w:val="000000"/>
          <w:sz w:val="20"/>
          <w:szCs w:val="20"/>
        </w:rPr>
        <w:t>intramusculary</w:t>
      </w:r>
      <w:proofErr w:type="spellEnd"/>
      <w:r w:rsidRPr="002C5EE0">
        <w:rPr>
          <w:rFonts w:ascii="Times New Roman" w:eastAsia="Times New Roman" w:hAnsi="Times New Roman" w:cs="Times New Roman"/>
          <w:color w:val="000000"/>
          <w:sz w:val="20"/>
          <w:szCs w:val="20"/>
        </w:rPr>
        <w:t xml:space="preserve"> was administered. Ultrasound was also used to measure endometrial thickness at the time of HCG administration.</w:t>
      </w:r>
    </w:p>
    <w:p w:rsidR="00B45591" w:rsidRPr="002C5EE0" w:rsidRDefault="00B45591" w:rsidP="002C5EE0">
      <w:pPr>
        <w:bidi w:val="0"/>
        <w:snapToGrid w:val="0"/>
        <w:spacing w:after="0" w:line="240" w:lineRule="auto"/>
        <w:ind w:firstLine="425"/>
        <w:jc w:val="both"/>
        <w:rPr>
          <w:rFonts w:ascii="Times New Roman" w:eastAsia="Times New Roman" w:hAnsi="Times New Roman" w:cs="Times New Roman"/>
          <w:color w:val="000000"/>
          <w:sz w:val="20"/>
          <w:szCs w:val="20"/>
        </w:rPr>
      </w:pPr>
      <w:r w:rsidRPr="002C5EE0">
        <w:rPr>
          <w:rFonts w:ascii="Times New Roman" w:eastAsia="Times New Roman" w:hAnsi="Times New Roman" w:cs="Times New Roman"/>
          <w:color w:val="000000"/>
          <w:sz w:val="20"/>
          <w:szCs w:val="20"/>
        </w:rPr>
        <w:lastRenderedPageBreak/>
        <w:t>All women were re- evaluated 48 hours after HCG administration for ultrasound evidence of ovulation.</w:t>
      </w:r>
    </w:p>
    <w:p w:rsidR="00B45591" w:rsidRPr="002C5EE0" w:rsidRDefault="00B45591" w:rsidP="002C5EE0">
      <w:pPr>
        <w:bidi w:val="0"/>
        <w:snapToGrid w:val="0"/>
        <w:spacing w:after="0" w:line="240" w:lineRule="auto"/>
        <w:ind w:firstLine="425"/>
        <w:jc w:val="both"/>
        <w:rPr>
          <w:rFonts w:ascii="Times New Roman" w:eastAsia="Times New Roman" w:hAnsi="Times New Roman" w:cs="Times New Roman"/>
          <w:color w:val="000000"/>
          <w:sz w:val="20"/>
          <w:szCs w:val="20"/>
        </w:rPr>
      </w:pPr>
      <w:r w:rsidRPr="002C5EE0">
        <w:rPr>
          <w:rFonts w:ascii="Times New Roman" w:eastAsia="Times New Roman" w:hAnsi="Times New Roman" w:cs="Times New Roman"/>
          <w:color w:val="000000"/>
          <w:sz w:val="20"/>
          <w:szCs w:val="20"/>
        </w:rPr>
        <w:t xml:space="preserve">The ultrasound machine used was </w:t>
      </w:r>
      <w:proofErr w:type="spellStart"/>
      <w:r w:rsidRPr="002C5EE0">
        <w:rPr>
          <w:rFonts w:ascii="Times New Roman" w:eastAsia="Times New Roman" w:hAnsi="Times New Roman" w:cs="Times New Roman"/>
          <w:color w:val="000000"/>
          <w:sz w:val="20"/>
          <w:szCs w:val="20"/>
        </w:rPr>
        <w:t>Mindray</w:t>
      </w:r>
      <w:proofErr w:type="spellEnd"/>
      <w:r w:rsidRPr="002C5EE0">
        <w:rPr>
          <w:rFonts w:ascii="Times New Roman" w:eastAsia="Times New Roman" w:hAnsi="Times New Roman" w:cs="Times New Roman"/>
          <w:color w:val="000000"/>
          <w:sz w:val="20"/>
          <w:szCs w:val="20"/>
        </w:rPr>
        <w:t xml:space="preserve"> DC 3.</w:t>
      </w:r>
    </w:p>
    <w:p w:rsidR="00A173BE" w:rsidRPr="002C5EE0" w:rsidRDefault="00A173BE" w:rsidP="002C5EE0">
      <w:pPr>
        <w:bidi w:val="0"/>
        <w:snapToGrid w:val="0"/>
        <w:spacing w:after="0" w:line="240" w:lineRule="auto"/>
        <w:jc w:val="both"/>
        <w:rPr>
          <w:rFonts w:ascii="Times New Roman" w:eastAsia="Times New Roman" w:hAnsi="Times New Roman" w:cs="Times New Roman"/>
          <w:color w:val="000000"/>
          <w:sz w:val="20"/>
          <w:szCs w:val="20"/>
        </w:rPr>
      </w:pPr>
      <w:r w:rsidRPr="002C5EE0">
        <w:rPr>
          <w:rFonts w:ascii="Times New Roman" w:eastAsia="Times New Roman" w:hAnsi="Times New Roman" w:cs="Times New Roman"/>
          <w:b/>
          <w:color w:val="000000"/>
          <w:sz w:val="20"/>
          <w:szCs w:val="20"/>
        </w:rPr>
        <w:t>Statistical Methods</w:t>
      </w:r>
    </w:p>
    <w:p w:rsidR="002C5EE0" w:rsidRDefault="00A173BE" w:rsidP="002C5EE0">
      <w:pPr>
        <w:bidi w:val="0"/>
        <w:snapToGrid w:val="0"/>
        <w:spacing w:after="0" w:line="240" w:lineRule="auto"/>
        <w:ind w:firstLine="425"/>
        <w:jc w:val="both"/>
        <w:rPr>
          <w:rFonts w:ascii="Times New Roman" w:eastAsia="Times New Roman" w:hAnsi="Times New Roman" w:cs="Times New Roman"/>
          <w:color w:val="000000"/>
          <w:sz w:val="20"/>
          <w:szCs w:val="20"/>
        </w:rPr>
      </w:pPr>
      <w:r w:rsidRPr="002C5EE0">
        <w:rPr>
          <w:rFonts w:ascii="Times New Roman" w:eastAsia="Times New Roman" w:hAnsi="Times New Roman" w:cs="Times New Roman"/>
          <w:color w:val="000000"/>
          <w:sz w:val="20"/>
          <w:szCs w:val="20"/>
        </w:rPr>
        <w:t>The data were be transferred to IBM cards using an IBM personal computer and analyzed with the Statistical Program for Social Sciences V11.0 (SPSS Inc, Chicago, IL</w:t>
      </w:r>
      <w:r w:rsidR="002C5EE0" w:rsidRPr="002C5EE0">
        <w:rPr>
          <w:rFonts w:ascii="Times New Roman" w:eastAsia="Times New Roman" w:hAnsi="Times New Roman" w:cs="Times New Roman"/>
          <w:color w:val="000000"/>
          <w:sz w:val="20"/>
          <w:szCs w:val="20"/>
        </w:rPr>
        <w:t>)</w:t>
      </w:r>
      <w:r w:rsidR="002C5EE0">
        <w:rPr>
          <w:rFonts w:ascii="Times New Roman" w:eastAsia="Times New Roman" w:hAnsi="Times New Roman" w:cs="Times New Roman"/>
          <w:color w:val="000000"/>
          <w:sz w:val="20"/>
          <w:szCs w:val="20"/>
        </w:rPr>
        <w:t>.</w:t>
      </w:r>
    </w:p>
    <w:p w:rsidR="00A173BE" w:rsidRPr="002C5EE0" w:rsidRDefault="00A173BE" w:rsidP="002C5EE0">
      <w:pPr>
        <w:bidi w:val="0"/>
        <w:snapToGrid w:val="0"/>
        <w:spacing w:after="0" w:line="240" w:lineRule="auto"/>
        <w:ind w:firstLine="425"/>
        <w:jc w:val="both"/>
        <w:rPr>
          <w:rFonts w:ascii="Times New Roman" w:hAnsi="Times New Roman" w:cs="Times New Roman"/>
          <w:sz w:val="20"/>
          <w:szCs w:val="20"/>
          <w:lang w:bidi="ar-EG"/>
        </w:rPr>
      </w:pPr>
      <w:r w:rsidRPr="002C5EE0">
        <w:rPr>
          <w:rFonts w:ascii="Times New Roman" w:eastAsia="Times New Roman" w:hAnsi="Times New Roman" w:cs="Times New Roman"/>
          <w:color w:val="000000"/>
          <w:sz w:val="20"/>
          <w:szCs w:val="20"/>
        </w:rPr>
        <w:t>Descriptive statistics comprised the mean and standard deviation (SD). Analytical statistics comprised the student's t-test to compare between independent quantitative means, and the chi-square test to compare between the different groups with regard to qualitative data. The chosen level of significance is p &lt; 0.05.</w:t>
      </w:r>
    </w:p>
    <w:p w:rsidR="00A173BE" w:rsidRPr="002C5EE0" w:rsidRDefault="00A173BE" w:rsidP="002C5EE0">
      <w:pPr>
        <w:bidi w:val="0"/>
        <w:snapToGrid w:val="0"/>
        <w:spacing w:after="0" w:line="240" w:lineRule="auto"/>
        <w:jc w:val="both"/>
        <w:rPr>
          <w:rFonts w:ascii="Times New Roman" w:hAnsi="Times New Roman" w:cs="Times New Roman"/>
          <w:b/>
          <w:bCs/>
          <w:sz w:val="20"/>
          <w:szCs w:val="20"/>
          <w:lang w:bidi="ar-EG"/>
        </w:rPr>
      </w:pPr>
    </w:p>
    <w:p w:rsidR="00A173BE" w:rsidRPr="002C5EE0" w:rsidRDefault="00A173BE" w:rsidP="002C5EE0">
      <w:pPr>
        <w:bidi w:val="0"/>
        <w:snapToGrid w:val="0"/>
        <w:spacing w:after="0" w:line="240" w:lineRule="auto"/>
        <w:jc w:val="both"/>
        <w:rPr>
          <w:rFonts w:ascii="Times New Roman" w:hAnsi="Times New Roman" w:cs="Times New Roman"/>
          <w:b/>
          <w:bCs/>
          <w:sz w:val="20"/>
          <w:szCs w:val="20"/>
          <w:lang w:bidi="ar-EG"/>
        </w:rPr>
      </w:pPr>
      <w:r w:rsidRPr="002C5EE0">
        <w:rPr>
          <w:rFonts w:ascii="Times New Roman" w:hAnsi="Times New Roman" w:cs="Times New Roman"/>
          <w:b/>
          <w:bCs/>
          <w:sz w:val="20"/>
          <w:szCs w:val="20"/>
          <w:lang w:bidi="ar-EG"/>
        </w:rPr>
        <w:t>3. Results</w:t>
      </w:r>
    </w:p>
    <w:p w:rsidR="002C5EE0" w:rsidRDefault="00A173BE" w:rsidP="002C5EE0">
      <w:pPr>
        <w:bidi w:val="0"/>
        <w:snapToGrid w:val="0"/>
        <w:spacing w:after="0" w:line="240" w:lineRule="auto"/>
        <w:ind w:firstLine="425"/>
        <w:jc w:val="both"/>
        <w:rPr>
          <w:rFonts w:ascii="Times New Roman" w:hAnsi="Times New Roman" w:cs="Times New Roman"/>
          <w:color w:val="000000"/>
          <w:sz w:val="20"/>
          <w:szCs w:val="20"/>
        </w:rPr>
      </w:pPr>
      <w:r w:rsidRPr="002C5EE0">
        <w:rPr>
          <w:rFonts w:ascii="Times New Roman" w:hAnsi="Times New Roman" w:cs="Times New Roman"/>
          <w:color w:val="000000"/>
          <w:sz w:val="20"/>
          <w:szCs w:val="20"/>
        </w:rPr>
        <w:t xml:space="preserve">Our study was carried out on 100 </w:t>
      </w:r>
      <w:proofErr w:type="spellStart"/>
      <w:r w:rsidRPr="002C5EE0">
        <w:rPr>
          <w:rFonts w:ascii="Times New Roman" w:hAnsi="Times New Roman" w:cs="Times New Roman"/>
          <w:color w:val="000000"/>
          <w:sz w:val="20"/>
          <w:szCs w:val="20"/>
        </w:rPr>
        <w:t>Clomiphene</w:t>
      </w:r>
      <w:proofErr w:type="spellEnd"/>
      <w:r w:rsidRPr="002C5EE0">
        <w:rPr>
          <w:rFonts w:ascii="Times New Roman" w:hAnsi="Times New Roman" w:cs="Times New Roman"/>
          <w:color w:val="000000"/>
          <w:sz w:val="20"/>
          <w:szCs w:val="20"/>
        </w:rPr>
        <w:t xml:space="preserve"> citrate resistant infertile women seeking for fertility at Al Hussein university hospita</w:t>
      </w:r>
      <w:r w:rsidR="002C5EE0" w:rsidRPr="002C5EE0">
        <w:rPr>
          <w:rFonts w:ascii="Times New Roman" w:hAnsi="Times New Roman" w:cs="Times New Roman"/>
          <w:color w:val="000000"/>
          <w:sz w:val="20"/>
          <w:szCs w:val="20"/>
        </w:rPr>
        <w:t>l</w:t>
      </w:r>
      <w:r w:rsidR="002C5EE0">
        <w:rPr>
          <w:rFonts w:ascii="Times New Roman" w:hAnsi="Times New Roman" w:cs="Times New Roman"/>
          <w:color w:val="000000"/>
          <w:sz w:val="20"/>
          <w:szCs w:val="20"/>
        </w:rPr>
        <w:t>.</w:t>
      </w:r>
    </w:p>
    <w:p w:rsidR="00A173BE" w:rsidRPr="002C5EE0" w:rsidRDefault="00A173BE" w:rsidP="002C5EE0">
      <w:pPr>
        <w:bidi w:val="0"/>
        <w:snapToGrid w:val="0"/>
        <w:spacing w:after="0" w:line="240" w:lineRule="auto"/>
        <w:ind w:firstLine="425"/>
        <w:jc w:val="both"/>
        <w:rPr>
          <w:rFonts w:ascii="Times New Roman" w:hAnsi="Times New Roman" w:cs="Times New Roman"/>
          <w:color w:val="000000"/>
          <w:sz w:val="20"/>
          <w:szCs w:val="20"/>
        </w:rPr>
      </w:pPr>
      <w:r w:rsidRPr="002C5EE0">
        <w:rPr>
          <w:rFonts w:ascii="Times New Roman" w:hAnsi="Times New Roman" w:cs="Times New Roman"/>
          <w:color w:val="000000"/>
          <w:sz w:val="20"/>
          <w:szCs w:val="20"/>
        </w:rPr>
        <w:t xml:space="preserve">The patients were diagnosed with PCOS according to Rotterdam criteria Moreover, the patients failed to ovulate after receiving 150 mg of </w:t>
      </w:r>
      <w:proofErr w:type="spellStart"/>
      <w:r w:rsidRPr="002C5EE0">
        <w:rPr>
          <w:rFonts w:ascii="Times New Roman" w:hAnsi="Times New Roman" w:cs="Times New Roman"/>
          <w:color w:val="000000"/>
          <w:sz w:val="20"/>
          <w:szCs w:val="20"/>
        </w:rPr>
        <w:t>Clomiphene</w:t>
      </w:r>
      <w:proofErr w:type="spellEnd"/>
      <w:r w:rsidRPr="002C5EE0">
        <w:rPr>
          <w:rFonts w:ascii="Times New Roman" w:hAnsi="Times New Roman" w:cs="Times New Roman"/>
          <w:color w:val="000000"/>
          <w:sz w:val="20"/>
          <w:szCs w:val="20"/>
        </w:rPr>
        <w:t xml:space="preserve"> citrate</w:t>
      </w:r>
      <w:r w:rsidR="002C5EE0">
        <w:rPr>
          <w:rFonts w:ascii="Times New Roman" w:hAnsi="Times New Roman" w:cs="Times New Roman"/>
          <w:color w:val="000000"/>
          <w:sz w:val="20"/>
          <w:szCs w:val="20"/>
        </w:rPr>
        <w:t xml:space="preserve"> </w:t>
      </w:r>
      <w:r w:rsidRPr="002C5EE0">
        <w:rPr>
          <w:rFonts w:ascii="Times New Roman" w:hAnsi="Times New Roman" w:cs="Times New Roman"/>
          <w:color w:val="000000"/>
          <w:sz w:val="20"/>
          <w:szCs w:val="20"/>
        </w:rPr>
        <w:t>daily for 5 days per cycle, for at least three cycles and will be arranged at random, by sealed envelopes, into 2 groups, each group</w:t>
      </w:r>
      <w:r w:rsidR="002C5EE0">
        <w:rPr>
          <w:rFonts w:ascii="Times New Roman" w:hAnsi="Times New Roman" w:cs="Times New Roman"/>
          <w:color w:val="000000"/>
          <w:sz w:val="20"/>
          <w:szCs w:val="20"/>
        </w:rPr>
        <w:t xml:space="preserve"> </w:t>
      </w:r>
      <w:r w:rsidRPr="002C5EE0">
        <w:rPr>
          <w:rFonts w:ascii="Times New Roman" w:hAnsi="Times New Roman" w:cs="Times New Roman"/>
          <w:color w:val="000000"/>
          <w:sz w:val="20"/>
          <w:szCs w:val="20"/>
        </w:rPr>
        <w:t>contained</w:t>
      </w:r>
      <w:r w:rsidR="002C5EE0">
        <w:rPr>
          <w:rFonts w:ascii="Times New Roman" w:hAnsi="Times New Roman" w:cs="Times New Roman"/>
          <w:color w:val="000000"/>
          <w:sz w:val="20"/>
          <w:szCs w:val="20"/>
        </w:rPr>
        <w:t xml:space="preserve"> </w:t>
      </w:r>
      <w:r w:rsidRPr="002C5EE0">
        <w:rPr>
          <w:rFonts w:ascii="Times New Roman" w:hAnsi="Times New Roman" w:cs="Times New Roman"/>
          <w:color w:val="000000"/>
          <w:sz w:val="20"/>
          <w:szCs w:val="20"/>
        </w:rPr>
        <w:t>50 patients:</w:t>
      </w:r>
    </w:p>
    <w:p w:rsidR="00A173BE" w:rsidRPr="002C5EE0" w:rsidRDefault="00A173BE" w:rsidP="002C5EE0">
      <w:pPr>
        <w:bidi w:val="0"/>
        <w:snapToGrid w:val="0"/>
        <w:spacing w:after="0" w:line="240" w:lineRule="auto"/>
        <w:ind w:firstLine="425"/>
        <w:jc w:val="both"/>
        <w:rPr>
          <w:rFonts w:ascii="Times New Roman" w:hAnsi="Times New Roman" w:cs="Times New Roman"/>
          <w:color w:val="000000"/>
          <w:sz w:val="20"/>
          <w:szCs w:val="20"/>
        </w:rPr>
      </w:pPr>
      <w:r w:rsidRPr="002C5EE0">
        <w:rPr>
          <w:rFonts w:ascii="Times New Roman" w:hAnsi="Times New Roman" w:cs="Times New Roman"/>
          <w:color w:val="000000"/>
          <w:sz w:val="20"/>
          <w:szCs w:val="20"/>
        </w:rPr>
        <w:lastRenderedPageBreak/>
        <w:t xml:space="preserve">Group (A) received </w:t>
      </w:r>
      <w:proofErr w:type="spellStart"/>
      <w:r w:rsidRPr="002C5EE0">
        <w:rPr>
          <w:rFonts w:ascii="Times New Roman" w:hAnsi="Times New Roman" w:cs="Times New Roman"/>
          <w:color w:val="000000"/>
          <w:sz w:val="20"/>
          <w:szCs w:val="20"/>
        </w:rPr>
        <w:t>letrozole</w:t>
      </w:r>
      <w:proofErr w:type="spellEnd"/>
      <w:r w:rsidRPr="002C5EE0">
        <w:rPr>
          <w:rFonts w:ascii="Times New Roman" w:hAnsi="Times New Roman" w:cs="Times New Roman"/>
          <w:color w:val="000000"/>
          <w:sz w:val="20"/>
          <w:szCs w:val="20"/>
        </w:rPr>
        <w:t xml:space="preserve"> (</w:t>
      </w:r>
      <w:proofErr w:type="spellStart"/>
      <w:r w:rsidRPr="002C5EE0">
        <w:rPr>
          <w:rFonts w:ascii="Times New Roman" w:hAnsi="Times New Roman" w:cs="Times New Roman"/>
          <w:color w:val="000000"/>
          <w:sz w:val="20"/>
          <w:szCs w:val="20"/>
        </w:rPr>
        <w:t>Femara</w:t>
      </w:r>
      <w:proofErr w:type="spellEnd"/>
      <w:r w:rsidRPr="002C5EE0">
        <w:rPr>
          <w:rFonts w:ascii="Times New Roman" w:hAnsi="Times New Roman" w:cs="Times New Roman"/>
          <w:color w:val="000000"/>
          <w:sz w:val="20"/>
          <w:szCs w:val="20"/>
        </w:rPr>
        <w:t>; Novartis) with a dose of 2.5 mg/day given from day 3-7 of the menstrual cycle, for one cycle.</w:t>
      </w:r>
    </w:p>
    <w:p w:rsidR="00A173BE" w:rsidRPr="002C5EE0" w:rsidRDefault="00A173BE" w:rsidP="002C5EE0">
      <w:pPr>
        <w:bidi w:val="0"/>
        <w:snapToGrid w:val="0"/>
        <w:spacing w:after="0" w:line="240" w:lineRule="auto"/>
        <w:ind w:firstLine="425"/>
        <w:jc w:val="both"/>
        <w:rPr>
          <w:rFonts w:ascii="Times New Roman" w:hAnsi="Times New Roman" w:cs="Times New Roman"/>
          <w:color w:val="000000"/>
          <w:sz w:val="20"/>
          <w:szCs w:val="20"/>
        </w:rPr>
      </w:pPr>
      <w:r w:rsidRPr="002C5EE0">
        <w:rPr>
          <w:rFonts w:ascii="Times New Roman" w:hAnsi="Times New Roman" w:cs="Times New Roman"/>
          <w:color w:val="000000"/>
          <w:sz w:val="20"/>
          <w:szCs w:val="20"/>
        </w:rPr>
        <w:t>Group (B)</w:t>
      </w:r>
      <w:r w:rsidR="002C5EE0">
        <w:rPr>
          <w:rFonts w:ascii="Times New Roman" w:hAnsi="Times New Roman" w:cs="Times New Roman"/>
          <w:color w:val="000000"/>
          <w:sz w:val="20"/>
          <w:szCs w:val="20"/>
        </w:rPr>
        <w:t xml:space="preserve"> </w:t>
      </w:r>
      <w:proofErr w:type="spellStart"/>
      <w:r w:rsidRPr="002C5EE0">
        <w:rPr>
          <w:rFonts w:ascii="Times New Roman" w:hAnsi="Times New Roman" w:cs="Times New Roman"/>
          <w:color w:val="000000"/>
          <w:sz w:val="20"/>
          <w:szCs w:val="20"/>
        </w:rPr>
        <w:t>receivedtamoxifen</w:t>
      </w:r>
      <w:proofErr w:type="spellEnd"/>
      <w:r w:rsidRPr="002C5EE0">
        <w:rPr>
          <w:rFonts w:ascii="Times New Roman" w:hAnsi="Times New Roman" w:cs="Times New Roman"/>
          <w:color w:val="000000"/>
          <w:sz w:val="20"/>
          <w:szCs w:val="20"/>
        </w:rPr>
        <w:t xml:space="preserve"> citrate (TMX) with a dose of 20 mg/ day given from day 3-7 of the menstrual cycle, for one cycle.</w:t>
      </w:r>
    </w:p>
    <w:p w:rsidR="00A173BE" w:rsidRPr="002C5EE0" w:rsidRDefault="00A173BE" w:rsidP="002C5EE0">
      <w:pPr>
        <w:bidi w:val="0"/>
        <w:snapToGrid w:val="0"/>
        <w:spacing w:after="0" w:line="240" w:lineRule="auto"/>
        <w:jc w:val="both"/>
        <w:rPr>
          <w:rFonts w:ascii="Times New Roman" w:hAnsi="Times New Roman" w:cs="Times New Roman"/>
          <w:color w:val="000000"/>
          <w:sz w:val="20"/>
          <w:szCs w:val="20"/>
        </w:rPr>
      </w:pPr>
      <w:r w:rsidRPr="002C5EE0">
        <w:rPr>
          <w:rFonts w:ascii="Times New Roman" w:hAnsi="Times New Roman" w:cs="Times New Roman"/>
          <w:color w:val="000000"/>
          <w:sz w:val="20"/>
          <w:szCs w:val="20"/>
        </w:rPr>
        <w:t xml:space="preserve">Then </w:t>
      </w:r>
      <w:proofErr w:type="spellStart"/>
      <w:r w:rsidRPr="002C5EE0">
        <w:rPr>
          <w:rFonts w:ascii="Times New Roman" w:hAnsi="Times New Roman" w:cs="Times New Roman"/>
          <w:color w:val="000000"/>
          <w:sz w:val="20"/>
          <w:szCs w:val="20"/>
        </w:rPr>
        <w:t>folliculometry</w:t>
      </w:r>
      <w:proofErr w:type="spellEnd"/>
      <w:r w:rsidRPr="002C5EE0">
        <w:rPr>
          <w:rFonts w:ascii="Times New Roman" w:hAnsi="Times New Roman" w:cs="Times New Roman"/>
          <w:color w:val="000000"/>
          <w:sz w:val="20"/>
          <w:szCs w:val="20"/>
        </w:rPr>
        <w:t xml:space="preserve"> was done to all patients to show response of the ovaries to the drugs.</w:t>
      </w:r>
    </w:p>
    <w:p w:rsidR="00A173BE" w:rsidRPr="002C5EE0" w:rsidRDefault="00A173BE" w:rsidP="002C5EE0">
      <w:pPr>
        <w:bidi w:val="0"/>
        <w:snapToGrid w:val="0"/>
        <w:spacing w:after="0" w:line="240" w:lineRule="auto"/>
        <w:jc w:val="both"/>
        <w:rPr>
          <w:rFonts w:ascii="Times New Roman" w:hAnsi="Times New Roman" w:cs="Times New Roman"/>
          <w:color w:val="000000"/>
          <w:sz w:val="20"/>
          <w:szCs w:val="20"/>
        </w:rPr>
      </w:pPr>
      <w:r w:rsidRPr="002C5EE0">
        <w:rPr>
          <w:rFonts w:ascii="Times New Roman" w:eastAsia="Times New Roman" w:hAnsi="Times New Roman" w:cs="Times New Roman"/>
          <w:color w:val="000000"/>
          <w:sz w:val="20"/>
          <w:szCs w:val="20"/>
        </w:rPr>
        <w:t>The results of our study showed that there is no difference between the two groups according to</w:t>
      </w:r>
      <w:r w:rsidRPr="002C5EE0">
        <w:rPr>
          <w:rFonts w:ascii="Times New Roman" w:eastAsia="Times New Roman" w:hAnsi="Times New Roman" w:cs="Times New Roman"/>
          <w:sz w:val="20"/>
          <w:szCs w:val="20"/>
        </w:rPr>
        <w:t xml:space="preserve"> demographic data</w:t>
      </w:r>
      <w:r w:rsidRPr="002C5EE0">
        <w:rPr>
          <w:rFonts w:ascii="Times New Roman" w:eastAsia="Times New Roman" w:hAnsi="Times New Roman" w:cs="Times New Roman"/>
          <w:color w:val="000000"/>
          <w:sz w:val="20"/>
          <w:szCs w:val="20"/>
        </w:rPr>
        <w:t xml:space="preserve"> except in the duration of infertility by months there is a significance </w:t>
      </w:r>
      <w:proofErr w:type="spellStart"/>
      <w:r w:rsidRPr="002C5EE0">
        <w:rPr>
          <w:rFonts w:ascii="Times New Roman" w:eastAsia="Times New Roman" w:hAnsi="Times New Roman" w:cs="Times New Roman"/>
          <w:color w:val="000000"/>
          <w:sz w:val="20"/>
          <w:szCs w:val="20"/>
        </w:rPr>
        <w:t>defference</w:t>
      </w:r>
      <w:proofErr w:type="spellEnd"/>
      <w:r w:rsidRPr="002C5EE0">
        <w:rPr>
          <w:rFonts w:ascii="Times New Roman" w:eastAsia="Times New Roman" w:hAnsi="Times New Roman" w:cs="Times New Roman"/>
          <w:color w:val="000000"/>
          <w:sz w:val="20"/>
          <w:szCs w:val="20"/>
        </w:rPr>
        <w:t>. (Table 2)</w:t>
      </w:r>
    </w:p>
    <w:p w:rsidR="00A173BE" w:rsidRPr="002C5EE0" w:rsidRDefault="00A173BE" w:rsidP="002C5EE0">
      <w:pPr>
        <w:bidi w:val="0"/>
        <w:snapToGrid w:val="0"/>
        <w:spacing w:after="0" w:line="240" w:lineRule="auto"/>
        <w:jc w:val="both"/>
        <w:rPr>
          <w:rFonts w:ascii="Times New Roman" w:eastAsia="Times New Roman" w:hAnsi="Times New Roman" w:cs="Times New Roman"/>
          <w:b/>
          <w:sz w:val="20"/>
          <w:szCs w:val="20"/>
        </w:rPr>
      </w:pPr>
      <w:r w:rsidRPr="002C5EE0">
        <w:rPr>
          <w:rFonts w:ascii="Times New Roman" w:eastAsia="Times New Roman" w:hAnsi="Times New Roman" w:cs="Times New Roman"/>
          <w:b/>
          <w:sz w:val="20"/>
          <w:szCs w:val="20"/>
        </w:rPr>
        <w:t>Table (4)</w:t>
      </w:r>
      <w:r w:rsidR="002C5EE0">
        <w:rPr>
          <w:rFonts w:ascii="Times New Roman" w:eastAsia="Times New Roman" w:hAnsi="Times New Roman" w:cs="Times New Roman"/>
          <w:sz w:val="20"/>
          <w:szCs w:val="20"/>
        </w:rPr>
        <w:t xml:space="preserve"> </w:t>
      </w:r>
      <w:r w:rsidRPr="002C5EE0">
        <w:rPr>
          <w:rFonts w:ascii="Times New Roman" w:eastAsia="Times New Roman" w:hAnsi="Times New Roman" w:cs="Times New Roman"/>
          <w:sz w:val="20"/>
          <w:szCs w:val="20"/>
        </w:rPr>
        <w:t xml:space="preserve">showed significance difference between the two groups as regard </w:t>
      </w:r>
      <w:proofErr w:type="spellStart"/>
      <w:r w:rsidRPr="002C5EE0">
        <w:rPr>
          <w:rFonts w:ascii="Times New Roman" w:eastAsia="Times New Roman" w:hAnsi="Times New Roman" w:cs="Times New Roman"/>
          <w:sz w:val="20"/>
          <w:szCs w:val="20"/>
        </w:rPr>
        <w:t>acheving</w:t>
      </w:r>
      <w:proofErr w:type="spellEnd"/>
      <w:r w:rsidRPr="002C5EE0">
        <w:rPr>
          <w:rFonts w:ascii="Times New Roman" w:eastAsia="Times New Roman" w:hAnsi="Times New Roman" w:cs="Times New Roman"/>
          <w:sz w:val="20"/>
          <w:szCs w:val="20"/>
        </w:rPr>
        <w:t xml:space="preserve"> ovulation after 2 days of injecting 10000 unit of </w:t>
      </w:r>
      <w:proofErr w:type="spellStart"/>
      <w:r w:rsidRPr="002C5EE0">
        <w:rPr>
          <w:rFonts w:ascii="Times New Roman" w:eastAsia="Times New Roman" w:hAnsi="Times New Roman" w:cs="Times New Roman"/>
          <w:sz w:val="20"/>
          <w:szCs w:val="20"/>
        </w:rPr>
        <w:t>hCG</w:t>
      </w:r>
      <w:proofErr w:type="spellEnd"/>
      <w:r w:rsidRPr="002C5EE0">
        <w:rPr>
          <w:rFonts w:ascii="Times New Roman" w:eastAsia="Times New Roman" w:hAnsi="Times New Roman" w:cs="Times New Roman"/>
          <w:sz w:val="20"/>
          <w:szCs w:val="20"/>
        </w:rPr>
        <w:t xml:space="preserve"> (25 cases (71.4) in </w:t>
      </w:r>
      <w:proofErr w:type="spellStart"/>
      <w:r w:rsidRPr="002C5EE0">
        <w:rPr>
          <w:rFonts w:ascii="Times New Roman" w:eastAsia="Times New Roman" w:hAnsi="Times New Roman" w:cs="Times New Roman"/>
          <w:sz w:val="20"/>
          <w:szCs w:val="20"/>
        </w:rPr>
        <w:t>letrozol</w:t>
      </w:r>
      <w:proofErr w:type="spellEnd"/>
      <w:r w:rsidRPr="002C5EE0">
        <w:rPr>
          <w:rFonts w:ascii="Times New Roman" w:eastAsia="Times New Roman" w:hAnsi="Times New Roman" w:cs="Times New Roman"/>
          <w:sz w:val="20"/>
          <w:szCs w:val="20"/>
        </w:rPr>
        <w:t xml:space="preserve"> group </w:t>
      </w:r>
      <w:proofErr w:type="spellStart"/>
      <w:r w:rsidRPr="002C5EE0">
        <w:rPr>
          <w:rFonts w:ascii="Times New Roman" w:eastAsia="Times New Roman" w:hAnsi="Times New Roman" w:cs="Times New Roman"/>
          <w:b/>
          <w:sz w:val="20"/>
          <w:szCs w:val="20"/>
        </w:rPr>
        <w:t>vs</w:t>
      </w:r>
      <w:proofErr w:type="spellEnd"/>
      <w:r w:rsidR="00C00E76">
        <w:rPr>
          <w:rFonts w:ascii="Times New Roman" w:eastAsia="Times New Roman" w:hAnsi="Times New Roman" w:cs="Times New Roman"/>
          <w:sz w:val="20"/>
          <w:szCs w:val="20"/>
        </w:rPr>
        <w:t xml:space="preserve"> </w:t>
      </w:r>
      <w:r w:rsidRPr="002C5EE0">
        <w:rPr>
          <w:rFonts w:ascii="Times New Roman" w:eastAsia="Times New Roman" w:hAnsi="Times New Roman" w:cs="Times New Roman"/>
          <w:sz w:val="20"/>
          <w:szCs w:val="20"/>
        </w:rPr>
        <w:t xml:space="preserve">13 cases (46.4) in </w:t>
      </w:r>
      <w:proofErr w:type="spellStart"/>
      <w:r w:rsidRPr="002C5EE0">
        <w:rPr>
          <w:rFonts w:ascii="Times New Roman" w:eastAsia="Times New Roman" w:hAnsi="Times New Roman" w:cs="Times New Roman"/>
          <w:sz w:val="20"/>
          <w:szCs w:val="20"/>
        </w:rPr>
        <w:t>tamoxafin</w:t>
      </w:r>
      <w:proofErr w:type="spellEnd"/>
      <w:r w:rsidRPr="002C5EE0">
        <w:rPr>
          <w:rFonts w:ascii="Times New Roman" w:eastAsia="Times New Roman" w:hAnsi="Times New Roman" w:cs="Times New Roman"/>
          <w:sz w:val="20"/>
          <w:szCs w:val="20"/>
        </w:rPr>
        <w:t xml:space="preserve"> group.</w:t>
      </w:r>
    </w:p>
    <w:p w:rsidR="00A173BE" w:rsidRPr="002C5EE0" w:rsidRDefault="00A173BE" w:rsidP="002C5EE0">
      <w:pPr>
        <w:bidi w:val="0"/>
        <w:snapToGrid w:val="0"/>
        <w:spacing w:after="0" w:line="240" w:lineRule="auto"/>
        <w:jc w:val="both"/>
        <w:rPr>
          <w:rFonts w:ascii="Times New Roman" w:hAnsi="Times New Roman" w:cs="Times New Roman"/>
          <w:b/>
          <w:bCs/>
          <w:sz w:val="20"/>
          <w:szCs w:val="20"/>
        </w:rPr>
      </w:pPr>
      <w:r w:rsidRPr="002C5EE0">
        <w:rPr>
          <w:rFonts w:ascii="Times New Roman" w:hAnsi="Times New Roman" w:cs="Times New Roman"/>
          <w:b/>
          <w:bCs/>
          <w:sz w:val="20"/>
          <w:szCs w:val="20"/>
        </w:rPr>
        <w:t>Table (5</w:t>
      </w:r>
      <w:r w:rsidRPr="002C5EE0">
        <w:rPr>
          <w:rFonts w:ascii="Times New Roman" w:hAnsi="Times New Roman" w:cs="Times New Roman"/>
          <w:sz w:val="20"/>
          <w:szCs w:val="20"/>
        </w:rPr>
        <w:t>)</w:t>
      </w:r>
      <w:r w:rsidR="002C5EE0">
        <w:rPr>
          <w:rFonts w:ascii="Times New Roman" w:hAnsi="Times New Roman" w:cs="Times New Roman"/>
          <w:sz w:val="20"/>
          <w:szCs w:val="20"/>
        </w:rPr>
        <w:t xml:space="preserve"> </w:t>
      </w:r>
      <w:r w:rsidRPr="002C5EE0">
        <w:rPr>
          <w:rFonts w:ascii="Times New Roman" w:hAnsi="Times New Roman" w:cs="Times New Roman"/>
          <w:sz w:val="20"/>
          <w:szCs w:val="20"/>
        </w:rPr>
        <w:t xml:space="preserve">showed that there were significant differences between the two groups according to number or women get ovulation (35 women in first group </w:t>
      </w:r>
      <w:proofErr w:type="spellStart"/>
      <w:r w:rsidRPr="002C5EE0">
        <w:rPr>
          <w:rFonts w:ascii="Times New Roman" w:hAnsi="Times New Roman" w:cs="Times New Roman"/>
          <w:i/>
          <w:iCs/>
          <w:sz w:val="20"/>
          <w:szCs w:val="20"/>
        </w:rPr>
        <w:t>vs</w:t>
      </w:r>
      <w:proofErr w:type="spellEnd"/>
      <w:r w:rsidRPr="002C5EE0">
        <w:rPr>
          <w:rFonts w:ascii="Times New Roman" w:hAnsi="Times New Roman" w:cs="Times New Roman"/>
          <w:sz w:val="20"/>
          <w:szCs w:val="20"/>
        </w:rPr>
        <w:t xml:space="preserve"> 28 women in second group) and number of follicles for each ovulated women (median 1.5 </w:t>
      </w:r>
      <w:proofErr w:type="spellStart"/>
      <w:r w:rsidRPr="002C5EE0">
        <w:rPr>
          <w:rFonts w:ascii="Times New Roman" w:hAnsi="Times New Roman" w:cs="Times New Roman"/>
          <w:sz w:val="20"/>
          <w:szCs w:val="20"/>
        </w:rPr>
        <w:t>vs</w:t>
      </w:r>
      <w:proofErr w:type="spellEnd"/>
      <w:r w:rsidRPr="002C5EE0">
        <w:rPr>
          <w:rFonts w:ascii="Times New Roman" w:hAnsi="Times New Roman" w:cs="Times New Roman"/>
          <w:sz w:val="20"/>
          <w:szCs w:val="20"/>
        </w:rPr>
        <w:t xml:space="preserve"> 1.0).</w:t>
      </w:r>
    </w:p>
    <w:p w:rsidR="00A173BE" w:rsidRPr="002C5EE0" w:rsidRDefault="00A173BE" w:rsidP="002C5EE0">
      <w:pPr>
        <w:bidi w:val="0"/>
        <w:snapToGrid w:val="0"/>
        <w:spacing w:after="0" w:line="240" w:lineRule="auto"/>
        <w:jc w:val="both"/>
        <w:rPr>
          <w:rFonts w:ascii="Times New Roman" w:hAnsi="Times New Roman" w:cs="Times New Roman"/>
          <w:sz w:val="20"/>
          <w:szCs w:val="20"/>
        </w:rPr>
      </w:pPr>
      <w:r w:rsidRPr="002C5EE0">
        <w:rPr>
          <w:rFonts w:ascii="Times New Roman" w:hAnsi="Times New Roman" w:cs="Times New Roman"/>
          <w:b/>
          <w:bCs/>
          <w:sz w:val="20"/>
          <w:szCs w:val="20"/>
        </w:rPr>
        <w:t>Table (6)</w:t>
      </w:r>
      <w:r w:rsidRPr="002C5EE0">
        <w:rPr>
          <w:rFonts w:ascii="Times New Roman" w:hAnsi="Times New Roman" w:cs="Times New Roman"/>
          <w:sz w:val="20"/>
          <w:szCs w:val="20"/>
        </w:rPr>
        <w:t xml:space="preserve"> indicated that there is no significant deference between the two groups according to endometrial thickness measured at time of HCG injection.</w:t>
      </w:r>
    </w:p>
    <w:p w:rsidR="002C5EE0" w:rsidRPr="002C5EE0" w:rsidRDefault="002C5EE0" w:rsidP="002C5EE0">
      <w:pPr>
        <w:bidi w:val="0"/>
        <w:snapToGrid w:val="0"/>
        <w:spacing w:after="0" w:line="240" w:lineRule="auto"/>
        <w:jc w:val="both"/>
        <w:rPr>
          <w:rFonts w:ascii="Times New Roman" w:eastAsia="Times New Roman" w:hAnsi="Times New Roman" w:cs="Times New Roman"/>
          <w:color w:val="000000"/>
          <w:sz w:val="20"/>
          <w:szCs w:val="20"/>
        </w:rPr>
        <w:sectPr w:rsidR="002C5EE0" w:rsidRPr="002C5EE0" w:rsidSect="004B07CF">
          <w:headerReference w:type="default" r:id="rId17"/>
          <w:footerReference w:type="default" r:id="rId18"/>
          <w:type w:val="continuous"/>
          <w:pgSz w:w="12242" w:h="15842" w:code="1"/>
          <w:pgMar w:top="1440" w:right="1440" w:bottom="1440" w:left="1440" w:header="720" w:footer="720" w:gutter="0"/>
          <w:cols w:num="2" w:space="709"/>
          <w:docGrid w:linePitch="360"/>
        </w:sectPr>
      </w:pPr>
    </w:p>
    <w:p w:rsidR="002C5EE0" w:rsidRDefault="002C5EE0" w:rsidP="002C5EE0">
      <w:pPr>
        <w:tabs>
          <w:tab w:val="right" w:pos="142"/>
        </w:tabs>
        <w:bidi w:val="0"/>
        <w:snapToGrid w:val="0"/>
        <w:spacing w:after="0" w:line="240" w:lineRule="auto"/>
        <w:jc w:val="both"/>
        <w:rPr>
          <w:rFonts w:ascii="Times New Roman" w:hAnsi="Times New Roman" w:cs="Times New Roman"/>
          <w:b/>
          <w:bCs/>
          <w:sz w:val="20"/>
          <w:szCs w:val="20"/>
          <w:lang w:eastAsia="zh-CN"/>
        </w:rPr>
      </w:pPr>
    </w:p>
    <w:p w:rsidR="002C5EE0" w:rsidRDefault="002C5EE0" w:rsidP="002C5EE0">
      <w:pPr>
        <w:tabs>
          <w:tab w:val="right" w:pos="142"/>
        </w:tabs>
        <w:bidi w:val="0"/>
        <w:snapToGrid w:val="0"/>
        <w:spacing w:after="0" w:line="240" w:lineRule="auto"/>
        <w:jc w:val="both"/>
        <w:rPr>
          <w:rFonts w:ascii="Times New Roman" w:hAnsi="Times New Roman" w:cs="Times New Roman"/>
          <w:b/>
          <w:bCs/>
          <w:sz w:val="20"/>
          <w:szCs w:val="20"/>
          <w:lang w:eastAsia="zh-CN"/>
        </w:rPr>
      </w:pPr>
    </w:p>
    <w:p w:rsidR="00523D36" w:rsidRPr="002C5EE0" w:rsidRDefault="00523D36" w:rsidP="002C5EE0">
      <w:pPr>
        <w:tabs>
          <w:tab w:val="right" w:pos="142"/>
        </w:tabs>
        <w:bidi w:val="0"/>
        <w:snapToGrid w:val="0"/>
        <w:spacing w:after="0" w:line="240" w:lineRule="auto"/>
        <w:jc w:val="center"/>
        <w:rPr>
          <w:rFonts w:ascii="Times New Roman" w:hAnsi="Times New Roman" w:cs="Times New Roman"/>
          <w:b/>
          <w:bCs/>
          <w:sz w:val="20"/>
          <w:szCs w:val="20"/>
        </w:rPr>
      </w:pPr>
      <w:r w:rsidRPr="002C5EE0">
        <w:rPr>
          <w:rFonts w:ascii="Times New Roman" w:hAnsi="Times New Roman" w:cs="Times New Roman"/>
          <w:b/>
          <w:bCs/>
          <w:sz w:val="20"/>
          <w:szCs w:val="20"/>
        </w:rPr>
        <w:t>Table (</w:t>
      </w:r>
      <w:r w:rsidR="0082106D" w:rsidRPr="002C5EE0">
        <w:rPr>
          <w:rFonts w:ascii="Times New Roman" w:hAnsi="Times New Roman" w:cs="Times New Roman"/>
          <w:b/>
          <w:bCs/>
          <w:sz w:val="20"/>
          <w:szCs w:val="20"/>
        </w:rPr>
        <w:t>2</w:t>
      </w:r>
      <w:r w:rsidRPr="002C5EE0">
        <w:rPr>
          <w:rFonts w:ascii="Times New Roman" w:hAnsi="Times New Roman" w:cs="Times New Roman"/>
          <w:b/>
          <w:bCs/>
          <w:sz w:val="20"/>
          <w:szCs w:val="20"/>
        </w:rPr>
        <w:t>):</w:t>
      </w:r>
      <w:r w:rsidRPr="002C5EE0">
        <w:rPr>
          <w:rFonts w:ascii="Times New Roman" w:hAnsi="Times New Roman" w:cs="Times New Roman"/>
          <w:b/>
          <w:bCs/>
          <w:sz w:val="20"/>
          <w:szCs w:val="20"/>
        </w:rPr>
        <w:tab/>
        <w:t>Comparison between the two studied groups according to demographic data</w:t>
      </w:r>
    </w:p>
    <w:tbl>
      <w:tblPr>
        <w:tblStyle w:val="TableGrid1"/>
        <w:tblW w:w="5000" w:type="pct"/>
        <w:jc w:val="center"/>
        <w:tblBorders>
          <w:top w:val="thinThickSmallGap" w:sz="18" w:space="0" w:color="auto"/>
          <w:left w:val="thinThickSmallGap" w:sz="18" w:space="0" w:color="auto"/>
          <w:bottom w:val="thickThinSmallGap" w:sz="18" w:space="0" w:color="auto"/>
          <w:right w:val="thickThinSmallGap" w:sz="18" w:space="0" w:color="auto"/>
        </w:tblBorders>
        <w:tblCellMar>
          <w:left w:w="6" w:type="dxa"/>
          <w:right w:w="6" w:type="dxa"/>
        </w:tblCellMar>
        <w:tblLook w:val="04A0"/>
      </w:tblPr>
      <w:tblGrid>
        <w:gridCol w:w="3880"/>
        <w:gridCol w:w="840"/>
        <w:gridCol w:w="840"/>
        <w:gridCol w:w="840"/>
        <w:gridCol w:w="840"/>
        <w:gridCol w:w="1099"/>
        <w:gridCol w:w="1099"/>
      </w:tblGrid>
      <w:tr w:rsidR="00523D36" w:rsidRPr="002C5EE0" w:rsidTr="002C5EE0">
        <w:trPr>
          <w:jc w:val="center"/>
        </w:trPr>
        <w:tc>
          <w:tcPr>
            <w:tcW w:w="2055" w:type="pct"/>
            <w:tcBorders>
              <w:top w:val="thinThickSmallGap" w:sz="18" w:space="0" w:color="auto"/>
              <w:bottom w:val="nil"/>
              <w:right w:val="single" w:sz="12" w:space="0" w:color="auto"/>
            </w:tcBorders>
            <w:vAlign w:val="center"/>
          </w:tcPr>
          <w:p w:rsidR="00523D36" w:rsidRPr="002C5EE0" w:rsidRDefault="00523D36" w:rsidP="002C5EE0">
            <w:pPr>
              <w:bidi w:val="0"/>
              <w:snapToGrid w:val="0"/>
              <w:jc w:val="both"/>
              <w:rPr>
                <w:rFonts w:ascii="Times New Roman" w:hAnsi="Times New Roman" w:cs="Times New Roman"/>
                <w:b/>
                <w:bCs/>
                <w:sz w:val="20"/>
                <w:szCs w:val="20"/>
              </w:rPr>
            </w:pPr>
          </w:p>
        </w:tc>
        <w:tc>
          <w:tcPr>
            <w:tcW w:w="890" w:type="pct"/>
            <w:gridSpan w:val="2"/>
            <w:tcBorders>
              <w:left w:val="single" w:sz="12" w:space="0" w:color="auto"/>
            </w:tcBorders>
            <w:vAlign w:val="center"/>
          </w:tcPr>
          <w:p w:rsidR="00523D36" w:rsidRPr="002C5EE0" w:rsidRDefault="00523D36" w:rsidP="002C5EE0">
            <w:pPr>
              <w:bidi w:val="0"/>
              <w:snapToGrid w:val="0"/>
              <w:jc w:val="both"/>
              <w:rPr>
                <w:rFonts w:ascii="Times New Roman" w:hAnsi="Times New Roman" w:cs="Times New Roman"/>
                <w:b/>
                <w:bCs/>
                <w:sz w:val="20"/>
                <w:szCs w:val="20"/>
              </w:rPr>
            </w:pPr>
            <w:proofErr w:type="spellStart"/>
            <w:r w:rsidRPr="002C5EE0">
              <w:rPr>
                <w:rFonts w:ascii="Times New Roman" w:hAnsi="Times New Roman" w:cs="Times New Roman"/>
                <w:b/>
                <w:bCs/>
                <w:sz w:val="20"/>
                <w:szCs w:val="20"/>
              </w:rPr>
              <w:t>Letrozole</w:t>
            </w:r>
            <w:proofErr w:type="spellEnd"/>
            <w:r w:rsidR="002C5EE0">
              <w:rPr>
                <w:rFonts w:ascii="Times New Roman" w:eastAsiaTheme="minorEastAsia" w:hAnsi="Times New Roman" w:cs="Times New Roman" w:hint="eastAsia"/>
                <w:b/>
                <w:bCs/>
                <w:sz w:val="20"/>
                <w:szCs w:val="20"/>
                <w:lang w:eastAsia="zh-CN"/>
              </w:rPr>
              <w:t xml:space="preserve"> </w:t>
            </w:r>
            <w:r w:rsidRPr="002C5EE0">
              <w:rPr>
                <w:rFonts w:ascii="Times New Roman" w:hAnsi="Times New Roman" w:cs="Times New Roman"/>
                <w:b/>
                <w:bCs/>
                <w:sz w:val="20"/>
                <w:szCs w:val="20"/>
              </w:rPr>
              <w:t>(n= 50)</w:t>
            </w:r>
          </w:p>
        </w:tc>
        <w:tc>
          <w:tcPr>
            <w:tcW w:w="890" w:type="pct"/>
            <w:gridSpan w:val="2"/>
            <w:tcBorders>
              <w:right w:val="single" w:sz="12" w:space="0" w:color="auto"/>
            </w:tcBorders>
            <w:vAlign w:val="center"/>
          </w:tcPr>
          <w:p w:rsidR="00523D36" w:rsidRPr="002C5EE0" w:rsidRDefault="00523D36" w:rsidP="002C5EE0">
            <w:pPr>
              <w:bidi w:val="0"/>
              <w:snapToGrid w:val="0"/>
              <w:jc w:val="both"/>
              <w:rPr>
                <w:rFonts w:ascii="Times New Roman" w:hAnsi="Times New Roman" w:cs="Times New Roman"/>
                <w:b/>
                <w:bCs/>
                <w:sz w:val="20"/>
                <w:szCs w:val="20"/>
              </w:rPr>
            </w:pPr>
            <w:proofErr w:type="spellStart"/>
            <w:r w:rsidRPr="002C5EE0">
              <w:rPr>
                <w:rFonts w:ascii="Times New Roman" w:hAnsi="Times New Roman" w:cs="Times New Roman"/>
                <w:b/>
                <w:bCs/>
                <w:sz w:val="20"/>
                <w:szCs w:val="20"/>
              </w:rPr>
              <w:t>Tamoxafin</w:t>
            </w:r>
            <w:proofErr w:type="spellEnd"/>
            <w:r w:rsidR="002C5EE0">
              <w:rPr>
                <w:rFonts w:ascii="Times New Roman" w:eastAsiaTheme="minorEastAsia" w:hAnsi="Times New Roman" w:cs="Times New Roman" w:hint="eastAsia"/>
                <w:b/>
                <w:bCs/>
                <w:sz w:val="20"/>
                <w:szCs w:val="20"/>
                <w:lang w:eastAsia="zh-CN"/>
              </w:rPr>
              <w:t xml:space="preserve"> </w:t>
            </w:r>
            <w:r w:rsidRPr="002C5EE0">
              <w:rPr>
                <w:rFonts w:ascii="Times New Roman" w:hAnsi="Times New Roman" w:cs="Times New Roman"/>
                <w:b/>
                <w:bCs/>
                <w:sz w:val="20"/>
                <w:szCs w:val="20"/>
              </w:rPr>
              <w:t>(n= 50)</w:t>
            </w:r>
          </w:p>
        </w:tc>
        <w:tc>
          <w:tcPr>
            <w:tcW w:w="582" w:type="pct"/>
            <w:vMerge w:val="restart"/>
            <w:tcBorders>
              <w:left w:val="single" w:sz="12" w:space="0" w:color="auto"/>
            </w:tcBorders>
            <w:vAlign w:val="center"/>
          </w:tcPr>
          <w:p w:rsidR="00523D36" w:rsidRPr="002C5EE0" w:rsidRDefault="00523D36" w:rsidP="002C5EE0">
            <w:pPr>
              <w:bidi w:val="0"/>
              <w:snapToGrid w:val="0"/>
              <w:jc w:val="both"/>
              <w:rPr>
                <w:rFonts w:ascii="Times New Roman" w:hAnsi="Times New Roman" w:cs="Times New Roman"/>
                <w:b/>
                <w:bCs/>
                <w:sz w:val="20"/>
                <w:szCs w:val="20"/>
              </w:rPr>
            </w:pPr>
            <w:r w:rsidRPr="002C5EE0">
              <w:rPr>
                <w:rFonts w:ascii="Times New Roman" w:hAnsi="Times New Roman" w:cs="Times New Roman"/>
                <w:b/>
                <w:bCs/>
                <w:sz w:val="20"/>
                <w:szCs w:val="20"/>
              </w:rPr>
              <w:t>Test of sig.</w:t>
            </w:r>
          </w:p>
        </w:tc>
        <w:tc>
          <w:tcPr>
            <w:tcW w:w="582" w:type="pct"/>
            <w:vMerge w:val="restart"/>
            <w:vAlign w:val="center"/>
          </w:tcPr>
          <w:p w:rsidR="00523D36" w:rsidRPr="002C5EE0" w:rsidRDefault="00525B87" w:rsidP="002C5EE0">
            <w:pPr>
              <w:bidi w:val="0"/>
              <w:snapToGrid w:val="0"/>
              <w:jc w:val="both"/>
              <w:rPr>
                <w:rFonts w:ascii="Times New Roman" w:hAnsi="Times New Roman" w:cs="Times New Roman"/>
                <w:b/>
                <w:bCs/>
                <w:sz w:val="20"/>
                <w:szCs w:val="20"/>
              </w:rPr>
            </w:pPr>
            <w:r w:rsidRPr="002C5EE0">
              <w:rPr>
                <w:rFonts w:ascii="Times New Roman" w:hAnsi="Times New Roman" w:cs="Times New Roman"/>
                <w:b/>
                <w:bCs/>
                <w:sz w:val="20"/>
                <w:szCs w:val="20"/>
              </w:rPr>
              <w:t>P</w:t>
            </w:r>
          </w:p>
        </w:tc>
      </w:tr>
      <w:tr w:rsidR="00523D36" w:rsidRPr="002C5EE0" w:rsidTr="002C5EE0">
        <w:trPr>
          <w:jc w:val="center"/>
        </w:trPr>
        <w:tc>
          <w:tcPr>
            <w:tcW w:w="2055" w:type="pct"/>
            <w:tcBorders>
              <w:top w:val="nil"/>
              <w:bottom w:val="single" w:sz="12" w:space="0" w:color="auto"/>
              <w:right w:val="single" w:sz="12" w:space="0" w:color="auto"/>
            </w:tcBorders>
            <w:vAlign w:val="center"/>
          </w:tcPr>
          <w:p w:rsidR="00523D36" w:rsidRPr="002C5EE0" w:rsidRDefault="00523D36" w:rsidP="002C5EE0">
            <w:pPr>
              <w:bidi w:val="0"/>
              <w:snapToGrid w:val="0"/>
              <w:jc w:val="both"/>
              <w:rPr>
                <w:rFonts w:ascii="Times New Roman" w:hAnsi="Times New Roman" w:cs="Times New Roman"/>
                <w:b/>
                <w:bCs/>
                <w:sz w:val="20"/>
                <w:szCs w:val="20"/>
              </w:rPr>
            </w:pPr>
          </w:p>
        </w:tc>
        <w:tc>
          <w:tcPr>
            <w:tcW w:w="445" w:type="pct"/>
            <w:tcBorders>
              <w:left w:val="single" w:sz="12" w:space="0" w:color="auto"/>
              <w:bottom w:val="single" w:sz="12" w:space="0" w:color="auto"/>
            </w:tcBorders>
            <w:vAlign w:val="center"/>
          </w:tcPr>
          <w:p w:rsidR="00523D36" w:rsidRPr="002C5EE0" w:rsidRDefault="00523D36" w:rsidP="002C5EE0">
            <w:pPr>
              <w:bidi w:val="0"/>
              <w:snapToGrid w:val="0"/>
              <w:jc w:val="both"/>
              <w:rPr>
                <w:rFonts w:ascii="Times New Roman" w:hAnsi="Times New Roman" w:cs="Times New Roman"/>
                <w:b/>
                <w:bCs/>
                <w:sz w:val="20"/>
                <w:szCs w:val="20"/>
              </w:rPr>
            </w:pPr>
            <w:r w:rsidRPr="002C5EE0">
              <w:rPr>
                <w:rFonts w:ascii="Times New Roman" w:hAnsi="Times New Roman" w:cs="Times New Roman"/>
                <w:b/>
                <w:bCs/>
                <w:sz w:val="20"/>
                <w:szCs w:val="20"/>
              </w:rPr>
              <w:t>No.</w:t>
            </w:r>
          </w:p>
        </w:tc>
        <w:tc>
          <w:tcPr>
            <w:tcW w:w="445" w:type="pct"/>
            <w:tcBorders>
              <w:bottom w:val="single" w:sz="12" w:space="0" w:color="auto"/>
            </w:tcBorders>
            <w:vAlign w:val="center"/>
          </w:tcPr>
          <w:p w:rsidR="00523D36" w:rsidRPr="002C5EE0" w:rsidRDefault="00523D36" w:rsidP="002C5EE0">
            <w:pPr>
              <w:bidi w:val="0"/>
              <w:snapToGrid w:val="0"/>
              <w:jc w:val="both"/>
              <w:rPr>
                <w:rFonts w:ascii="Times New Roman" w:hAnsi="Times New Roman" w:cs="Times New Roman"/>
                <w:b/>
                <w:bCs/>
                <w:sz w:val="20"/>
                <w:szCs w:val="20"/>
              </w:rPr>
            </w:pPr>
            <w:r w:rsidRPr="002C5EE0">
              <w:rPr>
                <w:rFonts w:ascii="Times New Roman" w:hAnsi="Times New Roman" w:cs="Times New Roman"/>
                <w:b/>
                <w:bCs/>
                <w:sz w:val="20"/>
                <w:szCs w:val="20"/>
              </w:rPr>
              <w:t>%</w:t>
            </w:r>
          </w:p>
        </w:tc>
        <w:tc>
          <w:tcPr>
            <w:tcW w:w="445" w:type="pct"/>
            <w:tcBorders>
              <w:bottom w:val="single" w:sz="12" w:space="0" w:color="auto"/>
            </w:tcBorders>
            <w:vAlign w:val="center"/>
          </w:tcPr>
          <w:p w:rsidR="00523D36" w:rsidRPr="002C5EE0" w:rsidRDefault="00523D36" w:rsidP="002C5EE0">
            <w:pPr>
              <w:bidi w:val="0"/>
              <w:snapToGrid w:val="0"/>
              <w:jc w:val="both"/>
              <w:rPr>
                <w:rFonts w:ascii="Times New Roman" w:hAnsi="Times New Roman" w:cs="Times New Roman"/>
                <w:b/>
                <w:bCs/>
                <w:sz w:val="20"/>
                <w:szCs w:val="20"/>
              </w:rPr>
            </w:pPr>
            <w:r w:rsidRPr="002C5EE0">
              <w:rPr>
                <w:rFonts w:ascii="Times New Roman" w:hAnsi="Times New Roman" w:cs="Times New Roman"/>
                <w:b/>
                <w:bCs/>
                <w:sz w:val="20"/>
                <w:szCs w:val="20"/>
              </w:rPr>
              <w:t>No.</w:t>
            </w:r>
          </w:p>
        </w:tc>
        <w:tc>
          <w:tcPr>
            <w:tcW w:w="445" w:type="pct"/>
            <w:tcBorders>
              <w:top w:val="single" w:sz="4" w:space="0" w:color="000000"/>
              <w:bottom w:val="single" w:sz="12" w:space="0" w:color="auto"/>
              <w:right w:val="single" w:sz="12" w:space="0" w:color="auto"/>
            </w:tcBorders>
            <w:vAlign w:val="center"/>
          </w:tcPr>
          <w:p w:rsidR="00523D36" w:rsidRPr="002C5EE0" w:rsidRDefault="00523D36" w:rsidP="002C5EE0">
            <w:pPr>
              <w:bidi w:val="0"/>
              <w:snapToGrid w:val="0"/>
              <w:jc w:val="both"/>
              <w:rPr>
                <w:rFonts w:ascii="Times New Roman" w:hAnsi="Times New Roman" w:cs="Times New Roman"/>
                <w:b/>
                <w:bCs/>
                <w:sz w:val="20"/>
                <w:szCs w:val="20"/>
              </w:rPr>
            </w:pPr>
            <w:r w:rsidRPr="002C5EE0">
              <w:rPr>
                <w:rFonts w:ascii="Times New Roman" w:hAnsi="Times New Roman" w:cs="Times New Roman"/>
                <w:b/>
                <w:bCs/>
                <w:sz w:val="20"/>
                <w:szCs w:val="20"/>
              </w:rPr>
              <w:t>%</w:t>
            </w:r>
          </w:p>
        </w:tc>
        <w:tc>
          <w:tcPr>
            <w:tcW w:w="582" w:type="pct"/>
            <w:vMerge/>
            <w:tcBorders>
              <w:left w:val="single" w:sz="12" w:space="0" w:color="auto"/>
              <w:bottom w:val="single" w:sz="12" w:space="0" w:color="auto"/>
            </w:tcBorders>
            <w:vAlign w:val="center"/>
          </w:tcPr>
          <w:p w:rsidR="00523D36" w:rsidRPr="002C5EE0" w:rsidRDefault="00523D36" w:rsidP="002C5EE0">
            <w:pPr>
              <w:bidi w:val="0"/>
              <w:snapToGrid w:val="0"/>
              <w:jc w:val="both"/>
              <w:rPr>
                <w:rFonts w:ascii="Times New Roman" w:hAnsi="Times New Roman" w:cs="Times New Roman"/>
                <w:b/>
                <w:bCs/>
                <w:sz w:val="20"/>
                <w:szCs w:val="20"/>
              </w:rPr>
            </w:pPr>
          </w:p>
        </w:tc>
        <w:tc>
          <w:tcPr>
            <w:tcW w:w="582" w:type="pct"/>
            <w:vMerge/>
            <w:tcBorders>
              <w:bottom w:val="single" w:sz="12" w:space="0" w:color="auto"/>
            </w:tcBorders>
            <w:vAlign w:val="center"/>
          </w:tcPr>
          <w:p w:rsidR="00523D36" w:rsidRPr="002C5EE0" w:rsidRDefault="00523D36" w:rsidP="002C5EE0">
            <w:pPr>
              <w:bidi w:val="0"/>
              <w:snapToGrid w:val="0"/>
              <w:jc w:val="both"/>
              <w:rPr>
                <w:rFonts w:ascii="Times New Roman" w:hAnsi="Times New Roman" w:cs="Times New Roman"/>
                <w:b/>
                <w:bCs/>
                <w:sz w:val="20"/>
                <w:szCs w:val="20"/>
              </w:rPr>
            </w:pPr>
          </w:p>
        </w:tc>
      </w:tr>
      <w:tr w:rsidR="00523D36" w:rsidRPr="002C5EE0" w:rsidTr="002C5EE0">
        <w:trPr>
          <w:jc w:val="center"/>
        </w:trPr>
        <w:tc>
          <w:tcPr>
            <w:tcW w:w="2055" w:type="pct"/>
            <w:tcBorders>
              <w:top w:val="single" w:sz="12" w:space="0" w:color="auto"/>
              <w:bottom w:val="nil"/>
              <w:right w:val="single" w:sz="12" w:space="0" w:color="auto"/>
            </w:tcBorders>
            <w:vAlign w:val="center"/>
          </w:tcPr>
          <w:p w:rsidR="00523D36" w:rsidRPr="002C5EE0" w:rsidRDefault="00523D36" w:rsidP="002C5EE0">
            <w:pPr>
              <w:bidi w:val="0"/>
              <w:snapToGrid w:val="0"/>
              <w:jc w:val="both"/>
              <w:rPr>
                <w:rFonts w:ascii="Times New Roman" w:hAnsi="Times New Roman" w:cs="Times New Roman"/>
                <w:b/>
                <w:bCs/>
                <w:sz w:val="20"/>
                <w:szCs w:val="20"/>
              </w:rPr>
            </w:pPr>
            <w:r w:rsidRPr="002C5EE0">
              <w:rPr>
                <w:rFonts w:ascii="Times New Roman" w:hAnsi="Times New Roman" w:cs="Times New Roman"/>
                <w:b/>
                <w:bCs/>
                <w:sz w:val="20"/>
                <w:szCs w:val="20"/>
              </w:rPr>
              <w:t>Age (years)</w:t>
            </w:r>
          </w:p>
        </w:tc>
        <w:tc>
          <w:tcPr>
            <w:tcW w:w="445" w:type="pct"/>
            <w:tcBorders>
              <w:top w:val="single" w:sz="12" w:space="0" w:color="auto"/>
              <w:left w:val="single" w:sz="12" w:space="0" w:color="auto"/>
              <w:bottom w:val="nil"/>
            </w:tcBorders>
            <w:vAlign w:val="center"/>
          </w:tcPr>
          <w:p w:rsidR="00523D36" w:rsidRPr="002C5EE0" w:rsidRDefault="00523D36" w:rsidP="002C5EE0">
            <w:pPr>
              <w:bidi w:val="0"/>
              <w:snapToGrid w:val="0"/>
              <w:jc w:val="both"/>
              <w:rPr>
                <w:rFonts w:ascii="Times New Roman" w:hAnsi="Times New Roman" w:cs="Times New Roman"/>
                <w:sz w:val="20"/>
                <w:szCs w:val="20"/>
              </w:rPr>
            </w:pPr>
          </w:p>
        </w:tc>
        <w:tc>
          <w:tcPr>
            <w:tcW w:w="445" w:type="pct"/>
            <w:tcBorders>
              <w:top w:val="single" w:sz="12" w:space="0" w:color="auto"/>
              <w:bottom w:val="nil"/>
            </w:tcBorders>
            <w:vAlign w:val="center"/>
          </w:tcPr>
          <w:p w:rsidR="00523D36" w:rsidRPr="002C5EE0" w:rsidRDefault="00523D36" w:rsidP="002C5EE0">
            <w:pPr>
              <w:bidi w:val="0"/>
              <w:snapToGrid w:val="0"/>
              <w:jc w:val="both"/>
              <w:rPr>
                <w:rFonts w:ascii="Times New Roman" w:hAnsi="Times New Roman" w:cs="Times New Roman"/>
                <w:sz w:val="20"/>
                <w:szCs w:val="20"/>
              </w:rPr>
            </w:pPr>
          </w:p>
        </w:tc>
        <w:tc>
          <w:tcPr>
            <w:tcW w:w="445" w:type="pct"/>
            <w:tcBorders>
              <w:top w:val="single" w:sz="12" w:space="0" w:color="auto"/>
              <w:bottom w:val="nil"/>
            </w:tcBorders>
            <w:vAlign w:val="center"/>
          </w:tcPr>
          <w:p w:rsidR="00523D36" w:rsidRPr="002C5EE0" w:rsidRDefault="00523D36" w:rsidP="002C5EE0">
            <w:pPr>
              <w:bidi w:val="0"/>
              <w:snapToGrid w:val="0"/>
              <w:jc w:val="both"/>
              <w:rPr>
                <w:rFonts w:ascii="Times New Roman" w:hAnsi="Times New Roman" w:cs="Times New Roman"/>
                <w:sz w:val="20"/>
                <w:szCs w:val="20"/>
              </w:rPr>
            </w:pPr>
          </w:p>
        </w:tc>
        <w:tc>
          <w:tcPr>
            <w:tcW w:w="445" w:type="pct"/>
            <w:tcBorders>
              <w:top w:val="single" w:sz="12" w:space="0" w:color="auto"/>
              <w:bottom w:val="nil"/>
              <w:right w:val="single" w:sz="12"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p>
        </w:tc>
        <w:tc>
          <w:tcPr>
            <w:tcW w:w="582" w:type="pct"/>
            <w:tcBorders>
              <w:top w:val="single" w:sz="12" w:space="0" w:color="auto"/>
              <w:left w:val="single" w:sz="12" w:space="0" w:color="auto"/>
              <w:bottom w:val="nil"/>
            </w:tcBorders>
            <w:vAlign w:val="center"/>
          </w:tcPr>
          <w:p w:rsidR="00523D36" w:rsidRPr="00C00E76" w:rsidRDefault="00523D36" w:rsidP="002C5EE0">
            <w:pPr>
              <w:bidi w:val="0"/>
              <w:snapToGrid w:val="0"/>
              <w:jc w:val="both"/>
              <w:rPr>
                <w:rFonts w:ascii="Times New Roman" w:hAnsi="Times New Roman" w:cs="Times New Roman"/>
                <w:color w:val="000000" w:themeColor="text1"/>
                <w:sz w:val="20"/>
                <w:szCs w:val="20"/>
              </w:rPr>
            </w:pPr>
          </w:p>
        </w:tc>
        <w:tc>
          <w:tcPr>
            <w:tcW w:w="582" w:type="pct"/>
            <w:tcBorders>
              <w:top w:val="single" w:sz="12" w:space="0" w:color="auto"/>
              <w:bottom w:val="nil"/>
            </w:tcBorders>
            <w:vAlign w:val="center"/>
          </w:tcPr>
          <w:p w:rsidR="00523D36" w:rsidRPr="002C5EE0" w:rsidRDefault="00523D36" w:rsidP="002C5EE0">
            <w:pPr>
              <w:bidi w:val="0"/>
              <w:snapToGrid w:val="0"/>
              <w:jc w:val="both"/>
              <w:rPr>
                <w:rFonts w:ascii="Times New Roman" w:hAnsi="Times New Roman" w:cs="Times New Roman"/>
                <w:sz w:val="20"/>
                <w:szCs w:val="20"/>
              </w:rPr>
            </w:pPr>
          </w:p>
        </w:tc>
      </w:tr>
      <w:tr w:rsidR="00523D36" w:rsidRPr="002C5EE0" w:rsidTr="002C5EE0">
        <w:trPr>
          <w:jc w:val="center"/>
        </w:trPr>
        <w:tc>
          <w:tcPr>
            <w:tcW w:w="2055" w:type="pct"/>
            <w:tcBorders>
              <w:top w:val="nil"/>
              <w:bottom w:val="nil"/>
              <w:right w:val="single" w:sz="12"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≤25</w:t>
            </w:r>
          </w:p>
        </w:tc>
        <w:tc>
          <w:tcPr>
            <w:tcW w:w="445" w:type="pct"/>
            <w:tcBorders>
              <w:top w:val="nil"/>
              <w:left w:val="single" w:sz="12" w:space="0" w:color="auto"/>
              <w:bottom w:val="nil"/>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29</w:t>
            </w:r>
          </w:p>
        </w:tc>
        <w:tc>
          <w:tcPr>
            <w:tcW w:w="445" w:type="pct"/>
            <w:tcBorders>
              <w:top w:val="nil"/>
              <w:bottom w:val="nil"/>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58.0</w:t>
            </w:r>
          </w:p>
        </w:tc>
        <w:tc>
          <w:tcPr>
            <w:tcW w:w="445" w:type="pct"/>
            <w:tcBorders>
              <w:top w:val="nil"/>
              <w:bottom w:val="nil"/>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29</w:t>
            </w:r>
          </w:p>
        </w:tc>
        <w:tc>
          <w:tcPr>
            <w:tcW w:w="445" w:type="pct"/>
            <w:tcBorders>
              <w:top w:val="nil"/>
              <w:bottom w:val="nil"/>
              <w:right w:val="single" w:sz="12"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58.0</w:t>
            </w:r>
          </w:p>
        </w:tc>
        <w:tc>
          <w:tcPr>
            <w:tcW w:w="582" w:type="pct"/>
            <w:vMerge w:val="restart"/>
            <w:tcBorders>
              <w:top w:val="nil"/>
              <w:left w:val="single" w:sz="12" w:space="0" w:color="auto"/>
            </w:tcBorders>
            <w:vAlign w:val="center"/>
          </w:tcPr>
          <w:p w:rsidR="004B07CF" w:rsidRPr="00C00E76" w:rsidRDefault="004B07CF" w:rsidP="002C5EE0">
            <w:pPr>
              <w:bidi w:val="0"/>
              <w:snapToGrid w:val="0"/>
              <w:jc w:val="both"/>
              <w:rPr>
                <w:rFonts w:ascii="Times New Roman" w:eastAsiaTheme="minorEastAsia" w:hAnsi="Times New Roman" w:cs="Times New Roman" w:hint="eastAsia"/>
                <w:color w:val="000000" w:themeColor="text1"/>
                <w:sz w:val="20"/>
                <w:szCs w:val="20"/>
                <w:lang w:eastAsia="zh-CN"/>
              </w:rPr>
            </w:pPr>
          </w:p>
          <w:p w:rsidR="00523D36" w:rsidRPr="00C00E76" w:rsidRDefault="00523D36" w:rsidP="002C5EE0">
            <w:pPr>
              <w:bidi w:val="0"/>
              <w:snapToGrid w:val="0"/>
              <w:jc w:val="both"/>
              <w:rPr>
                <w:rFonts w:ascii="Times New Roman" w:hAnsi="Times New Roman" w:cs="Times New Roman"/>
                <w:color w:val="000000" w:themeColor="text1"/>
                <w:sz w:val="20"/>
                <w:szCs w:val="20"/>
              </w:rPr>
            </w:pPr>
          </w:p>
        </w:tc>
        <w:tc>
          <w:tcPr>
            <w:tcW w:w="582" w:type="pct"/>
            <w:vMerge w:val="restart"/>
            <w:tcBorders>
              <w:top w:val="nil"/>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1.000</w:t>
            </w:r>
          </w:p>
        </w:tc>
      </w:tr>
      <w:tr w:rsidR="00523D36" w:rsidRPr="002C5EE0" w:rsidTr="002C5EE0">
        <w:trPr>
          <w:jc w:val="center"/>
        </w:trPr>
        <w:tc>
          <w:tcPr>
            <w:tcW w:w="2055" w:type="pct"/>
            <w:tcBorders>
              <w:top w:val="nil"/>
              <w:bottom w:val="single" w:sz="4" w:space="0" w:color="000000"/>
              <w:right w:val="single" w:sz="12"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&gt;25</w:t>
            </w:r>
          </w:p>
        </w:tc>
        <w:tc>
          <w:tcPr>
            <w:tcW w:w="445" w:type="pct"/>
            <w:tcBorders>
              <w:top w:val="nil"/>
              <w:left w:val="single" w:sz="12" w:space="0" w:color="auto"/>
              <w:bottom w:val="single" w:sz="4" w:space="0" w:color="000000"/>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21</w:t>
            </w:r>
          </w:p>
        </w:tc>
        <w:tc>
          <w:tcPr>
            <w:tcW w:w="445" w:type="pct"/>
            <w:tcBorders>
              <w:top w:val="nil"/>
              <w:bottom w:val="single" w:sz="4" w:space="0" w:color="000000"/>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42.0</w:t>
            </w:r>
          </w:p>
        </w:tc>
        <w:tc>
          <w:tcPr>
            <w:tcW w:w="445" w:type="pct"/>
            <w:tcBorders>
              <w:top w:val="nil"/>
              <w:bottom w:val="single" w:sz="4" w:space="0" w:color="000000"/>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21</w:t>
            </w:r>
          </w:p>
        </w:tc>
        <w:tc>
          <w:tcPr>
            <w:tcW w:w="445" w:type="pct"/>
            <w:tcBorders>
              <w:top w:val="nil"/>
              <w:bottom w:val="single" w:sz="4" w:space="0" w:color="000000"/>
              <w:right w:val="single" w:sz="12"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42.0</w:t>
            </w:r>
          </w:p>
        </w:tc>
        <w:tc>
          <w:tcPr>
            <w:tcW w:w="582" w:type="pct"/>
            <w:vMerge/>
            <w:tcBorders>
              <w:left w:val="single" w:sz="12" w:space="0" w:color="auto"/>
              <w:bottom w:val="single" w:sz="4" w:space="0" w:color="000000"/>
            </w:tcBorders>
            <w:vAlign w:val="center"/>
          </w:tcPr>
          <w:p w:rsidR="00523D36" w:rsidRPr="002C5EE0" w:rsidRDefault="00523D36" w:rsidP="002C5EE0">
            <w:pPr>
              <w:bidi w:val="0"/>
              <w:snapToGrid w:val="0"/>
              <w:jc w:val="both"/>
              <w:rPr>
                <w:rFonts w:ascii="Times New Roman" w:hAnsi="Times New Roman" w:cs="Times New Roman"/>
                <w:sz w:val="20"/>
                <w:szCs w:val="20"/>
              </w:rPr>
            </w:pPr>
          </w:p>
        </w:tc>
        <w:tc>
          <w:tcPr>
            <w:tcW w:w="582" w:type="pct"/>
            <w:vMerge/>
            <w:tcBorders>
              <w:bottom w:val="single" w:sz="4" w:space="0" w:color="000000"/>
            </w:tcBorders>
            <w:vAlign w:val="center"/>
          </w:tcPr>
          <w:p w:rsidR="00523D36" w:rsidRPr="002C5EE0" w:rsidRDefault="00523D36" w:rsidP="002C5EE0">
            <w:pPr>
              <w:bidi w:val="0"/>
              <w:snapToGrid w:val="0"/>
              <w:jc w:val="both"/>
              <w:rPr>
                <w:rFonts w:ascii="Times New Roman" w:hAnsi="Times New Roman" w:cs="Times New Roman"/>
                <w:sz w:val="20"/>
                <w:szCs w:val="20"/>
              </w:rPr>
            </w:pPr>
          </w:p>
        </w:tc>
      </w:tr>
      <w:tr w:rsidR="00523D36" w:rsidRPr="002C5EE0" w:rsidTr="002C5EE0">
        <w:trPr>
          <w:jc w:val="center"/>
        </w:trPr>
        <w:tc>
          <w:tcPr>
            <w:tcW w:w="2055" w:type="pct"/>
            <w:tcBorders>
              <w:top w:val="single" w:sz="4" w:space="0" w:color="000000"/>
              <w:bottom w:val="nil"/>
              <w:right w:val="single" w:sz="12"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Min. – Max.</w:t>
            </w:r>
          </w:p>
        </w:tc>
        <w:tc>
          <w:tcPr>
            <w:tcW w:w="890" w:type="pct"/>
            <w:gridSpan w:val="2"/>
            <w:tcBorders>
              <w:top w:val="single" w:sz="4" w:space="0" w:color="000000"/>
              <w:left w:val="single" w:sz="12" w:space="0" w:color="auto"/>
              <w:bottom w:val="nil"/>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20.0 – 30.0</w:t>
            </w:r>
          </w:p>
        </w:tc>
        <w:tc>
          <w:tcPr>
            <w:tcW w:w="890" w:type="pct"/>
            <w:gridSpan w:val="2"/>
            <w:tcBorders>
              <w:top w:val="single" w:sz="4" w:space="0" w:color="000000"/>
              <w:bottom w:val="nil"/>
              <w:right w:val="single" w:sz="12"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20.0 – 30.0</w:t>
            </w:r>
          </w:p>
        </w:tc>
        <w:tc>
          <w:tcPr>
            <w:tcW w:w="582" w:type="pct"/>
            <w:tcBorders>
              <w:top w:val="single" w:sz="4" w:space="0" w:color="000000"/>
              <w:left w:val="single" w:sz="12" w:space="0" w:color="auto"/>
              <w:bottom w:val="nil"/>
            </w:tcBorders>
            <w:vAlign w:val="center"/>
          </w:tcPr>
          <w:p w:rsidR="00523D36" w:rsidRPr="002C5EE0" w:rsidRDefault="00523D36" w:rsidP="002C5EE0">
            <w:pPr>
              <w:bidi w:val="0"/>
              <w:snapToGrid w:val="0"/>
              <w:jc w:val="both"/>
              <w:rPr>
                <w:rFonts w:ascii="Times New Roman" w:hAnsi="Times New Roman" w:cs="Times New Roman"/>
                <w:sz w:val="20"/>
                <w:szCs w:val="20"/>
              </w:rPr>
            </w:pPr>
          </w:p>
        </w:tc>
        <w:tc>
          <w:tcPr>
            <w:tcW w:w="582" w:type="pct"/>
            <w:tcBorders>
              <w:top w:val="single" w:sz="4" w:space="0" w:color="000000"/>
              <w:bottom w:val="nil"/>
            </w:tcBorders>
            <w:vAlign w:val="center"/>
          </w:tcPr>
          <w:p w:rsidR="00523D36" w:rsidRPr="002C5EE0" w:rsidRDefault="00523D36" w:rsidP="002C5EE0">
            <w:pPr>
              <w:bidi w:val="0"/>
              <w:snapToGrid w:val="0"/>
              <w:jc w:val="both"/>
              <w:rPr>
                <w:rFonts w:ascii="Times New Roman" w:hAnsi="Times New Roman" w:cs="Times New Roman"/>
                <w:sz w:val="20"/>
                <w:szCs w:val="20"/>
              </w:rPr>
            </w:pPr>
          </w:p>
        </w:tc>
      </w:tr>
      <w:tr w:rsidR="00523D36" w:rsidRPr="002C5EE0" w:rsidTr="002C5EE0">
        <w:trPr>
          <w:jc w:val="center"/>
        </w:trPr>
        <w:tc>
          <w:tcPr>
            <w:tcW w:w="2055" w:type="pct"/>
            <w:tcBorders>
              <w:top w:val="nil"/>
              <w:bottom w:val="nil"/>
              <w:right w:val="single" w:sz="12"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Mean ± SD.</w:t>
            </w:r>
          </w:p>
        </w:tc>
        <w:tc>
          <w:tcPr>
            <w:tcW w:w="890" w:type="pct"/>
            <w:gridSpan w:val="2"/>
            <w:tcBorders>
              <w:top w:val="nil"/>
              <w:left w:val="single" w:sz="12" w:space="0" w:color="auto"/>
              <w:bottom w:val="nil"/>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25.24 ± 3.35</w:t>
            </w:r>
          </w:p>
        </w:tc>
        <w:tc>
          <w:tcPr>
            <w:tcW w:w="890" w:type="pct"/>
            <w:gridSpan w:val="2"/>
            <w:tcBorders>
              <w:top w:val="nil"/>
              <w:bottom w:val="nil"/>
              <w:right w:val="single" w:sz="12"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25.04 ± 3.02</w:t>
            </w:r>
          </w:p>
        </w:tc>
        <w:tc>
          <w:tcPr>
            <w:tcW w:w="582" w:type="pct"/>
            <w:vMerge w:val="restart"/>
            <w:tcBorders>
              <w:top w:val="nil"/>
              <w:left w:val="single" w:sz="12" w:space="0" w:color="auto"/>
            </w:tcBorders>
            <w:vAlign w:val="center"/>
          </w:tcPr>
          <w:p w:rsidR="004B07CF"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t=</w:t>
            </w:r>
          </w:p>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0.314</w:t>
            </w:r>
          </w:p>
        </w:tc>
        <w:tc>
          <w:tcPr>
            <w:tcW w:w="582" w:type="pct"/>
            <w:vMerge w:val="restart"/>
            <w:tcBorders>
              <w:top w:val="nil"/>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0.755</w:t>
            </w:r>
          </w:p>
        </w:tc>
      </w:tr>
      <w:tr w:rsidR="00523D36" w:rsidRPr="002C5EE0" w:rsidTr="002C5EE0">
        <w:trPr>
          <w:jc w:val="center"/>
        </w:trPr>
        <w:tc>
          <w:tcPr>
            <w:tcW w:w="2055" w:type="pct"/>
            <w:tcBorders>
              <w:top w:val="nil"/>
              <w:bottom w:val="single" w:sz="4" w:space="0" w:color="000000"/>
              <w:right w:val="single" w:sz="12"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Median</w:t>
            </w:r>
          </w:p>
        </w:tc>
        <w:tc>
          <w:tcPr>
            <w:tcW w:w="890" w:type="pct"/>
            <w:gridSpan w:val="2"/>
            <w:tcBorders>
              <w:top w:val="nil"/>
              <w:left w:val="single" w:sz="12" w:space="0" w:color="auto"/>
              <w:bottom w:val="single" w:sz="4" w:space="0" w:color="000000"/>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25.0</w:t>
            </w:r>
          </w:p>
        </w:tc>
        <w:tc>
          <w:tcPr>
            <w:tcW w:w="890" w:type="pct"/>
            <w:gridSpan w:val="2"/>
            <w:tcBorders>
              <w:top w:val="nil"/>
              <w:bottom w:val="single" w:sz="4" w:space="0" w:color="000000"/>
              <w:right w:val="single" w:sz="12"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25.0</w:t>
            </w:r>
          </w:p>
        </w:tc>
        <w:tc>
          <w:tcPr>
            <w:tcW w:w="582" w:type="pct"/>
            <w:vMerge/>
            <w:tcBorders>
              <w:left w:val="single" w:sz="12" w:space="0" w:color="auto"/>
              <w:bottom w:val="single" w:sz="4" w:space="0" w:color="000000"/>
            </w:tcBorders>
            <w:vAlign w:val="center"/>
          </w:tcPr>
          <w:p w:rsidR="00523D36" w:rsidRPr="002C5EE0" w:rsidRDefault="00523D36" w:rsidP="002C5EE0">
            <w:pPr>
              <w:bidi w:val="0"/>
              <w:snapToGrid w:val="0"/>
              <w:jc w:val="both"/>
              <w:rPr>
                <w:rFonts w:ascii="Times New Roman" w:hAnsi="Times New Roman" w:cs="Times New Roman"/>
                <w:sz w:val="20"/>
                <w:szCs w:val="20"/>
              </w:rPr>
            </w:pPr>
          </w:p>
        </w:tc>
        <w:tc>
          <w:tcPr>
            <w:tcW w:w="582" w:type="pct"/>
            <w:vMerge/>
            <w:tcBorders>
              <w:bottom w:val="single" w:sz="4" w:space="0" w:color="000000"/>
            </w:tcBorders>
            <w:vAlign w:val="center"/>
          </w:tcPr>
          <w:p w:rsidR="00523D36" w:rsidRPr="002C5EE0" w:rsidRDefault="00523D36" w:rsidP="002C5EE0">
            <w:pPr>
              <w:bidi w:val="0"/>
              <w:snapToGrid w:val="0"/>
              <w:jc w:val="both"/>
              <w:rPr>
                <w:rFonts w:ascii="Times New Roman" w:hAnsi="Times New Roman" w:cs="Times New Roman"/>
                <w:sz w:val="20"/>
                <w:szCs w:val="20"/>
              </w:rPr>
            </w:pPr>
          </w:p>
        </w:tc>
      </w:tr>
      <w:tr w:rsidR="00523D36" w:rsidRPr="002C5EE0" w:rsidTr="002C5EE0">
        <w:trPr>
          <w:jc w:val="center"/>
        </w:trPr>
        <w:tc>
          <w:tcPr>
            <w:tcW w:w="2055" w:type="pct"/>
            <w:tcBorders>
              <w:top w:val="single" w:sz="4" w:space="0" w:color="000000"/>
              <w:bottom w:val="nil"/>
              <w:right w:val="single" w:sz="12" w:space="0" w:color="auto"/>
            </w:tcBorders>
            <w:vAlign w:val="center"/>
          </w:tcPr>
          <w:p w:rsidR="00523D36" w:rsidRPr="002C5EE0" w:rsidRDefault="00523D36" w:rsidP="002C5EE0">
            <w:pPr>
              <w:bidi w:val="0"/>
              <w:snapToGrid w:val="0"/>
              <w:jc w:val="both"/>
              <w:rPr>
                <w:rFonts w:ascii="Times New Roman" w:hAnsi="Times New Roman" w:cs="Times New Roman"/>
                <w:b/>
                <w:bCs/>
                <w:sz w:val="20"/>
                <w:szCs w:val="20"/>
              </w:rPr>
            </w:pPr>
            <w:r w:rsidRPr="002C5EE0">
              <w:rPr>
                <w:rFonts w:ascii="Times New Roman" w:hAnsi="Times New Roman" w:cs="Times New Roman"/>
                <w:b/>
                <w:bCs/>
                <w:sz w:val="20"/>
                <w:szCs w:val="20"/>
              </w:rPr>
              <w:t>BMI (kg/m</w:t>
            </w:r>
            <w:r w:rsidRPr="002C5EE0">
              <w:rPr>
                <w:rFonts w:ascii="Times New Roman" w:hAnsi="Times New Roman" w:cs="Times New Roman"/>
                <w:b/>
                <w:bCs/>
                <w:sz w:val="20"/>
                <w:szCs w:val="20"/>
                <w:vertAlign w:val="superscript"/>
              </w:rPr>
              <w:t>2</w:t>
            </w:r>
            <w:r w:rsidRPr="002C5EE0">
              <w:rPr>
                <w:rFonts w:ascii="Times New Roman" w:hAnsi="Times New Roman" w:cs="Times New Roman"/>
                <w:b/>
                <w:bCs/>
                <w:sz w:val="20"/>
                <w:szCs w:val="20"/>
              </w:rPr>
              <w:t>)</w:t>
            </w:r>
          </w:p>
        </w:tc>
        <w:tc>
          <w:tcPr>
            <w:tcW w:w="890" w:type="pct"/>
            <w:gridSpan w:val="2"/>
            <w:tcBorders>
              <w:top w:val="single" w:sz="4" w:space="0" w:color="000000"/>
              <w:left w:val="single" w:sz="12" w:space="0" w:color="auto"/>
              <w:bottom w:val="nil"/>
            </w:tcBorders>
            <w:vAlign w:val="center"/>
          </w:tcPr>
          <w:p w:rsidR="00523D36" w:rsidRPr="002C5EE0" w:rsidRDefault="00523D36" w:rsidP="002C5EE0">
            <w:pPr>
              <w:bidi w:val="0"/>
              <w:snapToGrid w:val="0"/>
              <w:jc w:val="both"/>
              <w:rPr>
                <w:rFonts w:ascii="Times New Roman" w:hAnsi="Times New Roman" w:cs="Times New Roman"/>
                <w:sz w:val="20"/>
                <w:szCs w:val="20"/>
              </w:rPr>
            </w:pPr>
          </w:p>
        </w:tc>
        <w:tc>
          <w:tcPr>
            <w:tcW w:w="890" w:type="pct"/>
            <w:gridSpan w:val="2"/>
            <w:tcBorders>
              <w:top w:val="single" w:sz="4" w:space="0" w:color="000000"/>
              <w:bottom w:val="nil"/>
              <w:right w:val="single" w:sz="12"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p>
        </w:tc>
        <w:tc>
          <w:tcPr>
            <w:tcW w:w="582" w:type="pct"/>
            <w:tcBorders>
              <w:top w:val="single" w:sz="4" w:space="0" w:color="000000"/>
              <w:left w:val="single" w:sz="12" w:space="0" w:color="auto"/>
              <w:bottom w:val="nil"/>
            </w:tcBorders>
            <w:vAlign w:val="center"/>
          </w:tcPr>
          <w:p w:rsidR="00523D36" w:rsidRPr="002C5EE0" w:rsidRDefault="00523D36" w:rsidP="002C5EE0">
            <w:pPr>
              <w:bidi w:val="0"/>
              <w:snapToGrid w:val="0"/>
              <w:jc w:val="both"/>
              <w:rPr>
                <w:rFonts w:ascii="Times New Roman" w:hAnsi="Times New Roman" w:cs="Times New Roman"/>
                <w:sz w:val="20"/>
                <w:szCs w:val="20"/>
              </w:rPr>
            </w:pPr>
          </w:p>
        </w:tc>
        <w:tc>
          <w:tcPr>
            <w:tcW w:w="582" w:type="pct"/>
            <w:tcBorders>
              <w:top w:val="single" w:sz="4" w:space="0" w:color="000000"/>
              <w:bottom w:val="nil"/>
            </w:tcBorders>
            <w:vAlign w:val="center"/>
          </w:tcPr>
          <w:p w:rsidR="00523D36" w:rsidRPr="002C5EE0" w:rsidRDefault="00523D36" w:rsidP="002C5EE0">
            <w:pPr>
              <w:bidi w:val="0"/>
              <w:snapToGrid w:val="0"/>
              <w:jc w:val="both"/>
              <w:rPr>
                <w:rFonts w:ascii="Times New Roman" w:hAnsi="Times New Roman" w:cs="Times New Roman"/>
                <w:sz w:val="20"/>
                <w:szCs w:val="20"/>
              </w:rPr>
            </w:pPr>
          </w:p>
        </w:tc>
      </w:tr>
      <w:tr w:rsidR="00523D36" w:rsidRPr="002C5EE0" w:rsidTr="002C5EE0">
        <w:trPr>
          <w:jc w:val="center"/>
        </w:trPr>
        <w:tc>
          <w:tcPr>
            <w:tcW w:w="2055" w:type="pct"/>
            <w:tcBorders>
              <w:top w:val="nil"/>
              <w:bottom w:val="nil"/>
              <w:right w:val="single" w:sz="12"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Min. – Max.</w:t>
            </w:r>
          </w:p>
        </w:tc>
        <w:tc>
          <w:tcPr>
            <w:tcW w:w="890" w:type="pct"/>
            <w:gridSpan w:val="2"/>
            <w:tcBorders>
              <w:top w:val="nil"/>
              <w:left w:val="single" w:sz="12" w:space="0" w:color="auto"/>
              <w:bottom w:val="nil"/>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20.5 – 30.0</w:t>
            </w:r>
          </w:p>
        </w:tc>
        <w:tc>
          <w:tcPr>
            <w:tcW w:w="890" w:type="pct"/>
            <w:gridSpan w:val="2"/>
            <w:tcBorders>
              <w:top w:val="nil"/>
              <w:bottom w:val="nil"/>
              <w:right w:val="single" w:sz="12"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20.5 – 30.0</w:t>
            </w:r>
          </w:p>
        </w:tc>
        <w:tc>
          <w:tcPr>
            <w:tcW w:w="582" w:type="pct"/>
            <w:vMerge w:val="restart"/>
            <w:tcBorders>
              <w:top w:val="nil"/>
              <w:left w:val="single" w:sz="12" w:space="0" w:color="auto"/>
            </w:tcBorders>
            <w:vAlign w:val="center"/>
          </w:tcPr>
          <w:p w:rsidR="004B07CF"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t=</w:t>
            </w:r>
          </w:p>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0.118</w:t>
            </w:r>
          </w:p>
        </w:tc>
        <w:tc>
          <w:tcPr>
            <w:tcW w:w="582" w:type="pct"/>
            <w:vMerge w:val="restart"/>
            <w:tcBorders>
              <w:top w:val="nil"/>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0.906</w:t>
            </w:r>
          </w:p>
        </w:tc>
      </w:tr>
      <w:tr w:rsidR="00523D36" w:rsidRPr="002C5EE0" w:rsidTr="002C5EE0">
        <w:trPr>
          <w:jc w:val="center"/>
        </w:trPr>
        <w:tc>
          <w:tcPr>
            <w:tcW w:w="2055" w:type="pct"/>
            <w:tcBorders>
              <w:top w:val="nil"/>
              <w:bottom w:val="nil"/>
              <w:right w:val="single" w:sz="12"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Mean ± SD.</w:t>
            </w:r>
          </w:p>
        </w:tc>
        <w:tc>
          <w:tcPr>
            <w:tcW w:w="890" w:type="pct"/>
            <w:gridSpan w:val="2"/>
            <w:tcBorders>
              <w:top w:val="nil"/>
              <w:left w:val="single" w:sz="12" w:space="0" w:color="auto"/>
              <w:bottom w:val="nil"/>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25.24 ± 2.84</w:t>
            </w:r>
          </w:p>
        </w:tc>
        <w:tc>
          <w:tcPr>
            <w:tcW w:w="890" w:type="pct"/>
            <w:gridSpan w:val="2"/>
            <w:tcBorders>
              <w:top w:val="nil"/>
              <w:bottom w:val="nil"/>
              <w:right w:val="single" w:sz="12"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25.31 ± 2.74</w:t>
            </w:r>
          </w:p>
        </w:tc>
        <w:tc>
          <w:tcPr>
            <w:tcW w:w="582" w:type="pct"/>
            <w:vMerge/>
            <w:tcBorders>
              <w:left w:val="single" w:sz="12"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p>
        </w:tc>
        <w:tc>
          <w:tcPr>
            <w:tcW w:w="582" w:type="pct"/>
            <w:vMerge/>
            <w:vAlign w:val="center"/>
          </w:tcPr>
          <w:p w:rsidR="00523D36" w:rsidRPr="002C5EE0" w:rsidRDefault="00523D36" w:rsidP="002C5EE0">
            <w:pPr>
              <w:bidi w:val="0"/>
              <w:snapToGrid w:val="0"/>
              <w:jc w:val="both"/>
              <w:rPr>
                <w:rFonts w:ascii="Times New Roman" w:hAnsi="Times New Roman" w:cs="Times New Roman"/>
                <w:sz w:val="20"/>
                <w:szCs w:val="20"/>
              </w:rPr>
            </w:pPr>
          </w:p>
        </w:tc>
      </w:tr>
      <w:tr w:rsidR="00523D36" w:rsidRPr="002C5EE0" w:rsidTr="002C5EE0">
        <w:trPr>
          <w:jc w:val="center"/>
        </w:trPr>
        <w:tc>
          <w:tcPr>
            <w:tcW w:w="2055" w:type="pct"/>
            <w:tcBorders>
              <w:top w:val="nil"/>
              <w:bottom w:val="single" w:sz="4" w:space="0" w:color="auto"/>
              <w:right w:val="single" w:sz="12"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Median</w:t>
            </w:r>
          </w:p>
        </w:tc>
        <w:tc>
          <w:tcPr>
            <w:tcW w:w="890" w:type="pct"/>
            <w:gridSpan w:val="2"/>
            <w:tcBorders>
              <w:top w:val="nil"/>
              <w:left w:val="single" w:sz="12" w:space="0" w:color="auto"/>
              <w:bottom w:val="single" w:sz="4"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24.60</w:t>
            </w:r>
          </w:p>
        </w:tc>
        <w:tc>
          <w:tcPr>
            <w:tcW w:w="890" w:type="pct"/>
            <w:gridSpan w:val="2"/>
            <w:tcBorders>
              <w:top w:val="nil"/>
              <w:bottom w:val="single" w:sz="4" w:space="0" w:color="auto"/>
              <w:right w:val="single" w:sz="12"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24.60</w:t>
            </w:r>
          </w:p>
        </w:tc>
        <w:tc>
          <w:tcPr>
            <w:tcW w:w="582" w:type="pct"/>
            <w:vMerge/>
            <w:tcBorders>
              <w:left w:val="single" w:sz="12" w:space="0" w:color="auto"/>
              <w:bottom w:val="single" w:sz="4"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p>
        </w:tc>
        <w:tc>
          <w:tcPr>
            <w:tcW w:w="582" w:type="pct"/>
            <w:vMerge/>
            <w:tcBorders>
              <w:bottom w:val="single" w:sz="4"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p>
        </w:tc>
      </w:tr>
      <w:tr w:rsidR="00523D36" w:rsidRPr="002C5EE0" w:rsidTr="002C5EE0">
        <w:trPr>
          <w:jc w:val="center"/>
        </w:trPr>
        <w:tc>
          <w:tcPr>
            <w:tcW w:w="2055" w:type="pct"/>
            <w:tcBorders>
              <w:top w:val="single" w:sz="4" w:space="0" w:color="auto"/>
              <w:bottom w:val="nil"/>
              <w:right w:val="single" w:sz="12" w:space="0" w:color="auto"/>
            </w:tcBorders>
            <w:vAlign w:val="center"/>
          </w:tcPr>
          <w:p w:rsidR="00523D36" w:rsidRPr="002C5EE0" w:rsidRDefault="00523D36" w:rsidP="002C5EE0">
            <w:pPr>
              <w:bidi w:val="0"/>
              <w:snapToGrid w:val="0"/>
              <w:jc w:val="both"/>
              <w:rPr>
                <w:rFonts w:ascii="Times New Roman" w:hAnsi="Times New Roman" w:cs="Times New Roman"/>
                <w:b/>
                <w:bCs/>
                <w:sz w:val="20"/>
                <w:szCs w:val="20"/>
              </w:rPr>
            </w:pPr>
            <w:r w:rsidRPr="002C5EE0">
              <w:rPr>
                <w:rFonts w:ascii="Times New Roman" w:hAnsi="Times New Roman" w:cs="Times New Roman"/>
                <w:b/>
                <w:bCs/>
                <w:sz w:val="20"/>
                <w:szCs w:val="20"/>
              </w:rPr>
              <w:t>Infertility</w:t>
            </w:r>
          </w:p>
        </w:tc>
        <w:tc>
          <w:tcPr>
            <w:tcW w:w="445" w:type="pct"/>
            <w:tcBorders>
              <w:top w:val="single" w:sz="4" w:space="0" w:color="auto"/>
              <w:left w:val="single" w:sz="12" w:space="0" w:color="auto"/>
              <w:bottom w:val="nil"/>
              <w:right w:val="single" w:sz="4"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p>
        </w:tc>
        <w:tc>
          <w:tcPr>
            <w:tcW w:w="445" w:type="pct"/>
            <w:tcBorders>
              <w:top w:val="single" w:sz="4" w:space="0" w:color="auto"/>
              <w:left w:val="single" w:sz="4" w:space="0" w:color="auto"/>
              <w:bottom w:val="nil"/>
              <w:right w:val="single" w:sz="4"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p>
        </w:tc>
        <w:tc>
          <w:tcPr>
            <w:tcW w:w="445" w:type="pct"/>
            <w:tcBorders>
              <w:top w:val="single" w:sz="4" w:space="0" w:color="auto"/>
              <w:left w:val="single" w:sz="4" w:space="0" w:color="auto"/>
              <w:bottom w:val="nil"/>
              <w:right w:val="single" w:sz="4"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p>
        </w:tc>
        <w:tc>
          <w:tcPr>
            <w:tcW w:w="445" w:type="pct"/>
            <w:tcBorders>
              <w:top w:val="single" w:sz="4" w:space="0" w:color="auto"/>
              <w:left w:val="single" w:sz="4" w:space="0" w:color="auto"/>
              <w:bottom w:val="nil"/>
              <w:right w:val="single" w:sz="12"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p>
        </w:tc>
        <w:tc>
          <w:tcPr>
            <w:tcW w:w="582" w:type="pct"/>
            <w:tcBorders>
              <w:top w:val="single" w:sz="4" w:space="0" w:color="auto"/>
              <w:left w:val="single" w:sz="12" w:space="0" w:color="auto"/>
              <w:bottom w:val="nil"/>
            </w:tcBorders>
            <w:vAlign w:val="center"/>
          </w:tcPr>
          <w:p w:rsidR="00523D36" w:rsidRPr="002C5EE0" w:rsidRDefault="00523D36" w:rsidP="002C5EE0">
            <w:pPr>
              <w:bidi w:val="0"/>
              <w:snapToGrid w:val="0"/>
              <w:jc w:val="both"/>
              <w:rPr>
                <w:rFonts w:ascii="Times New Roman" w:hAnsi="Times New Roman" w:cs="Times New Roman"/>
                <w:sz w:val="20"/>
                <w:szCs w:val="20"/>
              </w:rPr>
            </w:pPr>
          </w:p>
        </w:tc>
        <w:tc>
          <w:tcPr>
            <w:tcW w:w="582" w:type="pct"/>
            <w:tcBorders>
              <w:top w:val="single" w:sz="4" w:space="0" w:color="auto"/>
              <w:bottom w:val="nil"/>
            </w:tcBorders>
            <w:vAlign w:val="center"/>
          </w:tcPr>
          <w:p w:rsidR="00523D36" w:rsidRPr="002C5EE0" w:rsidRDefault="00523D36" w:rsidP="002C5EE0">
            <w:pPr>
              <w:bidi w:val="0"/>
              <w:snapToGrid w:val="0"/>
              <w:jc w:val="both"/>
              <w:rPr>
                <w:rFonts w:ascii="Times New Roman" w:hAnsi="Times New Roman" w:cs="Times New Roman"/>
                <w:sz w:val="20"/>
                <w:szCs w:val="20"/>
              </w:rPr>
            </w:pPr>
          </w:p>
        </w:tc>
      </w:tr>
      <w:tr w:rsidR="00523D36" w:rsidRPr="002C5EE0" w:rsidTr="002C5EE0">
        <w:trPr>
          <w:jc w:val="center"/>
        </w:trPr>
        <w:tc>
          <w:tcPr>
            <w:tcW w:w="2055" w:type="pct"/>
            <w:tcBorders>
              <w:top w:val="nil"/>
              <w:bottom w:val="nil"/>
              <w:right w:val="single" w:sz="12"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Primary</w:t>
            </w:r>
          </w:p>
        </w:tc>
        <w:tc>
          <w:tcPr>
            <w:tcW w:w="445" w:type="pct"/>
            <w:tcBorders>
              <w:top w:val="nil"/>
              <w:left w:val="single" w:sz="12" w:space="0" w:color="auto"/>
              <w:bottom w:val="nil"/>
              <w:right w:val="single" w:sz="4"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33</w:t>
            </w:r>
          </w:p>
        </w:tc>
        <w:tc>
          <w:tcPr>
            <w:tcW w:w="445" w:type="pct"/>
            <w:tcBorders>
              <w:top w:val="nil"/>
              <w:left w:val="single" w:sz="4" w:space="0" w:color="auto"/>
              <w:bottom w:val="nil"/>
              <w:right w:val="single" w:sz="4"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66.0</w:t>
            </w:r>
          </w:p>
        </w:tc>
        <w:tc>
          <w:tcPr>
            <w:tcW w:w="445" w:type="pct"/>
            <w:tcBorders>
              <w:top w:val="nil"/>
              <w:left w:val="single" w:sz="4" w:space="0" w:color="auto"/>
              <w:bottom w:val="nil"/>
              <w:right w:val="single" w:sz="4"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26</w:t>
            </w:r>
          </w:p>
        </w:tc>
        <w:tc>
          <w:tcPr>
            <w:tcW w:w="445" w:type="pct"/>
            <w:tcBorders>
              <w:top w:val="nil"/>
              <w:left w:val="single" w:sz="4" w:space="0" w:color="auto"/>
              <w:bottom w:val="nil"/>
              <w:right w:val="single" w:sz="12"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52.0</w:t>
            </w:r>
          </w:p>
        </w:tc>
        <w:tc>
          <w:tcPr>
            <w:tcW w:w="582" w:type="pct"/>
            <w:vMerge w:val="restart"/>
            <w:tcBorders>
              <w:top w:val="nil"/>
              <w:left w:val="single" w:sz="12" w:space="0" w:color="auto"/>
            </w:tcBorders>
            <w:vAlign w:val="center"/>
          </w:tcPr>
          <w:p w:rsidR="004B07CF"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w:t>
            </w:r>
            <w:r w:rsidRPr="002C5EE0">
              <w:rPr>
                <w:rFonts w:ascii="Times New Roman" w:hAnsi="Times New Roman" w:cs="Times New Roman"/>
                <w:sz w:val="20"/>
                <w:szCs w:val="20"/>
                <w:vertAlign w:val="superscript"/>
              </w:rPr>
              <w:t></w:t>
            </w:r>
            <w:r w:rsidRPr="002C5EE0">
              <w:rPr>
                <w:rFonts w:ascii="Times New Roman" w:hAnsi="Times New Roman" w:cs="Times New Roman"/>
                <w:sz w:val="20"/>
                <w:szCs w:val="20"/>
              </w:rPr>
              <w:t></w:t>
            </w:r>
          </w:p>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w:t>
            </w:r>
            <w:r w:rsidRPr="002C5EE0">
              <w:rPr>
                <w:rFonts w:ascii="Times New Roman" w:hAnsi="Times New Roman" w:cs="Times New Roman"/>
                <w:sz w:val="20"/>
                <w:szCs w:val="20"/>
              </w:rPr>
              <w:t></w:t>
            </w:r>
            <w:r w:rsidRPr="002C5EE0">
              <w:rPr>
                <w:rFonts w:ascii="Times New Roman" w:hAnsi="Times New Roman" w:cs="Times New Roman"/>
                <w:sz w:val="20"/>
                <w:szCs w:val="20"/>
              </w:rPr>
              <w:t></w:t>
            </w:r>
            <w:r w:rsidRPr="002C5EE0">
              <w:rPr>
                <w:rFonts w:ascii="Times New Roman" w:hAnsi="Times New Roman" w:cs="Times New Roman"/>
                <w:sz w:val="20"/>
                <w:szCs w:val="20"/>
              </w:rPr>
              <w:t></w:t>
            </w:r>
            <w:r w:rsidRPr="002C5EE0">
              <w:rPr>
                <w:rFonts w:ascii="Times New Roman" w:hAnsi="Times New Roman" w:cs="Times New Roman"/>
                <w:sz w:val="20"/>
                <w:szCs w:val="20"/>
              </w:rPr>
              <w:t></w:t>
            </w:r>
          </w:p>
        </w:tc>
        <w:tc>
          <w:tcPr>
            <w:tcW w:w="582" w:type="pct"/>
            <w:vMerge w:val="restart"/>
            <w:tcBorders>
              <w:top w:val="nil"/>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0.155</w:t>
            </w:r>
          </w:p>
        </w:tc>
      </w:tr>
      <w:tr w:rsidR="00523D36" w:rsidRPr="002C5EE0" w:rsidTr="002C5EE0">
        <w:trPr>
          <w:jc w:val="center"/>
        </w:trPr>
        <w:tc>
          <w:tcPr>
            <w:tcW w:w="2055" w:type="pct"/>
            <w:tcBorders>
              <w:top w:val="nil"/>
              <w:bottom w:val="single" w:sz="4" w:space="0" w:color="auto"/>
              <w:right w:val="single" w:sz="12" w:space="0" w:color="auto"/>
            </w:tcBorders>
            <w:vAlign w:val="center"/>
          </w:tcPr>
          <w:p w:rsidR="00523D36" w:rsidRPr="002C5EE0" w:rsidRDefault="00523D36" w:rsidP="002C5EE0">
            <w:pPr>
              <w:bidi w:val="0"/>
              <w:snapToGrid w:val="0"/>
              <w:jc w:val="both"/>
              <w:rPr>
                <w:rFonts w:ascii="Times New Roman" w:hAnsi="Times New Roman" w:cs="Times New Roman"/>
                <w:b/>
                <w:bCs/>
                <w:sz w:val="20"/>
                <w:szCs w:val="20"/>
              </w:rPr>
            </w:pPr>
            <w:r w:rsidRPr="002C5EE0">
              <w:rPr>
                <w:rFonts w:ascii="Times New Roman" w:hAnsi="Times New Roman" w:cs="Times New Roman"/>
                <w:b/>
                <w:bCs/>
                <w:sz w:val="20"/>
                <w:szCs w:val="20"/>
              </w:rPr>
              <w:t>Secondary</w:t>
            </w:r>
          </w:p>
        </w:tc>
        <w:tc>
          <w:tcPr>
            <w:tcW w:w="445" w:type="pct"/>
            <w:tcBorders>
              <w:top w:val="nil"/>
              <w:left w:val="single" w:sz="12" w:space="0" w:color="auto"/>
              <w:bottom w:val="single" w:sz="4" w:space="0" w:color="auto"/>
              <w:right w:val="single" w:sz="4" w:space="0" w:color="auto"/>
            </w:tcBorders>
            <w:vAlign w:val="center"/>
          </w:tcPr>
          <w:p w:rsidR="00523D36" w:rsidRPr="002C5EE0" w:rsidRDefault="00523D36" w:rsidP="002C5EE0">
            <w:pPr>
              <w:bidi w:val="0"/>
              <w:snapToGrid w:val="0"/>
              <w:jc w:val="both"/>
              <w:rPr>
                <w:rFonts w:ascii="Times New Roman" w:hAnsi="Times New Roman" w:cs="Times New Roman"/>
                <w:b/>
                <w:bCs/>
                <w:sz w:val="20"/>
                <w:szCs w:val="20"/>
              </w:rPr>
            </w:pPr>
            <w:r w:rsidRPr="002C5EE0">
              <w:rPr>
                <w:rFonts w:ascii="Times New Roman" w:hAnsi="Times New Roman" w:cs="Times New Roman"/>
                <w:b/>
                <w:bCs/>
                <w:sz w:val="20"/>
                <w:szCs w:val="20"/>
              </w:rPr>
              <w:t>17</w:t>
            </w:r>
          </w:p>
        </w:tc>
        <w:tc>
          <w:tcPr>
            <w:tcW w:w="445" w:type="pct"/>
            <w:tcBorders>
              <w:top w:val="nil"/>
              <w:left w:val="single" w:sz="4" w:space="0" w:color="auto"/>
              <w:bottom w:val="single" w:sz="4" w:space="0" w:color="auto"/>
              <w:right w:val="single" w:sz="4" w:space="0" w:color="auto"/>
            </w:tcBorders>
            <w:vAlign w:val="center"/>
          </w:tcPr>
          <w:p w:rsidR="00523D36" w:rsidRPr="002C5EE0" w:rsidRDefault="00523D36" w:rsidP="002C5EE0">
            <w:pPr>
              <w:bidi w:val="0"/>
              <w:snapToGrid w:val="0"/>
              <w:jc w:val="both"/>
              <w:rPr>
                <w:rFonts w:ascii="Times New Roman" w:hAnsi="Times New Roman" w:cs="Times New Roman"/>
                <w:b/>
                <w:bCs/>
                <w:sz w:val="20"/>
                <w:szCs w:val="20"/>
              </w:rPr>
            </w:pPr>
            <w:r w:rsidRPr="002C5EE0">
              <w:rPr>
                <w:rFonts w:ascii="Times New Roman" w:hAnsi="Times New Roman" w:cs="Times New Roman"/>
                <w:b/>
                <w:bCs/>
                <w:sz w:val="20"/>
                <w:szCs w:val="20"/>
              </w:rPr>
              <w:t>34.0</w:t>
            </w:r>
          </w:p>
        </w:tc>
        <w:tc>
          <w:tcPr>
            <w:tcW w:w="445" w:type="pct"/>
            <w:tcBorders>
              <w:top w:val="nil"/>
              <w:left w:val="single" w:sz="4" w:space="0" w:color="auto"/>
              <w:bottom w:val="single" w:sz="4" w:space="0" w:color="auto"/>
              <w:right w:val="single" w:sz="4" w:space="0" w:color="auto"/>
            </w:tcBorders>
            <w:vAlign w:val="center"/>
          </w:tcPr>
          <w:p w:rsidR="00523D36" w:rsidRPr="002C5EE0" w:rsidRDefault="00523D36" w:rsidP="002C5EE0">
            <w:pPr>
              <w:bidi w:val="0"/>
              <w:snapToGrid w:val="0"/>
              <w:jc w:val="both"/>
              <w:rPr>
                <w:rFonts w:ascii="Times New Roman" w:hAnsi="Times New Roman" w:cs="Times New Roman"/>
                <w:b/>
                <w:bCs/>
                <w:sz w:val="20"/>
                <w:szCs w:val="20"/>
              </w:rPr>
            </w:pPr>
            <w:r w:rsidRPr="002C5EE0">
              <w:rPr>
                <w:rFonts w:ascii="Times New Roman" w:hAnsi="Times New Roman" w:cs="Times New Roman"/>
                <w:b/>
                <w:bCs/>
                <w:sz w:val="20"/>
                <w:szCs w:val="20"/>
              </w:rPr>
              <w:t>24</w:t>
            </w:r>
          </w:p>
        </w:tc>
        <w:tc>
          <w:tcPr>
            <w:tcW w:w="445" w:type="pct"/>
            <w:tcBorders>
              <w:top w:val="nil"/>
              <w:left w:val="single" w:sz="4" w:space="0" w:color="auto"/>
              <w:bottom w:val="single" w:sz="4" w:space="0" w:color="auto"/>
              <w:right w:val="single" w:sz="12" w:space="0" w:color="auto"/>
            </w:tcBorders>
            <w:vAlign w:val="center"/>
          </w:tcPr>
          <w:p w:rsidR="00523D36" w:rsidRPr="002C5EE0" w:rsidRDefault="00523D36" w:rsidP="002C5EE0">
            <w:pPr>
              <w:bidi w:val="0"/>
              <w:snapToGrid w:val="0"/>
              <w:jc w:val="both"/>
              <w:rPr>
                <w:rFonts w:ascii="Times New Roman" w:hAnsi="Times New Roman" w:cs="Times New Roman"/>
                <w:b/>
                <w:bCs/>
                <w:sz w:val="20"/>
                <w:szCs w:val="20"/>
              </w:rPr>
            </w:pPr>
            <w:r w:rsidRPr="002C5EE0">
              <w:rPr>
                <w:rFonts w:ascii="Times New Roman" w:hAnsi="Times New Roman" w:cs="Times New Roman"/>
                <w:b/>
                <w:bCs/>
                <w:sz w:val="20"/>
                <w:szCs w:val="20"/>
              </w:rPr>
              <w:t>48.0</w:t>
            </w:r>
          </w:p>
        </w:tc>
        <w:tc>
          <w:tcPr>
            <w:tcW w:w="582" w:type="pct"/>
            <w:vMerge/>
            <w:tcBorders>
              <w:left w:val="single" w:sz="12" w:space="0" w:color="auto"/>
              <w:bottom w:val="single" w:sz="4"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p>
        </w:tc>
        <w:tc>
          <w:tcPr>
            <w:tcW w:w="582" w:type="pct"/>
            <w:vMerge/>
            <w:tcBorders>
              <w:bottom w:val="single" w:sz="4"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p>
        </w:tc>
      </w:tr>
      <w:tr w:rsidR="00523D36" w:rsidRPr="002C5EE0" w:rsidTr="002C5EE0">
        <w:trPr>
          <w:jc w:val="center"/>
        </w:trPr>
        <w:tc>
          <w:tcPr>
            <w:tcW w:w="2055" w:type="pct"/>
            <w:tcBorders>
              <w:top w:val="single" w:sz="4" w:space="0" w:color="auto"/>
              <w:bottom w:val="nil"/>
              <w:right w:val="single" w:sz="12"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b/>
                <w:bCs/>
                <w:sz w:val="20"/>
                <w:szCs w:val="20"/>
              </w:rPr>
              <w:t>Duration of Infertility (months)</w:t>
            </w:r>
          </w:p>
        </w:tc>
        <w:tc>
          <w:tcPr>
            <w:tcW w:w="890" w:type="pct"/>
            <w:gridSpan w:val="2"/>
            <w:tcBorders>
              <w:top w:val="single" w:sz="4" w:space="0" w:color="auto"/>
              <w:left w:val="single" w:sz="12" w:space="0" w:color="auto"/>
              <w:bottom w:val="nil"/>
              <w:right w:val="single" w:sz="4" w:space="0" w:color="auto"/>
            </w:tcBorders>
            <w:vAlign w:val="center"/>
          </w:tcPr>
          <w:p w:rsidR="00523D36" w:rsidRPr="002C5EE0" w:rsidRDefault="00523D36" w:rsidP="002C5EE0">
            <w:pPr>
              <w:bidi w:val="0"/>
              <w:snapToGrid w:val="0"/>
              <w:jc w:val="both"/>
              <w:rPr>
                <w:rFonts w:ascii="Times New Roman" w:hAnsi="Times New Roman" w:cs="Times New Roman"/>
                <w:b/>
                <w:bCs/>
                <w:sz w:val="20"/>
                <w:szCs w:val="20"/>
              </w:rPr>
            </w:pPr>
          </w:p>
        </w:tc>
        <w:tc>
          <w:tcPr>
            <w:tcW w:w="890" w:type="pct"/>
            <w:gridSpan w:val="2"/>
            <w:tcBorders>
              <w:top w:val="single" w:sz="4" w:space="0" w:color="auto"/>
              <w:left w:val="single" w:sz="4" w:space="0" w:color="auto"/>
              <w:bottom w:val="nil"/>
              <w:right w:val="single" w:sz="12" w:space="0" w:color="auto"/>
            </w:tcBorders>
            <w:vAlign w:val="center"/>
          </w:tcPr>
          <w:p w:rsidR="00523D36" w:rsidRPr="002C5EE0" w:rsidRDefault="00523D36" w:rsidP="002C5EE0">
            <w:pPr>
              <w:bidi w:val="0"/>
              <w:snapToGrid w:val="0"/>
              <w:jc w:val="both"/>
              <w:rPr>
                <w:rFonts w:ascii="Times New Roman" w:hAnsi="Times New Roman" w:cs="Times New Roman"/>
                <w:b/>
                <w:bCs/>
                <w:sz w:val="20"/>
                <w:szCs w:val="20"/>
              </w:rPr>
            </w:pPr>
          </w:p>
        </w:tc>
        <w:tc>
          <w:tcPr>
            <w:tcW w:w="582" w:type="pct"/>
            <w:tcBorders>
              <w:top w:val="single" w:sz="4" w:space="0" w:color="auto"/>
              <w:left w:val="single" w:sz="12" w:space="0" w:color="auto"/>
              <w:bottom w:val="nil"/>
            </w:tcBorders>
            <w:vAlign w:val="center"/>
          </w:tcPr>
          <w:p w:rsidR="00523D36" w:rsidRPr="002C5EE0" w:rsidRDefault="00523D36" w:rsidP="002C5EE0">
            <w:pPr>
              <w:bidi w:val="0"/>
              <w:snapToGrid w:val="0"/>
              <w:jc w:val="both"/>
              <w:rPr>
                <w:rFonts w:ascii="Times New Roman" w:hAnsi="Times New Roman" w:cs="Times New Roman"/>
                <w:sz w:val="20"/>
                <w:szCs w:val="20"/>
              </w:rPr>
            </w:pPr>
          </w:p>
        </w:tc>
        <w:tc>
          <w:tcPr>
            <w:tcW w:w="582" w:type="pct"/>
            <w:tcBorders>
              <w:top w:val="single" w:sz="4" w:space="0" w:color="auto"/>
              <w:bottom w:val="nil"/>
            </w:tcBorders>
            <w:vAlign w:val="center"/>
          </w:tcPr>
          <w:p w:rsidR="00523D36" w:rsidRPr="002C5EE0" w:rsidRDefault="00523D36" w:rsidP="002C5EE0">
            <w:pPr>
              <w:bidi w:val="0"/>
              <w:snapToGrid w:val="0"/>
              <w:jc w:val="both"/>
              <w:rPr>
                <w:rFonts w:ascii="Times New Roman" w:hAnsi="Times New Roman" w:cs="Times New Roman"/>
                <w:sz w:val="20"/>
                <w:szCs w:val="20"/>
              </w:rPr>
            </w:pPr>
          </w:p>
        </w:tc>
      </w:tr>
      <w:tr w:rsidR="00523D36" w:rsidRPr="002C5EE0" w:rsidTr="002C5EE0">
        <w:trPr>
          <w:jc w:val="center"/>
        </w:trPr>
        <w:tc>
          <w:tcPr>
            <w:tcW w:w="2055" w:type="pct"/>
            <w:tcBorders>
              <w:top w:val="nil"/>
              <w:bottom w:val="nil"/>
              <w:right w:val="single" w:sz="12"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Min. – Max.</w:t>
            </w:r>
          </w:p>
        </w:tc>
        <w:tc>
          <w:tcPr>
            <w:tcW w:w="890" w:type="pct"/>
            <w:gridSpan w:val="2"/>
            <w:tcBorders>
              <w:top w:val="nil"/>
              <w:left w:val="single" w:sz="12" w:space="0" w:color="auto"/>
              <w:bottom w:val="nil"/>
              <w:right w:val="single" w:sz="4"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6.0 – 28.0</w:t>
            </w:r>
          </w:p>
        </w:tc>
        <w:tc>
          <w:tcPr>
            <w:tcW w:w="890" w:type="pct"/>
            <w:gridSpan w:val="2"/>
            <w:tcBorders>
              <w:top w:val="nil"/>
              <w:left w:val="single" w:sz="4" w:space="0" w:color="auto"/>
              <w:bottom w:val="nil"/>
              <w:right w:val="single" w:sz="12"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6.0 – 20.0</w:t>
            </w:r>
          </w:p>
        </w:tc>
        <w:tc>
          <w:tcPr>
            <w:tcW w:w="582" w:type="pct"/>
            <w:vMerge w:val="restart"/>
            <w:tcBorders>
              <w:top w:val="nil"/>
              <w:left w:val="single" w:sz="12" w:space="0" w:color="auto"/>
            </w:tcBorders>
            <w:vAlign w:val="center"/>
          </w:tcPr>
          <w:p w:rsidR="004B07CF"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Z=</w:t>
            </w:r>
          </w:p>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3.254</w:t>
            </w:r>
            <w:r w:rsidRPr="002C5EE0">
              <w:rPr>
                <w:rFonts w:ascii="Times New Roman" w:hAnsi="Times New Roman" w:cs="Times New Roman"/>
                <w:sz w:val="20"/>
                <w:szCs w:val="20"/>
                <w:vertAlign w:val="superscript"/>
              </w:rPr>
              <w:t>*</w:t>
            </w:r>
          </w:p>
        </w:tc>
        <w:tc>
          <w:tcPr>
            <w:tcW w:w="582" w:type="pct"/>
            <w:vMerge w:val="restart"/>
            <w:tcBorders>
              <w:top w:val="nil"/>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0.001</w:t>
            </w:r>
            <w:r w:rsidRPr="002C5EE0">
              <w:rPr>
                <w:rFonts w:ascii="Times New Roman" w:hAnsi="Times New Roman" w:cs="Times New Roman"/>
                <w:sz w:val="20"/>
                <w:szCs w:val="20"/>
                <w:vertAlign w:val="superscript"/>
              </w:rPr>
              <w:t>*</w:t>
            </w:r>
          </w:p>
        </w:tc>
      </w:tr>
      <w:tr w:rsidR="00523D36" w:rsidRPr="002C5EE0" w:rsidTr="002C5EE0">
        <w:trPr>
          <w:jc w:val="center"/>
        </w:trPr>
        <w:tc>
          <w:tcPr>
            <w:tcW w:w="2055" w:type="pct"/>
            <w:tcBorders>
              <w:top w:val="nil"/>
              <w:bottom w:val="nil"/>
              <w:right w:val="single" w:sz="12"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Mean ± SD.</w:t>
            </w:r>
          </w:p>
        </w:tc>
        <w:tc>
          <w:tcPr>
            <w:tcW w:w="890" w:type="pct"/>
            <w:gridSpan w:val="2"/>
            <w:tcBorders>
              <w:top w:val="nil"/>
              <w:left w:val="single" w:sz="12" w:space="0" w:color="auto"/>
              <w:bottom w:val="nil"/>
              <w:right w:val="single" w:sz="4"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13.58 ± 5.03</w:t>
            </w:r>
          </w:p>
        </w:tc>
        <w:tc>
          <w:tcPr>
            <w:tcW w:w="890" w:type="pct"/>
            <w:gridSpan w:val="2"/>
            <w:tcBorders>
              <w:top w:val="nil"/>
              <w:left w:val="single" w:sz="4" w:space="0" w:color="auto"/>
              <w:bottom w:val="nil"/>
              <w:right w:val="single" w:sz="12"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10.54 ± 3.46</w:t>
            </w:r>
          </w:p>
        </w:tc>
        <w:tc>
          <w:tcPr>
            <w:tcW w:w="582" w:type="pct"/>
            <w:vMerge/>
            <w:tcBorders>
              <w:left w:val="single" w:sz="12"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p>
        </w:tc>
        <w:tc>
          <w:tcPr>
            <w:tcW w:w="582" w:type="pct"/>
            <w:vMerge/>
            <w:vAlign w:val="center"/>
          </w:tcPr>
          <w:p w:rsidR="00523D36" w:rsidRPr="002C5EE0" w:rsidRDefault="00523D36" w:rsidP="002C5EE0">
            <w:pPr>
              <w:bidi w:val="0"/>
              <w:snapToGrid w:val="0"/>
              <w:jc w:val="both"/>
              <w:rPr>
                <w:rFonts w:ascii="Times New Roman" w:hAnsi="Times New Roman" w:cs="Times New Roman"/>
                <w:sz w:val="20"/>
                <w:szCs w:val="20"/>
              </w:rPr>
            </w:pPr>
          </w:p>
        </w:tc>
      </w:tr>
      <w:tr w:rsidR="00523D36" w:rsidRPr="002C5EE0" w:rsidTr="002C5EE0">
        <w:trPr>
          <w:jc w:val="center"/>
        </w:trPr>
        <w:tc>
          <w:tcPr>
            <w:tcW w:w="2055" w:type="pct"/>
            <w:tcBorders>
              <w:top w:val="nil"/>
              <w:bottom w:val="thickThinSmallGap" w:sz="18" w:space="0" w:color="auto"/>
              <w:right w:val="single" w:sz="12"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Median</w:t>
            </w:r>
          </w:p>
        </w:tc>
        <w:tc>
          <w:tcPr>
            <w:tcW w:w="890" w:type="pct"/>
            <w:gridSpan w:val="2"/>
            <w:tcBorders>
              <w:top w:val="nil"/>
              <w:left w:val="single" w:sz="12" w:space="0" w:color="auto"/>
              <w:bottom w:val="thickThinSmallGap" w:sz="18" w:space="0" w:color="auto"/>
              <w:right w:val="single" w:sz="4"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12.50</w:t>
            </w:r>
          </w:p>
        </w:tc>
        <w:tc>
          <w:tcPr>
            <w:tcW w:w="890" w:type="pct"/>
            <w:gridSpan w:val="2"/>
            <w:tcBorders>
              <w:top w:val="nil"/>
              <w:left w:val="single" w:sz="4" w:space="0" w:color="auto"/>
              <w:bottom w:val="thickThinSmallGap" w:sz="18" w:space="0" w:color="auto"/>
              <w:right w:val="single" w:sz="12"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10.0</w:t>
            </w:r>
          </w:p>
        </w:tc>
        <w:tc>
          <w:tcPr>
            <w:tcW w:w="582" w:type="pct"/>
            <w:vMerge/>
            <w:tcBorders>
              <w:left w:val="single" w:sz="12" w:space="0" w:color="auto"/>
              <w:bottom w:val="thickThinSmallGap" w:sz="18"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p>
        </w:tc>
        <w:tc>
          <w:tcPr>
            <w:tcW w:w="582" w:type="pct"/>
            <w:vMerge/>
            <w:tcBorders>
              <w:bottom w:val="thickThinSmallGap" w:sz="18"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p>
        </w:tc>
      </w:tr>
    </w:tbl>
    <w:p w:rsidR="00C00E76" w:rsidRDefault="00C00E76" w:rsidP="002C5EE0">
      <w:pPr>
        <w:bidi w:val="0"/>
        <w:snapToGrid w:val="0"/>
        <w:spacing w:after="0" w:line="240" w:lineRule="auto"/>
        <w:jc w:val="center"/>
        <w:rPr>
          <w:rFonts w:ascii="Times New Roman" w:hAnsi="Times New Roman" w:cs="Times New Roman" w:hint="eastAsia"/>
          <w:sz w:val="20"/>
          <w:szCs w:val="20"/>
          <w:lang w:eastAsia="zh-CN" w:bidi="ar-EG"/>
        </w:rPr>
      </w:pPr>
    </w:p>
    <w:p w:rsidR="0082106D" w:rsidRPr="002C5EE0" w:rsidRDefault="0082106D" w:rsidP="00C00E76">
      <w:pPr>
        <w:bidi w:val="0"/>
        <w:snapToGrid w:val="0"/>
        <w:spacing w:after="0" w:line="240" w:lineRule="auto"/>
        <w:jc w:val="center"/>
        <w:rPr>
          <w:rFonts w:ascii="Times New Roman" w:hAnsi="Times New Roman" w:cs="Times New Roman"/>
          <w:sz w:val="20"/>
          <w:szCs w:val="20"/>
          <w:lang w:bidi="ar-EG"/>
        </w:rPr>
      </w:pPr>
      <w:r w:rsidRPr="002C5EE0">
        <w:rPr>
          <w:rFonts w:ascii="Times New Roman" w:hAnsi="Times New Roman" w:cs="Times New Roman"/>
          <w:noProof/>
          <w:sz w:val="20"/>
          <w:szCs w:val="20"/>
          <w:lang w:eastAsia="zh-CN"/>
        </w:rPr>
        <w:lastRenderedPageBreak/>
        <w:drawing>
          <wp:inline distT="0" distB="0" distL="0" distR="0">
            <wp:extent cx="3932748" cy="2512612"/>
            <wp:effectExtent l="19050" t="0" r="0" b="0"/>
            <wp:docPr id="103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3"/>
                    <pic:cNvPicPr/>
                  </pic:nvPicPr>
                  <pic:blipFill>
                    <a:blip r:embed="rId19" cstate="print"/>
                    <a:srcRect/>
                    <a:stretch/>
                  </pic:blipFill>
                  <pic:spPr>
                    <a:xfrm>
                      <a:off x="0" y="0"/>
                      <a:ext cx="3935400" cy="2514306"/>
                    </a:xfrm>
                    <a:prstGeom prst="rect">
                      <a:avLst/>
                    </a:prstGeom>
                  </pic:spPr>
                </pic:pic>
              </a:graphicData>
            </a:graphic>
          </wp:inline>
        </w:drawing>
      </w:r>
    </w:p>
    <w:p w:rsidR="0082106D" w:rsidRPr="002C5EE0" w:rsidRDefault="0082106D" w:rsidP="002C5EE0">
      <w:pPr>
        <w:bidi w:val="0"/>
        <w:snapToGrid w:val="0"/>
        <w:spacing w:after="0" w:line="240" w:lineRule="auto"/>
        <w:jc w:val="center"/>
        <w:rPr>
          <w:rFonts w:ascii="Times New Roman" w:hAnsi="Times New Roman" w:cs="Times New Roman"/>
          <w:b/>
          <w:bCs/>
          <w:sz w:val="20"/>
          <w:szCs w:val="20"/>
        </w:rPr>
      </w:pPr>
      <w:r w:rsidRPr="002C5EE0">
        <w:rPr>
          <w:rFonts w:ascii="Times New Roman" w:hAnsi="Times New Roman" w:cs="Times New Roman"/>
          <w:b/>
          <w:bCs/>
          <w:sz w:val="20"/>
          <w:szCs w:val="20"/>
        </w:rPr>
        <w:t>Figure (1): Comparison between the two studied groups according to Age (years)</w:t>
      </w:r>
    </w:p>
    <w:p w:rsidR="0082106D" w:rsidRPr="002C5EE0" w:rsidRDefault="0082106D" w:rsidP="002C5EE0">
      <w:pPr>
        <w:bidi w:val="0"/>
        <w:snapToGrid w:val="0"/>
        <w:spacing w:after="0" w:line="240" w:lineRule="auto"/>
        <w:jc w:val="both"/>
        <w:rPr>
          <w:rFonts w:ascii="Times New Roman" w:hAnsi="Times New Roman" w:cs="Times New Roman"/>
          <w:b/>
          <w:bCs/>
          <w:sz w:val="20"/>
          <w:szCs w:val="20"/>
        </w:rPr>
      </w:pPr>
    </w:p>
    <w:p w:rsidR="0082106D" w:rsidRPr="002C5EE0" w:rsidRDefault="0082106D" w:rsidP="002C5EE0">
      <w:pPr>
        <w:bidi w:val="0"/>
        <w:snapToGrid w:val="0"/>
        <w:spacing w:after="0" w:line="240" w:lineRule="auto"/>
        <w:jc w:val="center"/>
        <w:rPr>
          <w:rFonts w:ascii="Times New Roman" w:hAnsi="Times New Roman" w:cs="Times New Roman"/>
          <w:sz w:val="20"/>
          <w:szCs w:val="20"/>
        </w:rPr>
      </w:pPr>
      <w:r w:rsidRPr="002C5EE0">
        <w:rPr>
          <w:rFonts w:ascii="Times New Roman" w:hAnsi="Times New Roman" w:cs="Times New Roman"/>
          <w:noProof/>
          <w:sz w:val="20"/>
          <w:szCs w:val="20"/>
          <w:lang w:eastAsia="zh-CN"/>
        </w:rPr>
        <w:drawing>
          <wp:inline distT="0" distB="0" distL="0" distR="0">
            <wp:extent cx="4107677" cy="2296169"/>
            <wp:effectExtent l="19050" t="0" r="7123" b="0"/>
            <wp:docPr id="103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4"/>
                    <pic:cNvPicPr/>
                  </pic:nvPicPr>
                  <pic:blipFill>
                    <a:blip r:embed="rId20" cstate="print"/>
                    <a:srcRect/>
                    <a:stretch/>
                  </pic:blipFill>
                  <pic:spPr>
                    <a:xfrm>
                      <a:off x="0" y="0"/>
                      <a:ext cx="4110024" cy="2297481"/>
                    </a:xfrm>
                    <a:prstGeom prst="rect">
                      <a:avLst/>
                    </a:prstGeom>
                  </pic:spPr>
                </pic:pic>
              </a:graphicData>
            </a:graphic>
          </wp:inline>
        </w:drawing>
      </w:r>
    </w:p>
    <w:p w:rsidR="0082106D" w:rsidRPr="002C5EE0" w:rsidRDefault="0082106D" w:rsidP="002C5EE0">
      <w:pPr>
        <w:bidi w:val="0"/>
        <w:snapToGrid w:val="0"/>
        <w:spacing w:after="0" w:line="240" w:lineRule="auto"/>
        <w:jc w:val="center"/>
        <w:rPr>
          <w:rFonts w:ascii="Times New Roman" w:hAnsi="Times New Roman" w:cs="Times New Roman"/>
          <w:b/>
          <w:bCs/>
          <w:sz w:val="20"/>
          <w:szCs w:val="20"/>
        </w:rPr>
      </w:pPr>
      <w:r w:rsidRPr="002C5EE0">
        <w:rPr>
          <w:rFonts w:ascii="Times New Roman" w:hAnsi="Times New Roman" w:cs="Times New Roman"/>
          <w:b/>
          <w:bCs/>
          <w:sz w:val="20"/>
          <w:szCs w:val="20"/>
        </w:rPr>
        <w:t>Figure (2): Comparison between the two studied groups according to BMI (kg/m</w:t>
      </w:r>
      <w:r w:rsidRPr="002C5EE0">
        <w:rPr>
          <w:rFonts w:ascii="Times New Roman" w:hAnsi="Times New Roman" w:cs="Times New Roman"/>
          <w:b/>
          <w:bCs/>
          <w:sz w:val="20"/>
          <w:szCs w:val="20"/>
          <w:vertAlign w:val="superscript"/>
        </w:rPr>
        <w:t>2</w:t>
      </w:r>
      <w:r w:rsidRPr="002C5EE0">
        <w:rPr>
          <w:rFonts w:ascii="Times New Roman" w:hAnsi="Times New Roman" w:cs="Times New Roman"/>
          <w:b/>
          <w:bCs/>
          <w:sz w:val="20"/>
          <w:szCs w:val="20"/>
        </w:rPr>
        <w:t>)</w:t>
      </w:r>
    </w:p>
    <w:p w:rsidR="0082106D" w:rsidRPr="002C5EE0" w:rsidRDefault="0082106D" w:rsidP="002C5EE0">
      <w:pPr>
        <w:bidi w:val="0"/>
        <w:snapToGrid w:val="0"/>
        <w:spacing w:after="0" w:line="240" w:lineRule="auto"/>
        <w:ind w:firstLine="425"/>
        <w:jc w:val="both"/>
        <w:rPr>
          <w:rFonts w:ascii="Times New Roman" w:hAnsi="Times New Roman" w:cs="Times New Roman"/>
          <w:color w:val="000000"/>
          <w:sz w:val="20"/>
          <w:szCs w:val="20"/>
        </w:rPr>
      </w:pPr>
    </w:p>
    <w:p w:rsidR="0082106D" w:rsidRPr="002C5EE0" w:rsidRDefault="0082106D" w:rsidP="002C5EE0">
      <w:pPr>
        <w:tabs>
          <w:tab w:val="left" w:pos="3315"/>
        </w:tabs>
        <w:bidi w:val="0"/>
        <w:snapToGrid w:val="0"/>
        <w:spacing w:after="0" w:line="240" w:lineRule="auto"/>
        <w:jc w:val="center"/>
        <w:rPr>
          <w:rFonts w:ascii="Times New Roman" w:eastAsia="SimSun" w:hAnsi="Times New Roman" w:cs="Times New Roman"/>
          <w:color w:val="000000"/>
          <w:sz w:val="20"/>
          <w:szCs w:val="20"/>
          <w:lang w:eastAsia="zh-CN"/>
        </w:rPr>
      </w:pPr>
      <w:r w:rsidRPr="002C5EE0">
        <w:rPr>
          <w:rFonts w:ascii="Times New Roman" w:hAnsi="Times New Roman" w:cs="Times New Roman"/>
          <w:noProof/>
          <w:sz w:val="20"/>
          <w:szCs w:val="20"/>
          <w:lang w:eastAsia="zh-CN"/>
        </w:rPr>
        <w:drawing>
          <wp:inline distT="0" distB="0" distL="0" distR="0">
            <wp:extent cx="3924797" cy="2472856"/>
            <wp:effectExtent l="19050" t="0" r="0" b="0"/>
            <wp:docPr id="1037"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5"/>
                    <pic:cNvPicPr/>
                  </pic:nvPicPr>
                  <pic:blipFill>
                    <a:blip r:embed="rId21" cstate="print"/>
                    <a:srcRect/>
                    <a:stretch/>
                  </pic:blipFill>
                  <pic:spPr>
                    <a:xfrm>
                      <a:off x="0" y="0"/>
                      <a:ext cx="3930648" cy="2476543"/>
                    </a:xfrm>
                    <a:prstGeom prst="rect">
                      <a:avLst/>
                    </a:prstGeom>
                  </pic:spPr>
                </pic:pic>
              </a:graphicData>
            </a:graphic>
          </wp:inline>
        </w:drawing>
      </w:r>
    </w:p>
    <w:p w:rsidR="0082106D" w:rsidRDefault="0082106D" w:rsidP="002C5EE0">
      <w:pPr>
        <w:bidi w:val="0"/>
        <w:snapToGrid w:val="0"/>
        <w:spacing w:after="0" w:line="240" w:lineRule="auto"/>
        <w:jc w:val="center"/>
        <w:rPr>
          <w:rFonts w:ascii="Times New Roman" w:hAnsi="Times New Roman" w:cs="Times New Roman"/>
          <w:b/>
          <w:bCs/>
          <w:sz w:val="20"/>
          <w:szCs w:val="20"/>
          <w:lang w:eastAsia="zh-CN"/>
        </w:rPr>
      </w:pPr>
      <w:r w:rsidRPr="002C5EE0">
        <w:rPr>
          <w:rFonts w:ascii="Times New Roman" w:eastAsia="SimSun" w:hAnsi="Times New Roman" w:cs="Times New Roman"/>
          <w:b/>
          <w:bCs/>
          <w:sz w:val="20"/>
          <w:szCs w:val="20"/>
        </w:rPr>
        <w:t>Figure (3): Comparison between the two studied groups according to Infertility</w:t>
      </w:r>
    </w:p>
    <w:p w:rsidR="002C5EE0" w:rsidRPr="002C5EE0" w:rsidRDefault="002C5EE0" w:rsidP="002C5EE0">
      <w:pPr>
        <w:bidi w:val="0"/>
        <w:snapToGrid w:val="0"/>
        <w:spacing w:after="0" w:line="240" w:lineRule="auto"/>
        <w:jc w:val="center"/>
        <w:rPr>
          <w:rFonts w:ascii="Times New Roman" w:hAnsi="Times New Roman" w:cs="Times New Roman"/>
          <w:b/>
          <w:bCs/>
          <w:sz w:val="20"/>
          <w:szCs w:val="20"/>
          <w:lang w:eastAsia="zh-CN"/>
        </w:rPr>
      </w:pPr>
    </w:p>
    <w:p w:rsidR="0082106D" w:rsidRPr="002C5EE0" w:rsidRDefault="0082106D" w:rsidP="002C5EE0">
      <w:pPr>
        <w:tabs>
          <w:tab w:val="left" w:pos="3315"/>
        </w:tabs>
        <w:bidi w:val="0"/>
        <w:snapToGrid w:val="0"/>
        <w:spacing w:after="0" w:line="240" w:lineRule="auto"/>
        <w:jc w:val="center"/>
        <w:rPr>
          <w:rFonts w:ascii="Times New Roman" w:eastAsia="SimSun" w:hAnsi="Times New Roman" w:cs="Times New Roman"/>
          <w:color w:val="000000"/>
          <w:sz w:val="20"/>
          <w:szCs w:val="20"/>
          <w:lang w:eastAsia="zh-CN"/>
        </w:rPr>
      </w:pPr>
      <w:r w:rsidRPr="002C5EE0">
        <w:rPr>
          <w:rFonts w:ascii="Times New Roman" w:eastAsia="SimSun" w:hAnsi="Times New Roman" w:cs="Times New Roman"/>
          <w:noProof/>
          <w:color w:val="000000"/>
          <w:sz w:val="20"/>
          <w:szCs w:val="20"/>
          <w:lang w:eastAsia="zh-CN"/>
        </w:rPr>
        <w:lastRenderedPageBreak/>
        <w:drawing>
          <wp:inline distT="0" distB="0" distL="0" distR="0">
            <wp:extent cx="3559037" cy="2274073"/>
            <wp:effectExtent l="19050" t="0" r="3313" b="0"/>
            <wp:docPr id="1038"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6"/>
                    <pic:cNvPicPr/>
                  </pic:nvPicPr>
                  <pic:blipFill>
                    <a:blip r:embed="rId22" cstate="print"/>
                    <a:srcRect/>
                    <a:stretch/>
                  </pic:blipFill>
                  <pic:spPr>
                    <a:xfrm>
                      <a:off x="0" y="0"/>
                      <a:ext cx="3557350" cy="2272995"/>
                    </a:xfrm>
                    <a:prstGeom prst="rect">
                      <a:avLst/>
                    </a:prstGeom>
                  </pic:spPr>
                </pic:pic>
              </a:graphicData>
            </a:graphic>
          </wp:inline>
        </w:drawing>
      </w:r>
    </w:p>
    <w:p w:rsidR="0082106D" w:rsidRPr="002C5EE0" w:rsidRDefault="00042C44" w:rsidP="002C5EE0">
      <w:pPr>
        <w:bidi w:val="0"/>
        <w:snapToGrid w:val="0"/>
        <w:spacing w:after="0" w:line="240" w:lineRule="auto"/>
        <w:jc w:val="center"/>
        <w:rPr>
          <w:rFonts w:ascii="Times New Roman" w:hAnsi="Times New Roman" w:cs="Times New Roman"/>
          <w:sz w:val="20"/>
          <w:szCs w:val="20"/>
        </w:rPr>
      </w:pPr>
      <w:r w:rsidRPr="002C5EE0">
        <w:rPr>
          <w:rFonts w:ascii="Times New Roman" w:eastAsia="SimSun" w:hAnsi="Times New Roman" w:cs="Times New Roman"/>
          <w:b/>
          <w:bCs/>
          <w:sz w:val="20"/>
          <w:szCs w:val="20"/>
        </w:rPr>
        <w:t xml:space="preserve">Figure (4): </w:t>
      </w:r>
      <w:r w:rsidR="0082106D" w:rsidRPr="002C5EE0">
        <w:rPr>
          <w:rFonts w:ascii="Times New Roman" w:eastAsia="SimSun" w:hAnsi="Times New Roman" w:cs="Times New Roman"/>
          <w:b/>
          <w:bCs/>
          <w:sz w:val="20"/>
          <w:szCs w:val="20"/>
        </w:rPr>
        <w:t>Comparison between the two studied groups according to Duration of Infertility (months)</w:t>
      </w:r>
    </w:p>
    <w:p w:rsidR="00F06B9E" w:rsidRPr="002C5EE0" w:rsidRDefault="00F06B9E" w:rsidP="002C5EE0">
      <w:pPr>
        <w:bidi w:val="0"/>
        <w:snapToGrid w:val="0"/>
        <w:spacing w:after="0" w:line="240" w:lineRule="auto"/>
        <w:jc w:val="center"/>
        <w:rPr>
          <w:rFonts w:ascii="Times New Roman" w:hAnsi="Times New Roman" w:cs="Times New Roman"/>
          <w:b/>
          <w:bCs/>
          <w:sz w:val="20"/>
          <w:szCs w:val="20"/>
          <w:lang w:bidi="ar-EG"/>
        </w:rPr>
      </w:pPr>
    </w:p>
    <w:p w:rsidR="00523D36" w:rsidRPr="002C5EE0" w:rsidRDefault="0082106D" w:rsidP="002C5EE0">
      <w:pPr>
        <w:bidi w:val="0"/>
        <w:snapToGrid w:val="0"/>
        <w:spacing w:after="0" w:line="240" w:lineRule="auto"/>
        <w:jc w:val="center"/>
        <w:rPr>
          <w:rFonts w:ascii="Times New Roman" w:hAnsi="Times New Roman" w:cs="Times New Roman"/>
          <w:b/>
          <w:bCs/>
          <w:sz w:val="20"/>
          <w:szCs w:val="20"/>
        </w:rPr>
      </w:pPr>
      <w:r w:rsidRPr="002C5EE0">
        <w:rPr>
          <w:rFonts w:ascii="Times New Roman" w:hAnsi="Times New Roman" w:cs="Times New Roman"/>
          <w:b/>
          <w:bCs/>
          <w:sz w:val="20"/>
          <w:szCs w:val="20"/>
        </w:rPr>
        <w:t xml:space="preserve">Table (3): </w:t>
      </w:r>
      <w:r w:rsidR="00523D36" w:rsidRPr="002C5EE0">
        <w:rPr>
          <w:rFonts w:ascii="Times New Roman" w:hAnsi="Times New Roman" w:cs="Times New Roman"/>
          <w:b/>
          <w:bCs/>
          <w:sz w:val="20"/>
          <w:szCs w:val="20"/>
        </w:rPr>
        <w:t>Comparison between the two studied groups according to ovulation</w:t>
      </w:r>
    </w:p>
    <w:tbl>
      <w:tblPr>
        <w:tblStyle w:val="TableGrid"/>
        <w:tblW w:w="5000" w:type="pct"/>
        <w:jc w:val="center"/>
        <w:tblBorders>
          <w:top w:val="thinThickSmallGap" w:sz="18" w:space="0" w:color="auto"/>
          <w:left w:val="thinThickSmallGap" w:sz="18" w:space="0" w:color="auto"/>
          <w:bottom w:val="thickThinSmallGap" w:sz="18" w:space="0" w:color="auto"/>
          <w:right w:val="thickThinSmallGap" w:sz="18" w:space="0" w:color="auto"/>
          <w:insideH w:val="single" w:sz="4" w:space="0" w:color="000000"/>
          <w:insideV w:val="single" w:sz="4" w:space="0" w:color="000000"/>
        </w:tblBorders>
        <w:tblCellMar>
          <w:left w:w="57" w:type="dxa"/>
          <w:right w:w="57" w:type="dxa"/>
        </w:tblCellMar>
        <w:tblLook w:val="04A0"/>
      </w:tblPr>
      <w:tblGrid>
        <w:gridCol w:w="2361"/>
        <w:gridCol w:w="1325"/>
        <w:gridCol w:w="1505"/>
        <w:gridCol w:w="1497"/>
        <w:gridCol w:w="1698"/>
        <w:gridCol w:w="1090"/>
      </w:tblGrid>
      <w:tr w:rsidR="00523D36" w:rsidRPr="002C5EE0" w:rsidTr="002C5EE0">
        <w:trPr>
          <w:cantSplit/>
          <w:jc w:val="center"/>
        </w:trPr>
        <w:tc>
          <w:tcPr>
            <w:tcW w:w="1246" w:type="pct"/>
            <w:vMerge w:val="restart"/>
            <w:tcBorders>
              <w:top w:val="thinThickSmallGap" w:sz="18" w:space="0" w:color="auto"/>
              <w:left w:val="thinThickSmallGap" w:sz="18" w:space="0" w:color="auto"/>
              <w:right w:val="single" w:sz="12" w:space="0" w:color="auto"/>
            </w:tcBorders>
            <w:vAlign w:val="center"/>
          </w:tcPr>
          <w:p w:rsidR="00523D36" w:rsidRPr="002C5EE0" w:rsidRDefault="00523D36" w:rsidP="002C5EE0">
            <w:pPr>
              <w:bidi w:val="0"/>
              <w:snapToGrid w:val="0"/>
              <w:jc w:val="both"/>
              <w:rPr>
                <w:rFonts w:ascii="Times New Roman" w:hAnsi="Times New Roman" w:cs="Times New Roman"/>
                <w:b/>
                <w:bCs/>
                <w:sz w:val="20"/>
                <w:szCs w:val="20"/>
              </w:rPr>
            </w:pPr>
          </w:p>
        </w:tc>
        <w:tc>
          <w:tcPr>
            <w:tcW w:w="1493" w:type="pct"/>
            <w:gridSpan w:val="2"/>
            <w:tcBorders>
              <w:top w:val="thinThickSmallGap" w:sz="18" w:space="0" w:color="auto"/>
              <w:left w:val="single" w:sz="12" w:space="0" w:color="auto"/>
              <w:bottom w:val="single" w:sz="4" w:space="0" w:color="auto"/>
            </w:tcBorders>
            <w:vAlign w:val="center"/>
          </w:tcPr>
          <w:p w:rsidR="00523D36" w:rsidRPr="002C5EE0" w:rsidRDefault="00523D36" w:rsidP="002C5EE0">
            <w:pPr>
              <w:bidi w:val="0"/>
              <w:snapToGrid w:val="0"/>
              <w:jc w:val="both"/>
              <w:rPr>
                <w:rFonts w:ascii="Times New Roman" w:hAnsi="Times New Roman" w:cs="Times New Roman"/>
                <w:b/>
                <w:bCs/>
                <w:sz w:val="20"/>
                <w:szCs w:val="20"/>
              </w:rPr>
            </w:pPr>
            <w:proofErr w:type="spellStart"/>
            <w:r w:rsidRPr="002C5EE0">
              <w:rPr>
                <w:rFonts w:ascii="Times New Roman" w:hAnsi="Times New Roman" w:cs="Times New Roman"/>
                <w:b/>
                <w:bCs/>
                <w:sz w:val="20"/>
                <w:szCs w:val="20"/>
              </w:rPr>
              <w:t>Letrozole</w:t>
            </w:r>
            <w:proofErr w:type="spellEnd"/>
            <w:r w:rsidR="002C5EE0" w:rsidRPr="002C5EE0">
              <w:rPr>
                <w:rFonts w:ascii="Times New Roman" w:hAnsi="Times New Roman" w:cs="Times New Roman" w:hint="eastAsia"/>
                <w:b/>
                <w:bCs/>
                <w:sz w:val="20"/>
                <w:szCs w:val="20"/>
                <w:lang w:eastAsia="zh-CN"/>
              </w:rPr>
              <w:t xml:space="preserve"> </w:t>
            </w:r>
            <w:r w:rsidRPr="002C5EE0">
              <w:rPr>
                <w:rFonts w:ascii="Times New Roman" w:hAnsi="Times New Roman" w:cs="Times New Roman"/>
                <w:b/>
                <w:bCs/>
                <w:sz w:val="20"/>
                <w:szCs w:val="20"/>
              </w:rPr>
              <w:t>(n = 50)</w:t>
            </w:r>
          </w:p>
        </w:tc>
        <w:tc>
          <w:tcPr>
            <w:tcW w:w="1686" w:type="pct"/>
            <w:gridSpan w:val="2"/>
            <w:tcBorders>
              <w:top w:val="thinThickSmallGap" w:sz="18" w:space="0" w:color="auto"/>
              <w:bottom w:val="single" w:sz="4" w:space="0" w:color="auto"/>
              <w:right w:val="single" w:sz="12" w:space="0" w:color="auto"/>
            </w:tcBorders>
            <w:vAlign w:val="center"/>
          </w:tcPr>
          <w:p w:rsidR="00523D36" w:rsidRPr="002C5EE0" w:rsidRDefault="00523D36" w:rsidP="002C5EE0">
            <w:pPr>
              <w:bidi w:val="0"/>
              <w:snapToGrid w:val="0"/>
              <w:jc w:val="both"/>
              <w:rPr>
                <w:rFonts w:ascii="Times New Roman" w:hAnsi="Times New Roman" w:cs="Times New Roman"/>
                <w:b/>
                <w:bCs/>
                <w:sz w:val="20"/>
                <w:szCs w:val="20"/>
              </w:rPr>
            </w:pPr>
            <w:proofErr w:type="spellStart"/>
            <w:r w:rsidRPr="002C5EE0">
              <w:rPr>
                <w:rFonts w:ascii="Times New Roman" w:hAnsi="Times New Roman" w:cs="Times New Roman"/>
                <w:b/>
                <w:bCs/>
                <w:sz w:val="20"/>
                <w:szCs w:val="20"/>
              </w:rPr>
              <w:t>Tamoxafine</w:t>
            </w:r>
            <w:proofErr w:type="spellEnd"/>
            <w:r w:rsidR="002C5EE0" w:rsidRPr="002C5EE0">
              <w:rPr>
                <w:rFonts w:ascii="Times New Roman" w:hAnsi="Times New Roman" w:cs="Times New Roman" w:hint="eastAsia"/>
                <w:b/>
                <w:bCs/>
                <w:sz w:val="20"/>
                <w:szCs w:val="20"/>
                <w:lang w:eastAsia="zh-CN"/>
              </w:rPr>
              <w:t xml:space="preserve"> </w:t>
            </w:r>
            <w:r w:rsidRPr="002C5EE0">
              <w:rPr>
                <w:rFonts w:ascii="Times New Roman" w:hAnsi="Times New Roman" w:cs="Times New Roman"/>
                <w:b/>
                <w:bCs/>
                <w:sz w:val="20"/>
                <w:szCs w:val="20"/>
              </w:rPr>
              <w:t>(n = 50)</w:t>
            </w:r>
          </w:p>
        </w:tc>
        <w:tc>
          <w:tcPr>
            <w:tcW w:w="575" w:type="pct"/>
            <w:vMerge w:val="restart"/>
            <w:tcBorders>
              <w:top w:val="thinThickSmallGap" w:sz="18" w:space="0" w:color="auto"/>
              <w:right w:val="thickThinSmallGap" w:sz="18" w:space="0" w:color="auto"/>
            </w:tcBorders>
            <w:vAlign w:val="center"/>
          </w:tcPr>
          <w:p w:rsidR="00523D36" w:rsidRPr="002C5EE0" w:rsidRDefault="00523D36" w:rsidP="002C5EE0">
            <w:pPr>
              <w:bidi w:val="0"/>
              <w:snapToGrid w:val="0"/>
              <w:jc w:val="both"/>
              <w:rPr>
                <w:rFonts w:ascii="Times New Roman" w:hAnsi="Times New Roman" w:cs="Times New Roman"/>
                <w:b/>
                <w:bCs/>
                <w:sz w:val="20"/>
                <w:szCs w:val="20"/>
              </w:rPr>
            </w:pPr>
            <w:r w:rsidRPr="002C5EE0">
              <w:rPr>
                <w:rFonts w:ascii="Times New Roman" w:hAnsi="Times New Roman" w:cs="Times New Roman"/>
                <w:b/>
                <w:bCs/>
                <w:sz w:val="20"/>
                <w:szCs w:val="20"/>
              </w:rPr>
              <w:t>P</w:t>
            </w:r>
          </w:p>
        </w:tc>
      </w:tr>
      <w:tr w:rsidR="00523D36" w:rsidRPr="002C5EE0" w:rsidTr="002C5EE0">
        <w:trPr>
          <w:cantSplit/>
          <w:jc w:val="center"/>
        </w:trPr>
        <w:tc>
          <w:tcPr>
            <w:tcW w:w="1246" w:type="pct"/>
            <w:vMerge/>
            <w:tcBorders>
              <w:left w:val="thinThickSmallGap" w:sz="18" w:space="0" w:color="auto"/>
              <w:bottom w:val="single" w:sz="12" w:space="0" w:color="auto"/>
              <w:right w:val="single" w:sz="12" w:space="0" w:color="auto"/>
            </w:tcBorders>
            <w:vAlign w:val="center"/>
          </w:tcPr>
          <w:p w:rsidR="00523D36" w:rsidRPr="002C5EE0" w:rsidRDefault="00523D36" w:rsidP="002C5EE0">
            <w:pPr>
              <w:bidi w:val="0"/>
              <w:snapToGrid w:val="0"/>
              <w:jc w:val="both"/>
              <w:rPr>
                <w:rFonts w:ascii="Times New Roman" w:hAnsi="Times New Roman" w:cs="Times New Roman"/>
                <w:b/>
                <w:bCs/>
                <w:sz w:val="20"/>
                <w:szCs w:val="20"/>
              </w:rPr>
            </w:pPr>
          </w:p>
        </w:tc>
        <w:tc>
          <w:tcPr>
            <w:tcW w:w="699" w:type="pct"/>
            <w:tcBorders>
              <w:top w:val="single" w:sz="4" w:space="0" w:color="auto"/>
              <w:left w:val="single" w:sz="12" w:space="0" w:color="auto"/>
              <w:bottom w:val="single" w:sz="12" w:space="0" w:color="auto"/>
              <w:right w:val="single" w:sz="4" w:space="0" w:color="auto"/>
            </w:tcBorders>
            <w:vAlign w:val="center"/>
          </w:tcPr>
          <w:p w:rsidR="00523D36" w:rsidRPr="002C5EE0" w:rsidRDefault="00523D36" w:rsidP="002C5EE0">
            <w:pPr>
              <w:bidi w:val="0"/>
              <w:snapToGrid w:val="0"/>
              <w:jc w:val="both"/>
              <w:rPr>
                <w:rFonts w:ascii="Times New Roman" w:hAnsi="Times New Roman" w:cs="Times New Roman"/>
                <w:b/>
                <w:bCs/>
                <w:sz w:val="20"/>
                <w:szCs w:val="20"/>
              </w:rPr>
            </w:pPr>
            <w:r w:rsidRPr="002C5EE0">
              <w:rPr>
                <w:rFonts w:ascii="Times New Roman" w:hAnsi="Times New Roman" w:cs="Times New Roman"/>
                <w:b/>
                <w:bCs/>
                <w:sz w:val="20"/>
                <w:szCs w:val="20"/>
              </w:rPr>
              <w:t>No.</w:t>
            </w:r>
          </w:p>
        </w:tc>
        <w:tc>
          <w:tcPr>
            <w:tcW w:w="794" w:type="pct"/>
            <w:tcBorders>
              <w:top w:val="single" w:sz="4" w:space="0" w:color="auto"/>
              <w:left w:val="single" w:sz="4" w:space="0" w:color="auto"/>
              <w:bottom w:val="single" w:sz="12" w:space="0" w:color="auto"/>
              <w:right w:val="single" w:sz="4" w:space="0" w:color="auto"/>
            </w:tcBorders>
            <w:vAlign w:val="center"/>
          </w:tcPr>
          <w:p w:rsidR="00523D36" w:rsidRPr="002C5EE0" w:rsidRDefault="00523D36" w:rsidP="002C5EE0">
            <w:pPr>
              <w:bidi w:val="0"/>
              <w:snapToGrid w:val="0"/>
              <w:jc w:val="both"/>
              <w:rPr>
                <w:rFonts w:ascii="Times New Roman" w:hAnsi="Times New Roman" w:cs="Times New Roman"/>
                <w:b/>
                <w:bCs/>
                <w:sz w:val="20"/>
                <w:szCs w:val="20"/>
              </w:rPr>
            </w:pPr>
            <w:r w:rsidRPr="002C5EE0">
              <w:rPr>
                <w:rFonts w:ascii="Times New Roman" w:hAnsi="Times New Roman" w:cs="Times New Roman"/>
                <w:b/>
                <w:bCs/>
                <w:sz w:val="20"/>
                <w:szCs w:val="20"/>
              </w:rPr>
              <w:t>%</w:t>
            </w:r>
          </w:p>
        </w:tc>
        <w:tc>
          <w:tcPr>
            <w:tcW w:w="790" w:type="pct"/>
            <w:tcBorders>
              <w:top w:val="single" w:sz="4" w:space="0" w:color="auto"/>
              <w:left w:val="single" w:sz="4" w:space="0" w:color="auto"/>
              <w:bottom w:val="single" w:sz="12" w:space="0" w:color="auto"/>
              <w:right w:val="single" w:sz="4" w:space="0" w:color="auto"/>
            </w:tcBorders>
            <w:vAlign w:val="center"/>
          </w:tcPr>
          <w:p w:rsidR="00523D36" w:rsidRPr="002C5EE0" w:rsidRDefault="00523D36" w:rsidP="002C5EE0">
            <w:pPr>
              <w:bidi w:val="0"/>
              <w:snapToGrid w:val="0"/>
              <w:jc w:val="both"/>
              <w:rPr>
                <w:rFonts w:ascii="Times New Roman" w:hAnsi="Times New Roman" w:cs="Times New Roman"/>
                <w:b/>
                <w:bCs/>
                <w:sz w:val="20"/>
                <w:szCs w:val="20"/>
              </w:rPr>
            </w:pPr>
            <w:r w:rsidRPr="002C5EE0">
              <w:rPr>
                <w:rFonts w:ascii="Times New Roman" w:hAnsi="Times New Roman" w:cs="Times New Roman"/>
                <w:b/>
                <w:bCs/>
                <w:sz w:val="20"/>
                <w:szCs w:val="20"/>
              </w:rPr>
              <w:t>No.</w:t>
            </w:r>
          </w:p>
        </w:tc>
        <w:tc>
          <w:tcPr>
            <w:tcW w:w="895" w:type="pct"/>
            <w:tcBorders>
              <w:top w:val="single" w:sz="4" w:space="0" w:color="auto"/>
              <w:left w:val="single" w:sz="4" w:space="0" w:color="auto"/>
              <w:bottom w:val="single" w:sz="12" w:space="0" w:color="auto"/>
              <w:right w:val="single" w:sz="12" w:space="0" w:color="auto"/>
            </w:tcBorders>
            <w:vAlign w:val="center"/>
          </w:tcPr>
          <w:p w:rsidR="00523D36" w:rsidRPr="002C5EE0" w:rsidRDefault="00523D36" w:rsidP="002C5EE0">
            <w:pPr>
              <w:bidi w:val="0"/>
              <w:snapToGrid w:val="0"/>
              <w:jc w:val="both"/>
              <w:rPr>
                <w:rFonts w:ascii="Times New Roman" w:hAnsi="Times New Roman" w:cs="Times New Roman"/>
                <w:b/>
                <w:bCs/>
                <w:sz w:val="20"/>
                <w:szCs w:val="20"/>
              </w:rPr>
            </w:pPr>
            <w:r w:rsidRPr="002C5EE0">
              <w:rPr>
                <w:rFonts w:ascii="Times New Roman" w:hAnsi="Times New Roman" w:cs="Times New Roman"/>
                <w:b/>
                <w:bCs/>
                <w:sz w:val="20"/>
                <w:szCs w:val="20"/>
              </w:rPr>
              <w:t>%</w:t>
            </w:r>
          </w:p>
        </w:tc>
        <w:tc>
          <w:tcPr>
            <w:tcW w:w="575" w:type="pct"/>
            <w:vMerge/>
            <w:tcBorders>
              <w:bottom w:val="single" w:sz="12" w:space="0" w:color="auto"/>
              <w:right w:val="thickThinSmallGap" w:sz="18" w:space="0" w:color="auto"/>
            </w:tcBorders>
            <w:vAlign w:val="center"/>
          </w:tcPr>
          <w:p w:rsidR="00523D36" w:rsidRPr="002C5EE0" w:rsidRDefault="00523D36" w:rsidP="002C5EE0">
            <w:pPr>
              <w:bidi w:val="0"/>
              <w:snapToGrid w:val="0"/>
              <w:jc w:val="both"/>
              <w:rPr>
                <w:rFonts w:ascii="Times New Roman" w:hAnsi="Times New Roman" w:cs="Times New Roman"/>
                <w:b/>
                <w:bCs/>
                <w:sz w:val="20"/>
                <w:szCs w:val="20"/>
              </w:rPr>
            </w:pPr>
          </w:p>
        </w:tc>
      </w:tr>
      <w:tr w:rsidR="00523D36" w:rsidRPr="002C5EE0" w:rsidTr="002C5EE0">
        <w:trPr>
          <w:cantSplit/>
          <w:jc w:val="center"/>
        </w:trPr>
        <w:tc>
          <w:tcPr>
            <w:tcW w:w="1246" w:type="pct"/>
            <w:tcBorders>
              <w:top w:val="single" w:sz="4" w:space="0" w:color="000000"/>
              <w:left w:val="thinThickSmallGap" w:sz="18" w:space="0" w:color="auto"/>
              <w:bottom w:val="nil"/>
              <w:right w:val="single" w:sz="12" w:space="0" w:color="auto"/>
            </w:tcBorders>
            <w:vAlign w:val="center"/>
          </w:tcPr>
          <w:p w:rsidR="00523D36" w:rsidRPr="002C5EE0" w:rsidRDefault="00523D36" w:rsidP="002C5EE0">
            <w:pPr>
              <w:bidi w:val="0"/>
              <w:snapToGrid w:val="0"/>
              <w:jc w:val="both"/>
              <w:rPr>
                <w:rFonts w:ascii="Times New Roman" w:hAnsi="Times New Roman" w:cs="Times New Roman"/>
                <w:b/>
                <w:bCs/>
                <w:sz w:val="20"/>
                <w:szCs w:val="20"/>
              </w:rPr>
            </w:pPr>
            <w:r w:rsidRPr="002C5EE0">
              <w:rPr>
                <w:rFonts w:ascii="Times New Roman" w:hAnsi="Times New Roman" w:cs="Times New Roman"/>
                <w:b/>
                <w:bCs/>
                <w:sz w:val="20"/>
                <w:szCs w:val="20"/>
              </w:rPr>
              <w:t>Ovulation rate</w:t>
            </w:r>
          </w:p>
        </w:tc>
        <w:tc>
          <w:tcPr>
            <w:tcW w:w="699" w:type="pct"/>
            <w:tcBorders>
              <w:top w:val="single" w:sz="12" w:space="0" w:color="auto"/>
              <w:left w:val="single" w:sz="12" w:space="0" w:color="auto"/>
              <w:bottom w:val="nil"/>
              <w:right w:val="single" w:sz="4" w:space="0" w:color="auto"/>
            </w:tcBorders>
            <w:vAlign w:val="center"/>
          </w:tcPr>
          <w:p w:rsidR="00523D36" w:rsidRPr="002C5EE0" w:rsidRDefault="00523D36" w:rsidP="002C5EE0">
            <w:pPr>
              <w:bidi w:val="0"/>
              <w:snapToGrid w:val="0"/>
              <w:jc w:val="both"/>
              <w:rPr>
                <w:rFonts w:ascii="Times New Roman" w:hAnsi="Times New Roman" w:cs="Times New Roman"/>
                <w:b/>
                <w:bCs/>
                <w:sz w:val="20"/>
                <w:szCs w:val="20"/>
              </w:rPr>
            </w:pPr>
          </w:p>
        </w:tc>
        <w:tc>
          <w:tcPr>
            <w:tcW w:w="794" w:type="pct"/>
            <w:tcBorders>
              <w:top w:val="single" w:sz="12" w:space="0" w:color="auto"/>
              <w:left w:val="single" w:sz="4" w:space="0" w:color="auto"/>
              <w:bottom w:val="nil"/>
              <w:right w:val="single" w:sz="4" w:space="0" w:color="auto"/>
            </w:tcBorders>
            <w:vAlign w:val="center"/>
          </w:tcPr>
          <w:p w:rsidR="00523D36" w:rsidRPr="002C5EE0" w:rsidRDefault="00523D36" w:rsidP="002C5EE0">
            <w:pPr>
              <w:bidi w:val="0"/>
              <w:snapToGrid w:val="0"/>
              <w:jc w:val="both"/>
              <w:rPr>
                <w:rFonts w:ascii="Times New Roman" w:hAnsi="Times New Roman" w:cs="Times New Roman"/>
                <w:b/>
                <w:bCs/>
                <w:sz w:val="20"/>
                <w:szCs w:val="20"/>
              </w:rPr>
            </w:pPr>
          </w:p>
        </w:tc>
        <w:tc>
          <w:tcPr>
            <w:tcW w:w="790" w:type="pct"/>
            <w:tcBorders>
              <w:top w:val="single" w:sz="12" w:space="0" w:color="auto"/>
              <w:left w:val="single" w:sz="4" w:space="0" w:color="auto"/>
              <w:bottom w:val="nil"/>
              <w:right w:val="single" w:sz="4" w:space="0" w:color="auto"/>
            </w:tcBorders>
            <w:vAlign w:val="center"/>
          </w:tcPr>
          <w:p w:rsidR="00523D36" w:rsidRPr="002C5EE0" w:rsidRDefault="00523D36" w:rsidP="002C5EE0">
            <w:pPr>
              <w:bidi w:val="0"/>
              <w:snapToGrid w:val="0"/>
              <w:jc w:val="both"/>
              <w:rPr>
                <w:rFonts w:ascii="Times New Roman" w:hAnsi="Times New Roman" w:cs="Times New Roman"/>
                <w:b/>
                <w:bCs/>
                <w:sz w:val="20"/>
                <w:szCs w:val="20"/>
              </w:rPr>
            </w:pPr>
          </w:p>
        </w:tc>
        <w:tc>
          <w:tcPr>
            <w:tcW w:w="895" w:type="pct"/>
            <w:tcBorders>
              <w:top w:val="single" w:sz="12" w:space="0" w:color="auto"/>
              <w:left w:val="single" w:sz="4" w:space="0" w:color="auto"/>
              <w:bottom w:val="nil"/>
              <w:right w:val="single" w:sz="12" w:space="0" w:color="auto"/>
            </w:tcBorders>
            <w:vAlign w:val="center"/>
          </w:tcPr>
          <w:p w:rsidR="00523D36" w:rsidRPr="002C5EE0" w:rsidRDefault="00523D36" w:rsidP="002C5EE0">
            <w:pPr>
              <w:bidi w:val="0"/>
              <w:snapToGrid w:val="0"/>
              <w:jc w:val="both"/>
              <w:rPr>
                <w:rFonts w:ascii="Times New Roman" w:hAnsi="Times New Roman" w:cs="Times New Roman"/>
                <w:b/>
                <w:bCs/>
                <w:sz w:val="20"/>
                <w:szCs w:val="20"/>
              </w:rPr>
            </w:pPr>
          </w:p>
        </w:tc>
        <w:tc>
          <w:tcPr>
            <w:tcW w:w="575" w:type="pct"/>
            <w:tcBorders>
              <w:top w:val="single" w:sz="4" w:space="0" w:color="000000"/>
              <w:bottom w:val="nil"/>
              <w:right w:val="thickThinSmallGap" w:sz="18"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p>
        </w:tc>
      </w:tr>
      <w:tr w:rsidR="00523D36" w:rsidRPr="002C5EE0" w:rsidTr="002C5EE0">
        <w:trPr>
          <w:cantSplit/>
          <w:jc w:val="center"/>
        </w:trPr>
        <w:tc>
          <w:tcPr>
            <w:tcW w:w="1246" w:type="pct"/>
            <w:tcBorders>
              <w:top w:val="nil"/>
              <w:left w:val="thinThickSmallGap" w:sz="18" w:space="0" w:color="auto"/>
              <w:bottom w:val="nil"/>
              <w:right w:val="single" w:sz="12"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-VE</w:t>
            </w:r>
          </w:p>
        </w:tc>
        <w:tc>
          <w:tcPr>
            <w:tcW w:w="699" w:type="pct"/>
            <w:tcBorders>
              <w:top w:val="nil"/>
              <w:left w:val="single" w:sz="12" w:space="0" w:color="auto"/>
              <w:bottom w:val="nil"/>
              <w:right w:val="single" w:sz="4"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15</w:t>
            </w:r>
          </w:p>
        </w:tc>
        <w:tc>
          <w:tcPr>
            <w:tcW w:w="794" w:type="pct"/>
            <w:tcBorders>
              <w:top w:val="nil"/>
              <w:left w:val="single" w:sz="4" w:space="0" w:color="auto"/>
              <w:bottom w:val="nil"/>
              <w:right w:val="single" w:sz="4"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30.0</w:t>
            </w:r>
          </w:p>
        </w:tc>
        <w:tc>
          <w:tcPr>
            <w:tcW w:w="790" w:type="pct"/>
            <w:tcBorders>
              <w:top w:val="nil"/>
              <w:left w:val="single" w:sz="4" w:space="0" w:color="auto"/>
              <w:bottom w:val="nil"/>
              <w:right w:val="single" w:sz="4"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eastAsia="Times New Roman" w:hAnsi="Times New Roman" w:cs="Times New Roman"/>
                <w:sz w:val="20"/>
                <w:szCs w:val="20"/>
              </w:rPr>
              <w:t>22</w:t>
            </w:r>
          </w:p>
        </w:tc>
        <w:tc>
          <w:tcPr>
            <w:tcW w:w="895" w:type="pct"/>
            <w:tcBorders>
              <w:top w:val="nil"/>
              <w:left w:val="single" w:sz="4" w:space="0" w:color="auto"/>
              <w:bottom w:val="nil"/>
              <w:right w:val="single" w:sz="12"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eastAsia="Times New Roman" w:hAnsi="Times New Roman" w:cs="Times New Roman"/>
                <w:sz w:val="20"/>
                <w:szCs w:val="20"/>
              </w:rPr>
              <w:t>44.0</w:t>
            </w:r>
          </w:p>
        </w:tc>
        <w:tc>
          <w:tcPr>
            <w:tcW w:w="575" w:type="pct"/>
            <w:vMerge w:val="restart"/>
            <w:tcBorders>
              <w:top w:val="nil"/>
              <w:right w:val="thickThinSmallGap" w:sz="18"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0.041</w:t>
            </w:r>
            <w:r w:rsidRPr="002C5EE0">
              <w:rPr>
                <w:rFonts w:ascii="Times New Roman" w:hAnsi="Times New Roman" w:cs="Times New Roman"/>
                <w:sz w:val="20"/>
                <w:szCs w:val="20"/>
                <w:vertAlign w:val="superscript"/>
              </w:rPr>
              <w:t>*</w:t>
            </w:r>
          </w:p>
        </w:tc>
      </w:tr>
      <w:tr w:rsidR="00523D36" w:rsidRPr="002C5EE0" w:rsidTr="002C5EE0">
        <w:trPr>
          <w:cantSplit/>
          <w:jc w:val="center"/>
        </w:trPr>
        <w:tc>
          <w:tcPr>
            <w:tcW w:w="1246" w:type="pct"/>
            <w:tcBorders>
              <w:top w:val="nil"/>
              <w:left w:val="thinThickSmallGap" w:sz="18" w:space="0" w:color="auto"/>
              <w:bottom w:val="thickThinSmallGap" w:sz="18" w:space="0" w:color="auto"/>
              <w:right w:val="single" w:sz="12"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+VE</w:t>
            </w:r>
          </w:p>
        </w:tc>
        <w:tc>
          <w:tcPr>
            <w:tcW w:w="699" w:type="pct"/>
            <w:tcBorders>
              <w:top w:val="nil"/>
              <w:left w:val="single" w:sz="12" w:space="0" w:color="auto"/>
              <w:bottom w:val="thickThinSmallGap" w:sz="18" w:space="0" w:color="auto"/>
              <w:right w:val="single" w:sz="4"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37</w:t>
            </w:r>
          </w:p>
        </w:tc>
        <w:tc>
          <w:tcPr>
            <w:tcW w:w="794" w:type="pct"/>
            <w:tcBorders>
              <w:top w:val="nil"/>
              <w:left w:val="single" w:sz="4" w:space="0" w:color="auto"/>
              <w:bottom w:val="thickThinSmallGap" w:sz="18" w:space="0" w:color="auto"/>
              <w:right w:val="single" w:sz="4"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70.0</w:t>
            </w:r>
          </w:p>
        </w:tc>
        <w:tc>
          <w:tcPr>
            <w:tcW w:w="790" w:type="pct"/>
            <w:tcBorders>
              <w:top w:val="nil"/>
              <w:left w:val="single" w:sz="4" w:space="0" w:color="auto"/>
              <w:bottom w:val="thickThinSmallGap" w:sz="18" w:space="0" w:color="auto"/>
              <w:right w:val="single" w:sz="4"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eastAsia="Times New Roman" w:hAnsi="Times New Roman" w:cs="Times New Roman"/>
                <w:sz w:val="20"/>
                <w:szCs w:val="20"/>
              </w:rPr>
              <w:t>28</w:t>
            </w:r>
          </w:p>
        </w:tc>
        <w:tc>
          <w:tcPr>
            <w:tcW w:w="895" w:type="pct"/>
            <w:tcBorders>
              <w:top w:val="nil"/>
              <w:left w:val="single" w:sz="4" w:space="0" w:color="auto"/>
              <w:bottom w:val="thickThinSmallGap" w:sz="18" w:space="0" w:color="auto"/>
              <w:right w:val="single" w:sz="12"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eastAsia="Times New Roman" w:hAnsi="Times New Roman" w:cs="Times New Roman"/>
                <w:sz w:val="20"/>
                <w:szCs w:val="20"/>
              </w:rPr>
              <w:t>56.0</w:t>
            </w:r>
          </w:p>
        </w:tc>
        <w:tc>
          <w:tcPr>
            <w:tcW w:w="575" w:type="pct"/>
            <w:vMerge/>
            <w:tcBorders>
              <w:bottom w:val="thickThinSmallGap" w:sz="18" w:space="0" w:color="auto"/>
              <w:right w:val="thickThinSmallGap" w:sz="18"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p>
        </w:tc>
      </w:tr>
    </w:tbl>
    <w:p w:rsidR="002C5EE0" w:rsidRDefault="002C5EE0" w:rsidP="002C5EE0">
      <w:pPr>
        <w:tabs>
          <w:tab w:val="left" w:pos="3315"/>
        </w:tabs>
        <w:bidi w:val="0"/>
        <w:snapToGrid w:val="0"/>
        <w:spacing w:after="0" w:line="240" w:lineRule="auto"/>
        <w:jc w:val="center"/>
        <w:rPr>
          <w:rFonts w:ascii="Times New Roman" w:hAnsi="Times New Roman" w:cs="Times New Roman"/>
          <w:color w:val="000000"/>
          <w:sz w:val="20"/>
          <w:szCs w:val="20"/>
          <w:lang w:eastAsia="zh-CN"/>
        </w:rPr>
      </w:pPr>
    </w:p>
    <w:p w:rsidR="0082106D" w:rsidRPr="002C5EE0" w:rsidRDefault="0082106D" w:rsidP="002C5EE0">
      <w:pPr>
        <w:tabs>
          <w:tab w:val="left" w:pos="3315"/>
        </w:tabs>
        <w:bidi w:val="0"/>
        <w:snapToGrid w:val="0"/>
        <w:spacing w:after="0" w:line="240" w:lineRule="auto"/>
        <w:jc w:val="center"/>
        <w:rPr>
          <w:rFonts w:ascii="Times New Roman" w:eastAsia="SimSun" w:hAnsi="Times New Roman" w:cs="Times New Roman"/>
          <w:color w:val="000000"/>
          <w:sz w:val="20"/>
          <w:szCs w:val="20"/>
          <w:lang w:eastAsia="zh-CN"/>
        </w:rPr>
      </w:pPr>
      <w:r w:rsidRPr="002C5EE0">
        <w:rPr>
          <w:rFonts w:ascii="Times New Roman" w:eastAsia="SimSun" w:hAnsi="Times New Roman" w:cs="Times New Roman"/>
          <w:noProof/>
          <w:color w:val="000000"/>
          <w:sz w:val="20"/>
          <w:szCs w:val="20"/>
          <w:lang w:eastAsia="zh-CN"/>
        </w:rPr>
        <w:drawing>
          <wp:inline distT="0" distB="0" distL="0" distR="0">
            <wp:extent cx="4497291" cy="2488758"/>
            <wp:effectExtent l="19050" t="0" r="0" b="0"/>
            <wp:docPr id="1041"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9"/>
                    <pic:cNvPicPr/>
                  </pic:nvPicPr>
                  <pic:blipFill>
                    <a:blip r:embed="rId23" cstate="print"/>
                    <a:srcRect/>
                    <a:stretch/>
                  </pic:blipFill>
                  <pic:spPr>
                    <a:xfrm>
                      <a:off x="0" y="0"/>
                      <a:ext cx="4501735" cy="2491217"/>
                    </a:xfrm>
                    <a:prstGeom prst="rect">
                      <a:avLst/>
                    </a:prstGeom>
                  </pic:spPr>
                </pic:pic>
              </a:graphicData>
            </a:graphic>
          </wp:inline>
        </w:drawing>
      </w:r>
    </w:p>
    <w:p w:rsidR="0082106D" w:rsidRPr="002C5EE0" w:rsidRDefault="0082106D" w:rsidP="002C5EE0">
      <w:pPr>
        <w:tabs>
          <w:tab w:val="left" w:pos="3315"/>
        </w:tabs>
        <w:bidi w:val="0"/>
        <w:snapToGrid w:val="0"/>
        <w:spacing w:after="0" w:line="240" w:lineRule="auto"/>
        <w:jc w:val="center"/>
        <w:rPr>
          <w:rFonts w:ascii="Times New Roman" w:hAnsi="Times New Roman" w:cs="Times New Roman"/>
          <w:b/>
          <w:bCs/>
          <w:sz w:val="20"/>
          <w:szCs w:val="20"/>
        </w:rPr>
      </w:pPr>
      <w:r w:rsidRPr="002C5EE0">
        <w:rPr>
          <w:rFonts w:ascii="Times New Roman" w:hAnsi="Times New Roman" w:cs="Times New Roman"/>
          <w:b/>
          <w:bCs/>
          <w:sz w:val="20"/>
          <w:szCs w:val="20"/>
        </w:rPr>
        <w:t>Figure (5): Comparison between the two studied groups according to ovulation</w:t>
      </w:r>
    </w:p>
    <w:p w:rsidR="00523D36" w:rsidRPr="002C5EE0" w:rsidRDefault="00523D36" w:rsidP="002C5EE0">
      <w:pPr>
        <w:bidi w:val="0"/>
        <w:snapToGrid w:val="0"/>
        <w:spacing w:after="0" w:line="240" w:lineRule="auto"/>
        <w:jc w:val="center"/>
        <w:rPr>
          <w:rFonts w:ascii="Times New Roman" w:hAnsi="Times New Roman" w:cs="Times New Roman"/>
          <w:b/>
          <w:bCs/>
          <w:sz w:val="20"/>
          <w:szCs w:val="20"/>
          <w:lang w:bidi="ar-EG"/>
        </w:rPr>
      </w:pPr>
    </w:p>
    <w:p w:rsidR="00523D36" w:rsidRPr="002C5EE0" w:rsidRDefault="0082106D" w:rsidP="002C5EE0">
      <w:pPr>
        <w:bidi w:val="0"/>
        <w:snapToGrid w:val="0"/>
        <w:spacing w:after="0" w:line="240" w:lineRule="auto"/>
        <w:jc w:val="both"/>
        <w:rPr>
          <w:rFonts w:ascii="Times New Roman" w:eastAsia="Times New Roman" w:hAnsi="Times New Roman" w:cs="Times New Roman"/>
          <w:b/>
          <w:sz w:val="20"/>
          <w:szCs w:val="20"/>
        </w:rPr>
      </w:pPr>
      <w:r w:rsidRPr="002C5EE0">
        <w:rPr>
          <w:rFonts w:ascii="Times New Roman" w:eastAsia="Times New Roman" w:hAnsi="Times New Roman" w:cs="Times New Roman"/>
          <w:b/>
          <w:sz w:val="20"/>
          <w:szCs w:val="20"/>
        </w:rPr>
        <w:t>Table (4</w:t>
      </w:r>
      <w:r w:rsidR="00523D36" w:rsidRPr="002C5EE0">
        <w:rPr>
          <w:rFonts w:ascii="Times New Roman" w:eastAsia="Times New Roman" w:hAnsi="Times New Roman" w:cs="Times New Roman"/>
          <w:b/>
          <w:sz w:val="20"/>
          <w:szCs w:val="20"/>
        </w:rPr>
        <w:t>):</w:t>
      </w:r>
      <w:r w:rsidR="00523D36" w:rsidRPr="002C5EE0">
        <w:rPr>
          <w:rFonts w:ascii="Times New Roman" w:eastAsia="Times New Roman" w:hAnsi="Times New Roman" w:cs="Times New Roman"/>
          <w:b/>
          <w:sz w:val="20"/>
          <w:szCs w:val="20"/>
        </w:rPr>
        <w:tab/>
        <w:t xml:space="preserve">Comparison between the two studied group according to the number of patients who Achieving ovulation after dose 10000 </w:t>
      </w:r>
      <w:proofErr w:type="spellStart"/>
      <w:r w:rsidR="00523D36" w:rsidRPr="002C5EE0">
        <w:rPr>
          <w:rFonts w:ascii="Times New Roman" w:eastAsia="Times New Roman" w:hAnsi="Times New Roman" w:cs="Times New Roman"/>
          <w:b/>
          <w:sz w:val="20"/>
          <w:szCs w:val="20"/>
        </w:rPr>
        <w:t>hcg</w:t>
      </w:r>
      <w:proofErr w:type="spellEnd"/>
      <w:r w:rsidR="00523D36" w:rsidRPr="002C5EE0">
        <w:rPr>
          <w:rFonts w:ascii="Times New Roman" w:eastAsia="Times New Roman" w:hAnsi="Times New Roman" w:cs="Times New Roman"/>
          <w:b/>
          <w:sz w:val="20"/>
          <w:szCs w:val="20"/>
        </w:rPr>
        <w:t xml:space="preserve"> after 2 days of reaching maturity.</w:t>
      </w:r>
    </w:p>
    <w:tbl>
      <w:tblPr>
        <w:tblW w:w="5000" w:type="pct"/>
        <w:jc w:val="center"/>
        <w:tblCellMar>
          <w:left w:w="10" w:type="dxa"/>
          <w:right w:w="10" w:type="dxa"/>
        </w:tblCellMar>
        <w:tblLook w:val="0000"/>
      </w:tblPr>
      <w:tblGrid>
        <w:gridCol w:w="5723"/>
        <w:gridCol w:w="646"/>
        <w:gridCol w:w="733"/>
        <w:gridCol w:w="646"/>
        <w:gridCol w:w="733"/>
        <w:gridCol w:w="993"/>
      </w:tblGrid>
      <w:tr w:rsidR="002C5EE0" w:rsidRPr="002C5EE0" w:rsidTr="002C5EE0">
        <w:trPr>
          <w:jc w:val="center"/>
        </w:trPr>
        <w:tc>
          <w:tcPr>
            <w:tcW w:w="3020" w:type="pct"/>
            <w:vMerge w:val="restart"/>
            <w:tcBorders>
              <w:top w:val="thinThickSmallGap" w:sz="18" w:space="0" w:color="auto"/>
              <w:left w:val="thinThickSmallGap" w:sz="18" w:space="0" w:color="auto"/>
              <w:bottom w:val="single" w:sz="18" w:space="0" w:color="000000"/>
              <w:right w:val="single" w:sz="12" w:space="0" w:color="000000"/>
            </w:tcBorders>
            <w:shd w:val="clear" w:color="000000" w:fill="FFFFFF"/>
            <w:tcMar>
              <w:left w:w="56" w:type="dxa"/>
              <w:right w:w="56" w:type="dxa"/>
            </w:tcMar>
            <w:vAlign w:val="center"/>
          </w:tcPr>
          <w:p w:rsidR="002C5EE0" w:rsidRPr="002C5EE0" w:rsidRDefault="002C5EE0" w:rsidP="002C5EE0">
            <w:pPr>
              <w:bidi w:val="0"/>
              <w:snapToGrid w:val="0"/>
              <w:spacing w:after="0" w:line="240" w:lineRule="auto"/>
              <w:jc w:val="both"/>
              <w:rPr>
                <w:rFonts w:ascii="Times New Roman" w:eastAsia="Arial" w:hAnsi="Times New Roman" w:cs="Times New Roman"/>
                <w:sz w:val="20"/>
                <w:szCs w:val="20"/>
                <w:lang w:bidi="ar-EG"/>
              </w:rPr>
            </w:pPr>
          </w:p>
        </w:tc>
        <w:tc>
          <w:tcPr>
            <w:tcW w:w="1455" w:type="pct"/>
            <w:gridSpan w:val="4"/>
            <w:tcBorders>
              <w:top w:val="thinThickSmallGap" w:sz="18" w:space="0" w:color="auto"/>
              <w:left w:val="single" w:sz="12" w:space="0" w:color="000000"/>
              <w:bottom w:val="single" w:sz="4" w:space="0" w:color="000000"/>
              <w:right w:val="single" w:sz="12" w:space="0" w:color="000000"/>
            </w:tcBorders>
            <w:shd w:val="clear" w:color="000000" w:fill="FFFFFF"/>
            <w:tcMar>
              <w:left w:w="56" w:type="dxa"/>
              <w:right w:w="56" w:type="dxa"/>
            </w:tcMar>
            <w:vAlign w:val="center"/>
          </w:tcPr>
          <w:p w:rsidR="002C5EE0" w:rsidRPr="002C5EE0" w:rsidRDefault="002C5EE0" w:rsidP="002C5EE0">
            <w:pPr>
              <w:bidi w:val="0"/>
              <w:snapToGrid w:val="0"/>
              <w:spacing w:after="0" w:line="240" w:lineRule="auto"/>
              <w:jc w:val="both"/>
              <w:rPr>
                <w:rFonts w:ascii="Times New Roman" w:hAnsi="Times New Roman" w:cs="Times New Roman"/>
                <w:sz w:val="20"/>
                <w:szCs w:val="20"/>
              </w:rPr>
            </w:pPr>
            <w:r w:rsidRPr="002C5EE0">
              <w:rPr>
                <w:rFonts w:ascii="Times New Roman" w:eastAsia="Times New Roman" w:hAnsi="Times New Roman" w:cs="Times New Roman"/>
                <w:b/>
                <w:sz w:val="20"/>
                <w:szCs w:val="20"/>
              </w:rPr>
              <w:t>Ovulation rate</w:t>
            </w:r>
          </w:p>
        </w:tc>
        <w:tc>
          <w:tcPr>
            <w:tcW w:w="525" w:type="pct"/>
            <w:vMerge w:val="restart"/>
            <w:tcBorders>
              <w:top w:val="thinThickSmallGap" w:sz="18" w:space="0" w:color="auto"/>
              <w:left w:val="single" w:sz="4" w:space="0" w:color="auto"/>
              <w:bottom w:val="single" w:sz="18" w:space="0" w:color="000000"/>
              <w:right w:val="thickThinSmallGap" w:sz="18" w:space="0" w:color="auto"/>
            </w:tcBorders>
            <w:shd w:val="clear" w:color="000000" w:fill="FFFFFF"/>
            <w:tcMar>
              <w:left w:w="56" w:type="dxa"/>
              <w:right w:w="56" w:type="dxa"/>
            </w:tcMar>
            <w:vAlign w:val="center"/>
          </w:tcPr>
          <w:p w:rsidR="002C5EE0" w:rsidRPr="002C5EE0" w:rsidRDefault="002C5EE0" w:rsidP="002C5EE0">
            <w:pPr>
              <w:bidi w:val="0"/>
              <w:snapToGrid w:val="0"/>
              <w:spacing w:after="0" w:line="240" w:lineRule="auto"/>
              <w:jc w:val="both"/>
              <w:rPr>
                <w:rFonts w:ascii="Times New Roman" w:hAnsi="Times New Roman" w:cs="Times New Roman"/>
                <w:sz w:val="20"/>
                <w:szCs w:val="20"/>
              </w:rPr>
            </w:pPr>
            <w:r w:rsidRPr="002C5EE0">
              <w:rPr>
                <w:rFonts w:ascii="Times New Roman" w:eastAsia="Times New Roman" w:hAnsi="Times New Roman" w:cs="Times New Roman"/>
                <w:b/>
                <w:sz w:val="20"/>
                <w:szCs w:val="20"/>
              </w:rPr>
              <w:t>P</w:t>
            </w:r>
          </w:p>
        </w:tc>
      </w:tr>
      <w:tr w:rsidR="002C5EE0" w:rsidRPr="002C5EE0" w:rsidTr="002C5EE0">
        <w:trPr>
          <w:jc w:val="center"/>
        </w:trPr>
        <w:tc>
          <w:tcPr>
            <w:tcW w:w="3020" w:type="pct"/>
            <w:vMerge/>
            <w:tcBorders>
              <w:top w:val="single" w:sz="18" w:space="0" w:color="000000"/>
              <w:left w:val="thinThickSmallGap" w:sz="18" w:space="0" w:color="auto"/>
              <w:bottom w:val="single" w:sz="18" w:space="0" w:color="000000"/>
              <w:right w:val="single" w:sz="12" w:space="0" w:color="000000"/>
            </w:tcBorders>
            <w:shd w:val="clear" w:color="000000" w:fill="FFFFFF"/>
            <w:tcMar>
              <w:left w:w="56" w:type="dxa"/>
              <w:right w:w="56" w:type="dxa"/>
            </w:tcMar>
            <w:vAlign w:val="center"/>
          </w:tcPr>
          <w:p w:rsidR="002C5EE0" w:rsidRPr="002C5EE0" w:rsidRDefault="002C5EE0" w:rsidP="002C5EE0">
            <w:pPr>
              <w:bidi w:val="0"/>
              <w:snapToGrid w:val="0"/>
              <w:spacing w:after="0" w:line="240" w:lineRule="auto"/>
              <w:jc w:val="both"/>
              <w:rPr>
                <w:rFonts w:ascii="Times New Roman" w:eastAsia="Arial" w:hAnsi="Times New Roman" w:cs="Times New Roman"/>
                <w:sz w:val="20"/>
                <w:szCs w:val="20"/>
              </w:rPr>
            </w:pPr>
          </w:p>
        </w:tc>
        <w:tc>
          <w:tcPr>
            <w:tcW w:w="728" w:type="pct"/>
            <w:gridSpan w:val="2"/>
            <w:tcBorders>
              <w:top w:val="single" w:sz="4" w:space="0" w:color="000000"/>
              <w:left w:val="single" w:sz="12" w:space="0" w:color="000000"/>
              <w:bottom w:val="single" w:sz="4" w:space="0" w:color="000000"/>
              <w:right w:val="single" w:sz="4" w:space="0" w:color="auto"/>
            </w:tcBorders>
            <w:shd w:val="clear" w:color="000000" w:fill="FFFFFF"/>
            <w:tcMar>
              <w:left w:w="56" w:type="dxa"/>
              <w:right w:w="56" w:type="dxa"/>
            </w:tcMar>
            <w:vAlign w:val="center"/>
          </w:tcPr>
          <w:p w:rsidR="002C5EE0" w:rsidRPr="002C5EE0" w:rsidRDefault="002C5EE0" w:rsidP="002C5EE0">
            <w:pPr>
              <w:bidi w:val="0"/>
              <w:snapToGrid w:val="0"/>
              <w:spacing w:after="0" w:line="240" w:lineRule="auto"/>
              <w:jc w:val="both"/>
              <w:rPr>
                <w:rFonts w:ascii="Times New Roman" w:hAnsi="Times New Roman" w:cs="Times New Roman"/>
                <w:sz w:val="20"/>
                <w:szCs w:val="20"/>
              </w:rPr>
            </w:pPr>
            <w:r w:rsidRPr="002C5EE0">
              <w:rPr>
                <w:rFonts w:ascii="Times New Roman" w:eastAsia="Times New Roman" w:hAnsi="Times New Roman" w:cs="Times New Roman"/>
                <w:b/>
                <w:sz w:val="20"/>
                <w:szCs w:val="20"/>
              </w:rPr>
              <w:t>n = 35</w:t>
            </w:r>
          </w:p>
        </w:tc>
        <w:tc>
          <w:tcPr>
            <w:tcW w:w="728" w:type="pct"/>
            <w:gridSpan w:val="2"/>
            <w:tcBorders>
              <w:top w:val="single" w:sz="4" w:space="0" w:color="000000"/>
              <w:left w:val="single" w:sz="4" w:space="0" w:color="auto"/>
              <w:bottom w:val="single" w:sz="4" w:space="0" w:color="000000"/>
              <w:right w:val="single" w:sz="12" w:space="0" w:color="000000"/>
            </w:tcBorders>
            <w:shd w:val="clear" w:color="000000" w:fill="FFFFFF"/>
            <w:tcMar>
              <w:left w:w="56" w:type="dxa"/>
              <w:right w:w="56" w:type="dxa"/>
            </w:tcMar>
            <w:vAlign w:val="center"/>
          </w:tcPr>
          <w:p w:rsidR="002C5EE0" w:rsidRPr="002C5EE0" w:rsidRDefault="002C5EE0" w:rsidP="002C5EE0">
            <w:pPr>
              <w:bidi w:val="0"/>
              <w:snapToGrid w:val="0"/>
              <w:spacing w:after="0" w:line="240" w:lineRule="auto"/>
              <w:jc w:val="both"/>
              <w:rPr>
                <w:rFonts w:ascii="Times New Roman" w:hAnsi="Times New Roman" w:cs="Times New Roman"/>
                <w:sz w:val="20"/>
                <w:szCs w:val="20"/>
              </w:rPr>
            </w:pPr>
            <w:r w:rsidRPr="002C5EE0">
              <w:rPr>
                <w:rFonts w:ascii="Times New Roman" w:eastAsia="Times New Roman" w:hAnsi="Times New Roman" w:cs="Times New Roman"/>
                <w:b/>
                <w:sz w:val="20"/>
                <w:szCs w:val="20"/>
              </w:rPr>
              <w:t>n = 28</w:t>
            </w:r>
          </w:p>
        </w:tc>
        <w:tc>
          <w:tcPr>
            <w:tcW w:w="525" w:type="pct"/>
            <w:vMerge/>
            <w:tcBorders>
              <w:top w:val="single" w:sz="18" w:space="0" w:color="000000"/>
              <w:left w:val="single" w:sz="4" w:space="0" w:color="auto"/>
              <w:bottom w:val="single" w:sz="18" w:space="0" w:color="000000"/>
              <w:right w:val="thickThinSmallGap" w:sz="18" w:space="0" w:color="auto"/>
            </w:tcBorders>
            <w:shd w:val="clear" w:color="000000" w:fill="FFFFFF"/>
            <w:tcMar>
              <w:left w:w="56" w:type="dxa"/>
              <w:right w:w="56" w:type="dxa"/>
            </w:tcMar>
            <w:vAlign w:val="center"/>
          </w:tcPr>
          <w:p w:rsidR="002C5EE0" w:rsidRPr="002C5EE0" w:rsidRDefault="002C5EE0" w:rsidP="002C5EE0">
            <w:pPr>
              <w:bidi w:val="0"/>
              <w:snapToGrid w:val="0"/>
              <w:spacing w:after="0" w:line="240" w:lineRule="auto"/>
              <w:jc w:val="both"/>
              <w:rPr>
                <w:rFonts w:ascii="Times New Roman" w:hAnsi="Times New Roman" w:cs="Times New Roman"/>
                <w:sz w:val="20"/>
                <w:szCs w:val="20"/>
              </w:rPr>
            </w:pPr>
          </w:p>
        </w:tc>
      </w:tr>
      <w:tr w:rsidR="002C5EE0" w:rsidRPr="002C5EE0" w:rsidTr="002C5EE0">
        <w:trPr>
          <w:jc w:val="center"/>
        </w:trPr>
        <w:tc>
          <w:tcPr>
            <w:tcW w:w="3020" w:type="pct"/>
            <w:vMerge/>
            <w:tcBorders>
              <w:top w:val="single" w:sz="18" w:space="0" w:color="000000"/>
              <w:left w:val="thinThickSmallGap" w:sz="18" w:space="0" w:color="auto"/>
              <w:bottom w:val="single" w:sz="12" w:space="0" w:color="000000"/>
              <w:right w:val="single" w:sz="12" w:space="0" w:color="000000"/>
            </w:tcBorders>
            <w:shd w:val="clear" w:color="000000" w:fill="FFFFFF"/>
            <w:tcMar>
              <w:left w:w="56" w:type="dxa"/>
              <w:right w:w="56" w:type="dxa"/>
            </w:tcMar>
            <w:vAlign w:val="center"/>
          </w:tcPr>
          <w:p w:rsidR="002C5EE0" w:rsidRPr="002C5EE0" w:rsidRDefault="002C5EE0" w:rsidP="002C5EE0">
            <w:pPr>
              <w:bidi w:val="0"/>
              <w:snapToGrid w:val="0"/>
              <w:spacing w:after="0" w:line="240" w:lineRule="auto"/>
              <w:jc w:val="both"/>
              <w:rPr>
                <w:rFonts w:ascii="Times New Roman" w:eastAsia="Arial" w:hAnsi="Times New Roman" w:cs="Times New Roman"/>
                <w:sz w:val="20"/>
                <w:szCs w:val="20"/>
              </w:rPr>
            </w:pPr>
          </w:p>
        </w:tc>
        <w:tc>
          <w:tcPr>
            <w:tcW w:w="341" w:type="pct"/>
            <w:tcBorders>
              <w:top w:val="single" w:sz="4" w:space="0" w:color="000000"/>
              <w:left w:val="single" w:sz="12" w:space="0" w:color="000000"/>
              <w:bottom w:val="single" w:sz="12" w:space="0" w:color="000000"/>
              <w:right w:val="single" w:sz="4" w:space="0" w:color="000000"/>
            </w:tcBorders>
            <w:shd w:val="clear" w:color="000000" w:fill="FFFFFF"/>
            <w:tcMar>
              <w:left w:w="56" w:type="dxa"/>
              <w:right w:w="56" w:type="dxa"/>
            </w:tcMar>
            <w:vAlign w:val="center"/>
          </w:tcPr>
          <w:p w:rsidR="002C5EE0" w:rsidRPr="002C5EE0" w:rsidRDefault="002C5EE0" w:rsidP="002C5EE0">
            <w:pPr>
              <w:bidi w:val="0"/>
              <w:snapToGrid w:val="0"/>
              <w:spacing w:after="0" w:line="240" w:lineRule="auto"/>
              <w:jc w:val="both"/>
              <w:rPr>
                <w:rFonts w:ascii="Times New Roman" w:hAnsi="Times New Roman" w:cs="Times New Roman"/>
                <w:sz w:val="20"/>
                <w:szCs w:val="20"/>
              </w:rPr>
            </w:pPr>
            <w:r w:rsidRPr="002C5EE0">
              <w:rPr>
                <w:rFonts w:ascii="Times New Roman" w:eastAsia="Times New Roman" w:hAnsi="Times New Roman" w:cs="Times New Roman"/>
                <w:b/>
                <w:sz w:val="20"/>
                <w:szCs w:val="20"/>
              </w:rPr>
              <w:t>No.</w:t>
            </w:r>
          </w:p>
        </w:tc>
        <w:tc>
          <w:tcPr>
            <w:tcW w:w="387" w:type="pct"/>
            <w:tcBorders>
              <w:top w:val="single" w:sz="4" w:space="0" w:color="000000"/>
              <w:left w:val="single" w:sz="4" w:space="0" w:color="000000"/>
              <w:bottom w:val="single" w:sz="12" w:space="0" w:color="000000"/>
              <w:right w:val="single" w:sz="4" w:space="0" w:color="000000"/>
            </w:tcBorders>
            <w:shd w:val="clear" w:color="000000" w:fill="FFFFFF"/>
            <w:tcMar>
              <w:left w:w="56" w:type="dxa"/>
              <w:right w:w="56" w:type="dxa"/>
            </w:tcMar>
            <w:vAlign w:val="center"/>
          </w:tcPr>
          <w:p w:rsidR="002C5EE0" w:rsidRPr="002C5EE0" w:rsidRDefault="002C5EE0" w:rsidP="002C5EE0">
            <w:pPr>
              <w:bidi w:val="0"/>
              <w:snapToGrid w:val="0"/>
              <w:spacing w:after="0" w:line="240" w:lineRule="auto"/>
              <w:jc w:val="both"/>
              <w:rPr>
                <w:rFonts w:ascii="Times New Roman" w:hAnsi="Times New Roman" w:cs="Times New Roman"/>
                <w:sz w:val="20"/>
                <w:szCs w:val="20"/>
              </w:rPr>
            </w:pPr>
            <w:r w:rsidRPr="002C5EE0">
              <w:rPr>
                <w:rFonts w:ascii="Times New Roman" w:eastAsia="Times New Roman" w:hAnsi="Times New Roman" w:cs="Times New Roman"/>
                <w:b/>
                <w:sz w:val="20"/>
                <w:szCs w:val="20"/>
              </w:rPr>
              <w:t>%</w:t>
            </w:r>
          </w:p>
        </w:tc>
        <w:tc>
          <w:tcPr>
            <w:tcW w:w="341" w:type="pct"/>
            <w:tcBorders>
              <w:top w:val="single" w:sz="4" w:space="0" w:color="000000"/>
              <w:left w:val="single" w:sz="4" w:space="0" w:color="000000"/>
              <w:bottom w:val="single" w:sz="12" w:space="0" w:color="000000"/>
              <w:right w:val="single" w:sz="4" w:space="0" w:color="000000"/>
            </w:tcBorders>
            <w:shd w:val="clear" w:color="000000" w:fill="FFFFFF"/>
            <w:tcMar>
              <w:left w:w="56" w:type="dxa"/>
              <w:right w:w="56" w:type="dxa"/>
            </w:tcMar>
            <w:vAlign w:val="center"/>
          </w:tcPr>
          <w:p w:rsidR="002C5EE0" w:rsidRPr="002C5EE0" w:rsidRDefault="002C5EE0" w:rsidP="002C5EE0">
            <w:pPr>
              <w:bidi w:val="0"/>
              <w:snapToGrid w:val="0"/>
              <w:spacing w:after="0" w:line="240" w:lineRule="auto"/>
              <w:jc w:val="both"/>
              <w:rPr>
                <w:rFonts w:ascii="Times New Roman" w:hAnsi="Times New Roman" w:cs="Times New Roman"/>
                <w:sz w:val="20"/>
                <w:szCs w:val="20"/>
              </w:rPr>
            </w:pPr>
            <w:r w:rsidRPr="002C5EE0">
              <w:rPr>
                <w:rFonts w:ascii="Times New Roman" w:eastAsia="Times New Roman" w:hAnsi="Times New Roman" w:cs="Times New Roman"/>
                <w:b/>
                <w:sz w:val="20"/>
                <w:szCs w:val="20"/>
              </w:rPr>
              <w:t>No.</w:t>
            </w:r>
          </w:p>
        </w:tc>
        <w:tc>
          <w:tcPr>
            <w:tcW w:w="387" w:type="pct"/>
            <w:tcBorders>
              <w:top w:val="single" w:sz="4" w:space="0" w:color="000000"/>
              <w:left w:val="single" w:sz="4" w:space="0" w:color="000000"/>
              <w:bottom w:val="single" w:sz="12" w:space="0" w:color="000000"/>
              <w:right w:val="single" w:sz="12" w:space="0" w:color="000000"/>
            </w:tcBorders>
            <w:shd w:val="clear" w:color="000000" w:fill="FFFFFF"/>
            <w:tcMar>
              <w:left w:w="56" w:type="dxa"/>
              <w:right w:w="56" w:type="dxa"/>
            </w:tcMar>
            <w:vAlign w:val="center"/>
          </w:tcPr>
          <w:p w:rsidR="002C5EE0" w:rsidRPr="002C5EE0" w:rsidRDefault="002C5EE0" w:rsidP="002C5EE0">
            <w:pPr>
              <w:bidi w:val="0"/>
              <w:snapToGrid w:val="0"/>
              <w:spacing w:after="0" w:line="240" w:lineRule="auto"/>
              <w:jc w:val="both"/>
              <w:rPr>
                <w:rFonts w:ascii="Times New Roman" w:hAnsi="Times New Roman" w:cs="Times New Roman"/>
                <w:sz w:val="20"/>
                <w:szCs w:val="20"/>
              </w:rPr>
            </w:pPr>
            <w:r w:rsidRPr="002C5EE0">
              <w:rPr>
                <w:rFonts w:ascii="Times New Roman" w:eastAsia="Times New Roman" w:hAnsi="Times New Roman" w:cs="Times New Roman"/>
                <w:b/>
                <w:sz w:val="20"/>
                <w:szCs w:val="20"/>
              </w:rPr>
              <w:t>%</w:t>
            </w:r>
          </w:p>
        </w:tc>
        <w:tc>
          <w:tcPr>
            <w:tcW w:w="525" w:type="pct"/>
            <w:vMerge/>
            <w:tcBorders>
              <w:top w:val="single" w:sz="18" w:space="0" w:color="000000"/>
              <w:left w:val="single" w:sz="4" w:space="0" w:color="auto"/>
              <w:bottom w:val="single" w:sz="12" w:space="0" w:color="auto"/>
              <w:right w:val="thickThinSmallGap" w:sz="18" w:space="0" w:color="auto"/>
            </w:tcBorders>
            <w:shd w:val="clear" w:color="000000" w:fill="FFFFFF"/>
            <w:tcMar>
              <w:left w:w="56" w:type="dxa"/>
              <w:right w:w="56" w:type="dxa"/>
            </w:tcMar>
            <w:vAlign w:val="center"/>
          </w:tcPr>
          <w:p w:rsidR="002C5EE0" w:rsidRPr="002C5EE0" w:rsidRDefault="002C5EE0" w:rsidP="002C5EE0">
            <w:pPr>
              <w:bidi w:val="0"/>
              <w:snapToGrid w:val="0"/>
              <w:spacing w:after="0" w:line="240" w:lineRule="auto"/>
              <w:jc w:val="both"/>
              <w:rPr>
                <w:rFonts w:ascii="Times New Roman" w:hAnsi="Times New Roman" w:cs="Times New Roman"/>
                <w:sz w:val="20"/>
                <w:szCs w:val="20"/>
              </w:rPr>
            </w:pPr>
          </w:p>
        </w:tc>
      </w:tr>
      <w:tr w:rsidR="002C5EE0" w:rsidRPr="002C5EE0" w:rsidTr="002C5EE0">
        <w:trPr>
          <w:jc w:val="center"/>
        </w:trPr>
        <w:tc>
          <w:tcPr>
            <w:tcW w:w="3020" w:type="pct"/>
            <w:tcBorders>
              <w:top w:val="single" w:sz="12" w:space="0" w:color="000000"/>
              <w:left w:val="thinThickSmallGap" w:sz="18" w:space="0" w:color="auto"/>
              <w:bottom w:val="single" w:sz="4" w:space="0" w:color="auto"/>
              <w:right w:val="single" w:sz="12" w:space="0" w:color="000000"/>
            </w:tcBorders>
            <w:shd w:val="clear" w:color="000000" w:fill="FFFFFF"/>
            <w:tcMar>
              <w:left w:w="56" w:type="dxa"/>
              <w:right w:w="56" w:type="dxa"/>
            </w:tcMar>
            <w:vAlign w:val="center"/>
          </w:tcPr>
          <w:p w:rsidR="002C5EE0" w:rsidRPr="002C5EE0" w:rsidRDefault="002C5EE0" w:rsidP="002C5EE0">
            <w:pPr>
              <w:bidi w:val="0"/>
              <w:snapToGrid w:val="0"/>
              <w:spacing w:after="0" w:line="240" w:lineRule="auto"/>
              <w:jc w:val="both"/>
              <w:rPr>
                <w:rFonts w:ascii="Times New Roman" w:hAnsi="Times New Roman" w:cs="Times New Roman"/>
                <w:sz w:val="20"/>
                <w:szCs w:val="20"/>
              </w:rPr>
            </w:pPr>
            <w:r w:rsidRPr="002C5EE0">
              <w:rPr>
                <w:rFonts w:ascii="Times New Roman" w:eastAsia="Times New Roman" w:hAnsi="Times New Roman" w:cs="Times New Roman"/>
                <w:b/>
                <w:sz w:val="20"/>
                <w:szCs w:val="20"/>
              </w:rPr>
              <w:t xml:space="preserve">Achieving ovulation after dose 10000 </w:t>
            </w:r>
            <w:proofErr w:type="spellStart"/>
            <w:r w:rsidRPr="002C5EE0">
              <w:rPr>
                <w:rFonts w:ascii="Times New Roman" w:eastAsia="Times New Roman" w:hAnsi="Times New Roman" w:cs="Times New Roman"/>
                <w:b/>
                <w:sz w:val="20"/>
                <w:szCs w:val="20"/>
              </w:rPr>
              <w:t>hcg</w:t>
            </w:r>
            <w:proofErr w:type="spellEnd"/>
          </w:p>
        </w:tc>
        <w:tc>
          <w:tcPr>
            <w:tcW w:w="341" w:type="pct"/>
            <w:tcBorders>
              <w:top w:val="single" w:sz="12" w:space="0" w:color="000000"/>
              <w:left w:val="single" w:sz="12" w:space="0" w:color="000000"/>
              <w:bottom w:val="single" w:sz="4" w:space="0" w:color="auto"/>
              <w:right w:val="single" w:sz="4" w:space="0" w:color="000000"/>
            </w:tcBorders>
            <w:shd w:val="clear" w:color="000000" w:fill="FFFFFF"/>
            <w:tcMar>
              <w:left w:w="56" w:type="dxa"/>
              <w:right w:w="56" w:type="dxa"/>
            </w:tcMar>
            <w:vAlign w:val="center"/>
          </w:tcPr>
          <w:p w:rsidR="002C5EE0" w:rsidRPr="002C5EE0" w:rsidRDefault="002C5EE0" w:rsidP="002C5EE0">
            <w:pPr>
              <w:bidi w:val="0"/>
              <w:snapToGrid w:val="0"/>
              <w:spacing w:after="0" w:line="240" w:lineRule="auto"/>
              <w:jc w:val="both"/>
              <w:rPr>
                <w:rFonts w:ascii="Times New Roman" w:eastAsia="Arial" w:hAnsi="Times New Roman" w:cs="Times New Roman"/>
                <w:sz w:val="20"/>
                <w:szCs w:val="20"/>
              </w:rPr>
            </w:pPr>
          </w:p>
        </w:tc>
        <w:tc>
          <w:tcPr>
            <w:tcW w:w="387" w:type="pct"/>
            <w:tcBorders>
              <w:top w:val="single" w:sz="12" w:space="0" w:color="000000"/>
              <w:left w:val="single" w:sz="4" w:space="0" w:color="000000"/>
              <w:bottom w:val="single" w:sz="4" w:space="0" w:color="auto"/>
              <w:right w:val="single" w:sz="4" w:space="0" w:color="000000"/>
            </w:tcBorders>
            <w:shd w:val="clear" w:color="000000" w:fill="FFFFFF"/>
            <w:tcMar>
              <w:left w:w="56" w:type="dxa"/>
              <w:right w:w="56" w:type="dxa"/>
            </w:tcMar>
            <w:vAlign w:val="center"/>
          </w:tcPr>
          <w:p w:rsidR="002C5EE0" w:rsidRPr="002C5EE0" w:rsidRDefault="002C5EE0" w:rsidP="002C5EE0">
            <w:pPr>
              <w:bidi w:val="0"/>
              <w:snapToGrid w:val="0"/>
              <w:spacing w:after="0" w:line="240" w:lineRule="auto"/>
              <w:jc w:val="both"/>
              <w:rPr>
                <w:rFonts w:ascii="Times New Roman" w:eastAsia="Arial" w:hAnsi="Times New Roman" w:cs="Times New Roman"/>
                <w:sz w:val="20"/>
                <w:szCs w:val="20"/>
              </w:rPr>
            </w:pPr>
          </w:p>
        </w:tc>
        <w:tc>
          <w:tcPr>
            <w:tcW w:w="341" w:type="pct"/>
            <w:tcBorders>
              <w:top w:val="single" w:sz="12" w:space="0" w:color="000000"/>
              <w:left w:val="single" w:sz="4" w:space="0" w:color="000000"/>
              <w:bottom w:val="single" w:sz="4" w:space="0" w:color="auto"/>
              <w:right w:val="single" w:sz="4" w:space="0" w:color="000000"/>
            </w:tcBorders>
            <w:shd w:val="clear" w:color="000000" w:fill="FFFFFF"/>
            <w:tcMar>
              <w:left w:w="56" w:type="dxa"/>
              <w:right w:w="56" w:type="dxa"/>
            </w:tcMar>
            <w:vAlign w:val="center"/>
          </w:tcPr>
          <w:p w:rsidR="002C5EE0" w:rsidRPr="002C5EE0" w:rsidRDefault="002C5EE0" w:rsidP="002C5EE0">
            <w:pPr>
              <w:bidi w:val="0"/>
              <w:snapToGrid w:val="0"/>
              <w:spacing w:after="0" w:line="240" w:lineRule="auto"/>
              <w:jc w:val="both"/>
              <w:rPr>
                <w:rFonts w:ascii="Times New Roman" w:eastAsia="Arial" w:hAnsi="Times New Roman" w:cs="Times New Roman"/>
                <w:sz w:val="20"/>
                <w:szCs w:val="20"/>
              </w:rPr>
            </w:pPr>
          </w:p>
        </w:tc>
        <w:tc>
          <w:tcPr>
            <w:tcW w:w="387" w:type="pct"/>
            <w:tcBorders>
              <w:top w:val="single" w:sz="12" w:space="0" w:color="000000"/>
              <w:left w:val="single" w:sz="4" w:space="0" w:color="000000"/>
              <w:bottom w:val="single" w:sz="4" w:space="0" w:color="auto"/>
              <w:right w:val="single" w:sz="12" w:space="0" w:color="000000"/>
            </w:tcBorders>
            <w:shd w:val="clear" w:color="000000" w:fill="FFFFFF"/>
            <w:tcMar>
              <w:left w:w="56" w:type="dxa"/>
              <w:right w:w="56" w:type="dxa"/>
            </w:tcMar>
            <w:vAlign w:val="center"/>
          </w:tcPr>
          <w:p w:rsidR="002C5EE0" w:rsidRPr="002C5EE0" w:rsidRDefault="002C5EE0" w:rsidP="002C5EE0">
            <w:pPr>
              <w:bidi w:val="0"/>
              <w:snapToGrid w:val="0"/>
              <w:spacing w:after="0" w:line="240" w:lineRule="auto"/>
              <w:jc w:val="both"/>
              <w:rPr>
                <w:rFonts w:ascii="Times New Roman" w:eastAsia="Arial" w:hAnsi="Times New Roman" w:cs="Times New Roman"/>
                <w:sz w:val="20"/>
                <w:szCs w:val="20"/>
              </w:rPr>
            </w:pPr>
          </w:p>
        </w:tc>
        <w:tc>
          <w:tcPr>
            <w:tcW w:w="525" w:type="pct"/>
            <w:tcBorders>
              <w:top w:val="single" w:sz="12" w:space="0" w:color="auto"/>
              <w:left w:val="single" w:sz="4" w:space="0" w:color="auto"/>
              <w:bottom w:val="single" w:sz="4" w:space="0" w:color="auto"/>
              <w:right w:val="thickThinSmallGap" w:sz="18" w:space="0" w:color="auto"/>
            </w:tcBorders>
            <w:shd w:val="clear" w:color="000000" w:fill="FFFFFF"/>
            <w:tcMar>
              <w:left w:w="56" w:type="dxa"/>
              <w:right w:w="56" w:type="dxa"/>
            </w:tcMar>
            <w:vAlign w:val="center"/>
          </w:tcPr>
          <w:p w:rsidR="002C5EE0" w:rsidRPr="002C5EE0" w:rsidRDefault="002C5EE0" w:rsidP="002C5EE0">
            <w:pPr>
              <w:bidi w:val="0"/>
              <w:snapToGrid w:val="0"/>
              <w:spacing w:after="0" w:line="240" w:lineRule="auto"/>
              <w:jc w:val="both"/>
              <w:rPr>
                <w:rFonts w:ascii="Times New Roman" w:eastAsia="Arial" w:hAnsi="Times New Roman" w:cs="Times New Roman"/>
                <w:sz w:val="20"/>
                <w:szCs w:val="20"/>
              </w:rPr>
            </w:pPr>
          </w:p>
        </w:tc>
      </w:tr>
      <w:tr w:rsidR="002C5EE0" w:rsidRPr="002C5EE0" w:rsidTr="002C5EE0">
        <w:trPr>
          <w:jc w:val="center"/>
        </w:trPr>
        <w:tc>
          <w:tcPr>
            <w:tcW w:w="3020" w:type="pct"/>
            <w:tcBorders>
              <w:top w:val="single" w:sz="4" w:space="0" w:color="auto"/>
              <w:left w:val="thinThickSmallGap" w:sz="18" w:space="0" w:color="auto"/>
              <w:bottom w:val="single" w:sz="4" w:space="0" w:color="auto"/>
              <w:right w:val="single" w:sz="12" w:space="0" w:color="000000"/>
            </w:tcBorders>
            <w:shd w:val="clear" w:color="000000" w:fill="FFFFFF"/>
            <w:tcMar>
              <w:left w:w="56" w:type="dxa"/>
              <w:right w:w="56" w:type="dxa"/>
            </w:tcMar>
            <w:vAlign w:val="center"/>
          </w:tcPr>
          <w:p w:rsidR="002C5EE0" w:rsidRPr="002C5EE0" w:rsidRDefault="002C5EE0" w:rsidP="002C5EE0">
            <w:pPr>
              <w:bidi w:val="0"/>
              <w:snapToGrid w:val="0"/>
              <w:spacing w:after="0" w:line="240" w:lineRule="auto"/>
              <w:jc w:val="both"/>
              <w:rPr>
                <w:rFonts w:ascii="Times New Roman" w:hAnsi="Times New Roman" w:cs="Times New Roman"/>
                <w:sz w:val="20"/>
                <w:szCs w:val="20"/>
              </w:rPr>
            </w:pPr>
            <w:r w:rsidRPr="002C5EE0">
              <w:rPr>
                <w:rFonts w:ascii="Times New Roman" w:eastAsia="Times New Roman" w:hAnsi="Times New Roman" w:cs="Times New Roman"/>
                <w:sz w:val="20"/>
                <w:szCs w:val="20"/>
              </w:rPr>
              <w:t>-VE</w:t>
            </w:r>
          </w:p>
        </w:tc>
        <w:tc>
          <w:tcPr>
            <w:tcW w:w="341" w:type="pct"/>
            <w:tcBorders>
              <w:top w:val="single" w:sz="4" w:space="0" w:color="auto"/>
              <w:left w:val="single" w:sz="12" w:space="0" w:color="000000"/>
              <w:bottom w:val="single" w:sz="4" w:space="0" w:color="auto"/>
              <w:right w:val="single" w:sz="4" w:space="0" w:color="000000"/>
            </w:tcBorders>
            <w:shd w:val="clear" w:color="000000" w:fill="FFFFFF"/>
            <w:tcMar>
              <w:left w:w="56" w:type="dxa"/>
              <w:right w:w="56" w:type="dxa"/>
            </w:tcMar>
            <w:vAlign w:val="center"/>
          </w:tcPr>
          <w:p w:rsidR="002C5EE0" w:rsidRPr="002C5EE0" w:rsidRDefault="002C5EE0" w:rsidP="002C5EE0">
            <w:pPr>
              <w:bidi w:val="0"/>
              <w:snapToGrid w:val="0"/>
              <w:spacing w:after="0" w:line="240" w:lineRule="auto"/>
              <w:jc w:val="both"/>
              <w:rPr>
                <w:rFonts w:ascii="Times New Roman" w:hAnsi="Times New Roman" w:cs="Times New Roman"/>
                <w:sz w:val="20"/>
                <w:szCs w:val="20"/>
              </w:rPr>
            </w:pPr>
            <w:r w:rsidRPr="002C5EE0">
              <w:rPr>
                <w:rFonts w:ascii="Times New Roman" w:eastAsia="Times New Roman" w:hAnsi="Times New Roman" w:cs="Times New Roman"/>
                <w:sz w:val="20"/>
                <w:szCs w:val="20"/>
              </w:rPr>
              <w:t>10</w:t>
            </w:r>
          </w:p>
        </w:tc>
        <w:tc>
          <w:tcPr>
            <w:tcW w:w="387" w:type="pct"/>
            <w:tcBorders>
              <w:top w:val="single" w:sz="4" w:space="0" w:color="auto"/>
              <w:left w:val="single" w:sz="4" w:space="0" w:color="000000"/>
              <w:bottom w:val="single" w:sz="4" w:space="0" w:color="auto"/>
              <w:right w:val="single" w:sz="4" w:space="0" w:color="000000"/>
            </w:tcBorders>
            <w:shd w:val="clear" w:color="000000" w:fill="FFFFFF"/>
            <w:tcMar>
              <w:left w:w="56" w:type="dxa"/>
              <w:right w:w="56" w:type="dxa"/>
            </w:tcMar>
            <w:vAlign w:val="center"/>
          </w:tcPr>
          <w:p w:rsidR="002C5EE0" w:rsidRPr="002C5EE0" w:rsidRDefault="002C5EE0" w:rsidP="002C5EE0">
            <w:pPr>
              <w:bidi w:val="0"/>
              <w:snapToGrid w:val="0"/>
              <w:spacing w:after="0" w:line="240" w:lineRule="auto"/>
              <w:jc w:val="both"/>
              <w:rPr>
                <w:rFonts w:ascii="Times New Roman" w:hAnsi="Times New Roman" w:cs="Times New Roman"/>
                <w:sz w:val="20"/>
                <w:szCs w:val="20"/>
              </w:rPr>
            </w:pPr>
            <w:r w:rsidRPr="002C5EE0">
              <w:rPr>
                <w:rFonts w:ascii="Times New Roman" w:eastAsia="Times New Roman" w:hAnsi="Times New Roman" w:cs="Times New Roman"/>
                <w:sz w:val="20"/>
                <w:szCs w:val="20"/>
              </w:rPr>
              <w:t>28.6</w:t>
            </w:r>
          </w:p>
        </w:tc>
        <w:tc>
          <w:tcPr>
            <w:tcW w:w="341" w:type="pct"/>
            <w:tcBorders>
              <w:top w:val="single" w:sz="4" w:space="0" w:color="auto"/>
              <w:left w:val="single" w:sz="4" w:space="0" w:color="000000"/>
              <w:bottom w:val="single" w:sz="4" w:space="0" w:color="auto"/>
              <w:right w:val="single" w:sz="4" w:space="0" w:color="000000"/>
            </w:tcBorders>
            <w:shd w:val="clear" w:color="000000" w:fill="FFFFFF"/>
            <w:tcMar>
              <w:left w:w="56" w:type="dxa"/>
              <w:right w:w="56" w:type="dxa"/>
            </w:tcMar>
            <w:vAlign w:val="center"/>
          </w:tcPr>
          <w:p w:rsidR="002C5EE0" w:rsidRPr="002C5EE0" w:rsidRDefault="002C5EE0" w:rsidP="002C5EE0">
            <w:pPr>
              <w:bidi w:val="0"/>
              <w:snapToGrid w:val="0"/>
              <w:spacing w:after="0" w:line="240" w:lineRule="auto"/>
              <w:jc w:val="both"/>
              <w:rPr>
                <w:rFonts w:ascii="Times New Roman" w:hAnsi="Times New Roman" w:cs="Times New Roman"/>
                <w:sz w:val="20"/>
                <w:szCs w:val="20"/>
              </w:rPr>
            </w:pPr>
            <w:r w:rsidRPr="002C5EE0">
              <w:rPr>
                <w:rFonts w:ascii="Times New Roman" w:eastAsia="Times New Roman" w:hAnsi="Times New Roman" w:cs="Times New Roman"/>
                <w:sz w:val="20"/>
                <w:szCs w:val="20"/>
              </w:rPr>
              <w:t>15</w:t>
            </w:r>
          </w:p>
        </w:tc>
        <w:tc>
          <w:tcPr>
            <w:tcW w:w="387" w:type="pct"/>
            <w:tcBorders>
              <w:top w:val="single" w:sz="4" w:space="0" w:color="auto"/>
              <w:left w:val="single" w:sz="4" w:space="0" w:color="000000"/>
              <w:bottom w:val="single" w:sz="4" w:space="0" w:color="auto"/>
              <w:right w:val="single" w:sz="12" w:space="0" w:color="000000"/>
            </w:tcBorders>
            <w:shd w:val="clear" w:color="000000" w:fill="FFFFFF"/>
            <w:tcMar>
              <w:left w:w="56" w:type="dxa"/>
              <w:right w:w="56" w:type="dxa"/>
            </w:tcMar>
            <w:vAlign w:val="center"/>
          </w:tcPr>
          <w:p w:rsidR="002C5EE0" w:rsidRPr="002C5EE0" w:rsidRDefault="002C5EE0" w:rsidP="002C5EE0">
            <w:pPr>
              <w:bidi w:val="0"/>
              <w:snapToGrid w:val="0"/>
              <w:spacing w:after="0" w:line="240" w:lineRule="auto"/>
              <w:jc w:val="both"/>
              <w:rPr>
                <w:rFonts w:ascii="Times New Roman" w:hAnsi="Times New Roman" w:cs="Times New Roman"/>
                <w:sz w:val="20"/>
                <w:szCs w:val="20"/>
              </w:rPr>
            </w:pPr>
            <w:r w:rsidRPr="002C5EE0">
              <w:rPr>
                <w:rFonts w:ascii="Times New Roman" w:eastAsia="Times New Roman" w:hAnsi="Times New Roman" w:cs="Times New Roman"/>
                <w:sz w:val="20"/>
                <w:szCs w:val="20"/>
              </w:rPr>
              <w:t>53.6</w:t>
            </w:r>
          </w:p>
        </w:tc>
        <w:tc>
          <w:tcPr>
            <w:tcW w:w="525" w:type="pct"/>
            <w:vMerge w:val="restart"/>
            <w:tcBorders>
              <w:top w:val="single" w:sz="4" w:space="0" w:color="auto"/>
              <w:left w:val="single" w:sz="4" w:space="0" w:color="auto"/>
              <w:bottom w:val="thinThickSmallGap" w:sz="18" w:space="0" w:color="auto"/>
              <w:right w:val="thickThinSmallGap" w:sz="18" w:space="0" w:color="auto"/>
            </w:tcBorders>
            <w:shd w:val="clear" w:color="000000" w:fill="FFFFFF"/>
            <w:tcMar>
              <w:left w:w="56" w:type="dxa"/>
              <w:right w:w="56" w:type="dxa"/>
            </w:tcMar>
            <w:vAlign w:val="center"/>
          </w:tcPr>
          <w:p w:rsidR="002C5EE0" w:rsidRPr="002C5EE0" w:rsidRDefault="002C5EE0" w:rsidP="002C5EE0">
            <w:pPr>
              <w:bidi w:val="0"/>
              <w:snapToGrid w:val="0"/>
              <w:spacing w:after="0" w:line="240" w:lineRule="auto"/>
              <w:jc w:val="both"/>
              <w:rPr>
                <w:rFonts w:ascii="Times New Roman" w:hAnsi="Times New Roman" w:cs="Times New Roman"/>
                <w:sz w:val="20"/>
                <w:szCs w:val="20"/>
              </w:rPr>
            </w:pPr>
            <w:r w:rsidRPr="002C5EE0">
              <w:rPr>
                <w:rFonts w:ascii="Times New Roman" w:eastAsia="Times New Roman" w:hAnsi="Times New Roman" w:cs="Times New Roman"/>
                <w:sz w:val="20"/>
                <w:szCs w:val="20"/>
              </w:rPr>
              <w:t>0.044</w:t>
            </w:r>
            <w:r w:rsidRPr="002C5EE0">
              <w:rPr>
                <w:rFonts w:ascii="Times New Roman" w:eastAsia="Times New Roman" w:hAnsi="Times New Roman" w:cs="Times New Roman"/>
                <w:sz w:val="20"/>
                <w:szCs w:val="20"/>
                <w:vertAlign w:val="superscript"/>
              </w:rPr>
              <w:t>*</w:t>
            </w:r>
          </w:p>
        </w:tc>
      </w:tr>
      <w:tr w:rsidR="002C5EE0" w:rsidRPr="002C5EE0" w:rsidTr="002C5EE0">
        <w:trPr>
          <w:jc w:val="center"/>
        </w:trPr>
        <w:tc>
          <w:tcPr>
            <w:tcW w:w="3020" w:type="pct"/>
            <w:tcBorders>
              <w:top w:val="single" w:sz="4" w:space="0" w:color="auto"/>
              <w:left w:val="thinThickSmallGap" w:sz="18" w:space="0" w:color="auto"/>
              <w:bottom w:val="thickThinSmallGap" w:sz="18" w:space="0" w:color="auto"/>
              <w:right w:val="single" w:sz="12" w:space="0" w:color="000000"/>
            </w:tcBorders>
            <w:shd w:val="clear" w:color="000000" w:fill="FFFFFF"/>
            <w:tcMar>
              <w:left w:w="56" w:type="dxa"/>
              <w:right w:w="56" w:type="dxa"/>
            </w:tcMar>
            <w:vAlign w:val="center"/>
          </w:tcPr>
          <w:p w:rsidR="002C5EE0" w:rsidRPr="002C5EE0" w:rsidRDefault="002C5EE0" w:rsidP="002C5EE0">
            <w:pPr>
              <w:bidi w:val="0"/>
              <w:snapToGrid w:val="0"/>
              <w:spacing w:after="0" w:line="240" w:lineRule="auto"/>
              <w:jc w:val="both"/>
              <w:rPr>
                <w:rFonts w:ascii="Times New Roman" w:hAnsi="Times New Roman" w:cs="Times New Roman"/>
                <w:sz w:val="20"/>
                <w:szCs w:val="20"/>
              </w:rPr>
            </w:pPr>
            <w:r w:rsidRPr="002C5EE0">
              <w:rPr>
                <w:rFonts w:ascii="Times New Roman" w:eastAsia="Times New Roman" w:hAnsi="Times New Roman" w:cs="Times New Roman"/>
                <w:sz w:val="20"/>
                <w:szCs w:val="20"/>
              </w:rPr>
              <w:t>+VE</w:t>
            </w:r>
          </w:p>
        </w:tc>
        <w:tc>
          <w:tcPr>
            <w:tcW w:w="341" w:type="pct"/>
            <w:tcBorders>
              <w:top w:val="single" w:sz="4" w:space="0" w:color="auto"/>
              <w:left w:val="single" w:sz="12" w:space="0" w:color="000000"/>
              <w:bottom w:val="thickThinSmallGap" w:sz="18" w:space="0" w:color="auto"/>
              <w:right w:val="single" w:sz="4" w:space="0" w:color="000000"/>
            </w:tcBorders>
            <w:shd w:val="clear" w:color="000000" w:fill="FFFFFF"/>
            <w:tcMar>
              <w:left w:w="56" w:type="dxa"/>
              <w:right w:w="56" w:type="dxa"/>
            </w:tcMar>
            <w:vAlign w:val="center"/>
          </w:tcPr>
          <w:p w:rsidR="002C5EE0" w:rsidRPr="002C5EE0" w:rsidRDefault="002C5EE0" w:rsidP="002C5EE0">
            <w:pPr>
              <w:bidi w:val="0"/>
              <w:snapToGrid w:val="0"/>
              <w:spacing w:after="0" w:line="240" w:lineRule="auto"/>
              <w:jc w:val="both"/>
              <w:rPr>
                <w:rFonts w:ascii="Times New Roman" w:hAnsi="Times New Roman" w:cs="Times New Roman"/>
                <w:sz w:val="20"/>
                <w:szCs w:val="20"/>
              </w:rPr>
            </w:pPr>
            <w:r w:rsidRPr="002C5EE0">
              <w:rPr>
                <w:rFonts w:ascii="Times New Roman" w:eastAsia="Times New Roman" w:hAnsi="Times New Roman" w:cs="Times New Roman"/>
                <w:sz w:val="20"/>
                <w:szCs w:val="20"/>
              </w:rPr>
              <w:t>25</w:t>
            </w:r>
          </w:p>
        </w:tc>
        <w:tc>
          <w:tcPr>
            <w:tcW w:w="387" w:type="pct"/>
            <w:tcBorders>
              <w:top w:val="single" w:sz="4" w:space="0" w:color="auto"/>
              <w:left w:val="single" w:sz="4" w:space="0" w:color="000000"/>
              <w:bottom w:val="thickThinSmallGap" w:sz="18" w:space="0" w:color="auto"/>
              <w:right w:val="single" w:sz="4" w:space="0" w:color="000000"/>
            </w:tcBorders>
            <w:shd w:val="clear" w:color="000000" w:fill="FFFFFF"/>
            <w:tcMar>
              <w:left w:w="56" w:type="dxa"/>
              <w:right w:w="56" w:type="dxa"/>
            </w:tcMar>
            <w:vAlign w:val="center"/>
          </w:tcPr>
          <w:p w:rsidR="002C5EE0" w:rsidRPr="002C5EE0" w:rsidRDefault="002C5EE0" w:rsidP="002C5EE0">
            <w:pPr>
              <w:bidi w:val="0"/>
              <w:snapToGrid w:val="0"/>
              <w:spacing w:after="0" w:line="240" w:lineRule="auto"/>
              <w:jc w:val="both"/>
              <w:rPr>
                <w:rFonts w:ascii="Times New Roman" w:hAnsi="Times New Roman" w:cs="Times New Roman"/>
                <w:sz w:val="20"/>
                <w:szCs w:val="20"/>
              </w:rPr>
            </w:pPr>
            <w:r w:rsidRPr="002C5EE0">
              <w:rPr>
                <w:rFonts w:ascii="Times New Roman" w:eastAsia="Times New Roman" w:hAnsi="Times New Roman" w:cs="Times New Roman"/>
                <w:sz w:val="20"/>
                <w:szCs w:val="20"/>
              </w:rPr>
              <w:t>71.4</w:t>
            </w:r>
          </w:p>
        </w:tc>
        <w:tc>
          <w:tcPr>
            <w:tcW w:w="341" w:type="pct"/>
            <w:tcBorders>
              <w:top w:val="single" w:sz="4" w:space="0" w:color="auto"/>
              <w:left w:val="single" w:sz="4" w:space="0" w:color="000000"/>
              <w:bottom w:val="thickThinSmallGap" w:sz="18" w:space="0" w:color="auto"/>
              <w:right w:val="single" w:sz="4" w:space="0" w:color="000000"/>
            </w:tcBorders>
            <w:shd w:val="clear" w:color="000000" w:fill="FFFFFF"/>
            <w:tcMar>
              <w:left w:w="56" w:type="dxa"/>
              <w:right w:w="56" w:type="dxa"/>
            </w:tcMar>
            <w:vAlign w:val="center"/>
          </w:tcPr>
          <w:p w:rsidR="002C5EE0" w:rsidRPr="002C5EE0" w:rsidRDefault="002C5EE0" w:rsidP="002C5EE0">
            <w:pPr>
              <w:bidi w:val="0"/>
              <w:snapToGrid w:val="0"/>
              <w:spacing w:after="0" w:line="240" w:lineRule="auto"/>
              <w:jc w:val="both"/>
              <w:rPr>
                <w:rFonts w:ascii="Times New Roman" w:hAnsi="Times New Roman" w:cs="Times New Roman"/>
                <w:sz w:val="20"/>
                <w:szCs w:val="20"/>
              </w:rPr>
            </w:pPr>
            <w:r w:rsidRPr="002C5EE0">
              <w:rPr>
                <w:rFonts w:ascii="Times New Roman" w:eastAsia="Times New Roman" w:hAnsi="Times New Roman" w:cs="Times New Roman"/>
                <w:sz w:val="20"/>
                <w:szCs w:val="20"/>
              </w:rPr>
              <w:t>13</w:t>
            </w:r>
          </w:p>
        </w:tc>
        <w:tc>
          <w:tcPr>
            <w:tcW w:w="387" w:type="pct"/>
            <w:tcBorders>
              <w:top w:val="single" w:sz="4" w:space="0" w:color="auto"/>
              <w:left w:val="single" w:sz="4" w:space="0" w:color="000000"/>
              <w:bottom w:val="thickThinSmallGap" w:sz="18" w:space="0" w:color="auto"/>
              <w:right w:val="single" w:sz="12" w:space="0" w:color="000000"/>
            </w:tcBorders>
            <w:shd w:val="clear" w:color="000000" w:fill="FFFFFF"/>
            <w:tcMar>
              <w:left w:w="56" w:type="dxa"/>
              <w:right w:w="56" w:type="dxa"/>
            </w:tcMar>
            <w:vAlign w:val="center"/>
          </w:tcPr>
          <w:p w:rsidR="002C5EE0" w:rsidRPr="002C5EE0" w:rsidRDefault="002C5EE0" w:rsidP="002C5EE0">
            <w:pPr>
              <w:bidi w:val="0"/>
              <w:snapToGrid w:val="0"/>
              <w:spacing w:after="0" w:line="240" w:lineRule="auto"/>
              <w:jc w:val="both"/>
              <w:rPr>
                <w:rFonts w:ascii="Times New Roman" w:hAnsi="Times New Roman" w:cs="Times New Roman"/>
                <w:sz w:val="20"/>
                <w:szCs w:val="20"/>
              </w:rPr>
            </w:pPr>
            <w:r w:rsidRPr="002C5EE0">
              <w:rPr>
                <w:rFonts w:ascii="Times New Roman" w:eastAsia="Times New Roman" w:hAnsi="Times New Roman" w:cs="Times New Roman"/>
                <w:sz w:val="20"/>
                <w:szCs w:val="20"/>
              </w:rPr>
              <w:t>46.4</w:t>
            </w:r>
          </w:p>
        </w:tc>
        <w:tc>
          <w:tcPr>
            <w:tcW w:w="525" w:type="pct"/>
            <w:vMerge/>
            <w:tcBorders>
              <w:top w:val="single" w:sz="18" w:space="0" w:color="000000"/>
              <w:left w:val="single" w:sz="4" w:space="0" w:color="auto"/>
              <w:bottom w:val="thickThinSmallGap" w:sz="18" w:space="0" w:color="auto"/>
              <w:right w:val="thickThinSmallGap" w:sz="18" w:space="0" w:color="auto"/>
            </w:tcBorders>
            <w:shd w:val="clear" w:color="000000" w:fill="FFFFFF"/>
            <w:tcMar>
              <w:left w:w="56" w:type="dxa"/>
              <w:right w:w="56" w:type="dxa"/>
            </w:tcMar>
            <w:vAlign w:val="center"/>
          </w:tcPr>
          <w:p w:rsidR="002C5EE0" w:rsidRPr="002C5EE0" w:rsidRDefault="002C5EE0" w:rsidP="002C5EE0">
            <w:pPr>
              <w:bidi w:val="0"/>
              <w:snapToGrid w:val="0"/>
              <w:spacing w:after="0" w:line="240" w:lineRule="auto"/>
              <w:jc w:val="both"/>
              <w:rPr>
                <w:rFonts w:ascii="Times New Roman" w:hAnsi="Times New Roman" w:cs="Times New Roman"/>
                <w:sz w:val="20"/>
                <w:szCs w:val="20"/>
              </w:rPr>
            </w:pPr>
          </w:p>
        </w:tc>
      </w:tr>
    </w:tbl>
    <w:p w:rsidR="00C00E76" w:rsidRDefault="00C00E76" w:rsidP="002C5EE0">
      <w:pPr>
        <w:bidi w:val="0"/>
        <w:snapToGrid w:val="0"/>
        <w:spacing w:after="0" w:line="240" w:lineRule="auto"/>
        <w:jc w:val="center"/>
        <w:rPr>
          <w:rFonts w:ascii="Times New Roman" w:hAnsi="Times New Roman" w:cs="Times New Roman" w:hint="eastAsia"/>
          <w:sz w:val="20"/>
          <w:szCs w:val="20"/>
          <w:lang w:eastAsia="zh-CN"/>
        </w:rPr>
      </w:pPr>
    </w:p>
    <w:p w:rsidR="0082106D" w:rsidRPr="002C5EE0" w:rsidRDefault="0082106D" w:rsidP="00C00E76">
      <w:pPr>
        <w:bidi w:val="0"/>
        <w:snapToGrid w:val="0"/>
        <w:spacing w:after="0" w:line="240" w:lineRule="auto"/>
        <w:jc w:val="center"/>
        <w:rPr>
          <w:rFonts w:ascii="Times New Roman" w:hAnsi="Times New Roman" w:cs="Times New Roman"/>
          <w:sz w:val="20"/>
          <w:szCs w:val="20"/>
        </w:rPr>
      </w:pPr>
      <w:r w:rsidRPr="002C5EE0">
        <w:rPr>
          <w:rFonts w:ascii="Times New Roman" w:hAnsi="Times New Roman" w:cs="Times New Roman"/>
          <w:noProof/>
          <w:sz w:val="20"/>
          <w:szCs w:val="20"/>
          <w:lang w:eastAsia="zh-CN"/>
        </w:rPr>
        <w:lastRenderedPageBreak/>
        <w:drawing>
          <wp:inline distT="0" distB="0" distL="0" distR="0">
            <wp:extent cx="4568853" cy="2488758"/>
            <wp:effectExtent l="19050" t="0" r="3147" b="0"/>
            <wp:docPr id="104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1"/>
                    <pic:cNvPicPr/>
                  </pic:nvPicPr>
                  <pic:blipFill>
                    <a:blip r:embed="rId24" cstate="print"/>
                    <a:srcRect/>
                    <a:stretch/>
                  </pic:blipFill>
                  <pic:spPr>
                    <a:xfrm>
                      <a:off x="0" y="0"/>
                      <a:ext cx="4573516" cy="2491298"/>
                    </a:xfrm>
                    <a:prstGeom prst="rect">
                      <a:avLst/>
                    </a:prstGeom>
                  </pic:spPr>
                </pic:pic>
              </a:graphicData>
            </a:graphic>
          </wp:inline>
        </w:drawing>
      </w:r>
    </w:p>
    <w:p w:rsidR="00523D36" w:rsidRPr="002C5EE0" w:rsidRDefault="00415B1C" w:rsidP="002C5EE0">
      <w:pPr>
        <w:bidi w:val="0"/>
        <w:snapToGrid w:val="0"/>
        <w:spacing w:after="0" w:line="240" w:lineRule="auto"/>
        <w:jc w:val="center"/>
        <w:rPr>
          <w:rFonts w:ascii="Times New Roman" w:hAnsi="Times New Roman" w:cs="Times New Roman"/>
          <w:b/>
          <w:bCs/>
          <w:sz w:val="20"/>
          <w:szCs w:val="20"/>
          <w:lang w:bidi="ar-EG"/>
        </w:rPr>
      </w:pPr>
      <w:r w:rsidRPr="002C5EE0">
        <w:rPr>
          <w:rFonts w:ascii="Times New Roman" w:hAnsi="Times New Roman" w:cs="Times New Roman"/>
          <w:b/>
          <w:bCs/>
          <w:sz w:val="20"/>
          <w:szCs w:val="20"/>
          <w:lang w:bidi="ar-EG"/>
        </w:rPr>
        <w:t>Figur</w:t>
      </w:r>
      <w:r w:rsidR="004B07CF" w:rsidRPr="002C5EE0">
        <w:rPr>
          <w:rFonts w:ascii="Times New Roman" w:hAnsi="Times New Roman" w:cs="Times New Roman"/>
          <w:b/>
          <w:bCs/>
          <w:sz w:val="20"/>
          <w:szCs w:val="20"/>
          <w:lang w:bidi="ar-EG"/>
        </w:rPr>
        <w:t>e (</w:t>
      </w:r>
      <w:r w:rsidRPr="002C5EE0">
        <w:rPr>
          <w:rFonts w:ascii="Times New Roman" w:hAnsi="Times New Roman" w:cs="Times New Roman"/>
          <w:b/>
          <w:bCs/>
          <w:sz w:val="20"/>
          <w:szCs w:val="20"/>
          <w:lang w:bidi="ar-EG"/>
        </w:rPr>
        <w:t xml:space="preserve">6): </w:t>
      </w:r>
      <w:r w:rsidRPr="002C5EE0">
        <w:rPr>
          <w:rFonts w:ascii="Times New Roman" w:eastAsia="Times New Roman" w:hAnsi="Times New Roman" w:cs="Times New Roman"/>
          <w:b/>
          <w:sz w:val="20"/>
          <w:szCs w:val="20"/>
        </w:rPr>
        <w:t xml:space="preserve">Achieving ovulation after dose 10000 </w:t>
      </w:r>
      <w:proofErr w:type="spellStart"/>
      <w:r w:rsidRPr="002C5EE0">
        <w:rPr>
          <w:rFonts w:ascii="Times New Roman" w:eastAsia="Times New Roman" w:hAnsi="Times New Roman" w:cs="Times New Roman"/>
          <w:b/>
          <w:sz w:val="20"/>
          <w:szCs w:val="20"/>
        </w:rPr>
        <w:t>hcg</w:t>
      </w:r>
      <w:proofErr w:type="spellEnd"/>
    </w:p>
    <w:p w:rsidR="008D1EA9" w:rsidRPr="002C5EE0" w:rsidRDefault="008D1EA9" w:rsidP="002C5EE0">
      <w:pPr>
        <w:bidi w:val="0"/>
        <w:snapToGrid w:val="0"/>
        <w:spacing w:after="0" w:line="240" w:lineRule="auto"/>
        <w:jc w:val="center"/>
        <w:rPr>
          <w:rFonts w:ascii="Times New Roman" w:hAnsi="Times New Roman" w:cs="Times New Roman"/>
          <w:sz w:val="20"/>
          <w:szCs w:val="20"/>
        </w:rPr>
      </w:pPr>
    </w:p>
    <w:p w:rsidR="00523D36" w:rsidRPr="002C5EE0" w:rsidRDefault="0082106D" w:rsidP="002C5EE0">
      <w:pPr>
        <w:bidi w:val="0"/>
        <w:snapToGrid w:val="0"/>
        <w:spacing w:after="0" w:line="240" w:lineRule="auto"/>
        <w:jc w:val="both"/>
        <w:rPr>
          <w:rFonts w:ascii="Times New Roman" w:hAnsi="Times New Roman" w:cs="Times New Roman"/>
          <w:b/>
          <w:bCs/>
          <w:sz w:val="20"/>
          <w:szCs w:val="20"/>
        </w:rPr>
      </w:pPr>
      <w:r w:rsidRPr="002C5EE0">
        <w:rPr>
          <w:rFonts w:ascii="Times New Roman" w:hAnsi="Times New Roman" w:cs="Times New Roman"/>
          <w:b/>
          <w:bCs/>
          <w:sz w:val="20"/>
          <w:szCs w:val="20"/>
        </w:rPr>
        <w:t>Table (5</w:t>
      </w:r>
      <w:r w:rsidR="00523D36" w:rsidRPr="002C5EE0">
        <w:rPr>
          <w:rFonts w:ascii="Times New Roman" w:hAnsi="Times New Roman" w:cs="Times New Roman"/>
          <w:b/>
          <w:bCs/>
          <w:sz w:val="20"/>
          <w:szCs w:val="20"/>
        </w:rPr>
        <w:t>):</w:t>
      </w:r>
      <w:r w:rsidR="00523D36" w:rsidRPr="002C5EE0">
        <w:rPr>
          <w:rFonts w:ascii="Times New Roman" w:hAnsi="Times New Roman" w:cs="Times New Roman"/>
          <w:b/>
          <w:bCs/>
          <w:sz w:val="20"/>
          <w:szCs w:val="20"/>
        </w:rPr>
        <w:tab/>
        <w:t xml:space="preserve">Comparison between the two studied groups according to </w:t>
      </w:r>
      <w:proofErr w:type="spellStart"/>
      <w:r w:rsidR="00523D36" w:rsidRPr="002C5EE0">
        <w:rPr>
          <w:rFonts w:ascii="Times New Roman" w:hAnsi="Times New Roman" w:cs="Times New Roman"/>
          <w:b/>
          <w:bCs/>
          <w:sz w:val="20"/>
          <w:szCs w:val="20"/>
        </w:rPr>
        <w:t>ultrasonography</w:t>
      </w:r>
      <w:proofErr w:type="spellEnd"/>
      <w:r w:rsidR="00523D36" w:rsidRPr="002C5EE0">
        <w:rPr>
          <w:rFonts w:ascii="Times New Roman" w:hAnsi="Times New Roman" w:cs="Times New Roman"/>
          <w:b/>
          <w:bCs/>
          <w:sz w:val="20"/>
          <w:szCs w:val="20"/>
        </w:rPr>
        <w:t xml:space="preserve"> (No. of</w:t>
      </w:r>
      <w:r w:rsidRPr="002C5EE0">
        <w:rPr>
          <w:rFonts w:ascii="Times New Roman" w:hAnsi="Times New Roman" w:cs="Times New Roman"/>
          <w:b/>
          <w:bCs/>
          <w:sz w:val="20"/>
          <w:szCs w:val="20"/>
        </w:rPr>
        <w:t xml:space="preserve"> mature</w:t>
      </w:r>
      <w:r w:rsidR="00523D36" w:rsidRPr="002C5EE0">
        <w:rPr>
          <w:rFonts w:ascii="Times New Roman" w:hAnsi="Times New Roman" w:cs="Times New Roman"/>
          <w:b/>
          <w:bCs/>
          <w:sz w:val="20"/>
          <w:szCs w:val="20"/>
        </w:rPr>
        <w:t xml:space="preserve"> follicles)</w:t>
      </w:r>
    </w:p>
    <w:tbl>
      <w:tblPr>
        <w:tblStyle w:val="TableGrid"/>
        <w:tblW w:w="5000" w:type="pct"/>
        <w:jc w:val="center"/>
        <w:tblBorders>
          <w:top w:val="thinThickSmallGap" w:sz="18" w:space="0" w:color="auto"/>
          <w:left w:val="thinThickSmallGap" w:sz="18" w:space="0" w:color="auto"/>
          <w:bottom w:val="thickThinSmallGap" w:sz="18" w:space="0" w:color="auto"/>
          <w:right w:val="thickThinSmallGap" w:sz="18" w:space="0" w:color="auto"/>
          <w:insideH w:val="single" w:sz="4" w:space="0" w:color="000000"/>
          <w:insideV w:val="single" w:sz="4" w:space="0" w:color="000000"/>
        </w:tblBorders>
        <w:tblCellMar>
          <w:left w:w="57" w:type="dxa"/>
          <w:right w:w="57" w:type="dxa"/>
        </w:tblCellMar>
        <w:tblLook w:val="04A0"/>
      </w:tblPr>
      <w:tblGrid>
        <w:gridCol w:w="2626"/>
        <w:gridCol w:w="1279"/>
        <w:gridCol w:w="1456"/>
        <w:gridCol w:w="1486"/>
        <w:gridCol w:w="1685"/>
        <w:gridCol w:w="944"/>
      </w:tblGrid>
      <w:tr w:rsidR="00523D36" w:rsidRPr="002C5EE0" w:rsidTr="002C5EE0">
        <w:trPr>
          <w:cantSplit/>
          <w:jc w:val="center"/>
        </w:trPr>
        <w:tc>
          <w:tcPr>
            <w:tcW w:w="1386" w:type="pct"/>
            <w:vMerge w:val="restart"/>
            <w:tcBorders>
              <w:top w:val="thinThickSmallGap" w:sz="18" w:space="0" w:color="auto"/>
              <w:left w:val="thinThickSmallGap" w:sz="18" w:space="0" w:color="auto"/>
              <w:right w:val="single" w:sz="12" w:space="0" w:color="auto"/>
            </w:tcBorders>
            <w:vAlign w:val="center"/>
          </w:tcPr>
          <w:p w:rsidR="00523D36" w:rsidRPr="002C5EE0" w:rsidRDefault="00523D36" w:rsidP="002C5EE0">
            <w:pPr>
              <w:bidi w:val="0"/>
              <w:snapToGrid w:val="0"/>
              <w:jc w:val="both"/>
              <w:rPr>
                <w:rFonts w:ascii="Times New Roman" w:hAnsi="Times New Roman" w:cs="Times New Roman"/>
                <w:b/>
                <w:bCs/>
                <w:sz w:val="20"/>
                <w:szCs w:val="20"/>
              </w:rPr>
            </w:pPr>
            <w:proofErr w:type="spellStart"/>
            <w:r w:rsidRPr="002C5EE0">
              <w:rPr>
                <w:rFonts w:ascii="Times New Roman" w:hAnsi="Times New Roman" w:cs="Times New Roman"/>
                <w:b/>
                <w:bCs/>
                <w:sz w:val="20"/>
                <w:szCs w:val="20"/>
              </w:rPr>
              <w:t>Ultrasonography</w:t>
            </w:r>
            <w:proofErr w:type="spellEnd"/>
          </w:p>
        </w:tc>
        <w:tc>
          <w:tcPr>
            <w:tcW w:w="1443" w:type="pct"/>
            <w:gridSpan w:val="2"/>
            <w:tcBorders>
              <w:top w:val="thinThickSmallGap" w:sz="18" w:space="0" w:color="auto"/>
              <w:left w:val="single" w:sz="12" w:space="0" w:color="auto"/>
              <w:bottom w:val="single" w:sz="4" w:space="0" w:color="auto"/>
            </w:tcBorders>
            <w:vAlign w:val="center"/>
          </w:tcPr>
          <w:p w:rsidR="00523D36" w:rsidRPr="002C5EE0" w:rsidRDefault="00523D36" w:rsidP="002C5EE0">
            <w:pPr>
              <w:bidi w:val="0"/>
              <w:snapToGrid w:val="0"/>
              <w:jc w:val="both"/>
              <w:rPr>
                <w:rFonts w:ascii="Times New Roman" w:hAnsi="Times New Roman" w:cs="Times New Roman"/>
                <w:b/>
                <w:bCs/>
                <w:sz w:val="20"/>
                <w:szCs w:val="20"/>
              </w:rPr>
            </w:pPr>
            <w:proofErr w:type="spellStart"/>
            <w:r w:rsidRPr="002C5EE0">
              <w:rPr>
                <w:rFonts w:ascii="Times New Roman" w:hAnsi="Times New Roman" w:cs="Times New Roman"/>
                <w:b/>
                <w:bCs/>
                <w:sz w:val="20"/>
                <w:szCs w:val="20"/>
              </w:rPr>
              <w:t>Letrozole</w:t>
            </w:r>
            <w:proofErr w:type="spellEnd"/>
            <w:r w:rsidR="002C5EE0" w:rsidRPr="002C5EE0">
              <w:rPr>
                <w:rFonts w:ascii="Times New Roman" w:hAnsi="Times New Roman" w:cs="Times New Roman" w:hint="eastAsia"/>
                <w:b/>
                <w:bCs/>
                <w:sz w:val="20"/>
                <w:szCs w:val="20"/>
                <w:lang w:eastAsia="zh-CN"/>
              </w:rPr>
              <w:t xml:space="preserve"> </w:t>
            </w:r>
            <w:r w:rsidRPr="002C5EE0">
              <w:rPr>
                <w:rFonts w:ascii="Times New Roman" w:hAnsi="Times New Roman" w:cs="Times New Roman"/>
                <w:b/>
                <w:bCs/>
                <w:sz w:val="20"/>
                <w:szCs w:val="20"/>
              </w:rPr>
              <w:t>(n = 50)</w:t>
            </w:r>
          </w:p>
        </w:tc>
        <w:tc>
          <w:tcPr>
            <w:tcW w:w="1673" w:type="pct"/>
            <w:gridSpan w:val="2"/>
            <w:tcBorders>
              <w:top w:val="thinThickSmallGap" w:sz="18" w:space="0" w:color="auto"/>
              <w:bottom w:val="single" w:sz="4" w:space="0" w:color="auto"/>
              <w:right w:val="single" w:sz="12" w:space="0" w:color="auto"/>
            </w:tcBorders>
            <w:vAlign w:val="center"/>
          </w:tcPr>
          <w:p w:rsidR="00523D36" w:rsidRPr="002C5EE0" w:rsidRDefault="00523D36" w:rsidP="002C5EE0">
            <w:pPr>
              <w:bidi w:val="0"/>
              <w:snapToGrid w:val="0"/>
              <w:jc w:val="both"/>
              <w:rPr>
                <w:rFonts w:ascii="Times New Roman" w:hAnsi="Times New Roman" w:cs="Times New Roman"/>
                <w:b/>
                <w:bCs/>
                <w:sz w:val="20"/>
                <w:szCs w:val="20"/>
              </w:rPr>
            </w:pPr>
            <w:proofErr w:type="spellStart"/>
            <w:r w:rsidRPr="002C5EE0">
              <w:rPr>
                <w:rFonts w:ascii="Times New Roman" w:hAnsi="Times New Roman" w:cs="Times New Roman"/>
                <w:b/>
                <w:bCs/>
                <w:sz w:val="20"/>
                <w:szCs w:val="20"/>
              </w:rPr>
              <w:t>Tamoxafine</w:t>
            </w:r>
            <w:proofErr w:type="spellEnd"/>
            <w:r w:rsidR="002C5EE0" w:rsidRPr="002C5EE0">
              <w:rPr>
                <w:rFonts w:ascii="Times New Roman" w:hAnsi="Times New Roman" w:cs="Times New Roman" w:hint="eastAsia"/>
                <w:b/>
                <w:bCs/>
                <w:sz w:val="20"/>
                <w:szCs w:val="20"/>
                <w:lang w:eastAsia="zh-CN"/>
              </w:rPr>
              <w:t xml:space="preserve"> </w:t>
            </w:r>
            <w:r w:rsidRPr="002C5EE0">
              <w:rPr>
                <w:rFonts w:ascii="Times New Roman" w:hAnsi="Times New Roman" w:cs="Times New Roman"/>
                <w:b/>
                <w:bCs/>
                <w:sz w:val="20"/>
                <w:szCs w:val="20"/>
              </w:rPr>
              <w:t>( n = 50)</w:t>
            </w:r>
          </w:p>
        </w:tc>
        <w:tc>
          <w:tcPr>
            <w:tcW w:w="498" w:type="pct"/>
            <w:vMerge w:val="restart"/>
            <w:tcBorders>
              <w:top w:val="thinThickSmallGap" w:sz="18" w:space="0" w:color="auto"/>
              <w:right w:val="thickThinSmallGap" w:sz="18" w:space="0" w:color="auto"/>
            </w:tcBorders>
            <w:vAlign w:val="center"/>
          </w:tcPr>
          <w:p w:rsidR="00523D36" w:rsidRPr="002C5EE0" w:rsidRDefault="00523D36" w:rsidP="002C5EE0">
            <w:pPr>
              <w:bidi w:val="0"/>
              <w:snapToGrid w:val="0"/>
              <w:jc w:val="both"/>
              <w:rPr>
                <w:rFonts w:ascii="Times New Roman" w:hAnsi="Times New Roman" w:cs="Times New Roman"/>
                <w:b/>
                <w:bCs/>
                <w:sz w:val="20"/>
                <w:szCs w:val="20"/>
              </w:rPr>
            </w:pPr>
            <w:r w:rsidRPr="002C5EE0">
              <w:rPr>
                <w:rFonts w:ascii="Times New Roman" w:hAnsi="Times New Roman" w:cs="Times New Roman"/>
                <w:b/>
                <w:bCs/>
                <w:sz w:val="20"/>
                <w:szCs w:val="20"/>
              </w:rPr>
              <w:t>P</w:t>
            </w:r>
          </w:p>
        </w:tc>
      </w:tr>
      <w:tr w:rsidR="00523D36" w:rsidRPr="002C5EE0" w:rsidTr="002C5EE0">
        <w:trPr>
          <w:cantSplit/>
          <w:jc w:val="center"/>
        </w:trPr>
        <w:tc>
          <w:tcPr>
            <w:tcW w:w="1386" w:type="pct"/>
            <w:vMerge/>
            <w:tcBorders>
              <w:left w:val="thinThickSmallGap" w:sz="18" w:space="0" w:color="auto"/>
              <w:bottom w:val="single" w:sz="12" w:space="0" w:color="auto"/>
              <w:right w:val="single" w:sz="12" w:space="0" w:color="auto"/>
            </w:tcBorders>
            <w:vAlign w:val="center"/>
          </w:tcPr>
          <w:p w:rsidR="00523D36" w:rsidRPr="002C5EE0" w:rsidRDefault="00523D36" w:rsidP="002C5EE0">
            <w:pPr>
              <w:bidi w:val="0"/>
              <w:snapToGrid w:val="0"/>
              <w:jc w:val="both"/>
              <w:rPr>
                <w:rFonts w:ascii="Times New Roman" w:hAnsi="Times New Roman" w:cs="Times New Roman"/>
                <w:b/>
                <w:bCs/>
                <w:sz w:val="20"/>
                <w:szCs w:val="20"/>
              </w:rPr>
            </w:pPr>
          </w:p>
        </w:tc>
        <w:tc>
          <w:tcPr>
            <w:tcW w:w="675" w:type="pct"/>
            <w:tcBorders>
              <w:top w:val="single" w:sz="4" w:space="0" w:color="auto"/>
              <w:left w:val="single" w:sz="12" w:space="0" w:color="auto"/>
              <w:bottom w:val="single" w:sz="12" w:space="0" w:color="auto"/>
              <w:right w:val="single" w:sz="4" w:space="0" w:color="auto"/>
            </w:tcBorders>
            <w:vAlign w:val="center"/>
          </w:tcPr>
          <w:p w:rsidR="00523D36" w:rsidRPr="002C5EE0" w:rsidRDefault="00523D36" w:rsidP="002C5EE0">
            <w:pPr>
              <w:bidi w:val="0"/>
              <w:snapToGrid w:val="0"/>
              <w:jc w:val="both"/>
              <w:rPr>
                <w:rFonts w:ascii="Times New Roman" w:hAnsi="Times New Roman" w:cs="Times New Roman"/>
                <w:b/>
                <w:bCs/>
                <w:sz w:val="20"/>
                <w:szCs w:val="20"/>
              </w:rPr>
            </w:pPr>
            <w:r w:rsidRPr="002C5EE0">
              <w:rPr>
                <w:rFonts w:ascii="Times New Roman" w:hAnsi="Times New Roman" w:cs="Times New Roman"/>
                <w:b/>
                <w:bCs/>
                <w:sz w:val="20"/>
                <w:szCs w:val="20"/>
              </w:rPr>
              <w:t>No.</w:t>
            </w:r>
          </w:p>
        </w:tc>
        <w:tc>
          <w:tcPr>
            <w:tcW w:w="767" w:type="pct"/>
            <w:tcBorders>
              <w:top w:val="single" w:sz="4" w:space="0" w:color="auto"/>
              <w:left w:val="single" w:sz="4" w:space="0" w:color="auto"/>
              <w:bottom w:val="single" w:sz="12" w:space="0" w:color="auto"/>
              <w:right w:val="single" w:sz="4" w:space="0" w:color="auto"/>
            </w:tcBorders>
            <w:vAlign w:val="center"/>
          </w:tcPr>
          <w:p w:rsidR="00523D36" w:rsidRPr="002C5EE0" w:rsidRDefault="00523D36" w:rsidP="002C5EE0">
            <w:pPr>
              <w:bidi w:val="0"/>
              <w:snapToGrid w:val="0"/>
              <w:jc w:val="both"/>
              <w:rPr>
                <w:rFonts w:ascii="Times New Roman" w:hAnsi="Times New Roman" w:cs="Times New Roman"/>
                <w:b/>
                <w:bCs/>
                <w:sz w:val="20"/>
                <w:szCs w:val="20"/>
              </w:rPr>
            </w:pPr>
            <w:r w:rsidRPr="002C5EE0">
              <w:rPr>
                <w:rFonts w:ascii="Times New Roman" w:hAnsi="Times New Roman" w:cs="Times New Roman"/>
                <w:b/>
                <w:bCs/>
                <w:sz w:val="20"/>
                <w:szCs w:val="20"/>
              </w:rPr>
              <w:t>%</w:t>
            </w:r>
          </w:p>
        </w:tc>
        <w:tc>
          <w:tcPr>
            <w:tcW w:w="784" w:type="pct"/>
            <w:tcBorders>
              <w:top w:val="single" w:sz="4" w:space="0" w:color="auto"/>
              <w:left w:val="single" w:sz="4" w:space="0" w:color="auto"/>
              <w:bottom w:val="single" w:sz="12" w:space="0" w:color="auto"/>
              <w:right w:val="single" w:sz="4" w:space="0" w:color="auto"/>
            </w:tcBorders>
            <w:vAlign w:val="center"/>
          </w:tcPr>
          <w:p w:rsidR="00523D36" w:rsidRPr="002C5EE0" w:rsidRDefault="00523D36" w:rsidP="002C5EE0">
            <w:pPr>
              <w:bidi w:val="0"/>
              <w:snapToGrid w:val="0"/>
              <w:jc w:val="both"/>
              <w:rPr>
                <w:rFonts w:ascii="Times New Roman" w:hAnsi="Times New Roman" w:cs="Times New Roman"/>
                <w:b/>
                <w:bCs/>
                <w:sz w:val="20"/>
                <w:szCs w:val="20"/>
              </w:rPr>
            </w:pPr>
            <w:r w:rsidRPr="002C5EE0">
              <w:rPr>
                <w:rFonts w:ascii="Times New Roman" w:hAnsi="Times New Roman" w:cs="Times New Roman"/>
                <w:b/>
                <w:bCs/>
                <w:sz w:val="20"/>
                <w:szCs w:val="20"/>
              </w:rPr>
              <w:t>No.</w:t>
            </w:r>
          </w:p>
        </w:tc>
        <w:tc>
          <w:tcPr>
            <w:tcW w:w="889" w:type="pct"/>
            <w:tcBorders>
              <w:top w:val="single" w:sz="4" w:space="0" w:color="auto"/>
              <w:left w:val="single" w:sz="4" w:space="0" w:color="auto"/>
              <w:bottom w:val="single" w:sz="12" w:space="0" w:color="auto"/>
              <w:right w:val="single" w:sz="12" w:space="0" w:color="auto"/>
            </w:tcBorders>
            <w:vAlign w:val="center"/>
          </w:tcPr>
          <w:p w:rsidR="00523D36" w:rsidRPr="002C5EE0" w:rsidRDefault="00523D36" w:rsidP="002C5EE0">
            <w:pPr>
              <w:bidi w:val="0"/>
              <w:snapToGrid w:val="0"/>
              <w:jc w:val="both"/>
              <w:rPr>
                <w:rFonts w:ascii="Times New Roman" w:hAnsi="Times New Roman" w:cs="Times New Roman"/>
                <w:b/>
                <w:bCs/>
                <w:sz w:val="20"/>
                <w:szCs w:val="20"/>
              </w:rPr>
            </w:pPr>
            <w:r w:rsidRPr="002C5EE0">
              <w:rPr>
                <w:rFonts w:ascii="Times New Roman" w:hAnsi="Times New Roman" w:cs="Times New Roman"/>
                <w:b/>
                <w:bCs/>
                <w:sz w:val="20"/>
                <w:szCs w:val="20"/>
              </w:rPr>
              <w:t>%</w:t>
            </w:r>
          </w:p>
        </w:tc>
        <w:tc>
          <w:tcPr>
            <w:tcW w:w="498" w:type="pct"/>
            <w:vMerge/>
            <w:tcBorders>
              <w:bottom w:val="single" w:sz="12" w:space="0" w:color="auto"/>
              <w:right w:val="thickThinSmallGap" w:sz="18" w:space="0" w:color="auto"/>
            </w:tcBorders>
            <w:vAlign w:val="center"/>
          </w:tcPr>
          <w:p w:rsidR="00523D36" w:rsidRPr="002C5EE0" w:rsidRDefault="00523D36" w:rsidP="002C5EE0">
            <w:pPr>
              <w:bidi w:val="0"/>
              <w:snapToGrid w:val="0"/>
              <w:jc w:val="both"/>
              <w:rPr>
                <w:rFonts w:ascii="Times New Roman" w:hAnsi="Times New Roman" w:cs="Times New Roman"/>
                <w:b/>
                <w:bCs/>
                <w:sz w:val="20"/>
                <w:szCs w:val="20"/>
              </w:rPr>
            </w:pPr>
          </w:p>
        </w:tc>
      </w:tr>
      <w:tr w:rsidR="00523D36" w:rsidRPr="002C5EE0" w:rsidTr="002C5EE0">
        <w:trPr>
          <w:cantSplit/>
          <w:jc w:val="center"/>
        </w:trPr>
        <w:tc>
          <w:tcPr>
            <w:tcW w:w="1386" w:type="pct"/>
            <w:tcBorders>
              <w:top w:val="single" w:sz="12" w:space="0" w:color="auto"/>
              <w:left w:val="thinThickSmallGap" w:sz="18" w:space="0" w:color="auto"/>
              <w:bottom w:val="nil"/>
              <w:right w:val="single" w:sz="12" w:space="0" w:color="auto"/>
            </w:tcBorders>
            <w:vAlign w:val="center"/>
          </w:tcPr>
          <w:p w:rsidR="00523D36" w:rsidRPr="002C5EE0" w:rsidRDefault="00523D36" w:rsidP="002C5EE0">
            <w:pPr>
              <w:bidi w:val="0"/>
              <w:snapToGrid w:val="0"/>
              <w:jc w:val="both"/>
              <w:rPr>
                <w:rFonts w:ascii="Times New Roman" w:hAnsi="Times New Roman" w:cs="Times New Roman"/>
                <w:b/>
                <w:bCs/>
                <w:sz w:val="20"/>
                <w:szCs w:val="20"/>
              </w:rPr>
            </w:pPr>
            <w:r w:rsidRPr="002C5EE0">
              <w:rPr>
                <w:rFonts w:ascii="Times New Roman" w:hAnsi="Times New Roman" w:cs="Times New Roman"/>
                <w:b/>
                <w:bCs/>
                <w:sz w:val="20"/>
                <w:szCs w:val="20"/>
              </w:rPr>
              <w:t>No. of follicles</w:t>
            </w:r>
          </w:p>
        </w:tc>
        <w:tc>
          <w:tcPr>
            <w:tcW w:w="675" w:type="pct"/>
            <w:tcBorders>
              <w:top w:val="single" w:sz="12" w:space="0" w:color="auto"/>
              <w:left w:val="single" w:sz="12" w:space="0" w:color="auto"/>
              <w:bottom w:val="nil"/>
              <w:right w:val="single" w:sz="4"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p>
        </w:tc>
        <w:tc>
          <w:tcPr>
            <w:tcW w:w="767" w:type="pct"/>
            <w:tcBorders>
              <w:top w:val="single" w:sz="12" w:space="0" w:color="auto"/>
              <w:left w:val="single" w:sz="4" w:space="0" w:color="auto"/>
              <w:bottom w:val="nil"/>
              <w:right w:val="single" w:sz="4"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p>
        </w:tc>
        <w:tc>
          <w:tcPr>
            <w:tcW w:w="784" w:type="pct"/>
            <w:tcBorders>
              <w:top w:val="single" w:sz="12" w:space="0" w:color="auto"/>
              <w:left w:val="single" w:sz="4" w:space="0" w:color="auto"/>
              <w:bottom w:val="nil"/>
              <w:right w:val="single" w:sz="4"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p>
        </w:tc>
        <w:tc>
          <w:tcPr>
            <w:tcW w:w="889" w:type="pct"/>
            <w:tcBorders>
              <w:top w:val="single" w:sz="12" w:space="0" w:color="auto"/>
              <w:left w:val="single" w:sz="4" w:space="0" w:color="auto"/>
              <w:bottom w:val="nil"/>
              <w:right w:val="single" w:sz="12"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p>
        </w:tc>
        <w:tc>
          <w:tcPr>
            <w:tcW w:w="498" w:type="pct"/>
            <w:tcBorders>
              <w:top w:val="single" w:sz="12" w:space="0" w:color="auto"/>
              <w:bottom w:val="nil"/>
              <w:right w:val="thickThinSmallGap" w:sz="18"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p>
        </w:tc>
      </w:tr>
      <w:tr w:rsidR="00523D36" w:rsidRPr="002C5EE0" w:rsidTr="002C5EE0">
        <w:trPr>
          <w:cantSplit/>
          <w:jc w:val="center"/>
        </w:trPr>
        <w:tc>
          <w:tcPr>
            <w:tcW w:w="1386" w:type="pct"/>
            <w:tcBorders>
              <w:top w:val="single" w:sz="12" w:space="0" w:color="auto"/>
              <w:left w:val="thinThickSmallGap" w:sz="18" w:space="0" w:color="auto"/>
              <w:bottom w:val="single" w:sz="4" w:space="0" w:color="auto"/>
              <w:right w:val="single" w:sz="12"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0</w:t>
            </w:r>
          </w:p>
        </w:tc>
        <w:tc>
          <w:tcPr>
            <w:tcW w:w="675" w:type="pct"/>
            <w:tcBorders>
              <w:top w:val="single" w:sz="12" w:space="0" w:color="auto"/>
              <w:left w:val="single" w:sz="12" w:space="0" w:color="auto"/>
              <w:bottom w:val="single" w:sz="4" w:space="0" w:color="auto"/>
              <w:right w:val="single" w:sz="4"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15</w:t>
            </w:r>
          </w:p>
        </w:tc>
        <w:tc>
          <w:tcPr>
            <w:tcW w:w="767" w:type="pct"/>
            <w:tcBorders>
              <w:top w:val="single" w:sz="12" w:space="0" w:color="auto"/>
              <w:left w:val="single" w:sz="4" w:space="0" w:color="auto"/>
              <w:bottom w:val="single" w:sz="4" w:space="0" w:color="auto"/>
              <w:right w:val="single" w:sz="4"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30.0</w:t>
            </w:r>
          </w:p>
        </w:tc>
        <w:tc>
          <w:tcPr>
            <w:tcW w:w="784" w:type="pct"/>
            <w:tcBorders>
              <w:top w:val="single" w:sz="12" w:space="0" w:color="auto"/>
              <w:left w:val="single" w:sz="4" w:space="0" w:color="auto"/>
              <w:bottom w:val="single" w:sz="4" w:space="0" w:color="auto"/>
              <w:right w:val="single" w:sz="4"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22</w:t>
            </w:r>
          </w:p>
        </w:tc>
        <w:tc>
          <w:tcPr>
            <w:tcW w:w="889" w:type="pct"/>
            <w:tcBorders>
              <w:top w:val="single" w:sz="12" w:space="0" w:color="auto"/>
              <w:left w:val="single" w:sz="4" w:space="0" w:color="auto"/>
              <w:bottom w:val="single" w:sz="4" w:space="0" w:color="auto"/>
              <w:right w:val="single" w:sz="12"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44.0</w:t>
            </w:r>
          </w:p>
        </w:tc>
        <w:tc>
          <w:tcPr>
            <w:tcW w:w="498" w:type="pct"/>
            <w:tcBorders>
              <w:top w:val="single" w:sz="12" w:space="0" w:color="auto"/>
              <w:left w:val="nil"/>
              <w:bottom w:val="nil"/>
              <w:right w:val="thickThinSmallGap" w:sz="18" w:space="0" w:color="auto"/>
            </w:tcBorders>
            <w:shd w:val="clear" w:color="auto" w:fill="D9D9D9"/>
            <w:vAlign w:val="center"/>
          </w:tcPr>
          <w:p w:rsidR="00523D36" w:rsidRPr="002C5EE0" w:rsidRDefault="00523D36" w:rsidP="002C5EE0">
            <w:pPr>
              <w:bidi w:val="0"/>
              <w:snapToGrid w:val="0"/>
              <w:jc w:val="both"/>
              <w:rPr>
                <w:rFonts w:ascii="Times New Roman" w:hAnsi="Times New Roman" w:cs="Times New Roman"/>
                <w:sz w:val="20"/>
                <w:szCs w:val="20"/>
              </w:rPr>
            </w:pPr>
          </w:p>
        </w:tc>
      </w:tr>
      <w:tr w:rsidR="00523D36" w:rsidRPr="002C5EE0" w:rsidTr="002C5EE0">
        <w:trPr>
          <w:cantSplit/>
          <w:jc w:val="center"/>
        </w:trPr>
        <w:tc>
          <w:tcPr>
            <w:tcW w:w="1386" w:type="pct"/>
            <w:tcBorders>
              <w:top w:val="nil"/>
              <w:left w:val="thinThickSmallGap" w:sz="18" w:space="0" w:color="auto"/>
              <w:bottom w:val="single" w:sz="4" w:space="0" w:color="auto"/>
              <w:right w:val="single" w:sz="12"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1</w:t>
            </w:r>
          </w:p>
        </w:tc>
        <w:tc>
          <w:tcPr>
            <w:tcW w:w="675" w:type="pct"/>
            <w:tcBorders>
              <w:top w:val="nil"/>
              <w:left w:val="single" w:sz="12" w:space="0" w:color="auto"/>
              <w:bottom w:val="single" w:sz="4" w:space="0" w:color="auto"/>
              <w:right w:val="single" w:sz="4"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10</w:t>
            </w:r>
          </w:p>
        </w:tc>
        <w:tc>
          <w:tcPr>
            <w:tcW w:w="767" w:type="pct"/>
            <w:tcBorders>
              <w:top w:val="nil"/>
              <w:left w:val="single" w:sz="4" w:space="0" w:color="auto"/>
              <w:bottom w:val="single" w:sz="4" w:space="0" w:color="auto"/>
              <w:right w:val="single" w:sz="4"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20.0</w:t>
            </w:r>
          </w:p>
        </w:tc>
        <w:tc>
          <w:tcPr>
            <w:tcW w:w="784" w:type="pct"/>
            <w:tcBorders>
              <w:top w:val="nil"/>
              <w:left w:val="single" w:sz="4" w:space="0" w:color="auto"/>
              <w:bottom w:val="single" w:sz="4" w:space="0" w:color="auto"/>
              <w:right w:val="single" w:sz="4"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11</w:t>
            </w:r>
          </w:p>
        </w:tc>
        <w:tc>
          <w:tcPr>
            <w:tcW w:w="889" w:type="pct"/>
            <w:tcBorders>
              <w:top w:val="nil"/>
              <w:left w:val="single" w:sz="4" w:space="0" w:color="auto"/>
              <w:bottom w:val="single" w:sz="4" w:space="0" w:color="auto"/>
              <w:right w:val="single" w:sz="12"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22.0</w:t>
            </w:r>
          </w:p>
        </w:tc>
        <w:tc>
          <w:tcPr>
            <w:tcW w:w="498" w:type="pct"/>
            <w:tcBorders>
              <w:top w:val="nil"/>
              <w:left w:val="nil"/>
              <w:bottom w:val="nil"/>
              <w:right w:val="thickThinSmallGap" w:sz="18" w:space="0" w:color="auto"/>
            </w:tcBorders>
            <w:shd w:val="clear" w:color="auto" w:fill="D9D9D9"/>
            <w:vAlign w:val="center"/>
          </w:tcPr>
          <w:p w:rsidR="00523D36" w:rsidRPr="002C5EE0" w:rsidRDefault="00523D36" w:rsidP="002C5EE0">
            <w:pPr>
              <w:bidi w:val="0"/>
              <w:snapToGrid w:val="0"/>
              <w:jc w:val="both"/>
              <w:rPr>
                <w:rFonts w:ascii="Times New Roman" w:hAnsi="Times New Roman" w:cs="Times New Roman"/>
                <w:sz w:val="20"/>
                <w:szCs w:val="20"/>
              </w:rPr>
            </w:pPr>
          </w:p>
        </w:tc>
      </w:tr>
      <w:tr w:rsidR="00523D36" w:rsidRPr="002C5EE0" w:rsidTr="002C5EE0">
        <w:trPr>
          <w:cantSplit/>
          <w:jc w:val="center"/>
        </w:trPr>
        <w:tc>
          <w:tcPr>
            <w:tcW w:w="1386" w:type="pct"/>
            <w:tcBorders>
              <w:top w:val="nil"/>
              <w:left w:val="thinThickSmallGap" w:sz="18" w:space="0" w:color="auto"/>
              <w:bottom w:val="single" w:sz="4" w:space="0" w:color="auto"/>
              <w:right w:val="single" w:sz="12"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2</w:t>
            </w:r>
          </w:p>
        </w:tc>
        <w:tc>
          <w:tcPr>
            <w:tcW w:w="675" w:type="pct"/>
            <w:tcBorders>
              <w:top w:val="nil"/>
              <w:left w:val="single" w:sz="12" w:space="0" w:color="auto"/>
              <w:bottom w:val="single" w:sz="4" w:space="0" w:color="auto"/>
              <w:right w:val="single" w:sz="4"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11</w:t>
            </w:r>
          </w:p>
        </w:tc>
        <w:tc>
          <w:tcPr>
            <w:tcW w:w="767" w:type="pct"/>
            <w:tcBorders>
              <w:top w:val="nil"/>
              <w:left w:val="single" w:sz="4" w:space="0" w:color="auto"/>
              <w:bottom w:val="single" w:sz="4" w:space="0" w:color="auto"/>
              <w:right w:val="single" w:sz="4"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22.0</w:t>
            </w:r>
          </w:p>
        </w:tc>
        <w:tc>
          <w:tcPr>
            <w:tcW w:w="784" w:type="pct"/>
            <w:tcBorders>
              <w:top w:val="nil"/>
              <w:left w:val="single" w:sz="4" w:space="0" w:color="auto"/>
              <w:bottom w:val="single" w:sz="4" w:space="0" w:color="auto"/>
              <w:right w:val="single" w:sz="4"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11</w:t>
            </w:r>
          </w:p>
        </w:tc>
        <w:tc>
          <w:tcPr>
            <w:tcW w:w="889" w:type="pct"/>
            <w:tcBorders>
              <w:top w:val="nil"/>
              <w:left w:val="single" w:sz="4" w:space="0" w:color="auto"/>
              <w:bottom w:val="single" w:sz="4" w:space="0" w:color="auto"/>
              <w:right w:val="single" w:sz="12"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22.0</w:t>
            </w:r>
          </w:p>
        </w:tc>
        <w:tc>
          <w:tcPr>
            <w:tcW w:w="498" w:type="pct"/>
            <w:tcBorders>
              <w:top w:val="nil"/>
              <w:left w:val="nil"/>
              <w:bottom w:val="nil"/>
              <w:right w:val="thickThinSmallGap" w:sz="18" w:space="0" w:color="auto"/>
            </w:tcBorders>
            <w:shd w:val="clear" w:color="auto" w:fill="D9D9D9"/>
            <w:vAlign w:val="center"/>
          </w:tcPr>
          <w:p w:rsidR="00523D36" w:rsidRPr="002C5EE0" w:rsidRDefault="00523D36" w:rsidP="002C5EE0">
            <w:pPr>
              <w:bidi w:val="0"/>
              <w:snapToGrid w:val="0"/>
              <w:jc w:val="both"/>
              <w:rPr>
                <w:rFonts w:ascii="Times New Roman" w:hAnsi="Times New Roman" w:cs="Times New Roman"/>
                <w:sz w:val="20"/>
                <w:szCs w:val="20"/>
              </w:rPr>
            </w:pPr>
          </w:p>
        </w:tc>
      </w:tr>
      <w:tr w:rsidR="00523D36" w:rsidRPr="002C5EE0" w:rsidTr="002C5EE0">
        <w:trPr>
          <w:cantSplit/>
          <w:jc w:val="center"/>
        </w:trPr>
        <w:tc>
          <w:tcPr>
            <w:tcW w:w="1386" w:type="pct"/>
            <w:tcBorders>
              <w:top w:val="nil"/>
              <w:left w:val="thinThickSmallGap" w:sz="18" w:space="0" w:color="auto"/>
              <w:bottom w:val="single" w:sz="4" w:space="0" w:color="auto"/>
              <w:right w:val="single" w:sz="12"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3</w:t>
            </w:r>
          </w:p>
        </w:tc>
        <w:tc>
          <w:tcPr>
            <w:tcW w:w="675" w:type="pct"/>
            <w:tcBorders>
              <w:top w:val="nil"/>
              <w:left w:val="single" w:sz="12" w:space="0" w:color="auto"/>
              <w:bottom w:val="single" w:sz="4" w:space="0" w:color="auto"/>
              <w:right w:val="single" w:sz="4"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9</w:t>
            </w:r>
          </w:p>
        </w:tc>
        <w:tc>
          <w:tcPr>
            <w:tcW w:w="767" w:type="pct"/>
            <w:tcBorders>
              <w:top w:val="nil"/>
              <w:left w:val="single" w:sz="4" w:space="0" w:color="auto"/>
              <w:bottom w:val="single" w:sz="4" w:space="0" w:color="auto"/>
              <w:right w:val="single" w:sz="4"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18.0</w:t>
            </w:r>
          </w:p>
        </w:tc>
        <w:tc>
          <w:tcPr>
            <w:tcW w:w="784" w:type="pct"/>
            <w:tcBorders>
              <w:top w:val="nil"/>
              <w:left w:val="single" w:sz="4" w:space="0" w:color="auto"/>
              <w:bottom w:val="single" w:sz="4" w:space="0" w:color="auto"/>
              <w:right w:val="single" w:sz="4"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5</w:t>
            </w:r>
          </w:p>
        </w:tc>
        <w:tc>
          <w:tcPr>
            <w:tcW w:w="889" w:type="pct"/>
            <w:tcBorders>
              <w:top w:val="nil"/>
              <w:left w:val="single" w:sz="4" w:space="0" w:color="auto"/>
              <w:bottom w:val="single" w:sz="4" w:space="0" w:color="auto"/>
              <w:right w:val="single" w:sz="12"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10.0</w:t>
            </w:r>
          </w:p>
        </w:tc>
        <w:tc>
          <w:tcPr>
            <w:tcW w:w="498" w:type="pct"/>
            <w:tcBorders>
              <w:top w:val="nil"/>
              <w:left w:val="nil"/>
              <w:bottom w:val="nil"/>
              <w:right w:val="thickThinSmallGap" w:sz="18" w:space="0" w:color="auto"/>
            </w:tcBorders>
            <w:shd w:val="clear" w:color="auto" w:fill="D9D9D9"/>
            <w:vAlign w:val="center"/>
          </w:tcPr>
          <w:p w:rsidR="00523D36" w:rsidRPr="002C5EE0" w:rsidRDefault="00523D36" w:rsidP="002C5EE0">
            <w:pPr>
              <w:bidi w:val="0"/>
              <w:snapToGrid w:val="0"/>
              <w:jc w:val="both"/>
              <w:rPr>
                <w:rFonts w:ascii="Times New Roman" w:hAnsi="Times New Roman" w:cs="Times New Roman"/>
                <w:sz w:val="20"/>
                <w:szCs w:val="20"/>
              </w:rPr>
            </w:pPr>
          </w:p>
        </w:tc>
      </w:tr>
      <w:tr w:rsidR="00523D36" w:rsidRPr="002C5EE0" w:rsidTr="002C5EE0">
        <w:trPr>
          <w:cantSplit/>
          <w:jc w:val="center"/>
        </w:trPr>
        <w:tc>
          <w:tcPr>
            <w:tcW w:w="1386" w:type="pct"/>
            <w:tcBorders>
              <w:top w:val="nil"/>
              <w:left w:val="thinThickSmallGap" w:sz="18" w:space="0" w:color="auto"/>
              <w:bottom w:val="single" w:sz="12" w:space="0" w:color="auto"/>
              <w:right w:val="single" w:sz="12"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4</w:t>
            </w:r>
          </w:p>
        </w:tc>
        <w:tc>
          <w:tcPr>
            <w:tcW w:w="675" w:type="pct"/>
            <w:tcBorders>
              <w:top w:val="nil"/>
              <w:left w:val="single" w:sz="12" w:space="0" w:color="auto"/>
              <w:bottom w:val="single" w:sz="12" w:space="0" w:color="auto"/>
              <w:right w:val="single" w:sz="4"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5</w:t>
            </w:r>
          </w:p>
        </w:tc>
        <w:tc>
          <w:tcPr>
            <w:tcW w:w="767" w:type="pct"/>
            <w:tcBorders>
              <w:top w:val="nil"/>
              <w:left w:val="single" w:sz="4" w:space="0" w:color="auto"/>
              <w:bottom w:val="single" w:sz="12" w:space="0" w:color="auto"/>
              <w:right w:val="single" w:sz="4"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10.0</w:t>
            </w:r>
          </w:p>
        </w:tc>
        <w:tc>
          <w:tcPr>
            <w:tcW w:w="784" w:type="pct"/>
            <w:tcBorders>
              <w:top w:val="nil"/>
              <w:left w:val="single" w:sz="4" w:space="0" w:color="auto"/>
              <w:bottom w:val="single" w:sz="12" w:space="0" w:color="auto"/>
              <w:right w:val="single" w:sz="4"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1</w:t>
            </w:r>
          </w:p>
        </w:tc>
        <w:tc>
          <w:tcPr>
            <w:tcW w:w="889" w:type="pct"/>
            <w:tcBorders>
              <w:top w:val="nil"/>
              <w:left w:val="single" w:sz="4" w:space="0" w:color="auto"/>
              <w:bottom w:val="single" w:sz="12" w:space="0" w:color="auto"/>
              <w:right w:val="single" w:sz="12"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2.0</w:t>
            </w:r>
          </w:p>
        </w:tc>
        <w:tc>
          <w:tcPr>
            <w:tcW w:w="498" w:type="pct"/>
            <w:tcBorders>
              <w:top w:val="nil"/>
              <w:left w:val="nil"/>
              <w:bottom w:val="single" w:sz="12" w:space="0" w:color="auto"/>
              <w:right w:val="thickThinSmallGap" w:sz="18" w:space="0" w:color="auto"/>
            </w:tcBorders>
            <w:shd w:val="clear" w:color="auto" w:fill="D9D9D9"/>
            <w:vAlign w:val="center"/>
          </w:tcPr>
          <w:p w:rsidR="00523D36" w:rsidRPr="002C5EE0" w:rsidRDefault="00523D36" w:rsidP="002C5EE0">
            <w:pPr>
              <w:bidi w:val="0"/>
              <w:snapToGrid w:val="0"/>
              <w:jc w:val="both"/>
              <w:rPr>
                <w:rFonts w:ascii="Times New Roman" w:hAnsi="Times New Roman" w:cs="Times New Roman"/>
                <w:sz w:val="20"/>
                <w:szCs w:val="20"/>
              </w:rPr>
            </w:pPr>
          </w:p>
        </w:tc>
      </w:tr>
      <w:tr w:rsidR="00523D36" w:rsidRPr="002C5EE0" w:rsidTr="002C5EE0">
        <w:trPr>
          <w:cantSplit/>
          <w:jc w:val="center"/>
        </w:trPr>
        <w:tc>
          <w:tcPr>
            <w:tcW w:w="1386" w:type="pct"/>
            <w:tcBorders>
              <w:top w:val="single" w:sz="12" w:space="0" w:color="auto"/>
              <w:left w:val="thinThickSmallGap" w:sz="18" w:space="0" w:color="auto"/>
              <w:bottom w:val="nil"/>
              <w:right w:val="single" w:sz="12"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Min. – Max.</w:t>
            </w:r>
          </w:p>
        </w:tc>
        <w:tc>
          <w:tcPr>
            <w:tcW w:w="1443" w:type="pct"/>
            <w:gridSpan w:val="2"/>
            <w:tcBorders>
              <w:top w:val="single" w:sz="12" w:space="0" w:color="auto"/>
              <w:left w:val="single" w:sz="12" w:space="0" w:color="auto"/>
              <w:bottom w:val="nil"/>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0.0 – 4.0</w:t>
            </w:r>
          </w:p>
        </w:tc>
        <w:tc>
          <w:tcPr>
            <w:tcW w:w="1673" w:type="pct"/>
            <w:gridSpan w:val="2"/>
            <w:tcBorders>
              <w:top w:val="single" w:sz="12" w:space="0" w:color="auto"/>
              <w:bottom w:val="nil"/>
              <w:right w:val="single" w:sz="12"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0.0 – 4.0</w:t>
            </w:r>
          </w:p>
        </w:tc>
        <w:tc>
          <w:tcPr>
            <w:tcW w:w="498" w:type="pct"/>
            <w:vMerge w:val="restart"/>
            <w:tcBorders>
              <w:top w:val="single" w:sz="12" w:space="0" w:color="auto"/>
              <w:right w:val="thickThinSmallGap" w:sz="18"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0.045</w:t>
            </w:r>
          </w:p>
        </w:tc>
      </w:tr>
      <w:tr w:rsidR="00523D36" w:rsidRPr="002C5EE0" w:rsidTr="002C5EE0">
        <w:trPr>
          <w:cantSplit/>
          <w:jc w:val="center"/>
        </w:trPr>
        <w:tc>
          <w:tcPr>
            <w:tcW w:w="1386" w:type="pct"/>
            <w:tcBorders>
              <w:top w:val="nil"/>
              <w:left w:val="thinThickSmallGap" w:sz="18" w:space="0" w:color="auto"/>
              <w:bottom w:val="nil"/>
              <w:right w:val="single" w:sz="12"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Mean ± SD.</w:t>
            </w:r>
          </w:p>
        </w:tc>
        <w:tc>
          <w:tcPr>
            <w:tcW w:w="1443" w:type="pct"/>
            <w:gridSpan w:val="2"/>
            <w:tcBorders>
              <w:top w:val="nil"/>
              <w:left w:val="single" w:sz="12" w:space="0" w:color="auto"/>
              <w:bottom w:val="nil"/>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1.58 ± 1.36</w:t>
            </w:r>
          </w:p>
        </w:tc>
        <w:tc>
          <w:tcPr>
            <w:tcW w:w="1673" w:type="pct"/>
            <w:gridSpan w:val="2"/>
            <w:tcBorders>
              <w:top w:val="nil"/>
              <w:bottom w:val="nil"/>
              <w:right w:val="single" w:sz="12"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1.04 ± 1.12</w:t>
            </w:r>
          </w:p>
        </w:tc>
        <w:tc>
          <w:tcPr>
            <w:tcW w:w="498" w:type="pct"/>
            <w:vMerge/>
            <w:tcBorders>
              <w:right w:val="thickThinSmallGap" w:sz="18"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p>
        </w:tc>
      </w:tr>
      <w:tr w:rsidR="00523D36" w:rsidRPr="002C5EE0" w:rsidTr="002C5EE0">
        <w:trPr>
          <w:cantSplit/>
          <w:jc w:val="center"/>
        </w:trPr>
        <w:tc>
          <w:tcPr>
            <w:tcW w:w="1386" w:type="pct"/>
            <w:tcBorders>
              <w:top w:val="nil"/>
              <w:left w:val="thinThickSmallGap" w:sz="18" w:space="0" w:color="auto"/>
              <w:bottom w:val="thickThinSmallGap" w:sz="18" w:space="0" w:color="auto"/>
              <w:right w:val="single" w:sz="12"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Median</w:t>
            </w:r>
          </w:p>
        </w:tc>
        <w:tc>
          <w:tcPr>
            <w:tcW w:w="1443" w:type="pct"/>
            <w:gridSpan w:val="2"/>
            <w:tcBorders>
              <w:top w:val="nil"/>
              <w:left w:val="single" w:sz="12" w:space="0" w:color="auto"/>
              <w:bottom w:val="thickThinSmallGap" w:sz="18"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1.50</w:t>
            </w:r>
          </w:p>
        </w:tc>
        <w:tc>
          <w:tcPr>
            <w:tcW w:w="1673" w:type="pct"/>
            <w:gridSpan w:val="2"/>
            <w:tcBorders>
              <w:top w:val="nil"/>
              <w:bottom w:val="thickThinSmallGap" w:sz="18" w:space="0" w:color="auto"/>
              <w:right w:val="single" w:sz="12"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r w:rsidRPr="002C5EE0">
              <w:rPr>
                <w:rFonts w:ascii="Times New Roman" w:hAnsi="Times New Roman" w:cs="Times New Roman"/>
                <w:sz w:val="20"/>
                <w:szCs w:val="20"/>
              </w:rPr>
              <w:t>1.0</w:t>
            </w:r>
          </w:p>
        </w:tc>
        <w:tc>
          <w:tcPr>
            <w:tcW w:w="498" w:type="pct"/>
            <w:vMerge/>
            <w:tcBorders>
              <w:bottom w:val="thickThinSmallGap" w:sz="18" w:space="0" w:color="auto"/>
              <w:right w:val="thickThinSmallGap" w:sz="18" w:space="0" w:color="auto"/>
            </w:tcBorders>
            <w:vAlign w:val="center"/>
          </w:tcPr>
          <w:p w:rsidR="00523D36" w:rsidRPr="002C5EE0" w:rsidRDefault="00523D36" w:rsidP="002C5EE0">
            <w:pPr>
              <w:bidi w:val="0"/>
              <w:snapToGrid w:val="0"/>
              <w:jc w:val="both"/>
              <w:rPr>
                <w:rFonts w:ascii="Times New Roman" w:hAnsi="Times New Roman" w:cs="Times New Roman"/>
                <w:sz w:val="20"/>
                <w:szCs w:val="20"/>
              </w:rPr>
            </w:pPr>
          </w:p>
        </w:tc>
      </w:tr>
    </w:tbl>
    <w:p w:rsidR="0082106D" w:rsidRPr="002C5EE0" w:rsidRDefault="0082106D" w:rsidP="002C5EE0">
      <w:pPr>
        <w:bidi w:val="0"/>
        <w:snapToGrid w:val="0"/>
        <w:spacing w:after="0" w:line="240" w:lineRule="auto"/>
        <w:ind w:firstLine="425"/>
        <w:jc w:val="both"/>
        <w:rPr>
          <w:rFonts w:ascii="Times New Roman" w:hAnsi="Times New Roman" w:cs="Times New Roman"/>
          <w:sz w:val="20"/>
          <w:szCs w:val="20"/>
        </w:rPr>
      </w:pPr>
    </w:p>
    <w:p w:rsidR="0082106D" w:rsidRPr="002C5EE0" w:rsidRDefault="0082106D" w:rsidP="002C5EE0">
      <w:pPr>
        <w:bidi w:val="0"/>
        <w:snapToGrid w:val="0"/>
        <w:spacing w:after="0" w:line="240" w:lineRule="auto"/>
        <w:jc w:val="center"/>
        <w:rPr>
          <w:rFonts w:ascii="Times New Roman" w:hAnsi="Times New Roman" w:cs="Times New Roman"/>
          <w:sz w:val="20"/>
          <w:szCs w:val="20"/>
        </w:rPr>
      </w:pPr>
      <w:r w:rsidRPr="002C5EE0">
        <w:rPr>
          <w:rFonts w:ascii="Times New Roman" w:hAnsi="Times New Roman" w:cs="Times New Roman"/>
          <w:noProof/>
          <w:sz w:val="20"/>
          <w:szCs w:val="20"/>
          <w:lang w:eastAsia="zh-CN"/>
        </w:rPr>
        <w:drawing>
          <wp:inline distT="0" distB="0" distL="0" distR="0">
            <wp:extent cx="4457534" cy="2552368"/>
            <wp:effectExtent l="19050" t="0" r="166" b="0"/>
            <wp:docPr id="1043"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Picture 10"/>
                    <pic:cNvPicPr/>
                  </pic:nvPicPr>
                  <pic:blipFill>
                    <a:blip r:embed="rId25" cstate="print"/>
                    <a:srcRect/>
                    <a:stretch/>
                  </pic:blipFill>
                  <pic:spPr>
                    <a:xfrm>
                      <a:off x="0" y="0"/>
                      <a:ext cx="4461564" cy="2554675"/>
                    </a:xfrm>
                    <a:prstGeom prst="rect">
                      <a:avLst/>
                    </a:prstGeom>
                  </pic:spPr>
                </pic:pic>
              </a:graphicData>
            </a:graphic>
          </wp:inline>
        </w:drawing>
      </w:r>
    </w:p>
    <w:p w:rsidR="0082106D" w:rsidRPr="002C5EE0" w:rsidRDefault="00415B1C" w:rsidP="002C5EE0">
      <w:pPr>
        <w:bidi w:val="0"/>
        <w:snapToGrid w:val="0"/>
        <w:spacing w:after="0" w:line="240" w:lineRule="auto"/>
        <w:jc w:val="both"/>
        <w:rPr>
          <w:rFonts w:ascii="Times New Roman" w:hAnsi="Times New Roman" w:cs="Times New Roman"/>
          <w:b/>
          <w:bCs/>
          <w:sz w:val="20"/>
          <w:szCs w:val="20"/>
        </w:rPr>
      </w:pPr>
      <w:r w:rsidRPr="002C5EE0">
        <w:rPr>
          <w:rFonts w:ascii="Times New Roman" w:hAnsi="Times New Roman" w:cs="Times New Roman"/>
          <w:b/>
          <w:bCs/>
          <w:sz w:val="20"/>
          <w:szCs w:val="20"/>
        </w:rPr>
        <w:t>Figure (7</w:t>
      </w:r>
      <w:r w:rsidR="00042C44" w:rsidRPr="002C5EE0">
        <w:rPr>
          <w:rFonts w:ascii="Times New Roman" w:hAnsi="Times New Roman" w:cs="Times New Roman"/>
          <w:b/>
          <w:bCs/>
          <w:sz w:val="20"/>
          <w:szCs w:val="20"/>
        </w:rPr>
        <w:t>)</w:t>
      </w:r>
      <w:r w:rsidR="002C5EE0" w:rsidRPr="002C5EE0">
        <w:rPr>
          <w:rFonts w:ascii="Times New Roman" w:hAnsi="Times New Roman" w:cs="Times New Roman"/>
          <w:b/>
          <w:bCs/>
          <w:sz w:val="20"/>
          <w:szCs w:val="20"/>
        </w:rPr>
        <w:t>:</w:t>
      </w:r>
      <w:r w:rsidR="002C5EE0">
        <w:rPr>
          <w:rFonts w:ascii="Times New Roman" w:hAnsi="Times New Roman" w:cs="Times New Roman"/>
          <w:b/>
          <w:bCs/>
          <w:sz w:val="20"/>
          <w:szCs w:val="20"/>
        </w:rPr>
        <w:t xml:space="preserve"> </w:t>
      </w:r>
      <w:r w:rsidR="002C5EE0" w:rsidRPr="002C5EE0">
        <w:rPr>
          <w:rFonts w:ascii="Times New Roman" w:hAnsi="Times New Roman" w:cs="Times New Roman"/>
          <w:b/>
          <w:bCs/>
          <w:sz w:val="20"/>
          <w:szCs w:val="20"/>
        </w:rPr>
        <w:t>C</w:t>
      </w:r>
      <w:r w:rsidR="0082106D" w:rsidRPr="002C5EE0">
        <w:rPr>
          <w:rFonts w:ascii="Times New Roman" w:hAnsi="Times New Roman" w:cs="Times New Roman"/>
          <w:b/>
          <w:bCs/>
          <w:sz w:val="20"/>
          <w:szCs w:val="20"/>
        </w:rPr>
        <w:t xml:space="preserve">omparison between the two studied groups according to </w:t>
      </w:r>
      <w:proofErr w:type="spellStart"/>
      <w:r w:rsidR="0082106D" w:rsidRPr="002C5EE0">
        <w:rPr>
          <w:rFonts w:ascii="Times New Roman" w:hAnsi="Times New Roman" w:cs="Times New Roman"/>
          <w:b/>
          <w:bCs/>
          <w:sz w:val="20"/>
          <w:szCs w:val="20"/>
        </w:rPr>
        <w:t>ultrasonography</w:t>
      </w:r>
      <w:proofErr w:type="spellEnd"/>
      <w:r w:rsidR="0082106D" w:rsidRPr="002C5EE0">
        <w:rPr>
          <w:rFonts w:ascii="Times New Roman" w:hAnsi="Times New Roman" w:cs="Times New Roman"/>
          <w:b/>
          <w:bCs/>
          <w:sz w:val="20"/>
          <w:szCs w:val="20"/>
        </w:rPr>
        <w:t xml:space="preserve"> (No. of mature follicles)</w:t>
      </w:r>
    </w:p>
    <w:p w:rsidR="002C5EE0" w:rsidRDefault="002C5EE0">
      <w:pPr>
        <w:bidi w:val="0"/>
        <w:rPr>
          <w:rFonts w:ascii="Times New Roman" w:hAnsi="Times New Roman" w:cs="Times New Roman"/>
          <w:sz w:val="20"/>
          <w:szCs w:val="20"/>
        </w:rPr>
      </w:pPr>
    </w:p>
    <w:p w:rsidR="00C00E76" w:rsidRDefault="00C00E76" w:rsidP="002C5EE0">
      <w:pPr>
        <w:bidi w:val="0"/>
        <w:snapToGrid w:val="0"/>
        <w:spacing w:after="0" w:line="240" w:lineRule="auto"/>
        <w:jc w:val="both"/>
        <w:rPr>
          <w:rFonts w:ascii="Times New Roman" w:hAnsi="Times New Roman" w:cs="Times New Roman" w:hint="eastAsia"/>
          <w:b/>
          <w:bCs/>
          <w:sz w:val="20"/>
          <w:szCs w:val="20"/>
          <w:lang w:eastAsia="zh-CN"/>
        </w:rPr>
      </w:pPr>
    </w:p>
    <w:p w:rsidR="00523D36" w:rsidRPr="002C5EE0" w:rsidRDefault="0082106D" w:rsidP="00C00E76">
      <w:pPr>
        <w:bidi w:val="0"/>
        <w:snapToGrid w:val="0"/>
        <w:spacing w:after="0" w:line="240" w:lineRule="auto"/>
        <w:jc w:val="both"/>
        <w:rPr>
          <w:rFonts w:ascii="Times New Roman" w:hAnsi="Times New Roman" w:cs="Times New Roman"/>
          <w:b/>
          <w:bCs/>
          <w:sz w:val="20"/>
          <w:szCs w:val="20"/>
        </w:rPr>
      </w:pPr>
      <w:r w:rsidRPr="002C5EE0">
        <w:rPr>
          <w:rFonts w:ascii="Times New Roman" w:hAnsi="Times New Roman" w:cs="Times New Roman"/>
          <w:b/>
          <w:bCs/>
          <w:sz w:val="20"/>
          <w:szCs w:val="20"/>
        </w:rPr>
        <w:t>Table (6</w:t>
      </w:r>
      <w:r w:rsidR="00042C44" w:rsidRPr="002C5EE0">
        <w:rPr>
          <w:rFonts w:ascii="Times New Roman" w:hAnsi="Times New Roman" w:cs="Times New Roman"/>
          <w:b/>
          <w:bCs/>
          <w:sz w:val="20"/>
          <w:szCs w:val="20"/>
        </w:rPr>
        <w:t>)</w:t>
      </w:r>
      <w:r w:rsidR="002C5EE0" w:rsidRPr="002C5EE0">
        <w:rPr>
          <w:rFonts w:ascii="Times New Roman" w:hAnsi="Times New Roman" w:cs="Times New Roman"/>
          <w:b/>
          <w:bCs/>
          <w:sz w:val="20"/>
          <w:szCs w:val="20"/>
        </w:rPr>
        <w:t>:</w:t>
      </w:r>
      <w:r w:rsidR="002C5EE0">
        <w:rPr>
          <w:rFonts w:ascii="Times New Roman" w:hAnsi="Times New Roman" w:cs="Times New Roman"/>
          <w:b/>
          <w:bCs/>
          <w:sz w:val="20"/>
          <w:szCs w:val="20"/>
        </w:rPr>
        <w:t xml:space="preserve"> </w:t>
      </w:r>
      <w:r w:rsidR="002C5EE0" w:rsidRPr="002C5EE0">
        <w:rPr>
          <w:rFonts w:ascii="Times New Roman" w:hAnsi="Times New Roman" w:cs="Times New Roman"/>
          <w:b/>
          <w:bCs/>
          <w:sz w:val="20"/>
          <w:szCs w:val="20"/>
        </w:rPr>
        <w:t>C</w:t>
      </w:r>
      <w:r w:rsidR="00523D36" w:rsidRPr="002C5EE0">
        <w:rPr>
          <w:rFonts w:ascii="Times New Roman" w:hAnsi="Times New Roman" w:cs="Times New Roman"/>
          <w:b/>
          <w:bCs/>
          <w:sz w:val="20"/>
          <w:szCs w:val="20"/>
        </w:rPr>
        <w:t xml:space="preserve">omparison between the two studied groups according to </w:t>
      </w:r>
      <w:proofErr w:type="spellStart"/>
      <w:r w:rsidR="00523D36" w:rsidRPr="002C5EE0">
        <w:rPr>
          <w:rFonts w:ascii="Times New Roman" w:hAnsi="Times New Roman" w:cs="Times New Roman"/>
          <w:b/>
          <w:bCs/>
          <w:sz w:val="20"/>
          <w:szCs w:val="20"/>
        </w:rPr>
        <w:t>ultrasonography</w:t>
      </w:r>
      <w:proofErr w:type="spellEnd"/>
      <w:r w:rsidR="00523D36" w:rsidRPr="002C5EE0">
        <w:rPr>
          <w:rFonts w:ascii="Times New Roman" w:hAnsi="Times New Roman" w:cs="Times New Roman"/>
          <w:b/>
          <w:bCs/>
          <w:sz w:val="20"/>
          <w:szCs w:val="20"/>
        </w:rPr>
        <w:t xml:space="preserve"> (Endometrial thickness)</w:t>
      </w:r>
    </w:p>
    <w:tbl>
      <w:tblPr>
        <w:tblStyle w:val="TableGrid"/>
        <w:tblW w:w="0" w:type="auto"/>
        <w:jc w:val="center"/>
        <w:tblBorders>
          <w:top w:val="thinThickSmallGap" w:sz="18" w:space="0" w:color="auto"/>
          <w:left w:val="thinThickSmallGap" w:sz="18" w:space="0" w:color="auto"/>
          <w:bottom w:val="thickThinSmallGap" w:sz="18" w:space="0" w:color="auto"/>
          <w:right w:val="thickThinSmallGap" w:sz="18" w:space="0" w:color="auto"/>
          <w:insideH w:val="single" w:sz="4" w:space="0" w:color="000000"/>
          <w:insideV w:val="single" w:sz="4" w:space="0" w:color="000000"/>
        </w:tblBorders>
        <w:tblLayout w:type="fixed"/>
        <w:tblCellMar>
          <w:left w:w="57" w:type="dxa"/>
          <w:right w:w="57" w:type="dxa"/>
        </w:tblCellMar>
        <w:tblLook w:val="04A0"/>
      </w:tblPr>
      <w:tblGrid>
        <w:gridCol w:w="2835"/>
        <w:gridCol w:w="1531"/>
        <w:gridCol w:w="1532"/>
        <w:gridCol w:w="963"/>
        <w:gridCol w:w="964"/>
      </w:tblGrid>
      <w:tr w:rsidR="00523D36" w:rsidRPr="002C5EE0" w:rsidTr="004E61DD">
        <w:trPr>
          <w:cantSplit/>
          <w:trHeight w:val="20"/>
          <w:jc w:val="center"/>
        </w:trPr>
        <w:tc>
          <w:tcPr>
            <w:tcW w:w="2835" w:type="dxa"/>
            <w:tcBorders>
              <w:top w:val="thinThickSmallGap" w:sz="18" w:space="0" w:color="auto"/>
              <w:left w:val="thinThickSmallGap" w:sz="18" w:space="0" w:color="auto"/>
              <w:right w:val="single" w:sz="12" w:space="0" w:color="auto"/>
            </w:tcBorders>
            <w:vAlign w:val="center"/>
          </w:tcPr>
          <w:p w:rsidR="00523D36" w:rsidRPr="002C5EE0" w:rsidRDefault="00523D36" w:rsidP="00C00E76">
            <w:pPr>
              <w:bidi w:val="0"/>
              <w:snapToGrid w:val="0"/>
              <w:rPr>
                <w:rFonts w:ascii="Times New Roman" w:hAnsi="Times New Roman" w:cs="Times New Roman"/>
                <w:b/>
                <w:bCs/>
                <w:sz w:val="20"/>
                <w:szCs w:val="20"/>
              </w:rPr>
            </w:pPr>
            <w:proofErr w:type="spellStart"/>
            <w:r w:rsidRPr="002C5EE0">
              <w:rPr>
                <w:rFonts w:ascii="Times New Roman" w:hAnsi="Times New Roman" w:cs="Times New Roman"/>
                <w:b/>
                <w:bCs/>
                <w:sz w:val="20"/>
                <w:szCs w:val="20"/>
              </w:rPr>
              <w:t>Ultrasonography</w:t>
            </w:r>
            <w:proofErr w:type="spellEnd"/>
          </w:p>
        </w:tc>
        <w:tc>
          <w:tcPr>
            <w:tcW w:w="1531" w:type="dxa"/>
            <w:tcBorders>
              <w:top w:val="thinThickSmallGap" w:sz="18" w:space="0" w:color="auto"/>
              <w:left w:val="single" w:sz="12" w:space="0" w:color="auto"/>
              <w:bottom w:val="single" w:sz="4" w:space="0" w:color="auto"/>
            </w:tcBorders>
            <w:vAlign w:val="center"/>
          </w:tcPr>
          <w:p w:rsidR="004B07CF" w:rsidRPr="002C5EE0" w:rsidRDefault="00523D36" w:rsidP="00C00E76">
            <w:pPr>
              <w:bidi w:val="0"/>
              <w:snapToGrid w:val="0"/>
              <w:rPr>
                <w:rFonts w:ascii="Times New Roman" w:hAnsi="Times New Roman" w:cs="Times New Roman"/>
                <w:b/>
                <w:bCs/>
                <w:sz w:val="20"/>
                <w:szCs w:val="20"/>
              </w:rPr>
            </w:pPr>
            <w:proofErr w:type="spellStart"/>
            <w:r w:rsidRPr="002C5EE0">
              <w:rPr>
                <w:rFonts w:ascii="Times New Roman" w:hAnsi="Times New Roman" w:cs="Times New Roman"/>
                <w:b/>
                <w:bCs/>
                <w:sz w:val="20"/>
                <w:szCs w:val="20"/>
              </w:rPr>
              <w:t>Letrozole</w:t>
            </w:r>
            <w:proofErr w:type="spellEnd"/>
          </w:p>
          <w:p w:rsidR="00523D36" w:rsidRPr="002C5EE0" w:rsidRDefault="00523D36" w:rsidP="00C00E76">
            <w:pPr>
              <w:bidi w:val="0"/>
              <w:snapToGrid w:val="0"/>
              <w:rPr>
                <w:rFonts w:ascii="Times New Roman" w:hAnsi="Times New Roman" w:cs="Times New Roman"/>
                <w:b/>
                <w:bCs/>
                <w:sz w:val="20"/>
                <w:szCs w:val="20"/>
              </w:rPr>
            </w:pPr>
            <w:r w:rsidRPr="002C5EE0">
              <w:rPr>
                <w:rFonts w:ascii="Times New Roman" w:hAnsi="Times New Roman" w:cs="Times New Roman"/>
                <w:b/>
                <w:bCs/>
                <w:sz w:val="20"/>
                <w:szCs w:val="20"/>
              </w:rPr>
              <w:t>(n = 50)</w:t>
            </w:r>
          </w:p>
        </w:tc>
        <w:tc>
          <w:tcPr>
            <w:tcW w:w="1532" w:type="dxa"/>
            <w:tcBorders>
              <w:top w:val="thinThickSmallGap" w:sz="18" w:space="0" w:color="auto"/>
              <w:bottom w:val="single" w:sz="4" w:space="0" w:color="auto"/>
              <w:right w:val="single" w:sz="12" w:space="0" w:color="auto"/>
            </w:tcBorders>
            <w:vAlign w:val="center"/>
          </w:tcPr>
          <w:p w:rsidR="004B07CF" w:rsidRPr="002C5EE0" w:rsidRDefault="00523D36" w:rsidP="00C00E76">
            <w:pPr>
              <w:bidi w:val="0"/>
              <w:snapToGrid w:val="0"/>
              <w:rPr>
                <w:rFonts w:ascii="Times New Roman" w:hAnsi="Times New Roman" w:cs="Times New Roman"/>
                <w:b/>
                <w:bCs/>
                <w:sz w:val="20"/>
                <w:szCs w:val="20"/>
              </w:rPr>
            </w:pPr>
            <w:proofErr w:type="spellStart"/>
            <w:r w:rsidRPr="002C5EE0">
              <w:rPr>
                <w:rFonts w:ascii="Times New Roman" w:hAnsi="Times New Roman" w:cs="Times New Roman"/>
                <w:b/>
                <w:bCs/>
                <w:sz w:val="20"/>
                <w:szCs w:val="20"/>
              </w:rPr>
              <w:t>Tamoxafine</w:t>
            </w:r>
            <w:proofErr w:type="spellEnd"/>
          </w:p>
          <w:p w:rsidR="00523D36" w:rsidRPr="002C5EE0" w:rsidRDefault="00523D36" w:rsidP="00C00E76">
            <w:pPr>
              <w:bidi w:val="0"/>
              <w:snapToGrid w:val="0"/>
              <w:rPr>
                <w:rFonts w:ascii="Times New Roman" w:hAnsi="Times New Roman" w:cs="Times New Roman"/>
                <w:b/>
                <w:bCs/>
                <w:sz w:val="20"/>
                <w:szCs w:val="20"/>
              </w:rPr>
            </w:pPr>
            <w:r w:rsidRPr="002C5EE0">
              <w:rPr>
                <w:rFonts w:ascii="Times New Roman" w:hAnsi="Times New Roman" w:cs="Times New Roman"/>
                <w:b/>
                <w:bCs/>
                <w:sz w:val="20"/>
                <w:szCs w:val="20"/>
              </w:rPr>
              <w:t>( n = 50)</w:t>
            </w:r>
          </w:p>
        </w:tc>
        <w:tc>
          <w:tcPr>
            <w:tcW w:w="963" w:type="dxa"/>
            <w:tcBorders>
              <w:top w:val="thinThickSmallGap" w:sz="18" w:space="0" w:color="auto"/>
              <w:left w:val="single" w:sz="12" w:space="0" w:color="auto"/>
            </w:tcBorders>
            <w:vAlign w:val="center"/>
          </w:tcPr>
          <w:p w:rsidR="00523D36" w:rsidRPr="002C5EE0" w:rsidRDefault="00523D36" w:rsidP="00C00E76">
            <w:pPr>
              <w:bidi w:val="0"/>
              <w:snapToGrid w:val="0"/>
              <w:rPr>
                <w:rFonts w:ascii="Times New Roman" w:hAnsi="Times New Roman" w:cs="Times New Roman"/>
                <w:b/>
                <w:bCs/>
                <w:sz w:val="20"/>
                <w:szCs w:val="20"/>
              </w:rPr>
            </w:pPr>
            <w:r w:rsidRPr="002C5EE0">
              <w:rPr>
                <w:rFonts w:ascii="Times New Roman" w:hAnsi="Times New Roman" w:cs="Times New Roman"/>
                <w:b/>
                <w:bCs/>
                <w:sz w:val="20"/>
                <w:szCs w:val="20"/>
              </w:rPr>
              <w:t>Test of sig.</w:t>
            </w:r>
          </w:p>
        </w:tc>
        <w:tc>
          <w:tcPr>
            <w:tcW w:w="964" w:type="dxa"/>
            <w:tcBorders>
              <w:top w:val="thinThickSmallGap" w:sz="18" w:space="0" w:color="auto"/>
              <w:right w:val="thickThinSmallGap" w:sz="18" w:space="0" w:color="auto"/>
            </w:tcBorders>
            <w:vAlign w:val="center"/>
          </w:tcPr>
          <w:p w:rsidR="00523D36" w:rsidRPr="002C5EE0" w:rsidRDefault="00523D36" w:rsidP="00C00E76">
            <w:pPr>
              <w:bidi w:val="0"/>
              <w:snapToGrid w:val="0"/>
              <w:rPr>
                <w:rFonts w:ascii="Times New Roman" w:hAnsi="Times New Roman" w:cs="Times New Roman"/>
                <w:b/>
                <w:bCs/>
                <w:sz w:val="20"/>
                <w:szCs w:val="20"/>
              </w:rPr>
            </w:pPr>
            <w:r w:rsidRPr="002C5EE0">
              <w:rPr>
                <w:rFonts w:ascii="Times New Roman" w:hAnsi="Times New Roman" w:cs="Times New Roman"/>
                <w:b/>
                <w:bCs/>
                <w:sz w:val="20"/>
                <w:szCs w:val="20"/>
              </w:rPr>
              <w:t>P</w:t>
            </w:r>
          </w:p>
        </w:tc>
      </w:tr>
      <w:tr w:rsidR="00523D36" w:rsidRPr="002C5EE0" w:rsidTr="004E61DD">
        <w:trPr>
          <w:cantSplit/>
          <w:trHeight w:val="20"/>
          <w:jc w:val="center"/>
        </w:trPr>
        <w:tc>
          <w:tcPr>
            <w:tcW w:w="2835" w:type="dxa"/>
            <w:tcBorders>
              <w:top w:val="single" w:sz="12" w:space="0" w:color="auto"/>
              <w:bottom w:val="nil"/>
              <w:right w:val="single" w:sz="12" w:space="0" w:color="auto"/>
            </w:tcBorders>
            <w:vAlign w:val="center"/>
          </w:tcPr>
          <w:p w:rsidR="00523D36" w:rsidRPr="002C5EE0" w:rsidRDefault="00523D36" w:rsidP="00C00E76">
            <w:pPr>
              <w:bidi w:val="0"/>
              <w:snapToGrid w:val="0"/>
              <w:rPr>
                <w:rFonts w:ascii="Times New Roman" w:hAnsi="Times New Roman" w:cs="Times New Roman"/>
                <w:b/>
                <w:bCs/>
                <w:sz w:val="20"/>
                <w:szCs w:val="20"/>
              </w:rPr>
            </w:pPr>
            <w:r w:rsidRPr="002C5EE0">
              <w:rPr>
                <w:rFonts w:ascii="Times New Roman" w:hAnsi="Times New Roman" w:cs="Times New Roman"/>
                <w:b/>
                <w:bCs/>
                <w:sz w:val="20"/>
                <w:szCs w:val="20"/>
              </w:rPr>
              <w:t>Endometrial thickness (mm)</w:t>
            </w:r>
          </w:p>
        </w:tc>
        <w:tc>
          <w:tcPr>
            <w:tcW w:w="1531" w:type="dxa"/>
            <w:tcBorders>
              <w:top w:val="single" w:sz="12" w:space="0" w:color="auto"/>
              <w:left w:val="single" w:sz="12" w:space="0" w:color="auto"/>
              <w:bottom w:val="nil"/>
            </w:tcBorders>
            <w:vAlign w:val="center"/>
          </w:tcPr>
          <w:p w:rsidR="00523D36" w:rsidRPr="002C5EE0" w:rsidRDefault="00523D36" w:rsidP="00C00E76">
            <w:pPr>
              <w:bidi w:val="0"/>
              <w:snapToGrid w:val="0"/>
              <w:rPr>
                <w:rFonts w:ascii="Times New Roman" w:hAnsi="Times New Roman" w:cs="Times New Roman"/>
                <w:sz w:val="20"/>
                <w:szCs w:val="20"/>
              </w:rPr>
            </w:pPr>
          </w:p>
        </w:tc>
        <w:tc>
          <w:tcPr>
            <w:tcW w:w="1532" w:type="dxa"/>
            <w:tcBorders>
              <w:top w:val="single" w:sz="12" w:space="0" w:color="auto"/>
              <w:bottom w:val="nil"/>
              <w:right w:val="single" w:sz="12" w:space="0" w:color="auto"/>
            </w:tcBorders>
            <w:vAlign w:val="center"/>
          </w:tcPr>
          <w:p w:rsidR="00523D36" w:rsidRPr="002C5EE0" w:rsidRDefault="00523D36" w:rsidP="00C00E76">
            <w:pPr>
              <w:bidi w:val="0"/>
              <w:snapToGrid w:val="0"/>
              <w:rPr>
                <w:rFonts w:ascii="Times New Roman" w:hAnsi="Times New Roman" w:cs="Times New Roman"/>
                <w:sz w:val="20"/>
                <w:szCs w:val="20"/>
              </w:rPr>
            </w:pPr>
          </w:p>
        </w:tc>
        <w:tc>
          <w:tcPr>
            <w:tcW w:w="963" w:type="dxa"/>
            <w:tcBorders>
              <w:top w:val="single" w:sz="12" w:space="0" w:color="auto"/>
              <w:left w:val="single" w:sz="12" w:space="0" w:color="auto"/>
              <w:bottom w:val="nil"/>
            </w:tcBorders>
            <w:vAlign w:val="center"/>
          </w:tcPr>
          <w:p w:rsidR="00523D36" w:rsidRPr="002C5EE0" w:rsidRDefault="00523D36" w:rsidP="00C00E76">
            <w:pPr>
              <w:bidi w:val="0"/>
              <w:snapToGrid w:val="0"/>
              <w:rPr>
                <w:rFonts w:ascii="Times New Roman" w:hAnsi="Times New Roman" w:cs="Times New Roman"/>
                <w:sz w:val="20"/>
                <w:szCs w:val="20"/>
              </w:rPr>
            </w:pPr>
          </w:p>
        </w:tc>
        <w:tc>
          <w:tcPr>
            <w:tcW w:w="964" w:type="dxa"/>
            <w:tcBorders>
              <w:top w:val="single" w:sz="12" w:space="0" w:color="auto"/>
              <w:bottom w:val="nil"/>
            </w:tcBorders>
            <w:vAlign w:val="center"/>
          </w:tcPr>
          <w:p w:rsidR="00523D36" w:rsidRPr="002C5EE0" w:rsidRDefault="00523D36" w:rsidP="00C00E76">
            <w:pPr>
              <w:bidi w:val="0"/>
              <w:snapToGrid w:val="0"/>
              <w:rPr>
                <w:rFonts w:ascii="Times New Roman" w:hAnsi="Times New Roman" w:cs="Times New Roman"/>
                <w:sz w:val="20"/>
                <w:szCs w:val="20"/>
              </w:rPr>
            </w:pPr>
          </w:p>
        </w:tc>
      </w:tr>
      <w:tr w:rsidR="00523D36" w:rsidRPr="002C5EE0" w:rsidTr="004E61DD">
        <w:trPr>
          <w:cantSplit/>
          <w:trHeight w:val="20"/>
          <w:jc w:val="center"/>
        </w:trPr>
        <w:tc>
          <w:tcPr>
            <w:tcW w:w="2835" w:type="dxa"/>
            <w:tcBorders>
              <w:top w:val="nil"/>
              <w:bottom w:val="nil"/>
              <w:right w:val="single" w:sz="12" w:space="0" w:color="auto"/>
            </w:tcBorders>
            <w:vAlign w:val="center"/>
          </w:tcPr>
          <w:p w:rsidR="00523D36" w:rsidRPr="002C5EE0" w:rsidRDefault="00523D36" w:rsidP="00C00E76">
            <w:pPr>
              <w:bidi w:val="0"/>
              <w:snapToGrid w:val="0"/>
              <w:rPr>
                <w:rFonts w:ascii="Times New Roman" w:hAnsi="Times New Roman" w:cs="Times New Roman"/>
                <w:sz w:val="20"/>
                <w:szCs w:val="20"/>
              </w:rPr>
            </w:pPr>
            <w:r w:rsidRPr="002C5EE0">
              <w:rPr>
                <w:rFonts w:ascii="Times New Roman" w:hAnsi="Times New Roman" w:cs="Times New Roman"/>
                <w:sz w:val="20"/>
                <w:szCs w:val="20"/>
              </w:rPr>
              <w:t>Min. – Max.</w:t>
            </w:r>
          </w:p>
        </w:tc>
        <w:tc>
          <w:tcPr>
            <w:tcW w:w="1531" w:type="dxa"/>
            <w:tcBorders>
              <w:top w:val="nil"/>
              <w:left w:val="single" w:sz="12" w:space="0" w:color="auto"/>
              <w:bottom w:val="nil"/>
            </w:tcBorders>
            <w:vAlign w:val="center"/>
          </w:tcPr>
          <w:p w:rsidR="00523D36" w:rsidRPr="002C5EE0" w:rsidRDefault="00523D36" w:rsidP="00C00E76">
            <w:pPr>
              <w:bidi w:val="0"/>
              <w:snapToGrid w:val="0"/>
              <w:rPr>
                <w:rFonts w:ascii="Times New Roman" w:hAnsi="Times New Roman" w:cs="Times New Roman"/>
                <w:sz w:val="20"/>
                <w:szCs w:val="20"/>
              </w:rPr>
            </w:pPr>
            <w:r w:rsidRPr="002C5EE0">
              <w:rPr>
                <w:rFonts w:ascii="Times New Roman" w:hAnsi="Times New Roman" w:cs="Times New Roman"/>
                <w:sz w:val="20"/>
                <w:szCs w:val="20"/>
              </w:rPr>
              <w:t>4.0 – 14.0</w:t>
            </w:r>
          </w:p>
        </w:tc>
        <w:tc>
          <w:tcPr>
            <w:tcW w:w="1532" w:type="dxa"/>
            <w:tcBorders>
              <w:top w:val="nil"/>
              <w:bottom w:val="nil"/>
              <w:right w:val="single" w:sz="12" w:space="0" w:color="auto"/>
            </w:tcBorders>
            <w:vAlign w:val="center"/>
          </w:tcPr>
          <w:p w:rsidR="00523D36" w:rsidRPr="002C5EE0" w:rsidRDefault="00523D36" w:rsidP="00C00E76">
            <w:pPr>
              <w:bidi w:val="0"/>
              <w:snapToGrid w:val="0"/>
              <w:rPr>
                <w:rFonts w:ascii="Times New Roman" w:hAnsi="Times New Roman" w:cs="Times New Roman"/>
                <w:sz w:val="20"/>
                <w:szCs w:val="20"/>
              </w:rPr>
            </w:pPr>
            <w:r w:rsidRPr="002C5EE0">
              <w:rPr>
                <w:rFonts w:ascii="Times New Roman" w:hAnsi="Times New Roman" w:cs="Times New Roman"/>
                <w:sz w:val="20"/>
                <w:szCs w:val="20"/>
              </w:rPr>
              <w:t>5.0 – 14.0</w:t>
            </w:r>
          </w:p>
        </w:tc>
        <w:tc>
          <w:tcPr>
            <w:tcW w:w="963" w:type="dxa"/>
            <w:vMerge w:val="restart"/>
            <w:tcBorders>
              <w:top w:val="nil"/>
              <w:left w:val="single" w:sz="12" w:space="0" w:color="auto"/>
            </w:tcBorders>
            <w:vAlign w:val="center"/>
          </w:tcPr>
          <w:p w:rsidR="00523D36" w:rsidRPr="002C5EE0" w:rsidRDefault="00523D36" w:rsidP="00C00E76">
            <w:pPr>
              <w:bidi w:val="0"/>
              <w:snapToGrid w:val="0"/>
              <w:rPr>
                <w:rFonts w:ascii="Times New Roman" w:hAnsi="Times New Roman" w:cs="Times New Roman"/>
                <w:sz w:val="20"/>
                <w:szCs w:val="20"/>
              </w:rPr>
            </w:pPr>
            <w:r w:rsidRPr="002C5EE0">
              <w:rPr>
                <w:rFonts w:ascii="Times New Roman" w:hAnsi="Times New Roman" w:cs="Times New Roman"/>
                <w:sz w:val="20"/>
                <w:szCs w:val="20"/>
              </w:rPr>
              <w:t>t= 1.507</w:t>
            </w:r>
          </w:p>
        </w:tc>
        <w:tc>
          <w:tcPr>
            <w:tcW w:w="964" w:type="dxa"/>
            <w:vMerge w:val="restart"/>
            <w:tcBorders>
              <w:top w:val="nil"/>
            </w:tcBorders>
            <w:vAlign w:val="center"/>
          </w:tcPr>
          <w:p w:rsidR="00523D36" w:rsidRPr="002C5EE0" w:rsidRDefault="00523D36" w:rsidP="00C00E76">
            <w:pPr>
              <w:bidi w:val="0"/>
              <w:snapToGrid w:val="0"/>
              <w:rPr>
                <w:rFonts w:ascii="Times New Roman" w:hAnsi="Times New Roman" w:cs="Times New Roman"/>
                <w:sz w:val="20"/>
                <w:szCs w:val="20"/>
              </w:rPr>
            </w:pPr>
            <w:r w:rsidRPr="002C5EE0">
              <w:rPr>
                <w:rFonts w:ascii="Times New Roman" w:hAnsi="Times New Roman" w:cs="Times New Roman"/>
                <w:sz w:val="20"/>
                <w:szCs w:val="20"/>
              </w:rPr>
              <w:t>0.135</w:t>
            </w:r>
          </w:p>
        </w:tc>
      </w:tr>
      <w:tr w:rsidR="00523D36" w:rsidRPr="002C5EE0" w:rsidTr="004E61DD">
        <w:trPr>
          <w:cantSplit/>
          <w:trHeight w:val="20"/>
          <w:jc w:val="center"/>
        </w:trPr>
        <w:tc>
          <w:tcPr>
            <w:tcW w:w="2835" w:type="dxa"/>
            <w:tcBorders>
              <w:top w:val="nil"/>
              <w:bottom w:val="nil"/>
              <w:right w:val="single" w:sz="12" w:space="0" w:color="auto"/>
            </w:tcBorders>
            <w:vAlign w:val="center"/>
          </w:tcPr>
          <w:p w:rsidR="00523D36" w:rsidRPr="002C5EE0" w:rsidRDefault="00523D36" w:rsidP="00C00E76">
            <w:pPr>
              <w:bidi w:val="0"/>
              <w:snapToGrid w:val="0"/>
              <w:rPr>
                <w:rFonts w:ascii="Times New Roman" w:hAnsi="Times New Roman" w:cs="Times New Roman"/>
                <w:sz w:val="20"/>
                <w:szCs w:val="20"/>
              </w:rPr>
            </w:pPr>
            <w:r w:rsidRPr="002C5EE0">
              <w:rPr>
                <w:rFonts w:ascii="Times New Roman" w:hAnsi="Times New Roman" w:cs="Times New Roman"/>
                <w:sz w:val="20"/>
                <w:szCs w:val="20"/>
              </w:rPr>
              <w:t>Mean ± SD.</w:t>
            </w:r>
          </w:p>
        </w:tc>
        <w:tc>
          <w:tcPr>
            <w:tcW w:w="1531" w:type="dxa"/>
            <w:tcBorders>
              <w:top w:val="nil"/>
              <w:left w:val="single" w:sz="12" w:space="0" w:color="auto"/>
              <w:bottom w:val="nil"/>
            </w:tcBorders>
            <w:vAlign w:val="center"/>
          </w:tcPr>
          <w:p w:rsidR="00523D36" w:rsidRPr="002C5EE0" w:rsidRDefault="00523D36" w:rsidP="00C00E76">
            <w:pPr>
              <w:bidi w:val="0"/>
              <w:snapToGrid w:val="0"/>
              <w:rPr>
                <w:rFonts w:ascii="Times New Roman" w:hAnsi="Times New Roman" w:cs="Times New Roman"/>
                <w:sz w:val="20"/>
                <w:szCs w:val="20"/>
              </w:rPr>
            </w:pPr>
            <w:r w:rsidRPr="002C5EE0">
              <w:rPr>
                <w:rFonts w:ascii="Times New Roman" w:hAnsi="Times New Roman" w:cs="Times New Roman"/>
                <w:sz w:val="20"/>
                <w:szCs w:val="20"/>
              </w:rPr>
              <w:t>9.12 ± 2.89</w:t>
            </w:r>
          </w:p>
        </w:tc>
        <w:tc>
          <w:tcPr>
            <w:tcW w:w="1532" w:type="dxa"/>
            <w:tcBorders>
              <w:top w:val="nil"/>
              <w:bottom w:val="nil"/>
              <w:right w:val="single" w:sz="12" w:space="0" w:color="auto"/>
            </w:tcBorders>
            <w:vAlign w:val="center"/>
          </w:tcPr>
          <w:p w:rsidR="00523D36" w:rsidRPr="002C5EE0" w:rsidRDefault="00523D36" w:rsidP="00C00E76">
            <w:pPr>
              <w:bidi w:val="0"/>
              <w:snapToGrid w:val="0"/>
              <w:rPr>
                <w:rFonts w:ascii="Times New Roman" w:hAnsi="Times New Roman" w:cs="Times New Roman"/>
                <w:sz w:val="20"/>
                <w:szCs w:val="20"/>
              </w:rPr>
            </w:pPr>
            <w:r w:rsidRPr="002C5EE0">
              <w:rPr>
                <w:rFonts w:ascii="Times New Roman" w:hAnsi="Times New Roman" w:cs="Times New Roman"/>
                <w:sz w:val="20"/>
                <w:szCs w:val="20"/>
              </w:rPr>
              <w:t>8.28 ± 2.68</w:t>
            </w:r>
          </w:p>
        </w:tc>
        <w:tc>
          <w:tcPr>
            <w:tcW w:w="963" w:type="dxa"/>
            <w:vMerge/>
            <w:tcBorders>
              <w:left w:val="single" w:sz="12" w:space="0" w:color="auto"/>
            </w:tcBorders>
            <w:vAlign w:val="center"/>
          </w:tcPr>
          <w:p w:rsidR="00523D36" w:rsidRPr="002C5EE0" w:rsidRDefault="00523D36" w:rsidP="00C00E76">
            <w:pPr>
              <w:bidi w:val="0"/>
              <w:snapToGrid w:val="0"/>
              <w:rPr>
                <w:rFonts w:ascii="Times New Roman" w:hAnsi="Times New Roman" w:cs="Times New Roman"/>
                <w:sz w:val="20"/>
                <w:szCs w:val="20"/>
              </w:rPr>
            </w:pPr>
          </w:p>
        </w:tc>
        <w:tc>
          <w:tcPr>
            <w:tcW w:w="964" w:type="dxa"/>
            <w:vMerge/>
            <w:vAlign w:val="center"/>
          </w:tcPr>
          <w:p w:rsidR="00523D36" w:rsidRPr="002C5EE0" w:rsidRDefault="00523D36" w:rsidP="00C00E76">
            <w:pPr>
              <w:bidi w:val="0"/>
              <w:snapToGrid w:val="0"/>
              <w:rPr>
                <w:rFonts w:ascii="Times New Roman" w:hAnsi="Times New Roman" w:cs="Times New Roman"/>
                <w:sz w:val="20"/>
                <w:szCs w:val="20"/>
              </w:rPr>
            </w:pPr>
          </w:p>
        </w:tc>
      </w:tr>
      <w:tr w:rsidR="00523D36" w:rsidRPr="002C5EE0" w:rsidTr="004E61DD">
        <w:trPr>
          <w:cantSplit/>
          <w:trHeight w:val="20"/>
          <w:jc w:val="center"/>
        </w:trPr>
        <w:tc>
          <w:tcPr>
            <w:tcW w:w="2835" w:type="dxa"/>
            <w:tcBorders>
              <w:top w:val="nil"/>
              <w:bottom w:val="thickThinSmallGap" w:sz="18" w:space="0" w:color="auto"/>
              <w:right w:val="single" w:sz="12" w:space="0" w:color="auto"/>
            </w:tcBorders>
            <w:vAlign w:val="center"/>
          </w:tcPr>
          <w:p w:rsidR="00523D36" w:rsidRPr="002C5EE0" w:rsidRDefault="00523D36" w:rsidP="00C00E76">
            <w:pPr>
              <w:bidi w:val="0"/>
              <w:snapToGrid w:val="0"/>
              <w:rPr>
                <w:rFonts w:ascii="Times New Roman" w:hAnsi="Times New Roman" w:cs="Times New Roman"/>
                <w:sz w:val="20"/>
                <w:szCs w:val="20"/>
              </w:rPr>
            </w:pPr>
            <w:r w:rsidRPr="002C5EE0">
              <w:rPr>
                <w:rFonts w:ascii="Times New Roman" w:hAnsi="Times New Roman" w:cs="Times New Roman"/>
                <w:sz w:val="20"/>
                <w:szCs w:val="20"/>
              </w:rPr>
              <w:t>Median</w:t>
            </w:r>
          </w:p>
        </w:tc>
        <w:tc>
          <w:tcPr>
            <w:tcW w:w="1531" w:type="dxa"/>
            <w:tcBorders>
              <w:top w:val="nil"/>
              <w:left w:val="single" w:sz="12" w:space="0" w:color="auto"/>
              <w:bottom w:val="thickThinSmallGap" w:sz="18" w:space="0" w:color="auto"/>
            </w:tcBorders>
            <w:vAlign w:val="center"/>
          </w:tcPr>
          <w:p w:rsidR="00523D36" w:rsidRPr="002C5EE0" w:rsidRDefault="00523D36" w:rsidP="00C00E76">
            <w:pPr>
              <w:bidi w:val="0"/>
              <w:snapToGrid w:val="0"/>
              <w:rPr>
                <w:rFonts w:ascii="Times New Roman" w:hAnsi="Times New Roman" w:cs="Times New Roman"/>
                <w:sz w:val="20"/>
                <w:szCs w:val="20"/>
              </w:rPr>
            </w:pPr>
            <w:r w:rsidRPr="002C5EE0">
              <w:rPr>
                <w:rFonts w:ascii="Times New Roman" w:hAnsi="Times New Roman" w:cs="Times New Roman"/>
                <w:sz w:val="20"/>
                <w:szCs w:val="20"/>
              </w:rPr>
              <w:t>9.0</w:t>
            </w:r>
          </w:p>
        </w:tc>
        <w:tc>
          <w:tcPr>
            <w:tcW w:w="1532" w:type="dxa"/>
            <w:tcBorders>
              <w:top w:val="nil"/>
              <w:bottom w:val="thickThinSmallGap" w:sz="18" w:space="0" w:color="auto"/>
              <w:right w:val="single" w:sz="12" w:space="0" w:color="auto"/>
            </w:tcBorders>
            <w:vAlign w:val="center"/>
          </w:tcPr>
          <w:p w:rsidR="00523D36" w:rsidRPr="002C5EE0" w:rsidRDefault="00523D36" w:rsidP="00C00E76">
            <w:pPr>
              <w:bidi w:val="0"/>
              <w:snapToGrid w:val="0"/>
              <w:rPr>
                <w:rFonts w:ascii="Times New Roman" w:hAnsi="Times New Roman" w:cs="Times New Roman"/>
                <w:sz w:val="20"/>
                <w:szCs w:val="20"/>
              </w:rPr>
            </w:pPr>
            <w:r w:rsidRPr="002C5EE0">
              <w:rPr>
                <w:rFonts w:ascii="Times New Roman" w:hAnsi="Times New Roman" w:cs="Times New Roman"/>
                <w:sz w:val="20"/>
                <w:szCs w:val="20"/>
              </w:rPr>
              <w:t>8.0</w:t>
            </w:r>
          </w:p>
        </w:tc>
        <w:tc>
          <w:tcPr>
            <w:tcW w:w="963" w:type="dxa"/>
            <w:vMerge/>
            <w:tcBorders>
              <w:left w:val="single" w:sz="12" w:space="0" w:color="auto"/>
              <w:bottom w:val="thickThinSmallGap" w:sz="18" w:space="0" w:color="auto"/>
            </w:tcBorders>
            <w:vAlign w:val="center"/>
          </w:tcPr>
          <w:p w:rsidR="00523D36" w:rsidRPr="002C5EE0" w:rsidRDefault="00523D36" w:rsidP="00C00E76">
            <w:pPr>
              <w:bidi w:val="0"/>
              <w:snapToGrid w:val="0"/>
              <w:rPr>
                <w:rFonts w:ascii="Times New Roman" w:hAnsi="Times New Roman" w:cs="Times New Roman"/>
                <w:sz w:val="20"/>
                <w:szCs w:val="20"/>
              </w:rPr>
            </w:pPr>
          </w:p>
        </w:tc>
        <w:tc>
          <w:tcPr>
            <w:tcW w:w="964" w:type="dxa"/>
            <w:vMerge/>
            <w:tcBorders>
              <w:bottom w:val="thickThinSmallGap" w:sz="18" w:space="0" w:color="auto"/>
            </w:tcBorders>
            <w:vAlign w:val="center"/>
          </w:tcPr>
          <w:p w:rsidR="00523D36" w:rsidRPr="002C5EE0" w:rsidRDefault="00523D36" w:rsidP="00C00E76">
            <w:pPr>
              <w:bidi w:val="0"/>
              <w:snapToGrid w:val="0"/>
              <w:rPr>
                <w:rFonts w:ascii="Times New Roman" w:hAnsi="Times New Roman" w:cs="Times New Roman"/>
                <w:sz w:val="20"/>
                <w:szCs w:val="20"/>
              </w:rPr>
            </w:pPr>
          </w:p>
        </w:tc>
      </w:tr>
    </w:tbl>
    <w:p w:rsidR="007108A1" w:rsidRPr="002C5EE0" w:rsidRDefault="007108A1" w:rsidP="00C00E76">
      <w:pPr>
        <w:bidi w:val="0"/>
        <w:snapToGrid w:val="0"/>
        <w:spacing w:after="0" w:line="240" w:lineRule="auto"/>
        <w:ind w:firstLine="425"/>
        <w:rPr>
          <w:rFonts w:ascii="Times New Roman" w:hAnsi="Times New Roman" w:cs="Times New Roman"/>
          <w:b/>
          <w:bCs/>
          <w:sz w:val="20"/>
          <w:szCs w:val="20"/>
          <w:lang w:bidi="ar-EG"/>
        </w:rPr>
      </w:pPr>
    </w:p>
    <w:p w:rsidR="004B07CF" w:rsidRPr="002C5EE0" w:rsidRDefault="00415B1C" w:rsidP="002C5EE0">
      <w:pPr>
        <w:bidi w:val="0"/>
        <w:snapToGrid w:val="0"/>
        <w:spacing w:after="0" w:line="240" w:lineRule="auto"/>
        <w:jc w:val="center"/>
        <w:rPr>
          <w:rFonts w:ascii="Times New Roman" w:hAnsi="Times New Roman" w:cs="Times New Roman"/>
          <w:sz w:val="20"/>
          <w:szCs w:val="20"/>
        </w:rPr>
      </w:pPr>
      <w:r w:rsidRPr="002C5EE0">
        <w:rPr>
          <w:rFonts w:ascii="Times New Roman" w:hAnsi="Times New Roman" w:cs="Times New Roman"/>
          <w:noProof/>
          <w:sz w:val="20"/>
          <w:szCs w:val="20"/>
          <w:lang w:eastAsia="zh-CN"/>
        </w:rPr>
        <w:drawing>
          <wp:inline distT="0" distB="0" distL="0" distR="0">
            <wp:extent cx="5036401" cy="3053751"/>
            <wp:effectExtent l="19050" t="0" r="0" b="0"/>
            <wp:docPr id="1045"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Picture 12"/>
                    <pic:cNvPicPr/>
                  </pic:nvPicPr>
                  <pic:blipFill>
                    <a:blip r:embed="rId26" cstate="print"/>
                    <a:srcRect/>
                    <a:stretch/>
                  </pic:blipFill>
                  <pic:spPr>
                    <a:xfrm>
                      <a:off x="0" y="0"/>
                      <a:ext cx="5036401" cy="3053751"/>
                    </a:xfrm>
                    <a:prstGeom prst="rect">
                      <a:avLst/>
                    </a:prstGeom>
                  </pic:spPr>
                </pic:pic>
              </a:graphicData>
            </a:graphic>
          </wp:inline>
        </w:drawing>
      </w:r>
    </w:p>
    <w:p w:rsidR="00415B1C" w:rsidRPr="002C5EE0" w:rsidRDefault="00042C44" w:rsidP="002C5EE0">
      <w:pPr>
        <w:bidi w:val="0"/>
        <w:snapToGrid w:val="0"/>
        <w:spacing w:after="0" w:line="240" w:lineRule="auto"/>
        <w:jc w:val="both"/>
        <w:rPr>
          <w:rFonts w:ascii="Times New Roman" w:hAnsi="Times New Roman" w:cs="Times New Roman"/>
          <w:sz w:val="20"/>
          <w:szCs w:val="20"/>
        </w:rPr>
      </w:pPr>
      <w:r w:rsidRPr="002C5EE0">
        <w:rPr>
          <w:rFonts w:ascii="Times New Roman" w:hAnsi="Times New Roman" w:cs="Times New Roman"/>
          <w:b/>
          <w:bCs/>
          <w:sz w:val="20"/>
          <w:szCs w:val="20"/>
        </w:rPr>
        <w:t>Figure (8)</w:t>
      </w:r>
      <w:r w:rsidR="002C5EE0" w:rsidRPr="002C5EE0">
        <w:rPr>
          <w:rFonts w:ascii="Times New Roman" w:hAnsi="Times New Roman" w:cs="Times New Roman"/>
          <w:b/>
          <w:bCs/>
          <w:sz w:val="20"/>
          <w:szCs w:val="20"/>
        </w:rPr>
        <w:t>:</w:t>
      </w:r>
      <w:r w:rsidR="002C5EE0">
        <w:rPr>
          <w:rFonts w:ascii="Times New Roman" w:hAnsi="Times New Roman" w:cs="Times New Roman"/>
          <w:b/>
          <w:bCs/>
          <w:sz w:val="20"/>
          <w:szCs w:val="20"/>
        </w:rPr>
        <w:t xml:space="preserve"> </w:t>
      </w:r>
      <w:r w:rsidR="002C5EE0" w:rsidRPr="002C5EE0">
        <w:rPr>
          <w:rFonts w:ascii="Times New Roman" w:hAnsi="Times New Roman" w:cs="Times New Roman"/>
          <w:b/>
          <w:bCs/>
          <w:sz w:val="20"/>
          <w:szCs w:val="20"/>
        </w:rPr>
        <w:t>C</w:t>
      </w:r>
      <w:r w:rsidR="00415B1C" w:rsidRPr="002C5EE0">
        <w:rPr>
          <w:rFonts w:ascii="Times New Roman" w:hAnsi="Times New Roman" w:cs="Times New Roman"/>
          <w:b/>
          <w:bCs/>
          <w:sz w:val="20"/>
          <w:szCs w:val="20"/>
        </w:rPr>
        <w:t xml:space="preserve">omparison between the two studied groups according to </w:t>
      </w:r>
      <w:proofErr w:type="spellStart"/>
      <w:r w:rsidR="00415B1C" w:rsidRPr="002C5EE0">
        <w:rPr>
          <w:rFonts w:ascii="Times New Roman" w:hAnsi="Times New Roman" w:cs="Times New Roman"/>
          <w:b/>
          <w:bCs/>
          <w:sz w:val="20"/>
          <w:szCs w:val="20"/>
        </w:rPr>
        <w:t>ultrasonography</w:t>
      </w:r>
      <w:proofErr w:type="spellEnd"/>
      <w:r w:rsidR="00415B1C" w:rsidRPr="002C5EE0">
        <w:rPr>
          <w:rFonts w:ascii="Times New Roman" w:hAnsi="Times New Roman" w:cs="Times New Roman"/>
          <w:b/>
          <w:bCs/>
          <w:sz w:val="20"/>
          <w:szCs w:val="20"/>
        </w:rPr>
        <w:t xml:space="preserve"> (Endometrial thickness)</w:t>
      </w:r>
    </w:p>
    <w:p w:rsidR="002C5EE0" w:rsidRDefault="002C5EE0" w:rsidP="002C5EE0">
      <w:pPr>
        <w:bidi w:val="0"/>
        <w:snapToGrid w:val="0"/>
        <w:spacing w:after="0" w:line="240" w:lineRule="auto"/>
        <w:jc w:val="both"/>
        <w:rPr>
          <w:rFonts w:ascii="Times New Roman" w:hAnsi="Times New Roman" w:cs="Times New Roman" w:hint="eastAsia"/>
          <w:b/>
          <w:bCs/>
          <w:sz w:val="20"/>
          <w:szCs w:val="20"/>
          <w:lang w:eastAsia="zh-CN" w:bidi="ar-EG"/>
        </w:rPr>
      </w:pPr>
    </w:p>
    <w:p w:rsidR="00C00E76" w:rsidRDefault="00C00E76" w:rsidP="00C00E76">
      <w:pPr>
        <w:bidi w:val="0"/>
        <w:snapToGrid w:val="0"/>
        <w:spacing w:after="0" w:line="240" w:lineRule="auto"/>
        <w:jc w:val="both"/>
        <w:rPr>
          <w:rFonts w:ascii="Times New Roman" w:hAnsi="Times New Roman" w:cs="Times New Roman" w:hint="eastAsia"/>
          <w:b/>
          <w:bCs/>
          <w:sz w:val="20"/>
          <w:szCs w:val="20"/>
          <w:lang w:eastAsia="zh-CN" w:bidi="ar-EG"/>
        </w:rPr>
      </w:pPr>
    </w:p>
    <w:p w:rsidR="002C5EE0" w:rsidRPr="002C5EE0" w:rsidRDefault="002C5EE0" w:rsidP="002C5EE0">
      <w:pPr>
        <w:bidi w:val="0"/>
        <w:snapToGrid w:val="0"/>
        <w:spacing w:after="0" w:line="240" w:lineRule="auto"/>
        <w:jc w:val="both"/>
        <w:rPr>
          <w:rFonts w:ascii="Times New Roman" w:hAnsi="Times New Roman" w:cs="Times New Roman"/>
          <w:b/>
          <w:bCs/>
          <w:sz w:val="20"/>
          <w:szCs w:val="20"/>
          <w:lang w:bidi="ar-EG"/>
        </w:rPr>
        <w:sectPr w:rsidR="002C5EE0" w:rsidRPr="002C5EE0" w:rsidSect="004B07CF">
          <w:headerReference w:type="default" r:id="rId27"/>
          <w:footerReference w:type="default" r:id="rId28"/>
          <w:type w:val="continuous"/>
          <w:pgSz w:w="12242" w:h="15842" w:code="1"/>
          <w:pgMar w:top="1440" w:right="1440" w:bottom="1440" w:left="1440" w:header="720" w:footer="720" w:gutter="0"/>
          <w:cols w:space="708"/>
          <w:docGrid w:linePitch="360"/>
        </w:sectPr>
      </w:pPr>
    </w:p>
    <w:p w:rsidR="007108A1" w:rsidRPr="002C5EE0" w:rsidRDefault="00A173BE" w:rsidP="002C5EE0">
      <w:pPr>
        <w:bidi w:val="0"/>
        <w:snapToGrid w:val="0"/>
        <w:spacing w:after="0" w:line="240" w:lineRule="auto"/>
        <w:jc w:val="both"/>
        <w:rPr>
          <w:rFonts w:ascii="Times New Roman" w:hAnsi="Times New Roman" w:cs="Times New Roman"/>
          <w:b/>
          <w:bCs/>
          <w:sz w:val="20"/>
          <w:szCs w:val="20"/>
          <w:lang w:bidi="ar-EG"/>
        </w:rPr>
      </w:pPr>
      <w:r w:rsidRPr="002C5EE0">
        <w:rPr>
          <w:rFonts w:ascii="Times New Roman" w:hAnsi="Times New Roman" w:cs="Times New Roman"/>
          <w:b/>
          <w:bCs/>
          <w:sz w:val="20"/>
          <w:szCs w:val="20"/>
          <w:lang w:bidi="ar-EG"/>
        </w:rPr>
        <w:lastRenderedPageBreak/>
        <w:t xml:space="preserve">4. </w:t>
      </w:r>
      <w:r w:rsidR="007108A1" w:rsidRPr="002C5EE0">
        <w:rPr>
          <w:rFonts w:ascii="Times New Roman" w:hAnsi="Times New Roman" w:cs="Times New Roman"/>
          <w:b/>
          <w:bCs/>
          <w:sz w:val="20"/>
          <w:szCs w:val="20"/>
          <w:lang w:bidi="ar-EG"/>
        </w:rPr>
        <w:t>Discussion</w:t>
      </w:r>
    </w:p>
    <w:p w:rsidR="007108A1" w:rsidRPr="002C5EE0" w:rsidRDefault="007108A1" w:rsidP="002C5EE0">
      <w:pPr>
        <w:bidi w:val="0"/>
        <w:snapToGrid w:val="0"/>
        <w:spacing w:after="0" w:line="240" w:lineRule="auto"/>
        <w:ind w:firstLine="425"/>
        <w:jc w:val="both"/>
        <w:rPr>
          <w:rFonts w:ascii="Times New Roman" w:eastAsia="Times New Roman" w:hAnsi="Times New Roman" w:cs="Times New Roman"/>
          <w:color w:val="000000"/>
          <w:sz w:val="20"/>
          <w:szCs w:val="20"/>
        </w:rPr>
      </w:pPr>
      <w:r w:rsidRPr="002C5EE0">
        <w:rPr>
          <w:rFonts w:ascii="Times New Roman" w:eastAsia="Times New Roman" w:hAnsi="Times New Roman" w:cs="Times New Roman"/>
          <w:color w:val="000000"/>
          <w:sz w:val="20"/>
          <w:szCs w:val="20"/>
        </w:rPr>
        <w:t xml:space="preserve">Polycystic ovary syndrome (PCOS) is one of the most common causes of </w:t>
      </w:r>
      <w:proofErr w:type="spellStart"/>
      <w:r w:rsidRPr="002C5EE0">
        <w:rPr>
          <w:rFonts w:ascii="Times New Roman" w:eastAsia="Times New Roman" w:hAnsi="Times New Roman" w:cs="Times New Roman"/>
          <w:color w:val="000000"/>
          <w:sz w:val="20"/>
          <w:szCs w:val="20"/>
        </w:rPr>
        <w:t>anovulatory</w:t>
      </w:r>
      <w:proofErr w:type="spellEnd"/>
      <w:r w:rsidRPr="002C5EE0">
        <w:rPr>
          <w:rFonts w:ascii="Times New Roman" w:eastAsia="Times New Roman" w:hAnsi="Times New Roman" w:cs="Times New Roman"/>
          <w:color w:val="000000"/>
          <w:sz w:val="20"/>
          <w:szCs w:val="20"/>
        </w:rPr>
        <w:t xml:space="preserve"> infertility which affects 4-7% of women worldwide. It is by far the most common cause of hyper androgenic </w:t>
      </w:r>
      <w:proofErr w:type="spellStart"/>
      <w:r w:rsidRPr="002C5EE0">
        <w:rPr>
          <w:rFonts w:ascii="Times New Roman" w:eastAsia="Times New Roman" w:hAnsi="Times New Roman" w:cs="Times New Roman"/>
          <w:color w:val="000000"/>
          <w:sz w:val="20"/>
          <w:szCs w:val="20"/>
        </w:rPr>
        <w:t>anovulatory</w:t>
      </w:r>
      <w:proofErr w:type="spellEnd"/>
      <w:r w:rsidRPr="002C5EE0">
        <w:rPr>
          <w:rFonts w:ascii="Times New Roman" w:eastAsia="Times New Roman" w:hAnsi="Times New Roman" w:cs="Times New Roman"/>
          <w:color w:val="000000"/>
          <w:sz w:val="20"/>
          <w:szCs w:val="20"/>
        </w:rPr>
        <w:t xml:space="preserve"> infertility and was described more than half a century ago, the underlying cause of this disorder is still uncertain</w:t>
      </w:r>
      <w:r w:rsidRPr="002C5EE0">
        <w:rPr>
          <w:rFonts w:ascii="Times New Roman" w:eastAsia="Times New Roman" w:hAnsi="Times New Roman" w:cs="Times New Roman"/>
          <w:b/>
          <w:color w:val="000000"/>
          <w:sz w:val="20"/>
          <w:szCs w:val="20"/>
        </w:rPr>
        <w:t>.</w:t>
      </w:r>
    </w:p>
    <w:p w:rsidR="007108A1" w:rsidRPr="002C5EE0" w:rsidRDefault="007108A1" w:rsidP="002C5EE0">
      <w:pPr>
        <w:bidi w:val="0"/>
        <w:snapToGrid w:val="0"/>
        <w:spacing w:after="0" w:line="240" w:lineRule="auto"/>
        <w:ind w:firstLine="425"/>
        <w:jc w:val="both"/>
        <w:rPr>
          <w:rFonts w:ascii="Times New Roman" w:eastAsia="Times New Roman" w:hAnsi="Times New Roman" w:cs="Times New Roman"/>
          <w:b/>
          <w:color w:val="000000"/>
          <w:sz w:val="20"/>
          <w:szCs w:val="20"/>
        </w:rPr>
      </w:pPr>
      <w:proofErr w:type="spellStart"/>
      <w:r w:rsidRPr="002C5EE0">
        <w:rPr>
          <w:rFonts w:ascii="Times New Roman" w:eastAsia="Times New Roman" w:hAnsi="Times New Roman" w:cs="Times New Roman"/>
          <w:color w:val="000000"/>
          <w:sz w:val="20"/>
          <w:szCs w:val="20"/>
        </w:rPr>
        <w:t>Clomiphene</w:t>
      </w:r>
      <w:proofErr w:type="spellEnd"/>
      <w:r w:rsidRPr="002C5EE0">
        <w:rPr>
          <w:rFonts w:ascii="Times New Roman" w:eastAsia="Times New Roman" w:hAnsi="Times New Roman" w:cs="Times New Roman"/>
          <w:color w:val="000000"/>
          <w:sz w:val="20"/>
          <w:szCs w:val="20"/>
        </w:rPr>
        <w:t xml:space="preserve"> Citrate (CC), a selective estrogen-receptor modulator that antagonizes the negative feedback of estrogen at the hypothalamus with a consequent increase in ovarian stimulation by endogenous </w:t>
      </w:r>
      <w:proofErr w:type="spellStart"/>
      <w:r w:rsidRPr="002C5EE0">
        <w:rPr>
          <w:rFonts w:ascii="Times New Roman" w:eastAsia="Times New Roman" w:hAnsi="Times New Roman" w:cs="Times New Roman"/>
          <w:color w:val="000000"/>
          <w:sz w:val="20"/>
          <w:szCs w:val="20"/>
        </w:rPr>
        <w:t>gonadotropin</w:t>
      </w:r>
      <w:proofErr w:type="spellEnd"/>
      <w:r w:rsidRPr="002C5EE0">
        <w:rPr>
          <w:rFonts w:ascii="Times New Roman" w:eastAsia="Times New Roman" w:hAnsi="Times New Roman" w:cs="Times New Roman"/>
          <w:color w:val="000000"/>
          <w:sz w:val="20"/>
          <w:szCs w:val="20"/>
        </w:rPr>
        <w:t xml:space="preserve"> has become the most widely prescribed drug for ovulation induction to reverse </w:t>
      </w:r>
      <w:proofErr w:type="spellStart"/>
      <w:r w:rsidRPr="002C5EE0">
        <w:rPr>
          <w:rFonts w:ascii="Times New Roman" w:eastAsia="Times New Roman" w:hAnsi="Times New Roman" w:cs="Times New Roman"/>
          <w:color w:val="000000"/>
          <w:sz w:val="20"/>
          <w:szCs w:val="20"/>
        </w:rPr>
        <w:t>anovulation</w:t>
      </w:r>
      <w:proofErr w:type="spellEnd"/>
      <w:r w:rsidRPr="002C5EE0">
        <w:rPr>
          <w:rFonts w:ascii="Times New Roman" w:eastAsia="Times New Roman" w:hAnsi="Times New Roman" w:cs="Times New Roman"/>
          <w:color w:val="000000"/>
          <w:sz w:val="20"/>
          <w:szCs w:val="20"/>
        </w:rPr>
        <w:t xml:space="preserve"> or </w:t>
      </w:r>
      <w:proofErr w:type="spellStart"/>
      <w:r w:rsidRPr="002C5EE0">
        <w:rPr>
          <w:rFonts w:ascii="Times New Roman" w:eastAsia="Times New Roman" w:hAnsi="Times New Roman" w:cs="Times New Roman"/>
          <w:color w:val="000000"/>
          <w:sz w:val="20"/>
          <w:szCs w:val="20"/>
        </w:rPr>
        <w:t>oligoovulation</w:t>
      </w:r>
      <w:proofErr w:type="spellEnd"/>
      <w:r w:rsidRPr="002C5EE0">
        <w:rPr>
          <w:rFonts w:ascii="Times New Roman" w:eastAsia="Times New Roman" w:hAnsi="Times New Roman" w:cs="Times New Roman"/>
          <w:b/>
          <w:color w:val="000000"/>
          <w:sz w:val="20"/>
          <w:szCs w:val="20"/>
        </w:rPr>
        <w:t>.</w:t>
      </w:r>
    </w:p>
    <w:p w:rsidR="007108A1" w:rsidRPr="002C5EE0" w:rsidRDefault="007108A1" w:rsidP="002C5EE0">
      <w:pPr>
        <w:bidi w:val="0"/>
        <w:snapToGrid w:val="0"/>
        <w:spacing w:after="0" w:line="240" w:lineRule="auto"/>
        <w:ind w:firstLine="425"/>
        <w:jc w:val="both"/>
        <w:rPr>
          <w:rFonts w:ascii="Times New Roman" w:eastAsia="Times New Roman" w:hAnsi="Times New Roman" w:cs="Times New Roman"/>
          <w:sz w:val="20"/>
          <w:szCs w:val="20"/>
          <w:vertAlign w:val="superscript"/>
        </w:rPr>
      </w:pPr>
      <w:proofErr w:type="spellStart"/>
      <w:r w:rsidRPr="002C5EE0">
        <w:rPr>
          <w:rFonts w:ascii="Times New Roman" w:eastAsia="Times New Roman" w:hAnsi="Times New Roman" w:cs="Times New Roman"/>
          <w:sz w:val="20"/>
          <w:szCs w:val="20"/>
        </w:rPr>
        <w:t>Clomiphene</w:t>
      </w:r>
      <w:proofErr w:type="spellEnd"/>
      <w:r w:rsidRPr="002C5EE0">
        <w:rPr>
          <w:rFonts w:ascii="Times New Roman" w:eastAsia="Times New Roman" w:hAnsi="Times New Roman" w:cs="Times New Roman"/>
          <w:sz w:val="20"/>
          <w:szCs w:val="20"/>
        </w:rPr>
        <w:t xml:space="preserve"> citrate resistance It is defined as failure to ovulate in response to CC on doses of 150mg/day after 3 cycles. CC resistance is an unpredictable and unpreventable event. It is virtually impossible to predict who will respond to which dose </w:t>
      </w:r>
      <w:r w:rsidRPr="002C5EE0">
        <w:rPr>
          <w:rFonts w:ascii="Times New Roman" w:eastAsia="Times New Roman" w:hAnsi="Times New Roman" w:cs="Times New Roman"/>
          <w:sz w:val="20"/>
          <w:szCs w:val="20"/>
        </w:rPr>
        <w:lastRenderedPageBreak/>
        <w:t>of CC. So far there is no general agreement on a standard regimen for management of CC resistant PCOS patients</w:t>
      </w:r>
      <w:r w:rsidRPr="002C5EE0">
        <w:rPr>
          <w:rFonts w:ascii="Times New Roman" w:eastAsia="Times New Roman" w:hAnsi="Times New Roman" w:cs="Times New Roman"/>
          <w:b/>
          <w:i/>
          <w:sz w:val="20"/>
          <w:szCs w:val="20"/>
        </w:rPr>
        <w:t xml:space="preserve"> (Homburg, 2005)</w:t>
      </w:r>
      <w:r w:rsidRPr="002C5EE0">
        <w:rPr>
          <w:rFonts w:ascii="Times New Roman" w:eastAsia="Times New Roman" w:hAnsi="Times New Roman" w:cs="Times New Roman"/>
          <w:b/>
          <w:sz w:val="20"/>
          <w:szCs w:val="20"/>
        </w:rPr>
        <w:t>.</w:t>
      </w:r>
    </w:p>
    <w:p w:rsidR="007108A1" w:rsidRPr="002C5EE0" w:rsidRDefault="007108A1" w:rsidP="002C5EE0">
      <w:pPr>
        <w:bidi w:val="0"/>
        <w:snapToGrid w:val="0"/>
        <w:spacing w:after="0" w:line="240" w:lineRule="auto"/>
        <w:ind w:firstLine="425"/>
        <w:jc w:val="both"/>
        <w:rPr>
          <w:rFonts w:ascii="Times New Roman" w:eastAsia="Times New Roman" w:hAnsi="Times New Roman" w:cs="Times New Roman"/>
          <w:color w:val="000000"/>
          <w:sz w:val="20"/>
          <w:szCs w:val="20"/>
        </w:rPr>
      </w:pPr>
      <w:r w:rsidRPr="002C5EE0">
        <w:rPr>
          <w:rFonts w:ascii="Times New Roman" w:eastAsia="Times New Roman" w:hAnsi="Times New Roman" w:cs="Times New Roman"/>
          <w:color w:val="000000"/>
          <w:sz w:val="20"/>
          <w:szCs w:val="20"/>
        </w:rPr>
        <w:t xml:space="preserve">Our study compared the efficacy of </w:t>
      </w:r>
      <w:proofErr w:type="spellStart"/>
      <w:r w:rsidRPr="002C5EE0">
        <w:rPr>
          <w:rFonts w:ascii="Times New Roman" w:eastAsia="Times New Roman" w:hAnsi="Times New Roman" w:cs="Times New Roman"/>
          <w:color w:val="000000"/>
          <w:sz w:val="20"/>
          <w:szCs w:val="20"/>
        </w:rPr>
        <w:t>tamoxifen</w:t>
      </w:r>
      <w:proofErr w:type="spellEnd"/>
      <w:r w:rsidRPr="002C5EE0">
        <w:rPr>
          <w:rFonts w:ascii="Times New Roman" w:eastAsia="Times New Roman" w:hAnsi="Times New Roman" w:cs="Times New Roman"/>
          <w:color w:val="000000"/>
          <w:sz w:val="20"/>
          <w:szCs w:val="20"/>
        </w:rPr>
        <w:t xml:space="preserve"> citrate (TMX) versus to </w:t>
      </w:r>
      <w:proofErr w:type="spellStart"/>
      <w:r w:rsidRPr="002C5EE0">
        <w:rPr>
          <w:rFonts w:ascii="Times New Roman" w:eastAsia="Times New Roman" w:hAnsi="Times New Roman" w:cs="Times New Roman"/>
          <w:color w:val="000000"/>
          <w:sz w:val="20"/>
          <w:szCs w:val="20"/>
        </w:rPr>
        <w:t>letrozole</w:t>
      </w:r>
      <w:proofErr w:type="spellEnd"/>
      <w:r w:rsidRPr="002C5EE0">
        <w:rPr>
          <w:rFonts w:ascii="Times New Roman" w:eastAsia="Times New Roman" w:hAnsi="Times New Roman" w:cs="Times New Roman"/>
          <w:color w:val="000000"/>
          <w:sz w:val="20"/>
          <w:szCs w:val="20"/>
        </w:rPr>
        <w:t xml:space="preserve"> as an </w:t>
      </w:r>
      <w:proofErr w:type="spellStart"/>
      <w:r w:rsidRPr="002C5EE0">
        <w:rPr>
          <w:rFonts w:ascii="Times New Roman" w:eastAsia="Times New Roman" w:hAnsi="Times New Roman" w:cs="Times New Roman"/>
          <w:color w:val="000000"/>
          <w:sz w:val="20"/>
          <w:szCs w:val="20"/>
        </w:rPr>
        <w:t>aromatase</w:t>
      </w:r>
      <w:proofErr w:type="spellEnd"/>
      <w:r w:rsidRPr="002C5EE0">
        <w:rPr>
          <w:rFonts w:ascii="Times New Roman" w:eastAsia="Times New Roman" w:hAnsi="Times New Roman" w:cs="Times New Roman"/>
          <w:color w:val="000000"/>
          <w:sz w:val="20"/>
          <w:szCs w:val="20"/>
        </w:rPr>
        <w:t xml:space="preserve"> inhibitor in achieving ovulation induction in </w:t>
      </w:r>
      <w:proofErr w:type="spellStart"/>
      <w:r w:rsidRPr="002C5EE0">
        <w:rPr>
          <w:rFonts w:ascii="Times New Roman" w:eastAsia="Times New Roman" w:hAnsi="Times New Roman" w:cs="Times New Roman"/>
          <w:color w:val="000000"/>
          <w:sz w:val="20"/>
          <w:szCs w:val="20"/>
        </w:rPr>
        <w:t>clomiphene</w:t>
      </w:r>
      <w:proofErr w:type="spellEnd"/>
      <w:r w:rsidRPr="002C5EE0">
        <w:rPr>
          <w:rFonts w:ascii="Times New Roman" w:eastAsia="Times New Roman" w:hAnsi="Times New Roman" w:cs="Times New Roman"/>
          <w:color w:val="000000"/>
          <w:sz w:val="20"/>
          <w:szCs w:val="20"/>
        </w:rPr>
        <w:t xml:space="preserve"> citrate resistant women with PCOS. In the present study, the ovulation rate with </w:t>
      </w:r>
      <w:proofErr w:type="spellStart"/>
      <w:r w:rsidRPr="002C5EE0">
        <w:rPr>
          <w:rFonts w:ascii="Times New Roman" w:eastAsia="Times New Roman" w:hAnsi="Times New Roman" w:cs="Times New Roman"/>
          <w:color w:val="000000"/>
          <w:sz w:val="20"/>
          <w:szCs w:val="20"/>
        </w:rPr>
        <w:t>letrozole</w:t>
      </w:r>
      <w:proofErr w:type="spellEnd"/>
      <w:r w:rsidRPr="002C5EE0">
        <w:rPr>
          <w:rFonts w:ascii="Times New Roman" w:eastAsia="Times New Roman" w:hAnsi="Times New Roman" w:cs="Times New Roman"/>
          <w:color w:val="000000"/>
          <w:sz w:val="20"/>
          <w:szCs w:val="20"/>
        </w:rPr>
        <w:t xml:space="preserve"> (70%) was higher than with </w:t>
      </w:r>
      <w:proofErr w:type="spellStart"/>
      <w:r w:rsidRPr="002C5EE0">
        <w:rPr>
          <w:rFonts w:ascii="Times New Roman" w:eastAsia="Times New Roman" w:hAnsi="Times New Roman" w:cs="Times New Roman"/>
          <w:color w:val="000000"/>
          <w:sz w:val="20"/>
          <w:szCs w:val="20"/>
        </w:rPr>
        <w:t>tamoxifen</w:t>
      </w:r>
      <w:proofErr w:type="spellEnd"/>
      <w:r w:rsidRPr="002C5EE0">
        <w:rPr>
          <w:rFonts w:ascii="Times New Roman" w:eastAsia="Times New Roman" w:hAnsi="Times New Roman" w:cs="Times New Roman"/>
          <w:color w:val="000000"/>
          <w:sz w:val="20"/>
          <w:szCs w:val="20"/>
        </w:rPr>
        <w:t xml:space="preserve"> (50%).</w:t>
      </w:r>
    </w:p>
    <w:p w:rsidR="007108A1" w:rsidRPr="002C5EE0" w:rsidRDefault="007108A1" w:rsidP="002C5EE0">
      <w:pPr>
        <w:bidi w:val="0"/>
        <w:snapToGrid w:val="0"/>
        <w:spacing w:after="0" w:line="240" w:lineRule="auto"/>
        <w:ind w:firstLine="425"/>
        <w:jc w:val="both"/>
        <w:rPr>
          <w:rFonts w:ascii="Times New Roman" w:eastAsia="Times New Roman" w:hAnsi="Times New Roman" w:cs="Times New Roman"/>
          <w:color w:val="000000"/>
          <w:sz w:val="20"/>
          <w:szCs w:val="20"/>
        </w:rPr>
      </w:pPr>
      <w:proofErr w:type="spellStart"/>
      <w:r w:rsidRPr="002C5EE0">
        <w:rPr>
          <w:rFonts w:ascii="Times New Roman" w:eastAsia="Times New Roman" w:hAnsi="Times New Roman" w:cs="Times New Roman"/>
          <w:color w:val="000000"/>
          <w:sz w:val="20"/>
          <w:szCs w:val="20"/>
        </w:rPr>
        <w:t>Clomiphene</w:t>
      </w:r>
      <w:proofErr w:type="spellEnd"/>
      <w:r w:rsidRPr="002C5EE0">
        <w:rPr>
          <w:rFonts w:ascii="Times New Roman" w:eastAsia="Times New Roman" w:hAnsi="Times New Roman" w:cs="Times New Roman"/>
          <w:color w:val="000000"/>
          <w:sz w:val="20"/>
          <w:szCs w:val="20"/>
        </w:rPr>
        <w:t xml:space="preserve"> citrate remains the first-line treatment for PCOS-related </w:t>
      </w:r>
      <w:proofErr w:type="spellStart"/>
      <w:r w:rsidRPr="002C5EE0">
        <w:rPr>
          <w:rFonts w:ascii="Times New Roman" w:eastAsia="Times New Roman" w:hAnsi="Times New Roman" w:cs="Times New Roman"/>
          <w:color w:val="000000"/>
          <w:sz w:val="20"/>
          <w:szCs w:val="20"/>
        </w:rPr>
        <w:t>anovulatory</w:t>
      </w:r>
      <w:proofErr w:type="spellEnd"/>
      <w:r w:rsidRPr="002C5EE0">
        <w:rPr>
          <w:rFonts w:ascii="Times New Roman" w:eastAsia="Times New Roman" w:hAnsi="Times New Roman" w:cs="Times New Roman"/>
          <w:color w:val="000000"/>
          <w:sz w:val="20"/>
          <w:szCs w:val="20"/>
        </w:rPr>
        <w:t xml:space="preserve"> infertility </w:t>
      </w:r>
      <w:r w:rsidRPr="002C5EE0">
        <w:rPr>
          <w:rFonts w:ascii="Times New Roman" w:eastAsia="Times New Roman" w:hAnsi="Times New Roman" w:cs="Times New Roman"/>
          <w:b/>
          <w:i/>
          <w:color w:val="000000"/>
          <w:sz w:val="20"/>
          <w:szCs w:val="20"/>
        </w:rPr>
        <w:t>(</w:t>
      </w:r>
      <w:proofErr w:type="spellStart"/>
      <w:r w:rsidRPr="002C5EE0">
        <w:rPr>
          <w:rFonts w:ascii="Times New Roman" w:eastAsia="Times New Roman" w:hAnsi="Times New Roman" w:cs="Times New Roman"/>
          <w:b/>
          <w:i/>
          <w:color w:val="000000"/>
          <w:sz w:val="20"/>
          <w:szCs w:val="20"/>
        </w:rPr>
        <w:t>Legro</w:t>
      </w:r>
      <w:proofErr w:type="spellEnd"/>
      <w:r w:rsidRPr="002C5EE0">
        <w:rPr>
          <w:rFonts w:ascii="Times New Roman" w:eastAsia="Times New Roman" w:hAnsi="Times New Roman" w:cs="Times New Roman"/>
          <w:b/>
          <w:i/>
          <w:color w:val="000000"/>
          <w:sz w:val="20"/>
          <w:szCs w:val="20"/>
        </w:rPr>
        <w:t xml:space="preserve"> et al., 2007)</w:t>
      </w:r>
      <w:r w:rsidRPr="002C5EE0">
        <w:rPr>
          <w:rFonts w:ascii="Times New Roman" w:eastAsia="Times New Roman" w:hAnsi="Times New Roman" w:cs="Times New Roman"/>
          <w:color w:val="000000"/>
          <w:sz w:val="20"/>
          <w:szCs w:val="20"/>
        </w:rPr>
        <w:t xml:space="preserve">. Failure to respond to </w:t>
      </w:r>
      <w:proofErr w:type="spellStart"/>
      <w:r w:rsidRPr="002C5EE0">
        <w:rPr>
          <w:rFonts w:ascii="Times New Roman" w:eastAsia="Times New Roman" w:hAnsi="Times New Roman" w:cs="Times New Roman"/>
          <w:color w:val="000000"/>
          <w:sz w:val="20"/>
          <w:szCs w:val="20"/>
        </w:rPr>
        <w:t>clomiphene</w:t>
      </w:r>
      <w:proofErr w:type="spellEnd"/>
      <w:r w:rsidRPr="002C5EE0">
        <w:rPr>
          <w:rFonts w:ascii="Times New Roman" w:eastAsia="Times New Roman" w:hAnsi="Times New Roman" w:cs="Times New Roman"/>
          <w:color w:val="000000"/>
          <w:sz w:val="20"/>
          <w:szCs w:val="20"/>
        </w:rPr>
        <w:t xml:space="preserve"> citrate occurs in up to 20% of cases which may require the use of </w:t>
      </w:r>
      <w:proofErr w:type="spellStart"/>
      <w:r w:rsidRPr="002C5EE0">
        <w:rPr>
          <w:rFonts w:ascii="Times New Roman" w:eastAsia="Times New Roman" w:hAnsi="Times New Roman" w:cs="Times New Roman"/>
          <w:color w:val="000000"/>
          <w:sz w:val="20"/>
          <w:szCs w:val="20"/>
        </w:rPr>
        <w:t>injectable</w:t>
      </w:r>
      <w:proofErr w:type="spellEnd"/>
      <w:r w:rsidRPr="002C5EE0">
        <w:rPr>
          <w:rFonts w:ascii="Times New Roman" w:eastAsia="Times New Roman" w:hAnsi="Times New Roman" w:cs="Times New Roman"/>
          <w:color w:val="000000"/>
          <w:sz w:val="20"/>
          <w:szCs w:val="20"/>
        </w:rPr>
        <w:t xml:space="preserve"> </w:t>
      </w:r>
      <w:proofErr w:type="spellStart"/>
      <w:r w:rsidRPr="002C5EE0">
        <w:rPr>
          <w:rFonts w:ascii="Times New Roman" w:eastAsia="Times New Roman" w:hAnsi="Times New Roman" w:cs="Times New Roman"/>
          <w:color w:val="000000"/>
          <w:sz w:val="20"/>
          <w:szCs w:val="20"/>
        </w:rPr>
        <w:t>gonadotrophins</w:t>
      </w:r>
      <w:proofErr w:type="spellEnd"/>
      <w:r w:rsidRPr="002C5EE0">
        <w:rPr>
          <w:rFonts w:ascii="Times New Roman" w:eastAsia="Times New Roman" w:hAnsi="Times New Roman" w:cs="Times New Roman"/>
          <w:color w:val="000000"/>
          <w:sz w:val="20"/>
          <w:szCs w:val="20"/>
        </w:rPr>
        <w:t xml:space="preserve"> as a second-line treatment. The drawbacks of this approach include its high cost, the potentially life threatening ovarian </w:t>
      </w:r>
      <w:proofErr w:type="spellStart"/>
      <w:r w:rsidRPr="002C5EE0">
        <w:rPr>
          <w:rFonts w:ascii="Times New Roman" w:eastAsia="Times New Roman" w:hAnsi="Times New Roman" w:cs="Times New Roman"/>
          <w:color w:val="000000"/>
          <w:sz w:val="20"/>
          <w:szCs w:val="20"/>
        </w:rPr>
        <w:t>hyperstimulation</w:t>
      </w:r>
      <w:proofErr w:type="spellEnd"/>
      <w:r w:rsidRPr="002C5EE0">
        <w:rPr>
          <w:rFonts w:ascii="Times New Roman" w:eastAsia="Times New Roman" w:hAnsi="Times New Roman" w:cs="Times New Roman"/>
          <w:color w:val="000000"/>
          <w:sz w:val="20"/>
          <w:szCs w:val="20"/>
        </w:rPr>
        <w:t xml:space="preserve"> syndrome and the significant risk of high order multiple gestations </w:t>
      </w:r>
      <w:r w:rsidRPr="002C5EE0">
        <w:rPr>
          <w:rFonts w:ascii="Times New Roman" w:eastAsia="Times New Roman" w:hAnsi="Times New Roman" w:cs="Times New Roman"/>
          <w:b/>
          <w:i/>
          <w:color w:val="000000"/>
          <w:sz w:val="20"/>
          <w:szCs w:val="20"/>
        </w:rPr>
        <w:t>(</w:t>
      </w:r>
      <w:proofErr w:type="spellStart"/>
      <w:r w:rsidRPr="002C5EE0">
        <w:rPr>
          <w:rFonts w:ascii="Times New Roman" w:eastAsia="Times New Roman" w:hAnsi="Times New Roman" w:cs="Times New Roman"/>
          <w:b/>
          <w:i/>
          <w:color w:val="000000"/>
          <w:sz w:val="20"/>
          <w:szCs w:val="20"/>
        </w:rPr>
        <w:t>Mitwally</w:t>
      </w:r>
      <w:proofErr w:type="spellEnd"/>
      <w:r w:rsidRPr="002C5EE0">
        <w:rPr>
          <w:rFonts w:ascii="Times New Roman" w:eastAsia="Times New Roman" w:hAnsi="Times New Roman" w:cs="Times New Roman"/>
          <w:b/>
          <w:i/>
          <w:color w:val="000000"/>
          <w:sz w:val="20"/>
          <w:szCs w:val="20"/>
        </w:rPr>
        <w:t xml:space="preserve"> and Casper, 2003)</w:t>
      </w:r>
      <w:r w:rsidR="002C5EE0" w:rsidRPr="002C5EE0">
        <w:rPr>
          <w:rFonts w:ascii="Times New Roman" w:eastAsia="Times New Roman" w:hAnsi="Times New Roman" w:cs="Times New Roman"/>
          <w:color w:val="000000"/>
          <w:sz w:val="20"/>
          <w:szCs w:val="20"/>
        </w:rPr>
        <w:t>.</w:t>
      </w:r>
      <w:r w:rsidR="002C5EE0">
        <w:rPr>
          <w:rFonts w:ascii="Times New Roman" w:eastAsia="Times New Roman" w:hAnsi="Times New Roman" w:cs="Times New Roman"/>
          <w:color w:val="000000"/>
          <w:sz w:val="20"/>
          <w:szCs w:val="20"/>
        </w:rPr>
        <w:t xml:space="preserve"> </w:t>
      </w:r>
      <w:r w:rsidR="002C5EE0" w:rsidRPr="002C5EE0">
        <w:rPr>
          <w:rFonts w:ascii="Times New Roman" w:eastAsia="Times New Roman" w:hAnsi="Times New Roman" w:cs="Times New Roman"/>
          <w:color w:val="000000"/>
          <w:sz w:val="20"/>
          <w:szCs w:val="20"/>
        </w:rPr>
        <w:t>O</w:t>
      </w:r>
      <w:r w:rsidRPr="002C5EE0">
        <w:rPr>
          <w:rFonts w:ascii="Times New Roman" w:eastAsia="Times New Roman" w:hAnsi="Times New Roman" w:cs="Times New Roman"/>
          <w:color w:val="000000"/>
          <w:sz w:val="20"/>
          <w:szCs w:val="20"/>
        </w:rPr>
        <w:t xml:space="preserve">r it may require laparoscopic ovarian drilling which is not associated with an increased risk of </w:t>
      </w:r>
      <w:r w:rsidRPr="002C5EE0">
        <w:rPr>
          <w:rFonts w:ascii="Times New Roman" w:eastAsia="Times New Roman" w:hAnsi="Times New Roman" w:cs="Times New Roman"/>
          <w:color w:val="000000"/>
          <w:sz w:val="20"/>
          <w:szCs w:val="20"/>
        </w:rPr>
        <w:lastRenderedPageBreak/>
        <w:t xml:space="preserve">multiple pregnancy or OHSS </w:t>
      </w:r>
      <w:r w:rsidRPr="002C5EE0">
        <w:rPr>
          <w:rFonts w:ascii="Times New Roman" w:eastAsia="Times New Roman" w:hAnsi="Times New Roman" w:cs="Times New Roman"/>
          <w:b/>
          <w:color w:val="000000"/>
          <w:sz w:val="20"/>
          <w:szCs w:val="20"/>
        </w:rPr>
        <w:t>(</w:t>
      </w:r>
      <w:r w:rsidRPr="002C5EE0">
        <w:rPr>
          <w:rFonts w:ascii="Times New Roman" w:eastAsia="Times New Roman" w:hAnsi="Times New Roman" w:cs="Times New Roman"/>
          <w:b/>
          <w:sz w:val="20"/>
          <w:szCs w:val="20"/>
        </w:rPr>
        <w:t xml:space="preserve">Thessaloniki </w:t>
      </w:r>
      <w:r w:rsidRPr="002C5EE0">
        <w:rPr>
          <w:rFonts w:ascii="Times New Roman" w:eastAsia="Times New Roman" w:hAnsi="Times New Roman" w:cs="Times New Roman"/>
          <w:b/>
          <w:i/>
          <w:sz w:val="20"/>
          <w:szCs w:val="20"/>
        </w:rPr>
        <w:t>ESHRE/ASRM-</w:t>
      </w:r>
      <w:proofErr w:type="spellStart"/>
      <w:r w:rsidRPr="002C5EE0">
        <w:rPr>
          <w:rFonts w:ascii="Times New Roman" w:eastAsia="Times New Roman" w:hAnsi="Times New Roman" w:cs="Times New Roman"/>
          <w:b/>
          <w:i/>
          <w:sz w:val="20"/>
          <w:szCs w:val="20"/>
        </w:rPr>
        <w:t>Sposered</w:t>
      </w:r>
      <w:proofErr w:type="spellEnd"/>
      <w:r w:rsidRPr="002C5EE0">
        <w:rPr>
          <w:rFonts w:ascii="Times New Roman" w:eastAsia="Times New Roman" w:hAnsi="Times New Roman" w:cs="Times New Roman"/>
          <w:b/>
          <w:i/>
          <w:sz w:val="20"/>
          <w:szCs w:val="20"/>
        </w:rPr>
        <w:t xml:space="preserve"> PCOS Consensus Workshop Group, 2008; </w:t>
      </w:r>
      <w:proofErr w:type="spellStart"/>
      <w:r w:rsidRPr="002C5EE0">
        <w:rPr>
          <w:rFonts w:ascii="Times New Roman" w:eastAsia="Times New Roman" w:hAnsi="Times New Roman" w:cs="Times New Roman"/>
          <w:b/>
          <w:i/>
          <w:color w:val="000000"/>
          <w:sz w:val="20"/>
          <w:szCs w:val="20"/>
        </w:rPr>
        <w:t>Vause</w:t>
      </w:r>
      <w:proofErr w:type="spellEnd"/>
      <w:r w:rsidRPr="002C5EE0">
        <w:rPr>
          <w:rFonts w:ascii="Times New Roman" w:eastAsia="Times New Roman" w:hAnsi="Times New Roman" w:cs="Times New Roman"/>
          <w:b/>
          <w:i/>
          <w:color w:val="000000"/>
          <w:sz w:val="20"/>
          <w:szCs w:val="20"/>
        </w:rPr>
        <w:t xml:space="preserve"> et al., 2010 )</w:t>
      </w:r>
      <w:r w:rsidR="002C5EE0" w:rsidRPr="002C5EE0">
        <w:rPr>
          <w:rFonts w:ascii="Times New Roman" w:eastAsia="Times New Roman" w:hAnsi="Times New Roman" w:cs="Times New Roman"/>
          <w:color w:val="000000"/>
          <w:sz w:val="20"/>
          <w:szCs w:val="20"/>
        </w:rPr>
        <w:t>.</w:t>
      </w:r>
      <w:r w:rsidRPr="002C5EE0">
        <w:rPr>
          <w:rFonts w:ascii="Times New Roman" w:eastAsia="Times New Roman" w:hAnsi="Times New Roman" w:cs="Times New Roman"/>
          <w:color w:val="000000"/>
          <w:sz w:val="20"/>
          <w:szCs w:val="20"/>
        </w:rPr>
        <w:t xml:space="preserve"> Both approaches are expensive and risky. In the past few years, the usefulness of </w:t>
      </w:r>
      <w:proofErr w:type="spellStart"/>
      <w:r w:rsidRPr="002C5EE0">
        <w:rPr>
          <w:rFonts w:ascii="Times New Roman" w:eastAsia="Times New Roman" w:hAnsi="Times New Roman" w:cs="Times New Roman"/>
          <w:color w:val="000000"/>
          <w:sz w:val="20"/>
          <w:szCs w:val="20"/>
        </w:rPr>
        <w:t>letrozole</w:t>
      </w:r>
      <w:proofErr w:type="spellEnd"/>
      <w:r w:rsidRPr="002C5EE0">
        <w:rPr>
          <w:rFonts w:ascii="Times New Roman" w:eastAsia="Times New Roman" w:hAnsi="Times New Roman" w:cs="Times New Roman"/>
          <w:color w:val="000000"/>
          <w:sz w:val="20"/>
          <w:szCs w:val="20"/>
        </w:rPr>
        <w:t xml:space="preserve"> for ovulation induction was investigated </w:t>
      </w:r>
      <w:r w:rsidRPr="002C5EE0">
        <w:rPr>
          <w:rFonts w:ascii="Times New Roman" w:eastAsia="Times New Roman" w:hAnsi="Times New Roman" w:cs="Times New Roman"/>
          <w:b/>
          <w:i/>
          <w:color w:val="000000"/>
          <w:sz w:val="20"/>
          <w:szCs w:val="20"/>
        </w:rPr>
        <w:t>(</w:t>
      </w:r>
      <w:proofErr w:type="spellStart"/>
      <w:r w:rsidRPr="002C5EE0">
        <w:rPr>
          <w:rFonts w:ascii="Times New Roman" w:eastAsia="Times New Roman" w:hAnsi="Times New Roman" w:cs="Times New Roman"/>
          <w:b/>
          <w:i/>
          <w:color w:val="000000"/>
          <w:sz w:val="20"/>
          <w:szCs w:val="20"/>
        </w:rPr>
        <w:t>Ganesh</w:t>
      </w:r>
      <w:proofErr w:type="spellEnd"/>
      <w:r w:rsidRPr="002C5EE0">
        <w:rPr>
          <w:rFonts w:ascii="Times New Roman" w:eastAsia="Times New Roman" w:hAnsi="Times New Roman" w:cs="Times New Roman"/>
          <w:b/>
          <w:i/>
          <w:color w:val="000000"/>
          <w:sz w:val="20"/>
          <w:szCs w:val="20"/>
        </w:rPr>
        <w:t xml:space="preserve"> et al., 2009)</w:t>
      </w:r>
      <w:r w:rsidRPr="002C5EE0">
        <w:rPr>
          <w:rFonts w:ascii="Times New Roman" w:eastAsia="Times New Roman" w:hAnsi="Times New Roman" w:cs="Times New Roman"/>
          <w:color w:val="000000"/>
          <w:sz w:val="20"/>
          <w:szCs w:val="20"/>
        </w:rPr>
        <w:t>.</w:t>
      </w:r>
    </w:p>
    <w:p w:rsidR="007108A1" w:rsidRPr="002C5EE0" w:rsidRDefault="007108A1" w:rsidP="002C5EE0">
      <w:pPr>
        <w:bidi w:val="0"/>
        <w:snapToGrid w:val="0"/>
        <w:spacing w:after="0" w:line="240" w:lineRule="auto"/>
        <w:ind w:firstLine="425"/>
        <w:jc w:val="both"/>
        <w:rPr>
          <w:rFonts w:ascii="Times New Roman" w:hAnsi="Times New Roman" w:cs="Times New Roman"/>
          <w:b/>
          <w:bCs/>
          <w:sz w:val="20"/>
          <w:szCs w:val="20"/>
          <w:lang w:bidi="ar-EG"/>
        </w:rPr>
      </w:pPr>
      <w:r w:rsidRPr="002C5EE0">
        <w:rPr>
          <w:rFonts w:ascii="Times New Roman" w:eastAsia="Times New Roman" w:hAnsi="Times New Roman" w:cs="Times New Roman"/>
          <w:color w:val="000000"/>
          <w:sz w:val="20"/>
          <w:szCs w:val="20"/>
        </w:rPr>
        <w:t xml:space="preserve">Several studies found that the effectiveness of </w:t>
      </w:r>
      <w:proofErr w:type="spellStart"/>
      <w:r w:rsidRPr="002C5EE0">
        <w:rPr>
          <w:rFonts w:ascii="Times New Roman" w:eastAsia="Times New Roman" w:hAnsi="Times New Roman" w:cs="Times New Roman"/>
          <w:color w:val="000000"/>
          <w:sz w:val="20"/>
          <w:szCs w:val="20"/>
        </w:rPr>
        <w:t>letrozole</w:t>
      </w:r>
      <w:proofErr w:type="spellEnd"/>
      <w:r w:rsidRPr="002C5EE0">
        <w:rPr>
          <w:rFonts w:ascii="Times New Roman" w:eastAsia="Times New Roman" w:hAnsi="Times New Roman" w:cs="Times New Roman"/>
          <w:color w:val="000000"/>
          <w:sz w:val="20"/>
          <w:szCs w:val="20"/>
        </w:rPr>
        <w:t xml:space="preserve"> was comparable to that of combined CC and </w:t>
      </w:r>
      <w:proofErr w:type="spellStart"/>
      <w:r w:rsidRPr="002C5EE0">
        <w:rPr>
          <w:rFonts w:ascii="Times New Roman" w:eastAsia="Times New Roman" w:hAnsi="Times New Roman" w:cs="Times New Roman"/>
          <w:color w:val="000000"/>
          <w:sz w:val="20"/>
          <w:szCs w:val="20"/>
        </w:rPr>
        <w:t>gonadotropin</w:t>
      </w:r>
      <w:proofErr w:type="spellEnd"/>
      <w:r w:rsidRPr="002C5EE0">
        <w:rPr>
          <w:rFonts w:ascii="Times New Roman" w:eastAsia="Times New Roman" w:hAnsi="Times New Roman" w:cs="Times New Roman"/>
          <w:color w:val="000000"/>
          <w:sz w:val="20"/>
          <w:szCs w:val="20"/>
        </w:rPr>
        <w:t xml:space="preserve"> and </w:t>
      </w:r>
      <w:proofErr w:type="spellStart"/>
      <w:r w:rsidRPr="002C5EE0">
        <w:rPr>
          <w:rFonts w:ascii="Times New Roman" w:eastAsia="Times New Roman" w:hAnsi="Times New Roman" w:cs="Times New Roman"/>
          <w:color w:val="000000"/>
          <w:sz w:val="20"/>
          <w:szCs w:val="20"/>
        </w:rPr>
        <w:t>gonadotropin</w:t>
      </w:r>
      <w:proofErr w:type="spellEnd"/>
      <w:r w:rsidRPr="002C5EE0">
        <w:rPr>
          <w:rFonts w:ascii="Times New Roman" w:eastAsia="Times New Roman" w:hAnsi="Times New Roman" w:cs="Times New Roman"/>
          <w:color w:val="000000"/>
          <w:sz w:val="20"/>
          <w:szCs w:val="20"/>
        </w:rPr>
        <w:t xml:space="preserve"> alone for the induction of ovulation </w:t>
      </w:r>
      <w:r w:rsidRPr="002C5EE0">
        <w:rPr>
          <w:rFonts w:ascii="Times New Roman" w:eastAsia="Times New Roman" w:hAnsi="Times New Roman" w:cs="Times New Roman"/>
          <w:b/>
          <w:i/>
          <w:color w:val="000000"/>
          <w:sz w:val="20"/>
          <w:szCs w:val="20"/>
        </w:rPr>
        <w:t>(</w:t>
      </w:r>
      <w:proofErr w:type="spellStart"/>
      <w:r w:rsidRPr="002C5EE0">
        <w:rPr>
          <w:rFonts w:ascii="Times New Roman" w:eastAsia="Times New Roman" w:hAnsi="Times New Roman" w:cs="Times New Roman"/>
          <w:b/>
          <w:i/>
          <w:color w:val="000000"/>
          <w:sz w:val="20"/>
          <w:szCs w:val="20"/>
        </w:rPr>
        <w:t>S</w:t>
      </w:r>
      <w:r w:rsidR="002C5EE0" w:rsidRPr="002C5EE0">
        <w:rPr>
          <w:rFonts w:ascii="Times New Roman" w:eastAsia="Times New Roman" w:hAnsi="Times New Roman" w:cs="Times New Roman"/>
          <w:b/>
          <w:i/>
          <w:color w:val="000000"/>
          <w:sz w:val="20"/>
          <w:szCs w:val="20"/>
        </w:rPr>
        <w:t>h</w:t>
      </w:r>
      <w:proofErr w:type="spellEnd"/>
      <w:r w:rsidR="002C5EE0">
        <w:rPr>
          <w:rFonts w:ascii="Times New Roman" w:eastAsia="Times New Roman" w:hAnsi="Times New Roman" w:cs="Times New Roman"/>
          <w:b/>
          <w:i/>
          <w:color w:val="000000"/>
          <w:sz w:val="20"/>
          <w:szCs w:val="20"/>
        </w:rPr>
        <w:t xml:space="preserve"> </w:t>
      </w:r>
      <w:proofErr w:type="spellStart"/>
      <w:r w:rsidR="002C5EE0" w:rsidRPr="002C5EE0">
        <w:rPr>
          <w:rFonts w:ascii="Times New Roman" w:eastAsia="Times New Roman" w:hAnsi="Times New Roman" w:cs="Times New Roman"/>
          <w:b/>
          <w:i/>
          <w:color w:val="000000"/>
          <w:sz w:val="20"/>
          <w:szCs w:val="20"/>
        </w:rPr>
        <w:t>T</w:t>
      </w:r>
      <w:r w:rsidRPr="002C5EE0">
        <w:rPr>
          <w:rFonts w:ascii="Times New Roman" w:eastAsia="Times New Roman" w:hAnsi="Times New Roman" w:cs="Times New Roman"/>
          <w:b/>
          <w:i/>
          <w:color w:val="000000"/>
          <w:sz w:val="20"/>
          <w:szCs w:val="20"/>
        </w:rPr>
        <w:t>ehran</w:t>
      </w:r>
      <w:r w:rsidR="002C5EE0" w:rsidRPr="002C5EE0">
        <w:rPr>
          <w:rFonts w:ascii="Times New Roman" w:eastAsia="Times New Roman" w:hAnsi="Times New Roman" w:cs="Times New Roman"/>
          <w:b/>
          <w:i/>
          <w:color w:val="000000"/>
          <w:sz w:val="20"/>
          <w:szCs w:val="20"/>
        </w:rPr>
        <w:t>i</w:t>
      </w:r>
      <w:proofErr w:type="spellEnd"/>
      <w:r w:rsidR="002C5EE0">
        <w:rPr>
          <w:rFonts w:ascii="Times New Roman" w:eastAsia="Times New Roman" w:hAnsi="Times New Roman" w:cs="Times New Roman"/>
          <w:b/>
          <w:i/>
          <w:color w:val="000000"/>
          <w:sz w:val="20"/>
          <w:szCs w:val="20"/>
        </w:rPr>
        <w:t xml:space="preserve"> </w:t>
      </w:r>
      <w:proofErr w:type="spellStart"/>
      <w:r w:rsidR="002C5EE0" w:rsidRPr="002C5EE0">
        <w:rPr>
          <w:rFonts w:ascii="Times New Roman" w:eastAsia="Times New Roman" w:hAnsi="Times New Roman" w:cs="Times New Roman"/>
          <w:b/>
          <w:i/>
          <w:color w:val="000000"/>
          <w:sz w:val="20"/>
          <w:szCs w:val="20"/>
        </w:rPr>
        <w:t>N</w:t>
      </w:r>
      <w:r w:rsidRPr="002C5EE0">
        <w:rPr>
          <w:rFonts w:ascii="Times New Roman" w:eastAsia="Times New Roman" w:hAnsi="Times New Roman" w:cs="Times New Roman"/>
          <w:b/>
          <w:i/>
          <w:color w:val="000000"/>
          <w:sz w:val="20"/>
          <w:szCs w:val="20"/>
        </w:rPr>
        <w:t>ejad</w:t>
      </w:r>
      <w:proofErr w:type="spellEnd"/>
      <w:r w:rsidRPr="002C5EE0">
        <w:rPr>
          <w:rFonts w:ascii="Times New Roman" w:eastAsia="Times New Roman" w:hAnsi="Times New Roman" w:cs="Times New Roman"/>
          <w:b/>
          <w:i/>
          <w:color w:val="000000"/>
          <w:sz w:val="20"/>
          <w:szCs w:val="20"/>
        </w:rPr>
        <w:t xml:space="preserve"> et al., 2008)</w:t>
      </w:r>
      <w:r w:rsidRPr="002C5EE0">
        <w:rPr>
          <w:rFonts w:ascii="Times New Roman" w:eastAsia="Times New Roman" w:hAnsi="Times New Roman" w:cs="Times New Roman"/>
          <w:color w:val="000000"/>
          <w:sz w:val="20"/>
          <w:szCs w:val="20"/>
        </w:rPr>
        <w:t>.</w:t>
      </w:r>
    </w:p>
    <w:p w:rsidR="007108A1" w:rsidRPr="002C5EE0" w:rsidRDefault="007108A1" w:rsidP="002C5EE0">
      <w:pPr>
        <w:bidi w:val="0"/>
        <w:snapToGrid w:val="0"/>
        <w:spacing w:after="0" w:line="240" w:lineRule="auto"/>
        <w:ind w:firstLine="425"/>
        <w:jc w:val="both"/>
        <w:rPr>
          <w:rFonts w:ascii="Times New Roman" w:hAnsi="Times New Roman" w:cs="Times New Roman"/>
          <w:b/>
          <w:bCs/>
          <w:sz w:val="20"/>
          <w:szCs w:val="20"/>
          <w:lang w:bidi="ar-EG"/>
        </w:rPr>
      </w:pPr>
      <w:proofErr w:type="spellStart"/>
      <w:r w:rsidRPr="002C5EE0">
        <w:rPr>
          <w:rFonts w:ascii="Times New Roman" w:eastAsia="Times New Roman" w:hAnsi="Times New Roman" w:cs="Times New Roman"/>
          <w:color w:val="000000"/>
          <w:sz w:val="20"/>
          <w:szCs w:val="20"/>
        </w:rPr>
        <w:t>Aromatase</w:t>
      </w:r>
      <w:proofErr w:type="spellEnd"/>
      <w:r w:rsidRPr="002C5EE0">
        <w:rPr>
          <w:rFonts w:ascii="Times New Roman" w:eastAsia="Times New Roman" w:hAnsi="Times New Roman" w:cs="Times New Roman"/>
          <w:color w:val="000000"/>
          <w:sz w:val="20"/>
          <w:szCs w:val="20"/>
        </w:rPr>
        <w:t xml:space="preserve"> inhibitors also act locally in the ovary to increase follicular sensitivity to FSH. This may result from accumulation of </w:t>
      </w:r>
      <w:proofErr w:type="spellStart"/>
      <w:r w:rsidRPr="002C5EE0">
        <w:rPr>
          <w:rFonts w:ascii="Times New Roman" w:eastAsia="Times New Roman" w:hAnsi="Times New Roman" w:cs="Times New Roman"/>
          <w:color w:val="000000"/>
          <w:sz w:val="20"/>
          <w:szCs w:val="20"/>
        </w:rPr>
        <w:t>intraovarian</w:t>
      </w:r>
      <w:proofErr w:type="spellEnd"/>
      <w:r w:rsidRPr="002C5EE0">
        <w:rPr>
          <w:rFonts w:ascii="Times New Roman" w:eastAsia="Times New Roman" w:hAnsi="Times New Roman" w:cs="Times New Roman"/>
          <w:color w:val="000000"/>
          <w:sz w:val="20"/>
          <w:szCs w:val="20"/>
        </w:rPr>
        <w:t xml:space="preserve"> androgens because they block the conversion of androgen substrates to estrogen. There is evidence that </w:t>
      </w:r>
      <w:proofErr w:type="spellStart"/>
      <w:r w:rsidRPr="002C5EE0">
        <w:rPr>
          <w:rFonts w:ascii="Times New Roman" w:eastAsia="Times New Roman" w:hAnsi="Times New Roman" w:cs="Times New Roman"/>
          <w:color w:val="000000"/>
          <w:sz w:val="20"/>
          <w:szCs w:val="20"/>
        </w:rPr>
        <w:t>intraovarian</w:t>
      </w:r>
      <w:proofErr w:type="spellEnd"/>
      <w:r w:rsidRPr="002C5EE0">
        <w:rPr>
          <w:rFonts w:ascii="Times New Roman" w:eastAsia="Times New Roman" w:hAnsi="Times New Roman" w:cs="Times New Roman"/>
          <w:color w:val="000000"/>
          <w:sz w:val="20"/>
          <w:szCs w:val="20"/>
        </w:rPr>
        <w:t xml:space="preserve"> androgens stimulate early follicular growth in primates </w:t>
      </w:r>
      <w:r w:rsidRPr="002C5EE0">
        <w:rPr>
          <w:rFonts w:ascii="Times New Roman" w:eastAsia="Times New Roman" w:hAnsi="Times New Roman" w:cs="Times New Roman"/>
          <w:b/>
          <w:i/>
          <w:color w:val="000000"/>
          <w:sz w:val="20"/>
          <w:szCs w:val="20"/>
        </w:rPr>
        <w:t>(</w:t>
      </w:r>
      <w:proofErr w:type="spellStart"/>
      <w:r w:rsidRPr="002C5EE0">
        <w:rPr>
          <w:rFonts w:ascii="Times New Roman" w:eastAsia="Times New Roman" w:hAnsi="Times New Roman" w:cs="Times New Roman"/>
          <w:b/>
          <w:i/>
          <w:color w:val="000000"/>
          <w:sz w:val="20"/>
          <w:szCs w:val="20"/>
        </w:rPr>
        <w:t>Ehrmann</w:t>
      </w:r>
      <w:proofErr w:type="spellEnd"/>
      <w:r w:rsidRPr="002C5EE0">
        <w:rPr>
          <w:rFonts w:ascii="Times New Roman" w:eastAsia="Times New Roman" w:hAnsi="Times New Roman" w:cs="Times New Roman"/>
          <w:b/>
          <w:i/>
          <w:color w:val="000000"/>
          <w:sz w:val="20"/>
          <w:szCs w:val="20"/>
        </w:rPr>
        <w:t>, 2005)</w:t>
      </w:r>
      <w:r w:rsidRPr="002C5EE0">
        <w:rPr>
          <w:rFonts w:ascii="Times New Roman" w:eastAsia="Times New Roman" w:hAnsi="Times New Roman" w:cs="Times New Roman"/>
          <w:color w:val="000000"/>
          <w:sz w:val="20"/>
          <w:szCs w:val="20"/>
        </w:rPr>
        <w:t>.</w:t>
      </w:r>
    </w:p>
    <w:p w:rsidR="007108A1" w:rsidRPr="002C5EE0" w:rsidRDefault="007108A1" w:rsidP="002C5EE0">
      <w:pPr>
        <w:bidi w:val="0"/>
        <w:snapToGrid w:val="0"/>
        <w:spacing w:after="0" w:line="240" w:lineRule="auto"/>
        <w:ind w:firstLine="425"/>
        <w:jc w:val="both"/>
        <w:rPr>
          <w:rFonts w:ascii="Times New Roman" w:eastAsia="Times New Roman" w:hAnsi="Times New Roman" w:cs="Times New Roman"/>
          <w:color w:val="000000"/>
          <w:sz w:val="20"/>
          <w:szCs w:val="20"/>
        </w:rPr>
      </w:pPr>
      <w:r w:rsidRPr="002C5EE0">
        <w:rPr>
          <w:rFonts w:ascii="Times New Roman" w:eastAsia="Times New Roman" w:hAnsi="Times New Roman" w:cs="Times New Roman"/>
          <w:color w:val="000000"/>
          <w:sz w:val="20"/>
          <w:szCs w:val="20"/>
        </w:rPr>
        <w:t>In study conducted by EL-</w:t>
      </w:r>
      <w:proofErr w:type="spellStart"/>
      <w:r w:rsidRPr="002C5EE0">
        <w:rPr>
          <w:rFonts w:ascii="Times New Roman" w:eastAsia="Times New Roman" w:hAnsi="Times New Roman" w:cs="Times New Roman"/>
          <w:color w:val="000000"/>
          <w:sz w:val="20"/>
          <w:szCs w:val="20"/>
        </w:rPr>
        <w:t>Gharib</w:t>
      </w:r>
      <w:proofErr w:type="spellEnd"/>
      <w:r w:rsidRPr="002C5EE0">
        <w:rPr>
          <w:rFonts w:ascii="Times New Roman" w:eastAsia="Times New Roman" w:hAnsi="Times New Roman" w:cs="Times New Roman"/>
          <w:color w:val="000000"/>
          <w:sz w:val="20"/>
          <w:szCs w:val="20"/>
        </w:rPr>
        <w:t xml:space="preserve"> et al</w:t>
      </w:r>
      <w:r w:rsidR="002C5EE0">
        <w:rPr>
          <w:rFonts w:ascii="Times New Roman" w:eastAsia="Times New Roman" w:hAnsi="Times New Roman" w:cs="Times New Roman"/>
          <w:color w:val="000000"/>
          <w:sz w:val="20"/>
          <w:szCs w:val="20"/>
        </w:rPr>
        <w:t xml:space="preserve"> </w:t>
      </w:r>
      <w:r w:rsidRPr="002C5EE0">
        <w:rPr>
          <w:rFonts w:ascii="Times New Roman" w:eastAsia="Times New Roman" w:hAnsi="Times New Roman" w:cs="Times New Roman"/>
          <w:color w:val="000000"/>
          <w:sz w:val="20"/>
          <w:szCs w:val="20"/>
        </w:rPr>
        <w:t xml:space="preserve">on 60 women to compare between </w:t>
      </w:r>
      <w:proofErr w:type="spellStart"/>
      <w:r w:rsidRPr="002C5EE0">
        <w:rPr>
          <w:rFonts w:ascii="Times New Roman" w:eastAsia="Times New Roman" w:hAnsi="Times New Roman" w:cs="Times New Roman"/>
          <w:color w:val="000000"/>
          <w:sz w:val="20"/>
          <w:szCs w:val="20"/>
        </w:rPr>
        <w:t>letrozole</w:t>
      </w:r>
      <w:proofErr w:type="spellEnd"/>
      <w:r w:rsidRPr="002C5EE0">
        <w:rPr>
          <w:rFonts w:ascii="Times New Roman" w:eastAsia="Times New Roman" w:hAnsi="Times New Roman" w:cs="Times New Roman"/>
          <w:color w:val="000000"/>
          <w:sz w:val="20"/>
          <w:szCs w:val="20"/>
        </w:rPr>
        <w:t xml:space="preserve"> and </w:t>
      </w:r>
      <w:proofErr w:type="spellStart"/>
      <w:r w:rsidRPr="002C5EE0">
        <w:rPr>
          <w:rFonts w:ascii="Times New Roman" w:eastAsia="Times New Roman" w:hAnsi="Times New Roman" w:cs="Times New Roman"/>
          <w:color w:val="000000"/>
          <w:sz w:val="20"/>
          <w:szCs w:val="20"/>
        </w:rPr>
        <w:t>tamoxifen</w:t>
      </w:r>
      <w:proofErr w:type="spellEnd"/>
      <w:r w:rsidRPr="002C5EE0">
        <w:rPr>
          <w:rFonts w:ascii="Times New Roman" w:eastAsia="Times New Roman" w:hAnsi="Times New Roman" w:cs="Times New Roman"/>
          <w:color w:val="000000"/>
          <w:sz w:val="20"/>
          <w:szCs w:val="20"/>
        </w:rPr>
        <w:t xml:space="preserve"> in CC-resistant patients and they</w:t>
      </w:r>
      <w:r w:rsidR="002C5EE0">
        <w:rPr>
          <w:rFonts w:ascii="Times New Roman" w:eastAsia="Times New Roman" w:hAnsi="Times New Roman" w:cs="Times New Roman"/>
          <w:color w:val="000000"/>
          <w:sz w:val="20"/>
          <w:szCs w:val="20"/>
        </w:rPr>
        <w:t xml:space="preserve"> </w:t>
      </w:r>
      <w:r w:rsidRPr="002C5EE0">
        <w:rPr>
          <w:rFonts w:ascii="Times New Roman" w:eastAsia="Times New Roman" w:hAnsi="Times New Roman" w:cs="Times New Roman"/>
          <w:color w:val="000000"/>
          <w:sz w:val="20"/>
          <w:szCs w:val="20"/>
        </w:rPr>
        <w:t xml:space="preserve">concluded that both </w:t>
      </w:r>
      <w:proofErr w:type="spellStart"/>
      <w:r w:rsidRPr="002C5EE0">
        <w:rPr>
          <w:rFonts w:ascii="Times New Roman" w:eastAsia="Times New Roman" w:hAnsi="Times New Roman" w:cs="Times New Roman"/>
          <w:color w:val="000000"/>
          <w:sz w:val="20"/>
          <w:szCs w:val="20"/>
        </w:rPr>
        <w:t>letrozole</w:t>
      </w:r>
      <w:proofErr w:type="spellEnd"/>
      <w:r w:rsidRPr="002C5EE0">
        <w:rPr>
          <w:rFonts w:ascii="Times New Roman" w:eastAsia="Times New Roman" w:hAnsi="Times New Roman" w:cs="Times New Roman"/>
          <w:color w:val="000000"/>
          <w:sz w:val="20"/>
          <w:szCs w:val="20"/>
        </w:rPr>
        <w:t xml:space="preserve"> and TMX should be considered as optional therapies for CC-resistant women. In addition, </w:t>
      </w:r>
      <w:proofErr w:type="spellStart"/>
      <w:r w:rsidRPr="002C5EE0">
        <w:rPr>
          <w:rFonts w:ascii="Times New Roman" w:eastAsia="Times New Roman" w:hAnsi="Times New Roman" w:cs="Times New Roman"/>
          <w:color w:val="000000"/>
          <w:sz w:val="20"/>
          <w:szCs w:val="20"/>
        </w:rPr>
        <w:t>letrozole</w:t>
      </w:r>
      <w:proofErr w:type="spellEnd"/>
      <w:r w:rsidRPr="002C5EE0">
        <w:rPr>
          <w:rFonts w:ascii="Times New Roman" w:eastAsia="Times New Roman" w:hAnsi="Times New Roman" w:cs="Times New Roman"/>
          <w:color w:val="000000"/>
          <w:sz w:val="20"/>
          <w:szCs w:val="20"/>
        </w:rPr>
        <w:t xml:space="preserve"> was superior to TMX in achieving a higher pregnancy and ovulation induction rate and lesser side effects in comparison to TMX (</w:t>
      </w:r>
      <w:r w:rsidRPr="002C5EE0">
        <w:rPr>
          <w:rFonts w:ascii="Times New Roman" w:eastAsia="Times New Roman" w:hAnsi="Times New Roman" w:cs="Times New Roman"/>
          <w:b/>
          <w:color w:val="000000"/>
          <w:sz w:val="20"/>
          <w:szCs w:val="20"/>
        </w:rPr>
        <w:t>EL-</w:t>
      </w:r>
      <w:proofErr w:type="spellStart"/>
      <w:r w:rsidRPr="002C5EE0">
        <w:rPr>
          <w:rFonts w:ascii="Times New Roman" w:eastAsia="Times New Roman" w:hAnsi="Times New Roman" w:cs="Times New Roman"/>
          <w:b/>
          <w:color w:val="000000"/>
          <w:sz w:val="20"/>
          <w:szCs w:val="20"/>
        </w:rPr>
        <w:t>Gharib</w:t>
      </w:r>
      <w:proofErr w:type="spellEnd"/>
      <w:r w:rsidRPr="002C5EE0">
        <w:rPr>
          <w:rFonts w:ascii="Times New Roman" w:eastAsia="Times New Roman" w:hAnsi="Times New Roman" w:cs="Times New Roman"/>
          <w:b/>
          <w:color w:val="000000"/>
          <w:sz w:val="20"/>
          <w:szCs w:val="20"/>
        </w:rPr>
        <w:t xml:space="preserve"> M.N et al., 2014</w:t>
      </w:r>
      <w:r w:rsidRPr="002C5EE0">
        <w:rPr>
          <w:rFonts w:ascii="Times New Roman" w:eastAsia="Times New Roman" w:hAnsi="Times New Roman" w:cs="Times New Roman"/>
          <w:color w:val="000000"/>
          <w:sz w:val="20"/>
          <w:szCs w:val="20"/>
        </w:rPr>
        <w:t>).</w:t>
      </w:r>
    </w:p>
    <w:p w:rsidR="007108A1" w:rsidRPr="002C5EE0" w:rsidRDefault="007108A1" w:rsidP="002C5EE0">
      <w:pPr>
        <w:bidi w:val="0"/>
        <w:snapToGrid w:val="0"/>
        <w:spacing w:after="0" w:line="240" w:lineRule="auto"/>
        <w:ind w:firstLine="425"/>
        <w:jc w:val="both"/>
        <w:rPr>
          <w:rFonts w:ascii="Times New Roman" w:eastAsia="Times New Roman" w:hAnsi="Times New Roman" w:cs="Times New Roman"/>
          <w:color w:val="000000"/>
          <w:sz w:val="20"/>
          <w:szCs w:val="20"/>
        </w:rPr>
      </w:pPr>
      <w:proofErr w:type="spellStart"/>
      <w:r w:rsidRPr="002C5EE0">
        <w:rPr>
          <w:rFonts w:ascii="Times New Roman" w:eastAsia="Times New Roman" w:hAnsi="Times New Roman" w:cs="Times New Roman"/>
          <w:color w:val="000000"/>
          <w:sz w:val="20"/>
          <w:szCs w:val="20"/>
        </w:rPr>
        <w:t>Karimi</w:t>
      </w:r>
      <w:proofErr w:type="spellEnd"/>
      <w:r w:rsidRPr="002C5EE0">
        <w:rPr>
          <w:rFonts w:ascii="Times New Roman" w:eastAsia="Times New Roman" w:hAnsi="Times New Roman" w:cs="Times New Roman"/>
          <w:color w:val="000000"/>
          <w:sz w:val="20"/>
          <w:szCs w:val="20"/>
        </w:rPr>
        <w:t xml:space="preserve"> et al. conducted a clinical trial on 100 infertile patients referred to two </w:t>
      </w:r>
      <w:proofErr w:type="spellStart"/>
      <w:r w:rsidRPr="002C5EE0">
        <w:rPr>
          <w:rFonts w:ascii="Times New Roman" w:eastAsia="Times New Roman" w:hAnsi="Times New Roman" w:cs="Times New Roman"/>
          <w:color w:val="000000"/>
          <w:sz w:val="20"/>
          <w:szCs w:val="20"/>
        </w:rPr>
        <w:t>Iraninan</w:t>
      </w:r>
      <w:proofErr w:type="spellEnd"/>
      <w:r w:rsidRPr="002C5EE0">
        <w:rPr>
          <w:rFonts w:ascii="Times New Roman" w:eastAsia="Times New Roman" w:hAnsi="Times New Roman" w:cs="Times New Roman"/>
          <w:color w:val="000000"/>
          <w:sz w:val="20"/>
          <w:szCs w:val="20"/>
        </w:rPr>
        <w:t xml:space="preserve"> infertility clinics between the years 2001-2003. The patients were divided into two groups. In the first group, 100 mg </w:t>
      </w:r>
      <w:proofErr w:type="spellStart"/>
      <w:r w:rsidRPr="002C5EE0">
        <w:rPr>
          <w:rFonts w:ascii="Times New Roman" w:eastAsia="Times New Roman" w:hAnsi="Times New Roman" w:cs="Times New Roman"/>
          <w:color w:val="000000"/>
          <w:sz w:val="20"/>
          <w:szCs w:val="20"/>
        </w:rPr>
        <w:t>clomiphene</w:t>
      </w:r>
      <w:proofErr w:type="spellEnd"/>
      <w:r w:rsidRPr="002C5EE0">
        <w:rPr>
          <w:rFonts w:ascii="Times New Roman" w:eastAsia="Times New Roman" w:hAnsi="Times New Roman" w:cs="Times New Roman"/>
          <w:color w:val="000000"/>
          <w:sz w:val="20"/>
          <w:szCs w:val="20"/>
        </w:rPr>
        <w:t xml:space="preserve"> and the second group 50 mg clomiphene+20 mg </w:t>
      </w:r>
      <w:proofErr w:type="spellStart"/>
      <w:r w:rsidRPr="002C5EE0">
        <w:rPr>
          <w:rFonts w:ascii="Times New Roman" w:eastAsia="Times New Roman" w:hAnsi="Times New Roman" w:cs="Times New Roman"/>
          <w:color w:val="000000"/>
          <w:sz w:val="20"/>
          <w:szCs w:val="20"/>
        </w:rPr>
        <w:t>tamoxifen</w:t>
      </w:r>
      <w:proofErr w:type="spellEnd"/>
      <w:r w:rsidRPr="002C5EE0">
        <w:rPr>
          <w:rFonts w:ascii="Times New Roman" w:eastAsia="Times New Roman" w:hAnsi="Times New Roman" w:cs="Times New Roman"/>
          <w:color w:val="000000"/>
          <w:sz w:val="20"/>
          <w:szCs w:val="20"/>
        </w:rPr>
        <w:t xml:space="preserve"> were given for days 5-9 of menstrual cycle. Duration of medication, endometrial thickness, ovulation and pregnancy rate were studied in both groups. The ovulation rate in the </w:t>
      </w:r>
      <w:proofErr w:type="spellStart"/>
      <w:r w:rsidRPr="002C5EE0">
        <w:rPr>
          <w:rFonts w:ascii="Times New Roman" w:eastAsia="Times New Roman" w:hAnsi="Times New Roman" w:cs="Times New Roman"/>
          <w:color w:val="000000"/>
          <w:sz w:val="20"/>
          <w:szCs w:val="20"/>
        </w:rPr>
        <w:t>clomiphene</w:t>
      </w:r>
      <w:proofErr w:type="spellEnd"/>
      <w:r w:rsidRPr="002C5EE0">
        <w:rPr>
          <w:rFonts w:ascii="Times New Roman" w:eastAsia="Times New Roman" w:hAnsi="Times New Roman" w:cs="Times New Roman"/>
          <w:color w:val="000000"/>
          <w:sz w:val="20"/>
          <w:szCs w:val="20"/>
        </w:rPr>
        <w:t xml:space="preserve"> group was 54.9% and </w:t>
      </w:r>
      <w:proofErr w:type="spellStart"/>
      <w:r w:rsidRPr="002C5EE0">
        <w:rPr>
          <w:rFonts w:ascii="Times New Roman" w:eastAsia="Times New Roman" w:hAnsi="Times New Roman" w:cs="Times New Roman"/>
          <w:color w:val="000000"/>
          <w:sz w:val="20"/>
          <w:szCs w:val="20"/>
        </w:rPr>
        <w:t>tamoxifen</w:t>
      </w:r>
      <w:proofErr w:type="spellEnd"/>
      <w:r w:rsidRPr="002C5EE0">
        <w:rPr>
          <w:rFonts w:ascii="Times New Roman" w:eastAsia="Times New Roman" w:hAnsi="Times New Roman" w:cs="Times New Roman"/>
          <w:color w:val="000000"/>
          <w:sz w:val="20"/>
          <w:szCs w:val="20"/>
        </w:rPr>
        <w:t xml:space="preserve"> plus </w:t>
      </w:r>
      <w:proofErr w:type="spellStart"/>
      <w:r w:rsidRPr="002C5EE0">
        <w:rPr>
          <w:rFonts w:ascii="Times New Roman" w:eastAsia="Times New Roman" w:hAnsi="Times New Roman" w:cs="Times New Roman"/>
          <w:color w:val="000000"/>
          <w:sz w:val="20"/>
          <w:szCs w:val="20"/>
        </w:rPr>
        <w:t>clomiphene</w:t>
      </w:r>
      <w:proofErr w:type="spellEnd"/>
      <w:r w:rsidRPr="002C5EE0">
        <w:rPr>
          <w:rFonts w:ascii="Times New Roman" w:eastAsia="Times New Roman" w:hAnsi="Times New Roman" w:cs="Times New Roman"/>
          <w:color w:val="000000"/>
          <w:sz w:val="20"/>
          <w:szCs w:val="20"/>
        </w:rPr>
        <w:t xml:space="preserve"> group was 73.5% without significant differences between two groups. Positive pregnancy rate in the </w:t>
      </w:r>
      <w:proofErr w:type="spellStart"/>
      <w:r w:rsidRPr="002C5EE0">
        <w:rPr>
          <w:rFonts w:ascii="Times New Roman" w:eastAsia="Times New Roman" w:hAnsi="Times New Roman" w:cs="Times New Roman"/>
          <w:color w:val="000000"/>
          <w:sz w:val="20"/>
          <w:szCs w:val="20"/>
        </w:rPr>
        <w:t>clomiphene</w:t>
      </w:r>
      <w:proofErr w:type="spellEnd"/>
      <w:r w:rsidRPr="002C5EE0">
        <w:rPr>
          <w:rFonts w:ascii="Times New Roman" w:eastAsia="Times New Roman" w:hAnsi="Times New Roman" w:cs="Times New Roman"/>
          <w:color w:val="000000"/>
          <w:sz w:val="20"/>
          <w:szCs w:val="20"/>
        </w:rPr>
        <w:t xml:space="preserve"> group was 39.2% and </w:t>
      </w:r>
      <w:proofErr w:type="spellStart"/>
      <w:r w:rsidRPr="002C5EE0">
        <w:rPr>
          <w:rFonts w:ascii="Times New Roman" w:eastAsia="Times New Roman" w:hAnsi="Times New Roman" w:cs="Times New Roman"/>
          <w:color w:val="000000"/>
          <w:sz w:val="20"/>
          <w:szCs w:val="20"/>
        </w:rPr>
        <w:t>clomiphene+tamoxifen</w:t>
      </w:r>
      <w:proofErr w:type="spellEnd"/>
      <w:r w:rsidRPr="002C5EE0">
        <w:rPr>
          <w:rFonts w:ascii="Times New Roman" w:eastAsia="Times New Roman" w:hAnsi="Times New Roman" w:cs="Times New Roman"/>
          <w:color w:val="000000"/>
          <w:sz w:val="20"/>
          <w:szCs w:val="20"/>
        </w:rPr>
        <w:t xml:space="preserve"> group was 61.2%. They concluded that pregnancy rate was more in the </w:t>
      </w:r>
      <w:proofErr w:type="spellStart"/>
      <w:r w:rsidRPr="002C5EE0">
        <w:rPr>
          <w:rFonts w:ascii="Times New Roman" w:eastAsia="Times New Roman" w:hAnsi="Times New Roman" w:cs="Times New Roman"/>
          <w:color w:val="000000"/>
          <w:sz w:val="20"/>
          <w:szCs w:val="20"/>
        </w:rPr>
        <w:t>clomiphene</w:t>
      </w:r>
      <w:proofErr w:type="spellEnd"/>
      <w:r w:rsidRPr="002C5EE0">
        <w:rPr>
          <w:rFonts w:ascii="Times New Roman" w:eastAsia="Times New Roman" w:hAnsi="Times New Roman" w:cs="Times New Roman"/>
          <w:color w:val="000000"/>
          <w:sz w:val="20"/>
          <w:szCs w:val="20"/>
        </w:rPr>
        <w:t xml:space="preserve"> and </w:t>
      </w:r>
      <w:proofErr w:type="spellStart"/>
      <w:r w:rsidRPr="002C5EE0">
        <w:rPr>
          <w:rFonts w:ascii="Times New Roman" w:eastAsia="Times New Roman" w:hAnsi="Times New Roman" w:cs="Times New Roman"/>
          <w:color w:val="000000"/>
          <w:sz w:val="20"/>
          <w:szCs w:val="20"/>
        </w:rPr>
        <w:t>tamoxifen</w:t>
      </w:r>
      <w:proofErr w:type="spellEnd"/>
      <w:r w:rsidRPr="002C5EE0">
        <w:rPr>
          <w:rFonts w:ascii="Times New Roman" w:eastAsia="Times New Roman" w:hAnsi="Times New Roman" w:cs="Times New Roman"/>
          <w:color w:val="000000"/>
          <w:sz w:val="20"/>
          <w:szCs w:val="20"/>
        </w:rPr>
        <w:t xml:space="preserve"> regime in comparison with the </w:t>
      </w:r>
      <w:proofErr w:type="spellStart"/>
      <w:r w:rsidRPr="002C5EE0">
        <w:rPr>
          <w:rFonts w:ascii="Times New Roman" w:eastAsia="Times New Roman" w:hAnsi="Times New Roman" w:cs="Times New Roman"/>
          <w:color w:val="000000"/>
          <w:sz w:val="20"/>
          <w:szCs w:val="20"/>
        </w:rPr>
        <w:t>clomiphene</w:t>
      </w:r>
      <w:proofErr w:type="spellEnd"/>
      <w:r w:rsidRPr="002C5EE0">
        <w:rPr>
          <w:rFonts w:ascii="Times New Roman" w:eastAsia="Times New Roman" w:hAnsi="Times New Roman" w:cs="Times New Roman"/>
          <w:color w:val="000000"/>
          <w:sz w:val="20"/>
          <w:szCs w:val="20"/>
        </w:rPr>
        <w:t xml:space="preserve"> group </w:t>
      </w:r>
      <w:r w:rsidRPr="002C5EE0">
        <w:rPr>
          <w:rFonts w:ascii="Times New Roman" w:eastAsia="Times New Roman" w:hAnsi="Times New Roman" w:cs="Times New Roman"/>
          <w:b/>
          <w:i/>
          <w:color w:val="000000"/>
          <w:sz w:val="20"/>
          <w:szCs w:val="20"/>
        </w:rPr>
        <w:t>(</w:t>
      </w:r>
      <w:proofErr w:type="spellStart"/>
      <w:r w:rsidRPr="002C5EE0">
        <w:rPr>
          <w:rFonts w:ascii="Times New Roman" w:eastAsia="Times New Roman" w:hAnsi="Times New Roman" w:cs="Times New Roman"/>
          <w:b/>
          <w:i/>
          <w:color w:val="000000"/>
          <w:sz w:val="20"/>
          <w:szCs w:val="20"/>
        </w:rPr>
        <w:t>Karimi</w:t>
      </w:r>
      <w:proofErr w:type="spellEnd"/>
      <w:r w:rsidRPr="002C5EE0">
        <w:rPr>
          <w:rFonts w:ascii="Times New Roman" w:eastAsia="Times New Roman" w:hAnsi="Times New Roman" w:cs="Times New Roman"/>
          <w:b/>
          <w:i/>
          <w:color w:val="000000"/>
          <w:sz w:val="20"/>
          <w:szCs w:val="20"/>
        </w:rPr>
        <w:t xml:space="preserve"> et al., 2002)</w:t>
      </w:r>
      <w:r w:rsidRPr="002C5EE0">
        <w:rPr>
          <w:rFonts w:ascii="Times New Roman" w:eastAsia="Times New Roman" w:hAnsi="Times New Roman" w:cs="Times New Roman"/>
          <w:color w:val="000000"/>
          <w:sz w:val="20"/>
          <w:szCs w:val="20"/>
        </w:rPr>
        <w:t>.</w:t>
      </w:r>
    </w:p>
    <w:p w:rsidR="007108A1" w:rsidRPr="002C5EE0" w:rsidRDefault="007108A1" w:rsidP="002C5EE0">
      <w:pPr>
        <w:bidi w:val="0"/>
        <w:snapToGrid w:val="0"/>
        <w:spacing w:after="0" w:line="240" w:lineRule="auto"/>
        <w:ind w:firstLine="425"/>
        <w:jc w:val="both"/>
        <w:rPr>
          <w:rFonts w:ascii="Times New Roman" w:hAnsi="Times New Roman" w:cs="Times New Roman"/>
          <w:color w:val="000000"/>
          <w:sz w:val="20"/>
          <w:szCs w:val="20"/>
        </w:rPr>
      </w:pPr>
      <w:proofErr w:type="spellStart"/>
      <w:r w:rsidRPr="002C5EE0">
        <w:rPr>
          <w:rFonts w:ascii="Times New Roman" w:eastAsia="Times New Roman" w:hAnsi="Times New Roman" w:cs="Times New Roman"/>
          <w:color w:val="000000"/>
          <w:sz w:val="20"/>
          <w:szCs w:val="20"/>
        </w:rPr>
        <w:t>Dhaliwal</w:t>
      </w:r>
      <w:proofErr w:type="spellEnd"/>
      <w:r w:rsidRPr="002C5EE0">
        <w:rPr>
          <w:rFonts w:ascii="Times New Roman" w:eastAsia="Times New Roman" w:hAnsi="Times New Roman" w:cs="Times New Roman"/>
          <w:color w:val="000000"/>
          <w:sz w:val="20"/>
          <w:szCs w:val="20"/>
        </w:rPr>
        <w:t xml:space="preserve"> et al. conducted a study to evaluate the role of </w:t>
      </w:r>
      <w:proofErr w:type="spellStart"/>
      <w:r w:rsidRPr="002C5EE0">
        <w:rPr>
          <w:rFonts w:ascii="Times New Roman" w:eastAsia="Times New Roman" w:hAnsi="Times New Roman" w:cs="Times New Roman"/>
          <w:color w:val="000000"/>
          <w:sz w:val="20"/>
          <w:szCs w:val="20"/>
        </w:rPr>
        <w:t>tamoxifen</w:t>
      </w:r>
      <w:proofErr w:type="spellEnd"/>
      <w:r w:rsidRPr="002C5EE0">
        <w:rPr>
          <w:rFonts w:ascii="Times New Roman" w:eastAsia="Times New Roman" w:hAnsi="Times New Roman" w:cs="Times New Roman"/>
          <w:color w:val="000000"/>
          <w:sz w:val="20"/>
          <w:szCs w:val="20"/>
        </w:rPr>
        <w:t xml:space="preserve"> in women with </w:t>
      </w:r>
      <w:proofErr w:type="spellStart"/>
      <w:r w:rsidRPr="002C5EE0">
        <w:rPr>
          <w:rFonts w:ascii="Times New Roman" w:eastAsia="Times New Roman" w:hAnsi="Times New Roman" w:cs="Times New Roman"/>
          <w:color w:val="000000"/>
          <w:sz w:val="20"/>
          <w:szCs w:val="20"/>
        </w:rPr>
        <w:t>anovulatory</w:t>
      </w:r>
      <w:proofErr w:type="spellEnd"/>
      <w:r w:rsidRPr="002C5EE0">
        <w:rPr>
          <w:rFonts w:ascii="Times New Roman" w:eastAsia="Times New Roman" w:hAnsi="Times New Roman" w:cs="Times New Roman"/>
          <w:color w:val="000000"/>
          <w:sz w:val="20"/>
          <w:szCs w:val="20"/>
        </w:rPr>
        <w:t xml:space="preserve"> infertility and to define the optimum dose for achieving the best outcome. They reported that 20 out of 70 women conceived, giving a pregnancy rate of 28.5% with a dose of 80 mg </w:t>
      </w:r>
      <w:proofErr w:type="spellStart"/>
      <w:r w:rsidRPr="002C5EE0">
        <w:rPr>
          <w:rFonts w:ascii="Times New Roman" w:eastAsia="Times New Roman" w:hAnsi="Times New Roman" w:cs="Times New Roman"/>
          <w:color w:val="000000"/>
          <w:sz w:val="20"/>
          <w:szCs w:val="20"/>
        </w:rPr>
        <w:t>tamoxifen</w:t>
      </w:r>
      <w:proofErr w:type="spellEnd"/>
      <w:r w:rsidRPr="002C5EE0">
        <w:rPr>
          <w:rFonts w:ascii="Times New Roman" w:eastAsia="Times New Roman" w:hAnsi="Times New Roman" w:cs="Times New Roman"/>
          <w:color w:val="000000"/>
          <w:sz w:val="20"/>
          <w:szCs w:val="20"/>
        </w:rPr>
        <w:t xml:space="preserve">/day given from day 5- 9 of the menstrual cycle. They concluded that </w:t>
      </w:r>
      <w:proofErr w:type="spellStart"/>
      <w:r w:rsidRPr="002C5EE0">
        <w:rPr>
          <w:rFonts w:ascii="Times New Roman" w:eastAsia="Times New Roman" w:hAnsi="Times New Roman" w:cs="Times New Roman"/>
          <w:color w:val="000000"/>
          <w:sz w:val="20"/>
          <w:szCs w:val="20"/>
        </w:rPr>
        <w:t>tamoxifen</w:t>
      </w:r>
      <w:proofErr w:type="spellEnd"/>
      <w:r w:rsidRPr="002C5EE0">
        <w:rPr>
          <w:rFonts w:ascii="Times New Roman" w:eastAsia="Times New Roman" w:hAnsi="Times New Roman" w:cs="Times New Roman"/>
          <w:color w:val="000000"/>
          <w:sz w:val="20"/>
          <w:szCs w:val="20"/>
        </w:rPr>
        <w:t xml:space="preserve"> is a good alternative to </w:t>
      </w:r>
      <w:proofErr w:type="spellStart"/>
      <w:r w:rsidRPr="002C5EE0">
        <w:rPr>
          <w:rFonts w:ascii="Times New Roman" w:eastAsia="Times New Roman" w:hAnsi="Times New Roman" w:cs="Times New Roman"/>
          <w:color w:val="000000"/>
          <w:sz w:val="20"/>
          <w:szCs w:val="20"/>
        </w:rPr>
        <w:t>clomiphene</w:t>
      </w:r>
      <w:proofErr w:type="spellEnd"/>
      <w:r w:rsidRPr="002C5EE0">
        <w:rPr>
          <w:rFonts w:ascii="Times New Roman" w:eastAsia="Times New Roman" w:hAnsi="Times New Roman" w:cs="Times New Roman"/>
          <w:color w:val="000000"/>
          <w:sz w:val="20"/>
          <w:szCs w:val="20"/>
        </w:rPr>
        <w:t xml:space="preserve"> in women with PCOS and </w:t>
      </w:r>
      <w:proofErr w:type="spellStart"/>
      <w:r w:rsidRPr="002C5EE0">
        <w:rPr>
          <w:rFonts w:ascii="Times New Roman" w:eastAsia="Times New Roman" w:hAnsi="Times New Roman" w:cs="Times New Roman"/>
          <w:color w:val="000000"/>
          <w:sz w:val="20"/>
          <w:szCs w:val="20"/>
        </w:rPr>
        <w:t>clomiphene</w:t>
      </w:r>
      <w:proofErr w:type="spellEnd"/>
      <w:r w:rsidRPr="002C5EE0">
        <w:rPr>
          <w:rFonts w:ascii="Times New Roman" w:eastAsia="Times New Roman" w:hAnsi="Times New Roman" w:cs="Times New Roman"/>
          <w:color w:val="000000"/>
          <w:sz w:val="20"/>
          <w:szCs w:val="20"/>
        </w:rPr>
        <w:t xml:space="preserve">-resistant cases </w:t>
      </w:r>
      <w:r w:rsidRPr="002C5EE0">
        <w:rPr>
          <w:rFonts w:ascii="Times New Roman" w:eastAsia="Times New Roman" w:hAnsi="Times New Roman" w:cs="Times New Roman"/>
          <w:b/>
          <w:i/>
          <w:color w:val="000000"/>
          <w:sz w:val="20"/>
          <w:szCs w:val="20"/>
        </w:rPr>
        <w:t>(</w:t>
      </w:r>
      <w:proofErr w:type="spellStart"/>
      <w:r w:rsidRPr="002C5EE0">
        <w:rPr>
          <w:rFonts w:ascii="Times New Roman" w:eastAsia="Times New Roman" w:hAnsi="Times New Roman" w:cs="Times New Roman"/>
          <w:b/>
          <w:i/>
          <w:color w:val="000000"/>
          <w:sz w:val="20"/>
          <w:szCs w:val="20"/>
        </w:rPr>
        <w:t>Dhaliwal</w:t>
      </w:r>
      <w:proofErr w:type="spellEnd"/>
      <w:r w:rsidRPr="002C5EE0">
        <w:rPr>
          <w:rFonts w:ascii="Times New Roman" w:eastAsia="Times New Roman" w:hAnsi="Times New Roman" w:cs="Times New Roman"/>
          <w:b/>
          <w:i/>
          <w:color w:val="000000"/>
          <w:sz w:val="20"/>
          <w:szCs w:val="20"/>
        </w:rPr>
        <w:t xml:space="preserve"> et al., 2011)</w:t>
      </w:r>
      <w:r w:rsidRPr="002C5EE0">
        <w:rPr>
          <w:rFonts w:ascii="Times New Roman" w:eastAsia="Times New Roman" w:hAnsi="Times New Roman" w:cs="Times New Roman"/>
          <w:color w:val="000000"/>
          <w:sz w:val="20"/>
          <w:szCs w:val="20"/>
        </w:rPr>
        <w:t>.</w:t>
      </w:r>
    </w:p>
    <w:p w:rsidR="007108A1" w:rsidRDefault="007108A1" w:rsidP="002C5EE0">
      <w:pPr>
        <w:bidi w:val="0"/>
        <w:snapToGrid w:val="0"/>
        <w:spacing w:after="0" w:line="240" w:lineRule="auto"/>
        <w:jc w:val="both"/>
        <w:rPr>
          <w:rFonts w:ascii="Times New Roman" w:hAnsi="Times New Roman" w:cs="Times New Roman" w:hint="eastAsia"/>
          <w:sz w:val="20"/>
          <w:szCs w:val="20"/>
          <w:lang w:eastAsia="zh-CN"/>
        </w:rPr>
      </w:pPr>
    </w:p>
    <w:p w:rsidR="00C00E76" w:rsidRDefault="00C00E76" w:rsidP="00C00E76">
      <w:pPr>
        <w:bidi w:val="0"/>
        <w:snapToGrid w:val="0"/>
        <w:spacing w:after="0" w:line="240" w:lineRule="auto"/>
        <w:jc w:val="both"/>
        <w:rPr>
          <w:rFonts w:ascii="Times New Roman" w:hAnsi="Times New Roman" w:cs="Times New Roman" w:hint="eastAsia"/>
          <w:sz w:val="20"/>
          <w:szCs w:val="20"/>
          <w:lang w:eastAsia="zh-CN"/>
        </w:rPr>
      </w:pPr>
    </w:p>
    <w:p w:rsidR="00C00E76" w:rsidRPr="00C00E76" w:rsidRDefault="00C00E76" w:rsidP="00C00E76">
      <w:pPr>
        <w:bidi w:val="0"/>
        <w:snapToGrid w:val="0"/>
        <w:spacing w:after="0" w:line="240" w:lineRule="auto"/>
        <w:jc w:val="both"/>
        <w:rPr>
          <w:rFonts w:ascii="Times New Roman" w:hAnsi="Times New Roman" w:cs="Times New Roman" w:hint="eastAsia"/>
          <w:sz w:val="20"/>
          <w:szCs w:val="20"/>
          <w:lang w:eastAsia="zh-CN"/>
        </w:rPr>
      </w:pPr>
    </w:p>
    <w:p w:rsidR="007108A1" w:rsidRPr="002C5EE0" w:rsidRDefault="007108A1" w:rsidP="002C5EE0">
      <w:pPr>
        <w:bidi w:val="0"/>
        <w:snapToGrid w:val="0"/>
        <w:spacing w:after="0" w:line="240" w:lineRule="auto"/>
        <w:jc w:val="both"/>
        <w:rPr>
          <w:rFonts w:ascii="Times New Roman" w:hAnsi="Times New Roman" w:cs="Times New Roman"/>
          <w:b/>
          <w:bCs/>
          <w:sz w:val="20"/>
          <w:szCs w:val="20"/>
          <w:lang w:bidi="ar-EG"/>
        </w:rPr>
      </w:pPr>
      <w:r w:rsidRPr="002C5EE0">
        <w:rPr>
          <w:rFonts w:ascii="Times New Roman" w:hAnsi="Times New Roman" w:cs="Times New Roman"/>
          <w:b/>
          <w:bCs/>
          <w:sz w:val="20"/>
          <w:szCs w:val="20"/>
          <w:lang w:bidi="ar-EG"/>
        </w:rPr>
        <w:lastRenderedPageBreak/>
        <w:t>Conclusion</w:t>
      </w:r>
    </w:p>
    <w:p w:rsidR="007108A1" w:rsidRPr="002C5EE0" w:rsidRDefault="007108A1" w:rsidP="002C5EE0">
      <w:pPr>
        <w:bidi w:val="0"/>
        <w:snapToGrid w:val="0"/>
        <w:spacing w:after="0" w:line="240" w:lineRule="auto"/>
        <w:ind w:firstLine="425"/>
        <w:jc w:val="both"/>
        <w:rPr>
          <w:rFonts w:ascii="Times New Roman" w:eastAsia="Times New Roman" w:hAnsi="Times New Roman" w:cs="Times New Roman"/>
          <w:sz w:val="20"/>
          <w:szCs w:val="20"/>
        </w:rPr>
      </w:pPr>
      <w:r w:rsidRPr="002C5EE0">
        <w:rPr>
          <w:rFonts w:ascii="Times New Roman" w:eastAsia="Times New Roman" w:hAnsi="Times New Roman" w:cs="Times New Roman"/>
          <w:sz w:val="20"/>
          <w:szCs w:val="20"/>
        </w:rPr>
        <w:t xml:space="preserve">Our results showed significance difference between the two groups as regard </w:t>
      </w:r>
      <w:proofErr w:type="spellStart"/>
      <w:r w:rsidRPr="002C5EE0">
        <w:rPr>
          <w:rFonts w:ascii="Times New Roman" w:eastAsia="Times New Roman" w:hAnsi="Times New Roman" w:cs="Times New Roman"/>
          <w:sz w:val="20"/>
          <w:szCs w:val="20"/>
        </w:rPr>
        <w:t>acheving</w:t>
      </w:r>
      <w:proofErr w:type="spellEnd"/>
      <w:r w:rsidRPr="002C5EE0">
        <w:rPr>
          <w:rFonts w:ascii="Times New Roman" w:eastAsia="Times New Roman" w:hAnsi="Times New Roman" w:cs="Times New Roman"/>
          <w:sz w:val="20"/>
          <w:szCs w:val="20"/>
        </w:rPr>
        <w:t xml:space="preserve"> ovulation after 2 days of injecting 10000 unit of </w:t>
      </w:r>
      <w:proofErr w:type="spellStart"/>
      <w:r w:rsidRPr="002C5EE0">
        <w:rPr>
          <w:rFonts w:ascii="Times New Roman" w:eastAsia="Times New Roman" w:hAnsi="Times New Roman" w:cs="Times New Roman"/>
          <w:sz w:val="20"/>
          <w:szCs w:val="20"/>
        </w:rPr>
        <w:t>hCG</w:t>
      </w:r>
      <w:proofErr w:type="spellEnd"/>
      <w:r w:rsidRPr="002C5EE0">
        <w:rPr>
          <w:rFonts w:ascii="Times New Roman" w:eastAsia="Times New Roman" w:hAnsi="Times New Roman" w:cs="Times New Roman"/>
          <w:sz w:val="20"/>
          <w:szCs w:val="20"/>
        </w:rPr>
        <w:t xml:space="preserve"> (25 cases (71.4) in </w:t>
      </w:r>
      <w:proofErr w:type="spellStart"/>
      <w:r w:rsidRPr="002C5EE0">
        <w:rPr>
          <w:rFonts w:ascii="Times New Roman" w:eastAsia="Times New Roman" w:hAnsi="Times New Roman" w:cs="Times New Roman"/>
          <w:sz w:val="20"/>
          <w:szCs w:val="20"/>
        </w:rPr>
        <w:t>letrozol</w:t>
      </w:r>
      <w:proofErr w:type="spellEnd"/>
      <w:r w:rsidRPr="002C5EE0">
        <w:rPr>
          <w:rFonts w:ascii="Times New Roman" w:eastAsia="Times New Roman" w:hAnsi="Times New Roman" w:cs="Times New Roman"/>
          <w:sz w:val="20"/>
          <w:szCs w:val="20"/>
        </w:rPr>
        <w:t xml:space="preserve"> group </w:t>
      </w:r>
      <w:proofErr w:type="spellStart"/>
      <w:r w:rsidRPr="002C5EE0">
        <w:rPr>
          <w:rFonts w:ascii="Times New Roman" w:eastAsia="Times New Roman" w:hAnsi="Times New Roman" w:cs="Times New Roman"/>
          <w:b/>
          <w:sz w:val="20"/>
          <w:szCs w:val="20"/>
        </w:rPr>
        <w:t>vs</w:t>
      </w:r>
      <w:proofErr w:type="spellEnd"/>
      <w:r w:rsidRPr="002C5EE0">
        <w:rPr>
          <w:rFonts w:ascii="Times New Roman" w:eastAsia="Times New Roman" w:hAnsi="Times New Roman" w:cs="Times New Roman"/>
          <w:sz w:val="20"/>
          <w:szCs w:val="20"/>
        </w:rPr>
        <w:t xml:space="preserve"> (13 cases (46.4) in </w:t>
      </w:r>
      <w:proofErr w:type="spellStart"/>
      <w:r w:rsidRPr="002C5EE0">
        <w:rPr>
          <w:rFonts w:ascii="Times New Roman" w:eastAsia="Times New Roman" w:hAnsi="Times New Roman" w:cs="Times New Roman"/>
          <w:sz w:val="20"/>
          <w:szCs w:val="20"/>
        </w:rPr>
        <w:t>tamoxafin</w:t>
      </w:r>
      <w:proofErr w:type="spellEnd"/>
      <w:r w:rsidRPr="002C5EE0">
        <w:rPr>
          <w:rFonts w:ascii="Times New Roman" w:eastAsia="Times New Roman" w:hAnsi="Times New Roman" w:cs="Times New Roman"/>
          <w:sz w:val="20"/>
          <w:szCs w:val="20"/>
        </w:rPr>
        <w:t xml:space="preserve"> group.</w:t>
      </w:r>
    </w:p>
    <w:p w:rsidR="007108A1" w:rsidRDefault="007108A1" w:rsidP="002C5EE0">
      <w:pPr>
        <w:bidi w:val="0"/>
        <w:snapToGrid w:val="0"/>
        <w:spacing w:after="0" w:line="240" w:lineRule="auto"/>
        <w:ind w:firstLine="425"/>
        <w:jc w:val="both"/>
        <w:rPr>
          <w:rFonts w:ascii="Times New Roman" w:hAnsi="Times New Roman" w:cs="Times New Roman" w:hint="eastAsia"/>
          <w:sz w:val="20"/>
          <w:szCs w:val="20"/>
          <w:lang w:eastAsia="zh-CN"/>
        </w:rPr>
      </w:pPr>
      <w:r w:rsidRPr="002C5EE0">
        <w:rPr>
          <w:rFonts w:ascii="Times New Roman" w:eastAsia="Times New Roman" w:hAnsi="Times New Roman" w:cs="Times New Roman"/>
          <w:sz w:val="20"/>
          <w:szCs w:val="20"/>
        </w:rPr>
        <w:t xml:space="preserve">Thus it is recommended to use </w:t>
      </w:r>
      <w:proofErr w:type="spellStart"/>
      <w:r w:rsidRPr="002C5EE0">
        <w:rPr>
          <w:rFonts w:ascii="Times New Roman" w:eastAsia="Times New Roman" w:hAnsi="Times New Roman" w:cs="Times New Roman"/>
          <w:sz w:val="20"/>
          <w:szCs w:val="20"/>
        </w:rPr>
        <w:t>letrozole</w:t>
      </w:r>
      <w:proofErr w:type="spellEnd"/>
      <w:r w:rsidRPr="002C5EE0">
        <w:rPr>
          <w:rFonts w:ascii="Times New Roman" w:eastAsia="Times New Roman" w:hAnsi="Times New Roman" w:cs="Times New Roman"/>
          <w:sz w:val="20"/>
          <w:szCs w:val="20"/>
        </w:rPr>
        <w:t xml:space="preserve"> to induce induction in </w:t>
      </w:r>
      <w:proofErr w:type="spellStart"/>
      <w:r w:rsidRPr="002C5EE0">
        <w:rPr>
          <w:rFonts w:ascii="Times New Roman" w:eastAsia="Times New Roman" w:hAnsi="Times New Roman" w:cs="Times New Roman"/>
          <w:sz w:val="20"/>
          <w:szCs w:val="20"/>
        </w:rPr>
        <w:t>clomiphen</w:t>
      </w:r>
      <w:proofErr w:type="spellEnd"/>
      <w:r w:rsidRPr="002C5EE0">
        <w:rPr>
          <w:rFonts w:ascii="Times New Roman" w:eastAsia="Times New Roman" w:hAnsi="Times New Roman" w:cs="Times New Roman"/>
          <w:sz w:val="20"/>
          <w:szCs w:val="20"/>
        </w:rPr>
        <w:t xml:space="preserve"> citrate resistant women.</w:t>
      </w:r>
    </w:p>
    <w:p w:rsidR="00C00E76" w:rsidRPr="00C00E76" w:rsidRDefault="00C00E76" w:rsidP="00C00E76">
      <w:pPr>
        <w:bidi w:val="0"/>
        <w:snapToGrid w:val="0"/>
        <w:spacing w:after="0" w:line="240" w:lineRule="auto"/>
        <w:ind w:firstLine="425"/>
        <w:jc w:val="both"/>
        <w:rPr>
          <w:rFonts w:ascii="Times New Roman" w:hAnsi="Times New Roman" w:cs="Times New Roman" w:hint="eastAsia"/>
          <w:sz w:val="20"/>
          <w:szCs w:val="20"/>
          <w:lang w:eastAsia="zh-CN"/>
        </w:rPr>
      </w:pPr>
    </w:p>
    <w:p w:rsidR="004043D1" w:rsidRPr="002C5EE0" w:rsidRDefault="008D1EA9" w:rsidP="002C5EE0">
      <w:pPr>
        <w:bidi w:val="0"/>
        <w:snapToGrid w:val="0"/>
        <w:spacing w:after="0" w:line="240" w:lineRule="auto"/>
        <w:jc w:val="both"/>
        <w:rPr>
          <w:rFonts w:ascii="Times New Roman" w:eastAsia="Times New Roman" w:hAnsi="Times New Roman" w:cs="Times New Roman"/>
          <w:bCs/>
          <w:sz w:val="20"/>
          <w:szCs w:val="20"/>
          <w:lang w:bidi="ar-EG"/>
        </w:rPr>
      </w:pPr>
      <w:r w:rsidRPr="002C5EE0">
        <w:rPr>
          <w:rFonts w:ascii="Times New Roman" w:eastAsia="Times New Roman" w:hAnsi="Times New Roman" w:cs="Times New Roman"/>
          <w:b/>
          <w:bCs/>
          <w:sz w:val="20"/>
          <w:szCs w:val="20"/>
        </w:rPr>
        <w:t>References</w:t>
      </w:r>
    </w:p>
    <w:p w:rsidR="004043D1" w:rsidRPr="002C5EE0" w:rsidRDefault="004043D1" w:rsidP="002C5EE0">
      <w:pPr>
        <w:pStyle w:val="ListParagraph"/>
        <w:widowControl w:val="0"/>
        <w:numPr>
          <w:ilvl w:val="0"/>
          <w:numId w:val="3"/>
        </w:numPr>
        <w:tabs>
          <w:tab w:val="left" w:pos="0"/>
        </w:tabs>
        <w:autoSpaceDE w:val="0"/>
        <w:autoSpaceDN w:val="0"/>
        <w:bidi w:val="0"/>
        <w:snapToGrid w:val="0"/>
        <w:spacing w:after="0" w:line="240" w:lineRule="auto"/>
        <w:ind w:left="425" w:hanging="425"/>
        <w:jc w:val="both"/>
        <w:rPr>
          <w:rFonts w:ascii="Times New Roman" w:hAnsi="Times New Roman" w:cs="Times New Roman"/>
          <w:color w:val="000000"/>
          <w:sz w:val="20"/>
          <w:szCs w:val="20"/>
        </w:rPr>
      </w:pPr>
      <w:proofErr w:type="spellStart"/>
      <w:r w:rsidRPr="002C5EE0">
        <w:rPr>
          <w:rFonts w:ascii="Times New Roman" w:hAnsi="Times New Roman" w:cs="Times New Roman"/>
          <w:iCs/>
          <w:color w:val="000000"/>
          <w:sz w:val="20"/>
          <w:szCs w:val="20"/>
        </w:rPr>
        <w:t>Badawy</w:t>
      </w:r>
      <w:proofErr w:type="spellEnd"/>
      <w:r w:rsidRPr="002C5EE0">
        <w:rPr>
          <w:rFonts w:ascii="Times New Roman" w:hAnsi="Times New Roman" w:cs="Times New Roman"/>
          <w:iCs/>
          <w:color w:val="000000"/>
          <w:sz w:val="20"/>
          <w:szCs w:val="20"/>
        </w:rPr>
        <w:t xml:space="preserve"> A., </w:t>
      </w:r>
      <w:proofErr w:type="spellStart"/>
      <w:r w:rsidRPr="002C5EE0">
        <w:rPr>
          <w:rFonts w:ascii="Times New Roman" w:hAnsi="Times New Roman" w:cs="Times New Roman"/>
          <w:iCs/>
          <w:color w:val="000000"/>
          <w:sz w:val="20"/>
          <w:szCs w:val="20"/>
        </w:rPr>
        <w:t>Mosbah</w:t>
      </w:r>
      <w:proofErr w:type="spellEnd"/>
      <w:r w:rsidRPr="002C5EE0">
        <w:rPr>
          <w:rFonts w:ascii="Times New Roman" w:hAnsi="Times New Roman" w:cs="Times New Roman"/>
          <w:iCs/>
          <w:color w:val="000000"/>
          <w:sz w:val="20"/>
          <w:szCs w:val="20"/>
        </w:rPr>
        <w:t xml:space="preserve"> A. and Shady M. (2008)</w:t>
      </w:r>
      <w:r w:rsidR="002C5EE0" w:rsidRPr="002C5EE0">
        <w:rPr>
          <w:rFonts w:ascii="Times New Roman" w:hAnsi="Times New Roman" w:cs="Times New Roman"/>
          <w:iCs/>
          <w:color w:val="000000"/>
          <w:sz w:val="20"/>
          <w:szCs w:val="20"/>
        </w:rPr>
        <w:t>.</w:t>
      </w:r>
      <w:r w:rsidR="002C5EE0">
        <w:rPr>
          <w:rFonts w:ascii="Times New Roman" w:hAnsi="Times New Roman" w:cs="Times New Roman"/>
          <w:iCs/>
          <w:color w:val="000000"/>
          <w:sz w:val="20"/>
          <w:szCs w:val="20"/>
        </w:rPr>
        <w:t xml:space="preserve"> </w:t>
      </w:r>
      <w:proofErr w:type="spellStart"/>
      <w:r w:rsidR="002C5EE0" w:rsidRPr="002C5EE0">
        <w:rPr>
          <w:rFonts w:ascii="Times New Roman" w:hAnsi="Times New Roman" w:cs="Times New Roman"/>
          <w:color w:val="000000"/>
          <w:sz w:val="20"/>
          <w:szCs w:val="20"/>
        </w:rPr>
        <w:t>A</w:t>
      </w:r>
      <w:r w:rsidRPr="002C5EE0">
        <w:rPr>
          <w:rFonts w:ascii="Times New Roman" w:hAnsi="Times New Roman" w:cs="Times New Roman"/>
          <w:color w:val="000000"/>
          <w:sz w:val="20"/>
          <w:szCs w:val="20"/>
        </w:rPr>
        <w:t>nastrozole</w:t>
      </w:r>
      <w:proofErr w:type="spellEnd"/>
      <w:r w:rsidRPr="002C5EE0">
        <w:rPr>
          <w:rFonts w:ascii="Times New Roman" w:hAnsi="Times New Roman" w:cs="Times New Roman"/>
          <w:color w:val="000000"/>
          <w:sz w:val="20"/>
          <w:szCs w:val="20"/>
        </w:rPr>
        <w:t xml:space="preserve"> or </w:t>
      </w:r>
      <w:proofErr w:type="spellStart"/>
      <w:r w:rsidRPr="002C5EE0">
        <w:rPr>
          <w:rFonts w:ascii="Times New Roman" w:hAnsi="Times New Roman" w:cs="Times New Roman"/>
          <w:color w:val="000000"/>
          <w:sz w:val="20"/>
          <w:szCs w:val="20"/>
        </w:rPr>
        <w:t>letrozole</w:t>
      </w:r>
      <w:proofErr w:type="spellEnd"/>
      <w:r w:rsidRPr="002C5EE0">
        <w:rPr>
          <w:rFonts w:ascii="Times New Roman" w:hAnsi="Times New Roman" w:cs="Times New Roman"/>
          <w:color w:val="000000"/>
          <w:sz w:val="20"/>
          <w:szCs w:val="20"/>
        </w:rPr>
        <w:t xml:space="preserve"> for ovulation induction in </w:t>
      </w:r>
      <w:proofErr w:type="spellStart"/>
      <w:r w:rsidRPr="002C5EE0">
        <w:rPr>
          <w:rFonts w:ascii="Times New Roman" w:hAnsi="Times New Roman" w:cs="Times New Roman"/>
          <w:color w:val="000000"/>
          <w:sz w:val="20"/>
          <w:szCs w:val="20"/>
        </w:rPr>
        <w:t>clomiphene</w:t>
      </w:r>
      <w:proofErr w:type="spellEnd"/>
      <w:r w:rsidRPr="002C5EE0">
        <w:rPr>
          <w:rFonts w:ascii="Times New Roman" w:hAnsi="Times New Roman" w:cs="Times New Roman"/>
          <w:color w:val="000000"/>
          <w:sz w:val="20"/>
          <w:szCs w:val="20"/>
        </w:rPr>
        <w:t xml:space="preserve">-resistant women with polycystic ovarian syndrome: a prospective randomized trial. </w:t>
      </w:r>
      <w:proofErr w:type="spellStart"/>
      <w:r w:rsidRPr="002C5EE0">
        <w:rPr>
          <w:rFonts w:ascii="Times New Roman" w:hAnsi="Times New Roman" w:cs="Times New Roman"/>
          <w:i/>
          <w:iCs/>
          <w:color w:val="000000"/>
          <w:sz w:val="20"/>
          <w:szCs w:val="20"/>
        </w:rPr>
        <w:t>Ferti</w:t>
      </w:r>
      <w:r w:rsidR="002C5EE0" w:rsidRPr="002C5EE0">
        <w:rPr>
          <w:rFonts w:ascii="Times New Roman" w:hAnsi="Times New Roman" w:cs="Times New Roman"/>
          <w:i/>
          <w:iCs/>
          <w:color w:val="000000"/>
          <w:sz w:val="20"/>
          <w:szCs w:val="20"/>
        </w:rPr>
        <w:t>l</w:t>
      </w:r>
      <w:proofErr w:type="spellEnd"/>
      <w:r w:rsidR="002C5EE0">
        <w:rPr>
          <w:rFonts w:ascii="Times New Roman" w:hAnsi="Times New Roman" w:cs="Times New Roman"/>
          <w:i/>
          <w:iCs/>
          <w:color w:val="000000"/>
          <w:sz w:val="20"/>
          <w:szCs w:val="20"/>
        </w:rPr>
        <w:t xml:space="preserve"> </w:t>
      </w:r>
      <w:proofErr w:type="spellStart"/>
      <w:r w:rsidR="002C5EE0" w:rsidRPr="002C5EE0">
        <w:rPr>
          <w:rFonts w:ascii="Times New Roman" w:hAnsi="Times New Roman" w:cs="Times New Roman"/>
          <w:i/>
          <w:iCs/>
          <w:color w:val="000000"/>
          <w:sz w:val="20"/>
          <w:szCs w:val="20"/>
        </w:rPr>
        <w:t>S</w:t>
      </w:r>
      <w:r w:rsidRPr="002C5EE0">
        <w:rPr>
          <w:rFonts w:ascii="Times New Roman" w:hAnsi="Times New Roman" w:cs="Times New Roman"/>
          <w:i/>
          <w:iCs/>
          <w:color w:val="000000"/>
          <w:sz w:val="20"/>
          <w:szCs w:val="20"/>
        </w:rPr>
        <w:t>teril</w:t>
      </w:r>
      <w:proofErr w:type="spellEnd"/>
      <w:r w:rsidRPr="002C5EE0">
        <w:rPr>
          <w:rFonts w:ascii="Times New Roman" w:hAnsi="Times New Roman" w:cs="Times New Roman"/>
          <w:i/>
          <w:iCs/>
          <w:color w:val="000000"/>
          <w:sz w:val="20"/>
          <w:szCs w:val="20"/>
        </w:rPr>
        <w:t>,</w:t>
      </w:r>
      <w:r w:rsidRPr="002C5EE0">
        <w:rPr>
          <w:rFonts w:ascii="Times New Roman" w:hAnsi="Times New Roman" w:cs="Times New Roman"/>
          <w:color w:val="000000"/>
          <w:sz w:val="20"/>
          <w:szCs w:val="20"/>
        </w:rPr>
        <w:t xml:space="preserve"> 89(5):1209-1212.</w:t>
      </w:r>
    </w:p>
    <w:p w:rsidR="004043D1" w:rsidRPr="002C5EE0" w:rsidRDefault="004043D1" w:rsidP="002C5EE0">
      <w:pPr>
        <w:pStyle w:val="ListParagraph"/>
        <w:numPr>
          <w:ilvl w:val="0"/>
          <w:numId w:val="3"/>
        </w:numPr>
        <w:tabs>
          <w:tab w:val="left" w:pos="0"/>
        </w:tabs>
        <w:autoSpaceDE w:val="0"/>
        <w:autoSpaceDN w:val="0"/>
        <w:bidi w:val="0"/>
        <w:adjustRightInd w:val="0"/>
        <w:snapToGrid w:val="0"/>
        <w:spacing w:after="0" w:line="240" w:lineRule="auto"/>
        <w:ind w:left="425" w:hanging="425"/>
        <w:jc w:val="both"/>
        <w:rPr>
          <w:rFonts w:ascii="Times New Roman" w:eastAsia="Times New Roman" w:hAnsi="Times New Roman" w:cs="Times New Roman"/>
          <w:color w:val="231F20"/>
          <w:sz w:val="20"/>
          <w:szCs w:val="20"/>
        </w:rPr>
      </w:pPr>
      <w:proofErr w:type="spellStart"/>
      <w:r w:rsidRPr="002C5EE0">
        <w:rPr>
          <w:rFonts w:ascii="Times New Roman" w:eastAsia="Times New Roman" w:hAnsi="Times New Roman" w:cs="Times New Roman"/>
          <w:bCs/>
          <w:color w:val="231F20"/>
          <w:sz w:val="20"/>
          <w:szCs w:val="20"/>
        </w:rPr>
        <w:t>Barbieri</w:t>
      </w:r>
      <w:proofErr w:type="spellEnd"/>
      <w:r w:rsidRPr="002C5EE0">
        <w:rPr>
          <w:rFonts w:ascii="Times New Roman" w:eastAsia="Times New Roman" w:hAnsi="Times New Roman" w:cs="Times New Roman"/>
          <w:bCs/>
          <w:color w:val="231F20"/>
          <w:sz w:val="20"/>
          <w:szCs w:val="20"/>
        </w:rPr>
        <w:t xml:space="preserve"> R. (2001):</w:t>
      </w:r>
      <w:r w:rsidRPr="002C5EE0">
        <w:rPr>
          <w:rFonts w:ascii="Times New Roman" w:eastAsia="Times New Roman" w:hAnsi="Times New Roman" w:cs="Times New Roman"/>
          <w:color w:val="231F20"/>
          <w:sz w:val="20"/>
          <w:szCs w:val="20"/>
        </w:rPr>
        <w:t xml:space="preserve"> The initial fertility consultation recommendations concerning cigarette smoking, body mass index, alcohol and caffeine consumption</w:t>
      </w:r>
      <w:r w:rsidRPr="002C5EE0">
        <w:rPr>
          <w:rFonts w:ascii="Times New Roman" w:eastAsia="Times New Roman" w:hAnsi="Times New Roman" w:cs="Times New Roman"/>
          <w:i/>
          <w:iCs/>
          <w:color w:val="231F20"/>
          <w:sz w:val="20"/>
          <w:szCs w:val="20"/>
        </w:rPr>
        <w:t xml:space="preserve">. Am J </w:t>
      </w:r>
      <w:proofErr w:type="spellStart"/>
      <w:r w:rsidRPr="002C5EE0">
        <w:rPr>
          <w:rFonts w:ascii="Times New Roman" w:eastAsia="Times New Roman" w:hAnsi="Times New Roman" w:cs="Times New Roman"/>
          <w:i/>
          <w:iCs/>
          <w:color w:val="231F20"/>
          <w:sz w:val="20"/>
          <w:szCs w:val="20"/>
        </w:rPr>
        <w:t>Obstet</w:t>
      </w:r>
      <w:proofErr w:type="spellEnd"/>
      <w:r w:rsidRPr="002C5EE0">
        <w:rPr>
          <w:rFonts w:ascii="Times New Roman" w:eastAsia="Times New Roman" w:hAnsi="Times New Roman" w:cs="Times New Roman"/>
          <w:i/>
          <w:iCs/>
          <w:color w:val="231F20"/>
          <w:sz w:val="20"/>
          <w:szCs w:val="20"/>
        </w:rPr>
        <w:t xml:space="preserve"> </w:t>
      </w:r>
      <w:proofErr w:type="spellStart"/>
      <w:r w:rsidRPr="002C5EE0">
        <w:rPr>
          <w:rFonts w:ascii="Times New Roman" w:eastAsia="Times New Roman" w:hAnsi="Times New Roman" w:cs="Times New Roman"/>
          <w:i/>
          <w:iCs/>
          <w:color w:val="231F20"/>
          <w:sz w:val="20"/>
          <w:szCs w:val="20"/>
        </w:rPr>
        <w:t>Gynaecol</w:t>
      </w:r>
      <w:proofErr w:type="spellEnd"/>
      <w:r w:rsidRPr="002C5EE0">
        <w:rPr>
          <w:rFonts w:ascii="Times New Roman" w:eastAsia="Times New Roman" w:hAnsi="Times New Roman" w:cs="Times New Roman"/>
          <w:i/>
          <w:iCs/>
          <w:color w:val="231F20"/>
          <w:sz w:val="20"/>
          <w:szCs w:val="20"/>
        </w:rPr>
        <w:t>,</w:t>
      </w:r>
      <w:r w:rsidR="00C00E76">
        <w:rPr>
          <w:rFonts w:ascii="Times New Roman" w:hAnsi="Times New Roman" w:cs="Times New Roman" w:hint="eastAsia"/>
          <w:i/>
          <w:iCs/>
          <w:color w:val="231F20"/>
          <w:sz w:val="20"/>
          <w:szCs w:val="20"/>
          <w:lang w:eastAsia="zh-CN"/>
        </w:rPr>
        <w:t xml:space="preserve"> </w:t>
      </w:r>
      <w:r w:rsidRPr="002C5EE0">
        <w:rPr>
          <w:rFonts w:ascii="Times New Roman" w:eastAsia="Times New Roman" w:hAnsi="Times New Roman" w:cs="Times New Roman"/>
          <w:color w:val="231F20"/>
          <w:sz w:val="20"/>
          <w:szCs w:val="20"/>
        </w:rPr>
        <w:t>185:1168-1173.</w:t>
      </w:r>
    </w:p>
    <w:p w:rsidR="004043D1" w:rsidRPr="002C5EE0" w:rsidRDefault="004043D1" w:rsidP="002C5EE0">
      <w:pPr>
        <w:pStyle w:val="ListParagraph"/>
        <w:widowControl w:val="0"/>
        <w:numPr>
          <w:ilvl w:val="0"/>
          <w:numId w:val="3"/>
        </w:numPr>
        <w:tabs>
          <w:tab w:val="left" w:pos="0"/>
        </w:tabs>
        <w:autoSpaceDE w:val="0"/>
        <w:autoSpaceDN w:val="0"/>
        <w:bidi w:val="0"/>
        <w:snapToGrid w:val="0"/>
        <w:spacing w:after="0" w:line="240" w:lineRule="auto"/>
        <w:ind w:left="425" w:hanging="425"/>
        <w:jc w:val="both"/>
        <w:rPr>
          <w:rFonts w:ascii="Times New Roman" w:hAnsi="Times New Roman" w:cs="Times New Roman"/>
          <w:color w:val="000000"/>
          <w:sz w:val="20"/>
          <w:szCs w:val="20"/>
        </w:rPr>
      </w:pPr>
      <w:r w:rsidRPr="002C5EE0">
        <w:rPr>
          <w:rFonts w:ascii="Times New Roman" w:hAnsi="Times New Roman" w:cs="Times New Roman"/>
          <w:iCs/>
          <w:color w:val="000000"/>
          <w:sz w:val="20"/>
          <w:szCs w:val="20"/>
        </w:rPr>
        <w:t xml:space="preserve">Brown J, Farquhar C, Beck J, </w:t>
      </w:r>
      <w:proofErr w:type="spellStart"/>
      <w:r w:rsidRPr="002C5EE0">
        <w:rPr>
          <w:rFonts w:ascii="Times New Roman" w:hAnsi="Times New Roman" w:cs="Times New Roman"/>
          <w:iCs/>
          <w:color w:val="000000"/>
          <w:sz w:val="20"/>
          <w:szCs w:val="20"/>
        </w:rPr>
        <w:t>Boothroyd</w:t>
      </w:r>
      <w:proofErr w:type="spellEnd"/>
      <w:r w:rsidRPr="002C5EE0">
        <w:rPr>
          <w:rFonts w:ascii="Times New Roman" w:hAnsi="Times New Roman" w:cs="Times New Roman"/>
          <w:iCs/>
          <w:color w:val="000000"/>
          <w:sz w:val="20"/>
          <w:szCs w:val="20"/>
        </w:rPr>
        <w:t xml:space="preserve"> C and Hughes E (2009)</w:t>
      </w:r>
      <w:r w:rsidRPr="002C5EE0">
        <w:rPr>
          <w:rFonts w:ascii="Times New Roman" w:hAnsi="Times New Roman" w:cs="Times New Roman"/>
          <w:i/>
          <w:color w:val="000000"/>
          <w:sz w:val="20"/>
          <w:szCs w:val="20"/>
        </w:rPr>
        <w:t xml:space="preserve">. </w:t>
      </w:r>
      <w:proofErr w:type="spellStart"/>
      <w:r w:rsidRPr="002C5EE0">
        <w:rPr>
          <w:rFonts w:ascii="Times New Roman" w:hAnsi="Times New Roman" w:cs="Times New Roman"/>
          <w:color w:val="000000"/>
          <w:sz w:val="20"/>
          <w:szCs w:val="20"/>
        </w:rPr>
        <w:t>Clomiphene</w:t>
      </w:r>
      <w:proofErr w:type="spellEnd"/>
      <w:r w:rsidRPr="002C5EE0">
        <w:rPr>
          <w:rFonts w:ascii="Times New Roman" w:hAnsi="Times New Roman" w:cs="Times New Roman"/>
          <w:color w:val="000000"/>
          <w:sz w:val="20"/>
          <w:szCs w:val="20"/>
        </w:rPr>
        <w:t xml:space="preserve"> and </w:t>
      </w:r>
      <w:proofErr w:type="spellStart"/>
      <w:r w:rsidRPr="002C5EE0">
        <w:rPr>
          <w:rFonts w:ascii="Times New Roman" w:hAnsi="Times New Roman" w:cs="Times New Roman"/>
          <w:color w:val="000000"/>
          <w:sz w:val="20"/>
          <w:szCs w:val="20"/>
        </w:rPr>
        <w:t>antioestrogens</w:t>
      </w:r>
      <w:proofErr w:type="spellEnd"/>
      <w:r w:rsidRPr="002C5EE0">
        <w:rPr>
          <w:rFonts w:ascii="Times New Roman" w:hAnsi="Times New Roman" w:cs="Times New Roman"/>
          <w:color w:val="000000"/>
          <w:sz w:val="20"/>
          <w:szCs w:val="20"/>
        </w:rPr>
        <w:t xml:space="preserve"> for ovulation induction in PCOS.</w:t>
      </w:r>
      <w:r w:rsidRPr="002C5EE0">
        <w:rPr>
          <w:rFonts w:ascii="Times New Roman" w:hAnsi="Times New Roman" w:cs="Times New Roman"/>
          <w:i/>
          <w:iCs/>
          <w:color w:val="000000"/>
          <w:sz w:val="20"/>
          <w:szCs w:val="20"/>
        </w:rPr>
        <w:t xml:space="preserve"> Cochrane Database </w:t>
      </w:r>
      <w:proofErr w:type="spellStart"/>
      <w:r w:rsidRPr="002C5EE0">
        <w:rPr>
          <w:rFonts w:ascii="Times New Roman" w:hAnsi="Times New Roman" w:cs="Times New Roman"/>
          <w:i/>
          <w:iCs/>
          <w:color w:val="000000"/>
          <w:sz w:val="20"/>
          <w:szCs w:val="20"/>
        </w:rPr>
        <w:t>Syst</w:t>
      </w:r>
      <w:proofErr w:type="spellEnd"/>
      <w:r w:rsidRPr="002C5EE0">
        <w:rPr>
          <w:rFonts w:ascii="Times New Roman" w:hAnsi="Times New Roman" w:cs="Times New Roman"/>
          <w:i/>
          <w:iCs/>
          <w:color w:val="000000"/>
          <w:sz w:val="20"/>
          <w:szCs w:val="20"/>
        </w:rPr>
        <w:t xml:space="preserve"> Rev,</w:t>
      </w:r>
      <w:r w:rsidRPr="002C5EE0">
        <w:rPr>
          <w:rFonts w:ascii="Times New Roman" w:hAnsi="Times New Roman" w:cs="Times New Roman"/>
          <w:color w:val="000000"/>
          <w:sz w:val="20"/>
          <w:szCs w:val="20"/>
        </w:rPr>
        <w:t xml:space="preserve"> 7(4)</w:t>
      </w:r>
      <w:r w:rsidR="002C5EE0" w:rsidRPr="002C5EE0">
        <w:rPr>
          <w:rFonts w:ascii="Times New Roman" w:hAnsi="Times New Roman" w:cs="Times New Roman"/>
          <w:color w:val="000000"/>
          <w:sz w:val="20"/>
          <w:szCs w:val="20"/>
        </w:rPr>
        <w:t>:</w:t>
      </w:r>
      <w:r w:rsidR="002C5EE0">
        <w:rPr>
          <w:rFonts w:ascii="Times New Roman" w:hAnsi="Times New Roman" w:cs="Times New Roman"/>
          <w:color w:val="000000"/>
          <w:sz w:val="20"/>
          <w:szCs w:val="20"/>
        </w:rPr>
        <w:t xml:space="preserve"> </w:t>
      </w:r>
      <w:r w:rsidR="002C5EE0" w:rsidRPr="002C5EE0">
        <w:rPr>
          <w:rFonts w:ascii="Times New Roman" w:hAnsi="Times New Roman" w:cs="Times New Roman"/>
          <w:color w:val="000000"/>
          <w:sz w:val="20"/>
          <w:szCs w:val="20"/>
        </w:rPr>
        <w:t>C</w:t>
      </w:r>
      <w:r w:rsidRPr="002C5EE0">
        <w:rPr>
          <w:rFonts w:ascii="Times New Roman" w:hAnsi="Times New Roman" w:cs="Times New Roman"/>
          <w:color w:val="000000"/>
          <w:sz w:val="20"/>
          <w:szCs w:val="20"/>
        </w:rPr>
        <w:t>D002249.</w:t>
      </w:r>
    </w:p>
    <w:p w:rsidR="004043D1" w:rsidRPr="002C5EE0" w:rsidRDefault="004043D1" w:rsidP="002C5EE0">
      <w:pPr>
        <w:pStyle w:val="ListParagraph"/>
        <w:widowControl w:val="0"/>
        <w:numPr>
          <w:ilvl w:val="0"/>
          <w:numId w:val="3"/>
        </w:numPr>
        <w:tabs>
          <w:tab w:val="left" w:pos="0"/>
        </w:tabs>
        <w:autoSpaceDE w:val="0"/>
        <w:autoSpaceDN w:val="0"/>
        <w:bidi w:val="0"/>
        <w:snapToGrid w:val="0"/>
        <w:spacing w:after="0" w:line="240" w:lineRule="auto"/>
        <w:ind w:left="425" w:hanging="425"/>
        <w:jc w:val="both"/>
        <w:rPr>
          <w:rFonts w:ascii="Times New Roman" w:hAnsi="Times New Roman" w:cs="Times New Roman"/>
          <w:color w:val="000000"/>
          <w:sz w:val="20"/>
          <w:szCs w:val="20"/>
        </w:rPr>
      </w:pPr>
      <w:r w:rsidRPr="002C5EE0">
        <w:rPr>
          <w:rFonts w:ascii="Times New Roman" w:hAnsi="Times New Roman" w:cs="Times New Roman"/>
          <w:iCs/>
          <w:color w:val="000000"/>
          <w:sz w:val="20"/>
          <w:szCs w:val="20"/>
        </w:rPr>
        <w:t>Casper R.F. (2003)</w:t>
      </w:r>
      <w:r w:rsidR="002C5EE0" w:rsidRPr="002C5EE0">
        <w:rPr>
          <w:rFonts w:ascii="Times New Roman" w:hAnsi="Times New Roman" w:cs="Times New Roman"/>
          <w:iCs/>
          <w:color w:val="000000"/>
          <w:sz w:val="20"/>
          <w:szCs w:val="20"/>
        </w:rPr>
        <w:t>.</w:t>
      </w:r>
      <w:r w:rsidR="002C5EE0">
        <w:rPr>
          <w:rFonts w:ascii="Times New Roman" w:hAnsi="Times New Roman" w:cs="Times New Roman"/>
          <w:iCs/>
          <w:color w:val="000000"/>
          <w:sz w:val="20"/>
          <w:szCs w:val="20"/>
        </w:rPr>
        <w:t xml:space="preserve"> </w:t>
      </w:r>
      <w:proofErr w:type="spellStart"/>
      <w:r w:rsidR="002C5EE0" w:rsidRPr="002C5EE0">
        <w:rPr>
          <w:rFonts w:ascii="Times New Roman" w:hAnsi="Times New Roman" w:cs="Times New Roman"/>
          <w:color w:val="000000"/>
          <w:sz w:val="20"/>
          <w:szCs w:val="20"/>
        </w:rPr>
        <w:t>L</w:t>
      </w:r>
      <w:r w:rsidRPr="002C5EE0">
        <w:rPr>
          <w:rFonts w:ascii="Times New Roman" w:hAnsi="Times New Roman" w:cs="Times New Roman"/>
          <w:color w:val="000000"/>
          <w:sz w:val="20"/>
          <w:szCs w:val="20"/>
        </w:rPr>
        <w:t>etrozole</w:t>
      </w:r>
      <w:proofErr w:type="spellEnd"/>
      <w:r w:rsidRPr="002C5EE0">
        <w:rPr>
          <w:rFonts w:ascii="Times New Roman" w:hAnsi="Times New Roman" w:cs="Times New Roman"/>
          <w:color w:val="000000"/>
          <w:sz w:val="20"/>
          <w:szCs w:val="20"/>
        </w:rPr>
        <w:t xml:space="preserve">: ovulation or </w:t>
      </w:r>
      <w:proofErr w:type="spellStart"/>
      <w:r w:rsidRPr="002C5EE0">
        <w:rPr>
          <w:rFonts w:ascii="Times New Roman" w:hAnsi="Times New Roman" w:cs="Times New Roman"/>
          <w:color w:val="000000"/>
          <w:sz w:val="20"/>
          <w:szCs w:val="20"/>
        </w:rPr>
        <w:t>superovulation</w:t>
      </w:r>
      <w:proofErr w:type="spellEnd"/>
      <w:r w:rsidRPr="002C5EE0">
        <w:rPr>
          <w:rFonts w:ascii="Times New Roman" w:hAnsi="Times New Roman" w:cs="Times New Roman"/>
          <w:color w:val="000000"/>
          <w:sz w:val="20"/>
          <w:szCs w:val="20"/>
        </w:rPr>
        <w:t xml:space="preserve">? </w:t>
      </w:r>
      <w:proofErr w:type="spellStart"/>
      <w:r w:rsidRPr="002C5EE0">
        <w:rPr>
          <w:rFonts w:ascii="Times New Roman" w:hAnsi="Times New Roman" w:cs="Times New Roman"/>
          <w:i/>
          <w:iCs/>
          <w:color w:val="000000"/>
          <w:sz w:val="20"/>
          <w:szCs w:val="20"/>
        </w:rPr>
        <w:t>Ferti</w:t>
      </w:r>
      <w:r w:rsidR="002C5EE0" w:rsidRPr="002C5EE0">
        <w:rPr>
          <w:rFonts w:ascii="Times New Roman" w:hAnsi="Times New Roman" w:cs="Times New Roman"/>
          <w:i/>
          <w:iCs/>
          <w:color w:val="000000"/>
          <w:sz w:val="20"/>
          <w:szCs w:val="20"/>
        </w:rPr>
        <w:t>l</w:t>
      </w:r>
      <w:proofErr w:type="spellEnd"/>
      <w:r w:rsidR="002C5EE0">
        <w:rPr>
          <w:rFonts w:ascii="Times New Roman" w:hAnsi="Times New Roman" w:cs="Times New Roman"/>
          <w:i/>
          <w:iCs/>
          <w:color w:val="000000"/>
          <w:sz w:val="20"/>
          <w:szCs w:val="20"/>
        </w:rPr>
        <w:t xml:space="preserve"> </w:t>
      </w:r>
      <w:proofErr w:type="spellStart"/>
      <w:r w:rsidR="002C5EE0" w:rsidRPr="002C5EE0">
        <w:rPr>
          <w:rFonts w:ascii="Times New Roman" w:hAnsi="Times New Roman" w:cs="Times New Roman"/>
          <w:i/>
          <w:iCs/>
          <w:color w:val="000000"/>
          <w:sz w:val="20"/>
          <w:szCs w:val="20"/>
        </w:rPr>
        <w:t>S</w:t>
      </w:r>
      <w:r w:rsidRPr="002C5EE0">
        <w:rPr>
          <w:rFonts w:ascii="Times New Roman" w:hAnsi="Times New Roman" w:cs="Times New Roman"/>
          <w:i/>
          <w:iCs/>
          <w:color w:val="000000"/>
          <w:sz w:val="20"/>
          <w:szCs w:val="20"/>
        </w:rPr>
        <w:t>teril</w:t>
      </w:r>
      <w:proofErr w:type="spellEnd"/>
      <w:r w:rsidRPr="002C5EE0">
        <w:rPr>
          <w:rFonts w:ascii="Times New Roman" w:hAnsi="Times New Roman" w:cs="Times New Roman"/>
          <w:i/>
          <w:iCs/>
          <w:color w:val="000000"/>
          <w:sz w:val="20"/>
          <w:szCs w:val="20"/>
        </w:rPr>
        <w:t>,</w:t>
      </w:r>
      <w:r w:rsidRPr="002C5EE0">
        <w:rPr>
          <w:rFonts w:ascii="Times New Roman" w:hAnsi="Times New Roman" w:cs="Times New Roman"/>
          <w:color w:val="000000"/>
          <w:sz w:val="20"/>
          <w:szCs w:val="20"/>
        </w:rPr>
        <w:t xml:space="preserve"> 80(6):1335-7.</w:t>
      </w:r>
    </w:p>
    <w:p w:rsidR="004043D1" w:rsidRPr="002C5EE0" w:rsidRDefault="004043D1" w:rsidP="002C5EE0">
      <w:pPr>
        <w:pStyle w:val="ListParagraph"/>
        <w:numPr>
          <w:ilvl w:val="0"/>
          <w:numId w:val="3"/>
        </w:numPr>
        <w:tabs>
          <w:tab w:val="left" w:pos="0"/>
        </w:tabs>
        <w:bidi w:val="0"/>
        <w:snapToGrid w:val="0"/>
        <w:spacing w:after="0" w:line="240" w:lineRule="auto"/>
        <w:ind w:left="425" w:hanging="425"/>
        <w:jc w:val="both"/>
        <w:rPr>
          <w:rFonts w:ascii="Times New Roman" w:hAnsi="Times New Roman" w:cs="Times New Roman"/>
          <w:sz w:val="20"/>
          <w:szCs w:val="20"/>
          <w:lang w:bidi="ar-EG"/>
        </w:rPr>
      </w:pPr>
      <w:proofErr w:type="spellStart"/>
      <w:r w:rsidRPr="002C5EE0">
        <w:rPr>
          <w:rFonts w:ascii="Times New Roman" w:hAnsi="Times New Roman" w:cs="Times New Roman"/>
          <w:bCs/>
          <w:sz w:val="20"/>
          <w:szCs w:val="20"/>
          <w:lang w:bidi="ar-EG"/>
        </w:rPr>
        <w:t>Dhaliwal</w:t>
      </w:r>
      <w:proofErr w:type="spellEnd"/>
      <w:r w:rsidRPr="002C5EE0">
        <w:rPr>
          <w:rFonts w:ascii="Times New Roman" w:hAnsi="Times New Roman" w:cs="Times New Roman"/>
          <w:bCs/>
          <w:sz w:val="20"/>
          <w:szCs w:val="20"/>
          <w:lang w:bidi="ar-EG"/>
        </w:rPr>
        <w:t xml:space="preserve"> L.K., </w:t>
      </w:r>
      <w:proofErr w:type="spellStart"/>
      <w:r w:rsidRPr="002C5EE0">
        <w:rPr>
          <w:rFonts w:ascii="Times New Roman" w:hAnsi="Times New Roman" w:cs="Times New Roman"/>
          <w:bCs/>
          <w:sz w:val="20"/>
          <w:szCs w:val="20"/>
          <w:lang w:bidi="ar-EG"/>
        </w:rPr>
        <w:t>Suri</w:t>
      </w:r>
      <w:proofErr w:type="spellEnd"/>
      <w:r w:rsidRPr="002C5EE0">
        <w:rPr>
          <w:rFonts w:ascii="Times New Roman" w:hAnsi="Times New Roman" w:cs="Times New Roman"/>
          <w:bCs/>
          <w:sz w:val="20"/>
          <w:szCs w:val="20"/>
          <w:lang w:bidi="ar-EG"/>
        </w:rPr>
        <w:t xml:space="preserve"> V., Gupta K.R. and </w:t>
      </w:r>
      <w:proofErr w:type="spellStart"/>
      <w:r w:rsidRPr="002C5EE0">
        <w:rPr>
          <w:rFonts w:ascii="Times New Roman" w:hAnsi="Times New Roman" w:cs="Times New Roman"/>
          <w:bCs/>
          <w:sz w:val="20"/>
          <w:szCs w:val="20"/>
          <w:lang w:bidi="ar-EG"/>
        </w:rPr>
        <w:t>Sahdev</w:t>
      </w:r>
      <w:proofErr w:type="spellEnd"/>
      <w:r w:rsidRPr="002C5EE0">
        <w:rPr>
          <w:rFonts w:ascii="Times New Roman" w:hAnsi="Times New Roman" w:cs="Times New Roman"/>
          <w:bCs/>
          <w:sz w:val="20"/>
          <w:szCs w:val="20"/>
          <w:lang w:bidi="ar-EG"/>
        </w:rPr>
        <w:t xml:space="preserve"> S. (2011)</w:t>
      </w:r>
      <w:r w:rsidR="002C5EE0" w:rsidRPr="002C5EE0">
        <w:rPr>
          <w:rFonts w:ascii="Times New Roman" w:hAnsi="Times New Roman" w:cs="Times New Roman"/>
          <w:bCs/>
          <w:sz w:val="20"/>
          <w:szCs w:val="20"/>
          <w:lang w:bidi="ar-EG"/>
        </w:rPr>
        <w:t>:</w:t>
      </w:r>
      <w:r w:rsidR="002C5EE0">
        <w:rPr>
          <w:rFonts w:ascii="Times New Roman" w:hAnsi="Times New Roman" w:cs="Times New Roman"/>
          <w:bCs/>
          <w:sz w:val="20"/>
          <w:szCs w:val="20"/>
          <w:lang w:bidi="ar-EG"/>
        </w:rPr>
        <w:t xml:space="preserve"> </w:t>
      </w:r>
      <w:proofErr w:type="spellStart"/>
      <w:r w:rsidR="002C5EE0" w:rsidRPr="002C5EE0">
        <w:rPr>
          <w:rFonts w:ascii="Times New Roman" w:hAnsi="Times New Roman" w:cs="Times New Roman"/>
          <w:sz w:val="20"/>
          <w:szCs w:val="20"/>
          <w:lang w:bidi="ar-EG"/>
        </w:rPr>
        <w:t>T</w:t>
      </w:r>
      <w:r w:rsidRPr="002C5EE0">
        <w:rPr>
          <w:rFonts w:ascii="Times New Roman" w:hAnsi="Times New Roman" w:cs="Times New Roman"/>
          <w:sz w:val="20"/>
          <w:szCs w:val="20"/>
          <w:lang w:bidi="ar-EG"/>
        </w:rPr>
        <w:t>amoxifen</w:t>
      </w:r>
      <w:proofErr w:type="spellEnd"/>
      <w:r w:rsidRPr="002C5EE0">
        <w:rPr>
          <w:rFonts w:ascii="Times New Roman" w:hAnsi="Times New Roman" w:cs="Times New Roman"/>
          <w:sz w:val="20"/>
          <w:szCs w:val="20"/>
          <w:lang w:bidi="ar-EG"/>
        </w:rPr>
        <w:t xml:space="preserve">: An alternative to </w:t>
      </w:r>
      <w:proofErr w:type="spellStart"/>
      <w:r w:rsidRPr="002C5EE0">
        <w:rPr>
          <w:rFonts w:ascii="Times New Roman" w:hAnsi="Times New Roman" w:cs="Times New Roman"/>
          <w:sz w:val="20"/>
          <w:szCs w:val="20"/>
          <w:lang w:bidi="ar-EG"/>
        </w:rPr>
        <w:t>clomiphene</w:t>
      </w:r>
      <w:proofErr w:type="spellEnd"/>
      <w:r w:rsidRPr="002C5EE0">
        <w:rPr>
          <w:rFonts w:ascii="Times New Roman" w:hAnsi="Times New Roman" w:cs="Times New Roman"/>
          <w:sz w:val="20"/>
          <w:szCs w:val="20"/>
          <w:lang w:bidi="ar-EG"/>
        </w:rPr>
        <w:t xml:space="preserve"> in women with polycystic ovary syndrome. J Hum </w:t>
      </w:r>
      <w:proofErr w:type="spellStart"/>
      <w:r w:rsidRPr="002C5EE0">
        <w:rPr>
          <w:rFonts w:ascii="Times New Roman" w:hAnsi="Times New Roman" w:cs="Times New Roman"/>
          <w:sz w:val="20"/>
          <w:szCs w:val="20"/>
          <w:lang w:bidi="ar-EG"/>
        </w:rPr>
        <w:t>Repro</w:t>
      </w:r>
      <w:r w:rsidR="002C5EE0" w:rsidRPr="002C5EE0">
        <w:rPr>
          <w:rFonts w:ascii="Times New Roman" w:hAnsi="Times New Roman" w:cs="Times New Roman"/>
          <w:sz w:val="20"/>
          <w:szCs w:val="20"/>
          <w:lang w:bidi="ar-EG"/>
        </w:rPr>
        <w:t>d</w:t>
      </w:r>
      <w:proofErr w:type="spellEnd"/>
      <w:r w:rsidR="002C5EE0">
        <w:rPr>
          <w:rFonts w:ascii="Times New Roman" w:hAnsi="Times New Roman" w:cs="Times New Roman"/>
          <w:sz w:val="20"/>
          <w:szCs w:val="20"/>
          <w:lang w:bidi="ar-EG"/>
        </w:rPr>
        <w:t xml:space="preserve"> </w:t>
      </w:r>
      <w:proofErr w:type="spellStart"/>
      <w:r w:rsidR="002C5EE0" w:rsidRPr="002C5EE0">
        <w:rPr>
          <w:rFonts w:ascii="Times New Roman" w:hAnsi="Times New Roman" w:cs="Times New Roman"/>
          <w:sz w:val="20"/>
          <w:szCs w:val="20"/>
          <w:lang w:bidi="ar-EG"/>
        </w:rPr>
        <w:t>S</w:t>
      </w:r>
      <w:r w:rsidRPr="002C5EE0">
        <w:rPr>
          <w:rFonts w:ascii="Times New Roman" w:hAnsi="Times New Roman" w:cs="Times New Roman"/>
          <w:sz w:val="20"/>
          <w:szCs w:val="20"/>
          <w:lang w:bidi="ar-EG"/>
        </w:rPr>
        <w:t>ci</w:t>
      </w:r>
      <w:proofErr w:type="spellEnd"/>
      <w:r w:rsidRPr="002C5EE0">
        <w:rPr>
          <w:rFonts w:ascii="Times New Roman" w:hAnsi="Times New Roman" w:cs="Times New Roman"/>
          <w:sz w:val="20"/>
          <w:szCs w:val="20"/>
          <w:lang w:bidi="ar-EG"/>
        </w:rPr>
        <w:t>, 4(2):76-79.</w:t>
      </w:r>
    </w:p>
    <w:p w:rsidR="004043D1" w:rsidRPr="002C5EE0" w:rsidRDefault="004043D1" w:rsidP="002C5EE0">
      <w:pPr>
        <w:pStyle w:val="ListParagraph"/>
        <w:numPr>
          <w:ilvl w:val="0"/>
          <w:numId w:val="3"/>
        </w:numPr>
        <w:tabs>
          <w:tab w:val="left" w:pos="0"/>
        </w:tabs>
        <w:autoSpaceDE w:val="0"/>
        <w:autoSpaceDN w:val="0"/>
        <w:bidi w:val="0"/>
        <w:adjustRightInd w:val="0"/>
        <w:snapToGrid w:val="0"/>
        <w:spacing w:after="0" w:line="240" w:lineRule="auto"/>
        <w:ind w:left="425" w:hanging="425"/>
        <w:jc w:val="both"/>
        <w:rPr>
          <w:rFonts w:ascii="Times New Roman" w:eastAsia="Times New Roman" w:hAnsi="Times New Roman" w:cs="Times New Roman"/>
          <w:bCs/>
          <w:color w:val="231F20"/>
          <w:sz w:val="20"/>
          <w:szCs w:val="20"/>
        </w:rPr>
      </w:pPr>
      <w:proofErr w:type="spellStart"/>
      <w:r w:rsidRPr="002C5EE0">
        <w:rPr>
          <w:rFonts w:ascii="Times New Roman" w:hAnsi="Times New Roman" w:cs="Times New Roman"/>
          <w:bCs/>
          <w:sz w:val="20"/>
          <w:szCs w:val="20"/>
          <w:lang w:bidi="ar-EG"/>
        </w:rPr>
        <w:t>Ehrmann</w:t>
      </w:r>
      <w:proofErr w:type="spellEnd"/>
      <w:r w:rsidRPr="002C5EE0">
        <w:rPr>
          <w:rFonts w:ascii="Times New Roman" w:hAnsi="Times New Roman" w:cs="Times New Roman"/>
          <w:bCs/>
          <w:sz w:val="20"/>
          <w:szCs w:val="20"/>
          <w:lang w:bidi="ar-EG"/>
        </w:rPr>
        <w:t xml:space="preserve"> D.A. (2005):</w:t>
      </w:r>
      <w:r w:rsidRPr="002C5EE0">
        <w:rPr>
          <w:rFonts w:ascii="Times New Roman" w:hAnsi="Times New Roman" w:cs="Times New Roman"/>
          <w:sz w:val="20"/>
          <w:szCs w:val="20"/>
          <w:lang w:bidi="ar-EG"/>
        </w:rPr>
        <w:t xml:space="preserve"> Polycystic ovary syndrome. N </w:t>
      </w:r>
      <w:proofErr w:type="spellStart"/>
      <w:r w:rsidRPr="002C5EE0">
        <w:rPr>
          <w:rFonts w:ascii="Times New Roman" w:hAnsi="Times New Roman" w:cs="Times New Roman"/>
          <w:sz w:val="20"/>
          <w:szCs w:val="20"/>
          <w:lang w:bidi="ar-EG"/>
        </w:rPr>
        <w:t>Engl</w:t>
      </w:r>
      <w:proofErr w:type="spellEnd"/>
      <w:r w:rsidRPr="002C5EE0">
        <w:rPr>
          <w:rFonts w:ascii="Times New Roman" w:hAnsi="Times New Roman" w:cs="Times New Roman"/>
          <w:sz w:val="20"/>
          <w:szCs w:val="20"/>
          <w:lang w:bidi="ar-EG"/>
        </w:rPr>
        <w:t xml:space="preserve"> J Med, 352(12):1223-1236.</w:t>
      </w:r>
    </w:p>
    <w:p w:rsidR="004043D1" w:rsidRPr="002C5EE0" w:rsidRDefault="004043D1" w:rsidP="002C5EE0">
      <w:pPr>
        <w:pStyle w:val="ListParagraph"/>
        <w:numPr>
          <w:ilvl w:val="0"/>
          <w:numId w:val="3"/>
        </w:numPr>
        <w:tabs>
          <w:tab w:val="left" w:pos="0"/>
        </w:tabs>
        <w:autoSpaceDE w:val="0"/>
        <w:autoSpaceDN w:val="0"/>
        <w:bidi w:val="0"/>
        <w:adjustRightInd w:val="0"/>
        <w:snapToGrid w:val="0"/>
        <w:spacing w:after="0" w:line="240" w:lineRule="auto"/>
        <w:ind w:left="425" w:hanging="425"/>
        <w:jc w:val="both"/>
        <w:rPr>
          <w:rFonts w:ascii="Times New Roman" w:eastAsia="Times New Roman" w:hAnsi="Times New Roman" w:cs="Times New Roman"/>
          <w:color w:val="231F20"/>
          <w:sz w:val="20"/>
          <w:szCs w:val="20"/>
        </w:rPr>
      </w:pPr>
      <w:proofErr w:type="spellStart"/>
      <w:r w:rsidRPr="002C5EE0">
        <w:rPr>
          <w:rFonts w:ascii="Times New Roman" w:eastAsia="Times New Roman" w:hAnsi="Times New Roman" w:cs="Times New Roman"/>
          <w:bCs/>
          <w:color w:val="231F20"/>
          <w:sz w:val="20"/>
          <w:szCs w:val="20"/>
        </w:rPr>
        <w:t>Eijkemans</w:t>
      </w:r>
      <w:proofErr w:type="spellEnd"/>
      <w:r w:rsidRPr="002C5EE0">
        <w:rPr>
          <w:rFonts w:ascii="Times New Roman" w:eastAsia="Times New Roman" w:hAnsi="Times New Roman" w:cs="Times New Roman"/>
          <w:bCs/>
          <w:color w:val="231F20"/>
          <w:sz w:val="20"/>
          <w:szCs w:val="20"/>
        </w:rPr>
        <w:t xml:space="preserve"> M., </w:t>
      </w:r>
      <w:proofErr w:type="spellStart"/>
      <w:r w:rsidRPr="002C5EE0">
        <w:rPr>
          <w:rFonts w:ascii="Times New Roman" w:eastAsia="Times New Roman" w:hAnsi="Times New Roman" w:cs="Times New Roman"/>
          <w:bCs/>
          <w:color w:val="231F20"/>
          <w:sz w:val="20"/>
          <w:szCs w:val="20"/>
        </w:rPr>
        <w:t>Lintsen</w:t>
      </w:r>
      <w:proofErr w:type="spellEnd"/>
      <w:r w:rsidRPr="002C5EE0">
        <w:rPr>
          <w:rFonts w:ascii="Times New Roman" w:eastAsia="Times New Roman" w:hAnsi="Times New Roman" w:cs="Times New Roman"/>
          <w:bCs/>
          <w:color w:val="231F20"/>
          <w:sz w:val="20"/>
          <w:szCs w:val="20"/>
        </w:rPr>
        <w:t xml:space="preserve"> A. and </w:t>
      </w:r>
      <w:proofErr w:type="spellStart"/>
      <w:r w:rsidRPr="002C5EE0">
        <w:rPr>
          <w:rFonts w:ascii="Times New Roman" w:eastAsia="Times New Roman" w:hAnsi="Times New Roman" w:cs="Times New Roman"/>
          <w:bCs/>
          <w:color w:val="231F20"/>
          <w:sz w:val="20"/>
          <w:szCs w:val="20"/>
        </w:rPr>
        <w:t>Hunault</w:t>
      </w:r>
      <w:proofErr w:type="spellEnd"/>
      <w:r w:rsidRPr="002C5EE0">
        <w:rPr>
          <w:rFonts w:ascii="Times New Roman" w:eastAsia="Times New Roman" w:hAnsi="Times New Roman" w:cs="Times New Roman"/>
          <w:bCs/>
          <w:color w:val="231F20"/>
          <w:sz w:val="20"/>
          <w:szCs w:val="20"/>
        </w:rPr>
        <w:t xml:space="preserve"> C. (2008):</w:t>
      </w:r>
      <w:r w:rsidR="002C5EE0">
        <w:rPr>
          <w:rFonts w:ascii="Times New Roman" w:eastAsia="Times New Roman" w:hAnsi="Times New Roman" w:cs="Times New Roman"/>
          <w:bCs/>
          <w:color w:val="231F20"/>
          <w:sz w:val="20"/>
          <w:szCs w:val="20"/>
        </w:rPr>
        <w:t xml:space="preserve"> </w:t>
      </w:r>
      <w:r w:rsidRPr="002C5EE0">
        <w:rPr>
          <w:rFonts w:ascii="Times New Roman" w:eastAsia="Times New Roman" w:hAnsi="Times New Roman" w:cs="Times New Roman"/>
          <w:color w:val="231F20"/>
          <w:sz w:val="20"/>
          <w:szCs w:val="20"/>
        </w:rPr>
        <w:t xml:space="preserve">Pregnancy chances on an IVF/ICS waiting list, a national prospective cohort study. </w:t>
      </w:r>
      <w:r w:rsidRPr="002C5EE0">
        <w:rPr>
          <w:rFonts w:ascii="Times New Roman" w:eastAsia="Times New Roman" w:hAnsi="Times New Roman" w:cs="Times New Roman"/>
          <w:i/>
          <w:iCs/>
          <w:color w:val="231F20"/>
          <w:sz w:val="20"/>
          <w:szCs w:val="20"/>
        </w:rPr>
        <w:t xml:space="preserve">Hum </w:t>
      </w:r>
      <w:proofErr w:type="spellStart"/>
      <w:r w:rsidRPr="002C5EE0">
        <w:rPr>
          <w:rFonts w:ascii="Times New Roman" w:eastAsia="Times New Roman" w:hAnsi="Times New Roman" w:cs="Times New Roman"/>
          <w:i/>
          <w:iCs/>
          <w:color w:val="231F20"/>
          <w:sz w:val="20"/>
          <w:szCs w:val="20"/>
        </w:rPr>
        <w:t>Reprod</w:t>
      </w:r>
      <w:proofErr w:type="spellEnd"/>
      <w:r w:rsidRPr="002C5EE0">
        <w:rPr>
          <w:rFonts w:ascii="Times New Roman" w:eastAsia="Times New Roman" w:hAnsi="Times New Roman" w:cs="Times New Roman"/>
          <w:color w:val="231F20"/>
          <w:sz w:val="20"/>
          <w:szCs w:val="20"/>
        </w:rPr>
        <w:t>, 23:1627-1632.</w:t>
      </w:r>
    </w:p>
    <w:p w:rsidR="002C5EE0" w:rsidRDefault="004043D1" w:rsidP="002C5EE0">
      <w:pPr>
        <w:pStyle w:val="ListParagraph"/>
        <w:widowControl w:val="0"/>
        <w:numPr>
          <w:ilvl w:val="0"/>
          <w:numId w:val="3"/>
        </w:numPr>
        <w:tabs>
          <w:tab w:val="left" w:pos="0"/>
        </w:tabs>
        <w:autoSpaceDE w:val="0"/>
        <w:autoSpaceDN w:val="0"/>
        <w:bidi w:val="0"/>
        <w:snapToGrid w:val="0"/>
        <w:spacing w:after="0" w:line="240" w:lineRule="auto"/>
        <w:ind w:left="425" w:hanging="425"/>
        <w:jc w:val="both"/>
        <w:rPr>
          <w:rFonts w:ascii="Times New Roman" w:hAnsi="Times New Roman" w:cs="Times New Roman"/>
          <w:color w:val="000000"/>
          <w:sz w:val="20"/>
          <w:szCs w:val="20"/>
        </w:rPr>
      </w:pPr>
      <w:r w:rsidRPr="002C5EE0">
        <w:rPr>
          <w:rFonts w:ascii="Times New Roman" w:hAnsi="Times New Roman" w:cs="Times New Roman"/>
          <w:iCs/>
          <w:color w:val="000000"/>
          <w:sz w:val="20"/>
          <w:szCs w:val="20"/>
        </w:rPr>
        <w:t>EL-</w:t>
      </w:r>
      <w:proofErr w:type="spellStart"/>
      <w:r w:rsidRPr="002C5EE0">
        <w:rPr>
          <w:rFonts w:ascii="Times New Roman" w:hAnsi="Times New Roman" w:cs="Times New Roman"/>
          <w:iCs/>
          <w:color w:val="000000"/>
          <w:sz w:val="20"/>
          <w:szCs w:val="20"/>
        </w:rPr>
        <w:t>Gharib</w:t>
      </w:r>
      <w:proofErr w:type="spellEnd"/>
      <w:r w:rsidRPr="002C5EE0">
        <w:rPr>
          <w:rFonts w:ascii="Times New Roman" w:hAnsi="Times New Roman" w:cs="Times New Roman"/>
          <w:iCs/>
          <w:color w:val="000000"/>
          <w:sz w:val="20"/>
          <w:szCs w:val="20"/>
        </w:rPr>
        <w:t xml:space="preserve"> M.N., Mahfouz A.E. and </w:t>
      </w:r>
      <w:proofErr w:type="spellStart"/>
      <w:r w:rsidRPr="002C5EE0">
        <w:rPr>
          <w:rFonts w:ascii="Times New Roman" w:hAnsi="Times New Roman" w:cs="Times New Roman"/>
          <w:iCs/>
          <w:color w:val="000000"/>
          <w:sz w:val="20"/>
          <w:szCs w:val="20"/>
        </w:rPr>
        <w:t>Farahat</w:t>
      </w:r>
      <w:proofErr w:type="spellEnd"/>
      <w:r w:rsidRPr="002C5EE0">
        <w:rPr>
          <w:rFonts w:ascii="Times New Roman" w:hAnsi="Times New Roman" w:cs="Times New Roman"/>
          <w:iCs/>
          <w:color w:val="000000"/>
          <w:sz w:val="20"/>
          <w:szCs w:val="20"/>
        </w:rPr>
        <w:t xml:space="preserve"> M.A. (2014)</w:t>
      </w:r>
      <w:r w:rsidR="002C5EE0" w:rsidRPr="002C5EE0">
        <w:rPr>
          <w:rFonts w:ascii="Times New Roman" w:hAnsi="Times New Roman" w:cs="Times New Roman"/>
          <w:iCs/>
          <w:color w:val="000000"/>
          <w:sz w:val="20"/>
          <w:szCs w:val="20"/>
        </w:rPr>
        <w:t>:</w:t>
      </w:r>
      <w:r w:rsidR="002C5EE0">
        <w:rPr>
          <w:rFonts w:ascii="Times New Roman" w:hAnsi="Times New Roman" w:cs="Times New Roman"/>
          <w:iCs/>
          <w:color w:val="000000"/>
          <w:sz w:val="20"/>
          <w:szCs w:val="20"/>
        </w:rPr>
        <w:t xml:space="preserve"> </w:t>
      </w:r>
      <w:proofErr w:type="spellStart"/>
      <w:r w:rsidR="002C5EE0" w:rsidRPr="002C5EE0">
        <w:rPr>
          <w:rFonts w:ascii="Times New Roman" w:hAnsi="Times New Roman" w:cs="Times New Roman"/>
          <w:color w:val="000000"/>
          <w:sz w:val="20"/>
          <w:szCs w:val="20"/>
        </w:rPr>
        <w:t>L</w:t>
      </w:r>
      <w:r w:rsidRPr="002C5EE0">
        <w:rPr>
          <w:rFonts w:ascii="Times New Roman" w:hAnsi="Times New Roman" w:cs="Times New Roman"/>
          <w:color w:val="000000"/>
          <w:sz w:val="20"/>
          <w:szCs w:val="20"/>
        </w:rPr>
        <w:t>etrozole</w:t>
      </w:r>
      <w:proofErr w:type="spellEnd"/>
      <w:r w:rsidRPr="002C5EE0">
        <w:rPr>
          <w:rFonts w:ascii="Times New Roman" w:hAnsi="Times New Roman" w:cs="Times New Roman"/>
          <w:color w:val="000000"/>
          <w:sz w:val="20"/>
          <w:szCs w:val="20"/>
        </w:rPr>
        <w:t xml:space="preserve"> versus </w:t>
      </w:r>
      <w:proofErr w:type="spellStart"/>
      <w:r w:rsidRPr="002C5EE0">
        <w:rPr>
          <w:rFonts w:ascii="Times New Roman" w:hAnsi="Times New Roman" w:cs="Times New Roman"/>
          <w:color w:val="000000"/>
          <w:sz w:val="20"/>
          <w:szCs w:val="20"/>
        </w:rPr>
        <w:t>tamoxifeni</w:t>
      </w:r>
      <w:r w:rsidR="002C5EE0" w:rsidRPr="002C5EE0">
        <w:rPr>
          <w:rFonts w:ascii="Times New Roman" w:hAnsi="Times New Roman" w:cs="Times New Roman"/>
          <w:color w:val="000000"/>
          <w:sz w:val="20"/>
          <w:szCs w:val="20"/>
        </w:rPr>
        <w:t>n</w:t>
      </w:r>
      <w:proofErr w:type="spellEnd"/>
      <w:r w:rsidR="002C5EE0">
        <w:rPr>
          <w:rFonts w:ascii="Times New Roman" w:hAnsi="Times New Roman" w:cs="Times New Roman"/>
          <w:color w:val="000000"/>
          <w:sz w:val="20"/>
          <w:szCs w:val="20"/>
        </w:rPr>
        <w:t xml:space="preserve"> </w:t>
      </w:r>
      <w:r w:rsidR="002C5EE0" w:rsidRPr="002C5EE0">
        <w:rPr>
          <w:rFonts w:ascii="Times New Roman" w:hAnsi="Times New Roman" w:cs="Times New Roman"/>
          <w:color w:val="000000"/>
          <w:sz w:val="20"/>
          <w:szCs w:val="20"/>
        </w:rPr>
        <w:t>T</w:t>
      </w:r>
      <w:r w:rsidRPr="002C5EE0">
        <w:rPr>
          <w:rFonts w:ascii="Times New Roman" w:hAnsi="Times New Roman" w:cs="Times New Roman"/>
          <w:color w:val="000000"/>
          <w:sz w:val="20"/>
          <w:szCs w:val="20"/>
        </w:rPr>
        <w:t xml:space="preserve">reatment of </w:t>
      </w:r>
      <w:proofErr w:type="spellStart"/>
      <w:r w:rsidRPr="002C5EE0">
        <w:rPr>
          <w:rFonts w:ascii="Times New Roman" w:hAnsi="Times New Roman" w:cs="Times New Roman"/>
          <w:color w:val="000000"/>
          <w:sz w:val="20"/>
          <w:szCs w:val="20"/>
        </w:rPr>
        <w:t>Clomiphene</w:t>
      </w:r>
      <w:proofErr w:type="spellEnd"/>
      <w:r w:rsidRPr="002C5EE0">
        <w:rPr>
          <w:rFonts w:ascii="Times New Roman" w:hAnsi="Times New Roman" w:cs="Times New Roman"/>
          <w:color w:val="000000"/>
          <w:sz w:val="20"/>
          <w:szCs w:val="20"/>
        </w:rPr>
        <w:t xml:space="preserve"> Citrate Resistant Polycystic Ovarian Syndrome Enliven. </w:t>
      </w:r>
      <w:proofErr w:type="spellStart"/>
      <w:r w:rsidRPr="002C5EE0">
        <w:rPr>
          <w:rFonts w:ascii="Times New Roman" w:hAnsi="Times New Roman" w:cs="Times New Roman"/>
          <w:i/>
          <w:iCs/>
          <w:color w:val="000000"/>
          <w:sz w:val="20"/>
          <w:szCs w:val="20"/>
        </w:rPr>
        <w:t>Gyneco</w:t>
      </w:r>
      <w:r w:rsidR="002C5EE0" w:rsidRPr="002C5EE0">
        <w:rPr>
          <w:rFonts w:ascii="Times New Roman" w:hAnsi="Times New Roman" w:cs="Times New Roman"/>
          <w:i/>
          <w:iCs/>
          <w:color w:val="000000"/>
          <w:sz w:val="20"/>
          <w:szCs w:val="20"/>
        </w:rPr>
        <w:t>l</w:t>
      </w:r>
      <w:proofErr w:type="spellEnd"/>
      <w:r w:rsidR="002C5EE0">
        <w:rPr>
          <w:rFonts w:ascii="Times New Roman" w:hAnsi="Times New Roman" w:cs="Times New Roman"/>
          <w:i/>
          <w:iCs/>
          <w:color w:val="000000"/>
          <w:sz w:val="20"/>
          <w:szCs w:val="20"/>
        </w:rPr>
        <w:t xml:space="preserve"> </w:t>
      </w:r>
      <w:proofErr w:type="spellStart"/>
      <w:r w:rsidR="002C5EE0" w:rsidRPr="002C5EE0">
        <w:rPr>
          <w:rFonts w:ascii="Times New Roman" w:hAnsi="Times New Roman" w:cs="Times New Roman"/>
          <w:i/>
          <w:iCs/>
          <w:color w:val="000000"/>
          <w:sz w:val="20"/>
          <w:szCs w:val="20"/>
        </w:rPr>
        <w:t>O</w:t>
      </w:r>
      <w:r w:rsidRPr="002C5EE0">
        <w:rPr>
          <w:rFonts w:ascii="Times New Roman" w:hAnsi="Times New Roman" w:cs="Times New Roman"/>
          <w:i/>
          <w:iCs/>
          <w:color w:val="000000"/>
          <w:sz w:val="20"/>
          <w:szCs w:val="20"/>
        </w:rPr>
        <w:t>bestet</w:t>
      </w:r>
      <w:proofErr w:type="spellEnd"/>
      <w:r w:rsidRPr="002C5EE0">
        <w:rPr>
          <w:rFonts w:ascii="Times New Roman" w:hAnsi="Times New Roman" w:cs="Times New Roman"/>
          <w:i/>
          <w:iCs/>
          <w:color w:val="000000"/>
          <w:sz w:val="20"/>
          <w:szCs w:val="20"/>
        </w:rPr>
        <w:t>,</w:t>
      </w:r>
      <w:r w:rsidRPr="002C5EE0">
        <w:rPr>
          <w:rFonts w:ascii="Times New Roman" w:hAnsi="Times New Roman" w:cs="Times New Roman"/>
          <w:color w:val="000000"/>
          <w:sz w:val="20"/>
          <w:szCs w:val="20"/>
        </w:rPr>
        <w:t xml:space="preserve"> 1(1):00</w:t>
      </w:r>
      <w:r w:rsidR="002C5EE0" w:rsidRPr="002C5EE0">
        <w:rPr>
          <w:rFonts w:ascii="Times New Roman" w:hAnsi="Times New Roman" w:cs="Times New Roman"/>
          <w:color w:val="000000"/>
          <w:sz w:val="20"/>
          <w:szCs w:val="20"/>
        </w:rPr>
        <w:t>3</w:t>
      </w:r>
      <w:r w:rsidR="002C5EE0">
        <w:rPr>
          <w:rFonts w:ascii="Times New Roman" w:hAnsi="Times New Roman" w:cs="Times New Roman"/>
          <w:color w:val="000000"/>
          <w:sz w:val="20"/>
          <w:szCs w:val="20"/>
        </w:rPr>
        <w:t>.</w:t>
      </w:r>
    </w:p>
    <w:p w:rsidR="004043D1" w:rsidRPr="002C5EE0" w:rsidRDefault="004043D1" w:rsidP="002C5EE0">
      <w:pPr>
        <w:pStyle w:val="ListParagraph"/>
        <w:numPr>
          <w:ilvl w:val="0"/>
          <w:numId w:val="3"/>
        </w:numPr>
        <w:tabs>
          <w:tab w:val="left" w:pos="0"/>
        </w:tabs>
        <w:autoSpaceDE w:val="0"/>
        <w:autoSpaceDN w:val="0"/>
        <w:bidi w:val="0"/>
        <w:adjustRightInd w:val="0"/>
        <w:snapToGrid w:val="0"/>
        <w:spacing w:after="0" w:line="240" w:lineRule="auto"/>
        <w:ind w:left="425" w:hanging="425"/>
        <w:jc w:val="both"/>
        <w:rPr>
          <w:rFonts w:ascii="Times New Roman" w:eastAsia="Times New Roman" w:hAnsi="Times New Roman" w:cs="Times New Roman"/>
          <w:color w:val="000000"/>
          <w:sz w:val="20"/>
          <w:szCs w:val="20"/>
        </w:rPr>
      </w:pPr>
      <w:proofErr w:type="spellStart"/>
      <w:r w:rsidRPr="002C5EE0">
        <w:rPr>
          <w:rFonts w:ascii="Times New Roman" w:eastAsia="Times New Roman" w:hAnsi="Times New Roman" w:cs="Times New Roman"/>
          <w:bCs/>
          <w:color w:val="000000"/>
          <w:sz w:val="20"/>
          <w:szCs w:val="20"/>
        </w:rPr>
        <w:t>Elnashar</w:t>
      </w:r>
      <w:proofErr w:type="spellEnd"/>
      <w:r w:rsidRPr="002C5EE0">
        <w:rPr>
          <w:rFonts w:ascii="Times New Roman" w:eastAsia="Times New Roman" w:hAnsi="Times New Roman" w:cs="Times New Roman"/>
          <w:bCs/>
          <w:color w:val="000000"/>
          <w:sz w:val="20"/>
          <w:szCs w:val="20"/>
        </w:rPr>
        <w:t xml:space="preserve"> A., </w:t>
      </w:r>
      <w:proofErr w:type="spellStart"/>
      <w:r w:rsidRPr="002C5EE0">
        <w:rPr>
          <w:rFonts w:ascii="Times New Roman" w:eastAsia="Times New Roman" w:hAnsi="Times New Roman" w:cs="Times New Roman"/>
          <w:bCs/>
          <w:color w:val="000000"/>
          <w:sz w:val="20"/>
          <w:szCs w:val="20"/>
        </w:rPr>
        <w:t>Abdelmageed</w:t>
      </w:r>
      <w:proofErr w:type="spellEnd"/>
      <w:r w:rsidRPr="002C5EE0">
        <w:rPr>
          <w:rFonts w:ascii="Times New Roman" w:eastAsia="Times New Roman" w:hAnsi="Times New Roman" w:cs="Times New Roman"/>
          <w:bCs/>
          <w:color w:val="000000"/>
          <w:sz w:val="20"/>
          <w:szCs w:val="20"/>
        </w:rPr>
        <w:t xml:space="preserve"> E., Fayed M. and </w:t>
      </w:r>
      <w:proofErr w:type="spellStart"/>
      <w:r w:rsidRPr="002C5EE0">
        <w:rPr>
          <w:rFonts w:ascii="Times New Roman" w:eastAsia="Times New Roman" w:hAnsi="Times New Roman" w:cs="Times New Roman"/>
          <w:bCs/>
          <w:color w:val="000000"/>
          <w:sz w:val="20"/>
          <w:szCs w:val="20"/>
        </w:rPr>
        <w:t>Sharaf</w:t>
      </w:r>
      <w:proofErr w:type="spellEnd"/>
      <w:r w:rsidRPr="002C5EE0">
        <w:rPr>
          <w:rFonts w:ascii="Times New Roman" w:eastAsia="Times New Roman" w:hAnsi="Times New Roman" w:cs="Times New Roman"/>
          <w:bCs/>
          <w:color w:val="000000"/>
          <w:sz w:val="20"/>
          <w:szCs w:val="20"/>
        </w:rPr>
        <w:t xml:space="preserve"> M. (2006):</w:t>
      </w:r>
      <w:r w:rsidRPr="002C5EE0">
        <w:rPr>
          <w:rFonts w:ascii="Times New Roman" w:eastAsia="Times New Roman" w:hAnsi="Times New Roman" w:cs="Times New Roman"/>
          <w:color w:val="000000"/>
          <w:sz w:val="20"/>
          <w:szCs w:val="20"/>
        </w:rPr>
        <w:t xml:space="preserve"> </w:t>
      </w:r>
      <w:proofErr w:type="spellStart"/>
      <w:r w:rsidRPr="002C5EE0">
        <w:rPr>
          <w:rFonts w:ascii="Times New Roman" w:eastAsia="Times New Roman" w:hAnsi="Times New Roman" w:cs="Times New Roman"/>
          <w:color w:val="000000"/>
          <w:sz w:val="20"/>
          <w:szCs w:val="20"/>
        </w:rPr>
        <w:t>Clomiphene</w:t>
      </w:r>
      <w:proofErr w:type="spellEnd"/>
      <w:r w:rsidRPr="002C5EE0">
        <w:rPr>
          <w:rFonts w:ascii="Times New Roman" w:eastAsia="Times New Roman" w:hAnsi="Times New Roman" w:cs="Times New Roman"/>
          <w:color w:val="000000"/>
          <w:sz w:val="20"/>
          <w:szCs w:val="20"/>
        </w:rPr>
        <w:t xml:space="preserve"> citrate and </w:t>
      </w:r>
      <w:proofErr w:type="spellStart"/>
      <w:r w:rsidRPr="002C5EE0">
        <w:rPr>
          <w:rFonts w:ascii="Times New Roman" w:eastAsia="Times New Roman" w:hAnsi="Times New Roman" w:cs="Times New Roman"/>
          <w:color w:val="000000"/>
          <w:sz w:val="20"/>
          <w:szCs w:val="20"/>
        </w:rPr>
        <w:t>dexamethazone</w:t>
      </w:r>
      <w:proofErr w:type="spellEnd"/>
      <w:r w:rsidRPr="002C5EE0">
        <w:rPr>
          <w:rFonts w:ascii="Times New Roman" w:eastAsia="Times New Roman" w:hAnsi="Times New Roman" w:cs="Times New Roman"/>
          <w:color w:val="000000"/>
          <w:sz w:val="20"/>
          <w:szCs w:val="20"/>
        </w:rPr>
        <w:t xml:space="preserve"> in treatment of </w:t>
      </w:r>
      <w:proofErr w:type="spellStart"/>
      <w:r w:rsidRPr="002C5EE0">
        <w:rPr>
          <w:rFonts w:ascii="Times New Roman" w:eastAsia="Times New Roman" w:hAnsi="Times New Roman" w:cs="Times New Roman"/>
          <w:color w:val="000000"/>
          <w:sz w:val="20"/>
          <w:szCs w:val="20"/>
        </w:rPr>
        <w:t>clomiphene</w:t>
      </w:r>
      <w:proofErr w:type="spellEnd"/>
      <w:r w:rsidRPr="002C5EE0">
        <w:rPr>
          <w:rFonts w:ascii="Times New Roman" w:eastAsia="Times New Roman" w:hAnsi="Times New Roman" w:cs="Times New Roman"/>
          <w:color w:val="000000"/>
          <w:sz w:val="20"/>
          <w:szCs w:val="20"/>
        </w:rPr>
        <w:t xml:space="preserve"> citrate-resistant polycystic ovary syndrome: a prospective placebo-controlled study. </w:t>
      </w:r>
      <w:r w:rsidRPr="002C5EE0">
        <w:rPr>
          <w:rFonts w:ascii="Times New Roman" w:eastAsia="Times New Roman" w:hAnsi="Times New Roman" w:cs="Times New Roman"/>
          <w:i/>
          <w:iCs/>
          <w:color w:val="000000"/>
          <w:sz w:val="20"/>
          <w:szCs w:val="20"/>
        </w:rPr>
        <w:t xml:space="preserve">Human </w:t>
      </w:r>
      <w:proofErr w:type="spellStart"/>
      <w:r w:rsidRPr="002C5EE0">
        <w:rPr>
          <w:rFonts w:ascii="Times New Roman" w:eastAsia="Times New Roman" w:hAnsi="Times New Roman" w:cs="Times New Roman"/>
          <w:i/>
          <w:iCs/>
          <w:color w:val="000000"/>
          <w:sz w:val="20"/>
          <w:szCs w:val="20"/>
        </w:rPr>
        <w:t>Reprod</w:t>
      </w:r>
      <w:proofErr w:type="spellEnd"/>
      <w:r w:rsidRPr="002C5EE0">
        <w:rPr>
          <w:rFonts w:ascii="Times New Roman" w:eastAsia="Times New Roman" w:hAnsi="Times New Roman" w:cs="Times New Roman"/>
          <w:i/>
          <w:iCs/>
          <w:color w:val="000000"/>
          <w:sz w:val="20"/>
          <w:szCs w:val="20"/>
        </w:rPr>
        <w:t>,</w:t>
      </w:r>
      <w:r w:rsidRPr="002C5EE0">
        <w:rPr>
          <w:rFonts w:ascii="Times New Roman" w:eastAsia="Times New Roman" w:hAnsi="Times New Roman" w:cs="Times New Roman"/>
          <w:color w:val="000000"/>
          <w:sz w:val="20"/>
          <w:szCs w:val="20"/>
        </w:rPr>
        <w:t xml:space="preserve"> 21(7):1805-1808.</w:t>
      </w:r>
    </w:p>
    <w:p w:rsidR="004043D1" w:rsidRPr="002C5EE0" w:rsidRDefault="004043D1" w:rsidP="002C5EE0">
      <w:pPr>
        <w:pStyle w:val="ListParagraph"/>
        <w:numPr>
          <w:ilvl w:val="0"/>
          <w:numId w:val="3"/>
        </w:numPr>
        <w:tabs>
          <w:tab w:val="left" w:pos="0"/>
        </w:tabs>
        <w:autoSpaceDE w:val="0"/>
        <w:autoSpaceDN w:val="0"/>
        <w:bidi w:val="0"/>
        <w:adjustRightInd w:val="0"/>
        <w:snapToGrid w:val="0"/>
        <w:spacing w:after="0" w:line="240" w:lineRule="auto"/>
        <w:ind w:left="425" w:hanging="425"/>
        <w:jc w:val="both"/>
        <w:rPr>
          <w:rFonts w:ascii="Times New Roman" w:eastAsia="Times New Roman" w:hAnsi="Times New Roman" w:cs="Times New Roman"/>
          <w:color w:val="000000"/>
          <w:sz w:val="20"/>
          <w:szCs w:val="20"/>
        </w:rPr>
      </w:pPr>
      <w:proofErr w:type="spellStart"/>
      <w:r w:rsidRPr="002C5EE0">
        <w:rPr>
          <w:rFonts w:ascii="Times New Roman" w:eastAsia="Times New Roman" w:hAnsi="Times New Roman" w:cs="Times New Roman"/>
          <w:bCs/>
          <w:color w:val="000000"/>
          <w:sz w:val="20"/>
          <w:szCs w:val="20"/>
        </w:rPr>
        <w:t>Ganesh</w:t>
      </w:r>
      <w:proofErr w:type="spellEnd"/>
      <w:r w:rsidRPr="002C5EE0">
        <w:rPr>
          <w:rFonts w:ascii="Times New Roman" w:eastAsia="Times New Roman" w:hAnsi="Times New Roman" w:cs="Times New Roman"/>
          <w:bCs/>
          <w:color w:val="000000"/>
          <w:sz w:val="20"/>
          <w:szCs w:val="20"/>
        </w:rPr>
        <w:t xml:space="preserve"> A., </w:t>
      </w:r>
      <w:proofErr w:type="spellStart"/>
      <w:r w:rsidRPr="002C5EE0">
        <w:rPr>
          <w:rFonts w:ascii="Times New Roman" w:eastAsia="Times New Roman" w:hAnsi="Times New Roman" w:cs="Times New Roman"/>
          <w:bCs/>
          <w:color w:val="000000"/>
          <w:sz w:val="20"/>
          <w:szCs w:val="20"/>
        </w:rPr>
        <w:t>Goswami</w:t>
      </w:r>
      <w:proofErr w:type="spellEnd"/>
      <w:r w:rsidRPr="002C5EE0">
        <w:rPr>
          <w:rFonts w:ascii="Times New Roman" w:eastAsia="Times New Roman" w:hAnsi="Times New Roman" w:cs="Times New Roman"/>
          <w:bCs/>
          <w:color w:val="000000"/>
          <w:sz w:val="20"/>
          <w:szCs w:val="20"/>
        </w:rPr>
        <w:t xml:space="preserve"> S. and </w:t>
      </w:r>
      <w:proofErr w:type="spellStart"/>
      <w:r w:rsidRPr="002C5EE0">
        <w:rPr>
          <w:rFonts w:ascii="Times New Roman" w:eastAsia="Times New Roman" w:hAnsi="Times New Roman" w:cs="Times New Roman"/>
          <w:bCs/>
          <w:color w:val="000000"/>
          <w:sz w:val="20"/>
          <w:szCs w:val="20"/>
        </w:rPr>
        <w:t>Chattopadhyay</w:t>
      </w:r>
      <w:proofErr w:type="spellEnd"/>
      <w:r w:rsidRPr="002C5EE0">
        <w:rPr>
          <w:rFonts w:ascii="Times New Roman" w:eastAsia="Times New Roman" w:hAnsi="Times New Roman" w:cs="Times New Roman"/>
          <w:bCs/>
          <w:color w:val="000000"/>
          <w:sz w:val="20"/>
          <w:szCs w:val="20"/>
        </w:rPr>
        <w:t xml:space="preserve"> R. (2009):</w:t>
      </w:r>
      <w:r w:rsidRPr="002C5EE0">
        <w:rPr>
          <w:rFonts w:ascii="Times New Roman" w:eastAsia="Times New Roman" w:hAnsi="Times New Roman" w:cs="Times New Roman"/>
          <w:color w:val="000000"/>
          <w:sz w:val="20"/>
          <w:szCs w:val="20"/>
        </w:rPr>
        <w:t xml:space="preserve"> Comparison of </w:t>
      </w:r>
      <w:proofErr w:type="spellStart"/>
      <w:r w:rsidRPr="002C5EE0">
        <w:rPr>
          <w:rFonts w:ascii="Times New Roman" w:eastAsia="Times New Roman" w:hAnsi="Times New Roman" w:cs="Times New Roman"/>
          <w:color w:val="000000"/>
          <w:sz w:val="20"/>
          <w:szCs w:val="20"/>
        </w:rPr>
        <w:t>letrozole</w:t>
      </w:r>
      <w:proofErr w:type="spellEnd"/>
      <w:r w:rsidRPr="002C5EE0">
        <w:rPr>
          <w:rFonts w:ascii="Times New Roman" w:eastAsia="Times New Roman" w:hAnsi="Times New Roman" w:cs="Times New Roman"/>
          <w:color w:val="000000"/>
          <w:sz w:val="20"/>
          <w:szCs w:val="20"/>
        </w:rPr>
        <w:t xml:space="preserve"> with continuous </w:t>
      </w:r>
      <w:proofErr w:type="spellStart"/>
      <w:r w:rsidRPr="002C5EE0">
        <w:rPr>
          <w:rFonts w:ascii="Times New Roman" w:eastAsia="Times New Roman" w:hAnsi="Times New Roman" w:cs="Times New Roman"/>
          <w:color w:val="000000"/>
          <w:sz w:val="20"/>
          <w:szCs w:val="20"/>
        </w:rPr>
        <w:t>gonadotropins</w:t>
      </w:r>
      <w:proofErr w:type="spellEnd"/>
      <w:r w:rsidRPr="002C5EE0">
        <w:rPr>
          <w:rFonts w:ascii="Times New Roman" w:eastAsia="Times New Roman" w:hAnsi="Times New Roman" w:cs="Times New Roman"/>
          <w:color w:val="000000"/>
          <w:sz w:val="20"/>
          <w:szCs w:val="20"/>
        </w:rPr>
        <w:t xml:space="preserve"> and </w:t>
      </w:r>
      <w:proofErr w:type="spellStart"/>
      <w:r w:rsidRPr="002C5EE0">
        <w:rPr>
          <w:rFonts w:ascii="Times New Roman" w:eastAsia="Times New Roman" w:hAnsi="Times New Roman" w:cs="Times New Roman"/>
          <w:color w:val="000000"/>
          <w:sz w:val="20"/>
          <w:szCs w:val="20"/>
        </w:rPr>
        <w:t>clomiphenegonadotropin</w:t>
      </w:r>
      <w:proofErr w:type="spellEnd"/>
      <w:r w:rsidRPr="002C5EE0">
        <w:rPr>
          <w:rFonts w:ascii="Times New Roman" w:eastAsia="Times New Roman" w:hAnsi="Times New Roman" w:cs="Times New Roman"/>
          <w:color w:val="000000"/>
          <w:sz w:val="20"/>
          <w:szCs w:val="20"/>
        </w:rPr>
        <w:t xml:space="preserve"> combination for ovulation induction in 1387 PCOS women after </w:t>
      </w:r>
      <w:proofErr w:type="spellStart"/>
      <w:r w:rsidRPr="002C5EE0">
        <w:rPr>
          <w:rFonts w:ascii="Times New Roman" w:eastAsia="Times New Roman" w:hAnsi="Times New Roman" w:cs="Times New Roman"/>
          <w:color w:val="000000"/>
          <w:sz w:val="20"/>
          <w:szCs w:val="20"/>
        </w:rPr>
        <w:t>clomiphene</w:t>
      </w:r>
      <w:proofErr w:type="spellEnd"/>
      <w:r w:rsidRPr="002C5EE0">
        <w:rPr>
          <w:rFonts w:ascii="Times New Roman" w:eastAsia="Times New Roman" w:hAnsi="Times New Roman" w:cs="Times New Roman"/>
          <w:color w:val="000000"/>
          <w:sz w:val="20"/>
          <w:szCs w:val="20"/>
        </w:rPr>
        <w:t xml:space="preserve"> citrate failure: a randomized prospective clinical trial. </w:t>
      </w:r>
      <w:r w:rsidRPr="002C5EE0">
        <w:rPr>
          <w:rFonts w:ascii="Times New Roman" w:eastAsia="Times New Roman" w:hAnsi="Times New Roman" w:cs="Times New Roman"/>
          <w:i/>
          <w:iCs/>
          <w:color w:val="000000"/>
          <w:sz w:val="20"/>
          <w:szCs w:val="20"/>
        </w:rPr>
        <w:t xml:space="preserve">J Assisted </w:t>
      </w:r>
      <w:proofErr w:type="spellStart"/>
      <w:r w:rsidRPr="002C5EE0">
        <w:rPr>
          <w:rFonts w:ascii="Times New Roman" w:eastAsia="Times New Roman" w:hAnsi="Times New Roman" w:cs="Times New Roman"/>
          <w:i/>
          <w:iCs/>
          <w:color w:val="000000"/>
          <w:sz w:val="20"/>
          <w:szCs w:val="20"/>
        </w:rPr>
        <w:t>Reprod</w:t>
      </w:r>
      <w:proofErr w:type="spellEnd"/>
      <w:r w:rsidRPr="002C5EE0">
        <w:rPr>
          <w:rFonts w:ascii="Times New Roman" w:eastAsia="Times New Roman" w:hAnsi="Times New Roman" w:cs="Times New Roman"/>
          <w:i/>
          <w:iCs/>
          <w:color w:val="000000"/>
          <w:sz w:val="20"/>
          <w:szCs w:val="20"/>
        </w:rPr>
        <w:t xml:space="preserve"> Genet,</w:t>
      </w:r>
      <w:r w:rsidRPr="002C5EE0">
        <w:rPr>
          <w:rFonts w:ascii="Times New Roman" w:eastAsia="Times New Roman" w:hAnsi="Times New Roman" w:cs="Times New Roman"/>
          <w:color w:val="000000"/>
          <w:sz w:val="20"/>
          <w:szCs w:val="20"/>
        </w:rPr>
        <w:t xml:space="preserve"> 26(1):19-24.</w:t>
      </w:r>
    </w:p>
    <w:p w:rsidR="004043D1" w:rsidRPr="002C5EE0" w:rsidRDefault="004043D1" w:rsidP="002C5EE0">
      <w:pPr>
        <w:pStyle w:val="ListParagraph"/>
        <w:numPr>
          <w:ilvl w:val="0"/>
          <w:numId w:val="3"/>
        </w:numPr>
        <w:tabs>
          <w:tab w:val="left" w:pos="0"/>
        </w:tabs>
        <w:bidi w:val="0"/>
        <w:snapToGrid w:val="0"/>
        <w:spacing w:after="0" w:line="240" w:lineRule="auto"/>
        <w:ind w:left="425" w:hanging="425"/>
        <w:jc w:val="both"/>
        <w:rPr>
          <w:rFonts w:ascii="Times New Roman" w:eastAsia="Times New Roman" w:hAnsi="Times New Roman" w:cs="Times New Roman"/>
          <w:sz w:val="20"/>
          <w:szCs w:val="20"/>
        </w:rPr>
      </w:pPr>
      <w:r w:rsidRPr="002C5EE0">
        <w:rPr>
          <w:rFonts w:ascii="Times New Roman" w:eastAsia="Times New Roman" w:hAnsi="Times New Roman" w:cs="Times New Roman"/>
          <w:bCs/>
          <w:sz w:val="20"/>
          <w:szCs w:val="20"/>
        </w:rPr>
        <w:t>Gupta J., Mires G. and Khan K. (2005):</w:t>
      </w:r>
      <w:r w:rsidRPr="002C5EE0">
        <w:rPr>
          <w:rFonts w:ascii="Times New Roman" w:eastAsia="Times New Roman" w:hAnsi="Times New Roman" w:cs="Times New Roman"/>
          <w:sz w:val="20"/>
          <w:szCs w:val="20"/>
        </w:rPr>
        <w:t xml:space="preserve"> Core clinical cases in obstetrics and </w:t>
      </w:r>
      <w:proofErr w:type="spellStart"/>
      <w:r w:rsidRPr="002C5EE0">
        <w:rPr>
          <w:rFonts w:ascii="Times New Roman" w:eastAsia="Times New Roman" w:hAnsi="Times New Roman" w:cs="Times New Roman"/>
          <w:sz w:val="20"/>
          <w:szCs w:val="20"/>
        </w:rPr>
        <w:t>gynaecology</w:t>
      </w:r>
      <w:proofErr w:type="spellEnd"/>
      <w:r w:rsidRPr="002C5EE0">
        <w:rPr>
          <w:rFonts w:ascii="Times New Roman" w:eastAsia="Times New Roman" w:hAnsi="Times New Roman" w:cs="Times New Roman"/>
          <w:sz w:val="20"/>
          <w:szCs w:val="20"/>
        </w:rPr>
        <w:t xml:space="preserve">: a </w:t>
      </w:r>
      <w:r w:rsidRPr="002C5EE0">
        <w:rPr>
          <w:rFonts w:ascii="Times New Roman" w:eastAsia="Times New Roman" w:hAnsi="Times New Roman" w:cs="Times New Roman"/>
          <w:sz w:val="20"/>
          <w:szCs w:val="20"/>
        </w:rPr>
        <w:lastRenderedPageBreak/>
        <w:t xml:space="preserve">problem-solving approach. London: </w:t>
      </w:r>
      <w:proofErr w:type="spellStart"/>
      <w:r w:rsidRPr="002C5EE0">
        <w:rPr>
          <w:rFonts w:ascii="Times New Roman" w:eastAsia="Times New Roman" w:hAnsi="Times New Roman" w:cs="Times New Roman"/>
          <w:sz w:val="20"/>
          <w:szCs w:val="20"/>
        </w:rPr>
        <w:t>Hodder</w:t>
      </w:r>
      <w:proofErr w:type="spellEnd"/>
      <w:r w:rsidRPr="002C5EE0">
        <w:rPr>
          <w:rFonts w:ascii="Times New Roman" w:eastAsia="Times New Roman" w:hAnsi="Times New Roman" w:cs="Times New Roman"/>
          <w:sz w:val="20"/>
          <w:szCs w:val="20"/>
        </w:rPr>
        <w:t xml:space="preserve"> Arnold Publication; 152.</w:t>
      </w:r>
    </w:p>
    <w:p w:rsidR="004043D1" w:rsidRPr="002C5EE0" w:rsidRDefault="004043D1" w:rsidP="002C5EE0">
      <w:pPr>
        <w:pStyle w:val="ListParagraph"/>
        <w:numPr>
          <w:ilvl w:val="0"/>
          <w:numId w:val="3"/>
        </w:numPr>
        <w:tabs>
          <w:tab w:val="left" w:pos="0"/>
        </w:tabs>
        <w:bidi w:val="0"/>
        <w:snapToGrid w:val="0"/>
        <w:spacing w:after="0" w:line="240" w:lineRule="auto"/>
        <w:ind w:left="425" w:hanging="425"/>
        <w:jc w:val="both"/>
        <w:rPr>
          <w:rFonts w:ascii="Times New Roman" w:eastAsia="Times New Roman" w:hAnsi="Times New Roman" w:cs="Times New Roman"/>
          <w:sz w:val="20"/>
          <w:szCs w:val="20"/>
        </w:rPr>
      </w:pPr>
      <w:r w:rsidRPr="002C5EE0">
        <w:rPr>
          <w:rFonts w:ascii="Times New Roman" w:eastAsia="Times New Roman" w:hAnsi="Times New Roman" w:cs="Times New Roman"/>
          <w:bCs/>
          <w:sz w:val="20"/>
          <w:szCs w:val="20"/>
          <w:lang w:bidi="ar-EG"/>
        </w:rPr>
        <w:t xml:space="preserve">Homburg R. (2005): </w:t>
      </w:r>
      <w:proofErr w:type="spellStart"/>
      <w:r w:rsidRPr="002C5EE0">
        <w:rPr>
          <w:rFonts w:ascii="Times New Roman" w:eastAsia="Times New Roman" w:hAnsi="Times New Roman" w:cs="Times New Roman"/>
          <w:sz w:val="20"/>
          <w:szCs w:val="20"/>
          <w:lang w:bidi="ar-EG"/>
        </w:rPr>
        <w:t>Clomiphene</w:t>
      </w:r>
      <w:proofErr w:type="spellEnd"/>
      <w:r w:rsidRPr="002C5EE0">
        <w:rPr>
          <w:rFonts w:ascii="Times New Roman" w:eastAsia="Times New Roman" w:hAnsi="Times New Roman" w:cs="Times New Roman"/>
          <w:sz w:val="20"/>
          <w:szCs w:val="20"/>
          <w:lang w:bidi="ar-EG"/>
        </w:rPr>
        <w:t xml:space="preserve"> citrate- end of an era a mini- review. </w:t>
      </w:r>
      <w:r w:rsidRPr="002C5EE0">
        <w:rPr>
          <w:rFonts w:ascii="Times New Roman" w:eastAsia="Times New Roman" w:hAnsi="Times New Roman" w:cs="Times New Roman"/>
          <w:i/>
          <w:iCs/>
          <w:sz w:val="20"/>
          <w:szCs w:val="20"/>
          <w:lang w:bidi="ar-EG"/>
        </w:rPr>
        <w:t xml:space="preserve">Human </w:t>
      </w:r>
      <w:proofErr w:type="spellStart"/>
      <w:r w:rsidRPr="002C5EE0">
        <w:rPr>
          <w:rFonts w:ascii="Times New Roman" w:eastAsia="Times New Roman" w:hAnsi="Times New Roman" w:cs="Times New Roman"/>
          <w:i/>
          <w:iCs/>
          <w:sz w:val="20"/>
          <w:szCs w:val="20"/>
          <w:lang w:bidi="ar-EG"/>
        </w:rPr>
        <w:t>Reprod</w:t>
      </w:r>
      <w:proofErr w:type="spellEnd"/>
      <w:r w:rsidRPr="002C5EE0">
        <w:rPr>
          <w:rFonts w:ascii="Times New Roman" w:eastAsia="Times New Roman" w:hAnsi="Times New Roman" w:cs="Times New Roman"/>
          <w:i/>
          <w:iCs/>
          <w:sz w:val="20"/>
          <w:szCs w:val="20"/>
          <w:lang w:bidi="ar-EG"/>
        </w:rPr>
        <w:t>,</w:t>
      </w:r>
      <w:r w:rsidRPr="002C5EE0">
        <w:rPr>
          <w:rFonts w:ascii="Times New Roman" w:eastAsia="Times New Roman" w:hAnsi="Times New Roman" w:cs="Times New Roman"/>
          <w:sz w:val="20"/>
          <w:szCs w:val="20"/>
          <w:lang w:bidi="ar-EG"/>
        </w:rPr>
        <w:t xml:space="preserve"> 20:2043-2051.</w:t>
      </w:r>
    </w:p>
    <w:p w:rsidR="004043D1" w:rsidRPr="002C5EE0" w:rsidRDefault="004043D1" w:rsidP="002C5EE0">
      <w:pPr>
        <w:pStyle w:val="ListParagraph"/>
        <w:numPr>
          <w:ilvl w:val="0"/>
          <w:numId w:val="3"/>
        </w:numPr>
        <w:tabs>
          <w:tab w:val="left" w:pos="0"/>
        </w:tabs>
        <w:autoSpaceDE w:val="0"/>
        <w:autoSpaceDN w:val="0"/>
        <w:bidi w:val="0"/>
        <w:adjustRightInd w:val="0"/>
        <w:snapToGrid w:val="0"/>
        <w:spacing w:after="0" w:line="240" w:lineRule="auto"/>
        <w:ind w:left="425" w:hanging="425"/>
        <w:jc w:val="both"/>
        <w:rPr>
          <w:rFonts w:ascii="Times New Roman" w:eastAsia="Times New Roman" w:hAnsi="Times New Roman" w:cs="Times New Roman"/>
          <w:color w:val="000000"/>
          <w:sz w:val="20"/>
          <w:szCs w:val="20"/>
        </w:rPr>
      </w:pPr>
      <w:proofErr w:type="spellStart"/>
      <w:r w:rsidRPr="002C5EE0">
        <w:rPr>
          <w:rFonts w:ascii="Times New Roman" w:hAnsi="Times New Roman" w:cs="Times New Roman"/>
          <w:bCs/>
          <w:sz w:val="20"/>
          <w:szCs w:val="20"/>
          <w:lang w:bidi="ar-EG"/>
        </w:rPr>
        <w:t>Karimi</w:t>
      </w:r>
      <w:proofErr w:type="spellEnd"/>
      <w:r w:rsidRPr="002C5EE0">
        <w:rPr>
          <w:rFonts w:ascii="Times New Roman" w:hAnsi="Times New Roman" w:cs="Times New Roman"/>
          <w:bCs/>
          <w:sz w:val="20"/>
          <w:szCs w:val="20"/>
          <w:lang w:bidi="ar-EG"/>
        </w:rPr>
        <w:t xml:space="preserve"> Z.M., </w:t>
      </w:r>
      <w:proofErr w:type="spellStart"/>
      <w:r w:rsidRPr="002C5EE0">
        <w:rPr>
          <w:rFonts w:ascii="Times New Roman" w:hAnsi="Times New Roman" w:cs="Times New Roman"/>
          <w:bCs/>
          <w:sz w:val="20"/>
          <w:szCs w:val="20"/>
          <w:lang w:bidi="ar-EG"/>
        </w:rPr>
        <w:t>Ghaforzadeh</w:t>
      </w:r>
      <w:proofErr w:type="spellEnd"/>
      <w:r w:rsidRPr="002C5EE0">
        <w:rPr>
          <w:rFonts w:ascii="Times New Roman" w:hAnsi="Times New Roman" w:cs="Times New Roman"/>
          <w:bCs/>
          <w:sz w:val="20"/>
          <w:szCs w:val="20"/>
          <w:lang w:bidi="ar-EG"/>
        </w:rPr>
        <w:t xml:space="preserve"> M., </w:t>
      </w:r>
      <w:proofErr w:type="spellStart"/>
      <w:r w:rsidRPr="002C5EE0">
        <w:rPr>
          <w:rFonts w:ascii="Times New Roman" w:hAnsi="Times New Roman" w:cs="Times New Roman"/>
          <w:bCs/>
          <w:sz w:val="20"/>
          <w:szCs w:val="20"/>
          <w:lang w:bidi="ar-EG"/>
        </w:rPr>
        <w:t>Karimzadeh</w:t>
      </w:r>
      <w:proofErr w:type="spellEnd"/>
      <w:r w:rsidRPr="002C5EE0">
        <w:rPr>
          <w:rFonts w:ascii="Times New Roman" w:hAnsi="Times New Roman" w:cs="Times New Roman"/>
          <w:bCs/>
          <w:sz w:val="20"/>
          <w:szCs w:val="20"/>
          <w:lang w:bidi="ar-EG"/>
        </w:rPr>
        <w:t xml:space="preserve"> M.A. and </w:t>
      </w:r>
      <w:proofErr w:type="spellStart"/>
      <w:r w:rsidRPr="002C5EE0">
        <w:rPr>
          <w:rFonts w:ascii="Times New Roman" w:hAnsi="Times New Roman" w:cs="Times New Roman"/>
          <w:bCs/>
          <w:sz w:val="20"/>
          <w:szCs w:val="20"/>
          <w:lang w:bidi="ar-EG"/>
        </w:rPr>
        <w:t>Bokaei</w:t>
      </w:r>
      <w:proofErr w:type="spellEnd"/>
      <w:r w:rsidRPr="002C5EE0">
        <w:rPr>
          <w:rFonts w:ascii="Times New Roman" w:hAnsi="Times New Roman" w:cs="Times New Roman"/>
          <w:bCs/>
          <w:sz w:val="20"/>
          <w:szCs w:val="20"/>
          <w:lang w:bidi="ar-EG"/>
        </w:rPr>
        <w:t xml:space="preserve"> M. (2002): </w:t>
      </w:r>
      <w:r w:rsidRPr="002C5EE0">
        <w:rPr>
          <w:rFonts w:ascii="Times New Roman" w:hAnsi="Times New Roman" w:cs="Times New Roman"/>
          <w:sz w:val="20"/>
          <w:szCs w:val="20"/>
          <w:lang w:bidi="ar-EG"/>
        </w:rPr>
        <w:t xml:space="preserve">Comparison between effect of adding </w:t>
      </w:r>
      <w:proofErr w:type="spellStart"/>
      <w:r w:rsidRPr="002C5EE0">
        <w:rPr>
          <w:rFonts w:ascii="Times New Roman" w:hAnsi="Times New Roman" w:cs="Times New Roman"/>
          <w:sz w:val="20"/>
          <w:szCs w:val="20"/>
          <w:lang w:bidi="ar-EG"/>
        </w:rPr>
        <w:t>tamoxifen</w:t>
      </w:r>
      <w:proofErr w:type="spellEnd"/>
      <w:r w:rsidRPr="002C5EE0">
        <w:rPr>
          <w:rFonts w:ascii="Times New Roman" w:hAnsi="Times New Roman" w:cs="Times New Roman"/>
          <w:sz w:val="20"/>
          <w:szCs w:val="20"/>
          <w:lang w:bidi="ar-EG"/>
        </w:rPr>
        <w:t xml:space="preserve"> to </w:t>
      </w:r>
      <w:proofErr w:type="spellStart"/>
      <w:r w:rsidRPr="002C5EE0">
        <w:rPr>
          <w:rFonts w:ascii="Times New Roman" w:hAnsi="Times New Roman" w:cs="Times New Roman"/>
          <w:sz w:val="20"/>
          <w:szCs w:val="20"/>
          <w:lang w:bidi="ar-EG"/>
        </w:rPr>
        <w:t>clomiphene</w:t>
      </w:r>
      <w:proofErr w:type="spellEnd"/>
      <w:r w:rsidRPr="002C5EE0">
        <w:rPr>
          <w:rFonts w:ascii="Times New Roman" w:hAnsi="Times New Roman" w:cs="Times New Roman"/>
          <w:sz w:val="20"/>
          <w:szCs w:val="20"/>
          <w:lang w:bidi="ar-EG"/>
        </w:rPr>
        <w:t xml:space="preserve"> and only </w:t>
      </w:r>
      <w:proofErr w:type="spellStart"/>
      <w:r w:rsidRPr="002C5EE0">
        <w:rPr>
          <w:rFonts w:ascii="Times New Roman" w:hAnsi="Times New Roman" w:cs="Times New Roman"/>
          <w:sz w:val="20"/>
          <w:szCs w:val="20"/>
          <w:lang w:bidi="ar-EG"/>
        </w:rPr>
        <w:t>clomiphene</w:t>
      </w:r>
      <w:proofErr w:type="spellEnd"/>
      <w:r w:rsidRPr="002C5EE0">
        <w:rPr>
          <w:rFonts w:ascii="Times New Roman" w:hAnsi="Times New Roman" w:cs="Times New Roman"/>
          <w:sz w:val="20"/>
          <w:szCs w:val="20"/>
          <w:lang w:bidi="ar-EG"/>
        </w:rPr>
        <w:t xml:space="preserve"> for infertility </w:t>
      </w:r>
      <w:proofErr w:type="spellStart"/>
      <w:r w:rsidRPr="002C5EE0">
        <w:rPr>
          <w:rFonts w:ascii="Times New Roman" w:hAnsi="Times New Roman" w:cs="Times New Roman"/>
          <w:sz w:val="20"/>
          <w:szCs w:val="20"/>
          <w:lang w:bidi="ar-EG"/>
        </w:rPr>
        <w:t>managment</w:t>
      </w:r>
      <w:proofErr w:type="spellEnd"/>
      <w:r w:rsidRPr="002C5EE0">
        <w:rPr>
          <w:rFonts w:ascii="Times New Roman" w:hAnsi="Times New Roman" w:cs="Times New Roman"/>
          <w:sz w:val="20"/>
          <w:szCs w:val="20"/>
          <w:lang w:bidi="ar-EG"/>
        </w:rPr>
        <w:t xml:space="preserve"> in </w:t>
      </w:r>
      <w:r w:rsidRPr="002C5EE0">
        <w:rPr>
          <w:rFonts w:ascii="Times New Roman" w:eastAsia="Times New Roman" w:hAnsi="Times New Roman" w:cs="Times New Roman"/>
          <w:sz w:val="20"/>
          <w:szCs w:val="20"/>
          <w:lang w:val="en-GB"/>
        </w:rPr>
        <w:t>PCOS</w:t>
      </w:r>
      <w:r w:rsidRPr="002C5EE0">
        <w:rPr>
          <w:rFonts w:ascii="Times New Roman" w:hAnsi="Times New Roman" w:cs="Times New Roman"/>
          <w:sz w:val="20"/>
          <w:szCs w:val="20"/>
          <w:lang w:bidi="ar-EG"/>
        </w:rPr>
        <w:t>-patients (At infertility</w:t>
      </w:r>
      <w:r w:rsidR="002C5EE0">
        <w:rPr>
          <w:rFonts w:ascii="Times New Roman" w:hAnsi="Times New Roman" w:cs="Times New Roman"/>
          <w:sz w:val="20"/>
          <w:szCs w:val="20"/>
          <w:lang w:bidi="ar-EG"/>
        </w:rPr>
        <w:t xml:space="preserve"> </w:t>
      </w:r>
      <w:r w:rsidR="004B07CF" w:rsidRPr="002C5EE0">
        <w:rPr>
          <w:rFonts w:ascii="Times New Roman" w:hAnsi="Times New Roman" w:cs="Times New Roman"/>
          <w:sz w:val="20"/>
          <w:szCs w:val="20"/>
          <w:lang w:bidi="ar-EG"/>
        </w:rPr>
        <w:t xml:space="preserve">&amp; </w:t>
      </w:r>
      <w:proofErr w:type="spellStart"/>
      <w:r w:rsidRPr="002C5EE0">
        <w:rPr>
          <w:rFonts w:ascii="Times New Roman" w:hAnsi="Times New Roman" w:cs="Times New Roman"/>
          <w:sz w:val="20"/>
          <w:szCs w:val="20"/>
          <w:lang w:bidi="ar-EG"/>
        </w:rPr>
        <w:t>Bahman</w:t>
      </w:r>
      <w:proofErr w:type="spellEnd"/>
      <w:r w:rsidRPr="002C5EE0">
        <w:rPr>
          <w:rFonts w:ascii="Times New Roman" w:hAnsi="Times New Roman" w:cs="Times New Roman"/>
          <w:sz w:val="20"/>
          <w:szCs w:val="20"/>
          <w:lang w:bidi="ar-EG"/>
        </w:rPr>
        <w:t xml:space="preserve"> clinic, 2001-2003, Yazd, Iran). </w:t>
      </w:r>
      <w:r w:rsidRPr="002C5EE0">
        <w:rPr>
          <w:rFonts w:ascii="Times New Roman" w:hAnsi="Times New Roman" w:cs="Times New Roman"/>
          <w:i/>
          <w:iCs/>
          <w:sz w:val="20"/>
          <w:szCs w:val="20"/>
          <w:lang w:bidi="ar-EG"/>
        </w:rPr>
        <w:t xml:space="preserve">Iran J </w:t>
      </w:r>
      <w:proofErr w:type="spellStart"/>
      <w:r w:rsidRPr="002C5EE0">
        <w:rPr>
          <w:rFonts w:ascii="Times New Roman" w:hAnsi="Times New Roman" w:cs="Times New Roman"/>
          <w:i/>
          <w:iCs/>
          <w:sz w:val="20"/>
          <w:szCs w:val="20"/>
          <w:lang w:bidi="ar-EG"/>
        </w:rPr>
        <w:t>Obste</w:t>
      </w:r>
      <w:r w:rsidR="002C5EE0" w:rsidRPr="002C5EE0">
        <w:rPr>
          <w:rFonts w:ascii="Times New Roman" w:hAnsi="Times New Roman" w:cs="Times New Roman"/>
          <w:i/>
          <w:iCs/>
          <w:sz w:val="20"/>
          <w:szCs w:val="20"/>
          <w:lang w:bidi="ar-EG"/>
        </w:rPr>
        <w:t>t</w:t>
      </w:r>
      <w:proofErr w:type="spellEnd"/>
      <w:r w:rsidR="002C5EE0">
        <w:rPr>
          <w:rFonts w:ascii="Times New Roman" w:hAnsi="Times New Roman" w:cs="Times New Roman"/>
          <w:i/>
          <w:iCs/>
          <w:sz w:val="20"/>
          <w:szCs w:val="20"/>
          <w:lang w:bidi="ar-EG"/>
        </w:rPr>
        <w:t xml:space="preserve"> </w:t>
      </w:r>
      <w:proofErr w:type="spellStart"/>
      <w:r w:rsidR="002C5EE0" w:rsidRPr="002C5EE0">
        <w:rPr>
          <w:rFonts w:ascii="Times New Roman" w:hAnsi="Times New Roman" w:cs="Times New Roman"/>
          <w:i/>
          <w:iCs/>
          <w:sz w:val="20"/>
          <w:szCs w:val="20"/>
          <w:lang w:bidi="ar-EG"/>
        </w:rPr>
        <w:t>G</w:t>
      </w:r>
      <w:r w:rsidRPr="002C5EE0">
        <w:rPr>
          <w:rFonts w:ascii="Times New Roman" w:hAnsi="Times New Roman" w:cs="Times New Roman"/>
          <w:i/>
          <w:iCs/>
          <w:sz w:val="20"/>
          <w:szCs w:val="20"/>
          <w:lang w:bidi="ar-EG"/>
        </w:rPr>
        <w:t>yneco</w:t>
      </w:r>
      <w:r w:rsidR="002C5EE0" w:rsidRPr="002C5EE0">
        <w:rPr>
          <w:rFonts w:ascii="Times New Roman" w:hAnsi="Times New Roman" w:cs="Times New Roman"/>
          <w:i/>
          <w:iCs/>
          <w:sz w:val="20"/>
          <w:szCs w:val="20"/>
          <w:lang w:bidi="ar-EG"/>
        </w:rPr>
        <w:t>l</w:t>
      </w:r>
      <w:proofErr w:type="spellEnd"/>
      <w:r w:rsidR="002C5EE0">
        <w:rPr>
          <w:rFonts w:ascii="Times New Roman" w:hAnsi="Times New Roman" w:cs="Times New Roman"/>
          <w:i/>
          <w:iCs/>
          <w:sz w:val="20"/>
          <w:szCs w:val="20"/>
          <w:lang w:bidi="ar-EG"/>
        </w:rPr>
        <w:t xml:space="preserve"> </w:t>
      </w:r>
      <w:proofErr w:type="spellStart"/>
      <w:r w:rsidR="002C5EE0" w:rsidRPr="002C5EE0">
        <w:rPr>
          <w:rFonts w:ascii="Times New Roman" w:hAnsi="Times New Roman" w:cs="Times New Roman"/>
          <w:i/>
          <w:iCs/>
          <w:sz w:val="20"/>
          <w:szCs w:val="20"/>
          <w:lang w:bidi="ar-EG"/>
        </w:rPr>
        <w:t>I</w:t>
      </w:r>
      <w:r w:rsidRPr="002C5EE0">
        <w:rPr>
          <w:rFonts w:ascii="Times New Roman" w:hAnsi="Times New Roman" w:cs="Times New Roman"/>
          <w:i/>
          <w:iCs/>
          <w:sz w:val="20"/>
          <w:szCs w:val="20"/>
          <w:lang w:bidi="ar-EG"/>
        </w:rPr>
        <w:t>nfertil</w:t>
      </w:r>
      <w:proofErr w:type="spellEnd"/>
      <w:r w:rsidRPr="002C5EE0">
        <w:rPr>
          <w:rFonts w:ascii="Times New Roman" w:hAnsi="Times New Roman" w:cs="Times New Roman"/>
          <w:i/>
          <w:iCs/>
          <w:sz w:val="20"/>
          <w:szCs w:val="20"/>
          <w:lang w:bidi="ar-EG"/>
        </w:rPr>
        <w:t>,</w:t>
      </w:r>
      <w:r w:rsidRPr="002C5EE0">
        <w:rPr>
          <w:rFonts w:ascii="Times New Roman" w:hAnsi="Times New Roman" w:cs="Times New Roman"/>
          <w:sz w:val="20"/>
          <w:szCs w:val="20"/>
          <w:lang w:bidi="ar-EG"/>
        </w:rPr>
        <w:t xml:space="preserve"> 5(2):10-14.</w:t>
      </w:r>
    </w:p>
    <w:p w:rsidR="004043D1" w:rsidRPr="002C5EE0" w:rsidRDefault="004043D1" w:rsidP="002C5EE0">
      <w:pPr>
        <w:pStyle w:val="ListParagraph"/>
        <w:numPr>
          <w:ilvl w:val="0"/>
          <w:numId w:val="3"/>
        </w:numPr>
        <w:tabs>
          <w:tab w:val="left" w:pos="0"/>
        </w:tabs>
        <w:autoSpaceDE w:val="0"/>
        <w:autoSpaceDN w:val="0"/>
        <w:bidi w:val="0"/>
        <w:adjustRightInd w:val="0"/>
        <w:snapToGrid w:val="0"/>
        <w:spacing w:after="0" w:line="240" w:lineRule="auto"/>
        <w:ind w:left="425" w:hanging="425"/>
        <w:jc w:val="both"/>
        <w:rPr>
          <w:rFonts w:ascii="Times New Roman" w:eastAsia="Times New Roman" w:hAnsi="Times New Roman" w:cs="Times New Roman"/>
          <w:bCs/>
          <w:color w:val="000000"/>
          <w:sz w:val="20"/>
          <w:szCs w:val="20"/>
        </w:rPr>
      </w:pPr>
      <w:proofErr w:type="spellStart"/>
      <w:r w:rsidRPr="002C5EE0">
        <w:rPr>
          <w:rFonts w:ascii="Times New Roman" w:hAnsi="Times New Roman" w:cs="Times New Roman"/>
          <w:bCs/>
          <w:sz w:val="20"/>
          <w:szCs w:val="20"/>
          <w:lang w:bidi="ar-EG"/>
        </w:rPr>
        <w:t>Legro</w:t>
      </w:r>
      <w:proofErr w:type="spellEnd"/>
      <w:r w:rsidRPr="002C5EE0">
        <w:rPr>
          <w:rFonts w:ascii="Times New Roman" w:hAnsi="Times New Roman" w:cs="Times New Roman"/>
          <w:bCs/>
          <w:sz w:val="20"/>
          <w:szCs w:val="20"/>
          <w:lang w:bidi="ar-EG"/>
        </w:rPr>
        <w:t xml:space="preserve"> R.S., Barnhart H.X., </w:t>
      </w:r>
      <w:proofErr w:type="spellStart"/>
      <w:r w:rsidRPr="002C5EE0">
        <w:rPr>
          <w:rFonts w:ascii="Times New Roman" w:hAnsi="Times New Roman" w:cs="Times New Roman"/>
          <w:bCs/>
          <w:sz w:val="20"/>
          <w:szCs w:val="20"/>
          <w:lang w:bidi="ar-EG"/>
        </w:rPr>
        <w:t>Schlaff</w:t>
      </w:r>
      <w:proofErr w:type="spellEnd"/>
      <w:r w:rsidRPr="002C5EE0">
        <w:rPr>
          <w:rFonts w:ascii="Times New Roman" w:hAnsi="Times New Roman" w:cs="Times New Roman"/>
          <w:bCs/>
          <w:sz w:val="20"/>
          <w:szCs w:val="20"/>
          <w:lang w:bidi="ar-EG"/>
        </w:rPr>
        <w:t xml:space="preserve"> W.D., Carr B.R., Diamond M.P., Carson S.A., </w:t>
      </w:r>
      <w:proofErr w:type="spellStart"/>
      <w:r w:rsidRPr="002C5EE0">
        <w:rPr>
          <w:rFonts w:ascii="Times New Roman" w:hAnsi="Times New Roman" w:cs="Times New Roman"/>
          <w:bCs/>
          <w:sz w:val="20"/>
          <w:szCs w:val="20"/>
          <w:lang w:bidi="ar-EG"/>
        </w:rPr>
        <w:t>Steinkampf</w:t>
      </w:r>
      <w:proofErr w:type="spellEnd"/>
      <w:r w:rsidRPr="002C5EE0">
        <w:rPr>
          <w:rFonts w:ascii="Times New Roman" w:hAnsi="Times New Roman" w:cs="Times New Roman"/>
          <w:bCs/>
          <w:sz w:val="20"/>
          <w:szCs w:val="20"/>
          <w:lang w:bidi="ar-EG"/>
        </w:rPr>
        <w:t xml:space="preserve"> M.P., </w:t>
      </w:r>
      <w:proofErr w:type="spellStart"/>
      <w:r w:rsidRPr="002C5EE0">
        <w:rPr>
          <w:rFonts w:ascii="Times New Roman" w:hAnsi="Times New Roman" w:cs="Times New Roman"/>
          <w:bCs/>
          <w:sz w:val="20"/>
          <w:szCs w:val="20"/>
          <w:lang w:bidi="ar-EG"/>
        </w:rPr>
        <w:t>Coutifaris</w:t>
      </w:r>
      <w:proofErr w:type="spellEnd"/>
      <w:r w:rsidRPr="002C5EE0">
        <w:rPr>
          <w:rFonts w:ascii="Times New Roman" w:hAnsi="Times New Roman" w:cs="Times New Roman"/>
          <w:bCs/>
          <w:sz w:val="20"/>
          <w:szCs w:val="20"/>
          <w:lang w:bidi="ar-EG"/>
        </w:rPr>
        <w:t xml:space="preserve"> C., McGovern P.G., </w:t>
      </w:r>
      <w:proofErr w:type="spellStart"/>
      <w:r w:rsidRPr="002C5EE0">
        <w:rPr>
          <w:rFonts w:ascii="Times New Roman" w:hAnsi="Times New Roman" w:cs="Times New Roman"/>
          <w:bCs/>
          <w:sz w:val="20"/>
          <w:szCs w:val="20"/>
          <w:lang w:bidi="ar-EG"/>
        </w:rPr>
        <w:t>Cataldo</w:t>
      </w:r>
      <w:proofErr w:type="spellEnd"/>
      <w:r w:rsidRPr="002C5EE0">
        <w:rPr>
          <w:rFonts w:ascii="Times New Roman" w:hAnsi="Times New Roman" w:cs="Times New Roman"/>
          <w:bCs/>
          <w:sz w:val="20"/>
          <w:szCs w:val="20"/>
          <w:lang w:bidi="ar-EG"/>
        </w:rPr>
        <w:t xml:space="preserve"> N.A., </w:t>
      </w:r>
      <w:proofErr w:type="spellStart"/>
      <w:r w:rsidRPr="002C5EE0">
        <w:rPr>
          <w:rFonts w:ascii="Times New Roman" w:hAnsi="Times New Roman" w:cs="Times New Roman"/>
          <w:bCs/>
          <w:sz w:val="20"/>
          <w:szCs w:val="20"/>
          <w:lang w:bidi="ar-EG"/>
        </w:rPr>
        <w:t>Gosman</w:t>
      </w:r>
      <w:proofErr w:type="spellEnd"/>
      <w:r w:rsidRPr="002C5EE0">
        <w:rPr>
          <w:rFonts w:ascii="Times New Roman" w:hAnsi="Times New Roman" w:cs="Times New Roman"/>
          <w:bCs/>
          <w:sz w:val="20"/>
          <w:szCs w:val="20"/>
          <w:lang w:bidi="ar-EG"/>
        </w:rPr>
        <w:t xml:space="preserve"> G.G., </w:t>
      </w:r>
      <w:proofErr w:type="spellStart"/>
      <w:r w:rsidRPr="002C5EE0">
        <w:rPr>
          <w:rFonts w:ascii="Times New Roman" w:hAnsi="Times New Roman" w:cs="Times New Roman"/>
          <w:bCs/>
          <w:sz w:val="20"/>
          <w:szCs w:val="20"/>
          <w:lang w:bidi="ar-EG"/>
        </w:rPr>
        <w:t>Nestler</w:t>
      </w:r>
      <w:proofErr w:type="spellEnd"/>
      <w:r w:rsidRPr="002C5EE0">
        <w:rPr>
          <w:rFonts w:ascii="Times New Roman" w:hAnsi="Times New Roman" w:cs="Times New Roman"/>
          <w:bCs/>
          <w:sz w:val="20"/>
          <w:szCs w:val="20"/>
          <w:lang w:bidi="ar-EG"/>
        </w:rPr>
        <w:t xml:space="preserve"> J.E., </w:t>
      </w:r>
      <w:proofErr w:type="spellStart"/>
      <w:r w:rsidRPr="002C5EE0">
        <w:rPr>
          <w:rFonts w:ascii="Times New Roman" w:hAnsi="Times New Roman" w:cs="Times New Roman"/>
          <w:bCs/>
          <w:sz w:val="20"/>
          <w:szCs w:val="20"/>
          <w:lang w:bidi="ar-EG"/>
        </w:rPr>
        <w:t>Giudice</w:t>
      </w:r>
      <w:proofErr w:type="spellEnd"/>
      <w:r w:rsidRPr="002C5EE0">
        <w:rPr>
          <w:rFonts w:ascii="Times New Roman" w:hAnsi="Times New Roman" w:cs="Times New Roman"/>
          <w:bCs/>
          <w:sz w:val="20"/>
          <w:szCs w:val="20"/>
          <w:lang w:bidi="ar-EG"/>
        </w:rPr>
        <w:t xml:space="preserve"> L.C., </w:t>
      </w:r>
      <w:proofErr w:type="spellStart"/>
      <w:r w:rsidRPr="002C5EE0">
        <w:rPr>
          <w:rFonts w:ascii="Times New Roman" w:hAnsi="Times New Roman" w:cs="Times New Roman"/>
          <w:bCs/>
          <w:sz w:val="20"/>
          <w:szCs w:val="20"/>
          <w:lang w:bidi="ar-EG"/>
        </w:rPr>
        <w:t>Leppert</w:t>
      </w:r>
      <w:proofErr w:type="spellEnd"/>
      <w:r w:rsidRPr="002C5EE0">
        <w:rPr>
          <w:rFonts w:ascii="Times New Roman" w:hAnsi="Times New Roman" w:cs="Times New Roman"/>
          <w:bCs/>
          <w:sz w:val="20"/>
          <w:szCs w:val="20"/>
          <w:lang w:bidi="ar-EG"/>
        </w:rPr>
        <w:t xml:space="preserve"> P.C. and Myers E.R. (2007): </w:t>
      </w:r>
      <w:proofErr w:type="spellStart"/>
      <w:r w:rsidRPr="002C5EE0">
        <w:rPr>
          <w:rFonts w:ascii="Times New Roman" w:hAnsi="Times New Roman" w:cs="Times New Roman"/>
          <w:sz w:val="20"/>
          <w:szCs w:val="20"/>
          <w:lang w:bidi="ar-EG"/>
        </w:rPr>
        <w:t>Clomiphene</w:t>
      </w:r>
      <w:proofErr w:type="spellEnd"/>
      <w:r w:rsidRPr="002C5EE0">
        <w:rPr>
          <w:rFonts w:ascii="Times New Roman" w:hAnsi="Times New Roman" w:cs="Times New Roman"/>
          <w:sz w:val="20"/>
          <w:szCs w:val="20"/>
          <w:lang w:bidi="ar-EG"/>
        </w:rPr>
        <w:t xml:space="preserve">, </w:t>
      </w:r>
      <w:proofErr w:type="spellStart"/>
      <w:r w:rsidRPr="002C5EE0">
        <w:rPr>
          <w:rFonts w:ascii="Times New Roman" w:hAnsi="Times New Roman" w:cs="Times New Roman"/>
          <w:sz w:val="20"/>
          <w:szCs w:val="20"/>
          <w:lang w:bidi="ar-EG"/>
        </w:rPr>
        <w:t>metformin</w:t>
      </w:r>
      <w:proofErr w:type="spellEnd"/>
      <w:r w:rsidRPr="002C5EE0">
        <w:rPr>
          <w:rFonts w:ascii="Times New Roman" w:hAnsi="Times New Roman" w:cs="Times New Roman"/>
          <w:sz w:val="20"/>
          <w:szCs w:val="20"/>
          <w:lang w:bidi="ar-EG"/>
        </w:rPr>
        <w:t xml:space="preserve">, or both for infertility in the polycystic ovary syndrome. N </w:t>
      </w:r>
      <w:proofErr w:type="spellStart"/>
      <w:r w:rsidRPr="002C5EE0">
        <w:rPr>
          <w:rFonts w:ascii="Times New Roman" w:hAnsi="Times New Roman" w:cs="Times New Roman"/>
          <w:sz w:val="20"/>
          <w:szCs w:val="20"/>
          <w:lang w:bidi="ar-EG"/>
        </w:rPr>
        <w:t>Engl</w:t>
      </w:r>
      <w:proofErr w:type="spellEnd"/>
      <w:r w:rsidRPr="002C5EE0">
        <w:rPr>
          <w:rFonts w:ascii="Times New Roman" w:hAnsi="Times New Roman" w:cs="Times New Roman"/>
          <w:sz w:val="20"/>
          <w:szCs w:val="20"/>
          <w:lang w:bidi="ar-EG"/>
        </w:rPr>
        <w:t xml:space="preserve"> J Med, 356(6):551-566.</w:t>
      </w:r>
    </w:p>
    <w:p w:rsidR="004043D1" w:rsidRPr="002C5EE0" w:rsidRDefault="004043D1" w:rsidP="002C5EE0">
      <w:pPr>
        <w:pStyle w:val="ListParagraph"/>
        <w:numPr>
          <w:ilvl w:val="0"/>
          <w:numId w:val="3"/>
        </w:numPr>
        <w:tabs>
          <w:tab w:val="left" w:pos="0"/>
        </w:tabs>
        <w:autoSpaceDE w:val="0"/>
        <w:autoSpaceDN w:val="0"/>
        <w:bidi w:val="0"/>
        <w:adjustRightInd w:val="0"/>
        <w:snapToGrid w:val="0"/>
        <w:spacing w:after="0" w:line="240" w:lineRule="auto"/>
        <w:ind w:left="425" w:hanging="425"/>
        <w:jc w:val="both"/>
        <w:rPr>
          <w:rFonts w:ascii="Times New Roman" w:eastAsia="Times New Roman" w:hAnsi="Times New Roman" w:cs="Times New Roman"/>
          <w:color w:val="000000"/>
          <w:sz w:val="20"/>
          <w:szCs w:val="20"/>
        </w:rPr>
      </w:pPr>
      <w:proofErr w:type="spellStart"/>
      <w:r w:rsidRPr="002C5EE0">
        <w:rPr>
          <w:rFonts w:ascii="Times New Roman" w:hAnsi="Times New Roman" w:cs="Times New Roman"/>
          <w:bCs/>
          <w:sz w:val="20"/>
          <w:szCs w:val="20"/>
          <w:lang w:bidi="ar-EG"/>
        </w:rPr>
        <w:t>Mitwally</w:t>
      </w:r>
      <w:proofErr w:type="spellEnd"/>
      <w:r w:rsidRPr="002C5EE0">
        <w:rPr>
          <w:rFonts w:ascii="Times New Roman" w:hAnsi="Times New Roman" w:cs="Times New Roman"/>
          <w:bCs/>
          <w:sz w:val="20"/>
          <w:szCs w:val="20"/>
          <w:lang w:bidi="ar-EG"/>
        </w:rPr>
        <w:t xml:space="preserve"> M.F. and Casper R.F. (2003):</w:t>
      </w:r>
      <w:r w:rsidRPr="002C5EE0">
        <w:rPr>
          <w:rFonts w:ascii="Times New Roman" w:hAnsi="Times New Roman" w:cs="Times New Roman"/>
          <w:sz w:val="20"/>
          <w:szCs w:val="20"/>
          <w:lang w:bidi="ar-EG"/>
        </w:rPr>
        <w:t xml:space="preserve"> </w:t>
      </w:r>
      <w:proofErr w:type="spellStart"/>
      <w:r w:rsidRPr="002C5EE0">
        <w:rPr>
          <w:rFonts w:ascii="Times New Roman" w:hAnsi="Times New Roman" w:cs="Times New Roman"/>
          <w:sz w:val="20"/>
          <w:szCs w:val="20"/>
          <w:lang w:bidi="ar-EG"/>
        </w:rPr>
        <w:t>Aromatase</w:t>
      </w:r>
      <w:proofErr w:type="spellEnd"/>
      <w:r w:rsidRPr="002C5EE0">
        <w:rPr>
          <w:rFonts w:ascii="Times New Roman" w:hAnsi="Times New Roman" w:cs="Times New Roman"/>
          <w:sz w:val="20"/>
          <w:szCs w:val="20"/>
          <w:lang w:bidi="ar-EG"/>
        </w:rPr>
        <w:t xml:space="preserve"> inhibitors for the treatment of infertility. Expert </w:t>
      </w:r>
      <w:proofErr w:type="spellStart"/>
      <w:r w:rsidRPr="002C5EE0">
        <w:rPr>
          <w:rFonts w:ascii="Times New Roman" w:hAnsi="Times New Roman" w:cs="Times New Roman"/>
          <w:sz w:val="20"/>
          <w:szCs w:val="20"/>
          <w:lang w:bidi="ar-EG"/>
        </w:rPr>
        <w:t>Opi</w:t>
      </w:r>
      <w:r w:rsidR="002C5EE0" w:rsidRPr="002C5EE0">
        <w:rPr>
          <w:rFonts w:ascii="Times New Roman" w:hAnsi="Times New Roman" w:cs="Times New Roman"/>
          <w:sz w:val="20"/>
          <w:szCs w:val="20"/>
          <w:lang w:bidi="ar-EG"/>
        </w:rPr>
        <w:t>n</w:t>
      </w:r>
      <w:proofErr w:type="spellEnd"/>
      <w:r w:rsidR="002C5EE0">
        <w:rPr>
          <w:rFonts w:ascii="Times New Roman" w:hAnsi="Times New Roman" w:cs="Times New Roman"/>
          <w:sz w:val="20"/>
          <w:szCs w:val="20"/>
          <w:lang w:bidi="ar-EG"/>
        </w:rPr>
        <w:t xml:space="preserve"> </w:t>
      </w:r>
      <w:proofErr w:type="spellStart"/>
      <w:r w:rsidR="002C5EE0" w:rsidRPr="002C5EE0">
        <w:rPr>
          <w:rFonts w:ascii="Times New Roman" w:hAnsi="Times New Roman" w:cs="Times New Roman"/>
          <w:sz w:val="20"/>
          <w:szCs w:val="20"/>
          <w:lang w:bidi="ar-EG"/>
        </w:rPr>
        <w:t>I</w:t>
      </w:r>
      <w:r w:rsidRPr="002C5EE0">
        <w:rPr>
          <w:rFonts w:ascii="Times New Roman" w:hAnsi="Times New Roman" w:cs="Times New Roman"/>
          <w:sz w:val="20"/>
          <w:szCs w:val="20"/>
          <w:lang w:bidi="ar-EG"/>
        </w:rPr>
        <w:t>nvestig</w:t>
      </w:r>
      <w:proofErr w:type="spellEnd"/>
      <w:r w:rsidRPr="002C5EE0">
        <w:rPr>
          <w:rFonts w:ascii="Times New Roman" w:hAnsi="Times New Roman" w:cs="Times New Roman"/>
          <w:sz w:val="20"/>
          <w:szCs w:val="20"/>
          <w:lang w:bidi="ar-EG"/>
        </w:rPr>
        <w:t xml:space="preserve"> Drugs, 12(3):353-371.</w:t>
      </w:r>
    </w:p>
    <w:p w:rsidR="004043D1" w:rsidRPr="002C5EE0" w:rsidRDefault="004043D1" w:rsidP="002C5EE0">
      <w:pPr>
        <w:pStyle w:val="ListParagraph"/>
        <w:numPr>
          <w:ilvl w:val="0"/>
          <w:numId w:val="3"/>
        </w:numPr>
        <w:tabs>
          <w:tab w:val="left" w:pos="0"/>
        </w:tabs>
        <w:bidi w:val="0"/>
        <w:snapToGrid w:val="0"/>
        <w:spacing w:after="0" w:line="240" w:lineRule="auto"/>
        <w:ind w:left="425" w:hanging="425"/>
        <w:jc w:val="both"/>
        <w:rPr>
          <w:rFonts w:ascii="Times New Roman" w:eastAsia="Times New Roman" w:hAnsi="Times New Roman" w:cs="Times New Roman"/>
          <w:sz w:val="20"/>
          <w:szCs w:val="20"/>
        </w:rPr>
      </w:pPr>
      <w:r w:rsidRPr="002C5EE0">
        <w:rPr>
          <w:rFonts w:ascii="Times New Roman" w:eastAsia="Times New Roman" w:hAnsi="Times New Roman" w:cs="Times New Roman"/>
          <w:bCs/>
          <w:sz w:val="20"/>
          <w:szCs w:val="20"/>
        </w:rPr>
        <w:t>Rotterdam ESHRE/ASRM-Sponsored PCOS Consensus Workshop Group. (2004):</w:t>
      </w:r>
      <w:r w:rsidRPr="002C5EE0">
        <w:rPr>
          <w:rFonts w:ascii="Times New Roman" w:eastAsia="Times New Roman" w:hAnsi="Times New Roman" w:cs="Times New Roman"/>
          <w:sz w:val="20"/>
          <w:szCs w:val="20"/>
        </w:rPr>
        <w:t xml:space="preserve"> Revised 2003 consensus on diagnostic criteria and long-</w:t>
      </w:r>
      <w:r w:rsidRPr="002C5EE0">
        <w:rPr>
          <w:rFonts w:ascii="Times New Roman" w:eastAsia="Times New Roman" w:hAnsi="Times New Roman" w:cs="Times New Roman"/>
          <w:sz w:val="20"/>
          <w:szCs w:val="20"/>
        </w:rPr>
        <w:lastRenderedPageBreak/>
        <w:t xml:space="preserve">term health risks related to polycystic ovary syndrome. </w:t>
      </w:r>
      <w:proofErr w:type="spellStart"/>
      <w:r w:rsidRPr="002C5EE0">
        <w:rPr>
          <w:rFonts w:ascii="Times New Roman" w:eastAsia="Times New Roman" w:hAnsi="Times New Roman" w:cs="Times New Roman"/>
          <w:i/>
          <w:iCs/>
          <w:sz w:val="20"/>
          <w:szCs w:val="20"/>
        </w:rPr>
        <w:t>Ferti</w:t>
      </w:r>
      <w:r w:rsidR="002C5EE0" w:rsidRPr="002C5EE0">
        <w:rPr>
          <w:rFonts w:ascii="Times New Roman" w:eastAsia="Times New Roman" w:hAnsi="Times New Roman" w:cs="Times New Roman"/>
          <w:i/>
          <w:iCs/>
          <w:sz w:val="20"/>
          <w:szCs w:val="20"/>
        </w:rPr>
        <w:t>l</w:t>
      </w:r>
      <w:proofErr w:type="spellEnd"/>
      <w:r w:rsidR="002C5EE0">
        <w:rPr>
          <w:rFonts w:ascii="Times New Roman" w:eastAsia="Times New Roman" w:hAnsi="Times New Roman" w:cs="Times New Roman"/>
          <w:i/>
          <w:iCs/>
          <w:sz w:val="20"/>
          <w:szCs w:val="20"/>
        </w:rPr>
        <w:t xml:space="preserve"> </w:t>
      </w:r>
      <w:proofErr w:type="spellStart"/>
      <w:r w:rsidR="002C5EE0" w:rsidRPr="002C5EE0">
        <w:rPr>
          <w:rFonts w:ascii="Times New Roman" w:eastAsia="Times New Roman" w:hAnsi="Times New Roman" w:cs="Times New Roman"/>
          <w:i/>
          <w:iCs/>
          <w:sz w:val="20"/>
          <w:szCs w:val="20"/>
        </w:rPr>
        <w:t>S</w:t>
      </w:r>
      <w:r w:rsidRPr="002C5EE0">
        <w:rPr>
          <w:rFonts w:ascii="Times New Roman" w:eastAsia="Times New Roman" w:hAnsi="Times New Roman" w:cs="Times New Roman"/>
          <w:i/>
          <w:iCs/>
          <w:sz w:val="20"/>
          <w:szCs w:val="20"/>
        </w:rPr>
        <w:t>teril</w:t>
      </w:r>
      <w:proofErr w:type="spellEnd"/>
      <w:r w:rsidRPr="002C5EE0">
        <w:rPr>
          <w:rFonts w:ascii="Times New Roman" w:eastAsia="Times New Roman" w:hAnsi="Times New Roman" w:cs="Times New Roman"/>
          <w:i/>
          <w:iCs/>
          <w:sz w:val="20"/>
          <w:szCs w:val="20"/>
        </w:rPr>
        <w:t>,</w:t>
      </w:r>
      <w:r w:rsidRPr="002C5EE0">
        <w:rPr>
          <w:rFonts w:ascii="Times New Roman" w:eastAsia="Times New Roman" w:hAnsi="Times New Roman" w:cs="Times New Roman"/>
          <w:sz w:val="20"/>
          <w:szCs w:val="20"/>
        </w:rPr>
        <w:t xml:space="preserve"> 81:19-25.</w:t>
      </w:r>
    </w:p>
    <w:p w:rsidR="004043D1" w:rsidRPr="002C5EE0" w:rsidRDefault="004043D1" w:rsidP="002C5EE0">
      <w:pPr>
        <w:pStyle w:val="ListParagraph"/>
        <w:numPr>
          <w:ilvl w:val="0"/>
          <w:numId w:val="3"/>
        </w:numPr>
        <w:tabs>
          <w:tab w:val="left" w:pos="0"/>
        </w:tabs>
        <w:autoSpaceDE w:val="0"/>
        <w:autoSpaceDN w:val="0"/>
        <w:bidi w:val="0"/>
        <w:adjustRightInd w:val="0"/>
        <w:snapToGrid w:val="0"/>
        <w:spacing w:after="0" w:line="240" w:lineRule="auto"/>
        <w:ind w:left="425" w:hanging="425"/>
        <w:jc w:val="both"/>
        <w:rPr>
          <w:rFonts w:ascii="Times New Roman" w:eastAsia="Times New Roman" w:hAnsi="Times New Roman" w:cs="Times New Roman"/>
          <w:bCs/>
          <w:sz w:val="20"/>
          <w:szCs w:val="20"/>
          <w:lang w:bidi="ar-EG"/>
        </w:rPr>
      </w:pPr>
      <w:proofErr w:type="spellStart"/>
      <w:r w:rsidRPr="002C5EE0">
        <w:rPr>
          <w:rFonts w:ascii="Times New Roman" w:hAnsi="Times New Roman" w:cs="Times New Roman"/>
          <w:bCs/>
          <w:sz w:val="20"/>
          <w:szCs w:val="20"/>
          <w:lang w:bidi="ar-EG"/>
        </w:rPr>
        <w:t>S</w:t>
      </w:r>
      <w:r w:rsidR="002C5EE0" w:rsidRPr="002C5EE0">
        <w:rPr>
          <w:rFonts w:ascii="Times New Roman" w:hAnsi="Times New Roman" w:cs="Times New Roman"/>
          <w:bCs/>
          <w:sz w:val="20"/>
          <w:szCs w:val="20"/>
          <w:lang w:bidi="ar-EG"/>
        </w:rPr>
        <w:t>h</w:t>
      </w:r>
      <w:proofErr w:type="spellEnd"/>
      <w:r w:rsidR="002C5EE0">
        <w:rPr>
          <w:rFonts w:ascii="Times New Roman" w:hAnsi="Times New Roman" w:cs="Times New Roman"/>
          <w:bCs/>
          <w:sz w:val="20"/>
          <w:szCs w:val="20"/>
          <w:lang w:bidi="ar-EG"/>
        </w:rPr>
        <w:t xml:space="preserve"> </w:t>
      </w:r>
      <w:proofErr w:type="spellStart"/>
      <w:r w:rsidR="002C5EE0" w:rsidRPr="002C5EE0">
        <w:rPr>
          <w:rFonts w:ascii="Times New Roman" w:hAnsi="Times New Roman" w:cs="Times New Roman"/>
          <w:bCs/>
          <w:sz w:val="20"/>
          <w:szCs w:val="20"/>
          <w:lang w:bidi="ar-EG"/>
        </w:rPr>
        <w:t>T</w:t>
      </w:r>
      <w:r w:rsidRPr="002C5EE0">
        <w:rPr>
          <w:rFonts w:ascii="Times New Roman" w:hAnsi="Times New Roman" w:cs="Times New Roman"/>
          <w:bCs/>
          <w:sz w:val="20"/>
          <w:szCs w:val="20"/>
          <w:lang w:bidi="ar-EG"/>
        </w:rPr>
        <w:t>ehran</w:t>
      </w:r>
      <w:r w:rsidR="002C5EE0" w:rsidRPr="002C5EE0">
        <w:rPr>
          <w:rFonts w:ascii="Times New Roman" w:hAnsi="Times New Roman" w:cs="Times New Roman"/>
          <w:bCs/>
          <w:sz w:val="20"/>
          <w:szCs w:val="20"/>
          <w:lang w:bidi="ar-EG"/>
        </w:rPr>
        <w:t>i</w:t>
      </w:r>
      <w:proofErr w:type="spellEnd"/>
      <w:r w:rsidR="002C5EE0">
        <w:rPr>
          <w:rFonts w:ascii="Times New Roman" w:hAnsi="Times New Roman" w:cs="Times New Roman"/>
          <w:bCs/>
          <w:sz w:val="20"/>
          <w:szCs w:val="20"/>
          <w:lang w:bidi="ar-EG"/>
        </w:rPr>
        <w:t xml:space="preserve"> </w:t>
      </w:r>
      <w:proofErr w:type="spellStart"/>
      <w:r w:rsidR="002C5EE0" w:rsidRPr="002C5EE0">
        <w:rPr>
          <w:rFonts w:ascii="Times New Roman" w:hAnsi="Times New Roman" w:cs="Times New Roman"/>
          <w:bCs/>
          <w:sz w:val="20"/>
          <w:szCs w:val="20"/>
          <w:lang w:bidi="ar-EG"/>
        </w:rPr>
        <w:t>N</w:t>
      </w:r>
      <w:r w:rsidRPr="002C5EE0">
        <w:rPr>
          <w:rFonts w:ascii="Times New Roman" w:hAnsi="Times New Roman" w:cs="Times New Roman"/>
          <w:bCs/>
          <w:sz w:val="20"/>
          <w:szCs w:val="20"/>
          <w:lang w:bidi="ar-EG"/>
        </w:rPr>
        <w:t>ejad</w:t>
      </w:r>
      <w:proofErr w:type="spellEnd"/>
      <w:r w:rsidRPr="002C5EE0">
        <w:rPr>
          <w:rFonts w:ascii="Times New Roman" w:hAnsi="Times New Roman" w:cs="Times New Roman"/>
          <w:bCs/>
          <w:sz w:val="20"/>
          <w:szCs w:val="20"/>
          <w:lang w:bidi="ar-EG"/>
        </w:rPr>
        <w:t xml:space="preserve"> E., </w:t>
      </w:r>
      <w:proofErr w:type="spellStart"/>
      <w:r w:rsidRPr="002C5EE0">
        <w:rPr>
          <w:rFonts w:ascii="Times New Roman" w:hAnsi="Times New Roman" w:cs="Times New Roman"/>
          <w:bCs/>
          <w:sz w:val="20"/>
          <w:szCs w:val="20"/>
          <w:lang w:bidi="ar-EG"/>
        </w:rPr>
        <w:t>Abediasl</w:t>
      </w:r>
      <w:proofErr w:type="spellEnd"/>
      <w:r w:rsidRPr="002C5EE0">
        <w:rPr>
          <w:rFonts w:ascii="Times New Roman" w:hAnsi="Times New Roman" w:cs="Times New Roman"/>
          <w:bCs/>
          <w:sz w:val="20"/>
          <w:szCs w:val="20"/>
          <w:lang w:bidi="ar-EG"/>
        </w:rPr>
        <w:t xml:space="preserve"> Z., </w:t>
      </w:r>
      <w:proofErr w:type="spellStart"/>
      <w:r w:rsidRPr="002C5EE0">
        <w:rPr>
          <w:rFonts w:ascii="Times New Roman" w:hAnsi="Times New Roman" w:cs="Times New Roman"/>
          <w:bCs/>
          <w:sz w:val="20"/>
          <w:szCs w:val="20"/>
          <w:lang w:bidi="ar-EG"/>
        </w:rPr>
        <w:t>Rashidi</w:t>
      </w:r>
      <w:proofErr w:type="spellEnd"/>
      <w:r w:rsidRPr="002C5EE0">
        <w:rPr>
          <w:rFonts w:ascii="Times New Roman" w:hAnsi="Times New Roman" w:cs="Times New Roman"/>
          <w:bCs/>
          <w:sz w:val="20"/>
          <w:szCs w:val="20"/>
          <w:lang w:bidi="ar-EG"/>
        </w:rPr>
        <w:t xml:space="preserve"> B.H., </w:t>
      </w:r>
      <w:proofErr w:type="spellStart"/>
      <w:r w:rsidRPr="002C5EE0">
        <w:rPr>
          <w:rFonts w:ascii="Times New Roman" w:hAnsi="Times New Roman" w:cs="Times New Roman"/>
          <w:bCs/>
          <w:sz w:val="20"/>
          <w:szCs w:val="20"/>
          <w:lang w:bidi="ar-EG"/>
        </w:rPr>
        <w:t>Azim</w:t>
      </w:r>
      <w:r w:rsidR="002C5EE0" w:rsidRPr="002C5EE0">
        <w:rPr>
          <w:rFonts w:ascii="Times New Roman" w:hAnsi="Times New Roman" w:cs="Times New Roman"/>
          <w:bCs/>
          <w:sz w:val="20"/>
          <w:szCs w:val="20"/>
          <w:lang w:bidi="ar-EG"/>
        </w:rPr>
        <w:t>i</w:t>
      </w:r>
      <w:proofErr w:type="spellEnd"/>
      <w:r w:rsidR="002C5EE0">
        <w:rPr>
          <w:rFonts w:ascii="Times New Roman" w:hAnsi="Times New Roman" w:cs="Times New Roman"/>
          <w:bCs/>
          <w:sz w:val="20"/>
          <w:szCs w:val="20"/>
          <w:lang w:bidi="ar-EG"/>
        </w:rPr>
        <w:t xml:space="preserve"> </w:t>
      </w:r>
      <w:proofErr w:type="spellStart"/>
      <w:r w:rsidR="002C5EE0" w:rsidRPr="002C5EE0">
        <w:rPr>
          <w:rFonts w:ascii="Times New Roman" w:hAnsi="Times New Roman" w:cs="Times New Roman"/>
          <w:bCs/>
          <w:sz w:val="20"/>
          <w:szCs w:val="20"/>
          <w:lang w:bidi="ar-EG"/>
        </w:rPr>
        <w:t>N</w:t>
      </w:r>
      <w:r w:rsidRPr="002C5EE0">
        <w:rPr>
          <w:rFonts w:ascii="Times New Roman" w:hAnsi="Times New Roman" w:cs="Times New Roman"/>
          <w:bCs/>
          <w:sz w:val="20"/>
          <w:szCs w:val="20"/>
          <w:lang w:bidi="ar-EG"/>
        </w:rPr>
        <w:t>ekoo</w:t>
      </w:r>
      <w:proofErr w:type="spellEnd"/>
      <w:r w:rsidRPr="002C5EE0">
        <w:rPr>
          <w:rFonts w:ascii="Times New Roman" w:hAnsi="Times New Roman" w:cs="Times New Roman"/>
          <w:bCs/>
          <w:sz w:val="20"/>
          <w:szCs w:val="20"/>
          <w:lang w:bidi="ar-EG"/>
        </w:rPr>
        <w:t xml:space="preserve"> E., </w:t>
      </w:r>
      <w:proofErr w:type="spellStart"/>
      <w:r w:rsidRPr="002C5EE0">
        <w:rPr>
          <w:rFonts w:ascii="Times New Roman" w:hAnsi="Times New Roman" w:cs="Times New Roman"/>
          <w:bCs/>
          <w:sz w:val="20"/>
          <w:szCs w:val="20"/>
          <w:lang w:bidi="ar-EG"/>
        </w:rPr>
        <w:t>Shariat</w:t>
      </w:r>
      <w:proofErr w:type="spellEnd"/>
      <w:r w:rsidRPr="002C5EE0">
        <w:rPr>
          <w:rFonts w:ascii="Times New Roman" w:hAnsi="Times New Roman" w:cs="Times New Roman"/>
          <w:bCs/>
          <w:sz w:val="20"/>
          <w:szCs w:val="20"/>
          <w:lang w:bidi="ar-EG"/>
        </w:rPr>
        <w:t xml:space="preserve"> M. and </w:t>
      </w:r>
      <w:proofErr w:type="spellStart"/>
      <w:r w:rsidRPr="002C5EE0">
        <w:rPr>
          <w:rFonts w:ascii="Times New Roman" w:hAnsi="Times New Roman" w:cs="Times New Roman"/>
          <w:bCs/>
          <w:sz w:val="20"/>
          <w:szCs w:val="20"/>
          <w:lang w:bidi="ar-EG"/>
        </w:rPr>
        <w:t>Amirchaghmaghi</w:t>
      </w:r>
      <w:proofErr w:type="spellEnd"/>
      <w:r w:rsidRPr="002C5EE0">
        <w:rPr>
          <w:rFonts w:ascii="Times New Roman" w:hAnsi="Times New Roman" w:cs="Times New Roman"/>
          <w:bCs/>
          <w:sz w:val="20"/>
          <w:szCs w:val="20"/>
          <w:lang w:bidi="ar-EG"/>
        </w:rPr>
        <w:t xml:space="preserve"> E. (2008):</w:t>
      </w:r>
      <w:r w:rsidRPr="002C5EE0">
        <w:rPr>
          <w:rFonts w:ascii="Times New Roman" w:hAnsi="Times New Roman" w:cs="Times New Roman"/>
          <w:sz w:val="20"/>
          <w:szCs w:val="20"/>
          <w:lang w:bidi="ar-EG"/>
        </w:rPr>
        <w:t xml:space="preserve"> Comparison of the efficacy of the </w:t>
      </w:r>
      <w:proofErr w:type="spellStart"/>
      <w:r w:rsidRPr="002C5EE0">
        <w:rPr>
          <w:rFonts w:ascii="Times New Roman" w:hAnsi="Times New Roman" w:cs="Times New Roman"/>
          <w:sz w:val="20"/>
          <w:szCs w:val="20"/>
          <w:lang w:bidi="ar-EG"/>
        </w:rPr>
        <w:t>aromatase</w:t>
      </w:r>
      <w:proofErr w:type="spellEnd"/>
      <w:r w:rsidRPr="002C5EE0">
        <w:rPr>
          <w:rFonts w:ascii="Times New Roman" w:hAnsi="Times New Roman" w:cs="Times New Roman"/>
          <w:sz w:val="20"/>
          <w:szCs w:val="20"/>
          <w:lang w:bidi="ar-EG"/>
        </w:rPr>
        <w:t xml:space="preserve"> inhibitor </w:t>
      </w:r>
      <w:proofErr w:type="spellStart"/>
      <w:r w:rsidRPr="002C5EE0">
        <w:rPr>
          <w:rFonts w:ascii="Times New Roman" w:hAnsi="Times New Roman" w:cs="Times New Roman"/>
          <w:sz w:val="20"/>
          <w:szCs w:val="20"/>
          <w:lang w:bidi="ar-EG"/>
        </w:rPr>
        <w:t>letrozole</w:t>
      </w:r>
      <w:proofErr w:type="spellEnd"/>
      <w:r w:rsidRPr="002C5EE0">
        <w:rPr>
          <w:rFonts w:ascii="Times New Roman" w:hAnsi="Times New Roman" w:cs="Times New Roman"/>
          <w:sz w:val="20"/>
          <w:szCs w:val="20"/>
          <w:lang w:bidi="ar-EG"/>
        </w:rPr>
        <w:t xml:space="preserve"> and </w:t>
      </w:r>
      <w:proofErr w:type="spellStart"/>
      <w:r w:rsidRPr="002C5EE0">
        <w:rPr>
          <w:rFonts w:ascii="Times New Roman" w:hAnsi="Times New Roman" w:cs="Times New Roman"/>
          <w:sz w:val="20"/>
          <w:szCs w:val="20"/>
          <w:lang w:bidi="ar-EG"/>
        </w:rPr>
        <w:t>clomiphen</w:t>
      </w:r>
      <w:proofErr w:type="spellEnd"/>
      <w:r w:rsidRPr="002C5EE0">
        <w:rPr>
          <w:rFonts w:ascii="Times New Roman" w:hAnsi="Times New Roman" w:cs="Times New Roman"/>
          <w:sz w:val="20"/>
          <w:szCs w:val="20"/>
          <w:lang w:bidi="ar-EG"/>
        </w:rPr>
        <w:t xml:space="preserve"> citrate </w:t>
      </w:r>
      <w:proofErr w:type="spellStart"/>
      <w:r w:rsidRPr="002C5EE0">
        <w:rPr>
          <w:rFonts w:ascii="Times New Roman" w:hAnsi="Times New Roman" w:cs="Times New Roman"/>
          <w:sz w:val="20"/>
          <w:szCs w:val="20"/>
          <w:lang w:bidi="ar-EG"/>
        </w:rPr>
        <w:t>gonadotropins</w:t>
      </w:r>
      <w:proofErr w:type="spellEnd"/>
      <w:r w:rsidRPr="002C5EE0">
        <w:rPr>
          <w:rFonts w:ascii="Times New Roman" w:hAnsi="Times New Roman" w:cs="Times New Roman"/>
          <w:sz w:val="20"/>
          <w:szCs w:val="20"/>
          <w:lang w:bidi="ar-EG"/>
        </w:rPr>
        <w:t xml:space="preserve"> in controlled ovarian </w:t>
      </w:r>
      <w:proofErr w:type="spellStart"/>
      <w:r w:rsidRPr="002C5EE0">
        <w:rPr>
          <w:rFonts w:ascii="Times New Roman" w:hAnsi="Times New Roman" w:cs="Times New Roman"/>
          <w:sz w:val="20"/>
          <w:szCs w:val="20"/>
          <w:lang w:bidi="ar-EG"/>
        </w:rPr>
        <w:t>hyperstimulation</w:t>
      </w:r>
      <w:proofErr w:type="spellEnd"/>
      <w:r w:rsidRPr="002C5EE0">
        <w:rPr>
          <w:rFonts w:ascii="Times New Roman" w:hAnsi="Times New Roman" w:cs="Times New Roman"/>
          <w:sz w:val="20"/>
          <w:szCs w:val="20"/>
          <w:lang w:bidi="ar-EG"/>
        </w:rPr>
        <w:t xml:space="preserve">: a prospective, simply randomized, clinical trial. J Assist </w:t>
      </w:r>
      <w:proofErr w:type="spellStart"/>
      <w:r w:rsidRPr="002C5EE0">
        <w:rPr>
          <w:rFonts w:ascii="Times New Roman" w:hAnsi="Times New Roman" w:cs="Times New Roman"/>
          <w:sz w:val="20"/>
          <w:szCs w:val="20"/>
          <w:lang w:bidi="ar-EG"/>
        </w:rPr>
        <w:t>Reprod</w:t>
      </w:r>
      <w:proofErr w:type="spellEnd"/>
      <w:r w:rsidRPr="002C5EE0">
        <w:rPr>
          <w:rFonts w:ascii="Times New Roman" w:hAnsi="Times New Roman" w:cs="Times New Roman"/>
          <w:sz w:val="20"/>
          <w:szCs w:val="20"/>
          <w:lang w:bidi="ar-EG"/>
        </w:rPr>
        <w:t xml:space="preserve"> Genet, 25(5):187-190.</w:t>
      </w:r>
    </w:p>
    <w:p w:rsidR="004043D1" w:rsidRPr="002C5EE0" w:rsidRDefault="004043D1" w:rsidP="002C5EE0">
      <w:pPr>
        <w:pStyle w:val="ListParagraph"/>
        <w:numPr>
          <w:ilvl w:val="0"/>
          <w:numId w:val="3"/>
        </w:numPr>
        <w:tabs>
          <w:tab w:val="left" w:pos="0"/>
        </w:tabs>
        <w:bidi w:val="0"/>
        <w:snapToGrid w:val="0"/>
        <w:spacing w:after="0" w:line="240" w:lineRule="auto"/>
        <w:ind w:left="425" w:hanging="425"/>
        <w:jc w:val="both"/>
        <w:rPr>
          <w:rFonts w:ascii="Times New Roman" w:eastAsia="Times New Roman" w:hAnsi="Times New Roman" w:cs="Times New Roman"/>
          <w:sz w:val="20"/>
          <w:szCs w:val="20"/>
        </w:rPr>
      </w:pPr>
      <w:proofErr w:type="spellStart"/>
      <w:r w:rsidRPr="002C5EE0">
        <w:rPr>
          <w:rFonts w:ascii="Times New Roman" w:eastAsia="Times New Roman" w:hAnsi="Times New Roman" w:cs="Times New Roman"/>
          <w:bCs/>
          <w:sz w:val="20"/>
          <w:szCs w:val="20"/>
        </w:rPr>
        <w:t>Speroff</w:t>
      </w:r>
      <w:proofErr w:type="spellEnd"/>
      <w:r w:rsidRPr="002C5EE0">
        <w:rPr>
          <w:rFonts w:ascii="Times New Roman" w:eastAsia="Times New Roman" w:hAnsi="Times New Roman" w:cs="Times New Roman"/>
          <w:bCs/>
          <w:sz w:val="20"/>
          <w:szCs w:val="20"/>
        </w:rPr>
        <w:t xml:space="preserve"> L. and Fritz M. (2005):</w:t>
      </w:r>
      <w:r w:rsidRPr="002C5EE0">
        <w:rPr>
          <w:rFonts w:ascii="Times New Roman" w:eastAsia="Times New Roman" w:hAnsi="Times New Roman" w:cs="Times New Roman"/>
          <w:sz w:val="20"/>
          <w:szCs w:val="20"/>
        </w:rPr>
        <w:t xml:space="preserve"> Clinical </w:t>
      </w:r>
      <w:proofErr w:type="spellStart"/>
      <w:r w:rsidRPr="002C5EE0">
        <w:rPr>
          <w:rFonts w:ascii="Times New Roman" w:eastAsia="Times New Roman" w:hAnsi="Times New Roman" w:cs="Times New Roman"/>
          <w:sz w:val="20"/>
          <w:szCs w:val="20"/>
        </w:rPr>
        <w:t>gynaecologic</w:t>
      </w:r>
      <w:proofErr w:type="spellEnd"/>
      <w:r w:rsidRPr="002C5EE0">
        <w:rPr>
          <w:rFonts w:ascii="Times New Roman" w:eastAsia="Times New Roman" w:hAnsi="Times New Roman" w:cs="Times New Roman"/>
          <w:sz w:val="20"/>
          <w:szCs w:val="20"/>
        </w:rPr>
        <w:t xml:space="preserve"> endocrinology and infertility. 7</w:t>
      </w:r>
      <w:r w:rsidRPr="002C5EE0">
        <w:rPr>
          <w:rFonts w:ascii="Times New Roman" w:eastAsia="Times New Roman" w:hAnsi="Times New Roman" w:cs="Times New Roman"/>
          <w:sz w:val="20"/>
          <w:szCs w:val="20"/>
          <w:vertAlign w:val="superscript"/>
        </w:rPr>
        <w:t>th</w:t>
      </w:r>
      <w:r w:rsidRPr="002C5EE0">
        <w:rPr>
          <w:rFonts w:ascii="Times New Roman" w:eastAsia="Times New Roman" w:hAnsi="Times New Roman" w:cs="Times New Roman"/>
          <w:sz w:val="20"/>
          <w:szCs w:val="20"/>
        </w:rPr>
        <w:t>ed. Philadelphia: Lippincott Williams and Wilkins; 7:466-498.</w:t>
      </w:r>
    </w:p>
    <w:p w:rsidR="004043D1" w:rsidRPr="002C5EE0" w:rsidRDefault="004043D1" w:rsidP="002C5EE0">
      <w:pPr>
        <w:pStyle w:val="ListParagraph"/>
        <w:widowControl w:val="0"/>
        <w:numPr>
          <w:ilvl w:val="0"/>
          <w:numId w:val="3"/>
        </w:numPr>
        <w:tabs>
          <w:tab w:val="left" w:pos="0"/>
        </w:tabs>
        <w:autoSpaceDE w:val="0"/>
        <w:autoSpaceDN w:val="0"/>
        <w:bidi w:val="0"/>
        <w:snapToGrid w:val="0"/>
        <w:spacing w:after="0" w:line="240" w:lineRule="auto"/>
        <w:ind w:left="425" w:hanging="425"/>
        <w:jc w:val="both"/>
        <w:rPr>
          <w:rFonts w:ascii="Times New Roman" w:hAnsi="Times New Roman" w:cs="Times New Roman"/>
          <w:color w:val="000000"/>
          <w:sz w:val="20"/>
          <w:szCs w:val="20"/>
        </w:rPr>
      </w:pPr>
      <w:r w:rsidRPr="002C5EE0">
        <w:rPr>
          <w:rFonts w:ascii="Times New Roman" w:hAnsi="Times New Roman" w:cs="Times New Roman"/>
          <w:iCs/>
          <w:color w:val="000000"/>
          <w:sz w:val="20"/>
          <w:szCs w:val="20"/>
        </w:rPr>
        <w:t>The Practice Committee of the American Society for Reproductive Medicine. (2013).</w:t>
      </w:r>
      <w:r w:rsidRPr="002C5EE0">
        <w:rPr>
          <w:rFonts w:ascii="Times New Roman" w:hAnsi="Times New Roman" w:cs="Times New Roman"/>
          <w:color w:val="000000"/>
          <w:sz w:val="20"/>
          <w:szCs w:val="20"/>
        </w:rPr>
        <w:t xml:space="preserve"> Use of </w:t>
      </w:r>
      <w:proofErr w:type="spellStart"/>
      <w:r w:rsidRPr="002C5EE0">
        <w:rPr>
          <w:rFonts w:ascii="Times New Roman" w:hAnsi="Times New Roman" w:cs="Times New Roman"/>
          <w:color w:val="000000"/>
          <w:sz w:val="20"/>
          <w:szCs w:val="20"/>
        </w:rPr>
        <w:t>clomiphene</w:t>
      </w:r>
      <w:proofErr w:type="spellEnd"/>
      <w:r w:rsidRPr="002C5EE0">
        <w:rPr>
          <w:rFonts w:ascii="Times New Roman" w:hAnsi="Times New Roman" w:cs="Times New Roman"/>
          <w:color w:val="000000"/>
          <w:sz w:val="20"/>
          <w:szCs w:val="20"/>
        </w:rPr>
        <w:t xml:space="preserve"> citrate in infertile women: A committee opinion. </w:t>
      </w:r>
      <w:proofErr w:type="spellStart"/>
      <w:r w:rsidRPr="002C5EE0">
        <w:rPr>
          <w:rFonts w:ascii="Times New Roman" w:hAnsi="Times New Roman" w:cs="Times New Roman"/>
          <w:i/>
          <w:iCs/>
          <w:color w:val="000000"/>
          <w:sz w:val="20"/>
          <w:szCs w:val="20"/>
        </w:rPr>
        <w:t>Ferti</w:t>
      </w:r>
      <w:r w:rsidR="002C5EE0" w:rsidRPr="002C5EE0">
        <w:rPr>
          <w:rFonts w:ascii="Times New Roman" w:hAnsi="Times New Roman" w:cs="Times New Roman"/>
          <w:i/>
          <w:iCs/>
          <w:color w:val="000000"/>
          <w:sz w:val="20"/>
          <w:szCs w:val="20"/>
        </w:rPr>
        <w:t>l</w:t>
      </w:r>
      <w:proofErr w:type="spellEnd"/>
      <w:r w:rsidR="002C5EE0">
        <w:rPr>
          <w:rFonts w:ascii="Times New Roman" w:hAnsi="Times New Roman" w:cs="Times New Roman"/>
          <w:i/>
          <w:iCs/>
          <w:color w:val="000000"/>
          <w:sz w:val="20"/>
          <w:szCs w:val="20"/>
        </w:rPr>
        <w:t xml:space="preserve"> </w:t>
      </w:r>
      <w:proofErr w:type="spellStart"/>
      <w:r w:rsidR="002C5EE0" w:rsidRPr="002C5EE0">
        <w:rPr>
          <w:rFonts w:ascii="Times New Roman" w:hAnsi="Times New Roman" w:cs="Times New Roman"/>
          <w:i/>
          <w:iCs/>
          <w:color w:val="000000"/>
          <w:sz w:val="20"/>
          <w:szCs w:val="20"/>
        </w:rPr>
        <w:t>S</w:t>
      </w:r>
      <w:r w:rsidRPr="002C5EE0">
        <w:rPr>
          <w:rFonts w:ascii="Times New Roman" w:hAnsi="Times New Roman" w:cs="Times New Roman"/>
          <w:i/>
          <w:iCs/>
          <w:color w:val="000000"/>
          <w:sz w:val="20"/>
          <w:szCs w:val="20"/>
        </w:rPr>
        <w:t>teril</w:t>
      </w:r>
      <w:proofErr w:type="spellEnd"/>
      <w:r w:rsidRPr="002C5EE0">
        <w:rPr>
          <w:rFonts w:ascii="Times New Roman" w:hAnsi="Times New Roman" w:cs="Times New Roman"/>
          <w:i/>
          <w:iCs/>
          <w:color w:val="000000"/>
          <w:sz w:val="20"/>
          <w:szCs w:val="20"/>
        </w:rPr>
        <w:t>,</w:t>
      </w:r>
      <w:r w:rsidRPr="002C5EE0">
        <w:rPr>
          <w:rFonts w:ascii="Times New Roman" w:hAnsi="Times New Roman" w:cs="Times New Roman"/>
          <w:color w:val="000000"/>
          <w:sz w:val="20"/>
          <w:szCs w:val="20"/>
        </w:rPr>
        <w:t xml:space="preserve"> 100:341-348.</w:t>
      </w:r>
    </w:p>
    <w:p w:rsidR="004043D1" w:rsidRPr="002C5EE0" w:rsidRDefault="004043D1" w:rsidP="002C5EE0">
      <w:pPr>
        <w:pStyle w:val="ListParagraph"/>
        <w:numPr>
          <w:ilvl w:val="0"/>
          <w:numId w:val="3"/>
        </w:numPr>
        <w:tabs>
          <w:tab w:val="left" w:pos="0"/>
        </w:tabs>
        <w:bidi w:val="0"/>
        <w:snapToGrid w:val="0"/>
        <w:spacing w:after="0" w:line="240" w:lineRule="auto"/>
        <w:ind w:left="425" w:hanging="425"/>
        <w:jc w:val="both"/>
        <w:rPr>
          <w:rFonts w:ascii="Times New Roman" w:hAnsi="Times New Roman" w:cs="Times New Roman"/>
          <w:bCs/>
          <w:sz w:val="20"/>
          <w:szCs w:val="20"/>
          <w:lang w:bidi="ar-EG"/>
        </w:rPr>
      </w:pPr>
      <w:r w:rsidRPr="002C5EE0">
        <w:rPr>
          <w:rFonts w:ascii="Times New Roman" w:eastAsia="Times New Roman" w:hAnsi="Times New Roman" w:cs="Times New Roman"/>
          <w:bCs/>
          <w:sz w:val="20"/>
          <w:szCs w:val="20"/>
        </w:rPr>
        <w:t>Thessaloniki ESHRE/ASRM-</w:t>
      </w:r>
      <w:proofErr w:type="spellStart"/>
      <w:r w:rsidRPr="002C5EE0">
        <w:rPr>
          <w:rFonts w:ascii="Times New Roman" w:eastAsia="Times New Roman" w:hAnsi="Times New Roman" w:cs="Times New Roman"/>
          <w:bCs/>
          <w:sz w:val="20"/>
          <w:szCs w:val="20"/>
        </w:rPr>
        <w:t>Sposered</w:t>
      </w:r>
      <w:proofErr w:type="spellEnd"/>
      <w:r w:rsidRPr="002C5EE0">
        <w:rPr>
          <w:rFonts w:ascii="Times New Roman" w:eastAsia="Times New Roman" w:hAnsi="Times New Roman" w:cs="Times New Roman"/>
          <w:bCs/>
          <w:sz w:val="20"/>
          <w:szCs w:val="20"/>
        </w:rPr>
        <w:t xml:space="preserve"> PCOS Consensus Workshop Group. (2008):</w:t>
      </w:r>
      <w:r w:rsidRPr="002C5EE0">
        <w:rPr>
          <w:rFonts w:ascii="Times New Roman" w:eastAsia="Times New Roman" w:hAnsi="Times New Roman" w:cs="Times New Roman"/>
          <w:sz w:val="20"/>
          <w:szCs w:val="20"/>
        </w:rPr>
        <w:t xml:space="preserve"> Consensus on infertility treatment related to polycystic ovary syndrome. </w:t>
      </w:r>
      <w:proofErr w:type="spellStart"/>
      <w:r w:rsidRPr="002C5EE0">
        <w:rPr>
          <w:rFonts w:ascii="Times New Roman" w:eastAsia="Times New Roman" w:hAnsi="Times New Roman" w:cs="Times New Roman"/>
          <w:i/>
          <w:iCs/>
          <w:sz w:val="20"/>
          <w:szCs w:val="20"/>
        </w:rPr>
        <w:t>Ferti</w:t>
      </w:r>
      <w:r w:rsidR="002C5EE0" w:rsidRPr="002C5EE0">
        <w:rPr>
          <w:rFonts w:ascii="Times New Roman" w:eastAsia="Times New Roman" w:hAnsi="Times New Roman" w:cs="Times New Roman"/>
          <w:i/>
          <w:iCs/>
          <w:sz w:val="20"/>
          <w:szCs w:val="20"/>
        </w:rPr>
        <w:t>l</w:t>
      </w:r>
      <w:proofErr w:type="spellEnd"/>
      <w:r w:rsidR="002C5EE0">
        <w:rPr>
          <w:rFonts w:ascii="Times New Roman" w:eastAsia="Times New Roman" w:hAnsi="Times New Roman" w:cs="Times New Roman"/>
          <w:i/>
          <w:iCs/>
          <w:sz w:val="20"/>
          <w:szCs w:val="20"/>
        </w:rPr>
        <w:t xml:space="preserve"> </w:t>
      </w:r>
      <w:proofErr w:type="spellStart"/>
      <w:r w:rsidR="002C5EE0" w:rsidRPr="002C5EE0">
        <w:rPr>
          <w:rFonts w:ascii="Times New Roman" w:eastAsia="Times New Roman" w:hAnsi="Times New Roman" w:cs="Times New Roman"/>
          <w:i/>
          <w:iCs/>
          <w:sz w:val="20"/>
          <w:szCs w:val="20"/>
        </w:rPr>
        <w:t>S</w:t>
      </w:r>
      <w:r w:rsidRPr="002C5EE0">
        <w:rPr>
          <w:rFonts w:ascii="Times New Roman" w:eastAsia="Times New Roman" w:hAnsi="Times New Roman" w:cs="Times New Roman"/>
          <w:i/>
          <w:iCs/>
          <w:sz w:val="20"/>
          <w:szCs w:val="20"/>
        </w:rPr>
        <w:t>teril</w:t>
      </w:r>
      <w:proofErr w:type="spellEnd"/>
      <w:r w:rsidRPr="002C5EE0">
        <w:rPr>
          <w:rFonts w:ascii="Times New Roman" w:eastAsia="Times New Roman" w:hAnsi="Times New Roman" w:cs="Times New Roman"/>
          <w:i/>
          <w:iCs/>
          <w:sz w:val="20"/>
          <w:szCs w:val="20"/>
        </w:rPr>
        <w:t>,</w:t>
      </w:r>
      <w:r w:rsidRPr="002C5EE0">
        <w:rPr>
          <w:rFonts w:ascii="Times New Roman" w:eastAsia="Times New Roman" w:hAnsi="Times New Roman" w:cs="Times New Roman"/>
          <w:sz w:val="20"/>
          <w:szCs w:val="20"/>
        </w:rPr>
        <w:t xml:space="preserve"> 89(3):505-522.</w:t>
      </w:r>
    </w:p>
    <w:p w:rsidR="002C5EE0" w:rsidRPr="00C00E76" w:rsidRDefault="004043D1" w:rsidP="002C5EE0">
      <w:pPr>
        <w:pStyle w:val="ListParagraph"/>
        <w:widowControl w:val="0"/>
        <w:numPr>
          <w:ilvl w:val="0"/>
          <w:numId w:val="3"/>
        </w:numPr>
        <w:tabs>
          <w:tab w:val="left" w:pos="0"/>
          <w:tab w:val="left" w:pos="1212"/>
        </w:tabs>
        <w:autoSpaceDE w:val="0"/>
        <w:autoSpaceDN w:val="0"/>
        <w:bidi w:val="0"/>
        <w:snapToGrid w:val="0"/>
        <w:spacing w:after="0" w:line="240" w:lineRule="auto"/>
        <w:ind w:left="425" w:hanging="425"/>
        <w:jc w:val="both"/>
        <w:rPr>
          <w:rFonts w:ascii="Times New Roman" w:hAnsi="Times New Roman" w:cs="Times New Roman"/>
          <w:color w:val="000000"/>
          <w:sz w:val="20"/>
          <w:szCs w:val="20"/>
        </w:rPr>
      </w:pPr>
      <w:r w:rsidRPr="00C00E76">
        <w:rPr>
          <w:rFonts w:ascii="Times New Roman" w:hAnsi="Times New Roman" w:cs="Times New Roman"/>
          <w:iCs/>
          <w:color w:val="000000"/>
          <w:sz w:val="20"/>
          <w:szCs w:val="20"/>
        </w:rPr>
        <w:t xml:space="preserve">Weil S., </w:t>
      </w:r>
      <w:proofErr w:type="spellStart"/>
      <w:r w:rsidRPr="00C00E76">
        <w:rPr>
          <w:rFonts w:ascii="Times New Roman" w:hAnsi="Times New Roman" w:cs="Times New Roman"/>
          <w:iCs/>
          <w:color w:val="000000"/>
          <w:sz w:val="20"/>
          <w:szCs w:val="20"/>
        </w:rPr>
        <w:t>Vendola</w:t>
      </w:r>
      <w:proofErr w:type="spellEnd"/>
      <w:r w:rsidRPr="00C00E76">
        <w:rPr>
          <w:rFonts w:ascii="Times New Roman" w:hAnsi="Times New Roman" w:cs="Times New Roman"/>
          <w:iCs/>
          <w:color w:val="000000"/>
          <w:sz w:val="20"/>
          <w:szCs w:val="20"/>
        </w:rPr>
        <w:t xml:space="preserve"> K., Zhou J. and </w:t>
      </w:r>
      <w:proofErr w:type="spellStart"/>
      <w:r w:rsidRPr="00C00E76">
        <w:rPr>
          <w:rFonts w:ascii="Times New Roman" w:hAnsi="Times New Roman" w:cs="Times New Roman"/>
          <w:iCs/>
          <w:color w:val="000000"/>
          <w:sz w:val="20"/>
          <w:szCs w:val="20"/>
        </w:rPr>
        <w:t>Bondy</w:t>
      </w:r>
      <w:proofErr w:type="spellEnd"/>
      <w:r w:rsidRPr="00C00E76">
        <w:rPr>
          <w:rFonts w:ascii="Times New Roman" w:hAnsi="Times New Roman" w:cs="Times New Roman"/>
          <w:iCs/>
          <w:color w:val="000000"/>
          <w:sz w:val="20"/>
          <w:szCs w:val="20"/>
        </w:rPr>
        <w:t xml:space="preserve"> C.A. (1999)</w:t>
      </w:r>
      <w:r w:rsidR="002C5EE0" w:rsidRPr="00C00E76">
        <w:rPr>
          <w:rFonts w:ascii="Times New Roman" w:hAnsi="Times New Roman" w:cs="Times New Roman"/>
          <w:iCs/>
          <w:color w:val="000000"/>
          <w:sz w:val="20"/>
          <w:szCs w:val="20"/>
        </w:rPr>
        <w:t xml:space="preserve">. </w:t>
      </w:r>
      <w:r w:rsidR="002C5EE0" w:rsidRPr="00C00E76">
        <w:rPr>
          <w:rFonts w:ascii="Times New Roman" w:hAnsi="Times New Roman" w:cs="Times New Roman"/>
          <w:color w:val="000000"/>
          <w:sz w:val="20"/>
          <w:szCs w:val="20"/>
        </w:rPr>
        <w:t>A</w:t>
      </w:r>
      <w:r w:rsidRPr="00C00E76">
        <w:rPr>
          <w:rFonts w:ascii="Times New Roman" w:hAnsi="Times New Roman" w:cs="Times New Roman"/>
          <w:color w:val="000000"/>
          <w:sz w:val="20"/>
          <w:szCs w:val="20"/>
        </w:rPr>
        <w:t>ndrogen and follicle-stimulating hormone interactions in primate ovarian follicle development.</w:t>
      </w:r>
      <w:r w:rsidRPr="00C00E76">
        <w:rPr>
          <w:rFonts w:ascii="Times New Roman" w:hAnsi="Times New Roman" w:cs="Times New Roman"/>
          <w:i/>
          <w:iCs/>
          <w:color w:val="000000"/>
          <w:sz w:val="20"/>
          <w:szCs w:val="20"/>
        </w:rPr>
        <w:t xml:space="preserve"> J </w:t>
      </w:r>
      <w:proofErr w:type="spellStart"/>
      <w:r w:rsidRPr="00C00E76">
        <w:rPr>
          <w:rFonts w:ascii="Times New Roman" w:hAnsi="Times New Roman" w:cs="Times New Roman"/>
          <w:i/>
          <w:iCs/>
          <w:color w:val="000000"/>
          <w:sz w:val="20"/>
          <w:szCs w:val="20"/>
        </w:rPr>
        <w:t>Cli</w:t>
      </w:r>
      <w:r w:rsidR="002C5EE0" w:rsidRPr="00C00E76">
        <w:rPr>
          <w:rFonts w:ascii="Times New Roman" w:hAnsi="Times New Roman" w:cs="Times New Roman"/>
          <w:i/>
          <w:iCs/>
          <w:color w:val="000000"/>
          <w:sz w:val="20"/>
          <w:szCs w:val="20"/>
        </w:rPr>
        <w:t>n</w:t>
      </w:r>
      <w:proofErr w:type="spellEnd"/>
      <w:r w:rsidR="002C5EE0" w:rsidRPr="00C00E76">
        <w:rPr>
          <w:rFonts w:ascii="Times New Roman" w:hAnsi="Times New Roman" w:cs="Times New Roman"/>
          <w:i/>
          <w:iCs/>
          <w:color w:val="000000"/>
          <w:sz w:val="20"/>
          <w:szCs w:val="20"/>
        </w:rPr>
        <w:t xml:space="preserve"> </w:t>
      </w:r>
      <w:bookmarkStart w:id="0" w:name="_GoBack"/>
      <w:bookmarkEnd w:id="0"/>
      <w:proofErr w:type="spellStart"/>
      <w:r w:rsidR="002C5EE0" w:rsidRPr="00C00E76">
        <w:rPr>
          <w:rFonts w:ascii="Times New Roman" w:hAnsi="Times New Roman" w:cs="Times New Roman"/>
          <w:i/>
          <w:iCs/>
          <w:color w:val="000000"/>
          <w:sz w:val="20"/>
          <w:szCs w:val="20"/>
        </w:rPr>
        <w:t>E</w:t>
      </w:r>
      <w:r w:rsidRPr="00C00E76">
        <w:rPr>
          <w:rFonts w:ascii="Times New Roman" w:hAnsi="Times New Roman" w:cs="Times New Roman"/>
          <w:i/>
          <w:iCs/>
          <w:color w:val="000000"/>
          <w:sz w:val="20"/>
          <w:szCs w:val="20"/>
        </w:rPr>
        <w:t>ndocrino</w:t>
      </w:r>
      <w:r w:rsidR="002C5EE0" w:rsidRPr="00C00E76">
        <w:rPr>
          <w:rFonts w:ascii="Times New Roman" w:hAnsi="Times New Roman" w:cs="Times New Roman"/>
          <w:i/>
          <w:iCs/>
          <w:color w:val="000000"/>
          <w:sz w:val="20"/>
          <w:szCs w:val="20"/>
        </w:rPr>
        <w:t>l</w:t>
      </w:r>
      <w:proofErr w:type="spellEnd"/>
      <w:r w:rsidR="002C5EE0" w:rsidRPr="00C00E76">
        <w:rPr>
          <w:rFonts w:ascii="Times New Roman" w:hAnsi="Times New Roman" w:cs="Times New Roman"/>
          <w:i/>
          <w:iCs/>
          <w:color w:val="000000"/>
          <w:sz w:val="20"/>
          <w:szCs w:val="20"/>
        </w:rPr>
        <w:t xml:space="preserve"> </w:t>
      </w:r>
      <w:proofErr w:type="spellStart"/>
      <w:r w:rsidR="002C5EE0" w:rsidRPr="00C00E76">
        <w:rPr>
          <w:rFonts w:ascii="Times New Roman" w:hAnsi="Times New Roman" w:cs="Times New Roman"/>
          <w:i/>
          <w:iCs/>
          <w:color w:val="000000"/>
          <w:sz w:val="20"/>
          <w:szCs w:val="20"/>
        </w:rPr>
        <w:t>M</w:t>
      </w:r>
      <w:r w:rsidRPr="00C00E76">
        <w:rPr>
          <w:rFonts w:ascii="Times New Roman" w:hAnsi="Times New Roman" w:cs="Times New Roman"/>
          <w:i/>
          <w:iCs/>
          <w:color w:val="000000"/>
          <w:sz w:val="20"/>
          <w:szCs w:val="20"/>
        </w:rPr>
        <w:t>etab</w:t>
      </w:r>
      <w:proofErr w:type="spellEnd"/>
      <w:r w:rsidRPr="00C00E76">
        <w:rPr>
          <w:rFonts w:ascii="Times New Roman" w:hAnsi="Times New Roman" w:cs="Times New Roman"/>
          <w:i/>
          <w:iCs/>
          <w:color w:val="000000"/>
          <w:sz w:val="20"/>
          <w:szCs w:val="20"/>
        </w:rPr>
        <w:t>,</w:t>
      </w:r>
      <w:r w:rsidRPr="00C00E76">
        <w:rPr>
          <w:rFonts w:ascii="Times New Roman" w:hAnsi="Times New Roman" w:cs="Times New Roman"/>
          <w:color w:val="000000"/>
          <w:sz w:val="20"/>
          <w:szCs w:val="20"/>
        </w:rPr>
        <w:t xml:space="preserve"> 84(8):2951-6.</w:t>
      </w:r>
      <w:r w:rsidR="00C00E76" w:rsidRPr="00C00E76">
        <w:rPr>
          <w:rFonts w:ascii="Times New Roman" w:hAnsi="Times New Roman" w:cs="Times New Roman" w:hint="eastAsia"/>
          <w:color w:val="000000"/>
          <w:sz w:val="20"/>
          <w:szCs w:val="20"/>
          <w:lang w:eastAsia="zh-CN"/>
        </w:rPr>
        <w:t xml:space="preserve"> </w:t>
      </w:r>
    </w:p>
    <w:p w:rsidR="002C5EE0" w:rsidRPr="002C5EE0" w:rsidRDefault="002C5EE0" w:rsidP="002C5EE0">
      <w:pPr>
        <w:widowControl w:val="0"/>
        <w:tabs>
          <w:tab w:val="left" w:pos="1212"/>
        </w:tabs>
        <w:autoSpaceDE w:val="0"/>
        <w:autoSpaceDN w:val="0"/>
        <w:bidi w:val="0"/>
        <w:snapToGrid w:val="0"/>
        <w:spacing w:after="0" w:line="240" w:lineRule="auto"/>
        <w:ind w:left="425" w:hanging="425"/>
        <w:jc w:val="both"/>
        <w:rPr>
          <w:rFonts w:ascii="Times New Roman" w:hAnsi="Times New Roman" w:cs="Times New Roman"/>
          <w:color w:val="000000"/>
          <w:sz w:val="20"/>
          <w:szCs w:val="20"/>
        </w:rPr>
        <w:sectPr w:rsidR="002C5EE0" w:rsidRPr="002C5EE0" w:rsidSect="002C5EE0">
          <w:headerReference w:type="default" r:id="rId29"/>
          <w:footerReference w:type="default" r:id="rId30"/>
          <w:type w:val="continuous"/>
          <w:pgSz w:w="12242" w:h="15842" w:code="1"/>
          <w:pgMar w:top="1440" w:right="1440" w:bottom="1440" w:left="1440" w:header="720" w:footer="720" w:gutter="0"/>
          <w:cols w:num="2" w:space="550"/>
          <w:docGrid w:linePitch="360"/>
        </w:sectPr>
      </w:pPr>
    </w:p>
    <w:p w:rsidR="004B07CF" w:rsidRPr="002C5EE0" w:rsidRDefault="004B07CF" w:rsidP="002C5EE0">
      <w:pPr>
        <w:widowControl w:val="0"/>
        <w:tabs>
          <w:tab w:val="left" w:pos="1212"/>
        </w:tabs>
        <w:autoSpaceDE w:val="0"/>
        <w:autoSpaceDN w:val="0"/>
        <w:bidi w:val="0"/>
        <w:snapToGrid w:val="0"/>
        <w:spacing w:after="0" w:line="240" w:lineRule="auto"/>
        <w:ind w:left="425" w:hanging="425"/>
        <w:jc w:val="both"/>
        <w:rPr>
          <w:rFonts w:ascii="Times New Roman" w:hAnsi="Times New Roman" w:cs="Times New Roman"/>
          <w:color w:val="000000"/>
          <w:sz w:val="20"/>
          <w:szCs w:val="20"/>
          <w:lang w:eastAsia="zh-CN"/>
        </w:rPr>
      </w:pPr>
    </w:p>
    <w:p w:rsidR="002C5EE0" w:rsidRPr="002C5EE0" w:rsidRDefault="002C5EE0" w:rsidP="002C5EE0">
      <w:pPr>
        <w:widowControl w:val="0"/>
        <w:tabs>
          <w:tab w:val="left" w:pos="1212"/>
        </w:tabs>
        <w:autoSpaceDE w:val="0"/>
        <w:autoSpaceDN w:val="0"/>
        <w:bidi w:val="0"/>
        <w:snapToGrid w:val="0"/>
        <w:spacing w:after="0" w:line="240" w:lineRule="auto"/>
        <w:ind w:left="425" w:hanging="425"/>
        <w:jc w:val="both"/>
        <w:rPr>
          <w:rFonts w:ascii="Times New Roman" w:hAnsi="Times New Roman" w:cs="Times New Roman"/>
          <w:color w:val="000000"/>
          <w:sz w:val="20"/>
          <w:szCs w:val="20"/>
          <w:lang w:eastAsia="zh-CN"/>
        </w:rPr>
      </w:pPr>
    </w:p>
    <w:p w:rsidR="002C5EE0" w:rsidRPr="002C5EE0" w:rsidRDefault="002C5EE0" w:rsidP="002C5EE0">
      <w:pPr>
        <w:widowControl w:val="0"/>
        <w:tabs>
          <w:tab w:val="left" w:pos="1212"/>
        </w:tabs>
        <w:autoSpaceDE w:val="0"/>
        <w:autoSpaceDN w:val="0"/>
        <w:bidi w:val="0"/>
        <w:snapToGrid w:val="0"/>
        <w:spacing w:after="0" w:line="240" w:lineRule="auto"/>
        <w:ind w:left="425" w:hanging="425"/>
        <w:jc w:val="both"/>
        <w:rPr>
          <w:rFonts w:ascii="Times New Roman" w:hAnsi="Times New Roman" w:cs="Times New Roman"/>
          <w:color w:val="000000"/>
          <w:sz w:val="20"/>
          <w:szCs w:val="20"/>
          <w:lang w:eastAsia="zh-CN"/>
        </w:rPr>
      </w:pPr>
    </w:p>
    <w:p w:rsidR="00A173BE" w:rsidRPr="002C5EE0" w:rsidRDefault="004B07CF" w:rsidP="002C5EE0">
      <w:pPr>
        <w:widowControl w:val="0"/>
        <w:tabs>
          <w:tab w:val="left" w:pos="1212"/>
        </w:tabs>
        <w:autoSpaceDE w:val="0"/>
        <w:autoSpaceDN w:val="0"/>
        <w:bidi w:val="0"/>
        <w:snapToGrid w:val="0"/>
        <w:spacing w:after="0" w:line="240" w:lineRule="auto"/>
        <w:ind w:left="425" w:hanging="425"/>
        <w:jc w:val="both"/>
        <w:rPr>
          <w:rFonts w:ascii="Times New Roman" w:hAnsi="Times New Roman" w:cs="Times New Roman"/>
          <w:color w:val="000000"/>
          <w:sz w:val="20"/>
          <w:szCs w:val="20"/>
        </w:rPr>
      </w:pPr>
      <w:r w:rsidRPr="002C5EE0">
        <w:rPr>
          <w:rFonts w:ascii="Times New Roman" w:hAnsi="Times New Roman" w:cs="Times New Roman"/>
          <w:noProof/>
          <w:color w:val="000000"/>
          <w:sz w:val="20"/>
          <w:szCs w:val="20"/>
        </w:rPr>
        <w:t>5/2</w:t>
      </w:r>
      <w:r w:rsidR="002C5EE0" w:rsidRPr="002C5EE0">
        <w:rPr>
          <w:rFonts w:ascii="Times New Roman" w:hAnsi="Times New Roman" w:cs="Times New Roman" w:hint="eastAsia"/>
          <w:noProof/>
          <w:color w:val="000000"/>
          <w:sz w:val="20"/>
          <w:szCs w:val="20"/>
          <w:lang w:eastAsia="zh-CN"/>
        </w:rPr>
        <w:t>2</w:t>
      </w:r>
      <w:r w:rsidRPr="002C5EE0">
        <w:rPr>
          <w:rFonts w:ascii="Times New Roman" w:hAnsi="Times New Roman" w:cs="Times New Roman"/>
          <w:noProof/>
          <w:color w:val="000000"/>
          <w:sz w:val="20"/>
          <w:szCs w:val="20"/>
        </w:rPr>
        <w:t>/2017</w:t>
      </w:r>
    </w:p>
    <w:sectPr w:rsidR="00A173BE" w:rsidRPr="002C5EE0" w:rsidSect="004B07CF">
      <w:headerReference w:type="default" r:id="rId31"/>
      <w:footerReference w:type="default" r:id="rId32"/>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4A6" w:rsidRDefault="000624A6" w:rsidP="00A173BE">
      <w:pPr>
        <w:spacing w:after="0" w:line="240" w:lineRule="auto"/>
      </w:pPr>
      <w:r>
        <w:separator/>
      </w:r>
    </w:p>
  </w:endnote>
  <w:endnote w:type="continuationSeparator" w:id="0">
    <w:p w:rsidR="000624A6" w:rsidRDefault="000624A6" w:rsidP="00A173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E0" w:rsidRPr="002C5EE0" w:rsidRDefault="0040553D" w:rsidP="002C5EE0">
    <w:pPr>
      <w:bidi w:val="0"/>
      <w:spacing w:after="0" w:line="240" w:lineRule="auto"/>
      <w:jc w:val="center"/>
      <w:rPr>
        <w:rFonts w:ascii="Times New Roman" w:hAnsi="Times New Roman" w:cs="Times New Roman"/>
        <w:sz w:val="20"/>
      </w:rPr>
    </w:pPr>
    <w:r w:rsidRPr="002C5EE0">
      <w:rPr>
        <w:rFonts w:ascii="Times New Roman" w:hAnsi="Times New Roman" w:cs="Times New Roman"/>
        <w:sz w:val="20"/>
      </w:rPr>
      <w:fldChar w:fldCharType="begin"/>
    </w:r>
    <w:r w:rsidR="002C5EE0" w:rsidRPr="002C5EE0">
      <w:rPr>
        <w:rFonts w:ascii="Times New Roman" w:hAnsi="Times New Roman" w:cs="Times New Roman"/>
        <w:sz w:val="20"/>
      </w:rPr>
      <w:instrText xml:space="preserve"> page </w:instrText>
    </w:r>
    <w:r w:rsidRPr="002C5EE0">
      <w:rPr>
        <w:rFonts w:ascii="Times New Roman" w:hAnsi="Times New Roman" w:cs="Times New Roman"/>
        <w:sz w:val="20"/>
      </w:rPr>
      <w:fldChar w:fldCharType="separate"/>
    </w:r>
    <w:r w:rsidR="00C00E76">
      <w:rPr>
        <w:rFonts w:ascii="Times New Roman" w:hAnsi="Times New Roman" w:cs="Times New Roman"/>
        <w:noProof/>
        <w:sz w:val="20"/>
      </w:rPr>
      <w:t>1</w:t>
    </w:r>
    <w:r w:rsidRPr="002C5EE0">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E0" w:rsidRPr="002C5EE0" w:rsidRDefault="0040553D" w:rsidP="002C5EE0">
    <w:pPr>
      <w:bidi w:val="0"/>
      <w:spacing w:after="0" w:line="240" w:lineRule="auto"/>
      <w:jc w:val="center"/>
      <w:rPr>
        <w:rFonts w:ascii="Times New Roman" w:hAnsi="Times New Roman" w:cs="Times New Roman"/>
        <w:sz w:val="20"/>
      </w:rPr>
    </w:pPr>
    <w:r w:rsidRPr="002C5EE0">
      <w:rPr>
        <w:rFonts w:ascii="Times New Roman" w:hAnsi="Times New Roman" w:cs="Times New Roman"/>
        <w:sz w:val="20"/>
      </w:rPr>
      <w:fldChar w:fldCharType="begin"/>
    </w:r>
    <w:r w:rsidR="002C5EE0" w:rsidRPr="002C5EE0">
      <w:rPr>
        <w:rFonts w:ascii="Times New Roman" w:hAnsi="Times New Roman" w:cs="Times New Roman"/>
        <w:sz w:val="20"/>
      </w:rPr>
      <w:instrText xml:space="preserve"> page </w:instrText>
    </w:r>
    <w:r w:rsidRPr="002C5EE0">
      <w:rPr>
        <w:rFonts w:ascii="Times New Roman" w:hAnsi="Times New Roman" w:cs="Times New Roman"/>
        <w:sz w:val="20"/>
      </w:rPr>
      <w:fldChar w:fldCharType="separate"/>
    </w:r>
    <w:r w:rsidR="00C00E76">
      <w:rPr>
        <w:rFonts w:ascii="Times New Roman" w:hAnsi="Times New Roman" w:cs="Times New Roman"/>
        <w:noProof/>
        <w:sz w:val="20"/>
      </w:rPr>
      <w:t>2</w:t>
    </w:r>
    <w:r w:rsidRPr="002C5EE0">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E0" w:rsidRPr="002C5EE0" w:rsidRDefault="0040553D" w:rsidP="002C5EE0">
    <w:pPr>
      <w:bidi w:val="0"/>
      <w:spacing w:after="0" w:line="240" w:lineRule="auto"/>
      <w:jc w:val="center"/>
      <w:rPr>
        <w:rFonts w:ascii="Times New Roman" w:hAnsi="Times New Roman" w:cs="Times New Roman"/>
        <w:sz w:val="20"/>
      </w:rPr>
    </w:pPr>
    <w:r w:rsidRPr="002C5EE0">
      <w:rPr>
        <w:rFonts w:ascii="Times New Roman" w:hAnsi="Times New Roman" w:cs="Times New Roman"/>
        <w:sz w:val="20"/>
      </w:rPr>
      <w:fldChar w:fldCharType="begin"/>
    </w:r>
    <w:r w:rsidR="002C5EE0" w:rsidRPr="002C5EE0">
      <w:rPr>
        <w:rFonts w:ascii="Times New Roman" w:hAnsi="Times New Roman" w:cs="Times New Roman"/>
        <w:sz w:val="20"/>
      </w:rPr>
      <w:instrText xml:space="preserve"> page </w:instrText>
    </w:r>
    <w:r w:rsidRPr="002C5EE0">
      <w:rPr>
        <w:rFonts w:ascii="Times New Roman" w:hAnsi="Times New Roman" w:cs="Times New Roman"/>
        <w:sz w:val="20"/>
      </w:rPr>
      <w:fldChar w:fldCharType="separate"/>
    </w:r>
    <w:r w:rsidR="002C5EE0">
      <w:rPr>
        <w:rFonts w:ascii="Times New Roman" w:hAnsi="Times New Roman" w:cs="Times New Roman"/>
        <w:noProof/>
        <w:sz w:val="20"/>
      </w:rPr>
      <w:t>1</w:t>
    </w:r>
    <w:r w:rsidRPr="002C5EE0">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E0" w:rsidRPr="002C5EE0" w:rsidRDefault="0040553D" w:rsidP="002C5EE0">
    <w:pPr>
      <w:bidi w:val="0"/>
      <w:spacing w:after="0" w:line="240" w:lineRule="auto"/>
      <w:jc w:val="center"/>
      <w:rPr>
        <w:rFonts w:ascii="Times New Roman" w:hAnsi="Times New Roman" w:cs="Times New Roman"/>
        <w:sz w:val="20"/>
      </w:rPr>
    </w:pPr>
    <w:r w:rsidRPr="002C5EE0">
      <w:rPr>
        <w:rFonts w:ascii="Times New Roman" w:hAnsi="Times New Roman" w:cs="Times New Roman"/>
        <w:sz w:val="20"/>
      </w:rPr>
      <w:fldChar w:fldCharType="begin"/>
    </w:r>
    <w:r w:rsidR="002C5EE0" w:rsidRPr="002C5EE0">
      <w:rPr>
        <w:rFonts w:ascii="Times New Roman" w:hAnsi="Times New Roman" w:cs="Times New Roman"/>
        <w:sz w:val="20"/>
      </w:rPr>
      <w:instrText xml:space="preserve"> page </w:instrText>
    </w:r>
    <w:r w:rsidRPr="002C5EE0">
      <w:rPr>
        <w:rFonts w:ascii="Times New Roman" w:hAnsi="Times New Roman" w:cs="Times New Roman"/>
        <w:sz w:val="20"/>
      </w:rPr>
      <w:fldChar w:fldCharType="separate"/>
    </w:r>
    <w:r w:rsidR="00C00E76">
      <w:rPr>
        <w:rFonts w:ascii="Times New Roman" w:hAnsi="Times New Roman" w:cs="Times New Roman"/>
        <w:noProof/>
        <w:sz w:val="20"/>
      </w:rPr>
      <w:t>3</w:t>
    </w:r>
    <w:r w:rsidRPr="002C5EE0">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E0" w:rsidRPr="002C5EE0" w:rsidRDefault="0040553D" w:rsidP="002C5EE0">
    <w:pPr>
      <w:bidi w:val="0"/>
      <w:spacing w:after="0" w:line="240" w:lineRule="auto"/>
      <w:jc w:val="center"/>
      <w:rPr>
        <w:rFonts w:ascii="Times New Roman" w:hAnsi="Times New Roman" w:cs="Times New Roman"/>
        <w:sz w:val="20"/>
      </w:rPr>
    </w:pPr>
    <w:r w:rsidRPr="002C5EE0">
      <w:rPr>
        <w:rFonts w:ascii="Times New Roman" w:hAnsi="Times New Roman" w:cs="Times New Roman"/>
        <w:sz w:val="20"/>
      </w:rPr>
      <w:fldChar w:fldCharType="begin"/>
    </w:r>
    <w:r w:rsidR="002C5EE0" w:rsidRPr="002C5EE0">
      <w:rPr>
        <w:rFonts w:ascii="Times New Roman" w:hAnsi="Times New Roman" w:cs="Times New Roman"/>
        <w:sz w:val="20"/>
      </w:rPr>
      <w:instrText xml:space="preserve"> page </w:instrText>
    </w:r>
    <w:r w:rsidRPr="002C5EE0">
      <w:rPr>
        <w:rFonts w:ascii="Times New Roman" w:hAnsi="Times New Roman" w:cs="Times New Roman"/>
        <w:sz w:val="20"/>
      </w:rPr>
      <w:fldChar w:fldCharType="separate"/>
    </w:r>
    <w:r w:rsidR="00C00E76">
      <w:rPr>
        <w:rFonts w:ascii="Times New Roman" w:hAnsi="Times New Roman" w:cs="Times New Roman"/>
        <w:noProof/>
        <w:sz w:val="20"/>
      </w:rPr>
      <w:t>7</w:t>
    </w:r>
    <w:r w:rsidRPr="002C5EE0">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E0" w:rsidRPr="002C5EE0" w:rsidRDefault="0040553D" w:rsidP="002C5EE0">
    <w:pPr>
      <w:bidi w:val="0"/>
      <w:spacing w:after="0" w:line="240" w:lineRule="auto"/>
      <w:jc w:val="center"/>
      <w:rPr>
        <w:rFonts w:ascii="Times New Roman" w:hAnsi="Times New Roman" w:cs="Times New Roman"/>
        <w:sz w:val="20"/>
      </w:rPr>
    </w:pPr>
    <w:r w:rsidRPr="002C5EE0">
      <w:rPr>
        <w:rFonts w:ascii="Times New Roman" w:hAnsi="Times New Roman" w:cs="Times New Roman"/>
        <w:sz w:val="20"/>
      </w:rPr>
      <w:fldChar w:fldCharType="begin"/>
    </w:r>
    <w:r w:rsidR="002C5EE0" w:rsidRPr="002C5EE0">
      <w:rPr>
        <w:rFonts w:ascii="Times New Roman" w:hAnsi="Times New Roman" w:cs="Times New Roman"/>
        <w:sz w:val="20"/>
      </w:rPr>
      <w:instrText xml:space="preserve"> page </w:instrText>
    </w:r>
    <w:r w:rsidRPr="002C5EE0">
      <w:rPr>
        <w:rFonts w:ascii="Times New Roman" w:hAnsi="Times New Roman" w:cs="Times New Roman"/>
        <w:sz w:val="20"/>
      </w:rPr>
      <w:fldChar w:fldCharType="separate"/>
    </w:r>
    <w:r w:rsidR="00C00E76">
      <w:rPr>
        <w:rFonts w:ascii="Times New Roman" w:hAnsi="Times New Roman" w:cs="Times New Roman"/>
        <w:noProof/>
        <w:sz w:val="20"/>
      </w:rPr>
      <w:t>9</w:t>
    </w:r>
    <w:r w:rsidRPr="002C5EE0">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E0" w:rsidRPr="002C5EE0" w:rsidRDefault="0040553D" w:rsidP="002C5EE0">
    <w:pPr>
      <w:bidi w:val="0"/>
      <w:spacing w:after="0" w:line="240" w:lineRule="auto"/>
      <w:jc w:val="center"/>
      <w:rPr>
        <w:rFonts w:ascii="Times New Roman" w:hAnsi="Times New Roman" w:cs="Times New Roman"/>
        <w:sz w:val="20"/>
      </w:rPr>
    </w:pPr>
    <w:r w:rsidRPr="002C5EE0">
      <w:rPr>
        <w:rFonts w:ascii="Times New Roman" w:hAnsi="Times New Roman" w:cs="Times New Roman"/>
        <w:sz w:val="20"/>
      </w:rPr>
      <w:fldChar w:fldCharType="begin"/>
    </w:r>
    <w:r w:rsidR="002C5EE0" w:rsidRPr="002C5EE0">
      <w:rPr>
        <w:rFonts w:ascii="Times New Roman" w:hAnsi="Times New Roman" w:cs="Times New Roman"/>
        <w:sz w:val="20"/>
      </w:rPr>
      <w:instrText xml:space="preserve"> page </w:instrText>
    </w:r>
    <w:r w:rsidRPr="002C5EE0">
      <w:rPr>
        <w:rFonts w:ascii="Times New Roman" w:hAnsi="Times New Roman" w:cs="Times New Roman"/>
        <w:sz w:val="20"/>
      </w:rPr>
      <w:fldChar w:fldCharType="separate"/>
    </w:r>
    <w:r w:rsidR="002C5EE0">
      <w:rPr>
        <w:rFonts w:ascii="Times New Roman" w:hAnsi="Times New Roman" w:cs="Times New Roman"/>
        <w:noProof/>
        <w:sz w:val="20"/>
      </w:rPr>
      <w:t>10</w:t>
    </w:r>
    <w:r w:rsidRPr="002C5EE0">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4A6" w:rsidRDefault="000624A6" w:rsidP="00A173BE">
      <w:pPr>
        <w:spacing w:after="0" w:line="240" w:lineRule="auto"/>
      </w:pPr>
      <w:r>
        <w:separator/>
      </w:r>
    </w:p>
  </w:footnote>
  <w:footnote w:type="continuationSeparator" w:id="0">
    <w:p w:rsidR="000624A6" w:rsidRDefault="000624A6" w:rsidP="00A173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E0" w:rsidRPr="002C5EE0" w:rsidRDefault="002C5EE0" w:rsidP="002C5EE0">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2C5EE0">
      <w:rPr>
        <w:rFonts w:ascii="Times New Roman" w:hAnsi="Times New Roman" w:cs="Times New Roman" w:hint="eastAsia"/>
        <w:sz w:val="20"/>
        <w:szCs w:val="20"/>
      </w:rPr>
      <w:tab/>
    </w:r>
    <w:r w:rsidRPr="002C5EE0">
      <w:rPr>
        <w:rFonts w:ascii="Times New Roman" w:hAnsi="Times New Roman" w:cs="Times New Roman"/>
        <w:sz w:val="20"/>
        <w:szCs w:val="20"/>
      </w:rPr>
      <w:t>New York Science Journal 201</w:t>
    </w:r>
    <w:r w:rsidRPr="002C5EE0">
      <w:rPr>
        <w:rFonts w:ascii="Times New Roman" w:hAnsi="Times New Roman" w:cs="Times New Roman" w:hint="eastAsia"/>
        <w:sz w:val="20"/>
        <w:szCs w:val="20"/>
      </w:rPr>
      <w:t>7</w:t>
    </w:r>
    <w:r w:rsidRPr="002C5EE0">
      <w:rPr>
        <w:rFonts w:ascii="Times New Roman" w:hAnsi="Times New Roman" w:cs="Times New Roman"/>
        <w:sz w:val="20"/>
        <w:szCs w:val="20"/>
      </w:rPr>
      <w:t>;</w:t>
    </w:r>
    <w:r w:rsidRPr="002C5EE0">
      <w:rPr>
        <w:rFonts w:ascii="Times New Roman" w:hAnsi="Times New Roman" w:cs="Times New Roman" w:hint="eastAsia"/>
        <w:sz w:val="20"/>
        <w:szCs w:val="20"/>
      </w:rPr>
      <w:t>10</w:t>
    </w:r>
    <w:r w:rsidRPr="002C5EE0">
      <w:rPr>
        <w:rFonts w:ascii="Times New Roman" w:hAnsi="Times New Roman" w:cs="Times New Roman"/>
        <w:sz w:val="20"/>
        <w:szCs w:val="20"/>
      </w:rPr>
      <w:t>(</w:t>
    </w:r>
    <w:r w:rsidRPr="002C5EE0">
      <w:rPr>
        <w:rFonts w:ascii="Times New Roman" w:hAnsi="Times New Roman" w:cs="Times New Roman" w:hint="eastAsia"/>
        <w:sz w:val="20"/>
        <w:szCs w:val="20"/>
      </w:rPr>
      <w:t>7</w:t>
    </w:r>
    <w:r w:rsidRPr="002C5EE0">
      <w:rPr>
        <w:rFonts w:ascii="Times New Roman" w:hAnsi="Times New Roman" w:cs="Times New Roman"/>
        <w:sz w:val="20"/>
        <w:szCs w:val="20"/>
      </w:rPr>
      <w:t>)</w:t>
    </w:r>
    <w:r w:rsidRPr="002C5EE0">
      <w:rPr>
        <w:rFonts w:ascii="Times New Roman" w:hAnsi="Times New Roman" w:cs="Times New Roman"/>
        <w:iCs/>
        <w:sz w:val="20"/>
        <w:szCs w:val="20"/>
      </w:rPr>
      <w:t xml:space="preserve">     </w:t>
    </w:r>
    <w:r w:rsidRPr="002C5EE0">
      <w:rPr>
        <w:rFonts w:ascii="Times New Roman" w:hAnsi="Times New Roman" w:cs="Times New Roman" w:hint="eastAsia"/>
        <w:iCs/>
        <w:sz w:val="20"/>
        <w:szCs w:val="20"/>
      </w:rPr>
      <w:tab/>
    </w:r>
    <w:r w:rsidRPr="002C5EE0">
      <w:rPr>
        <w:rFonts w:ascii="Times New Roman" w:hAnsi="Times New Roman" w:cs="Times New Roman"/>
        <w:iCs/>
        <w:sz w:val="20"/>
        <w:szCs w:val="20"/>
      </w:rPr>
      <w:t xml:space="preserve"> </w:t>
    </w:r>
    <w:r w:rsidRPr="002C5EE0">
      <w:rPr>
        <w:rFonts w:ascii="Times New Roman" w:hAnsi="Times New Roman" w:cs="Times New Roman" w:hint="eastAsia"/>
        <w:iCs/>
        <w:sz w:val="20"/>
        <w:szCs w:val="20"/>
      </w:rPr>
      <w:t xml:space="preserve"> </w:t>
    </w:r>
    <w:r w:rsidRPr="002C5EE0">
      <w:rPr>
        <w:rFonts w:ascii="Times New Roman" w:hAnsi="Times New Roman" w:cs="Times New Roman"/>
        <w:iCs/>
        <w:sz w:val="20"/>
        <w:szCs w:val="20"/>
      </w:rPr>
      <w:t xml:space="preserve">   </w:t>
    </w:r>
    <w:hyperlink r:id="rId1" w:history="1">
      <w:r w:rsidRPr="002C5EE0">
        <w:rPr>
          <w:rStyle w:val="Hyperlink"/>
          <w:rFonts w:ascii="Times New Roman" w:hAnsi="Times New Roman" w:cs="Times New Roman"/>
          <w:color w:val="0000FF"/>
          <w:sz w:val="20"/>
          <w:szCs w:val="20"/>
        </w:rPr>
        <w:t>http://www.sciencepub.net/newyork</w:t>
      </w:r>
    </w:hyperlink>
  </w:p>
  <w:p w:rsidR="002C5EE0" w:rsidRPr="002C5EE0" w:rsidRDefault="002C5EE0" w:rsidP="002C5EE0">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E0" w:rsidRPr="002C5EE0" w:rsidRDefault="002C5EE0" w:rsidP="002C5EE0">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2C5EE0">
      <w:rPr>
        <w:rFonts w:ascii="Times New Roman" w:hAnsi="Times New Roman" w:cs="Times New Roman" w:hint="eastAsia"/>
        <w:sz w:val="20"/>
        <w:szCs w:val="20"/>
      </w:rPr>
      <w:tab/>
    </w:r>
    <w:r w:rsidRPr="002C5EE0">
      <w:rPr>
        <w:rFonts w:ascii="Times New Roman" w:hAnsi="Times New Roman" w:cs="Times New Roman"/>
        <w:sz w:val="20"/>
        <w:szCs w:val="20"/>
      </w:rPr>
      <w:t>New York Science Journal 201</w:t>
    </w:r>
    <w:r w:rsidRPr="002C5EE0">
      <w:rPr>
        <w:rFonts w:ascii="Times New Roman" w:hAnsi="Times New Roman" w:cs="Times New Roman" w:hint="eastAsia"/>
        <w:sz w:val="20"/>
        <w:szCs w:val="20"/>
      </w:rPr>
      <w:t>7</w:t>
    </w:r>
    <w:r w:rsidRPr="002C5EE0">
      <w:rPr>
        <w:rFonts w:ascii="Times New Roman" w:hAnsi="Times New Roman" w:cs="Times New Roman"/>
        <w:sz w:val="20"/>
        <w:szCs w:val="20"/>
      </w:rPr>
      <w:t>;</w:t>
    </w:r>
    <w:r w:rsidRPr="002C5EE0">
      <w:rPr>
        <w:rFonts w:ascii="Times New Roman" w:hAnsi="Times New Roman" w:cs="Times New Roman" w:hint="eastAsia"/>
        <w:sz w:val="20"/>
        <w:szCs w:val="20"/>
      </w:rPr>
      <w:t>10</w:t>
    </w:r>
    <w:r w:rsidRPr="002C5EE0">
      <w:rPr>
        <w:rFonts w:ascii="Times New Roman" w:hAnsi="Times New Roman" w:cs="Times New Roman"/>
        <w:sz w:val="20"/>
        <w:szCs w:val="20"/>
      </w:rPr>
      <w:t>(</w:t>
    </w:r>
    <w:r w:rsidRPr="002C5EE0">
      <w:rPr>
        <w:rFonts w:ascii="Times New Roman" w:hAnsi="Times New Roman" w:cs="Times New Roman" w:hint="eastAsia"/>
        <w:sz w:val="20"/>
        <w:szCs w:val="20"/>
      </w:rPr>
      <w:t>7</w:t>
    </w:r>
    <w:r w:rsidRPr="002C5EE0">
      <w:rPr>
        <w:rFonts w:ascii="Times New Roman" w:hAnsi="Times New Roman" w:cs="Times New Roman"/>
        <w:sz w:val="20"/>
        <w:szCs w:val="20"/>
      </w:rPr>
      <w:t>)</w:t>
    </w:r>
    <w:r w:rsidRPr="002C5EE0">
      <w:rPr>
        <w:rFonts w:ascii="Times New Roman" w:hAnsi="Times New Roman" w:cs="Times New Roman"/>
        <w:iCs/>
        <w:sz w:val="20"/>
        <w:szCs w:val="20"/>
      </w:rPr>
      <w:t xml:space="preserve">     </w:t>
    </w:r>
    <w:r w:rsidRPr="002C5EE0">
      <w:rPr>
        <w:rFonts w:ascii="Times New Roman" w:hAnsi="Times New Roman" w:cs="Times New Roman" w:hint="eastAsia"/>
        <w:iCs/>
        <w:sz w:val="20"/>
        <w:szCs w:val="20"/>
      </w:rPr>
      <w:tab/>
    </w:r>
    <w:r w:rsidRPr="002C5EE0">
      <w:rPr>
        <w:rFonts w:ascii="Times New Roman" w:hAnsi="Times New Roman" w:cs="Times New Roman"/>
        <w:iCs/>
        <w:sz w:val="20"/>
        <w:szCs w:val="20"/>
      </w:rPr>
      <w:t xml:space="preserve"> </w:t>
    </w:r>
    <w:r w:rsidRPr="002C5EE0">
      <w:rPr>
        <w:rFonts w:ascii="Times New Roman" w:hAnsi="Times New Roman" w:cs="Times New Roman" w:hint="eastAsia"/>
        <w:iCs/>
        <w:sz w:val="20"/>
        <w:szCs w:val="20"/>
      </w:rPr>
      <w:t xml:space="preserve"> </w:t>
    </w:r>
    <w:r w:rsidRPr="002C5EE0">
      <w:rPr>
        <w:rFonts w:ascii="Times New Roman" w:hAnsi="Times New Roman" w:cs="Times New Roman"/>
        <w:iCs/>
        <w:sz w:val="20"/>
        <w:szCs w:val="20"/>
      </w:rPr>
      <w:t xml:space="preserve">   </w:t>
    </w:r>
    <w:hyperlink r:id="rId1" w:history="1">
      <w:r w:rsidRPr="002C5EE0">
        <w:rPr>
          <w:rStyle w:val="Hyperlink"/>
          <w:rFonts w:ascii="Times New Roman" w:hAnsi="Times New Roman" w:cs="Times New Roman"/>
          <w:color w:val="0000FF"/>
          <w:sz w:val="20"/>
          <w:szCs w:val="20"/>
        </w:rPr>
        <w:t>http://www.sciencepub.net/newyork</w:t>
      </w:r>
    </w:hyperlink>
  </w:p>
  <w:p w:rsidR="002C5EE0" w:rsidRPr="002C5EE0" w:rsidRDefault="002C5EE0" w:rsidP="002C5EE0">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E0" w:rsidRPr="002C5EE0" w:rsidRDefault="002C5EE0" w:rsidP="002C5EE0">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2C5EE0">
      <w:rPr>
        <w:rFonts w:ascii="Times New Roman" w:hAnsi="Times New Roman" w:cs="Times New Roman" w:hint="eastAsia"/>
        <w:sz w:val="20"/>
        <w:szCs w:val="20"/>
      </w:rPr>
      <w:tab/>
    </w:r>
    <w:r w:rsidRPr="002C5EE0">
      <w:rPr>
        <w:rFonts w:ascii="Times New Roman" w:hAnsi="Times New Roman" w:cs="Times New Roman"/>
        <w:sz w:val="20"/>
        <w:szCs w:val="20"/>
      </w:rPr>
      <w:t>New York Science Journal 201</w:t>
    </w:r>
    <w:r w:rsidRPr="002C5EE0">
      <w:rPr>
        <w:rFonts w:ascii="Times New Roman" w:hAnsi="Times New Roman" w:cs="Times New Roman" w:hint="eastAsia"/>
        <w:sz w:val="20"/>
        <w:szCs w:val="20"/>
      </w:rPr>
      <w:t>7</w:t>
    </w:r>
    <w:r w:rsidRPr="002C5EE0">
      <w:rPr>
        <w:rFonts w:ascii="Times New Roman" w:hAnsi="Times New Roman" w:cs="Times New Roman"/>
        <w:sz w:val="20"/>
        <w:szCs w:val="20"/>
      </w:rPr>
      <w:t>;</w:t>
    </w:r>
    <w:r w:rsidRPr="002C5EE0">
      <w:rPr>
        <w:rFonts w:ascii="Times New Roman" w:hAnsi="Times New Roman" w:cs="Times New Roman" w:hint="eastAsia"/>
        <w:sz w:val="20"/>
        <w:szCs w:val="20"/>
      </w:rPr>
      <w:t>10</w:t>
    </w:r>
    <w:r w:rsidRPr="002C5EE0">
      <w:rPr>
        <w:rFonts w:ascii="Times New Roman" w:hAnsi="Times New Roman" w:cs="Times New Roman"/>
        <w:sz w:val="20"/>
        <w:szCs w:val="20"/>
      </w:rPr>
      <w:t>(</w:t>
    </w:r>
    <w:r w:rsidRPr="002C5EE0">
      <w:rPr>
        <w:rFonts w:ascii="Times New Roman" w:hAnsi="Times New Roman" w:cs="Times New Roman" w:hint="eastAsia"/>
        <w:sz w:val="20"/>
        <w:szCs w:val="20"/>
      </w:rPr>
      <w:t>7</w:t>
    </w:r>
    <w:r w:rsidRPr="002C5EE0">
      <w:rPr>
        <w:rFonts w:ascii="Times New Roman" w:hAnsi="Times New Roman" w:cs="Times New Roman"/>
        <w:sz w:val="20"/>
        <w:szCs w:val="20"/>
      </w:rPr>
      <w:t>)</w:t>
    </w:r>
    <w:r w:rsidRPr="002C5EE0">
      <w:rPr>
        <w:rFonts w:ascii="Times New Roman" w:hAnsi="Times New Roman" w:cs="Times New Roman"/>
        <w:iCs/>
        <w:sz w:val="20"/>
        <w:szCs w:val="20"/>
      </w:rPr>
      <w:t xml:space="preserve">     </w:t>
    </w:r>
    <w:r w:rsidRPr="002C5EE0">
      <w:rPr>
        <w:rFonts w:ascii="Times New Roman" w:hAnsi="Times New Roman" w:cs="Times New Roman" w:hint="eastAsia"/>
        <w:iCs/>
        <w:sz w:val="20"/>
        <w:szCs w:val="20"/>
      </w:rPr>
      <w:tab/>
    </w:r>
    <w:r w:rsidRPr="002C5EE0">
      <w:rPr>
        <w:rFonts w:ascii="Times New Roman" w:hAnsi="Times New Roman" w:cs="Times New Roman"/>
        <w:iCs/>
        <w:sz w:val="20"/>
        <w:szCs w:val="20"/>
      </w:rPr>
      <w:t xml:space="preserve"> </w:t>
    </w:r>
    <w:r w:rsidRPr="002C5EE0">
      <w:rPr>
        <w:rFonts w:ascii="Times New Roman" w:hAnsi="Times New Roman" w:cs="Times New Roman" w:hint="eastAsia"/>
        <w:iCs/>
        <w:sz w:val="20"/>
        <w:szCs w:val="20"/>
      </w:rPr>
      <w:t xml:space="preserve"> </w:t>
    </w:r>
    <w:r w:rsidRPr="002C5EE0">
      <w:rPr>
        <w:rFonts w:ascii="Times New Roman" w:hAnsi="Times New Roman" w:cs="Times New Roman"/>
        <w:iCs/>
        <w:sz w:val="20"/>
        <w:szCs w:val="20"/>
      </w:rPr>
      <w:t xml:space="preserve">   </w:t>
    </w:r>
    <w:hyperlink r:id="rId1" w:history="1">
      <w:r w:rsidRPr="002C5EE0">
        <w:rPr>
          <w:rStyle w:val="Hyperlink"/>
          <w:rFonts w:ascii="Times New Roman" w:hAnsi="Times New Roman" w:cs="Times New Roman"/>
          <w:color w:val="0000FF"/>
          <w:sz w:val="20"/>
          <w:szCs w:val="20"/>
        </w:rPr>
        <w:t>http://www.sciencepub.net/newyork</w:t>
      </w:r>
    </w:hyperlink>
  </w:p>
  <w:p w:rsidR="002C5EE0" w:rsidRPr="002C5EE0" w:rsidRDefault="002C5EE0" w:rsidP="002C5EE0">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E0" w:rsidRPr="002C5EE0" w:rsidRDefault="002C5EE0" w:rsidP="002C5EE0">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2C5EE0">
      <w:rPr>
        <w:rFonts w:ascii="Times New Roman" w:hAnsi="Times New Roman" w:cs="Times New Roman" w:hint="eastAsia"/>
        <w:sz w:val="20"/>
        <w:szCs w:val="20"/>
      </w:rPr>
      <w:tab/>
    </w:r>
    <w:r w:rsidRPr="002C5EE0">
      <w:rPr>
        <w:rFonts w:ascii="Times New Roman" w:hAnsi="Times New Roman" w:cs="Times New Roman"/>
        <w:sz w:val="20"/>
        <w:szCs w:val="20"/>
      </w:rPr>
      <w:t>New York Science Journal 201</w:t>
    </w:r>
    <w:r w:rsidRPr="002C5EE0">
      <w:rPr>
        <w:rFonts w:ascii="Times New Roman" w:hAnsi="Times New Roman" w:cs="Times New Roman" w:hint="eastAsia"/>
        <w:sz w:val="20"/>
        <w:szCs w:val="20"/>
      </w:rPr>
      <w:t>7</w:t>
    </w:r>
    <w:r w:rsidRPr="002C5EE0">
      <w:rPr>
        <w:rFonts w:ascii="Times New Roman" w:hAnsi="Times New Roman" w:cs="Times New Roman"/>
        <w:sz w:val="20"/>
        <w:szCs w:val="20"/>
      </w:rPr>
      <w:t>;</w:t>
    </w:r>
    <w:r w:rsidRPr="002C5EE0">
      <w:rPr>
        <w:rFonts w:ascii="Times New Roman" w:hAnsi="Times New Roman" w:cs="Times New Roman" w:hint="eastAsia"/>
        <w:sz w:val="20"/>
        <w:szCs w:val="20"/>
      </w:rPr>
      <w:t>10</w:t>
    </w:r>
    <w:r w:rsidRPr="002C5EE0">
      <w:rPr>
        <w:rFonts w:ascii="Times New Roman" w:hAnsi="Times New Roman" w:cs="Times New Roman"/>
        <w:sz w:val="20"/>
        <w:szCs w:val="20"/>
      </w:rPr>
      <w:t>(</w:t>
    </w:r>
    <w:r w:rsidRPr="002C5EE0">
      <w:rPr>
        <w:rFonts w:ascii="Times New Roman" w:hAnsi="Times New Roman" w:cs="Times New Roman" w:hint="eastAsia"/>
        <w:sz w:val="20"/>
        <w:szCs w:val="20"/>
      </w:rPr>
      <w:t>7</w:t>
    </w:r>
    <w:r w:rsidRPr="002C5EE0">
      <w:rPr>
        <w:rFonts w:ascii="Times New Roman" w:hAnsi="Times New Roman" w:cs="Times New Roman"/>
        <w:sz w:val="20"/>
        <w:szCs w:val="20"/>
      </w:rPr>
      <w:t>)</w:t>
    </w:r>
    <w:r w:rsidRPr="002C5EE0">
      <w:rPr>
        <w:rFonts w:ascii="Times New Roman" w:hAnsi="Times New Roman" w:cs="Times New Roman"/>
        <w:iCs/>
        <w:sz w:val="20"/>
        <w:szCs w:val="20"/>
      </w:rPr>
      <w:t xml:space="preserve">     </w:t>
    </w:r>
    <w:r w:rsidRPr="002C5EE0">
      <w:rPr>
        <w:rFonts w:ascii="Times New Roman" w:hAnsi="Times New Roman" w:cs="Times New Roman" w:hint="eastAsia"/>
        <w:iCs/>
        <w:sz w:val="20"/>
        <w:szCs w:val="20"/>
      </w:rPr>
      <w:tab/>
    </w:r>
    <w:r w:rsidRPr="002C5EE0">
      <w:rPr>
        <w:rFonts w:ascii="Times New Roman" w:hAnsi="Times New Roman" w:cs="Times New Roman"/>
        <w:iCs/>
        <w:sz w:val="20"/>
        <w:szCs w:val="20"/>
      </w:rPr>
      <w:t xml:space="preserve"> </w:t>
    </w:r>
    <w:r w:rsidRPr="002C5EE0">
      <w:rPr>
        <w:rFonts w:ascii="Times New Roman" w:hAnsi="Times New Roman" w:cs="Times New Roman" w:hint="eastAsia"/>
        <w:iCs/>
        <w:sz w:val="20"/>
        <w:szCs w:val="20"/>
      </w:rPr>
      <w:t xml:space="preserve"> </w:t>
    </w:r>
    <w:r w:rsidRPr="002C5EE0">
      <w:rPr>
        <w:rFonts w:ascii="Times New Roman" w:hAnsi="Times New Roman" w:cs="Times New Roman"/>
        <w:iCs/>
        <w:sz w:val="20"/>
        <w:szCs w:val="20"/>
      </w:rPr>
      <w:t xml:space="preserve">   </w:t>
    </w:r>
    <w:hyperlink r:id="rId1" w:history="1">
      <w:r w:rsidRPr="002C5EE0">
        <w:rPr>
          <w:rStyle w:val="Hyperlink"/>
          <w:rFonts w:ascii="Times New Roman" w:hAnsi="Times New Roman" w:cs="Times New Roman"/>
          <w:color w:val="0000FF"/>
          <w:sz w:val="20"/>
          <w:szCs w:val="20"/>
        </w:rPr>
        <w:t>http://www.sciencepub.net/newyork</w:t>
      </w:r>
    </w:hyperlink>
  </w:p>
  <w:p w:rsidR="002C5EE0" w:rsidRPr="002C5EE0" w:rsidRDefault="002C5EE0" w:rsidP="002C5EE0">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E0" w:rsidRPr="002C5EE0" w:rsidRDefault="002C5EE0" w:rsidP="002C5EE0">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2C5EE0">
      <w:rPr>
        <w:rFonts w:ascii="Times New Roman" w:hAnsi="Times New Roman" w:cs="Times New Roman" w:hint="eastAsia"/>
        <w:sz w:val="20"/>
        <w:szCs w:val="20"/>
      </w:rPr>
      <w:tab/>
    </w:r>
    <w:r w:rsidRPr="002C5EE0">
      <w:rPr>
        <w:rFonts w:ascii="Times New Roman" w:hAnsi="Times New Roman" w:cs="Times New Roman"/>
        <w:sz w:val="20"/>
        <w:szCs w:val="20"/>
      </w:rPr>
      <w:t>New York Science Journal 201</w:t>
    </w:r>
    <w:r w:rsidRPr="002C5EE0">
      <w:rPr>
        <w:rFonts w:ascii="Times New Roman" w:hAnsi="Times New Roman" w:cs="Times New Roman" w:hint="eastAsia"/>
        <w:sz w:val="20"/>
        <w:szCs w:val="20"/>
      </w:rPr>
      <w:t>7</w:t>
    </w:r>
    <w:r w:rsidRPr="002C5EE0">
      <w:rPr>
        <w:rFonts w:ascii="Times New Roman" w:hAnsi="Times New Roman" w:cs="Times New Roman"/>
        <w:sz w:val="20"/>
        <w:szCs w:val="20"/>
      </w:rPr>
      <w:t>;</w:t>
    </w:r>
    <w:r w:rsidRPr="002C5EE0">
      <w:rPr>
        <w:rFonts w:ascii="Times New Roman" w:hAnsi="Times New Roman" w:cs="Times New Roman" w:hint="eastAsia"/>
        <w:sz w:val="20"/>
        <w:szCs w:val="20"/>
      </w:rPr>
      <w:t>10</w:t>
    </w:r>
    <w:r w:rsidRPr="002C5EE0">
      <w:rPr>
        <w:rFonts w:ascii="Times New Roman" w:hAnsi="Times New Roman" w:cs="Times New Roman"/>
        <w:sz w:val="20"/>
        <w:szCs w:val="20"/>
      </w:rPr>
      <w:t>(</w:t>
    </w:r>
    <w:r w:rsidRPr="002C5EE0">
      <w:rPr>
        <w:rFonts w:ascii="Times New Roman" w:hAnsi="Times New Roman" w:cs="Times New Roman" w:hint="eastAsia"/>
        <w:sz w:val="20"/>
        <w:szCs w:val="20"/>
      </w:rPr>
      <w:t>7</w:t>
    </w:r>
    <w:r w:rsidRPr="002C5EE0">
      <w:rPr>
        <w:rFonts w:ascii="Times New Roman" w:hAnsi="Times New Roman" w:cs="Times New Roman"/>
        <w:sz w:val="20"/>
        <w:szCs w:val="20"/>
      </w:rPr>
      <w:t>)</w:t>
    </w:r>
    <w:r w:rsidRPr="002C5EE0">
      <w:rPr>
        <w:rFonts w:ascii="Times New Roman" w:hAnsi="Times New Roman" w:cs="Times New Roman"/>
        <w:iCs/>
        <w:sz w:val="20"/>
        <w:szCs w:val="20"/>
      </w:rPr>
      <w:t xml:space="preserve">     </w:t>
    </w:r>
    <w:r w:rsidRPr="002C5EE0">
      <w:rPr>
        <w:rFonts w:ascii="Times New Roman" w:hAnsi="Times New Roman" w:cs="Times New Roman" w:hint="eastAsia"/>
        <w:iCs/>
        <w:sz w:val="20"/>
        <w:szCs w:val="20"/>
      </w:rPr>
      <w:tab/>
    </w:r>
    <w:r w:rsidRPr="002C5EE0">
      <w:rPr>
        <w:rFonts w:ascii="Times New Roman" w:hAnsi="Times New Roman" w:cs="Times New Roman"/>
        <w:iCs/>
        <w:sz w:val="20"/>
        <w:szCs w:val="20"/>
      </w:rPr>
      <w:t xml:space="preserve"> </w:t>
    </w:r>
    <w:r w:rsidRPr="002C5EE0">
      <w:rPr>
        <w:rFonts w:ascii="Times New Roman" w:hAnsi="Times New Roman" w:cs="Times New Roman" w:hint="eastAsia"/>
        <w:iCs/>
        <w:sz w:val="20"/>
        <w:szCs w:val="20"/>
      </w:rPr>
      <w:t xml:space="preserve"> </w:t>
    </w:r>
    <w:r w:rsidRPr="002C5EE0">
      <w:rPr>
        <w:rFonts w:ascii="Times New Roman" w:hAnsi="Times New Roman" w:cs="Times New Roman"/>
        <w:iCs/>
        <w:sz w:val="20"/>
        <w:szCs w:val="20"/>
      </w:rPr>
      <w:t xml:space="preserve">   </w:t>
    </w:r>
    <w:hyperlink r:id="rId1" w:history="1">
      <w:r w:rsidRPr="002C5EE0">
        <w:rPr>
          <w:rStyle w:val="Hyperlink"/>
          <w:rFonts w:ascii="Times New Roman" w:hAnsi="Times New Roman" w:cs="Times New Roman"/>
          <w:color w:val="0000FF"/>
          <w:sz w:val="20"/>
          <w:szCs w:val="20"/>
        </w:rPr>
        <w:t>http://www.sciencepub.net/newyork</w:t>
      </w:r>
    </w:hyperlink>
  </w:p>
  <w:p w:rsidR="002C5EE0" w:rsidRPr="002C5EE0" w:rsidRDefault="002C5EE0" w:rsidP="002C5EE0">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E0" w:rsidRPr="002C5EE0" w:rsidRDefault="002C5EE0" w:rsidP="002C5EE0">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2C5EE0">
      <w:rPr>
        <w:rFonts w:ascii="Times New Roman" w:hAnsi="Times New Roman" w:cs="Times New Roman" w:hint="eastAsia"/>
        <w:sz w:val="20"/>
        <w:szCs w:val="20"/>
      </w:rPr>
      <w:tab/>
    </w:r>
    <w:r w:rsidRPr="002C5EE0">
      <w:rPr>
        <w:rFonts w:ascii="Times New Roman" w:hAnsi="Times New Roman" w:cs="Times New Roman"/>
        <w:sz w:val="20"/>
        <w:szCs w:val="20"/>
      </w:rPr>
      <w:t>New York Science Journal 201</w:t>
    </w:r>
    <w:r w:rsidRPr="002C5EE0">
      <w:rPr>
        <w:rFonts w:ascii="Times New Roman" w:hAnsi="Times New Roman" w:cs="Times New Roman" w:hint="eastAsia"/>
        <w:sz w:val="20"/>
        <w:szCs w:val="20"/>
      </w:rPr>
      <w:t>7</w:t>
    </w:r>
    <w:r w:rsidRPr="002C5EE0">
      <w:rPr>
        <w:rFonts w:ascii="Times New Roman" w:hAnsi="Times New Roman" w:cs="Times New Roman"/>
        <w:sz w:val="20"/>
        <w:szCs w:val="20"/>
      </w:rPr>
      <w:t>;</w:t>
    </w:r>
    <w:r w:rsidRPr="002C5EE0">
      <w:rPr>
        <w:rFonts w:ascii="Times New Roman" w:hAnsi="Times New Roman" w:cs="Times New Roman" w:hint="eastAsia"/>
        <w:sz w:val="20"/>
        <w:szCs w:val="20"/>
      </w:rPr>
      <w:t>10</w:t>
    </w:r>
    <w:r w:rsidRPr="002C5EE0">
      <w:rPr>
        <w:rFonts w:ascii="Times New Roman" w:hAnsi="Times New Roman" w:cs="Times New Roman"/>
        <w:sz w:val="20"/>
        <w:szCs w:val="20"/>
      </w:rPr>
      <w:t>(</w:t>
    </w:r>
    <w:r w:rsidRPr="002C5EE0">
      <w:rPr>
        <w:rFonts w:ascii="Times New Roman" w:hAnsi="Times New Roman" w:cs="Times New Roman" w:hint="eastAsia"/>
        <w:sz w:val="20"/>
        <w:szCs w:val="20"/>
      </w:rPr>
      <w:t>7</w:t>
    </w:r>
    <w:r w:rsidRPr="002C5EE0">
      <w:rPr>
        <w:rFonts w:ascii="Times New Roman" w:hAnsi="Times New Roman" w:cs="Times New Roman"/>
        <w:sz w:val="20"/>
        <w:szCs w:val="20"/>
      </w:rPr>
      <w:t>)</w:t>
    </w:r>
    <w:r w:rsidRPr="002C5EE0">
      <w:rPr>
        <w:rFonts w:ascii="Times New Roman" w:hAnsi="Times New Roman" w:cs="Times New Roman"/>
        <w:iCs/>
        <w:sz w:val="20"/>
        <w:szCs w:val="20"/>
      </w:rPr>
      <w:t xml:space="preserve">     </w:t>
    </w:r>
    <w:r w:rsidRPr="002C5EE0">
      <w:rPr>
        <w:rFonts w:ascii="Times New Roman" w:hAnsi="Times New Roman" w:cs="Times New Roman" w:hint="eastAsia"/>
        <w:iCs/>
        <w:sz w:val="20"/>
        <w:szCs w:val="20"/>
      </w:rPr>
      <w:tab/>
    </w:r>
    <w:r w:rsidRPr="002C5EE0">
      <w:rPr>
        <w:rFonts w:ascii="Times New Roman" w:hAnsi="Times New Roman" w:cs="Times New Roman"/>
        <w:iCs/>
        <w:sz w:val="20"/>
        <w:szCs w:val="20"/>
      </w:rPr>
      <w:t xml:space="preserve"> </w:t>
    </w:r>
    <w:r w:rsidRPr="002C5EE0">
      <w:rPr>
        <w:rFonts w:ascii="Times New Roman" w:hAnsi="Times New Roman" w:cs="Times New Roman" w:hint="eastAsia"/>
        <w:iCs/>
        <w:sz w:val="20"/>
        <w:szCs w:val="20"/>
      </w:rPr>
      <w:t xml:space="preserve"> </w:t>
    </w:r>
    <w:r w:rsidRPr="002C5EE0">
      <w:rPr>
        <w:rFonts w:ascii="Times New Roman" w:hAnsi="Times New Roman" w:cs="Times New Roman"/>
        <w:iCs/>
        <w:sz w:val="20"/>
        <w:szCs w:val="20"/>
      </w:rPr>
      <w:t xml:space="preserve">   </w:t>
    </w:r>
    <w:hyperlink r:id="rId1" w:history="1">
      <w:r w:rsidRPr="002C5EE0">
        <w:rPr>
          <w:rStyle w:val="Hyperlink"/>
          <w:rFonts w:ascii="Times New Roman" w:hAnsi="Times New Roman" w:cs="Times New Roman"/>
          <w:color w:val="0000FF"/>
          <w:sz w:val="20"/>
          <w:szCs w:val="20"/>
        </w:rPr>
        <w:t>http://www.sciencepub.net/newyork</w:t>
      </w:r>
    </w:hyperlink>
  </w:p>
  <w:p w:rsidR="002C5EE0" w:rsidRPr="002C5EE0" w:rsidRDefault="002C5EE0" w:rsidP="002C5EE0">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E0" w:rsidRPr="002C5EE0" w:rsidRDefault="002C5EE0" w:rsidP="002C5EE0">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2C5EE0">
      <w:rPr>
        <w:rFonts w:ascii="Times New Roman" w:hAnsi="Times New Roman" w:cs="Times New Roman" w:hint="eastAsia"/>
        <w:sz w:val="20"/>
        <w:szCs w:val="20"/>
      </w:rPr>
      <w:tab/>
    </w:r>
    <w:r w:rsidRPr="002C5EE0">
      <w:rPr>
        <w:rFonts w:ascii="Times New Roman" w:hAnsi="Times New Roman" w:cs="Times New Roman"/>
        <w:sz w:val="20"/>
        <w:szCs w:val="20"/>
      </w:rPr>
      <w:t>New York Science Journal 201</w:t>
    </w:r>
    <w:r w:rsidRPr="002C5EE0">
      <w:rPr>
        <w:rFonts w:ascii="Times New Roman" w:hAnsi="Times New Roman" w:cs="Times New Roman" w:hint="eastAsia"/>
        <w:sz w:val="20"/>
        <w:szCs w:val="20"/>
      </w:rPr>
      <w:t>7</w:t>
    </w:r>
    <w:r w:rsidRPr="002C5EE0">
      <w:rPr>
        <w:rFonts w:ascii="Times New Roman" w:hAnsi="Times New Roman" w:cs="Times New Roman"/>
        <w:sz w:val="20"/>
        <w:szCs w:val="20"/>
      </w:rPr>
      <w:t>;</w:t>
    </w:r>
    <w:r w:rsidRPr="002C5EE0">
      <w:rPr>
        <w:rFonts w:ascii="Times New Roman" w:hAnsi="Times New Roman" w:cs="Times New Roman" w:hint="eastAsia"/>
        <w:sz w:val="20"/>
        <w:szCs w:val="20"/>
      </w:rPr>
      <w:t>10</w:t>
    </w:r>
    <w:r w:rsidRPr="002C5EE0">
      <w:rPr>
        <w:rFonts w:ascii="Times New Roman" w:hAnsi="Times New Roman" w:cs="Times New Roman"/>
        <w:sz w:val="20"/>
        <w:szCs w:val="20"/>
      </w:rPr>
      <w:t>(</w:t>
    </w:r>
    <w:r w:rsidRPr="002C5EE0">
      <w:rPr>
        <w:rFonts w:ascii="Times New Roman" w:hAnsi="Times New Roman" w:cs="Times New Roman" w:hint="eastAsia"/>
        <w:sz w:val="20"/>
        <w:szCs w:val="20"/>
      </w:rPr>
      <w:t>7</w:t>
    </w:r>
    <w:r w:rsidRPr="002C5EE0">
      <w:rPr>
        <w:rFonts w:ascii="Times New Roman" w:hAnsi="Times New Roman" w:cs="Times New Roman"/>
        <w:sz w:val="20"/>
        <w:szCs w:val="20"/>
      </w:rPr>
      <w:t>)</w:t>
    </w:r>
    <w:r w:rsidRPr="002C5EE0">
      <w:rPr>
        <w:rFonts w:ascii="Times New Roman" w:hAnsi="Times New Roman" w:cs="Times New Roman"/>
        <w:iCs/>
        <w:sz w:val="20"/>
        <w:szCs w:val="20"/>
      </w:rPr>
      <w:t xml:space="preserve">     </w:t>
    </w:r>
    <w:r w:rsidRPr="002C5EE0">
      <w:rPr>
        <w:rFonts w:ascii="Times New Roman" w:hAnsi="Times New Roman" w:cs="Times New Roman" w:hint="eastAsia"/>
        <w:iCs/>
        <w:sz w:val="20"/>
        <w:szCs w:val="20"/>
      </w:rPr>
      <w:tab/>
    </w:r>
    <w:r w:rsidRPr="002C5EE0">
      <w:rPr>
        <w:rFonts w:ascii="Times New Roman" w:hAnsi="Times New Roman" w:cs="Times New Roman"/>
        <w:iCs/>
        <w:sz w:val="20"/>
        <w:szCs w:val="20"/>
      </w:rPr>
      <w:t xml:space="preserve"> </w:t>
    </w:r>
    <w:r w:rsidRPr="002C5EE0">
      <w:rPr>
        <w:rFonts w:ascii="Times New Roman" w:hAnsi="Times New Roman" w:cs="Times New Roman" w:hint="eastAsia"/>
        <w:iCs/>
        <w:sz w:val="20"/>
        <w:szCs w:val="20"/>
      </w:rPr>
      <w:t xml:space="preserve"> </w:t>
    </w:r>
    <w:r w:rsidRPr="002C5EE0">
      <w:rPr>
        <w:rFonts w:ascii="Times New Roman" w:hAnsi="Times New Roman" w:cs="Times New Roman"/>
        <w:iCs/>
        <w:sz w:val="20"/>
        <w:szCs w:val="20"/>
      </w:rPr>
      <w:t xml:space="preserve">   </w:t>
    </w:r>
    <w:hyperlink r:id="rId1" w:history="1">
      <w:r w:rsidRPr="002C5EE0">
        <w:rPr>
          <w:rStyle w:val="Hyperlink"/>
          <w:rFonts w:ascii="Times New Roman" w:hAnsi="Times New Roman" w:cs="Times New Roman"/>
          <w:color w:val="0000FF"/>
          <w:sz w:val="20"/>
          <w:szCs w:val="20"/>
        </w:rPr>
        <w:t>http://www.sciencepub.net/newyork</w:t>
      </w:r>
    </w:hyperlink>
  </w:p>
  <w:p w:rsidR="002C5EE0" w:rsidRPr="002C5EE0" w:rsidRDefault="002C5EE0" w:rsidP="002C5EE0">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5ACEFBFC"/>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0000013"/>
    <w:multiLevelType w:val="multilevel"/>
    <w:tmpl w:val="1E1A496A"/>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nsid w:val="5F0A3C2B"/>
    <w:multiLevelType w:val="hybridMultilevel"/>
    <w:tmpl w:val="71AC545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
  <w:rsids>
    <w:rsidRoot w:val="00C67D3A"/>
    <w:rsid w:val="00022128"/>
    <w:rsid w:val="00042C44"/>
    <w:rsid w:val="000624A6"/>
    <w:rsid w:val="0008497E"/>
    <w:rsid w:val="001F340C"/>
    <w:rsid w:val="00246208"/>
    <w:rsid w:val="00296378"/>
    <w:rsid w:val="002C5EE0"/>
    <w:rsid w:val="002D21EA"/>
    <w:rsid w:val="003A3954"/>
    <w:rsid w:val="004043D1"/>
    <w:rsid w:val="0040553D"/>
    <w:rsid w:val="00415B1C"/>
    <w:rsid w:val="004B07CF"/>
    <w:rsid w:val="00523D36"/>
    <w:rsid w:val="00525B87"/>
    <w:rsid w:val="00527797"/>
    <w:rsid w:val="005C3B2F"/>
    <w:rsid w:val="00681D1E"/>
    <w:rsid w:val="006F5F99"/>
    <w:rsid w:val="007108A1"/>
    <w:rsid w:val="007A1D81"/>
    <w:rsid w:val="007B79BA"/>
    <w:rsid w:val="008012F4"/>
    <w:rsid w:val="0082106D"/>
    <w:rsid w:val="00844CFB"/>
    <w:rsid w:val="008D1EA9"/>
    <w:rsid w:val="009463FB"/>
    <w:rsid w:val="009821B5"/>
    <w:rsid w:val="00A00D8A"/>
    <w:rsid w:val="00A173BE"/>
    <w:rsid w:val="00A207AB"/>
    <w:rsid w:val="00AA6E80"/>
    <w:rsid w:val="00B42504"/>
    <w:rsid w:val="00B45591"/>
    <w:rsid w:val="00BA7717"/>
    <w:rsid w:val="00BC7852"/>
    <w:rsid w:val="00C00E76"/>
    <w:rsid w:val="00C67D3A"/>
    <w:rsid w:val="00CD6DE0"/>
    <w:rsid w:val="00D13EE9"/>
    <w:rsid w:val="00D74125"/>
    <w:rsid w:val="00E25D5F"/>
    <w:rsid w:val="00E53804"/>
    <w:rsid w:val="00F06B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37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523D36"/>
    <w:pPr>
      <w:spacing w:after="0" w:line="240" w:lineRule="auto"/>
    </w:pPr>
    <w:rPr>
      <w:rFonts w:ascii="Calibri" w:eastAsia="SimSu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523D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1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06D"/>
    <w:rPr>
      <w:rFonts w:ascii="Tahoma" w:eastAsiaTheme="minorEastAsia" w:hAnsi="Tahoma" w:cs="Tahoma"/>
      <w:sz w:val="16"/>
      <w:szCs w:val="16"/>
    </w:rPr>
  </w:style>
  <w:style w:type="character" w:styleId="Hyperlink">
    <w:name w:val="Hyperlink"/>
    <w:basedOn w:val="DefaultParagraphFont"/>
    <w:uiPriority w:val="99"/>
    <w:unhideWhenUsed/>
    <w:rsid w:val="00BA7717"/>
    <w:rPr>
      <w:color w:val="0000FF" w:themeColor="hyperlink"/>
      <w:u w:val="single"/>
    </w:rPr>
  </w:style>
  <w:style w:type="paragraph" w:styleId="ListParagraph">
    <w:name w:val="List Paragraph"/>
    <w:basedOn w:val="Normal"/>
    <w:uiPriority w:val="34"/>
    <w:qFormat/>
    <w:rsid w:val="00A173BE"/>
    <w:pPr>
      <w:ind w:left="720"/>
      <w:contextualSpacing/>
    </w:pPr>
  </w:style>
  <w:style w:type="paragraph" w:styleId="Header">
    <w:name w:val="header"/>
    <w:basedOn w:val="Normal"/>
    <w:link w:val="HeaderChar"/>
    <w:uiPriority w:val="99"/>
    <w:unhideWhenUsed/>
    <w:rsid w:val="00A173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A173BE"/>
    <w:rPr>
      <w:rFonts w:eastAsiaTheme="minorEastAsia"/>
    </w:rPr>
  </w:style>
  <w:style w:type="paragraph" w:styleId="Footer">
    <w:name w:val="footer"/>
    <w:basedOn w:val="Normal"/>
    <w:link w:val="FooterChar"/>
    <w:uiPriority w:val="99"/>
    <w:semiHidden/>
    <w:unhideWhenUsed/>
    <w:rsid w:val="00A173BE"/>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A173BE"/>
    <w:rPr>
      <w:rFonts w:eastAsiaTheme="minorEastAsia"/>
    </w:rPr>
  </w:style>
  <w:style w:type="character" w:customStyle="1" w:styleId="MSGENFONTSTYLENAMETEMPLATEROLENUMBERMSGENFONTSTYLENAMEBYROLETEXT5">
    <w:name w:val="MSG_EN_FONT_STYLE_NAME_TEMPLATE_ROLE_NUMBER MSG_EN_FONT_STYLE_NAME_BY_ROLE_TEXT 5_"/>
    <w:basedOn w:val="DefaultParagraphFont"/>
    <w:link w:val="MSGENFONTSTYLENAMETEMPLATEROLENUMBERMSGENFONTSTYLENAMEBYROLETEXT50"/>
    <w:rsid w:val="00A173BE"/>
    <w:rPr>
      <w:rFonts w:ascii="Arial" w:eastAsia="Arial" w:hAnsi="Arial" w:cs="Arial"/>
      <w:b/>
      <w:bCs/>
      <w:sz w:val="38"/>
      <w:szCs w:val="38"/>
      <w:shd w:val="clear" w:color="auto" w:fill="FFFFFF"/>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rsid w:val="00A173BE"/>
    <w:pPr>
      <w:widowControl w:val="0"/>
      <w:shd w:val="clear" w:color="auto" w:fill="FFFFFF"/>
      <w:bidi w:val="0"/>
      <w:spacing w:before="260" w:after="0" w:line="424" w:lineRule="exact"/>
    </w:pPr>
    <w:rPr>
      <w:rFonts w:ascii="Arial" w:eastAsia="Arial" w:hAnsi="Arial" w:cs="Arial"/>
      <w:b/>
      <w:bCs/>
      <w:sz w:val="38"/>
      <w:szCs w:val="3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378"/>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523D36"/>
    <w:pPr>
      <w:spacing w:after="0" w:line="240" w:lineRule="auto"/>
    </w:pPr>
    <w:rPr>
      <w:rFonts w:ascii="Calibri" w:eastAsia="SimSu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523D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1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06D"/>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elsanhoury2014@gmail.com" TargetMode="Externa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7.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2.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6.png"/><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5.png"/><Relationship Id="rId28" Type="http://schemas.openxmlformats.org/officeDocument/2006/relationships/footer" Target="footer5.xml"/><Relationship Id="rId10" Type="http://schemas.openxmlformats.org/officeDocument/2006/relationships/hyperlink" Target="http://www.dx.doi.org/10.7537/marsnys100717.01" TargetMode="External"/><Relationship Id="rId19" Type="http://schemas.openxmlformats.org/officeDocument/2006/relationships/image" Target="media/image1.png"/><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header" Target="header5.xml"/><Relationship Id="rId30" Type="http://schemas.openxmlformats.org/officeDocument/2006/relationships/footer" Target="footer6.xml"/><Relationship Id="rId35"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89265-151E-4DA1-8793-287D90952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3378</Words>
  <Characters>19256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7ammad Sa3d</dc:creator>
  <cp:lastModifiedBy>Administrator</cp:lastModifiedBy>
  <cp:revision>3</cp:revision>
  <dcterms:created xsi:type="dcterms:W3CDTF">2017-05-23T14:55:00Z</dcterms:created>
  <dcterms:modified xsi:type="dcterms:W3CDTF">2017-05-24T00:14:00Z</dcterms:modified>
</cp:coreProperties>
</file>