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37" w:rsidRPr="003C6323" w:rsidRDefault="00361A37" w:rsidP="00B2055D">
      <w:pPr>
        <w:bidi w:val="0"/>
        <w:snapToGrid w:val="0"/>
        <w:jc w:val="center"/>
        <w:rPr>
          <w:b/>
          <w:bCs/>
          <w:sz w:val="20"/>
          <w:szCs w:val="20"/>
        </w:rPr>
      </w:pPr>
      <w:r w:rsidRPr="003C6323">
        <w:rPr>
          <w:b/>
          <w:bCs/>
          <w:sz w:val="20"/>
          <w:szCs w:val="20"/>
        </w:rPr>
        <w:t xml:space="preserve">Prevalence of unexplained infertility in patients attending </w:t>
      </w:r>
      <w:proofErr w:type="spellStart"/>
      <w:r w:rsidRPr="003C6323">
        <w:rPr>
          <w:b/>
          <w:bCs/>
          <w:sz w:val="20"/>
          <w:szCs w:val="20"/>
        </w:rPr>
        <w:t>Qena</w:t>
      </w:r>
      <w:proofErr w:type="spellEnd"/>
      <w:r w:rsidRPr="003C6323">
        <w:rPr>
          <w:b/>
          <w:bCs/>
          <w:sz w:val="20"/>
          <w:szCs w:val="20"/>
        </w:rPr>
        <w:t xml:space="preserve"> general hospital</w:t>
      </w:r>
    </w:p>
    <w:p w:rsidR="00862CA6" w:rsidRPr="003C6323" w:rsidRDefault="00862CA6" w:rsidP="00B2055D">
      <w:pPr>
        <w:bidi w:val="0"/>
        <w:snapToGrid w:val="0"/>
        <w:jc w:val="center"/>
        <w:rPr>
          <w:b/>
          <w:bCs/>
          <w:sz w:val="20"/>
          <w:szCs w:val="20"/>
        </w:rPr>
      </w:pPr>
    </w:p>
    <w:p w:rsidR="00361A37" w:rsidRPr="003C6323" w:rsidRDefault="00361A37" w:rsidP="00B2055D">
      <w:pPr>
        <w:bidi w:val="0"/>
        <w:snapToGrid w:val="0"/>
        <w:jc w:val="center"/>
        <w:rPr>
          <w:sz w:val="20"/>
          <w:szCs w:val="20"/>
          <w:lang w:eastAsia="zh-CN"/>
        </w:rPr>
      </w:pPr>
      <w:proofErr w:type="spellStart"/>
      <w:r w:rsidRPr="003C6323">
        <w:rPr>
          <w:sz w:val="20"/>
          <w:szCs w:val="20"/>
        </w:rPr>
        <w:t>Yehia</w:t>
      </w:r>
      <w:proofErr w:type="spellEnd"/>
      <w:r w:rsidRPr="003C6323">
        <w:rPr>
          <w:sz w:val="20"/>
          <w:szCs w:val="20"/>
        </w:rPr>
        <w:t xml:space="preserve"> Abdel-Salam </w:t>
      </w:r>
      <w:proofErr w:type="spellStart"/>
      <w:r w:rsidRPr="003C6323">
        <w:rPr>
          <w:sz w:val="20"/>
          <w:szCs w:val="20"/>
        </w:rPr>
        <w:t>Wafa</w:t>
      </w:r>
      <w:proofErr w:type="spellEnd"/>
      <w:r w:rsidRPr="003C6323">
        <w:rPr>
          <w:sz w:val="20"/>
          <w:szCs w:val="20"/>
        </w:rPr>
        <w:t xml:space="preserve">, Mohamed </w:t>
      </w:r>
      <w:r w:rsidR="001B52A5" w:rsidRPr="003C6323">
        <w:rPr>
          <w:sz w:val="20"/>
          <w:szCs w:val="20"/>
        </w:rPr>
        <w:t>E.</w:t>
      </w:r>
      <w:r w:rsidRPr="003C6323">
        <w:rPr>
          <w:sz w:val="20"/>
          <w:szCs w:val="20"/>
        </w:rPr>
        <w:t xml:space="preserve"> </w:t>
      </w:r>
      <w:proofErr w:type="spellStart"/>
      <w:r w:rsidRPr="003C6323">
        <w:rPr>
          <w:sz w:val="20"/>
          <w:szCs w:val="20"/>
        </w:rPr>
        <w:t>Hammour</w:t>
      </w:r>
      <w:proofErr w:type="spellEnd"/>
      <w:r w:rsidR="00862CA6" w:rsidRPr="003C6323">
        <w:rPr>
          <w:sz w:val="20"/>
          <w:szCs w:val="20"/>
        </w:rPr>
        <w:t xml:space="preserve"> and </w:t>
      </w:r>
      <w:r w:rsidRPr="003C6323">
        <w:rPr>
          <w:sz w:val="20"/>
          <w:szCs w:val="20"/>
        </w:rPr>
        <w:t>Ahmed Hussein Ahmed Ali</w:t>
      </w:r>
    </w:p>
    <w:p w:rsidR="00B2055D" w:rsidRPr="003C6323" w:rsidRDefault="00B2055D" w:rsidP="00B2055D">
      <w:pPr>
        <w:bidi w:val="0"/>
        <w:snapToGrid w:val="0"/>
        <w:jc w:val="center"/>
        <w:rPr>
          <w:sz w:val="20"/>
          <w:szCs w:val="20"/>
          <w:lang w:eastAsia="zh-CN"/>
        </w:rPr>
      </w:pPr>
    </w:p>
    <w:p w:rsidR="00862CA6" w:rsidRPr="003C6323" w:rsidRDefault="00862CA6" w:rsidP="00B2055D">
      <w:pPr>
        <w:bidi w:val="0"/>
        <w:snapToGrid w:val="0"/>
        <w:jc w:val="center"/>
        <w:rPr>
          <w:sz w:val="20"/>
          <w:szCs w:val="20"/>
        </w:rPr>
      </w:pPr>
      <w:r w:rsidRPr="003C6323">
        <w:rPr>
          <w:sz w:val="20"/>
          <w:szCs w:val="20"/>
        </w:rPr>
        <w:t>Obstetrics and Gynecology Department, Faculty of Medicine, Al-</w:t>
      </w:r>
      <w:proofErr w:type="spellStart"/>
      <w:r w:rsidRPr="003C6323">
        <w:rPr>
          <w:sz w:val="20"/>
          <w:szCs w:val="20"/>
        </w:rPr>
        <w:t>Azhar</w:t>
      </w:r>
      <w:proofErr w:type="spellEnd"/>
      <w:r w:rsidRPr="003C6323">
        <w:rPr>
          <w:sz w:val="20"/>
          <w:szCs w:val="20"/>
        </w:rPr>
        <w:t xml:space="preserve"> University</w:t>
      </w:r>
    </w:p>
    <w:p w:rsidR="00145A75" w:rsidRPr="003C6323" w:rsidRDefault="00295C17" w:rsidP="00B2055D">
      <w:pPr>
        <w:bidi w:val="0"/>
        <w:snapToGrid w:val="0"/>
        <w:jc w:val="center"/>
        <w:rPr>
          <w:sz w:val="20"/>
          <w:szCs w:val="20"/>
        </w:rPr>
      </w:pPr>
      <w:hyperlink r:id="rId8" w:history="1">
        <w:r w:rsidR="00145A75" w:rsidRPr="003C6323">
          <w:rPr>
            <w:rStyle w:val="Hyperlink"/>
            <w:sz w:val="20"/>
            <w:szCs w:val="20"/>
            <w:u w:val="none"/>
          </w:rPr>
          <w:t>Ayc01118226323@gmail.com</w:t>
        </w:r>
      </w:hyperlink>
    </w:p>
    <w:p w:rsidR="00862CA6" w:rsidRPr="003C6323" w:rsidRDefault="00862CA6" w:rsidP="00B2055D">
      <w:pPr>
        <w:bidi w:val="0"/>
        <w:snapToGrid w:val="0"/>
        <w:jc w:val="center"/>
        <w:rPr>
          <w:b/>
          <w:bCs/>
          <w:sz w:val="20"/>
          <w:szCs w:val="20"/>
        </w:rPr>
      </w:pPr>
    </w:p>
    <w:p w:rsidR="00361A37" w:rsidRPr="003C6323" w:rsidRDefault="00361A37" w:rsidP="00B2055D">
      <w:pPr>
        <w:bidi w:val="0"/>
        <w:snapToGrid w:val="0"/>
        <w:jc w:val="both"/>
        <w:rPr>
          <w:sz w:val="20"/>
          <w:szCs w:val="20"/>
        </w:rPr>
      </w:pPr>
      <w:r w:rsidRPr="003C6323">
        <w:rPr>
          <w:b/>
          <w:bCs/>
          <w:sz w:val="20"/>
          <w:szCs w:val="20"/>
        </w:rPr>
        <w:t>Abstract</w:t>
      </w:r>
      <w:r w:rsidR="00862CA6" w:rsidRPr="003C6323">
        <w:rPr>
          <w:sz w:val="20"/>
          <w:szCs w:val="20"/>
        </w:rPr>
        <w:t xml:space="preserve">: </w:t>
      </w:r>
      <w:r w:rsidRPr="003C6323">
        <w:rPr>
          <w:sz w:val="20"/>
          <w:szCs w:val="20"/>
        </w:rPr>
        <w:t>Unexplained infertility refers to the absence of a definable cause for a couple's failure to achieve pregnancy after 12 months of attempting conception despite a thorough evaluation.</w:t>
      </w:r>
      <w:r w:rsidR="00C126BE" w:rsidRPr="003C6323">
        <w:rPr>
          <w:rFonts w:hint="eastAsia"/>
          <w:sz w:val="20"/>
          <w:szCs w:val="20"/>
          <w:lang w:eastAsia="zh-CN"/>
        </w:rPr>
        <w:t xml:space="preserve"> </w:t>
      </w:r>
      <w:r w:rsidRPr="003C6323">
        <w:rPr>
          <w:sz w:val="20"/>
          <w:szCs w:val="20"/>
        </w:rPr>
        <w:t>Infertility is a common problem in all population groups, and for those who are affected it can become a major tragedy and can lead to significant psychological and physical disturbances.</w:t>
      </w:r>
      <w:r w:rsidR="00C126BE" w:rsidRPr="003C6323">
        <w:rPr>
          <w:rFonts w:hint="eastAsia"/>
          <w:sz w:val="20"/>
          <w:szCs w:val="20"/>
          <w:lang w:eastAsia="zh-CN"/>
        </w:rPr>
        <w:t xml:space="preserve"> </w:t>
      </w:r>
      <w:r w:rsidRPr="003C6323">
        <w:rPr>
          <w:sz w:val="20"/>
          <w:szCs w:val="20"/>
        </w:rPr>
        <w:t>It is important to know about the prevalence of the various factors causing infertility. We assessed all patients attending infertility clinic during the period of study to exclude any patient having organic cause of infertility and select our patients for the study.</w:t>
      </w:r>
    </w:p>
    <w:p w:rsidR="00B2055D" w:rsidRPr="003C6323" w:rsidRDefault="00862CA6" w:rsidP="00B2055D">
      <w:pPr>
        <w:bidi w:val="0"/>
        <w:snapToGrid w:val="0"/>
        <w:jc w:val="both"/>
        <w:rPr>
          <w:sz w:val="20"/>
          <w:szCs w:val="20"/>
        </w:rPr>
      </w:pPr>
      <w:r w:rsidRPr="003C6323">
        <w:rPr>
          <w:sz w:val="20"/>
          <w:szCs w:val="20"/>
        </w:rPr>
        <w:t>[</w:t>
      </w:r>
      <w:proofErr w:type="spellStart"/>
      <w:r w:rsidRPr="003C6323">
        <w:rPr>
          <w:sz w:val="20"/>
          <w:szCs w:val="20"/>
        </w:rPr>
        <w:t>Yehia</w:t>
      </w:r>
      <w:proofErr w:type="spellEnd"/>
      <w:r w:rsidRPr="003C6323">
        <w:rPr>
          <w:sz w:val="20"/>
          <w:szCs w:val="20"/>
        </w:rPr>
        <w:t xml:space="preserve"> Abdel-Salam </w:t>
      </w:r>
      <w:proofErr w:type="spellStart"/>
      <w:r w:rsidRPr="003C6323">
        <w:rPr>
          <w:sz w:val="20"/>
          <w:szCs w:val="20"/>
        </w:rPr>
        <w:t>Wafa</w:t>
      </w:r>
      <w:proofErr w:type="spellEnd"/>
      <w:r w:rsidRPr="003C6323">
        <w:rPr>
          <w:sz w:val="20"/>
          <w:szCs w:val="20"/>
        </w:rPr>
        <w:t xml:space="preserve">, Mohamed E. </w:t>
      </w:r>
      <w:proofErr w:type="spellStart"/>
      <w:r w:rsidRPr="003C6323">
        <w:rPr>
          <w:sz w:val="20"/>
          <w:szCs w:val="20"/>
        </w:rPr>
        <w:t>Hammour</w:t>
      </w:r>
      <w:proofErr w:type="spellEnd"/>
      <w:r w:rsidRPr="003C6323">
        <w:rPr>
          <w:sz w:val="20"/>
          <w:szCs w:val="20"/>
        </w:rPr>
        <w:t xml:space="preserve"> and Ahmed Hussein Ahmed Ali</w:t>
      </w:r>
      <w:r w:rsidR="00B2055D" w:rsidRPr="003C6323">
        <w:rPr>
          <w:rFonts w:hint="eastAsia"/>
          <w:sz w:val="20"/>
          <w:szCs w:val="20"/>
          <w:lang w:eastAsia="zh-CN"/>
        </w:rPr>
        <w:t>.</w:t>
      </w:r>
      <w:r w:rsidRPr="003C6323">
        <w:rPr>
          <w:sz w:val="20"/>
          <w:szCs w:val="20"/>
        </w:rPr>
        <w:t xml:space="preserve"> </w:t>
      </w:r>
      <w:r w:rsidRPr="003C6323">
        <w:rPr>
          <w:b/>
          <w:sz w:val="20"/>
          <w:szCs w:val="20"/>
        </w:rPr>
        <w:t xml:space="preserve">Prevalence of unexplained infertility in patients attending </w:t>
      </w:r>
      <w:proofErr w:type="spellStart"/>
      <w:r w:rsidRPr="003C6323">
        <w:rPr>
          <w:b/>
          <w:sz w:val="20"/>
          <w:szCs w:val="20"/>
        </w:rPr>
        <w:t>Qena</w:t>
      </w:r>
      <w:proofErr w:type="spellEnd"/>
      <w:r w:rsidRPr="003C6323">
        <w:rPr>
          <w:b/>
          <w:sz w:val="20"/>
          <w:szCs w:val="20"/>
        </w:rPr>
        <w:t xml:space="preserve"> general hospital</w:t>
      </w:r>
      <w:r w:rsidR="00B2055D" w:rsidRPr="003C6323">
        <w:rPr>
          <w:rFonts w:eastAsia="Times New Roman"/>
          <w:b/>
          <w:bCs/>
          <w:sz w:val="20"/>
          <w:szCs w:val="20"/>
          <w:lang w:bidi="fa-IR"/>
        </w:rPr>
        <w:t>.</w:t>
      </w:r>
      <w:r w:rsidR="00B2055D" w:rsidRPr="003C6323">
        <w:rPr>
          <w:bCs/>
          <w:i/>
          <w:sz w:val="20"/>
          <w:szCs w:val="20"/>
        </w:rPr>
        <w:t xml:space="preserve"> N Y </w:t>
      </w:r>
      <w:proofErr w:type="spellStart"/>
      <w:r w:rsidR="00B2055D" w:rsidRPr="003C6323">
        <w:rPr>
          <w:bCs/>
          <w:i/>
          <w:sz w:val="20"/>
          <w:szCs w:val="20"/>
        </w:rPr>
        <w:t>Sci</w:t>
      </w:r>
      <w:proofErr w:type="spellEnd"/>
      <w:r w:rsidR="00B2055D" w:rsidRPr="003C6323">
        <w:rPr>
          <w:bCs/>
          <w:i/>
          <w:sz w:val="20"/>
          <w:szCs w:val="20"/>
        </w:rPr>
        <w:t xml:space="preserve"> J</w:t>
      </w:r>
      <w:r w:rsidR="00B2055D" w:rsidRPr="003C6323">
        <w:rPr>
          <w:bCs/>
          <w:sz w:val="20"/>
          <w:szCs w:val="20"/>
        </w:rPr>
        <w:t xml:space="preserve"> </w:t>
      </w:r>
      <w:r w:rsidR="00B2055D" w:rsidRPr="003C6323">
        <w:rPr>
          <w:sz w:val="20"/>
          <w:szCs w:val="20"/>
        </w:rPr>
        <w:t>201</w:t>
      </w:r>
      <w:r w:rsidR="00B2055D" w:rsidRPr="003C6323">
        <w:rPr>
          <w:rFonts w:hint="eastAsia"/>
          <w:sz w:val="20"/>
          <w:szCs w:val="20"/>
        </w:rPr>
        <w:t>7</w:t>
      </w:r>
      <w:r w:rsidR="00B2055D" w:rsidRPr="003C6323">
        <w:rPr>
          <w:sz w:val="20"/>
          <w:szCs w:val="20"/>
        </w:rPr>
        <w:t>;</w:t>
      </w:r>
      <w:r w:rsidR="00B2055D" w:rsidRPr="003C6323">
        <w:rPr>
          <w:rFonts w:hint="eastAsia"/>
          <w:sz w:val="20"/>
          <w:szCs w:val="20"/>
        </w:rPr>
        <w:t>10</w:t>
      </w:r>
      <w:r w:rsidR="00B2055D" w:rsidRPr="003C6323">
        <w:rPr>
          <w:sz w:val="20"/>
          <w:szCs w:val="20"/>
        </w:rPr>
        <w:t>(</w:t>
      </w:r>
      <w:r w:rsidR="00B2055D" w:rsidRPr="003C6323">
        <w:rPr>
          <w:rFonts w:hint="eastAsia"/>
          <w:sz w:val="20"/>
          <w:szCs w:val="20"/>
        </w:rPr>
        <w:t>7</w:t>
      </w:r>
      <w:r w:rsidR="00B2055D" w:rsidRPr="003C6323">
        <w:rPr>
          <w:sz w:val="20"/>
          <w:szCs w:val="20"/>
        </w:rPr>
        <w:t>):</w:t>
      </w:r>
      <w:r w:rsidR="002F3A9E" w:rsidRPr="003C6323">
        <w:rPr>
          <w:noProof/>
          <w:color w:val="000000"/>
          <w:sz w:val="20"/>
          <w:szCs w:val="20"/>
        </w:rPr>
        <w:t>21-27</w:t>
      </w:r>
      <w:r w:rsidR="00B2055D" w:rsidRPr="003C6323">
        <w:rPr>
          <w:sz w:val="20"/>
          <w:szCs w:val="20"/>
        </w:rPr>
        <w:t xml:space="preserve">]. </w:t>
      </w:r>
      <w:r w:rsidR="00B2055D" w:rsidRPr="003C6323">
        <w:rPr>
          <w:iCs/>
          <w:color w:val="000000"/>
          <w:sz w:val="20"/>
          <w:szCs w:val="20"/>
        </w:rPr>
        <w:t>ISSN 1554-0200 (print); ISSN 2375-723X (online)</w:t>
      </w:r>
      <w:r w:rsidR="00B2055D" w:rsidRPr="003C6323">
        <w:rPr>
          <w:sz w:val="20"/>
          <w:szCs w:val="20"/>
        </w:rPr>
        <w:t xml:space="preserve">. </w:t>
      </w:r>
      <w:hyperlink r:id="rId9" w:history="1">
        <w:r w:rsidR="00B2055D" w:rsidRPr="003C6323">
          <w:rPr>
            <w:rStyle w:val="Hyperlink"/>
            <w:color w:val="0000FF"/>
            <w:sz w:val="20"/>
            <w:szCs w:val="20"/>
          </w:rPr>
          <w:t>http://www.sciencepub.net/newyork</w:t>
        </w:r>
      </w:hyperlink>
      <w:r w:rsidR="00B2055D" w:rsidRPr="003C6323">
        <w:rPr>
          <w:sz w:val="20"/>
          <w:szCs w:val="20"/>
        </w:rPr>
        <w:t xml:space="preserve">. </w:t>
      </w:r>
      <w:r w:rsidR="00B2055D" w:rsidRPr="003C6323">
        <w:rPr>
          <w:rFonts w:hint="eastAsia"/>
          <w:sz w:val="20"/>
          <w:szCs w:val="20"/>
          <w:lang w:eastAsia="zh-CN"/>
        </w:rPr>
        <w:t>4</w:t>
      </w:r>
      <w:r w:rsidR="00B2055D" w:rsidRPr="003C6323">
        <w:rPr>
          <w:rFonts w:hint="eastAsia"/>
          <w:sz w:val="20"/>
          <w:szCs w:val="20"/>
        </w:rPr>
        <w:t xml:space="preserve">. </w:t>
      </w:r>
      <w:r w:rsidR="00B2055D" w:rsidRPr="003C6323">
        <w:rPr>
          <w:color w:val="000000"/>
          <w:sz w:val="20"/>
          <w:szCs w:val="20"/>
          <w:shd w:val="clear" w:color="auto" w:fill="FFFFFF"/>
        </w:rPr>
        <w:t>doi:</w:t>
      </w:r>
      <w:hyperlink r:id="rId10" w:history="1">
        <w:r w:rsidR="00B2055D" w:rsidRPr="003C6323">
          <w:rPr>
            <w:rStyle w:val="Hyperlink"/>
            <w:color w:val="0000FF"/>
            <w:sz w:val="20"/>
            <w:szCs w:val="20"/>
            <w:shd w:val="clear" w:color="auto" w:fill="FFFFFF"/>
          </w:rPr>
          <w:t>10.7537/mars</w:t>
        </w:r>
        <w:r w:rsidR="00B2055D" w:rsidRPr="003C6323">
          <w:rPr>
            <w:rStyle w:val="Hyperlink"/>
            <w:rFonts w:hint="eastAsia"/>
            <w:color w:val="0000FF"/>
            <w:sz w:val="20"/>
            <w:szCs w:val="20"/>
            <w:shd w:val="clear" w:color="auto" w:fill="FFFFFF"/>
          </w:rPr>
          <w:t>nys100717.</w:t>
        </w:r>
        <w:r w:rsidR="00B2055D" w:rsidRPr="003C6323">
          <w:rPr>
            <w:rStyle w:val="Hyperlink"/>
            <w:color w:val="0000FF"/>
            <w:sz w:val="20"/>
            <w:szCs w:val="20"/>
            <w:shd w:val="clear" w:color="auto" w:fill="FFFFFF"/>
          </w:rPr>
          <w:t>0</w:t>
        </w:r>
        <w:r w:rsidR="00B2055D" w:rsidRPr="003C6323">
          <w:rPr>
            <w:rStyle w:val="Hyperlink"/>
            <w:rFonts w:hint="eastAsia"/>
            <w:color w:val="0000FF"/>
            <w:sz w:val="20"/>
            <w:szCs w:val="20"/>
            <w:shd w:val="clear" w:color="auto" w:fill="FFFFFF"/>
            <w:lang w:eastAsia="zh-CN"/>
          </w:rPr>
          <w:t>4</w:t>
        </w:r>
      </w:hyperlink>
      <w:r w:rsidR="00B2055D" w:rsidRPr="003C6323">
        <w:rPr>
          <w:color w:val="000000"/>
          <w:sz w:val="20"/>
          <w:szCs w:val="20"/>
          <w:shd w:val="clear" w:color="auto" w:fill="FFFFFF"/>
        </w:rPr>
        <w:t>.</w:t>
      </w:r>
    </w:p>
    <w:p w:rsidR="00862CA6" w:rsidRPr="003C6323" w:rsidRDefault="00862CA6" w:rsidP="00B2055D">
      <w:pPr>
        <w:pStyle w:val="MSGENFONTSTYLENAMETEMPLATEROLENUMBERMSGENFONTSTYLENAMEBYROLETEXT50"/>
        <w:shd w:val="clear" w:color="auto" w:fill="auto"/>
        <w:snapToGrid w:val="0"/>
        <w:spacing w:before="0" w:line="240" w:lineRule="auto"/>
        <w:jc w:val="both"/>
        <w:rPr>
          <w:rFonts w:ascii="Times New Roman" w:hAnsi="Times New Roman" w:cs="Times New Roman"/>
          <w:b w:val="0"/>
          <w:bCs w:val="0"/>
          <w:sz w:val="20"/>
          <w:szCs w:val="20"/>
        </w:rPr>
      </w:pPr>
    </w:p>
    <w:p w:rsidR="00361A37" w:rsidRPr="003C6323" w:rsidRDefault="00361A37" w:rsidP="00B2055D">
      <w:pPr>
        <w:autoSpaceDE w:val="0"/>
        <w:autoSpaceDN w:val="0"/>
        <w:bidi w:val="0"/>
        <w:adjustRightInd w:val="0"/>
        <w:snapToGrid w:val="0"/>
        <w:jc w:val="both"/>
        <w:rPr>
          <w:b/>
          <w:bCs/>
          <w:sz w:val="20"/>
          <w:szCs w:val="20"/>
        </w:rPr>
      </w:pPr>
      <w:r w:rsidRPr="003C6323">
        <w:rPr>
          <w:b/>
          <w:bCs/>
          <w:sz w:val="20"/>
          <w:szCs w:val="20"/>
        </w:rPr>
        <w:t>Key Words</w:t>
      </w:r>
      <w:r w:rsidRPr="003C6323">
        <w:rPr>
          <w:sz w:val="20"/>
          <w:szCs w:val="20"/>
        </w:rPr>
        <w:t xml:space="preserve">: Unexplained infertility – </w:t>
      </w:r>
      <w:proofErr w:type="spellStart"/>
      <w:r w:rsidRPr="003C6323">
        <w:rPr>
          <w:sz w:val="20"/>
          <w:szCs w:val="20"/>
        </w:rPr>
        <w:t>prevalance</w:t>
      </w:r>
      <w:proofErr w:type="spellEnd"/>
      <w:r w:rsidRPr="003C6323">
        <w:rPr>
          <w:sz w:val="20"/>
          <w:szCs w:val="20"/>
        </w:rPr>
        <w:t xml:space="preserve"> of Unexplained</w:t>
      </w:r>
      <w:r w:rsidR="00B2055D" w:rsidRPr="003C6323">
        <w:rPr>
          <w:sz w:val="20"/>
          <w:szCs w:val="20"/>
        </w:rPr>
        <w:t xml:space="preserve"> </w:t>
      </w:r>
      <w:r w:rsidRPr="003C6323">
        <w:rPr>
          <w:sz w:val="20"/>
          <w:szCs w:val="20"/>
        </w:rPr>
        <w:t>infertility – diagnostic laparoscopy in</w:t>
      </w:r>
      <w:r w:rsidR="00B2055D" w:rsidRPr="003C6323">
        <w:rPr>
          <w:sz w:val="20"/>
          <w:szCs w:val="20"/>
        </w:rPr>
        <w:t xml:space="preserve"> </w:t>
      </w:r>
      <w:r w:rsidRPr="003C6323">
        <w:rPr>
          <w:sz w:val="20"/>
          <w:szCs w:val="20"/>
        </w:rPr>
        <w:t>Unexplained infertility</w:t>
      </w:r>
      <w:r w:rsidRPr="003C6323">
        <w:rPr>
          <w:snapToGrid w:val="0"/>
          <w:sz w:val="20"/>
          <w:szCs w:val="20"/>
        </w:rPr>
        <w:t xml:space="preserve"> – </w:t>
      </w:r>
      <w:r w:rsidRPr="003C6323">
        <w:rPr>
          <w:sz w:val="20"/>
          <w:szCs w:val="20"/>
        </w:rPr>
        <w:t>male and female work up of Unexplained infertility</w:t>
      </w:r>
    </w:p>
    <w:p w:rsidR="00641E81" w:rsidRPr="003C6323" w:rsidRDefault="00641E81" w:rsidP="00B2055D">
      <w:pPr>
        <w:autoSpaceDE w:val="0"/>
        <w:autoSpaceDN w:val="0"/>
        <w:bidi w:val="0"/>
        <w:adjustRightInd w:val="0"/>
        <w:snapToGrid w:val="0"/>
        <w:jc w:val="both"/>
        <w:rPr>
          <w:b/>
          <w:bCs/>
          <w:sz w:val="20"/>
          <w:szCs w:val="20"/>
        </w:rPr>
      </w:pPr>
    </w:p>
    <w:p w:rsidR="00641E81" w:rsidRPr="003C6323" w:rsidRDefault="00641E81" w:rsidP="00B2055D">
      <w:pPr>
        <w:autoSpaceDE w:val="0"/>
        <w:autoSpaceDN w:val="0"/>
        <w:bidi w:val="0"/>
        <w:adjustRightInd w:val="0"/>
        <w:snapToGrid w:val="0"/>
        <w:jc w:val="both"/>
        <w:rPr>
          <w:b/>
          <w:bCs/>
          <w:sz w:val="20"/>
          <w:szCs w:val="20"/>
        </w:rPr>
        <w:sectPr w:rsidR="00641E81" w:rsidRPr="003C6323" w:rsidSect="002F3A9E">
          <w:headerReference w:type="default" r:id="rId11"/>
          <w:footerReference w:type="even" r:id="rId12"/>
          <w:footerReference w:type="default" r:id="rId13"/>
          <w:type w:val="continuous"/>
          <w:pgSz w:w="12242" w:h="15842" w:code="1"/>
          <w:pgMar w:top="1440" w:right="1440" w:bottom="1440" w:left="1440" w:header="720" w:footer="720" w:gutter="0"/>
          <w:pgNumType w:start="21"/>
          <w:cols w:space="720"/>
          <w:noEndnote/>
          <w:bidi/>
          <w:docGrid w:linePitch="326"/>
        </w:sectPr>
      </w:pPr>
    </w:p>
    <w:p w:rsidR="001E5ABF" w:rsidRPr="003C6323" w:rsidRDefault="00862CA6" w:rsidP="00B2055D">
      <w:pPr>
        <w:autoSpaceDE w:val="0"/>
        <w:autoSpaceDN w:val="0"/>
        <w:bidi w:val="0"/>
        <w:adjustRightInd w:val="0"/>
        <w:snapToGrid w:val="0"/>
        <w:jc w:val="both"/>
        <w:rPr>
          <w:b/>
          <w:bCs/>
          <w:sz w:val="20"/>
          <w:szCs w:val="20"/>
        </w:rPr>
      </w:pPr>
      <w:r w:rsidRPr="003C6323">
        <w:rPr>
          <w:b/>
          <w:bCs/>
          <w:sz w:val="20"/>
          <w:szCs w:val="20"/>
        </w:rPr>
        <w:lastRenderedPageBreak/>
        <w:t xml:space="preserve">1. </w:t>
      </w:r>
      <w:r w:rsidR="009A1109" w:rsidRPr="003C6323">
        <w:rPr>
          <w:b/>
          <w:bCs/>
          <w:sz w:val="20"/>
          <w:szCs w:val="20"/>
        </w:rPr>
        <w:t>Introduction</w:t>
      </w:r>
    </w:p>
    <w:p w:rsidR="002B70D0" w:rsidRPr="003C6323" w:rsidRDefault="002B70D0" w:rsidP="00B2055D">
      <w:pPr>
        <w:bidi w:val="0"/>
        <w:snapToGrid w:val="0"/>
        <w:ind w:firstLine="425"/>
        <w:jc w:val="both"/>
        <w:rPr>
          <w:sz w:val="20"/>
          <w:szCs w:val="20"/>
        </w:rPr>
      </w:pPr>
      <w:r w:rsidRPr="003C6323">
        <w:rPr>
          <w:sz w:val="20"/>
          <w:szCs w:val="20"/>
        </w:rPr>
        <w:t>Infertility is defined as the inability to conceive after 1 year of unprotected intercourse of reasonable frequency.</w:t>
      </w:r>
    </w:p>
    <w:p w:rsidR="002B70D0" w:rsidRPr="003C6323" w:rsidRDefault="002B70D0" w:rsidP="00B2055D">
      <w:pPr>
        <w:bidi w:val="0"/>
        <w:snapToGrid w:val="0"/>
        <w:ind w:firstLine="425"/>
        <w:jc w:val="both"/>
        <w:rPr>
          <w:sz w:val="20"/>
          <w:szCs w:val="20"/>
        </w:rPr>
      </w:pPr>
      <w:r w:rsidRPr="003C6323">
        <w:rPr>
          <w:sz w:val="20"/>
          <w:szCs w:val="20"/>
        </w:rPr>
        <w:t>It can be subdivided</w:t>
      </w:r>
      <w:r w:rsidR="003C6323" w:rsidRPr="003C6323">
        <w:rPr>
          <w:rFonts w:hint="eastAsia"/>
          <w:sz w:val="20"/>
          <w:szCs w:val="20"/>
          <w:lang w:eastAsia="zh-CN"/>
        </w:rPr>
        <w:t xml:space="preserve"> </w:t>
      </w:r>
      <w:r w:rsidRPr="003C6323">
        <w:rPr>
          <w:sz w:val="20"/>
          <w:szCs w:val="20"/>
        </w:rPr>
        <w:t>into primary infertility</w:t>
      </w:r>
      <w:r w:rsidR="00B2055D" w:rsidRPr="003C6323">
        <w:rPr>
          <w:sz w:val="20"/>
          <w:szCs w:val="20"/>
        </w:rPr>
        <w:t>, t</w:t>
      </w:r>
      <w:r w:rsidRPr="003C6323">
        <w:rPr>
          <w:sz w:val="20"/>
          <w:szCs w:val="20"/>
        </w:rPr>
        <w:t>hat is no prior pregnancies</w:t>
      </w:r>
      <w:r w:rsidR="009A1109" w:rsidRPr="003C6323">
        <w:rPr>
          <w:sz w:val="20"/>
          <w:szCs w:val="20"/>
        </w:rPr>
        <w:t xml:space="preserve">; </w:t>
      </w:r>
      <w:r w:rsidRPr="003C6323">
        <w:rPr>
          <w:sz w:val="20"/>
          <w:szCs w:val="20"/>
        </w:rPr>
        <w:t>and sec</w:t>
      </w:r>
      <w:r w:rsidR="009A1109" w:rsidRPr="003C6323">
        <w:rPr>
          <w:sz w:val="20"/>
          <w:szCs w:val="20"/>
        </w:rPr>
        <w:t>ondary infertility referring to i</w:t>
      </w:r>
      <w:r w:rsidRPr="003C6323">
        <w:rPr>
          <w:sz w:val="20"/>
          <w:szCs w:val="20"/>
        </w:rPr>
        <w:t>nfertility following at least 1 prior conceptio</w:t>
      </w:r>
      <w:r w:rsidR="00641E81" w:rsidRPr="003C6323">
        <w:rPr>
          <w:sz w:val="20"/>
          <w:szCs w:val="20"/>
        </w:rPr>
        <w:t xml:space="preserve">n </w:t>
      </w:r>
      <w:r w:rsidR="00641E81" w:rsidRPr="003C6323">
        <w:rPr>
          <w:b/>
          <w:bCs/>
          <w:sz w:val="20"/>
          <w:szCs w:val="20"/>
        </w:rPr>
        <w:t>(</w:t>
      </w:r>
      <w:r w:rsidR="009A1109" w:rsidRPr="003C6323">
        <w:rPr>
          <w:b/>
          <w:bCs/>
          <w:sz w:val="20"/>
          <w:szCs w:val="20"/>
        </w:rPr>
        <w:t>Mosher, 1991</w:t>
      </w:r>
      <w:r w:rsidRPr="003C6323">
        <w:rPr>
          <w:b/>
          <w:bCs/>
          <w:sz w:val="20"/>
          <w:szCs w:val="20"/>
        </w:rPr>
        <w:t>)</w:t>
      </w:r>
      <w:r w:rsidR="009A1109" w:rsidRPr="003C6323">
        <w:rPr>
          <w:b/>
          <w:bCs/>
          <w:sz w:val="20"/>
          <w:szCs w:val="20"/>
        </w:rPr>
        <w:t>.</w:t>
      </w:r>
    </w:p>
    <w:p w:rsidR="002B70D0" w:rsidRPr="003C6323" w:rsidRDefault="002B70D0" w:rsidP="00B2055D">
      <w:pPr>
        <w:bidi w:val="0"/>
        <w:snapToGrid w:val="0"/>
        <w:ind w:firstLine="425"/>
        <w:jc w:val="both"/>
        <w:rPr>
          <w:sz w:val="20"/>
          <w:szCs w:val="20"/>
        </w:rPr>
      </w:pPr>
      <w:r w:rsidRPr="003C6323">
        <w:rPr>
          <w:sz w:val="20"/>
          <w:szCs w:val="20"/>
        </w:rPr>
        <w:t>Infertility is a common condition</w:t>
      </w:r>
      <w:r w:rsidR="009A1109" w:rsidRPr="003C6323">
        <w:rPr>
          <w:sz w:val="20"/>
          <w:szCs w:val="20"/>
        </w:rPr>
        <w:t>,</w:t>
      </w:r>
      <w:r w:rsidRPr="003C6323">
        <w:rPr>
          <w:sz w:val="20"/>
          <w:szCs w:val="20"/>
        </w:rPr>
        <w:t xml:space="preserve"> affecting 10 to 15 percent of reproductive aged couples of note, even without treatment approximately halve of women will conceive in the second year of attempting.</w:t>
      </w:r>
    </w:p>
    <w:p w:rsidR="002B70D0" w:rsidRPr="003C6323" w:rsidRDefault="002B70D0" w:rsidP="00B2055D">
      <w:pPr>
        <w:bidi w:val="0"/>
        <w:snapToGrid w:val="0"/>
        <w:ind w:firstLine="425"/>
        <w:jc w:val="both"/>
        <w:rPr>
          <w:sz w:val="20"/>
          <w:szCs w:val="20"/>
        </w:rPr>
      </w:pPr>
      <w:r w:rsidRPr="003C6323">
        <w:rPr>
          <w:sz w:val="20"/>
          <w:szCs w:val="20"/>
        </w:rPr>
        <w:t xml:space="preserve">Although the prevalence of infertility is believed to have remained relatively stable. </w:t>
      </w:r>
      <w:r w:rsidR="009A1109" w:rsidRPr="003C6323">
        <w:rPr>
          <w:sz w:val="20"/>
          <w:szCs w:val="20"/>
        </w:rPr>
        <w:t xml:space="preserve">During </w:t>
      </w:r>
      <w:r w:rsidRPr="003C6323">
        <w:rPr>
          <w:sz w:val="20"/>
          <w:szCs w:val="20"/>
        </w:rPr>
        <w:t>the past 40 years the</w:t>
      </w:r>
      <w:r w:rsidR="003C6323" w:rsidRPr="003C6323">
        <w:rPr>
          <w:rFonts w:hint="eastAsia"/>
          <w:sz w:val="20"/>
          <w:szCs w:val="20"/>
          <w:lang w:eastAsia="zh-CN"/>
        </w:rPr>
        <w:t xml:space="preserve"> </w:t>
      </w:r>
      <w:r w:rsidRPr="003C6323">
        <w:rPr>
          <w:sz w:val="20"/>
          <w:szCs w:val="20"/>
        </w:rPr>
        <w:t xml:space="preserve">demand for infertility evaluation and treatment has increased with the well publicized advances in infertility treatment patients now have greater hope that medical intervention will help them to achieve </w:t>
      </w:r>
      <w:r w:rsidR="009A1109" w:rsidRPr="003C6323">
        <w:rPr>
          <w:sz w:val="20"/>
          <w:szCs w:val="20"/>
        </w:rPr>
        <w:t>their</w:t>
      </w:r>
      <w:r w:rsidRPr="003C6323">
        <w:rPr>
          <w:sz w:val="20"/>
          <w:szCs w:val="20"/>
        </w:rPr>
        <w:t xml:space="preserve"> goals </w:t>
      </w:r>
      <w:r w:rsidRPr="003C6323">
        <w:rPr>
          <w:b/>
          <w:bCs/>
          <w:sz w:val="20"/>
          <w:szCs w:val="20"/>
        </w:rPr>
        <w:t>(</w:t>
      </w:r>
      <w:r w:rsidR="009A1109" w:rsidRPr="003C6323">
        <w:rPr>
          <w:b/>
          <w:bCs/>
          <w:sz w:val="20"/>
          <w:szCs w:val="20"/>
        </w:rPr>
        <w:t>Chandra, 2010).</w:t>
      </w:r>
    </w:p>
    <w:p w:rsidR="009A1109" w:rsidRPr="003C6323" w:rsidRDefault="002B70D0" w:rsidP="00B2055D">
      <w:pPr>
        <w:bidi w:val="0"/>
        <w:snapToGrid w:val="0"/>
        <w:ind w:firstLine="425"/>
        <w:jc w:val="both"/>
        <w:rPr>
          <w:sz w:val="20"/>
          <w:szCs w:val="20"/>
        </w:rPr>
      </w:pPr>
      <w:r w:rsidRPr="003C6323">
        <w:rPr>
          <w:sz w:val="20"/>
          <w:szCs w:val="20"/>
        </w:rPr>
        <w:t>Successful pregnancy requires a complex sequence of events, including</w:t>
      </w:r>
      <w:r w:rsidR="009A1109" w:rsidRPr="003C6323">
        <w:rPr>
          <w:sz w:val="20"/>
          <w:szCs w:val="20"/>
        </w:rPr>
        <w:t xml:space="preserve">; </w:t>
      </w:r>
      <w:r w:rsidRPr="003C6323">
        <w:rPr>
          <w:sz w:val="20"/>
          <w:szCs w:val="20"/>
        </w:rPr>
        <w:t>ovulation</w:t>
      </w:r>
      <w:r w:rsidR="00B2055D" w:rsidRPr="003C6323">
        <w:rPr>
          <w:sz w:val="20"/>
          <w:szCs w:val="20"/>
        </w:rPr>
        <w:t>, o</w:t>
      </w:r>
      <w:r w:rsidRPr="003C6323">
        <w:rPr>
          <w:sz w:val="20"/>
          <w:szCs w:val="20"/>
        </w:rPr>
        <w:t>vum pickup by the fallopian tubes</w:t>
      </w:r>
      <w:r w:rsidR="00B2055D" w:rsidRPr="003C6323">
        <w:rPr>
          <w:sz w:val="20"/>
          <w:szCs w:val="20"/>
        </w:rPr>
        <w:t>, f</w:t>
      </w:r>
      <w:r w:rsidRPr="003C6323">
        <w:rPr>
          <w:sz w:val="20"/>
          <w:szCs w:val="20"/>
        </w:rPr>
        <w:t>ertilization transport of fertilized ovum into the uterus and implantation into receptive uterine cavity with male infertility sperm of adequate number and quality must be deposited at the cervix near the time of ovulation</w:t>
      </w:r>
      <w:r w:rsidR="003C6323" w:rsidRPr="003C6323">
        <w:rPr>
          <w:rFonts w:hint="eastAsia"/>
          <w:sz w:val="20"/>
          <w:szCs w:val="20"/>
          <w:lang w:eastAsia="zh-CN"/>
        </w:rPr>
        <w:t xml:space="preserve"> </w:t>
      </w:r>
      <w:r w:rsidRPr="003C6323">
        <w:rPr>
          <w:sz w:val="20"/>
          <w:szCs w:val="20"/>
        </w:rPr>
        <w:t>remembering these critical events can help direct a clinician</w:t>
      </w:r>
      <w:r w:rsidR="003C6323" w:rsidRPr="003C6323">
        <w:rPr>
          <w:rFonts w:hint="eastAsia"/>
          <w:sz w:val="20"/>
          <w:szCs w:val="20"/>
          <w:lang w:eastAsia="zh-CN"/>
        </w:rPr>
        <w:t xml:space="preserve"> </w:t>
      </w:r>
      <w:r w:rsidRPr="003C6323">
        <w:rPr>
          <w:sz w:val="20"/>
          <w:szCs w:val="20"/>
        </w:rPr>
        <w:t>to develop an appropriate evaluation and treatment strateg</w:t>
      </w:r>
      <w:r w:rsidR="00641E81" w:rsidRPr="003C6323">
        <w:rPr>
          <w:sz w:val="20"/>
          <w:szCs w:val="20"/>
        </w:rPr>
        <w:t xml:space="preserve">y </w:t>
      </w:r>
      <w:r w:rsidR="00641E81" w:rsidRPr="003C6323">
        <w:rPr>
          <w:b/>
          <w:bCs/>
          <w:sz w:val="20"/>
          <w:szCs w:val="20"/>
        </w:rPr>
        <w:t>(</w:t>
      </w:r>
      <w:r w:rsidR="007E0C0F" w:rsidRPr="003C6323">
        <w:rPr>
          <w:b/>
          <w:bCs/>
          <w:sz w:val="20"/>
          <w:szCs w:val="20"/>
        </w:rPr>
        <w:t>Abma</w:t>
      </w:r>
      <w:r w:rsidRPr="003C6323">
        <w:rPr>
          <w:b/>
          <w:bCs/>
          <w:sz w:val="20"/>
          <w:szCs w:val="20"/>
        </w:rPr>
        <w:t>,1997</w:t>
      </w:r>
      <w:r w:rsidR="00B2055D" w:rsidRPr="003C6323">
        <w:rPr>
          <w:b/>
          <w:bCs/>
          <w:sz w:val="20"/>
          <w:szCs w:val="20"/>
        </w:rPr>
        <w:t>, A</w:t>
      </w:r>
      <w:r w:rsidRPr="003C6323">
        <w:rPr>
          <w:b/>
          <w:bCs/>
          <w:sz w:val="20"/>
          <w:szCs w:val="20"/>
        </w:rPr>
        <w:t>merican society of reproductive medicine 2006)</w:t>
      </w:r>
      <w:r w:rsidR="007E0C0F" w:rsidRPr="003C6323">
        <w:rPr>
          <w:b/>
          <w:bCs/>
          <w:sz w:val="20"/>
          <w:szCs w:val="20"/>
        </w:rPr>
        <w:t>.</w:t>
      </w:r>
    </w:p>
    <w:p w:rsidR="00B2055D" w:rsidRPr="003C6323" w:rsidRDefault="002B70D0" w:rsidP="00B2055D">
      <w:pPr>
        <w:bidi w:val="0"/>
        <w:snapToGrid w:val="0"/>
        <w:ind w:firstLine="425"/>
        <w:jc w:val="both"/>
        <w:rPr>
          <w:b/>
          <w:bCs/>
          <w:sz w:val="20"/>
          <w:szCs w:val="20"/>
        </w:rPr>
      </w:pPr>
      <w:r w:rsidRPr="003C6323">
        <w:rPr>
          <w:sz w:val="20"/>
          <w:szCs w:val="20"/>
        </w:rPr>
        <w:t>Unexplained infertility may represent on</w:t>
      </w:r>
      <w:r w:rsidR="009A1109" w:rsidRPr="003C6323">
        <w:rPr>
          <w:sz w:val="20"/>
          <w:szCs w:val="20"/>
        </w:rPr>
        <w:t>e</w:t>
      </w:r>
      <w:r w:rsidRPr="003C6323">
        <w:rPr>
          <w:sz w:val="20"/>
          <w:szCs w:val="20"/>
        </w:rPr>
        <w:t xml:space="preserve"> of the most common infertility diagnosis with reported prevalence of up to 30 percent </w:t>
      </w:r>
      <w:r w:rsidRPr="003C6323">
        <w:rPr>
          <w:b/>
          <w:bCs/>
          <w:sz w:val="20"/>
          <w:szCs w:val="20"/>
        </w:rPr>
        <w:t>(Dodson</w:t>
      </w:r>
      <w:r w:rsidR="005C71A9" w:rsidRPr="003C6323">
        <w:rPr>
          <w:b/>
          <w:bCs/>
          <w:sz w:val="20"/>
          <w:szCs w:val="20"/>
        </w:rPr>
        <w:t xml:space="preserve">, </w:t>
      </w:r>
      <w:r w:rsidRPr="003C6323">
        <w:rPr>
          <w:b/>
          <w:bCs/>
          <w:sz w:val="20"/>
          <w:szCs w:val="20"/>
        </w:rPr>
        <w:t>1987</w:t>
      </w:r>
      <w:r w:rsidR="00B2055D" w:rsidRPr="003C6323">
        <w:rPr>
          <w:b/>
          <w:bCs/>
          <w:sz w:val="20"/>
          <w:szCs w:val="20"/>
        </w:rPr>
        <w:t>).</w:t>
      </w:r>
    </w:p>
    <w:p w:rsidR="009A1109" w:rsidRPr="003C6323" w:rsidRDefault="002B70D0" w:rsidP="00B2055D">
      <w:pPr>
        <w:bidi w:val="0"/>
        <w:snapToGrid w:val="0"/>
        <w:ind w:firstLine="425"/>
        <w:jc w:val="both"/>
        <w:rPr>
          <w:sz w:val="20"/>
          <w:szCs w:val="20"/>
        </w:rPr>
      </w:pPr>
      <w:r w:rsidRPr="003C6323">
        <w:rPr>
          <w:sz w:val="20"/>
          <w:szCs w:val="20"/>
        </w:rPr>
        <w:t xml:space="preserve">The diagnosis of unexplained infertility is highly suggestive and depends on the diagnostic tests </w:t>
      </w:r>
      <w:r w:rsidRPr="003C6323">
        <w:rPr>
          <w:sz w:val="20"/>
          <w:szCs w:val="20"/>
        </w:rPr>
        <w:lastRenderedPageBreak/>
        <w:t xml:space="preserve">performed or emitted and on </w:t>
      </w:r>
      <w:r w:rsidR="009A1109" w:rsidRPr="003C6323">
        <w:rPr>
          <w:sz w:val="20"/>
          <w:szCs w:val="20"/>
        </w:rPr>
        <w:t>their</w:t>
      </w:r>
      <w:r w:rsidRPr="003C6323">
        <w:rPr>
          <w:sz w:val="20"/>
          <w:szCs w:val="20"/>
        </w:rPr>
        <w:t xml:space="preserve"> level of qualit</w:t>
      </w:r>
      <w:r w:rsidR="00641E81" w:rsidRPr="003C6323">
        <w:rPr>
          <w:sz w:val="20"/>
          <w:szCs w:val="20"/>
        </w:rPr>
        <w:t xml:space="preserve">y </w:t>
      </w:r>
      <w:r w:rsidR="00641E81" w:rsidRPr="003C6323">
        <w:rPr>
          <w:b/>
          <w:bCs/>
          <w:sz w:val="20"/>
          <w:szCs w:val="20"/>
        </w:rPr>
        <w:t>(</w:t>
      </w:r>
      <w:proofErr w:type="spellStart"/>
      <w:r w:rsidRPr="003C6323">
        <w:rPr>
          <w:b/>
          <w:bCs/>
          <w:sz w:val="20"/>
          <w:szCs w:val="20"/>
        </w:rPr>
        <w:t>Gleicher</w:t>
      </w:r>
      <w:proofErr w:type="spellEnd"/>
      <w:r w:rsidRPr="003C6323">
        <w:rPr>
          <w:b/>
          <w:bCs/>
          <w:sz w:val="20"/>
          <w:szCs w:val="20"/>
        </w:rPr>
        <w:t>,</w:t>
      </w:r>
      <w:r w:rsidR="003C6323" w:rsidRPr="003C6323">
        <w:rPr>
          <w:rFonts w:hint="eastAsia"/>
          <w:b/>
          <w:bCs/>
          <w:sz w:val="20"/>
          <w:szCs w:val="20"/>
          <w:lang w:eastAsia="zh-CN"/>
        </w:rPr>
        <w:t xml:space="preserve"> </w:t>
      </w:r>
      <w:r w:rsidRPr="003C6323">
        <w:rPr>
          <w:b/>
          <w:bCs/>
          <w:sz w:val="20"/>
          <w:szCs w:val="20"/>
        </w:rPr>
        <w:t>2006)</w:t>
      </w:r>
      <w:r w:rsidR="009A1109" w:rsidRPr="003C6323">
        <w:rPr>
          <w:sz w:val="20"/>
          <w:szCs w:val="20"/>
        </w:rPr>
        <w:t>.</w:t>
      </w:r>
    </w:p>
    <w:p w:rsidR="00761402" w:rsidRPr="003C6323" w:rsidRDefault="00761402" w:rsidP="00B2055D">
      <w:pPr>
        <w:autoSpaceDE w:val="0"/>
        <w:autoSpaceDN w:val="0"/>
        <w:bidi w:val="0"/>
        <w:adjustRightInd w:val="0"/>
        <w:snapToGrid w:val="0"/>
        <w:jc w:val="both"/>
        <w:rPr>
          <w:b/>
          <w:bCs/>
          <w:sz w:val="20"/>
          <w:szCs w:val="20"/>
        </w:rPr>
      </w:pPr>
      <w:r w:rsidRPr="003C6323">
        <w:rPr>
          <w:b/>
          <w:bCs/>
          <w:sz w:val="20"/>
          <w:szCs w:val="20"/>
        </w:rPr>
        <w:t xml:space="preserve">Aim </w:t>
      </w:r>
      <w:r w:rsidR="009A1109" w:rsidRPr="003C6323">
        <w:rPr>
          <w:b/>
          <w:bCs/>
          <w:sz w:val="20"/>
          <w:szCs w:val="20"/>
        </w:rPr>
        <w:t>of the work</w:t>
      </w:r>
    </w:p>
    <w:p w:rsidR="009A1109" w:rsidRPr="003C6323" w:rsidRDefault="002B70D0" w:rsidP="00B2055D">
      <w:pPr>
        <w:bidi w:val="0"/>
        <w:snapToGrid w:val="0"/>
        <w:ind w:firstLine="425"/>
        <w:jc w:val="both"/>
        <w:rPr>
          <w:sz w:val="20"/>
          <w:szCs w:val="20"/>
        </w:rPr>
      </w:pPr>
      <w:r w:rsidRPr="003C6323">
        <w:rPr>
          <w:sz w:val="20"/>
          <w:szCs w:val="20"/>
        </w:rPr>
        <w:t xml:space="preserve">The aim of our study is to detect the prevalence of unexplained infertility among patients attending infertility clinic in </w:t>
      </w:r>
      <w:proofErr w:type="spellStart"/>
      <w:r w:rsidR="00D42CEC" w:rsidRPr="003C6323">
        <w:rPr>
          <w:sz w:val="20"/>
          <w:szCs w:val="20"/>
        </w:rPr>
        <w:t>Q</w:t>
      </w:r>
      <w:r w:rsidRPr="003C6323">
        <w:rPr>
          <w:sz w:val="20"/>
          <w:szCs w:val="20"/>
        </w:rPr>
        <w:t>ena</w:t>
      </w:r>
      <w:proofErr w:type="spellEnd"/>
      <w:r w:rsidRPr="003C6323">
        <w:rPr>
          <w:sz w:val="20"/>
          <w:szCs w:val="20"/>
        </w:rPr>
        <w:t xml:space="preserve"> general hospital in order to plan their treatment protocols and to evaluate their clinical outcome.</w:t>
      </w:r>
    </w:p>
    <w:p w:rsidR="00862CA6" w:rsidRPr="003C6323" w:rsidRDefault="00862CA6" w:rsidP="00B2055D">
      <w:pPr>
        <w:autoSpaceDE w:val="0"/>
        <w:autoSpaceDN w:val="0"/>
        <w:bidi w:val="0"/>
        <w:adjustRightInd w:val="0"/>
        <w:snapToGrid w:val="0"/>
        <w:jc w:val="both"/>
        <w:rPr>
          <w:b/>
          <w:bCs/>
          <w:sz w:val="20"/>
          <w:szCs w:val="20"/>
        </w:rPr>
      </w:pPr>
    </w:p>
    <w:p w:rsidR="00A14265" w:rsidRPr="003C6323" w:rsidRDefault="00862CA6" w:rsidP="00B2055D">
      <w:pPr>
        <w:autoSpaceDE w:val="0"/>
        <w:autoSpaceDN w:val="0"/>
        <w:bidi w:val="0"/>
        <w:adjustRightInd w:val="0"/>
        <w:snapToGrid w:val="0"/>
        <w:jc w:val="both"/>
        <w:rPr>
          <w:b/>
          <w:bCs/>
          <w:sz w:val="20"/>
          <w:szCs w:val="20"/>
        </w:rPr>
      </w:pPr>
      <w:r w:rsidRPr="003C6323">
        <w:rPr>
          <w:b/>
          <w:bCs/>
          <w:sz w:val="20"/>
          <w:szCs w:val="20"/>
        </w:rPr>
        <w:t xml:space="preserve">2. </w:t>
      </w:r>
      <w:r w:rsidR="000941F3" w:rsidRPr="003C6323">
        <w:rPr>
          <w:b/>
          <w:bCs/>
          <w:sz w:val="20"/>
          <w:szCs w:val="20"/>
        </w:rPr>
        <w:t>Patients</w:t>
      </w:r>
      <w:r w:rsidRPr="003C6323">
        <w:rPr>
          <w:b/>
          <w:bCs/>
          <w:sz w:val="20"/>
          <w:szCs w:val="20"/>
        </w:rPr>
        <w:t xml:space="preserve"> </w:t>
      </w:r>
      <w:r w:rsidR="008814CD" w:rsidRPr="003C6323">
        <w:rPr>
          <w:b/>
          <w:bCs/>
          <w:sz w:val="20"/>
          <w:szCs w:val="20"/>
        </w:rPr>
        <w:t xml:space="preserve">and </w:t>
      </w:r>
      <w:r w:rsidR="00A14265" w:rsidRPr="003C6323">
        <w:rPr>
          <w:b/>
          <w:bCs/>
          <w:sz w:val="20"/>
          <w:szCs w:val="20"/>
        </w:rPr>
        <w:t>Methods</w:t>
      </w:r>
    </w:p>
    <w:p w:rsidR="00C34EA8" w:rsidRPr="003C6323" w:rsidRDefault="00C34EA8" w:rsidP="00B2055D">
      <w:pPr>
        <w:pStyle w:val="BodyTextIndent"/>
        <w:bidi w:val="0"/>
        <w:snapToGrid w:val="0"/>
        <w:spacing w:after="0"/>
        <w:ind w:left="0" w:firstLine="425"/>
        <w:jc w:val="both"/>
        <w:rPr>
          <w:sz w:val="20"/>
          <w:szCs w:val="20"/>
        </w:rPr>
      </w:pPr>
      <w:r w:rsidRPr="003C6323">
        <w:rPr>
          <w:sz w:val="20"/>
          <w:szCs w:val="20"/>
        </w:rPr>
        <w:t>The study will includ</w:t>
      </w:r>
      <w:r w:rsidR="008814CD" w:rsidRPr="003C6323">
        <w:rPr>
          <w:sz w:val="20"/>
          <w:szCs w:val="20"/>
        </w:rPr>
        <w:t>e</w:t>
      </w:r>
      <w:r w:rsidRPr="003C6323">
        <w:rPr>
          <w:sz w:val="20"/>
          <w:szCs w:val="20"/>
        </w:rPr>
        <w:t xml:space="preserve"> (300) patients with infertility (Infertility is the inability to conceive after a year of unprotected intercourse).</w:t>
      </w:r>
    </w:p>
    <w:p w:rsidR="00C34EA8" w:rsidRPr="003C6323" w:rsidRDefault="00C34EA8" w:rsidP="00B2055D">
      <w:pPr>
        <w:pStyle w:val="BodyTextIndent"/>
        <w:bidi w:val="0"/>
        <w:snapToGrid w:val="0"/>
        <w:spacing w:after="0"/>
        <w:ind w:left="0" w:firstLine="425"/>
        <w:jc w:val="both"/>
        <w:rPr>
          <w:sz w:val="20"/>
          <w:szCs w:val="20"/>
        </w:rPr>
      </w:pPr>
      <w:r w:rsidRPr="003C6323">
        <w:rPr>
          <w:sz w:val="20"/>
          <w:szCs w:val="20"/>
        </w:rPr>
        <w:t>Cases will be selected from infertility clinic of the department of Obstetrics</w:t>
      </w:r>
      <w:r w:rsidR="00B2055D" w:rsidRPr="003C6323">
        <w:rPr>
          <w:sz w:val="20"/>
          <w:szCs w:val="20"/>
        </w:rPr>
        <w:t xml:space="preserve"> </w:t>
      </w:r>
      <w:r w:rsidR="00641E81" w:rsidRPr="003C6323">
        <w:rPr>
          <w:sz w:val="20"/>
          <w:szCs w:val="20"/>
        </w:rPr>
        <w:t>&amp;</w:t>
      </w:r>
      <w:r w:rsidR="00B2055D" w:rsidRPr="003C6323">
        <w:rPr>
          <w:sz w:val="20"/>
          <w:szCs w:val="20"/>
        </w:rPr>
        <w:t xml:space="preserve"> </w:t>
      </w:r>
      <w:r w:rsidRPr="003C6323">
        <w:rPr>
          <w:sz w:val="20"/>
          <w:szCs w:val="20"/>
        </w:rPr>
        <w:t xml:space="preserve">Gynecology of </w:t>
      </w:r>
      <w:proofErr w:type="spellStart"/>
      <w:r w:rsidR="007E0C0F" w:rsidRPr="003C6323">
        <w:rPr>
          <w:sz w:val="20"/>
          <w:szCs w:val="20"/>
        </w:rPr>
        <w:t>Qena</w:t>
      </w:r>
      <w:proofErr w:type="spellEnd"/>
      <w:r w:rsidR="007E0C0F" w:rsidRPr="003C6323">
        <w:rPr>
          <w:sz w:val="20"/>
          <w:szCs w:val="20"/>
        </w:rPr>
        <w:t xml:space="preserve"> </w:t>
      </w:r>
      <w:r w:rsidRPr="003C6323">
        <w:rPr>
          <w:sz w:val="20"/>
          <w:szCs w:val="20"/>
        </w:rPr>
        <w:t>general hospital.</w:t>
      </w:r>
    </w:p>
    <w:p w:rsidR="00C34EA8" w:rsidRPr="003C6323" w:rsidRDefault="00C34EA8" w:rsidP="00B2055D">
      <w:pPr>
        <w:pStyle w:val="BodyTextIndent"/>
        <w:bidi w:val="0"/>
        <w:snapToGrid w:val="0"/>
        <w:spacing w:after="0"/>
        <w:ind w:left="0" w:firstLine="425"/>
        <w:jc w:val="both"/>
        <w:rPr>
          <w:sz w:val="20"/>
          <w:szCs w:val="20"/>
        </w:rPr>
      </w:pPr>
      <w:r w:rsidRPr="003C6323">
        <w:rPr>
          <w:sz w:val="20"/>
          <w:szCs w:val="20"/>
        </w:rPr>
        <w:t>Patients came seeking medical or even operative treatment for infertility.</w:t>
      </w:r>
    </w:p>
    <w:p w:rsidR="00C34EA8" w:rsidRPr="003C6323" w:rsidRDefault="00C34EA8" w:rsidP="00B2055D">
      <w:pPr>
        <w:pStyle w:val="BodyTextIndent"/>
        <w:bidi w:val="0"/>
        <w:snapToGrid w:val="0"/>
        <w:spacing w:after="0"/>
        <w:ind w:left="0"/>
        <w:jc w:val="both"/>
        <w:rPr>
          <w:b/>
          <w:bCs/>
          <w:sz w:val="20"/>
          <w:szCs w:val="20"/>
        </w:rPr>
      </w:pPr>
      <w:r w:rsidRPr="003C6323">
        <w:rPr>
          <w:b/>
          <w:bCs/>
          <w:sz w:val="20"/>
          <w:szCs w:val="20"/>
        </w:rPr>
        <w:t>Patients included in the study (Patients of unexplained infertility) must have the following criteria:</w:t>
      </w:r>
    </w:p>
    <w:p w:rsidR="00B2055D"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 xml:space="preserve">Patients in </w:t>
      </w:r>
      <w:r w:rsidR="005B00FB" w:rsidRPr="003C6323">
        <w:rPr>
          <w:sz w:val="20"/>
          <w:szCs w:val="20"/>
        </w:rPr>
        <w:t>reproductive age period (15 – 40 years</w:t>
      </w:r>
      <w:r w:rsidR="00B2055D" w:rsidRPr="003C6323">
        <w:rPr>
          <w:sz w:val="20"/>
          <w:szCs w:val="20"/>
        </w:rPr>
        <w:t>).</w:t>
      </w:r>
    </w:p>
    <w:p w:rsidR="00C34EA8"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1ry or 2ry infertility.</w:t>
      </w:r>
    </w:p>
    <w:p w:rsidR="00C34EA8"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Patients with continuous marital life and unprotected intercourse.</w:t>
      </w:r>
    </w:p>
    <w:p w:rsidR="00C34EA8"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Normal regular cycles.</w:t>
      </w:r>
    </w:p>
    <w:p w:rsidR="00C34EA8"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Normal results of semen analysis.</w:t>
      </w:r>
    </w:p>
    <w:p w:rsidR="00C34EA8"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Normal hormonal profile (FSH, LH, PRL, Progesterone, E2) taken in appropriate time.</w:t>
      </w:r>
    </w:p>
    <w:p w:rsidR="00C34EA8"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Normal pelvic ultrasound (uterus, both ovaries and Douglas pouch).</w:t>
      </w:r>
    </w:p>
    <w:p w:rsidR="00B2055D" w:rsidRPr="003C6323" w:rsidRDefault="00C34EA8" w:rsidP="00B2055D">
      <w:pPr>
        <w:pStyle w:val="BodyTextIndent"/>
        <w:numPr>
          <w:ilvl w:val="0"/>
          <w:numId w:val="32"/>
        </w:numPr>
        <w:bidi w:val="0"/>
        <w:snapToGrid w:val="0"/>
        <w:spacing w:after="0"/>
        <w:ind w:left="0" w:firstLine="425"/>
        <w:jc w:val="both"/>
        <w:rPr>
          <w:sz w:val="20"/>
          <w:szCs w:val="20"/>
        </w:rPr>
      </w:pPr>
      <w:r w:rsidRPr="003C6323">
        <w:rPr>
          <w:sz w:val="20"/>
          <w:szCs w:val="20"/>
        </w:rPr>
        <w:t xml:space="preserve">Normal </w:t>
      </w:r>
      <w:proofErr w:type="spellStart"/>
      <w:r w:rsidRPr="003C6323">
        <w:rPr>
          <w:sz w:val="20"/>
          <w:szCs w:val="20"/>
        </w:rPr>
        <w:t>hystero-salpingograph</w:t>
      </w:r>
      <w:r w:rsidR="00641E81" w:rsidRPr="003C6323">
        <w:rPr>
          <w:sz w:val="20"/>
          <w:szCs w:val="20"/>
        </w:rPr>
        <w:t>y</w:t>
      </w:r>
      <w:proofErr w:type="spellEnd"/>
      <w:r w:rsidR="00641E81" w:rsidRPr="003C6323">
        <w:rPr>
          <w:sz w:val="20"/>
          <w:szCs w:val="20"/>
        </w:rPr>
        <w:t xml:space="preserve"> (</w:t>
      </w:r>
      <w:r w:rsidRPr="003C6323">
        <w:rPr>
          <w:sz w:val="20"/>
          <w:szCs w:val="20"/>
        </w:rPr>
        <w:t>HSG</w:t>
      </w:r>
      <w:r w:rsidR="00B2055D" w:rsidRPr="003C6323">
        <w:rPr>
          <w:sz w:val="20"/>
          <w:szCs w:val="20"/>
        </w:rPr>
        <w:t>).</w:t>
      </w:r>
    </w:p>
    <w:p w:rsidR="00C34EA8" w:rsidRPr="003C6323" w:rsidRDefault="00C34EA8" w:rsidP="00B2055D">
      <w:pPr>
        <w:pStyle w:val="BodyTextIndent"/>
        <w:bidi w:val="0"/>
        <w:snapToGrid w:val="0"/>
        <w:spacing w:after="0"/>
        <w:ind w:left="0"/>
        <w:jc w:val="both"/>
        <w:rPr>
          <w:b/>
          <w:bCs/>
          <w:sz w:val="20"/>
          <w:szCs w:val="20"/>
        </w:rPr>
      </w:pPr>
      <w:r w:rsidRPr="003C6323">
        <w:rPr>
          <w:b/>
          <w:bCs/>
          <w:sz w:val="20"/>
          <w:szCs w:val="20"/>
        </w:rPr>
        <w:t>Exclusion criteria (from the infertility group):</w:t>
      </w:r>
    </w:p>
    <w:p w:rsidR="00C34EA8" w:rsidRPr="003C6323" w:rsidRDefault="00C34EA8" w:rsidP="00B2055D">
      <w:pPr>
        <w:pStyle w:val="BodyTextIndent"/>
        <w:bidi w:val="0"/>
        <w:snapToGrid w:val="0"/>
        <w:spacing w:after="0"/>
        <w:ind w:left="0" w:firstLine="425"/>
        <w:jc w:val="both"/>
        <w:rPr>
          <w:sz w:val="20"/>
          <w:szCs w:val="20"/>
        </w:rPr>
      </w:pPr>
      <w:r w:rsidRPr="003C6323">
        <w:rPr>
          <w:sz w:val="20"/>
          <w:szCs w:val="20"/>
        </w:rPr>
        <w:lastRenderedPageBreak/>
        <w:t>Any infertile patient having any organic cause interfering with pregnancy was excluded from our study.</w:t>
      </w:r>
    </w:p>
    <w:p w:rsidR="00E83B60" w:rsidRPr="003C6323" w:rsidRDefault="00E83B60" w:rsidP="00B2055D">
      <w:pPr>
        <w:bidi w:val="0"/>
        <w:snapToGrid w:val="0"/>
        <w:jc w:val="both"/>
        <w:rPr>
          <w:b/>
          <w:bCs/>
          <w:sz w:val="20"/>
          <w:szCs w:val="20"/>
          <w:lang w:eastAsia="ar-SA"/>
        </w:rPr>
      </w:pPr>
      <w:r w:rsidRPr="003C6323">
        <w:rPr>
          <w:b/>
          <w:bCs/>
          <w:sz w:val="20"/>
          <w:szCs w:val="20"/>
          <w:lang w:eastAsia="ar-SA"/>
        </w:rPr>
        <w:t>Statistical analysis:</w:t>
      </w:r>
    </w:p>
    <w:p w:rsidR="00E83B60" w:rsidRPr="003C6323" w:rsidRDefault="00E83B60" w:rsidP="00B2055D">
      <w:pPr>
        <w:bidi w:val="0"/>
        <w:snapToGrid w:val="0"/>
        <w:ind w:firstLine="425"/>
        <w:jc w:val="both"/>
        <w:rPr>
          <w:sz w:val="20"/>
          <w:szCs w:val="20"/>
          <w:lang w:eastAsia="ar-SA"/>
        </w:rPr>
      </w:pPr>
      <w:bookmarkStart w:id="0" w:name="OLE_LINK44"/>
      <w:bookmarkStart w:id="1" w:name="OLE_LINK45"/>
      <w:r w:rsidRPr="003C6323">
        <w:rPr>
          <w:sz w:val="20"/>
          <w:szCs w:val="20"/>
          <w:lang w:eastAsia="ar-SA"/>
        </w:rPr>
        <w:t>Data were analyzed using Statistical Program for Social Science (</w:t>
      </w:r>
      <w:smartTag w:uri="urn:schemas-microsoft-com:office:smarttags" w:element="stockticker">
        <w:r w:rsidRPr="003C6323">
          <w:rPr>
            <w:sz w:val="20"/>
            <w:szCs w:val="20"/>
            <w:lang w:eastAsia="ar-SA"/>
          </w:rPr>
          <w:t>SPSS</w:t>
        </w:r>
      </w:smartTag>
      <w:r w:rsidRPr="003C6323">
        <w:rPr>
          <w:sz w:val="20"/>
          <w:szCs w:val="20"/>
          <w:lang w:eastAsia="ar-SA"/>
        </w:rPr>
        <w:t>) version 20.0. Quantitative data were expressed as mean± standard deviation (SD). Qualitative data were expressed as frequency and percentage.</w:t>
      </w:r>
    </w:p>
    <w:bookmarkEnd w:id="0"/>
    <w:bookmarkEnd w:id="1"/>
    <w:p w:rsidR="00E83B60" w:rsidRPr="003C6323" w:rsidRDefault="00E83B60" w:rsidP="00B2055D">
      <w:pPr>
        <w:bidi w:val="0"/>
        <w:snapToGrid w:val="0"/>
        <w:jc w:val="both"/>
        <w:rPr>
          <w:b/>
          <w:bCs/>
          <w:sz w:val="20"/>
          <w:szCs w:val="20"/>
          <w:lang w:eastAsia="ar-SA"/>
        </w:rPr>
      </w:pPr>
      <w:r w:rsidRPr="003C6323">
        <w:rPr>
          <w:b/>
          <w:bCs/>
          <w:sz w:val="20"/>
          <w:szCs w:val="20"/>
          <w:lang w:eastAsia="ar-SA"/>
        </w:rPr>
        <w:t>The following tests were done:</w:t>
      </w:r>
    </w:p>
    <w:p w:rsidR="00E83B60" w:rsidRPr="003C6323" w:rsidRDefault="00E83B60" w:rsidP="00B2055D">
      <w:pPr>
        <w:numPr>
          <w:ilvl w:val="0"/>
          <w:numId w:val="40"/>
        </w:numPr>
        <w:bidi w:val="0"/>
        <w:snapToGrid w:val="0"/>
        <w:ind w:left="0" w:firstLine="425"/>
        <w:jc w:val="both"/>
        <w:rPr>
          <w:sz w:val="20"/>
          <w:szCs w:val="20"/>
          <w:lang w:eastAsia="ar-SA"/>
        </w:rPr>
      </w:pPr>
      <w:r w:rsidRPr="003C6323">
        <w:rPr>
          <w:sz w:val="20"/>
          <w:szCs w:val="20"/>
          <w:lang w:eastAsia="ar-SA"/>
        </w:rPr>
        <w:t>Independent-samples t-test of significance was used when comparing between two means.</w:t>
      </w:r>
    </w:p>
    <w:p w:rsidR="00E83B60" w:rsidRPr="003C6323" w:rsidRDefault="00E83B60" w:rsidP="00B2055D">
      <w:pPr>
        <w:numPr>
          <w:ilvl w:val="0"/>
          <w:numId w:val="40"/>
        </w:numPr>
        <w:bidi w:val="0"/>
        <w:snapToGrid w:val="0"/>
        <w:ind w:left="0" w:firstLine="425"/>
        <w:jc w:val="both"/>
        <w:rPr>
          <w:sz w:val="20"/>
          <w:szCs w:val="20"/>
          <w:lang w:eastAsia="ar-SA"/>
        </w:rPr>
      </w:pPr>
      <w:r w:rsidRPr="003C6323">
        <w:rPr>
          <w:sz w:val="20"/>
          <w:szCs w:val="20"/>
          <w:lang w:eastAsia="ar-SA"/>
        </w:rPr>
        <w:t>Chi-square (X</w:t>
      </w:r>
      <w:r w:rsidRPr="003C6323">
        <w:rPr>
          <w:sz w:val="20"/>
          <w:szCs w:val="20"/>
          <w:vertAlign w:val="superscript"/>
          <w:lang w:eastAsia="ar-SA"/>
        </w:rPr>
        <w:t>2</w:t>
      </w:r>
      <w:r w:rsidRPr="003C6323">
        <w:rPr>
          <w:sz w:val="20"/>
          <w:szCs w:val="20"/>
          <w:lang w:eastAsia="ar-SA"/>
        </w:rPr>
        <w:t>) test of significance was used in order to compare proportions between two qualitative parameters.</w:t>
      </w:r>
    </w:p>
    <w:p w:rsidR="00B2055D" w:rsidRPr="003C6323" w:rsidRDefault="00E83B60" w:rsidP="00B2055D">
      <w:pPr>
        <w:pStyle w:val="ListParagraph"/>
        <w:numPr>
          <w:ilvl w:val="0"/>
          <w:numId w:val="40"/>
        </w:numPr>
        <w:snapToGrid w:val="0"/>
        <w:spacing w:after="0" w:line="240" w:lineRule="auto"/>
        <w:ind w:left="0" w:firstLine="425"/>
        <w:jc w:val="both"/>
        <w:rPr>
          <w:rFonts w:ascii="Times New Roman" w:hAnsi="Times New Roman" w:cs="Times New Roman"/>
          <w:sz w:val="20"/>
          <w:szCs w:val="20"/>
          <w:lang w:eastAsia="ar-SA"/>
        </w:rPr>
      </w:pPr>
      <w:r w:rsidRPr="003C6323">
        <w:rPr>
          <w:rFonts w:ascii="Times New Roman" w:hAnsi="Times New Roman" w:cs="Times New Roman"/>
          <w:sz w:val="20"/>
          <w:szCs w:val="20"/>
          <w:lang w:eastAsia="ar-SA"/>
        </w:rPr>
        <w:t>Probability (P-value</w:t>
      </w:r>
      <w:r w:rsidR="00B2055D" w:rsidRPr="003C6323">
        <w:rPr>
          <w:rFonts w:ascii="Times New Roman" w:hAnsi="Times New Roman" w:cs="Times New Roman"/>
          <w:sz w:val="20"/>
          <w:szCs w:val="20"/>
          <w:lang w:eastAsia="ar-SA"/>
        </w:rPr>
        <w:t>).</w:t>
      </w:r>
    </w:p>
    <w:p w:rsidR="00E83B60" w:rsidRPr="003C6323" w:rsidRDefault="00E83B60" w:rsidP="00B2055D">
      <w:pPr>
        <w:pStyle w:val="ListParagraph"/>
        <w:numPr>
          <w:ilvl w:val="0"/>
          <w:numId w:val="41"/>
        </w:numPr>
        <w:snapToGrid w:val="0"/>
        <w:spacing w:after="0" w:line="240" w:lineRule="auto"/>
        <w:ind w:left="0" w:firstLine="425"/>
        <w:jc w:val="both"/>
        <w:rPr>
          <w:rFonts w:ascii="Times New Roman" w:hAnsi="Times New Roman" w:cs="Times New Roman"/>
          <w:sz w:val="20"/>
          <w:szCs w:val="20"/>
          <w:lang w:eastAsia="ar-SA"/>
        </w:rPr>
      </w:pPr>
      <w:r w:rsidRPr="003C6323">
        <w:rPr>
          <w:rFonts w:ascii="Times New Roman" w:hAnsi="Times New Roman" w:cs="Times New Roman"/>
          <w:sz w:val="20"/>
          <w:szCs w:val="20"/>
          <w:lang w:eastAsia="ar-SA"/>
        </w:rPr>
        <w:t>P-value &lt;0.05 was considered significant.</w:t>
      </w:r>
    </w:p>
    <w:p w:rsidR="00E83B60" w:rsidRPr="003C6323" w:rsidRDefault="00E83B60" w:rsidP="00B2055D">
      <w:pPr>
        <w:pStyle w:val="ListParagraph"/>
        <w:numPr>
          <w:ilvl w:val="0"/>
          <w:numId w:val="41"/>
        </w:numPr>
        <w:snapToGrid w:val="0"/>
        <w:spacing w:after="0" w:line="240" w:lineRule="auto"/>
        <w:ind w:left="0" w:firstLine="425"/>
        <w:jc w:val="both"/>
        <w:rPr>
          <w:rFonts w:ascii="Times New Roman" w:hAnsi="Times New Roman" w:cs="Times New Roman"/>
          <w:sz w:val="20"/>
          <w:szCs w:val="20"/>
          <w:lang w:eastAsia="ar-SA"/>
        </w:rPr>
      </w:pPr>
      <w:r w:rsidRPr="003C6323">
        <w:rPr>
          <w:rFonts w:ascii="Times New Roman" w:hAnsi="Times New Roman" w:cs="Times New Roman"/>
          <w:sz w:val="20"/>
          <w:szCs w:val="20"/>
          <w:lang w:eastAsia="ar-SA"/>
        </w:rPr>
        <w:t>P-value &lt;0.001 was considered as highly significant.</w:t>
      </w:r>
    </w:p>
    <w:p w:rsidR="009A1109" w:rsidRPr="003C6323" w:rsidRDefault="00E83B60" w:rsidP="00B2055D">
      <w:pPr>
        <w:pStyle w:val="ListParagraph"/>
        <w:numPr>
          <w:ilvl w:val="0"/>
          <w:numId w:val="41"/>
        </w:numPr>
        <w:snapToGrid w:val="0"/>
        <w:spacing w:after="0" w:line="240" w:lineRule="auto"/>
        <w:ind w:left="0" w:firstLine="425"/>
        <w:jc w:val="both"/>
        <w:rPr>
          <w:rFonts w:ascii="Times New Roman" w:hAnsi="Times New Roman" w:cs="Times New Roman"/>
          <w:sz w:val="20"/>
          <w:szCs w:val="20"/>
          <w:lang w:eastAsia="ar-SA"/>
        </w:rPr>
      </w:pPr>
      <w:r w:rsidRPr="003C6323">
        <w:rPr>
          <w:rFonts w:ascii="Times New Roman" w:hAnsi="Times New Roman" w:cs="Times New Roman"/>
          <w:sz w:val="20"/>
          <w:szCs w:val="20"/>
          <w:lang w:eastAsia="ar-SA"/>
        </w:rPr>
        <w:t>P-value &gt;0.05 was considered insignificant.</w:t>
      </w:r>
    </w:p>
    <w:p w:rsidR="00862CA6" w:rsidRPr="003C6323" w:rsidRDefault="00862CA6" w:rsidP="00B2055D">
      <w:pPr>
        <w:autoSpaceDE w:val="0"/>
        <w:autoSpaceDN w:val="0"/>
        <w:bidi w:val="0"/>
        <w:adjustRightInd w:val="0"/>
        <w:snapToGrid w:val="0"/>
        <w:jc w:val="both"/>
        <w:rPr>
          <w:b/>
          <w:bCs/>
          <w:sz w:val="20"/>
          <w:szCs w:val="20"/>
        </w:rPr>
      </w:pPr>
    </w:p>
    <w:p w:rsidR="00614E7C" w:rsidRPr="003C6323" w:rsidRDefault="00862CA6" w:rsidP="00B2055D">
      <w:pPr>
        <w:autoSpaceDE w:val="0"/>
        <w:autoSpaceDN w:val="0"/>
        <w:bidi w:val="0"/>
        <w:adjustRightInd w:val="0"/>
        <w:snapToGrid w:val="0"/>
        <w:jc w:val="both"/>
        <w:rPr>
          <w:b/>
          <w:bCs/>
          <w:sz w:val="20"/>
          <w:szCs w:val="20"/>
        </w:rPr>
      </w:pPr>
      <w:r w:rsidRPr="003C6323">
        <w:rPr>
          <w:b/>
          <w:bCs/>
          <w:sz w:val="20"/>
          <w:szCs w:val="20"/>
        </w:rPr>
        <w:t xml:space="preserve">3. </w:t>
      </w:r>
      <w:r w:rsidR="00A14265" w:rsidRPr="003C6323">
        <w:rPr>
          <w:b/>
          <w:bCs/>
          <w:sz w:val="20"/>
          <w:szCs w:val="20"/>
        </w:rPr>
        <w:t>Results</w:t>
      </w:r>
    </w:p>
    <w:p w:rsidR="005B00FB" w:rsidRPr="003C6323" w:rsidRDefault="005B00FB" w:rsidP="00B2055D">
      <w:pPr>
        <w:pStyle w:val="BodyTextIndent"/>
        <w:numPr>
          <w:ilvl w:val="0"/>
          <w:numId w:val="39"/>
        </w:numPr>
        <w:bidi w:val="0"/>
        <w:snapToGrid w:val="0"/>
        <w:spacing w:after="0"/>
        <w:ind w:left="0" w:firstLine="425"/>
        <w:jc w:val="both"/>
        <w:rPr>
          <w:sz w:val="20"/>
          <w:szCs w:val="20"/>
        </w:rPr>
      </w:pPr>
      <w:bookmarkStart w:id="2" w:name="_Toc477099458"/>
      <w:r w:rsidRPr="003C6323">
        <w:rPr>
          <w:sz w:val="20"/>
          <w:szCs w:val="20"/>
        </w:rPr>
        <w:t>Total number of infertile patients included in the study was 300. After completing all the investigations mentioned in the inclusion criteria it was found that:</w:t>
      </w:r>
    </w:p>
    <w:p w:rsidR="005B00FB" w:rsidRPr="003C6323" w:rsidRDefault="005B00FB" w:rsidP="00B2055D">
      <w:pPr>
        <w:pStyle w:val="BodyTextIndent"/>
        <w:numPr>
          <w:ilvl w:val="0"/>
          <w:numId w:val="39"/>
        </w:numPr>
        <w:bidi w:val="0"/>
        <w:snapToGrid w:val="0"/>
        <w:spacing w:after="0"/>
        <w:ind w:left="0" w:firstLine="425"/>
        <w:jc w:val="both"/>
        <w:rPr>
          <w:sz w:val="20"/>
          <w:szCs w:val="20"/>
        </w:rPr>
      </w:pPr>
      <w:r w:rsidRPr="003C6323">
        <w:rPr>
          <w:sz w:val="20"/>
          <w:szCs w:val="20"/>
        </w:rPr>
        <w:lastRenderedPageBreak/>
        <w:t>42 patients were found to have no apparent cause of infertility (all their investigations were negative) and were diagnosed as having unexplained infertility.</w:t>
      </w:r>
    </w:p>
    <w:p w:rsidR="005B00FB" w:rsidRPr="003C6323" w:rsidRDefault="005B00FB" w:rsidP="00B2055D">
      <w:pPr>
        <w:pStyle w:val="BodyTextIndent"/>
        <w:numPr>
          <w:ilvl w:val="0"/>
          <w:numId w:val="39"/>
        </w:numPr>
        <w:bidi w:val="0"/>
        <w:snapToGrid w:val="0"/>
        <w:spacing w:after="0"/>
        <w:ind w:left="0" w:firstLine="425"/>
        <w:jc w:val="both"/>
        <w:rPr>
          <w:sz w:val="20"/>
          <w:szCs w:val="20"/>
        </w:rPr>
      </w:pPr>
      <w:r w:rsidRPr="003C6323">
        <w:rPr>
          <w:sz w:val="20"/>
          <w:szCs w:val="20"/>
        </w:rPr>
        <w:t>This represent 14% from total cases seen and this percentage represented the initial prevalence of unexplained infertility in this study.</w:t>
      </w:r>
    </w:p>
    <w:p w:rsidR="005B00FB" w:rsidRPr="003C6323" w:rsidRDefault="005B00FB" w:rsidP="00B2055D">
      <w:pPr>
        <w:pStyle w:val="BodyTextIndent"/>
        <w:numPr>
          <w:ilvl w:val="0"/>
          <w:numId w:val="39"/>
        </w:numPr>
        <w:bidi w:val="0"/>
        <w:snapToGrid w:val="0"/>
        <w:spacing w:after="0"/>
        <w:ind w:left="0" w:firstLine="425"/>
        <w:jc w:val="both"/>
        <w:rPr>
          <w:sz w:val="20"/>
          <w:szCs w:val="20"/>
        </w:rPr>
      </w:pPr>
      <w:r w:rsidRPr="003C6323">
        <w:rPr>
          <w:sz w:val="20"/>
          <w:szCs w:val="20"/>
        </w:rPr>
        <w:t>The remaining 258 cases were found to have a cause for their infertility (male factor, ovarian, uterine, tubal...…..) and were excluded.</w:t>
      </w:r>
    </w:p>
    <w:p w:rsidR="005B00FB" w:rsidRPr="003C6323" w:rsidRDefault="005B00FB" w:rsidP="00B2055D">
      <w:pPr>
        <w:pStyle w:val="BodyTextIndent"/>
        <w:numPr>
          <w:ilvl w:val="0"/>
          <w:numId w:val="39"/>
        </w:numPr>
        <w:bidi w:val="0"/>
        <w:snapToGrid w:val="0"/>
        <w:spacing w:after="0"/>
        <w:ind w:left="0" w:firstLine="425"/>
        <w:jc w:val="both"/>
        <w:rPr>
          <w:sz w:val="20"/>
          <w:szCs w:val="20"/>
        </w:rPr>
      </w:pPr>
      <w:r w:rsidRPr="003C6323">
        <w:rPr>
          <w:sz w:val="20"/>
          <w:szCs w:val="20"/>
        </w:rPr>
        <w:t>These 42 patients with presumed unexplained infertility were subjected to diagnostic laparoscopy and were further divided in two groups according to the results of DL:</w:t>
      </w:r>
    </w:p>
    <w:p w:rsidR="005B00FB" w:rsidRPr="003C6323" w:rsidRDefault="005B00FB" w:rsidP="00B2055D">
      <w:pPr>
        <w:pStyle w:val="BodyTextIndent"/>
        <w:bidi w:val="0"/>
        <w:snapToGrid w:val="0"/>
        <w:spacing w:after="0"/>
        <w:ind w:left="0"/>
        <w:jc w:val="both"/>
        <w:rPr>
          <w:sz w:val="20"/>
          <w:szCs w:val="20"/>
        </w:rPr>
      </w:pPr>
      <w:r w:rsidRPr="003C6323">
        <w:rPr>
          <w:b/>
          <w:bCs/>
          <w:sz w:val="20"/>
          <w:szCs w:val="20"/>
        </w:rPr>
        <w:t>Group I</w:t>
      </w:r>
      <w:r w:rsidRPr="003C6323">
        <w:rPr>
          <w:sz w:val="20"/>
          <w:szCs w:val="20"/>
        </w:rPr>
        <w:t>: 27 case with no cause for their infertility "unexplained" and so the final and actual percentage of UI was 9% of the total examined patients.</w:t>
      </w:r>
    </w:p>
    <w:p w:rsidR="00B2055D" w:rsidRPr="003C6323" w:rsidRDefault="005B00FB" w:rsidP="00B2055D">
      <w:pPr>
        <w:pStyle w:val="BodyTextIndent"/>
        <w:bidi w:val="0"/>
        <w:snapToGrid w:val="0"/>
        <w:spacing w:after="0"/>
        <w:ind w:left="0"/>
        <w:jc w:val="both"/>
        <w:rPr>
          <w:sz w:val="20"/>
          <w:szCs w:val="20"/>
        </w:rPr>
      </w:pPr>
      <w:r w:rsidRPr="003C6323">
        <w:rPr>
          <w:b/>
          <w:bCs/>
          <w:sz w:val="20"/>
          <w:szCs w:val="20"/>
        </w:rPr>
        <w:t>Group II</w:t>
      </w:r>
      <w:r w:rsidRPr="003C6323">
        <w:rPr>
          <w:sz w:val="20"/>
          <w:szCs w:val="20"/>
        </w:rPr>
        <w:t>: 15 cases were found to have a cause for their infertility such as fibroid, tubal adhesions, or endometriosis which was not detected by HS</w:t>
      </w:r>
      <w:r w:rsidR="00B2055D" w:rsidRPr="003C6323">
        <w:rPr>
          <w:sz w:val="20"/>
          <w:szCs w:val="20"/>
        </w:rPr>
        <w:t>G.</w:t>
      </w:r>
    </w:p>
    <w:p w:rsidR="005B00FB" w:rsidRPr="003C6323" w:rsidRDefault="005B00FB" w:rsidP="00B2055D">
      <w:pPr>
        <w:tabs>
          <w:tab w:val="left" w:pos="0"/>
        </w:tabs>
        <w:bidi w:val="0"/>
        <w:snapToGrid w:val="0"/>
        <w:jc w:val="both"/>
        <w:rPr>
          <w:sz w:val="20"/>
          <w:szCs w:val="20"/>
        </w:rPr>
      </w:pPr>
      <w:r w:rsidRPr="003C6323">
        <w:rPr>
          <w:b/>
          <w:bCs/>
          <w:sz w:val="20"/>
          <w:szCs w:val="20"/>
        </w:rPr>
        <w:t>Group I:</w:t>
      </w:r>
      <w:r w:rsidRPr="003C6323">
        <w:rPr>
          <w:sz w:val="20"/>
          <w:szCs w:val="20"/>
        </w:rPr>
        <w:t xml:space="preserve"> thus represents the actual prevalence of unexplained infertility; after adding diagnostic laparoscopy to our investigations in patients attending at </w:t>
      </w:r>
      <w:proofErr w:type="spellStart"/>
      <w:r w:rsidRPr="003C6323">
        <w:rPr>
          <w:sz w:val="20"/>
          <w:szCs w:val="20"/>
        </w:rPr>
        <w:t>Qena</w:t>
      </w:r>
      <w:proofErr w:type="spellEnd"/>
      <w:r w:rsidRPr="003C6323">
        <w:rPr>
          <w:sz w:val="20"/>
          <w:szCs w:val="20"/>
        </w:rPr>
        <w:t xml:space="preserve"> General </w:t>
      </w:r>
      <w:r w:rsidR="007E0C0F" w:rsidRPr="003C6323">
        <w:rPr>
          <w:sz w:val="20"/>
          <w:szCs w:val="20"/>
        </w:rPr>
        <w:t>Hospital</w:t>
      </w:r>
      <w:r w:rsidRPr="003C6323">
        <w:rPr>
          <w:sz w:val="20"/>
          <w:szCs w:val="20"/>
        </w:rPr>
        <w:t>.</w:t>
      </w:r>
    </w:p>
    <w:p w:rsidR="005B00FB" w:rsidRPr="003C6323" w:rsidRDefault="005B00FB" w:rsidP="00B2055D">
      <w:pPr>
        <w:tabs>
          <w:tab w:val="left" w:pos="0"/>
        </w:tabs>
        <w:bidi w:val="0"/>
        <w:snapToGrid w:val="0"/>
        <w:jc w:val="both"/>
        <w:rPr>
          <w:b/>
          <w:bCs/>
          <w:sz w:val="20"/>
          <w:szCs w:val="20"/>
        </w:rPr>
      </w:pPr>
      <w:r w:rsidRPr="003C6323">
        <w:rPr>
          <w:b/>
          <w:bCs/>
          <w:sz w:val="20"/>
          <w:szCs w:val="20"/>
        </w:rPr>
        <w:t>These results indicate that the more we do investigations; the less the prevalence of unexplained infertility will be.</w:t>
      </w:r>
    </w:p>
    <w:p w:rsidR="00641E81" w:rsidRPr="003C6323" w:rsidRDefault="00641E81" w:rsidP="00B2055D">
      <w:pPr>
        <w:pStyle w:val="Caption"/>
        <w:bidi w:val="0"/>
        <w:snapToGrid w:val="0"/>
        <w:jc w:val="both"/>
        <w:sectPr w:rsidR="00641E81" w:rsidRPr="003C6323" w:rsidSect="00B2055D">
          <w:headerReference w:type="default" r:id="rId14"/>
          <w:footerReference w:type="even" r:id="rId15"/>
          <w:footerReference w:type="default" r:id="rId16"/>
          <w:type w:val="continuous"/>
          <w:pgSz w:w="12242" w:h="15842" w:code="1"/>
          <w:pgMar w:top="1440" w:right="1440" w:bottom="1440" w:left="1440" w:header="720" w:footer="720" w:gutter="0"/>
          <w:cols w:num="2" w:space="600"/>
          <w:noEndnote/>
          <w:docGrid w:linePitch="326"/>
        </w:sectPr>
      </w:pPr>
      <w:bookmarkStart w:id="3" w:name="_Toc482099435"/>
    </w:p>
    <w:p w:rsidR="00862CA6" w:rsidRPr="003C6323" w:rsidRDefault="00862CA6" w:rsidP="00B2055D">
      <w:pPr>
        <w:pStyle w:val="Caption"/>
        <w:bidi w:val="0"/>
        <w:snapToGrid w:val="0"/>
        <w:jc w:val="center"/>
      </w:pPr>
    </w:p>
    <w:p w:rsidR="005B00FB" w:rsidRPr="003C6323" w:rsidRDefault="005B00FB" w:rsidP="00B2055D">
      <w:pPr>
        <w:pStyle w:val="Caption"/>
        <w:bidi w:val="0"/>
        <w:snapToGrid w:val="0"/>
        <w:jc w:val="center"/>
        <w:rPr>
          <w:b w:val="0"/>
          <w:bCs w:val="0"/>
        </w:rPr>
      </w:pPr>
      <w:r w:rsidRPr="003C6323">
        <w:t>Table (</w:t>
      </w:r>
      <w:r w:rsidR="00295C17" w:rsidRPr="003C6323">
        <w:fldChar w:fldCharType="begin"/>
      </w:r>
      <w:r w:rsidRPr="003C6323">
        <w:instrText xml:space="preserve"> SEQ Table \* ARABIC </w:instrText>
      </w:r>
      <w:r w:rsidR="00295C17" w:rsidRPr="003C6323">
        <w:fldChar w:fldCharType="separate"/>
      </w:r>
      <w:r w:rsidR="000B1823" w:rsidRPr="003C6323">
        <w:rPr>
          <w:noProof/>
        </w:rPr>
        <w:t>1</w:t>
      </w:r>
      <w:r w:rsidR="00295C17" w:rsidRPr="003C6323">
        <w:fldChar w:fldCharType="end"/>
      </w:r>
      <w:r w:rsidRPr="003C6323">
        <w:t>):</w:t>
      </w:r>
      <w:r w:rsidRPr="003C6323">
        <w:rPr>
          <w:b w:val="0"/>
          <w:bCs w:val="0"/>
        </w:rPr>
        <w:t xml:space="preserve"> Total number of cases, before</w:t>
      </w:r>
      <w:r w:rsidR="00B2055D" w:rsidRPr="003C6323">
        <w:rPr>
          <w:b w:val="0"/>
          <w:bCs w:val="0"/>
        </w:rPr>
        <w:t xml:space="preserve"> </w:t>
      </w:r>
      <w:r w:rsidR="00641E81" w:rsidRPr="003C6323">
        <w:rPr>
          <w:b w:val="0"/>
          <w:bCs w:val="0"/>
        </w:rPr>
        <w:t>&amp;</w:t>
      </w:r>
      <w:r w:rsidR="00B2055D" w:rsidRPr="003C6323">
        <w:rPr>
          <w:b w:val="0"/>
          <w:bCs w:val="0"/>
        </w:rPr>
        <w:t xml:space="preserve"> </w:t>
      </w:r>
      <w:r w:rsidRPr="003C6323">
        <w:rPr>
          <w:b w:val="0"/>
          <w:bCs w:val="0"/>
        </w:rPr>
        <w:t>after diagnostic laparoscopy and their percentages.</w:t>
      </w:r>
      <w:bookmarkEnd w:id="3"/>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tblPr>
      <w:tblGrid>
        <w:gridCol w:w="4024"/>
        <w:gridCol w:w="2546"/>
        <w:gridCol w:w="1665"/>
        <w:gridCol w:w="1343"/>
      </w:tblGrid>
      <w:tr w:rsidR="005B00FB" w:rsidRPr="003C6323" w:rsidTr="008814CD">
        <w:trPr>
          <w:jc w:val="center"/>
        </w:trPr>
        <w:tc>
          <w:tcPr>
            <w:tcW w:w="3430" w:type="pct"/>
            <w:gridSpan w:val="2"/>
            <w:tcBorders>
              <w:top w:val="thinThickSmallGap" w:sz="12"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p>
        </w:tc>
        <w:tc>
          <w:tcPr>
            <w:tcW w:w="869" w:type="pct"/>
            <w:tcBorders>
              <w:top w:val="thinThickSmallGap" w:sz="12"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N</w:t>
            </w:r>
          </w:p>
        </w:tc>
        <w:tc>
          <w:tcPr>
            <w:tcW w:w="701" w:type="pct"/>
            <w:tcBorders>
              <w:top w:val="thinThickSmallGap" w:sz="12"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w:t>
            </w:r>
          </w:p>
        </w:tc>
      </w:tr>
      <w:tr w:rsidR="005B00FB" w:rsidRPr="003C6323" w:rsidTr="008814CD">
        <w:trPr>
          <w:jc w:val="center"/>
        </w:trPr>
        <w:tc>
          <w:tcPr>
            <w:tcW w:w="3430" w:type="pct"/>
            <w:gridSpan w:val="2"/>
            <w:tcBorders>
              <w:top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UI Before performing Diagnostic laparoscopy</w:t>
            </w:r>
          </w:p>
        </w:tc>
        <w:tc>
          <w:tcPr>
            <w:tcW w:w="869" w:type="pct"/>
            <w:tcBorders>
              <w:top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42</w:t>
            </w:r>
          </w:p>
        </w:tc>
        <w:tc>
          <w:tcPr>
            <w:tcW w:w="701" w:type="pct"/>
            <w:tcBorders>
              <w:top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14%</w:t>
            </w:r>
          </w:p>
        </w:tc>
      </w:tr>
      <w:tr w:rsidR="005B00FB" w:rsidRPr="003C6323" w:rsidTr="008814CD">
        <w:trPr>
          <w:jc w:val="center"/>
        </w:trPr>
        <w:tc>
          <w:tcPr>
            <w:tcW w:w="3430" w:type="pct"/>
            <w:gridSpan w:val="2"/>
            <w:noWrap/>
            <w:vAlign w:val="center"/>
          </w:tcPr>
          <w:p w:rsidR="005B00FB" w:rsidRPr="003C6323" w:rsidRDefault="005B00FB" w:rsidP="00B2055D">
            <w:pPr>
              <w:bidi w:val="0"/>
              <w:snapToGrid w:val="0"/>
              <w:jc w:val="both"/>
              <w:rPr>
                <w:b/>
                <w:bCs/>
                <w:sz w:val="20"/>
                <w:szCs w:val="20"/>
              </w:rPr>
            </w:pPr>
            <w:r w:rsidRPr="003C6323">
              <w:rPr>
                <w:b/>
                <w:bCs/>
                <w:sz w:val="20"/>
                <w:szCs w:val="20"/>
              </w:rPr>
              <w:t>UI After performing Diagnostic laparoscopy</w:t>
            </w:r>
          </w:p>
        </w:tc>
        <w:tc>
          <w:tcPr>
            <w:tcW w:w="869" w:type="pct"/>
            <w:noWrap/>
            <w:vAlign w:val="center"/>
          </w:tcPr>
          <w:p w:rsidR="005B00FB" w:rsidRPr="003C6323" w:rsidRDefault="005B00FB" w:rsidP="00B2055D">
            <w:pPr>
              <w:bidi w:val="0"/>
              <w:snapToGrid w:val="0"/>
              <w:jc w:val="both"/>
              <w:rPr>
                <w:b/>
                <w:bCs/>
                <w:sz w:val="20"/>
                <w:szCs w:val="20"/>
              </w:rPr>
            </w:pPr>
            <w:r w:rsidRPr="003C6323">
              <w:rPr>
                <w:b/>
                <w:bCs/>
                <w:sz w:val="20"/>
                <w:szCs w:val="20"/>
              </w:rPr>
              <w:t>27</w:t>
            </w:r>
          </w:p>
        </w:tc>
        <w:tc>
          <w:tcPr>
            <w:tcW w:w="701" w:type="pct"/>
            <w:noWrap/>
            <w:vAlign w:val="center"/>
          </w:tcPr>
          <w:p w:rsidR="005B00FB" w:rsidRPr="003C6323" w:rsidRDefault="005B00FB" w:rsidP="00B2055D">
            <w:pPr>
              <w:bidi w:val="0"/>
              <w:snapToGrid w:val="0"/>
              <w:jc w:val="both"/>
              <w:rPr>
                <w:b/>
                <w:bCs/>
                <w:sz w:val="20"/>
                <w:szCs w:val="20"/>
              </w:rPr>
            </w:pPr>
            <w:r w:rsidRPr="003C6323">
              <w:rPr>
                <w:b/>
                <w:bCs/>
                <w:sz w:val="20"/>
                <w:szCs w:val="20"/>
              </w:rPr>
              <w:t>9%</w:t>
            </w:r>
          </w:p>
        </w:tc>
      </w:tr>
      <w:tr w:rsidR="005B00FB" w:rsidRPr="003C6323" w:rsidTr="008814CD">
        <w:trPr>
          <w:jc w:val="center"/>
        </w:trPr>
        <w:tc>
          <w:tcPr>
            <w:tcW w:w="3430" w:type="pct"/>
            <w:gridSpan w:val="2"/>
            <w:noWrap/>
            <w:vAlign w:val="center"/>
          </w:tcPr>
          <w:p w:rsidR="005B00FB" w:rsidRPr="003C6323" w:rsidRDefault="005B00FB" w:rsidP="00B2055D">
            <w:pPr>
              <w:bidi w:val="0"/>
              <w:snapToGrid w:val="0"/>
              <w:jc w:val="both"/>
              <w:rPr>
                <w:b/>
                <w:bCs/>
                <w:sz w:val="20"/>
                <w:szCs w:val="20"/>
              </w:rPr>
            </w:pPr>
            <w:r w:rsidRPr="003C6323">
              <w:rPr>
                <w:b/>
                <w:bCs/>
                <w:sz w:val="20"/>
                <w:szCs w:val="20"/>
              </w:rPr>
              <w:t>Excluded patients with organic cause of infertility</w:t>
            </w:r>
          </w:p>
        </w:tc>
        <w:tc>
          <w:tcPr>
            <w:tcW w:w="869" w:type="pct"/>
            <w:noWrap/>
            <w:vAlign w:val="center"/>
          </w:tcPr>
          <w:p w:rsidR="005B00FB" w:rsidRPr="003C6323" w:rsidRDefault="005B00FB" w:rsidP="00B2055D">
            <w:pPr>
              <w:bidi w:val="0"/>
              <w:snapToGrid w:val="0"/>
              <w:jc w:val="both"/>
              <w:rPr>
                <w:b/>
                <w:bCs/>
                <w:sz w:val="20"/>
                <w:szCs w:val="20"/>
              </w:rPr>
            </w:pPr>
            <w:r w:rsidRPr="003C6323">
              <w:rPr>
                <w:b/>
                <w:bCs/>
                <w:sz w:val="20"/>
                <w:szCs w:val="20"/>
              </w:rPr>
              <w:t>231</w:t>
            </w:r>
          </w:p>
        </w:tc>
        <w:tc>
          <w:tcPr>
            <w:tcW w:w="701" w:type="pct"/>
            <w:noWrap/>
            <w:vAlign w:val="center"/>
          </w:tcPr>
          <w:p w:rsidR="005B00FB" w:rsidRPr="003C6323" w:rsidRDefault="005B00FB" w:rsidP="00B2055D">
            <w:pPr>
              <w:bidi w:val="0"/>
              <w:snapToGrid w:val="0"/>
              <w:jc w:val="both"/>
              <w:rPr>
                <w:b/>
                <w:bCs/>
                <w:sz w:val="20"/>
                <w:szCs w:val="20"/>
              </w:rPr>
            </w:pPr>
            <w:r w:rsidRPr="003C6323">
              <w:rPr>
                <w:b/>
                <w:bCs/>
                <w:sz w:val="20"/>
                <w:szCs w:val="20"/>
              </w:rPr>
              <w:t>77%</w:t>
            </w:r>
          </w:p>
        </w:tc>
      </w:tr>
      <w:tr w:rsidR="005B00FB" w:rsidRPr="003C6323" w:rsidTr="008814CD">
        <w:trPr>
          <w:jc w:val="center"/>
        </w:trPr>
        <w:tc>
          <w:tcPr>
            <w:tcW w:w="3430" w:type="pct"/>
            <w:gridSpan w:val="2"/>
            <w:noWrap/>
            <w:vAlign w:val="center"/>
          </w:tcPr>
          <w:p w:rsidR="005B00FB" w:rsidRPr="003C6323" w:rsidRDefault="005B00FB" w:rsidP="00B2055D">
            <w:pPr>
              <w:bidi w:val="0"/>
              <w:snapToGrid w:val="0"/>
              <w:jc w:val="both"/>
              <w:rPr>
                <w:b/>
                <w:bCs/>
                <w:sz w:val="20"/>
                <w:szCs w:val="20"/>
              </w:rPr>
            </w:pPr>
            <w:r w:rsidRPr="003C6323">
              <w:rPr>
                <w:b/>
                <w:bCs/>
                <w:sz w:val="20"/>
                <w:szCs w:val="20"/>
              </w:rPr>
              <w:t>Total</w:t>
            </w:r>
          </w:p>
        </w:tc>
        <w:tc>
          <w:tcPr>
            <w:tcW w:w="869" w:type="pct"/>
            <w:noWrap/>
            <w:vAlign w:val="center"/>
          </w:tcPr>
          <w:p w:rsidR="005B00FB" w:rsidRPr="003C6323" w:rsidRDefault="005B00FB" w:rsidP="00B2055D">
            <w:pPr>
              <w:bidi w:val="0"/>
              <w:snapToGrid w:val="0"/>
              <w:jc w:val="both"/>
              <w:rPr>
                <w:b/>
                <w:bCs/>
                <w:sz w:val="20"/>
                <w:szCs w:val="20"/>
              </w:rPr>
            </w:pPr>
            <w:r w:rsidRPr="003C6323">
              <w:rPr>
                <w:b/>
                <w:bCs/>
                <w:sz w:val="20"/>
                <w:szCs w:val="20"/>
              </w:rPr>
              <w:t>300</w:t>
            </w:r>
          </w:p>
        </w:tc>
        <w:tc>
          <w:tcPr>
            <w:tcW w:w="701" w:type="pct"/>
            <w:noWrap/>
            <w:vAlign w:val="center"/>
          </w:tcPr>
          <w:p w:rsidR="005B00FB" w:rsidRPr="003C6323" w:rsidRDefault="005B00FB" w:rsidP="00B2055D">
            <w:pPr>
              <w:bidi w:val="0"/>
              <w:snapToGrid w:val="0"/>
              <w:jc w:val="both"/>
              <w:rPr>
                <w:b/>
                <w:bCs/>
                <w:sz w:val="20"/>
                <w:szCs w:val="20"/>
              </w:rPr>
            </w:pPr>
            <w:r w:rsidRPr="003C6323">
              <w:rPr>
                <w:b/>
                <w:bCs/>
                <w:sz w:val="20"/>
                <w:szCs w:val="20"/>
              </w:rPr>
              <w:t>100%</w:t>
            </w:r>
          </w:p>
        </w:tc>
      </w:tr>
      <w:tr w:rsidR="005B00FB" w:rsidRPr="003C6323" w:rsidTr="008814CD">
        <w:trPr>
          <w:jc w:val="center"/>
        </w:trPr>
        <w:tc>
          <w:tcPr>
            <w:tcW w:w="2101" w:type="pct"/>
            <w:vMerge w:val="restart"/>
            <w:noWrap/>
            <w:vAlign w:val="center"/>
          </w:tcPr>
          <w:p w:rsidR="005B00FB" w:rsidRPr="003C6323" w:rsidRDefault="005B00FB" w:rsidP="00B2055D">
            <w:pPr>
              <w:bidi w:val="0"/>
              <w:snapToGrid w:val="0"/>
              <w:jc w:val="both"/>
              <w:rPr>
                <w:b/>
                <w:bCs/>
                <w:sz w:val="20"/>
                <w:szCs w:val="20"/>
              </w:rPr>
            </w:pPr>
            <w:r w:rsidRPr="003C6323">
              <w:rPr>
                <w:b/>
                <w:bCs/>
                <w:sz w:val="20"/>
                <w:szCs w:val="20"/>
              </w:rPr>
              <w:t>Chi-square</w:t>
            </w:r>
          </w:p>
        </w:tc>
        <w:tc>
          <w:tcPr>
            <w:tcW w:w="1329" w:type="pct"/>
            <w:vAlign w:val="center"/>
          </w:tcPr>
          <w:p w:rsidR="005B00FB" w:rsidRPr="003C6323" w:rsidRDefault="005B00FB" w:rsidP="00B2055D">
            <w:pPr>
              <w:bidi w:val="0"/>
              <w:snapToGrid w:val="0"/>
              <w:jc w:val="both"/>
              <w:rPr>
                <w:b/>
                <w:bCs/>
                <w:sz w:val="20"/>
                <w:szCs w:val="20"/>
              </w:rPr>
            </w:pPr>
            <w:r w:rsidRPr="003C6323">
              <w:rPr>
                <w:b/>
                <w:bCs/>
                <w:sz w:val="20"/>
                <w:szCs w:val="20"/>
              </w:rPr>
              <w:t>X</w:t>
            </w:r>
            <w:r w:rsidRPr="003C6323">
              <w:rPr>
                <w:b/>
                <w:bCs/>
                <w:sz w:val="20"/>
                <w:szCs w:val="20"/>
                <w:vertAlign w:val="superscript"/>
              </w:rPr>
              <w:t>2</w:t>
            </w:r>
          </w:p>
        </w:tc>
        <w:tc>
          <w:tcPr>
            <w:tcW w:w="1570" w:type="pct"/>
            <w:gridSpan w:val="2"/>
            <w:noWrap/>
            <w:vAlign w:val="center"/>
          </w:tcPr>
          <w:p w:rsidR="005B00FB" w:rsidRPr="003C6323" w:rsidRDefault="005B00FB" w:rsidP="00B2055D">
            <w:pPr>
              <w:bidi w:val="0"/>
              <w:snapToGrid w:val="0"/>
              <w:jc w:val="both"/>
              <w:rPr>
                <w:b/>
                <w:bCs/>
                <w:sz w:val="20"/>
                <w:szCs w:val="20"/>
              </w:rPr>
            </w:pPr>
            <w:r w:rsidRPr="003C6323">
              <w:rPr>
                <w:b/>
                <w:bCs/>
                <w:sz w:val="20"/>
                <w:szCs w:val="20"/>
              </w:rPr>
              <w:t>258.433</w:t>
            </w:r>
          </w:p>
        </w:tc>
      </w:tr>
      <w:tr w:rsidR="005B00FB" w:rsidRPr="003C6323" w:rsidTr="008814CD">
        <w:trPr>
          <w:jc w:val="center"/>
        </w:trPr>
        <w:tc>
          <w:tcPr>
            <w:tcW w:w="2101" w:type="pct"/>
            <w:vMerge/>
            <w:noWrap/>
            <w:vAlign w:val="center"/>
          </w:tcPr>
          <w:p w:rsidR="005B00FB" w:rsidRPr="003C6323" w:rsidRDefault="005B00FB" w:rsidP="00B2055D">
            <w:pPr>
              <w:bidi w:val="0"/>
              <w:snapToGrid w:val="0"/>
              <w:jc w:val="both"/>
              <w:rPr>
                <w:b/>
                <w:bCs/>
                <w:sz w:val="20"/>
                <w:szCs w:val="20"/>
              </w:rPr>
            </w:pPr>
          </w:p>
        </w:tc>
        <w:tc>
          <w:tcPr>
            <w:tcW w:w="1329" w:type="pct"/>
            <w:vAlign w:val="center"/>
          </w:tcPr>
          <w:p w:rsidR="005B00FB" w:rsidRPr="003C6323" w:rsidRDefault="005B00FB" w:rsidP="00B2055D">
            <w:pPr>
              <w:bidi w:val="0"/>
              <w:snapToGrid w:val="0"/>
              <w:jc w:val="both"/>
              <w:rPr>
                <w:b/>
                <w:bCs/>
                <w:sz w:val="20"/>
                <w:szCs w:val="20"/>
              </w:rPr>
            </w:pPr>
            <w:r w:rsidRPr="003C6323">
              <w:rPr>
                <w:b/>
                <w:bCs/>
                <w:sz w:val="20"/>
                <w:szCs w:val="20"/>
              </w:rPr>
              <w:t>P-value</w:t>
            </w:r>
          </w:p>
        </w:tc>
        <w:tc>
          <w:tcPr>
            <w:tcW w:w="1570" w:type="pct"/>
            <w:gridSpan w:val="2"/>
            <w:noWrap/>
            <w:vAlign w:val="center"/>
          </w:tcPr>
          <w:p w:rsidR="005B00FB" w:rsidRPr="003C6323" w:rsidRDefault="005B00FB" w:rsidP="00B2055D">
            <w:pPr>
              <w:bidi w:val="0"/>
              <w:snapToGrid w:val="0"/>
              <w:jc w:val="both"/>
              <w:rPr>
                <w:b/>
                <w:bCs/>
                <w:sz w:val="20"/>
                <w:szCs w:val="20"/>
              </w:rPr>
            </w:pPr>
            <w:r w:rsidRPr="003C6323">
              <w:rPr>
                <w:b/>
                <w:bCs/>
                <w:sz w:val="20"/>
                <w:szCs w:val="20"/>
              </w:rPr>
              <w:t>&lt;0.001*</w:t>
            </w:r>
          </w:p>
        </w:tc>
      </w:tr>
    </w:tbl>
    <w:p w:rsidR="00641E81" w:rsidRPr="003C6323" w:rsidRDefault="00641E81" w:rsidP="00B2055D">
      <w:pPr>
        <w:bidi w:val="0"/>
        <w:snapToGrid w:val="0"/>
        <w:ind w:firstLine="425"/>
        <w:jc w:val="both"/>
        <w:rPr>
          <w:rFonts w:hint="eastAsia"/>
          <w:sz w:val="20"/>
          <w:szCs w:val="20"/>
          <w:lang w:eastAsia="zh-CN"/>
        </w:rPr>
      </w:pPr>
    </w:p>
    <w:p w:rsidR="003C6323" w:rsidRPr="003C6323" w:rsidRDefault="003C6323" w:rsidP="003C6323">
      <w:pPr>
        <w:bidi w:val="0"/>
        <w:snapToGrid w:val="0"/>
        <w:ind w:firstLine="425"/>
        <w:jc w:val="both"/>
        <w:rPr>
          <w:rFonts w:hint="eastAsia"/>
          <w:sz w:val="20"/>
          <w:szCs w:val="20"/>
          <w:lang w:eastAsia="zh-CN"/>
        </w:rPr>
      </w:pPr>
    </w:p>
    <w:p w:rsidR="00641E81" w:rsidRPr="003C6323" w:rsidRDefault="00641E81" w:rsidP="00B2055D">
      <w:pPr>
        <w:bidi w:val="0"/>
        <w:snapToGrid w:val="0"/>
        <w:ind w:firstLine="425"/>
        <w:jc w:val="both"/>
        <w:rPr>
          <w:sz w:val="20"/>
          <w:szCs w:val="20"/>
        </w:rPr>
        <w:sectPr w:rsidR="00641E81" w:rsidRPr="003C6323" w:rsidSect="00B2055D">
          <w:headerReference w:type="default" r:id="rId17"/>
          <w:footerReference w:type="even" r:id="rId18"/>
          <w:footerReference w:type="default" r:id="rId19"/>
          <w:type w:val="continuous"/>
          <w:pgSz w:w="12242" w:h="15842" w:code="1"/>
          <w:pgMar w:top="1440" w:right="1440" w:bottom="1440" w:left="1440" w:header="720" w:footer="720" w:gutter="0"/>
          <w:cols w:space="720"/>
          <w:noEndnote/>
          <w:bidi/>
          <w:docGrid w:linePitch="326"/>
        </w:sectPr>
      </w:pPr>
    </w:p>
    <w:p w:rsidR="00B2055D" w:rsidRPr="003C6323" w:rsidRDefault="00B2055D" w:rsidP="00B2055D">
      <w:pPr>
        <w:bidi w:val="0"/>
        <w:snapToGrid w:val="0"/>
        <w:jc w:val="center"/>
        <w:rPr>
          <w:sz w:val="20"/>
          <w:szCs w:val="20"/>
        </w:rPr>
      </w:pPr>
      <w:r w:rsidRPr="003C6323">
        <w:rPr>
          <w:noProof/>
          <w:sz w:val="20"/>
          <w:szCs w:val="20"/>
          <w:lang w:eastAsia="zh-CN"/>
        </w:rPr>
        <w:lastRenderedPageBreak/>
        <w:drawing>
          <wp:inline distT="0" distB="0" distL="0" distR="0">
            <wp:extent cx="2737512" cy="1846994"/>
            <wp:effectExtent l="19050" t="19050" r="24738" b="19906"/>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32" t="8126" b="11470"/>
                    <a:stretch/>
                  </pic:blipFill>
                  <pic:spPr bwMode="auto">
                    <a:xfrm>
                      <a:off x="0" y="0"/>
                      <a:ext cx="2737512" cy="1846994"/>
                    </a:xfrm>
                    <a:prstGeom prst="rect">
                      <a:avLst/>
                    </a:prstGeom>
                    <a:noFill/>
                    <a:ln w="9525">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B2055D" w:rsidRPr="003C6323" w:rsidRDefault="00B2055D" w:rsidP="00B2055D">
      <w:pPr>
        <w:pStyle w:val="Caption"/>
        <w:bidi w:val="0"/>
        <w:snapToGrid w:val="0"/>
        <w:jc w:val="both"/>
        <w:rPr>
          <w:b w:val="0"/>
          <w:bCs w:val="0"/>
        </w:rPr>
      </w:pPr>
      <w:bookmarkStart w:id="4" w:name="_Toc482099405"/>
      <w:r w:rsidRPr="003C6323">
        <w:t>Figure (</w:t>
      </w:r>
      <w:fldSimple w:instr=" SEQ Figure \* ARABIC ">
        <w:r w:rsidRPr="003C6323">
          <w:rPr>
            <w:noProof/>
          </w:rPr>
          <w:t>1</w:t>
        </w:r>
      </w:fldSimple>
      <w:r w:rsidRPr="003C6323">
        <w:t xml:space="preserve">): </w:t>
      </w:r>
      <w:r w:rsidRPr="003C6323">
        <w:rPr>
          <w:b w:val="0"/>
          <w:bCs w:val="0"/>
        </w:rPr>
        <w:t>Prevalence of unexplained infertility patients in relation to total number of patients</w:t>
      </w:r>
      <w:bookmarkEnd w:id="4"/>
    </w:p>
    <w:p w:rsidR="00B2055D" w:rsidRPr="003C6323" w:rsidRDefault="00B2055D" w:rsidP="00B2055D">
      <w:pPr>
        <w:bidi w:val="0"/>
        <w:snapToGrid w:val="0"/>
        <w:ind w:firstLine="425"/>
        <w:jc w:val="both"/>
        <w:rPr>
          <w:sz w:val="20"/>
          <w:szCs w:val="20"/>
          <w:lang w:eastAsia="zh-CN"/>
        </w:rPr>
      </w:pPr>
    </w:p>
    <w:p w:rsidR="00B2055D" w:rsidRPr="003C6323" w:rsidRDefault="00B2055D" w:rsidP="00B2055D">
      <w:pPr>
        <w:bidi w:val="0"/>
        <w:snapToGrid w:val="0"/>
        <w:ind w:firstLine="425"/>
        <w:jc w:val="both"/>
        <w:rPr>
          <w:sz w:val="20"/>
          <w:szCs w:val="20"/>
          <w:lang w:eastAsia="zh-CN"/>
        </w:rPr>
      </w:pPr>
    </w:p>
    <w:p w:rsidR="00B2055D" w:rsidRPr="003C6323" w:rsidRDefault="00B2055D" w:rsidP="00B2055D">
      <w:pPr>
        <w:bidi w:val="0"/>
        <w:snapToGrid w:val="0"/>
        <w:ind w:firstLine="425"/>
        <w:jc w:val="both"/>
        <w:rPr>
          <w:sz w:val="20"/>
          <w:szCs w:val="20"/>
          <w:lang w:eastAsia="zh-CN"/>
        </w:rPr>
      </w:pPr>
    </w:p>
    <w:p w:rsidR="00B2055D" w:rsidRPr="003C6323" w:rsidRDefault="00B2055D" w:rsidP="00B2055D">
      <w:pPr>
        <w:bidi w:val="0"/>
        <w:snapToGrid w:val="0"/>
        <w:ind w:firstLine="425"/>
        <w:jc w:val="both"/>
        <w:rPr>
          <w:sz w:val="20"/>
          <w:szCs w:val="20"/>
          <w:lang w:eastAsia="zh-CN"/>
        </w:rPr>
      </w:pPr>
      <w:r w:rsidRPr="003C6323">
        <w:rPr>
          <w:sz w:val="20"/>
          <w:szCs w:val="20"/>
        </w:rPr>
        <w:t>300 patients attended the infertility clinic at the time of our study, 42 patients were initially diagnosed as unexplained infertility. These patients were subjected to diagnostic laparoscopy and of them only 27 were found to have actually unexplained infertility.</w:t>
      </w:r>
    </w:p>
    <w:p w:rsidR="00B2055D" w:rsidRPr="003C6323" w:rsidRDefault="00B2055D" w:rsidP="00B2055D">
      <w:pPr>
        <w:bidi w:val="0"/>
        <w:snapToGrid w:val="0"/>
        <w:ind w:firstLine="425"/>
        <w:jc w:val="both"/>
        <w:rPr>
          <w:sz w:val="20"/>
          <w:szCs w:val="20"/>
        </w:rPr>
      </w:pPr>
      <w:r w:rsidRPr="003C6323">
        <w:rPr>
          <w:sz w:val="20"/>
          <w:szCs w:val="20"/>
        </w:rPr>
        <w:t>The chart reveals the prevalence of unexplained infertility patient's before and after doing diagnostic laparoscopy.</w:t>
      </w:r>
    </w:p>
    <w:p w:rsidR="00B2055D" w:rsidRPr="003C6323" w:rsidRDefault="00B2055D" w:rsidP="00B2055D">
      <w:pPr>
        <w:bidi w:val="0"/>
        <w:snapToGrid w:val="0"/>
        <w:ind w:firstLine="425"/>
        <w:jc w:val="both"/>
        <w:rPr>
          <w:sz w:val="20"/>
          <w:szCs w:val="20"/>
          <w:lang w:eastAsia="zh-CN"/>
        </w:rPr>
        <w:sectPr w:rsidR="00B2055D" w:rsidRPr="003C6323" w:rsidSect="00B2055D">
          <w:headerReference w:type="default" r:id="rId21"/>
          <w:footerReference w:type="even" r:id="rId22"/>
          <w:footerReference w:type="default" r:id="rId23"/>
          <w:type w:val="continuous"/>
          <w:pgSz w:w="12242" w:h="15842" w:code="1"/>
          <w:pgMar w:top="1440" w:right="1440" w:bottom="1440" w:left="1440" w:header="720" w:footer="720" w:gutter="0"/>
          <w:cols w:num="2" w:space="600"/>
          <w:noEndnote/>
          <w:docGrid w:linePitch="326"/>
        </w:sectPr>
      </w:pPr>
    </w:p>
    <w:p w:rsidR="00B2055D" w:rsidRPr="003C6323" w:rsidRDefault="00B2055D">
      <w:pPr>
        <w:bidi w:val="0"/>
        <w:rPr>
          <w:rFonts w:hint="eastAsia"/>
          <w:sz w:val="20"/>
          <w:szCs w:val="20"/>
          <w:lang w:eastAsia="zh-CN"/>
        </w:rPr>
      </w:pPr>
    </w:p>
    <w:p w:rsidR="003C6323" w:rsidRPr="003C6323" w:rsidRDefault="003C6323" w:rsidP="003C6323">
      <w:pPr>
        <w:bidi w:val="0"/>
        <w:rPr>
          <w:rFonts w:hint="eastAsia"/>
          <w:sz w:val="20"/>
          <w:szCs w:val="20"/>
          <w:lang w:eastAsia="zh-CN"/>
        </w:rPr>
      </w:pPr>
    </w:p>
    <w:p w:rsidR="008F6DFB" w:rsidRPr="003C6323" w:rsidRDefault="008F6DFB" w:rsidP="00B2055D">
      <w:pPr>
        <w:bidi w:val="0"/>
        <w:snapToGrid w:val="0"/>
        <w:jc w:val="center"/>
        <w:rPr>
          <w:sz w:val="20"/>
          <w:szCs w:val="20"/>
        </w:rPr>
      </w:pPr>
      <w:bookmarkStart w:id="5" w:name="_Toc482099436"/>
      <w:r w:rsidRPr="003C6323">
        <w:rPr>
          <w:b/>
          <w:bCs/>
          <w:sz w:val="20"/>
          <w:szCs w:val="20"/>
        </w:rPr>
        <w:lastRenderedPageBreak/>
        <w:t>Table (</w:t>
      </w:r>
      <w:r w:rsidR="00295C17" w:rsidRPr="003C6323">
        <w:rPr>
          <w:b/>
          <w:bCs/>
          <w:sz w:val="20"/>
          <w:szCs w:val="20"/>
        </w:rPr>
        <w:fldChar w:fldCharType="begin"/>
      </w:r>
      <w:r w:rsidRPr="003C6323">
        <w:rPr>
          <w:b/>
          <w:bCs/>
          <w:sz w:val="20"/>
          <w:szCs w:val="20"/>
        </w:rPr>
        <w:instrText xml:space="preserve"> SEQ Table \* ARABIC </w:instrText>
      </w:r>
      <w:r w:rsidR="00295C17" w:rsidRPr="003C6323">
        <w:rPr>
          <w:b/>
          <w:bCs/>
          <w:sz w:val="20"/>
          <w:szCs w:val="20"/>
        </w:rPr>
        <w:fldChar w:fldCharType="separate"/>
      </w:r>
      <w:r w:rsidR="000B1823" w:rsidRPr="003C6323">
        <w:rPr>
          <w:b/>
          <w:bCs/>
          <w:noProof/>
          <w:sz w:val="20"/>
          <w:szCs w:val="20"/>
        </w:rPr>
        <w:t>2</w:t>
      </w:r>
      <w:r w:rsidR="00295C17" w:rsidRPr="003C6323">
        <w:rPr>
          <w:b/>
          <w:bCs/>
          <w:sz w:val="20"/>
          <w:szCs w:val="20"/>
        </w:rPr>
        <w:fldChar w:fldCharType="end"/>
      </w:r>
      <w:r w:rsidRPr="003C6323">
        <w:rPr>
          <w:b/>
          <w:bCs/>
          <w:sz w:val="20"/>
          <w:szCs w:val="20"/>
        </w:rPr>
        <w:t xml:space="preserve">): </w:t>
      </w:r>
      <w:r w:rsidRPr="003C6323">
        <w:rPr>
          <w:sz w:val="20"/>
          <w:szCs w:val="20"/>
        </w:rPr>
        <w:t>Male and female factors of infertility of the study group.</w:t>
      </w:r>
    </w:p>
    <w:tbl>
      <w:tblPr>
        <w:tblStyle w:val="TableGrid"/>
        <w:tblW w:w="5000" w:type="pct"/>
        <w:jc w:val="center"/>
        <w:tblBorders>
          <w:top w:val="thinThickSmallGap" w:sz="12" w:space="0" w:color="auto"/>
          <w:left w:val="thinThickSmallGap" w:sz="12" w:space="0" w:color="auto"/>
          <w:bottom w:val="thickThinSmallGap" w:sz="12" w:space="0" w:color="auto"/>
          <w:right w:val="thickThinSmallGap" w:sz="12" w:space="0" w:color="auto"/>
        </w:tblBorders>
        <w:tblLook w:val="04A0"/>
      </w:tblPr>
      <w:tblGrid>
        <w:gridCol w:w="4548"/>
        <w:gridCol w:w="2515"/>
        <w:gridCol w:w="2515"/>
      </w:tblGrid>
      <w:tr w:rsidR="008F6DFB" w:rsidRPr="003C6323" w:rsidTr="003C6323">
        <w:trPr>
          <w:cantSplit/>
          <w:jc w:val="center"/>
        </w:trPr>
        <w:tc>
          <w:tcPr>
            <w:tcW w:w="2374" w:type="pct"/>
            <w:tcBorders>
              <w:top w:val="thinThickSmallGap" w:sz="12" w:space="0" w:color="auto"/>
              <w:bottom w:val="thickThinSmallGap" w:sz="12" w:space="0" w:color="auto"/>
            </w:tcBorders>
            <w:shd w:val="clear" w:color="auto" w:fill="C2D69B" w:themeFill="accent3" w:themeFillTint="99"/>
          </w:tcPr>
          <w:p w:rsidR="008F6DFB" w:rsidRPr="003C6323" w:rsidRDefault="008F6DFB" w:rsidP="00B2055D">
            <w:pPr>
              <w:bidi w:val="0"/>
              <w:snapToGrid w:val="0"/>
              <w:jc w:val="both"/>
              <w:rPr>
                <w:rFonts w:ascii="Times New Roman" w:hAnsi="Times New Roman" w:cs="Times New Roman"/>
                <w:b/>
                <w:bCs/>
                <w:sz w:val="20"/>
                <w:szCs w:val="20"/>
              </w:rPr>
            </w:pPr>
          </w:p>
        </w:tc>
        <w:tc>
          <w:tcPr>
            <w:tcW w:w="1313" w:type="pct"/>
            <w:tcBorders>
              <w:top w:val="thinThickSmallGap" w:sz="12" w:space="0" w:color="auto"/>
              <w:bottom w:val="thickThinSmallGap" w:sz="12" w:space="0" w:color="auto"/>
            </w:tcBorders>
            <w:shd w:val="clear" w:color="auto" w:fill="C2D69B" w:themeFill="accent3" w:themeFillTint="99"/>
          </w:tcPr>
          <w:p w:rsidR="008F6DFB" w:rsidRPr="003C6323" w:rsidRDefault="008F6DFB" w:rsidP="00B2055D">
            <w:pPr>
              <w:bidi w:val="0"/>
              <w:snapToGrid w:val="0"/>
              <w:jc w:val="both"/>
              <w:rPr>
                <w:rFonts w:ascii="Times New Roman" w:hAnsi="Times New Roman" w:cs="Times New Roman"/>
                <w:b/>
                <w:bCs/>
                <w:sz w:val="20"/>
                <w:szCs w:val="20"/>
              </w:rPr>
            </w:pPr>
            <w:r w:rsidRPr="003C6323">
              <w:rPr>
                <w:rFonts w:ascii="Times New Roman" w:hAnsi="Times New Roman" w:cs="Times New Roman"/>
                <w:b/>
                <w:bCs/>
                <w:sz w:val="20"/>
                <w:szCs w:val="20"/>
              </w:rPr>
              <w:t>No.</w:t>
            </w:r>
          </w:p>
        </w:tc>
        <w:tc>
          <w:tcPr>
            <w:tcW w:w="1313" w:type="pct"/>
            <w:tcBorders>
              <w:top w:val="thinThickSmallGap" w:sz="12" w:space="0" w:color="auto"/>
              <w:bottom w:val="thickThinSmallGap" w:sz="12" w:space="0" w:color="auto"/>
            </w:tcBorders>
            <w:shd w:val="clear" w:color="auto" w:fill="C2D69B" w:themeFill="accent3" w:themeFillTint="99"/>
          </w:tcPr>
          <w:p w:rsidR="008F6DFB" w:rsidRPr="003C6323" w:rsidRDefault="008F6DFB" w:rsidP="00B2055D">
            <w:pPr>
              <w:bidi w:val="0"/>
              <w:snapToGrid w:val="0"/>
              <w:jc w:val="both"/>
              <w:rPr>
                <w:rFonts w:ascii="Times New Roman" w:hAnsi="Times New Roman" w:cs="Times New Roman"/>
                <w:b/>
                <w:bCs/>
                <w:sz w:val="20"/>
                <w:szCs w:val="20"/>
              </w:rPr>
            </w:pPr>
            <w:r w:rsidRPr="003C6323">
              <w:rPr>
                <w:rFonts w:ascii="Times New Roman" w:hAnsi="Times New Roman" w:cs="Times New Roman"/>
                <w:b/>
                <w:bCs/>
                <w:sz w:val="20"/>
                <w:szCs w:val="20"/>
              </w:rPr>
              <w:t>%</w:t>
            </w:r>
          </w:p>
        </w:tc>
      </w:tr>
      <w:tr w:rsidR="008F6DFB" w:rsidRPr="003C6323" w:rsidTr="003C6323">
        <w:trPr>
          <w:cantSplit/>
          <w:jc w:val="center"/>
        </w:trPr>
        <w:tc>
          <w:tcPr>
            <w:tcW w:w="2374" w:type="pct"/>
            <w:tcBorders>
              <w:top w:val="thickThinSmallGap" w:sz="12" w:space="0" w:color="auto"/>
            </w:tcBorders>
          </w:tcPr>
          <w:p w:rsidR="008F6DFB" w:rsidRPr="003C6323" w:rsidRDefault="008F6DFB" w:rsidP="00B2055D">
            <w:pPr>
              <w:bidi w:val="0"/>
              <w:snapToGrid w:val="0"/>
              <w:jc w:val="both"/>
              <w:rPr>
                <w:rFonts w:ascii="Times New Roman" w:hAnsi="Times New Roman" w:cs="Times New Roman"/>
                <w:b/>
                <w:bCs/>
                <w:sz w:val="20"/>
                <w:szCs w:val="20"/>
              </w:rPr>
            </w:pPr>
            <w:r w:rsidRPr="003C6323">
              <w:rPr>
                <w:rFonts w:ascii="Times New Roman" w:hAnsi="Times New Roman" w:cs="Times New Roman"/>
                <w:b/>
                <w:bCs/>
                <w:sz w:val="20"/>
                <w:szCs w:val="20"/>
              </w:rPr>
              <w:t>Female</w:t>
            </w:r>
          </w:p>
        </w:tc>
        <w:tc>
          <w:tcPr>
            <w:tcW w:w="1313" w:type="pct"/>
            <w:tcBorders>
              <w:top w:val="thickThinSmallGap" w:sz="12" w:space="0" w:color="auto"/>
            </w:tcBorders>
            <w:vAlign w:val="center"/>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121</w:t>
            </w:r>
          </w:p>
        </w:tc>
        <w:tc>
          <w:tcPr>
            <w:tcW w:w="1313" w:type="pct"/>
            <w:tcBorders>
              <w:top w:val="thickThinSmallGap" w:sz="12" w:space="0" w:color="auto"/>
            </w:tcBorders>
            <w:vAlign w:val="bottom"/>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40.3%</w:t>
            </w:r>
          </w:p>
        </w:tc>
      </w:tr>
      <w:tr w:rsidR="008F6DFB" w:rsidRPr="003C6323" w:rsidTr="003C6323">
        <w:trPr>
          <w:cantSplit/>
          <w:jc w:val="center"/>
        </w:trPr>
        <w:tc>
          <w:tcPr>
            <w:tcW w:w="2374" w:type="pct"/>
          </w:tcPr>
          <w:p w:rsidR="008F6DFB" w:rsidRPr="003C6323" w:rsidRDefault="008F6DFB" w:rsidP="00B2055D">
            <w:pPr>
              <w:bidi w:val="0"/>
              <w:snapToGrid w:val="0"/>
              <w:jc w:val="both"/>
              <w:rPr>
                <w:rFonts w:ascii="Times New Roman" w:hAnsi="Times New Roman" w:cs="Times New Roman"/>
                <w:b/>
                <w:bCs/>
                <w:sz w:val="20"/>
                <w:szCs w:val="20"/>
              </w:rPr>
            </w:pPr>
            <w:r w:rsidRPr="003C6323">
              <w:rPr>
                <w:rFonts w:ascii="Times New Roman" w:hAnsi="Times New Roman" w:cs="Times New Roman"/>
                <w:b/>
                <w:bCs/>
                <w:sz w:val="20"/>
                <w:szCs w:val="20"/>
              </w:rPr>
              <w:t>Male</w:t>
            </w:r>
          </w:p>
        </w:tc>
        <w:tc>
          <w:tcPr>
            <w:tcW w:w="1313" w:type="pct"/>
            <w:vAlign w:val="center"/>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108</w:t>
            </w:r>
          </w:p>
        </w:tc>
        <w:tc>
          <w:tcPr>
            <w:tcW w:w="1313" w:type="pct"/>
            <w:vAlign w:val="bottom"/>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36.0%</w:t>
            </w:r>
          </w:p>
        </w:tc>
      </w:tr>
      <w:tr w:rsidR="008F6DFB" w:rsidRPr="003C6323" w:rsidTr="003C6323">
        <w:trPr>
          <w:cantSplit/>
          <w:jc w:val="center"/>
        </w:trPr>
        <w:tc>
          <w:tcPr>
            <w:tcW w:w="2374" w:type="pct"/>
          </w:tcPr>
          <w:p w:rsidR="008F6DFB" w:rsidRPr="003C6323" w:rsidRDefault="008F6DFB" w:rsidP="00B2055D">
            <w:pPr>
              <w:bidi w:val="0"/>
              <w:snapToGrid w:val="0"/>
              <w:jc w:val="both"/>
              <w:rPr>
                <w:rFonts w:ascii="Times New Roman" w:hAnsi="Times New Roman" w:cs="Times New Roman"/>
                <w:b/>
                <w:bCs/>
                <w:sz w:val="20"/>
                <w:szCs w:val="20"/>
              </w:rPr>
            </w:pPr>
            <w:r w:rsidRPr="003C6323">
              <w:rPr>
                <w:rFonts w:ascii="Times New Roman" w:hAnsi="Times New Roman" w:cs="Times New Roman"/>
                <w:b/>
                <w:bCs/>
                <w:sz w:val="20"/>
                <w:szCs w:val="20"/>
              </w:rPr>
              <w:t>Combined</w:t>
            </w:r>
          </w:p>
        </w:tc>
        <w:tc>
          <w:tcPr>
            <w:tcW w:w="1313" w:type="pct"/>
            <w:vAlign w:val="center"/>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29</w:t>
            </w:r>
          </w:p>
        </w:tc>
        <w:tc>
          <w:tcPr>
            <w:tcW w:w="1313" w:type="pct"/>
            <w:vAlign w:val="bottom"/>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9.7%</w:t>
            </w:r>
          </w:p>
        </w:tc>
      </w:tr>
      <w:tr w:rsidR="008F6DFB" w:rsidRPr="003C6323" w:rsidTr="003C6323">
        <w:trPr>
          <w:cantSplit/>
          <w:jc w:val="center"/>
        </w:trPr>
        <w:tc>
          <w:tcPr>
            <w:tcW w:w="2374" w:type="pct"/>
          </w:tcPr>
          <w:p w:rsidR="008F6DFB" w:rsidRPr="003C6323" w:rsidRDefault="008F6DFB" w:rsidP="00B2055D">
            <w:pPr>
              <w:bidi w:val="0"/>
              <w:snapToGrid w:val="0"/>
              <w:jc w:val="both"/>
              <w:rPr>
                <w:rFonts w:ascii="Times New Roman" w:hAnsi="Times New Roman" w:cs="Times New Roman"/>
                <w:b/>
                <w:bCs/>
                <w:sz w:val="20"/>
                <w:szCs w:val="20"/>
              </w:rPr>
            </w:pPr>
            <w:r w:rsidRPr="003C6323">
              <w:rPr>
                <w:rFonts w:ascii="Times New Roman" w:hAnsi="Times New Roman" w:cs="Times New Roman"/>
                <w:b/>
                <w:bCs/>
                <w:sz w:val="20"/>
                <w:szCs w:val="20"/>
              </w:rPr>
              <w:t>Unexplained Before laparoscopy</w:t>
            </w:r>
          </w:p>
        </w:tc>
        <w:tc>
          <w:tcPr>
            <w:tcW w:w="1313" w:type="pct"/>
            <w:vAlign w:val="center"/>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42</w:t>
            </w:r>
          </w:p>
        </w:tc>
        <w:tc>
          <w:tcPr>
            <w:tcW w:w="1313" w:type="pct"/>
            <w:vAlign w:val="bottom"/>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14.0%</w:t>
            </w:r>
          </w:p>
        </w:tc>
      </w:tr>
      <w:tr w:rsidR="008F6DFB" w:rsidRPr="003C6323" w:rsidTr="003C6323">
        <w:trPr>
          <w:cantSplit/>
          <w:jc w:val="center"/>
        </w:trPr>
        <w:tc>
          <w:tcPr>
            <w:tcW w:w="2374" w:type="pct"/>
          </w:tcPr>
          <w:p w:rsidR="008F6DFB" w:rsidRPr="003C6323" w:rsidRDefault="008F6DFB" w:rsidP="00B2055D">
            <w:pPr>
              <w:bidi w:val="0"/>
              <w:snapToGrid w:val="0"/>
              <w:jc w:val="both"/>
              <w:rPr>
                <w:rFonts w:ascii="Times New Roman" w:hAnsi="Times New Roman" w:cs="Times New Roman"/>
                <w:b/>
                <w:bCs/>
                <w:sz w:val="20"/>
                <w:szCs w:val="20"/>
              </w:rPr>
            </w:pPr>
            <w:r w:rsidRPr="003C6323">
              <w:rPr>
                <w:rFonts w:ascii="Times New Roman" w:hAnsi="Times New Roman" w:cs="Times New Roman"/>
                <w:b/>
                <w:bCs/>
                <w:sz w:val="20"/>
                <w:szCs w:val="20"/>
              </w:rPr>
              <w:t>Total</w:t>
            </w:r>
          </w:p>
        </w:tc>
        <w:tc>
          <w:tcPr>
            <w:tcW w:w="1313" w:type="pct"/>
            <w:vAlign w:val="center"/>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300</w:t>
            </w:r>
          </w:p>
        </w:tc>
        <w:tc>
          <w:tcPr>
            <w:tcW w:w="1313" w:type="pct"/>
            <w:vAlign w:val="bottom"/>
          </w:tcPr>
          <w:p w:rsidR="008F6DFB" w:rsidRPr="003C6323" w:rsidRDefault="008F6DFB" w:rsidP="00B2055D">
            <w:pPr>
              <w:bidi w:val="0"/>
              <w:snapToGrid w:val="0"/>
              <w:jc w:val="both"/>
              <w:rPr>
                <w:rFonts w:ascii="Times New Roman" w:hAnsi="Times New Roman" w:cs="Times New Roman"/>
                <w:sz w:val="20"/>
                <w:szCs w:val="20"/>
              </w:rPr>
            </w:pPr>
            <w:r w:rsidRPr="003C6323">
              <w:rPr>
                <w:rFonts w:ascii="Times New Roman" w:hAnsi="Times New Roman" w:cs="Times New Roman"/>
                <w:sz w:val="20"/>
                <w:szCs w:val="20"/>
              </w:rPr>
              <w:t>100.0%</w:t>
            </w:r>
          </w:p>
        </w:tc>
      </w:tr>
    </w:tbl>
    <w:p w:rsidR="00641E81" w:rsidRPr="003C6323" w:rsidRDefault="00641E81" w:rsidP="00B2055D">
      <w:pPr>
        <w:bidi w:val="0"/>
        <w:snapToGrid w:val="0"/>
        <w:ind w:firstLine="425"/>
        <w:jc w:val="both"/>
        <w:rPr>
          <w:b/>
          <w:bCs/>
          <w:sz w:val="20"/>
          <w:szCs w:val="20"/>
          <w:lang w:eastAsia="zh-CN"/>
        </w:rPr>
      </w:pPr>
    </w:p>
    <w:p w:rsidR="008F6DFB" w:rsidRPr="003C6323" w:rsidRDefault="008F6DFB" w:rsidP="00B2055D">
      <w:pPr>
        <w:bidi w:val="0"/>
        <w:snapToGrid w:val="0"/>
        <w:jc w:val="center"/>
        <w:rPr>
          <w:b/>
          <w:bCs/>
          <w:sz w:val="20"/>
          <w:szCs w:val="20"/>
        </w:rPr>
      </w:pPr>
      <w:r w:rsidRPr="003C6323">
        <w:rPr>
          <w:b/>
          <w:bCs/>
          <w:noProof/>
          <w:sz w:val="20"/>
          <w:szCs w:val="20"/>
          <w:lang w:eastAsia="zh-CN"/>
        </w:rPr>
        <w:drawing>
          <wp:inline distT="0" distB="0" distL="0" distR="0">
            <wp:extent cx="2878036" cy="1881312"/>
            <wp:effectExtent l="19050" t="19050" r="17564" b="2368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58" t="1692" r="2292" b="13130"/>
                    <a:stretch/>
                  </pic:blipFill>
                  <pic:spPr bwMode="auto">
                    <a:xfrm>
                      <a:off x="0" y="0"/>
                      <a:ext cx="2888850" cy="1888381"/>
                    </a:xfrm>
                    <a:prstGeom prst="rect">
                      <a:avLst/>
                    </a:prstGeom>
                    <a:noFill/>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A1109" w:rsidRPr="003C6323" w:rsidRDefault="008F6DFB" w:rsidP="00B2055D">
      <w:pPr>
        <w:bidi w:val="0"/>
        <w:snapToGrid w:val="0"/>
        <w:jc w:val="center"/>
        <w:rPr>
          <w:sz w:val="20"/>
          <w:szCs w:val="20"/>
          <w:lang w:eastAsia="zh-CN"/>
        </w:rPr>
      </w:pPr>
      <w:r w:rsidRPr="003C6323">
        <w:rPr>
          <w:b/>
          <w:bCs/>
          <w:sz w:val="20"/>
          <w:szCs w:val="20"/>
        </w:rPr>
        <w:t>Fig. (</w:t>
      </w:r>
      <w:r w:rsidR="00295C17" w:rsidRPr="003C6323">
        <w:rPr>
          <w:b/>
          <w:bCs/>
          <w:sz w:val="20"/>
          <w:szCs w:val="20"/>
        </w:rPr>
        <w:fldChar w:fldCharType="begin"/>
      </w:r>
      <w:r w:rsidRPr="003C6323">
        <w:rPr>
          <w:b/>
          <w:bCs/>
          <w:sz w:val="20"/>
          <w:szCs w:val="20"/>
        </w:rPr>
        <w:instrText xml:space="preserve"> SEQ Figure \* ARABIC </w:instrText>
      </w:r>
      <w:r w:rsidR="00295C17" w:rsidRPr="003C6323">
        <w:rPr>
          <w:b/>
          <w:bCs/>
          <w:sz w:val="20"/>
          <w:szCs w:val="20"/>
        </w:rPr>
        <w:fldChar w:fldCharType="separate"/>
      </w:r>
      <w:r w:rsidR="000B1823" w:rsidRPr="003C6323">
        <w:rPr>
          <w:b/>
          <w:bCs/>
          <w:noProof/>
          <w:sz w:val="20"/>
          <w:szCs w:val="20"/>
        </w:rPr>
        <w:t>2</w:t>
      </w:r>
      <w:r w:rsidR="00295C17" w:rsidRPr="003C6323">
        <w:rPr>
          <w:b/>
          <w:bCs/>
          <w:sz w:val="20"/>
          <w:szCs w:val="20"/>
        </w:rPr>
        <w:fldChar w:fldCharType="end"/>
      </w:r>
      <w:r w:rsidRPr="003C6323">
        <w:rPr>
          <w:b/>
          <w:bCs/>
          <w:sz w:val="20"/>
          <w:szCs w:val="20"/>
        </w:rPr>
        <w:t xml:space="preserve">): </w:t>
      </w:r>
      <w:r w:rsidRPr="003C6323">
        <w:rPr>
          <w:sz w:val="20"/>
          <w:szCs w:val="20"/>
        </w:rPr>
        <w:t xml:space="preserve">Pie </w:t>
      </w:r>
      <w:proofErr w:type="spellStart"/>
      <w:r w:rsidRPr="003C6323">
        <w:rPr>
          <w:sz w:val="20"/>
          <w:szCs w:val="20"/>
        </w:rPr>
        <w:t>chartmale</w:t>
      </w:r>
      <w:proofErr w:type="spellEnd"/>
      <w:r w:rsidRPr="003C6323">
        <w:rPr>
          <w:sz w:val="20"/>
          <w:szCs w:val="20"/>
        </w:rPr>
        <w:t xml:space="preserve"> and female factors of infertility of the study group.</w:t>
      </w:r>
    </w:p>
    <w:p w:rsidR="00641E81" w:rsidRPr="003C6323" w:rsidRDefault="00641E81" w:rsidP="00B2055D">
      <w:pPr>
        <w:bidi w:val="0"/>
        <w:snapToGrid w:val="0"/>
        <w:jc w:val="center"/>
        <w:rPr>
          <w:b/>
          <w:bCs/>
          <w:sz w:val="20"/>
          <w:szCs w:val="20"/>
          <w:lang w:eastAsia="zh-CN"/>
        </w:rPr>
      </w:pPr>
    </w:p>
    <w:p w:rsidR="005B00FB" w:rsidRPr="003C6323" w:rsidRDefault="005B00FB" w:rsidP="00B2055D">
      <w:pPr>
        <w:bidi w:val="0"/>
        <w:snapToGrid w:val="0"/>
        <w:jc w:val="center"/>
        <w:rPr>
          <w:sz w:val="20"/>
          <w:szCs w:val="20"/>
        </w:rPr>
      </w:pPr>
      <w:r w:rsidRPr="003C6323">
        <w:rPr>
          <w:b/>
          <w:bCs/>
          <w:sz w:val="20"/>
          <w:szCs w:val="20"/>
        </w:rPr>
        <w:t>Table (</w:t>
      </w:r>
      <w:r w:rsidR="00295C17" w:rsidRPr="003C6323">
        <w:rPr>
          <w:b/>
          <w:bCs/>
          <w:sz w:val="20"/>
          <w:szCs w:val="20"/>
        </w:rPr>
        <w:fldChar w:fldCharType="begin"/>
      </w:r>
      <w:r w:rsidRPr="003C6323">
        <w:rPr>
          <w:b/>
          <w:bCs/>
          <w:sz w:val="20"/>
          <w:szCs w:val="20"/>
        </w:rPr>
        <w:instrText xml:space="preserve"> SEQ Table \* ARABIC </w:instrText>
      </w:r>
      <w:r w:rsidR="00295C17" w:rsidRPr="003C6323">
        <w:rPr>
          <w:b/>
          <w:bCs/>
          <w:sz w:val="20"/>
          <w:szCs w:val="20"/>
        </w:rPr>
        <w:fldChar w:fldCharType="separate"/>
      </w:r>
      <w:r w:rsidR="000B1823" w:rsidRPr="003C6323">
        <w:rPr>
          <w:b/>
          <w:bCs/>
          <w:noProof/>
          <w:sz w:val="20"/>
          <w:szCs w:val="20"/>
        </w:rPr>
        <w:t>3</w:t>
      </w:r>
      <w:r w:rsidR="00295C17" w:rsidRPr="003C6323">
        <w:rPr>
          <w:b/>
          <w:bCs/>
          <w:sz w:val="20"/>
          <w:szCs w:val="20"/>
        </w:rPr>
        <w:fldChar w:fldCharType="end"/>
      </w:r>
      <w:r w:rsidRPr="003C6323">
        <w:rPr>
          <w:b/>
          <w:bCs/>
          <w:sz w:val="20"/>
          <w:szCs w:val="20"/>
        </w:rPr>
        <w:t xml:space="preserve">): </w:t>
      </w:r>
      <w:r w:rsidRPr="003C6323">
        <w:rPr>
          <w:sz w:val="20"/>
          <w:szCs w:val="20"/>
        </w:rPr>
        <w:t>Number of primary</w:t>
      </w:r>
      <w:r w:rsidR="00B2055D" w:rsidRPr="003C6323">
        <w:rPr>
          <w:sz w:val="20"/>
          <w:szCs w:val="20"/>
        </w:rPr>
        <w:t xml:space="preserve"> </w:t>
      </w:r>
      <w:r w:rsidR="00641E81" w:rsidRPr="003C6323">
        <w:rPr>
          <w:sz w:val="20"/>
          <w:szCs w:val="20"/>
        </w:rPr>
        <w:t>&amp;</w:t>
      </w:r>
      <w:r w:rsidR="00B2055D" w:rsidRPr="003C6323">
        <w:rPr>
          <w:sz w:val="20"/>
          <w:szCs w:val="20"/>
        </w:rPr>
        <w:t xml:space="preserve"> </w:t>
      </w:r>
      <w:r w:rsidRPr="003C6323">
        <w:rPr>
          <w:sz w:val="20"/>
          <w:szCs w:val="20"/>
        </w:rPr>
        <w:t>secondary infertility patients in Group I</w:t>
      </w:r>
      <w:r w:rsidR="00641E81" w:rsidRPr="003C6323">
        <w:rPr>
          <w:sz w:val="20"/>
          <w:szCs w:val="20"/>
        </w:rPr>
        <w:t xml:space="preserve"> &amp;</w:t>
      </w:r>
      <w:r w:rsidR="00B2055D" w:rsidRPr="003C6323">
        <w:rPr>
          <w:sz w:val="20"/>
          <w:szCs w:val="20"/>
        </w:rPr>
        <w:t xml:space="preserve"> </w:t>
      </w:r>
      <w:r w:rsidRPr="003C6323">
        <w:rPr>
          <w:sz w:val="20"/>
          <w:szCs w:val="20"/>
        </w:rPr>
        <w:t>Group II</w:t>
      </w:r>
      <w:r w:rsidR="00B2055D" w:rsidRPr="003C6323">
        <w:rPr>
          <w:sz w:val="20"/>
          <w:szCs w:val="20"/>
        </w:rPr>
        <w:t xml:space="preserve"> </w:t>
      </w:r>
      <w:r w:rsidR="00641E81" w:rsidRPr="003C6323">
        <w:rPr>
          <w:sz w:val="20"/>
          <w:szCs w:val="20"/>
        </w:rPr>
        <w:t>&amp;</w:t>
      </w:r>
      <w:r w:rsidR="00B2055D" w:rsidRPr="003C6323">
        <w:rPr>
          <w:sz w:val="20"/>
          <w:szCs w:val="20"/>
        </w:rPr>
        <w:t xml:space="preserve"> </w:t>
      </w:r>
      <w:r w:rsidRPr="003C6323">
        <w:rPr>
          <w:sz w:val="20"/>
          <w:szCs w:val="20"/>
        </w:rPr>
        <w:t>their percentages.</w:t>
      </w:r>
      <w:bookmarkEnd w:id="5"/>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tblPr>
      <w:tblGrid>
        <w:gridCol w:w="2245"/>
        <w:gridCol w:w="1584"/>
        <w:gridCol w:w="1791"/>
        <w:gridCol w:w="1791"/>
        <w:gridCol w:w="2167"/>
      </w:tblGrid>
      <w:tr w:rsidR="005B00FB" w:rsidRPr="003C6323" w:rsidTr="003C6323">
        <w:trPr>
          <w:cantSplit/>
          <w:jc w:val="center"/>
        </w:trPr>
        <w:tc>
          <w:tcPr>
            <w:tcW w:w="1999" w:type="pct"/>
            <w:gridSpan w:val="2"/>
            <w:vMerge w:val="restart"/>
            <w:tcBorders>
              <w:top w:val="thinThickSmallGap" w:sz="12" w:space="0" w:color="auto"/>
              <w:bottom w:val="single" w:sz="4" w:space="0" w:color="auto"/>
            </w:tcBorders>
            <w:noWrap/>
            <w:vAlign w:val="center"/>
          </w:tcPr>
          <w:p w:rsidR="005B00FB" w:rsidRPr="003C6323" w:rsidRDefault="005B00FB" w:rsidP="00B2055D">
            <w:pPr>
              <w:bidi w:val="0"/>
              <w:snapToGrid w:val="0"/>
              <w:jc w:val="both"/>
              <w:rPr>
                <w:b/>
                <w:bCs/>
                <w:sz w:val="20"/>
                <w:szCs w:val="20"/>
              </w:rPr>
            </w:pPr>
          </w:p>
        </w:tc>
        <w:tc>
          <w:tcPr>
            <w:tcW w:w="3001" w:type="pct"/>
            <w:gridSpan w:val="3"/>
            <w:tcBorders>
              <w:top w:val="thinThickSmallGap" w:sz="12" w:space="0" w:color="auto"/>
              <w:bottom w:val="single" w:sz="4"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Type</w:t>
            </w:r>
          </w:p>
        </w:tc>
      </w:tr>
      <w:tr w:rsidR="005B00FB" w:rsidRPr="003C6323" w:rsidTr="003C6323">
        <w:trPr>
          <w:cantSplit/>
          <w:jc w:val="center"/>
        </w:trPr>
        <w:tc>
          <w:tcPr>
            <w:tcW w:w="1999" w:type="pct"/>
            <w:gridSpan w:val="2"/>
            <w:vMerge/>
            <w:tcBorders>
              <w:top w:val="single" w:sz="4" w:space="0" w:color="auto"/>
              <w:bottom w:val="thickThinSmallGap" w:sz="12" w:space="0" w:color="auto"/>
            </w:tcBorders>
            <w:vAlign w:val="center"/>
          </w:tcPr>
          <w:p w:rsidR="005B00FB" w:rsidRPr="003C6323" w:rsidRDefault="005B00FB" w:rsidP="00B2055D">
            <w:pPr>
              <w:bidi w:val="0"/>
              <w:snapToGrid w:val="0"/>
              <w:jc w:val="both"/>
              <w:rPr>
                <w:b/>
                <w:bCs/>
                <w:sz w:val="20"/>
                <w:szCs w:val="20"/>
              </w:rPr>
            </w:pPr>
          </w:p>
        </w:tc>
        <w:tc>
          <w:tcPr>
            <w:tcW w:w="935"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1ry</w:t>
            </w:r>
          </w:p>
        </w:tc>
        <w:tc>
          <w:tcPr>
            <w:tcW w:w="935"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2ry</w:t>
            </w:r>
          </w:p>
        </w:tc>
        <w:tc>
          <w:tcPr>
            <w:tcW w:w="1130"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Total</w:t>
            </w:r>
          </w:p>
        </w:tc>
      </w:tr>
      <w:tr w:rsidR="005B00FB" w:rsidRPr="003C6323" w:rsidTr="003C6323">
        <w:trPr>
          <w:cantSplit/>
          <w:jc w:val="center"/>
        </w:trPr>
        <w:tc>
          <w:tcPr>
            <w:tcW w:w="1172" w:type="pct"/>
            <w:vMerge w:val="restart"/>
            <w:tcBorders>
              <w:top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Group I</w:t>
            </w:r>
          </w:p>
        </w:tc>
        <w:tc>
          <w:tcPr>
            <w:tcW w:w="827" w:type="pct"/>
            <w:tcBorders>
              <w:top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N</w:t>
            </w:r>
          </w:p>
        </w:tc>
        <w:tc>
          <w:tcPr>
            <w:tcW w:w="935"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18</w:t>
            </w:r>
          </w:p>
        </w:tc>
        <w:tc>
          <w:tcPr>
            <w:tcW w:w="935"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9</w:t>
            </w:r>
          </w:p>
        </w:tc>
        <w:tc>
          <w:tcPr>
            <w:tcW w:w="1130"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27</w:t>
            </w:r>
          </w:p>
        </w:tc>
      </w:tr>
      <w:tr w:rsidR="005B00FB" w:rsidRPr="003C6323" w:rsidTr="003C6323">
        <w:trPr>
          <w:cantSplit/>
          <w:jc w:val="center"/>
        </w:trPr>
        <w:tc>
          <w:tcPr>
            <w:tcW w:w="1172" w:type="pct"/>
            <w:vMerge/>
            <w:vAlign w:val="center"/>
          </w:tcPr>
          <w:p w:rsidR="005B00FB" w:rsidRPr="003C6323" w:rsidRDefault="005B00FB" w:rsidP="00B2055D">
            <w:pPr>
              <w:bidi w:val="0"/>
              <w:snapToGrid w:val="0"/>
              <w:jc w:val="both"/>
              <w:rPr>
                <w:b/>
                <w:bCs/>
                <w:sz w:val="20"/>
                <w:szCs w:val="20"/>
              </w:rPr>
            </w:pPr>
          </w:p>
        </w:tc>
        <w:tc>
          <w:tcPr>
            <w:tcW w:w="827" w:type="pct"/>
            <w:noWrap/>
            <w:vAlign w:val="center"/>
          </w:tcPr>
          <w:p w:rsidR="005B00FB" w:rsidRPr="003C6323" w:rsidRDefault="005B00FB" w:rsidP="00B2055D">
            <w:pPr>
              <w:bidi w:val="0"/>
              <w:snapToGrid w:val="0"/>
              <w:jc w:val="both"/>
              <w:rPr>
                <w:b/>
                <w:bCs/>
                <w:sz w:val="20"/>
                <w:szCs w:val="20"/>
              </w:rPr>
            </w:pPr>
            <w:r w:rsidRPr="003C6323">
              <w:rPr>
                <w:b/>
                <w:bCs/>
                <w:sz w:val="20"/>
                <w:szCs w:val="20"/>
              </w:rPr>
              <w:t>%</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66.7%</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33.3%</w:t>
            </w:r>
          </w:p>
        </w:tc>
        <w:tc>
          <w:tcPr>
            <w:tcW w:w="1130" w:type="pct"/>
            <w:noWrap/>
            <w:vAlign w:val="center"/>
          </w:tcPr>
          <w:p w:rsidR="005B00FB" w:rsidRPr="003C6323" w:rsidRDefault="005B00FB" w:rsidP="00B2055D">
            <w:pPr>
              <w:bidi w:val="0"/>
              <w:snapToGrid w:val="0"/>
              <w:jc w:val="both"/>
              <w:rPr>
                <w:sz w:val="20"/>
                <w:szCs w:val="20"/>
              </w:rPr>
            </w:pPr>
            <w:r w:rsidRPr="003C6323">
              <w:rPr>
                <w:sz w:val="20"/>
                <w:szCs w:val="20"/>
              </w:rPr>
              <w:t>100%</w:t>
            </w:r>
          </w:p>
        </w:tc>
      </w:tr>
      <w:tr w:rsidR="005B00FB" w:rsidRPr="003C6323" w:rsidTr="003C6323">
        <w:trPr>
          <w:cantSplit/>
          <w:jc w:val="center"/>
        </w:trPr>
        <w:tc>
          <w:tcPr>
            <w:tcW w:w="1172" w:type="pct"/>
            <w:vMerge w:val="restart"/>
            <w:noWrap/>
            <w:vAlign w:val="center"/>
          </w:tcPr>
          <w:p w:rsidR="005B00FB" w:rsidRPr="003C6323" w:rsidRDefault="005B00FB" w:rsidP="00B2055D">
            <w:pPr>
              <w:bidi w:val="0"/>
              <w:snapToGrid w:val="0"/>
              <w:jc w:val="both"/>
              <w:rPr>
                <w:b/>
                <w:bCs/>
                <w:sz w:val="20"/>
                <w:szCs w:val="20"/>
              </w:rPr>
            </w:pPr>
            <w:r w:rsidRPr="003C6323">
              <w:rPr>
                <w:b/>
                <w:bCs/>
                <w:sz w:val="20"/>
                <w:szCs w:val="20"/>
              </w:rPr>
              <w:t>Group II</w:t>
            </w:r>
          </w:p>
        </w:tc>
        <w:tc>
          <w:tcPr>
            <w:tcW w:w="827" w:type="pct"/>
            <w:noWrap/>
            <w:vAlign w:val="center"/>
          </w:tcPr>
          <w:p w:rsidR="005B00FB" w:rsidRPr="003C6323" w:rsidRDefault="005B00FB" w:rsidP="00B2055D">
            <w:pPr>
              <w:bidi w:val="0"/>
              <w:snapToGrid w:val="0"/>
              <w:jc w:val="both"/>
              <w:rPr>
                <w:b/>
                <w:bCs/>
                <w:sz w:val="20"/>
                <w:szCs w:val="20"/>
              </w:rPr>
            </w:pPr>
            <w:r w:rsidRPr="003C6323">
              <w:rPr>
                <w:b/>
                <w:bCs/>
                <w:sz w:val="20"/>
                <w:szCs w:val="20"/>
              </w:rPr>
              <w:t>N</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6</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9</w:t>
            </w:r>
          </w:p>
        </w:tc>
        <w:tc>
          <w:tcPr>
            <w:tcW w:w="1130" w:type="pct"/>
            <w:noWrap/>
            <w:vAlign w:val="center"/>
          </w:tcPr>
          <w:p w:rsidR="005B00FB" w:rsidRPr="003C6323" w:rsidRDefault="005B00FB" w:rsidP="00B2055D">
            <w:pPr>
              <w:bidi w:val="0"/>
              <w:snapToGrid w:val="0"/>
              <w:jc w:val="both"/>
              <w:rPr>
                <w:sz w:val="20"/>
                <w:szCs w:val="20"/>
              </w:rPr>
            </w:pPr>
            <w:r w:rsidRPr="003C6323">
              <w:rPr>
                <w:sz w:val="20"/>
                <w:szCs w:val="20"/>
              </w:rPr>
              <w:t>15</w:t>
            </w:r>
          </w:p>
        </w:tc>
      </w:tr>
      <w:tr w:rsidR="005B00FB" w:rsidRPr="003C6323" w:rsidTr="003C6323">
        <w:trPr>
          <w:cantSplit/>
          <w:jc w:val="center"/>
        </w:trPr>
        <w:tc>
          <w:tcPr>
            <w:tcW w:w="1172" w:type="pct"/>
            <w:vMerge/>
            <w:vAlign w:val="center"/>
          </w:tcPr>
          <w:p w:rsidR="005B00FB" w:rsidRPr="003C6323" w:rsidRDefault="005B00FB" w:rsidP="00B2055D">
            <w:pPr>
              <w:bidi w:val="0"/>
              <w:snapToGrid w:val="0"/>
              <w:jc w:val="both"/>
              <w:rPr>
                <w:b/>
                <w:bCs/>
                <w:sz w:val="20"/>
                <w:szCs w:val="20"/>
              </w:rPr>
            </w:pPr>
          </w:p>
        </w:tc>
        <w:tc>
          <w:tcPr>
            <w:tcW w:w="827" w:type="pct"/>
            <w:noWrap/>
            <w:vAlign w:val="center"/>
          </w:tcPr>
          <w:p w:rsidR="005B00FB" w:rsidRPr="003C6323" w:rsidRDefault="005B00FB" w:rsidP="00B2055D">
            <w:pPr>
              <w:bidi w:val="0"/>
              <w:snapToGrid w:val="0"/>
              <w:jc w:val="both"/>
              <w:rPr>
                <w:b/>
                <w:bCs/>
                <w:sz w:val="20"/>
                <w:szCs w:val="20"/>
              </w:rPr>
            </w:pPr>
            <w:r w:rsidRPr="003C6323">
              <w:rPr>
                <w:b/>
                <w:bCs/>
                <w:sz w:val="20"/>
                <w:szCs w:val="20"/>
              </w:rPr>
              <w:t>%</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40%</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60%</w:t>
            </w:r>
          </w:p>
        </w:tc>
        <w:tc>
          <w:tcPr>
            <w:tcW w:w="1130" w:type="pct"/>
            <w:noWrap/>
            <w:vAlign w:val="center"/>
          </w:tcPr>
          <w:p w:rsidR="005B00FB" w:rsidRPr="003C6323" w:rsidRDefault="005B00FB" w:rsidP="00B2055D">
            <w:pPr>
              <w:bidi w:val="0"/>
              <w:snapToGrid w:val="0"/>
              <w:jc w:val="both"/>
              <w:rPr>
                <w:sz w:val="20"/>
                <w:szCs w:val="20"/>
              </w:rPr>
            </w:pPr>
            <w:r w:rsidRPr="003C6323">
              <w:rPr>
                <w:sz w:val="20"/>
                <w:szCs w:val="20"/>
              </w:rPr>
              <w:t>100%</w:t>
            </w:r>
          </w:p>
        </w:tc>
      </w:tr>
      <w:tr w:rsidR="005B00FB" w:rsidRPr="003C6323" w:rsidTr="003C6323">
        <w:trPr>
          <w:cantSplit/>
          <w:jc w:val="center"/>
        </w:trPr>
        <w:tc>
          <w:tcPr>
            <w:tcW w:w="1172" w:type="pct"/>
            <w:vMerge w:val="restart"/>
            <w:noWrap/>
            <w:vAlign w:val="center"/>
          </w:tcPr>
          <w:p w:rsidR="005B00FB" w:rsidRPr="003C6323" w:rsidRDefault="005B00FB" w:rsidP="00B2055D">
            <w:pPr>
              <w:bidi w:val="0"/>
              <w:snapToGrid w:val="0"/>
              <w:jc w:val="both"/>
              <w:rPr>
                <w:b/>
                <w:bCs/>
                <w:sz w:val="20"/>
                <w:szCs w:val="20"/>
              </w:rPr>
            </w:pPr>
            <w:r w:rsidRPr="003C6323">
              <w:rPr>
                <w:b/>
                <w:bCs/>
                <w:sz w:val="20"/>
                <w:szCs w:val="20"/>
              </w:rPr>
              <w:t>Total</w:t>
            </w:r>
          </w:p>
        </w:tc>
        <w:tc>
          <w:tcPr>
            <w:tcW w:w="827" w:type="pct"/>
            <w:noWrap/>
            <w:vAlign w:val="center"/>
          </w:tcPr>
          <w:p w:rsidR="005B00FB" w:rsidRPr="003C6323" w:rsidRDefault="005B00FB" w:rsidP="00B2055D">
            <w:pPr>
              <w:bidi w:val="0"/>
              <w:snapToGrid w:val="0"/>
              <w:jc w:val="both"/>
              <w:rPr>
                <w:b/>
                <w:bCs/>
                <w:sz w:val="20"/>
                <w:szCs w:val="20"/>
              </w:rPr>
            </w:pPr>
            <w:r w:rsidRPr="003C6323">
              <w:rPr>
                <w:b/>
                <w:bCs/>
                <w:sz w:val="20"/>
                <w:szCs w:val="20"/>
              </w:rPr>
              <w:t>N</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24</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18</w:t>
            </w:r>
          </w:p>
        </w:tc>
        <w:tc>
          <w:tcPr>
            <w:tcW w:w="1130" w:type="pct"/>
            <w:noWrap/>
            <w:vAlign w:val="center"/>
          </w:tcPr>
          <w:p w:rsidR="005B00FB" w:rsidRPr="003C6323" w:rsidRDefault="005B00FB" w:rsidP="00B2055D">
            <w:pPr>
              <w:bidi w:val="0"/>
              <w:snapToGrid w:val="0"/>
              <w:jc w:val="both"/>
              <w:rPr>
                <w:sz w:val="20"/>
                <w:szCs w:val="20"/>
              </w:rPr>
            </w:pPr>
            <w:r w:rsidRPr="003C6323">
              <w:rPr>
                <w:sz w:val="20"/>
                <w:szCs w:val="20"/>
              </w:rPr>
              <w:t>42</w:t>
            </w:r>
          </w:p>
        </w:tc>
      </w:tr>
      <w:tr w:rsidR="005B00FB" w:rsidRPr="003C6323" w:rsidTr="003C6323">
        <w:trPr>
          <w:cantSplit/>
          <w:jc w:val="center"/>
        </w:trPr>
        <w:tc>
          <w:tcPr>
            <w:tcW w:w="1172" w:type="pct"/>
            <w:vMerge/>
            <w:vAlign w:val="center"/>
          </w:tcPr>
          <w:p w:rsidR="005B00FB" w:rsidRPr="003C6323" w:rsidRDefault="005B00FB" w:rsidP="00B2055D">
            <w:pPr>
              <w:bidi w:val="0"/>
              <w:snapToGrid w:val="0"/>
              <w:jc w:val="both"/>
              <w:rPr>
                <w:b/>
                <w:bCs/>
                <w:sz w:val="20"/>
                <w:szCs w:val="20"/>
              </w:rPr>
            </w:pPr>
          </w:p>
        </w:tc>
        <w:tc>
          <w:tcPr>
            <w:tcW w:w="827" w:type="pct"/>
            <w:noWrap/>
            <w:vAlign w:val="center"/>
          </w:tcPr>
          <w:p w:rsidR="005B00FB" w:rsidRPr="003C6323" w:rsidRDefault="005B00FB" w:rsidP="00B2055D">
            <w:pPr>
              <w:bidi w:val="0"/>
              <w:snapToGrid w:val="0"/>
              <w:jc w:val="both"/>
              <w:rPr>
                <w:b/>
                <w:bCs/>
                <w:sz w:val="20"/>
                <w:szCs w:val="20"/>
              </w:rPr>
            </w:pPr>
            <w:r w:rsidRPr="003C6323">
              <w:rPr>
                <w:b/>
                <w:bCs/>
                <w:sz w:val="20"/>
                <w:szCs w:val="20"/>
              </w:rPr>
              <w:t>%</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57.1%</w:t>
            </w:r>
          </w:p>
        </w:tc>
        <w:tc>
          <w:tcPr>
            <w:tcW w:w="935" w:type="pct"/>
            <w:noWrap/>
            <w:vAlign w:val="center"/>
          </w:tcPr>
          <w:p w:rsidR="005B00FB" w:rsidRPr="003C6323" w:rsidRDefault="005B00FB" w:rsidP="00B2055D">
            <w:pPr>
              <w:bidi w:val="0"/>
              <w:snapToGrid w:val="0"/>
              <w:jc w:val="both"/>
              <w:rPr>
                <w:sz w:val="20"/>
                <w:szCs w:val="20"/>
              </w:rPr>
            </w:pPr>
            <w:r w:rsidRPr="003C6323">
              <w:rPr>
                <w:sz w:val="20"/>
                <w:szCs w:val="20"/>
              </w:rPr>
              <w:t>42.9%</w:t>
            </w:r>
          </w:p>
        </w:tc>
        <w:tc>
          <w:tcPr>
            <w:tcW w:w="1130" w:type="pct"/>
            <w:noWrap/>
            <w:vAlign w:val="center"/>
          </w:tcPr>
          <w:p w:rsidR="005B00FB" w:rsidRPr="003C6323" w:rsidRDefault="005B00FB" w:rsidP="00B2055D">
            <w:pPr>
              <w:bidi w:val="0"/>
              <w:snapToGrid w:val="0"/>
              <w:jc w:val="both"/>
              <w:rPr>
                <w:sz w:val="20"/>
                <w:szCs w:val="20"/>
              </w:rPr>
            </w:pPr>
            <w:r w:rsidRPr="003C6323">
              <w:rPr>
                <w:sz w:val="20"/>
                <w:szCs w:val="20"/>
              </w:rPr>
              <w:t>100%</w:t>
            </w:r>
          </w:p>
        </w:tc>
      </w:tr>
      <w:tr w:rsidR="005B00FB" w:rsidRPr="003C6323" w:rsidTr="003C6323">
        <w:trPr>
          <w:cantSplit/>
          <w:jc w:val="center"/>
        </w:trPr>
        <w:tc>
          <w:tcPr>
            <w:tcW w:w="1172" w:type="pct"/>
            <w:vMerge w:val="restart"/>
            <w:noWrap/>
            <w:vAlign w:val="center"/>
          </w:tcPr>
          <w:p w:rsidR="005B00FB" w:rsidRPr="003C6323" w:rsidRDefault="005B00FB" w:rsidP="00B2055D">
            <w:pPr>
              <w:bidi w:val="0"/>
              <w:snapToGrid w:val="0"/>
              <w:jc w:val="both"/>
              <w:rPr>
                <w:b/>
                <w:bCs/>
                <w:sz w:val="20"/>
                <w:szCs w:val="20"/>
              </w:rPr>
            </w:pPr>
            <w:r w:rsidRPr="003C6323">
              <w:rPr>
                <w:b/>
                <w:bCs/>
                <w:sz w:val="20"/>
                <w:szCs w:val="20"/>
              </w:rPr>
              <w:t>Chi-square</w:t>
            </w:r>
          </w:p>
        </w:tc>
        <w:tc>
          <w:tcPr>
            <w:tcW w:w="827" w:type="pct"/>
            <w:noWrap/>
            <w:vAlign w:val="center"/>
          </w:tcPr>
          <w:p w:rsidR="005B00FB" w:rsidRPr="003C6323" w:rsidRDefault="005B00FB" w:rsidP="00B2055D">
            <w:pPr>
              <w:bidi w:val="0"/>
              <w:snapToGrid w:val="0"/>
              <w:jc w:val="both"/>
              <w:rPr>
                <w:b/>
                <w:bCs/>
                <w:sz w:val="20"/>
                <w:szCs w:val="20"/>
              </w:rPr>
            </w:pPr>
            <w:r w:rsidRPr="003C6323">
              <w:rPr>
                <w:b/>
                <w:bCs/>
                <w:sz w:val="20"/>
                <w:szCs w:val="20"/>
              </w:rPr>
              <w:t>X</w:t>
            </w:r>
            <w:r w:rsidRPr="003C6323">
              <w:rPr>
                <w:b/>
                <w:bCs/>
                <w:sz w:val="20"/>
                <w:szCs w:val="20"/>
                <w:vertAlign w:val="superscript"/>
              </w:rPr>
              <w:t>2</w:t>
            </w:r>
          </w:p>
        </w:tc>
        <w:tc>
          <w:tcPr>
            <w:tcW w:w="3001" w:type="pct"/>
            <w:gridSpan w:val="3"/>
            <w:noWrap/>
            <w:vAlign w:val="center"/>
          </w:tcPr>
          <w:p w:rsidR="005B00FB" w:rsidRPr="003C6323" w:rsidRDefault="005B00FB" w:rsidP="00B2055D">
            <w:pPr>
              <w:bidi w:val="0"/>
              <w:snapToGrid w:val="0"/>
              <w:jc w:val="both"/>
              <w:rPr>
                <w:sz w:val="20"/>
                <w:szCs w:val="20"/>
              </w:rPr>
            </w:pPr>
            <w:r w:rsidRPr="003C6323">
              <w:rPr>
                <w:sz w:val="20"/>
                <w:szCs w:val="20"/>
              </w:rPr>
              <w:t>3.144</w:t>
            </w:r>
          </w:p>
        </w:tc>
      </w:tr>
      <w:tr w:rsidR="005B00FB" w:rsidRPr="003C6323" w:rsidTr="003C6323">
        <w:trPr>
          <w:cantSplit/>
          <w:jc w:val="center"/>
        </w:trPr>
        <w:tc>
          <w:tcPr>
            <w:tcW w:w="1172" w:type="pct"/>
            <w:vMerge/>
            <w:vAlign w:val="center"/>
          </w:tcPr>
          <w:p w:rsidR="005B00FB" w:rsidRPr="003C6323" w:rsidRDefault="005B00FB" w:rsidP="00B2055D">
            <w:pPr>
              <w:bidi w:val="0"/>
              <w:snapToGrid w:val="0"/>
              <w:jc w:val="both"/>
              <w:rPr>
                <w:b/>
                <w:bCs/>
                <w:sz w:val="20"/>
                <w:szCs w:val="20"/>
              </w:rPr>
            </w:pPr>
          </w:p>
        </w:tc>
        <w:tc>
          <w:tcPr>
            <w:tcW w:w="827" w:type="pct"/>
            <w:noWrap/>
            <w:vAlign w:val="center"/>
          </w:tcPr>
          <w:p w:rsidR="005B00FB" w:rsidRPr="003C6323" w:rsidRDefault="005B00FB" w:rsidP="00B2055D">
            <w:pPr>
              <w:bidi w:val="0"/>
              <w:snapToGrid w:val="0"/>
              <w:jc w:val="both"/>
              <w:rPr>
                <w:b/>
                <w:bCs/>
                <w:sz w:val="20"/>
                <w:szCs w:val="20"/>
              </w:rPr>
            </w:pPr>
            <w:r w:rsidRPr="003C6323">
              <w:rPr>
                <w:b/>
                <w:bCs/>
                <w:sz w:val="20"/>
                <w:szCs w:val="20"/>
              </w:rPr>
              <w:t>P-value</w:t>
            </w:r>
          </w:p>
        </w:tc>
        <w:tc>
          <w:tcPr>
            <w:tcW w:w="3001" w:type="pct"/>
            <w:gridSpan w:val="3"/>
            <w:noWrap/>
            <w:vAlign w:val="center"/>
          </w:tcPr>
          <w:p w:rsidR="005B00FB" w:rsidRPr="003C6323" w:rsidRDefault="005B00FB" w:rsidP="00B2055D">
            <w:pPr>
              <w:bidi w:val="0"/>
              <w:snapToGrid w:val="0"/>
              <w:jc w:val="both"/>
              <w:rPr>
                <w:color w:val="FF0000"/>
                <w:sz w:val="20"/>
                <w:szCs w:val="20"/>
              </w:rPr>
            </w:pPr>
            <w:r w:rsidRPr="003C6323">
              <w:rPr>
                <w:color w:val="FF0000"/>
                <w:sz w:val="20"/>
                <w:szCs w:val="20"/>
              </w:rPr>
              <w:t>0.046</w:t>
            </w:r>
          </w:p>
        </w:tc>
      </w:tr>
    </w:tbl>
    <w:p w:rsidR="005B00FB" w:rsidRPr="003C6323" w:rsidRDefault="005B00FB" w:rsidP="00B2055D">
      <w:pPr>
        <w:bidi w:val="0"/>
        <w:snapToGrid w:val="0"/>
        <w:ind w:firstLine="425"/>
        <w:jc w:val="both"/>
        <w:rPr>
          <w:sz w:val="20"/>
          <w:szCs w:val="20"/>
        </w:rPr>
      </w:pPr>
    </w:p>
    <w:p w:rsidR="005B00FB" w:rsidRPr="003C6323" w:rsidRDefault="005B00FB" w:rsidP="00B2055D">
      <w:pPr>
        <w:bidi w:val="0"/>
        <w:snapToGrid w:val="0"/>
        <w:ind w:firstLine="425"/>
        <w:jc w:val="both"/>
        <w:rPr>
          <w:sz w:val="20"/>
          <w:szCs w:val="20"/>
          <w:lang w:eastAsia="zh-CN"/>
        </w:rPr>
      </w:pPr>
      <w:r w:rsidRPr="003C6323">
        <w:rPr>
          <w:sz w:val="20"/>
          <w:szCs w:val="20"/>
        </w:rPr>
        <w:t>Number of primary and secondary infertility patients among group I</w:t>
      </w:r>
      <w:r w:rsidR="00B2055D" w:rsidRPr="003C6323">
        <w:rPr>
          <w:sz w:val="20"/>
          <w:szCs w:val="20"/>
        </w:rPr>
        <w:t xml:space="preserve"> </w:t>
      </w:r>
      <w:r w:rsidR="00641E81" w:rsidRPr="003C6323">
        <w:rPr>
          <w:sz w:val="20"/>
          <w:szCs w:val="20"/>
        </w:rPr>
        <w:t xml:space="preserve">&amp; </w:t>
      </w:r>
      <w:r w:rsidRPr="003C6323">
        <w:rPr>
          <w:sz w:val="20"/>
          <w:szCs w:val="20"/>
        </w:rPr>
        <w:t>Group II.</w:t>
      </w:r>
    </w:p>
    <w:p w:rsidR="00B2055D" w:rsidRPr="003C6323" w:rsidRDefault="00B2055D" w:rsidP="00B2055D">
      <w:pPr>
        <w:bidi w:val="0"/>
        <w:snapToGrid w:val="0"/>
        <w:jc w:val="center"/>
        <w:rPr>
          <w:sz w:val="20"/>
          <w:szCs w:val="20"/>
          <w:lang w:eastAsia="zh-CN"/>
        </w:rPr>
      </w:pPr>
    </w:p>
    <w:p w:rsidR="005B00FB" w:rsidRPr="003C6323" w:rsidRDefault="005B00FB" w:rsidP="00B2055D">
      <w:pPr>
        <w:bidi w:val="0"/>
        <w:snapToGrid w:val="0"/>
        <w:jc w:val="center"/>
        <w:rPr>
          <w:sz w:val="20"/>
          <w:szCs w:val="20"/>
        </w:rPr>
      </w:pPr>
      <w:r w:rsidRPr="003C6323">
        <w:rPr>
          <w:noProof/>
          <w:sz w:val="20"/>
          <w:szCs w:val="20"/>
          <w:lang w:eastAsia="zh-CN"/>
        </w:rPr>
        <w:drawing>
          <wp:inline distT="0" distB="0" distL="0" distR="0">
            <wp:extent cx="3617843" cy="2080984"/>
            <wp:effectExtent l="19050" t="0" r="165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25342" cy="2085297"/>
                    </a:xfrm>
                    <a:prstGeom prst="rect">
                      <a:avLst/>
                    </a:prstGeom>
                    <a:noFill/>
                  </pic:spPr>
                </pic:pic>
              </a:graphicData>
            </a:graphic>
          </wp:inline>
        </w:drawing>
      </w:r>
    </w:p>
    <w:p w:rsidR="009A1109" w:rsidRPr="003C6323" w:rsidRDefault="005B00FB" w:rsidP="00B2055D">
      <w:pPr>
        <w:bidi w:val="0"/>
        <w:snapToGrid w:val="0"/>
        <w:jc w:val="center"/>
        <w:rPr>
          <w:sz w:val="20"/>
          <w:szCs w:val="20"/>
          <w:lang w:eastAsia="zh-CN"/>
        </w:rPr>
      </w:pPr>
      <w:bookmarkStart w:id="6" w:name="_Toc482099406"/>
      <w:r w:rsidRPr="003C6323">
        <w:rPr>
          <w:b/>
          <w:bCs/>
          <w:sz w:val="20"/>
          <w:szCs w:val="20"/>
        </w:rPr>
        <w:t>Figure (</w:t>
      </w:r>
      <w:r w:rsidR="00295C17" w:rsidRPr="003C6323">
        <w:rPr>
          <w:b/>
          <w:bCs/>
          <w:sz w:val="20"/>
          <w:szCs w:val="20"/>
        </w:rPr>
        <w:fldChar w:fldCharType="begin"/>
      </w:r>
      <w:r w:rsidRPr="003C6323">
        <w:rPr>
          <w:b/>
          <w:bCs/>
          <w:sz w:val="20"/>
          <w:szCs w:val="20"/>
        </w:rPr>
        <w:instrText xml:space="preserve"> SEQ Figure \* ARABIC </w:instrText>
      </w:r>
      <w:r w:rsidR="00295C17" w:rsidRPr="003C6323">
        <w:rPr>
          <w:b/>
          <w:bCs/>
          <w:sz w:val="20"/>
          <w:szCs w:val="20"/>
        </w:rPr>
        <w:fldChar w:fldCharType="separate"/>
      </w:r>
      <w:r w:rsidR="000B1823" w:rsidRPr="003C6323">
        <w:rPr>
          <w:b/>
          <w:bCs/>
          <w:noProof/>
          <w:sz w:val="20"/>
          <w:szCs w:val="20"/>
        </w:rPr>
        <w:t>3</w:t>
      </w:r>
      <w:r w:rsidR="00295C17" w:rsidRPr="003C6323">
        <w:rPr>
          <w:b/>
          <w:bCs/>
          <w:sz w:val="20"/>
          <w:szCs w:val="20"/>
        </w:rPr>
        <w:fldChar w:fldCharType="end"/>
      </w:r>
      <w:r w:rsidRPr="003C6323">
        <w:rPr>
          <w:b/>
          <w:bCs/>
          <w:sz w:val="20"/>
          <w:szCs w:val="20"/>
        </w:rPr>
        <w:t>):</w:t>
      </w:r>
      <w:r w:rsidRPr="003C6323">
        <w:rPr>
          <w:sz w:val="20"/>
          <w:szCs w:val="20"/>
        </w:rPr>
        <w:t xml:space="preserve"> Relation of primary</w:t>
      </w:r>
      <w:r w:rsidR="00B2055D" w:rsidRPr="003C6323">
        <w:rPr>
          <w:sz w:val="20"/>
          <w:szCs w:val="20"/>
        </w:rPr>
        <w:t xml:space="preserve"> </w:t>
      </w:r>
      <w:r w:rsidR="00641E81" w:rsidRPr="003C6323">
        <w:rPr>
          <w:sz w:val="20"/>
          <w:szCs w:val="20"/>
        </w:rPr>
        <w:t>&amp;</w:t>
      </w:r>
      <w:r w:rsidR="00B2055D" w:rsidRPr="003C6323">
        <w:rPr>
          <w:sz w:val="20"/>
          <w:szCs w:val="20"/>
        </w:rPr>
        <w:t xml:space="preserve"> </w:t>
      </w:r>
      <w:r w:rsidRPr="003C6323">
        <w:rPr>
          <w:sz w:val="20"/>
          <w:szCs w:val="20"/>
        </w:rPr>
        <w:t>secondary infertility patients t</w:t>
      </w:r>
      <w:r w:rsidR="00B2055D" w:rsidRPr="003C6323">
        <w:rPr>
          <w:sz w:val="20"/>
          <w:szCs w:val="20"/>
        </w:rPr>
        <w:t>o G</w:t>
      </w:r>
      <w:r w:rsidRPr="003C6323">
        <w:rPr>
          <w:sz w:val="20"/>
          <w:szCs w:val="20"/>
        </w:rPr>
        <w:t>roup I</w:t>
      </w:r>
      <w:r w:rsidR="00641E81" w:rsidRPr="003C6323">
        <w:rPr>
          <w:sz w:val="20"/>
          <w:szCs w:val="20"/>
        </w:rPr>
        <w:t xml:space="preserve"> &amp;</w:t>
      </w:r>
      <w:r w:rsidR="00B2055D" w:rsidRPr="003C6323">
        <w:rPr>
          <w:sz w:val="20"/>
          <w:szCs w:val="20"/>
        </w:rPr>
        <w:t xml:space="preserve"> </w:t>
      </w:r>
      <w:r w:rsidRPr="003C6323">
        <w:rPr>
          <w:sz w:val="20"/>
          <w:szCs w:val="20"/>
        </w:rPr>
        <w:t>Group II.</w:t>
      </w:r>
      <w:bookmarkEnd w:id="6"/>
    </w:p>
    <w:p w:rsidR="003C6323" w:rsidRPr="003C6323" w:rsidRDefault="003C6323" w:rsidP="00B2055D">
      <w:pPr>
        <w:bidi w:val="0"/>
        <w:snapToGrid w:val="0"/>
        <w:jc w:val="both"/>
        <w:rPr>
          <w:rFonts w:hint="eastAsia"/>
          <w:b/>
          <w:bCs/>
          <w:sz w:val="20"/>
          <w:szCs w:val="20"/>
          <w:lang w:eastAsia="zh-CN"/>
        </w:rPr>
      </w:pPr>
    </w:p>
    <w:p w:rsidR="005B00FB" w:rsidRPr="003C6323" w:rsidRDefault="005B00FB" w:rsidP="003C6323">
      <w:pPr>
        <w:bidi w:val="0"/>
        <w:snapToGrid w:val="0"/>
        <w:jc w:val="both"/>
        <w:rPr>
          <w:sz w:val="20"/>
          <w:szCs w:val="20"/>
        </w:rPr>
      </w:pPr>
      <w:r w:rsidRPr="003C6323">
        <w:rPr>
          <w:b/>
          <w:bCs/>
          <w:sz w:val="20"/>
          <w:szCs w:val="20"/>
        </w:rPr>
        <w:lastRenderedPageBreak/>
        <w:t>In Group I:</w:t>
      </w:r>
    </w:p>
    <w:p w:rsidR="005B00FB" w:rsidRPr="003C6323" w:rsidRDefault="005B00FB" w:rsidP="00B2055D">
      <w:pPr>
        <w:numPr>
          <w:ilvl w:val="0"/>
          <w:numId w:val="33"/>
        </w:numPr>
        <w:tabs>
          <w:tab w:val="clear" w:pos="720"/>
          <w:tab w:val="left" w:pos="0"/>
          <w:tab w:val="num" w:pos="363"/>
        </w:tabs>
        <w:bidi w:val="0"/>
        <w:snapToGrid w:val="0"/>
        <w:ind w:left="0" w:right="0" w:firstLine="425"/>
        <w:jc w:val="both"/>
        <w:rPr>
          <w:sz w:val="20"/>
          <w:szCs w:val="20"/>
        </w:rPr>
      </w:pPr>
      <w:r w:rsidRPr="003C6323">
        <w:rPr>
          <w:sz w:val="20"/>
          <w:szCs w:val="20"/>
        </w:rPr>
        <w:t>The number of primary infertile cases was 18 patients and the percentage was 66.7%.</w:t>
      </w:r>
    </w:p>
    <w:p w:rsidR="005B00FB" w:rsidRPr="003C6323" w:rsidRDefault="005B00FB" w:rsidP="00B2055D">
      <w:pPr>
        <w:numPr>
          <w:ilvl w:val="0"/>
          <w:numId w:val="33"/>
        </w:numPr>
        <w:tabs>
          <w:tab w:val="left" w:pos="0"/>
        </w:tabs>
        <w:bidi w:val="0"/>
        <w:snapToGrid w:val="0"/>
        <w:ind w:left="0" w:right="0" w:firstLine="425"/>
        <w:jc w:val="both"/>
        <w:rPr>
          <w:sz w:val="20"/>
          <w:szCs w:val="20"/>
        </w:rPr>
      </w:pPr>
      <w:r w:rsidRPr="003C6323">
        <w:rPr>
          <w:sz w:val="20"/>
          <w:szCs w:val="20"/>
        </w:rPr>
        <w:t>The number of secondary infertile cases was 9 patients with a percentage of 33.3%.</w:t>
      </w:r>
    </w:p>
    <w:p w:rsidR="005B00FB" w:rsidRPr="003C6323" w:rsidRDefault="005B00FB" w:rsidP="00B2055D">
      <w:pPr>
        <w:tabs>
          <w:tab w:val="left" w:pos="0"/>
        </w:tabs>
        <w:bidi w:val="0"/>
        <w:snapToGrid w:val="0"/>
        <w:jc w:val="both"/>
        <w:rPr>
          <w:sz w:val="20"/>
          <w:szCs w:val="20"/>
        </w:rPr>
      </w:pPr>
      <w:r w:rsidRPr="003C6323">
        <w:rPr>
          <w:b/>
          <w:bCs/>
          <w:sz w:val="20"/>
          <w:szCs w:val="20"/>
        </w:rPr>
        <w:t>I</w:t>
      </w:r>
      <w:r w:rsidR="00B2055D" w:rsidRPr="003C6323">
        <w:rPr>
          <w:b/>
          <w:bCs/>
          <w:sz w:val="20"/>
          <w:szCs w:val="20"/>
        </w:rPr>
        <w:t>n G</w:t>
      </w:r>
      <w:r w:rsidRPr="003C6323">
        <w:rPr>
          <w:b/>
          <w:bCs/>
          <w:sz w:val="20"/>
          <w:szCs w:val="20"/>
        </w:rPr>
        <w:t>roup II</w:t>
      </w:r>
      <w:r w:rsidRPr="003C6323">
        <w:rPr>
          <w:sz w:val="20"/>
          <w:szCs w:val="20"/>
        </w:rPr>
        <w:t>:</w:t>
      </w:r>
    </w:p>
    <w:p w:rsidR="005B00FB" w:rsidRPr="003C6323" w:rsidRDefault="005B00FB" w:rsidP="00B2055D">
      <w:pPr>
        <w:numPr>
          <w:ilvl w:val="0"/>
          <w:numId w:val="33"/>
        </w:numPr>
        <w:tabs>
          <w:tab w:val="clear" w:pos="720"/>
          <w:tab w:val="left" w:pos="0"/>
          <w:tab w:val="num" w:pos="363"/>
        </w:tabs>
        <w:bidi w:val="0"/>
        <w:snapToGrid w:val="0"/>
        <w:ind w:left="0" w:right="0" w:firstLine="425"/>
        <w:jc w:val="both"/>
        <w:rPr>
          <w:sz w:val="20"/>
          <w:szCs w:val="20"/>
        </w:rPr>
      </w:pPr>
      <w:r w:rsidRPr="003C6323">
        <w:rPr>
          <w:sz w:val="20"/>
          <w:szCs w:val="20"/>
        </w:rPr>
        <w:t>The number of primary infertile cases was 6 patients and their percentage was 40%.</w:t>
      </w:r>
    </w:p>
    <w:p w:rsidR="009A1109" w:rsidRPr="003C6323" w:rsidRDefault="005B00FB" w:rsidP="00B2055D">
      <w:pPr>
        <w:numPr>
          <w:ilvl w:val="0"/>
          <w:numId w:val="33"/>
        </w:numPr>
        <w:tabs>
          <w:tab w:val="clear" w:pos="720"/>
          <w:tab w:val="left" w:pos="0"/>
          <w:tab w:val="num" w:pos="363"/>
        </w:tabs>
        <w:bidi w:val="0"/>
        <w:snapToGrid w:val="0"/>
        <w:ind w:left="0" w:right="0" w:firstLine="425"/>
        <w:jc w:val="both"/>
        <w:rPr>
          <w:sz w:val="20"/>
          <w:szCs w:val="20"/>
        </w:rPr>
      </w:pPr>
      <w:r w:rsidRPr="003C6323">
        <w:rPr>
          <w:sz w:val="20"/>
          <w:szCs w:val="20"/>
        </w:rPr>
        <w:t>The number of secondary infertile cases was 9 patients with a percentage of 60%.</w:t>
      </w:r>
    </w:p>
    <w:p w:rsidR="00852998" w:rsidRPr="003C6323" w:rsidRDefault="00852998" w:rsidP="00B2055D">
      <w:pPr>
        <w:bidi w:val="0"/>
        <w:snapToGrid w:val="0"/>
        <w:jc w:val="both"/>
        <w:rPr>
          <w:b/>
          <w:bCs/>
          <w:sz w:val="20"/>
          <w:szCs w:val="20"/>
        </w:rPr>
      </w:pPr>
      <w:bookmarkStart w:id="7" w:name="_Toc482099437"/>
    </w:p>
    <w:p w:rsidR="005B00FB" w:rsidRPr="003C6323" w:rsidRDefault="005B00FB" w:rsidP="00B2055D">
      <w:pPr>
        <w:bidi w:val="0"/>
        <w:snapToGrid w:val="0"/>
        <w:jc w:val="center"/>
        <w:rPr>
          <w:sz w:val="20"/>
          <w:szCs w:val="20"/>
        </w:rPr>
      </w:pPr>
      <w:r w:rsidRPr="003C6323">
        <w:rPr>
          <w:b/>
          <w:bCs/>
          <w:sz w:val="20"/>
          <w:szCs w:val="20"/>
        </w:rPr>
        <w:t>Table (</w:t>
      </w:r>
      <w:r w:rsidR="00295C17" w:rsidRPr="003C6323">
        <w:rPr>
          <w:b/>
          <w:bCs/>
          <w:sz w:val="20"/>
          <w:szCs w:val="20"/>
        </w:rPr>
        <w:fldChar w:fldCharType="begin"/>
      </w:r>
      <w:r w:rsidRPr="003C6323">
        <w:rPr>
          <w:b/>
          <w:bCs/>
          <w:sz w:val="20"/>
          <w:szCs w:val="20"/>
        </w:rPr>
        <w:instrText xml:space="preserve"> SEQ Table \* ARABIC </w:instrText>
      </w:r>
      <w:r w:rsidR="00295C17" w:rsidRPr="003C6323">
        <w:rPr>
          <w:b/>
          <w:bCs/>
          <w:sz w:val="20"/>
          <w:szCs w:val="20"/>
        </w:rPr>
        <w:fldChar w:fldCharType="separate"/>
      </w:r>
      <w:r w:rsidR="000B1823" w:rsidRPr="003C6323">
        <w:rPr>
          <w:b/>
          <w:bCs/>
          <w:noProof/>
          <w:sz w:val="20"/>
          <w:szCs w:val="20"/>
        </w:rPr>
        <w:t>4</w:t>
      </w:r>
      <w:r w:rsidR="00295C17" w:rsidRPr="003C6323">
        <w:rPr>
          <w:b/>
          <w:bCs/>
          <w:sz w:val="20"/>
          <w:szCs w:val="20"/>
        </w:rPr>
        <w:fldChar w:fldCharType="end"/>
      </w:r>
      <w:r w:rsidRPr="003C6323">
        <w:rPr>
          <w:b/>
          <w:bCs/>
          <w:sz w:val="20"/>
          <w:szCs w:val="20"/>
        </w:rPr>
        <w:t>):</w:t>
      </w:r>
      <w:r w:rsidRPr="003C6323">
        <w:rPr>
          <w:sz w:val="20"/>
          <w:szCs w:val="20"/>
        </w:rPr>
        <w:t xml:space="preserve"> Age distribution in Group I</w:t>
      </w:r>
      <w:r w:rsidR="00B2055D" w:rsidRPr="003C6323">
        <w:rPr>
          <w:sz w:val="20"/>
          <w:szCs w:val="20"/>
        </w:rPr>
        <w:t xml:space="preserve"> </w:t>
      </w:r>
      <w:r w:rsidR="00641E81" w:rsidRPr="003C6323">
        <w:rPr>
          <w:sz w:val="20"/>
          <w:szCs w:val="20"/>
        </w:rPr>
        <w:t>&amp;</w:t>
      </w:r>
      <w:r w:rsidR="00B2055D" w:rsidRPr="003C6323">
        <w:rPr>
          <w:sz w:val="20"/>
          <w:szCs w:val="20"/>
        </w:rPr>
        <w:t xml:space="preserve"> </w:t>
      </w:r>
      <w:r w:rsidRPr="003C6323">
        <w:rPr>
          <w:sz w:val="20"/>
          <w:szCs w:val="20"/>
        </w:rPr>
        <w:t>Group II.</w:t>
      </w:r>
      <w:bookmarkEnd w:id="7"/>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ook w:val="0000"/>
      </w:tblPr>
      <w:tblGrid>
        <w:gridCol w:w="2402"/>
        <w:gridCol w:w="762"/>
        <w:gridCol w:w="364"/>
        <w:gridCol w:w="900"/>
        <w:gridCol w:w="1107"/>
        <w:gridCol w:w="437"/>
        <w:gridCol w:w="1161"/>
        <w:gridCol w:w="1255"/>
        <w:gridCol w:w="1190"/>
      </w:tblGrid>
      <w:tr w:rsidR="005B00FB" w:rsidRPr="003C6323" w:rsidTr="000C443D">
        <w:trPr>
          <w:cantSplit/>
          <w:jc w:val="center"/>
        </w:trPr>
        <w:tc>
          <w:tcPr>
            <w:tcW w:w="1254" w:type="pct"/>
            <w:vMerge w:val="restart"/>
            <w:tcBorders>
              <w:top w:val="thinThickSmallGap" w:sz="12" w:space="0" w:color="auto"/>
              <w:bottom w:val="single" w:sz="4" w:space="0" w:color="auto"/>
            </w:tcBorders>
            <w:noWrap/>
            <w:vAlign w:val="center"/>
          </w:tcPr>
          <w:p w:rsidR="005B00FB" w:rsidRPr="003C6323" w:rsidRDefault="005B00FB" w:rsidP="00B2055D">
            <w:pPr>
              <w:bidi w:val="0"/>
              <w:snapToGrid w:val="0"/>
              <w:jc w:val="both"/>
              <w:rPr>
                <w:sz w:val="20"/>
                <w:szCs w:val="20"/>
              </w:rPr>
            </w:pPr>
          </w:p>
        </w:tc>
        <w:tc>
          <w:tcPr>
            <w:tcW w:w="2469" w:type="pct"/>
            <w:gridSpan w:val="6"/>
            <w:tcBorders>
              <w:top w:val="thinThickSmallGap" w:sz="12" w:space="0" w:color="auto"/>
              <w:bottom w:val="single" w:sz="4"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Age (years)</w:t>
            </w:r>
          </w:p>
        </w:tc>
        <w:tc>
          <w:tcPr>
            <w:tcW w:w="1276" w:type="pct"/>
            <w:gridSpan w:val="2"/>
            <w:tcBorders>
              <w:top w:val="thinThickSmallGap" w:sz="12" w:space="0" w:color="auto"/>
              <w:bottom w:val="single" w:sz="4"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T-test</w:t>
            </w:r>
          </w:p>
        </w:tc>
      </w:tr>
      <w:tr w:rsidR="005B00FB" w:rsidRPr="003C6323" w:rsidTr="000C443D">
        <w:trPr>
          <w:cantSplit/>
          <w:jc w:val="center"/>
        </w:trPr>
        <w:tc>
          <w:tcPr>
            <w:tcW w:w="1254" w:type="pct"/>
            <w:vMerge/>
            <w:tcBorders>
              <w:top w:val="single" w:sz="4" w:space="0" w:color="auto"/>
              <w:bottom w:val="thickThinSmallGap" w:sz="12" w:space="0" w:color="auto"/>
            </w:tcBorders>
            <w:vAlign w:val="center"/>
          </w:tcPr>
          <w:p w:rsidR="005B00FB" w:rsidRPr="003C6323" w:rsidRDefault="005B00FB" w:rsidP="00B2055D">
            <w:pPr>
              <w:bidi w:val="0"/>
              <w:snapToGrid w:val="0"/>
              <w:jc w:val="both"/>
              <w:rPr>
                <w:sz w:val="20"/>
                <w:szCs w:val="20"/>
              </w:rPr>
            </w:pPr>
          </w:p>
        </w:tc>
        <w:tc>
          <w:tcPr>
            <w:tcW w:w="1058" w:type="pct"/>
            <w:gridSpan w:val="3"/>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Range</w:t>
            </w:r>
          </w:p>
        </w:tc>
        <w:tc>
          <w:tcPr>
            <w:tcW w:w="578"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Mean</w:t>
            </w:r>
          </w:p>
        </w:tc>
        <w:tc>
          <w:tcPr>
            <w:tcW w:w="228"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w:t>
            </w:r>
          </w:p>
        </w:tc>
        <w:tc>
          <w:tcPr>
            <w:tcW w:w="606"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SD</w:t>
            </w:r>
          </w:p>
        </w:tc>
        <w:tc>
          <w:tcPr>
            <w:tcW w:w="655"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t</w:t>
            </w:r>
          </w:p>
        </w:tc>
        <w:tc>
          <w:tcPr>
            <w:tcW w:w="621" w:type="pct"/>
            <w:tcBorders>
              <w:top w:val="single" w:sz="4" w:space="0" w:color="auto"/>
              <w:bottom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P-value</w:t>
            </w:r>
          </w:p>
        </w:tc>
      </w:tr>
      <w:tr w:rsidR="005B00FB" w:rsidRPr="003C6323" w:rsidTr="000C443D">
        <w:trPr>
          <w:cantSplit/>
          <w:jc w:val="center"/>
        </w:trPr>
        <w:tc>
          <w:tcPr>
            <w:tcW w:w="1254" w:type="pct"/>
            <w:tcBorders>
              <w:top w:val="thickThinSmallGap" w:sz="12" w:space="0" w:color="auto"/>
            </w:tcBorders>
            <w:noWrap/>
            <w:vAlign w:val="center"/>
          </w:tcPr>
          <w:p w:rsidR="005B00FB" w:rsidRPr="003C6323" w:rsidRDefault="005B00FB" w:rsidP="00B2055D">
            <w:pPr>
              <w:bidi w:val="0"/>
              <w:snapToGrid w:val="0"/>
              <w:jc w:val="both"/>
              <w:rPr>
                <w:b/>
                <w:bCs/>
                <w:sz w:val="20"/>
                <w:szCs w:val="20"/>
              </w:rPr>
            </w:pPr>
            <w:r w:rsidRPr="003C6323">
              <w:rPr>
                <w:b/>
                <w:bCs/>
                <w:sz w:val="20"/>
                <w:szCs w:val="20"/>
              </w:rPr>
              <w:t>Group I</w:t>
            </w:r>
          </w:p>
        </w:tc>
        <w:tc>
          <w:tcPr>
            <w:tcW w:w="398"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18</w:t>
            </w:r>
          </w:p>
        </w:tc>
        <w:tc>
          <w:tcPr>
            <w:tcW w:w="190"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w:t>
            </w:r>
          </w:p>
        </w:tc>
        <w:tc>
          <w:tcPr>
            <w:tcW w:w="470"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36</w:t>
            </w:r>
          </w:p>
        </w:tc>
        <w:tc>
          <w:tcPr>
            <w:tcW w:w="578"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27.10</w:t>
            </w:r>
          </w:p>
        </w:tc>
        <w:tc>
          <w:tcPr>
            <w:tcW w:w="228"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w:t>
            </w:r>
          </w:p>
        </w:tc>
        <w:tc>
          <w:tcPr>
            <w:tcW w:w="606" w:type="pc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4.71</w:t>
            </w:r>
          </w:p>
        </w:tc>
        <w:tc>
          <w:tcPr>
            <w:tcW w:w="655" w:type="pct"/>
            <w:vMerge w:val="restar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-1.143</w:t>
            </w:r>
          </w:p>
        </w:tc>
        <w:tc>
          <w:tcPr>
            <w:tcW w:w="621" w:type="pct"/>
            <w:vMerge w:val="restart"/>
            <w:tcBorders>
              <w:top w:val="thickThinSmallGap" w:sz="12" w:space="0" w:color="auto"/>
            </w:tcBorders>
            <w:noWrap/>
            <w:vAlign w:val="center"/>
          </w:tcPr>
          <w:p w:rsidR="005B00FB" w:rsidRPr="003C6323" w:rsidRDefault="005B00FB" w:rsidP="00B2055D">
            <w:pPr>
              <w:bidi w:val="0"/>
              <w:snapToGrid w:val="0"/>
              <w:jc w:val="both"/>
              <w:rPr>
                <w:sz w:val="20"/>
                <w:szCs w:val="20"/>
              </w:rPr>
            </w:pPr>
            <w:r w:rsidRPr="003C6323">
              <w:rPr>
                <w:sz w:val="20"/>
                <w:szCs w:val="20"/>
              </w:rPr>
              <w:t>0.144</w:t>
            </w:r>
          </w:p>
        </w:tc>
      </w:tr>
      <w:tr w:rsidR="005B00FB" w:rsidRPr="003C6323" w:rsidTr="000C443D">
        <w:trPr>
          <w:cantSplit/>
          <w:jc w:val="center"/>
        </w:trPr>
        <w:tc>
          <w:tcPr>
            <w:tcW w:w="1254" w:type="pct"/>
            <w:noWrap/>
            <w:vAlign w:val="center"/>
          </w:tcPr>
          <w:p w:rsidR="005B00FB" w:rsidRPr="003C6323" w:rsidRDefault="005B00FB" w:rsidP="00B2055D">
            <w:pPr>
              <w:bidi w:val="0"/>
              <w:snapToGrid w:val="0"/>
              <w:jc w:val="both"/>
              <w:rPr>
                <w:b/>
                <w:bCs/>
                <w:sz w:val="20"/>
                <w:szCs w:val="20"/>
              </w:rPr>
            </w:pPr>
            <w:r w:rsidRPr="003C6323">
              <w:rPr>
                <w:b/>
                <w:bCs/>
                <w:sz w:val="20"/>
                <w:szCs w:val="20"/>
              </w:rPr>
              <w:t>Group II</w:t>
            </w:r>
          </w:p>
        </w:tc>
        <w:tc>
          <w:tcPr>
            <w:tcW w:w="398" w:type="pct"/>
            <w:noWrap/>
            <w:vAlign w:val="center"/>
          </w:tcPr>
          <w:p w:rsidR="005B00FB" w:rsidRPr="003C6323" w:rsidRDefault="005B00FB" w:rsidP="00B2055D">
            <w:pPr>
              <w:bidi w:val="0"/>
              <w:snapToGrid w:val="0"/>
              <w:jc w:val="both"/>
              <w:rPr>
                <w:sz w:val="20"/>
                <w:szCs w:val="20"/>
              </w:rPr>
            </w:pPr>
            <w:r w:rsidRPr="003C6323">
              <w:rPr>
                <w:sz w:val="20"/>
                <w:szCs w:val="20"/>
              </w:rPr>
              <w:t>23</w:t>
            </w:r>
          </w:p>
        </w:tc>
        <w:tc>
          <w:tcPr>
            <w:tcW w:w="190" w:type="pct"/>
            <w:noWrap/>
            <w:vAlign w:val="center"/>
          </w:tcPr>
          <w:p w:rsidR="005B00FB" w:rsidRPr="003C6323" w:rsidRDefault="005B00FB" w:rsidP="00B2055D">
            <w:pPr>
              <w:bidi w:val="0"/>
              <w:snapToGrid w:val="0"/>
              <w:jc w:val="both"/>
              <w:rPr>
                <w:sz w:val="20"/>
                <w:szCs w:val="20"/>
              </w:rPr>
            </w:pPr>
            <w:r w:rsidRPr="003C6323">
              <w:rPr>
                <w:sz w:val="20"/>
                <w:szCs w:val="20"/>
              </w:rPr>
              <w:t>-</w:t>
            </w:r>
          </w:p>
        </w:tc>
        <w:tc>
          <w:tcPr>
            <w:tcW w:w="470" w:type="pct"/>
            <w:noWrap/>
            <w:vAlign w:val="center"/>
          </w:tcPr>
          <w:p w:rsidR="005B00FB" w:rsidRPr="003C6323" w:rsidRDefault="005B00FB" w:rsidP="00B2055D">
            <w:pPr>
              <w:bidi w:val="0"/>
              <w:snapToGrid w:val="0"/>
              <w:jc w:val="both"/>
              <w:rPr>
                <w:sz w:val="20"/>
                <w:szCs w:val="20"/>
              </w:rPr>
            </w:pPr>
            <w:r w:rsidRPr="003C6323">
              <w:rPr>
                <w:sz w:val="20"/>
                <w:szCs w:val="20"/>
              </w:rPr>
              <w:t>40</w:t>
            </w:r>
          </w:p>
        </w:tc>
        <w:tc>
          <w:tcPr>
            <w:tcW w:w="578" w:type="pct"/>
            <w:noWrap/>
            <w:vAlign w:val="center"/>
          </w:tcPr>
          <w:p w:rsidR="005B00FB" w:rsidRPr="003C6323" w:rsidRDefault="005B00FB" w:rsidP="00B2055D">
            <w:pPr>
              <w:bidi w:val="0"/>
              <w:snapToGrid w:val="0"/>
              <w:jc w:val="both"/>
              <w:rPr>
                <w:sz w:val="20"/>
                <w:szCs w:val="20"/>
              </w:rPr>
            </w:pPr>
            <w:r w:rsidRPr="003C6323">
              <w:rPr>
                <w:sz w:val="20"/>
                <w:szCs w:val="20"/>
              </w:rPr>
              <w:t>29.04</w:t>
            </w:r>
          </w:p>
        </w:tc>
        <w:tc>
          <w:tcPr>
            <w:tcW w:w="228" w:type="pct"/>
            <w:noWrap/>
            <w:vAlign w:val="center"/>
          </w:tcPr>
          <w:p w:rsidR="005B00FB" w:rsidRPr="003C6323" w:rsidRDefault="005B00FB" w:rsidP="00B2055D">
            <w:pPr>
              <w:bidi w:val="0"/>
              <w:snapToGrid w:val="0"/>
              <w:jc w:val="both"/>
              <w:rPr>
                <w:sz w:val="20"/>
                <w:szCs w:val="20"/>
              </w:rPr>
            </w:pPr>
            <w:r w:rsidRPr="003C6323">
              <w:rPr>
                <w:sz w:val="20"/>
                <w:szCs w:val="20"/>
              </w:rPr>
              <w:t>±</w:t>
            </w:r>
          </w:p>
        </w:tc>
        <w:tc>
          <w:tcPr>
            <w:tcW w:w="606" w:type="pct"/>
            <w:noWrap/>
            <w:vAlign w:val="center"/>
          </w:tcPr>
          <w:p w:rsidR="005B00FB" w:rsidRPr="003C6323" w:rsidRDefault="005B00FB" w:rsidP="00B2055D">
            <w:pPr>
              <w:bidi w:val="0"/>
              <w:snapToGrid w:val="0"/>
              <w:jc w:val="both"/>
              <w:rPr>
                <w:sz w:val="20"/>
                <w:szCs w:val="20"/>
              </w:rPr>
            </w:pPr>
            <w:r w:rsidRPr="003C6323">
              <w:rPr>
                <w:sz w:val="20"/>
                <w:szCs w:val="20"/>
              </w:rPr>
              <w:t>5.20</w:t>
            </w:r>
          </w:p>
        </w:tc>
        <w:tc>
          <w:tcPr>
            <w:tcW w:w="655" w:type="pct"/>
            <w:vMerge/>
            <w:vAlign w:val="center"/>
          </w:tcPr>
          <w:p w:rsidR="005B00FB" w:rsidRPr="003C6323" w:rsidRDefault="005B00FB" w:rsidP="00B2055D">
            <w:pPr>
              <w:bidi w:val="0"/>
              <w:snapToGrid w:val="0"/>
              <w:jc w:val="both"/>
              <w:rPr>
                <w:sz w:val="20"/>
                <w:szCs w:val="20"/>
              </w:rPr>
            </w:pPr>
          </w:p>
        </w:tc>
        <w:tc>
          <w:tcPr>
            <w:tcW w:w="621" w:type="pct"/>
            <w:vMerge/>
            <w:vAlign w:val="center"/>
          </w:tcPr>
          <w:p w:rsidR="005B00FB" w:rsidRPr="003C6323" w:rsidRDefault="005B00FB" w:rsidP="00B2055D">
            <w:pPr>
              <w:bidi w:val="0"/>
              <w:snapToGrid w:val="0"/>
              <w:jc w:val="both"/>
              <w:rPr>
                <w:sz w:val="20"/>
                <w:szCs w:val="20"/>
              </w:rPr>
            </w:pPr>
          </w:p>
        </w:tc>
      </w:tr>
    </w:tbl>
    <w:p w:rsidR="009A1109" w:rsidRPr="003C6323" w:rsidRDefault="009A1109" w:rsidP="00B2055D">
      <w:pPr>
        <w:bidi w:val="0"/>
        <w:snapToGrid w:val="0"/>
        <w:ind w:firstLine="425"/>
        <w:jc w:val="both"/>
        <w:rPr>
          <w:sz w:val="20"/>
          <w:szCs w:val="20"/>
        </w:rPr>
      </w:pPr>
    </w:p>
    <w:p w:rsidR="005B00FB" w:rsidRPr="003C6323" w:rsidRDefault="005B00FB" w:rsidP="00B2055D">
      <w:pPr>
        <w:bidi w:val="0"/>
        <w:snapToGrid w:val="0"/>
        <w:jc w:val="center"/>
        <w:rPr>
          <w:sz w:val="20"/>
          <w:szCs w:val="20"/>
        </w:rPr>
      </w:pPr>
      <w:r w:rsidRPr="003C6323">
        <w:rPr>
          <w:noProof/>
          <w:sz w:val="20"/>
          <w:szCs w:val="20"/>
          <w:lang w:eastAsia="zh-CN"/>
        </w:rPr>
        <w:drawing>
          <wp:inline distT="0" distB="0" distL="0" distR="0">
            <wp:extent cx="4210049" cy="2718139"/>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24706" cy="2727602"/>
                    </a:xfrm>
                    <a:prstGeom prst="rect">
                      <a:avLst/>
                    </a:prstGeom>
                    <a:noFill/>
                  </pic:spPr>
                </pic:pic>
              </a:graphicData>
            </a:graphic>
          </wp:inline>
        </w:drawing>
      </w:r>
    </w:p>
    <w:p w:rsidR="005B00FB" w:rsidRPr="003C6323" w:rsidRDefault="005B00FB" w:rsidP="00B2055D">
      <w:pPr>
        <w:bidi w:val="0"/>
        <w:snapToGrid w:val="0"/>
        <w:jc w:val="center"/>
        <w:rPr>
          <w:b/>
          <w:bCs/>
          <w:sz w:val="20"/>
          <w:szCs w:val="20"/>
          <w:lang w:eastAsia="zh-CN"/>
        </w:rPr>
      </w:pPr>
      <w:bookmarkStart w:id="8" w:name="_Toc482099407"/>
      <w:r w:rsidRPr="003C6323">
        <w:rPr>
          <w:b/>
          <w:bCs/>
          <w:sz w:val="20"/>
          <w:szCs w:val="20"/>
        </w:rPr>
        <w:t>Figure (</w:t>
      </w:r>
      <w:r w:rsidR="00295C17" w:rsidRPr="003C6323">
        <w:rPr>
          <w:b/>
          <w:bCs/>
          <w:sz w:val="20"/>
          <w:szCs w:val="20"/>
        </w:rPr>
        <w:fldChar w:fldCharType="begin"/>
      </w:r>
      <w:r w:rsidRPr="003C6323">
        <w:rPr>
          <w:b/>
          <w:bCs/>
          <w:sz w:val="20"/>
          <w:szCs w:val="20"/>
        </w:rPr>
        <w:instrText xml:space="preserve"> SEQ Figure \* ARABIC </w:instrText>
      </w:r>
      <w:r w:rsidR="00295C17" w:rsidRPr="003C6323">
        <w:rPr>
          <w:b/>
          <w:bCs/>
          <w:sz w:val="20"/>
          <w:szCs w:val="20"/>
        </w:rPr>
        <w:fldChar w:fldCharType="separate"/>
      </w:r>
      <w:r w:rsidR="000B1823" w:rsidRPr="003C6323">
        <w:rPr>
          <w:b/>
          <w:bCs/>
          <w:noProof/>
          <w:sz w:val="20"/>
          <w:szCs w:val="20"/>
        </w:rPr>
        <w:t>4</w:t>
      </w:r>
      <w:r w:rsidR="00295C17" w:rsidRPr="003C6323">
        <w:rPr>
          <w:b/>
          <w:bCs/>
          <w:sz w:val="20"/>
          <w:szCs w:val="20"/>
        </w:rPr>
        <w:fldChar w:fldCharType="end"/>
      </w:r>
      <w:r w:rsidRPr="003C6323">
        <w:rPr>
          <w:b/>
          <w:bCs/>
          <w:sz w:val="20"/>
          <w:szCs w:val="20"/>
        </w:rPr>
        <w:t>):</w:t>
      </w:r>
      <w:r w:rsidRPr="003C6323">
        <w:rPr>
          <w:sz w:val="20"/>
          <w:szCs w:val="20"/>
        </w:rPr>
        <w:t xml:space="preserve"> Relation of age distribution to group</w:t>
      </w:r>
      <w:r w:rsidRPr="003C6323">
        <w:rPr>
          <w:b/>
          <w:bCs/>
          <w:sz w:val="20"/>
          <w:szCs w:val="20"/>
        </w:rPr>
        <w:t xml:space="preserve"> I</w:t>
      </w:r>
      <w:r w:rsidR="00B2055D" w:rsidRPr="003C6323">
        <w:rPr>
          <w:b/>
          <w:bCs/>
          <w:sz w:val="20"/>
          <w:szCs w:val="20"/>
        </w:rPr>
        <w:t xml:space="preserve"> </w:t>
      </w:r>
      <w:r w:rsidR="00641E81" w:rsidRPr="003C6323">
        <w:rPr>
          <w:b/>
          <w:bCs/>
          <w:sz w:val="20"/>
          <w:szCs w:val="20"/>
        </w:rPr>
        <w:t xml:space="preserve">&amp; </w:t>
      </w:r>
      <w:r w:rsidRPr="003C6323">
        <w:rPr>
          <w:sz w:val="20"/>
          <w:szCs w:val="20"/>
        </w:rPr>
        <w:t>group</w:t>
      </w:r>
      <w:r w:rsidRPr="003C6323">
        <w:rPr>
          <w:b/>
          <w:bCs/>
          <w:sz w:val="20"/>
          <w:szCs w:val="20"/>
        </w:rPr>
        <w:t xml:space="preserve"> II.</w:t>
      </w:r>
      <w:bookmarkEnd w:id="8"/>
    </w:p>
    <w:p w:rsidR="00B2055D" w:rsidRPr="003C6323" w:rsidRDefault="00B2055D" w:rsidP="00B2055D">
      <w:pPr>
        <w:bidi w:val="0"/>
        <w:snapToGrid w:val="0"/>
        <w:jc w:val="center"/>
        <w:rPr>
          <w:sz w:val="20"/>
          <w:szCs w:val="20"/>
          <w:lang w:eastAsia="zh-CN"/>
        </w:rPr>
      </w:pPr>
    </w:p>
    <w:p w:rsidR="005B00FB" w:rsidRPr="003C6323" w:rsidRDefault="005B00FB" w:rsidP="00B2055D">
      <w:pPr>
        <w:bidi w:val="0"/>
        <w:snapToGrid w:val="0"/>
        <w:jc w:val="both"/>
        <w:rPr>
          <w:b/>
          <w:bCs/>
          <w:sz w:val="20"/>
          <w:szCs w:val="20"/>
        </w:rPr>
      </w:pPr>
      <w:r w:rsidRPr="003C6323">
        <w:rPr>
          <w:b/>
          <w:bCs/>
          <w:sz w:val="20"/>
          <w:szCs w:val="20"/>
        </w:rPr>
        <w:t>Age distribution in two groups is not significant</w:t>
      </w:r>
    </w:p>
    <w:p w:rsidR="005B00FB" w:rsidRPr="003C6323" w:rsidRDefault="005B00FB" w:rsidP="00B2055D">
      <w:pPr>
        <w:numPr>
          <w:ilvl w:val="0"/>
          <w:numId w:val="34"/>
        </w:numPr>
        <w:tabs>
          <w:tab w:val="left" w:pos="0"/>
        </w:tabs>
        <w:bidi w:val="0"/>
        <w:snapToGrid w:val="0"/>
        <w:ind w:left="0" w:right="0" w:firstLine="425"/>
        <w:jc w:val="both"/>
        <w:rPr>
          <w:sz w:val="20"/>
          <w:szCs w:val="20"/>
        </w:rPr>
      </w:pPr>
      <w:r w:rsidRPr="003C6323">
        <w:rPr>
          <w:sz w:val="20"/>
          <w:szCs w:val="20"/>
        </w:rPr>
        <w:t>The mean age of patients in Group I was 27.10 ranging from 18 to 36 years.</w:t>
      </w:r>
    </w:p>
    <w:p w:rsidR="00C34EA8" w:rsidRPr="003C6323" w:rsidRDefault="005B00FB" w:rsidP="00B2055D">
      <w:pPr>
        <w:numPr>
          <w:ilvl w:val="0"/>
          <w:numId w:val="34"/>
        </w:numPr>
        <w:tabs>
          <w:tab w:val="left" w:pos="0"/>
        </w:tabs>
        <w:bidi w:val="0"/>
        <w:snapToGrid w:val="0"/>
        <w:ind w:left="0" w:right="0" w:firstLine="425"/>
        <w:jc w:val="both"/>
        <w:rPr>
          <w:sz w:val="20"/>
          <w:szCs w:val="20"/>
        </w:rPr>
      </w:pPr>
      <w:r w:rsidRPr="003C6323">
        <w:rPr>
          <w:sz w:val="20"/>
          <w:szCs w:val="20"/>
        </w:rPr>
        <w:t>The mean age of patients in Group II was 29.04 ranging from 23 to 40 years.</w:t>
      </w:r>
    </w:p>
    <w:bookmarkEnd w:id="2"/>
    <w:p w:rsidR="00852998" w:rsidRPr="003C6323" w:rsidRDefault="00852998" w:rsidP="00B2055D">
      <w:pPr>
        <w:bidi w:val="0"/>
        <w:snapToGrid w:val="0"/>
        <w:jc w:val="both"/>
        <w:rPr>
          <w:b/>
          <w:bCs/>
          <w:sz w:val="20"/>
          <w:szCs w:val="20"/>
          <w:lang w:bidi="ar-EG"/>
        </w:rPr>
      </w:pPr>
    </w:p>
    <w:p w:rsidR="00641E81" w:rsidRPr="003C6323" w:rsidRDefault="00641E81" w:rsidP="00B2055D">
      <w:pPr>
        <w:bidi w:val="0"/>
        <w:snapToGrid w:val="0"/>
        <w:jc w:val="both"/>
        <w:rPr>
          <w:b/>
          <w:bCs/>
          <w:sz w:val="20"/>
          <w:szCs w:val="20"/>
          <w:lang w:bidi="ar-EG"/>
        </w:rPr>
        <w:sectPr w:rsidR="00641E81" w:rsidRPr="003C6323" w:rsidSect="00B2055D">
          <w:headerReference w:type="default" r:id="rId27"/>
          <w:footerReference w:type="even" r:id="rId28"/>
          <w:footerReference w:type="default" r:id="rId29"/>
          <w:type w:val="continuous"/>
          <w:pgSz w:w="12242" w:h="15842" w:code="1"/>
          <w:pgMar w:top="1440" w:right="1440" w:bottom="1440" w:left="1440" w:header="720" w:footer="720" w:gutter="0"/>
          <w:cols w:space="720"/>
          <w:noEndnote/>
          <w:bidi/>
          <w:docGrid w:linePitch="326"/>
        </w:sectPr>
      </w:pPr>
    </w:p>
    <w:p w:rsidR="00064371" w:rsidRPr="003C6323" w:rsidRDefault="00852998" w:rsidP="00B2055D">
      <w:pPr>
        <w:bidi w:val="0"/>
        <w:snapToGrid w:val="0"/>
        <w:jc w:val="both"/>
        <w:rPr>
          <w:b/>
          <w:bCs/>
          <w:sz w:val="20"/>
          <w:szCs w:val="20"/>
          <w:lang w:bidi="ar-EG"/>
        </w:rPr>
      </w:pPr>
      <w:r w:rsidRPr="003C6323">
        <w:rPr>
          <w:b/>
          <w:bCs/>
          <w:sz w:val="20"/>
          <w:szCs w:val="20"/>
          <w:lang w:bidi="ar-EG"/>
        </w:rPr>
        <w:lastRenderedPageBreak/>
        <w:t xml:space="preserve">4. </w:t>
      </w:r>
      <w:r w:rsidR="00064371" w:rsidRPr="003C6323">
        <w:rPr>
          <w:b/>
          <w:bCs/>
          <w:sz w:val="20"/>
          <w:szCs w:val="20"/>
          <w:lang w:bidi="ar-EG"/>
        </w:rPr>
        <w:t>Discussion</w:t>
      </w:r>
    </w:p>
    <w:p w:rsidR="00BA0263" w:rsidRPr="003C6323" w:rsidRDefault="00BA0263" w:rsidP="00B2055D">
      <w:pPr>
        <w:autoSpaceDE w:val="0"/>
        <w:autoSpaceDN w:val="0"/>
        <w:bidi w:val="0"/>
        <w:adjustRightInd w:val="0"/>
        <w:snapToGrid w:val="0"/>
        <w:ind w:firstLine="425"/>
        <w:jc w:val="both"/>
        <w:rPr>
          <w:sz w:val="20"/>
          <w:szCs w:val="20"/>
        </w:rPr>
      </w:pPr>
      <w:r w:rsidRPr="003C6323">
        <w:rPr>
          <w:sz w:val="20"/>
          <w:szCs w:val="20"/>
        </w:rPr>
        <w:t>Infertility is defined as failure to conceive after one year of regular unprotected intercourse. In Western countries 5 - 14% of women in the child bearing age are infertile.</w:t>
      </w:r>
    </w:p>
    <w:p w:rsidR="00BA0263" w:rsidRPr="003C6323" w:rsidRDefault="00BA0263" w:rsidP="00B2055D">
      <w:pPr>
        <w:tabs>
          <w:tab w:val="left" w:pos="0"/>
          <w:tab w:val="left" w:pos="1005"/>
        </w:tabs>
        <w:bidi w:val="0"/>
        <w:snapToGrid w:val="0"/>
        <w:ind w:firstLine="425"/>
        <w:jc w:val="both"/>
        <w:rPr>
          <w:b/>
          <w:bCs/>
          <w:sz w:val="20"/>
          <w:szCs w:val="20"/>
        </w:rPr>
      </w:pPr>
      <w:r w:rsidRPr="003C6323">
        <w:rPr>
          <w:sz w:val="20"/>
          <w:szCs w:val="20"/>
        </w:rPr>
        <w:t xml:space="preserve">Unexplained infertility may represent one of the most common infertility diagnoses, with a reported prevalence of up to 30 percent. The diagnosis of unexplained infertility is highly subjective and depends on the diagnostic tests performed or omitted` and on their level of quality. Paradoxically, a diagnosis of unexplained infertility, therefore, will be more often reached if the evaluation is incomplete or of poor quality. Expectant management may be considered, especially with infertility of short duration and with relatively young maternal age. However, if treatment is desired, then IUI, </w:t>
      </w:r>
      <w:proofErr w:type="spellStart"/>
      <w:r w:rsidRPr="003C6323">
        <w:rPr>
          <w:sz w:val="20"/>
          <w:szCs w:val="20"/>
        </w:rPr>
        <w:t>superovulation</w:t>
      </w:r>
      <w:proofErr w:type="spellEnd"/>
      <w:r w:rsidRPr="003C6323">
        <w:rPr>
          <w:sz w:val="20"/>
          <w:szCs w:val="20"/>
        </w:rPr>
        <w:t xml:space="preserve">, and </w:t>
      </w:r>
      <w:r w:rsidRPr="003C6323">
        <w:rPr>
          <w:sz w:val="20"/>
          <w:szCs w:val="20"/>
        </w:rPr>
        <w:lastRenderedPageBreak/>
        <w:t>ART are empiric appropriate interventions to consider...."</w:t>
      </w:r>
      <w:r w:rsidR="003C6323" w:rsidRPr="003C6323">
        <w:rPr>
          <w:rFonts w:hint="eastAsia"/>
          <w:sz w:val="20"/>
          <w:szCs w:val="20"/>
          <w:lang w:eastAsia="zh-CN"/>
        </w:rPr>
        <w:t xml:space="preserve"> </w:t>
      </w:r>
      <w:r w:rsidRPr="003C6323">
        <w:rPr>
          <w:b/>
          <w:bCs/>
          <w:sz w:val="20"/>
          <w:szCs w:val="20"/>
        </w:rPr>
        <w:t>(</w:t>
      </w:r>
      <w:proofErr w:type="spellStart"/>
      <w:r w:rsidRPr="003C6323">
        <w:rPr>
          <w:b/>
          <w:bCs/>
          <w:sz w:val="20"/>
          <w:szCs w:val="20"/>
        </w:rPr>
        <w:t>Gleicher</w:t>
      </w:r>
      <w:proofErr w:type="spellEnd"/>
      <w:r w:rsidRPr="003C6323">
        <w:rPr>
          <w:b/>
          <w:bCs/>
          <w:sz w:val="20"/>
          <w:szCs w:val="20"/>
        </w:rPr>
        <w:t>, 2006).</w:t>
      </w:r>
    </w:p>
    <w:p w:rsidR="00BA0263" w:rsidRPr="003C6323" w:rsidRDefault="003C6323" w:rsidP="00B2055D">
      <w:pPr>
        <w:pStyle w:val="NormalWeb"/>
        <w:snapToGrid w:val="0"/>
        <w:spacing w:after="0" w:line="240" w:lineRule="auto"/>
        <w:ind w:firstLine="425"/>
        <w:jc w:val="both"/>
        <w:rPr>
          <w:b/>
          <w:bCs/>
          <w:sz w:val="20"/>
          <w:szCs w:val="20"/>
        </w:rPr>
      </w:pPr>
      <w:r w:rsidRPr="003C6323">
        <w:rPr>
          <w:sz w:val="20"/>
          <w:szCs w:val="20"/>
        </w:rPr>
        <w:t>U</w:t>
      </w:r>
      <w:r w:rsidR="00BA0263" w:rsidRPr="003C6323">
        <w:rPr>
          <w:sz w:val="20"/>
          <w:szCs w:val="20"/>
        </w:rPr>
        <w:t>nexplained</w:t>
      </w:r>
      <w:r w:rsidRPr="003C6323">
        <w:rPr>
          <w:rFonts w:eastAsiaTheme="minorEastAsia" w:hint="eastAsia"/>
          <w:sz w:val="20"/>
          <w:szCs w:val="20"/>
          <w:lang w:eastAsia="zh-CN"/>
        </w:rPr>
        <w:t xml:space="preserve"> </w:t>
      </w:r>
      <w:r w:rsidR="00BA0263" w:rsidRPr="003C6323">
        <w:rPr>
          <w:sz w:val="20"/>
          <w:szCs w:val="20"/>
        </w:rPr>
        <w:t>infertility (UI) may, indeed, represent the single most frequent</w:t>
      </w:r>
      <w:r w:rsidRPr="003C6323">
        <w:rPr>
          <w:rFonts w:eastAsiaTheme="minorEastAsia" w:hint="eastAsia"/>
          <w:sz w:val="20"/>
          <w:szCs w:val="20"/>
          <w:lang w:eastAsia="zh-CN"/>
        </w:rPr>
        <w:t xml:space="preserve"> </w:t>
      </w:r>
      <w:r w:rsidR="00BA0263" w:rsidRPr="003C6323">
        <w:rPr>
          <w:sz w:val="20"/>
          <w:szCs w:val="20"/>
        </w:rPr>
        <w:t>female infertility ‘diagnosis’, with a reported</w:t>
      </w:r>
      <w:r w:rsidRPr="003C6323">
        <w:rPr>
          <w:rFonts w:eastAsiaTheme="minorEastAsia" w:hint="eastAsia"/>
          <w:sz w:val="20"/>
          <w:szCs w:val="20"/>
          <w:lang w:eastAsia="zh-CN"/>
        </w:rPr>
        <w:t xml:space="preserve"> </w:t>
      </w:r>
      <w:r w:rsidR="00BA0263" w:rsidRPr="003C6323">
        <w:rPr>
          <w:sz w:val="20"/>
          <w:szCs w:val="20"/>
        </w:rPr>
        <w:t xml:space="preserve">prevalence of approximately 25–30% of all infertility </w:t>
      </w:r>
      <w:r w:rsidR="00BA0263" w:rsidRPr="003C6323">
        <w:rPr>
          <w:b/>
          <w:bCs/>
          <w:sz w:val="20"/>
          <w:szCs w:val="20"/>
        </w:rPr>
        <w:t>(Smith et al.,</w:t>
      </w:r>
      <w:r w:rsidRPr="003C6323">
        <w:rPr>
          <w:rFonts w:eastAsiaTheme="minorEastAsia" w:hint="eastAsia"/>
          <w:b/>
          <w:bCs/>
          <w:sz w:val="20"/>
          <w:szCs w:val="20"/>
          <w:lang w:eastAsia="zh-CN"/>
        </w:rPr>
        <w:t xml:space="preserve"> </w:t>
      </w:r>
      <w:r w:rsidR="00BA0263" w:rsidRPr="003C6323">
        <w:rPr>
          <w:b/>
          <w:bCs/>
          <w:sz w:val="20"/>
          <w:szCs w:val="20"/>
        </w:rPr>
        <w:t>2003).</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Review of the case records of 500 consecutive couples attending one Scottish infertility clinic revealed a group of patients whose infertility remained unexplained after completion of a standard protocol of investigations. Various patient characteristics were examined. About 34% of those were primary infertility and 66% were secondary infertility </w:t>
      </w:r>
      <w:r w:rsidRPr="003C6323">
        <w:rPr>
          <w:b/>
          <w:bCs/>
          <w:sz w:val="20"/>
          <w:szCs w:val="20"/>
        </w:rPr>
        <w:t>(</w:t>
      </w:r>
      <w:proofErr w:type="spellStart"/>
      <w:r w:rsidR="00295C17" w:rsidRPr="003C6323">
        <w:rPr>
          <w:sz w:val="20"/>
          <w:szCs w:val="20"/>
        </w:rPr>
        <w:fldChar w:fldCharType="begin"/>
      </w:r>
      <w:r w:rsidR="00295C17" w:rsidRPr="003C6323">
        <w:rPr>
          <w:sz w:val="20"/>
          <w:szCs w:val="20"/>
        </w:rPr>
        <w:instrText>HYPERLINK "http://www.ncbi.nlm.nih.gov/sites/entrez?Db=pubmed&amp;Cmd=Search&amp;Term=%22Isaksson%20R%22%5BAuthor%5D&amp;itool=EntrezSystem2.PEntrez.Pubmed.Pubmed_ResultsPanel.Pubmed_DiscoveryPanel.Pubmed_RVAbstractPlus"</w:instrText>
      </w:r>
      <w:r w:rsidR="00295C17" w:rsidRPr="003C6323">
        <w:rPr>
          <w:sz w:val="20"/>
          <w:szCs w:val="20"/>
        </w:rPr>
        <w:fldChar w:fldCharType="separate"/>
      </w:r>
      <w:r w:rsidRPr="003C6323">
        <w:rPr>
          <w:b/>
          <w:bCs/>
          <w:sz w:val="20"/>
          <w:szCs w:val="20"/>
        </w:rPr>
        <w:t>Isaksson</w:t>
      </w:r>
      <w:proofErr w:type="spellEnd"/>
      <w:r w:rsidRPr="003C6323">
        <w:rPr>
          <w:b/>
          <w:bCs/>
          <w:sz w:val="20"/>
          <w:szCs w:val="20"/>
        </w:rPr>
        <w:t xml:space="preserve"> and</w:t>
      </w:r>
      <w:r w:rsidR="00295C17" w:rsidRPr="003C6323">
        <w:rPr>
          <w:sz w:val="20"/>
          <w:szCs w:val="20"/>
        </w:rPr>
        <w:fldChar w:fldCharType="end"/>
      </w:r>
      <w:r w:rsidR="003C6323" w:rsidRPr="003C6323">
        <w:rPr>
          <w:rFonts w:eastAsiaTheme="minorEastAsia" w:hint="eastAsia"/>
          <w:sz w:val="20"/>
          <w:szCs w:val="20"/>
          <w:lang w:eastAsia="zh-CN"/>
        </w:rPr>
        <w:t xml:space="preserve"> </w:t>
      </w:r>
      <w:hyperlink r:id="rId30" w:history="1">
        <w:proofErr w:type="spellStart"/>
        <w:r w:rsidRPr="003C6323">
          <w:rPr>
            <w:b/>
            <w:bCs/>
            <w:sz w:val="20"/>
            <w:szCs w:val="20"/>
          </w:rPr>
          <w:t>Tiitinen</w:t>
        </w:r>
        <w:proofErr w:type="spellEnd"/>
        <w:r w:rsidRPr="003C6323">
          <w:rPr>
            <w:b/>
            <w:bCs/>
            <w:sz w:val="20"/>
            <w:szCs w:val="20"/>
          </w:rPr>
          <w:t>, 2004).</w:t>
        </w:r>
      </w:hyperlink>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In comparison to our study in group I (patient with actual UI after doing diagnostic laparoscopy) </w:t>
      </w:r>
      <w:r w:rsidR="001A44BC" w:rsidRPr="003C6323">
        <w:rPr>
          <w:sz w:val="20"/>
          <w:szCs w:val="20"/>
        </w:rPr>
        <w:lastRenderedPageBreak/>
        <w:t>66</w:t>
      </w:r>
      <w:r w:rsidRPr="003C6323">
        <w:rPr>
          <w:sz w:val="20"/>
          <w:szCs w:val="20"/>
        </w:rPr>
        <w:t>.</w:t>
      </w:r>
      <w:r w:rsidR="001A44BC" w:rsidRPr="003C6323">
        <w:rPr>
          <w:sz w:val="20"/>
          <w:szCs w:val="20"/>
        </w:rPr>
        <w:t>7</w:t>
      </w:r>
      <w:r w:rsidRPr="003C6323">
        <w:rPr>
          <w:sz w:val="20"/>
          <w:szCs w:val="20"/>
        </w:rPr>
        <w:t xml:space="preserve">% of cases were primary infertility, and about </w:t>
      </w:r>
      <w:r w:rsidR="001A44BC" w:rsidRPr="003C6323">
        <w:rPr>
          <w:sz w:val="20"/>
          <w:szCs w:val="20"/>
        </w:rPr>
        <w:t>33</w:t>
      </w:r>
      <w:r w:rsidRPr="003C6323">
        <w:rPr>
          <w:sz w:val="20"/>
          <w:szCs w:val="20"/>
        </w:rPr>
        <w:t>.</w:t>
      </w:r>
      <w:r w:rsidR="001A44BC" w:rsidRPr="003C6323">
        <w:rPr>
          <w:sz w:val="20"/>
          <w:szCs w:val="20"/>
        </w:rPr>
        <w:t>3</w:t>
      </w:r>
      <w:r w:rsidRPr="003C6323">
        <w:rPr>
          <w:sz w:val="20"/>
          <w:szCs w:val="20"/>
        </w:rPr>
        <w:t>% of them were secondary infertility.</w:t>
      </w:r>
    </w:p>
    <w:p w:rsidR="00BA0263" w:rsidRPr="003C6323" w:rsidRDefault="00BA0263" w:rsidP="00B2055D">
      <w:pPr>
        <w:bidi w:val="0"/>
        <w:snapToGrid w:val="0"/>
        <w:ind w:firstLine="425"/>
        <w:jc w:val="both"/>
        <w:rPr>
          <w:b/>
          <w:bCs/>
          <w:sz w:val="20"/>
          <w:szCs w:val="20"/>
        </w:rPr>
      </w:pPr>
      <w:r w:rsidRPr="003C6323">
        <w:rPr>
          <w:sz w:val="20"/>
          <w:szCs w:val="20"/>
        </w:rPr>
        <w:t xml:space="preserve">Despite improvements in both diagnostic assessment and treatment of infertile couples, many couples still have no explanation for their infertility. </w:t>
      </w:r>
      <w:r w:rsidRPr="003C6323">
        <w:rPr>
          <w:b/>
          <w:bCs/>
          <w:sz w:val="20"/>
          <w:szCs w:val="20"/>
        </w:rPr>
        <w:t>Unexplained infertility</w:t>
      </w:r>
      <w:r w:rsidRPr="003C6323">
        <w:rPr>
          <w:sz w:val="20"/>
          <w:szCs w:val="20"/>
        </w:rPr>
        <w:t xml:space="preserve"> (the failure to conceive in a couple with no definitive cause for infertility) </w:t>
      </w:r>
      <w:r w:rsidRPr="003C6323">
        <w:rPr>
          <w:b/>
          <w:bCs/>
          <w:sz w:val="20"/>
          <w:szCs w:val="20"/>
        </w:rPr>
        <w:t>has an</w:t>
      </w:r>
      <w:r w:rsidR="003C6323" w:rsidRPr="003C6323">
        <w:rPr>
          <w:rFonts w:hint="eastAsia"/>
          <w:b/>
          <w:bCs/>
          <w:sz w:val="20"/>
          <w:szCs w:val="20"/>
          <w:lang w:eastAsia="zh-CN"/>
        </w:rPr>
        <w:t xml:space="preserve"> </w:t>
      </w:r>
      <w:r w:rsidRPr="003C6323">
        <w:rPr>
          <w:b/>
          <w:bCs/>
          <w:sz w:val="20"/>
          <w:szCs w:val="20"/>
        </w:rPr>
        <w:t>incidence of 10-20% in all infertile couples.</w:t>
      </w:r>
      <w:r w:rsidRPr="003C6323">
        <w:rPr>
          <w:sz w:val="20"/>
          <w:szCs w:val="20"/>
        </w:rPr>
        <w:t xml:space="preserve"> The incidence varies with the population studied and with the criteria used. Unexplained infertility is not an absolute condition but rather a relative inability to conceive and many of these couples may conceive without treatment. The treatment options for unexplained infertility are variable and the treatment results are promising. Expectant management can be recommended if the woman is under 28-30 years of age and the infertility duration is less than 2-3 years. In vitro fertilization (IVF) has revolutionized the treatment of infertile couples, as well as profoundly increasing the basic understanding of human reproduction. IVF can be used as both a diagnostic and a therapeutic tool in couples with unexplained infertility. The pregnancy rates with IVF are good, around 40% per treatment cycle </w:t>
      </w:r>
      <w:r w:rsidRPr="003C6323">
        <w:rPr>
          <w:b/>
          <w:bCs/>
          <w:sz w:val="20"/>
          <w:szCs w:val="20"/>
        </w:rPr>
        <w:t>(</w:t>
      </w:r>
      <w:proofErr w:type="spellStart"/>
      <w:r w:rsidR="00295C17" w:rsidRPr="003C6323">
        <w:rPr>
          <w:sz w:val="20"/>
          <w:szCs w:val="20"/>
        </w:rPr>
        <w:fldChar w:fldCharType="begin"/>
      </w:r>
      <w:r w:rsidR="00295C17" w:rsidRPr="003C6323">
        <w:rPr>
          <w:sz w:val="20"/>
          <w:szCs w:val="20"/>
        </w:rPr>
        <w:instrText>HYPERLINK "http://www.ncbi.nlm.nih.gov/sites/entrez?Db=pubmed&amp;Cmd=Search&amp;Term=%22Isaksson%20R%22%5BAuthor%5D&amp;itool=EntrezSystem2.PEntrez.Pubmed.Pubmed_ResultsPanel.Pubmed_DiscoveryPanel.Pubmed_RVAbstractPlus"</w:instrText>
      </w:r>
      <w:r w:rsidR="00295C17" w:rsidRPr="003C6323">
        <w:rPr>
          <w:sz w:val="20"/>
          <w:szCs w:val="20"/>
        </w:rPr>
        <w:fldChar w:fldCharType="separate"/>
      </w:r>
      <w:r w:rsidRPr="003C6323">
        <w:rPr>
          <w:b/>
          <w:bCs/>
          <w:sz w:val="20"/>
          <w:szCs w:val="20"/>
        </w:rPr>
        <w:t>Isaksson</w:t>
      </w:r>
      <w:proofErr w:type="spellEnd"/>
      <w:r w:rsidRPr="003C6323">
        <w:rPr>
          <w:b/>
          <w:bCs/>
          <w:sz w:val="20"/>
          <w:szCs w:val="20"/>
        </w:rPr>
        <w:t xml:space="preserve"> and</w:t>
      </w:r>
      <w:r w:rsidR="00295C17" w:rsidRPr="003C6323">
        <w:rPr>
          <w:sz w:val="20"/>
          <w:szCs w:val="20"/>
        </w:rPr>
        <w:fldChar w:fldCharType="end"/>
      </w:r>
      <w:r w:rsidR="003C6323" w:rsidRPr="003C6323">
        <w:rPr>
          <w:rFonts w:hint="eastAsia"/>
          <w:sz w:val="20"/>
          <w:szCs w:val="20"/>
          <w:lang w:eastAsia="zh-CN"/>
        </w:rPr>
        <w:t xml:space="preserve"> </w:t>
      </w:r>
      <w:hyperlink r:id="rId31" w:history="1">
        <w:proofErr w:type="spellStart"/>
        <w:r w:rsidRPr="003C6323">
          <w:rPr>
            <w:b/>
            <w:bCs/>
            <w:sz w:val="20"/>
            <w:szCs w:val="20"/>
          </w:rPr>
          <w:t>Tiitinen</w:t>
        </w:r>
        <w:proofErr w:type="spellEnd"/>
        <w:r w:rsidRPr="003C6323">
          <w:rPr>
            <w:b/>
            <w:bCs/>
            <w:sz w:val="20"/>
            <w:szCs w:val="20"/>
          </w:rPr>
          <w:t>, 2004).</w:t>
        </w:r>
      </w:hyperlink>
    </w:p>
    <w:p w:rsidR="00BA0263" w:rsidRPr="003C6323" w:rsidRDefault="00BA0263" w:rsidP="00B2055D">
      <w:pPr>
        <w:bidi w:val="0"/>
        <w:snapToGrid w:val="0"/>
        <w:ind w:firstLine="425"/>
        <w:jc w:val="both"/>
        <w:rPr>
          <w:sz w:val="20"/>
          <w:szCs w:val="20"/>
        </w:rPr>
      </w:pPr>
      <w:r w:rsidRPr="003C6323">
        <w:rPr>
          <w:sz w:val="20"/>
          <w:szCs w:val="20"/>
        </w:rPr>
        <w:t xml:space="preserve">In comparison to </w:t>
      </w:r>
      <w:hyperlink r:id="rId32" w:history="1">
        <w:proofErr w:type="spellStart"/>
        <w:r w:rsidRPr="003C6323">
          <w:rPr>
            <w:b/>
            <w:bCs/>
            <w:sz w:val="20"/>
            <w:szCs w:val="20"/>
          </w:rPr>
          <w:t>Isaksson</w:t>
        </w:r>
        <w:proofErr w:type="spellEnd"/>
        <w:r w:rsidRPr="003C6323">
          <w:rPr>
            <w:b/>
            <w:bCs/>
            <w:sz w:val="20"/>
            <w:szCs w:val="20"/>
          </w:rPr>
          <w:t xml:space="preserve"> and</w:t>
        </w:r>
      </w:hyperlink>
      <w:r w:rsidR="003C6323" w:rsidRPr="003C6323">
        <w:rPr>
          <w:rFonts w:hint="eastAsia"/>
          <w:sz w:val="20"/>
          <w:szCs w:val="20"/>
          <w:lang w:eastAsia="zh-CN"/>
        </w:rPr>
        <w:t xml:space="preserve"> </w:t>
      </w:r>
      <w:hyperlink r:id="rId33" w:history="1">
        <w:proofErr w:type="spellStart"/>
        <w:r w:rsidRPr="003C6323">
          <w:rPr>
            <w:b/>
            <w:bCs/>
            <w:sz w:val="20"/>
            <w:szCs w:val="20"/>
          </w:rPr>
          <w:t>Tiitinen</w:t>
        </w:r>
        <w:proofErr w:type="spellEnd"/>
      </w:hyperlink>
      <w:r w:rsidRPr="003C6323">
        <w:rPr>
          <w:sz w:val="20"/>
          <w:szCs w:val="20"/>
        </w:rPr>
        <w:t xml:space="preserve"> study, our study found that the percentage of unexplained infertility in patients after doing laparoscopy is </w:t>
      </w:r>
      <w:r w:rsidR="001A44BC" w:rsidRPr="003C6323">
        <w:rPr>
          <w:sz w:val="20"/>
          <w:szCs w:val="20"/>
        </w:rPr>
        <w:t xml:space="preserve">9 </w:t>
      </w:r>
      <w:r w:rsidRPr="003C6323">
        <w:rPr>
          <w:sz w:val="20"/>
          <w:szCs w:val="20"/>
        </w:rPr>
        <w:t>% and this result is similar to the result of their study which ranged between 10% - 20%.</w:t>
      </w:r>
    </w:p>
    <w:p w:rsidR="00BA0263" w:rsidRPr="003C6323" w:rsidRDefault="00BA0263" w:rsidP="00B2055D">
      <w:pPr>
        <w:bidi w:val="0"/>
        <w:snapToGrid w:val="0"/>
        <w:ind w:firstLine="425"/>
        <w:jc w:val="both"/>
        <w:rPr>
          <w:sz w:val="20"/>
          <w:szCs w:val="20"/>
        </w:rPr>
      </w:pPr>
      <w:r w:rsidRPr="003C6323">
        <w:rPr>
          <w:sz w:val="20"/>
          <w:szCs w:val="20"/>
        </w:rPr>
        <w:t xml:space="preserve">Just a few years ago, unexplained infertility was reported in up to 60% of patients in studies from the medical literature. Even as recently as the last few years, authors have continued to report its prevalence as high as 20% to 25%. A recent textbook summarized several studies dating back to 1950 and quoted an average percent of unexplained infertility of 16.7%. Some recent authors report the percent of unexplained infertility to be between 0% and 6% </w:t>
      </w:r>
      <w:r w:rsidRPr="003C6323">
        <w:rPr>
          <w:b/>
          <w:bCs/>
          <w:sz w:val="20"/>
          <w:szCs w:val="20"/>
        </w:rPr>
        <w:t>(Penney.2007).</w:t>
      </w:r>
    </w:p>
    <w:p w:rsidR="00BA0263" w:rsidRPr="003C6323" w:rsidRDefault="00BA0263" w:rsidP="00B2055D">
      <w:pPr>
        <w:pStyle w:val="BodyTextIndent"/>
        <w:bidi w:val="0"/>
        <w:snapToGrid w:val="0"/>
        <w:spacing w:after="0"/>
        <w:ind w:left="0"/>
        <w:jc w:val="both"/>
        <w:rPr>
          <w:b/>
          <w:bCs/>
          <w:sz w:val="20"/>
          <w:szCs w:val="20"/>
        </w:rPr>
      </w:pPr>
      <w:r w:rsidRPr="003C6323">
        <w:rPr>
          <w:b/>
          <w:bCs/>
          <w:sz w:val="20"/>
          <w:szCs w:val="20"/>
        </w:rPr>
        <w:t>How can such wide discrepancies in the percentage of unexplained infertility be explained?</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Obviously, if one considers, as has been proposed, a semen analysis, evaluation of </w:t>
      </w:r>
      <w:proofErr w:type="spellStart"/>
      <w:r w:rsidRPr="003C6323">
        <w:rPr>
          <w:sz w:val="20"/>
          <w:szCs w:val="20"/>
        </w:rPr>
        <w:t>ovulatory</w:t>
      </w:r>
      <w:proofErr w:type="spellEnd"/>
      <w:r w:rsidRPr="003C6323">
        <w:rPr>
          <w:sz w:val="20"/>
          <w:szCs w:val="20"/>
        </w:rPr>
        <w:t xml:space="preserve"> function, a post coital exam, a </w:t>
      </w:r>
      <w:proofErr w:type="spellStart"/>
      <w:r w:rsidRPr="003C6323">
        <w:rPr>
          <w:sz w:val="20"/>
          <w:szCs w:val="20"/>
        </w:rPr>
        <w:t>hysterosalpingogram</w:t>
      </w:r>
      <w:proofErr w:type="spellEnd"/>
      <w:r w:rsidRPr="003C6323">
        <w:rPr>
          <w:sz w:val="20"/>
          <w:szCs w:val="20"/>
        </w:rPr>
        <w:t xml:space="preserve">, and a laparoscopy a complete initial assessment in any couple not conceiving in one year of attempting, a larger number of patients will be diagnosed as unexplained infertility than if additional tests are included or a longer period of infertility is required before making the diagnosis. If one accepts an abnormal parameter as an explanation, expanding the diagnostic tests only slightly reduces "unexplained" infertility dramatically. Apart from the definition of infertility itself, an additional consideration would be the definition of a test as normal in any given practice </w:t>
      </w:r>
      <w:r w:rsidRPr="003C6323">
        <w:rPr>
          <w:sz w:val="20"/>
          <w:szCs w:val="20"/>
        </w:rPr>
        <w:lastRenderedPageBreak/>
        <w:t>or clinic. For example, if one uses 60% sperm motility of grade three plus as the lower limits of normal and accepts that any lower value may be associated with infertility, many otherwise "unexplained" male infertility problems</w:t>
      </w:r>
      <w:r w:rsidR="00FB30EC" w:rsidRPr="003C6323">
        <w:rPr>
          <w:sz w:val="20"/>
          <w:szCs w:val="20"/>
        </w:rPr>
        <w:t xml:space="preserve"> become "explained". </w:t>
      </w:r>
      <w:r w:rsidRPr="003C6323">
        <w:rPr>
          <w:sz w:val="20"/>
          <w:szCs w:val="20"/>
        </w:rPr>
        <w:t xml:space="preserve">IVF data clearly indicate, even in the most successful programs, low implantation rates relative to the number of embryos transferred. Defects which lead to problems with implantation are probably much more common than we realize and constitute another area of unexplained infertility for which testing is currently being investigated. Assaying implantation factors may, in fact, lower the percentage of patients identified with unexplained infertility, but do not assist in the initial deliberations regarding therapy. Some authorities would suggest that there is an overlap between certain causes of recurrent pregnancy loss and infertility. In other words, infertility and early recurrent pregnancy loss represent just points of a spectrum. For instance, these physicians might evaluate for the </w:t>
      </w:r>
      <w:proofErr w:type="spellStart"/>
      <w:r w:rsidRPr="003C6323">
        <w:rPr>
          <w:sz w:val="20"/>
          <w:szCs w:val="20"/>
        </w:rPr>
        <w:t>antiphospholipid</w:t>
      </w:r>
      <w:proofErr w:type="spellEnd"/>
      <w:r w:rsidRPr="003C6323">
        <w:rPr>
          <w:sz w:val="20"/>
          <w:szCs w:val="20"/>
        </w:rPr>
        <w:t xml:space="preserve"> syndrome, ordering tests usually performed for recurrent pregnancy loss patients, in couples presenting with infertility. If one accepts this as a cause of infertility, then failure to test would place a certain percentage of patients into the unexplained infertility category while, in another office, they would be considered explained infertility </w:t>
      </w:r>
      <w:r w:rsidRPr="003C6323">
        <w:rPr>
          <w:b/>
          <w:bCs/>
          <w:sz w:val="20"/>
          <w:szCs w:val="20"/>
        </w:rPr>
        <w:t>(Penney</w:t>
      </w:r>
      <w:r w:rsidR="005C71A9" w:rsidRPr="003C6323">
        <w:rPr>
          <w:b/>
          <w:bCs/>
          <w:sz w:val="20"/>
          <w:szCs w:val="20"/>
        </w:rPr>
        <w:t xml:space="preserve">, </w:t>
      </w:r>
      <w:r w:rsidRPr="003C6323">
        <w:rPr>
          <w:b/>
          <w:bCs/>
          <w:sz w:val="20"/>
          <w:szCs w:val="20"/>
        </w:rPr>
        <w:t>2007).</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If one believes that laparoscopic management of endometriosis does not improve pregnancy rates then, of course, laparoscopy would not be performed. Although a large, prospective, randomized trial has not been performed, most available data suggest that pregnancy rates are significantly improved by surgical treatment, even if mild or minimal endometriosis exists. So, here is another circumstance where one subscribing to the former position might find unexplained infertility, while one subscribing to the latter position would find explained fertility.</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One of the common questions when a patient doesn't conceive during a treatment cycle, regardless of the therapeutic regimen, is "What went wrong, Doctor?" Part of the answer also relates to the concept of unexplained infertility. The concept of unexplained infertility can be quite broad. A couple who has attempted to conceive for three years without success in a sense has already tried thirty-six months; so, assuming they don't conceive in the next cycle or two, they've already demonstrated their chances of conception on a per cycle basis are 3% or less. In fact, those numbers are borne out by more sophisticated studies which indicate that the probability of conception without treatment in such couples is actually in the range of 1% to 3% per month. Therefore, couples need to consider not only the female partner's age, but the duration of infertility in </w:t>
      </w:r>
      <w:r w:rsidRPr="003C6323">
        <w:rPr>
          <w:sz w:val="20"/>
          <w:szCs w:val="20"/>
        </w:rPr>
        <w:lastRenderedPageBreak/>
        <w:t xml:space="preserve">determining whether to proceed to empiric therapy; that is, therapy which is not being addressed to a particular diagnosis which has been established. Therapies which are probably successful in treating unexplained infertility include </w:t>
      </w:r>
      <w:proofErr w:type="spellStart"/>
      <w:r w:rsidRPr="003C6323">
        <w:rPr>
          <w:sz w:val="20"/>
          <w:szCs w:val="20"/>
        </w:rPr>
        <w:t>clomiphene</w:t>
      </w:r>
      <w:proofErr w:type="spellEnd"/>
      <w:r w:rsidRPr="003C6323">
        <w:rPr>
          <w:sz w:val="20"/>
          <w:szCs w:val="20"/>
        </w:rPr>
        <w:t xml:space="preserve"> ovulation induction or human menopausal </w:t>
      </w:r>
      <w:proofErr w:type="spellStart"/>
      <w:r w:rsidRPr="003C6323">
        <w:rPr>
          <w:sz w:val="20"/>
          <w:szCs w:val="20"/>
        </w:rPr>
        <w:t>gonadotropin</w:t>
      </w:r>
      <w:proofErr w:type="spellEnd"/>
      <w:r w:rsidRPr="003C6323">
        <w:rPr>
          <w:sz w:val="20"/>
          <w:szCs w:val="20"/>
        </w:rPr>
        <w:t xml:space="preserve"> ovulation induction, either of which may be combined with intrauterine insemination, which may itself improve the pregnancy rates in unexplained infertility. More controversial therapies include </w:t>
      </w:r>
      <w:proofErr w:type="spellStart"/>
      <w:r w:rsidRPr="003C6323">
        <w:rPr>
          <w:sz w:val="20"/>
          <w:szCs w:val="20"/>
        </w:rPr>
        <w:t>glucocorticoids</w:t>
      </w:r>
      <w:proofErr w:type="spellEnd"/>
      <w:r w:rsidRPr="003C6323">
        <w:rPr>
          <w:sz w:val="20"/>
          <w:szCs w:val="20"/>
        </w:rPr>
        <w:t>, baby aspirin, and heparin. Generally, any treatment regimen extended beyond six months will enter the point of diminishing</w:t>
      </w:r>
      <w:r w:rsidR="003C6323" w:rsidRPr="003C6323">
        <w:rPr>
          <w:rFonts w:eastAsiaTheme="minorEastAsia" w:hint="eastAsia"/>
          <w:sz w:val="20"/>
          <w:szCs w:val="20"/>
          <w:lang w:eastAsia="zh-CN"/>
        </w:rPr>
        <w:t xml:space="preserve"> </w:t>
      </w:r>
      <w:r w:rsidRPr="003C6323">
        <w:rPr>
          <w:sz w:val="20"/>
          <w:szCs w:val="20"/>
        </w:rPr>
        <w:t>returns.</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Consensus as to the extent of testing required before one can conclude that unexplained infertility exists, or its treatment, will not be forthcoming soon </w:t>
      </w:r>
      <w:r w:rsidRPr="003C6323">
        <w:rPr>
          <w:b/>
          <w:bCs/>
          <w:sz w:val="20"/>
          <w:szCs w:val="20"/>
        </w:rPr>
        <w:t>(Penney</w:t>
      </w:r>
      <w:r w:rsidR="005C71A9" w:rsidRPr="003C6323">
        <w:rPr>
          <w:b/>
          <w:bCs/>
          <w:sz w:val="20"/>
          <w:szCs w:val="20"/>
        </w:rPr>
        <w:t xml:space="preserve">, </w:t>
      </w:r>
      <w:r w:rsidRPr="003C6323">
        <w:rPr>
          <w:b/>
          <w:bCs/>
          <w:sz w:val="20"/>
          <w:szCs w:val="20"/>
        </w:rPr>
        <w:t>2007)</w:t>
      </w:r>
      <w:r w:rsidRPr="003C6323">
        <w:rPr>
          <w:sz w:val="20"/>
          <w:szCs w:val="20"/>
        </w:rPr>
        <w:t>.</w:t>
      </w:r>
    </w:p>
    <w:p w:rsidR="009A1109" w:rsidRPr="003C6323" w:rsidRDefault="00BA0263" w:rsidP="00B2055D">
      <w:pPr>
        <w:pStyle w:val="NormalWeb"/>
        <w:snapToGrid w:val="0"/>
        <w:spacing w:after="0" w:line="240" w:lineRule="auto"/>
        <w:ind w:firstLine="425"/>
        <w:jc w:val="both"/>
        <w:rPr>
          <w:sz w:val="20"/>
          <w:szCs w:val="20"/>
        </w:rPr>
      </w:pPr>
      <w:r w:rsidRPr="003C6323">
        <w:rPr>
          <w:sz w:val="20"/>
          <w:szCs w:val="20"/>
        </w:rPr>
        <w:t>-To answer the question "How can such wide discrepancies in the percentage of unexplained infertility be explained?" then the accepted answer; according to our study and</w:t>
      </w:r>
      <w:r w:rsidR="003C6323" w:rsidRPr="003C6323">
        <w:rPr>
          <w:rFonts w:eastAsiaTheme="minorEastAsia" w:hint="eastAsia"/>
          <w:sz w:val="20"/>
          <w:szCs w:val="20"/>
          <w:lang w:eastAsia="zh-CN"/>
        </w:rPr>
        <w:t xml:space="preserve"> </w:t>
      </w:r>
      <w:r w:rsidRPr="003C6323">
        <w:rPr>
          <w:sz w:val="20"/>
          <w:szCs w:val="20"/>
        </w:rPr>
        <w:t xml:space="preserve">to previous study; that the diagnosis of unexplained infertility is highly subjective and depends on the diagnostic tests performed or omitted and on their level of quality. Paradoxically, a diagnosis of unexplained infertility, therefore, will be more often reached if the evaluation is incomplete or of poor quality. In our study, at the level of standard protocol of investigations the number of patients with UI was </w:t>
      </w:r>
      <w:r w:rsidR="001A44BC" w:rsidRPr="003C6323">
        <w:rPr>
          <w:sz w:val="20"/>
          <w:szCs w:val="20"/>
        </w:rPr>
        <w:t>42</w:t>
      </w:r>
      <w:r w:rsidRPr="003C6323">
        <w:rPr>
          <w:sz w:val="20"/>
          <w:szCs w:val="20"/>
        </w:rPr>
        <w:t xml:space="preserve">, but after adding diagnostic laparoscopy the number of patients with UI decreased to </w:t>
      </w:r>
      <w:r w:rsidR="001A44BC" w:rsidRPr="003C6323">
        <w:rPr>
          <w:sz w:val="20"/>
          <w:szCs w:val="20"/>
        </w:rPr>
        <w:t>27</w:t>
      </w:r>
      <w:r w:rsidRPr="003C6323">
        <w:rPr>
          <w:sz w:val="20"/>
          <w:szCs w:val="20"/>
        </w:rPr>
        <w:t xml:space="preserve"> patients with percentage of 9%.</w:t>
      </w:r>
    </w:p>
    <w:p w:rsidR="00BA0263" w:rsidRPr="003C6323" w:rsidRDefault="00BA0263" w:rsidP="00B2055D">
      <w:pPr>
        <w:autoSpaceDE w:val="0"/>
        <w:autoSpaceDN w:val="0"/>
        <w:bidi w:val="0"/>
        <w:adjustRightInd w:val="0"/>
        <w:snapToGrid w:val="0"/>
        <w:ind w:firstLine="425"/>
        <w:jc w:val="both"/>
        <w:rPr>
          <w:sz w:val="20"/>
          <w:szCs w:val="20"/>
        </w:rPr>
      </w:pPr>
      <w:r w:rsidRPr="003C6323">
        <w:rPr>
          <w:sz w:val="20"/>
          <w:szCs w:val="20"/>
        </w:rPr>
        <w:t xml:space="preserve">Nine hundred and four patients, who visited the Fertility Clinic at Groote </w:t>
      </w:r>
      <w:proofErr w:type="spellStart"/>
      <w:r w:rsidRPr="003C6323">
        <w:rPr>
          <w:sz w:val="20"/>
          <w:szCs w:val="20"/>
        </w:rPr>
        <w:t>Schuur</w:t>
      </w:r>
      <w:proofErr w:type="spellEnd"/>
      <w:r w:rsidRPr="003C6323">
        <w:rPr>
          <w:sz w:val="20"/>
          <w:szCs w:val="20"/>
        </w:rPr>
        <w:t xml:space="preserve"> Hospital Department of Obstetrics and </w:t>
      </w:r>
      <w:proofErr w:type="spellStart"/>
      <w:r w:rsidRPr="003C6323">
        <w:rPr>
          <w:sz w:val="20"/>
          <w:szCs w:val="20"/>
        </w:rPr>
        <w:t>Gynaecology</w:t>
      </w:r>
      <w:proofErr w:type="spellEnd"/>
      <w:r w:rsidRPr="003C6323">
        <w:rPr>
          <w:sz w:val="20"/>
          <w:szCs w:val="20"/>
        </w:rPr>
        <w:t xml:space="preserve">, Cape Town, were classified according to infertility factors. In 36% of all couples a male factor was present, while 57% had a tubal, 29% an </w:t>
      </w:r>
      <w:proofErr w:type="spellStart"/>
      <w:r w:rsidRPr="003C6323">
        <w:rPr>
          <w:sz w:val="20"/>
          <w:szCs w:val="20"/>
        </w:rPr>
        <w:t>ovulatory</w:t>
      </w:r>
      <w:proofErr w:type="spellEnd"/>
      <w:r w:rsidRPr="003C6323">
        <w:rPr>
          <w:sz w:val="20"/>
          <w:szCs w:val="20"/>
        </w:rPr>
        <w:t>, 7% a cervical immunological and 6% a uterine factor. Four per cent of all patients had endometriosis, and 2. 4% had unexplained infertility.</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The selection criteria at the Fertility Clinic at Groote </w:t>
      </w:r>
      <w:proofErr w:type="spellStart"/>
      <w:r w:rsidRPr="003C6323">
        <w:rPr>
          <w:sz w:val="20"/>
          <w:szCs w:val="20"/>
        </w:rPr>
        <w:t>Schuur</w:t>
      </w:r>
      <w:proofErr w:type="spellEnd"/>
      <w:r w:rsidRPr="003C6323">
        <w:rPr>
          <w:sz w:val="20"/>
          <w:szCs w:val="20"/>
        </w:rPr>
        <w:t xml:space="preserve"> Hospital exclude patients who are unmarried, cases in which the couple combined have had more than one child in the past, and 904 patients were admitted to the clinic and investigated. Routine history-taking and examination, the husband was referred for semen analysis and the wife underwent </w:t>
      </w:r>
      <w:proofErr w:type="spellStart"/>
      <w:r w:rsidRPr="003C6323">
        <w:rPr>
          <w:sz w:val="20"/>
          <w:szCs w:val="20"/>
        </w:rPr>
        <w:t>hysterosalpingography</w:t>
      </w:r>
      <w:proofErr w:type="spellEnd"/>
      <w:r w:rsidRPr="003C6323">
        <w:rPr>
          <w:sz w:val="20"/>
          <w:szCs w:val="20"/>
        </w:rPr>
        <w:t xml:space="preserve"> and had her day 21 serum progesterone value measured, laparoscopy and if indicated hysteroscopy was performed. During the first 2 months of treatment a </w:t>
      </w:r>
      <w:proofErr w:type="spellStart"/>
      <w:r w:rsidRPr="003C6323">
        <w:rPr>
          <w:sz w:val="20"/>
          <w:szCs w:val="20"/>
        </w:rPr>
        <w:t>postcoital</w:t>
      </w:r>
      <w:proofErr w:type="spellEnd"/>
      <w:r w:rsidRPr="003C6323">
        <w:rPr>
          <w:sz w:val="20"/>
          <w:szCs w:val="20"/>
        </w:rPr>
        <w:t xml:space="preserve"> test was also done. Unexplained infertility was very rare in their patients (2.4%)</w:t>
      </w:r>
      <w:r w:rsidR="00B2055D" w:rsidRPr="003C6323">
        <w:rPr>
          <w:sz w:val="20"/>
          <w:szCs w:val="20"/>
        </w:rPr>
        <w:t>. O</w:t>
      </w:r>
      <w:r w:rsidRPr="003C6323">
        <w:rPr>
          <w:sz w:val="20"/>
          <w:szCs w:val="20"/>
        </w:rPr>
        <w:t xml:space="preserve">ther studies report much higher prevalence, up to 24% </w:t>
      </w:r>
      <w:r w:rsidRPr="003C6323">
        <w:rPr>
          <w:b/>
          <w:bCs/>
          <w:sz w:val="20"/>
          <w:szCs w:val="20"/>
        </w:rPr>
        <w:t>(</w:t>
      </w:r>
      <w:r w:rsidRPr="003C6323">
        <w:rPr>
          <w:b/>
          <w:bCs/>
          <w:color w:val="222222"/>
          <w:sz w:val="20"/>
          <w:szCs w:val="20"/>
        </w:rPr>
        <w:t>Templeton and Penney.</w:t>
      </w:r>
      <w:r w:rsidR="003C6323" w:rsidRPr="003C6323">
        <w:rPr>
          <w:rFonts w:eastAsiaTheme="minorEastAsia" w:hint="eastAsia"/>
          <w:b/>
          <w:bCs/>
          <w:color w:val="222222"/>
          <w:sz w:val="20"/>
          <w:szCs w:val="20"/>
          <w:lang w:eastAsia="zh-CN"/>
        </w:rPr>
        <w:t xml:space="preserve"> </w:t>
      </w:r>
      <w:r w:rsidRPr="003C6323">
        <w:rPr>
          <w:b/>
          <w:bCs/>
          <w:color w:val="222222"/>
          <w:sz w:val="20"/>
          <w:szCs w:val="20"/>
        </w:rPr>
        <w:t>2002)</w:t>
      </w:r>
      <w:r w:rsidRPr="003C6323">
        <w:rPr>
          <w:b/>
          <w:bCs/>
          <w:sz w:val="20"/>
          <w:szCs w:val="20"/>
        </w:rPr>
        <w:t>.</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lastRenderedPageBreak/>
        <w:t>-This study was similar to our study as regards selection criteria and investigations done to all patients attending the infertility clinic except for post coital test and hysteroscopy which was not performed in our study and adding these investigations may be the cause for reduced percentage of UI in their study contrary to other studies.</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In conclusion,</w:t>
      </w:r>
      <w:r w:rsidRPr="003C6323">
        <w:rPr>
          <w:b/>
          <w:bCs/>
          <w:color w:val="222222"/>
          <w:sz w:val="20"/>
          <w:szCs w:val="20"/>
        </w:rPr>
        <w:t xml:space="preserve"> Templeton and Penney</w:t>
      </w:r>
      <w:r w:rsidRPr="003C6323">
        <w:rPr>
          <w:sz w:val="20"/>
          <w:szCs w:val="20"/>
        </w:rPr>
        <w:t xml:space="preserve"> showed that the distribution of infertility factors among their patients is similar to distributions reported by workers elsewhere in the world, with the exception of unexplained infertility, the prevalence of which is 2.4%. The mean age of women seen at the in clinic was 29, 13 years </w:t>
      </w:r>
      <w:r w:rsidRPr="003C6323">
        <w:rPr>
          <w:b/>
          <w:bCs/>
          <w:sz w:val="20"/>
          <w:szCs w:val="20"/>
        </w:rPr>
        <w:t>(</w:t>
      </w:r>
      <w:r w:rsidRPr="003C6323">
        <w:rPr>
          <w:b/>
          <w:bCs/>
          <w:color w:val="222222"/>
          <w:sz w:val="20"/>
          <w:szCs w:val="20"/>
        </w:rPr>
        <w:t>Templeton and Penney</w:t>
      </w:r>
      <w:r w:rsidR="007E0C0F" w:rsidRPr="003C6323">
        <w:rPr>
          <w:b/>
          <w:bCs/>
          <w:color w:val="222222"/>
          <w:sz w:val="20"/>
          <w:szCs w:val="20"/>
        </w:rPr>
        <w:t xml:space="preserve">, </w:t>
      </w:r>
      <w:r w:rsidRPr="003C6323">
        <w:rPr>
          <w:b/>
          <w:bCs/>
          <w:color w:val="222222"/>
          <w:sz w:val="20"/>
          <w:szCs w:val="20"/>
        </w:rPr>
        <w:t>2002)</w:t>
      </w:r>
      <w:r w:rsidRPr="003C6323">
        <w:rPr>
          <w:b/>
          <w:bCs/>
          <w:sz w:val="20"/>
          <w:szCs w:val="20"/>
        </w:rPr>
        <w:t>.</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In comparison to our study the mean age of women was </w:t>
      </w:r>
      <w:r w:rsidR="001A44BC" w:rsidRPr="003C6323">
        <w:rPr>
          <w:sz w:val="20"/>
          <w:szCs w:val="20"/>
        </w:rPr>
        <w:t>27</w:t>
      </w:r>
      <w:r w:rsidRPr="003C6323">
        <w:rPr>
          <w:sz w:val="20"/>
          <w:szCs w:val="20"/>
        </w:rPr>
        <w:t xml:space="preserve"> years.</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The presence of patent fallopian tubes, normal ovulation, and normal sperm parameters may still be associated with </w:t>
      </w:r>
      <w:proofErr w:type="spellStart"/>
      <w:r w:rsidRPr="003C6323">
        <w:rPr>
          <w:sz w:val="20"/>
          <w:szCs w:val="20"/>
        </w:rPr>
        <w:t>subfertility</w:t>
      </w:r>
      <w:proofErr w:type="spellEnd"/>
      <w:r w:rsidRPr="003C6323">
        <w:rPr>
          <w:sz w:val="20"/>
          <w:szCs w:val="20"/>
        </w:rPr>
        <w:t xml:space="preserve"> because of distortion of the uterine cavity or the presence of </w:t>
      </w:r>
      <w:proofErr w:type="spellStart"/>
      <w:r w:rsidRPr="003C6323">
        <w:rPr>
          <w:sz w:val="20"/>
          <w:szCs w:val="20"/>
        </w:rPr>
        <w:t>intraperitoneal</w:t>
      </w:r>
      <w:proofErr w:type="spellEnd"/>
      <w:r w:rsidRPr="003C6323">
        <w:rPr>
          <w:sz w:val="20"/>
          <w:szCs w:val="20"/>
        </w:rPr>
        <w:t xml:space="preserve"> endometriosis. Frustratingly, in some cases, no abnormality is found on routine investigation and the infertility is </w:t>
      </w:r>
      <w:proofErr w:type="spellStart"/>
      <w:r w:rsidRPr="003C6323">
        <w:rPr>
          <w:sz w:val="20"/>
          <w:szCs w:val="20"/>
        </w:rPr>
        <w:t>labelled</w:t>
      </w:r>
      <w:proofErr w:type="spellEnd"/>
      <w:r w:rsidRPr="003C6323">
        <w:rPr>
          <w:sz w:val="20"/>
          <w:szCs w:val="20"/>
        </w:rPr>
        <w:t xml:space="preserve"> “unexplained.”</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Unexplained </w:t>
      </w:r>
      <w:proofErr w:type="spellStart"/>
      <w:r w:rsidRPr="003C6323">
        <w:rPr>
          <w:sz w:val="20"/>
          <w:szCs w:val="20"/>
        </w:rPr>
        <w:t>subfertility</w:t>
      </w:r>
      <w:proofErr w:type="spellEnd"/>
      <w:r w:rsidRPr="003C6323">
        <w:rPr>
          <w:sz w:val="20"/>
          <w:szCs w:val="20"/>
        </w:rPr>
        <w:t xml:space="preserve"> couple are usually referred for investigation after trying unsuccessfully to conceive for a year. Although the chance of successful spontaneous conception during the subsequent year is about 50%. However, the chance is reduced if the woman has never been pregnant (primary </w:t>
      </w:r>
      <w:proofErr w:type="spellStart"/>
      <w:r w:rsidRPr="003C6323">
        <w:rPr>
          <w:sz w:val="20"/>
          <w:szCs w:val="20"/>
        </w:rPr>
        <w:t>subfertility</w:t>
      </w:r>
      <w:proofErr w:type="spellEnd"/>
      <w:r w:rsidRPr="003C6323">
        <w:rPr>
          <w:sz w:val="20"/>
          <w:szCs w:val="20"/>
        </w:rPr>
        <w:t xml:space="preserve">) or is aged over 30, or the duration of </w:t>
      </w:r>
      <w:proofErr w:type="spellStart"/>
      <w:r w:rsidRPr="003C6323">
        <w:rPr>
          <w:sz w:val="20"/>
          <w:szCs w:val="20"/>
        </w:rPr>
        <w:t>subfertility</w:t>
      </w:r>
      <w:proofErr w:type="spellEnd"/>
      <w:r w:rsidRPr="003C6323">
        <w:rPr>
          <w:sz w:val="20"/>
          <w:szCs w:val="20"/>
        </w:rPr>
        <w:t xml:space="preserve"> is longer than three years.</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Unexplained infertility is a diagnosis of exclusion. Up to 25% of patients who present for investigation in a reproductive medicine clinic are diagnosed with unexplained fertility. The diagnosis is usually made after investigations show normal semen parameters, </w:t>
      </w:r>
      <w:proofErr w:type="spellStart"/>
      <w:r w:rsidRPr="003C6323">
        <w:rPr>
          <w:sz w:val="20"/>
          <w:szCs w:val="20"/>
        </w:rPr>
        <w:t>ovulatory</w:t>
      </w:r>
      <w:proofErr w:type="spellEnd"/>
      <w:r w:rsidRPr="003C6323">
        <w:rPr>
          <w:sz w:val="20"/>
          <w:szCs w:val="20"/>
        </w:rPr>
        <w:t xml:space="preserve"> concentrations of serum progesterone in the mid-</w:t>
      </w:r>
      <w:proofErr w:type="spellStart"/>
      <w:r w:rsidRPr="003C6323">
        <w:rPr>
          <w:sz w:val="20"/>
          <w:szCs w:val="20"/>
        </w:rPr>
        <w:t>luteal</w:t>
      </w:r>
      <w:proofErr w:type="spellEnd"/>
      <w:r w:rsidRPr="003C6323">
        <w:rPr>
          <w:sz w:val="20"/>
          <w:szCs w:val="20"/>
        </w:rPr>
        <w:t xml:space="preserve"> phase, tubal patency, and a normal uterine cavity.</w:t>
      </w:r>
    </w:p>
    <w:p w:rsidR="00BA0263" w:rsidRPr="003C6323" w:rsidRDefault="00BA0263" w:rsidP="00B2055D">
      <w:pPr>
        <w:pStyle w:val="NormalWeb"/>
        <w:snapToGrid w:val="0"/>
        <w:spacing w:after="0" w:line="240" w:lineRule="auto"/>
        <w:ind w:firstLine="425"/>
        <w:jc w:val="both"/>
        <w:rPr>
          <w:sz w:val="20"/>
          <w:szCs w:val="20"/>
        </w:rPr>
      </w:pPr>
      <w:r w:rsidRPr="003C6323">
        <w:rPr>
          <w:sz w:val="20"/>
          <w:szCs w:val="20"/>
        </w:rPr>
        <w:t xml:space="preserve">It is important to emphasis to couples with a diagnosis of unexplained </w:t>
      </w:r>
      <w:proofErr w:type="spellStart"/>
      <w:r w:rsidRPr="003C6323">
        <w:rPr>
          <w:sz w:val="20"/>
          <w:szCs w:val="20"/>
        </w:rPr>
        <w:t>subfertility</w:t>
      </w:r>
      <w:proofErr w:type="spellEnd"/>
      <w:r w:rsidRPr="003C6323">
        <w:rPr>
          <w:sz w:val="20"/>
          <w:szCs w:val="20"/>
        </w:rPr>
        <w:t xml:space="preserve"> that they have only had essential, simple fertility tests that do not always assess function. For example, despite showing tubal patency, normal transport of eggs and sperm in tubes has not been evaluated as no test for this is available. Although a woman may have an </w:t>
      </w:r>
      <w:proofErr w:type="spellStart"/>
      <w:r w:rsidRPr="003C6323">
        <w:rPr>
          <w:sz w:val="20"/>
          <w:szCs w:val="20"/>
        </w:rPr>
        <w:t>ovulatory</w:t>
      </w:r>
      <w:proofErr w:type="spellEnd"/>
      <w:r w:rsidRPr="003C6323">
        <w:rPr>
          <w:sz w:val="20"/>
          <w:szCs w:val="20"/>
        </w:rPr>
        <w:t xml:space="preserve"> concentration of serum progesterone and this indicates formation of a corpus </w:t>
      </w:r>
      <w:proofErr w:type="spellStart"/>
      <w:r w:rsidRPr="003C6323">
        <w:rPr>
          <w:sz w:val="20"/>
          <w:szCs w:val="20"/>
        </w:rPr>
        <w:t>luteum</w:t>
      </w:r>
      <w:proofErr w:type="spellEnd"/>
      <w:r w:rsidRPr="003C6323">
        <w:rPr>
          <w:sz w:val="20"/>
          <w:szCs w:val="20"/>
        </w:rPr>
        <w:t xml:space="preserve">, it does not necessarily mean that an egg has been released or that an egg has been picked up in the fallopian tubes. Even for women who ovulate, there is no information about </w:t>
      </w:r>
      <w:proofErr w:type="spellStart"/>
      <w:r w:rsidRPr="003C6323">
        <w:rPr>
          <w:sz w:val="20"/>
          <w:szCs w:val="20"/>
        </w:rPr>
        <w:t>oocyte</w:t>
      </w:r>
      <w:proofErr w:type="spellEnd"/>
      <w:r w:rsidRPr="003C6323">
        <w:rPr>
          <w:sz w:val="20"/>
          <w:szCs w:val="20"/>
        </w:rPr>
        <w:t xml:space="preserve"> quality and consequent embryo quality after fertilization. Despite normal semen parameters, the sperm may fail one of the steps needed to fertilize the </w:t>
      </w:r>
      <w:proofErr w:type="spellStart"/>
      <w:r w:rsidRPr="003C6323">
        <w:rPr>
          <w:sz w:val="20"/>
          <w:szCs w:val="20"/>
        </w:rPr>
        <w:t>oocyte</w:t>
      </w:r>
      <w:proofErr w:type="spellEnd"/>
      <w:r w:rsidRPr="003C6323">
        <w:rPr>
          <w:sz w:val="20"/>
          <w:szCs w:val="20"/>
        </w:rPr>
        <w:t xml:space="preserve">. Some or all of these potential causes of infertility may be avoided by using intrauterine </w:t>
      </w:r>
      <w:r w:rsidRPr="003C6323">
        <w:rPr>
          <w:sz w:val="20"/>
          <w:szCs w:val="20"/>
        </w:rPr>
        <w:lastRenderedPageBreak/>
        <w:t xml:space="preserve">insemination with </w:t>
      </w:r>
      <w:proofErr w:type="spellStart"/>
      <w:r w:rsidRPr="003C6323">
        <w:rPr>
          <w:sz w:val="20"/>
          <w:szCs w:val="20"/>
        </w:rPr>
        <w:t>superovulation</w:t>
      </w:r>
      <w:proofErr w:type="spellEnd"/>
      <w:r w:rsidRPr="003C6323">
        <w:rPr>
          <w:sz w:val="20"/>
          <w:szCs w:val="20"/>
        </w:rPr>
        <w:t xml:space="preserve">, in vitro fertilization, or </w:t>
      </w:r>
      <w:proofErr w:type="spellStart"/>
      <w:r w:rsidRPr="003C6323">
        <w:rPr>
          <w:sz w:val="20"/>
          <w:szCs w:val="20"/>
        </w:rPr>
        <w:t>intracytoplasmic</w:t>
      </w:r>
      <w:proofErr w:type="spellEnd"/>
      <w:r w:rsidRPr="003C6323">
        <w:rPr>
          <w:sz w:val="20"/>
          <w:szCs w:val="20"/>
        </w:rPr>
        <w:t xml:space="preserve"> sperm injection.</w:t>
      </w:r>
      <w:hyperlink r:id="rId34" w:history="1"/>
    </w:p>
    <w:p w:rsidR="00BA0263" w:rsidRPr="003C6323" w:rsidRDefault="00BA0263" w:rsidP="00B2055D">
      <w:pPr>
        <w:autoSpaceDE w:val="0"/>
        <w:autoSpaceDN w:val="0"/>
        <w:bidi w:val="0"/>
        <w:adjustRightInd w:val="0"/>
        <w:snapToGrid w:val="0"/>
        <w:ind w:firstLine="425"/>
        <w:jc w:val="both"/>
        <w:rPr>
          <w:sz w:val="20"/>
          <w:szCs w:val="20"/>
        </w:rPr>
      </w:pPr>
      <w:r w:rsidRPr="003C6323">
        <w:rPr>
          <w:sz w:val="20"/>
          <w:szCs w:val="20"/>
        </w:rPr>
        <w:t>Further tests can be done but they seldom alter management. The “</w:t>
      </w:r>
      <w:proofErr w:type="spellStart"/>
      <w:r w:rsidRPr="003C6323">
        <w:rPr>
          <w:sz w:val="20"/>
          <w:szCs w:val="20"/>
        </w:rPr>
        <w:t>postcoital</w:t>
      </w:r>
      <w:proofErr w:type="spellEnd"/>
      <w:r w:rsidRPr="003C6323">
        <w:rPr>
          <w:sz w:val="20"/>
          <w:szCs w:val="20"/>
        </w:rPr>
        <w:t xml:space="preserve">” test should no longer be done routinely as it is unreliable and seldom alters management </w:t>
      </w:r>
      <w:r w:rsidRPr="003C6323">
        <w:rPr>
          <w:b/>
          <w:bCs/>
          <w:sz w:val="20"/>
          <w:szCs w:val="20"/>
        </w:rPr>
        <w:t xml:space="preserve">(Royal College of Obstetricians and </w:t>
      </w:r>
      <w:proofErr w:type="spellStart"/>
      <w:r w:rsidRPr="003C6323">
        <w:rPr>
          <w:b/>
          <w:bCs/>
          <w:sz w:val="20"/>
          <w:szCs w:val="20"/>
        </w:rPr>
        <w:t>Gynaecologists</w:t>
      </w:r>
      <w:proofErr w:type="spellEnd"/>
      <w:r w:rsidRPr="003C6323">
        <w:rPr>
          <w:b/>
          <w:bCs/>
          <w:sz w:val="20"/>
          <w:szCs w:val="20"/>
        </w:rPr>
        <w:t>, 1998)</w:t>
      </w:r>
      <w:r w:rsidRPr="003C6323">
        <w:rPr>
          <w:sz w:val="20"/>
          <w:szCs w:val="20"/>
        </w:rPr>
        <w:t>.</w:t>
      </w:r>
    </w:p>
    <w:p w:rsidR="009A1109" w:rsidRPr="003C6323" w:rsidRDefault="00BA0263" w:rsidP="00B2055D">
      <w:pPr>
        <w:bidi w:val="0"/>
        <w:snapToGrid w:val="0"/>
        <w:ind w:firstLine="425"/>
        <w:jc w:val="both"/>
        <w:rPr>
          <w:sz w:val="20"/>
          <w:szCs w:val="20"/>
          <w:highlight w:val="yellow"/>
        </w:rPr>
      </w:pPr>
      <w:r w:rsidRPr="003C6323">
        <w:rPr>
          <w:sz w:val="20"/>
          <w:szCs w:val="20"/>
        </w:rPr>
        <w:t>What couples want is not so much to find out “what is wrong,” but “what can be done for us.” Hence, a pragmatic approach to their treatment should be taken.</w:t>
      </w:r>
    </w:p>
    <w:p w:rsidR="00604137" w:rsidRPr="003C6323" w:rsidRDefault="00604137" w:rsidP="00B2055D">
      <w:pPr>
        <w:bidi w:val="0"/>
        <w:snapToGrid w:val="0"/>
        <w:jc w:val="both"/>
        <w:rPr>
          <w:b/>
          <w:bCs/>
          <w:sz w:val="20"/>
          <w:szCs w:val="20"/>
        </w:rPr>
      </w:pPr>
    </w:p>
    <w:p w:rsidR="00BA0263" w:rsidRPr="003C6323" w:rsidRDefault="00BA0263" w:rsidP="00B2055D">
      <w:pPr>
        <w:bidi w:val="0"/>
        <w:snapToGrid w:val="0"/>
        <w:jc w:val="both"/>
        <w:rPr>
          <w:b/>
          <w:bCs/>
          <w:sz w:val="20"/>
          <w:szCs w:val="20"/>
        </w:rPr>
      </w:pPr>
      <w:r w:rsidRPr="003C6323">
        <w:rPr>
          <w:b/>
          <w:bCs/>
          <w:sz w:val="20"/>
          <w:szCs w:val="20"/>
        </w:rPr>
        <w:t>Conclusion</w:t>
      </w:r>
    </w:p>
    <w:p w:rsidR="00BA0263" w:rsidRPr="003C6323" w:rsidRDefault="00BA0263" w:rsidP="00B2055D">
      <w:pPr>
        <w:bidi w:val="0"/>
        <w:snapToGrid w:val="0"/>
        <w:ind w:firstLine="425"/>
        <w:jc w:val="both"/>
        <w:rPr>
          <w:sz w:val="20"/>
          <w:szCs w:val="20"/>
        </w:rPr>
      </w:pPr>
      <w:r w:rsidRPr="003C6323">
        <w:rPr>
          <w:sz w:val="20"/>
          <w:szCs w:val="20"/>
        </w:rPr>
        <w:t xml:space="preserve">Unexplained </w:t>
      </w:r>
      <w:proofErr w:type="spellStart"/>
      <w:r w:rsidRPr="003C6323">
        <w:rPr>
          <w:sz w:val="20"/>
          <w:szCs w:val="20"/>
        </w:rPr>
        <w:t>subfertility</w:t>
      </w:r>
      <w:proofErr w:type="spellEnd"/>
      <w:r w:rsidRPr="003C6323">
        <w:rPr>
          <w:sz w:val="20"/>
          <w:szCs w:val="20"/>
        </w:rPr>
        <w:t xml:space="preserve"> is a diagnosis of exclusion. The incidence varies with the population studied and with the criteria used. Unexplained infertility is not an absolute condition but rather a relative inability to conceive.</w:t>
      </w:r>
    </w:p>
    <w:p w:rsidR="00BA0263" w:rsidRPr="003C6323" w:rsidRDefault="00BA0263" w:rsidP="00B2055D">
      <w:pPr>
        <w:bidi w:val="0"/>
        <w:snapToGrid w:val="0"/>
        <w:ind w:firstLine="425"/>
        <w:jc w:val="both"/>
        <w:rPr>
          <w:sz w:val="20"/>
          <w:szCs w:val="20"/>
        </w:rPr>
      </w:pPr>
      <w:r w:rsidRPr="003C6323">
        <w:rPr>
          <w:sz w:val="20"/>
          <w:szCs w:val="20"/>
        </w:rPr>
        <w:t xml:space="preserve">In our study the initial prevalence of unexplained infertility was </w:t>
      </w:r>
      <w:r w:rsidR="001A44BC" w:rsidRPr="003C6323">
        <w:rPr>
          <w:sz w:val="20"/>
          <w:szCs w:val="20"/>
        </w:rPr>
        <w:t>42</w:t>
      </w:r>
      <w:r w:rsidRPr="003C6323">
        <w:rPr>
          <w:sz w:val="20"/>
          <w:szCs w:val="20"/>
        </w:rPr>
        <w:t xml:space="preserve"> cases with a percentage of </w:t>
      </w:r>
      <w:r w:rsidR="001A44BC" w:rsidRPr="003C6323">
        <w:rPr>
          <w:sz w:val="20"/>
          <w:szCs w:val="20"/>
        </w:rPr>
        <w:t>14</w:t>
      </w:r>
      <w:r w:rsidRPr="003C6323">
        <w:rPr>
          <w:sz w:val="20"/>
          <w:szCs w:val="20"/>
        </w:rPr>
        <w:t xml:space="preserve">%, but after performing diagnostic laparoscopy, the actual number of patients with UI was found to be </w:t>
      </w:r>
      <w:r w:rsidR="001A44BC" w:rsidRPr="003C6323">
        <w:rPr>
          <w:sz w:val="20"/>
          <w:szCs w:val="20"/>
        </w:rPr>
        <w:t>27</w:t>
      </w:r>
      <w:r w:rsidRPr="003C6323">
        <w:rPr>
          <w:sz w:val="20"/>
          <w:szCs w:val="20"/>
        </w:rPr>
        <w:t xml:space="preserve"> cases with a percentage of </w:t>
      </w:r>
      <w:r w:rsidR="001A44BC" w:rsidRPr="003C6323">
        <w:rPr>
          <w:sz w:val="20"/>
          <w:szCs w:val="20"/>
        </w:rPr>
        <w:t>9</w:t>
      </w:r>
      <w:r w:rsidRPr="003C6323">
        <w:rPr>
          <w:sz w:val="20"/>
          <w:szCs w:val="20"/>
        </w:rPr>
        <w:t>%.</w:t>
      </w:r>
    </w:p>
    <w:p w:rsidR="009A1109" w:rsidRPr="003C6323" w:rsidRDefault="00BA0263" w:rsidP="00B2055D">
      <w:pPr>
        <w:bidi w:val="0"/>
        <w:snapToGrid w:val="0"/>
        <w:ind w:firstLine="425"/>
        <w:jc w:val="both"/>
        <w:rPr>
          <w:sz w:val="20"/>
          <w:szCs w:val="20"/>
        </w:rPr>
      </w:pPr>
      <w:r w:rsidRPr="003C6323">
        <w:rPr>
          <w:sz w:val="20"/>
          <w:szCs w:val="20"/>
        </w:rPr>
        <w:t>This indicates that the more we increase the investigations needed to detect UI the less prevalence of unexplained infertility will be.</w:t>
      </w:r>
    </w:p>
    <w:p w:rsidR="00852998" w:rsidRPr="003C6323" w:rsidRDefault="00852998" w:rsidP="00B2055D">
      <w:pPr>
        <w:tabs>
          <w:tab w:val="left" w:pos="0"/>
        </w:tabs>
        <w:bidi w:val="0"/>
        <w:snapToGrid w:val="0"/>
        <w:jc w:val="both"/>
        <w:rPr>
          <w:b/>
          <w:bCs/>
          <w:sz w:val="20"/>
          <w:szCs w:val="20"/>
        </w:rPr>
      </w:pPr>
    </w:p>
    <w:p w:rsidR="00BA0263" w:rsidRPr="003C6323" w:rsidRDefault="00BA0263" w:rsidP="00B2055D">
      <w:pPr>
        <w:tabs>
          <w:tab w:val="left" w:pos="0"/>
        </w:tabs>
        <w:bidi w:val="0"/>
        <w:snapToGrid w:val="0"/>
        <w:jc w:val="both"/>
        <w:rPr>
          <w:b/>
          <w:bCs/>
          <w:sz w:val="20"/>
          <w:szCs w:val="20"/>
        </w:rPr>
      </w:pPr>
      <w:r w:rsidRPr="003C6323">
        <w:rPr>
          <w:b/>
          <w:bCs/>
          <w:sz w:val="20"/>
          <w:szCs w:val="20"/>
        </w:rPr>
        <w:t>Recommendations</w:t>
      </w:r>
    </w:p>
    <w:p w:rsidR="00BA0263" w:rsidRPr="003C6323" w:rsidRDefault="00BA0263" w:rsidP="00B2055D">
      <w:pPr>
        <w:bidi w:val="0"/>
        <w:snapToGrid w:val="0"/>
        <w:ind w:firstLine="425"/>
        <w:jc w:val="both"/>
        <w:rPr>
          <w:sz w:val="20"/>
          <w:szCs w:val="20"/>
        </w:rPr>
      </w:pPr>
      <w:r w:rsidRPr="003C6323">
        <w:rPr>
          <w:sz w:val="20"/>
          <w:szCs w:val="20"/>
        </w:rPr>
        <w:t>In order to diagnose unexplained infertility, all investigations should be done to exclude the presence of male, ovarian, uterine, or tubal factors of infertility including diagnostic laparoscopy.</w:t>
      </w:r>
    </w:p>
    <w:p w:rsidR="00BA0263" w:rsidRPr="003C6323" w:rsidRDefault="00BA0263" w:rsidP="00B2055D">
      <w:pPr>
        <w:bidi w:val="0"/>
        <w:snapToGrid w:val="0"/>
        <w:ind w:firstLine="425"/>
        <w:jc w:val="both"/>
        <w:rPr>
          <w:sz w:val="20"/>
          <w:szCs w:val="20"/>
        </w:rPr>
      </w:pPr>
      <w:r w:rsidRPr="003C6323">
        <w:rPr>
          <w:sz w:val="20"/>
          <w:szCs w:val="20"/>
        </w:rPr>
        <w:t>The diagnosis of UI is usually made after investigations show normal semen parameters, normal ovulation, tubal patency with DL, and a normal uterine cavity.</w:t>
      </w:r>
    </w:p>
    <w:p w:rsidR="00BA0263" w:rsidRPr="003C6323" w:rsidRDefault="00BA0263" w:rsidP="00B2055D">
      <w:pPr>
        <w:bidi w:val="0"/>
        <w:snapToGrid w:val="0"/>
        <w:ind w:firstLine="425"/>
        <w:jc w:val="both"/>
        <w:rPr>
          <w:sz w:val="20"/>
          <w:szCs w:val="20"/>
        </w:rPr>
      </w:pPr>
      <w:r w:rsidRPr="003C6323">
        <w:rPr>
          <w:sz w:val="20"/>
          <w:szCs w:val="20"/>
        </w:rPr>
        <w:t xml:space="preserve">Further reliable investigations can be added to reach a proper diagnosis in order to detect the proper </w:t>
      </w:r>
      <w:r w:rsidRPr="003C6323">
        <w:rPr>
          <w:sz w:val="20"/>
          <w:szCs w:val="20"/>
        </w:rPr>
        <w:lastRenderedPageBreak/>
        <w:t>treatment for infertility and to avoid the wide discrepancy in the prevalence of unexplained infertility.</w:t>
      </w:r>
    </w:p>
    <w:p w:rsidR="00852998" w:rsidRPr="003C6323" w:rsidRDefault="00852998" w:rsidP="00B2055D">
      <w:pPr>
        <w:bidi w:val="0"/>
        <w:snapToGrid w:val="0"/>
        <w:jc w:val="both"/>
        <w:rPr>
          <w:b/>
          <w:bCs/>
          <w:sz w:val="20"/>
          <w:szCs w:val="20"/>
        </w:rPr>
      </w:pPr>
    </w:p>
    <w:p w:rsidR="00BA0263" w:rsidRPr="003C6323" w:rsidRDefault="00BA0263" w:rsidP="00B2055D">
      <w:pPr>
        <w:bidi w:val="0"/>
        <w:snapToGrid w:val="0"/>
        <w:jc w:val="both"/>
        <w:rPr>
          <w:b/>
          <w:bCs/>
          <w:sz w:val="20"/>
          <w:szCs w:val="20"/>
        </w:rPr>
      </w:pPr>
      <w:r w:rsidRPr="003C6323">
        <w:rPr>
          <w:b/>
          <w:bCs/>
          <w:sz w:val="20"/>
          <w:szCs w:val="20"/>
        </w:rPr>
        <w:t>Further studies are needed to be done bearing in mind:</w:t>
      </w:r>
    </w:p>
    <w:p w:rsidR="00BA0263" w:rsidRPr="003C6323" w:rsidRDefault="00BA0263" w:rsidP="00B2055D">
      <w:pPr>
        <w:numPr>
          <w:ilvl w:val="0"/>
          <w:numId w:val="37"/>
        </w:numPr>
        <w:tabs>
          <w:tab w:val="clear" w:pos="1080"/>
        </w:tabs>
        <w:bidi w:val="0"/>
        <w:snapToGrid w:val="0"/>
        <w:ind w:left="0" w:firstLine="425"/>
        <w:jc w:val="both"/>
        <w:rPr>
          <w:sz w:val="20"/>
          <w:szCs w:val="20"/>
        </w:rPr>
      </w:pPr>
      <w:r w:rsidRPr="003C6323">
        <w:rPr>
          <w:sz w:val="20"/>
          <w:szCs w:val="20"/>
        </w:rPr>
        <w:t>Increasing the number of cases under trial.</w:t>
      </w:r>
    </w:p>
    <w:p w:rsidR="009A1109" w:rsidRPr="003C6323" w:rsidRDefault="00BA0263" w:rsidP="00B2055D">
      <w:pPr>
        <w:numPr>
          <w:ilvl w:val="0"/>
          <w:numId w:val="37"/>
        </w:numPr>
        <w:tabs>
          <w:tab w:val="clear" w:pos="1080"/>
        </w:tabs>
        <w:bidi w:val="0"/>
        <w:snapToGrid w:val="0"/>
        <w:ind w:left="0" w:firstLine="425"/>
        <w:jc w:val="both"/>
        <w:rPr>
          <w:sz w:val="20"/>
          <w:szCs w:val="20"/>
        </w:rPr>
      </w:pPr>
      <w:r w:rsidRPr="003C6323">
        <w:rPr>
          <w:sz w:val="20"/>
          <w:szCs w:val="20"/>
        </w:rPr>
        <w:t>Increasing the period of follow up of the patients.</w:t>
      </w:r>
    </w:p>
    <w:p w:rsidR="00AB2035" w:rsidRPr="003C6323" w:rsidRDefault="00AB2035" w:rsidP="00B2055D">
      <w:pPr>
        <w:bidi w:val="0"/>
        <w:snapToGrid w:val="0"/>
        <w:jc w:val="both"/>
        <w:rPr>
          <w:sz w:val="20"/>
          <w:szCs w:val="20"/>
        </w:rPr>
      </w:pPr>
    </w:p>
    <w:p w:rsidR="00AB2035" w:rsidRPr="003C6323" w:rsidRDefault="00AB2035" w:rsidP="00B2055D">
      <w:pPr>
        <w:bidi w:val="0"/>
        <w:snapToGrid w:val="0"/>
        <w:jc w:val="both"/>
        <w:rPr>
          <w:b/>
          <w:bCs/>
          <w:sz w:val="20"/>
          <w:szCs w:val="20"/>
        </w:rPr>
      </w:pPr>
      <w:r w:rsidRPr="003C6323">
        <w:rPr>
          <w:b/>
          <w:bCs/>
          <w:sz w:val="20"/>
          <w:szCs w:val="20"/>
        </w:rPr>
        <w:t>References</w:t>
      </w:r>
    </w:p>
    <w:p w:rsidR="00B2055D"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proofErr w:type="spellStart"/>
      <w:r w:rsidRPr="003C6323">
        <w:rPr>
          <w:rFonts w:ascii="Times New Roman" w:hAnsi="Times New Roman" w:cs="Times New Roman"/>
          <w:bCs/>
          <w:sz w:val="20"/>
          <w:szCs w:val="20"/>
        </w:rPr>
        <w:t>Abma</w:t>
      </w:r>
      <w:proofErr w:type="spellEnd"/>
      <w:r w:rsidRPr="003C6323">
        <w:rPr>
          <w:rFonts w:ascii="Times New Roman" w:hAnsi="Times New Roman" w:cs="Times New Roman"/>
          <w:bCs/>
          <w:sz w:val="20"/>
          <w:szCs w:val="20"/>
        </w:rPr>
        <w:t xml:space="preserve"> 1997;</w:t>
      </w:r>
      <w:r w:rsidRPr="003C6323">
        <w:rPr>
          <w:rFonts w:ascii="Times New Roman" w:hAnsi="Times New Roman" w:cs="Times New Roman"/>
          <w:sz w:val="20"/>
          <w:szCs w:val="20"/>
        </w:rPr>
        <w:t xml:space="preserve"> Vital health state 23:1,199</w:t>
      </w:r>
      <w:r w:rsidR="00B2055D" w:rsidRPr="003C6323">
        <w:rPr>
          <w:rFonts w:ascii="Times New Roman" w:hAnsi="Times New Roman" w:cs="Times New Roman"/>
          <w:sz w:val="20"/>
          <w:szCs w:val="20"/>
        </w:rPr>
        <w:t>7.</w:t>
      </w:r>
    </w:p>
    <w:p w:rsidR="00B2055D"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r w:rsidRPr="003C6323">
        <w:rPr>
          <w:rFonts w:ascii="Times New Roman" w:hAnsi="Times New Roman" w:cs="Times New Roman"/>
          <w:bCs/>
          <w:sz w:val="20"/>
          <w:szCs w:val="20"/>
        </w:rPr>
        <w:t>American society of reproductive medicine 2006</w:t>
      </w:r>
      <w:r w:rsidR="00B2055D" w:rsidRPr="003C6323">
        <w:rPr>
          <w:rFonts w:ascii="Times New Roman" w:hAnsi="Times New Roman" w:cs="Times New Roman"/>
          <w:bCs/>
          <w:sz w:val="20"/>
          <w:szCs w:val="20"/>
        </w:rPr>
        <w:t xml:space="preserve">. </w:t>
      </w:r>
      <w:r w:rsidR="00B2055D" w:rsidRPr="003C6323">
        <w:rPr>
          <w:rFonts w:ascii="Times New Roman" w:hAnsi="Times New Roman" w:cs="Times New Roman"/>
          <w:sz w:val="20"/>
          <w:szCs w:val="20"/>
        </w:rPr>
        <w:t>E</w:t>
      </w:r>
      <w:r w:rsidRPr="003C6323">
        <w:rPr>
          <w:rFonts w:ascii="Times New Roman" w:hAnsi="Times New Roman" w:cs="Times New Roman"/>
          <w:sz w:val="20"/>
          <w:szCs w:val="20"/>
        </w:rPr>
        <w:t>ffectiveness and treatment of unexplained infertility</w:t>
      </w:r>
      <w:r w:rsidR="00B2055D" w:rsidRPr="003C6323">
        <w:rPr>
          <w:rFonts w:ascii="Times New Roman" w:hAnsi="Times New Roman" w:cs="Times New Roman"/>
          <w:sz w:val="20"/>
          <w:szCs w:val="20"/>
        </w:rPr>
        <w:t>. f</w:t>
      </w:r>
      <w:r w:rsidRPr="003C6323">
        <w:rPr>
          <w:rFonts w:ascii="Times New Roman" w:hAnsi="Times New Roman" w:cs="Times New Roman"/>
          <w:sz w:val="20"/>
          <w:szCs w:val="20"/>
        </w:rPr>
        <w:t>ertile sterile 86(suppl4)</w:t>
      </w:r>
      <w:r w:rsidR="00B2055D" w:rsidRPr="003C6323">
        <w:rPr>
          <w:rFonts w:ascii="Times New Roman" w:hAnsi="Times New Roman" w:cs="Times New Roman"/>
          <w:sz w:val="20"/>
          <w:szCs w:val="20"/>
        </w:rPr>
        <w:t>: s</w:t>
      </w:r>
      <w:r w:rsidRPr="003C6323">
        <w:rPr>
          <w:rFonts w:ascii="Times New Roman" w:hAnsi="Times New Roman" w:cs="Times New Roman"/>
          <w:sz w:val="20"/>
          <w:szCs w:val="20"/>
        </w:rPr>
        <w:t>248</w:t>
      </w:r>
      <w:r w:rsidR="00B2055D" w:rsidRPr="003C6323">
        <w:rPr>
          <w:rFonts w:ascii="Times New Roman" w:hAnsi="Times New Roman" w:cs="Times New Roman"/>
          <w:sz w:val="20"/>
          <w:szCs w:val="20"/>
        </w:rPr>
        <w:t>).</w:t>
      </w:r>
    </w:p>
    <w:p w:rsidR="00B2055D"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r w:rsidRPr="003C6323">
        <w:rPr>
          <w:rFonts w:ascii="Times New Roman" w:hAnsi="Times New Roman" w:cs="Times New Roman"/>
          <w:bCs/>
          <w:sz w:val="20"/>
          <w:szCs w:val="20"/>
        </w:rPr>
        <w:t>Chandra a 2010</w:t>
      </w:r>
      <w:r w:rsidR="00B2055D" w:rsidRPr="003C6323">
        <w:rPr>
          <w:rFonts w:ascii="Times New Roman" w:hAnsi="Times New Roman" w:cs="Times New Roman"/>
          <w:sz w:val="20"/>
          <w:szCs w:val="20"/>
        </w:rPr>
        <w:t>: S</w:t>
      </w:r>
      <w:r w:rsidRPr="003C6323">
        <w:rPr>
          <w:rFonts w:ascii="Times New Roman" w:hAnsi="Times New Roman" w:cs="Times New Roman"/>
          <w:sz w:val="20"/>
          <w:szCs w:val="20"/>
        </w:rPr>
        <w:t>tephen E</w:t>
      </w:r>
      <w:r w:rsidR="00641E81" w:rsidRPr="003C6323">
        <w:rPr>
          <w:rFonts w:ascii="Times New Roman" w:hAnsi="Times New Roman" w:cs="Times New Roman"/>
          <w:sz w:val="20"/>
          <w:szCs w:val="20"/>
        </w:rPr>
        <w:t>H (</w:t>
      </w:r>
      <w:r w:rsidRPr="003C6323">
        <w:rPr>
          <w:rFonts w:ascii="Times New Roman" w:hAnsi="Times New Roman" w:cs="Times New Roman"/>
          <w:sz w:val="20"/>
          <w:szCs w:val="20"/>
        </w:rPr>
        <w:t>93,3:725</w:t>
      </w:r>
      <w:r w:rsidR="00B2055D" w:rsidRPr="003C6323">
        <w:rPr>
          <w:rFonts w:ascii="Times New Roman" w:hAnsi="Times New Roman" w:cs="Times New Roman"/>
          <w:sz w:val="20"/>
          <w:szCs w:val="20"/>
        </w:rPr>
        <w:t>).</w:t>
      </w:r>
    </w:p>
    <w:p w:rsidR="00B2055D"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r w:rsidRPr="003C6323">
        <w:rPr>
          <w:rFonts w:ascii="Times New Roman" w:hAnsi="Times New Roman" w:cs="Times New Roman"/>
          <w:bCs/>
          <w:sz w:val="20"/>
          <w:szCs w:val="20"/>
        </w:rPr>
        <w:t xml:space="preserve">Dodson1987; </w:t>
      </w:r>
      <w:r w:rsidRPr="003C6323">
        <w:rPr>
          <w:rFonts w:ascii="Times New Roman" w:hAnsi="Times New Roman" w:cs="Times New Roman"/>
          <w:sz w:val="20"/>
          <w:szCs w:val="20"/>
        </w:rPr>
        <w:t>Fertile sterile 48;441.198</w:t>
      </w:r>
      <w:r w:rsidR="00B2055D" w:rsidRPr="003C6323">
        <w:rPr>
          <w:rFonts w:ascii="Times New Roman" w:hAnsi="Times New Roman" w:cs="Times New Roman"/>
          <w:sz w:val="20"/>
          <w:szCs w:val="20"/>
        </w:rPr>
        <w:t>7.</w:t>
      </w:r>
    </w:p>
    <w:p w:rsidR="00B2055D"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proofErr w:type="spellStart"/>
      <w:r w:rsidRPr="003C6323">
        <w:rPr>
          <w:rFonts w:ascii="Times New Roman" w:hAnsi="Times New Roman" w:cs="Times New Roman"/>
          <w:bCs/>
          <w:sz w:val="20"/>
          <w:szCs w:val="20"/>
        </w:rPr>
        <w:t>Gleicher</w:t>
      </w:r>
      <w:proofErr w:type="spellEnd"/>
      <w:r w:rsidRPr="003C6323">
        <w:rPr>
          <w:rFonts w:ascii="Times New Roman" w:hAnsi="Times New Roman" w:cs="Times New Roman"/>
          <w:bCs/>
          <w:sz w:val="20"/>
          <w:szCs w:val="20"/>
        </w:rPr>
        <w:t xml:space="preserve"> N, El-</w:t>
      </w:r>
      <w:proofErr w:type="spellStart"/>
      <w:r w:rsidRPr="003C6323">
        <w:rPr>
          <w:rFonts w:ascii="Times New Roman" w:hAnsi="Times New Roman" w:cs="Times New Roman"/>
          <w:bCs/>
          <w:sz w:val="20"/>
          <w:szCs w:val="20"/>
        </w:rPr>
        <w:t>Roeiy</w:t>
      </w:r>
      <w:proofErr w:type="spellEnd"/>
      <w:r w:rsidRPr="003C6323">
        <w:rPr>
          <w:rFonts w:ascii="Times New Roman" w:hAnsi="Times New Roman" w:cs="Times New Roman"/>
          <w:bCs/>
          <w:sz w:val="20"/>
          <w:szCs w:val="20"/>
        </w:rPr>
        <w:t xml:space="preserve"> A, </w:t>
      </w:r>
      <w:proofErr w:type="spellStart"/>
      <w:r w:rsidRPr="003C6323">
        <w:rPr>
          <w:rFonts w:ascii="Times New Roman" w:hAnsi="Times New Roman" w:cs="Times New Roman"/>
          <w:bCs/>
          <w:sz w:val="20"/>
          <w:szCs w:val="20"/>
        </w:rPr>
        <w:t>Confino</w:t>
      </w:r>
      <w:proofErr w:type="spellEnd"/>
      <w:r w:rsidRPr="003C6323">
        <w:rPr>
          <w:rFonts w:ascii="Times New Roman" w:hAnsi="Times New Roman" w:cs="Times New Roman"/>
          <w:bCs/>
          <w:sz w:val="20"/>
          <w:szCs w:val="20"/>
        </w:rPr>
        <w:t xml:space="preserve"> E, </w:t>
      </w:r>
      <w:proofErr w:type="spellStart"/>
      <w:r w:rsidRPr="003C6323">
        <w:rPr>
          <w:rFonts w:ascii="Times New Roman" w:hAnsi="Times New Roman" w:cs="Times New Roman"/>
          <w:bCs/>
          <w:sz w:val="20"/>
          <w:szCs w:val="20"/>
        </w:rPr>
        <w:t>Friberg</w:t>
      </w:r>
      <w:proofErr w:type="spellEnd"/>
      <w:r w:rsidRPr="003C6323">
        <w:rPr>
          <w:rFonts w:ascii="Times New Roman" w:hAnsi="Times New Roman" w:cs="Times New Roman"/>
          <w:bCs/>
          <w:sz w:val="20"/>
          <w:szCs w:val="20"/>
        </w:rPr>
        <w:t xml:space="preserve"> J 2006.</w:t>
      </w:r>
      <w:r w:rsidRPr="003C6323">
        <w:rPr>
          <w:rFonts w:ascii="Times New Roman" w:hAnsi="Times New Roman" w:cs="Times New Roman"/>
          <w:sz w:val="20"/>
          <w:szCs w:val="20"/>
        </w:rPr>
        <w:t xml:space="preserve"> Reproductive failure because of </w:t>
      </w:r>
      <w:proofErr w:type="spellStart"/>
      <w:r w:rsidRPr="003C6323">
        <w:rPr>
          <w:rFonts w:ascii="Times New Roman" w:hAnsi="Times New Roman" w:cs="Times New Roman"/>
          <w:sz w:val="20"/>
          <w:szCs w:val="20"/>
        </w:rPr>
        <w:t>autoantibodies</w:t>
      </w:r>
      <w:proofErr w:type="spellEnd"/>
      <w:r w:rsidRPr="003C6323">
        <w:rPr>
          <w:rFonts w:ascii="Times New Roman" w:hAnsi="Times New Roman" w:cs="Times New Roman"/>
          <w:sz w:val="20"/>
          <w:szCs w:val="20"/>
        </w:rPr>
        <w:t xml:space="preserve">: unexplained infertility and pregnancy wastage. Am J </w:t>
      </w:r>
      <w:proofErr w:type="spellStart"/>
      <w:r w:rsidRPr="003C6323">
        <w:rPr>
          <w:rFonts w:ascii="Times New Roman" w:hAnsi="Times New Roman" w:cs="Times New Roman"/>
          <w:sz w:val="20"/>
          <w:szCs w:val="20"/>
        </w:rPr>
        <w:t>Obstet</w:t>
      </w:r>
      <w:proofErr w:type="spellEnd"/>
      <w:r w:rsidRPr="003C6323">
        <w:rPr>
          <w:rFonts w:ascii="Times New Roman" w:hAnsi="Times New Roman" w:cs="Times New Roman"/>
          <w:sz w:val="20"/>
          <w:szCs w:val="20"/>
        </w:rPr>
        <w:t xml:space="preserve"> Gynecol., 160:1376–138</w:t>
      </w:r>
      <w:r w:rsidR="00B2055D" w:rsidRPr="003C6323">
        <w:rPr>
          <w:rFonts w:ascii="Times New Roman" w:hAnsi="Times New Roman" w:cs="Times New Roman"/>
          <w:sz w:val="20"/>
          <w:szCs w:val="20"/>
        </w:rPr>
        <w:t>5.</w:t>
      </w:r>
    </w:p>
    <w:p w:rsidR="00AB2035" w:rsidRPr="003C6323" w:rsidRDefault="00295C17" w:rsidP="00B2055D">
      <w:pPr>
        <w:pStyle w:val="ListParagraph"/>
        <w:numPr>
          <w:ilvl w:val="0"/>
          <w:numId w:val="44"/>
        </w:numPr>
        <w:snapToGrid w:val="0"/>
        <w:spacing w:after="0" w:line="240" w:lineRule="auto"/>
        <w:jc w:val="both"/>
        <w:rPr>
          <w:rFonts w:ascii="Times New Roman" w:hAnsi="Times New Roman" w:cs="Times New Roman"/>
          <w:sz w:val="20"/>
          <w:szCs w:val="20"/>
        </w:rPr>
      </w:pPr>
      <w:hyperlink r:id="rId35" w:history="1">
        <w:proofErr w:type="spellStart"/>
        <w:r w:rsidR="00AB2035" w:rsidRPr="003C6323">
          <w:rPr>
            <w:rFonts w:ascii="Times New Roman" w:hAnsi="Times New Roman" w:cs="Times New Roman"/>
            <w:bCs/>
            <w:sz w:val="20"/>
            <w:szCs w:val="20"/>
          </w:rPr>
          <w:t>Isaksson</w:t>
        </w:r>
        <w:proofErr w:type="spellEnd"/>
        <w:r w:rsidR="00AB2035" w:rsidRPr="003C6323">
          <w:rPr>
            <w:rFonts w:ascii="Times New Roman" w:hAnsi="Times New Roman" w:cs="Times New Roman"/>
            <w:bCs/>
            <w:sz w:val="20"/>
            <w:szCs w:val="20"/>
          </w:rPr>
          <w:t xml:space="preserve"> R</w:t>
        </w:r>
      </w:hyperlink>
      <w:r w:rsidR="00AB2035" w:rsidRPr="003C6323">
        <w:rPr>
          <w:rFonts w:ascii="Times New Roman" w:hAnsi="Times New Roman" w:cs="Times New Roman"/>
          <w:bCs/>
          <w:sz w:val="20"/>
          <w:szCs w:val="20"/>
        </w:rPr>
        <w:t xml:space="preserve"> and </w:t>
      </w:r>
      <w:hyperlink r:id="rId36" w:history="1">
        <w:proofErr w:type="spellStart"/>
        <w:r w:rsidR="00AB2035" w:rsidRPr="003C6323">
          <w:rPr>
            <w:rFonts w:ascii="Times New Roman" w:hAnsi="Times New Roman" w:cs="Times New Roman"/>
            <w:bCs/>
            <w:sz w:val="20"/>
            <w:szCs w:val="20"/>
          </w:rPr>
          <w:t>Tiitinen</w:t>
        </w:r>
        <w:proofErr w:type="spellEnd"/>
        <w:r w:rsidR="00AB2035" w:rsidRPr="003C6323">
          <w:rPr>
            <w:rFonts w:ascii="Times New Roman" w:hAnsi="Times New Roman" w:cs="Times New Roman"/>
            <w:bCs/>
            <w:sz w:val="20"/>
            <w:szCs w:val="20"/>
          </w:rPr>
          <w:t xml:space="preserve"> A</w:t>
        </w:r>
      </w:hyperlink>
      <w:r w:rsidR="00AB2035" w:rsidRPr="003C6323">
        <w:rPr>
          <w:rFonts w:ascii="Times New Roman" w:hAnsi="Times New Roman" w:cs="Times New Roman"/>
          <w:bCs/>
          <w:sz w:val="20"/>
          <w:szCs w:val="20"/>
        </w:rPr>
        <w:t xml:space="preserve"> 2004.</w:t>
      </w:r>
      <w:r w:rsidR="00AB2035" w:rsidRPr="003C6323">
        <w:rPr>
          <w:rFonts w:ascii="Times New Roman" w:hAnsi="Times New Roman" w:cs="Times New Roman"/>
          <w:sz w:val="20"/>
          <w:szCs w:val="20"/>
        </w:rPr>
        <w:t xml:space="preserve"> Present concept of unexplained infertility. </w:t>
      </w:r>
      <w:proofErr w:type="spellStart"/>
      <w:r w:rsidR="00AB2035" w:rsidRPr="003C6323">
        <w:rPr>
          <w:rFonts w:ascii="Times New Roman" w:hAnsi="Times New Roman" w:cs="Times New Roman"/>
          <w:sz w:val="20"/>
          <w:szCs w:val="20"/>
        </w:rPr>
        <w:t>Gynecol</w:t>
      </w:r>
      <w:proofErr w:type="spellEnd"/>
      <w:r w:rsidR="00AB2035" w:rsidRPr="003C6323">
        <w:rPr>
          <w:rFonts w:ascii="Times New Roman" w:hAnsi="Times New Roman" w:cs="Times New Roman"/>
          <w:sz w:val="20"/>
          <w:szCs w:val="20"/>
        </w:rPr>
        <w:t xml:space="preserve"> </w:t>
      </w:r>
      <w:proofErr w:type="spellStart"/>
      <w:r w:rsidR="00AB2035" w:rsidRPr="003C6323">
        <w:rPr>
          <w:rFonts w:ascii="Times New Roman" w:hAnsi="Times New Roman" w:cs="Times New Roman"/>
          <w:sz w:val="20"/>
          <w:szCs w:val="20"/>
        </w:rPr>
        <w:t>Endocrinol</w:t>
      </w:r>
      <w:proofErr w:type="spellEnd"/>
      <w:r w:rsidR="00AB2035" w:rsidRPr="003C6323">
        <w:rPr>
          <w:rFonts w:ascii="Times New Roman" w:hAnsi="Times New Roman" w:cs="Times New Roman"/>
          <w:sz w:val="20"/>
          <w:szCs w:val="20"/>
        </w:rPr>
        <w:t>., 2004: 18(5); 278-90.</w:t>
      </w:r>
    </w:p>
    <w:p w:rsidR="00AB2035"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r w:rsidRPr="003C6323">
        <w:rPr>
          <w:rFonts w:ascii="Times New Roman" w:hAnsi="Times New Roman" w:cs="Times New Roman"/>
          <w:bCs/>
          <w:sz w:val="20"/>
          <w:szCs w:val="20"/>
        </w:rPr>
        <w:t>Mosher W, Pratt</w:t>
      </w:r>
      <w:r w:rsidR="00B2055D" w:rsidRPr="003C6323">
        <w:rPr>
          <w:rFonts w:ascii="Times New Roman" w:hAnsi="Times New Roman" w:cs="Times New Roman"/>
          <w:bCs/>
          <w:sz w:val="20"/>
          <w:szCs w:val="20"/>
        </w:rPr>
        <w:t xml:space="preserve"> </w:t>
      </w:r>
      <w:r w:rsidRPr="003C6323">
        <w:rPr>
          <w:rFonts w:ascii="Times New Roman" w:hAnsi="Times New Roman" w:cs="Times New Roman"/>
          <w:bCs/>
          <w:sz w:val="20"/>
          <w:szCs w:val="20"/>
        </w:rPr>
        <w:t>1991</w:t>
      </w:r>
      <w:r w:rsidRPr="003C6323">
        <w:rPr>
          <w:rFonts w:ascii="Times New Roman" w:hAnsi="Times New Roman" w:cs="Times New Roman"/>
          <w:sz w:val="20"/>
          <w:szCs w:val="20"/>
        </w:rPr>
        <w:t>w fecundity and infertility in united states 56:192.</w:t>
      </w:r>
    </w:p>
    <w:p w:rsidR="00AB2035"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r w:rsidRPr="003C6323">
        <w:rPr>
          <w:rFonts w:ascii="Times New Roman" w:hAnsi="Times New Roman" w:cs="Times New Roman"/>
          <w:bCs/>
          <w:sz w:val="20"/>
          <w:szCs w:val="20"/>
        </w:rPr>
        <w:t>Penney L L2007</w:t>
      </w:r>
      <w:r w:rsidR="00B2055D" w:rsidRPr="003C6323">
        <w:rPr>
          <w:rFonts w:ascii="Times New Roman" w:hAnsi="Times New Roman" w:cs="Times New Roman"/>
          <w:bCs/>
          <w:sz w:val="20"/>
          <w:szCs w:val="20"/>
        </w:rPr>
        <w:t xml:space="preserve">. </w:t>
      </w:r>
      <w:r w:rsidR="00B2055D" w:rsidRPr="003C6323">
        <w:rPr>
          <w:rFonts w:ascii="Times New Roman" w:hAnsi="Times New Roman" w:cs="Times New Roman"/>
          <w:sz w:val="20"/>
          <w:szCs w:val="20"/>
        </w:rPr>
        <w:t>u</w:t>
      </w:r>
      <w:r w:rsidRPr="003C6323">
        <w:rPr>
          <w:rFonts w:ascii="Times New Roman" w:hAnsi="Times New Roman" w:cs="Times New Roman"/>
          <w:sz w:val="20"/>
          <w:szCs w:val="20"/>
        </w:rPr>
        <w:t>nexplained infertility article. The Fertility Net Work</w:t>
      </w:r>
      <w:r w:rsidR="00B2055D" w:rsidRPr="003C6323">
        <w:rPr>
          <w:rFonts w:ascii="Times New Roman" w:hAnsi="Times New Roman" w:cs="Times New Roman"/>
          <w:sz w:val="20"/>
          <w:szCs w:val="20"/>
        </w:rPr>
        <w:t xml:space="preserve">. </w:t>
      </w:r>
      <w:proofErr w:type="spellStart"/>
      <w:r w:rsidR="00B2055D" w:rsidRPr="003C6323">
        <w:rPr>
          <w:rFonts w:ascii="Times New Roman" w:hAnsi="Times New Roman" w:cs="Times New Roman"/>
          <w:sz w:val="20"/>
          <w:szCs w:val="20"/>
        </w:rPr>
        <w:t>h</w:t>
      </w:r>
      <w:r w:rsidRPr="003C6323">
        <w:rPr>
          <w:rFonts w:ascii="Times New Roman" w:hAnsi="Times New Roman" w:cs="Times New Roman"/>
          <w:sz w:val="20"/>
          <w:szCs w:val="20"/>
        </w:rPr>
        <w:t>tm</w:t>
      </w:r>
      <w:proofErr w:type="spellEnd"/>
      <w:r w:rsidR="00641E81" w:rsidRPr="003C6323">
        <w:rPr>
          <w:rFonts w:ascii="Times New Roman" w:hAnsi="Times New Roman" w:cs="Times New Roman"/>
          <w:sz w:val="20"/>
          <w:szCs w:val="20"/>
        </w:rPr>
        <w:t>: (</w:t>
      </w:r>
      <w:r w:rsidRPr="003C6323">
        <w:rPr>
          <w:rFonts w:ascii="Times New Roman" w:hAnsi="Times New Roman" w:cs="Times New Roman"/>
          <w:sz w:val="20"/>
          <w:szCs w:val="20"/>
        </w:rPr>
        <w:t>573); 443-451.</w:t>
      </w:r>
    </w:p>
    <w:p w:rsidR="00AB2035" w:rsidRPr="003C6323" w:rsidRDefault="00AB2035" w:rsidP="00B2055D">
      <w:pPr>
        <w:pStyle w:val="ListParagraph"/>
        <w:numPr>
          <w:ilvl w:val="0"/>
          <w:numId w:val="44"/>
        </w:numPr>
        <w:snapToGrid w:val="0"/>
        <w:spacing w:after="0" w:line="240" w:lineRule="auto"/>
        <w:jc w:val="both"/>
        <w:rPr>
          <w:rFonts w:ascii="Times New Roman" w:hAnsi="Times New Roman" w:cs="Times New Roman"/>
          <w:sz w:val="20"/>
          <w:szCs w:val="20"/>
        </w:rPr>
      </w:pPr>
      <w:r w:rsidRPr="003C6323">
        <w:rPr>
          <w:rFonts w:ascii="Times New Roman" w:hAnsi="Times New Roman" w:cs="Times New Roman"/>
          <w:bCs/>
          <w:sz w:val="20"/>
          <w:szCs w:val="20"/>
        </w:rPr>
        <w:t xml:space="preserve">Smith S, </w:t>
      </w:r>
      <w:proofErr w:type="spellStart"/>
      <w:r w:rsidRPr="003C6323">
        <w:rPr>
          <w:rFonts w:ascii="Times New Roman" w:hAnsi="Times New Roman" w:cs="Times New Roman"/>
          <w:bCs/>
          <w:sz w:val="20"/>
          <w:szCs w:val="20"/>
        </w:rPr>
        <w:t>Pfiefer</w:t>
      </w:r>
      <w:proofErr w:type="spellEnd"/>
      <w:r w:rsidRPr="003C6323">
        <w:rPr>
          <w:rFonts w:ascii="Times New Roman" w:hAnsi="Times New Roman" w:cs="Times New Roman"/>
          <w:bCs/>
          <w:sz w:val="20"/>
          <w:szCs w:val="20"/>
        </w:rPr>
        <w:t xml:space="preserve"> SM and Collins J2003</w:t>
      </w:r>
      <w:r w:rsidR="00B2055D" w:rsidRPr="003C6323">
        <w:rPr>
          <w:rFonts w:ascii="Times New Roman" w:hAnsi="Times New Roman" w:cs="Times New Roman"/>
          <w:bCs/>
          <w:sz w:val="20"/>
          <w:szCs w:val="20"/>
        </w:rPr>
        <w:t xml:space="preserve">. </w:t>
      </w:r>
      <w:r w:rsidR="00B2055D" w:rsidRPr="003C6323">
        <w:rPr>
          <w:rFonts w:ascii="Times New Roman" w:hAnsi="Times New Roman" w:cs="Times New Roman"/>
          <w:sz w:val="20"/>
          <w:szCs w:val="20"/>
        </w:rPr>
        <w:t>D</w:t>
      </w:r>
      <w:r w:rsidRPr="003C6323">
        <w:rPr>
          <w:rFonts w:ascii="Times New Roman" w:hAnsi="Times New Roman" w:cs="Times New Roman"/>
          <w:sz w:val="20"/>
          <w:szCs w:val="20"/>
        </w:rPr>
        <w:t>iagnosis and management of female infertility</w:t>
      </w:r>
      <w:r w:rsidR="00B2055D" w:rsidRPr="003C6323">
        <w:rPr>
          <w:rFonts w:ascii="Times New Roman" w:hAnsi="Times New Roman" w:cs="Times New Roman"/>
          <w:sz w:val="20"/>
          <w:szCs w:val="20"/>
        </w:rPr>
        <w:t>. J</w:t>
      </w:r>
      <w:r w:rsidRPr="003C6323">
        <w:rPr>
          <w:rFonts w:ascii="Times New Roman" w:hAnsi="Times New Roman" w:cs="Times New Roman"/>
          <w:sz w:val="20"/>
          <w:szCs w:val="20"/>
        </w:rPr>
        <w:t>AMA.,:</w:t>
      </w:r>
      <w:r w:rsidRPr="003C6323">
        <w:rPr>
          <w:rFonts w:ascii="Times New Roman" w:hAnsi="Times New Roman" w:cs="Times New Roman"/>
          <w:bCs/>
          <w:sz w:val="20"/>
          <w:szCs w:val="20"/>
        </w:rPr>
        <w:t xml:space="preserve">290; </w:t>
      </w:r>
      <w:r w:rsidRPr="003C6323">
        <w:rPr>
          <w:rFonts w:ascii="Times New Roman" w:hAnsi="Times New Roman" w:cs="Times New Roman"/>
          <w:sz w:val="20"/>
          <w:szCs w:val="20"/>
        </w:rPr>
        <w:t>17.</w:t>
      </w:r>
    </w:p>
    <w:p w:rsidR="00641E81" w:rsidRPr="003C6323" w:rsidRDefault="00295C17" w:rsidP="00B2055D">
      <w:pPr>
        <w:pStyle w:val="ListParagraph"/>
        <w:numPr>
          <w:ilvl w:val="0"/>
          <w:numId w:val="44"/>
        </w:numPr>
        <w:snapToGrid w:val="0"/>
        <w:spacing w:after="0" w:line="240" w:lineRule="auto"/>
        <w:ind w:left="425" w:hanging="425"/>
        <w:jc w:val="both"/>
        <w:rPr>
          <w:sz w:val="20"/>
          <w:szCs w:val="20"/>
        </w:rPr>
      </w:pPr>
      <w:hyperlink r:id="rId37" w:history="1">
        <w:r w:rsidR="00AB2035" w:rsidRPr="003C6323">
          <w:rPr>
            <w:rFonts w:ascii="Times New Roman" w:hAnsi="Times New Roman" w:cs="Times New Roman"/>
            <w:bCs/>
            <w:sz w:val="20"/>
            <w:szCs w:val="20"/>
          </w:rPr>
          <w:t>Templeton AA and Penney GC 1982</w:t>
        </w:r>
        <w:r w:rsidR="00B2055D" w:rsidRPr="003C6323">
          <w:rPr>
            <w:rFonts w:ascii="Times New Roman" w:hAnsi="Times New Roman" w:cs="Times New Roman"/>
            <w:bCs/>
            <w:sz w:val="20"/>
            <w:szCs w:val="20"/>
          </w:rPr>
          <w:t xml:space="preserve">. </w:t>
        </w:r>
        <w:r w:rsidR="00B2055D" w:rsidRPr="003C6323">
          <w:rPr>
            <w:rFonts w:ascii="Times New Roman" w:hAnsi="Times New Roman" w:cs="Times New Roman"/>
            <w:sz w:val="20"/>
            <w:szCs w:val="20"/>
          </w:rPr>
          <w:t>T</w:t>
        </w:r>
        <w:r w:rsidR="00AB2035" w:rsidRPr="003C6323">
          <w:rPr>
            <w:rFonts w:ascii="Times New Roman" w:hAnsi="Times New Roman" w:cs="Times New Roman"/>
            <w:sz w:val="20"/>
            <w:szCs w:val="20"/>
          </w:rPr>
          <w:t xml:space="preserve">he incidence, characteristics, and prognosis of patients whose infertility is unexplained. </w:t>
        </w:r>
        <w:proofErr w:type="spellStart"/>
        <w:r w:rsidR="00AB2035" w:rsidRPr="003C6323">
          <w:rPr>
            <w:rFonts w:ascii="Times New Roman" w:hAnsi="Times New Roman" w:cs="Times New Roman"/>
            <w:sz w:val="20"/>
            <w:szCs w:val="20"/>
          </w:rPr>
          <w:t>Fertil</w:t>
        </w:r>
        <w:proofErr w:type="spellEnd"/>
        <w:r w:rsidR="00AB2035" w:rsidRPr="003C6323">
          <w:rPr>
            <w:rFonts w:ascii="Times New Roman" w:hAnsi="Times New Roman" w:cs="Times New Roman"/>
            <w:sz w:val="20"/>
            <w:szCs w:val="20"/>
          </w:rPr>
          <w:t xml:space="preserve"> </w:t>
        </w:r>
        <w:proofErr w:type="spellStart"/>
        <w:r w:rsidR="00AB2035" w:rsidRPr="003C6323">
          <w:rPr>
            <w:rFonts w:ascii="Times New Roman" w:hAnsi="Times New Roman" w:cs="Times New Roman"/>
            <w:sz w:val="20"/>
            <w:szCs w:val="20"/>
          </w:rPr>
          <w:t>Steril</w:t>
        </w:r>
        <w:proofErr w:type="spellEnd"/>
        <w:r w:rsidR="00AB2035" w:rsidRPr="003C6323">
          <w:rPr>
            <w:rFonts w:ascii="Times New Roman" w:hAnsi="Times New Roman" w:cs="Times New Roman"/>
            <w:sz w:val="20"/>
            <w:szCs w:val="20"/>
          </w:rPr>
          <w:t>; 37:175.</w:t>
        </w:r>
      </w:hyperlink>
      <w:r w:rsidR="003C6323" w:rsidRPr="003C6323">
        <w:rPr>
          <w:rFonts w:eastAsiaTheme="minorEastAsia" w:hint="eastAsia"/>
          <w:sz w:val="20"/>
          <w:szCs w:val="20"/>
          <w:lang w:eastAsia="zh-CN"/>
        </w:rPr>
        <w:t xml:space="preserve"> </w:t>
      </w:r>
    </w:p>
    <w:p w:rsidR="00641E81" w:rsidRPr="003C6323" w:rsidRDefault="00641E81" w:rsidP="00B2055D">
      <w:pPr>
        <w:bidi w:val="0"/>
        <w:snapToGrid w:val="0"/>
        <w:ind w:left="425" w:hanging="425"/>
        <w:jc w:val="both"/>
        <w:rPr>
          <w:sz w:val="20"/>
          <w:szCs w:val="20"/>
        </w:rPr>
        <w:sectPr w:rsidR="00641E81" w:rsidRPr="003C6323" w:rsidSect="00B2055D">
          <w:headerReference w:type="default" r:id="rId38"/>
          <w:footerReference w:type="even" r:id="rId39"/>
          <w:footerReference w:type="default" r:id="rId40"/>
          <w:type w:val="continuous"/>
          <w:pgSz w:w="12242" w:h="15842" w:code="1"/>
          <w:pgMar w:top="1440" w:right="1440" w:bottom="1440" w:left="1440" w:header="720" w:footer="720" w:gutter="0"/>
          <w:cols w:num="2" w:space="600"/>
          <w:noEndnote/>
          <w:docGrid w:linePitch="326"/>
        </w:sectPr>
      </w:pPr>
    </w:p>
    <w:p w:rsidR="00AB2035" w:rsidRPr="003C6323" w:rsidRDefault="00AB2035" w:rsidP="00B2055D">
      <w:pPr>
        <w:bidi w:val="0"/>
        <w:snapToGrid w:val="0"/>
        <w:ind w:left="425" w:hanging="425"/>
        <w:jc w:val="both"/>
        <w:rPr>
          <w:sz w:val="20"/>
          <w:szCs w:val="20"/>
        </w:rPr>
      </w:pPr>
    </w:p>
    <w:p w:rsidR="00641E81" w:rsidRPr="003C6323" w:rsidRDefault="00641E81" w:rsidP="00B2055D">
      <w:pPr>
        <w:widowControl w:val="0"/>
        <w:autoSpaceDE w:val="0"/>
        <w:autoSpaceDN w:val="0"/>
        <w:bidi w:val="0"/>
        <w:adjustRightInd w:val="0"/>
        <w:snapToGrid w:val="0"/>
        <w:ind w:left="425" w:hanging="425"/>
        <w:jc w:val="both"/>
        <w:rPr>
          <w:sz w:val="20"/>
          <w:szCs w:val="20"/>
          <w:lang w:eastAsia="zh-CN" w:bidi="ar-EG"/>
        </w:rPr>
      </w:pPr>
    </w:p>
    <w:p w:rsidR="00B2055D" w:rsidRPr="003C6323" w:rsidRDefault="00B2055D" w:rsidP="00B2055D">
      <w:pPr>
        <w:widowControl w:val="0"/>
        <w:autoSpaceDE w:val="0"/>
        <w:autoSpaceDN w:val="0"/>
        <w:bidi w:val="0"/>
        <w:adjustRightInd w:val="0"/>
        <w:snapToGrid w:val="0"/>
        <w:ind w:left="425" w:hanging="425"/>
        <w:jc w:val="both"/>
        <w:rPr>
          <w:sz w:val="20"/>
          <w:szCs w:val="20"/>
          <w:lang w:eastAsia="zh-CN" w:bidi="ar-EG"/>
        </w:rPr>
      </w:pPr>
    </w:p>
    <w:p w:rsidR="0091610D" w:rsidRPr="003C6323" w:rsidRDefault="00641E81" w:rsidP="00B2055D">
      <w:pPr>
        <w:widowControl w:val="0"/>
        <w:autoSpaceDE w:val="0"/>
        <w:autoSpaceDN w:val="0"/>
        <w:bidi w:val="0"/>
        <w:adjustRightInd w:val="0"/>
        <w:snapToGrid w:val="0"/>
        <w:ind w:left="425" w:hanging="425"/>
        <w:jc w:val="both"/>
        <w:rPr>
          <w:rFonts w:eastAsia="Calibri"/>
          <w:sz w:val="20"/>
          <w:szCs w:val="20"/>
          <w:lang w:bidi="ar-EG"/>
        </w:rPr>
      </w:pPr>
      <w:r w:rsidRPr="003C6323">
        <w:rPr>
          <w:rFonts w:eastAsia="Calibri"/>
          <w:sz w:val="20"/>
          <w:szCs w:val="20"/>
          <w:lang w:bidi="ar-EG"/>
        </w:rPr>
        <w:t>5/29/2017</w:t>
      </w:r>
    </w:p>
    <w:sectPr w:rsidR="0091610D" w:rsidRPr="003C6323" w:rsidSect="00B2055D">
      <w:headerReference w:type="default" r:id="rId41"/>
      <w:footerReference w:type="even" r:id="rId42"/>
      <w:footerReference w:type="default" r:id="rId43"/>
      <w:type w:val="continuous"/>
      <w:pgSz w:w="12242" w:h="15842" w:code="1"/>
      <w:pgMar w:top="1440" w:right="1440" w:bottom="1440" w:left="1440" w:header="720" w:footer="720" w:gutter="0"/>
      <w:cols w:space="720"/>
      <w:noEndnote/>
      <w:bidi/>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5F" w:rsidRDefault="0099135F" w:rsidP="004F0BC6">
      <w:r>
        <w:separator/>
      </w:r>
    </w:p>
  </w:endnote>
  <w:endnote w:type="continuationSeparator" w:id="0">
    <w:p w:rsidR="0099135F" w:rsidRDefault="0099135F" w:rsidP="004F0B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Franklin Gothic Book">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altName w:val="Georgia"/>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dvPTimes">
    <w:altName w:val="Times New Roman"/>
    <w:panose1 w:val="00000000000000000000"/>
    <w:charset w:val="00"/>
    <w:family w:val="roman"/>
    <w:notTrueType/>
    <w:pitch w:val="default"/>
    <w:sig w:usb0="00000003" w:usb1="00000000" w:usb2="00000000" w:usb3="00000000" w:csb0="00000001" w:csb1="00000000"/>
  </w:font>
  <w:font w:name="FdfwvjAdvTT86d47313+20">
    <w:altName w:val="Times New Roman"/>
    <w:panose1 w:val="00000000000000000000"/>
    <w:charset w:val="00"/>
    <w:family w:val="roman"/>
    <w:notTrueType/>
    <w:pitch w:val="default"/>
    <w:sig w:usb0="00000000" w:usb1="00000000" w:usb2="00000000" w:usb3="00000000" w:csb0="00000000" w:csb1="00000000"/>
  </w:font>
  <w:font w:name="EuropeanPi-Four">
    <w:altName w:val="Times New Roman"/>
    <w:panose1 w:val="00000000000000000000"/>
    <w:charset w:val="00"/>
    <w:family w:val="roman"/>
    <w:notTrueType/>
    <w:pitch w:val="default"/>
    <w:sig w:usb0="00000000" w:usb1="00000000" w:usb2="00000000" w:usb3="00000000" w:csb0="00000000" w:csb1="00000000"/>
  </w:font>
  <w:font w:name="EuropeanPi-One">
    <w:altName w:val="Times New Roman"/>
    <w:panose1 w:val="00000000000000000000"/>
    <w:charset w:val="00"/>
    <w:family w:val="roman"/>
    <w:notTrueType/>
    <w:pitch w:val="default"/>
    <w:sig w:usb0="00000000" w:usb1="00000000" w:usb2="00000000" w:usb3="00000000" w:csb0="00000000" w:csb1="00000000"/>
  </w:font>
  <w:font w:name="Futura-Book">
    <w:altName w:val="Times New Roman"/>
    <w:panose1 w:val="00000000000000000000"/>
    <w:charset w:val="00"/>
    <w:family w:val="roman"/>
    <w:notTrueType/>
    <w:pitch w:val="default"/>
    <w:sig w:usb0="00000000" w:usb1="00000000" w:usb2="00000000" w:usb3="00000000" w:csb0="00000000" w:csb1="00000000"/>
  </w:font>
  <w:font w:name="Palatino-Bold">
    <w:altName w:val="Times New Roman"/>
    <w:panose1 w:val="00000000000000000000"/>
    <w:charset w:val="00"/>
    <w:family w:val="roman"/>
    <w:notTrueType/>
    <w:pitch w:val="default"/>
    <w:sig w:usb0="00000000" w:usb1="00000000" w:usb2="00000000" w:usb3="00000000" w:csb0="00000000" w:csb1="00000000"/>
  </w:font>
  <w:font w:name="Garamond">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7E4FBC">
    <w:pPr>
      <w:pStyle w:val="Footer"/>
      <w:framePr w:wrap="around" w:vAnchor="text" w:hAnchor="text" w:xAlign="center" w:y="1"/>
      <w:rPr>
        <w:rStyle w:val="PageNumber"/>
      </w:rPr>
    </w:pPr>
    <w:r>
      <w:rPr>
        <w:rStyle w:val="PageNumber"/>
        <w:rtl/>
      </w:rPr>
      <w:fldChar w:fldCharType="begin"/>
    </w:r>
    <w:r w:rsidR="00641E81">
      <w:rPr>
        <w:rStyle w:val="PageNumber"/>
      </w:rPr>
      <w:instrText xml:space="preserve">PAGE  </w:instrText>
    </w:r>
    <w:r>
      <w:rPr>
        <w:rStyle w:val="PageNumber"/>
        <w:rtl/>
      </w:rPr>
      <w:fldChar w:fldCharType="end"/>
    </w:r>
  </w:p>
  <w:p w:rsidR="00641E81" w:rsidRDefault="00641E81">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Pr="00B2055D" w:rsidRDefault="00295C17" w:rsidP="00B2055D">
    <w:pPr>
      <w:bidi w:val="0"/>
      <w:jc w:val="center"/>
      <w:rPr>
        <w:sz w:val="20"/>
      </w:rPr>
    </w:pPr>
    <w:r w:rsidRPr="00B2055D">
      <w:rPr>
        <w:sz w:val="20"/>
      </w:rPr>
      <w:fldChar w:fldCharType="begin"/>
    </w:r>
    <w:r w:rsidR="00B2055D" w:rsidRPr="00B2055D">
      <w:rPr>
        <w:sz w:val="20"/>
      </w:rPr>
      <w:instrText xml:space="preserve"> page </w:instrText>
    </w:r>
    <w:r w:rsidRPr="00B2055D">
      <w:rPr>
        <w:sz w:val="20"/>
      </w:rPr>
      <w:fldChar w:fldCharType="separate"/>
    </w:r>
    <w:r w:rsidR="003C6323">
      <w:rPr>
        <w:noProof/>
        <w:sz w:val="20"/>
      </w:rPr>
      <w:t>24</w:t>
    </w:r>
    <w:r w:rsidRPr="00B2055D">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7E4FBC">
    <w:pPr>
      <w:pStyle w:val="Footer"/>
      <w:framePr w:wrap="around" w:vAnchor="text" w:hAnchor="text" w:xAlign="center" w:y="1"/>
      <w:rPr>
        <w:rStyle w:val="PageNumber"/>
      </w:rPr>
    </w:pPr>
    <w:r>
      <w:rPr>
        <w:rStyle w:val="PageNumber"/>
        <w:rtl/>
      </w:rPr>
      <w:fldChar w:fldCharType="begin"/>
    </w:r>
    <w:r w:rsidR="00641E81">
      <w:rPr>
        <w:rStyle w:val="PageNumber"/>
      </w:rPr>
      <w:instrText xml:space="preserve">PAGE  </w:instrText>
    </w:r>
    <w:r>
      <w:rPr>
        <w:rStyle w:val="PageNumber"/>
        <w:rtl/>
      </w:rPr>
      <w:fldChar w:fldCharType="end"/>
    </w:r>
  </w:p>
  <w:p w:rsidR="00641E81" w:rsidRDefault="00641E81">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Pr="00B2055D" w:rsidRDefault="00295C17" w:rsidP="00B2055D">
    <w:pPr>
      <w:bidi w:val="0"/>
      <w:jc w:val="center"/>
      <w:rPr>
        <w:sz w:val="20"/>
      </w:rPr>
    </w:pPr>
    <w:r w:rsidRPr="00B2055D">
      <w:rPr>
        <w:sz w:val="20"/>
      </w:rPr>
      <w:fldChar w:fldCharType="begin"/>
    </w:r>
    <w:r w:rsidR="00B2055D" w:rsidRPr="00B2055D">
      <w:rPr>
        <w:sz w:val="20"/>
      </w:rPr>
      <w:instrText xml:space="preserve"> page </w:instrText>
    </w:r>
    <w:r w:rsidRPr="00B2055D">
      <w:rPr>
        <w:sz w:val="20"/>
      </w:rPr>
      <w:fldChar w:fldCharType="separate"/>
    </w:r>
    <w:r w:rsidR="003C6323">
      <w:rPr>
        <w:noProof/>
        <w:sz w:val="20"/>
      </w:rPr>
      <w:t>26</w:t>
    </w:r>
    <w:r w:rsidRPr="00B2055D">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23" w:rsidRDefault="00295C17" w:rsidP="007E4FBC">
    <w:pPr>
      <w:pStyle w:val="Footer"/>
      <w:framePr w:wrap="around" w:vAnchor="text" w:hAnchor="text" w:xAlign="center" w:y="1"/>
      <w:rPr>
        <w:rStyle w:val="PageNumber"/>
      </w:rPr>
    </w:pPr>
    <w:r>
      <w:rPr>
        <w:rStyle w:val="PageNumber"/>
        <w:rtl/>
      </w:rPr>
      <w:fldChar w:fldCharType="begin"/>
    </w:r>
    <w:r w:rsidR="000B1823">
      <w:rPr>
        <w:rStyle w:val="PageNumber"/>
      </w:rPr>
      <w:instrText xml:space="preserve">PAGE  </w:instrText>
    </w:r>
    <w:r>
      <w:rPr>
        <w:rStyle w:val="PageNumber"/>
        <w:rtl/>
      </w:rPr>
      <w:fldChar w:fldCharType="end"/>
    </w:r>
  </w:p>
  <w:p w:rsidR="000B1823" w:rsidRDefault="000B1823">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37" w:rsidRPr="00B2055D" w:rsidRDefault="00295C17" w:rsidP="00B2055D">
    <w:pPr>
      <w:bidi w:val="0"/>
      <w:jc w:val="center"/>
      <w:rPr>
        <w:sz w:val="20"/>
      </w:rPr>
    </w:pPr>
    <w:r w:rsidRPr="00B2055D">
      <w:rPr>
        <w:sz w:val="20"/>
      </w:rPr>
      <w:fldChar w:fldCharType="begin"/>
    </w:r>
    <w:r w:rsidR="00B2055D" w:rsidRPr="00B2055D">
      <w:rPr>
        <w:sz w:val="20"/>
      </w:rPr>
      <w:instrText xml:space="preserve"> page </w:instrText>
    </w:r>
    <w:r w:rsidRPr="00B2055D">
      <w:rPr>
        <w:sz w:val="20"/>
      </w:rPr>
      <w:fldChar w:fldCharType="separate"/>
    </w:r>
    <w:r w:rsidR="00B2055D">
      <w:rPr>
        <w:noProof/>
        <w:sz w:val="20"/>
      </w:rPr>
      <w:t>8</w:t>
    </w:r>
    <w:r w:rsidRPr="00B2055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Pr="00B2055D" w:rsidRDefault="00295C17" w:rsidP="00B2055D">
    <w:pPr>
      <w:bidi w:val="0"/>
      <w:jc w:val="center"/>
      <w:rPr>
        <w:sz w:val="20"/>
      </w:rPr>
    </w:pPr>
    <w:r w:rsidRPr="00B2055D">
      <w:rPr>
        <w:sz w:val="20"/>
      </w:rPr>
      <w:fldChar w:fldCharType="begin"/>
    </w:r>
    <w:r w:rsidR="00B2055D" w:rsidRPr="00B2055D">
      <w:rPr>
        <w:sz w:val="20"/>
      </w:rPr>
      <w:instrText xml:space="preserve"> page </w:instrText>
    </w:r>
    <w:r w:rsidRPr="00B2055D">
      <w:rPr>
        <w:sz w:val="20"/>
      </w:rPr>
      <w:fldChar w:fldCharType="separate"/>
    </w:r>
    <w:r w:rsidR="003C6323">
      <w:rPr>
        <w:noProof/>
        <w:sz w:val="20"/>
      </w:rPr>
      <w:t>21</w:t>
    </w:r>
    <w:r w:rsidRPr="00B2055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7E4FBC">
    <w:pPr>
      <w:pStyle w:val="Footer"/>
      <w:framePr w:wrap="around" w:vAnchor="text" w:hAnchor="text" w:xAlign="center" w:y="1"/>
      <w:rPr>
        <w:rStyle w:val="PageNumber"/>
      </w:rPr>
    </w:pPr>
    <w:r>
      <w:rPr>
        <w:rStyle w:val="PageNumber"/>
        <w:rtl/>
      </w:rPr>
      <w:fldChar w:fldCharType="begin"/>
    </w:r>
    <w:r w:rsidR="00641E81">
      <w:rPr>
        <w:rStyle w:val="PageNumber"/>
      </w:rPr>
      <w:instrText xml:space="preserve">PAGE  </w:instrText>
    </w:r>
    <w:r>
      <w:rPr>
        <w:rStyle w:val="PageNumber"/>
        <w:rtl/>
      </w:rPr>
      <w:fldChar w:fldCharType="end"/>
    </w:r>
  </w:p>
  <w:p w:rsidR="00641E81" w:rsidRDefault="00641E8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Pr="00B2055D" w:rsidRDefault="00295C17" w:rsidP="00B2055D">
    <w:pPr>
      <w:bidi w:val="0"/>
      <w:jc w:val="center"/>
      <w:rPr>
        <w:sz w:val="20"/>
      </w:rPr>
    </w:pPr>
    <w:r w:rsidRPr="00B2055D">
      <w:rPr>
        <w:sz w:val="20"/>
      </w:rPr>
      <w:fldChar w:fldCharType="begin"/>
    </w:r>
    <w:r w:rsidR="00B2055D" w:rsidRPr="00B2055D">
      <w:rPr>
        <w:sz w:val="20"/>
      </w:rPr>
      <w:instrText xml:space="preserve"> page </w:instrText>
    </w:r>
    <w:r w:rsidRPr="00B2055D">
      <w:rPr>
        <w:sz w:val="20"/>
      </w:rPr>
      <w:fldChar w:fldCharType="separate"/>
    </w:r>
    <w:r w:rsidR="003C6323">
      <w:rPr>
        <w:noProof/>
        <w:sz w:val="20"/>
      </w:rPr>
      <w:t>22</w:t>
    </w:r>
    <w:r w:rsidRPr="00B2055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7E4FBC">
    <w:pPr>
      <w:pStyle w:val="Footer"/>
      <w:framePr w:wrap="around" w:vAnchor="text" w:hAnchor="text" w:xAlign="center" w:y="1"/>
      <w:rPr>
        <w:rStyle w:val="PageNumber"/>
      </w:rPr>
    </w:pPr>
    <w:r>
      <w:rPr>
        <w:rStyle w:val="PageNumber"/>
        <w:rtl/>
      </w:rPr>
      <w:fldChar w:fldCharType="begin"/>
    </w:r>
    <w:r w:rsidR="00641E81">
      <w:rPr>
        <w:rStyle w:val="PageNumber"/>
      </w:rPr>
      <w:instrText xml:space="preserve">PAGE  </w:instrText>
    </w:r>
    <w:r>
      <w:rPr>
        <w:rStyle w:val="PageNumber"/>
        <w:rtl/>
      </w:rPr>
      <w:fldChar w:fldCharType="end"/>
    </w:r>
  </w:p>
  <w:p w:rsidR="00641E81" w:rsidRDefault="00641E81">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0B1823">
    <w:pPr>
      <w:pStyle w:val="Footer"/>
      <w:framePr w:wrap="around" w:vAnchor="text" w:hAnchor="text" w:xAlign="center" w:y="1"/>
      <w:bidi w:val="0"/>
      <w:rPr>
        <w:rStyle w:val="PageNumber"/>
      </w:rPr>
    </w:pPr>
    <w:r>
      <w:rPr>
        <w:rStyle w:val="PageNumber"/>
        <w:rtl/>
      </w:rPr>
      <w:fldChar w:fldCharType="begin"/>
    </w:r>
    <w:r w:rsidR="00641E81">
      <w:rPr>
        <w:rStyle w:val="PageNumber"/>
      </w:rPr>
      <w:instrText xml:space="preserve">PAGE  </w:instrText>
    </w:r>
    <w:r>
      <w:rPr>
        <w:rStyle w:val="PageNumber"/>
        <w:rtl/>
      </w:rPr>
      <w:fldChar w:fldCharType="separate"/>
    </w:r>
    <w:r w:rsidR="00641E81">
      <w:rPr>
        <w:rStyle w:val="PageNumber"/>
        <w:noProof/>
      </w:rPr>
      <w:t>1</w:t>
    </w:r>
    <w:r>
      <w:rPr>
        <w:rStyle w:val="PageNumber"/>
        <w:rtl/>
      </w:rPr>
      <w:fldChar w:fldCharType="end"/>
    </w:r>
  </w:p>
  <w:p w:rsidR="00641E81" w:rsidRDefault="00641E81" w:rsidP="00852998">
    <w:pPr>
      <w:pStyle w:val="Footer"/>
      <w:bidi w:val="0"/>
      <w:jc w:val="both"/>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7E4FBC">
    <w:pPr>
      <w:pStyle w:val="Footer"/>
      <w:framePr w:wrap="around" w:vAnchor="text" w:hAnchor="text" w:xAlign="center" w:y="1"/>
      <w:rPr>
        <w:rStyle w:val="PageNumber"/>
      </w:rPr>
    </w:pPr>
    <w:r>
      <w:rPr>
        <w:rStyle w:val="PageNumber"/>
        <w:rtl/>
      </w:rPr>
      <w:fldChar w:fldCharType="begin"/>
    </w:r>
    <w:r w:rsidR="00641E81">
      <w:rPr>
        <w:rStyle w:val="PageNumber"/>
      </w:rPr>
      <w:instrText xml:space="preserve">PAGE  </w:instrText>
    </w:r>
    <w:r>
      <w:rPr>
        <w:rStyle w:val="PageNumber"/>
        <w:rtl/>
      </w:rPr>
      <w:fldChar w:fldCharType="end"/>
    </w:r>
  </w:p>
  <w:p w:rsidR="00641E81" w:rsidRDefault="00641E81">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0B1823">
    <w:pPr>
      <w:pStyle w:val="Footer"/>
      <w:framePr w:wrap="around" w:vAnchor="text" w:hAnchor="text" w:xAlign="center" w:y="1"/>
      <w:bidi w:val="0"/>
      <w:rPr>
        <w:rStyle w:val="PageNumber"/>
      </w:rPr>
    </w:pPr>
    <w:r>
      <w:rPr>
        <w:rStyle w:val="PageNumber"/>
        <w:rtl/>
      </w:rPr>
      <w:fldChar w:fldCharType="begin"/>
    </w:r>
    <w:r w:rsidR="00641E81">
      <w:rPr>
        <w:rStyle w:val="PageNumber"/>
      </w:rPr>
      <w:instrText xml:space="preserve">PAGE  </w:instrText>
    </w:r>
    <w:r>
      <w:rPr>
        <w:rStyle w:val="PageNumber"/>
        <w:rtl/>
      </w:rPr>
      <w:fldChar w:fldCharType="separate"/>
    </w:r>
    <w:r w:rsidR="00B2055D">
      <w:rPr>
        <w:rStyle w:val="PageNumber"/>
        <w:noProof/>
      </w:rPr>
      <w:t>3</w:t>
    </w:r>
    <w:r>
      <w:rPr>
        <w:rStyle w:val="PageNumber"/>
        <w:rtl/>
      </w:rPr>
      <w:fldChar w:fldCharType="end"/>
    </w:r>
  </w:p>
  <w:p w:rsidR="00641E81" w:rsidRDefault="00641E81" w:rsidP="00852998">
    <w:pPr>
      <w:pStyle w:val="Footer"/>
      <w:bidi w:val="0"/>
      <w:jc w:val="both"/>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Default="00295C17" w:rsidP="007E4FBC">
    <w:pPr>
      <w:pStyle w:val="Footer"/>
      <w:framePr w:wrap="around" w:vAnchor="text" w:hAnchor="text" w:xAlign="center" w:y="1"/>
      <w:rPr>
        <w:rStyle w:val="PageNumber"/>
      </w:rPr>
    </w:pPr>
    <w:r>
      <w:rPr>
        <w:rStyle w:val="PageNumber"/>
        <w:rtl/>
      </w:rPr>
      <w:fldChar w:fldCharType="begin"/>
    </w:r>
    <w:r w:rsidR="00641E81">
      <w:rPr>
        <w:rStyle w:val="PageNumber"/>
      </w:rPr>
      <w:instrText xml:space="preserve">PAGE  </w:instrText>
    </w:r>
    <w:r>
      <w:rPr>
        <w:rStyle w:val="PageNumber"/>
        <w:rtl/>
      </w:rPr>
      <w:fldChar w:fldCharType="end"/>
    </w:r>
  </w:p>
  <w:p w:rsidR="00641E81" w:rsidRDefault="00641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5F" w:rsidRDefault="0099135F" w:rsidP="004F0BC6">
      <w:r>
        <w:separator/>
      </w:r>
    </w:p>
  </w:footnote>
  <w:footnote w:type="continuationSeparator" w:id="0">
    <w:p w:rsidR="0099135F" w:rsidRDefault="0099135F" w:rsidP="004F0B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D" w:rsidRPr="00B2055D" w:rsidRDefault="00B2055D" w:rsidP="00B2055D">
    <w:pPr>
      <w:pBdr>
        <w:bottom w:val="thinThickMediumGap" w:sz="12" w:space="1" w:color="auto"/>
      </w:pBdr>
      <w:tabs>
        <w:tab w:val="left" w:pos="851"/>
        <w:tab w:val="right" w:pos="8364"/>
      </w:tabs>
      <w:bidi w:val="0"/>
      <w:adjustRightInd w:val="0"/>
      <w:snapToGrid w:val="0"/>
      <w:jc w:val="both"/>
      <w:rPr>
        <w:iCs/>
        <w:sz w:val="20"/>
        <w:szCs w:val="20"/>
      </w:rPr>
    </w:pPr>
    <w:r w:rsidRPr="00B2055D">
      <w:rPr>
        <w:rFonts w:hint="eastAsia"/>
        <w:sz w:val="20"/>
        <w:szCs w:val="20"/>
      </w:rPr>
      <w:tab/>
    </w:r>
    <w:r w:rsidRPr="00B2055D">
      <w:rPr>
        <w:sz w:val="20"/>
        <w:szCs w:val="20"/>
      </w:rPr>
      <w:t>New York Science Journal 201</w:t>
    </w:r>
    <w:r w:rsidRPr="00B2055D">
      <w:rPr>
        <w:rFonts w:hint="eastAsia"/>
        <w:sz w:val="20"/>
        <w:szCs w:val="20"/>
      </w:rPr>
      <w:t>7</w:t>
    </w:r>
    <w:r w:rsidRPr="00B2055D">
      <w:rPr>
        <w:sz w:val="20"/>
        <w:szCs w:val="20"/>
      </w:rPr>
      <w:t>;</w:t>
    </w:r>
    <w:r w:rsidRPr="00B2055D">
      <w:rPr>
        <w:rFonts w:hint="eastAsia"/>
        <w:sz w:val="20"/>
        <w:szCs w:val="20"/>
      </w:rPr>
      <w:t>10</w:t>
    </w:r>
    <w:r w:rsidRPr="00B2055D">
      <w:rPr>
        <w:sz w:val="20"/>
        <w:szCs w:val="20"/>
      </w:rPr>
      <w:t>(</w:t>
    </w:r>
    <w:r w:rsidRPr="00B2055D">
      <w:rPr>
        <w:rFonts w:hint="eastAsia"/>
        <w:sz w:val="20"/>
        <w:szCs w:val="20"/>
      </w:rPr>
      <w:t>7</w:t>
    </w:r>
    <w:r w:rsidRPr="00B2055D">
      <w:rPr>
        <w:sz w:val="20"/>
        <w:szCs w:val="20"/>
      </w:rPr>
      <w:t>)</w:t>
    </w:r>
    <w:r w:rsidRPr="00B2055D">
      <w:rPr>
        <w:iCs/>
        <w:sz w:val="20"/>
        <w:szCs w:val="20"/>
      </w:rPr>
      <w:t xml:space="preserve">     </w:t>
    </w:r>
    <w:r w:rsidRPr="00B2055D">
      <w:rPr>
        <w:rFonts w:hint="eastAsia"/>
        <w:iCs/>
        <w:sz w:val="20"/>
        <w:szCs w:val="20"/>
      </w:rPr>
      <w:tab/>
    </w:r>
    <w:r w:rsidRPr="00B2055D">
      <w:rPr>
        <w:iCs/>
        <w:sz w:val="20"/>
        <w:szCs w:val="20"/>
      </w:rPr>
      <w:t xml:space="preserve"> </w:t>
    </w:r>
    <w:r w:rsidRPr="00B2055D">
      <w:rPr>
        <w:rFonts w:hint="eastAsia"/>
        <w:iCs/>
        <w:sz w:val="20"/>
        <w:szCs w:val="20"/>
      </w:rPr>
      <w:t xml:space="preserve"> </w:t>
    </w:r>
    <w:r w:rsidRPr="00B2055D">
      <w:rPr>
        <w:iCs/>
        <w:sz w:val="20"/>
        <w:szCs w:val="20"/>
      </w:rPr>
      <w:t xml:space="preserve">   </w:t>
    </w:r>
    <w:hyperlink r:id="rId1" w:history="1">
      <w:r w:rsidRPr="00B2055D">
        <w:rPr>
          <w:rStyle w:val="Hyperlink"/>
          <w:color w:val="0000FF"/>
          <w:sz w:val="20"/>
          <w:szCs w:val="20"/>
        </w:rPr>
        <w:t>http://www.sciencepub.net/newyork</w:t>
      </w:r>
    </w:hyperlink>
  </w:p>
  <w:p w:rsidR="00B2055D" w:rsidRPr="00B2055D" w:rsidRDefault="00B2055D" w:rsidP="00B2055D">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D" w:rsidRPr="00B2055D" w:rsidRDefault="00B2055D" w:rsidP="00B2055D">
    <w:pPr>
      <w:pBdr>
        <w:bottom w:val="thinThickMediumGap" w:sz="12" w:space="1" w:color="auto"/>
      </w:pBdr>
      <w:tabs>
        <w:tab w:val="left" w:pos="851"/>
        <w:tab w:val="right" w:pos="8364"/>
      </w:tabs>
      <w:bidi w:val="0"/>
      <w:adjustRightInd w:val="0"/>
      <w:snapToGrid w:val="0"/>
      <w:jc w:val="both"/>
      <w:rPr>
        <w:iCs/>
        <w:sz w:val="20"/>
        <w:szCs w:val="20"/>
      </w:rPr>
    </w:pPr>
    <w:r w:rsidRPr="00B2055D">
      <w:rPr>
        <w:rFonts w:hint="eastAsia"/>
        <w:sz w:val="20"/>
        <w:szCs w:val="20"/>
      </w:rPr>
      <w:tab/>
    </w:r>
    <w:r w:rsidRPr="00B2055D">
      <w:rPr>
        <w:sz w:val="20"/>
        <w:szCs w:val="20"/>
      </w:rPr>
      <w:t>New York Science Journal 201</w:t>
    </w:r>
    <w:r w:rsidRPr="00B2055D">
      <w:rPr>
        <w:rFonts w:hint="eastAsia"/>
        <w:sz w:val="20"/>
        <w:szCs w:val="20"/>
      </w:rPr>
      <w:t>7</w:t>
    </w:r>
    <w:r w:rsidRPr="00B2055D">
      <w:rPr>
        <w:sz w:val="20"/>
        <w:szCs w:val="20"/>
      </w:rPr>
      <w:t>;</w:t>
    </w:r>
    <w:r w:rsidRPr="00B2055D">
      <w:rPr>
        <w:rFonts w:hint="eastAsia"/>
        <w:sz w:val="20"/>
        <w:szCs w:val="20"/>
      </w:rPr>
      <w:t>10</w:t>
    </w:r>
    <w:r w:rsidRPr="00B2055D">
      <w:rPr>
        <w:sz w:val="20"/>
        <w:szCs w:val="20"/>
      </w:rPr>
      <w:t>(</w:t>
    </w:r>
    <w:r w:rsidRPr="00B2055D">
      <w:rPr>
        <w:rFonts w:hint="eastAsia"/>
        <w:sz w:val="20"/>
        <w:szCs w:val="20"/>
      </w:rPr>
      <w:t>7</w:t>
    </w:r>
    <w:r w:rsidRPr="00B2055D">
      <w:rPr>
        <w:sz w:val="20"/>
        <w:szCs w:val="20"/>
      </w:rPr>
      <w:t>)</w:t>
    </w:r>
    <w:r w:rsidRPr="00B2055D">
      <w:rPr>
        <w:iCs/>
        <w:sz w:val="20"/>
        <w:szCs w:val="20"/>
      </w:rPr>
      <w:t xml:space="preserve">     </w:t>
    </w:r>
    <w:r w:rsidRPr="00B2055D">
      <w:rPr>
        <w:rFonts w:hint="eastAsia"/>
        <w:iCs/>
        <w:sz w:val="20"/>
        <w:szCs w:val="20"/>
      </w:rPr>
      <w:tab/>
    </w:r>
    <w:r w:rsidRPr="00B2055D">
      <w:rPr>
        <w:iCs/>
        <w:sz w:val="20"/>
        <w:szCs w:val="20"/>
      </w:rPr>
      <w:t xml:space="preserve"> </w:t>
    </w:r>
    <w:r w:rsidRPr="00B2055D">
      <w:rPr>
        <w:rFonts w:hint="eastAsia"/>
        <w:iCs/>
        <w:sz w:val="20"/>
        <w:szCs w:val="20"/>
      </w:rPr>
      <w:t xml:space="preserve"> </w:t>
    </w:r>
    <w:r w:rsidRPr="00B2055D">
      <w:rPr>
        <w:iCs/>
        <w:sz w:val="20"/>
        <w:szCs w:val="20"/>
      </w:rPr>
      <w:t xml:space="preserve">   </w:t>
    </w:r>
    <w:hyperlink r:id="rId1" w:history="1">
      <w:r w:rsidRPr="00B2055D">
        <w:rPr>
          <w:rStyle w:val="Hyperlink"/>
          <w:color w:val="0000FF"/>
          <w:sz w:val="20"/>
          <w:szCs w:val="20"/>
        </w:rPr>
        <w:t>http://www.sciencepub.net/newyork</w:t>
      </w:r>
    </w:hyperlink>
  </w:p>
  <w:p w:rsidR="00B2055D" w:rsidRPr="00B2055D" w:rsidRDefault="00B2055D" w:rsidP="00B2055D">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Pr="0067578F" w:rsidRDefault="00641E81" w:rsidP="0067578F">
    <w:pPr>
      <w:pBdr>
        <w:bottom w:val="thinThickMediumGap" w:sz="12" w:space="1" w:color="auto"/>
      </w:pBdr>
      <w:tabs>
        <w:tab w:val="center" w:pos="4680"/>
        <w:tab w:val="right" w:pos="9360"/>
      </w:tabs>
      <w:jc w:val="center"/>
      <w:rPr>
        <w:rFonts w:asciiTheme="majorBidi" w:hAnsiTheme="majorBidi" w:cstheme="majorBidi"/>
        <w:iCs/>
        <w:sz w:val="20"/>
        <w:szCs w:val="20"/>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E81" w:rsidRPr="0067578F" w:rsidRDefault="00641E81" w:rsidP="0067578F">
    <w:pPr>
      <w:pBdr>
        <w:bottom w:val="thinThickMediumGap" w:sz="12" w:space="1" w:color="auto"/>
      </w:pBdr>
      <w:tabs>
        <w:tab w:val="center" w:pos="4680"/>
        <w:tab w:val="right" w:pos="9360"/>
      </w:tabs>
      <w:jc w:val="center"/>
      <w:rPr>
        <w:rFonts w:asciiTheme="majorBidi" w:hAnsiTheme="majorBidi" w:cstheme="majorBidi"/>
        <w:iCs/>
        <w:sz w:val="20"/>
        <w:szCs w:val="20"/>
        <w:lang w:bidi="ar-EG"/>
      </w:rPr>
    </w:pPr>
    <w:r w:rsidRPr="0035280B">
      <w:rPr>
        <w:rFonts w:asciiTheme="majorBidi" w:hAnsiTheme="majorBidi" w:cstheme="majorBidi"/>
        <w:sz w:val="20"/>
        <w:szCs w:val="20"/>
      </w:rPr>
      <w:t xml:space="preserve">New York Science Journal 2017;10(x)                             </w:t>
    </w:r>
    <w:hyperlink r:id="rId1" w:history="1">
      <w:r w:rsidRPr="0035280B">
        <w:rPr>
          <w:rStyle w:val="Hyperlink"/>
          <w:rFonts w:asciiTheme="majorBidi" w:eastAsia="Arial" w:hAnsiTheme="majorBidi" w:cstheme="majorBidi"/>
          <w:sz w:val="20"/>
          <w:szCs w:val="20"/>
        </w:rPr>
        <w:t>http://www.sciencepub.net/newyork</w:t>
      </w:r>
    </w:hyperlink>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D" w:rsidRPr="00B2055D" w:rsidRDefault="00B2055D" w:rsidP="00B2055D">
    <w:pPr>
      <w:pBdr>
        <w:bottom w:val="thinThickMediumGap" w:sz="12" w:space="1" w:color="auto"/>
      </w:pBdr>
      <w:tabs>
        <w:tab w:val="left" w:pos="851"/>
        <w:tab w:val="right" w:pos="8364"/>
      </w:tabs>
      <w:bidi w:val="0"/>
      <w:adjustRightInd w:val="0"/>
      <w:snapToGrid w:val="0"/>
      <w:jc w:val="both"/>
      <w:rPr>
        <w:iCs/>
        <w:sz w:val="20"/>
        <w:szCs w:val="20"/>
      </w:rPr>
    </w:pPr>
    <w:r w:rsidRPr="00B2055D">
      <w:rPr>
        <w:rFonts w:hint="eastAsia"/>
        <w:sz w:val="20"/>
        <w:szCs w:val="20"/>
      </w:rPr>
      <w:tab/>
    </w:r>
    <w:r w:rsidRPr="00B2055D">
      <w:rPr>
        <w:sz w:val="20"/>
        <w:szCs w:val="20"/>
      </w:rPr>
      <w:t>New York Science Journal 201</w:t>
    </w:r>
    <w:r w:rsidRPr="00B2055D">
      <w:rPr>
        <w:rFonts w:hint="eastAsia"/>
        <w:sz w:val="20"/>
        <w:szCs w:val="20"/>
      </w:rPr>
      <w:t>7</w:t>
    </w:r>
    <w:r w:rsidRPr="00B2055D">
      <w:rPr>
        <w:sz w:val="20"/>
        <w:szCs w:val="20"/>
      </w:rPr>
      <w:t>;</w:t>
    </w:r>
    <w:r w:rsidRPr="00B2055D">
      <w:rPr>
        <w:rFonts w:hint="eastAsia"/>
        <w:sz w:val="20"/>
        <w:szCs w:val="20"/>
      </w:rPr>
      <w:t>10</w:t>
    </w:r>
    <w:r w:rsidRPr="00B2055D">
      <w:rPr>
        <w:sz w:val="20"/>
        <w:szCs w:val="20"/>
      </w:rPr>
      <w:t>(</w:t>
    </w:r>
    <w:r w:rsidRPr="00B2055D">
      <w:rPr>
        <w:rFonts w:hint="eastAsia"/>
        <w:sz w:val="20"/>
        <w:szCs w:val="20"/>
      </w:rPr>
      <w:t>7</w:t>
    </w:r>
    <w:r w:rsidRPr="00B2055D">
      <w:rPr>
        <w:sz w:val="20"/>
        <w:szCs w:val="20"/>
      </w:rPr>
      <w:t>)</w:t>
    </w:r>
    <w:r w:rsidRPr="00B2055D">
      <w:rPr>
        <w:iCs/>
        <w:sz w:val="20"/>
        <w:szCs w:val="20"/>
      </w:rPr>
      <w:t xml:space="preserve">     </w:t>
    </w:r>
    <w:r w:rsidRPr="00B2055D">
      <w:rPr>
        <w:rFonts w:hint="eastAsia"/>
        <w:iCs/>
        <w:sz w:val="20"/>
        <w:szCs w:val="20"/>
      </w:rPr>
      <w:tab/>
    </w:r>
    <w:r w:rsidRPr="00B2055D">
      <w:rPr>
        <w:iCs/>
        <w:sz w:val="20"/>
        <w:szCs w:val="20"/>
      </w:rPr>
      <w:t xml:space="preserve"> </w:t>
    </w:r>
    <w:r w:rsidRPr="00B2055D">
      <w:rPr>
        <w:rFonts w:hint="eastAsia"/>
        <w:iCs/>
        <w:sz w:val="20"/>
        <w:szCs w:val="20"/>
      </w:rPr>
      <w:t xml:space="preserve"> </w:t>
    </w:r>
    <w:r w:rsidRPr="00B2055D">
      <w:rPr>
        <w:iCs/>
        <w:sz w:val="20"/>
        <w:szCs w:val="20"/>
      </w:rPr>
      <w:t xml:space="preserve">   </w:t>
    </w:r>
    <w:hyperlink r:id="rId1" w:history="1">
      <w:r w:rsidRPr="00B2055D">
        <w:rPr>
          <w:rStyle w:val="Hyperlink"/>
          <w:color w:val="0000FF"/>
          <w:sz w:val="20"/>
          <w:szCs w:val="20"/>
        </w:rPr>
        <w:t>http://www.sciencepub.net/newyork</w:t>
      </w:r>
    </w:hyperlink>
  </w:p>
  <w:p w:rsidR="00B2055D" w:rsidRPr="00B2055D" w:rsidRDefault="00B2055D" w:rsidP="00B2055D">
    <w:pPr>
      <w:tabs>
        <w:tab w:val="left" w:pos="851"/>
        <w:tab w:val="left" w:pos="7200"/>
        <w:tab w:val="right" w:pos="8364"/>
      </w:tabs>
      <w:bidi w:val="0"/>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D" w:rsidRPr="00B2055D" w:rsidRDefault="00B2055D" w:rsidP="00B2055D">
    <w:pPr>
      <w:pBdr>
        <w:bottom w:val="thinThickMediumGap" w:sz="12" w:space="1" w:color="auto"/>
      </w:pBdr>
      <w:tabs>
        <w:tab w:val="left" w:pos="851"/>
        <w:tab w:val="right" w:pos="8364"/>
      </w:tabs>
      <w:bidi w:val="0"/>
      <w:adjustRightInd w:val="0"/>
      <w:snapToGrid w:val="0"/>
      <w:jc w:val="both"/>
      <w:rPr>
        <w:iCs/>
        <w:sz w:val="20"/>
        <w:szCs w:val="20"/>
      </w:rPr>
    </w:pPr>
    <w:r w:rsidRPr="00B2055D">
      <w:rPr>
        <w:rFonts w:hint="eastAsia"/>
        <w:sz w:val="20"/>
        <w:szCs w:val="20"/>
      </w:rPr>
      <w:tab/>
    </w:r>
    <w:r w:rsidRPr="00B2055D">
      <w:rPr>
        <w:sz w:val="20"/>
        <w:szCs w:val="20"/>
      </w:rPr>
      <w:t>New York Science Journal 201</w:t>
    </w:r>
    <w:r w:rsidRPr="00B2055D">
      <w:rPr>
        <w:rFonts w:hint="eastAsia"/>
        <w:sz w:val="20"/>
        <w:szCs w:val="20"/>
      </w:rPr>
      <w:t>7</w:t>
    </w:r>
    <w:r w:rsidRPr="00B2055D">
      <w:rPr>
        <w:sz w:val="20"/>
        <w:szCs w:val="20"/>
      </w:rPr>
      <w:t>;</w:t>
    </w:r>
    <w:r w:rsidRPr="00B2055D">
      <w:rPr>
        <w:rFonts w:hint="eastAsia"/>
        <w:sz w:val="20"/>
        <w:szCs w:val="20"/>
      </w:rPr>
      <w:t>10</w:t>
    </w:r>
    <w:r w:rsidRPr="00B2055D">
      <w:rPr>
        <w:sz w:val="20"/>
        <w:szCs w:val="20"/>
      </w:rPr>
      <w:t>(</w:t>
    </w:r>
    <w:r w:rsidRPr="00B2055D">
      <w:rPr>
        <w:rFonts w:hint="eastAsia"/>
        <w:sz w:val="20"/>
        <w:szCs w:val="20"/>
      </w:rPr>
      <w:t>7</w:t>
    </w:r>
    <w:r w:rsidRPr="00B2055D">
      <w:rPr>
        <w:sz w:val="20"/>
        <w:szCs w:val="20"/>
      </w:rPr>
      <w:t>)</w:t>
    </w:r>
    <w:r w:rsidRPr="00B2055D">
      <w:rPr>
        <w:iCs/>
        <w:sz w:val="20"/>
        <w:szCs w:val="20"/>
      </w:rPr>
      <w:t xml:space="preserve">     </w:t>
    </w:r>
    <w:r w:rsidRPr="00B2055D">
      <w:rPr>
        <w:rFonts w:hint="eastAsia"/>
        <w:iCs/>
        <w:sz w:val="20"/>
        <w:szCs w:val="20"/>
      </w:rPr>
      <w:tab/>
    </w:r>
    <w:r w:rsidRPr="00B2055D">
      <w:rPr>
        <w:iCs/>
        <w:sz w:val="20"/>
        <w:szCs w:val="20"/>
      </w:rPr>
      <w:t xml:space="preserve"> </w:t>
    </w:r>
    <w:r w:rsidRPr="00B2055D">
      <w:rPr>
        <w:rFonts w:hint="eastAsia"/>
        <w:iCs/>
        <w:sz w:val="20"/>
        <w:szCs w:val="20"/>
      </w:rPr>
      <w:t xml:space="preserve"> </w:t>
    </w:r>
    <w:r w:rsidRPr="00B2055D">
      <w:rPr>
        <w:iCs/>
        <w:sz w:val="20"/>
        <w:szCs w:val="20"/>
      </w:rPr>
      <w:t xml:space="preserve">   </w:t>
    </w:r>
    <w:hyperlink r:id="rId1" w:history="1">
      <w:r w:rsidRPr="00B2055D">
        <w:rPr>
          <w:rStyle w:val="Hyperlink"/>
          <w:color w:val="0000FF"/>
          <w:sz w:val="20"/>
          <w:szCs w:val="20"/>
        </w:rPr>
        <w:t>http://www.sciencepub.net/newyork</w:t>
      </w:r>
    </w:hyperlink>
  </w:p>
  <w:p w:rsidR="00B2055D" w:rsidRPr="00B2055D" w:rsidRDefault="00B2055D" w:rsidP="00B2055D">
    <w:pPr>
      <w:tabs>
        <w:tab w:val="left" w:pos="851"/>
        <w:tab w:val="left" w:pos="7200"/>
        <w:tab w:val="right" w:pos="8364"/>
      </w:tabs>
      <w:bidi w:val="0"/>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5D" w:rsidRPr="00B2055D" w:rsidRDefault="00B2055D" w:rsidP="00B2055D">
    <w:pPr>
      <w:pBdr>
        <w:bottom w:val="thinThickMediumGap" w:sz="12" w:space="1" w:color="auto"/>
      </w:pBdr>
      <w:tabs>
        <w:tab w:val="left" w:pos="851"/>
        <w:tab w:val="right" w:pos="8364"/>
      </w:tabs>
      <w:bidi w:val="0"/>
      <w:adjustRightInd w:val="0"/>
      <w:snapToGrid w:val="0"/>
      <w:jc w:val="both"/>
      <w:rPr>
        <w:iCs/>
        <w:sz w:val="20"/>
        <w:szCs w:val="20"/>
      </w:rPr>
    </w:pPr>
    <w:r w:rsidRPr="00B2055D">
      <w:rPr>
        <w:rFonts w:hint="eastAsia"/>
        <w:sz w:val="20"/>
        <w:szCs w:val="20"/>
      </w:rPr>
      <w:tab/>
    </w:r>
    <w:r w:rsidRPr="00B2055D">
      <w:rPr>
        <w:sz w:val="20"/>
        <w:szCs w:val="20"/>
      </w:rPr>
      <w:t>New York Science Journal 201</w:t>
    </w:r>
    <w:r w:rsidRPr="00B2055D">
      <w:rPr>
        <w:rFonts w:hint="eastAsia"/>
        <w:sz w:val="20"/>
        <w:szCs w:val="20"/>
      </w:rPr>
      <w:t>7</w:t>
    </w:r>
    <w:r w:rsidRPr="00B2055D">
      <w:rPr>
        <w:sz w:val="20"/>
        <w:szCs w:val="20"/>
      </w:rPr>
      <w:t>;</w:t>
    </w:r>
    <w:r w:rsidRPr="00B2055D">
      <w:rPr>
        <w:rFonts w:hint="eastAsia"/>
        <w:sz w:val="20"/>
        <w:szCs w:val="20"/>
      </w:rPr>
      <w:t>10</w:t>
    </w:r>
    <w:r w:rsidRPr="00B2055D">
      <w:rPr>
        <w:sz w:val="20"/>
        <w:szCs w:val="20"/>
      </w:rPr>
      <w:t>(</w:t>
    </w:r>
    <w:r w:rsidRPr="00B2055D">
      <w:rPr>
        <w:rFonts w:hint="eastAsia"/>
        <w:sz w:val="20"/>
        <w:szCs w:val="20"/>
      </w:rPr>
      <w:t>7</w:t>
    </w:r>
    <w:r w:rsidRPr="00B2055D">
      <w:rPr>
        <w:sz w:val="20"/>
        <w:szCs w:val="20"/>
      </w:rPr>
      <w:t>)</w:t>
    </w:r>
    <w:r w:rsidRPr="00B2055D">
      <w:rPr>
        <w:iCs/>
        <w:sz w:val="20"/>
        <w:szCs w:val="20"/>
      </w:rPr>
      <w:t xml:space="preserve">     </w:t>
    </w:r>
    <w:r w:rsidRPr="00B2055D">
      <w:rPr>
        <w:rFonts w:hint="eastAsia"/>
        <w:iCs/>
        <w:sz w:val="20"/>
        <w:szCs w:val="20"/>
      </w:rPr>
      <w:tab/>
    </w:r>
    <w:r w:rsidRPr="00B2055D">
      <w:rPr>
        <w:iCs/>
        <w:sz w:val="20"/>
        <w:szCs w:val="20"/>
      </w:rPr>
      <w:t xml:space="preserve"> </w:t>
    </w:r>
    <w:r w:rsidRPr="00B2055D">
      <w:rPr>
        <w:rFonts w:hint="eastAsia"/>
        <w:iCs/>
        <w:sz w:val="20"/>
        <w:szCs w:val="20"/>
      </w:rPr>
      <w:t xml:space="preserve"> </w:t>
    </w:r>
    <w:r w:rsidRPr="00B2055D">
      <w:rPr>
        <w:iCs/>
        <w:sz w:val="20"/>
        <w:szCs w:val="20"/>
      </w:rPr>
      <w:t xml:space="preserve">   </w:t>
    </w:r>
    <w:hyperlink r:id="rId1" w:history="1">
      <w:r w:rsidRPr="00B2055D">
        <w:rPr>
          <w:rStyle w:val="Hyperlink"/>
          <w:color w:val="0000FF"/>
          <w:sz w:val="20"/>
          <w:szCs w:val="20"/>
        </w:rPr>
        <w:t>http://www.sciencepub.net/newyork</w:t>
      </w:r>
    </w:hyperlink>
  </w:p>
  <w:p w:rsidR="00B2055D" w:rsidRPr="00B2055D" w:rsidRDefault="00B2055D" w:rsidP="00B2055D">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526CC4C"/>
    <w:lvl w:ilvl="0">
      <w:start w:val="1"/>
      <w:numFmt w:val="decimal"/>
      <w:pStyle w:val="Reference"/>
      <w:lvlText w:val="%1"/>
      <w:lvlJc w:val="left"/>
      <w:pPr>
        <w:tabs>
          <w:tab w:val="num" w:pos="515"/>
        </w:tabs>
        <w:ind w:left="628" w:right="628" w:hanging="340"/>
      </w:pPr>
      <w:rPr>
        <w:rFonts w:hint="default"/>
      </w:rPr>
    </w:lvl>
  </w:abstractNum>
  <w:abstractNum w:abstractNumId="1">
    <w:nsid w:val="08292E0D"/>
    <w:multiLevelType w:val="hybridMultilevel"/>
    <w:tmpl w:val="E0A6067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nsid w:val="09DD0CEC"/>
    <w:multiLevelType w:val="multilevel"/>
    <w:tmpl w:val="F704D794"/>
    <w:lvl w:ilvl="0">
      <w:start w:val="1"/>
      <w:numFmt w:val="bullet"/>
      <w:lvlText w:val=""/>
      <w:lvlJc w:val="left"/>
      <w:pPr>
        <w:tabs>
          <w:tab w:val="num" w:pos="990"/>
        </w:tabs>
        <w:ind w:left="990" w:right="720" w:hanging="360"/>
      </w:pPr>
      <w:rPr>
        <w:rFonts w:ascii="Symbol" w:hAnsi="Symbol" w:hint="default"/>
        <w:sz w:val="20"/>
      </w:rPr>
    </w:lvl>
    <w:lvl w:ilvl="1" w:tentative="1">
      <w:start w:val="1"/>
      <w:numFmt w:val="bullet"/>
      <w:lvlText w:val="o"/>
      <w:lvlJc w:val="left"/>
      <w:pPr>
        <w:tabs>
          <w:tab w:val="num" w:pos="1710"/>
        </w:tabs>
        <w:ind w:left="1710" w:right="1440" w:hanging="360"/>
      </w:pPr>
      <w:rPr>
        <w:rFonts w:ascii="Courier New" w:hAnsi="Courier New" w:hint="default"/>
        <w:sz w:val="20"/>
      </w:rPr>
    </w:lvl>
    <w:lvl w:ilvl="2" w:tentative="1">
      <w:start w:val="1"/>
      <w:numFmt w:val="bullet"/>
      <w:lvlText w:val=""/>
      <w:lvlJc w:val="left"/>
      <w:pPr>
        <w:tabs>
          <w:tab w:val="num" w:pos="2430"/>
        </w:tabs>
        <w:ind w:left="2430" w:right="2160" w:hanging="360"/>
      </w:pPr>
      <w:rPr>
        <w:rFonts w:ascii="Wingdings" w:hAnsi="Wingdings" w:hint="default"/>
        <w:sz w:val="20"/>
      </w:rPr>
    </w:lvl>
    <w:lvl w:ilvl="3" w:tentative="1">
      <w:start w:val="1"/>
      <w:numFmt w:val="bullet"/>
      <w:lvlText w:val=""/>
      <w:lvlJc w:val="left"/>
      <w:pPr>
        <w:tabs>
          <w:tab w:val="num" w:pos="3150"/>
        </w:tabs>
        <w:ind w:left="3150" w:right="2880" w:hanging="360"/>
      </w:pPr>
      <w:rPr>
        <w:rFonts w:ascii="Wingdings" w:hAnsi="Wingdings" w:hint="default"/>
        <w:sz w:val="20"/>
      </w:rPr>
    </w:lvl>
    <w:lvl w:ilvl="4" w:tentative="1">
      <w:start w:val="1"/>
      <w:numFmt w:val="bullet"/>
      <w:lvlText w:val=""/>
      <w:lvlJc w:val="left"/>
      <w:pPr>
        <w:tabs>
          <w:tab w:val="num" w:pos="3870"/>
        </w:tabs>
        <w:ind w:left="3870" w:right="3600" w:hanging="360"/>
      </w:pPr>
      <w:rPr>
        <w:rFonts w:ascii="Wingdings" w:hAnsi="Wingdings" w:hint="default"/>
        <w:sz w:val="20"/>
      </w:rPr>
    </w:lvl>
    <w:lvl w:ilvl="5" w:tentative="1">
      <w:start w:val="1"/>
      <w:numFmt w:val="bullet"/>
      <w:lvlText w:val=""/>
      <w:lvlJc w:val="left"/>
      <w:pPr>
        <w:tabs>
          <w:tab w:val="num" w:pos="4590"/>
        </w:tabs>
        <w:ind w:left="4590" w:right="4320" w:hanging="360"/>
      </w:pPr>
      <w:rPr>
        <w:rFonts w:ascii="Wingdings" w:hAnsi="Wingdings" w:hint="default"/>
        <w:sz w:val="20"/>
      </w:rPr>
    </w:lvl>
    <w:lvl w:ilvl="6" w:tentative="1">
      <w:start w:val="1"/>
      <w:numFmt w:val="bullet"/>
      <w:lvlText w:val=""/>
      <w:lvlJc w:val="left"/>
      <w:pPr>
        <w:tabs>
          <w:tab w:val="num" w:pos="5310"/>
        </w:tabs>
        <w:ind w:left="5310" w:right="5040" w:hanging="360"/>
      </w:pPr>
      <w:rPr>
        <w:rFonts w:ascii="Wingdings" w:hAnsi="Wingdings" w:hint="default"/>
        <w:sz w:val="20"/>
      </w:rPr>
    </w:lvl>
    <w:lvl w:ilvl="7" w:tentative="1">
      <w:start w:val="1"/>
      <w:numFmt w:val="bullet"/>
      <w:lvlText w:val=""/>
      <w:lvlJc w:val="left"/>
      <w:pPr>
        <w:tabs>
          <w:tab w:val="num" w:pos="6030"/>
        </w:tabs>
        <w:ind w:left="6030" w:right="5760" w:hanging="360"/>
      </w:pPr>
      <w:rPr>
        <w:rFonts w:ascii="Wingdings" w:hAnsi="Wingdings" w:hint="default"/>
        <w:sz w:val="20"/>
      </w:rPr>
    </w:lvl>
    <w:lvl w:ilvl="8" w:tentative="1">
      <w:start w:val="1"/>
      <w:numFmt w:val="bullet"/>
      <w:lvlText w:val=""/>
      <w:lvlJc w:val="left"/>
      <w:pPr>
        <w:tabs>
          <w:tab w:val="num" w:pos="6750"/>
        </w:tabs>
        <w:ind w:left="6750" w:right="6480" w:hanging="360"/>
      </w:pPr>
      <w:rPr>
        <w:rFonts w:ascii="Wingdings" w:hAnsi="Wingdings" w:hint="default"/>
        <w:sz w:val="20"/>
      </w:rPr>
    </w:lvl>
  </w:abstractNum>
  <w:abstractNum w:abstractNumId="3">
    <w:nsid w:val="0B736232"/>
    <w:multiLevelType w:val="hybridMultilevel"/>
    <w:tmpl w:val="AEB017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746BA9"/>
    <w:multiLevelType w:val="hybridMultilevel"/>
    <w:tmpl w:val="E08AB9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77845"/>
    <w:multiLevelType w:val="hybridMultilevel"/>
    <w:tmpl w:val="6AFE31C8"/>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159C3EAE"/>
    <w:multiLevelType w:val="hybridMultilevel"/>
    <w:tmpl w:val="A560E488"/>
    <w:lvl w:ilvl="0" w:tplc="DB6436D2">
      <w:start w:val="50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956B8"/>
    <w:multiLevelType w:val="hybridMultilevel"/>
    <w:tmpl w:val="3DDEEDD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
    <w:nsid w:val="1D51631D"/>
    <w:multiLevelType w:val="hybridMultilevel"/>
    <w:tmpl w:val="E5CA39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50A24FC"/>
    <w:multiLevelType w:val="hybridMultilevel"/>
    <w:tmpl w:val="2156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7F326A"/>
    <w:multiLevelType w:val="hybridMultilevel"/>
    <w:tmpl w:val="938A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E47D30"/>
    <w:multiLevelType w:val="hybridMultilevel"/>
    <w:tmpl w:val="EC56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9343C4"/>
    <w:multiLevelType w:val="multilevel"/>
    <w:tmpl w:val="DCFC4D0A"/>
    <w:lvl w:ilvl="0">
      <w:start w:val="1"/>
      <w:numFmt w:val="decimal"/>
      <w:lvlText w:val="%1)"/>
      <w:lvlJc w:val="left"/>
      <w:pPr>
        <w:tabs>
          <w:tab w:val="num" w:pos="720"/>
        </w:tabs>
        <w:ind w:left="720" w:right="720" w:hanging="360"/>
      </w:pPr>
    </w:lvl>
    <w:lvl w:ilvl="1" w:tentative="1">
      <w:start w:val="1"/>
      <w:numFmt w:val="decimal"/>
      <w:lvlText w:val="%2."/>
      <w:lvlJc w:val="left"/>
      <w:pPr>
        <w:tabs>
          <w:tab w:val="num" w:pos="1440"/>
        </w:tabs>
        <w:ind w:left="1440" w:right="1440" w:hanging="360"/>
      </w:pPr>
    </w:lvl>
    <w:lvl w:ilvl="2" w:tentative="1">
      <w:start w:val="1"/>
      <w:numFmt w:val="decimal"/>
      <w:lvlText w:val="%3."/>
      <w:lvlJc w:val="left"/>
      <w:pPr>
        <w:tabs>
          <w:tab w:val="num" w:pos="2160"/>
        </w:tabs>
        <w:ind w:left="2160" w:right="2160" w:hanging="360"/>
      </w:pPr>
    </w:lvl>
    <w:lvl w:ilvl="3" w:tentative="1">
      <w:start w:val="1"/>
      <w:numFmt w:val="decimal"/>
      <w:lvlText w:val="%4."/>
      <w:lvlJc w:val="left"/>
      <w:pPr>
        <w:tabs>
          <w:tab w:val="num" w:pos="2880"/>
        </w:tabs>
        <w:ind w:left="2880" w:right="2880" w:hanging="360"/>
      </w:pPr>
    </w:lvl>
    <w:lvl w:ilvl="4" w:tentative="1">
      <w:start w:val="1"/>
      <w:numFmt w:val="decimal"/>
      <w:lvlText w:val="%5."/>
      <w:lvlJc w:val="left"/>
      <w:pPr>
        <w:tabs>
          <w:tab w:val="num" w:pos="3600"/>
        </w:tabs>
        <w:ind w:left="3600" w:right="3600" w:hanging="360"/>
      </w:pPr>
    </w:lvl>
    <w:lvl w:ilvl="5" w:tentative="1">
      <w:start w:val="1"/>
      <w:numFmt w:val="decimal"/>
      <w:lvlText w:val="%6."/>
      <w:lvlJc w:val="left"/>
      <w:pPr>
        <w:tabs>
          <w:tab w:val="num" w:pos="4320"/>
        </w:tabs>
        <w:ind w:left="4320" w:right="4320" w:hanging="360"/>
      </w:pPr>
    </w:lvl>
    <w:lvl w:ilvl="6" w:tentative="1">
      <w:start w:val="1"/>
      <w:numFmt w:val="decimal"/>
      <w:lvlText w:val="%7."/>
      <w:lvlJc w:val="left"/>
      <w:pPr>
        <w:tabs>
          <w:tab w:val="num" w:pos="5040"/>
        </w:tabs>
        <w:ind w:left="5040" w:right="5040" w:hanging="360"/>
      </w:pPr>
    </w:lvl>
    <w:lvl w:ilvl="7" w:tentative="1">
      <w:start w:val="1"/>
      <w:numFmt w:val="decimal"/>
      <w:lvlText w:val="%8."/>
      <w:lvlJc w:val="left"/>
      <w:pPr>
        <w:tabs>
          <w:tab w:val="num" w:pos="5760"/>
        </w:tabs>
        <w:ind w:left="5760" w:right="5760" w:hanging="360"/>
      </w:pPr>
    </w:lvl>
    <w:lvl w:ilvl="8" w:tentative="1">
      <w:start w:val="1"/>
      <w:numFmt w:val="decimal"/>
      <w:lvlText w:val="%9."/>
      <w:lvlJc w:val="left"/>
      <w:pPr>
        <w:tabs>
          <w:tab w:val="num" w:pos="6480"/>
        </w:tabs>
        <w:ind w:left="6480" w:right="6480" w:hanging="360"/>
      </w:pPr>
    </w:lvl>
  </w:abstractNum>
  <w:abstractNum w:abstractNumId="13">
    <w:nsid w:val="28C66F4E"/>
    <w:multiLevelType w:val="multilevel"/>
    <w:tmpl w:val="B89E2258"/>
    <w:lvl w:ilvl="0">
      <w:start w:val="1"/>
      <w:numFmt w:val="bullet"/>
      <w:lvlText w:val=""/>
      <w:lvlJc w:val="left"/>
      <w:pPr>
        <w:tabs>
          <w:tab w:val="num" w:pos="720"/>
        </w:tabs>
        <w:ind w:left="720" w:right="720" w:hanging="360"/>
      </w:pPr>
      <w:rPr>
        <w:rFonts w:ascii="Symbol" w:hAnsi="Symbol" w:hint="default"/>
        <w:sz w:val="26"/>
        <w:szCs w:val="34"/>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14">
    <w:nsid w:val="29851181"/>
    <w:multiLevelType w:val="multilevel"/>
    <w:tmpl w:val="7C0EC820"/>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1440"/>
        </w:tabs>
        <w:ind w:left="1440" w:right="1440" w:hanging="360"/>
      </w:pPr>
      <w:rPr>
        <w:rFonts w:ascii="Courier New" w:hAnsi="Courier New" w:hint="default"/>
        <w:sz w:val="20"/>
      </w:rPr>
    </w:lvl>
    <w:lvl w:ilvl="2">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15">
    <w:nsid w:val="2EAD4E4D"/>
    <w:multiLevelType w:val="hybridMultilevel"/>
    <w:tmpl w:val="5BA8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B40BA2"/>
    <w:multiLevelType w:val="hybridMultilevel"/>
    <w:tmpl w:val="0E90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B516F7"/>
    <w:multiLevelType w:val="hybridMultilevel"/>
    <w:tmpl w:val="3B2A4C22"/>
    <w:lvl w:ilvl="0" w:tplc="7E481260">
      <w:start w:val="50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212A9E"/>
    <w:multiLevelType w:val="hybridMultilevel"/>
    <w:tmpl w:val="33440DF6"/>
    <w:lvl w:ilvl="0" w:tplc="04090001">
      <w:start w:val="1"/>
      <w:numFmt w:val="bullet"/>
      <w:lvlText w:val=""/>
      <w:lvlJc w:val="left"/>
      <w:pPr>
        <w:tabs>
          <w:tab w:val="num" w:pos="1080"/>
        </w:tabs>
        <w:ind w:left="1080" w:right="1080" w:hanging="360"/>
      </w:pPr>
      <w:rPr>
        <w:rFonts w:ascii="Symbol" w:hAnsi="Symbol" w:hint="default"/>
      </w:rPr>
    </w:lvl>
    <w:lvl w:ilvl="1" w:tplc="04090003" w:tentative="1">
      <w:start w:val="1"/>
      <w:numFmt w:val="bullet"/>
      <w:lvlText w:val="o"/>
      <w:lvlJc w:val="left"/>
      <w:pPr>
        <w:tabs>
          <w:tab w:val="num" w:pos="1800"/>
        </w:tabs>
        <w:ind w:left="1800" w:right="1800" w:hanging="360"/>
      </w:pPr>
      <w:rPr>
        <w:rFonts w:ascii="Courier New" w:hAnsi="Courier New" w:cs="Courier New" w:hint="default"/>
      </w:rPr>
    </w:lvl>
    <w:lvl w:ilvl="2" w:tplc="04090005" w:tentative="1">
      <w:start w:val="1"/>
      <w:numFmt w:val="bullet"/>
      <w:lvlText w:val=""/>
      <w:lvlJc w:val="left"/>
      <w:pPr>
        <w:tabs>
          <w:tab w:val="num" w:pos="2520"/>
        </w:tabs>
        <w:ind w:left="2520" w:right="2520" w:hanging="360"/>
      </w:pPr>
      <w:rPr>
        <w:rFonts w:ascii="Wingdings" w:hAnsi="Wingdings" w:hint="default"/>
      </w:rPr>
    </w:lvl>
    <w:lvl w:ilvl="3" w:tplc="04090001" w:tentative="1">
      <w:start w:val="1"/>
      <w:numFmt w:val="bullet"/>
      <w:lvlText w:val=""/>
      <w:lvlJc w:val="left"/>
      <w:pPr>
        <w:tabs>
          <w:tab w:val="num" w:pos="3240"/>
        </w:tabs>
        <w:ind w:left="3240" w:right="3240" w:hanging="360"/>
      </w:pPr>
      <w:rPr>
        <w:rFonts w:ascii="Symbol" w:hAnsi="Symbol" w:hint="default"/>
      </w:rPr>
    </w:lvl>
    <w:lvl w:ilvl="4" w:tplc="04090003" w:tentative="1">
      <w:start w:val="1"/>
      <w:numFmt w:val="bullet"/>
      <w:lvlText w:val="o"/>
      <w:lvlJc w:val="left"/>
      <w:pPr>
        <w:tabs>
          <w:tab w:val="num" w:pos="3960"/>
        </w:tabs>
        <w:ind w:left="3960" w:right="3960" w:hanging="360"/>
      </w:pPr>
      <w:rPr>
        <w:rFonts w:ascii="Courier New" w:hAnsi="Courier New" w:cs="Courier New" w:hint="default"/>
      </w:rPr>
    </w:lvl>
    <w:lvl w:ilvl="5" w:tplc="04090005" w:tentative="1">
      <w:start w:val="1"/>
      <w:numFmt w:val="bullet"/>
      <w:lvlText w:val=""/>
      <w:lvlJc w:val="left"/>
      <w:pPr>
        <w:tabs>
          <w:tab w:val="num" w:pos="4680"/>
        </w:tabs>
        <w:ind w:left="4680" w:right="4680" w:hanging="360"/>
      </w:pPr>
      <w:rPr>
        <w:rFonts w:ascii="Wingdings" w:hAnsi="Wingdings" w:hint="default"/>
      </w:rPr>
    </w:lvl>
    <w:lvl w:ilvl="6" w:tplc="04090001" w:tentative="1">
      <w:start w:val="1"/>
      <w:numFmt w:val="bullet"/>
      <w:lvlText w:val=""/>
      <w:lvlJc w:val="left"/>
      <w:pPr>
        <w:tabs>
          <w:tab w:val="num" w:pos="5400"/>
        </w:tabs>
        <w:ind w:left="5400" w:right="5400" w:hanging="360"/>
      </w:pPr>
      <w:rPr>
        <w:rFonts w:ascii="Symbol" w:hAnsi="Symbol" w:hint="default"/>
      </w:rPr>
    </w:lvl>
    <w:lvl w:ilvl="7" w:tplc="04090003" w:tentative="1">
      <w:start w:val="1"/>
      <w:numFmt w:val="bullet"/>
      <w:lvlText w:val="o"/>
      <w:lvlJc w:val="left"/>
      <w:pPr>
        <w:tabs>
          <w:tab w:val="num" w:pos="6120"/>
        </w:tabs>
        <w:ind w:left="6120" w:right="6120" w:hanging="360"/>
      </w:pPr>
      <w:rPr>
        <w:rFonts w:ascii="Courier New" w:hAnsi="Courier New" w:cs="Courier New" w:hint="default"/>
      </w:rPr>
    </w:lvl>
    <w:lvl w:ilvl="8" w:tplc="04090005" w:tentative="1">
      <w:start w:val="1"/>
      <w:numFmt w:val="bullet"/>
      <w:lvlText w:val=""/>
      <w:lvlJc w:val="left"/>
      <w:pPr>
        <w:tabs>
          <w:tab w:val="num" w:pos="6840"/>
        </w:tabs>
        <w:ind w:left="6840" w:right="6840" w:hanging="360"/>
      </w:pPr>
      <w:rPr>
        <w:rFonts w:ascii="Wingdings" w:hAnsi="Wingdings" w:hint="default"/>
      </w:rPr>
    </w:lvl>
  </w:abstractNum>
  <w:abstractNum w:abstractNumId="19">
    <w:nsid w:val="3CCC24F2"/>
    <w:multiLevelType w:val="multilevel"/>
    <w:tmpl w:val="19DA3A72"/>
    <w:lvl w:ilvl="0">
      <w:start w:val="1"/>
      <w:numFmt w:val="bullet"/>
      <w:lvlText w:val=""/>
      <w:lvlJc w:val="left"/>
      <w:pPr>
        <w:tabs>
          <w:tab w:val="num" w:pos="720"/>
        </w:tabs>
        <w:ind w:left="720" w:right="720" w:hanging="360"/>
      </w:pPr>
      <w:rPr>
        <w:rFonts w:ascii="Symbol" w:hAnsi="Symbol" w:hint="default"/>
        <w:sz w:val="20"/>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20">
    <w:nsid w:val="3CFF3352"/>
    <w:multiLevelType w:val="multilevel"/>
    <w:tmpl w:val="8BFCD980"/>
    <w:lvl w:ilvl="0">
      <w:start w:val="1"/>
      <w:numFmt w:val="bullet"/>
      <w:lvlText w:val=""/>
      <w:lvlJc w:val="left"/>
      <w:pPr>
        <w:tabs>
          <w:tab w:val="num" w:pos="720"/>
        </w:tabs>
        <w:ind w:left="720" w:right="720" w:hanging="360"/>
      </w:pPr>
      <w:rPr>
        <w:rFonts w:ascii="Symbol" w:hAnsi="Symbol" w:hint="default"/>
        <w:sz w:val="24"/>
        <w:szCs w:val="32"/>
      </w:rPr>
    </w:lvl>
    <w:lvl w:ilvl="1">
      <w:start w:val="1"/>
      <w:numFmt w:val="bullet"/>
      <w:lvlText w:val="o"/>
      <w:lvlJc w:val="left"/>
      <w:pPr>
        <w:tabs>
          <w:tab w:val="num" w:pos="1440"/>
        </w:tabs>
        <w:ind w:left="1440" w:right="1440" w:hanging="360"/>
      </w:pPr>
      <w:rPr>
        <w:rFonts w:ascii="Courier New" w:hAnsi="Courier New" w:hint="default"/>
        <w:sz w:val="24"/>
        <w:szCs w:val="32"/>
      </w:rPr>
    </w:lvl>
    <w:lvl w:ilvl="2">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21">
    <w:nsid w:val="3EF0362D"/>
    <w:multiLevelType w:val="hybridMultilevel"/>
    <w:tmpl w:val="4D369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87A2FE3"/>
    <w:multiLevelType w:val="hybridMultilevel"/>
    <w:tmpl w:val="89B0A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B886FF8"/>
    <w:multiLevelType w:val="multilevel"/>
    <w:tmpl w:val="497A2A48"/>
    <w:lvl w:ilvl="0">
      <w:start w:val="1"/>
      <w:numFmt w:val="bullet"/>
      <w:lvlText w:val=""/>
      <w:lvlJc w:val="left"/>
      <w:pPr>
        <w:tabs>
          <w:tab w:val="num" w:pos="720"/>
        </w:tabs>
        <w:ind w:left="720" w:right="720" w:hanging="360"/>
      </w:pPr>
      <w:rPr>
        <w:rFonts w:ascii="Symbol" w:hAnsi="Symbol" w:hint="default"/>
        <w:sz w:val="26"/>
        <w:szCs w:val="34"/>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24">
    <w:nsid w:val="4D033D49"/>
    <w:multiLevelType w:val="multilevel"/>
    <w:tmpl w:val="B33821F8"/>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25">
    <w:nsid w:val="4FB81BE3"/>
    <w:multiLevelType w:val="multilevel"/>
    <w:tmpl w:val="3C18C94A"/>
    <w:lvl w:ilvl="0">
      <w:start w:val="1"/>
      <w:numFmt w:val="bullet"/>
      <w:lvlText w:val=""/>
      <w:lvlJc w:val="left"/>
      <w:pPr>
        <w:tabs>
          <w:tab w:val="num" w:pos="720"/>
        </w:tabs>
        <w:ind w:left="720" w:right="720" w:hanging="360"/>
      </w:pPr>
      <w:rPr>
        <w:rFonts w:ascii="Symbol" w:hAnsi="Symbol" w:hint="default"/>
        <w:sz w:val="26"/>
        <w:szCs w:val="34"/>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26">
    <w:nsid w:val="53DF4B39"/>
    <w:multiLevelType w:val="hybridMultilevel"/>
    <w:tmpl w:val="3236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877AB8"/>
    <w:multiLevelType w:val="hybridMultilevel"/>
    <w:tmpl w:val="786E7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94E5238"/>
    <w:multiLevelType w:val="multilevel"/>
    <w:tmpl w:val="7822567A"/>
    <w:lvl w:ilvl="0">
      <w:start w:val="1"/>
      <w:numFmt w:val="bullet"/>
      <w:lvlText w:val=""/>
      <w:lvlJc w:val="left"/>
      <w:pPr>
        <w:tabs>
          <w:tab w:val="num" w:pos="720"/>
        </w:tabs>
        <w:ind w:left="720" w:right="720" w:hanging="360"/>
      </w:pPr>
      <w:rPr>
        <w:rFonts w:ascii="Symbol" w:hAnsi="Symbol" w:hint="default"/>
        <w:sz w:val="24"/>
        <w:szCs w:val="32"/>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29">
    <w:nsid w:val="5A036339"/>
    <w:multiLevelType w:val="hybridMultilevel"/>
    <w:tmpl w:val="78EC970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0">
    <w:nsid w:val="5D037460"/>
    <w:multiLevelType w:val="hybridMultilevel"/>
    <w:tmpl w:val="AEDEF27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1">
    <w:nsid w:val="62D37FDE"/>
    <w:multiLevelType w:val="hybridMultilevel"/>
    <w:tmpl w:val="814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F02B8C"/>
    <w:multiLevelType w:val="multilevel"/>
    <w:tmpl w:val="4566D8B6"/>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o"/>
      <w:lvlJc w:val="left"/>
      <w:pPr>
        <w:tabs>
          <w:tab w:val="num" w:pos="1440"/>
        </w:tabs>
        <w:ind w:left="1440" w:right="1440" w:hanging="360"/>
      </w:pPr>
      <w:rPr>
        <w:rFonts w:ascii="Courier New" w:hAnsi="Courier New" w:hint="default"/>
        <w:sz w:val="24"/>
        <w:szCs w:val="32"/>
      </w:rPr>
    </w:lvl>
    <w:lvl w:ilvl="2">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33">
    <w:nsid w:val="6698204F"/>
    <w:multiLevelType w:val="hybridMultilevel"/>
    <w:tmpl w:val="7C58CE08"/>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68723154"/>
    <w:multiLevelType w:val="multilevel"/>
    <w:tmpl w:val="3B467CAC"/>
    <w:lvl w:ilvl="0">
      <w:start w:val="1"/>
      <w:numFmt w:val="bullet"/>
      <w:lvlText w:val=""/>
      <w:lvlJc w:val="left"/>
      <w:pPr>
        <w:tabs>
          <w:tab w:val="num" w:pos="720"/>
        </w:tabs>
        <w:ind w:left="720" w:right="720" w:hanging="360"/>
      </w:pPr>
      <w:rPr>
        <w:rFonts w:ascii="Symbol" w:hAnsi="Symbol" w:hint="default"/>
        <w:sz w:val="24"/>
        <w:szCs w:val="32"/>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35">
    <w:nsid w:val="68D16BEA"/>
    <w:multiLevelType w:val="hybridMultilevel"/>
    <w:tmpl w:val="8B86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CC3DE5"/>
    <w:multiLevelType w:val="hybridMultilevel"/>
    <w:tmpl w:val="D5801904"/>
    <w:lvl w:ilvl="0" w:tplc="1C8EBEDC">
      <w:start w:val="1"/>
      <w:numFmt w:val="decimal"/>
      <w:lvlText w:val="%1."/>
      <w:lvlJc w:val="left"/>
      <w:pPr>
        <w:ind w:left="420" w:hanging="420"/>
      </w:pPr>
      <w:rPr>
        <w:rFonts w:ascii="Times New Roman" w:hAnsi="Times New Roman" w:cs="Times New Roman"/>
        <w:spacing w:val="0"/>
        <w:w w:val="100"/>
        <w:kern w:val="0"/>
        <w:position w:val="0"/>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E6B5754"/>
    <w:multiLevelType w:val="hybridMultilevel"/>
    <w:tmpl w:val="ED2EBFE4"/>
    <w:lvl w:ilvl="0" w:tplc="906E6FE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F4D2018"/>
    <w:multiLevelType w:val="multilevel"/>
    <w:tmpl w:val="D1F08F08"/>
    <w:lvl w:ilvl="0">
      <w:start w:val="1"/>
      <w:numFmt w:val="bullet"/>
      <w:lvlText w:val=""/>
      <w:lvlJc w:val="left"/>
      <w:pPr>
        <w:tabs>
          <w:tab w:val="num" w:pos="720"/>
        </w:tabs>
        <w:ind w:left="720" w:right="720" w:hanging="360"/>
      </w:pPr>
      <w:rPr>
        <w:rFonts w:ascii="Symbol" w:hAnsi="Symbol" w:hint="default"/>
        <w:sz w:val="20"/>
      </w:rPr>
    </w:lvl>
    <w:lvl w:ilvl="1">
      <w:start w:val="1"/>
      <w:numFmt w:val="bullet"/>
      <w:lvlText w:val=""/>
      <w:lvlJc w:val="left"/>
      <w:pPr>
        <w:tabs>
          <w:tab w:val="num" w:pos="1440"/>
        </w:tabs>
        <w:ind w:left="1440" w:right="1440" w:hanging="360"/>
      </w:pPr>
      <w:rPr>
        <w:rFonts w:ascii="Symbol" w:hAnsi="Symbol" w:hint="default"/>
        <w:sz w:val="30"/>
        <w:szCs w:val="38"/>
      </w:rPr>
    </w:lvl>
    <w:lvl w:ilvl="2">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39">
    <w:nsid w:val="6F696AB2"/>
    <w:multiLevelType w:val="multilevel"/>
    <w:tmpl w:val="FD1CA33A"/>
    <w:lvl w:ilvl="0">
      <w:start w:val="1"/>
      <w:numFmt w:val="bullet"/>
      <w:lvlText w:val=""/>
      <w:lvlJc w:val="left"/>
      <w:pPr>
        <w:tabs>
          <w:tab w:val="num" w:pos="720"/>
        </w:tabs>
        <w:ind w:left="720" w:right="720" w:hanging="360"/>
      </w:pPr>
      <w:rPr>
        <w:rFonts w:ascii="Symbol" w:hAnsi="Symbol" w:hint="default"/>
        <w:sz w:val="26"/>
        <w:szCs w:val="34"/>
      </w:rPr>
    </w:lvl>
    <w:lvl w:ilvl="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abstractNum w:abstractNumId="40">
    <w:nsid w:val="72211B93"/>
    <w:multiLevelType w:val="multilevel"/>
    <w:tmpl w:val="B582E550"/>
    <w:lvl w:ilvl="0">
      <w:start w:val="1"/>
      <w:numFmt w:val="decimal"/>
      <w:pStyle w:val="Address"/>
      <w:lvlText w:val="A%1"/>
      <w:lvlJc w:val="left"/>
      <w:pPr>
        <w:tabs>
          <w:tab w:val="num" w:pos="432"/>
        </w:tabs>
        <w:ind w:left="432" w:right="432" w:hanging="432"/>
      </w:pPr>
      <w:rPr>
        <w:rFonts w:hint="default"/>
        <w:color w:val="3366FF"/>
        <w:sz w:val="20"/>
        <w:vertAlign w:val="superscript"/>
      </w:rPr>
    </w:lvl>
    <w:lvl w:ilvl="1">
      <w:start w:val="1"/>
      <w:numFmt w:val="decimal"/>
      <w:lvlText w:val="%1.%2"/>
      <w:lvlJc w:val="left"/>
      <w:pPr>
        <w:tabs>
          <w:tab w:val="num" w:pos="576"/>
        </w:tabs>
        <w:ind w:left="576" w:right="576" w:hanging="576"/>
      </w:pPr>
      <w:rPr>
        <w:rFonts w:hint="default"/>
      </w:rPr>
    </w:lvl>
    <w:lvl w:ilvl="2">
      <w:start w:val="1"/>
      <w:numFmt w:val="decimal"/>
      <w:lvlText w:val="%1.%2.%3"/>
      <w:lvlJc w:val="left"/>
      <w:pPr>
        <w:tabs>
          <w:tab w:val="num" w:pos="720"/>
        </w:tabs>
        <w:ind w:left="720" w:right="720" w:hanging="720"/>
      </w:pPr>
      <w:rPr>
        <w:rFonts w:hint="default"/>
      </w:rPr>
    </w:lvl>
    <w:lvl w:ilvl="3">
      <w:start w:val="1"/>
      <w:numFmt w:val="decimal"/>
      <w:lvlText w:val="%1.%2.%3.%4"/>
      <w:lvlJc w:val="left"/>
      <w:pPr>
        <w:tabs>
          <w:tab w:val="num" w:pos="864"/>
        </w:tabs>
        <w:ind w:left="864" w:right="864" w:hanging="864"/>
      </w:pPr>
      <w:rPr>
        <w:rFonts w:hint="default"/>
      </w:rPr>
    </w:lvl>
    <w:lvl w:ilvl="4">
      <w:start w:val="1"/>
      <w:numFmt w:val="decimal"/>
      <w:lvlText w:val="%1.%2.%3.%4.%5"/>
      <w:lvlJc w:val="left"/>
      <w:pPr>
        <w:tabs>
          <w:tab w:val="num" w:pos="1008"/>
        </w:tabs>
        <w:ind w:left="1008" w:right="1008" w:hanging="1008"/>
      </w:pPr>
      <w:rPr>
        <w:rFonts w:hint="default"/>
      </w:rPr>
    </w:lvl>
    <w:lvl w:ilvl="5">
      <w:start w:val="1"/>
      <w:numFmt w:val="decimal"/>
      <w:lvlText w:val="%1.%2.%3.%4.%5.%6"/>
      <w:lvlJc w:val="left"/>
      <w:pPr>
        <w:tabs>
          <w:tab w:val="num" w:pos="1152"/>
        </w:tabs>
        <w:ind w:left="1152" w:right="1152" w:hanging="1152"/>
      </w:pPr>
      <w:rPr>
        <w:rFonts w:hint="default"/>
      </w:rPr>
    </w:lvl>
    <w:lvl w:ilvl="6">
      <w:start w:val="1"/>
      <w:numFmt w:val="decimal"/>
      <w:lvlText w:val="%1.%2.%3.%4.%5.%6.%7"/>
      <w:lvlJc w:val="left"/>
      <w:pPr>
        <w:tabs>
          <w:tab w:val="num" w:pos="1296"/>
        </w:tabs>
        <w:ind w:left="1296" w:right="1296" w:hanging="1296"/>
      </w:pPr>
      <w:rPr>
        <w:rFonts w:hint="default"/>
      </w:rPr>
    </w:lvl>
    <w:lvl w:ilvl="7">
      <w:start w:val="1"/>
      <w:numFmt w:val="decimal"/>
      <w:lvlText w:val="%1.%2.%3.%4.%5.%6.%7.%8"/>
      <w:lvlJc w:val="left"/>
      <w:pPr>
        <w:tabs>
          <w:tab w:val="num" w:pos="1440"/>
        </w:tabs>
        <w:ind w:left="1440" w:right="1440" w:hanging="1440"/>
      </w:pPr>
      <w:rPr>
        <w:rFonts w:hint="default"/>
      </w:rPr>
    </w:lvl>
    <w:lvl w:ilvl="8">
      <w:start w:val="1"/>
      <w:numFmt w:val="decimal"/>
      <w:lvlText w:val="%1.%2.%3.%4.%5.%6.%7.%8.%9"/>
      <w:lvlJc w:val="left"/>
      <w:pPr>
        <w:tabs>
          <w:tab w:val="num" w:pos="1584"/>
        </w:tabs>
        <w:ind w:left="1584" w:right="1584" w:hanging="1584"/>
      </w:pPr>
      <w:rPr>
        <w:rFonts w:hint="default"/>
      </w:rPr>
    </w:lvl>
  </w:abstractNum>
  <w:abstractNum w:abstractNumId="41">
    <w:nsid w:val="77C467C3"/>
    <w:multiLevelType w:val="hybridMultilevel"/>
    <w:tmpl w:val="D9727B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83E4C"/>
    <w:multiLevelType w:val="hybridMultilevel"/>
    <w:tmpl w:val="43FEDC34"/>
    <w:lvl w:ilvl="0" w:tplc="5C92D89A">
      <w:start w:val="1"/>
      <w:numFmt w:val="bullet"/>
      <w:lvlText w:val=""/>
      <w:lvlJc w:val="left"/>
      <w:pPr>
        <w:tabs>
          <w:tab w:val="num" w:pos="720"/>
        </w:tabs>
        <w:ind w:left="720" w:right="720" w:hanging="360"/>
      </w:pPr>
      <w:rPr>
        <w:rFonts w:ascii="Symbol" w:hAnsi="Symbol" w:hint="default"/>
        <w:color w:val="auto"/>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3">
    <w:nsid w:val="7B941F3E"/>
    <w:multiLevelType w:val="multilevel"/>
    <w:tmpl w:val="8D661AE4"/>
    <w:lvl w:ilvl="0">
      <w:start w:val="1"/>
      <w:numFmt w:val="bullet"/>
      <w:lvlText w:val=""/>
      <w:lvlJc w:val="left"/>
      <w:pPr>
        <w:tabs>
          <w:tab w:val="num" w:pos="720"/>
        </w:tabs>
        <w:ind w:left="720" w:right="720" w:hanging="360"/>
      </w:pPr>
      <w:rPr>
        <w:rFonts w:ascii="Symbol" w:hAnsi="Symbol" w:hint="default"/>
        <w:sz w:val="20"/>
      </w:rPr>
    </w:lvl>
    <w:lvl w:ilvl="1" w:tentative="1">
      <w:start w:val="1"/>
      <w:numFmt w:val="bullet"/>
      <w:lvlText w:val="o"/>
      <w:lvlJc w:val="left"/>
      <w:pPr>
        <w:tabs>
          <w:tab w:val="num" w:pos="1440"/>
        </w:tabs>
        <w:ind w:left="1440" w:right="1440" w:hanging="360"/>
      </w:pPr>
      <w:rPr>
        <w:rFonts w:ascii="Courier New" w:hAnsi="Courier New" w:hint="default"/>
        <w:sz w:val="20"/>
      </w:rPr>
    </w:lvl>
    <w:lvl w:ilvl="2" w:tentative="1">
      <w:start w:val="1"/>
      <w:numFmt w:val="bullet"/>
      <w:lvlText w:val=""/>
      <w:lvlJc w:val="left"/>
      <w:pPr>
        <w:tabs>
          <w:tab w:val="num" w:pos="2160"/>
        </w:tabs>
        <w:ind w:left="2160" w:right="2160" w:hanging="360"/>
      </w:pPr>
      <w:rPr>
        <w:rFonts w:ascii="Wingdings" w:hAnsi="Wingdings" w:hint="default"/>
        <w:sz w:val="20"/>
      </w:rPr>
    </w:lvl>
    <w:lvl w:ilvl="3" w:tentative="1">
      <w:start w:val="1"/>
      <w:numFmt w:val="bullet"/>
      <w:lvlText w:val=""/>
      <w:lvlJc w:val="left"/>
      <w:pPr>
        <w:tabs>
          <w:tab w:val="num" w:pos="2880"/>
        </w:tabs>
        <w:ind w:left="2880" w:right="2880" w:hanging="360"/>
      </w:pPr>
      <w:rPr>
        <w:rFonts w:ascii="Wingdings" w:hAnsi="Wingdings" w:hint="default"/>
        <w:sz w:val="20"/>
      </w:rPr>
    </w:lvl>
    <w:lvl w:ilvl="4" w:tentative="1">
      <w:start w:val="1"/>
      <w:numFmt w:val="bullet"/>
      <w:lvlText w:val=""/>
      <w:lvlJc w:val="left"/>
      <w:pPr>
        <w:tabs>
          <w:tab w:val="num" w:pos="3600"/>
        </w:tabs>
        <w:ind w:left="3600" w:right="3600" w:hanging="360"/>
      </w:pPr>
      <w:rPr>
        <w:rFonts w:ascii="Wingdings" w:hAnsi="Wingdings" w:hint="default"/>
        <w:sz w:val="20"/>
      </w:rPr>
    </w:lvl>
    <w:lvl w:ilvl="5" w:tentative="1">
      <w:start w:val="1"/>
      <w:numFmt w:val="bullet"/>
      <w:lvlText w:val=""/>
      <w:lvlJc w:val="left"/>
      <w:pPr>
        <w:tabs>
          <w:tab w:val="num" w:pos="4320"/>
        </w:tabs>
        <w:ind w:left="4320" w:right="4320" w:hanging="360"/>
      </w:pPr>
      <w:rPr>
        <w:rFonts w:ascii="Wingdings" w:hAnsi="Wingdings" w:hint="default"/>
        <w:sz w:val="20"/>
      </w:rPr>
    </w:lvl>
    <w:lvl w:ilvl="6" w:tentative="1">
      <w:start w:val="1"/>
      <w:numFmt w:val="bullet"/>
      <w:lvlText w:val=""/>
      <w:lvlJc w:val="left"/>
      <w:pPr>
        <w:tabs>
          <w:tab w:val="num" w:pos="5040"/>
        </w:tabs>
        <w:ind w:left="5040" w:right="5040" w:hanging="360"/>
      </w:pPr>
      <w:rPr>
        <w:rFonts w:ascii="Wingdings" w:hAnsi="Wingdings" w:hint="default"/>
        <w:sz w:val="20"/>
      </w:rPr>
    </w:lvl>
    <w:lvl w:ilvl="7" w:tentative="1">
      <w:start w:val="1"/>
      <w:numFmt w:val="bullet"/>
      <w:lvlText w:val=""/>
      <w:lvlJc w:val="left"/>
      <w:pPr>
        <w:tabs>
          <w:tab w:val="num" w:pos="5760"/>
        </w:tabs>
        <w:ind w:left="5760" w:right="5760" w:hanging="360"/>
      </w:pPr>
      <w:rPr>
        <w:rFonts w:ascii="Wingdings" w:hAnsi="Wingdings" w:hint="default"/>
        <w:sz w:val="20"/>
      </w:rPr>
    </w:lvl>
    <w:lvl w:ilvl="8" w:tentative="1">
      <w:start w:val="1"/>
      <w:numFmt w:val="bullet"/>
      <w:lvlText w:val=""/>
      <w:lvlJc w:val="left"/>
      <w:pPr>
        <w:tabs>
          <w:tab w:val="num" w:pos="6480"/>
        </w:tabs>
        <w:ind w:left="6480" w:right="6480" w:hanging="360"/>
      </w:pPr>
      <w:rPr>
        <w:rFonts w:ascii="Wingdings" w:hAnsi="Wingdings" w:hint="default"/>
        <w:sz w:val="20"/>
      </w:rPr>
    </w:lvl>
  </w:abstractNum>
  <w:num w:numId="1">
    <w:abstractNumId w:val="13"/>
  </w:num>
  <w:num w:numId="2">
    <w:abstractNumId w:val="34"/>
  </w:num>
  <w:num w:numId="3">
    <w:abstractNumId w:val="28"/>
  </w:num>
  <w:num w:numId="4">
    <w:abstractNumId w:val="23"/>
  </w:num>
  <w:num w:numId="5">
    <w:abstractNumId w:val="43"/>
  </w:num>
  <w:num w:numId="6">
    <w:abstractNumId w:val="32"/>
  </w:num>
  <w:num w:numId="7">
    <w:abstractNumId w:val="14"/>
  </w:num>
  <w:num w:numId="8">
    <w:abstractNumId w:val="19"/>
  </w:num>
  <w:num w:numId="9">
    <w:abstractNumId w:val="20"/>
  </w:num>
  <w:num w:numId="10">
    <w:abstractNumId w:val="25"/>
  </w:num>
  <w:num w:numId="11">
    <w:abstractNumId w:val="40"/>
  </w:num>
  <w:num w:numId="12">
    <w:abstractNumId w:val="39"/>
  </w:num>
  <w:num w:numId="13">
    <w:abstractNumId w:val="24"/>
  </w:num>
  <w:num w:numId="14">
    <w:abstractNumId w:val="42"/>
  </w:num>
  <w:num w:numId="15">
    <w:abstractNumId w:val="5"/>
  </w:num>
  <w:num w:numId="16">
    <w:abstractNumId w:val="2"/>
  </w:num>
  <w:num w:numId="17">
    <w:abstractNumId w:val="30"/>
  </w:num>
  <w:num w:numId="18">
    <w:abstractNumId w:val="18"/>
  </w:num>
  <w:num w:numId="19">
    <w:abstractNumId w:val="41"/>
  </w:num>
  <w:num w:numId="20">
    <w:abstractNumId w:val="35"/>
  </w:num>
  <w:num w:numId="21">
    <w:abstractNumId w:val="26"/>
  </w:num>
  <w:num w:numId="22">
    <w:abstractNumId w:val="11"/>
  </w:num>
  <w:num w:numId="23">
    <w:abstractNumId w:val="16"/>
  </w:num>
  <w:num w:numId="24">
    <w:abstractNumId w:val="9"/>
  </w:num>
  <w:num w:numId="25">
    <w:abstractNumId w:val="38"/>
  </w:num>
  <w:num w:numId="26">
    <w:abstractNumId w:val="4"/>
  </w:num>
  <w:num w:numId="27">
    <w:abstractNumId w:val="1"/>
  </w:num>
  <w:num w:numId="28">
    <w:abstractNumId w:val="3"/>
  </w:num>
  <w:num w:numId="29">
    <w:abstractNumId w:val="15"/>
  </w:num>
  <w:num w:numId="30">
    <w:abstractNumId w:val="12"/>
  </w:num>
  <w:num w:numId="31">
    <w:abstractNumId w:val="31"/>
  </w:num>
  <w:num w:numId="32">
    <w:abstractNumId w:val="21"/>
  </w:num>
  <w:num w:numId="33">
    <w:abstractNumId w:val="33"/>
  </w:num>
  <w:num w:numId="34">
    <w:abstractNumId w:val="29"/>
  </w:num>
  <w:num w:numId="35">
    <w:abstractNumId w:val="22"/>
  </w:num>
  <w:num w:numId="36">
    <w:abstractNumId w:val="10"/>
  </w:num>
  <w:num w:numId="37">
    <w:abstractNumId w:val="7"/>
  </w:num>
  <w:num w:numId="38">
    <w:abstractNumId w:val="0"/>
  </w:num>
  <w:num w:numId="39">
    <w:abstractNumId w:val="27"/>
  </w:num>
  <w:num w:numId="40">
    <w:abstractNumId w:val="8"/>
  </w:num>
  <w:num w:numId="41">
    <w:abstractNumId w:val="37"/>
  </w:num>
  <w:num w:numId="42">
    <w:abstractNumId w:val="6"/>
  </w:num>
  <w:num w:numId="43">
    <w:abstractNumId w:val="17"/>
  </w:num>
  <w:num w:numId="44">
    <w:abstractNumId w:val="36"/>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23553"/>
  </w:hdrShapeDefaults>
  <w:footnotePr>
    <w:footnote w:id="-1"/>
    <w:footnote w:id="0"/>
  </w:footnotePr>
  <w:endnotePr>
    <w:endnote w:id="-1"/>
    <w:endnote w:id="0"/>
  </w:endnotePr>
  <w:compat>
    <w:useFELayout/>
  </w:compat>
  <w:rsids>
    <w:rsidRoot w:val="001E5ABF"/>
    <w:rsid w:val="000009C4"/>
    <w:rsid w:val="00000C4C"/>
    <w:rsid w:val="000024BF"/>
    <w:rsid w:val="0000489C"/>
    <w:rsid w:val="00005F4D"/>
    <w:rsid w:val="00010CEE"/>
    <w:rsid w:val="000147A0"/>
    <w:rsid w:val="00016DE6"/>
    <w:rsid w:val="00020DEE"/>
    <w:rsid w:val="000248F7"/>
    <w:rsid w:val="00032A26"/>
    <w:rsid w:val="00036534"/>
    <w:rsid w:val="00037326"/>
    <w:rsid w:val="0003758F"/>
    <w:rsid w:val="00046156"/>
    <w:rsid w:val="00050683"/>
    <w:rsid w:val="000536B2"/>
    <w:rsid w:val="0006342C"/>
    <w:rsid w:val="00064146"/>
    <w:rsid w:val="00064371"/>
    <w:rsid w:val="0006498C"/>
    <w:rsid w:val="00064F1E"/>
    <w:rsid w:val="000703BD"/>
    <w:rsid w:val="00071248"/>
    <w:rsid w:val="00073873"/>
    <w:rsid w:val="00081E80"/>
    <w:rsid w:val="00085550"/>
    <w:rsid w:val="00086083"/>
    <w:rsid w:val="000941F3"/>
    <w:rsid w:val="000B02B7"/>
    <w:rsid w:val="000B1823"/>
    <w:rsid w:val="000B1B48"/>
    <w:rsid w:val="000B2163"/>
    <w:rsid w:val="000B3A1D"/>
    <w:rsid w:val="000B73AD"/>
    <w:rsid w:val="000C109E"/>
    <w:rsid w:val="000C2AB5"/>
    <w:rsid w:val="000C2C0D"/>
    <w:rsid w:val="000C443D"/>
    <w:rsid w:val="000D5C65"/>
    <w:rsid w:val="000E0CDF"/>
    <w:rsid w:val="000E18E7"/>
    <w:rsid w:val="000E1CA7"/>
    <w:rsid w:val="000E1F10"/>
    <w:rsid w:val="000E2983"/>
    <w:rsid w:val="000E7765"/>
    <w:rsid w:val="000E7D6C"/>
    <w:rsid w:val="000F176A"/>
    <w:rsid w:val="000F45D0"/>
    <w:rsid w:val="000F5072"/>
    <w:rsid w:val="000F5559"/>
    <w:rsid w:val="000F68AF"/>
    <w:rsid w:val="000F6E8F"/>
    <w:rsid w:val="00102077"/>
    <w:rsid w:val="0010367F"/>
    <w:rsid w:val="001061CE"/>
    <w:rsid w:val="00111B78"/>
    <w:rsid w:val="001227F1"/>
    <w:rsid w:val="00123F52"/>
    <w:rsid w:val="0012653C"/>
    <w:rsid w:val="001303DD"/>
    <w:rsid w:val="0014262E"/>
    <w:rsid w:val="00145A75"/>
    <w:rsid w:val="0014624C"/>
    <w:rsid w:val="00151F51"/>
    <w:rsid w:val="0015243C"/>
    <w:rsid w:val="00162ED5"/>
    <w:rsid w:val="001643F9"/>
    <w:rsid w:val="00170A60"/>
    <w:rsid w:val="00176B0F"/>
    <w:rsid w:val="0018274F"/>
    <w:rsid w:val="001831B6"/>
    <w:rsid w:val="00183F13"/>
    <w:rsid w:val="00184271"/>
    <w:rsid w:val="00184F69"/>
    <w:rsid w:val="001867D6"/>
    <w:rsid w:val="001975CA"/>
    <w:rsid w:val="001A3BB9"/>
    <w:rsid w:val="001A44BC"/>
    <w:rsid w:val="001A7A0C"/>
    <w:rsid w:val="001B2F3E"/>
    <w:rsid w:val="001B52A5"/>
    <w:rsid w:val="001B7699"/>
    <w:rsid w:val="001C13BF"/>
    <w:rsid w:val="001C36BF"/>
    <w:rsid w:val="001C5F2C"/>
    <w:rsid w:val="001D2639"/>
    <w:rsid w:val="001D281A"/>
    <w:rsid w:val="001D3964"/>
    <w:rsid w:val="001D4AF0"/>
    <w:rsid w:val="001D5B56"/>
    <w:rsid w:val="001E34CD"/>
    <w:rsid w:val="001E5ABF"/>
    <w:rsid w:val="001E5BE2"/>
    <w:rsid w:val="001E625A"/>
    <w:rsid w:val="001F05F9"/>
    <w:rsid w:val="001F6E54"/>
    <w:rsid w:val="0020160F"/>
    <w:rsid w:val="00203FC2"/>
    <w:rsid w:val="00207FFA"/>
    <w:rsid w:val="0021365A"/>
    <w:rsid w:val="00214B2C"/>
    <w:rsid w:val="002162A1"/>
    <w:rsid w:val="00223385"/>
    <w:rsid w:val="00230EA8"/>
    <w:rsid w:val="00232C4D"/>
    <w:rsid w:val="0023531C"/>
    <w:rsid w:val="0024190E"/>
    <w:rsid w:val="00243824"/>
    <w:rsid w:val="00250611"/>
    <w:rsid w:val="00251B1A"/>
    <w:rsid w:val="00253700"/>
    <w:rsid w:val="00267D31"/>
    <w:rsid w:val="00275C1D"/>
    <w:rsid w:val="00280E5E"/>
    <w:rsid w:val="00282D1A"/>
    <w:rsid w:val="0028552A"/>
    <w:rsid w:val="002900DF"/>
    <w:rsid w:val="00290610"/>
    <w:rsid w:val="00295C17"/>
    <w:rsid w:val="002973A7"/>
    <w:rsid w:val="00297EFE"/>
    <w:rsid w:val="002A4F92"/>
    <w:rsid w:val="002A56F9"/>
    <w:rsid w:val="002A7897"/>
    <w:rsid w:val="002B098D"/>
    <w:rsid w:val="002B2815"/>
    <w:rsid w:val="002B2D5A"/>
    <w:rsid w:val="002B558E"/>
    <w:rsid w:val="002B5C57"/>
    <w:rsid w:val="002B5C97"/>
    <w:rsid w:val="002B70D0"/>
    <w:rsid w:val="002C0440"/>
    <w:rsid w:val="002C0601"/>
    <w:rsid w:val="002C1954"/>
    <w:rsid w:val="002C2615"/>
    <w:rsid w:val="002C382E"/>
    <w:rsid w:val="002C7B3D"/>
    <w:rsid w:val="002D43C5"/>
    <w:rsid w:val="002D473A"/>
    <w:rsid w:val="002D4FA3"/>
    <w:rsid w:val="002D5040"/>
    <w:rsid w:val="002E6AAB"/>
    <w:rsid w:val="002F056A"/>
    <w:rsid w:val="002F100B"/>
    <w:rsid w:val="002F172F"/>
    <w:rsid w:val="002F3A9E"/>
    <w:rsid w:val="002F415D"/>
    <w:rsid w:val="00301126"/>
    <w:rsid w:val="00305C97"/>
    <w:rsid w:val="00330181"/>
    <w:rsid w:val="00331A86"/>
    <w:rsid w:val="00331FD1"/>
    <w:rsid w:val="003341F2"/>
    <w:rsid w:val="00344B15"/>
    <w:rsid w:val="003538C0"/>
    <w:rsid w:val="00354D5F"/>
    <w:rsid w:val="00357481"/>
    <w:rsid w:val="003616D8"/>
    <w:rsid w:val="00361A37"/>
    <w:rsid w:val="00361E71"/>
    <w:rsid w:val="00364F1B"/>
    <w:rsid w:val="00380E27"/>
    <w:rsid w:val="00383900"/>
    <w:rsid w:val="00384FF1"/>
    <w:rsid w:val="003907C6"/>
    <w:rsid w:val="00392F65"/>
    <w:rsid w:val="003A2219"/>
    <w:rsid w:val="003A4AB4"/>
    <w:rsid w:val="003A7FE4"/>
    <w:rsid w:val="003B28D9"/>
    <w:rsid w:val="003C6323"/>
    <w:rsid w:val="003C6635"/>
    <w:rsid w:val="003D2166"/>
    <w:rsid w:val="003E242C"/>
    <w:rsid w:val="003E278B"/>
    <w:rsid w:val="003E3869"/>
    <w:rsid w:val="003E5191"/>
    <w:rsid w:val="003F29D6"/>
    <w:rsid w:val="003F700C"/>
    <w:rsid w:val="00401673"/>
    <w:rsid w:val="004050E6"/>
    <w:rsid w:val="00410735"/>
    <w:rsid w:val="00411E4F"/>
    <w:rsid w:val="00424768"/>
    <w:rsid w:val="004270F7"/>
    <w:rsid w:val="00427946"/>
    <w:rsid w:val="00431388"/>
    <w:rsid w:val="00431518"/>
    <w:rsid w:val="00434E9A"/>
    <w:rsid w:val="00436440"/>
    <w:rsid w:val="00436A76"/>
    <w:rsid w:val="0044148C"/>
    <w:rsid w:val="00442764"/>
    <w:rsid w:val="004433F3"/>
    <w:rsid w:val="00457977"/>
    <w:rsid w:val="0046012C"/>
    <w:rsid w:val="00461F85"/>
    <w:rsid w:val="00465B07"/>
    <w:rsid w:val="00466D1D"/>
    <w:rsid w:val="004714C8"/>
    <w:rsid w:val="00472542"/>
    <w:rsid w:val="004800AA"/>
    <w:rsid w:val="00486C91"/>
    <w:rsid w:val="00491002"/>
    <w:rsid w:val="004A150E"/>
    <w:rsid w:val="004A63B7"/>
    <w:rsid w:val="004A786F"/>
    <w:rsid w:val="004B30A1"/>
    <w:rsid w:val="004B46D9"/>
    <w:rsid w:val="004C53D1"/>
    <w:rsid w:val="004C5EE2"/>
    <w:rsid w:val="004C6B71"/>
    <w:rsid w:val="004D0AFF"/>
    <w:rsid w:val="004E0EC7"/>
    <w:rsid w:val="004F0BC6"/>
    <w:rsid w:val="004F475C"/>
    <w:rsid w:val="005016C5"/>
    <w:rsid w:val="00501982"/>
    <w:rsid w:val="005024F6"/>
    <w:rsid w:val="00502BEC"/>
    <w:rsid w:val="005039BE"/>
    <w:rsid w:val="0051465D"/>
    <w:rsid w:val="00514F2C"/>
    <w:rsid w:val="005202E1"/>
    <w:rsid w:val="0052219C"/>
    <w:rsid w:val="00522BBD"/>
    <w:rsid w:val="0052376B"/>
    <w:rsid w:val="005244FB"/>
    <w:rsid w:val="0052595D"/>
    <w:rsid w:val="00527EED"/>
    <w:rsid w:val="00530793"/>
    <w:rsid w:val="0054205E"/>
    <w:rsid w:val="0055073E"/>
    <w:rsid w:val="00553A0E"/>
    <w:rsid w:val="00557EC1"/>
    <w:rsid w:val="005610FC"/>
    <w:rsid w:val="00564114"/>
    <w:rsid w:val="00566456"/>
    <w:rsid w:val="00572D13"/>
    <w:rsid w:val="0057698B"/>
    <w:rsid w:val="005819E7"/>
    <w:rsid w:val="00584461"/>
    <w:rsid w:val="00591E06"/>
    <w:rsid w:val="0059777B"/>
    <w:rsid w:val="005A1E3F"/>
    <w:rsid w:val="005A7483"/>
    <w:rsid w:val="005B00FB"/>
    <w:rsid w:val="005B0874"/>
    <w:rsid w:val="005B09EF"/>
    <w:rsid w:val="005B4B63"/>
    <w:rsid w:val="005C71A9"/>
    <w:rsid w:val="005D1705"/>
    <w:rsid w:val="005D26B5"/>
    <w:rsid w:val="005E3EAA"/>
    <w:rsid w:val="005E6A83"/>
    <w:rsid w:val="005E6AA1"/>
    <w:rsid w:val="005E76CF"/>
    <w:rsid w:val="005F1F97"/>
    <w:rsid w:val="005F44FF"/>
    <w:rsid w:val="005F75C7"/>
    <w:rsid w:val="00601031"/>
    <w:rsid w:val="006024A8"/>
    <w:rsid w:val="00603DC3"/>
    <w:rsid w:val="00604137"/>
    <w:rsid w:val="0060486C"/>
    <w:rsid w:val="00607404"/>
    <w:rsid w:val="006100CE"/>
    <w:rsid w:val="00614E7C"/>
    <w:rsid w:val="00620261"/>
    <w:rsid w:val="00622E0B"/>
    <w:rsid w:val="00623E06"/>
    <w:rsid w:val="00625E90"/>
    <w:rsid w:val="00627B72"/>
    <w:rsid w:val="0063023C"/>
    <w:rsid w:val="00641DF1"/>
    <w:rsid w:val="00641E81"/>
    <w:rsid w:val="00643F5B"/>
    <w:rsid w:val="0064513F"/>
    <w:rsid w:val="006520E8"/>
    <w:rsid w:val="0066336C"/>
    <w:rsid w:val="00666720"/>
    <w:rsid w:val="006731A2"/>
    <w:rsid w:val="00675375"/>
    <w:rsid w:val="0067578F"/>
    <w:rsid w:val="006772E9"/>
    <w:rsid w:val="00680B06"/>
    <w:rsid w:val="006813F5"/>
    <w:rsid w:val="00690F91"/>
    <w:rsid w:val="0069413C"/>
    <w:rsid w:val="00694161"/>
    <w:rsid w:val="00694941"/>
    <w:rsid w:val="006A13E9"/>
    <w:rsid w:val="006B017D"/>
    <w:rsid w:val="006B1066"/>
    <w:rsid w:val="006B1130"/>
    <w:rsid w:val="006C0928"/>
    <w:rsid w:val="006C6107"/>
    <w:rsid w:val="006D525C"/>
    <w:rsid w:val="006E15C3"/>
    <w:rsid w:val="006E2EF0"/>
    <w:rsid w:val="006E746A"/>
    <w:rsid w:val="006F13D5"/>
    <w:rsid w:val="006F2289"/>
    <w:rsid w:val="006F6A9C"/>
    <w:rsid w:val="0070705A"/>
    <w:rsid w:val="00710E31"/>
    <w:rsid w:val="00715A7A"/>
    <w:rsid w:val="007179A9"/>
    <w:rsid w:val="00717AD2"/>
    <w:rsid w:val="007203E6"/>
    <w:rsid w:val="00720C79"/>
    <w:rsid w:val="00723DD5"/>
    <w:rsid w:val="00730B27"/>
    <w:rsid w:val="00730C0B"/>
    <w:rsid w:val="007313DF"/>
    <w:rsid w:val="00731FBA"/>
    <w:rsid w:val="0073462B"/>
    <w:rsid w:val="00750B20"/>
    <w:rsid w:val="007518C0"/>
    <w:rsid w:val="00761402"/>
    <w:rsid w:val="00764C00"/>
    <w:rsid w:val="00765479"/>
    <w:rsid w:val="00771279"/>
    <w:rsid w:val="0077265A"/>
    <w:rsid w:val="00777E08"/>
    <w:rsid w:val="00783215"/>
    <w:rsid w:val="00790F6A"/>
    <w:rsid w:val="0079414B"/>
    <w:rsid w:val="00795212"/>
    <w:rsid w:val="007A0D06"/>
    <w:rsid w:val="007A20EF"/>
    <w:rsid w:val="007A2FB6"/>
    <w:rsid w:val="007A6394"/>
    <w:rsid w:val="007A738B"/>
    <w:rsid w:val="007B12FC"/>
    <w:rsid w:val="007B14B9"/>
    <w:rsid w:val="007B5AE5"/>
    <w:rsid w:val="007B6491"/>
    <w:rsid w:val="007B6827"/>
    <w:rsid w:val="007C0DFB"/>
    <w:rsid w:val="007C3843"/>
    <w:rsid w:val="007C4A8C"/>
    <w:rsid w:val="007D60FE"/>
    <w:rsid w:val="007D725D"/>
    <w:rsid w:val="007D7B42"/>
    <w:rsid w:val="007E0C0F"/>
    <w:rsid w:val="007E1D7E"/>
    <w:rsid w:val="007F40C3"/>
    <w:rsid w:val="007F4CC2"/>
    <w:rsid w:val="0080515D"/>
    <w:rsid w:val="00811B2B"/>
    <w:rsid w:val="00817089"/>
    <w:rsid w:val="00824D7C"/>
    <w:rsid w:val="0082656A"/>
    <w:rsid w:val="00830F81"/>
    <w:rsid w:val="008372FF"/>
    <w:rsid w:val="008402A8"/>
    <w:rsid w:val="00840455"/>
    <w:rsid w:val="00845179"/>
    <w:rsid w:val="00851FEF"/>
    <w:rsid w:val="00852998"/>
    <w:rsid w:val="00862CA6"/>
    <w:rsid w:val="00863CDA"/>
    <w:rsid w:val="0086570D"/>
    <w:rsid w:val="008661F2"/>
    <w:rsid w:val="008663A3"/>
    <w:rsid w:val="0087193C"/>
    <w:rsid w:val="00871A66"/>
    <w:rsid w:val="00873B20"/>
    <w:rsid w:val="008747A1"/>
    <w:rsid w:val="008750B3"/>
    <w:rsid w:val="00875F82"/>
    <w:rsid w:val="008814CD"/>
    <w:rsid w:val="008822CB"/>
    <w:rsid w:val="008849C2"/>
    <w:rsid w:val="00885A67"/>
    <w:rsid w:val="00886DA1"/>
    <w:rsid w:val="00893F29"/>
    <w:rsid w:val="00894F46"/>
    <w:rsid w:val="008A5AA6"/>
    <w:rsid w:val="008A71C4"/>
    <w:rsid w:val="008B097F"/>
    <w:rsid w:val="008B2737"/>
    <w:rsid w:val="008B27E3"/>
    <w:rsid w:val="008B3DBA"/>
    <w:rsid w:val="008B6A0D"/>
    <w:rsid w:val="008C2329"/>
    <w:rsid w:val="008C27B8"/>
    <w:rsid w:val="008C3C04"/>
    <w:rsid w:val="008C7672"/>
    <w:rsid w:val="008D23A4"/>
    <w:rsid w:val="008D3B0B"/>
    <w:rsid w:val="008D3C83"/>
    <w:rsid w:val="008D5522"/>
    <w:rsid w:val="008D681B"/>
    <w:rsid w:val="008E13DF"/>
    <w:rsid w:val="008E796D"/>
    <w:rsid w:val="008F0655"/>
    <w:rsid w:val="008F14D4"/>
    <w:rsid w:val="008F2B60"/>
    <w:rsid w:val="008F3B0C"/>
    <w:rsid w:val="008F4F3E"/>
    <w:rsid w:val="008F6DFB"/>
    <w:rsid w:val="009051A9"/>
    <w:rsid w:val="00906DA5"/>
    <w:rsid w:val="00907DC4"/>
    <w:rsid w:val="0091610D"/>
    <w:rsid w:val="00916D67"/>
    <w:rsid w:val="00926450"/>
    <w:rsid w:val="009322E6"/>
    <w:rsid w:val="00936994"/>
    <w:rsid w:val="00937F62"/>
    <w:rsid w:val="00941CFC"/>
    <w:rsid w:val="00943E2C"/>
    <w:rsid w:val="00945620"/>
    <w:rsid w:val="00945BAB"/>
    <w:rsid w:val="0094676B"/>
    <w:rsid w:val="00950E9D"/>
    <w:rsid w:val="00954289"/>
    <w:rsid w:val="0095517B"/>
    <w:rsid w:val="00955804"/>
    <w:rsid w:val="00961982"/>
    <w:rsid w:val="00962535"/>
    <w:rsid w:val="0096420D"/>
    <w:rsid w:val="00964348"/>
    <w:rsid w:val="00971668"/>
    <w:rsid w:val="00981890"/>
    <w:rsid w:val="0098423D"/>
    <w:rsid w:val="00987590"/>
    <w:rsid w:val="00987B4A"/>
    <w:rsid w:val="0099135F"/>
    <w:rsid w:val="009964D1"/>
    <w:rsid w:val="0099709C"/>
    <w:rsid w:val="009A1109"/>
    <w:rsid w:val="009A4A6D"/>
    <w:rsid w:val="009B4187"/>
    <w:rsid w:val="009B776C"/>
    <w:rsid w:val="009C24A7"/>
    <w:rsid w:val="009C3657"/>
    <w:rsid w:val="009C62AC"/>
    <w:rsid w:val="009D32E0"/>
    <w:rsid w:val="009D5418"/>
    <w:rsid w:val="009E2B37"/>
    <w:rsid w:val="009E2D26"/>
    <w:rsid w:val="009E505D"/>
    <w:rsid w:val="009E5C64"/>
    <w:rsid w:val="009E757E"/>
    <w:rsid w:val="009F19C5"/>
    <w:rsid w:val="009F3235"/>
    <w:rsid w:val="00A01058"/>
    <w:rsid w:val="00A07648"/>
    <w:rsid w:val="00A14265"/>
    <w:rsid w:val="00A15668"/>
    <w:rsid w:val="00A203FA"/>
    <w:rsid w:val="00A33A35"/>
    <w:rsid w:val="00A40029"/>
    <w:rsid w:val="00A43D75"/>
    <w:rsid w:val="00A531D4"/>
    <w:rsid w:val="00A61325"/>
    <w:rsid w:val="00A6260F"/>
    <w:rsid w:val="00A63903"/>
    <w:rsid w:val="00A6476C"/>
    <w:rsid w:val="00A64CF0"/>
    <w:rsid w:val="00A66658"/>
    <w:rsid w:val="00A83BA2"/>
    <w:rsid w:val="00A8432D"/>
    <w:rsid w:val="00A84530"/>
    <w:rsid w:val="00A8478D"/>
    <w:rsid w:val="00A95BC6"/>
    <w:rsid w:val="00AA1ADE"/>
    <w:rsid w:val="00AA222E"/>
    <w:rsid w:val="00AA328F"/>
    <w:rsid w:val="00AA76B3"/>
    <w:rsid w:val="00AB0484"/>
    <w:rsid w:val="00AB0BC9"/>
    <w:rsid w:val="00AB0E55"/>
    <w:rsid w:val="00AB2035"/>
    <w:rsid w:val="00AB2D0E"/>
    <w:rsid w:val="00AB4901"/>
    <w:rsid w:val="00AD14E5"/>
    <w:rsid w:val="00AD1780"/>
    <w:rsid w:val="00AE0E5A"/>
    <w:rsid w:val="00AE271D"/>
    <w:rsid w:val="00AE38B7"/>
    <w:rsid w:val="00AE5529"/>
    <w:rsid w:val="00AF3DDC"/>
    <w:rsid w:val="00AF67E0"/>
    <w:rsid w:val="00AF6906"/>
    <w:rsid w:val="00B01CC6"/>
    <w:rsid w:val="00B0751D"/>
    <w:rsid w:val="00B120A1"/>
    <w:rsid w:val="00B2055D"/>
    <w:rsid w:val="00B216E2"/>
    <w:rsid w:val="00B225C1"/>
    <w:rsid w:val="00B26078"/>
    <w:rsid w:val="00B31FD1"/>
    <w:rsid w:val="00B3286B"/>
    <w:rsid w:val="00B336EE"/>
    <w:rsid w:val="00B3419A"/>
    <w:rsid w:val="00B34690"/>
    <w:rsid w:val="00B35DBE"/>
    <w:rsid w:val="00B36EF2"/>
    <w:rsid w:val="00B4072D"/>
    <w:rsid w:val="00B41055"/>
    <w:rsid w:val="00B44E57"/>
    <w:rsid w:val="00B47465"/>
    <w:rsid w:val="00B5794D"/>
    <w:rsid w:val="00B66ED5"/>
    <w:rsid w:val="00B67EDC"/>
    <w:rsid w:val="00B85A6B"/>
    <w:rsid w:val="00B87148"/>
    <w:rsid w:val="00B900FA"/>
    <w:rsid w:val="00B91AB8"/>
    <w:rsid w:val="00B93E7F"/>
    <w:rsid w:val="00B9696E"/>
    <w:rsid w:val="00BA0263"/>
    <w:rsid w:val="00BA4295"/>
    <w:rsid w:val="00BA67FD"/>
    <w:rsid w:val="00BB1FA4"/>
    <w:rsid w:val="00BB4103"/>
    <w:rsid w:val="00BB4536"/>
    <w:rsid w:val="00BB5F59"/>
    <w:rsid w:val="00BC57AF"/>
    <w:rsid w:val="00BC7D1A"/>
    <w:rsid w:val="00BD54D8"/>
    <w:rsid w:val="00BD5ADF"/>
    <w:rsid w:val="00BD64BD"/>
    <w:rsid w:val="00BE2A61"/>
    <w:rsid w:val="00BE47F9"/>
    <w:rsid w:val="00BE4B74"/>
    <w:rsid w:val="00BE63D6"/>
    <w:rsid w:val="00BF13BB"/>
    <w:rsid w:val="00BF1EBB"/>
    <w:rsid w:val="00BF6032"/>
    <w:rsid w:val="00BF7435"/>
    <w:rsid w:val="00C04D4F"/>
    <w:rsid w:val="00C05966"/>
    <w:rsid w:val="00C06BC5"/>
    <w:rsid w:val="00C126BE"/>
    <w:rsid w:val="00C136C0"/>
    <w:rsid w:val="00C155C9"/>
    <w:rsid w:val="00C15B62"/>
    <w:rsid w:val="00C16F1C"/>
    <w:rsid w:val="00C17323"/>
    <w:rsid w:val="00C24EE9"/>
    <w:rsid w:val="00C276F1"/>
    <w:rsid w:val="00C27815"/>
    <w:rsid w:val="00C302EC"/>
    <w:rsid w:val="00C316B4"/>
    <w:rsid w:val="00C34EA8"/>
    <w:rsid w:val="00C34FFF"/>
    <w:rsid w:val="00C357A3"/>
    <w:rsid w:val="00C47659"/>
    <w:rsid w:val="00C5109A"/>
    <w:rsid w:val="00C51F16"/>
    <w:rsid w:val="00C5280B"/>
    <w:rsid w:val="00C52A9B"/>
    <w:rsid w:val="00C541E0"/>
    <w:rsid w:val="00C542EE"/>
    <w:rsid w:val="00C57F23"/>
    <w:rsid w:val="00C622BB"/>
    <w:rsid w:val="00C62BF9"/>
    <w:rsid w:val="00C63817"/>
    <w:rsid w:val="00C63C2C"/>
    <w:rsid w:val="00C644A0"/>
    <w:rsid w:val="00C6763A"/>
    <w:rsid w:val="00C750DE"/>
    <w:rsid w:val="00C773DF"/>
    <w:rsid w:val="00C92EFB"/>
    <w:rsid w:val="00CA5432"/>
    <w:rsid w:val="00CA6401"/>
    <w:rsid w:val="00CB0CA6"/>
    <w:rsid w:val="00CB6412"/>
    <w:rsid w:val="00CB6C11"/>
    <w:rsid w:val="00CC1A76"/>
    <w:rsid w:val="00CC72BD"/>
    <w:rsid w:val="00CC7BE3"/>
    <w:rsid w:val="00CD237F"/>
    <w:rsid w:val="00CD23F0"/>
    <w:rsid w:val="00CD2AAC"/>
    <w:rsid w:val="00CD5C21"/>
    <w:rsid w:val="00CD6C3B"/>
    <w:rsid w:val="00CF39C6"/>
    <w:rsid w:val="00CF5E24"/>
    <w:rsid w:val="00CF742E"/>
    <w:rsid w:val="00CF7561"/>
    <w:rsid w:val="00CF7A24"/>
    <w:rsid w:val="00D070F4"/>
    <w:rsid w:val="00D11307"/>
    <w:rsid w:val="00D16DE6"/>
    <w:rsid w:val="00D2080C"/>
    <w:rsid w:val="00D30C01"/>
    <w:rsid w:val="00D379CF"/>
    <w:rsid w:val="00D42CEC"/>
    <w:rsid w:val="00D430E3"/>
    <w:rsid w:val="00D4356B"/>
    <w:rsid w:val="00D437E6"/>
    <w:rsid w:val="00D515FA"/>
    <w:rsid w:val="00D54ED2"/>
    <w:rsid w:val="00D57DF2"/>
    <w:rsid w:val="00D6026F"/>
    <w:rsid w:val="00D61207"/>
    <w:rsid w:val="00D61376"/>
    <w:rsid w:val="00D66630"/>
    <w:rsid w:val="00D70B08"/>
    <w:rsid w:val="00D71F45"/>
    <w:rsid w:val="00D76495"/>
    <w:rsid w:val="00D76EDB"/>
    <w:rsid w:val="00D77362"/>
    <w:rsid w:val="00D80FD2"/>
    <w:rsid w:val="00D82AB9"/>
    <w:rsid w:val="00D86612"/>
    <w:rsid w:val="00D900AD"/>
    <w:rsid w:val="00D92D9E"/>
    <w:rsid w:val="00DA4BFF"/>
    <w:rsid w:val="00DA6678"/>
    <w:rsid w:val="00DB0DE7"/>
    <w:rsid w:val="00DB42D0"/>
    <w:rsid w:val="00DC11DA"/>
    <w:rsid w:val="00DC6297"/>
    <w:rsid w:val="00DD378A"/>
    <w:rsid w:val="00DE0BB8"/>
    <w:rsid w:val="00DE4EB8"/>
    <w:rsid w:val="00DE5DDA"/>
    <w:rsid w:val="00DE66C7"/>
    <w:rsid w:val="00DE797D"/>
    <w:rsid w:val="00DF0045"/>
    <w:rsid w:val="00DF49E1"/>
    <w:rsid w:val="00DF4FCD"/>
    <w:rsid w:val="00DF6279"/>
    <w:rsid w:val="00DF7C7F"/>
    <w:rsid w:val="00E064B2"/>
    <w:rsid w:val="00E06F61"/>
    <w:rsid w:val="00E1323A"/>
    <w:rsid w:val="00E15385"/>
    <w:rsid w:val="00E17E61"/>
    <w:rsid w:val="00E2330C"/>
    <w:rsid w:val="00E30FF7"/>
    <w:rsid w:val="00E321CA"/>
    <w:rsid w:val="00E32A7C"/>
    <w:rsid w:val="00E40939"/>
    <w:rsid w:val="00E40F69"/>
    <w:rsid w:val="00E41B8B"/>
    <w:rsid w:val="00E423E5"/>
    <w:rsid w:val="00E43BD0"/>
    <w:rsid w:val="00E47C2E"/>
    <w:rsid w:val="00E54C0E"/>
    <w:rsid w:val="00E569C7"/>
    <w:rsid w:val="00E60B3D"/>
    <w:rsid w:val="00E61198"/>
    <w:rsid w:val="00E65AE2"/>
    <w:rsid w:val="00E65E8A"/>
    <w:rsid w:val="00E67DBA"/>
    <w:rsid w:val="00E71414"/>
    <w:rsid w:val="00E74BEA"/>
    <w:rsid w:val="00E75304"/>
    <w:rsid w:val="00E83B60"/>
    <w:rsid w:val="00E84E66"/>
    <w:rsid w:val="00E861EE"/>
    <w:rsid w:val="00E9164D"/>
    <w:rsid w:val="00E966D3"/>
    <w:rsid w:val="00EA0834"/>
    <w:rsid w:val="00EB118E"/>
    <w:rsid w:val="00EB28A9"/>
    <w:rsid w:val="00EB4EDA"/>
    <w:rsid w:val="00EB603F"/>
    <w:rsid w:val="00ED2149"/>
    <w:rsid w:val="00ED2980"/>
    <w:rsid w:val="00ED3448"/>
    <w:rsid w:val="00ED3E83"/>
    <w:rsid w:val="00ED45F8"/>
    <w:rsid w:val="00ED5E2C"/>
    <w:rsid w:val="00ED73F8"/>
    <w:rsid w:val="00EF2CC6"/>
    <w:rsid w:val="00EF2FB3"/>
    <w:rsid w:val="00EF3615"/>
    <w:rsid w:val="00F00182"/>
    <w:rsid w:val="00F059F1"/>
    <w:rsid w:val="00F21FBE"/>
    <w:rsid w:val="00F22320"/>
    <w:rsid w:val="00F22696"/>
    <w:rsid w:val="00F33F0A"/>
    <w:rsid w:val="00F3440C"/>
    <w:rsid w:val="00F366E8"/>
    <w:rsid w:val="00F45F03"/>
    <w:rsid w:val="00F46496"/>
    <w:rsid w:val="00F50BD4"/>
    <w:rsid w:val="00F52F81"/>
    <w:rsid w:val="00F5317A"/>
    <w:rsid w:val="00F554AC"/>
    <w:rsid w:val="00F55556"/>
    <w:rsid w:val="00F5648A"/>
    <w:rsid w:val="00F609FE"/>
    <w:rsid w:val="00F634B0"/>
    <w:rsid w:val="00F6464C"/>
    <w:rsid w:val="00F64A3E"/>
    <w:rsid w:val="00F65224"/>
    <w:rsid w:val="00F76D9D"/>
    <w:rsid w:val="00F90434"/>
    <w:rsid w:val="00F970AB"/>
    <w:rsid w:val="00FA1E6B"/>
    <w:rsid w:val="00FA7DE6"/>
    <w:rsid w:val="00FB30EC"/>
    <w:rsid w:val="00FB37A8"/>
    <w:rsid w:val="00FB3CC5"/>
    <w:rsid w:val="00FB5343"/>
    <w:rsid w:val="00FC2684"/>
    <w:rsid w:val="00FD0E2C"/>
    <w:rsid w:val="00FD1DE4"/>
    <w:rsid w:val="00FD5E0A"/>
    <w:rsid w:val="00FD7FF5"/>
    <w:rsid w:val="00FE28D6"/>
    <w:rsid w:val="00FE605F"/>
    <w:rsid w:val="00FF034E"/>
    <w:rsid w:val="00FF5F8E"/>
    <w:rsid w:val="00FF7C2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footnote text" w:uiPriority="99"/>
    <w:lsdException w:name="caption" w:uiPriority="35" w:qFormat="1"/>
    <w:lsdException w:name="table of figures"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Balloon Text" w:semiHidden="0" w:uiPriority="99" w:unhideWhenUsed="0"/>
    <w:lsdException w:name="Table Grid" w:semiHidden="0" w:unhideWhenUsed="0"/>
    <w:lsdException w:name="Placeholder Text" w:uiPriority="67"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E2"/>
    <w:pPr>
      <w:bidi/>
    </w:pPr>
    <w:rPr>
      <w:sz w:val="24"/>
      <w:szCs w:val="24"/>
    </w:rPr>
  </w:style>
  <w:style w:type="paragraph" w:styleId="Heading1">
    <w:name w:val="heading 1"/>
    <w:basedOn w:val="Normal"/>
    <w:next w:val="Normal"/>
    <w:link w:val="Heading1Char"/>
    <w:qFormat/>
    <w:rsid w:val="00F634B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34B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34B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rsid w:val="00F22320"/>
    <w:pPr>
      <w:keepNext/>
      <w:keepLines/>
      <w:bidi w:val="0"/>
      <w:spacing w:before="200"/>
      <w:outlineLvl w:val="3"/>
    </w:pPr>
    <w:rPr>
      <w:rFonts w:asciiTheme="majorHAnsi" w:eastAsiaTheme="majorEastAsia" w:hAnsiTheme="majorHAnsi" w:cstheme="majorBidi"/>
      <w:b/>
      <w:bCs/>
      <w:i/>
      <w:iCs/>
      <w:color w:val="4F81BD" w:themeColor="accent1"/>
      <w:lang w:eastAsia="zh-CN"/>
    </w:rPr>
  </w:style>
  <w:style w:type="paragraph" w:styleId="Heading5">
    <w:name w:val="heading 5"/>
    <w:basedOn w:val="Normal"/>
    <w:next w:val="Normal"/>
    <w:link w:val="Heading5Char"/>
    <w:uiPriority w:val="9"/>
    <w:semiHidden/>
    <w:unhideWhenUsed/>
    <w:qFormat/>
    <w:rsid w:val="00F22320"/>
    <w:pPr>
      <w:keepNext/>
      <w:keepLines/>
      <w:bidi w:val="0"/>
      <w:spacing w:before="200"/>
      <w:outlineLvl w:val="4"/>
    </w:pPr>
    <w:rPr>
      <w:rFonts w:asciiTheme="majorHAnsi" w:eastAsiaTheme="majorEastAsia" w:hAnsiTheme="majorHAnsi" w:cstheme="majorBidi"/>
      <w:color w:val="243F60" w:themeColor="accent1" w:themeShade="7F"/>
      <w:lang w:eastAsia="zh-CN"/>
    </w:rPr>
  </w:style>
  <w:style w:type="paragraph" w:styleId="Heading6">
    <w:name w:val="heading 6"/>
    <w:basedOn w:val="Normal"/>
    <w:next w:val="Normal"/>
    <w:link w:val="Heading6Char"/>
    <w:uiPriority w:val="9"/>
    <w:semiHidden/>
    <w:unhideWhenUsed/>
    <w:qFormat/>
    <w:rsid w:val="00F22320"/>
    <w:pPr>
      <w:keepNext/>
      <w:keepLines/>
      <w:bidi w:val="0"/>
      <w:spacing w:before="200"/>
      <w:outlineLvl w:val="5"/>
    </w:pPr>
    <w:rPr>
      <w:rFonts w:asciiTheme="majorHAnsi" w:eastAsiaTheme="majorEastAsia" w:hAnsiTheme="majorHAnsi" w:cstheme="majorBidi"/>
      <w:i/>
      <w:iCs/>
      <w:color w:val="243F60" w:themeColor="accent1" w:themeShade="7F"/>
      <w:lang w:eastAsia="zh-CN"/>
    </w:rPr>
  </w:style>
  <w:style w:type="paragraph" w:styleId="Heading8">
    <w:name w:val="heading 8"/>
    <w:basedOn w:val="Normal"/>
    <w:next w:val="Normal"/>
    <w:link w:val="Heading8Char"/>
    <w:uiPriority w:val="9"/>
    <w:semiHidden/>
    <w:unhideWhenUsed/>
    <w:qFormat/>
    <w:rsid w:val="0095517B"/>
    <w:pPr>
      <w:bidi w:val="0"/>
      <w:spacing w:line="276" w:lineRule="auto"/>
      <w:outlineLvl w:val="7"/>
    </w:pPr>
    <w:rPr>
      <w:rFonts w:ascii="Cambria" w:hAnsi="Cambria"/>
      <w:b/>
      <w:bC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34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34B0"/>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F22320"/>
    <w:rPr>
      <w:rFonts w:asciiTheme="majorHAnsi" w:eastAsiaTheme="majorEastAsia" w:hAnsiTheme="majorHAnsi" w:cstheme="majorBidi"/>
      <w:color w:val="243F60" w:themeColor="accent1" w:themeShade="7F"/>
      <w:sz w:val="24"/>
      <w:szCs w:val="24"/>
      <w:lang w:eastAsia="zh-CN"/>
    </w:rPr>
  </w:style>
  <w:style w:type="character" w:customStyle="1" w:styleId="Heading6Char">
    <w:name w:val="Heading 6 Char"/>
    <w:basedOn w:val="DefaultParagraphFont"/>
    <w:link w:val="Heading6"/>
    <w:uiPriority w:val="9"/>
    <w:semiHidden/>
    <w:rsid w:val="00F22320"/>
    <w:rPr>
      <w:rFonts w:asciiTheme="majorHAnsi" w:eastAsiaTheme="majorEastAsia" w:hAnsiTheme="majorHAnsi" w:cstheme="majorBidi"/>
      <w:i/>
      <w:iCs/>
      <w:color w:val="243F60" w:themeColor="accent1" w:themeShade="7F"/>
      <w:sz w:val="24"/>
      <w:szCs w:val="24"/>
      <w:lang w:eastAsia="zh-CN"/>
    </w:rPr>
  </w:style>
  <w:style w:type="character" w:customStyle="1" w:styleId="Heading8Char">
    <w:name w:val="Heading 8 Char"/>
    <w:link w:val="Heading8"/>
    <w:uiPriority w:val="9"/>
    <w:semiHidden/>
    <w:rsid w:val="0095517B"/>
    <w:rPr>
      <w:rFonts w:ascii="Cambria" w:hAnsi="Cambria"/>
      <w:b/>
      <w:bCs/>
      <w:color w:val="7F7F7F"/>
    </w:rPr>
  </w:style>
  <w:style w:type="paragraph" w:styleId="Header">
    <w:name w:val="header"/>
    <w:basedOn w:val="Normal"/>
    <w:link w:val="HeaderChar"/>
    <w:rsid w:val="004F0BC6"/>
    <w:pPr>
      <w:tabs>
        <w:tab w:val="center" w:pos="4153"/>
        <w:tab w:val="right" w:pos="8306"/>
      </w:tabs>
    </w:pPr>
  </w:style>
  <w:style w:type="character" w:customStyle="1" w:styleId="HeaderChar">
    <w:name w:val="Header Char"/>
    <w:link w:val="Header"/>
    <w:rsid w:val="004F0BC6"/>
    <w:rPr>
      <w:sz w:val="24"/>
      <w:szCs w:val="24"/>
    </w:rPr>
  </w:style>
  <w:style w:type="paragraph" w:styleId="Footer">
    <w:name w:val="footer"/>
    <w:basedOn w:val="Normal"/>
    <w:link w:val="FooterChar"/>
    <w:rsid w:val="004F0BC6"/>
    <w:pPr>
      <w:tabs>
        <w:tab w:val="center" w:pos="4153"/>
        <w:tab w:val="right" w:pos="8306"/>
      </w:tabs>
    </w:pPr>
  </w:style>
  <w:style w:type="character" w:customStyle="1" w:styleId="FooterChar">
    <w:name w:val="Footer Char"/>
    <w:link w:val="Footer"/>
    <w:rsid w:val="004F0BC6"/>
    <w:rPr>
      <w:sz w:val="24"/>
      <w:szCs w:val="24"/>
    </w:rPr>
  </w:style>
  <w:style w:type="character" w:styleId="PageNumber">
    <w:name w:val="page number"/>
    <w:rsid w:val="00873B20"/>
  </w:style>
  <w:style w:type="paragraph" w:styleId="BalloonText">
    <w:name w:val="Balloon Text"/>
    <w:basedOn w:val="Normal"/>
    <w:link w:val="BalloonTextChar"/>
    <w:uiPriority w:val="99"/>
    <w:rsid w:val="00C06BC5"/>
    <w:rPr>
      <w:rFonts w:ascii="Tahoma" w:hAnsi="Tahoma" w:cs="Tahoma"/>
      <w:sz w:val="16"/>
      <w:szCs w:val="16"/>
    </w:rPr>
  </w:style>
  <w:style w:type="character" w:customStyle="1" w:styleId="BalloonTextChar">
    <w:name w:val="Balloon Text Char"/>
    <w:link w:val="BalloonText"/>
    <w:uiPriority w:val="99"/>
    <w:rsid w:val="00C06BC5"/>
    <w:rPr>
      <w:rFonts w:ascii="Tahoma" w:hAnsi="Tahoma" w:cs="Tahoma"/>
      <w:sz w:val="16"/>
      <w:szCs w:val="16"/>
    </w:rPr>
  </w:style>
  <w:style w:type="paragraph" w:styleId="Caption">
    <w:name w:val="caption"/>
    <w:basedOn w:val="Normal"/>
    <w:next w:val="Normal"/>
    <w:uiPriority w:val="35"/>
    <w:unhideWhenUsed/>
    <w:qFormat/>
    <w:rsid w:val="00CA6401"/>
    <w:rPr>
      <w:b/>
      <w:bCs/>
      <w:sz w:val="20"/>
      <w:szCs w:val="20"/>
    </w:rPr>
  </w:style>
  <w:style w:type="table" w:styleId="LightGrid">
    <w:name w:val="Light Grid"/>
    <w:basedOn w:val="TableNormal"/>
    <w:uiPriority w:val="62"/>
    <w:rsid w:val="004A63B7"/>
    <w:rPr>
      <w:rFonts w:ascii="Calibri" w:hAnsi="Calibri" w:cs="Arial"/>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4A63B7"/>
    <w:pPr>
      <w:autoSpaceDE w:val="0"/>
      <w:autoSpaceDN w:val="0"/>
      <w:adjustRightInd w:val="0"/>
    </w:pPr>
    <w:rPr>
      <w:rFonts w:ascii="Calibri" w:hAnsi="Calibri" w:cs="Calibri"/>
      <w:color w:val="000000"/>
      <w:sz w:val="24"/>
      <w:szCs w:val="24"/>
    </w:rPr>
  </w:style>
  <w:style w:type="character" w:styleId="Hyperlink">
    <w:name w:val="Hyperlink"/>
    <w:uiPriority w:val="99"/>
    <w:rsid w:val="00ED45F8"/>
    <w:rPr>
      <w:color w:val="1D4994"/>
      <w:u w:val="single"/>
    </w:rPr>
  </w:style>
  <w:style w:type="paragraph" w:styleId="ListParagraph">
    <w:name w:val="List Paragraph"/>
    <w:basedOn w:val="Normal"/>
    <w:uiPriority w:val="34"/>
    <w:qFormat/>
    <w:rsid w:val="00ED45F8"/>
    <w:pPr>
      <w:bidi w:val="0"/>
      <w:spacing w:after="200" w:line="276" w:lineRule="auto"/>
      <w:ind w:left="720"/>
    </w:pPr>
    <w:rPr>
      <w:rFonts w:ascii="Calibri" w:eastAsia="SimSun" w:hAnsi="Calibri" w:cs="Arial"/>
      <w:sz w:val="22"/>
      <w:szCs w:val="22"/>
    </w:rPr>
  </w:style>
  <w:style w:type="table" w:styleId="TableGrid">
    <w:name w:val="Table Grid"/>
    <w:basedOn w:val="TableNormal"/>
    <w:rsid w:val="00ED45F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rsid w:val="00ED45F8"/>
    <w:pPr>
      <w:bidi w:val="0"/>
      <w:spacing w:line="276" w:lineRule="auto"/>
    </w:pPr>
    <w:rPr>
      <w:rFonts w:ascii="Calibri" w:hAnsi="Calibri" w:cs="Arial"/>
      <w:sz w:val="22"/>
      <w:szCs w:val="22"/>
    </w:rPr>
  </w:style>
  <w:style w:type="table" w:styleId="MediumGrid3-Accent3">
    <w:name w:val="Medium Grid 3 Accent 3"/>
    <w:basedOn w:val="TableNormal"/>
    <w:uiPriority w:val="69"/>
    <w:rsid w:val="000E7D6C"/>
    <w:rPr>
      <w:rFonts w:ascii="Calibri" w:eastAsia="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F634B0"/>
    <w:pPr>
      <w:bidi w:val="0"/>
      <w:spacing w:after="200" w:line="276" w:lineRule="auto"/>
    </w:pPr>
    <w:rPr>
      <w:rFonts w:eastAsiaTheme="minorHAnsi"/>
    </w:rPr>
  </w:style>
  <w:style w:type="table" w:styleId="MediumGrid3-Accent4">
    <w:name w:val="Medium Grid 3 Accent 4"/>
    <w:basedOn w:val="TableNormal"/>
    <w:uiPriority w:val="69"/>
    <w:rsid w:val="00F634B0"/>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apple-converted-space">
    <w:name w:val="apple-converted-space"/>
    <w:basedOn w:val="DefaultParagraphFont"/>
    <w:rsid w:val="00F634B0"/>
  </w:style>
  <w:style w:type="character" w:styleId="Emphasis">
    <w:name w:val="Emphasis"/>
    <w:basedOn w:val="DefaultParagraphFont"/>
    <w:qFormat/>
    <w:rsid w:val="00F634B0"/>
    <w:rPr>
      <w:i/>
      <w:iCs/>
    </w:rPr>
  </w:style>
  <w:style w:type="table" w:styleId="MediumList1">
    <w:name w:val="Medium List 1"/>
    <w:basedOn w:val="TableNormal"/>
    <w:uiPriority w:val="65"/>
    <w:rsid w:val="00F634B0"/>
    <w:rPr>
      <w:rFonts w:asciiTheme="minorHAnsi" w:eastAsiaTheme="minorHAnsi"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
    <w:name w:val="Medium Grid 1"/>
    <w:basedOn w:val="TableNormal"/>
    <w:uiPriority w:val="67"/>
    <w:rsid w:val="00F634B0"/>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Accent3">
    <w:name w:val="Colorful Shading Accent 3"/>
    <w:basedOn w:val="TableNormal"/>
    <w:uiPriority w:val="71"/>
    <w:rsid w:val="00F634B0"/>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ghtGrid-Accent4">
    <w:name w:val="Light Grid Accent 4"/>
    <w:basedOn w:val="TableNormal"/>
    <w:uiPriority w:val="62"/>
    <w:rsid w:val="00F634B0"/>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2-Accent3">
    <w:name w:val="Medium Shading 2 Accent 3"/>
    <w:basedOn w:val="TableNormal"/>
    <w:uiPriority w:val="64"/>
    <w:rsid w:val="00F634B0"/>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F634B0"/>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Spacing">
    <w:name w:val="No Spacing"/>
    <w:uiPriority w:val="99"/>
    <w:qFormat/>
    <w:rsid w:val="00F634B0"/>
    <w:pPr>
      <w:bidi/>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F634B0"/>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F634B0"/>
    <w:rPr>
      <w:rFonts w:ascii="Consolas" w:eastAsiaTheme="minorHAnsi" w:hAnsi="Consolas" w:cs="Consolas"/>
    </w:rPr>
  </w:style>
  <w:style w:type="character" w:customStyle="1" w:styleId="A10">
    <w:name w:val="A10"/>
    <w:uiPriority w:val="99"/>
    <w:rsid w:val="00F634B0"/>
    <w:rPr>
      <w:rFonts w:cs="Franklin Gothic Book"/>
      <w:color w:val="000000"/>
      <w:sz w:val="12"/>
      <w:szCs w:val="12"/>
    </w:rPr>
  </w:style>
  <w:style w:type="table" w:styleId="LightList-Accent4">
    <w:name w:val="Light List Accent 4"/>
    <w:basedOn w:val="TableNormal"/>
    <w:uiPriority w:val="61"/>
    <w:rsid w:val="008661F2"/>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3">
    <w:name w:val="Light Grid Accent 3"/>
    <w:basedOn w:val="TableNormal"/>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41">
    <w:name w:val="Light Grid - Accent 41"/>
    <w:basedOn w:val="TableNormal"/>
    <w:next w:val="LightGrid-Accent4"/>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3">
    <w:name w:val="Light List Accent 3"/>
    <w:basedOn w:val="TableNormal"/>
    <w:uiPriority w:val="61"/>
    <w:rsid w:val="008661F2"/>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2-Accent3">
    <w:name w:val="Medium Grid 2 Accent 3"/>
    <w:basedOn w:val="TableNormal"/>
    <w:uiPriority w:val="68"/>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List-Accent2">
    <w:name w:val="Light List Accent 2"/>
    <w:basedOn w:val="TableNormal"/>
    <w:uiPriority w:val="61"/>
    <w:rsid w:val="008661F2"/>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1">
    <w:name w:val="Light Grid Accent 1"/>
    <w:basedOn w:val="TableNormal"/>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2">
    <w:name w:val="Medium Shading 2 Accent 2"/>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2-Accent1">
    <w:name w:val="Medium Shading 2 Accent 1"/>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5">
    <w:name w:val="Medium Shading 2 Accent 5"/>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8661F2"/>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8661F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2">
    <w:name w:val="Medium Grid 2 Accent 2"/>
    <w:basedOn w:val="TableNormal"/>
    <w:uiPriority w:val="68"/>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8661F2"/>
    <w:rPr>
      <w:rFonts w:asciiTheme="minorHAnsi" w:eastAsiaTheme="minorHAnsi"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1">
    <w:name w:val="Light Shading Accent 1"/>
    <w:basedOn w:val="TableNormal"/>
    <w:uiPriority w:val="60"/>
    <w:rsid w:val="008661F2"/>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661F2"/>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FootnoteText">
    <w:name w:val="footnote text"/>
    <w:basedOn w:val="Normal"/>
    <w:link w:val="FootnoteTextChar"/>
    <w:uiPriority w:val="99"/>
    <w:unhideWhenUsed/>
    <w:rsid w:val="00250611"/>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50611"/>
    <w:rPr>
      <w:rFonts w:asciiTheme="minorHAnsi" w:eastAsiaTheme="minorHAnsi" w:hAnsiTheme="minorHAnsi" w:cstheme="minorBidi"/>
    </w:rPr>
  </w:style>
  <w:style w:type="character" w:styleId="FollowedHyperlink">
    <w:name w:val="FollowedHyperlink"/>
    <w:basedOn w:val="DefaultParagraphFont"/>
    <w:uiPriority w:val="99"/>
    <w:unhideWhenUsed/>
    <w:rsid w:val="00250611"/>
    <w:rPr>
      <w:color w:val="800080" w:themeColor="followedHyperlink"/>
      <w:u w:val="single"/>
    </w:rPr>
  </w:style>
  <w:style w:type="table" w:styleId="LightList-Accent6">
    <w:name w:val="Light List Accent 6"/>
    <w:basedOn w:val="TableNormal"/>
    <w:uiPriority w:val="61"/>
    <w:rsid w:val="00B44E57"/>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Strong">
    <w:name w:val="Strong"/>
    <w:uiPriority w:val="22"/>
    <w:qFormat/>
    <w:rsid w:val="00BA67FD"/>
    <w:rPr>
      <w:b/>
      <w:bCs/>
    </w:rPr>
  </w:style>
  <w:style w:type="character" w:customStyle="1" w:styleId="subsect1-header1">
    <w:name w:val="subsect1-header1"/>
    <w:rsid w:val="00BA67FD"/>
    <w:rPr>
      <w:b/>
      <w:bCs/>
      <w:color w:val="000000"/>
      <w:sz w:val="24"/>
      <w:szCs w:val="24"/>
    </w:rPr>
  </w:style>
  <w:style w:type="character" w:customStyle="1" w:styleId="caption-header1">
    <w:name w:val="caption-header1"/>
    <w:rsid w:val="00BA67FD"/>
    <w:rPr>
      <w:b/>
      <w:bCs/>
      <w:color w:val="336699"/>
    </w:rPr>
  </w:style>
  <w:style w:type="character" w:customStyle="1" w:styleId="figgrp-header1">
    <w:name w:val="figgrp-header1"/>
    <w:rsid w:val="00BA67FD"/>
    <w:rPr>
      <w:b/>
      <w:bCs/>
      <w:color w:val="336699"/>
    </w:rPr>
  </w:style>
  <w:style w:type="character" w:customStyle="1" w:styleId="homehead1">
    <w:name w:val="homehead1"/>
    <w:rsid w:val="00BA67FD"/>
    <w:rPr>
      <w:rFonts w:ascii="Verdana" w:hAnsi="Verdana" w:hint="default"/>
      <w:b/>
      <w:bCs/>
      <w:i/>
      <w:iCs/>
      <w:strike w:val="0"/>
      <w:dstrike w:val="0"/>
      <w:color w:val="005D6E"/>
      <w:sz w:val="24"/>
      <w:szCs w:val="24"/>
      <w:u w:val="none"/>
      <w:effect w:val="none"/>
    </w:rPr>
  </w:style>
  <w:style w:type="paragraph" w:styleId="BodyTextIndent2">
    <w:name w:val="Body Text Indent 2"/>
    <w:basedOn w:val="Normal"/>
    <w:link w:val="BodyTextIndent2Char"/>
    <w:rsid w:val="00BA67FD"/>
    <w:pPr>
      <w:bidi w:val="0"/>
      <w:spacing w:line="360" w:lineRule="auto"/>
      <w:ind w:left="1560"/>
      <w:jc w:val="lowKashida"/>
    </w:pPr>
    <w:rPr>
      <w:rFonts w:ascii="Verdana" w:hAnsi="Verdana" w:cs="Verdana"/>
      <w:b/>
      <w:bCs/>
      <w:snapToGrid w:val="0"/>
      <w:sz w:val="28"/>
      <w:szCs w:val="28"/>
    </w:rPr>
  </w:style>
  <w:style w:type="character" w:customStyle="1" w:styleId="BodyTextIndent2Char">
    <w:name w:val="Body Text Indent 2 Char"/>
    <w:basedOn w:val="DefaultParagraphFont"/>
    <w:link w:val="BodyTextIndent2"/>
    <w:rsid w:val="00BA67FD"/>
    <w:rPr>
      <w:rFonts w:ascii="Verdana" w:hAnsi="Verdana" w:cs="Verdana"/>
      <w:b/>
      <w:bCs/>
      <w:snapToGrid w:val="0"/>
      <w:sz w:val="28"/>
      <w:szCs w:val="28"/>
    </w:rPr>
  </w:style>
  <w:style w:type="paragraph" w:styleId="Title">
    <w:name w:val="Title"/>
    <w:basedOn w:val="Normal"/>
    <w:link w:val="TitleChar"/>
    <w:qFormat/>
    <w:rsid w:val="00BA67FD"/>
    <w:pPr>
      <w:bidi w:val="0"/>
      <w:ind w:right="566"/>
      <w:jc w:val="center"/>
    </w:pPr>
    <w:rPr>
      <w:rFonts w:ascii="Bookman Old Style" w:cs="Traditional Arabic"/>
      <w:b/>
      <w:bCs/>
      <w:i/>
      <w:iCs/>
      <w:snapToGrid w:val="0"/>
      <w:sz w:val="40"/>
      <w:szCs w:val="48"/>
      <w:lang w:val="de-DE" w:eastAsia="ar-SA"/>
    </w:rPr>
  </w:style>
  <w:style w:type="character" w:customStyle="1" w:styleId="TitleChar">
    <w:name w:val="Title Char"/>
    <w:basedOn w:val="DefaultParagraphFont"/>
    <w:link w:val="Title"/>
    <w:rsid w:val="00BA67FD"/>
    <w:rPr>
      <w:rFonts w:ascii="Bookman Old Style" w:cs="Traditional Arabic"/>
      <w:b/>
      <w:bCs/>
      <w:i/>
      <w:iCs/>
      <w:snapToGrid w:val="0"/>
      <w:sz w:val="40"/>
      <w:szCs w:val="48"/>
      <w:lang w:val="de-DE" w:eastAsia="ar-SA"/>
    </w:rPr>
  </w:style>
  <w:style w:type="paragraph" w:customStyle="1" w:styleId="pjustify">
    <w:name w:val="pjustify"/>
    <w:basedOn w:val="Normal"/>
    <w:rsid w:val="00BA67FD"/>
    <w:pPr>
      <w:bidi w:val="0"/>
      <w:spacing w:before="100" w:beforeAutospacing="1" w:after="100" w:afterAutospacing="1" w:line="255" w:lineRule="atLeast"/>
    </w:pPr>
    <w:rPr>
      <w:rFonts w:ascii="Verdana" w:eastAsia="SimSun" w:hAnsi="Verdana"/>
      <w:color w:val="D7E8F7"/>
      <w:sz w:val="18"/>
      <w:szCs w:val="18"/>
      <w:lang w:eastAsia="zh-CN"/>
    </w:rPr>
  </w:style>
  <w:style w:type="character" w:customStyle="1" w:styleId="showpath1">
    <w:name w:val="showpath1"/>
    <w:rsid w:val="00BA67FD"/>
    <w:rPr>
      <w:rFonts w:ascii="Verdana" w:hAnsi="Verdana" w:hint="default"/>
      <w:sz w:val="18"/>
      <w:szCs w:val="18"/>
    </w:rPr>
  </w:style>
  <w:style w:type="paragraph" w:styleId="BodyText">
    <w:name w:val="Body Text"/>
    <w:basedOn w:val="Normal"/>
    <w:link w:val="BodyTextChar"/>
    <w:rsid w:val="00BA67FD"/>
    <w:pPr>
      <w:bidi w:val="0"/>
      <w:spacing w:after="120"/>
    </w:pPr>
    <w:rPr>
      <w:rFonts w:eastAsia="SimSun"/>
      <w:lang w:eastAsia="zh-CN"/>
    </w:rPr>
  </w:style>
  <w:style w:type="character" w:customStyle="1" w:styleId="BodyTextChar">
    <w:name w:val="Body Text Char"/>
    <w:basedOn w:val="DefaultParagraphFont"/>
    <w:link w:val="BodyText"/>
    <w:rsid w:val="00BA67FD"/>
    <w:rPr>
      <w:rFonts w:eastAsia="SimSun"/>
      <w:sz w:val="24"/>
      <w:szCs w:val="24"/>
      <w:lang w:eastAsia="zh-CN"/>
    </w:rPr>
  </w:style>
  <w:style w:type="paragraph" w:customStyle="1" w:styleId="Heading21">
    <w:name w:val="Heading 21"/>
    <w:basedOn w:val="Normal"/>
    <w:rsid w:val="00BA67FD"/>
    <w:pPr>
      <w:bidi w:val="0"/>
      <w:outlineLvl w:val="2"/>
    </w:pPr>
    <w:rPr>
      <w:rFonts w:eastAsia="SimSun"/>
      <w:b/>
      <w:bCs/>
      <w:color w:val="E85200"/>
      <w:lang w:eastAsia="zh-CN"/>
    </w:rPr>
  </w:style>
  <w:style w:type="paragraph" w:customStyle="1" w:styleId="Heading44">
    <w:name w:val="Heading 44"/>
    <w:basedOn w:val="Normal"/>
    <w:rsid w:val="00BA67FD"/>
    <w:pPr>
      <w:bidi w:val="0"/>
      <w:spacing w:after="45"/>
      <w:outlineLvl w:val="4"/>
    </w:pPr>
    <w:rPr>
      <w:rFonts w:ascii="Verdana" w:eastAsia="SimSun" w:hAnsi="Verdana"/>
      <w:b/>
      <w:bCs/>
      <w:sz w:val="17"/>
      <w:szCs w:val="17"/>
      <w:lang w:eastAsia="zh-CN"/>
    </w:rPr>
  </w:style>
  <w:style w:type="character" w:customStyle="1" w:styleId="mw-headline">
    <w:name w:val="mw-headline"/>
    <w:basedOn w:val="DefaultParagraphFont"/>
    <w:rsid w:val="00BA67FD"/>
  </w:style>
  <w:style w:type="character" w:customStyle="1" w:styleId="apple-style-span">
    <w:name w:val="apple-style-span"/>
    <w:basedOn w:val="DefaultParagraphFont"/>
    <w:rsid w:val="00BA67FD"/>
  </w:style>
  <w:style w:type="character" w:customStyle="1" w:styleId="sehl">
    <w:name w:val="sehl"/>
    <w:basedOn w:val="DefaultParagraphFont"/>
    <w:rsid w:val="00BA67FD"/>
  </w:style>
  <w:style w:type="character" w:customStyle="1" w:styleId="ja50-ce-author">
    <w:name w:val="ja50-ce-author"/>
    <w:basedOn w:val="DefaultParagraphFont"/>
    <w:rsid w:val="00BA67FD"/>
  </w:style>
  <w:style w:type="character" w:customStyle="1" w:styleId="ja50-ce-sup">
    <w:name w:val="ja50-ce-sup"/>
    <w:basedOn w:val="DefaultParagraphFont"/>
    <w:rsid w:val="00BA67FD"/>
  </w:style>
  <w:style w:type="character" w:customStyle="1" w:styleId="divider">
    <w:name w:val="divider"/>
    <w:basedOn w:val="DefaultParagraphFont"/>
    <w:rsid w:val="00BA67FD"/>
  </w:style>
  <w:style w:type="character" w:customStyle="1" w:styleId="author">
    <w:name w:val="author"/>
    <w:basedOn w:val="DefaultParagraphFont"/>
    <w:rsid w:val="00BA67FD"/>
  </w:style>
  <w:style w:type="character" w:customStyle="1" w:styleId="cit-article-title">
    <w:name w:val="cit-article-title"/>
    <w:basedOn w:val="DefaultParagraphFont"/>
    <w:rsid w:val="00BA67FD"/>
  </w:style>
  <w:style w:type="character" w:customStyle="1" w:styleId="sc">
    <w:name w:val="sc"/>
    <w:basedOn w:val="DefaultParagraphFont"/>
    <w:rsid w:val="00BA67FD"/>
  </w:style>
  <w:style w:type="paragraph" w:customStyle="1" w:styleId="DecimalAligned">
    <w:name w:val="Decimal Aligned"/>
    <w:basedOn w:val="Normal"/>
    <w:uiPriority w:val="40"/>
    <w:qFormat/>
    <w:rsid w:val="00BA67FD"/>
    <w:pPr>
      <w:tabs>
        <w:tab w:val="decimal" w:pos="360"/>
      </w:tabs>
      <w:bidi w:val="0"/>
      <w:spacing w:after="200" w:line="276" w:lineRule="auto"/>
    </w:pPr>
    <w:rPr>
      <w:rFonts w:ascii="Calibri" w:hAnsi="Calibri" w:cs="Arial"/>
      <w:sz w:val="22"/>
      <w:szCs w:val="22"/>
    </w:rPr>
  </w:style>
  <w:style w:type="character" w:styleId="SubtleEmphasis">
    <w:name w:val="Subtle Emphasis"/>
    <w:basedOn w:val="DefaultParagraphFont"/>
    <w:uiPriority w:val="19"/>
    <w:qFormat/>
    <w:rsid w:val="00BA67FD"/>
    <w:rPr>
      <w:rFonts w:eastAsia="Times New Roman" w:cs="Arial"/>
      <w:bCs w:val="0"/>
      <w:i/>
      <w:iCs/>
      <w:color w:val="808080"/>
      <w:szCs w:val="22"/>
      <w:lang w:val="en-US"/>
    </w:rPr>
  </w:style>
  <w:style w:type="character" w:customStyle="1" w:styleId="highlight">
    <w:name w:val="highlight"/>
    <w:basedOn w:val="DefaultParagraphFont"/>
    <w:rsid w:val="00BA67FD"/>
  </w:style>
  <w:style w:type="character" w:customStyle="1" w:styleId="named-content">
    <w:name w:val="named-content"/>
    <w:basedOn w:val="DefaultParagraphFont"/>
    <w:rsid w:val="00BA67FD"/>
  </w:style>
  <w:style w:type="character" w:customStyle="1" w:styleId="cit-source">
    <w:name w:val="cit-source"/>
    <w:basedOn w:val="DefaultParagraphFont"/>
    <w:rsid w:val="00BA67FD"/>
  </w:style>
  <w:style w:type="character" w:customStyle="1" w:styleId="cit-pub-date">
    <w:name w:val="cit-pub-date"/>
    <w:basedOn w:val="DefaultParagraphFont"/>
    <w:rsid w:val="00BA67FD"/>
  </w:style>
  <w:style w:type="character" w:customStyle="1" w:styleId="cit-vol">
    <w:name w:val="cit-vol"/>
    <w:basedOn w:val="DefaultParagraphFont"/>
    <w:rsid w:val="00BA67FD"/>
  </w:style>
  <w:style w:type="character" w:customStyle="1" w:styleId="cit-fpage">
    <w:name w:val="cit-fpage"/>
    <w:basedOn w:val="DefaultParagraphFont"/>
    <w:rsid w:val="00BA67FD"/>
  </w:style>
  <w:style w:type="character" w:styleId="HTMLCite">
    <w:name w:val="HTML Cite"/>
    <w:basedOn w:val="DefaultParagraphFont"/>
    <w:uiPriority w:val="99"/>
    <w:unhideWhenUsed/>
    <w:rsid w:val="00BA67FD"/>
    <w:rPr>
      <w:i/>
      <w:iCs/>
    </w:rPr>
  </w:style>
  <w:style w:type="character" w:customStyle="1" w:styleId="fontstyle01">
    <w:name w:val="fontstyle01"/>
    <w:basedOn w:val="DefaultParagraphFont"/>
    <w:rsid w:val="00020DEE"/>
    <w:rPr>
      <w:rFonts w:ascii="AdvPTimes" w:hAnsi="AdvPTimes" w:hint="default"/>
      <w:b w:val="0"/>
      <w:bCs w:val="0"/>
      <w:i w:val="0"/>
      <w:iCs w:val="0"/>
      <w:color w:val="000000"/>
      <w:sz w:val="20"/>
      <w:szCs w:val="20"/>
    </w:rPr>
  </w:style>
  <w:style w:type="character" w:customStyle="1" w:styleId="fontstyle21">
    <w:name w:val="fontstyle21"/>
    <w:rsid w:val="000F5559"/>
    <w:rPr>
      <w:rFonts w:ascii="FdfwvjAdvTT86d47313+20" w:hAnsi="FdfwvjAdvTT86d47313+20" w:hint="default"/>
      <w:b w:val="0"/>
      <w:bCs w:val="0"/>
      <w:i w:val="0"/>
      <w:iCs w:val="0"/>
      <w:color w:val="231F20"/>
      <w:sz w:val="20"/>
      <w:szCs w:val="20"/>
    </w:rPr>
  </w:style>
  <w:style w:type="character" w:customStyle="1" w:styleId="Heading4Char">
    <w:name w:val="Heading 4 Char"/>
    <w:basedOn w:val="DefaultParagraphFont"/>
    <w:link w:val="Heading4"/>
    <w:uiPriority w:val="9"/>
    <w:rsid w:val="00F22320"/>
    <w:rPr>
      <w:rFonts w:asciiTheme="majorHAnsi" w:eastAsiaTheme="majorEastAsia" w:hAnsiTheme="majorHAnsi" w:cstheme="majorBidi"/>
      <w:b/>
      <w:bCs/>
      <w:i/>
      <w:iCs/>
      <w:color w:val="4F81BD" w:themeColor="accent1"/>
      <w:sz w:val="24"/>
      <w:szCs w:val="24"/>
      <w:lang w:eastAsia="zh-CN"/>
    </w:rPr>
  </w:style>
  <w:style w:type="character" w:styleId="PlaceholderText">
    <w:name w:val="Placeholder Text"/>
    <w:basedOn w:val="DefaultParagraphFont"/>
    <w:uiPriority w:val="67"/>
    <w:rsid w:val="00F22320"/>
    <w:rPr>
      <w:color w:val="808080"/>
    </w:rPr>
  </w:style>
  <w:style w:type="character" w:customStyle="1" w:styleId="fontstyle31">
    <w:name w:val="fontstyle31"/>
    <w:basedOn w:val="DefaultParagraphFont"/>
    <w:rsid w:val="00F22320"/>
    <w:rPr>
      <w:rFonts w:ascii="EuropeanPi-Four" w:hAnsi="EuropeanPi-Four" w:hint="default"/>
      <w:b w:val="0"/>
      <w:bCs w:val="0"/>
      <w:i w:val="0"/>
      <w:iCs w:val="0"/>
      <w:color w:val="01529A"/>
      <w:sz w:val="18"/>
      <w:szCs w:val="18"/>
    </w:rPr>
  </w:style>
  <w:style w:type="character" w:customStyle="1" w:styleId="fontstyle41">
    <w:name w:val="fontstyle41"/>
    <w:basedOn w:val="DefaultParagraphFont"/>
    <w:rsid w:val="00F22320"/>
    <w:rPr>
      <w:rFonts w:ascii="EuropeanPi-One" w:hAnsi="EuropeanPi-One" w:hint="default"/>
      <w:b w:val="0"/>
      <w:bCs w:val="0"/>
      <w:i w:val="0"/>
      <w:iCs w:val="0"/>
      <w:color w:val="EF3122"/>
      <w:sz w:val="18"/>
      <w:szCs w:val="18"/>
    </w:rPr>
  </w:style>
  <w:style w:type="character" w:customStyle="1" w:styleId="fontstyle51">
    <w:name w:val="fontstyle51"/>
    <w:basedOn w:val="DefaultParagraphFont"/>
    <w:rsid w:val="00F22320"/>
    <w:rPr>
      <w:rFonts w:ascii="Futura-Book" w:hAnsi="Futura-Book" w:hint="default"/>
      <w:b w:val="0"/>
      <w:bCs w:val="0"/>
      <w:i w:val="0"/>
      <w:iCs w:val="0"/>
      <w:color w:val="231F20"/>
      <w:sz w:val="18"/>
      <w:szCs w:val="18"/>
    </w:rPr>
  </w:style>
  <w:style w:type="character" w:customStyle="1" w:styleId="fontstyle11">
    <w:name w:val="fontstyle11"/>
    <w:basedOn w:val="DefaultParagraphFont"/>
    <w:rsid w:val="00064371"/>
    <w:rPr>
      <w:rFonts w:ascii="Palatino-Bold" w:hAnsi="Palatino-Bold" w:hint="default"/>
      <w:b/>
      <w:bCs/>
      <w:i w:val="0"/>
      <w:iCs w:val="0"/>
      <w:color w:val="231F20"/>
      <w:sz w:val="20"/>
      <w:szCs w:val="20"/>
    </w:rPr>
  </w:style>
  <w:style w:type="paragraph" w:styleId="BodyTextIndent">
    <w:name w:val="Body Text Indent"/>
    <w:basedOn w:val="Normal"/>
    <w:link w:val="BodyTextIndentChar"/>
    <w:semiHidden/>
    <w:unhideWhenUsed/>
    <w:rsid w:val="002E6AAB"/>
    <w:pPr>
      <w:spacing w:after="120"/>
      <w:ind w:left="283"/>
    </w:pPr>
  </w:style>
  <w:style w:type="character" w:customStyle="1" w:styleId="BodyTextIndentChar">
    <w:name w:val="Body Text Indent Char"/>
    <w:basedOn w:val="DefaultParagraphFont"/>
    <w:link w:val="BodyTextIndent"/>
    <w:rsid w:val="002E6AAB"/>
    <w:rPr>
      <w:sz w:val="24"/>
      <w:szCs w:val="24"/>
    </w:rPr>
  </w:style>
  <w:style w:type="character" w:customStyle="1" w:styleId="boilerplateseealso">
    <w:name w:val="boilerplate seealso"/>
    <w:basedOn w:val="DefaultParagraphFont"/>
    <w:rsid w:val="002B70D0"/>
  </w:style>
  <w:style w:type="character" w:customStyle="1" w:styleId="editsection">
    <w:name w:val="editsection"/>
    <w:basedOn w:val="DefaultParagraphFont"/>
    <w:rsid w:val="002B70D0"/>
  </w:style>
  <w:style w:type="paragraph" w:customStyle="1" w:styleId="Address">
    <w:name w:val="Address"/>
    <w:basedOn w:val="Normal"/>
    <w:rsid w:val="002B70D0"/>
    <w:pPr>
      <w:numPr>
        <w:numId w:val="11"/>
      </w:numPr>
      <w:bidi w:val="0"/>
      <w:spacing w:before="120" w:after="40"/>
      <w:ind w:right="0"/>
    </w:pPr>
    <w:rPr>
      <w:szCs w:val="20"/>
      <w:lang w:val="en-GB"/>
    </w:rPr>
  </w:style>
  <w:style w:type="paragraph" w:customStyle="1" w:styleId="Author0">
    <w:name w:val="Author"/>
    <w:basedOn w:val="Normal"/>
    <w:next w:val="Normal"/>
    <w:rsid w:val="002B70D0"/>
    <w:pPr>
      <w:bidi w:val="0"/>
      <w:spacing w:before="80"/>
    </w:pPr>
    <w:rPr>
      <w:szCs w:val="20"/>
      <w:lang w:val="en-GB"/>
    </w:rPr>
  </w:style>
  <w:style w:type="paragraph" w:customStyle="1" w:styleId="Correspdent">
    <w:name w:val="Correspdent"/>
    <w:basedOn w:val="Normal"/>
    <w:rsid w:val="002B70D0"/>
    <w:pPr>
      <w:bidi w:val="0"/>
    </w:pPr>
    <w:rPr>
      <w:szCs w:val="20"/>
      <w:lang w:val="en-GB"/>
    </w:rPr>
  </w:style>
  <w:style w:type="paragraph" w:customStyle="1" w:styleId="Para">
    <w:name w:val="Para"/>
    <w:basedOn w:val="Normal"/>
    <w:rsid w:val="002B70D0"/>
    <w:pPr>
      <w:bidi w:val="0"/>
      <w:spacing w:line="360" w:lineRule="auto"/>
      <w:ind w:firstLine="288"/>
    </w:pPr>
    <w:rPr>
      <w:szCs w:val="20"/>
      <w:lang w:val="en-GB"/>
    </w:rPr>
  </w:style>
  <w:style w:type="paragraph" w:customStyle="1" w:styleId="Position">
    <w:name w:val="Position"/>
    <w:basedOn w:val="Normal"/>
    <w:next w:val="Normal"/>
    <w:rsid w:val="002B70D0"/>
    <w:pPr>
      <w:bidi w:val="0"/>
    </w:pPr>
    <w:rPr>
      <w:i/>
      <w:szCs w:val="20"/>
      <w:lang w:val="en-GB"/>
    </w:rPr>
  </w:style>
  <w:style w:type="paragraph" w:customStyle="1" w:styleId="RelatedTo">
    <w:name w:val="RelatedTo"/>
    <w:basedOn w:val="Normal"/>
    <w:rsid w:val="002B70D0"/>
    <w:pPr>
      <w:bidi w:val="0"/>
      <w:spacing w:line="300" w:lineRule="exact"/>
    </w:pPr>
    <w:rPr>
      <w:szCs w:val="20"/>
      <w:lang w:val="en-GB"/>
    </w:rPr>
  </w:style>
  <w:style w:type="paragraph" w:customStyle="1" w:styleId="Standfirst">
    <w:name w:val="Standfirst"/>
    <w:basedOn w:val="Normal"/>
    <w:rsid w:val="002B70D0"/>
    <w:pPr>
      <w:bidi w:val="0"/>
      <w:spacing w:before="120" w:line="240" w:lineRule="exact"/>
    </w:pPr>
    <w:rPr>
      <w:szCs w:val="20"/>
      <w:lang w:val="en-GB"/>
    </w:rPr>
  </w:style>
  <w:style w:type="paragraph" w:customStyle="1" w:styleId="Topic">
    <w:name w:val="Topic"/>
    <w:basedOn w:val="Normal"/>
    <w:rsid w:val="002B70D0"/>
    <w:pPr>
      <w:bidi w:val="0"/>
      <w:spacing w:before="40" w:line="260" w:lineRule="exact"/>
    </w:pPr>
    <w:rPr>
      <w:i/>
      <w:color w:val="0000FF"/>
      <w:szCs w:val="20"/>
      <w:lang w:val="en-GB"/>
    </w:rPr>
  </w:style>
  <w:style w:type="character" w:customStyle="1" w:styleId="URL">
    <w:name w:val="URL"/>
    <w:basedOn w:val="DefaultParagraphFont"/>
    <w:rsid w:val="002B70D0"/>
    <w:rPr>
      <w:color w:val="666699"/>
    </w:rPr>
  </w:style>
  <w:style w:type="character" w:customStyle="1" w:styleId="XRef">
    <w:name w:val="XRef"/>
    <w:basedOn w:val="DefaultParagraphFont"/>
    <w:rsid w:val="002B70D0"/>
    <w:rPr>
      <w:color w:val="0000FF"/>
      <w:vertAlign w:val="superscript"/>
    </w:rPr>
  </w:style>
  <w:style w:type="character" w:customStyle="1" w:styleId="email">
    <w:name w:val="email"/>
    <w:basedOn w:val="URL"/>
    <w:rsid w:val="002B70D0"/>
    <w:rPr>
      <w:color w:val="666699"/>
    </w:rPr>
  </w:style>
  <w:style w:type="character" w:customStyle="1" w:styleId="addRef">
    <w:name w:val="addRef"/>
    <w:basedOn w:val="XRef"/>
    <w:rsid w:val="002B70D0"/>
    <w:rPr>
      <w:color w:val="0000FF"/>
      <w:vertAlign w:val="superscript"/>
    </w:rPr>
  </w:style>
  <w:style w:type="character" w:customStyle="1" w:styleId="h11">
    <w:name w:val="h11"/>
    <w:basedOn w:val="DefaultParagraphFont"/>
    <w:rsid w:val="002B70D0"/>
    <w:rPr>
      <w:b/>
      <w:bCs/>
    </w:rPr>
  </w:style>
  <w:style w:type="character" w:customStyle="1" w:styleId="h21">
    <w:name w:val="h21"/>
    <w:basedOn w:val="DefaultParagraphFont"/>
    <w:rsid w:val="002B70D0"/>
    <w:rPr>
      <w:b/>
      <w:bCs/>
    </w:rPr>
  </w:style>
  <w:style w:type="paragraph" w:customStyle="1" w:styleId="introduction">
    <w:name w:val="introduction"/>
    <w:basedOn w:val="Normal"/>
    <w:rsid w:val="002B70D0"/>
    <w:pPr>
      <w:bidi w:val="0"/>
      <w:spacing w:before="100" w:beforeAutospacing="1" w:after="100" w:afterAutospacing="1"/>
    </w:pPr>
  </w:style>
  <w:style w:type="paragraph" w:customStyle="1" w:styleId="Date1">
    <w:name w:val="Date1"/>
    <w:basedOn w:val="Normal"/>
    <w:rsid w:val="002B70D0"/>
    <w:pPr>
      <w:bidi w:val="0"/>
      <w:spacing w:before="100" w:beforeAutospacing="1" w:after="100" w:afterAutospacing="1"/>
    </w:pPr>
  </w:style>
  <w:style w:type="paragraph" w:customStyle="1" w:styleId="bodycopynoindent">
    <w:name w:val="bodycopynoindent"/>
    <w:basedOn w:val="Normal"/>
    <w:rsid w:val="002B70D0"/>
    <w:pPr>
      <w:bidi w:val="0"/>
      <w:spacing w:before="60" w:after="195" w:line="300" w:lineRule="atLeast"/>
    </w:pPr>
    <w:rPr>
      <w:rFonts w:ascii="Garamond" w:hAnsi="Garamond"/>
      <w:sz w:val="22"/>
      <w:szCs w:val="22"/>
    </w:rPr>
  </w:style>
  <w:style w:type="character" w:customStyle="1" w:styleId="superscript2">
    <w:name w:val="superscript2"/>
    <w:basedOn w:val="DefaultParagraphFont"/>
    <w:rsid w:val="002B70D0"/>
    <w:rPr>
      <w:sz w:val="14"/>
      <w:szCs w:val="14"/>
      <w:vertAlign w:val="superscript"/>
    </w:rPr>
  </w:style>
  <w:style w:type="paragraph" w:customStyle="1" w:styleId="bodycopy">
    <w:name w:val="bodycopy"/>
    <w:basedOn w:val="Normal"/>
    <w:rsid w:val="002B70D0"/>
    <w:pPr>
      <w:bidi w:val="0"/>
      <w:spacing w:before="195" w:after="195" w:line="324" w:lineRule="auto"/>
    </w:pPr>
    <w:rPr>
      <w:rFonts w:ascii="Times" w:hAnsi="Times" w:cs="Times"/>
      <w:sz w:val="22"/>
      <w:szCs w:val="22"/>
    </w:rPr>
  </w:style>
  <w:style w:type="character" w:customStyle="1" w:styleId="superscript">
    <w:name w:val="superscript"/>
    <w:basedOn w:val="DefaultParagraphFont"/>
    <w:rsid w:val="002B70D0"/>
  </w:style>
  <w:style w:type="paragraph" w:styleId="PlainText">
    <w:name w:val="Plain Text"/>
    <w:basedOn w:val="Normal"/>
    <w:link w:val="PlainTextChar"/>
    <w:rsid w:val="00C34EA8"/>
    <w:rPr>
      <w:rFonts w:ascii="Courier New" w:hAnsi="Courier New" w:cs="Courier New"/>
      <w:sz w:val="20"/>
      <w:szCs w:val="20"/>
      <w:lang w:bidi="ar-EG"/>
    </w:rPr>
  </w:style>
  <w:style w:type="character" w:customStyle="1" w:styleId="PlainTextChar">
    <w:name w:val="Plain Text Char"/>
    <w:basedOn w:val="DefaultParagraphFont"/>
    <w:link w:val="PlainText"/>
    <w:rsid w:val="00C34EA8"/>
    <w:rPr>
      <w:rFonts w:ascii="Courier New" w:hAnsi="Courier New" w:cs="Courier New"/>
      <w:lang w:bidi="ar-EG"/>
    </w:rPr>
  </w:style>
  <w:style w:type="character" w:customStyle="1" w:styleId="font111">
    <w:name w:val="font111"/>
    <w:rsid w:val="00BA0263"/>
    <w:rPr>
      <w:sz w:val="17"/>
      <w:szCs w:val="17"/>
    </w:rPr>
  </w:style>
  <w:style w:type="paragraph" w:customStyle="1" w:styleId="Reference">
    <w:name w:val="Reference"/>
    <w:basedOn w:val="Normal"/>
    <w:rsid w:val="00FF5F8E"/>
    <w:pPr>
      <w:numPr>
        <w:numId w:val="38"/>
      </w:numPr>
      <w:bidi w:val="0"/>
      <w:spacing w:before="40" w:line="360" w:lineRule="auto"/>
      <w:ind w:right="0"/>
    </w:pPr>
    <w:rPr>
      <w:szCs w:val="20"/>
      <w:lang w:val="en-GB"/>
    </w:rPr>
  </w:style>
  <w:style w:type="paragraph" w:customStyle="1" w:styleId="Style6">
    <w:name w:val="Style6"/>
    <w:basedOn w:val="Normal"/>
    <w:rsid w:val="005016C5"/>
    <w:pPr>
      <w:widowControl w:val="0"/>
      <w:autoSpaceDE w:val="0"/>
      <w:autoSpaceDN w:val="0"/>
      <w:bidi w:val="0"/>
      <w:adjustRightInd w:val="0"/>
      <w:jc w:val="both"/>
    </w:pPr>
  </w:style>
  <w:style w:type="character" w:customStyle="1" w:styleId="FontStyle145">
    <w:name w:val="Font Style145"/>
    <w:basedOn w:val="DefaultParagraphFont"/>
    <w:rsid w:val="005016C5"/>
    <w:rPr>
      <w:rFonts w:ascii="Times New Roman" w:hAnsi="Times New Roman" w:cs="Times New Roman"/>
      <w:spacing w:val="20"/>
      <w:sz w:val="22"/>
      <w:szCs w:val="22"/>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67578F"/>
    <w:rPr>
      <w:rFonts w:ascii="Arial" w:eastAsia="Arial" w:hAnsi="Arial" w:cs="Arial"/>
      <w:b/>
      <w:bCs/>
      <w:sz w:val="38"/>
      <w:szCs w:val="38"/>
      <w:shd w:val="clear" w:color="auto" w:fill="FFFFFF"/>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rsid w:val="0067578F"/>
    <w:pPr>
      <w:widowControl w:val="0"/>
      <w:shd w:val="clear" w:color="auto" w:fill="FFFFFF"/>
      <w:bidi w:val="0"/>
      <w:spacing w:before="260" w:line="424" w:lineRule="exact"/>
    </w:pPr>
    <w:rPr>
      <w:rFonts w:ascii="Arial" w:eastAsia="Arial" w:hAnsi="Arial" w:cs="Arial"/>
      <w:b/>
      <w:bCs/>
      <w:sz w:val="38"/>
      <w:szCs w:val="3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footnote text" w:uiPriority="99"/>
    <w:lsdException w:name="caption" w:uiPriority="35" w:qFormat="1"/>
    <w:lsdException w:name="table of figures"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HTML Cite" w:uiPriority="99"/>
    <w:lsdException w:name="HTML Preformatted" w:uiPriority="99"/>
    <w:lsdException w:name="Balloon Text" w:semiHidden="0" w:uiPriority="99" w:unhideWhenUsed="0"/>
    <w:lsdException w:name="Table Grid" w:semiHidden="0" w:unhideWhenUsed="0"/>
    <w:lsdException w:name="Placeholder Text" w:uiPriority="67"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EE2"/>
    <w:pPr>
      <w:bidi/>
    </w:pPr>
    <w:rPr>
      <w:sz w:val="24"/>
      <w:szCs w:val="24"/>
    </w:rPr>
  </w:style>
  <w:style w:type="paragraph" w:styleId="Heading1">
    <w:name w:val="heading 1"/>
    <w:basedOn w:val="Normal"/>
    <w:next w:val="Normal"/>
    <w:link w:val="Heading1Char"/>
    <w:qFormat/>
    <w:rsid w:val="00F634B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634B0"/>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634B0"/>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nhideWhenUsed/>
    <w:qFormat/>
    <w:rsid w:val="00F22320"/>
    <w:pPr>
      <w:keepNext/>
      <w:keepLines/>
      <w:bidi w:val="0"/>
      <w:spacing w:before="200"/>
      <w:outlineLvl w:val="3"/>
    </w:pPr>
    <w:rPr>
      <w:rFonts w:asciiTheme="majorHAnsi" w:eastAsiaTheme="majorEastAsia" w:hAnsiTheme="majorHAnsi" w:cstheme="majorBidi"/>
      <w:b/>
      <w:bCs/>
      <w:i/>
      <w:iCs/>
      <w:color w:val="4F81BD" w:themeColor="accent1"/>
      <w:lang w:eastAsia="zh-CN"/>
    </w:rPr>
  </w:style>
  <w:style w:type="paragraph" w:styleId="Heading5">
    <w:name w:val="heading 5"/>
    <w:basedOn w:val="Normal"/>
    <w:next w:val="Normal"/>
    <w:link w:val="Heading5Char"/>
    <w:uiPriority w:val="9"/>
    <w:semiHidden/>
    <w:unhideWhenUsed/>
    <w:qFormat/>
    <w:rsid w:val="00F22320"/>
    <w:pPr>
      <w:keepNext/>
      <w:keepLines/>
      <w:bidi w:val="0"/>
      <w:spacing w:before="200"/>
      <w:outlineLvl w:val="4"/>
    </w:pPr>
    <w:rPr>
      <w:rFonts w:asciiTheme="majorHAnsi" w:eastAsiaTheme="majorEastAsia" w:hAnsiTheme="majorHAnsi" w:cstheme="majorBidi"/>
      <w:color w:val="243F60" w:themeColor="accent1" w:themeShade="7F"/>
      <w:lang w:eastAsia="zh-CN"/>
    </w:rPr>
  </w:style>
  <w:style w:type="paragraph" w:styleId="Heading6">
    <w:name w:val="heading 6"/>
    <w:basedOn w:val="Normal"/>
    <w:next w:val="Normal"/>
    <w:link w:val="Heading6Char"/>
    <w:uiPriority w:val="9"/>
    <w:semiHidden/>
    <w:unhideWhenUsed/>
    <w:qFormat/>
    <w:rsid w:val="00F22320"/>
    <w:pPr>
      <w:keepNext/>
      <w:keepLines/>
      <w:bidi w:val="0"/>
      <w:spacing w:before="200"/>
      <w:outlineLvl w:val="5"/>
    </w:pPr>
    <w:rPr>
      <w:rFonts w:asciiTheme="majorHAnsi" w:eastAsiaTheme="majorEastAsia" w:hAnsiTheme="majorHAnsi" w:cstheme="majorBidi"/>
      <w:i/>
      <w:iCs/>
      <w:color w:val="243F60" w:themeColor="accent1" w:themeShade="7F"/>
      <w:lang w:eastAsia="zh-CN"/>
    </w:rPr>
  </w:style>
  <w:style w:type="paragraph" w:styleId="Heading8">
    <w:name w:val="heading 8"/>
    <w:basedOn w:val="Normal"/>
    <w:next w:val="Normal"/>
    <w:link w:val="Heading8Char"/>
    <w:uiPriority w:val="9"/>
    <w:semiHidden/>
    <w:unhideWhenUsed/>
    <w:qFormat/>
    <w:rsid w:val="0095517B"/>
    <w:pPr>
      <w:bidi w:val="0"/>
      <w:spacing w:line="276" w:lineRule="auto"/>
      <w:outlineLvl w:val="7"/>
    </w:pPr>
    <w:rPr>
      <w:rFonts w:ascii="Cambria" w:hAnsi="Cambria"/>
      <w:b/>
      <w:bCs/>
      <w:color w:val="7F7F7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4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34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634B0"/>
    <w:rPr>
      <w:rFonts w:asciiTheme="majorHAnsi" w:eastAsiaTheme="majorEastAsia" w:hAnsiTheme="majorHAnsi" w:cstheme="majorBidi"/>
      <w:b/>
      <w:bCs/>
      <w:color w:val="4F81BD" w:themeColor="accent1"/>
      <w:sz w:val="22"/>
      <w:szCs w:val="22"/>
    </w:rPr>
  </w:style>
  <w:style w:type="character" w:customStyle="1" w:styleId="Heading5Char">
    <w:name w:val="Heading 5 Char"/>
    <w:basedOn w:val="DefaultParagraphFont"/>
    <w:link w:val="Heading5"/>
    <w:uiPriority w:val="9"/>
    <w:semiHidden/>
    <w:rsid w:val="00F22320"/>
    <w:rPr>
      <w:rFonts w:asciiTheme="majorHAnsi" w:eastAsiaTheme="majorEastAsia" w:hAnsiTheme="majorHAnsi" w:cstheme="majorBidi"/>
      <w:color w:val="243F60" w:themeColor="accent1" w:themeShade="7F"/>
      <w:sz w:val="24"/>
      <w:szCs w:val="24"/>
      <w:lang w:eastAsia="zh-CN"/>
    </w:rPr>
  </w:style>
  <w:style w:type="character" w:customStyle="1" w:styleId="Heading6Char">
    <w:name w:val="Heading 6 Char"/>
    <w:basedOn w:val="DefaultParagraphFont"/>
    <w:link w:val="Heading6"/>
    <w:uiPriority w:val="9"/>
    <w:semiHidden/>
    <w:rsid w:val="00F22320"/>
    <w:rPr>
      <w:rFonts w:asciiTheme="majorHAnsi" w:eastAsiaTheme="majorEastAsia" w:hAnsiTheme="majorHAnsi" w:cstheme="majorBidi"/>
      <w:i/>
      <w:iCs/>
      <w:color w:val="243F60" w:themeColor="accent1" w:themeShade="7F"/>
      <w:sz w:val="24"/>
      <w:szCs w:val="24"/>
      <w:lang w:eastAsia="zh-CN"/>
    </w:rPr>
  </w:style>
  <w:style w:type="character" w:customStyle="1" w:styleId="Heading8Char">
    <w:name w:val="Heading 8 Char"/>
    <w:link w:val="Heading8"/>
    <w:uiPriority w:val="9"/>
    <w:semiHidden/>
    <w:rsid w:val="0095517B"/>
    <w:rPr>
      <w:rFonts w:ascii="Cambria" w:hAnsi="Cambria"/>
      <w:b/>
      <w:bCs/>
      <w:color w:val="7F7F7F"/>
    </w:rPr>
  </w:style>
  <w:style w:type="paragraph" w:styleId="Header">
    <w:name w:val="header"/>
    <w:basedOn w:val="Normal"/>
    <w:link w:val="HeaderChar"/>
    <w:rsid w:val="004F0BC6"/>
    <w:pPr>
      <w:tabs>
        <w:tab w:val="center" w:pos="4153"/>
        <w:tab w:val="right" w:pos="8306"/>
      </w:tabs>
    </w:pPr>
  </w:style>
  <w:style w:type="character" w:customStyle="1" w:styleId="HeaderChar">
    <w:name w:val="Header Char"/>
    <w:link w:val="Header"/>
    <w:rsid w:val="004F0BC6"/>
    <w:rPr>
      <w:sz w:val="24"/>
      <w:szCs w:val="24"/>
    </w:rPr>
  </w:style>
  <w:style w:type="paragraph" w:styleId="Footer">
    <w:name w:val="footer"/>
    <w:basedOn w:val="Normal"/>
    <w:link w:val="FooterChar"/>
    <w:rsid w:val="004F0BC6"/>
    <w:pPr>
      <w:tabs>
        <w:tab w:val="center" w:pos="4153"/>
        <w:tab w:val="right" w:pos="8306"/>
      </w:tabs>
    </w:pPr>
  </w:style>
  <w:style w:type="character" w:customStyle="1" w:styleId="FooterChar">
    <w:name w:val="Footer Char"/>
    <w:link w:val="Footer"/>
    <w:rsid w:val="004F0BC6"/>
    <w:rPr>
      <w:sz w:val="24"/>
      <w:szCs w:val="24"/>
    </w:rPr>
  </w:style>
  <w:style w:type="character" w:styleId="PageNumber">
    <w:name w:val="page number"/>
    <w:rsid w:val="00873B20"/>
  </w:style>
  <w:style w:type="paragraph" w:styleId="BalloonText">
    <w:name w:val="Balloon Text"/>
    <w:basedOn w:val="Normal"/>
    <w:link w:val="BalloonTextChar"/>
    <w:uiPriority w:val="99"/>
    <w:rsid w:val="00C06BC5"/>
    <w:rPr>
      <w:rFonts w:ascii="Tahoma" w:hAnsi="Tahoma" w:cs="Tahoma"/>
      <w:sz w:val="16"/>
      <w:szCs w:val="16"/>
    </w:rPr>
  </w:style>
  <w:style w:type="character" w:customStyle="1" w:styleId="BalloonTextChar">
    <w:name w:val="Balloon Text Char"/>
    <w:link w:val="BalloonText"/>
    <w:uiPriority w:val="99"/>
    <w:rsid w:val="00C06BC5"/>
    <w:rPr>
      <w:rFonts w:ascii="Tahoma" w:hAnsi="Tahoma" w:cs="Tahoma"/>
      <w:sz w:val="16"/>
      <w:szCs w:val="16"/>
    </w:rPr>
  </w:style>
  <w:style w:type="paragraph" w:styleId="Caption">
    <w:name w:val="caption"/>
    <w:basedOn w:val="Normal"/>
    <w:next w:val="Normal"/>
    <w:uiPriority w:val="35"/>
    <w:unhideWhenUsed/>
    <w:qFormat/>
    <w:rsid w:val="00CA6401"/>
    <w:rPr>
      <w:b/>
      <w:bCs/>
      <w:sz w:val="20"/>
      <w:szCs w:val="20"/>
    </w:rPr>
  </w:style>
  <w:style w:type="table" w:styleId="LightGrid">
    <w:name w:val="Light Grid"/>
    <w:basedOn w:val="TableNormal"/>
    <w:uiPriority w:val="62"/>
    <w:rsid w:val="004A63B7"/>
    <w:rPr>
      <w:rFonts w:ascii="Calibri" w:hAnsi="Calibri" w:cs="Arial"/>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fault">
    <w:name w:val="Default"/>
    <w:rsid w:val="004A63B7"/>
    <w:pPr>
      <w:autoSpaceDE w:val="0"/>
      <w:autoSpaceDN w:val="0"/>
      <w:adjustRightInd w:val="0"/>
    </w:pPr>
    <w:rPr>
      <w:rFonts w:ascii="Calibri" w:hAnsi="Calibri" w:cs="Calibri"/>
      <w:color w:val="000000"/>
      <w:sz w:val="24"/>
      <w:szCs w:val="24"/>
    </w:rPr>
  </w:style>
  <w:style w:type="character" w:styleId="Hyperlink">
    <w:name w:val="Hyperlink"/>
    <w:uiPriority w:val="99"/>
    <w:rsid w:val="00ED45F8"/>
    <w:rPr>
      <w:color w:val="1D4994"/>
      <w:u w:val="single"/>
    </w:rPr>
  </w:style>
  <w:style w:type="paragraph" w:styleId="ListParagraph">
    <w:name w:val="List Paragraph"/>
    <w:basedOn w:val="Normal"/>
    <w:uiPriority w:val="34"/>
    <w:qFormat/>
    <w:rsid w:val="00ED45F8"/>
    <w:pPr>
      <w:bidi w:val="0"/>
      <w:spacing w:after="200" w:line="276" w:lineRule="auto"/>
      <w:ind w:left="720"/>
    </w:pPr>
    <w:rPr>
      <w:rFonts w:ascii="Calibri" w:eastAsia="SimSun" w:hAnsi="Calibri" w:cs="Arial"/>
      <w:sz w:val="22"/>
      <w:szCs w:val="22"/>
    </w:rPr>
  </w:style>
  <w:style w:type="table" w:styleId="TableGrid">
    <w:name w:val="Table Grid"/>
    <w:basedOn w:val="TableNormal"/>
    <w:rsid w:val="00ED45F8"/>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rsid w:val="00ED45F8"/>
    <w:pPr>
      <w:bidi w:val="0"/>
      <w:spacing w:line="276" w:lineRule="auto"/>
    </w:pPr>
    <w:rPr>
      <w:rFonts w:ascii="Calibri" w:hAnsi="Calibri" w:cs="Arial"/>
      <w:sz w:val="22"/>
      <w:szCs w:val="22"/>
    </w:rPr>
  </w:style>
  <w:style w:type="table" w:styleId="MediumGrid3-Accent3">
    <w:name w:val="Medium Grid 3 Accent 3"/>
    <w:basedOn w:val="TableNormal"/>
    <w:uiPriority w:val="69"/>
    <w:rsid w:val="000E7D6C"/>
    <w:rPr>
      <w:rFonts w:ascii="Calibri" w:eastAsia="Calibri" w:hAnsi="Calibri" w:cs="Arial"/>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NormalWeb">
    <w:name w:val="Normal (Web)"/>
    <w:basedOn w:val="Normal"/>
    <w:uiPriority w:val="99"/>
    <w:unhideWhenUsed/>
    <w:rsid w:val="00F634B0"/>
    <w:pPr>
      <w:bidi w:val="0"/>
      <w:spacing w:after="200" w:line="276" w:lineRule="auto"/>
    </w:pPr>
    <w:rPr>
      <w:rFonts w:eastAsiaTheme="minorHAnsi"/>
    </w:rPr>
  </w:style>
  <w:style w:type="table" w:styleId="MediumGrid3-Accent4">
    <w:name w:val="Medium Grid 3 Accent 4"/>
    <w:basedOn w:val="TableNormal"/>
    <w:uiPriority w:val="69"/>
    <w:rsid w:val="00F634B0"/>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customStyle="1" w:styleId="apple-converted-space">
    <w:name w:val="apple-converted-space"/>
    <w:basedOn w:val="DefaultParagraphFont"/>
    <w:rsid w:val="00F634B0"/>
  </w:style>
  <w:style w:type="character" w:styleId="Emphasis">
    <w:name w:val="Emphasis"/>
    <w:basedOn w:val="DefaultParagraphFont"/>
    <w:qFormat/>
    <w:rsid w:val="00F634B0"/>
    <w:rPr>
      <w:i/>
      <w:iCs/>
    </w:rPr>
  </w:style>
  <w:style w:type="table" w:styleId="MediumList1">
    <w:name w:val="Medium List 1"/>
    <w:basedOn w:val="TableNormal"/>
    <w:uiPriority w:val="65"/>
    <w:rsid w:val="00F634B0"/>
    <w:rPr>
      <w:rFonts w:asciiTheme="minorHAnsi" w:eastAsiaTheme="minorHAnsi" w:hAnsiTheme="minorHAnsi" w:cstheme="minorBidi"/>
      <w:color w:val="000000" w:themeColor="text1"/>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1">
    <w:name w:val="Medium Grid 1"/>
    <w:basedOn w:val="TableNormal"/>
    <w:uiPriority w:val="67"/>
    <w:rsid w:val="00F634B0"/>
    <w:rPr>
      <w:rFonts w:asciiTheme="minorHAnsi" w:eastAsiaTheme="minorHAnsi" w:hAnsiTheme="minorHAnsi" w:cstheme="minorBidi"/>
      <w:sz w:val="22"/>
      <w:szCs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Accent3">
    <w:name w:val="Colorful Shading Accent 3"/>
    <w:basedOn w:val="TableNormal"/>
    <w:uiPriority w:val="71"/>
    <w:rsid w:val="00F634B0"/>
    <w:rPr>
      <w:rFonts w:asciiTheme="minorHAnsi" w:eastAsiaTheme="minorHAnsi" w:hAnsiTheme="minorHAnsi" w:cstheme="minorBidi"/>
      <w:color w:val="000000" w:themeColor="text1"/>
      <w:sz w:val="22"/>
      <w:szCs w:val="22"/>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ghtGrid-Accent4">
    <w:name w:val="Light Grid Accent 4"/>
    <w:basedOn w:val="TableNormal"/>
    <w:uiPriority w:val="62"/>
    <w:rsid w:val="00F634B0"/>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2-Accent3">
    <w:name w:val="Medium Shading 2 Accent 3"/>
    <w:basedOn w:val="TableNormal"/>
    <w:uiPriority w:val="64"/>
    <w:rsid w:val="00F634B0"/>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F634B0"/>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Spacing">
    <w:name w:val="No Spacing"/>
    <w:uiPriority w:val="99"/>
    <w:qFormat/>
    <w:rsid w:val="00F634B0"/>
    <w:pPr>
      <w:bidi/>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F634B0"/>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F634B0"/>
    <w:rPr>
      <w:rFonts w:ascii="Consolas" w:eastAsiaTheme="minorHAnsi" w:hAnsi="Consolas" w:cs="Consolas"/>
    </w:rPr>
  </w:style>
  <w:style w:type="character" w:customStyle="1" w:styleId="A10">
    <w:name w:val="A10"/>
    <w:uiPriority w:val="99"/>
    <w:rsid w:val="00F634B0"/>
    <w:rPr>
      <w:rFonts w:cs="Franklin Gothic Book"/>
      <w:color w:val="000000"/>
      <w:sz w:val="12"/>
      <w:szCs w:val="12"/>
    </w:rPr>
  </w:style>
  <w:style w:type="table" w:styleId="LightList-Accent4">
    <w:name w:val="Light List Accent 4"/>
    <w:basedOn w:val="TableNormal"/>
    <w:uiPriority w:val="61"/>
    <w:rsid w:val="008661F2"/>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Accent3">
    <w:name w:val="Light Grid Accent 3"/>
    <w:basedOn w:val="TableNormal"/>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41">
    <w:name w:val="Light Grid - Accent 41"/>
    <w:basedOn w:val="TableNormal"/>
    <w:next w:val="LightGrid-Accent4"/>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List-Accent3">
    <w:name w:val="Light List Accent 3"/>
    <w:basedOn w:val="TableNormal"/>
    <w:uiPriority w:val="61"/>
    <w:rsid w:val="008661F2"/>
    <w:rPr>
      <w:rFonts w:asciiTheme="minorHAnsi" w:eastAsiaTheme="minorHAnsi"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Grid2-Accent3">
    <w:name w:val="Medium Grid 2 Accent 3"/>
    <w:basedOn w:val="TableNormal"/>
    <w:uiPriority w:val="68"/>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LightList-Accent2">
    <w:name w:val="Light List Accent 2"/>
    <w:basedOn w:val="TableNormal"/>
    <w:uiPriority w:val="61"/>
    <w:rsid w:val="008661F2"/>
    <w:rPr>
      <w:rFonts w:asciiTheme="minorHAnsi" w:eastAsiaTheme="minorHAnsi" w:hAnsiTheme="minorHAnsi" w:cstheme="minorBidi"/>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1">
    <w:name w:val="Light Grid Accent 1"/>
    <w:basedOn w:val="TableNormal"/>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2-Accent2">
    <w:name w:val="Medium Shading 2 Accent 2"/>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8661F2"/>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2-Accent1">
    <w:name w:val="Medium Shading 2 Accent 1"/>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5">
    <w:name w:val="Medium Shading 2 Accent 5"/>
    <w:basedOn w:val="TableNormal"/>
    <w:uiPriority w:val="64"/>
    <w:rsid w:val="008661F2"/>
    <w:rPr>
      <w:rFonts w:asciiTheme="minorHAnsi" w:eastAsiaTheme="minorHAnsi"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3">
    <w:name w:val="Medium Shading 1 Accent 3"/>
    <w:basedOn w:val="TableNormal"/>
    <w:uiPriority w:val="63"/>
    <w:rsid w:val="008661F2"/>
    <w:rPr>
      <w:rFonts w:asciiTheme="minorHAnsi" w:eastAsiaTheme="minorHAnsi" w:hAnsiTheme="minorHAnsi" w:cstheme="minorBidi"/>
      <w:sz w:val="22"/>
      <w:szCs w:val="22"/>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5">
    <w:name w:val="Medium Grid 3 Accent 5"/>
    <w:basedOn w:val="TableNormal"/>
    <w:uiPriority w:val="69"/>
    <w:rsid w:val="008661F2"/>
    <w:rPr>
      <w:rFonts w:asciiTheme="minorHAnsi" w:eastAsiaTheme="minorHAnsi"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2">
    <w:name w:val="Medium Grid 2 Accent 2"/>
    <w:basedOn w:val="TableNormal"/>
    <w:uiPriority w:val="68"/>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661F2"/>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8661F2"/>
    <w:rPr>
      <w:rFonts w:asciiTheme="minorHAnsi" w:eastAsiaTheme="minorHAnsi" w:hAnsiTheme="minorHAnsi" w:cstheme="minorBidi"/>
      <w:sz w:val="22"/>
      <w:szCs w:val="22"/>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1">
    <w:name w:val="Light Shading Accent 1"/>
    <w:basedOn w:val="TableNormal"/>
    <w:uiPriority w:val="60"/>
    <w:rsid w:val="008661F2"/>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8661F2"/>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FootnoteText">
    <w:name w:val="footnote text"/>
    <w:basedOn w:val="Normal"/>
    <w:link w:val="FootnoteTextChar"/>
    <w:uiPriority w:val="99"/>
    <w:unhideWhenUsed/>
    <w:rsid w:val="00250611"/>
    <w:pPr>
      <w:bidi w:val="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50611"/>
    <w:rPr>
      <w:rFonts w:asciiTheme="minorHAnsi" w:eastAsiaTheme="minorHAnsi" w:hAnsiTheme="minorHAnsi" w:cstheme="minorBidi"/>
    </w:rPr>
  </w:style>
  <w:style w:type="character" w:styleId="FollowedHyperlink">
    <w:name w:val="FollowedHyperlink"/>
    <w:basedOn w:val="DefaultParagraphFont"/>
    <w:uiPriority w:val="99"/>
    <w:unhideWhenUsed/>
    <w:rsid w:val="00250611"/>
    <w:rPr>
      <w:color w:val="800080" w:themeColor="followedHyperlink"/>
      <w:u w:val="single"/>
    </w:rPr>
  </w:style>
  <w:style w:type="table" w:styleId="LightList-Accent6">
    <w:name w:val="Light List Accent 6"/>
    <w:basedOn w:val="TableNormal"/>
    <w:uiPriority w:val="61"/>
    <w:rsid w:val="00B44E57"/>
    <w:rPr>
      <w:rFonts w:asciiTheme="minorHAnsi" w:eastAsiaTheme="minorHAnsi" w:hAnsiTheme="minorHAnsi" w:cstheme="minorBidi"/>
      <w:sz w:val="22"/>
      <w:szCs w:val="22"/>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Strong">
    <w:name w:val="Strong"/>
    <w:uiPriority w:val="22"/>
    <w:qFormat/>
    <w:rsid w:val="00BA67FD"/>
    <w:rPr>
      <w:b/>
      <w:bCs/>
    </w:rPr>
  </w:style>
  <w:style w:type="character" w:customStyle="1" w:styleId="subsect1-header1">
    <w:name w:val="subsect1-header1"/>
    <w:rsid w:val="00BA67FD"/>
    <w:rPr>
      <w:b/>
      <w:bCs/>
      <w:color w:val="000000"/>
      <w:sz w:val="24"/>
      <w:szCs w:val="24"/>
    </w:rPr>
  </w:style>
  <w:style w:type="character" w:customStyle="1" w:styleId="caption-header1">
    <w:name w:val="caption-header1"/>
    <w:rsid w:val="00BA67FD"/>
    <w:rPr>
      <w:b/>
      <w:bCs/>
      <w:color w:val="336699"/>
    </w:rPr>
  </w:style>
  <w:style w:type="character" w:customStyle="1" w:styleId="figgrp-header1">
    <w:name w:val="figgrp-header1"/>
    <w:rsid w:val="00BA67FD"/>
    <w:rPr>
      <w:b/>
      <w:bCs/>
      <w:color w:val="336699"/>
    </w:rPr>
  </w:style>
  <w:style w:type="character" w:customStyle="1" w:styleId="homehead1">
    <w:name w:val="homehead1"/>
    <w:rsid w:val="00BA67FD"/>
    <w:rPr>
      <w:rFonts w:ascii="Verdana" w:hAnsi="Verdana" w:hint="default"/>
      <w:b/>
      <w:bCs/>
      <w:i/>
      <w:iCs/>
      <w:strike w:val="0"/>
      <w:dstrike w:val="0"/>
      <w:color w:val="005D6E"/>
      <w:sz w:val="24"/>
      <w:szCs w:val="24"/>
      <w:u w:val="none"/>
      <w:effect w:val="none"/>
    </w:rPr>
  </w:style>
  <w:style w:type="paragraph" w:styleId="BodyTextIndent2">
    <w:name w:val="Body Text Indent 2"/>
    <w:basedOn w:val="Normal"/>
    <w:link w:val="BodyTextIndent2Char"/>
    <w:rsid w:val="00BA67FD"/>
    <w:pPr>
      <w:bidi w:val="0"/>
      <w:spacing w:line="360" w:lineRule="auto"/>
      <w:ind w:left="1560"/>
      <w:jc w:val="lowKashida"/>
    </w:pPr>
    <w:rPr>
      <w:rFonts w:ascii="Verdana" w:hAnsi="Verdana" w:cs="Verdana"/>
      <w:b/>
      <w:bCs/>
      <w:snapToGrid w:val="0"/>
      <w:sz w:val="28"/>
      <w:szCs w:val="28"/>
    </w:rPr>
  </w:style>
  <w:style w:type="character" w:customStyle="1" w:styleId="BodyTextIndent2Char">
    <w:name w:val="Body Text Indent 2 Char"/>
    <w:basedOn w:val="DefaultParagraphFont"/>
    <w:link w:val="BodyTextIndent2"/>
    <w:rsid w:val="00BA67FD"/>
    <w:rPr>
      <w:rFonts w:ascii="Verdana" w:hAnsi="Verdana" w:cs="Verdana"/>
      <w:b/>
      <w:bCs/>
      <w:snapToGrid w:val="0"/>
      <w:sz w:val="28"/>
      <w:szCs w:val="28"/>
    </w:rPr>
  </w:style>
  <w:style w:type="paragraph" w:styleId="Title">
    <w:name w:val="Title"/>
    <w:basedOn w:val="Normal"/>
    <w:link w:val="TitleChar"/>
    <w:qFormat/>
    <w:rsid w:val="00BA67FD"/>
    <w:pPr>
      <w:bidi w:val="0"/>
      <w:ind w:right="566"/>
      <w:jc w:val="center"/>
    </w:pPr>
    <w:rPr>
      <w:rFonts w:ascii="Bookman Old Style" w:cs="Traditional Arabic"/>
      <w:b/>
      <w:bCs/>
      <w:i/>
      <w:iCs/>
      <w:snapToGrid w:val="0"/>
      <w:sz w:val="40"/>
      <w:szCs w:val="48"/>
      <w:lang w:val="de-DE" w:eastAsia="ar-SA"/>
    </w:rPr>
  </w:style>
  <w:style w:type="character" w:customStyle="1" w:styleId="TitleChar">
    <w:name w:val="Title Char"/>
    <w:basedOn w:val="DefaultParagraphFont"/>
    <w:link w:val="Title"/>
    <w:rsid w:val="00BA67FD"/>
    <w:rPr>
      <w:rFonts w:ascii="Bookman Old Style" w:cs="Traditional Arabic"/>
      <w:b/>
      <w:bCs/>
      <w:i/>
      <w:iCs/>
      <w:snapToGrid w:val="0"/>
      <w:sz w:val="40"/>
      <w:szCs w:val="48"/>
      <w:lang w:val="de-DE" w:eastAsia="ar-SA"/>
    </w:rPr>
  </w:style>
  <w:style w:type="paragraph" w:customStyle="1" w:styleId="pjustify">
    <w:name w:val="pjustify"/>
    <w:basedOn w:val="Normal"/>
    <w:rsid w:val="00BA67FD"/>
    <w:pPr>
      <w:bidi w:val="0"/>
      <w:spacing w:before="100" w:beforeAutospacing="1" w:after="100" w:afterAutospacing="1" w:line="255" w:lineRule="atLeast"/>
    </w:pPr>
    <w:rPr>
      <w:rFonts w:ascii="Verdana" w:eastAsia="SimSun" w:hAnsi="Verdana"/>
      <w:color w:val="D7E8F7"/>
      <w:sz w:val="18"/>
      <w:szCs w:val="18"/>
      <w:lang w:eastAsia="zh-CN"/>
    </w:rPr>
  </w:style>
  <w:style w:type="character" w:customStyle="1" w:styleId="showpath1">
    <w:name w:val="showpath1"/>
    <w:rsid w:val="00BA67FD"/>
    <w:rPr>
      <w:rFonts w:ascii="Verdana" w:hAnsi="Verdana" w:hint="default"/>
      <w:sz w:val="18"/>
      <w:szCs w:val="18"/>
    </w:rPr>
  </w:style>
  <w:style w:type="paragraph" w:styleId="BodyText">
    <w:name w:val="Body Text"/>
    <w:basedOn w:val="Normal"/>
    <w:link w:val="BodyTextChar"/>
    <w:rsid w:val="00BA67FD"/>
    <w:pPr>
      <w:bidi w:val="0"/>
      <w:spacing w:after="120"/>
    </w:pPr>
    <w:rPr>
      <w:rFonts w:eastAsia="SimSun"/>
      <w:lang w:eastAsia="zh-CN"/>
    </w:rPr>
  </w:style>
  <w:style w:type="character" w:customStyle="1" w:styleId="BodyTextChar">
    <w:name w:val="Body Text Char"/>
    <w:basedOn w:val="DefaultParagraphFont"/>
    <w:link w:val="BodyText"/>
    <w:rsid w:val="00BA67FD"/>
    <w:rPr>
      <w:rFonts w:eastAsia="SimSun"/>
      <w:sz w:val="24"/>
      <w:szCs w:val="24"/>
      <w:lang w:eastAsia="zh-CN"/>
    </w:rPr>
  </w:style>
  <w:style w:type="paragraph" w:customStyle="1" w:styleId="Heading21">
    <w:name w:val="Heading 21"/>
    <w:basedOn w:val="Normal"/>
    <w:rsid w:val="00BA67FD"/>
    <w:pPr>
      <w:bidi w:val="0"/>
      <w:outlineLvl w:val="2"/>
    </w:pPr>
    <w:rPr>
      <w:rFonts w:eastAsia="SimSun"/>
      <w:b/>
      <w:bCs/>
      <w:color w:val="E85200"/>
      <w:lang w:eastAsia="zh-CN"/>
    </w:rPr>
  </w:style>
  <w:style w:type="paragraph" w:customStyle="1" w:styleId="Heading44">
    <w:name w:val="Heading 44"/>
    <w:basedOn w:val="Normal"/>
    <w:rsid w:val="00BA67FD"/>
    <w:pPr>
      <w:bidi w:val="0"/>
      <w:spacing w:after="45"/>
      <w:outlineLvl w:val="4"/>
    </w:pPr>
    <w:rPr>
      <w:rFonts w:ascii="Verdana" w:eastAsia="SimSun" w:hAnsi="Verdana"/>
      <w:b/>
      <w:bCs/>
      <w:sz w:val="17"/>
      <w:szCs w:val="17"/>
      <w:lang w:eastAsia="zh-CN"/>
    </w:rPr>
  </w:style>
  <w:style w:type="character" w:customStyle="1" w:styleId="mw-headline">
    <w:name w:val="mw-headline"/>
    <w:basedOn w:val="DefaultParagraphFont"/>
    <w:rsid w:val="00BA67FD"/>
  </w:style>
  <w:style w:type="character" w:customStyle="1" w:styleId="apple-style-span">
    <w:name w:val="apple-style-span"/>
    <w:basedOn w:val="DefaultParagraphFont"/>
    <w:rsid w:val="00BA67FD"/>
  </w:style>
  <w:style w:type="character" w:customStyle="1" w:styleId="sehl">
    <w:name w:val="sehl"/>
    <w:basedOn w:val="DefaultParagraphFont"/>
    <w:rsid w:val="00BA67FD"/>
  </w:style>
  <w:style w:type="character" w:customStyle="1" w:styleId="ja50-ce-author">
    <w:name w:val="ja50-ce-author"/>
    <w:basedOn w:val="DefaultParagraphFont"/>
    <w:rsid w:val="00BA67FD"/>
  </w:style>
  <w:style w:type="character" w:customStyle="1" w:styleId="ja50-ce-sup">
    <w:name w:val="ja50-ce-sup"/>
    <w:basedOn w:val="DefaultParagraphFont"/>
    <w:rsid w:val="00BA67FD"/>
  </w:style>
  <w:style w:type="character" w:customStyle="1" w:styleId="divider">
    <w:name w:val="divider"/>
    <w:basedOn w:val="DefaultParagraphFont"/>
    <w:rsid w:val="00BA67FD"/>
  </w:style>
  <w:style w:type="character" w:customStyle="1" w:styleId="author">
    <w:name w:val="author"/>
    <w:basedOn w:val="DefaultParagraphFont"/>
    <w:rsid w:val="00BA67FD"/>
  </w:style>
  <w:style w:type="character" w:customStyle="1" w:styleId="cit-article-title">
    <w:name w:val="cit-article-title"/>
    <w:basedOn w:val="DefaultParagraphFont"/>
    <w:rsid w:val="00BA67FD"/>
  </w:style>
  <w:style w:type="character" w:customStyle="1" w:styleId="sc">
    <w:name w:val="sc"/>
    <w:basedOn w:val="DefaultParagraphFont"/>
    <w:rsid w:val="00BA67FD"/>
  </w:style>
  <w:style w:type="paragraph" w:customStyle="1" w:styleId="DecimalAligned">
    <w:name w:val="Decimal Aligned"/>
    <w:basedOn w:val="Normal"/>
    <w:uiPriority w:val="40"/>
    <w:qFormat/>
    <w:rsid w:val="00BA67FD"/>
    <w:pPr>
      <w:tabs>
        <w:tab w:val="decimal" w:pos="360"/>
      </w:tabs>
      <w:bidi w:val="0"/>
      <w:spacing w:after="200" w:line="276" w:lineRule="auto"/>
    </w:pPr>
    <w:rPr>
      <w:rFonts w:ascii="Calibri" w:hAnsi="Calibri" w:cs="Arial"/>
      <w:sz w:val="22"/>
      <w:szCs w:val="22"/>
    </w:rPr>
  </w:style>
  <w:style w:type="character" w:styleId="SubtleEmphasis">
    <w:name w:val="Subtle Emphasis"/>
    <w:basedOn w:val="DefaultParagraphFont"/>
    <w:uiPriority w:val="19"/>
    <w:qFormat/>
    <w:rsid w:val="00BA67FD"/>
    <w:rPr>
      <w:rFonts w:eastAsia="Times New Roman" w:cs="Arial"/>
      <w:bCs w:val="0"/>
      <w:i/>
      <w:iCs/>
      <w:color w:val="808080"/>
      <w:szCs w:val="22"/>
      <w:lang w:val="en-US"/>
    </w:rPr>
  </w:style>
  <w:style w:type="character" w:customStyle="1" w:styleId="highlight">
    <w:name w:val="highlight"/>
    <w:basedOn w:val="DefaultParagraphFont"/>
    <w:rsid w:val="00BA67FD"/>
  </w:style>
  <w:style w:type="character" w:customStyle="1" w:styleId="named-content">
    <w:name w:val="named-content"/>
    <w:basedOn w:val="DefaultParagraphFont"/>
    <w:rsid w:val="00BA67FD"/>
  </w:style>
  <w:style w:type="character" w:customStyle="1" w:styleId="cit-source">
    <w:name w:val="cit-source"/>
    <w:basedOn w:val="DefaultParagraphFont"/>
    <w:rsid w:val="00BA67FD"/>
  </w:style>
  <w:style w:type="character" w:customStyle="1" w:styleId="cit-pub-date">
    <w:name w:val="cit-pub-date"/>
    <w:basedOn w:val="DefaultParagraphFont"/>
    <w:rsid w:val="00BA67FD"/>
  </w:style>
  <w:style w:type="character" w:customStyle="1" w:styleId="cit-vol">
    <w:name w:val="cit-vol"/>
    <w:basedOn w:val="DefaultParagraphFont"/>
    <w:rsid w:val="00BA67FD"/>
  </w:style>
  <w:style w:type="character" w:customStyle="1" w:styleId="cit-fpage">
    <w:name w:val="cit-fpage"/>
    <w:basedOn w:val="DefaultParagraphFont"/>
    <w:rsid w:val="00BA67FD"/>
  </w:style>
  <w:style w:type="character" w:styleId="HTMLCite">
    <w:name w:val="HTML Cite"/>
    <w:basedOn w:val="DefaultParagraphFont"/>
    <w:uiPriority w:val="99"/>
    <w:unhideWhenUsed/>
    <w:rsid w:val="00BA67FD"/>
    <w:rPr>
      <w:i/>
      <w:iCs/>
    </w:rPr>
  </w:style>
  <w:style w:type="character" w:customStyle="1" w:styleId="fontstyle01">
    <w:name w:val="fontstyle01"/>
    <w:basedOn w:val="DefaultParagraphFont"/>
    <w:rsid w:val="00020DEE"/>
    <w:rPr>
      <w:rFonts w:ascii="AdvPTimes" w:hAnsi="AdvPTimes" w:hint="default"/>
      <w:b w:val="0"/>
      <w:bCs w:val="0"/>
      <w:i w:val="0"/>
      <w:iCs w:val="0"/>
      <w:color w:val="000000"/>
      <w:sz w:val="20"/>
      <w:szCs w:val="20"/>
    </w:rPr>
  </w:style>
  <w:style w:type="character" w:customStyle="1" w:styleId="fontstyle21">
    <w:name w:val="fontstyle21"/>
    <w:rsid w:val="000F5559"/>
    <w:rPr>
      <w:rFonts w:ascii="FdfwvjAdvTT86d47313+20" w:hAnsi="FdfwvjAdvTT86d47313+20" w:hint="default"/>
      <w:b w:val="0"/>
      <w:bCs w:val="0"/>
      <w:i w:val="0"/>
      <w:iCs w:val="0"/>
      <w:color w:val="231F20"/>
      <w:sz w:val="20"/>
      <w:szCs w:val="20"/>
    </w:rPr>
  </w:style>
  <w:style w:type="character" w:customStyle="1" w:styleId="Heading4Char">
    <w:name w:val="Heading 4 Char"/>
    <w:basedOn w:val="DefaultParagraphFont"/>
    <w:link w:val="Heading4"/>
    <w:uiPriority w:val="9"/>
    <w:rsid w:val="00F22320"/>
    <w:rPr>
      <w:rFonts w:asciiTheme="majorHAnsi" w:eastAsiaTheme="majorEastAsia" w:hAnsiTheme="majorHAnsi" w:cstheme="majorBidi"/>
      <w:b/>
      <w:bCs/>
      <w:i/>
      <w:iCs/>
      <w:color w:val="4F81BD" w:themeColor="accent1"/>
      <w:sz w:val="24"/>
      <w:szCs w:val="24"/>
      <w:lang w:eastAsia="zh-CN"/>
    </w:rPr>
  </w:style>
  <w:style w:type="character" w:styleId="PlaceholderText">
    <w:name w:val="Placeholder Text"/>
    <w:basedOn w:val="DefaultParagraphFont"/>
    <w:uiPriority w:val="67"/>
    <w:rsid w:val="00F22320"/>
    <w:rPr>
      <w:color w:val="808080"/>
    </w:rPr>
  </w:style>
  <w:style w:type="character" w:customStyle="1" w:styleId="fontstyle31">
    <w:name w:val="fontstyle31"/>
    <w:basedOn w:val="DefaultParagraphFont"/>
    <w:rsid w:val="00F22320"/>
    <w:rPr>
      <w:rFonts w:ascii="EuropeanPi-Four" w:hAnsi="EuropeanPi-Four" w:hint="default"/>
      <w:b w:val="0"/>
      <w:bCs w:val="0"/>
      <w:i w:val="0"/>
      <w:iCs w:val="0"/>
      <w:color w:val="01529A"/>
      <w:sz w:val="18"/>
      <w:szCs w:val="18"/>
    </w:rPr>
  </w:style>
  <w:style w:type="character" w:customStyle="1" w:styleId="fontstyle41">
    <w:name w:val="fontstyle41"/>
    <w:basedOn w:val="DefaultParagraphFont"/>
    <w:rsid w:val="00F22320"/>
    <w:rPr>
      <w:rFonts w:ascii="EuropeanPi-One" w:hAnsi="EuropeanPi-One" w:hint="default"/>
      <w:b w:val="0"/>
      <w:bCs w:val="0"/>
      <w:i w:val="0"/>
      <w:iCs w:val="0"/>
      <w:color w:val="EF3122"/>
      <w:sz w:val="18"/>
      <w:szCs w:val="18"/>
    </w:rPr>
  </w:style>
  <w:style w:type="character" w:customStyle="1" w:styleId="fontstyle51">
    <w:name w:val="fontstyle51"/>
    <w:basedOn w:val="DefaultParagraphFont"/>
    <w:rsid w:val="00F22320"/>
    <w:rPr>
      <w:rFonts w:ascii="Futura-Book" w:hAnsi="Futura-Book" w:hint="default"/>
      <w:b w:val="0"/>
      <w:bCs w:val="0"/>
      <w:i w:val="0"/>
      <w:iCs w:val="0"/>
      <w:color w:val="231F20"/>
      <w:sz w:val="18"/>
      <w:szCs w:val="18"/>
    </w:rPr>
  </w:style>
  <w:style w:type="character" w:customStyle="1" w:styleId="fontstyle11">
    <w:name w:val="fontstyle11"/>
    <w:basedOn w:val="DefaultParagraphFont"/>
    <w:rsid w:val="00064371"/>
    <w:rPr>
      <w:rFonts w:ascii="Palatino-Bold" w:hAnsi="Palatino-Bold" w:hint="default"/>
      <w:b/>
      <w:bCs/>
      <w:i w:val="0"/>
      <w:iCs w:val="0"/>
      <w:color w:val="231F20"/>
      <w:sz w:val="20"/>
      <w:szCs w:val="20"/>
    </w:rPr>
  </w:style>
  <w:style w:type="paragraph" w:styleId="BodyTextIndent">
    <w:name w:val="Body Text Indent"/>
    <w:basedOn w:val="Normal"/>
    <w:link w:val="BodyTextIndentChar"/>
    <w:semiHidden/>
    <w:unhideWhenUsed/>
    <w:rsid w:val="002E6AAB"/>
    <w:pPr>
      <w:spacing w:after="120"/>
      <w:ind w:left="283"/>
    </w:pPr>
  </w:style>
  <w:style w:type="character" w:customStyle="1" w:styleId="BodyTextIndentChar">
    <w:name w:val="Body Text Indent Char"/>
    <w:basedOn w:val="DefaultParagraphFont"/>
    <w:link w:val="BodyTextIndent"/>
    <w:rsid w:val="002E6AAB"/>
    <w:rPr>
      <w:sz w:val="24"/>
      <w:szCs w:val="24"/>
    </w:rPr>
  </w:style>
  <w:style w:type="character" w:customStyle="1" w:styleId="boilerplateseealso">
    <w:name w:val="boilerplate seealso"/>
    <w:basedOn w:val="DefaultParagraphFont"/>
    <w:rsid w:val="002B70D0"/>
  </w:style>
  <w:style w:type="character" w:customStyle="1" w:styleId="editsection">
    <w:name w:val="editsection"/>
    <w:basedOn w:val="DefaultParagraphFont"/>
    <w:rsid w:val="002B70D0"/>
  </w:style>
  <w:style w:type="paragraph" w:customStyle="1" w:styleId="Address">
    <w:name w:val="Address"/>
    <w:basedOn w:val="Normal"/>
    <w:rsid w:val="002B70D0"/>
    <w:pPr>
      <w:numPr>
        <w:numId w:val="11"/>
      </w:numPr>
      <w:bidi w:val="0"/>
      <w:spacing w:before="120" w:after="40"/>
      <w:ind w:right="0"/>
    </w:pPr>
    <w:rPr>
      <w:szCs w:val="20"/>
      <w:lang w:val="en-GB"/>
    </w:rPr>
  </w:style>
  <w:style w:type="paragraph" w:customStyle="1" w:styleId="Author0">
    <w:name w:val="Author"/>
    <w:basedOn w:val="Normal"/>
    <w:next w:val="Normal"/>
    <w:rsid w:val="002B70D0"/>
    <w:pPr>
      <w:bidi w:val="0"/>
      <w:spacing w:before="80"/>
    </w:pPr>
    <w:rPr>
      <w:szCs w:val="20"/>
      <w:lang w:val="en-GB"/>
    </w:rPr>
  </w:style>
  <w:style w:type="paragraph" w:customStyle="1" w:styleId="Correspdent">
    <w:name w:val="Correspdent"/>
    <w:basedOn w:val="Normal"/>
    <w:rsid w:val="002B70D0"/>
    <w:pPr>
      <w:bidi w:val="0"/>
    </w:pPr>
    <w:rPr>
      <w:szCs w:val="20"/>
      <w:lang w:val="en-GB"/>
    </w:rPr>
  </w:style>
  <w:style w:type="paragraph" w:customStyle="1" w:styleId="Para">
    <w:name w:val="Para"/>
    <w:basedOn w:val="Normal"/>
    <w:rsid w:val="002B70D0"/>
    <w:pPr>
      <w:bidi w:val="0"/>
      <w:spacing w:line="360" w:lineRule="auto"/>
      <w:ind w:firstLine="288"/>
    </w:pPr>
    <w:rPr>
      <w:szCs w:val="20"/>
      <w:lang w:val="en-GB"/>
    </w:rPr>
  </w:style>
  <w:style w:type="paragraph" w:customStyle="1" w:styleId="Position">
    <w:name w:val="Position"/>
    <w:basedOn w:val="Normal"/>
    <w:next w:val="Normal"/>
    <w:rsid w:val="002B70D0"/>
    <w:pPr>
      <w:bidi w:val="0"/>
    </w:pPr>
    <w:rPr>
      <w:i/>
      <w:szCs w:val="20"/>
      <w:lang w:val="en-GB"/>
    </w:rPr>
  </w:style>
  <w:style w:type="paragraph" w:customStyle="1" w:styleId="RelatedTo">
    <w:name w:val="RelatedTo"/>
    <w:basedOn w:val="Normal"/>
    <w:rsid w:val="002B70D0"/>
    <w:pPr>
      <w:bidi w:val="0"/>
      <w:spacing w:line="300" w:lineRule="exact"/>
    </w:pPr>
    <w:rPr>
      <w:szCs w:val="20"/>
      <w:lang w:val="en-GB"/>
    </w:rPr>
  </w:style>
  <w:style w:type="paragraph" w:customStyle="1" w:styleId="Standfirst">
    <w:name w:val="Standfirst"/>
    <w:basedOn w:val="Normal"/>
    <w:rsid w:val="002B70D0"/>
    <w:pPr>
      <w:bidi w:val="0"/>
      <w:spacing w:before="120" w:line="240" w:lineRule="exact"/>
    </w:pPr>
    <w:rPr>
      <w:szCs w:val="20"/>
      <w:lang w:val="en-GB"/>
    </w:rPr>
  </w:style>
  <w:style w:type="paragraph" w:customStyle="1" w:styleId="Topic">
    <w:name w:val="Topic"/>
    <w:basedOn w:val="Normal"/>
    <w:rsid w:val="002B70D0"/>
    <w:pPr>
      <w:bidi w:val="0"/>
      <w:spacing w:before="40" w:line="260" w:lineRule="exact"/>
    </w:pPr>
    <w:rPr>
      <w:i/>
      <w:color w:val="0000FF"/>
      <w:szCs w:val="20"/>
      <w:lang w:val="en-GB"/>
    </w:rPr>
  </w:style>
  <w:style w:type="character" w:customStyle="1" w:styleId="URL">
    <w:name w:val="URL"/>
    <w:basedOn w:val="DefaultParagraphFont"/>
    <w:rsid w:val="002B70D0"/>
    <w:rPr>
      <w:color w:val="666699"/>
    </w:rPr>
  </w:style>
  <w:style w:type="character" w:customStyle="1" w:styleId="XRef">
    <w:name w:val="XRef"/>
    <w:basedOn w:val="DefaultParagraphFont"/>
    <w:rsid w:val="002B70D0"/>
    <w:rPr>
      <w:color w:val="0000FF"/>
      <w:vertAlign w:val="superscript"/>
    </w:rPr>
  </w:style>
  <w:style w:type="character" w:customStyle="1" w:styleId="email">
    <w:name w:val="email"/>
    <w:basedOn w:val="URL"/>
    <w:rsid w:val="002B70D0"/>
    <w:rPr>
      <w:color w:val="666699"/>
    </w:rPr>
  </w:style>
  <w:style w:type="character" w:customStyle="1" w:styleId="addRef">
    <w:name w:val="addRef"/>
    <w:basedOn w:val="XRef"/>
    <w:rsid w:val="002B70D0"/>
    <w:rPr>
      <w:color w:val="0000FF"/>
      <w:vertAlign w:val="superscript"/>
    </w:rPr>
  </w:style>
  <w:style w:type="character" w:customStyle="1" w:styleId="h11">
    <w:name w:val="h11"/>
    <w:basedOn w:val="DefaultParagraphFont"/>
    <w:rsid w:val="002B70D0"/>
    <w:rPr>
      <w:b/>
      <w:bCs/>
    </w:rPr>
  </w:style>
  <w:style w:type="character" w:customStyle="1" w:styleId="h21">
    <w:name w:val="h21"/>
    <w:basedOn w:val="DefaultParagraphFont"/>
    <w:rsid w:val="002B70D0"/>
    <w:rPr>
      <w:b/>
      <w:bCs/>
    </w:rPr>
  </w:style>
  <w:style w:type="paragraph" w:customStyle="1" w:styleId="introduction">
    <w:name w:val="introduction"/>
    <w:basedOn w:val="Normal"/>
    <w:rsid w:val="002B70D0"/>
    <w:pPr>
      <w:bidi w:val="0"/>
      <w:spacing w:before="100" w:beforeAutospacing="1" w:after="100" w:afterAutospacing="1"/>
    </w:pPr>
  </w:style>
  <w:style w:type="paragraph" w:customStyle="1" w:styleId="Date1">
    <w:name w:val="Date1"/>
    <w:basedOn w:val="Normal"/>
    <w:rsid w:val="002B70D0"/>
    <w:pPr>
      <w:bidi w:val="0"/>
      <w:spacing w:before="100" w:beforeAutospacing="1" w:after="100" w:afterAutospacing="1"/>
    </w:pPr>
  </w:style>
  <w:style w:type="paragraph" w:customStyle="1" w:styleId="bodycopynoindent">
    <w:name w:val="bodycopynoindent"/>
    <w:basedOn w:val="Normal"/>
    <w:rsid w:val="002B70D0"/>
    <w:pPr>
      <w:bidi w:val="0"/>
      <w:spacing w:before="60" w:after="195" w:line="300" w:lineRule="atLeast"/>
    </w:pPr>
    <w:rPr>
      <w:rFonts w:ascii="Garamond" w:hAnsi="Garamond"/>
      <w:sz w:val="22"/>
      <w:szCs w:val="22"/>
    </w:rPr>
  </w:style>
  <w:style w:type="character" w:customStyle="1" w:styleId="superscript2">
    <w:name w:val="superscript2"/>
    <w:basedOn w:val="DefaultParagraphFont"/>
    <w:rsid w:val="002B70D0"/>
    <w:rPr>
      <w:sz w:val="14"/>
      <w:szCs w:val="14"/>
      <w:vertAlign w:val="superscript"/>
    </w:rPr>
  </w:style>
  <w:style w:type="paragraph" w:customStyle="1" w:styleId="bodycopy">
    <w:name w:val="bodycopy"/>
    <w:basedOn w:val="Normal"/>
    <w:rsid w:val="002B70D0"/>
    <w:pPr>
      <w:bidi w:val="0"/>
      <w:spacing w:before="195" w:after="195" w:line="324" w:lineRule="auto"/>
    </w:pPr>
    <w:rPr>
      <w:rFonts w:ascii="Times" w:hAnsi="Times" w:cs="Times"/>
      <w:sz w:val="22"/>
      <w:szCs w:val="22"/>
    </w:rPr>
  </w:style>
  <w:style w:type="character" w:customStyle="1" w:styleId="superscript">
    <w:name w:val="superscript"/>
    <w:basedOn w:val="DefaultParagraphFont"/>
    <w:rsid w:val="002B70D0"/>
  </w:style>
  <w:style w:type="paragraph" w:styleId="PlainText">
    <w:name w:val="Plain Text"/>
    <w:basedOn w:val="Normal"/>
    <w:link w:val="PlainTextChar"/>
    <w:rsid w:val="00C34EA8"/>
    <w:rPr>
      <w:rFonts w:ascii="Courier New" w:hAnsi="Courier New" w:cs="Courier New"/>
      <w:sz w:val="20"/>
      <w:szCs w:val="20"/>
      <w:lang w:bidi="ar-EG"/>
    </w:rPr>
  </w:style>
  <w:style w:type="character" w:customStyle="1" w:styleId="PlainTextChar">
    <w:name w:val="Plain Text Char"/>
    <w:basedOn w:val="DefaultParagraphFont"/>
    <w:link w:val="PlainText"/>
    <w:rsid w:val="00C34EA8"/>
    <w:rPr>
      <w:rFonts w:ascii="Courier New" w:hAnsi="Courier New" w:cs="Courier New"/>
      <w:lang w:bidi="ar-EG"/>
    </w:rPr>
  </w:style>
  <w:style w:type="character" w:customStyle="1" w:styleId="font111">
    <w:name w:val="font111"/>
    <w:rsid w:val="00BA0263"/>
    <w:rPr>
      <w:sz w:val="17"/>
      <w:szCs w:val="17"/>
    </w:rPr>
  </w:style>
  <w:style w:type="paragraph" w:customStyle="1" w:styleId="Reference">
    <w:name w:val="Reference"/>
    <w:basedOn w:val="Normal"/>
    <w:rsid w:val="00FF5F8E"/>
    <w:pPr>
      <w:numPr>
        <w:numId w:val="38"/>
      </w:numPr>
      <w:bidi w:val="0"/>
      <w:spacing w:before="40" w:line="360" w:lineRule="auto"/>
      <w:ind w:right="0"/>
    </w:pPr>
    <w:rPr>
      <w:szCs w:val="20"/>
      <w:lang w:val="en-GB"/>
    </w:rPr>
  </w:style>
  <w:style w:type="paragraph" w:customStyle="1" w:styleId="Style6">
    <w:name w:val="Style6"/>
    <w:basedOn w:val="Normal"/>
    <w:rsid w:val="005016C5"/>
    <w:pPr>
      <w:widowControl w:val="0"/>
      <w:autoSpaceDE w:val="0"/>
      <w:autoSpaceDN w:val="0"/>
      <w:bidi w:val="0"/>
      <w:adjustRightInd w:val="0"/>
      <w:jc w:val="both"/>
    </w:pPr>
  </w:style>
  <w:style w:type="character" w:customStyle="1" w:styleId="FontStyle145">
    <w:name w:val="Font Style145"/>
    <w:basedOn w:val="DefaultParagraphFont"/>
    <w:rsid w:val="005016C5"/>
    <w:rPr>
      <w:rFonts w:ascii="Times New Roman" w:hAnsi="Times New Roman" w:cs="Times New Roman"/>
      <w:spacing w:val="20"/>
      <w:sz w:val="22"/>
      <w:szCs w:val="22"/>
    </w:rPr>
  </w:style>
</w:styles>
</file>

<file path=word/webSettings.xml><?xml version="1.0" encoding="utf-8"?>
<w:webSettings xmlns:r="http://schemas.openxmlformats.org/officeDocument/2006/relationships" xmlns:w="http://schemas.openxmlformats.org/wordprocessingml/2006/main">
  <w:divs>
    <w:div w:id="328557012">
      <w:bodyDiv w:val="1"/>
      <w:marLeft w:val="0"/>
      <w:marRight w:val="0"/>
      <w:marTop w:val="0"/>
      <w:marBottom w:val="0"/>
      <w:divBdr>
        <w:top w:val="none" w:sz="0" w:space="0" w:color="auto"/>
        <w:left w:val="none" w:sz="0" w:space="0" w:color="auto"/>
        <w:bottom w:val="none" w:sz="0" w:space="0" w:color="auto"/>
        <w:right w:val="none" w:sz="0" w:space="0" w:color="auto"/>
      </w:divBdr>
    </w:div>
    <w:div w:id="334383346">
      <w:bodyDiv w:val="1"/>
      <w:marLeft w:val="0"/>
      <w:marRight w:val="0"/>
      <w:marTop w:val="0"/>
      <w:marBottom w:val="0"/>
      <w:divBdr>
        <w:top w:val="none" w:sz="0" w:space="0" w:color="auto"/>
        <w:left w:val="none" w:sz="0" w:space="0" w:color="auto"/>
        <w:bottom w:val="none" w:sz="0" w:space="0" w:color="auto"/>
        <w:right w:val="none" w:sz="0" w:space="0" w:color="auto"/>
      </w:divBdr>
    </w:div>
    <w:div w:id="336079201">
      <w:bodyDiv w:val="1"/>
      <w:marLeft w:val="0"/>
      <w:marRight w:val="0"/>
      <w:marTop w:val="0"/>
      <w:marBottom w:val="0"/>
      <w:divBdr>
        <w:top w:val="none" w:sz="0" w:space="0" w:color="auto"/>
        <w:left w:val="none" w:sz="0" w:space="0" w:color="auto"/>
        <w:bottom w:val="none" w:sz="0" w:space="0" w:color="auto"/>
        <w:right w:val="none" w:sz="0" w:space="0" w:color="auto"/>
      </w:divBdr>
    </w:div>
    <w:div w:id="431827603">
      <w:bodyDiv w:val="1"/>
      <w:marLeft w:val="0"/>
      <w:marRight w:val="0"/>
      <w:marTop w:val="0"/>
      <w:marBottom w:val="0"/>
      <w:divBdr>
        <w:top w:val="none" w:sz="0" w:space="0" w:color="auto"/>
        <w:left w:val="none" w:sz="0" w:space="0" w:color="auto"/>
        <w:bottom w:val="none" w:sz="0" w:space="0" w:color="auto"/>
        <w:right w:val="none" w:sz="0" w:space="0" w:color="auto"/>
      </w:divBdr>
    </w:div>
    <w:div w:id="458689957">
      <w:bodyDiv w:val="1"/>
      <w:marLeft w:val="0"/>
      <w:marRight w:val="0"/>
      <w:marTop w:val="0"/>
      <w:marBottom w:val="0"/>
      <w:divBdr>
        <w:top w:val="none" w:sz="0" w:space="0" w:color="auto"/>
        <w:left w:val="none" w:sz="0" w:space="0" w:color="auto"/>
        <w:bottom w:val="none" w:sz="0" w:space="0" w:color="auto"/>
        <w:right w:val="none" w:sz="0" w:space="0" w:color="auto"/>
      </w:divBdr>
      <w:divsChild>
        <w:div w:id="1569225544">
          <w:marLeft w:val="0"/>
          <w:marRight w:val="0"/>
          <w:marTop w:val="0"/>
          <w:marBottom w:val="0"/>
          <w:divBdr>
            <w:top w:val="none" w:sz="0" w:space="0" w:color="auto"/>
            <w:left w:val="none" w:sz="0" w:space="0" w:color="auto"/>
            <w:bottom w:val="none" w:sz="0" w:space="0" w:color="auto"/>
            <w:right w:val="none" w:sz="0" w:space="0" w:color="auto"/>
          </w:divBdr>
          <w:divsChild>
            <w:div w:id="661466831">
              <w:marLeft w:val="0"/>
              <w:marRight w:val="0"/>
              <w:marTop w:val="0"/>
              <w:marBottom w:val="0"/>
              <w:divBdr>
                <w:top w:val="none" w:sz="0" w:space="0" w:color="auto"/>
                <w:left w:val="none" w:sz="0" w:space="0" w:color="auto"/>
                <w:bottom w:val="none" w:sz="0" w:space="0" w:color="auto"/>
                <w:right w:val="none" w:sz="0" w:space="0" w:color="auto"/>
              </w:divBdr>
              <w:divsChild>
                <w:div w:id="98568697">
                  <w:marLeft w:val="0"/>
                  <w:marRight w:val="0"/>
                  <w:marTop w:val="0"/>
                  <w:marBottom w:val="0"/>
                  <w:divBdr>
                    <w:top w:val="none" w:sz="0" w:space="0" w:color="auto"/>
                    <w:left w:val="none" w:sz="0" w:space="0" w:color="auto"/>
                    <w:bottom w:val="none" w:sz="0" w:space="0" w:color="auto"/>
                    <w:right w:val="none" w:sz="0" w:space="0" w:color="auto"/>
                  </w:divBdr>
                  <w:divsChild>
                    <w:div w:id="516773524">
                      <w:marLeft w:val="0"/>
                      <w:marRight w:val="0"/>
                      <w:marTop w:val="0"/>
                      <w:marBottom w:val="0"/>
                      <w:divBdr>
                        <w:top w:val="none" w:sz="0" w:space="0" w:color="auto"/>
                        <w:left w:val="none" w:sz="0" w:space="0" w:color="auto"/>
                        <w:bottom w:val="none" w:sz="0" w:space="0" w:color="auto"/>
                        <w:right w:val="none" w:sz="0" w:space="0" w:color="auto"/>
                      </w:divBdr>
                      <w:divsChild>
                        <w:div w:id="907152616">
                          <w:marLeft w:val="0"/>
                          <w:marRight w:val="0"/>
                          <w:marTop w:val="0"/>
                          <w:marBottom w:val="0"/>
                          <w:divBdr>
                            <w:top w:val="none" w:sz="0" w:space="0" w:color="auto"/>
                            <w:left w:val="none" w:sz="0" w:space="0" w:color="auto"/>
                            <w:bottom w:val="none" w:sz="0" w:space="0" w:color="auto"/>
                            <w:right w:val="none" w:sz="0" w:space="0" w:color="auto"/>
                          </w:divBdr>
                          <w:divsChild>
                            <w:div w:id="781388348">
                              <w:marLeft w:val="0"/>
                              <w:marRight w:val="0"/>
                              <w:marTop w:val="0"/>
                              <w:marBottom w:val="0"/>
                              <w:divBdr>
                                <w:top w:val="none" w:sz="0" w:space="0" w:color="auto"/>
                                <w:left w:val="none" w:sz="0" w:space="0" w:color="auto"/>
                                <w:bottom w:val="none" w:sz="0" w:space="0" w:color="auto"/>
                                <w:right w:val="none" w:sz="0" w:space="0" w:color="auto"/>
                              </w:divBdr>
                              <w:divsChild>
                                <w:div w:id="1754084293">
                                  <w:marLeft w:val="0"/>
                                  <w:marRight w:val="0"/>
                                  <w:marTop w:val="0"/>
                                  <w:marBottom w:val="0"/>
                                  <w:divBdr>
                                    <w:top w:val="none" w:sz="0" w:space="0" w:color="auto"/>
                                    <w:left w:val="none" w:sz="0" w:space="0" w:color="auto"/>
                                    <w:bottom w:val="none" w:sz="0" w:space="0" w:color="auto"/>
                                    <w:right w:val="none" w:sz="0" w:space="0" w:color="auto"/>
                                  </w:divBdr>
                                  <w:divsChild>
                                    <w:div w:id="147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5515778">
      <w:bodyDiv w:val="1"/>
      <w:marLeft w:val="0"/>
      <w:marRight w:val="0"/>
      <w:marTop w:val="0"/>
      <w:marBottom w:val="0"/>
      <w:divBdr>
        <w:top w:val="none" w:sz="0" w:space="0" w:color="auto"/>
        <w:left w:val="none" w:sz="0" w:space="0" w:color="auto"/>
        <w:bottom w:val="none" w:sz="0" w:space="0" w:color="auto"/>
        <w:right w:val="none" w:sz="0" w:space="0" w:color="auto"/>
      </w:divBdr>
    </w:div>
    <w:div w:id="778529176">
      <w:bodyDiv w:val="1"/>
      <w:marLeft w:val="0"/>
      <w:marRight w:val="0"/>
      <w:marTop w:val="0"/>
      <w:marBottom w:val="0"/>
      <w:divBdr>
        <w:top w:val="none" w:sz="0" w:space="0" w:color="auto"/>
        <w:left w:val="none" w:sz="0" w:space="0" w:color="auto"/>
        <w:bottom w:val="none" w:sz="0" w:space="0" w:color="auto"/>
        <w:right w:val="none" w:sz="0" w:space="0" w:color="auto"/>
      </w:divBdr>
    </w:div>
    <w:div w:id="779421253">
      <w:bodyDiv w:val="1"/>
      <w:marLeft w:val="0"/>
      <w:marRight w:val="0"/>
      <w:marTop w:val="0"/>
      <w:marBottom w:val="0"/>
      <w:divBdr>
        <w:top w:val="none" w:sz="0" w:space="0" w:color="auto"/>
        <w:left w:val="none" w:sz="0" w:space="0" w:color="auto"/>
        <w:bottom w:val="none" w:sz="0" w:space="0" w:color="auto"/>
        <w:right w:val="none" w:sz="0" w:space="0" w:color="auto"/>
      </w:divBdr>
    </w:div>
    <w:div w:id="839125983">
      <w:bodyDiv w:val="1"/>
      <w:marLeft w:val="0"/>
      <w:marRight w:val="0"/>
      <w:marTop w:val="0"/>
      <w:marBottom w:val="0"/>
      <w:divBdr>
        <w:top w:val="none" w:sz="0" w:space="0" w:color="auto"/>
        <w:left w:val="none" w:sz="0" w:space="0" w:color="auto"/>
        <w:bottom w:val="none" w:sz="0" w:space="0" w:color="auto"/>
        <w:right w:val="none" w:sz="0" w:space="0" w:color="auto"/>
      </w:divBdr>
      <w:divsChild>
        <w:div w:id="2043164710">
          <w:marLeft w:val="0"/>
          <w:marRight w:val="1"/>
          <w:marTop w:val="0"/>
          <w:marBottom w:val="0"/>
          <w:divBdr>
            <w:top w:val="none" w:sz="0" w:space="0" w:color="auto"/>
            <w:left w:val="none" w:sz="0" w:space="0" w:color="auto"/>
            <w:bottom w:val="none" w:sz="0" w:space="0" w:color="auto"/>
            <w:right w:val="none" w:sz="0" w:space="0" w:color="auto"/>
          </w:divBdr>
          <w:divsChild>
            <w:div w:id="339821482">
              <w:marLeft w:val="0"/>
              <w:marRight w:val="0"/>
              <w:marTop w:val="0"/>
              <w:marBottom w:val="0"/>
              <w:divBdr>
                <w:top w:val="none" w:sz="0" w:space="0" w:color="auto"/>
                <w:left w:val="none" w:sz="0" w:space="0" w:color="auto"/>
                <w:bottom w:val="none" w:sz="0" w:space="0" w:color="auto"/>
                <w:right w:val="none" w:sz="0" w:space="0" w:color="auto"/>
              </w:divBdr>
              <w:divsChild>
                <w:div w:id="1066533485">
                  <w:marLeft w:val="0"/>
                  <w:marRight w:val="1"/>
                  <w:marTop w:val="0"/>
                  <w:marBottom w:val="0"/>
                  <w:divBdr>
                    <w:top w:val="none" w:sz="0" w:space="0" w:color="auto"/>
                    <w:left w:val="none" w:sz="0" w:space="0" w:color="auto"/>
                    <w:bottom w:val="none" w:sz="0" w:space="0" w:color="auto"/>
                    <w:right w:val="none" w:sz="0" w:space="0" w:color="auto"/>
                  </w:divBdr>
                  <w:divsChild>
                    <w:div w:id="1386298704">
                      <w:marLeft w:val="0"/>
                      <w:marRight w:val="0"/>
                      <w:marTop w:val="0"/>
                      <w:marBottom w:val="0"/>
                      <w:divBdr>
                        <w:top w:val="none" w:sz="0" w:space="0" w:color="auto"/>
                        <w:left w:val="none" w:sz="0" w:space="0" w:color="auto"/>
                        <w:bottom w:val="none" w:sz="0" w:space="0" w:color="auto"/>
                        <w:right w:val="none" w:sz="0" w:space="0" w:color="auto"/>
                      </w:divBdr>
                      <w:divsChild>
                        <w:div w:id="1080836317">
                          <w:marLeft w:val="0"/>
                          <w:marRight w:val="0"/>
                          <w:marTop w:val="0"/>
                          <w:marBottom w:val="0"/>
                          <w:divBdr>
                            <w:top w:val="none" w:sz="0" w:space="0" w:color="auto"/>
                            <w:left w:val="none" w:sz="0" w:space="0" w:color="auto"/>
                            <w:bottom w:val="none" w:sz="0" w:space="0" w:color="auto"/>
                            <w:right w:val="none" w:sz="0" w:space="0" w:color="auto"/>
                          </w:divBdr>
                          <w:divsChild>
                            <w:div w:id="1451389128">
                              <w:marLeft w:val="0"/>
                              <w:marRight w:val="0"/>
                              <w:marTop w:val="0"/>
                              <w:marBottom w:val="0"/>
                              <w:divBdr>
                                <w:top w:val="none" w:sz="0" w:space="0" w:color="auto"/>
                                <w:left w:val="none" w:sz="0" w:space="0" w:color="auto"/>
                                <w:bottom w:val="none" w:sz="0" w:space="0" w:color="auto"/>
                                <w:right w:val="none" w:sz="0" w:space="0" w:color="auto"/>
                              </w:divBdr>
                            </w:div>
                          </w:divsChild>
                        </w:div>
                        <w:div w:id="374232749">
                          <w:marLeft w:val="0"/>
                          <w:marRight w:val="0"/>
                          <w:marTop w:val="0"/>
                          <w:marBottom w:val="0"/>
                          <w:divBdr>
                            <w:top w:val="none" w:sz="0" w:space="0" w:color="auto"/>
                            <w:left w:val="none" w:sz="0" w:space="0" w:color="auto"/>
                            <w:bottom w:val="none" w:sz="0" w:space="0" w:color="auto"/>
                            <w:right w:val="none" w:sz="0" w:space="0" w:color="auto"/>
                          </w:divBdr>
                          <w:divsChild>
                            <w:div w:id="799104964">
                              <w:marLeft w:val="0"/>
                              <w:marRight w:val="0"/>
                              <w:marTop w:val="120"/>
                              <w:marBottom w:val="360"/>
                              <w:divBdr>
                                <w:top w:val="none" w:sz="0" w:space="0" w:color="auto"/>
                                <w:left w:val="none" w:sz="0" w:space="0" w:color="auto"/>
                                <w:bottom w:val="none" w:sz="0" w:space="0" w:color="auto"/>
                                <w:right w:val="none" w:sz="0" w:space="0" w:color="auto"/>
                              </w:divBdr>
                              <w:divsChild>
                                <w:div w:id="17745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11519">
      <w:bodyDiv w:val="1"/>
      <w:marLeft w:val="0"/>
      <w:marRight w:val="0"/>
      <w:marTop w:val="0"/>
      <w:marBottom w:val="0"/>
      <w:divBdr>
        <w:top w:val="none" w:sz="0" w:space="0" w:color="auto"/>
        <w:left w:val="none" w:sz="0" w:space="0" w:color="auto"/>
        <w:bottom w:val="none" w:sz="0" w:space="0" w:color="auto"/>
        <w:right w:val="none" w:sz="0" w:space="0" w:color="auto"/>
      </w:divBdr>
      <w:divsChild>
        <w:div w:id="1542862560">
          <w:marLeft w:val="0"/>
          <w:marRight w:val="1"/>
          <w:marTop w:val="0"/>
          <w:marBottom w:val="0"/>
          <w:divBdr>
            <w:top w:val="none" w:sz="0" w:space="0" w:color="auto"/>
            <w:left w:val="none" w:sz="0" w:space="0" w:color="auto"/>
            <w:bottom w:val="none" w:sz="0" w:space="0" w:color="auto"/>
            <w:right w:val="none" w:sz="0" w:space="0" w:color="auto"/>
          </w:divBdr>
          <w:divsChild>
            <w:div w:id="376588449">
              <w:marLeft w:val="0"/>
              <w:marRight w:val="0"/>
              <w:marTop w:val="0"/>
              <w:marBottom w:val="0"/>
              <w:divBdr>
                <w:top w:val="none" w:sz="0" w:space="0" w:color="auto"/>
                <w:left w:val="none" w:sz="0" w:space="0" w:color="auto"/>
                <w:bottom w:val="none" w:sz="0" w:space="0" w:color="auto"/>
                <w:right w:val="none" w:sz="0" w:space="0" w:color="auto"/>
              </w:divBdr>
              <w:divsChild>
                <w:div w:id="1493333411">
                  <w:marLeft w:val="0"/>
                  <w:marRight w:val="1"/>
                  <w:marTop w:val="0"/>
                  <w:marBottom w:val="0"/>
                  <w:divBdr>
                    <w:top w:val="none" w:sz="0" w:space="0" w:color="auto"/>
                    <w:left w:val="none" w:sz="0" w:space="0" w:color="auto"/>
                    <w:bottom w:val="none" w:sz="0" w:space="0" w:color="auto"/>
                    <w:right w:val="none" w:sz="0" w:space="0" w:color="auto"/>
                  </w:divBdr>
                  <w:divsChild>
                    <w:div w:id="1292861131">
                      <w:marLeft w:val="0"/>
                      <w:marRight w:val="0"/>
                      <w:marTop w:val="0"/>
                      <w:marBottom w:val="0"/>
                      <w:divBdr>
                        <w:top w:val="none" w:sz="0" w:space="0" w:color="auto"/>
                        <w:left w:val="none" w:sz="0" w:space="0" w:color="auto"/>
                        <w:bottom w:val="none" w:sz="0" w:space="0" w:color="auto"/>
                        <w:right w:val="none" w:sz="0" w:space="0" w:color="auto"/>
                      </w:divBdr>
                      <w:divsChild>
                        <w:div w:id="1622877580">
                          <w:marLeft w:val="0"/>
                          <w:marRight w:val="0"/>
                          <w:marTop w:val="0"/>
                          <w:marBottom w:val="0"/>
                          <w:divBdr>
                            <w:top w:val="none" w:sz="0" w:space="0" w:color="auto"/>
                            <w:left w:val="none" w:sz="0" w:space="0" w:color="auto"/>
                            <w:bottom w:val="none" w:sz="0" w:space="0" w:color="auto"/>
                            <w:right w:val="none" w:sz="0" w:space="0" w:color="auto"/>
                          </w:divBdr>
                          <w:divsChild>
                            <w:div w:id="46879826">
                              <w:marLeft w:val="0"/>
                              <w:marRight w:val="0"/>
                              <w:marTop w:val="0"/>
                              <w:marBottom w:val="0"/>
                              <w:divBdr>
                                <w:top w:val="none" w:sz="0" w:space="0" w:color="auto"/>
                                <w:left w:val="none" w:sz="0" w:space="0" w:color="auto"/>
                                <w:bottom w:val="none" w:sz="0" w:space="0" w:color="auto"/>
                                <w:right w:val="none" w:sz="0" w:space="0" w:color="auto"/>
                              </w:divBdr>
                            </w:div>
                          </w:divsChild>
                        </w:div>
                        <w:div w:id="2037266104">
                          <w:marLeft w:val="0"/>
                          <w:marRight w:val="0"/>
                          <w:marTop w:val="0"/>
                          <w:marBottom w:val="0"/>
                          <w:divBdr>
                            <w:top w:val="none" w:sz="0" w:space="0" w:color="auto"/>
                            <w:left w:val="none" w:sz="0" w:space="0" w:color="auto"/>
                            <w:bottom w:val="none" w:sz="0" w:space="0" w:color="auto"/>
                            <w:right w:val="none" w:sz="0" w:space="0" w:color="auto"/>
                          </w:divBdr>
                          <w:divsChild>
                            <w:div w:id="1475677915">
                              <w:marLeft w:val="0"/>
                              <w:marRight w:val="0"/>
                              <w:marTop w:val="120"/>
                              <w:marBottom w:val="360"/>
                              <w:divBdr>
                                <w:top w:val="none" w:sz="0" w:space="0" w:color="auto"/>
                                <w:left w:val="none" w:sz="0" w:space="0" w:color="auto"/>
                                <w:bottom w:val="none" w:sz="0" w:space="0" w:color="auto"/>
                                <w:right w:val="none" w:sz="0" w:space="0" w:color="auto"/>
                              </w:divBdr>
                              <w:divsChild>
                                <w:div w:id="18444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228516">
      <w:bodyDiv w:val="1"/>
      <w:marLeft w:val="0"/>
      <w:marRight w:val="0"/>
      <w:marTop w:val="0"/>
      <w:marBottom w:val="0"/>
      <w:divBdr>
        <w:top w:val="none" w:sz="0" w:space="0" w:color="auto"/>
        <w:left w:val="none" w:sz="0" w:space="0" w:color="auto"/>
        <w:bottom w:val="none" w:sz="0" w:space="0" w:color="auto"/>
        <w:right w:val="none" w:sz="0" w:space="0" w:color="auto"/>
      </w:divBdr>
      <w:divsChild>
        <w:div w:id="617226017">
          <w:marLeft w:val="0"/>
          <w:marRight w:val="1"/>
          <w:marTop w:val="0"/>
          <w:marBottom w:val="0"/>
          <w:divBdr>
            <w:top w:val="none" w:sz="0" w:space="0" w:color="auto"/>
            <w:left w:val="none" w:sz="0" w:space="0" w:color="auto"/>
            <w:bottom w:val="none" w:sz="0" w:space="0" w:color="auto"/>
            <w:right w:val="none" w:sz="0" w:space="0" w:color="auto"/>
          </w:divBdr>
          <w:divsChild>
            <w:div w:id="135343842">
              <w:marLeft w:val="0"/>
              <w:marRight w:val="0"/>
              <w:marTop w:val="0"/>
              <w:marBottom w:val="0"/>
              <w:divBdr>
                <w:top w:val="none" w:sz="0" w:space="0" w:color="auto"/>
                <w:left w:val="none" w:sz="0" w:space="0" w:color="auto"/>
                <w:bottom w:val="none" w:sz="0" w:space="0" w:color="auto"/>
                <w:right w:val="none" w:sz="0" w:space="0" w:color="auto"/>
              </w:divBdr>
              <w:divsChild>
                <w:div w:id="45567772">
                  <w:marLeft w:val="0"/>
                  <w:marRight w:val="1"/>
                  <w:marTop w:val="0"/>
                  <w:marBottom w:val="0"/>
                  <w:divBdr>
                    <w:top w:val="none" w:sz="0" w:space="0" w:color="auto"/>
                    <w:left w:val="none" w:sz="0" w:space="0" w:color="auto"/>
                    <w:bottom w:val="none" w:sz="0" w:space="0" w:color="auto"/>
                    <w:right w:val="none" w:sz="0" w:space="0" w:color="auto"/>
                  </w:divBdr>
                  <w:divsChild>
                    <w:div w:id="1999185526">
                      <w:marLeft w:val="0"/>
                      <w:marRight w:val="0"/>
                      <w:marTop w:val="0"/>
                      <w:marBottom w:val="0"/>
                      <w:divBdr>
                        <w:top w:val="none" w:sz="0" w:space="0" w:color="auto"/>
                        <w:left w:val="none" w:sz="0" w:space="0" w:color="auto"/>
                        <w:bottom w:val="none" w:sz="0" w:space="0" w:color="auto"/>
                        <w:right w:val="none" w:sz="0" w:space="0" w:color="auto"/>
                      </w:divBdr>
                      <w:divsChild>
                        <w:div w:id="997466323">
                          <w:marLeft w:val="0"/>
                          <w:marRight w:val="0"/>
                          <w:marTop w:val="0"/>
                          <w:marBottom w:val="0"/>
                          <w:divBdr>
                            <w:top w:val="none" w:sz="0" w:space="0" w:color="auto"/>
                            <w:left w:val="none" w:sz="0" w:space="0" w:color="auto"/>
                            <w:bottom w:val="none" w:sz="0" w:space="0" w:color="auto"/>
                            <w:right w:val="none" w:sz="0" w:space="0" w:color="auto"/>
                          </w:divBdr>
                          <w:divsChild>
                            <w:div w:id="331377496">
                              <w:marLeft w:val="0"/>
                              <w:marRight w:val="0"/>
                              <w:marTop w:val="0"/>
                              <w:marBottom w:val="0"/>
                              <w:divBdr>
                                <w:top w:val="none" w:sz="0" w:space="0" w:color="auto"/>
                                <w:left w:val="none" w:sz="0" w:space="0" w:color="auto"/>
                                <w:bottom w:val="none" w:sz="0" w:space="0" w:color="auto"/>
                                <w:right w:val="none" w:sz="0" w:space="0" w:color="auto"/>
                              </w:divBdr>
                            </w:div>
                          </w:divsChild>
                        </w:div>
                        <w:div w:id="381172680">
                          <w:marLeft w:val="0"/>
                          <w:marRight w:val="0"/>
                          <w:marTop w:val="0"/>
                          <w:marBottom w:val="0"/>
                          <w:divBdr>
                            <w:top w:val="none" w:sz="0" w:space="0" w:color="auto"/>
                            <w:left w:val="none" w:sz="0" w:space="0" w:color="auto"/>
                            <w:bottom w:val="none" w:sz="0" w:space="0" w:color="auto"/>
                            <w:right w:val="none" w:sz="0" w:space="0" w:color="auto"/>
                          </w:divBdr>
                          <w:divsChild>
                            <w:div w:id="2116824595">
                              <w:marLeft w:val="0"/>
                              <w:marRight w:val="0"/>
                              <w:marTop w:val="120"/>
                              <w:marBottom w:val="360"/>
                              <w:divBdr>
                                <w:top w:val="none" w:sz="0" w:space="0" w:color="auto"/>
                                <w:left w:val="none" w:sz="0" w:space="0" w:color="auto"/>
                                <w:bottom w:val="none" w:sz="0" w:space="0" w:color="auto"/>
                                <w:right w:val="none" w:sz="0" w:space="0" w:color="auto"/>
                              </w:divBdr>
                              <w:divsChild>
                                <w:div w:id="126557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945403">
      <w:bodyDiv w:val="1"/>
      <w:marLeft w:val="0"/>
      <w:marRight w:val="0"/>
      <w:marTop w:val="0"/>
      <w:marBottom w:val="0"/>
      <w:divBdr>
        <w:top w:val="none" w:sz="0" w:space="0" w:color="auto"/>
        <w:left w:val="none" w:sz="0" w:space="0" w:color="auto"/>
        <w:bottom w:val="none" w:sz="0" w:space="0" w:color="auto"/>
        <w:right w:val="none" w:sz="0" w:space="0" w:color="auto"/>
      </w:divBdr>
      <w:divsChild>
        <w:div w:id="318316014">
          <w:marLeft w:val="0"/>
          <w:marRight w:val="0"/>
          <w:marTop w:val="0"/>
          <w:marBottom w:val="0"/>
          <w:divBdr>
            <w:top w:val="none" w:sz="0" w:space="0" w:color="auto"/>
            <w:left w:val="none" w:sz="0" w:space="0" w:color="auto"/>
            <w:bottom w:val="none" w:sz="0" w:space="0" w:color="auto"/>
            <w:right w:val="none" w:sz="0" w:space="0" w:color="auto"/>
          </w:divBdr>
          <w:divsChild>
            <w:div w:id="139808320">
              <w:marLeft w:val="0"/>
              <w:marRight w:val="0"/>
              <w:marTop w:val="0"/>
              <w:marBottom w:val="0"/>
              <w:divBdr>
                <w:top w:val="none" w:sz="0" w:space="0" w:color="auto"/>
                <w:left w:val="none" w:sz="0" w:space="0" w:color="auto"/>
                <w:bottom w:val="none" w:sz="0" w:space="0" w:color="auto"/>
                <w:right w:val="none" w:sz="0" w:space="0" w:color="auto"/>
              </w:divBdr>
              <w:divsChild>
                <w:div w:id="303431820">
                  <w:marLeft w:val="150"/>
                  <w:marRight w:val="150"/>
                  <w:marTop w:val="0"/>
                  <w:marBottom w:val="0"/>
                  <w:divBdr>
                    <w:top w:val="none" w:sz="0" w:space="0" w:color="auto"/>
                    <w:left w:val="none" w:sz="0" w:space="0" w:color="auto"/>
                    <w:bottom w:val="none" w:sz="0" w:space="0" w:color="auto"/>
                    <w:right w:val="none" w:sz="0" w:space="0" w:color="auto"/>
                  </w:divBdr>
                  <w:divsChild>
                    <w:div w:id="868491213">
                      <w:marLeft w:val="0"/>
                      <w:marRight w:val="0"/>
                      <w:marTop w:val="0"/>
                      <w:marBottom w:val="0"/>
                      <w:divBdr>
                        <w:top w:val="none" w:sz="0" w:space="0" w:color="auto"/>
                        <w:left w:val="none" w:sz="0" w:space="0" w:color="auto"/>
                        <w:bottom w:val="none" w:sz="0" w:space="0" w:color="auto"/>
                        <w:right w:val="none" w:sz="0" w:space="0" w:color="auto"/>
                      </w:divBdr>
                      <w:divsChild>
                        <w:div w:id="1032921085">
                          <w:marLeft w:val="0"/>
                          <w:marRight w:val="0"/>
                          <w:marTop w:val="0"/>
                          <w:marBottom w:val="0"/>
                          <w:divBdr>
                            <w:top w:val="none" w:sz="0" w:space="0" w:color="auto"/>
                            <w:left w:val="none" w:sz="0" w:space="0" w:color="auto"/>
                            <w:bottom w:val="none" w:sz="0" w:space="0" w:color="auto"/>
                            <w:right w:val="none" w:sz="0" w:space="0" w:color="auto"/>
                          </w:divBdr>
                          <w:divsChild>
                            <w:div w:id="1916084455">
                              <w:marLeft w:val="0"/>
                              <w:marRight w:val="0"/>
                              <w:marTop w:val="0"/>
                              <w:marBottom w:val="0"/>
                              <w:divBdr>
                                <w:top w:val="none" w:sz="0" w:space="0" w:color="auto"/>
                                <w:left w:val="none" w:sz="0" w:space="0" w:color="auto"/>
                                <w:bottom w:val="none" w:sz="0" w:space="0" w:color="auto"/>
                                <w:right w:val="none" w:sz="0" w:space="0" w:color="auto"/>
                              </w:divBdr>
                              <w:divsChild>
                                <w:div w:id="449057656">
                                  <w:marLeft w:val="0"/>
                                  <w:marRight w:val="0"/>
                                  <w:marTop w:val="0"/>
                                  <w:marBottom w:val="0"/>
                                  <w:divBdr>
                                    <w:top w:val="none" w:sz="0" w:space="0" w:color="auto"/>
                                    <w:left w:val="none" w:sz="0" w:space="0" w:color="auto"/>
                                    <w:bottom w:val="none" w:sz="0" w:space="0" w:color="auto"/>
                                    <w:right w:val="none" w:sz="0" w:space="0" w:color="auto"/>
                                  </w:divBdr>
                                  <w:divsChild>
                                    <w:div w:id="1250851409">
                                      <w:marLeft w:val="0"/>
                                      <w:marRight w:val="0"/>
                                      <w:marTop w:val="0"/>
                                      <w:marBottom w:val="0"/>
                                      <w:divBdr>
                                        <w:top w:val="none" w:sz="0" w:space="0" w:color="auto"/>
                                        <w:left w:val="none" w:sz="0" w:space="0" w:color="auto"/>
                                        <w:bottom w:val="none" w:sz="0" w:space="0" w:color="auto"/>
                                        <w:right w:val="none" w:sz="0" w:space="0" w:color="auto"/>
                                      </w:divBdr>
                                      <w:divsChild>
                                        <w:div w:id="620772315">
                                          <w:marLeft w:val="0"/>
                                          <w:marRight w:val="0"/>
                                          <w:marTop w:val="0"/>
                                          <w:marBottom w:val="0"/>
                                          <w:divBdr>
                                            <w:top w:val="none" w:sz="0" w:space="0" w:color="auto"/>
                                            <w:left w:val="none" w:sz="0" w:space="0" w:color="auto"/>
                                            <w:bottom w:val="none" w:sz="0" w:space="0" w:color="auto"/>
                                            <w:right w:val="none" w:sz="0" w:space="0" w:color="auto"/>
                                          </w:divBdr>
                                          <w:divsChild>
                                            <w:div w:id="435830582">
                                              <w:marLeft w:val="0"/>
                                              <w:marRight w:val="0"/>
                                              <w:marTop w:val="0"/>
                                              <w:marBottom w:val="0"/>
                                              <w:divBdr>
                                                <w:top w:val="none" w:sz="0" w:space="0" w:color="auto"/>
                                                <w:left w:val="none" w:sz="0" w:space="0" w:color="auto"/>
                                                <w:bottom w:val="none" w:sz="0" w:space="0" w:color="auto"/>
                                                <w:right w:val="none" w:sz="0" w:space="0" w:color="auto"/>
                                              </w:divBdr>
                                              <w:divsChild>
                                                <w:div w:id="61569427">
                                                  <w:marLeft w:val="0"/>
                                                  <w:marRight w:val="0"/>
                                                  <w:marTop w:val="0"/>
                                                  <w:marBottom w:val="0"/>
                                                  <w:divBdr>
                                                    <w:top w:val="none" w:sz="0" w:space="0" w:color="auto"/>
                                                    <w:left w:val="none" w:sz="0" w:space="0" w:color="auto"/>
                                                    <w:bottom w:val="none" w:sz="0" w:space="0" w:color="auto"/>
                                                    <w:right w:val="none" w:sz="0" w:space="0" w:color="auto"/>
                                                  </w:divBdr>
                                                  <w:divsChild>
                                                    <w:div w:id="366178839">
                                                      <w:marLeft w:val="0"/>
                                                      <w:marRight w:val="0"/>
                                                      <w:marTop w:val="0"/>
                                                      <w:marBottom w:val="0"/>
                                                      <w:divBdr>
                                                        <w:top w:val="none" w:sz="0" w:space="0" w:color="auto"/>
                                                        <w:left w:val="none" w:sz="0" w:space="0" w:color="auto"/>
                                                        <w:bottom w:val="none" w:sz="0" w:space="0" w:color="auto"/>
                                                        <w:right w:val="none" w:sz="0" w:space="0" w:color="auto"/>
                                                      </w:divBdr>
                                                      <w:divsChild>
                                                        <w:div w:id="1522431525">
                                                          <w:marLeft w:val="0"/>
                                                          <w:marRight w:val="0"/>
                                                          <w:marTop w:val="0"/>
                                                          <w:marBottom w:val="150"/>
                                                          <w:divBdr>
                                                            <w:top w:val="none" w:sz="0" w:space="0" w:color="auto"/>
                                                            <w:left w:val="none" w:sz="0" w:space="0" w:color="auto"/>
                                                            <w:bottom w:val="none" w:sz="0" w:space="0" w:color="auto"/>
                                                            <w:right w:val="none" w:sz="0" w:space="0" w:color="auto"/>
                                                          </w:divBdr>
                                                          <w:divsChild>
                                                            <w:div w:id="587085253">
                                                              <w:marLeft w:val="0"/>
                                                              <w:marRight w:val="0"/>
                                                              <w:marTop w:val="0"/>
                                                              <w:marBottom w:val="0"/>
                                                              <w:divBdr>
                                                                <w:top w:val="none" w:sz="0" w:space="0" w:color="auto"/>
                                                                <w:left w:val="none" w:sz="0" w:space="0" w:color="auto"/>
                                                                <w:bottom w:val="none" w:sz="0" w:space="0" w:color="auto"/>
                                                                <w:right w:val="none" w:sz="0" w:space="0" w:color="auto"/>
                                                              </w:divBdr>
                                                              <w:divsChild>
                                                                <w:div w:id="1829981160">
                                                                  <w:marLeft w:val="0"/>
                                                                  <w:marRight w:val="0"/>
                                                                  <w:marTop w:val="0"/>
                                                                  <w:marBottom w:val="0"/>
                                                                  <w:divBdr>
                                                                    <w:top w:val="none" w:sz="0" w:space="0" w:color="auto"/>
                                                                    <w:left w:val="none" w:sz="0" w:space="0" w:color="auto"/>
                                                                    <w:bottom w:val="none" w:sz="0" w:space="0" w:color="auto"/>
                                                                    <w:right w:val="none" w:sz="0" w:space="0" w:color="auto"/>
                                                                  </w:divBdr>
                                                                  <w:divsChild>
                                                                    <w:div w:id="1641182366">
                                                                      <w:marLeft w:val="0"/>
                                                                      <w:marRight w:val="0"/>
                                                                      <w:marTop w:val="0"/>
                                                                      <w:marBottom w:val="0"/>
                                                                      <w:divBdr>
                                                                        <w:top w:val="none" w:sz="0" w:space="0" w:color="auto"/>
                                                                        <w:left w:val="none" w:sz="0" w:space="0" w:color="auto"/>
                                                                        <w:bottom w:val="none" w:sz="0" w:space="0" w:color="auto"/>
                                                                        <w:right w:val="none" w:sz="0" w:space="0" w:color="auto"/>
                                                                      </w:divBdr>
                                                                      <w:divsChild>
                                                                        <w:div w:id="2080134296">
                                                                          <w:marLeft w:val="0"/>
                                                                          <w:marRight w:val="0"/>
                                                                          <w:marTop w:val="0"/>
                                                                          <w:marBottom w:val="0"/>
                                                                          <w:divBdr>
                                                                            <w:top w:val="none" w:sz="0" w:space="0" w:color="auto"/>
                                                                            <w:left w:val="none" w:sz="0" w:space="0" w:color="auto"/>
                                                                            <w:bottom w:val="none" w:sz="0" w:space="0" w:color="auto"/>
                                                                            <w:right w:val="none" w:sz="0" w:space="0" w:color="auto"/>
                                                                          </w:divBdr>
                                                                        </w:div>
                                                                        <w:div w:id="19130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88611">
      <w:bodyDiv w:val="1"/>
      <w:marLeft w:val="0"/>
      <w:marRight w:val="0"/>
      <w:marTop w:val="0"/>
      <w:marBottom w:val="0"/>
      <w:divBdr>
        <w:top w:val="none" w:sz="0" w:space="0" w:color="auto"/>
        <w:left w:val="none" w:sz="0" w:space="0" w:color="auto"/>
        <w:bottom w:val="none" w:sz="0" w:space="0" w:color="auto"/>
        <w:right w:val="none" w:sz="0" w:space="0" w:color="auto"/>
      </w:divBdr>
    </w:div>
    <w:div w:id="1587226154">
      <w:bodyDiv w:val="1"/>
      <w:marLeft w:val="0"/>
      <w:marRight w:val="0"/>
      <w:marTop w:val="0"/>
      <w:marBottom w:val="0"/>
      <w:divBdr>
        <w:top w:val="none" w:sz="0" w:space="0" w:color="auto"/>
        <w:left w:val="none" w:sz="0" w:space="0" w:color="auto"/>
        <w:bottom w:val="none" w:sz="0" w:space="0" w:color="auto"/>
        <w:right w:val="none" w:sz="0" w:space="0" w:color="auto"/>
      </w:divBdr>
    </w:div>
    <w:div w:id="1635871662">
      <w:bodyDiv w:val="1"/>
      <w:marLeft w:val="0"/>
      <w:marRight w:val="0"/>
      <w:marTop w:val="0"/>
      <w:marBottom w:val="0"/>
      <w:divBdr>
        <w:top w:val="none" w:sz="0" w:space="0" w:color="auto"/>
        <w:left w:val="none" w:sz="0" w:space="0" w:color="auto"/>
        <w:bottom w:val="none" w:sz="0" w:space="0" w:color="auto"/>
        <w:right w:val="none" w:sz="0" w:space="0" w:color="auto"/>
      </w:divBdr>
    </w:div>
    <w:div w:id="1944222464">
      <w:bodyDiv w:val="1"/>
      <w:marLeft w:val="0"/>
      <w:marRight w:val="0"/>
      <w:marTop w:val="0"/>
      <w:marBottom w:val="0"/>
      <w:divBdr>
        <w:top w:val="none" w:sz="0" w:space="0" w:color="auto"/>
        <w:left w:val="none" w:sz="0" w:space="0" w:color="auto"/>
        <w:bottom w:val="none" w:sz="0" w:space="0" w:color="auto"/>
        <w:right w:val="none" w:sz="0" w:space="0" w:color="auto"/>
      </w:divBdr>
    </w:div>
    <w:div w:id="204501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c01118226323@gmail.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image" Target="media/image4.png"/><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www.pubmedcentral.nih.gov/articlerender.fcgi?artid=200807&amp;rendertype=figure&amp;id=fig2" TargetMode="External"/><Relationship Id="rId42" Type="http://schemas.openxmlformats.org/officeDocument/2006/relationships/footer" Target="footer13.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image" Target="media/image3.png"/><Relationship Id="rId33" Type="http://schemas.openxmlformats.org/officeDocument/2006/relationships/hyperlink" Target="http://www.ncbi.nlm.nih.gov/sites/entrez?Db=pubmed&amp;Cmd=Search&amp;Term=%22Tiitinen%20A%22%5BAuthor%5D&amp;itool=EntrezSystem2.PEntrez.Pubmed.Pubmed_ResultsPanel.Pubmed_DiscoveryPanel.Pubmed_RVAbstractPlus" TargetMode="Externa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footer" Target="footer10.xm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www.ncbi.nlm.nih.gov/sites/entrez?Db=pubmed&amp;Cmd=Search&amp;Term=%22Isaksson%20R%22%5BAuthor%5D&amp;itool=EntrezSystem2.PEntrez.Pubmed.Pubmed_ResultsPanel.Pubmed_DiscoveryPanel.Pubmed_RVAbstractPlus" TargetMode="External"/><Relationship Id="rId37" Type="http://schemas.openxmlformats.org/officeDocument/2006/relationships/hyperlink" Target="http://www.uptodateonline.com/patients/content/abstract.do?topicKey=~NAG5fySRxlDFRhI&amp;refNum=2" TargetMode="External"/><Relationship Id="rId40" Type="http://schemas.openxmlformats.org/officeDocument/2006/relationships/footer" Target="footer1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9.xml"/><Relationship Id="rId36" Type="http://schemas.openxmlformats.org/officeDocument/2006/relationships/hyperlink" Target="http://www.ncbi.nlm.nih.gov/sites/entrez?Db=pubmed&amp;Cmd=Search&amp;Term=%22Tiitinen%20A%22%5BAuthor%5D&amp;itool=EntrezSystem2.PEntrez.Pubmed.Pubmed_ResultsPanel.Pubmed_DiscoveryPanel.Pubmed_RVAbstractPlus" TargetMode="External"/><Relationship Id="rId10" Type="http://schemas.openxmlformats.org/officeDocument/2006/relationships/hyperlink" Target="http://www.dx.doi.org/10.7537/marsnys100717.04" TargetMode="External"/><Relationship Id="rId19" Type="http://schemas.openxmlformats.org/officeDocument/2006/relationships/footer" Target="footer6.xml"/><Relationship Id="rId31" Type="http://schemas.openxmlformats.org/officeDocument/2006/relationships/hyperlink" Target="http://www.ncbi.nlm.nih.gov/sites/entrez?Db=pubmed&amp;Cmd=Search&amp;Term=%22Tiitinen%20A%22%5BAuthor%5D&amp;itool=EntrezSystem2.PEntrez.Pubmed.Pubmed_ResultsPanel.Pubmed_DiscoveryPanel.Pubmed_RVAbstractPlus"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eader" Target="header5.xml"/><Relationship Id="rId30" Type="http://schemas.openxmlformats.org/officeDocument/2006/relationships/hyperlink" Target="http://www.ncbi.nlm.nih.gov/sites/entrez?Db=pubmed&amp;Cmd=Search&amp;Term=%22Tiitinen%20A%22%5BAuthor%5D&amp;itool=EntrezSystem2.PEntrez.Pubmed.Pubmed_ResultsPanel.Pubmed_DiscoveryPanel.Pubmed_RVAbstractPlus" TargetMode="External"/><Relationship Id="rId35" Type="http://schemas.openxmlformats.org/officeDocument/2006/relationships/hyperlink" Target="http://www.ncbi.nlm.nih.gov/sites/entrez?Db=pubmed&amp;Cmd=Search&amp;Term=%22Isaksson%20R%22%5BAuthor%5D&amp;itool=EntrezSystem2.PEntrez.Pubmed.Pubmed_ResultsPanel.Pubmed_DiscoveryPanel.Pubmed_RVAbstractPlus" TargetMode="External"/><Relationship Id="rId43" Type="http://schemas.openxmlformats.org/officeDocument/2006/relationships/footer" Target="footer1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334AF-7856-458B-BBDD-D2883600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3654</Words>
  <Characters>22706</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pc</dc:creator>
  <cp:lastModifiedBy>Administrator</cp:lastModifiedBy>
  <cp:revision>3</cp:revision>
  <cp:lastPrinted>2017-05-30T07:06:00Z</cp:lastPrinted>
  <dcterms:created xsi:type="dcterms:W3CDTF">2017-05-31T15:30:00Z</dcterms:created>
  <dcterms:modified xsi:type="dcterms:W3CDTF">2017-06-01T00:47:00Z</dcterms:modified>
</cp:coreProperties>
</file>