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4B9" w:rsidRPr="005B0931" w:rsidRDefault="00BD24B9" w:rsidP="008620BE">
      <w:pPr>
        <w:widowControl w:val="0"/>
        <w:overflowPunct w:val="0"/>
        <w:autoSpaceDE w:val="0"/>
        <w:autoSpaceDN w:val="0"/>
        <w:bidi w:val="0"/>
        <w:adjustRightInd w:val="0"/>
        <w:snapToGrid w:val="0"/>
        <w:jc w:val="center"/>
        <w:rPr>
          <w:b/>
          <w:bCs/>
          <w:sz w:val="20"/>
          <w:szCs w:val="20"/>
        </w:rPr>
      </w:pPr>
      <w:bookmarkStart w:id="0" w:name="page1"/>
      <w:bookmarkEnd w:id="0"/>
      <w:r w:rsidRPr="005B0931">
        <w:rPr>
          <w:b/>
          <w:bCs/>
          <w:sz w:val="20"/>
          <w:szCs w:val="20"/>
        </w:rPr>
        <w:t xml:space="preserve">Role of Duplex as a prognostic value for </w:t>
      </w:r>
      <w:r w:rsidR="00271359" w:rsidRPr="005B0931">
        <w:rPr>
          <w:b/>
          <w:bCs/>
          <w:sz w:val="20"/>
          <w:szCs w:val="20"/>
        </w:rPr>
        <w:t>favorable outcome</w:t>
      </w:r>
      <w:r w:rsidR="00EE795D" w:rsidRPr="005B0931">
        <w:rPr>
          <w:rFonts w:eastAsiaTheme="minorEastAsia" w:hint="eastAsia"/>
          <w:b/>
          <w:bCs/>
          <w:sz w:val="20"/>
          <w:szCs w:val="20"/>
          <w:lang w:eastAsia="zh-CN"/>
        </w:rPr>
        <w:t xml:space="preserve"> </w:t>
      </w:r>
      <w:r w:rsidRPr="005B0931">
        <w:rPr>
          <w:b/>
          <w:bCs/>
          <w:sz w:val="20"/>
          <w:szCs w:val="20"/>
        </w:rPr>
        <w:t>in patients with Acute Ischemic Stroke</w:t>
      </w:r>
    </w:p>
    <w:p w:rsidR="008F5126" w:rsidRPr="005B0931" w:rsidRDefault="008F5126" w:rsidP="008620BE">
      <w:pPr>
        <w:widowControl w:val="0"/>
        <w:overflowPunct w:val="0"/>
        <w:autoSpaceDE w:val="0"/>
        <w:autoSpaceDN w:val="0"/>
        <w:bidi w:val="0"/>
        <w:adjustRightInd w:val="0"/>
        <w:snapToGrid w:val="0"/>
        <w:jc w:val="center"/>
        <w:rPr>
          <w:sz w:val="20"/>
          <w:szCs w:val="20"/>
        </w:rPr>
      </w:pPr>
    </w:p>
    <w:p w:rsidR="00C01A7E" w:rsidRPr="005B0931" w:rsidRDefault="00BD24B9" w:rsidP="008620BE">
      <w:pPr>
        <w:autoSpaceDE w:val="0"/>
        <w:autoSpaceDN w:val="0"/>
        <w:bidi w:val="0"/>
        <w:adjustRightInd w:val="0"/>
        <w:snapToGrid w:val="0"/>
        <w:jc w:val="center"/>
        <w:rPr>
          <w:rFonts w:eastAsiaTheme="minorEastAsia"/>
          <w:sz w:val="20"/>
          <w:szCs w:val="20"/>
          <w:vertAlign w:val="superscript"/>
          <w:lang w:eastAsia="zh-CN"/>
        </w:rPr>
      </w:pPr>
      <w:proofErr w:type="spellStart"/>
      <w:r w:rsidRPr="005B0931">
        <w:rPr>
          <w:sz w:val="20"/>
          <w:szCs w:val="20"/>
          <w:lang w:bidi="ar-EG"/>
        </w:rPr>
        <w:t>Mahmoud</w:t>
      </w:r>
      <w:proofErr w:type="spellEnd"/>
      <w:r w:rsidRPr="005B0931">
        <w:rPr>
          <w:sz w:val="20"/>
          <w:szCs w:val="20"/>
          <w:lang w:bidi="ar-EG"/>
        </w:rPr>
        <w:t xml:space="preserve"> Mohamed </w:t>
      </w:r>
      <w:r w:rsidR="00271359" w:rsidRPr="005B0931">
        <w:rPr>
          <w:sz w:val="20"/>
          <w:szCs w:val="20"/>
          <w:lang w:bidi="ar-EG"/>
        </w:rPr>
        <w:t xml:space="preserve">Abdel </w:t>
      </w:r>
      <w:proofErr w:type="spellStart"/>
      <w:r w:rsidR="00271359" w:rsidRPr="005B0931">
        <w:rPr>
          <w:sz w:val="20"/>
          <w:szCs w:val="20"/>
          <w:lang w:bidi="ar-EG"/>
        </w:rPr>
        <w:t>Saye</w:t>
      </w:r>
      <w:r w:rsidR="0062070F" w:rsidRPr="005B0931">
        <w:rPr>
          <w:sz w:val="20"/>
          <w:szCs w:val="20"/>
          <w:lang w:bidi="ar-EG"/>
        </w:rPr>
        <w:t>d</w:t>
      </w:r>
      <w:proofErr w:type="spellEnd"/>
      <w:r w:rsidR="0062070F" w:rsidRPr="005B0931">
        <w:rPr>
          <w:sz w:val="20"/>
          <w:szCs w:val="20"/>
          <w:lang w:bidi="ar-EG"/>
        </w:rPr>
        <w:t xml:space="preserve"> </w:t>
      </w:r>
      <w:r w:rsidR="0062070F" w:rsidRPr="005B0931">
        <w:rPr>
          <w:sz w:val="20"/>
          <w:szCs w:val="20"/>
          <w:vertAlign w:val="superscript"/>
        </w:rPr>
        <w:t>[</w:t>
      </w:r>
      <w:r w:rsidR="00AA28B9" w:rsidRPr="005B0931">
        <w:rPr>
          <w:sz w:val="20"/>
          <w:szCs w:val="20"/>
          <w:vertAlign w:val="superscript"/>
        </w:rPr>
        <w:t>1]</w:t>
      </w:r>
      <w:r w:rsidR="002A6D47" w:rsidRPr="005B0931">
        <w:rPr>
          <w:sz w:val="20"/>
          <w:szCs w:val="20"/>
        </w:rPr>
        <w:t xml:space="preserve">, </w:t>
      </w:r>
      <w:proofErr w:type="spellStart"/>
      <w:r w:rsidR="002A6D47" w:rsidRPr="005B0931">
        <w:rPr>
          <w:sz w:val="20"/>
          <w:szCs w:val="20"/>
          <w:lang w:bidi="ar-EG"/>
        </w:rPr>
        <w:t>K</w:t>
      </w:r>
      <w:r w:rsidRPr="005B0931">
        <w:rPr>
          <w:sz w:val="20"/>
          <w:szCs w:val="20"/>
          <w:lang w:bidi="ar-EG"/>
        </w:rPr>
        <w:t>haled</w:t>
      </w:r>
      <w:proofErr w:type="spellEnd"/>
      <w:r w:rsidRPr="005B0931">
        <w:rPr>
          <w:sz w:val="20"/>
          <w:szCs w:val="20"/>
          <w:lang w:bidi="ar-EG"/>
        </w:rPr>
        <w:t xml:space="preserve"> Mohamed </w:t>
      </w:r>
      <w:proofErr w:type="spellStart"/>
      <w:r w:rsidRPr="005B0931">
        <w:rPr>
          <w:sz w:val="20"/>
          <w:szCs w:val="20"/>
          <w:lang w:bidi="ar-EG"/>
        </w:rPr>
        <w:t>Sob</w:t>
      </w:r>
      <w:r w:rsidR="0062070F" w:rsidRPr="005B0931">
        <w:rPr>
          <w:sz w:val="20"/>
          <w:szCs w:val="20"/>
          <w:lang w:bidi="ar-EG"/>
        </w:rPr>
        <w:t>h</w:t>
      </w:r>
      <w:proofErr w:type="spellEnd"/>
      <w:r w:rsidR="0062070F" w:rsidRPr="005B0931">
        <w:rPr>
          <w:sz w:val="20"/>
          <w:szCs w:val="20"/>
          <w:lang w:bidi="ar-EG"/>
        </w:rPr>
        <w:t xml:space="preserve"> </w:t>
      </w:r>
      <w:r w:rsidR="0062070F" w:rsidRPr="005B0931">
        <w:rPr>
          <w:sz w:val="20"/>
          <w:szCs w:val="20"/>
          <w:vertAlign w:val="superscript"/>
          <w:lang w:bidi="ar-EG"/>
        </w:rPr>
        <w:t>[</w:t>
      </w:r>
      <w:r w:rsidR="00AA28B9" w:rsidRPr="005B0931">
        <w:rPr>
          <w:sz w:val="20"/>
          <w:szCs w:val="20"/>
          <w:vertAlign w:val="superscript"/>
          <w:lang w:bidi="ar-EG"/>
        </w:rPr>
        <w:t>2]</w:t>
      </w:r>
      <w:r w:rsidR="00DA21D2" w:rsidRPr="005B0931">
        <w:rPr>
          <w:sz w:val="20"/>
          <w:szCs w:val="20"/>
        </w:rPr>
        <w:t xml:space="preserve">, </w:t>
      </w:r>
      <w:proofErr w:type="spellStart"/>
      <w:r w:rsidRPr="005B0931">
        <w:rPr>
          <w:sz w:val="20"/>
          <w:szCs w:val="20"/>
          <w:lang w:bidi="ar-EG"/>
        </w:rPr>
        <w:t>Talaal</w:t>
      </w:r>
      <w:proofErr w:type="spellEnd"/>
      <w:r w:rsidRPr="005B0931">
        <w:rPr>
          <w:sz w:val="20"/>
          <w:szCs w:val="20"/>
          <w:lang w:bidi="ar-EG"/>
        </w:rPr>
        <w:t xml:space="preserve"> </w:t>
      </w:r>
      <w:proofErr w:type="spellStart"/>
      <w:r w:rsidRPr="005B0931">
        <w:rPr>
          <w:sz w:val="20"/>
          <w:szCs w:val="20"/>
          <w:lang w:bidi="ar-EG"/>
        </w:rPr>
        <w:t>Abdallah</w:t>
      </w:r>
      <w:proofErr w:type="spellEnd"/>
      <w:r w:rsidRPr="005B0931">
        <w:rPr>
          <w:sz w:val="20"/>
          <w:szCs w:val="20"/>
          <w:lang w:bidi="ar-EG"/>
        </w:rPr>
        <w:t xml:space="preserve"> Mohamed </w:t>
      </w:r>
      <w:r w:rsidR="00B31306" w:rsidRPr="005B0931">
        <w:rPr>
          <w:sz w:val="20"/>
          <w:szCs w:val="20"/>
          <w:vertAlign w:val="superscript"/>
          <w:lang w:bidi="ar-EG"/>
        </w:rPr>
        <w:t>[3]</w:t>
      </w:r>
      <w:r w:rsidR="00AA28B9" w:rsidRPr="005B0931">
        <w:rPr>
          <w:sz w:val="20"/>
          <w:szCs w:val="20"/>
        </w:rPr>
        <w:t xml:space="preserve">, </w:t>
      </w:r>
      <w:r w:rsidRPr="005B0931">
        <w:rPr>
          <w:sz w:val="20"/>
          <w:szCs w:val="20"/>
        </w:rPr>
        <w:t xml:space="preserve">Ibrahim </w:t>
      </w:r>
      <w:proofErr w:type="spellStart"/>
      <w:r w:rsidRPr="005B0931">
        <w:rPr>
          <w:sz w:val="20"/>
          <w:szCs w:val="20"/>
        </w:rPr>
        <w:t>Mahmoud</w:t>
      </w:r>
      <w:proofErr w:type="spellEnd"/>
      <w:r w:rsidRPr="005B0931">
        <w:rPr>
          <w:sz w:val="20"/>
          <w:szCs w:val="20"/>
        </w:rPr>
        <w:t xml:space="preserve"> </w:t>
      </w:r>
      <w:proofErr w:type="spellStart"/>
      <w:r w:rsidR="00271359" w:rsidRPr="005B0931">
        <w:rPr>
          <w:sz w:val="20"/>
          <w:szCs w:val="20"/>
        </w:rPr>
        <w:t>Abdall</w:t>
      </w:r>
      <w:r w:rsidR="0062070F" w:rsidRPr="005B0931">
        <w:rPr>
          <w:sz w:val="20"/>
          <w:szCs w:val="20"/>
        </w:rPr>
        <w:t>a</w:t>
      </w:r>
      <w:proofErr w:type="spellEnd"/>
      <w:r w:rsidR="0062070F" w:rsidRPr="005B0931">
        <w:rPr>
          <w:sz w:val="20"/>
          <w:szCs w:val="20"/>
        </w:rPr>
        <w:t xml:space="preserve"> </w:t>
      </w:r>
      <w:r w:rsidR="0062070F" w:rsidRPr="005B0931">
        <w:rPr>
          <w:sz w:val="20"/>
          <w:szCs w:val="20"/>
          <w:vertAlign w:val="superscript"/>
        </w:rPr>
        <w:t>[</w:t>
      </w:r>
      <w:r w:rsidR="00AA28B9" w:rsidRPr="005B0931">
        <w:rPr>
          <w:sz w:val="20"/>
          <w:szCs w:val="20"/>
          <w:vertAlign w:val="superscript"/>
        </w:rPr>
        <w:t>4]</w:t>
      </w:r>
    </w:p>
    <w:p w:rsidR="008620BE" w:rsidRPr="005B0931" w:rsidRDefault="008620BE" w:rsidP="008620BE">
      <w:pPr>
        <w:autoSpaceDE w:val="0"/>
        <w:autoSpaceDN w:val="0"/>
        <w:bidi w:val="0"/>
        <w:adjustRightInd w:val="0"/>
        <w:snapToGrid w:val="0"/>
        <w:jc w:val="center"/>
        <w:rPr>
          <w:rFonts w:eastAsiaTheme="minorEastAsia"/>
          <w:sz w:val="20"/>
          <w:szCs w:val="20"/>
          <w:lang w:eastAsia="zh-CN"/>
        </w:rPr>
      </w:pPr>
    </w:p>
    <w:p w:rsidR="00B31306" w:rsidRPr="005B0931" w:rsidRDefault="00C01A7E" w:rsidP="008620BE">
      <w:pPr>
        <w:autoSpaceDE w:val="0"/>
        <w:autoSpaceDN w:val="0"/>
        <w:bidi w:val="0"/>
        <w:adjustRightInd w:val="0"/>
        <w:snapToGrid w:val="0"/>
        <w:jc w:val="center"/>
        <w:rPr>
          <w:rFonts w:eastAsia="Calibri"/>
          <w:sz w:val="20"/>
          <w:szCs w:val="20"/>
          <w:lang w:bidi="ar-EG"/>
        </w:rPr>
      </w:pPr>
      <w:r w:rsidRPr="005B0931">
        <w:rPr>
          <w:sz w:val="20"/>
          <w:szCs w:val="20"/>
          <w:vertAlign w:val="superscript"/>
        </w:rPr>
        <w:t xml:space="preserve">[1] </w:t>
      </w:r>
      <w:r w:rsidRPr="005B0931">
        <w:rPr>
          <w:rFonts w:eastAsia="Calibri"/>
          <w:sz w:val="20"/>
          <w:szCs w:val="20"/>
          <w:lang w:bidi="ar-EG"/>
        </w:rPr>
        <w:t>Professor of Neurology</w:t>
      </w:r>
      <w:r w:rsidR="00B31306" w:rsidRPr="005B0931">
        <w:rPr>
          <w:rFonts w:eastAsia="Calibri"/>
          <w:sz w:val="20"/>
          <w:szCs w:val="20"/>
          <w:lang w:bidi="ar-EG"/>
        </w:rPr>
        <w:t xml:space="preserve"> (Faculty of Medicine </w:t>
      </w:r>
      <w:proofErr w:type="spellStart"/>
      <w:r w:rsidR="00B31306" w:rsidRPr="005B0931">
        <w:rPr>
          <w:rFonts w:eastAsia="Calibri"/>
          <w:sz w:val="20"/>
          <w:szCs w:val="20"/>
          <w:lang w:bidi="ar-EG"/>
        </w:rPr>
        <w:t>Azhar</w:t>
      </w:r>
      <w:proofErr w:type="spellEnd"/>
      <w:r w:rsidR="00B31306" w:rsidRPr="005B0931">
        <w:rPr>
          <w:rFonts w:eastAsia="Calibri"/>
          <w:sz w:val="20"/>
          <w:szCs w:val="20"/>
          <w:lang w:bidi="ar-EG"/>
        </w:rPr>
        <w:t xml:space="preserve"> University)</w:t>
      </w:r>
      <w:r w:rsidR="008F5126" w:rsidRPr="005B0931">
        <w:rPr>
          <w:rFonts w:eastAsia="Calibri"/>
          <w:sz w:val="20"/>
          <w:szCs w:val="20"/>
          <w:lang w:bidi="ar-EG"/>
        </w:rPr>
        <w:t>, Egypt</w:t>
      </w:r>
    </w:p>
    <w:p w:rsidR="00C01A7E" w:rsidRPr="005B0931" w:rsidRDefault="00C01A7E" w:rsidP="008620BE">
      <w:pPr>
        <w:bidi w:val="0"/>
        <w:snapToGrid w:val="0"/>
        <w:jc w:val="center"/>
        <w:rPr>
          <w:rFonts w:eastAsia="Calibri"/>
          <w:sz w:val="20"/>
          <w:szCs w:val="20"/>
          <w:lang w:bidi="ar-EG"/>
        </w:rPr>
      </w:pPr>
      <w:r w:rsidRPr="005B0931">
        <w:rPr>
          <w:sz w:val="20"/>
          <w:szCs w:val="20"/>
          <w:vertAlign w:val="superscript"/>
        </w:rPr>
        <w:t>[</w:t>
      </w:r>
      <w:r w:rsidR="00BD24B9" w:rsidRPr="005B0931">
        <w:rPr>
          <w:sz w:val="20"/>
          <w:szCs w:val="20"/>
          <w:vertAlign w:val="superscript"/>
        </w:rPr>
        <w:t>2</w:t>
      </w:r>
      <w:r w:rsidRPr="005B0931">
        <w:rPr>
          <w:sz w:val="20"/>
          <w:szCs w:val="20"/>
          <w:vertAlign w:val="superscript"/>
        </w:rPr>
        <w:t>]</w:t>
      </w:r>
      <w:r w:rsidRPr="005B0931">
        <w:rPr>
          <w:rFonts w:eastAsia="Calibri"/>
          <w:sz w:val="20"/>
          <w:szCs w:val="20"/>
          <w:vertAlign w:val="superscript"/>
          <w:lang w:bidi="ar-EG"/>
        </w:rPr>
        <w:t xml:space="preserve"> </w:t>
      </w:r>
      <w:r w:rsidRPr="005B0931">
        <w:rPr>
          <w:rFonts w:eastAsia="Calibri"/>
          <w:sz w:val="20"/>
          <w:szCs w:val="20"/>
          <w:lang w:bidi="ar-EG"/>
        </w:rPr>
        <w:t>Assistant Professor of Neurology</w:t>
      </w:r>
      <w:r w:rsidR="008F5126" w:rsidRPr="005B0931">
        <w:rPr>
          <w:rFonts w:eastAsia="Calibri"/>
          <w:sz w:val="20"/>
          <w:szCs w:val="20"/>
          <w:lang w:bidi="ar-EG"/>
        </w:rPr>
        <w:t xml:space="preserve"> </w:t>
      </w:r>
      <w:r w:rsidR="00B31306" w:rsidRPr="005B0931">
        <w:rPr>
          <w:rFonts w:eastAsia="Calibri"/>
          <w:sz w:val="20"/>
          <w:szCs w:val="20"/>
          <w:lang w:bidi="ar-EG"/>
        </w:rPr>
        <w:t xml:space="preserve">(Faculty of Medicine </w:t>
      </w:r>
      <w:proofErr w:type="spellStart"/>
      <w:r w:rsidR="00B31306" w:rsidRPr="005B0931">
        <w:rPr>
          <w:rFonts w:eastAsia="Calibri"/>
          <w:sz w:val="20"/>
          <w:szCs w:val="20"/>
          <w:lang w:bidi="ar-EG"/>
        </w:rPr>
        <w:t>Azhar</w:t>
      </w:r>
      <w:proofErr w:type="spellEnd"/>
      <w:r w:rsidR="00B31306" w:rsidRPr="005B0931">
        <w:rPr>
          <w:rFonts w:eastAsia="Calibri"/>
          <w:sz w:val="20"/>
          <w:szCs w:val="20"/>
          <w:lang w:bidi="ar-EG"/>
        </w:rPr>
        <w:t xml:space="preserve"> University)</w:t>
      </w:r>
      <w:r w:rsidR="008F5126" w:rsidRPr="005B0931">
        <w:rPr>
          <w:rFonts w:eastAsia="Calibri"/>
          <w:sz w:val="20"/>
          <w:szCs w:val="20"/>
          <w:lang w:bidi="ar-EG"/>
        </w:rPr>
        <w:t>, Egypt</w:t>
      </w:r>
    </w:p>
    <w:p w:rsidR="00B31306" w:rsidRPr="005B0931" w:rsidRDefault="00C01A7E" w:rsidP="008620BE">
      <w:pPr>
        <w:bidi w:val="0"/>
        <w:snapToGrid w:val="0"/>
        <w:jc w:val="center"/>
        <w:rPr>
          <w:rFonts w:eastAsia="Calibri"/>
          <w:sz w:val="20"/>
          <w:szCs w:val="20"/>
          <w:lang w:bidi="ar-EG"/>
        </w:rPr>
      </w:pPr>
      <w:r w:rsidRPr="005B0931">
        <w:rPr>
          <w:sz w:val="20"/>
          <w:szCs w:val="20"/>
          <w:vertAlign w:val="superscript"/>
        </w:rPr>
        <w:t>[</w:t>
      </w:r>
      <w:r w:rsidR="00BD24B9" w:rsidRPr="005B0931">
        <w:rPr>
          <w:sz w:val="20"/>
          <w:szCs w:val="20"/>
          <w:vertAlign w:val="superscript"/>
        </w:rPr>
        <w:t>3</w:t>
      </w:r>
      <w:r w:rsidR="002A6D47" w:rsidRPr="005B0931">
        <w:rPr>
          <w:sz w:val="20"/>
          <w:szCs w:val="20"/>
          <w:vertAlign w:val="superscript"/>
        </w:rPr>
        <w:t xml:space="preserve">] </w:t>
      </w:r>
      <w:r w:rsidR="002A6D47" w:rsidRPr="005B0931">
        <w:rPr>
          <w:rFonts w:eastAsia="Calibri"/>
          <w:sz w:val="20"/>
          <w:szCs w:val="20"/>
          <w:lang w:bidi="ar-EG"/>
        </w:rPr>
        <w:t>L</w:t>
      </w:r>
      <w:r w:rsidRPr="005B0931">
        <w:rPr>
          <w:rFonts w:eastAsia="Calibri"/>
          <w:sz w:val="20"/>
          <w:szCs w:val="20"/>
          <w:lang w:bidi="ar-EG"/>
        </w:rPr>
        <w:t>ecturer of Neurology</w:t>
      </w:r>
      <w:r w:rsidR="00B31306" w:rsidRPr="005B0931">
        <w:rPr>
          <w:rFonts w:eastAsia="Calibri"/>
          <w:sz w:val="20"/>
          <w:szCs w:val="20"/>
          <w:lang w:bidi="ar-EG"/>
        </w:rPr>
        <w:t xml:space="preserve"> (Faculty of Medicine </w:t>
      </w:r>
      <w:proofErr w:type="spellStart"/>
      <w:r w:rsidR="00B31306" w:rsidRPr="005B0931">
        <w:rPr>
          <w:rFonts w:eastAsia="Calibri"/>
          <w:sz w:val="20"/>
          <w:szCs w:val="20"/>
          <w:lang w:bidi="ar-EG"/>
        </w:rPr>
        <w:t>Azhar</w:t>
      </w:r>
      <w:proofErr w:type="spellEnd"/>
      <w:r w:rsidR="00B31306" w:rsidRPr="005B0931">
        <w:rPr>
          <w:rFonts w:eastAsia="Calibri"/>
          <w:sz w:val="20"/>
          <w:szCs w:val="20"/>
          <w:lang w:bidi="ar-EG"/>
        </w:rPr>
        <w:t xml:space="preserve"> University)</w:t>
      </w:r>
      <w:r w:rsidR="008F5126" w:rsidRPr="005B0931">
        <w:rPr>
          <w:rFonts w:eastAsia="Calibri"/>
          <w:sz w:val="20"/>
          <w:szCs w:val="20"/>
          <w:lang w:bidi="ar-EG"/>
        </w:rPr>
        <w:t>, Egypt</w:t>
      </w:r>
    </w:p>
    <w:p w:rsidR="00C01A7E" w:rsidRPr="005B0931" w:rsidRDefault="00C01A7E" w:rsidP="008620BE">
      <w:pPr>
        <w:bidi w:val="0"/>
        <w:snapToGrid w:val="0"/>
        <w:jc w:val="center"/>
        <w:rPr>
          <w:rFonts w:eastAsia="Calibri"/>
          <w:sz w:val="20"/>
          <w:szCs w:val="20"/>
          <w:lang w:bidi="ar-EG"/>
        </w:rPr>
      </w:pPr>
      <w:r w:rsidRPr="005B0931">
        <w:rPr>
          <w:sz w:val="20"/>
          <w:szCs w:val="20"/>
          <w:vertAlign w:val="superscript"/>
        </w:rPr>
        <w:t>[</w:t>
      </w:r>
      <w:r w:rsidR="00BD24B9" w:rsidRPr="005B0931">
        <w:rPr>
          <w:sz w:val="20"/>
          <w:szCs w:val="20"/>
          <w:vertAlign w:val="superscript"/>
        </w:rPr>
        <w:t>4</w:t>
      </w:r>
      <w:r w:rsidR="002A6D47" w:rsidRPr="005B0931">
        <w:rPr>
          <w:sz w:val="20"/>
          <w:szCs w:val="20"/>
          <w:vertAlign w:val="superscript"/>
        </w:rPr>
        <w:t xml:space="preserve">] </w:t>
      </w:r>
      <w:r w:rsidR="002A6D47" w:rsidRPr="005B0931">
        <w:rPr>
          <w:sz w:val="20"/>
          <w:szCs w:val="20"/>
          <w:lang w:bidi="ar-EG"/>
        </w:rPr>
        <w:t>N</w:t>
      </w:r>
      <w:r w:rsidRPr="005B0931">
        <w:rPr>
          <w:sz w:val="20"/>
          <w:szCs w:val="20"/>
          <w:lang w:bidi="ar-EG"/>
        </w:rPr>
        <w:t>eurology Resident</w:t>
      </w:r>
      <w:r w:rsidR="008F5126" w:rsidRPr="005B0931">
        <w:rPr>
          <w:rFonts w:eastAsia="Calibri"/>
          <w:sz w:val="20"/>
          <w:szCs w:val="20"/>
          <w:lang w:bidi="ar-EG"/>
        </w:rPr>
        <w:t xml:space="preserve"> </w:t>
      </w:r>
      <w:r w:rsidR="00B31306" w:rsidRPr="005B0931">
        <w:rPr>
          <w:rFonts w:eastAsia="Calibri"/>
          <w:sz w:val="20"/>
          <w:szCs w:val="20"/>
          <w:lang w:bidi="ar-EG"/>
        </w:rPr>
        <w:t xml:space="preserve">(Faculty of Medicine </w:t>
      </w:r>
      <w:proofErr w:type="spellStart"/>
      <w:r w:rsidR="00B31306" w:rsidRPr="005B0931">
        <w:rPr>
          <w:rFonts w:eastAsia="Calibri"/>
          <w:sz w:val="20"/>
          <w:szCs w:val="20"/>
          <w:lang w:bidi="ar-EG"/>
        </w:rPr>
        <w:t>Azhar</w:t>
      </w:r>
      <w:proofErr w:type="spellEnd"/>
      <w:r w:rsidR="00B31306" w:rsidRPr="005B0931">
        <w:rPr>
          <w:rFonts w:eastAsia="Calibri"/>
          <w:sz w:val="20"/>
          <w:szCs w:val="20"/>
          <w:lang w:bidi="ar-EG"/>
        </w:rPr>
        <w:t xml:space="preserve"> University)</w:t>
      </w:r>
      <w:r w:rsidR="008F5126" w:rsidRPr="005B0931">
        <w:rPr>
          <w:rFonts w:eastAsia="Calibri"/>
          <w:sz w:val="20"/>
          <w:szCs w:val="20"/>
          <w:lang w:bidi="ar-EG"/>
        </w:rPr>
        <w:t>, Egypt</w:t>
      </w:r>
    </w:p>
    <w:p w:rsidR="009A4D79" w:rsidRPr="005B0931" w:rsidRDefault="00893D2E" w:rsidP="008620BE">
      <w:pPr>
        <w:bidi w:val="0"/>
        <w:snapToGrid w:val="0"/>
        <w:jc w:val="center"/>
        <w:rPr>
          <w:rFonts w:eastAsia="Calibri"/>
          <w:sz w:val="20"/>
          <w:szCs w:val="20"/>
          <w:lang w:bidi="ar-EG"/>
        </w:rPr>
      </w:pPr>
      <w:hyperlink r:id="rId7" w:history="1">
        <w:r w:rsidR="009A4D79" w:rsidRPr="005B0931">
          <w:rPr>
            <w:rStyle w:val="Hyperlink"/>
            <w:rFonts w:eastAsia="Calibri"/>
            <w:sz w:val="20"/>
            <w:szCs w:val="20"/>
            <w:lang w:bidi="ar-EG"/>
          </w:rPr>
          <w:t>Dr.ibrahim.sharaf@gmail.com</w:t>
        </w:r>
      </w:hyperlink>
    </w:p>
    <w:p w:rsidR="008620BE" w:rsidRPr="005B0931" w:rsidRDefault="008620BE" w:rsidP="008620BE">
      <w:pPr>
        <w:bidi w:val="0"/>
        <w:snapToGrid w:val="0"/>
        <w:jc w:val="center"/>
        <w:rPr>
          <w:rFonts w:eastAsiaTheme="minorEastAsia"/>
          <w:b/>
          <w:sz w:val="20"/>
          <w:szCs w:val="20"/>
          <w:lang w:eastAsia="zh-CN" w:bidi="ar-EG"/>
        </w:rPr>
      </w:pPr>
    </w:p>
    <w:p w:rsidR="007E35FE" w:rsidRPr="005B0931" w:rsidRDefault="008620BE" w:rsidP="008620BE">
      <w:pPr>
        <w:bidi w:val="0"/>
        <w:snapToGrid w:val="0"/>
        <w:jc w:val="both"/>
        <w:rPr>
          <w:rFonts w:eastAsia="Calibri"/>
          <w:sz w:val="20"/>
          <w:szCs w:val="20"/>
        </w:rPr>
      </w:pPr>
      <w:r w:rsidRPr="005B0931">
        <w:rPr>
          <w:rFonts w:eastAsiaTheme="minorEastAsia"/>
          <w:b/>
          <w:sz w:val="20"/>
          <w:szCs w:val="20"/>
          <w:lang w:eastAsia="zh-CN" w:bidi="ar-EG"/>
        </w:rPr>
        <w:t>A</w:t>
      </w:r>
      <w:r w:rsidRPr="005B0931">
        <w:rPr>
          <w:rFonts w:eastAsiaTheme="minorEastAsia" w:hint="eastAsia"/>
          <w:b/>
          <w:sz w:val="20"/>
          <w:szCs w:val="20"/>
          <w:lang w:eastAsia="zh-CN" w:bidi="ar-EG"/>
        </w:rPr>
        <w:t xml:space="preserve">bstract: </w:t>
      </w:r>
      <w:r w:rsidR="00C2722A" w:rsidRPr="005B0931">
        <w:rPr>
          <w:rFonts w:eastAsiaTheme="minorHAnsi"/>
          <w:b/>
          <w:bCs/>
          <w:sz w:val="20"/>
          <w:szCs w:val="20"/>
        </w:rPr>
        <w:t>Background and Purpose:</w:t>
      </w:r>
      <w:r w:rsidR="008F5126" w:rsidRPr="005B0931">
        <w:rPr>
          <w:rFonts w:eastAsiaTheme="minorHAnsi"/>
          <w:sz w:val="20"/>
          <w:szCs w:val="20"/>
        </w:rPr>
        <w:t xml:space="preserve"> </w:t>
      </w:r>
      <w:r w:rsidR="00522868" w:rsidRPr="005B0931">
        <w:rPr>
          <w:rFonts w:eastAsiaTheme="minorHAnsi"/>
          <w:sz w:val="20"/>
          <w:szCs w:val="20"/>
        </w:rPr>
        <w:t>T</w:t>
      </w:r>
      <w:r w:rsidR="00BD24B9" w:rsidRPr="005B0931">
        <w:rPr>
          <w:rFonts w:eastAsiaTheme="minorHAnsi"/>
          <w:sz w:val="20"/>
          <w:szCs w:val="20"/>
        </w:rPr>
        <w:t>o determine the distribution of steno-occlusive arterial disease in patients with stroke using Doppler and to show their impact on applying the guidelines for care and consequently to show their role in predicting the stroke prognosis and outcome</w:t>
      </w:r>
      <w:r w:rsidR="00C2722A" w:rsidRPr="005B0931">
        <w:rPr>
          <w:sz w:val="20"/>
          <w:szCs w:val="20"/>
        </w:rPr>
        <w:t>.</w:t>
      </w:r>
      <w:r w:rsidR="00CF54B1" w:rsidRPr="005B0931">
        <w:rPr>
          <w:b/>
          <w:bCs/>
          <w:sz w:val="20"/>
          <w:szCs w:val="20"/>
        </w:rPr>
        <w:t xml:space="preserve"> Aim Of Work:</w:t>
      </w:r>
      <w:r w:rsidR="008F5126" w:rsidRPr="005B0931">
        <w:rPr>
          <w:sz w:val="20"/>
          <w:szCs w:val="20"/>
        </w:rPr>
        <w:t xml:space="preserve"> </w:t>
      </w:r>
      <w:r w:rsidR="00BD24B9" w:rsidRPr="005B0931">
        <w:rPr>
          <w:sz w:val="20"/>
          <w:szCs w:val="20"/>
        </w:rPr>
        <w:t xml:space="preserve">To describe the prevalence and severity of steno-occlusive disease of the </w:t>
      </w:r>
      <w:proofErr w:type="spellStart"/>
      <w:r w:rsidR="00BD24B9" w:rsidRPr="005B0931">
        <w:rPr>
          <w:sz w:val="20"/>
          <w:szCs w:val="20"/>
        </w:rPr>
        <w:t>extracranial</w:t>
      </w:r>
      <w:proofErr w:type="spellEnd"/>
      <w:r w:rsidR="00BD24B9" w:rsidRPr="005B0931">
        <w:rPr>
          <w:sz w:val="20"/>
          <w:szCs w:val="20"/>
        </w:rPr>
        <w:t xml:space="preserve"> arteries and intracranial arteries as well as the collaterals in Egyptian patients with stroke using Duplex and study their reflection on complications,</w:t>
      </w:r>
      <w:r w:rsidR="008F5126" w:rsidRPr="005B0931">
        <w:rPr>
          <w:sz w:val="20"/>
          <w:szCs w:val="20"/>
        </w:rPr>
        <w:t xml:space="preserve"> </w:t>
      </w:r>
      <w:r w:rsidR="00BD24B9" w:rsidRPr="005B0931">
        <w:rPr>
          <w:sz w:val="20"/>
          <w:szCs w:val="20"/>
        </w:rPr>
        <w:t>clinical state and stroke prognosis and outcome</w:t>
      </w:r>
      <w:r w:rsidR="00EA48E5" w:rsidRPr="005B0931">
        <w:rPr>
          <w:rFonts w:eastAsiaTheme="minorEastAsia" w:hint="eastAsia"/>
          <w:sz w:val="20"/>
          <w:szCs w:val="20"/>
          <w:lang w:eastAsia="zh-CN"/>
        </w:rPr>
        <w:t xml:space="preserve"> </w:t>
      </w:r>
      <w:r w:rsidR="00BD24B9" w:rsidRPr="005B0931">
        <w:rPr>
          <w:sz w:val="20"/>
          <w:szCs w:val="20"/>
        </w:rPr>
        <w:t>and to provide an insight about the prognostic value of Duplex in outcome prediction of acute stroke patients.</w:t>
      </w:r>
      <w:r w:rsidR="008F5126" w:rsidRPr="005B0931">
        <w:rPr>
          <w:b/>
          <w:bCs/>
          <w:sz w:val="20"/>
          <w:szCs w:val="20"/>
        </w:rPr>
        <w:t xml:space="preserve"> </w:t>
      </w:r>
      <w:r w:rsidR="00C2722A" w:rsidRPr="005B0931">
        <w:rPr>
          <w:b/>
          <w:bCs/>
          <w:sz w:val="20"/>
          <w:szCs w:val="20"/>
        </w:rPr>
        <w:t xml:space="preserve">Methods: </w:t>
      </w:r>
      <w:r w:rsidR="007E35FE" w:rsidRPr="005B0931">
        <w:rPr>
          <w:sz w:val="20"/>
          <w:szCs w:val="20"/>
        </w:rPr>
        <w:t xml:space="preserve">patients will be </w:t>
      </w:r>
      <w:r w:rsidR="007E35FE" w:rsidRPr="005B0931">
        <w:rPr>
          <w:rFonts w:eastAsia="Calibri"/>
          <w:sz w:val="20"/>
          <w:szCs w:val="20"/>
        </w:rPr>
        <w:t>admitted in neurology department of Al-</w:t>
      </w:r>
      <w:proofErr w:type="spellStart"/>
      <w:r w:rsidR="007E35FE" w:rsidRPr="005B0931">
        <w:rPr>
          <w:rFonts w:eastAsia="Calibri"/>
          <w:sz w:val="20"/>
          <w:szCs w:val="20"/>
        </w:rPr>
        <w:t>Azhar</w:t>
      </w:r>
      <w:proofErr w:type="spellEnd"/>
      <w:r w:rsidR="007E35FE" w:rsidRPr="005B0931">
        <w:rPr>
          <w:rFonts w:eastAsia="Calibri"/>
          <w:sz w:val="20"/>
          <w:szCs w:val="20"/>
        </w:rPr>
        <w:t xml:space="preserve"> University Hospitals (Al-Hussein </w:t>
      </w:r>
      <w:r w:rsidR="00DA21D2" w:rsidRPr="005B0931">
        <w:rPr>
          <w:rFonts w:eastAsia="Calibri"/>
          <w:sz w:val="20"/>
          <w:szCs w:val="20"/>
        </w:rPr>
        <w:t xml:space="preserve">and </w:t>
      </w:r>
      <w:proofErr w:type="spellStart"/>
      <w:r w:rsidR="00DA21D2" w:rsidRPr="005B0931">
        <w:rPr>
          <w:rFonts w:eastAsia="Calibri"/>
          <w:sz w:val="20"/>
          <w:szCs w:val="20"/>
        </w:rPr>
        <w:t>Bab</w:t>
      </w:r>
      <w:proofErr w:type="spellEnd"/>
      <w:r w:rsidR="00DA21D2" w:rsidRPr="005B0931">
        <w:rPr>
          <w:rFonts w:eastAsia="Calibri"/>
          <w:sz w:val="20"/>
          <w:szCs w:val="20"/>
        </w:rPr>
        <w:t xml:space="preserve">-Al </w:t>
      </w:r>
      <w:proofErr w:type="spellStart"/>
      <w:r w:rsidR="00DA21D2" w:rsidRPr="005B0931">
        <w:rPr>
          <w:rFonts w:eastAsia="Calibri"/>
          <w:sz w:val="20"/>
          <w:szCs w:val="20"/>
        </w:rPr>
        <w:t>Sharea</w:t>
      </w:r>
      <w:proofErr w:type="spellEnd"/>
      <w:r w:rsidR="00DA21D2" w:rsidRPr="005B0931">
        <w:rPr>
          <w:rFonts w:eastAsia="Calibri"/>
          <w:sz w:val="20"/>
          <w:szCs w:val="20"/>
        </w:rPr>
        <w:t xml:space="preserve"> Hospitals)</w:t>
      </w:r>
      <w:r w:rsidR="00271359" w:rsidRPr="005B0931">
        <w:rPr>
          <w:rFonts w:eastAsia="Calibri"/>
          <w:sz w:val="20"/>
          <w:szCs w:val="20"/>
        </w:rPr>
        <w:t>, during</w:t>
      </w:r>
      <w:r w:rsidR="007E35FE" w:rsidRPr="005B0931">
        <w:rPr>
          <w:rFonts w:eastAsia="Calibri"/>
          <w:sz w:val="20"/>
          <w:szCs w:val="20"/>
        </w:rPr>
        <w:t xml:space="preserve"> the study period from </w:t>
      </w:r>
      <w:r w:rsidR="00BD24B9" w:rsidRPr="005B0931">
        <w:rPr>
          <w:rFonts w:eastAsia="Calibri"/>
          <w:sz w:val="20"/>
          <w:szCs w:val="20"/>
        </w:rPr>
        <w:t xml:space="preserve">march </w:t>
      </w:r>
      <w:r w:rsidR="00DD6C5C" w:rsidRPr="005B0931">
        <w:rPr>
          <w:rFonts w:eastAsia="Calibri"/>
          <w:sz w:val="20"/>
          <w:szCs w:val="20"/>
        </w:rPr>
        <w:t>2016 to</w:t>
      </w:r>
      <w:r w:rsidR="00EE795D" w:rsidRPr="005B0931">
        <w:rPr>
          <w:rFonts w:eastAsiaTheme="minorEastAsia" w:hint="eastAsia"/>
          <w:sz w:val="20"/>
          <w:szCs w:val="20"/>
          <w:lang w:eastAsia="zh-CN"/>
        </w:rPr>
        <w:t xml:space="preserve"> </w:t>
      </w:r>
      <w:r w:rsidR="00271359" w:rsidRPr="005B0931">
        <w:rPr>
          <w:rFonts w:eastAsia="Calibri"/>
          <w:sz w:val="20"/>
          <w:szCs w:val="20"/>
        </w:rPr>
        <w:t>May</w:t>
      </w:r>
      <w:r w:rsidR="00BD24B9" w:rsidRPr="005B0931">
        <w:rPr>
          <w:rFonts w:eastAsia="Calibri"/>
          <w:sz w:val="20"/>
          <w:szCs w:val="20"/>
        </w:rPr>
        <w:t xml:space="preserve"> 2017</w:t>
      </w:r>
      <w:r w:rsidR="007E35FE" w:rsidRPr="005B0931">
        <w:rPr>
          <w:rFonts w:eastAsia="Calibri"/>
          <w:sz w:val="20"/>
          <w:szCs w:val="20"/>
        </w:rPr>
        <w:t xml:space="preserve">, with diagnosis of acute </w:t>
      </w:r>
      <w:proofErr w:type="spellStart"/>
      <w:r w:rsidR="007E35FE" w:rsidRPr="005B0931">
        <w:rPr>
          <w:rFonts w:eastAsia="Calibri"/>
          <w:sz w:val="20"/>
          <w:szCs w:val="20"/>
        </w:rPr>
        <w:t>cerebrovascular</w:t>
      </w:r>
      <w:proofErr w:type="spellEnd"/>
      <w:r w:rsidR="007E35FE" w:rsidRPr="005B0931">
        <w:rPr>
          <w:rFonts w:eastAsia="Calibri"/>
          <w:sz w:val="20"/>
          <w:szCs w:val="20"/>
        </w:rPr>
        <w:t xml:space="preserve"> stroke</w:t>
      </w:r>
      <w:r w:rsidR="00D051FB" w:rsidRPr="005B0931">
        <w:rPr>
          <w:rFonts w:eastAsia="Calibri"/>
          <w:sz w:val="20"/>
          <w:szCs w:val="20"/>
        </w:rPr>
        <w:t>,</w:t>
      </w:r>
      <w:r w:rsidR="00EE795D" w:rsidRPr="005B0931">
        <w:rPr>
          <w:rFonts w:eastAsiaTheme="minorEastAsia" w:hint="eastAsia"/>
          <w:sz w:val="20"/>
          <w:szCs w:val="20"/>
          <w:lang w:eastAsia="zh-CN"/>
        </w:rPr>
        <w:t xml:space="preserve"> </w:t>
      </w:r>
      <w:r w:rsidR="00D051FB" w:rsidRPr="005B0931">
        <w:rPr>
          <w:rFonts w:eastAsia="Calibri"/>
          <w:sz w:val="20"/>
          <w:szCs w:val="20"/>
        </w:rPr>
        <w:t>they</w:t>
      </w:r>
      <w:r w:rsidR="007E35FE" w:rsidRPr="005B0931">
        <w:rPr>
          <w:rFonts w:eastAsia="Calibri"/>
          <w:sz w:val="20"/>
          <w:szCs w:val="20"/>
        </w:rPr>
        <w:t xml:space="preserve"> will be subjected to full clinical assessment with history and examination and NIHSS score</w:t>
      </w:r>
      <w:r w:rsidR="00BD24B9" w:rsidRPr="005B0931">
        <w:rPr>
          <w:rFonts w:eastAsia="Calibri"/>
          <w:sz w:val="20"/>
          <w:szCs w:val="20"/>
        </w:rPr>
        <w:t xml:space="preserve"> and MMSE </w:t>
      </w:r>
      <w:r w:rsidR="00DD6C5C" w:rsidRPr="005B0931">
        <w:rPr>
          <w:rFonts w:eastAsia="Calibri"/>
          <w:sz w:val="20"/>
          <w:szCs w:val="20"/>
        </w:rPr>
        <w:t>score at</w:t>
      </w:r>
      <w:r w:rsidR="007E35FE" w:rsidRPr="005B0931">
        <w:rPr>
          <w:rFonts w:eastAsia="Calibri"/>
          <w:sz w:val="20"/>
          <w:szCs w:val="20"/>
        </w:rPr>
        <w:t xml:space="preserve"> time of admission, radiologic assessment </w:t>
      </w:r>
      <w:r w:rsidR="00DD6C5C" w:rsidRPr="005B0931">
        <w:rPr>
          <w:rFonts w:eastAsia="Calibri"/>
          <w:sz w:val="20"/>
          <w:szCs w:val="20"/>
        </w:rPr>
        <w:t>by computerized</w:t>
      </w:r>
      <w:r w:rsidR="00BD24B9" w:rsidRPr="005B0931">
        <w:rPr>
          <w:rFonts w:eastAsia="Calibri"/>
          <w:sz w:val="20"/>
          <w:szCs w:val="20"/>
        </w:rPr>
        <w:t xml:space="preserve"> tomography</w:t>
      </w:r>
      <w:r w:rsidR="00DD6C5C" w:rsidRPr="005B0931">
        <w:rPr>
          <w:rFonts w:eastAsia="Calibri"/>
          <w:sz w:val="20"/>
          <w:szCs w:val="20"/>
        </w:rPr>
        <w:t xml:space="preserve">, Duplex </w:t>
      </w:r>
      <w:r w:rsidR="007E35FE" w:rsidRPr="005B0931">
        <w:rPr>
          <w:rFonts w:eastAsia="Calibri"/>
          <w:sz w:val="20"/>
          <w:szCs w:val="20"/>
        </w:rPr>
        <w:t xml:space="preserve">and reevaluation </w:t>
      </w:r>
      <w:r w:rsidR="00271359" w:rsidRPr="005B0931">
        <w:rPr>
          <w:rFonts w:eastAsia="Calibri"/>
          <w:sz w:val="20"/>
          <w:szCs w:val="20"/>
        </w:rPr>
        <w:t>after 1</w:t>
      </w:r>
      <w:r w:rsidR="007E35FE" w:rsidRPr="005B0931">
        <w:rPr>
          <w:rFonts w:eastAsia="Calibri"/>
          <w:sz w:val="20"/>
          <w:szCs w:val="20"/>
        </w:rPr>
        <w:t xml:space="preserve">5 </w:t>
      </w:r>
      <w:r w:rsidR="00271359" w:rsidRPr="005B0931">
        <w:rPr>
          <w:rFonts w:eastAsia="Calibri"/>
          <w:sz w:val="20"/>
          <w:szCs w:val="20"/>
        </w:rPr>
        <w:t>days.</w:t>
      </w:r>
      <w:r w:rsidR="008F5126" w:rsidRPr="005B0931">
        <w:rPr>
          <w:rFonts w:eastAsia="Calibri"/>
          <w:b/>
          <w:bCs/>
          <w:sz w:val="20"/>
          <w:szCs w:val="20"/>
        </w:rPr>
        <w:t xml:space="preserve"> </w:t>
      </w:r>
      <w:r w:rsidR="007E35FE" w:rsidRPr="005B0931">
        <w:rPr>
          <w:rFonts w:eastAsia="Calibri"/>
          <w:b/>
          <w:bCs/>
          <w:sz w:val="20"/>
          <w:szCs w:val="20"/>
        </w:rPr>
        <w:t>Results:</w:t>
      </w:r>
      <w:r w:rsidR="008F5126" w:rsidRPr="005B0931">
        <w:rPr>
          <w:rFonts w:eastAsia="Calibri"/>
          <w:sz w:val="20"/>
          <w:szCs w:val="20"/>
        </w:rPr>
        <w:t xml:space="preserve"> </w:t>
      </w:r>
      <w:r w:rsidR="001C2DEF" w:rsidRPr="005B0931">
        <w:rPr>
          <w:rFonts w:eastAsia="Calibri"/>
          <w:sz w:val="20"/>
          <w:szCs w:val="20"/>
        </w:rPr>
        <w:t xml:space="preserve">analysis of prognosis using NIHSS values and MMSE values in different groups presenting with acute ischemic </w:t>
      </w:r>
      <w:proofErr w:type="spellStart"/>
      <w:r w:rsidR="001C2DEF" w:rsidRPr="005B0931">
        <w:rPr>
          <w:rFonts w:eastAsia="Calibri"/>
          <w:sz w:val="20"/>
          <w:szCs w:val="20"/>
        </w:rPr>
        <w:t>cerebrovascular</w:t>
      </w:r>
      <w:proofErr w:type="spellEnd"/>
      <w:r w:rsidR="001C2DEF" w:rsidRPr="005B0931">
        <w:rPr>
          <w:rFonts w:eastAsia="Calibri"/>
          <w:sz w:val="20"/>
          <w:szCs w:val="20"/>
        </w:rPr>
        <w:t xml:space="preserve"> stroke correlated well with </w:t>
      </w:r>
      <w:proofErr w:type="spellStart"/>
      <w:r w:rsidR="001C2DEF" w:rsidRPr="005B0931">
        <w:rPr>
          <w:rFonts w:eastAsia="Calibri"/>
          <w:sz w:val="20"/>
          <w:szCs w:val="20"/>
        </w:rPr>
        <w:t>sonographic</w:t>
      </w:r>
      <w:proofErr w:type="spellEnd"/>
      <w:r w:rsidR="001C2DEF" w:rsidRPr="005B0931">
        <w:rPr>
          <w:rFonts w:eastAsia="Calibri"/>
          <w:sz w:val="20"/>
          <w:szCs w:val="20"/>
        </w:rPr>
        <w:t xml:space="preserve"> findings and better prognosis could be predicted in the presence of normal </w:t>
      </w:r>
      <w:proofErr w:type="spellStart"/>
      <w:r w:rsidR="001C2DEF" w:rsidRPr="005B0931">
        <w:rPr>
          <w:rFonts w:eastAsia="Calibri"/>
          <w:sz w:val="20"/>
          <w:szCs w:val="20"/>
        </w:rPr>
        <w:t>sonographic</w:t>
      </w:r>
      <w:proofErr w:type="spellEnd"/>
      <w:r w:rsidR="001C2DEF" w:rsidRPr="005B0931">
        <w:rPr>
          <w:rFonts w:eastAsia="Calibri"/>
          <w:sz w:val="20"/>
          <w:szCs w:val="20"/>
        </w:rPr>
        <w:t xml:space="preserve"> findings.</w:t>
      </w:r>
      <w:r w:rsidR="005B0931" w:rsidRPr="005B0931">
        <w:rPr>
          <w:rFonts w:eastAsiaTheme="minorEastAsia" w:hint="eastAsia"/>
          <w:sz w:val="20"/>
          <w:szCs w:val="20"/>
          <w:lang w:eastAsia="zh-CN"/>
        </w:rPr>
        <w:t xml:space="preserve"> </w:t>
      </w:r>
      <w:r w:rsidR="007E35FE" w:rsidRPr="005B0931">
        <w:rPr>
          <w:rFonts w:eastAsia="Calibri"/>
          <w:b/>
          <w:bCs/>
          <w:sz w:val="20"/>
          <w:szCs w:val="20"/>
        </w:rPr>
        <w:t>Conclusion:</w:t>
      </w:r>
      <w:r w:rsidR="007E35FE" w:rsidRPr="005B0931">
        <w:rPr>
          <w:rFonts w:eastAsia="Calibri"/>
          <w:sz w:val="20"/>
          <w:szCs w:val="20"/>
        </w:rPr>
        <w:t xml:space="preserve"> the outcome of acute </w:t>
      </w:r>
      <w:proofErr w:type="spellStart"/>
      <w:r w:rsidR="007E35FE" w:rsidRPr="005B0931">
        <w:rPr>
          <w:rFonts w:eastAsia="Calibri"/>
          <w:sz w:val="20"/>
          <w:szCs w:val="20"/>
        </w:rPr>
        <w:t>cerebrovascular</w:t>
      </w:r>
      <w:proofErr w:type="spellEnd"/>
      <w:r w:rsidR="007E35FE" w:rsidRPr="005B0931">
        <w:rPr>
          <w:rFonts w:eastAsia="Calibri"/>
          <w:sz w:val="20"/>
          <w:szCs w:val="20"/>
        </w:rPr>
        <w:t xml:space="preserve"> stroke can be predicted by </w:t>
      </w:r>
      <w:r w:rsidR="001C2DEF" w:rsidRPr="005B0931">
        <w:rPr>
          <w:rFonts w:eastAsia="Calibri"/>
          <w:sz w:val="20"/>
          <w:szCs w:val="20"/>
        </w:rPr>
        <w:t xml:space="preserve">duplex and associated risk factors </w:t>
      </w:r>
      <w:r w:rsidR="007E35FE" w:rsidRPr="005B0931">
        <w:rPr>
          <w:rFonts w:eastAsia="Calibri"/>
          <w:sz w:val="20"/>
          <w:szCs w:val="20"/>
        </w:rPr>
        <w:t xml:space="preserve">and the </w:t>
      </w:r>
      <w:proofErr w:type="spellStart"/>
      <w:r w:rsidR="007E35FE" w:rsidRPr="005B0931">
        <w:rPr>
          <w:rFonts w:eastAsia="Calibri"/>
          <w:sz w:val="20"/>
          <w:szCs w:val="20"/>
        </w:rPr>
        <w:t>premorbid</w:t>
      </w:r>
      <w:proofErr w:type="spellEnd"/>
      <w:r w:rsidR="007E35FE" w:rsidRPr="005B0931">
        <w:rPr>
          <w:rFonts w:eastAsia="Calibri"/>
          <w:sz w:val="20"/>
          <w:szCs w:val="20"/>
        </w:rPr>
        <w:t xml:space="preserve"> condition of the patient.</w:t>
      </w:r>
    </w:p>
    <w:p w:rsidR="008620BE" w:rsidRPr="005B0931" w:rsidRDefault="008F5126" w:rsidP="008620BE">
      <w:pPr>
        <w:bidi w:val="0"/>
        <w:snapToGrid w:val="0"/>
        <w:jc w:val="both"/>
        <w:rPr>
          <w:sz w:val="20"/>
          <w:szCs w:val="20"/>
        </w:rPr>
      </w:pPr>
      <w:r w:rsidRPr="005B0931">
        <w:rPr>
          <w:sz w:val="20"/>
          <w:szCs w:val="20"/>
          <w:lang w:bidi="ar-EG"/>
        </w:rPr>
        <w:t>[</w:t>
      </w:r>
      <w:proofErr w:type="spellStart"/>
      <w:r w:rsidRPr="005B0931">
        <w:rPr>
          <w:sz w:val="20"/>
          <w:szCs w:val="20"/>
          <w:lang w:bidi="ar-EG"/>
        </w:rPr>
        <w:t>Mahmoud</w:t>
      </w:r>
      <w:proofErr w:type="spellEnd"/>
      <w:r w:rsidRPr="005B0931">
        <w:rPr>
          <w:sz w:val="20"/>
          <w:szCs w:val="20"/>
          <w:lang w:bidi="ar-EG"/>
        </w:rPr>
        <w:t xml:space="preserve"> Mohamed Abdel </w:t>
      </w:r>
      <w:proofErr w:type="spellStart"/>
      <w:r w:rsidRPr="005B0931">
        <w:rPr>
          <w:sz w:val="20"/>
          <w:szCs w:val="20"/>
          <w:lang w:bidi="ar-EG"/>
        </w:rPr>
        <w:t>Sayed</w:t>
      </w:r>
      <w:proofErr w:type="spellEnd"/>
      <w:r w:rsidRPr="005B0931">
        <w:rPr>
          <w:sz w:val="20"/>
          <w:szCs w:val="20"/>
        </w:rPr>
        <w:t>,</w:t>
      </w:r>
      <w:r w:rsidRPr="005B0931">
        <w:rPr>
          <w:sz w:val="20"/>
          <w:szCs w:val="20"/>
          <w:lang w:bidi="ar-EG"/>
        </w:rPr>
        <w:t xml:space="preserve"> </w:t>
      </w:r>
      <w:proofErr w:type="spellStart"/>
      <w:r w:rsidRPr="005B0931">
        <w:rPr>
          <w:sz w:val="20"/>
          <w:szCs w:val="20"/>
          <w:lang w:bidi="ar-EG"/>
        </w:rPr>
        <w:t>Khaled</w:t>
      </w:r>
      <w:proofErr w:type="spellEnd"/>
      <w:r w:rsidRPr="005B0931">
        <w:rPr>
          <w:sz w:val="20"/>
          <w:szCs w:val="20"/>
          <w:lang w:bidi="ar-EG"/>
        </w:rPr>
        <w:t xml:space="preserve"> Mohamed </w:t>
      </w:r>
      <w:proofErr w:type="spellStart"/>
      <w:r w:rsidRPr="005B0931">
        <w:rPr>
          <w:sz w:val="20"/>
          <w:szCs w:val="20"/>
          <w:lang w:bidi="ar-EG"/>
        </w:rPr>
        <w:t>Sobh</w:t>
      </w:r>
      <w:proofErr w:type="spellEnd"/>
      <w:r w:rsidRPr="005B0931">
        <w:rPr>
          <w:sz w:val="20"/>
          <w:szCs w:val="20"/>
        </w:rPr>
        <w:t xml:space="preserve">, </w:t>
      </w:r>
      <w:proofErr w:type="spellStart"/>
      <w:r w:rsidRPr="005B0931">
        <w:rPr>
          <w:sz w:val="20"/>
          <w:szCs w:val="20"/>
          <w:lang w:bidi="ar-EG"/>
        </w:rPr>
        <w:t>Talaal</w:t>
      </w:r>
      <w:proofErr w:type="spellEnd"/>
      <w:r w:rsidRPr="005B0931">
        <w:rPr>
          <w:sz w:val="20"/>
          <w:szCs w:val="20"/>
          <w:lang w:bidi="ar-EG"/>
        </w:rPr>
        <w:t xml:space="preserve"> </w:t>
      </w:r>
      <w:proofErr w:type="spellStart"/>
      <w:r w:rsidRPr="005B0931">
        <w:rPr>
          <w:sz w:val="20"/>
          <w:szCs w:val="20"/>
          <w:lang w:bidi="ar-EG"/>
        </w:rPr>
        <w:t>Abdallah</w:t>
      </w:r>
      <w:proofErr w:type="spellEnd"/>
      <w:r w:rsidRPr="005B0931">
        <w:rPr>
          <w:sz w:val="20"/>
          <w:szCs w:val="20"/>
          <w:lang w:bidi="ar-EG"/>
        </w:rPr>
        <w:t xml:space="preserve"> Mohamed</w:t>
      </w:r>
      <w:r w:rsidRPr="005B0931">
        <w:rPr>
          <w:sz w:val="20"/>
          <w:szCs w:val="20"/>
        </w:rPr>
        <w:t xml:space="preserve">, Ibrahim </w:t>
      </w:r>
      <w:proofErr w:type="spellStart"/>
      <w:r w:rsidRPr="005B0931">
        <w:rPr>
          <w:sz w:val="20"/>
          <w:szCs w:val="20"/>
        </w:rPr>
        <w:t>Mahmoud</w:t>
      </w:r>
      <w:proofErr w:type="spellEnd"/>
      <w:r w:rsidRPr="005B0931">
        <w:rPr>
          <w:sz w:val="20"/>
          <w:szCs w:val="20"/>
        </w:rPr>
        <w:t xml:space="preserve"> </w:t>
      </w:r>
      <w:proofErr w:type="spellStart"/>
      <w:r w:rsidRPr="005B0931">
        <w:rPr>
          <w:sz w:val="20"/>
          <w:szCs w:val="20"/>
        </w:rPr>
        <w:t>Abdalla</w:t>
      </w:r>
      <w:proofErr w:type="spellEnd"/>
      <w:r w:rsidR="008620BE" w:rsidRPr="005B0931">
        <w:rPr>
          <w:rFonts w:eastAsiaTheme="minorEastAsia" w:hint="eastAsia"/>
          <w:sz w:val="20"/>
          <w:szCs w:val="20"/>
          <w:lang w:eastAsia="zh-CN"/>
        </w:rPr>
        <w:t>.</w:t>
      </w:r>
      <w:r w:rsidRPr="005B0931">
        <w:rPr>
          <w:b/>
          <w:bCs/>
          <w:sz w:val="20"/>
          <w:szCs w:val="20"/>
        </w:rPr>
        <w:t xml:space="preserve"> Role of Duplex as a prognostic value for favorable </w:t>
      </w:r>
      <w:proofErr w:type="spellStart"/>
      <w:r w:rsidRPr="005B0931">
        <w:rPr>
          <w:b/>
          <w:bCs/>
          <w:sz w:val="20"/>
          <w:szCs w:val="20"/>
        </w:rPr>
        <w:t>outcomein</w:t>
      </w:r>
      <w:proofErr w:type="spellEnd"/>
      <w:r w:rsidRPr="005B0931">
        <w:rPr>
          <w:b/>
          <w:bCs/>
          <w:sz w:val="20"/>
          <w:szCs w:val="20"/>
        </w:rPr>
        <w:t xml:space="preserve"> patients with Acute Ischemic Stroke</w:t>
      </w:r>
      <w:r w:rsidR="008620BE" w:rsidRPr="005B0931">
        <w:rPr>
          <w:b/>
          <w:bCs/>
          <w:sz w:val="20"/>
          <w:szCs w:val="20"/>
          <w:lang w:bidi="fa-IR"/>
        </w:rPr>
        <w:t>.</w:t>
      </w:r>
      <w:r w:rsidR="008620BE" w:rsidRPr="005B0931">
        <w:rPr>
          <w:bCs/>
          <w:i/>
          <w:sz w:val="20"/>
          <w:szCs w:val="20"/>
        </w:rPr>
        <w:t xml:space="preserve"> N Y </w:t>
      </w:r>
      <w:proofErr w:type="spellStart"/>
      <w:r w:rsidR="008620BE" w:rsidRPr="005B0931">
        <w:rPr>
          <w:bCs/>
          <w:i/>
          <w:sz w:val="20"/>
          <w:szCs w:val="20"/>
        </w:rPr>
        <w:t>Sci</w:t>
      </w:r>
      <w:proofErr w:type="spellEnd"/>
      <w:r w:rsidR="008620BE" w:rsidRPr="005B0931">
        <w:rPr>
          <w:bCs/>
          <w:i/>
          <w:sz w:val="20"/>
          <w:szCs w:val="20"/>
        </w:rPr>
        <w:t xml:space="preserve"> J</w:t>
      </w:r>
      <w:r w:rsidR="008620BE" w:rsidRPr="005B0931">
        <w:rPr>
          <w:bCs/>
          <w:sz w:val="20"/>
          <w:szCs w:val="20"/>
        </w:rPr>
        <w:t xml:space="preserve"> </w:t>
      </w:r>
      <w:r w:rsidR="008620BE" w:rsidRPr="005B0931">
        <w:rPr>
          <w:sz w:val="20"/>
          <w:szCs w:val="20"/>
        </w:rPr>
        <w:t>201</w:t>
      </w:r>
      <w:r w:rsidR="008620BE" w:rsidRPr="005B0931">
        <w:rPr>
          <w:rFonts w:hint="eastAsia"/>
          <w:sz w:val="20"/>
          <w:szCs w:val="20"/>
        </w:rPr>
        <w:t>7</w:t>
      </w:r>
      <w:r w:rsidR="008620BE" w:rsidRPr="005B0931">
        <w:rPr>
          <w:sz w:val="20"/>
          <w:szCs w:val="20"/>
        </w:rPr>
        <w:t>;</w:t>
      </w:r>
      <w:r w:rsidR="008620BE" w:rsidRPr="005B0931">
        <w:rPr>
          <w:rFonts w:hint="eastAsia"/>
          <w:sz w:val="20"/>
          <w:szCs w:val="20"/>
        </w:rPr>
        <w:t>10</w:t>
      </w:r>
      <w:r w:rsidR="008620BE" w:rsidRPr="005B0931">
        <w:rPr>
          <w:sz w:val="20"/>
          <w:szCs w:val="20"/>
        </w:rPr>
        <w:t>(</w:t>
      </w:r>
      <w:r w:rsidR="008620BE" w:rsidRPr="005B0931">
        <w:rPr>
          <w:rFonts w:hint="eastAsia"/>
          <w:sz w:val="20"/>
          <w:szCs w:val="20"/>
        </w:rPr>
        <w:t>7</w:t>
      </w:r>
      <w:r w:rsidR="008620BE" w:rsidRPr="005B0931">
        <w:rPr>
          <w:sz w:val="20"/>
          <w:szCs w:val="20"/>
        </w:rPr>
        <w:t>):</w:t>
      </w:r>
      <w:r w:rsidR="00AB1B8F" w:rsidRPr="005B0931">
        <w:rPr>
          <w:noProof/>
          <w:color w:val="000000"/>
          <w:sz w:val="20"/>
          <w:szCs w:val="20"/>
        </w:rPr>
        <w:t>48-57</w:t>
      </w:r>
      <w:r w:rsidR="008620BE" w:rsidRPr="005B0931">
        <w:rPr>
          <w:sz w:val="20"/>
          <w:szCs w:val="20"/>
        </w:rPr>
        <w:t xml:space="preserve">]. </w:t>
      </w:r>
      <w:r w:rsidR="008620BE" w:rsidRPr="005B0931">
        <w:rPr>
          <w:iCs/>
          <w:color w:val="000000"/>
          <w:sz w:val="20"/>
          <w:szCs w:val="20"/>
        </w:rPr>
        <w:t>ISSN 1554-0200 (print); ISSN 2375-723X (online)</w:t>
      </w:r>
      <w:r w:rsidR="008620BE" w:rsidRPr="005B0931">
        <w:rPr>
          <w:sz w:val="20"/>
          <w:szCs w:val="20"/>
        </w:rPr>
        <w:t xml:space="preserve">. </w:t>
      </w:r>
      <w:hyperlink r:id="rId8" w:history="1">
        <w:r w:rsidR="008620BE" w:rsidRPr="005B0931">
          <w:rPr>
            <w:rStyle w:val="Hyperlink"/>
            <w:color w:val="0000FF"/>
            <w:sz w:val="20"/>
            <w:szCs w:val="20"/>
          </w:rPr>
          <w:t>http://www.sciencepub.net/newyork</w:t>
        </w:r>
      </w:hyperlink>
      <w:r w:rsidR="008620BE" w:rsidRPr="005B0931">
        <w:rPr>
          <w:sz w:val="20"/>
          <w:szCs w:val="20"/>
        </w:rPr>
        <w:t xml:space="preserve">. </w:t>
      </w:r>
      <w:r w:rsidR="008620BE" w:rsidRPr="005B0931">
        <w:rPr>
          <w:rFonts w:eastAsiaTheme="minorEastAsia" w:hint="eastAsia"/>
          <w:sz w:val="20"/>
          <w:szCs w:val="20"/>
          <w:lang w:eastAsia="zh-CN"/>
        </w:rPr>
        <w:t>8</w:t>
      </w:r>
      <w:r w:rsidR="008620BE" w:rsidRPr="005B0931">
        <w:rPr>
          <w:rFonts w:hint="eastAsia"/>
          <w:sz w:val="20"/>
          <w:szCs w:val="20"/>
        </w:rPr>
        <w:t xml:space="preserve">. </w:t>
      </w:r>
      <w:r w:rsidR="008620BE" w:rsidRPr="005B0931">
        <w:rPr>
          <w:color w:val="000000"/>
          <w:sz w:val="20"/>
          <w:szCs w:val="20"/>
          <w:shd w:val="clear" w:color="auto" w:fill="FFFFFF"/>
        </w:rPr>
        <w:t>doi:</w:t>
      </w:r>
      <w:hyperlink r:id="rId9" w:history="1">
        <w:r w:rsidR="008620BE" w:rsidRPr="005B0931">
          <w:rPr>
            <w:rStyle w:val="Hyperlink"/>
            <w:color w:val="0000FF"/>
            <w:sz w:val="20"/>
            <w:szCs w:val="20"/>
            <w:shd w:val="clear" w:color="auto" w:fill="FFFFFF"/>
          </w:rPr>
          <w:t>10.7537/mars</w:t>
        </w:r>
        <w:r w:rsidR="008620BE" w:rsidRPr="005B0931">
          <w:rPr>
            <w:rStyle w:val="Hyperlink"/>
            <w:rFonts w:hint="eastAsia"/>
            <w:color w:val="0000FF"/>
            <w:sz w:val="20"/>
            <w:szCs w:val="20"/>
            <w:shd w:val="clear" w:color="auto" w:fill="FFFFFF"/>
          </w:rPr>
          <w:t>nys100717.</w:t>
        </w:r>
        <w:r w:rsidR="008620BE" w:rsidRPr="005B0931">
          <w:rPr>
            <w:rStyle w:val="Hyperlink"/>
            <w:color w:val="0000FF"/>
            <w:sz w:val="20"/>
            <w:szCs w:val="20"/>
            <w:shd w:val="clear" w:color="auto" w:fill="FFFFFF"/>
          </w:rPr>
          <w:t>0</w:t>
        </w:r>
        <w:r w:rsidR="008620BE" w:rsidRPr="005B0931">
          <w:rPr>
            <w:rStyle w:val="Hyperlink"/>
            <w:rFonts w:eastAsiaTheme="minorEastAsia" w:hint="eastAsia"/>
            <w:color w:val="0000FF"/>
            <w:sz w:val="20"/>
            <w:szCs w:val="20"/>
            <w:shd w:val="clear" w:color="auto" w:fill="FFFFFF"/>
            <w:lang w:eastAsia="zh-CN"/>
          </w:rPr>
          <w:t>8</w:t>
        </w:r>
      </w:hyperlink>
      <w:r w:rsidR="008620BE" w:rsidRPr="005B0931">
        <w:rPr>
          <w:color w:val="000000"/>
          <w:sz w:val="20"/>
          <w:szCs w:val="20"/>
          <w:shd w:val="clear" w:color="auto" w:fill="FFFFFF"/>
        </w:rPr>
        <w:t>.</w:t>
      </w:r>
    </w:p>
    <w:p w:rsidR="00EE795D" w:rsidRPr="005B0931" w:rsidRDefault="00EE795D" w:rsidP="008620BE">
      <w:pPr>
        <w:autoSpaceDE w:val="0"/>
        <w:autoSpaceDN w:val="0"/>
        <w:bidi w:val="0"/>
        <w:adjustRightInd w:val="0"/>
        <w:snapToGrid w:val="0"/>
        <w:jc w:val="both"/>
        <w:rPr>
          <w:rFonts w:eastAsiaTheme="minorEastAsia"/>
          <w:sz w:val="20"/>
          <w:szCs w:val="20"/>
          <w:lang w:eastAsia="zh-CN"/>
        </w:rPr>
      </w:pPr>
    </w:p>
    <w:p w:rsidR="00EE795D" w:rsidRPr="005B0931" w:rsidRDefault="00EE795D" w:rsidP="008620BE">
      <w:pPr>
        <w:autoSpaceDE w:val="0"/>
        <w:autoSpaceDN w:val="0"/>
        <w:bidi w:val="0"/>
        <w:adjustRightInd w:val="0"/>
        <w:snapToGrid w:val="0"/>
        <w:jc w:val="both"/>
        <w:rPr>
          <w:rFonts w:eastAsiaTheme="minorEastAsia"/>
          <w:b/>
          <w:bCs/>
          <w:sz w:val="20"/>
          <w:szCs w:val="20"/>
          <w:lang w:eastAsia="zh-CN" w:bidi="ar-EG"/>
        </w:rPr>
      </w:pPr>
      <w:r w:rsidRPr="005B0931">
        <w:rPr>
          <w:rFonts w:eastAsiaTheme="minorEastAsia" w:hint="eastAsia"/>
          <w:b/>
          <w:sz w:val="20"/>
          <w:szCs w:val="20"/>
          <w:lang w:eastAsia="zh-CN"/>
        </w:rPr>
        <w:t xml:space="preserve">Keywords: </w:t>
      </w:r>
      <w:r w:rsidRPr="005B0931">
        <w:rPr>
          <w:bCs/>
          <w:sz w:val="20"/>
          <w:szCs w:val="20"/>
        </w:rPr>
        <w:t>Role</w:t>
      </w:r>
      <w:r w:rsidRPr="005B0931">
        <w:rPr>
          <w:rFonts w:eastAsiaTheme="minorEastAsia" w:hint="eastAsia"/>
          <w:bCs/>
          <w:sz w:val="20"/>
          <w:szCs w:val="20"/>
          <w:lang w:eastAsia="zh-CN"/>
        </w:rPr>
        <w:t xml:space="preserve">; </w:t>
      </w:r>
      <w:r w:rsidRPr="005B0931">
        <w:rPr>
          <w:bCs/>
          <w:sz w:val="20"/>
          <w:szCs w:val="20"/>
        </w:rPr>
        <w:t>Duplex</w:t>
      </w:r>
      <w:r w:rsidRPr="005B0931">
        <w:rPr>
          <w:rFonts w:eastAsiaTheme="minorEastAsia" w:hint="eastAsia"/>
          <w:bCs/>
          <w:sz w:val="20"/>
          <w:szCs w:val="20"/>
          <w:lang w:eastAsia="zh-CN"/>
        </w:rPr>
        <w:t>;</w:t>
      </w:r>
      <w:r w:rsidRPr="005B0931">
        <w:rPr>
          <w:bCs/>
          <w:sz w:val="20"/>
          <w:szCs w:val="20"/>
        </w:rPr>
        <w:t xml:space="preserve"> prognostic</w:t>
      </w:r>
      <w:r w:rsidRPr="005B0931">
        <w:rPr>
          <w:rFonts w:eastAsiaTheme="minorEastAsia" w:hint="eastAsia"/>
          <w:bCs/>
          <w:sz w:val="20"/>
          <w:szCs w:val="20"/>
          <w:lang w:eastAsia="zh-CN"/>
        </w:rPr>
        <w:t>;</w:t>
      </w:r>
      <w:r w:rsidRPr="005B0931">
        <w:rPr>
          <w:bCs/>
          <w:sz w:val="20"/>
          <w:szCs w:val="20"/>
        </w:rPr>
        <w:t xml:space="preserve"> value</w:t>
      </w:r>
      <w:r w:rsidRPr="005B0931">
        <w:rPr>
          <w:rFonts w:eastAsiaTheme="minorEastAsia" w:hint="eastAsia"/>
          <w:bCs/>
          <w:sz w:val="20"/>
          <w:szCs w:val="20"/>
          <w:lang w:eastAsia="zh-CN"/>
        </w:rPr>
        <w:t>;</w:t>
      </w:r>
      <w:r w:rsidRPr="005B0931">
        <w:rPr>
          <w:bCs/>
          <w:sz w:val="20"/>
          <w:szCs w:val="20"/>
        </w:rPr>
        <w:t xml:space="preserve"> patient</w:t>
      </w:r>
      <w:r w:rsidRPr="005B0931">
        <w:rPr>
          <w:rFonts w:eastAsiaTheme="minorEastAsia" w:hint="eastAsia"/>
          <w:bCs/>
          <w:sz w:val="20"/>
          <w:szCs w:val="20"/>
          <w:lang w:eastAsia="zh-CN"/>
        </w:rPr>
        <w:t>;</w:t>
      </w:r>
      <w:r w:rsidRPr="005B0931">
        <w:rPr>
          <w:bCs/>
          <w:sz w:val="20"/>
          <w:szCs w:val="20"/>
        </w:rPr>
        <w:t xml:space="preserve"> Acute</w:t>
      </w:r>
      <w:r w:rsidRPr="005B0931">
        <w:rPr>
          <w:rFonts w:eastAsiaTheme="minorEastAsia" w:hint="eastAsia"/>
          <w:bCs/>
          <w:sz w:val="20"/>
          <w:szCs w:val="20"/>
          <w:lang w:eastAsia="zh-CN"/>
        </w:rPr>
        <w:t>;</w:t>
      </w:r>
      <w:r w:rsidRPr="005B0931">
        <w:rPr>
          <w:bCs/>
          <w:sz w:val="20"/>
          <w:szCs w:val="20"/>
        </w:rPr>
        <w:t xml:space="preserve"> Ischemic</w:t>
      </w:r>
      <w:r w:rsidRPr="005B0931">
        <w:rPr>
          <w:rFonts w:eastAsiaTheme="minorEastAsia" w:hint="eastAsia"/>
          <w:bCs/>
          <w:sz w:val="20"/>
          <w:szCs w:val="20"/>
          <w:lang w:eastAsia="zh-CN"/>
        </w:rPr>
        <w:t>;</w:t>
      </w:r>
      <w:r w:rsidRPr="005B0931">
        <w:rPr>
          <w:bCs/>
          <w:sz w:val="20"/>
          <w:szCs w:val="20"/>
        </w:rPr>
        <w:t xml:space="preserve"> Stroke</w:t>
      </w:r>
    </w:p>
    <w:p w:rsidR="0062070F" w:rsidRPr="005B0931" w:rsidRDefault="0062070F" w:rsidP="008620BE">
      <w:pPr>
        <w:autoSpaceDE w:val="0"/>
        <w:autoSpaceDN w:val="0"/>
        <w:bidi w:val="0"/>
        <w:adjustRightInd w:val="0"/>
        <w:snapToGrid w:val="0"/>
        <w:jc w:val="both"/>
        <w:rPr>
          <w:b/>
          <w:bCs/>
          <w:sz w:val="20"/>
          <w:szCs w:val="20"/>
        </w:rPr>
      </w:pPr>
    </w:p>
    <w:p w:rsidR="0062070F" w:rsidRPr="005B0931" w:rsidRDefault="0062070F" w:rsidP="008620BE">
      <w:pPr>
        <w:autoSpaceDE w:val="0"/>
        <w:autoSpaceDN w:val="0"/>
        <w:bidi w:val="0"/>
        <w:adjustRightInd w:val="0"/>
        <w:snapToGrid w:val="0"/>
        <w:jc w:val="both"/>
        <w:rPr>
          <w:b/>
          <w:bCs/>
          <w:sz w:val="20"/>
          <w:szCs w:val="20"/>
        </w:rPr>
        <w:sectPr w:rsidR="0062070F" w:rsidRPr="005B0931" w:rsidSect="00AB1B8F">
          <w:headerReference w:type="default" r:id="rId10"/>
          <w:footerReference w:type="default" r:id="rId11"/>
          <w:type w:val="continuous"/>
          <w:pgSz w:w="12240" w:h="15840" w:code="1"/>
          <w:pgMar w:top="1440" w:right="1440" w:bottom="1440" w:left="1440" w:header="720" w:footer="720" w:gutter="0"/>
          <w:pgNumType w:start="48"/>
          <w:cols w:space="720"/>
          <w:docGrid w:linePitch="360"/>
        </w:sectPr>
      </w:pPr>
    </w:p>
    <w:p w:rsidR="007E35FE" w:rsidRPr="005B0931" w:rsidRDefault="008F5126" w:rsidP="008620BE">
      <w:pPr>
        <w:autoSpaceDE w:val="0"/>
        <w:autoSpaceDN w:val="0"/>
        <w:bidi w:val="0"/>
        <w:adjustRightInd w:val="0"/>
        <w:snapToGrid w:val="0"/>
        <w:jc w:val="both"/>
        <w:rPr>
          <w:b/>
          <w:bCs/>
          <w:sz w:val="20"/>
          <w:szCs w:val="20"/>
        </w:rPr>
      </w:pPr>
      <w:r w:rsidRPr="005B0931">
        <w:rPr>
          <w:b/>
          <w:bCs/>
          <w:sz w:val="20"/>
          <w:szCs w:val="20"/>
        </w:rPr>
        <w:lastRenderedPageBreak/>
        <w:t xml:space="preserve">1. </w:t>
      </w:r>
      <w:r w:rsidR="007E35FE" w:rsidRPr="005B0931">
        <w:rPr>
          <w:b/>
          <w:bCs/>
          <w:sz w:val="20"/>
          <w:szCs w:val="20"/>
        </w:rPr>
        <w:t>Introduction</w:t>
      </w:r>
    </w:p>
    <w:p w:rsidR="001C2DEF" w:rsidRPr="005B0931" w:rsidRDefault="001C2DEF" w:rsidP="008620BE">
      <w:pPr>
        <w:autoSpaceDE w:val="0"/>
        <w:autoSpaceDN w:val="0"/>
        <w:bidi w:val="0"/>
        <w:adjustRightInd w:val="0"/>
        <w:snapToGrid w:val="0"/>
        <w:ind w:firstLine="425"/>
        <w:jc w:val="both"/>
        <w:rPr>
          <w:sz w:val="20"/>
          <w:szCs w:val="20"/>
        </w:rPr>
      </w:pPr>
      <w:r w:rsidRPr="005B0931">
        <w:rPr>
          <w:sz w:val="20"/>
          <w:szCs w:val="20"/>
        </w:rPr>
        <w:t>Stroke is the third most common cause of disability and second most common cause of death worldwide. According to the current World Health Organization stroke is “rapidly developing clinical signs of focal or global disturbance of cerebral function, lasting more than 24 hours or leading to death, with no apparent cause other than t</w:t>
      </w:r>
      <w:r w:rsidR="00DD6C5C" w:rsidRPr="005B0931">
        <w:rPr>
          <w:sz w:val="20"/>
          <w:szCs w:val="20"/>
        </w:rPr>
        <w:t>hat of vascular origin”, (1,2).</w:t>
      </w:r>
    </w:p>
    <w:p w:rsidR="001C2DEF" w:rsidRPr="005B0931" w:rsidRDefault="001C2DEF" w:rsidP="008620BE">
      <w:pPr>
        <w:autoSpaceDE w:val="0"/>
        <w:autoSpaceDN w:val="0"/>
        <w:bidi w:val="0"/>
        <w:adjustRightInd w:val="0"/>
        <w:snapToGrid w:val="0"/>
        <w:ind w:firstLine="425"/>
        <w:jc w:val="both"/>
        <w:rPr>
          <w:sz w:val="20"/>
          <w:szCs w:val="20"/>
        </w:rPr>
      </w:pPr>
      <w:r w:rsidRPr="005B0931">
        <w:rPr>
          <w:sz w:val="20"/>
          <w:szCs w:val="20"/>
        </w:rPr>
        <w:t>Clinicians are often asked to predict outcome after stroke by the patient, the family, other healthcare workers, and insurance providers. A wide variety of factors influence stroke prognosis, including stroke severity, age</w:t>
      </w:r>
      <w:r w:rsidR="002A6D47" w:rsidRPr="005B0931">
        <w:rPr>
          <w:sz w:val="20"/>
          <w:szCs w:val="20"/>
        </w:rPr>
        <w:t>,</w:t>
      </w:r>
      <w:r w:rsidRPr="005B0931">
        <w:rPr>
          <w:sz w:val="20"/>
          <w:szCs w:val="20"/>
        </w:rPr>
        <w:t xml:space="preserve"> stroke mechanism, infarct location, co-morbid conditions, clinical findings, and related complications. In addition, interventions such as </w:t>
      </w:r>
      <w:proofErr w:type="spellStart"/>
      <w:r w:rsidRPr="005B0931">
        <w:rPr>
          <w:sz w:val="20"/>
          <w:szCs w:val="20"/>
        </w:rPr>
        <w:t>thrombolysis</w:t>
      </w:r>
      <w:proofErr w:type="spellEnd"/>
      <w:r w:rsidRPr="005B0931">
        <w:rPr>
          <w:sz w:val="20"/>
          <w:szCs w:val="20"/>
        </w:rPr>
        <w:t>, stroke unit care, and rehabilitation can play a major role in the outc</w:t>
      </w:r>
      <w:r w:rsidR="00DD6C5C" w:rsidRPr="005B0931">
        <w:rPr>
          <w:sz w:val="20"/>
          <w:szCs w:val="20"/>
        </w:rPr>
        <w:t>ome of ischemic stroke, (3, 4).</w:t>
      </w:r>
    </w:p>
    <w:p w:rsidR="001C2DEF" w:rsidRPr="005B0931" w:rsidRDefault="001C2DEF" w:rsidP="008620BE">
      <w:pPr>
        <w:autoSpaceDE w:val="0"/>
        <w:autoSpaceDN w:val="0"/>
        <w:bidi w:val="0"/>
        <w:adjustRightInd w:val="0"/>
        <w:snapToGrid w:val="0"/>
        <w:ind w:firstLine="425"/>
        <w:jc w:val="both"/>
        <w:rPr>
          <w:sz w:val="20"/>
          <w:szCs w:val="20"/>
        </w:rPr>
      </w:pPr>
      <w:r w:rsidRPr="005B0931">
        <w:rPr>
          <w:sz w:val="20"/>
          <w:szCs w:val="20"/>
        </w:rPr>
        <w:t xml:space="preserve">Both the National Institutes of Health Stroke Scale (NIHSS) and </w:t>
      </w:r>
      <w:proofErr w:type="spellStart"/>
      <w:r w:rsidRPr="005B0931">
        <w:rPr>
          <w:sz w:val="20"/>
          <w:szCs w:val="20"/>
        </w:rPr>
        <w:t>Folstein</w:t>
      </w:r>
      <w:proofErr w:type="spellEnd"/>
      <w:r w:rsidRPr="005B0931">
        <w:rPr>
          <w:sz w:val="20"/>
          <w:szCs w:val="20"/>
        </w:rPr>
        <w:t xml:space="preserve"> Mini-Mental State Examination (MMSE) are used in describing recovery</w:t>
      </w:r>
      <w:r w:rsidR="002A6D47" w:rsidRPr="005B0931">
        <w:rPr>
          <w:sz w:val="20"/>
          <w:szCs w:val="20"/>
        </w:rPr>
        <w:t>, N</w:t>
      </w:r>
      <w:r w:rsidR="009C6D70" w:rsidRPr="005B0931">
        <w:rPr>
          <w:sz w:val="20"/>
          <w:szCs w:val="20"/>
        </w:rPr>
        <w:t xml:space="preserve">IHSS and </w:t>
      </w:r>
      <w:r w:rsidRPr="005B0931">
        <w:rPr>
          <w:sz w:val="20"/>
          <w:szCs w:val="20"/>
        </w:rPr>
        <w:t xml:space="preserve">MMSE </w:t>
      </w:r>
      <w:r w:rsidR="009C6D70" w:rsidRPr="005B0931">
        <w:rPr>
          <w:sz w:val="20"/>
          <w:szCs w:val="20"/>
        </w:rPr>
        <w:t>are</w:t>
      </w:r>
      <w:r w:rsidRPr="005B0931">
        <w:rPr>
          <w:sz w:val="20"/>
          <w:szCs w:val="20"/>
        </w:rPr>
        <w:t xml:space="preserve"> used for screening </w:t>
      </w:r>
      <w:r w:rsidRPr="005B0931">
        <w:rPr>
          <w:sz w:val="20"/>
          <w:szCs w:val="20"/>
        </w:rPr>
        <w:lastRenderedPageBreak/>
        <w:t>cognitive impairment within 24 hours of the symptoms onset and at 10-15 days as a predictor for prognosis, (3, 5-14).</w:t>
      </w:r>
    </w:p>
    <w:p w:rsidR="001C2DEF" w:rsidRPr="005B0931" w:rsidRDefault="001C2DEF" w:rsidP="008620BE">
      <w:pPr>
        <w:autoSpaceDE w:val="0"/>
        <w:autoSpaceDN w:val="0"/>
        <w:bidi w:val="0"/>
        <w:adjustRightInd w:val="0"/>
        <w:snapToGrid w:val="0"/>
        <w:ind w:firstLine="425"/>
        <w:jc w:val="both"/>
        <w:rPr>
          <w:sz w:val="20"/>
          <w:szCs w:val="20"/>
        </w:rPr>
      </w:pPr>
      <w:r w:rsidRPr="005B0931">
        <w:rPr>
          <w:sz w:val="20"/>
          <w:szCs w:val="20"/>
        </w:rPr>
        <w:t xml:space="preserve">The presence of acute occlusion of the cervical internal carotid artery, basilar artery or a large intracranial artery is associated with an increased risk of poor outcome. It follows that involvement of total anterior circulation or posterior circulation is also of poor prognosis these are to be considered among the predictors of stroke prognosis. Patients with symptomatic ICA occlusion are at a high risk of adverse outcomes that is as severe, if not worse, than any other degree of ICA </w:t>
      </w:r>
      <w:proofErr w:type="spellStart"/>
      <w:r w:rsidRPr="005B0931">
        <w:rPr>
          <w:sz w:val="20"/>
          <w:szCs w:val="20"/>
        </w:rPr>
        <w:t>stenosis</w:t>
      </w:r>
      <w:proofErr w:type="spellEnd"/>
      <w:r w:rsidRPr="005B0931">
        <w:rPr>
          <w:sz w:val="20"/>
          <w:szCs w:val="20"/>
        </w:rPr>
        <w:t xml:space="preserve"> in the short term (15-21).</w:t>
      </w:r>
    </w:p>
    <w:p w:rsidR="001C2DEF" w:rsidRPr="005B0931" w:rsidRDefault="001C2DEF" w:rsidP="008620BE">
      <w:pPr>
        <w:autoSpaceDE w:val="0"/>
        <w:autoSpaceDN w:val="0"/>
        <w:bidi w:val="0"/>
        <w:adjustRightInd w:val="0"/>
        <w:snapToGrid w:val="0"/>
        <w:ind w:firstLine="425"/>
        <w:jc w:val="both"/>
        <w:rPr>
          <w:sz w:val="20"/>
          <w:szCs w:val="20"/>
        </w:rPr>
      </w:pPr>
      <w:proofErr w:type="spellStart"/>
      <w:r w:rsidRPr="005B0931">
        <w:rPr>
          <w:sz w:val="20"/>
          <w:szCs w:val="20"/>
        </w:rPr>
        <w:t>Transcranial</w:t>
      </w:r>
      <w:proofErr w:type="spellEnd"/>
      <w:r w:rsidRPr="005B0931">
        <w:rPr>
          <w:sz w:val="20"/>
          <w:szCs w:val="20"/>
        </w:rPr>
        <w:t xml:space="preserve"> </w:t>
      </w:r>
      <w:proofErr w:type="spellStart"/>
      <w:r w:rsidRPr="005B0931">
        <w:rPr>
          <w:sz w:val="20"/>
          <w:szCs w:val="20"/>
        </w:rPr>
        <w:t>doppler</w:t>
      </w:r>
      <w:proofErr w:type="spellEnd"/>
      <w:r w:rsidRPr="005B0931">
        <w:rPr>
          <w:sz w:val="20"/>
          <w:szCs w:val="20"/>
        </w:rPr>
        <w:t xml:space="preserve"> and </w:t>
      </w:r>
      <w:proofErr w:type="spellStart"/>
      <w:r w:rsidRPr="005B0931">
        <w:rPr>
          <w:sz w:val="20"/>
          <w:szCs w:val="20"/>
        </w:rPr>
        <w:t>transcranial</w:t>
      </w:r>
      <w:proofErr w:type="spellEnd"/>
      <w:r w:rsidRPr="005B0931">
        <w:rPr>
          <w:sz w:val="20"/>
          <w:szCs w:val="20"/>
        </w:rPr>
        <w:t xml:space="preserve"> color coded duplex are non‐invasive, non‐</w:t>
      </w:r>
      <w:proofErr w:type="spellStart"/>
      <w:r w:rsidRPr="005B0931">
        <w:rPr>
          <w:sz w:val="20"/>
          <w:szCs w:val="20"/>
        </w:rPr>
        <w:t>ionising</w:t>
      </w:r>
      <w:proofErr w:type="spellEnd"/>
      <w:r w:rsidRPr="005B0931">
        <w:rPr>
          <w:sz w:val="20"/>
          <w:szCs w:val="20"/>
        </w:rPr>
        <w:t xml:space="preserve">, inexpensive, portable and safe techniques for assessment of </w:t>
      </w:r>
      <w:proofErr w:type="spellStart"/>
      <w:r w:rsidRPr="005B0931">
        <w:rPr>
          <w:sz w:val="20"/>
          <w:szCs w:val="20"/>
        </w:rPr>
        <w:t>intracerebral</w:t>
      </w:r>
      <w:proofErr w:type="spellEnd"/>
      <w:r w:rsidRPr="005B0931">
        <w:rPr>
          <w:sz w:val="20"/>
          <w:szCs w:val="20"/>
        </w:rPr>
        <w:t xml:space="preserve"> blood flow (22-25</w:t>
      </w:r>
      <w:r w:rsidR="002A6D47" w:rsidRPr="005B0931">
        <w:rPr>
          <w:sz w:val="20"/>
          <w:szCs w:val="20"/>
        </w:rPr>
        <w:t xml:space="preserve"> </w:t>
      </w:r>
      <w:r w:rsidR="0062070F" w:rsidRPr="005B0931">
        <w:rPr>
          <w:sz w:val="20"/>
          <w:szCs w:val="20"/>
        </w:rPr>
        <w:t>&amp;</w:t>
      </w:r>
      <w:r w:rsidR="002A6D47" w:rsidRPr="005B0931">
        <w:rPr>
          <w:sz w:val="20"/>
          <w:szCs w:val="20"/>
        </w:rPr>
        <w:t xml:space="preserve"> </w:t>
      </w:r>
      <w:r w:rsidRPr="005B0931">
        <w:rPr>
          <w:sz w:val="20"/>
          <w:szCs w:val="20"/>
        </w:rPr>
        <w:t>26-29).</w:t>
      </w:r>
    </w:p>
    <w:p w:rsidR="005A7A6D" w:rsidRPr="005B0931" w:rsidRDefault="001C2DEF" w:rsidP="008620BE">
      <w:pPr>
        <w:autoSpaceDE w:val="0"/>
        <w:autoSpaceDN w:val="0"/>
        <w:bidi w:val="0"/>
        <w:adjustRightInd w:val="0"/>
        <w:snapToGrid w:val="0"/>
        <w:ind w:firstLine="425"/>
        <w:jc w:val="both"/>
        <w:rPr>
          <w:sz w:val="20"/>
          <w:szCs w:val="20"/>
        </w:rPr>
      </w:pPr>
      <w:r w:rsidRPr="005B0931">
        <w:rPr>
          <w:sz w:val="20"/>
          <w:szCs w:val="20"/>
        </w:rPr>
        <w:t xml:space="preserve">Knowledge of the status of the </w:t>
      </w:r>
      <w:proofErr w:type="spellStart"/>
      <w:r w:rsidRPr="005B0931">
        <w:rPr>
          <w:sz w:val="20"/>
          <w:szCs w:val="20"/>
        </w:rPr>
        <w:t>extracranial</w:t>
      </w:r>
      <w:proofErr w:type="spellEnd"/>
      <w:r w:rsidRPr="005B0931">
        <w:rPr>
          <w:sz w:val="20"/>
          <w:szCs w:val="20"/>
        </w:rPr>
        <w:t xml:space="preserve"> and intracranial arteries will thus be helpful in predicting the stroke prognosis, </w:t>
      </w:r>
      <w:r w:rsidR="00DD6C5C" w:rsidRPr="005B0931">
        <w:rPr>
          <w:sz w:val="20"/>
          <w:szCs w:val="20"/>
        </w:rPr>
        <w:t>and complications.</w:t>
      </w:r>
    </w:p>
    <w:p w:rsidR="00C81C75" w:rsidRPr="005B0931" w:rsidRDefault="008F5126" w:rsidP="008620BE">
      <w:pPr>
        <w:tabs>
          <w:tab w:val="left" w:pos="3195"/>
          <w:tab w:val="center" w:pos="4680"/>
        </w:tabs>
        <w:bidi w:val="0"/>
        <w:snapToGrid w:val="0"/>
        <w:jc w:val="both"/>
        <w:rPr>
          <w:b/>
          <w:bCs/>
          <w:sz w:val="20"/>
          <w:szCs w:val="20"/>
        </w:rPr>
      </w:pPr>
      <w:r w:rsidRPr="005B0931">
        <w:rPr>
          <w:b/>
          <w:bCs/>
          <w:sz w:val="20"/>
          <w:szCs w:val="20"/>
        </w:rPr>
        <w:t>Aim Of Work</w:t>
      </w:r>
    </w:p>
    <w:p w:rsidR="009C6D70" w:rsidRPr="005B0931" w:rsidRDefault="009C6D70" w:rsidP="008620BE">
      <w:pPr>
        <w:bidi w:val="0"/>
        <w:snapToGrid w:val="0"/>
        <w:ind w:firstLine="425"/>
        <w:jc w:val="both"/>
        <w:rPr>
          <w:sz w:val="20"/>
          <w:szCs w:val="20"/>
        </w:rPr>
      </w:pPr>
      <w:r w:rsidRPr="005B0931">
        <w:rPr>
          <w:sz w:val="20"/>
          <w:szCs w:val="20"/>
        </w:rPr>
        <w:lastRenderedPageBreak/>
        <w:t xml:space="preserve">This study is intended to provide an insight about the prognostic value of ultrasound techniques (TCD and TCCS) in predicting the outcome of acute stroke patients relative to the prevalence and severity of steno-occlusive disease of the </w:t>
      </w:r>
      <w:proofErr w:type="spellStart"/>
      <w:r w:rsidRPr="005B0931">
        <w:rPr>
          <w:sz w:val="20"/>
          <w:szCs w:val="20"/>
        </w:rPr>
        <w:t>extracranial</w:t>
      </w:r>
      <w:proofErr w:type="spellEnd"/>
      <w:r w:rsidRPr="005B0931">
        <w:rPr>
          <w:sz w:val="20"/>
          <w:szCs w:val="20"/>
        </w:rPr>
        <w:t xml:space="preserve"> arteries and intracranial arteries in Egyptian patients with stroke and TIA. This may guide future treatment decisions in the acute stage and study their reflection on clinical state and complications.</w:t>
      </w:r>
    </w:p>
    <w:p w:rsidR="00C81C75" w:rsidRPr="005B0931" w:rsidRDefault="00C81C75" w:rsidP="008620BE">
      <w:pPr>
        <w:bidi w:val="0"/>
        <w:snapToGrid w:val="0"/>
        <w:jc w:val="both"/>
        <w:rPr>
          <w:rStyle w:val="Strong"/>
          <w:b w:val="0"/>
          <w:bCs w:val="0"/>
          <w:sz w:val="20"/>
          <w:szCs w:val="20"/>
        </w:rPr>
      </w:pPr>
    </w:p>
    <w:p w:rsidR="00C81C75" w:rsidRPr="005B0931" w:rsidRDefault="008F5126" w:rsidP="008620BE">
      <w:pPr>
        <w:bidi w:val="0"/>
        <w:snapToGrid w:val="0"/>
        <w:jc w:val="both"/>
        <w:rPr>
          <w:rStyle w:val="Strong"/>
          <w:sz w:val="20"/>
          <w:szCs w:val="20"/>
          <w:lang w:bidi="ar-EG"/>
        </w:rPr>
      </w:pPr>
      <w:r w:rsidRPr="005B0931">
        <w:rPr>
          <w:rStyle w:val="Strong"/>
          <w:sz w:val="20"/>
          <w:szCs w:val="20"/>
        </w:rPr>
        <w:t>2. Patients and Method</w:t>
      </w:r>
    </w:p>
    <w:p w:rsidR="009C6D70" w:rsidRPr="005B0931" w:rsidRDefault="009C6D70" w:rsidP="008620BE">
      <w:pPr>
        <w:bidi w:val="0"/>
        <w:snapToGrid w:val="0"/>
        <w:ind w:firstLine="425"/>
        <w:jc w:val="both"/>
        <w:rPr>
          <w:sz w:val="20"/>
          <w:szCs w:val="20"/>
          <w:lang w:bidi="ar-EG"/>
        </w:rPr>
      </w:pPr>
      <w:r w:rsidRPr="005B0931">
        <w:rPr>
          <w:sz w:val="20"/>
          <w:szCs w:val="20"/>
          <w:lang w:bidi="ar-EG"/>
        </w:rPr>
        <w:t xml:space="preserve">The present study was performed at Al </w:t>
      </w:r>
      <w:proofErr w:type="spellStart"/>
      <w:r w:rsidRPr="005B0931">
        <w:rPr>
          <w:sz w:val="20"/>
          <w:szCs w:val="20"/>
          <w:lang w:bidi="ar-EG"/>
        </w:rPr>
        <w:t>Azhar</w:t>
      </w:r>
      <w:proofErr w:type="spellEnd"/>
      <w:r w:rsidRPr="005B0931">
        <w:rPr>
          <w:sz w:val="20"/>
          <w:szCs w:val="20"/>
          <w:lang w:bidi="ar-EG"/>
        </w:rPr>
        <w:t xml:space="preserve"> University hospital, during the study period from March 2016 to May 2017 on </w:t>
      </w:r>
      <w:r w:rsidR="00A7603C" w:rsidRPr="005B0931">
        <w:rPr>
          <w:sz w:val="20"/>
          <w:szCs w:val="20"/>
          <w:lang w:bidi="ar-EG"/>
        </w:rPr>
        <w:t>6</w:t>
      </w:r>
      <w:r w:rsidRPr="005B0931">
        <w:rPr>
          <w:sz w:val="20"/>
          <w:szCs w:val="20"/>
          <w:lang w:bidi="ar-EG"/>
        </w:rPr>
        <w:t>0 patients who are known to be hypertensive, diabetic, presenting with Stroke.</w:t>
      </w:r>
    </w:p>
    <w:p w:rsidR="009C6D70" w:rsidRPr="005B0931" w:rsidRDefault="009C6D70" w:rsidP="008620BE">
      <w:pPr>
        <w:bidi w:val="0"/>
        <w:snapToGrid w:val="0"/>
        <w:jc w:val="both"/>
        <w:rPr>
          <w:sz w:val="20"/>
          <w:szCs w:val="20"/>
          <w:lang w:bidi="ar-EG"/>
        </w:rPr>
      </w:pPr>
      <w:r w:rsidRPr="005B0931">
        <w:rPr>
          <w:b/>
          <w:bCs/>
          <w:sz w:val="20"/>
          <w:szCs w:val="20"/>
          <w:lang w:bidi="ar-EG"/>
        </w:rPr>
        <w:t>Inclusion criteria</w:t>
      </w:r>
      <w:r w:rsidRPr="005B0931">
        <w:rPr>
          <w:sz w:val="20"/>
          <w:szCs w:val="20"/>
          <w:lang w:bidi="ar-EG"/>
        </w:rPr>
        <w:t>:</w:t>
      </w:r>
    </w:p>
    <w:p w:rsidR="009C6D70" w:rsidRPr="005B0931" w:rsidRDefault="009C6D70" w:rsidP="008620BE">
      <w:pPr>
        <w:bidi w:val="0"/>
        <w:snapToGrid w:val="0"/>
        <w:ind w:firstLine="425"/>
        <w:jc w:val="both"/>
        <w:rPr>
          <w:sz w:val="20"/>
          <w:szCs w:val="20"/>
          <w:lang w:bidi="ar-EG"/>
        </w:rPr>
      </w:pPr>
      <w:r w:rsidRPr="005B0931">
        <w:rPr>
          <w:sz w:val="20"/>
          <w:szCs w:val="20"/>
          <w:lang w:bidi="ar-EG"/>
        </w:rPr>
        <w:t>Male and female patients with TIA or stroke; aged above 45, with their collective data will be included.</w:t>
      </w:r>
    </w:p>
    <w:p w:rsidR="009C6D70" w:rsidRPr="005B0931" w:rsidRDefault="009C6D70" w:rsidP="008620BE">
      <w:pPr>
        <w:bidi w:val="0"/>
        <w:snapToGrid w:val="0"/>
        <w:ind w:firstLine="425"/>
        <w:jc w:val="both"/>
        <w:rPr>
          <w:sz w:val="20"/>
          <w:szCs w:val="20"/>
          <w:lang w:bidi="ar-EG"/>
        </w:rPr>
      </w:pPr>
      <w:r w:rsidRPr="005B0931">
        <w:rPr>
          <w:sz w:val="20"/>
          <w:szCs w:val="20"/>
          <w:lang w:bidi="ar-EG"/>
        </w:rPr>
        <w:t>All were subjected to the following;</w:t>
      </w:r>
    </w:p>
    <w:p w:rsidR="009C6D70" w:rsidRPr="005B0931" w:rsidRDefault="009C6D70" w:rsidP="008620BE">
      <w:pPr>
        <w:bidi w:val="0"/>
        <w:snapToGrid w:val="0"/>
        <w:ind w:firstLine="425"/>
        <w:jc w:val="both"/>
        <w:rPr>
          <w:sz w:val="20"/>
          <w:szCs w:val="20"/>
          <w:lang w:bidi="ar-EG"/>
        </w:rPr>
      </w:pPr>
      <w:r w:rsidRPr="005B0931">
        <w:rPr>
          <w:sz w:val="20"/>
          <w:szCs w:val="20"/>
          <w:lang w:bidi="ar-EG"/>
        </w:rPr>
        <w:t>1. Personal history taking including age, sex, occupation, residence, smoking, education and marital status.</w:t>
      </w:r>
    </w:p>
    <w:p w:rsidR="009C6D70" w:rsidRPr="005B0931" w:rsidRDefault="009C6D70" w:rsidP="008620BE">
      <w:pPr>
        <w:bidi w:val="0"/>
        <w:snapToGrid w:val="0"/>
        <w:ind w:firstLine="425"/>
        <w:jc w:val="both"/>
        <w:rPr>
          <w:sz w:val="20"/>
          <w:szCs w:val="20"/>
          <w:lang w:bidi="ar-EG"/>
        </w:rPr>
      </w:pPr>
      <w:r w:rsidRPr="005B0931">
        <w:rPr>
          <w:sz w:val="20"/>
          <w:szCs w:val="20"/>
          <w:lang w:bidi="ar-EG"/>
        </w:rPr>
        <w:t>2. General medical examination including blood pressure measurement, temperature and heart rate.</w:t>
      </w:r>
    </w:p>
    <w:p w:rsidR="009C6D70" w:rsidRPr="005B0931" w:rsidRDefault="009C6D70" w:rsidP="008620BE">
      <w:pPr>
        <w:bidi w:val="0"/>
        <w:snapToGrid w:val="0"/>
        <w:ind w:firstLine="425"/>
        <w:jc w:val="both"/>
        <w:rPr>
          <w:sz w:val="20"/>
          <w:szCs w:val="20"/>
          <w:lang w:bidi="ar-EG"/>
        </w:rPr>
      </w:pPr>
      <w:r w:rsidRPr="005B0931">
        <w:rPr>
          <w:sz w:val="20"/>
          <w:szCs w:val="20"/>
          <w:lang w:bidi="ar-EG"/>
        </w:rPr>
        <w:t>3. Cardiac assessment including electrocardiogram and echocardiography.</w:t>
      </w:r>
    </w:p>
    <w:p w:rsidR="002A6D47" w:rsidRPr="005B0931" w:rsidRDefault="009C6D70" w:rsidP="008620BE">
      <w:pPr>
        <w:bidi w:val="0"/>
        <w:snapToGrid w:val="0"/>
        <w:ind w:firstLine="425"/>
        <w:jc w:val="both"/>
        <w:rPr>
          <w:sz w:val="20"/>
          <w:szCs w:val="20"/>
          <w:lang w:bidi="ar-EG"/>
        </w:rPr>
      </w:pPr>
      <w:r w:rsidRPr="005B0931">
        <w:rPr>
          <w:sz w:val="20"/>
          <w:szCs w:val="20"/>
          <w:lang w:bidi="ar-EG"/>
        </w:rPr>
        <w:t>4. Neurological examination and assessment of stroke prognosis using the National Institutes of Health Stroke Scale (NIHSS), which measures neurologic impairment using a 15-item scal</w:t>
      </w:r>
      <w:r w:rsidR="002A6D47" w:rsidRPr="005B0931">
        <w:rPr>
          <w:sz w:val="20"/>
          <w:szCs w:val="20"/>
          <w:lang w:bidi="ar-EG"/>
        </w:rPr>
        <w:t>e.</w:t>
      </w:r>
    </w:p>
    <w:p w:rsidR="009C6D70" w:rsidRPr="005B0931" w:rsidRDefault="009C6D70" w:rsidP="008620BE">
      <w:pPr>
        <w:bidi w:val="0"/>
        <w:snapToGrid w:val="0"/>
        <w:ind w:firstLine="425"/>
        <w:jc w:val="both"/>
        <w:rPr>
          <w:sz w:val="20"/>
          <w:szCs w:val="20"/>
          <w:lang w:bidi="ar-EG"/>
        </w:rPr>
      </w:pPr>
      <w:r w:rsidRPr="005B0931">
        <w:rPr>
          <w:sz w:val="20"/>
          <w:szCs w:val="20"/>
          <w:lang w:bidi="ar-EG"/>
        </w:rPr>
        <w:t>NIHSS scores will be obtained within 24 hours of the symptoms onset and at 10-15 days as a predictor for stroke outcome.</w:t>
      </w:r>
    </w:p>
    <w:p w:rsidR="009C6D70" w:rsidRPr="005B0931" w:rsidRDefault="009C6D70" w:rsidP="008620BE">
      <w:pPr>
        <w:bidi w:val="0"/>
        <w:snapToGrid w:val="0"/>
        <w:ind w:firstLine="425"/>
        <w:jc w:val="both"/>
        <w:rPr>
          <w:sz w:val="20"/>
          <w:szCs w:val="20"/>
          <w:lang w:bidi="ar-EG"/>
        </w:rPr>
      </w:pPr>
      <w:r w:rsidRPr="005B0931">
        <w:rPr>
          <w:sz w:val="20"/>
          <w:szCs w:val="20"/>
          <w:lang w:bidi="ar-EG"/>
        </w:rPr>
        <w:t xml:space="preserve">5. </w:t>
      </w:r>
      <w:proofErr w:type="spellStart"/>
      <w:r w:rsidRPr="005B0931">
        <w:rPr>
          <w:sz w:val="20"/>
          <w:szCs w:val="20"/>
          <w:lang w:bidi="ar-EG"/>
        </w:rPr>
        <w:t>Folstein</w:t>
      </w:r>
      <w:proofErr w:type="spellEnd"/>
      <w:r w:rsidRPr="005B0931">
        <w:rPr>
          <w:sz w:val="20"/>
          <w:szCs w:val="20"/>
          <w:lang w:bidi="ar-EG"/>
        </w:rPr>
        <w:t xml:space="preserve"> Mini-Mental State Examination MMSE will be used as a screening tool for cognitive impairment within 24 hours of the symptoms onset and at 10-15 days as a predictor for prognosis.</w:t>
      </w:r>
    </w:p>
    <w:p w:rsidR="009C6D70" w:rsidRPr="005B0931" w:rsidRDefault="009C6D70" w:rsidP="008620BE">
      <w:pPr>
        <w:bidi w:val="0"/>
        <w:snapToGrid w:val="0"/>
        <w:ind w:firstLine="425"/>
        <w:jc w:val="both"/>
        <w:rPr>
          <w:sz w:val="20"/>
          <w:szCs w:val="20"/>
          <w:lang w:bidi="ar-EG"/>
        </w:rPr>
      </w:pPr>
      <w:r w:rsidRPr="005B0931">
        <w:rPr>
          <w:sz w:val="20"/>
          <w:szCs w:val="20"/>
          <w:lang w:bidi="ar-EG"/>
        </w:rPr>
        <w:t xml:space="preserve">6. Ultrasound Doppler techniques using a GE </w:t>
      </w:r>
      <w:proofErr w:type="spellStart"/>
      <w:r w:rsidRPr="005B0931">
        <w:rPr>
          <w:sz w:val="20"/>
          <w:szCs w:val="20"/>
          <w:lang w:bidi="ar-EG"/>
        </w:rPr>
        <w:t>Voluson</w:t>
      </w:r>
      <w:proofErr w:type="spellEnd"/>
      <w:r w:rsidRPr="005B0931">
        <w:rPr>
          <w:sz w:val="20"/>
          <w:szCs w:val="20"/>
          <w:lang w:bidi="ar-EG"/>
        </w:rPr>
        <w:t xml:space="preserve"> E8 Ultrasound System and </w:t>
      </w:r>
      <w:proofErr w:type="spellStart"/>
      <w:r w:rsidRPr="005B0931">
        <w:rPr>
          <w:sz w:val="20"/>
          <w:szCs w:val="20"/>
          <w:lang w:bidi="ar-EG"/>
        </w:rPr>
        <w:t>Ge</w:t>
      </w:r>
      <w:proofErr w:type="spellEnd"/>
      <w:r w:rsidRPr="005B0931">
        <w:rPr>
          <w:sz w:val="20"/>
          <w:szCs w:val="20"/>
          <w:lang w:bidi="ar-EG"/>
        </w:rPr>
        <w:t xml:space="preserve"> Mode</w:t>
      </w:r>
      <w:r w:rsidR="00957A59" w:rsidRPr="005B0931">
        <w:rPr>
          <w:sz w:val="20"/>
          <w:szCs w:val="20"/>
          <w:lang w:bidi="ar-EG"/>
        </w:rPr>
        <w:t>l 46-284127g1 Ultrasound Probe:</w:t>
      </w:r>
    </w:p>
    <w:p w:rsidR="009C6D70" w:rsidRPr="005B0931" w:rsidRDefault="009C6D70" w:rsidP="008620BE">
      <w:pPr>
        <w:bidi w:val="0"/>
        <w:snapToGrid w:val="0"/>
        <w:ind w:firstLine="425"/>
        <w:jc w:val="both"/>
        <w:rPr>
          <w:sz w:val="20"/>
          <w:szCs w:val="20"/>
          <w:lang w:bidi="ar-EG"/>
        </w:rPr>
      </w:pPr>
      <w:r w:rsidRPr="005B0931">
        <w:rPr>
          <w:sz w:val="20"/>
          <w:szCs w:val="20"/>
          <w:lang w:bidi="ar-EG"/>
        </w:rPr>
        <w:t xml:space="preserve">a) Duplex examination of the </w:t>
      </w:r>
      <w:proofErr w:type="spellStart"/>
      <w:r w:rsidRPr="005B0931">
        <w:rPr>
          <w:sz w:val="20"/>
          <w:szCs w:val="20"/>
          <w:lang w:bidi="ar-EG"/>
        </w:rPr>
        <w:t>extracranial</w:t>
      </w:r>
      <w:proofErr w:type="spellEnd"/>
      <w:r w:rsidRPr="005B0931">
        <w:rPr>
          <w:sz w:val="20"/>
          <w:szCs w:val="20"/>
          <w:lang w:bidi="ar-EG"/>
        </w:rPr>
        <w:t xml:space="preserve"> carotid arteries.</w:t>
      </w:r>
    </w:p>
    <w:p w:rsidR="009C6D70" w:rsidRPr="005B0931" w:rsidRDefault="009C6D70" w:rsidP="008620BE">
      <w:pPr>
        <w:bidi w:val="0"/>
        <w:snapToGrid w:val="0"/>
        <w:ind w:firstLine="425"/>
        <w:jc w:val="both"/>
        <w:rPr>
          <w:sz w:val="20"/>
          <w:szCs w:val="20"/>
          <w:lang w:bidi="ar-EG"/>
        </w:rPr>
      </w:pPr>
      <w:r w:rsidRPr="005B0931">
        <w:rPr>
          <w:sz w:val="20"/>
          <w:szCs w:val="20"/>
          <w:lang w:bidi="ar-EG"/>
        </w:rPr>
        <w:lastRenderedPageBreak/>
        <w:t>Both systems will be analyzed for:</w:t>
      </w:r>
    </w:p>
    <w:p w:rsidR="002A6D47" w:rsidRPr="005B0931" w:rsidRDefault="009C6D70" w:rsidP="008620BE">
      <w:pPr>
        <w:numPr>
          <w:ilvl w:val="0"/>
          <w:numId w:val="8"/>
        </w:numPr>
        <w:tabs>
          <w:tab w:val="num" w:pos="480"/>
        </w:tabs>
        <w:bidi w:val="0"/>
        <w:snapToGrid w:val="0"/>
        <w:ind w:left="0" w:firstLine="425"/>
        <w:jc w:val="both"/>
        <w:rPr>
          <w:sz w:val="20"/>
          <w:szCs w:val="20"/>
          <w:lang w:bidi="ar-EG"/>
        </w:rPr>
      </w:pPr>
      <w:proofErr w:type="spellStart"/>
      <w:r w:rsidRPr="005B0931">
        <w:rPr>
          <w:sz w:val="20"/>
          <w:szCs w:val="20"/>
          <w:lang w:bidi="ar-EG"/>
        </w:rPr>
        <w:t>Bilateralit</w:t>
      </w:r>
      <w:r w:rsidR="002A6D47" w:rsidRPr="005B0931">
        <w:rPr>
          <w:sz w:val="20"/>
          <w:szCs w:val="20"/>
          <w:lang w:bidi="ar-EG"/>
        </w:rPr>
        <w:t>y</w:t>
      </w:r>
      <w:proofErr w:type="spellEnd"/>
      <w:r w:rsidR="002A6D47" w:rsidRPr="005B0931">
        <w:rPr>
          <w:sz w:val="20"/>
          <w:szCs w:val="20"/>
          <w:lang w:bidi="ar-EG"/>
        </w:rPr>
        <w:t>.</w:t>
      </w:r>
    </w:p>
    <w:p w:rsidR="002A6D47" w:rsidRPr="005B0931" w:rsidRDefault="009C6D70" w:rsidP="008620BE">
      <w:pPr>
        <w:numPr>
          <w:ilvl w:val="0"/>
          <w:numId w:val="8"/>
        </w:numPr>
        <w:tabs>
          <w:tab w:val="num" w:pos="500"/>
        </w:tabs>
        <w:bidi w:val="0"/>
        <w:snapToGrid w:val="0"/>
        <w:ind w:left="0" w:firstLine="425"/>
        <w:jc w:val="both"/>
        <w:rPr>
          <w:sz w:val="20"/>
          <w:szCs w:val="20"/>
          <w:lang w:bidi="ar-EG"/>
        </w:rPr>
      </w:pPr>
      <w:r w:rsidRPr="005B0931">
        <w:rPr>
          <w:sz w:val="20"/>
          <w:szCs w:val="20"/>
          <w:lang w:bidi="ar-EG"/>
        </w:rPr>
        <w:t>Severit</w:t>
      </w:r>
      <w:r w:rsidR="002A6D47" w:rsidRPr="005B0931">
        <w:rPr>
          <w:sz w:val="20"/>
          <w:szCs w:val="20"/>
          <w:lang w:bidi="ar-EG"/>
        </w:rPr>
        <w:t>y.</w:t>
      </w:r>
    </w:p>
    <w:p w:rsidR="002A6D47" w:rsidRPr="005B0931" w:rsidRDefault="009C6D70" w:rsidP="008620BE">
      <w:pPr>
        <w:numPr>
          <w:ilvl w:val="0"/>
          <w:numId w:val="9"/>
        </w:numPr>
        <w:bidi w:val="0"/>
        <w:snapToGrid w:val="0"/>
        <w:ind w:left="0" w:firstLine="425"/>
        <w:jc w:val="both"/>
        <w:rPr>
          <w:sz w:val="20"/>
          <w:szCs w:val="20"/>
          <w:lang w:bidi="ar-EG"/>
        </w:rPr>
      </w:pPr>
      <w:r w:rsidRPr="005B0931">
        <w:rPr>
          <w:sz w:val="20"/>
          <w:szCs w:val="20"/>
          <w:lang w:bidi="ar-EG"/>
        </w:rPr>
        <w:t>0-49 non-significan</w:t>
      </w:r>
      <w:r w:rsidR="002A6D47" w:rsidRPr="005B0931">
        <w:rPr>
          <w:sz w:val="20"/>
          <w:szCs w:val="20"/>
          <w:lang w:bidi="ar-EG"/>
        </w:rPr>
        <w:t>t.</w:t>
      </w:r>
    </w:p>
    <w:p w:rsidR="002A6D47" w:rsidRPr="005B0931" w:rsidRDefault="009C6D70" w:rsidP="008620BE">
      <w:pPr>
        <w:numPr>
          <w:ilvl w:val="0"/>
          <w:numId w:val="9"/>
        </w:numPr>
        <w:bidi w:val="0"/>
        <w:snapToGrid w:val="0"/>
        <w:ind w:left="0" w:firstLine="425"/>
        <w:jc w:val="both"/>
        <w:rPr>
          <w:sz w:val="20"/>
          <w:szCs w:val="20"/>
          <w:lang w:bidi="ar-EG"/>
        </w:rPr>
      </w:pPr>
      <w:r w:rsidRPr="005B0931">
        <w:rPr>
          <w:sz w:val="20"/>
          <w:szCs w:val="20"/>
          <w:lang w:bidi="ar-EG"/>
        </w:rPr>
        <w:t>50 -99 significan</w:t>
      </w:r>
      <w:r w:rsidR="002A6D47" w:rsidRPr="005B0931">
        <w:rPr>
          <w:sz w:val="20"/>
          <w:szCs w:val="20"/>
          <w:lang w:bidi="ar-EG"/>
        </w:rPr>
        <w:t>t.</w:t>
      </w:r>
    </w:p>
    <w:p w:rsidR="002A6D47" w:rsidRPr="005B0931" w:rsidRDefault="009C6D70" w:rsidP="008620BE">
      <w:pPr>
        <w:numPr>
          <w:ilvl w:val="0"/>
          <w:numId w:val="9"/>
        </w:numPr>
        <w:bidi w:val="0"/>
        <w:snapToGrid w:val="0"/>
        <w:ind w:left="0" w:firstLine="425"/>
        <w:jc w:val="both"/>
        <w:rPr>
          <w:sz w:val="20"/>
          <w:szCs w:val="20"/>
          <w:lang w:bidi="ar-EG"/>
        </w:rPr>
      </w:pPr>
      <w:r w:rsidRPr="005B0931">
        <w:rPr>
          <w:sz w:val="20"/>
          <w:szCs w:val="20"/>
          <w:lang w:bidi="ar-EG"/>
        </w:rPr>
        <w:t>Total occlusio</w:t>
      </w:r>
      <w:r w:rsidR="002A6D47" w:rsidRPr="005B0931">
        <w:rPr>
          <w:sz w:val="20"/>
          <w:szCs w:val="20"/>
          <w:lang w:bidi="ar-EG"/>
        </w:rPr>
        <w:t>n.</w:t>
      </w:r>
    </w:p>
    <w:p w:rsidR="002A6D47" w:rsidRPr="005B0931" w:rsidRDefault="009C6D70" w:rsidP="008620BE">
      <w:pPr>
        <w:bidi w:val="0"/>
        <w:snapToGrid w:val="0"/>
        <w:ind w:firstLine="425"/>
        <w:jc w:val="both"/>
        <w:rPr>
          <w:sz w:val="20"/>
          <w:szCs w:val="20"/>
          <w:lang w:bidi="ar-EG"/>
        </w:rPr>
      </w:pPr>
      <w:r w:rsidRPr="005B0931">
        <w:rPr>
          <w:sz w:val="20"/>
          <w:szCs w:val="20"/>
          <w:lang w:bidi="ar-EG"/>
        </w:rPr>
        <w:t xml:space="preserve">b) </w:t>
      </w:r>
      <w:proofErr w:type="spellStart"/>
      <w:r w:rsidRPr="005B0931">
        <w:rPr>
          <w:sz w:val="20"/>
          <w:szCs w:val="20"/>
          <w:lang w:bidi="ar-EG"/>
        </w:rPr>
        <w:t>Transcranial</w:t>
      </w:r>
      <w:proofErr w:type="spellEnd"/>
      <w:r w:rsidRPr="005B0931">
        <w:rPr>
          <w:sz w:val="20"/>
          <w:szCs w:val="20"/>
          <w:lang w:bidi="ar-EG"/>
        </w:rPr>
        <w:t xml:space="preserve"> Doppler and </w:t>
      </w:r>
      <w:proofErr w:type="spellStart"/>
      <w:r w:rsidRPr="005B0931">
        <w:rPr>
          <w:sz w:val="20"/>
          <w:szCs w:val="20"/>
          <w:lang w:bidi="ar-EG"/>
        </w:rPr>
        <w:t>Transcranial</w:t>
      </w:r>
      <w:proofErr w:type="spellEnd"/>
      <w:r w:rsidRPr="005B0931">
        <w:rPr>
          <w:sz w:val="20"/>
          <w:szCs w:val="20"/>
          <w:lang w:bidi="ar-EG"/>
        </w:rPr>
        <w:t xml:space="preserve"> Color Coded Duplex examination of the intracranial arterie</w:t>
      </w:r>
      <w:r w:rsidR="002A6D47" w:rsidRPr="005B0931">
        <w:rPr>
          <w:sz w:val="20"/>
          <w:szCs w:val="20"/>
          <w:lang w:bidi="ar-EG"/>
        </w:rPr>
        <w:t>s.</w:t>
      </w:r>
    </w:p>
    <w:p w:rsidR="009C6D70" w:rsidRPr="005B0931" w:rsidRDefault="009C6D70" w:rsidP="008620BE">
      <w:pPr>
        <w:bidi w:val="0"/>
        <w:snapToGrid w:val="0"/>
        <w:ind w:firstLine="425"/>
        <w:jc w:val="both"/>
        <w:rPr>
          <w:sz w:val="20"/>
          <w:szCs w:val="20"/>
          <w:lang w:bidi="ar-EG"/>
        </w:rPr>
      </w:pPr>
      <w:r w:rsidRPr="005B0931">
        <w:rPr>
          <w:sz w:val="20"/>
          <w:szCs w:val="20"/>
          <w:lang w:bidi="ar-EG"/>
        </w:rPr>
        <w:t>7. Computed Tomography (CT) scan will be applied via a Philips Brilliance 16 CT Scanner within 12 hours of the onset of symptoms and 72 hours later for the exclusion of hemorrhagic strokes and detection of the size and location of ischemic lesions.</w:t>
      </w:r>
    </w:p>
    <w:p w:rsidR="009C6D70" w:rsidRPr="005B0931" w:rsidRDefault="009C6D70" w:rsidP="008620BE">
      <w:pPr>
        <w:bidi w:val="0"/>
        <w:snapToGrid w:val="0"/>
        <w:ind w:firstLine="425"/>
        <w:jc w:val="both"/>
        <w:rPr>
          <w:sz w:val="20"/>
          <w:szCs w:val="20"/>
          <w:lang w:bidi="ar-EG"/>
        </w:rPr>
      </w:pPr>
      <w:r w:rsidRPr="005B0931">
        <w:rPr>
          <w:sz w:val="20"/>
          <w:szCs w:val="20"/>
          <w:lang w:bidi="ar-EG"/>
        </w:rPr>
        <w:t>Results will be correlated and analyzed.</w:t>
      </w:r>
    </w:p>
    <w:p w:rsidR="009C6D70" w:rsidRPr="005B0931" w:rsidRDefault="009C6D70" w:rsidP="008620BE">
      <w:pPr>
        <w:bidi w:val="0"/>
        <w:snapToGrid w:val="0"/>
        <w:jc w:val="both"/>
        <w:rPr>
          <w:sz w:val="20"/>
          <w:szCs w:val="20"/>
          <w:lang w:bidi="ar-EG"/>
        </w:rPr>
      </w:pPr>
      <w:r w:rsidRPr="005B0931">
        <w:rPr>
          <w:b/>
          <w:bCs/>
          <w:sz w:val="20"/>
          <w:szCs w:val="20"/>
          <w:lang w:bidi="ar-EG"/>
        </w:rPr>
        <w:t>Exclusion criteria</w:t>
      </w:r>
      <w:r w:rsidRPr="005B0931">
        <w:rPr>
          <w:sz w:val="20"/>
          <w:szCs w:val="20"/>
          <w:lang w:bidi="ar-EG"/>
        </w:rPr>
        <w:t>:</w:t>
      </w:r>
    </w:p>
    <w:p w:rsidR="009C6D70" w:rsidRPr="005B0931" w:rsidRDefault="009C6D70" w:rsidP="008620BE">
      <w:pPr>
        <w:bidi w:val="0"/>
        <w:snapToGrid w:val="0"/>
        <w:ind w:firstLine="425"/>
        <w:jc w:val="both"/>
        <w:rPr>
          <w:sz w:val="20"/>
          <w:szCs w:val="20"/>
          <w:lang w:bidi="ar-EG"/>
        </w:rPr>
      </w:pPr>
      <w:r w:rsidRPr="005B0931">
        <w:rPr>
          <w:sz w:val="20"/>
          <w:szCs w:val="20"/>
          <w:lang w:bidi="ar-EG"/>
        </w:rPr>
        <w:t>Patients with cerebr</w:t>
      </w:r>
      <w:r w:rsidR="00DD6C5C" w:rsidRPr="005B0931">
        <w:rPr>
          <w:sz w:val="20"/>
          <w:szCs w:val="20"/>
          <w:lang w:bidi="ar-EG"/>
        </w:rPr>
        <w:t>al hemorrhage will be excluded.</w:t>
      </w:r>
    </w:p>
    <w:p w:rsidR="009C6D70" w:rsidRPr="005B0931" w:rsidRDefault="00DD6C5C" w:rsidP="008620BE">
      <w:pPr>
        <w:bidi w:val="0"/>
        <w:snapToGrid w:val="0"/>
        <w:jc w:val="both"/>
        <w:rPr>
          <w:b/>
          <w:bCs/>
          <w:sz w:val="20"/>
          <w:szCs w:val="20"/>
        </w:rPr>
      </w:pPr>
      <w:r w:rsidRPr="005B0931">
        <w:rPr>
          <w:b/>
          <w:bCs/>
          <w:sz w:val="20"/>
          <w:szCs w:val="20"/>
        </w:rPr>
        <w:t>Statistics:</w:t>
      </w:r>
    </w:p>
    <w:p w:rsidR="002A6D47" w:rsidRPr="005B0931" w:rsidRDefault="009C6D70" w:rsidP="008620BE">
      <w:pPr>
        <w:bidi w:val="0"/>
        <w:snapToGrid w:val="0"/>
        <w:ind w:firstLine="425"/>
        <w:jc w:val="both"/>
        <w:rPr>
          <w:sz w:val="20"/>
          <w:szCs w:val="20"/>
          <w:lang w:bidi="ar-EG"/>
        </w:rPr>
      </w:pPr>
      <w:r w:rsidRPr="005B0931">
        <w:rPr>
          <w:sz w:val="20"/>
          <w:szCs w:val="20"/>
          <w:lang w:bidi="ar-EG"/>
        </w:rPr>
        <w:t>How to calculate the mean value for NIHSS, MMS</w:t>
      </w:r>
      <w:r w:rsidR="002A6D47" w:rsidRPr="005B0931">
        <w:rPr>
          <w:sz w:val="20"/>
          <w:szCs w:val="20"/>
          <w:lang w:bidi="ar-EG"/>
        </w:rPr>
        <w:t>E.</w:t>
      </w:r>
    </w:p>
    <w:p w:rsidR="002A6D47" w:rsidRPr="005B0931" w:rsidRDefault="009C6D70" w:rsidP="008620BE">
      <w:pPr>
        <w:bidi w:val="0"/>
        <w:snapToGrid w:val="0"/>
        <w:ind w:firstLine="425"/>
        <w:jc w:val="both"/>
        <w:rPr>
          <w:sz w:val="20"/>
          <w:szCs w:val="20"/>
          <w:lang w:bidi="ar-EG"/>
        </w:rPr>
      </w:pPr>
      <w:r w:rsidRPr="005B0931">
        <w:rPr>
          <w:sz w:val="20"/>
          <w:szCs w:val="20"/>
          <w:lang w:bidi="ar-EG"/>
        </w:rPr>
        <w:t>Example of NIHS</w:t>
      </w:r>
      <w:r w:rsidR="002A6D47" w:rsidRPr="005B0931">
        <w:rPr>
          <w:sz w:val="20"/>
          <w:szCs w:val="20"/>
          <w:lang w:bidi="ar-EG"/>
        </w:rPr>
        <w:t>S.</w:t>
      </w:r>
    </w:p>
    <w:p w:rsidR="008F5126" w:rsidRPr="005B0931" w:rsidRDefault="008F5126" w:rsidP="008620BE">
      <w:pPr>
        <w:bidi w:val="0"/>
        <w:snapToGrid w:val="0"/>
        <w:ind w:firstLine="425"/>
        <w:jc w:val="both"/>
        <w:rPr>
          <w:sz w:val="20"/>
          <w:szCs w:val="20"/>
          <w:lang w:bidi="ar-EG"/>
        </w:rPr>
      </w:pPr>
    </w:p>
    <w:tbl>
      <w:tblPr>
        <w:tblStyle w:val="TableGrid"/>
        <w:tblW w:w="5000" w:type="pct"/>
        <w:jc w:val="center"/>
        <w:tblLook w:val="04A0"/>
      </w:tblPr>
      <w:tblGrid>
        <w:gridCol w:w="1871"/>
        <w:gridCol w:w="325"/>
        <w:gridCol w:w="497"/>
        <w:gridCol w:w="497"/>
        <w:gridCol w:w="703"/>
        <w:gridCol w:w="703"/>
      </w:tblGrid>
      <w:tr w:rsidR="00957A59" w:rsidRPr="005B0931" w:rsidTr="005B0931">
        <w:trPr>
          <w:jc w:val="center"/>
        </w:trPr>
        <w:tc>
          <w:tcPr>
            <w:tcW w:w="2034" w:type="pct"/>
            <w:vAlign w:val="center"/>
          </w:tcPr>
          <w:p w:rsidR="009C6D70" w:rsidRPr="005B0931" w:rsidRDefault="00531CD4" w:rsidP="008620BE">
            <w:pPr>
              <w:bidi w:val="0"/>
              <w:snapToGrid w:val="0"/>
              <w:jc w:val="both"/>
              <w:rPr>
                <w:sz w:val="20"/>
                <w:szCs w:val="20"/>
                <w:lang w:bidi="ar-EG"/>
              </w:rPr>
            </w:pPr>
            <w:proofErr w:type="spellStart"/>
            <w:r w:rsidRPr="005B0931">
              <w:rPr>
                <w:sz w:val="20"/>
                <w:szCs w:val="20"/>
                <w:lang w:bidi="ar-EG"/>
              </w:rPr>
              <w:t>Nihss</w:t>
            </w:r>
            <w:proofErr w:type="spellEnd"/>
            <w:r w:rsidRPr="005B0931">
              <w:rPr>
                <w:sz w:val="20"/>
                <w:szCs w:val="20"/>
                <w:lang w:bidi="ar-EG"/>
              </w:rPr>
              <w:t xml:space="preserve"> Value</w:t>
            </w:r>
          </w:p>
        </w:tc>
        <w:tc>
          <w:tcPr>
            <w:tcW w:w="354" w:type="pct"/>
            <w:vAlign w:val="center"/>
          </w:tcPr>
          <w:p w:rsidR="009C6D70" w:rsidRPr="005B0931" w:rsidRDefault="00531CD4" w:rsidP="008620BE">
            <w:pPr>
              <w:bidi w:val="0"/>
              <w:snapToGrid w:val="0"/>
              <w:jc w:val="both"/>
              <w:rPr>
                <w:sz w:val="20"/>
                <w:szCs w:val="20"/>
                <w:lang w:bidi="ar-EG"/>
              </w:rPr>
            </w:pPr>
            <w:r w:rsidRPr="005B0931">
              <w:rPr>
                <w:sz w:val="20"/>
                <w:szCs w:val="20"/>
                <w:lang w:bidi="ar-EG"/>
              </w:rPr>
              <w:t>0</w:t>
            </w:r>
          </w:p>
        </w:tc>
        <w:tc>
          <w:tcPr>
            <w:tcW w:w="541" w:type="pct"/>
            <w:vAlign w:val="center"/>
          </w:tcPr>
          <w:p w:rsidR="009C6D70" w:rsidRPr="005B0931" w:rsidRDefault="00531CD4" w:rsidP="008620BE">
            <w:pPr>
              <w:bidi w:val="0"/>
              <w:snapToGrid w:val="0"/>
              <w:jc w:val="both"/>
              <w:rPr>
                <w:sz w:val="20"/>
                <w:szCs w:val="20"/>
                <w:lang w:bidi="ar-EG"/>
              </w:rPr>
            </w:pPr>
            <w:r w:rsidRPr="005B0931">
              <w:rPr>
                <w:sz w:val="20"/>
                <w:szCs w:val="20"/>
                <w:lang w:bidi="ar-EG"/>
              </w:rPr>
              <w:t>1-4</w:t>
            </w:r>
          </w:p>
        </w:tc>
        <w:tc>
          <w:tcPr>
            <w:tcW w:w="541" w:type="pct"/>
            <w:vAlign w:val="center"/>
          </w:tcPr>
          <w:p w:rsidR="009C6D70" w:rsidRPr="005B0931" w:rsidRDefault="00531CD4" w:rsidP="008620BE">
            <w:pPr>
              <w:bidi w:val="0"/>
              <w:snapToGrid w:val="0"/>
              <w:jc w:val="both"/>
              <w:rPr>
                <w:sz w:val="20"/>
                <w:szCs w:val="20"/>
                <w:lang w:bidi="ar-EG"/>
              </w:rPr>
            </w:pPr>
            <w:r w:rsidRPr="005B0931">
              <w:rPr>
                <w:sz w:val="20"/>
                <w:szCs w:val="20"/>
                <w:lang w:bidi="ar-EG"/>
              </w:rPr>
              <w:t>5-9</w:t>
            </w:r>
          </w:p>
        </w:tc>
        <w:tc>
          <w:tcPr>
            <w:tcW w:w="765" w:type="pct"/>
            <w:vAlign w:val="center"/>
          </w:tcPr>
          <w:p w:rsidR="009C6D70" w:rsidRPr="005B0931" w:rsidRDefault="00531CD4" w:rsidP="008620BE">
            <w:pPr>
              <w:bidi w:val="0"/>
              <w:snapToGrid w:val="0"/>
              <w:jc w:val="both"/>
              <w:rPr>
                <w:sz w:val="20"/>
                <w:szCs w:val="20"/>
                <w:lang w:bidi="ar-EG"/>
              </w:rPr>
            </w:pPr>
            <w:r w:rsidRPr="005B0931">
              <w:rPr>
                <w:sz w:val="20"/>
                <w:szCs w:val="20"/>
                <w:lang w:bidi="ar-EG"/>
              </w:rPr>
              <w:t>10-20</w:t>
            </w:r>
          </w:p>
        </w:tc>
        <w:tc>
          <w:tcPr>
            <w:tcW w:w="765" w:type="pct"/>
            <w:vAlign w:val="center"/>
          </w:tcPr>
          <w:p w:rsidR="009C6D70" w:rsidRPr="005B0931" w:rsidRDefault="00531CD4" w:rsidP="008620BE">
            <w:pPr>
              <w:bidi w:val="0"/>
              <w:snapToGrid w:val="0"/>
              <w:jc w:val="both"/>
              <w:rPr>
                <w:sz w:val="20"/>
                <w:szCs w:val="20"/>
                <w:lang w:bidi="ar-EG"/>
              </w:rPr>
            </w:pPr>
            <w:r w:rsidRPr="005B0931">
              <w:rPr>
                <w:sz w:val="20"/>
                <w:szCs w:val="20"/>
                <w:lang w:bidi="ar-EG"/>
              </w:rPr>
              <w:t>21-24</w:t>
            </w:r>
          </w:p>
        </w:tc>
      </w:tr>
      <w:tr w:rsidR="00957A59" w:rsidRPr="005B0931" w:rsidTr="005B0931">
        <w:trPr>
          <w:jc w:val="center"/>
        </w:trPr>
        <w:tc>
          <w:tcPr>
            <w:tcW w:w="2034" w:type="pct"/>
            <w:vAlign w:val="center"/>
          </w:tcPr>
          <w:p w:rsidR="009C6D70" w:rsidRPr="005B0931" w:rsidRDefault="00531CD4" w:rsidP="008620BE">
            <w:pPr>
              <w:bidi w:val="0"/>
              <w:snapToGrid w:val="0"/>
              <w:jc w:val="both"/>
              <w:rPr>
                <w:sz w:val="20"/>
                <w:szCs w:val="20"/>
                <w:lang w:bidi="ar-EG"/>
              </w:rPr>
            </w:pPr>
            <w:r w:rsidRPr="005B0931">
              <w:rPr>
                <w:sz w:val="20"/>
                <w:szCs w:val="20"/>
                <w:lang w:bidi="ar-EG"/>
              </w:rPr>
              <w:t>Number Of Patients</w:t>
            </w:r>
          </w:p>
        </w:tc>
        <w:tc>
          <w:tcPr>
            <w:tcW w:w="354" w:type="pct"/>
            <w:vAlign w:val="center"/>
          </w:tcPr>
          <w:p w:rsidR="009C6D70" w:rsidRPr="005B0931" w:rsidRDefault="00531CD4" w:rsidP="008620BE">
            <w:pPr>
              <w:bidi w:val="0"/>
              <w:snapToGrid w:val="0"/>
              <w:jc w:val="both"/>
              <w:rPr>
                <w:sz w:val="20"/>
                <w:szCs w:val="20"/>
                <w:lang w:bidi="ar-EG"/>
              </w:rPr>
            </w:pPr>
            <w:r w:rsidRPr="005B0931">
              <w:rPr>
                <w:sz w:val="20"/>
                <w:szCs w:val="20"/>
                <w:lang w:bidi="ar-EG"/>
              </w:rPr>
              <w:t>-</w:t>
            </w:r>
          </w:p>
        </w:tc>
        <w:tc>
          <w:tcPr>
            <w:tcW w:w="541" w:type="pct"/>
            <w:vAlign w:val="center"/>
          </w:tcPr>
          <w:p w:rsidR="009C6D70" w:rsidRPr="005B0931" w:rsidRDefault="00531CD4" w:rsidP="008620BE">
            <w:pPr>
              <w:bidi w:val="0"/>
              <w:snapToGrid w:val="0"/>
              <w:jc w:val="both"/>
              <w:rPr>
                <w:sz w:val="20"/>
                <w:szCs w:val="20"/>
                <w:lang w:bidi="ar-EG"/>
              </w:rPr>
            </w:pPr>
            <w:r w:rsidRPr="005B0931">
              <w:rPr>
                <w:sz w:val="20"/>
                <w:szCs w:val="20"/>
                <w:lang w:bidi="ar-EG"/>
              </w:rPr>
              <w:t>1</w:t>
            </w:r>
          </w:p>
        </w:tc>
        <w:tc>
          <w:tcPr>
            <w:tcW w:w="541" w:type="pct"/>
            <w:vAlign w:val="center"/>
          </w:tcPr>
          <w:p w:rsidR="009C6D70" w:rsidRPr="005B0931" w:rsidRDefault="00531CD4" w:rsidP="008620BE">
            <w:pPr>
              <w:bidi w:val="0"/>
              <w:snapToGrid w:val="0"/>
              <w:jc w:val="both"/>
              <w:rPr>
                <w:sz w:val="20"/>
                <w:szCs w:val="20"/>
                <w:lang w:bidi="ar-EG"/>
              </w:rPr>
            </w:pPr>
            <w:r w:rsidRPr="005B0931">
              <w:rPr>
                <w:sz w:val="20"/>
                <w:szCs w:val="20"/>
                <w:lang w:bidi="ar-EG"/>
              </w:rPr>
              <w:t>4</w:t>
            </w:r>
          </w:p>
        </w:tc>
        <w:tc>
          <w:tcPr>
            <w:tcW w:w="765" w:type="pct"/>
            <w:vAlign w:val="center"/>
          </w:tcPr>
          <w:p w:rsidR="009C6D70" w:rsidRPr="005B0931" w:rsidRDefault="00531CD4" w:rsidP="008620BE">
            <w:pPr>
              <w:bidi w:val="0"/>
              <w:snapToGrid w:val="0"/>
              <w:jc w:val="both"/>
              <w:rPr>
                <w:sz w:val="20"/>
                <w:szCs w:val="20"/>
                <w:lang w:bidi="ar-EG"/>
              </w:rPr>
            </w:pPr>
            <w:r w:rsidRPr="005B0931">
              <w:rPr>
                <w:sz w:val="20"/>
                <w:szCs w:val="20"/>
                <w:lang w:bidi="ar-EG"/>
              </w:rPr>
              <w:t>7</w:t>
            </w:r>
          </w:p>
        </w:tc>
        <w:tc>
          <w:tcPr>
            <w:tcW w:w="765" w:type="pct"/>
            <w:vAlign w:val="center"/>
          </w:tcPr>
          <w:p w:rsidR="009C6D70" w:rsidRPr="005B0931" w:rsidRDefault="00531CD4" w:rsidP="008620BE">
            <w:pPr>
              <w:bidi w:val="0"/>
              <w:snapToGrid w:val="0"/>
              <w:jc w:val="both"/>
              <w:rPr>
                <w:sz w:val="20"/>
                <w:szCs w:val="20"/>
                <w:lang w:bidi="ar-EG"/>
              </w:rPr>
            </w:pPr>
            <w:r w:rsidRPr="005B0931">
              <w:rPr>
                <w:sz w:val="20"/>
                <w:szCs w:val="20"/>
                <w:lang w:bidi="ar-EG"/>
              </w:rPr>
              <w:t>1</w:t>
            </w:r>
          </w:p>
        </w:tc>
      </w:tr>
    </w:tbl>
    <w:p w:rsidR="0062070F" w:rsidRPr="005B0931" w:rsidRDefault="0062070F" w:rsidP="008620BE">
      <w:pPr>
        <w:pStyle w:val="ListParagraph"/>
        <w:snapToGrid w:val="0"/>
        <w:ind w:left="425"/>
        <w:jc w:val="both"/>
        <w:rPr>
          <w:sz w:val="20"/>
          <w:szCs w:val="20"/>
          <w:u w:val="single"/>
          <w:lang w:bidi="ar-EG"/>
        </w:rPr>
      </w:pPr>
    </w:p>
    <w:p w:rsidR="009C6D70" w:rsidRPr="005B0931" w:rsidRDefault="009C6D70" w:rsidP="008620BE">
      <w:pPr>
        <w:pStyle w:val="ListParagraph"/>
        <w:numPr>
          <w:ilvl w:val="0"/>
          <w:numId w:val="10"/>
        </w:numPr>
        <w:snapToGrid w:val="0"/>
        <w:ind w:left="0" w:firstLine="425"/>
        <w:jc w:val="both"/>
        <w:rPr>
          <w:sz w:val="20"/>
          <w:szCs w:val="20"/>
          <w:u w:val="single"/>
          <w:lang w:bidi="ar-EG"/>
        </w:rPr>
      </w:pPr>
      <w:r w:rsidRPr="005B0931">
        <w:rPr>
          <w:sz w:val="20"/>
          <w:szCs w:val="20"/>
          <w:u w:val="single"/>
          <w:lang w:bidi="ar-EG"/>
        </w:rPr>
        <w:t>Frequency and midpoint</w:t>
      </w:r>
      <w:r w:rsidR="002A6D47" w:rsidRPr="005B0931">
        <w:rPr>
          <w:sz w:val="20"/>
          <w:szCs w:val="20"/>
          <w:u w:val="single"/>
          <w:lang w:bidi="ar-EG"/>
        </w:rPr>
        <w:t>:</w:t>
      </w:r>
    </w:p>
    <w:p w:rsidR="009C6D70" w:rsidRPr="005B0931" w:rsidRDefault="009C6D70" w:rsidP="008620BE">
      <w:pPr>
        <w:pStyle w:val="ListParagraph"/>
        <w:numPr>
          <w:ilvl w:val="0"/>
          <w:numId w:val="11"/>
        </w:numPr>
        <w:snapToGrid w:val="0"/>
        <w:ind w:left="0" w:firstLine="425"/>
        <w:jc w:val="both"/>
        <w:rPr>
          <w:sz w:val="20"/>
          <w:szCs w:val="20"/>
          <w:lang w:bidi="ar-EG"/>
        </w:rPr>
      </w:pPr>
      <w:r w:rsidRPr="005B0931">
        <w:rPr>
          <w:sz w:val="20"/>
          <w:szCs w:val="20"/>
          <w:lang w:bidi="ar-EG"/>
        </w:rPr>
        <w:t>First column</w:t>
      </w:r>
      <w:r w:rsidR="002A6D47" w:rsidRPr="005B0931">
        <w:rPr>
          <w:sz w:val="20"/>
          <w:szCs w:val="20"/>
          <w:lang w:bidi="ar-EG"/>
        </w:rPr>
        <w:t>:</w:t>
      </w:r>
      <w:r w:rsidRPr="005B0931">
        <w:rPr>
          <w:sz w:val="20"/>
          <w:szCs w:val="20"/>
          <w:lang w:bidi="ar-EG"/>
        </w:rPr>
        <w:t xml:space="preserve"> Frequenc</w:t>
      </w:r>
      <w:r w:rsidR="0062070F" w:rsidRPr="005B0931">
        <w:rPr>
          <w:sz w:val="20"/>
          <w:szCs w:val="20"/>
          <w:lang w:bidi="ar-EG"/>
        </w:rPr>
        <w:t>y (</w:t>
      </w:r>
      <w:r w:rsidRPr="005B0931">
        <w:rPr>
          <w:sz w:val="20"/>
          <w:szCs w:val="20"/>
          <w:lang w:bidi="ar-EG"/>
        </w:rPr>
        <w:t>f) = 1</w:t>
      </w:r>
    </w:p>
    <w:p w:rsidR="009C6D70" w:rsidRPr="005B0931" w:rsidRDefault="009C6D70" w:rsidP="008620BE">
      <w:pPr>
        <w:pStyle w:val="ListParagraph"/>
        <w:snapToGrid w:val="0"/>
        <w:ind w:left="0" w:firstLine="425"/>
        <w:jc w:val="both"/>
        <w:rPr>
          <w:sz w:val="20"/>
          <w:szCs w:val="20"/>
          <w:lang w:bidi="ar-EG"/>
        </w:rPr>
      </w:pPr>
      <w:r w:rsidRPr="005B0931">
        <w:rPr>
          <w:sz w:val="20"/>
          <w:szCs w:val="20"/>
          <w:lang w:bidi="ar-EG"/>
        </w:rPr>
        <w:t>Midpoint = 1 + 4 = 5/2 = 2.5</w:t>
      </w:r>
    </w:p>
    <w:p w:rsidR="009C6D70" w:rsidRPr="005B0931" w:rsidRDefault="009C6D70" w:rsidP="008620BE">
      <w:pPr>
        <w:pStyle w:val="ListParagraph"/>
        <w:numPr>
          <w:ilvl w:val="0"/>
          <w:numId w:val="11"/>
        </w:numPr>
        <w:snapToGrid w:val="0"/>
        <w:ind w:left="0" w:firstLine="425"/>
        <w:jc w:val="both"/>
        <w:rPr>
          <w:sz w:val="20"/>
          <w:szCs w:val="20"/>
          <w:lang w:bidi="ar-EG"/>
        </w:rPr>
      </w:pPr>
      <w:r w:rsidRPr="005B0931">
        <w:rPr>
          <w:sz w:val="20"/>
          <w:szCs w:val="20"/>
          <w:lang w:bidi="ar-EG"/>
        </w:rPr>
        <w:t>Second column</w:t>
      </w:r>
      <w:r w:rsidR="002A6D47" w:rsidRPr="005B0931">
        <w:rPr>
          <w:sz w:val="20"/>
          <w:szCs w:val="20"/>
          <w:lang w:bidi="ar-EG"/>
        </w:rPr>
        <w:t>:</w:t>
      </w:r>
      <w:r w:rsidRPr="005B0931">
        <w:rPr>
          <w:sz w:val="20"/>
          <w:szCs w:val="20"/>
          <w:lang w:bidi="ar-EG"/>
        </w:rPr>
        <w:t xml:space="preserve"> f = 4</w:t>
      </w:r>
    </w:p>
    <w:p w:rsidR="009C6D70" w:rsidRPr="005B0931" w:rsidRDefault="009C6D70" w:rsidP="008620BE">
      <w:pPr>
        <w:pStyle w:val="ListParagraph"/>
        <w:snapToGrid w:val="0"/>
        <w:ind w:left="0" w:firstLine="425"/>
        <w:jc w:val="both"/>
        <w:rPr>
          <w:sz w:val="20"/>
          <w:szCs w:val="20"/>
          <w:lang w:bidi="ar-EG"/>
        </w:rPr>
      </w:pPr>
      <w:r w:rsidRPr="005B0931">
        <w:rPr>
          <w:sz w:val="20"/>
          <w:szCs w:val="20"/>
          <w:lang w:bidi="ar-EG"/>
        </w:rPr>
        <w:t>Midpoint = 5 + 9 = 14/2 = 7</w:t>
      </w:r>
    </w:p>
    <w:p w:rsidR="009C6D70" w:rsidRPr="005B0931" w:rsidRDefault="009C6D70" w:rsidP="008620BE">
      <w:pPr>
        <w:pStyle w:val="ListParagraph"/>
        <w:numPr>
          <w:ilvl w:val="0"/>
          <w:numId w:val="11"/>
        </w:numPr>
        <w:snapToGrid w:val="0"/>
        <w:ind w:left="0" w:firstLine="425"/>
        <w:jc w:val="both"/>
        <w:rPr>
          <w:sz w:val="20"/>
          <w:szCs w:val="20"/>
          <w:lang w:bidi="ar-EG"/>
        </w:rPr>
      </w:pPr>
      <w:r w:rsidRPr="005B0931">
        <w:rPr>
          <w:sz w:val="20"/>
          <w:szCs w:val="20"/>
          <w:lang w:bidi="ar-EG"/>
        </w:rPr>
        <w:t>Third column</w:t>
      </w:r>
      <w:r w:rsidR="002A6D47" w:rsidRPr="005B0931">
        <w:rPr>
          <w:sz w:val="20"/>
          <w:szCs w:val="20"/>
          <w:lang w:bidi="ar-EG"/>
        </w:rPr>
        <w:t>:</w:t>
      </w:r>
      <w:r w:rsidRPr="005B0931">
        <w:rPr>
          <w:sz w:val="20"/>
          <w:szCs w:val="20"/>
          <w:lang w:bidi="ar-EG"/>
        </w:rPr>
        <w:t xml:space="preserve"> f = 7</w:t>
      </w:r>
    </w:p>
    <w:p w:rsidR="009C6D70" w:rsidRPr="005B0931" w:rsidRDefault="009C6D70" w:rsidP="008620BE">
      <w:pPr>
        <w:pStyle w:val="ListParagraph"/>
        <w:snapToGrid w:val="0"/>
        <w:ind w:left="0" w:firstLine="425"/>
        <w:jc w:val="both"/>
        <w:rPr>
          <w:sz w:val="20"/>
          <w:szCs w:val="20"/>
          <w:lang w:bidi="ar-EG"/>
        </w:rPr>
      </w:pPr>
      <w:r w:rsidRPr="005B0931">
        <w:rPr>
          <w:sz w:val="20"/>
          <w:szCs w:val="20"/>
          <w:lang w:bidi="ar-EG"/>
        </w:rPr>
        <w:t>Midpoint = 10 + 20 = 30/2 = 15</w:t>
      </w:r>
    </w:p>
    <w:p w:rsidR="009C6D70" w:rsidRPr="005B0931" w:rsidRDefault="009C6D70" w:rsidP="008620BE">
      <w:pPr>
        <w:pStyle w:val="ListParagraph"/>
        <w:numPr>
          <w:ilvl w:val="0"/>
          <w:numId w:val="11"/>
        </w:numPr>
        <w:snapToGrid w:val="0"/>
        <w:ind w:left="0" w:firstLine="425"/>
        <w:jc w:val="both"/>
        <w:rPr>
          <w:sz w:val="20"/>
          <w:szCs w:val="20"/>
          <w:lang w:bidi="ar-EG"/>
        </w:rPr>
      </w:pPr>
      <w:r w:rsidRPr="005B0931">
        <w:rPr>
          <w:sz w:val="20"/>
          <w:szCs w:val="20"/>
          <w:lang w:bidi="ar-EG"/>
        </w:rPr>
        <w:t>Fourth column</w:t>
      </w:r>
      <w:r w:rsidR="002A6D47" w:rsidRPr="005B0931">
        <w:rPr>
          <w:sz w:val="20"/>
          <w:szCs w:val="20"/>
          <w:lang w:bidi="ar-EG"/>
        </w:rPr>
        <w:t>:</w:t>
      </w:r>
      <w:r w:rsidRPr="005B0931">
        <w:rPr>
          <w:sz w:val="20"/>
          <w:szCs w:val="20"/>
          <w:lang w:bidi="ar-EG"/>
        </w:rPr>
        <w:t xml:space="preserve"> f = 1</w:t>
      </w:r>
    </w:p>
    <w:p w:rsidR="009C6D70" w:rsidRPr="005B0931" w:rsidRDefault="009C6D70" w:rsidP="008620BE">
      <w:pPr>
        <w:pStyle w:val="ListParagraph"/>
        <w:snapToGrid w:val="0"/>
        <w:ind w:left="0" w:firstLine="425"/>
        <w:jc w:val="both"/>
        <w:rPr>
          <w:sz w:val="20"/>
          <w:szCs w:val="20"/>
          <w:lang w:bidi="ar-EG"/>
        </w:rPr>
      </w:pPr>
      <w:r w:rsidRPr="005B0931">
        <w:rPr>
          <w:sz w:val="20"/>
          <w:szCs w:val="20"/>
          <w:lang w:bidi="ar-EG"/>
        </w:rPr>
        <w:t>Midpoint = 21 + 24 = 45/2 = 22.5</w:t>
      </w:r>
    </w:p>
    <w:p w:rsidR="009C6D70" w:rsidRPr="005B0931" w:rsidRDefault="009C6D70" w:rsidP="008620BE">
      <w:pPr>
        <w:pStyle w:val="ListParagraph"/>
        <w:numPr>
          <w:ilvl w:val="0"/>
          <w:numId w:val="10"/>
        </w:numPr>
        <w:snapToGrid w:val="0"/>
        <w:ind w:left="0" w:firstLine="425"/>
        <w:jc w:val="both"/>
        <w:rPr>
          <w:sz w:val="20"/>
          <w:szCs w:val="20"/>
          <w:lang w:bidi="ar-EG"/>
        </w:rPr>
      </w:pPr>
      <w:r w:rsidRPr="005B0931">
        <w:rPr>
          <w:sz w:val="20"/>
          <w:szCs w:val="20"/>
          <w:u w:val="single"/>
          <w:lang w:bidi="ar-EG"/>
        </w:rPr>
        <w:t>Midpoint (m) X Frequenc</w:t>
      </w:r>
      <w:r w:rsidR="0062070F" w:rsidRPr="005B0931">
        <w:rPr>
          <w:sz w:val="20"/>
          <w:szCs w:val="20"/>
          <w:u w:val="single"/>
          <w:lang w:bidi="ar-EG"/>
        </w:rPr>
        <w:t>y (</w:t>
      </w:r>
      <w:r w:rsidRPr="005B0931">
        <w:rPr>
          <w:sz w:val="20"/>
          <w:szCs w:val="20"/>
          <w:u w:val="single"/>
          <w:lang w:bidi="ar-EG"/>
        </w:rPr>
        <w:t>f)</w:t>
      </w:r>
      <w:r w:rsidR="002A6D47" w:rsidRPr="005B0931">
        <w:rPr>
          <w:sz w:val="20"/>
          <w:szCs w:val="20"/>
          <w:lang w:bidi="ar-EG"/>
        </w:rPr>
        <w:t>:</w:t>
      </w:r>
    </w:p>
    <w:p w:rsidR="009C6D70" w:rsidRPr="005B0931" w:rsidRDefault="009C6D70" w:rsidP="008620BE">
      <w:pPr>
        <w:bidi w:val="0"/>
        <w:snapToGrid w:val="0"/>
        <w:ind w:firstLine="425"/>
        <w:jc w:val="both"/>
        <w:rPr>
          <w:sz w:val="20"/>
          <w:szCs w:val="20"/>
          <w:lang w:bidi="ar-EG"/>
        </w:rPr>
      </w:pPr>
      <w:r w:rsidRPr="005B0931">
        <w:rPr>
          <w:sz w:val="20"/>
          <w:szCs w:val="20"/>
          <w:lang w:bidi="ar-EG"/>
        </w:rPr>
        <w:t>2.5 + 28 + 105 + 22.5 = 158</w:t>
      </w:r>
    </w:p>
    <w:p w:rsidR="009C6D70" w:rsidRPr="005B0931" w:rsidRDefault="009C6D70" w:rsidP="008620BE">
      <w:pPr>
        <w:pStyle w:val="ListParagraph"/>
        <w:numPr>
          <w:ilvl w:val="0"/>
          <w:numId w:val="10"/>
        </w:numPr>
        <w:snapToGrid w:val="0"/>
        <w:ind w:left="0" w:firstLine="425"/>
        <w:jc w:val="both"/>
        <w:rPr>
          <w:sz w:val="20"/>
          <w:szCs w:val="20"/>
          <w:u w:val="single"/>
          <w:lang w:bidi="ar-EG"/>
        </w:rPr>
      </w:pPr>
      <w:r w:rsidRPr="005B0931">
        <w:rPr>
          <w:sz w:val="20"/>
          <w:szCs w:val="20"/>
          <w:u w:val="single"/>
          <w:lang w:bidi="ar-EG"/>
        </w:rPr>
        <w:t>Sum of (f)</w:t>
      </w:r>
      <w:r w:rsidR="002A6D47" w:rsidRPr="005B0931">
        <w:rPr>
          <w:sz w:val="20"/>
          <w:szCs w:val="20"/>
          <w:u w:val="single"/>
          <w:lang w:bidi="ar-EG"/>
        </w:rPr>
        <w:t>:</w:t>
      </w:r>
    </w:p>
    <w:p w:rsidR="009C6D70" w:rsidRPr="005B0931" w:rsidRDefault="009C6D70" w:rsidP="008620BE">
      <w:pPr>
        <w:bidi w:val="0"/>
        <w:snapToGrid w:val="0"/>
        <w:ind w:firstLine="425"/>
        <w:jc w:val="both"/>
        <w:rPr>
          <w:sz w:val="20"/>
          <w:szCs w:val="20"/>
          <w:lang w:bidi="ar-EG"/>
        </w:rPr>
      </w:pPr>
      <w:r w:rsidRPr="005B0931">
        <w:rPr>
          <w:sz w:val="20"/>
          <w:szCs w:val="20"/>
          <w:lang w:bidi="ar-EG"/>
        </w:rPr>
        <w:t>1 + 4 + 7 +1 = 13</w:t>
      </w:r>
    </w:p>
    <w:p w:rsidR="00957A59" w:rsidRPr="005B0931" w:rsidRDefault="009C6D70" w:rsidP="008620BE">
      <w:pPr>
        <w:pStyle w:val="ListParagraph"/>
        <w:numPr>
          <w:ilvl w:val="0"/>
          <w:numId w:val="10"/>
        </w:numPr>
        <w:snapToGrid w:val="0"/>
        <w:ind w:left="0" w:firstLine="425"/>
        <w:jc w:val="both"/>
        <w:rPr>
          <w:sz w:val="20"/>
          <w:szCs w:val="20"/>
          <w:lang w:bidi="ar-EG"/>
        </w:rPr>
      </w:pPr>
      <w:r w:rsidRPr="005B0931">
        <w:rPr>
          <w:sz w:val="20"/>
          <w:szCs w:val="20"/>
          <w:lang w:bidi="ar-EG"/>
        </w:rPr>
        <w:t>Sum of ( midpoint X frequency) / sum of frequency = Mean value</w:t>
      </w:r>
    </w:p>
    <w:p w:rsidR="009C6D70" w:rsidRPr="005B0931" w:rsidRDefault="00957A59" w:rsidP="008620BE">
      <w:pPr>
        <w:pStyle w:val="ListParagraph"/>
        <w:snapToGrid w:val="0"/>
        <w:ind w:left="0" w:firstLine="425"/>
        <w:jc w:val="both"/>
        <w:rPr>
          <w:sz w:val="20"/>
          <w:szCs w:val="20"/>
          <w:lang w:bidi="ar-EG"/>
        </w:rPr>
      </w:pPr>
      <w:r w:rsidRPr="005B0931">
        <w:rPr>
          <w:sz w:val="20"/>
          <w:szCs w:val="20"/>
          <w:lang w:bidi="ar-EG"/>
        </w:rPr>
        <w:t>158 / 13 = 12.15</w:t>
      </w:r>
    </w:p>
    <w:p w:rsidR="0062070F" w:rsidRDefault="0062070F" w:rsidP="008620BE">
      <w:pPr>
        <w:bidi w:val="0"/>
        <w:snapToGrid w:val="0"/>
        <w:jc w:val="both"/>
        <w:outlineLvl w:val="0"/>
        <w:rPr>
          <w:rFonts w:eastAsiaTheme="minorEastAsia" w:hint="eastAsia"/>
          <w:b/>
          <w:bCs/>
          <w:smallCaps/>
          <w:sz w:val="20"/>
          <w:szCs w:val="20"/>
          <w:lang w:eastAsia="zh-CN" w:bidi="ar-EG"/>
        </w:rPr>
      </w:pPr>
    </w:p>
    <w:p w:rsidR="005B0931" w:rsidRDefault="005B0931" w:rsidP="005B0931">
      <w:pPr>
        <w:bidi w:val="0"/>
        <w:snapToGrid w:val="0"/>
        <w:jc w:val="both"/>
        <w:outlineLvl w:val="0"/>
        <w:rPr>
          <w:rFonts w:eastAsiaTheme="minorEastAsia" w:hint="eastAsia"/>
          <w:b/>
          <w:bCs/>
          <w:smallCaps/>
          <w:sz w:val="20"/>
          <w:szCs w:val="20"/>
          <w:lang w:eastAsia="zh-CN" w:bidi="ar-EG"/>
        </w:rPr>
      </w:pPr>
      <w:r w:rsidRPr="005B0931">
        <w:rPr>
          <w:b/>
          <w:sz w:val="20"/>
          <w:szCs w:val="20"/>
          <w:lang w:bidi="ar-EG"/>
        </w:rPr>
        <w:t>3. Results</w:t>
      </w:r>
      <w:r>
        <w:rPr>
          <w:rFonts w:eastAsiaTheme="minorEastAsia" w:hint="eastAsia"/>
          <w:b/>
          <w:sz w:val="20"/>
          <w:szCs w:val="20"/>
          <w:lang w:eastAsia="zh-CN" w:bidi="ar-EG"/>
        </w:rPr>
        <w:t xml:space="preserve"> </w:t>
      </w:r>
    </w:p>
    <w:p w:rsidR="005B0931" w:rsidRPr="005B0931" w:rsidRDefault="005B0931" w:rsidP="005B0931">
      <w:pPr>
        <w:bidi w:val="0"/>
        <w:snapToGrid w:val="0"/>
        <w:jc w:val="both"/>
        <w:outlineLvl w:val="0"/>
        <w:rPr>
          <w:rFonts w:eastAsiaTheme="minorEastAsia" w:hint="eastAsia"/>
          <w:b/>
          <w:bCs/>
          <w:smallCaps/>
          <w:sz w:val="20"/>
          <w:szCs w:val="20"/>
          <w:lang w:eastAsia="zh-CN" w:bidi="ar-EG"/>
        </w:rPr>
        <w:sectPr w:rsidR="005B0931" w:rsidRPr="005B0931" w:rsidSect="002A6D47">
          <w:headerReference w:type="default" r:id="rId12"/>
          <w:footerReference w:type="default" r:id="rId13"/>
          <w:type w:val="continuous"/>
          <w:pgSz w:w="12240" w:h="15840" w:code="1"/>
          <w:pgMar w:top="1440" w:right="1440" w:bottom="1440" w:left="1440" w:header="720" w:footer="720" w:gutter="0"/>
          <w:cols w:num="2" w:space="600"/>
          <w:docGrid w:linePitch="360"/>
        </w:sectPr>
      </w:pPr>
    </w:p>
    <w:p w:rsidR="008F5126" w:rsidRPr="005B0931" w:rsidRDefault="008F5126" w:rsidP="008620BE">
      <w:pPr>
        <w:bidi w:val="0"/>
        <w:snapToGrid w:val="0"/>
        <w:jc w:val="both"/>
        <w:outlineLvl w:val="0"/>
        <w:rPr>
          <w:b/>
          <w:bCs/>
          <w:smallCaps/>
          <w:sz w:val="20"/>
          <w:szCs w:val="20"/>
          <w:lang w:bidi="ar-EG"/>
        </w:rPr>
      </w:pPr>
    </w:p>
    <w:p w:rsidR="00753C57" w:rsidRPr="005B0931" w:rsidRDefault="00753C57" w:rsidP="008620BE">
      <w:pPr>
        <w:bidi w:val="0"/>
        <w:snapToGrid w:val="0"/>
        <w:jc w:val="both"/>
        <w:rPr>
          <w:rFonts w:eastAsia="Calibri"/>
          <w:sz w:val="20"/>
          <w:szCs w:val="20"/>
        </w:rPr>
      </w:pPr>
      <w:r w:rsidRPr="005B0931">
        <w:rPr>
          <w:rFonts w:eastAsia="Calibri"/>
          <w:sz w:val="20"/>
          <w:szCs w:val="20"/>
        </w:rPr>
        <w:t>Table (</w:t>
      </w:r>
      <w:r w:rsidR="00DD6C5C" w:rsidRPr="005B0931">
        <w:rPr>
          <w:rFonts w:eastAsia="Calibri"/>
          <w:sz w:val="20"/>
          <w:szCs w:val="20"/>
        </w:rPr>
        <w:t>1</w:t>
      </w:r>
      <w:r w:rsidR="00957A59" w:rsidRPr="005B0931">
        <w:rPr>
          <w:rFonts w:eastAsia="Calibri"/>
          <w:sz w:val="20"/>
          <w:szCs w:val="20"/>
        </w:rPr>
        <w:t>)</w:t>
      </w:r>
      <w:r w:rsidRPr="005B0931">
        <w:rPr>
          <w:rFonts w:eastAsia="Calibri"/>
          <w:sz w:val="20"/>
          <w:szCs w:val="20"/>
        </w:rPr>
        <w:t xml:space="preserve"> Analysis of prognosis using (a) NIHSS values and (b) MMSE values in 39 male patients with ischemic </w:t>
      </w:r>
      <w:proofErr w:type="spellStart"/>
      <w:r w:rsidRPr="005B0931">
        <w:rPr>
          <w:rFonts w:eastAsia="Calibri"/>
          <w:sz w:val="20"/>
          <w:szCs w:val="20"/>
        </w:rPr>
        <w:t>cerebrovascular</w:t>
      </w:r>
      <w:proofErr w:type="spellEnd"/>
      <w:r w:rsidRPr="005B0931">
        <w:rPr>
          <w:rFonts w:eastAsia="Calibri"/>
          <w:sz w:val="20"/>
          <w:szCs w:val="20"/>
        </w:rPr>
        <w:t xml:space="preserve"> stroke showing either normal or </w:t>
      </w:r>
      <w:r w:rsidR="00DD6C5C" w:rsidRPr="005B0931">
        <w:rPr>
          <w:rFonts w:eastAsia="Calibri"/>
          <w:sz w:val="20"/>
          <w:szCs w:val="20"/>
        </w:rPr>
        <w:t xml:space="preserve">abnormal </w:t>
      </w:r>
      <w:proofErr w:type="spellStart"/>
      <w:r w:rsidR="00DD6C5C" w:rsidRPr="005B0931">
        <w:rPr>
          <w:rFonts w:eastAsia="Calibri"/>
          <w:sz w:val="20"/>
          <w:szCs w:val="20"/>
        </w:rPr>
        <w:t>sonographic</w:t>
      </w:r>
      <w:proofErr w:type="spellEnd"/>
      <w:r w:rsidR="00DD6C5C" w:rsidRPr="005B0931">
        <w:rPr>
          <w:rFonts w:eastAsia="Calibri"/>
          <w:sz w:val="20"/>
          <w:szCs w:val="20"/>
        </w:rPr>
        <w:t xml:space="preserve"> findings:</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1404"/>
        <w:gridCol w:w="1406"/>
        <w:gridCol w:w="702"/>
        <w:gridCol w:w="563"/>
        <w:gridCol w:w="563"/>
        <w:gridCol w:w="705"/>
        <w:gridCol w:w="785"/>
        <w:gridCol w:w="1264"/>
      </w:tblGrid>
      <w:tr w:rsidR="00957A59" w:rsidRPr="005B0931" w:rsidTr="005B0931">
        <w:trPr>
          <w:jc w:val="center"/>
        </w:trPr>
        <w:tc>
          <w:tcPr>
            <w:tcW w:w="3759" w:type="dxa"/>
            <w:gridSpan w:val="2"/>
            <w:vMerge w:val="restart"/>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Group</w:t>
            </w:r>
          </w:p>
        </w:tc>
        <w:tc>
          <w:tcPr>
            <w:tcW w:w="1406" w:type="dxa"/>
            <w:vMerge w:val="restart"/>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Total Number Of Patients</w:t>
            </w:r>
          </w:p>
        </w:tc>
        <w:tc>
          <w:tcPr>
            <w:tcW w:w="4582" w:type="dxa"/>
            <w:gridSpan w:val="6"/>
            <w:shd w:val="clear" w:color="auto" w:fill="auto"/>
            <w:vAlign w:val="center"/>
          </w:tcPr>
          <w:p w:rsidR="00753C57" w:rsidRPr="005B0931" w:rsidRDefault="00531CD4" w:rsidP="00531CD4">
            <w:pPr>
              <w:bidi w:val="0"/>
              <w:snapToGrid w:val="0"/>
              <w:jc w:val="both"/>
              <w:rPr>
                <w:rFonts w:eastAsia="Calibri"/>
                <w:sz w:val="18"/>
                <w:szCs w:val="18"/>
              </w:rPr>
            </w:pPr>
            <w:proofErr w:type="spellStart"/>
            <w:r w:rsidRPr="005B0931">
              <w:rPr>
                <w:rFonts w:eastAsia="Calibri"/>
                <w:sz w:val="18"/>
                <w:szCs w:val="18"/>
              </w:rPr>
              <w:t>Nihss</w:t>
            </w:r>
            <w:proofErr w:type="spellEnd"/>
            <w:r w:rsidRPr="005B0931">
              <w:rPr>
                <w:rFonts w:eastAsia="Calibri"/>
                <w:sz w:val="18"/>
                <w:szCs w:val="18"/>
              </w:rPr>
              <w:t xml:space="preserve"> Value</w:t>
            </w:r>
          </w:p>
        </w:tc>
      </w:tr>
      <w:tr w:rsidR="005B0931" w:rsidRPr="005B0931" w:rsidTr="005B0931">
        <w:trPr>
          <w:jc w:val="center"/>
        </w:trPr>
        <w:tc>
          <w:tcPr>
            <w:tcW w:w="3759" w:type="dxa"/>
            <w:gridSpan w:val="2"/>
            <w:vMerge/>
            <w:vAlign w:val="center"/>
          </w:tcPr>
          <w:p w:rsidR="00753C57" w:rsidRPr="005B0931" w:rsidRDefault="00753C57" w:rsidP="00531CD4">
            <w:pPr>
              <w:bidi w:val="0"/>
              <w:snapToGrid w:val="0"/>
              <w:jc w:val="both"/>
              <w:rPr>
                <w:rFonts w:eastAsia="Calibri"/>
                <w:sz w:val="18"/>
                <w:szCs w:val="18"/>
              </w:rPr>
            </w:pPr>
          </w:p>
        </w:tc>
        <w:tc>
          <w:tcPr>
            <w:tcW w:w="1406" w:type="dxa"/>
            <w:vMerge/>
            <w:shd w:val="clear" w:color="auto" w:fill="auto"/>
            <w:vAlign w:val="center"/>
          </w:tcPr>
          <w:p w:rsidR="00753C57" w:rsidRPr="005B0931" w:rsidRDefault="00753C57" w:rsidP="00531CD4">
            <w:pPr>
              <w:bidi w:val="0"/>
              <w:snapToGrid w:val="0"/>
              <w:jc w:val="both"/>
              <w:rPr>
                <w:rFonts w:eastAsia="Calibri"/>
                <w:sz w:val="18"/>
                <w:szCs w:val="18"/>
              </w:rPr>
            </w:pPr>
          </w:p>
        </w:tc>
        <w:tc>
          <w:tcPr>
            <w:tcW w:w="702"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0</w:t>
            </w:r>
          </w:p>
        </w:tc>
        <w:tc>
          <w:tcPr>
            <w:tcW w:w="563"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1-4</w:t>
            </w:r>
          </w:p>
        </w:tc>
        <w:tc>
          <w:tcPr>
            <w:tcW w:w="563"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5-9</w:t>
            </w:r>
          </w:p>
        </w:tc>
        <w:tc>
          <w:tcPr>
            <w:tcW w:w="705"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10-20</w:t>
            </w:r>
          </w:p>
        </w:tc>
        <w:tc>
          <w:tcPr>
            <w:tcW w:w="785"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21-24</w:t>
            </w:r>
          </w:p>
        </w:tc>
        <w:tc>
          <w:tcPr>
            <w:tcW w:w="1264"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Mean Value</w:t>
            </w:r>
          </w:p>
        </w:tc>
      </w:tr>
      <w:tr w:rsidR="005B0931" w:rsidRPr="005B0931" w:rsidTr="005B0931">
        <w:trPr>
          <w:jc w:val="center"/>
        </w:trPr>
        <w:tc>
          <w:tcPr>
            <w:tcW w:w="2355" w:type="dxa"/>
            <w:vMerge w:val="restart"/>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 xml:space="preserve">Patients With </w:t>
            </w:r>
            <w:proofErr w:type="spellStart"/>
            <w:r w:rsidRPr="005B0931">
              <w:rPr>
                <w:rFonts w:eastAsia="Calibri"/>
                <w:sz w:val="18"/>
                <w:szCs w:val="18"/>
              </w:rPr>
              <w:t>Nomral</w:t>
            </w:r>
            <w:proofErr w:type="spellEnd"/>
            <w:r w:rsidRPr="005B0931">
              <w:rPr>
                <w:rFonts w:eastAsia="Calibri"/>
                <w:sz w:val="18"/>
                <w:szCs w:val="18"/>
              </w:rPr>
              <w:t xml:space="preserve"> </w:t>
            </w:r>
            <w:proofErr w:type="spellStart"/>
            <w:r w:rsidRPr="005B0931">
              <w:rPr>
                <w:rFonts w:eastAsia="Calibri"/>
                <w:sz w:val="18"/>
                <w:szCs w:val="18"/>
              </w:rPr>
              <w:t>Sonographic</w:t>
            </w:r>
            <w:proofErr w:type="spellEnd"/>
            <w:r w:rsidRPr="005B0931">
              <w:rPr>
                <w:rFonts w:eastAsia="Calibri"/>
                <w:sz w:val="18"/>
                <w:szCs w:val="18"/>
              </w:rPr>
              <w:t xml:space="preserve"> Findings</w:t>
            </w:r>
          </w:p>
        </w:tc>
        <w:tc>
          <w:tcPr>
            <w:tcW w:w="1404" w:type="dxa"/>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Initial</w:t>
            </w:r>
          </w:p>
        </w:tc>
        <w:tc>
          <w:tcPr>
            <w:tcW w:w="1406" w:type="dxa"/>
            <w:vMerge w:val="restart"/>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22</w:t>
            </w:r>
          </w:p>
        </w:tc>
        <w:tc>
          <w:tcPr>
            <w:tcW w:w="702"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w:t>
            </w:r>
          </w:p>
        </w:tc>
        <w:tc>
          <w:tcPr>
            <w:tcW w:w="563"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6</w:t>
            </w:r>
          </w:p>
        </w:tc>
        <w:tc>
          <w:tcPr>
            <w:tcW w:w="563"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7</w:t>
            </w:r>
          </w:p>
        </w:tc>
        <w:tc>
          <w:tcPr>
            <w:tcW w:w="705"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6</w:t>
            </w:r>
          </w:p>
        </w:tc>
        <w:tc>
          <w:tcPr>
            <w:tcW w:w="785"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3</w:t>
            </w:r>
          </w:p>
        </w:tc>
        <w:tc>
          <w:tcPr>
            <w:tcW w:w="1264"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10.1</w:t>
            </w:r>
          </w:p>
        </w:tc>
      </w:tr>
      <w:tr w:rsidR="005B0931" w:rsidRPr="005B0931" w:rsidTr="005B0931">
        <w:trPr>
          <w:jc w:val="center"/>
        </w:trPr>
        <w:tc>
          <w:tcPr>
            <w:tcW w:w="2355" w:type="dxa"/>
            <w:vMerge/>
            <w:vAlign w:val="center"/>
          </w:tcPr>
          <w:p w:rsidR="00753C57" w:rsidRPr="005B0931" w:rsidRDefault="00753C57" w:rsidP="00531CD4">
            <w:pPr>
              <w:bidi w:val="0"/>
              <w:snapToGrid w:val="0"/>
              <w:jc w:val="both"/>
              <w:rPr>
                <w:rFonts w:eastAsia="Calibri"/>
                <w:sz w:val="18"/>
                <w:szCs w:val="18"/>
              </w:rPr>
            </w:pPr>
          </w:p>
        </w:tc>
        <w:tc>
          <w:tcPr>
            <w:tcW w:w="1404" w:type="dxa"/>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After 15 Days</w:t>
            </w:r>
          </w:p>
        </w:tc>
        <w:tc>
          <w:tcPr>
            <w:tcW w:w="1406" w:type="dxa"/>
            <w:vMerge/>
            <w:shd w:val="clear" w:color="auto" w:fill="auto"/>
            <w:vAlign w:val="center"/>
          </w:tcPr>
          <w:p w:rsidR="00753C57" w:rsidRPr="005B0931" w:rsidRDefault="00753C57" w:rsidP="00531CD4">
            <w:pPr>
              <w:bidi w:val="0"/>
              <w:snapToGrid w:val="0"/>
              <w:jc w:val="both"/>
              <w:rPr>
                <w:rFonts w:eastAsia="Calibri"/>
                <w:sz w:val="18"/>
                <w:szCs w:val="18"/>
              </w:rPr>
            </w:pPr>
          </w:p>
        </w:tc>
        <w:tc>
          <w:tcPr>
            <w:tcW w:w="702"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3</w:t>
            </w:r>
          </w:p>
        </w:tc>
        <w:tc>
          <w:tcPr>
            <w:tcW w:w="563"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6</w:t>
            </w:r>
          </w:p>
        </w:tc>
        <w:tc>
          <w:tcPr>
            <w:tcW w:w="563"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6</w:t>
            </w:r>
          </w:p>
        </w:tc>
        <w:tc>
          <w:tcPr>
            <w:tcW w:w="705"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5</w:t>
            </w:r>
          </w:p>
        </w:tc>
        <w:tc>
          <w:tcPr>
            <w:tcW w:w="785"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2</w:t>
            </w:r>
          </w:p>
        </w:tc>
        <w:tc>
          <w:tcPr>
            <w:tcW w:w="1264"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8</w:t>
            </w:r>
          </w:p>
        </w:tc>
      </w:tr>
      <w:tr w:rsidR="005B0931" w:rsidRPr="005B0931" w:rsidTr="005B0931">
        <w:trPr>
          <w:jc w:val="center"/>
        </w:trPr>
        <w:tc>
          <w:tcPr>
            <w:tcW w:w="2355" w:type="dxa"/>
            <w:vMerge w:val="restart"/>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 xml:space="preserve">Patients With Abnormal </w:t>
            </w:r>
            <w:proofErr w:type="spellStart"/>
            <w:r w:rsidRPr="005B0931">
              <w:rPr>
                <w:rFonts w:eastAsia="Calibri"/>
                <w:sz w:val="18"/>
                <w:szCs w:val="18"/>
              </w:rPr>
              <w:t>Sonographic</w:t>
            </w:r>
            <w:proofErr w:type="spellEnd"/>
            <w:r w:rsidRPr="005B0931">
              <w:rPr>
                <w:rFonts w:eastAsia="Calibri"/>
                <w:sz w:val="18"/>
                <w:szCs w:val="18"/>
              </w:rPr>
              <w:t xml:space="preserve"> Findings</w:t>
            </w:r>
          </w:p>
        </w:tc>
        <w:tc>
          <w:tcPr>
            <w:tcW w:w="1404" w:type="dxa"/>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Initial</w:t>
            </w:r>
          </w:p>
        </w:tc>
        <w:tc>
          <w:tcPr>
            <w:tcW w:w="1406" w:type="dxa"/>
            <w:vMerge w:val="restart"/>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17</w:t>
            </w:r>
          </w:p>
        </w:tc>
        <w:tc>
          <w:tcPr>
            <w:tcW w:w="702"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w:t>
            </w:r>
          </w:p>
        </w:tc>
        <w:tc>
          <w:tcPr>
            <w:tcW w:w="563"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3</w:t>
            </w:r>
          </w:p>
        </w:tc>
        <w:tc>
          <w:tcPr>
            <w:tcW w:w="563"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3</w:t>
            </w:r>
          </w:p>
        </w:tc>
        <w:tc>
          <w:tcPr>
            <w:tcW w:w="705"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4</w:t>
            </w:r>
          </w:p>
        </w:tc>
        <w:tc>
          <w:tcPr>
            <w:tcW w:w="785"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7</w:t>
            </w:r>
          </w:p>
        </w:tc>
        <w:tc>
          <w:tcPr>
            <w:tcW w:w="1264"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14.3</w:t>
            </w:r>
          </w:p>
        </w:tc>
      </w:tr>
      <w:tr w:rsidR="005B0931" w:rsidRPr="005B0931" w:rsidTr="005B0931">
        <w:trPr>
          <w:jc w:val="center"/>
        </w:trPr>
        <w:tc>
          <w:tcPr>
            <w:tcW w:w="2355" w:type="dxa"/>
            <w:vMerge/>
            <w:vAlign w:val="center"/>
          </w:tcPr>
          <w:p w:rsidR="00753C57" w:rsidRPr="005B0931" w:rsidRDefault="00753C57" w:rsidP="00531CD4">
            <w:pPr>
              <w:bidi w:val="0"/>
              <w:snapToGrid w:val="0"/>
              <w:jc w:val="both"/>
              <w:rPr>
                <w:rFonts w:eastAsia="Calibri"/>
                <w:sz w:val="18"/>
                <w:szCs w:val="18"/>
              </w:rPr>
            </w:pPr>
          </w:p>
        </w:tc>
        <w:tc>
          <w:tcPr>
            <w:tcW w:w="1404" w:type="dxa"/>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After 15 Days</w:t>
            </w:r>
          </w:p>
        </w:tc>
        <w:tc>
          <w:tcPr>
            <w:tcW w:w="1406" w:type="dxa"/>
            <w:vMerge/>
            <w:shd w:val="clear" w:color="auto" w:fill="auto"/>
            <w:vAlign w:val="center"/>
          </w:tcPr>
          <w:p w:rsidR="00753C57" w:rsidRPr="005B0931" w:rsidRDefault="00753C57" w:rsidP="00531CD4">
            <w:pPr>
              <w:bidi w:val="0"/>
              <w:snapToGrid w:val="0"/>
              <w:jc w:val="both"/>
              <w:rPr>
                <w:rFonts w:eastAsia="Calibri"/>
                <w:sz w:val="18"/>
                <w:szCs w:val="18"/>
              </w:rPr>
            </w:pPr>
          </w:p>
        </w:tc>
        <w:tc>
          <w:tcPr>
            <w:tcW w:w="702"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1</w:t>
            </w:r>
          </w:p>
        </w:tc>
        <w:tc>
          <w:tcPr>
            <w:tcW w:w="563"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2</w:t>
            </w:r>
          </w:p>
        </w:tc>
        <w:tc>
          <w:tcPr>
            <w:tcW w:w="563"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4</w:t>
            </w:r>
          </w:p>
        </w:tc>
        <w:tc>
          <w:tcPr>
            <w:tcW w:w="705"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6</w:t>
            </w:r>
          </w:p>
        </w:tc>
        <w:tc>
          <w:tcPr>
            <w:tcW w:w="785"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4</w:t>
            </w:r>
          </w:p>
        </w:tc>
        <w:tc>
          <w:tcPr>
            <w:tcW w:w="1264" w:type="dxa"/>
            <w:shd w:val="clear" w:color="auto" w:fill="auto"/>
            <w:vAlign w:val="center"/>
          </w:tcPr>
          <w:p w:rsidR="00753C57" w:rsidRPr="005B0931" w:rsidRDefault="00531CD4" w:rsidP="00531CD4">
            <w:pPr>
              <w:bidi w:val="0"/>
              <w:snapToGrid w:val="0"/>
              <w:jc w:val="both"/>
              <w:rPr>
                <w:rFonts w:eastAsia="Calibri"/>
                <w:sz w:val="18"/>
                <w:szCs w:val="18"/>
              </w:rPr>
            </w:pPr>
            <w:r w:rsidRPr="005B0931">
              <w:rPr>
                <w:rFonts w:eastAsia="Calibri"/>
                <w:sz w:val="18"/>
                <w:szCs w:val="18"/>
              </w:rPr>
              <w:t>12.6</w:t>
            </w:r>
          </w:p>
        </w:tc>
      </w:tr>
    </w:tbl>
    <w:p w:rsidR="005B0931" w:rsidRDefault="005B0931" w:rsidP="005B0931">
      <w:pPr>
        <w:bidi w:val="0"/>
        <w:snapToGrid w:val="0"/>
        <w:ind w:firstLine="425"/>
        <w:jc w:val="both"/>
        <w:rPr>
          <w:rFonts w:eastAsiaTheme="minorEastAsia" w:hint="eastAsia"/>
          <w:sz w:val="20"/>
          <w:szCs w:val="20"/>
          <w:lang w:eastAsia="zh-CN"/>
        </w:rPr>
      </w:pPr>
    </w:p>
    <w:p w:rsidR="005B0931" w:rsidRDefault="005B0931" w:rsidP="005B0931">
      <w:pPr>
        <w:bidi w:val="0"/>
        <w:snapToGrid w:val="0"/>
        <w:ind w:firstLine="425"/>
        <w:jc w:val="both"/>
        <w:rPr>
          <w:rFonts w:eastAsiaTheme="minorEastAsia" w:hint="eastAsia"/>
          <w:sz w:val="20"/>
          <w:szCs w:val="20"/>
          <w:lang w:eastAsia="zh-CN"/>
        </w:rPr>
      </w:pPr>
    </w:p>
    <w:p w:rsidR="005B0931" w:rsidRPr="005B0931" w:rsidRDefault="005B0931" w:rsidP="005B0931">
      <w:pPr>
        <w:bidi w:val="0"/>
        <w:snapToGrid w:val="0"/>
        <w:ind w:firstLine="425"/>
        <w:jc w:val="both"/>
        <w:rPr>
          <w:rFonts w:eastAsiaTheme="minorEastAsia" w:hint="eastAsia"/>
          <w:sz w:val="20"/>
          <w:szCs w:val="20"/>
          <w:lang w:eastAsia="zh-CN"/>
        </w:rPr>
      </w:pPr>
    </w:p>
    <w:p w:rsidR="0062070F" w:rsidRPr="005B0931" w:rsidRDefault="0062070F" w:rsidP="008620BE">
      <w:pPr>
        <w:bidi w:val="0"/>
        <w:snapToGrid w:val="0"/>
        <w:ind w:firstLine="425"/>
        <w:jc w:val="both"/>
        <w:rPr>
          <w:rFonts w:eastAsia="Calibri"/>
          <w:sz w:val="20"/>
          <w:szCs w:val="20"/>
        </w:rPr>
        <w:sectPr w:rsidR="0062070F" w:rsidRPr="005B0931" w:rsidSect="0062070F">
          <w:headerReference w:type="default" r:id="rId14"/>
          <w:footerReference w:type="default" r:id="rId15"/>
          <w:type w:val="continuous"/>
          <w:pgSz w:w="12240" w:h="15840" w:code="1"/>
          <w:pgMar w:top="1440" w:right="1440" w:bottom="1440" w:left="1440" w:header="720" w:footer="720" w:gutter="0"/>
          <w:cols w:space="720"/>
          <w:docGrid w:linePitch="360"/>
        </w:sectPr>
      </w:pPr>
    </w:p>
    <w:p w:rsidR="00753C57" w:rsidRPr="005B0931" w:rsidRDefault="00753C57" w:rsidP="008620BE">
      <w:pPr>
        <w:bidi w:val="0"/>
        <w:snapToGrid w:val="0"/>
        <w:ind w:firstLine="425"/>
        <w:jc w:val="both"/>
        <w:rPr>
          <w:rFonts w:eastAsia="Calibri"/>
          <w:sz w:val="20"/>
          <w:szCs w:val="20"/>
        </w:rPr>
      </w:pPr>
      <w:r w:rsidRPr="005B0931">
        <w:rPr>
          <w:rFonts w:eastAsia="Calibri"/>
          <w:sz w:val="20"/>
          <w:szCs w:val="20"/>
        </w:rPr>
        <w:lastRenderedPageBreak/>
        <w:t>From table (a)</w:t>
      </w:r>
    </w:p>
    <w:p w:rsidR="002A6D47" w:rsidRPr="005B0931" w:rsidRDefault="00753C57" w:rsidP="008620BE">
      <w:pPr>
        <w:numPr>
          <w:ilvl w:val="0"/>
          <w:numId w:val="18"/>
        </w:numPr>
        <w:bidi w:val="0"/>
        <w:snapToGrid w:val="0"/>
        <w:ind w:left="0" w:firstLine="425"/>
        <w:contextualSpacing/>
        <w:jc w:val="both"/>
        <w:rPr>
          <w:rFonts w:eastAsia="Calibri"/>
          <w:sz w:val="20"/>
          <w:szCs w:val="20"/>
        </w:rPr>
      </w:pPr>
      <w:r w:rsidRPr="005B0931">
        <w:rPr>
          <w:rFonts w:eastAsia="Calibri"/>
          <w:sz w:val="20"/>
          <w:szCs w:val="20"/>
        </w:rPr>
        <w:t>The first group was significantly responding with NIHSS mean value initially 10.1 and after 15 days was around 8 with a decline of 2.</w:t>
      </w:r>
      <w:r w:rsidR="002A6D47" w:rsidRPr="005B0931">
        <w:rPr>
          <w:rFonts w:eastAsia="Calibri"/>
          <w:sz w:val="20"/>
          <w:szCs w:val="20"/>
        </w:rPr>
        <w:t>1.</w:t>
      </w:r>
    </w:p>
    <w:p w:rsidR="002A6D47" w:rsidRPr="005B0931" w:rsidRDefault="00753C57" w:rsidP="008620BE">
      <w:pPr>
        <w:numPr>
          <w:ilvl w:val="0"/>
          <w:numId w:val="18"/>
        </w:numPr>
        <w:bidi w:val="0"/>
        <w:snapToGrid w:val="0"/>
        <w:ind w:left="0" w:firstLine="425"/>
        <w:contextualSpacing/>
        <w:jc w:val="both"/>
        <w:rPr>
          <w:rFonts w:eastAsia="Calibri"/>
          <w:sz w:val="20"/>
          <w:szCs w:val="20"/>
        </w:rPr>
      </w:pPr>
      <w:r w:rsidRPr="005B0931">
        <w:rPr>
          <w:rFonts w:eastAsia="Calibri"/>
          <w:sz w:val="20"/>
          <w:szCs w:val="20"/>
        </w:rPr>
        <w:t>The second group was less significantly responding with NIHSS mean value initially 14.3 and after 15 days was around 12.6 with a decline of</w:t>
      </w:r>
      <w:r w:rsidR="002A6D47" w:rsidRPr="005B0931">
        <w:rPr>
          <w:rFonts w:eastAsia="Calibri"/>
          <w:sz w:val="20"/>
          <w:szCs w:val="20"/>
        </w:rPr>
        <w:t xml:space="preserve"> </w:t>
      </w:r>
      <w:r w:rsidRPr="005B0931">
        <w:rPr>
          <w:rFonts w:eastAsia="Calibri"/>
          <w:sz w:val="20"/>
          <w:szCs w:val="20"/>
        </w:rPr>
        <w:t>1.</w:t>
      </w:r>
      <w:r w:rsidR="002A6D47" w:rsidRPr="005B0931">
        <w:rPr>
          <w:rFonts w:eastAsia="Calibri"/>
          <w:sz w:val="20"/>
          <w:szCs w:val="20"/>
        </w:rPr>
        <w:t>7.</w:t>
      </w:r>
    </w:p>
    <w:p w:rsidR="002A6D47" w:rsidRPr="005B0931" w:rsidRDefault="00753C57" w:rsidP="008620BE">
      <w:pPr>
        <w:numPr>
          <w:ilvl w:val="0"/>
          <w:numId w:val="18"/>
        </w:numPr>
        <w:bidi w:val="0"/>
        <w:snapToGrid w:val="0"/>
        <w:ind w:left="0" w:firstLine="425"/>
        <w:contextualSpacing/>
        <w:jc w:val="both"/>
        <w:rPr>
          <w:rFonts w:eastAsia="Calibri"/>
          <w:sz w:val="20"/>
          <w:szCs w:val="20"/>
        </w:rPr>
      </w:pPr>
      <w:r w:rsidRPr="005B0931">
        <w:rPr>
          <w:rFonts w:eastAsia="Calibri"/>
          <w:sz w:val="20"/>
          <w:szCs w:val="20"/>
        </w:rPr>
        <w:t xml:space="preserve">The initial NIHSS values were higher in the second group who presented with abnormal </w:t>
      </w:r>
      <w:proofErr w:type="spellStart"/>
      <w:r w:rsidRPr="005B0931">
        <w:rPr>
          <w:rFonts w:eastAsia="Calibri"/>
          <w:sz w:val="20"/>
          <w:szCs w:val="20"/>
        </w:rPr>
        <w:t>sonographic</w:t>
      </w:r>
      <w:proofErr w:type="spellEnd"/>
      <w:r w:rsidRPr="005B0931">
        <w:rPr>
          <w:rFonts w:eastAsia="Calibri"/>
          <w:sz w:val="20"/>
          <w:szCs w:val="20"/>
        </w:rPr>
        <w:t xml:space="preserve"> finding</w:t>
      </w:r>
      <w:r w:rsidR="002A6D47" w:rsidRPr="005B0931">
        <w:rPr>
          <w:rFonts w:eastAsia="Calibri"/>
          <w:sz w:val="20"/>
          <w:szCs w:val="20"/>
        </w:rPr>
        <w:t>s.</w:t>
      </w:r>
    </w:p>
    <w:p w:rsidR="002A6D47" w:rsidRPr="005B0931" w:rsidRDefault="00753C57" w:rsidP="008620BE">
      <w:pPr>
        <w:bidi w:val="0"/>
        <w:snapToGrid w:val="0"/>
        <w:ind w:firstLine="425"/>
        <w:jc w:val="both"/>
        <w:rPr>
          <w:rFonts w:eastAsia="Calibri"/>
          <w:sz w:val="20"/>
          <w:szCs w:val="20"/>
        </w:rPr>
      </w:pPr>
      <w:r w:rsidRPr="005B0931">
        <w:rPr>
          <w:rFonts w:eastAsia="Calibri"/>
          <w:sz w:val="20"/>
          <w:szCs w:val="20"/>
        </w:rPr>
        <w:lastRenderedPageBreak/>
        <w:t xml:space="preserve">This supports that better prognosis could be predicted in the presence of normal </w:t>
      </w:r>
      <w:proofErr w:type="spellStart"/>
      <w:r w:rsidRPr="005B0931">
        <w:rPr>
          <w:rFonts w:eastAsia="Calibri"/>
          <w:sz w:val="20"/>
          <w:szCs w:val="20"/>
        </w:rPr>
        <w:t>sonographic</w:t>
      </w:r>
      <w:proofErr w:type="spellEnd"/>
      <w:r w:rsidRPr="005B0931">
        <w:rPr>
          <w:rFonts w:eastAsia="Calibri"/>
          <w:sz w:val="20"/>
          <w:szCs w:val="20"/>
        </w:rPr>
        <w:t xml:space="preserve"> finding</w:t>
      </w:r>
      <w:r w:rsidR="002A6D47" w:rsidRPr="005B0931">
        <w:rPr>
          <w:rFonts w:eastAsia="Calibri"/>
          <w:sz w:val="20"/>
          <w:szCs w:val="20"/>
        </w:rPr>
        <w:t>s.</w:t>
      </w:r>
    </w:p>
    <w:p w:rsidR="002A6D47" w:rsidRPr="005B0931" w:rsidRDefault="00753C57" w:rsidP="008620BE">
      <w:pPr>
        <w:pStyle w:val="ListParagraph"/>
        <w:numPr>
          <w:ilvl w:val="0"/>
          <w:numId w:val="8"/>
        </w:numPr>
        <w:snapToGrid w:val="0"/>
        <w:ind w:left="0" w:firstLine="425"/>
        <w:jc w:val="both"/>
        <w:rPr>
          <w:rFonts w:eastAsia="Calibri"/>
          <w:sz w:val="20"/>
          <w:szCs w:val="20"/>
        </w:rPr>
      </w:pPr>
      <w:r w:rsidRPr="005B0931">
        <w:rPr>
          <w:rFonts w:eastAsia="Calibri"/>
          <w:sz w:val="20"/>
          <w:szCs w:val="20"/>
        </w:rPr>
        <w:t xml:space="preserve">Analysis of prognosis using MMSE values in 39 male patients with ischemic </w:t>
      </w:r>
      <w:proofErr w:type="spellStart"/>
      <w:r w:rsidRPr="005B0931">
        <w:rPr>
          <w:rFonts w:eastAsia="Calibri"/>
          <w:sz w:val="20"/>
          <w:szCs w:val="20"/>
        </w:rPr>
        <w:t>cerebrovascular</w:t>
      </w:r>
      <w:proofErr w:type="spellEnd"/>
      <w:r w:rsidRPr="005B0931">
        <w:rPr>
          <w:rFonts w:eastAsia="Calibri"/>
          <w:sz w:val="20"/>
          <w:szCs w:val="20"/>
        </w:rPr>
        <w:t xml:space="preserve"> stroke showing either normal or abnormal </w:t>
      </w:r>
      <w:proofErr w:type="spellStart"/>
      <w:r w:rsidRPr="005B0931">
        <w:rPr>
          <w:rFonts w:eastAsia="Calibri"/>
          <w:sz w:val="20"/>
          <w:szCs w:val="20"/>
        </w:rPr>
        <w:t>sonogr</w:t>
      </w:r>
      <w:r w:rsidR="00DD6C5C" w:rsidRPr="005B0931">
        <w:rPr>
          <w:rFonts w:eastAsia="Calibri"/>
          <w:sz w:val="20"/>
          <w:szCs w:val="20"/>
        </w:rPr>
        <w:t>aphic</w:t>
      </w:r>
      <w:proofErr w:type="spellEnd"/>
      <w:r w:rsidR="00DD6C5C" w:rsidRPr="005B0931">
        <w:rPr>
          <w:rFonts w:eastAsia="Calibri"/>
          <w:sz w:val="20"/>
          <w:szCs w:val="20"/>
        </w:rPr>
        <w:t xml:space="preserve"> finding</w:t>
      </w:r>
      <w:r w:rsidR="002A6D47" w:rsidRPr="005B0931">
        <w:rPr>
          <w:rFonts w:eastAsia="Calibri"/>
          <w:sz w:val="20"/>
          <w:szCs w:val="20"/>
        </w:rPr>
        <w:t>s.</w:t>
      </w:r>
    </w:p>
    <w:p w:rsidR="008F5126" w:rsidRPr="005B0931" w:rsidRDefault="008F5126" w:rsidP="008620BE">
      <w:pPr>
        <w:bidi w:val="0"/>
        <w:snapToGrid w:val="0"/>
        <w:ind w:firstLine="425"/>
        <w:jc w:val="both"/>
        <w:rPr>
          <w:rFonts w:eastAsia="Calibri"/>
          <w:sz w:val="20"/>
          <w:szCs w:val="20"/>
        </w:rPr>
        <w:sectPr w:rsidR="008F5126" w:rsidRPr="005B0931" w:rsidSect="002A6D47">
          <w:headerReference w:type="default" r:id="rId16"/>
          <w:footerReference w:type="default" r:id="rId17"/>
          <w:type w:val="continuous"/>
          <w:pgSz w:w="12240" w:h="15840" w:code="1"/>
          <w:pgMar w:top="1440" w:right="1440" w:bottom="1440" w:left="1440" w:header="720" w:footer="720" w:gutter="0"/>
          <w:cols w:num="2" w:space="600"/>
          <w:docGrid w:linePitch="360"/>
        </w:sectPr>
      </w:pPr>
    </w:p>
    <w:p w:rsidR="00531CD4" w:rsidRPr="005B0931" w:rsidRDefault="00531CD4" w:rsidP="00531CD4">
      <w:pPr>
        <w:bidi w:val="0"/>
        <w:snapToGrid w:val="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6"/>
        <w:gridCol w:w="1132"/>
        <w:gridCol w:w="1888"/>
        <w:gridCol w:w="513"/>
        <w:gridCol w:w="594"/>
        <w:gridCol w:w="594"/>
        <w:gridCol w:w="594"/>
        <w:gridCol w:w="1015"/>
      </w:tblGrid>
      <w:tr w:rsidR="00753C57" w:rsidRPr="005B0931" w:rsidTr="005B0931">
        <w:trPr>
          <w:jc w:val="center"/>
        </w:trPr>
        <w:tc>
          <w:tcPr>
            <w:tcW w:w="2286" w:type="pct"/>
            <w:gridSpan w:val="2"/>
            <w:vMerge w:val="restar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Group</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531CD4">
            <w:pPr>
              <w:bidi w:val="0"/>
              <w:snapToGrid w:val="0"/>
              <w:jc w:val="both"/>
              <w:rPr>
                <w:rFonts w:eastAsia="Calibri"/>
                <w:sz w:val="16"/>
                <w:szCs w:val="16"/>
              </w:rPr>
            </w:pPr>
            <w:r w:rsidRPr="005B0931">
              <w:rPr>
                <w:rFonts w:eastAsia="Calibri"/>
                <w:sz w:val="16"/>
                <w:szCs w:val="16"/>
              </w:rPr>
              <w:t>Total Number Of Patients</w:t>
            </w:r>
          </w:p>
        </w:tc>
        <w:tc>
          <w:tcPr>
            <w:tcW w:w="1728" w:type="pct"/>
            <w:gridSpan w:val="5"/>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531CD4">
            <w:pPr>
              <w:bidi w:val="0"/>
              <w:snapToGrid w:val="0"/>
              <w:jc w:val="both"/>
              <w:rPr>
                <w:rFonts w:eastAsia="Calibri"/>
                <w:sz w:val="16"/>
                <w:szCs w:val="16"/>
              </w:rPr>
            </w:pPr>
            <w:proofErr w:type="spellStart"/>
            <w:r w:rsidRPr="005B0931">
              <w:rPr>
                <w:rFonts w:eastAsia="Calibri"/>
                <w:sz w:val="16"/>
                <w:szCs w:val="16"/>
              </w:rPr>
              <w:t>Mmse</w:t>
            </w:r>
            <w:proofErr w:type="spellEnd"/>
            <w:r w:rsidRPr="005B0931">
              <w:rPr>
                <w:rFonts w:eastAsia="Calibri"/>
                <w:sz w:val="16"/>
                <w:szCs w:val="16"/>
              </w:rPr>
              <w:t xml:space="preserve"> Value</w:t>
            </w:r>
          </w:p>
        </w:tc>
      </w:tr>
      <w:tr w:rsidR="00753C57" w:rsidRPr="005B0931" w:rsidTr="005B0931">
        <w:trPr>
          <w:jc w:val="center"/>
        </w:trPr>
        <w:tc>
          <w:tcPr>
            <w:tcW w:w="2286" w:type="pct"/>
            <w:gridSpan w:val="2"/>
            <w:vMerge/>
            <w:tcBorders>
              <w:top w:val="single" w:sz="4" w:space="0" w:color="auto"/>
              <w:left w:val="single" w:sz="4" w:space="0" w:color="auto"/>
              <w:bottom w:val="single" w:sz="4" w:space="0" w:color="auto"/>
              <w:right w:val="single" w:sz="4" w:space="0" w:color="auto"/>
            </w:tcBorders>
            <w:vAlign w:val="center"/>
            <w:hideMark/>
          </w:tcPr>
          <w:p w:rsidR="00753C57" w:rsidRPr="005B0931" w:rsidRDefault="00753C57" w:rsidP="00531CD4">
            <w:pPr>
              <w:bidi w:val="0"/>
              <w:snapToGrid w:val="0"/>
              <w:jc w:val="both"/>
              <w:rPr>
                <w:rFonts w:eastAsia="Calibri"/>
                <w:sz w:val="16"/>
                <w:szCs w:val="16"/>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753C57" w:rsidRPr="005B0931" w:rsidRDefault="00753C57" w:rsidP="00531CD4">
            <w:pPr>
              <w:bidi w:val="0"/>
              <w:snapToGrid w:val="0"/>
              <w:jc w:val="both"/>
              <w:rPr>
                <w:rFonts w:eastAsia="Calibri"/>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531CD4">
            <w:pPr>
              <w:bidi w:val="0"/>
              <w:snapToGrid w:val="0"/>
              <w:jc w:val="both"/>
              <w:rPr>
                <w:rFonts w:eastAsia="Calibri"/>
                <w:sz w:val="16"/>
                <w:szCs w:val="16"/>
              </w:rPr>
            </w:pPr>
            <w:r w:rsidRPr="005B0931">
              <w:rPr>
                <w:rFonts w:eastAsia="Calibri"/>
                <w:sz w:val="16"/>
                <w:szCs w:val="16"/>
              </w:rPr>
              <w:t>0-10</w:t>
            </w:r>
          </w:p>
        </w:tc>
        <w:tc>
          <w:tcPr>
            <w:tcW w:w="310" w:type="pct"/>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531CD4">
            <w:pPr>
              <w:bidi w:val="0"/>
              <w:snapToGrid w:val="0"/>
              <w:jc w:val="both"/>
              <w:rPr>
                <w:rFonts w:eastAsia="Calibri"/>
                <w:sz w:val="16"/>
                <w:szCs w:val="16"/>
              </w:rPr>
            </w:pPr>
            <w:r w:rsidRPr="005B0931">
              <w:rPr>
                <w:rFonts w:eastAsia="Calibri"/>
                <w:sz w:val="16"/>
                <w:szCs w:val="16"/>
              </w:rPr>
              <w:t>11-20</w:t>
            </w:r>
          </w:p>
        </w:tc>
        <w:tc>
          <w:tcPr>
            <w:tcW w:w="310" w:type="pct"/>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531CD4">
            <w:pPr>
              <w:bidi w:val="0"/>
              <w:snapToGrid w:val="0"/>
              <w:jc w:val="both"/>
              <w:rPr>
                <w:rFonts w:eastAsia="Calibri"/>
                <w:sz w:val="16"/>
                <w:szCs w:val="16"/>
              </w:rPr>
            </w:pPr>
            <w:r w:rsidRPr="005B0931">
              <w:rPr>
                <w:rFonts w:eastAsia="Calibri"/>
                <w:sz w:val="16"/>
                <w:szCs w:val="16"/>
              </w:rPr>
              <w:t>21-25</w:t>
            </w:r>
          </w:p>
        </w:tc>
        <w:tc>
          <w:tcPr>
            <w:tcW w:w="310" w:type="pct"/>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531CD4">
            <w:pPr>
              <w:bidi w:val="0"/>
              <w:snapToGrid w:val="0"/>
              <w:jc w:val="both"/>
              <w:rPr>
                <w:rFonts w:eastAsia="Calibri"/>
                <w:sz w:val="16"/>
                <w:szCs w:val="16"/>
              </w:rPr>
            </w:pPr>
            <w:r w:rsidRPr="005B0931">
              <w:rPr>
                <w:rFonts w:eastAsia="Calibri"/>
                <w:sz w:val="16"/>
                <w:szCs w:val="16"/>
              </w:rPr>
              <w:t>26-30</w:t>
            </w:r>
          </w:p>
        </w:tc>
        <w:tc>
          <w:tcPr>
            <w:tcW w:w="528"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Mean Value</w:t>
            </w:r>
          </w:p>
        </w:tc>
      </w:tr>
      <w:tr w:rsidR="00753C57" w:rsidRPr="005B0931" w:rsidTr="005B0931">
        <w:trPr>
          <w:jc w:val="center"/>
        </w:trPr>
        <w:tc>
          <w:tcPr>
            <w:tcW w:w="1695" w:type="pct"/>
            <w:vMerge w:val="restart"/>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531CD4">
            <w:pPr>
              <w:bidi w:val="0"/>
              <w:snapToGrid w:val="0"/>
              <w:jc w:val="both"/>
              <w:rPr>
                <w:rFonts w:eastAsia="Calibri"/>
                <w:sz w:val="16"/>
                <w:szCs w:val="16"/>
              </w:rPr>
            </w:pPr>
            <w:r w:rsidRPr="005B0931">
              <w:rPr>
                <w:rFonts w:eastAsia="Calibri"/>
                <w:sz w:val="16"/>
                <w:szCs w:val="16"/>
              </w:rPr>
              <w:t xml:space="preserve">Patients With </w:t>
            </w:r>
            <w:proofErr w:type="spellStart"/>
            <w:r w:rsidRPr="005B0931">
              <w:rPr>
                <w:rFonts w:eastAsia="Calibri"/>
                <w:sz w:val="16"/>
                <w:szCs w:val="16"/>
              </w:rPr>
              <w:t>Nomral</w:t>
            </w:r>
            <w:proofErr w:type="spellEnd"/>
            <w:r w:rsidRPr="005B0931">
              <w:rPr>
                <w:rFonts w:eastAsia="Calibri"/>
                <w:sz w:val="16"/>
                <w:szCs w:val="16"/>
              </w:rPr>
              <w:t xml:space="preserve">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591"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Initial</w:t>
            </w:r>
          </w:p>
        </w:tc>
        <w:tc>
          <w:tcPr>
            <w:tcW w:w="986" w:type="pct"/>
            <w:vMerge w:val="restart"/>
            <w:tcBorders>
              <w:top w:val="single" w:sz="4" w:space="0" w:color="auto"/>
              <w:left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22</w:t>
            </w:r>
          </w:p>
        </w:tc>
        <w:tc>
          <w:tcPr>
            <w:tcW w:w="268"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3</w:t>
            </w:r>
          </w:p>
        </w:tc>
        <w:tc>
          <w:tcPr>
            <w:tcW w:w="310"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7</w:t>
            </w:r>
          </w:p>
        </w:tc>
        <w:tc>
          <w:tcPr>
            <w:tcW w:w="310"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10</w:t>
            </w:r>
          </w:p>
        </w:tc>
        <w:tc>
          <w:tcPr>
            <w:tcW w:w="310"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2</w:t>
            </w:r>
          </w:p>
        </w:tc>
        <w:tc>
          <w:tcPr>
            <w:tcW w:w="528"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18.6</w:t>
            </w:r>
          </w:p>
        </w:tc>
      </w:tr>
      <w:tr w:rsidR="00753C57" w:rsidRPr="005B0931" w:rsidTr="005B0931">
        <w:trPr>
          <w:jc w:val="center"/>
        </w:trPr>
        <w:tc>
          <w:tcPr>
            <w:tcW w:w="1695" w:type="pct"/>
            <w:vMerge/>
            <w:tcBorders>
              <w:top w:val="single" w:sz="4" w:space="0" w:color="auto"/>
              <w:left w:val="single" w:sz="4" w:space="0" w:color="auto"/>
              <w:bottom w:val="single" w:sz="4" w:space="0" w:color="auto"/>
              <w:right w:val="single" w:sz="4" w:space="0" w:color="auto"/>
            </w:tcBorders>
            <w:vAlign w:val="center"/>
            <w:hideMark/>
          </w:tcPr>
          <w:p w:rsidR="00753C57" w:rsidRPr="005B0931" w:rsidRDefault="00753C57" w:rsidP="00531CD4">
            <w:pPr>
              <w:bidi w:val="0"/>
              <w:snapToGrid w:val="0"/>
              <w:jc w:val="both"/>
              <w:rPr>
                <w:rFonts w:eastAsia="Calibri"/>
                <w:sz w:val="16"/>
                <w:szCs w:val="16"/>
              </w:rPr>
            </w:pPr>
          </w:p>
        </w:tc>
        <w:tc>
          <w:tcPr>
            <w:tcW w:w="591" w:type="pct"/>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531CD4">
            <w:pPr>
              <w:bidi w:val="0"/>
              <w:snapToGrid w:val="0"/>
              <w:jc w:val="both"/>
              <w:rPr>
                <w:rFonts w:eastAsia="Calibri"/>
                <w:sz w:val="16"/>
                <w:szCs w:val="16"/>
              </w:rPr>
            </w:pPr>
            <w:r w:rsidRPr="005B0931">
              <w:rPr>
                <w:rFonts w:eastAsia="Calibri"/>
                <w:sz w:val="16"/>
                <w:szCs w:val="16"/>
              </w:rPr>
              <w:t>After 15 Days</w:t>
            </w:r>
          </w:p>
        </w:tc>
        <w:tc>
          <w:tcPr>
            <w:tcW w:w="986" w:type="pct"/>
            <w:vMerge/>
            <w:tcBorders>
              <w:left w:val="single" w:sz="4" w:space="0" w:color="auto"/>
              <w:bottom w:val="single" w:sz="4" w:space="0" w:color="auto"/>
              <w:right w:val="single" w:sz="4" w:space="0" w:color="auto"/>
            </w:tcBorders>
            <w:vAlign w:val="center"/>
          </w:tcPr>
          <w:p w:rsidR="00753C57" w:rsidRPr="005B0931" w:rsidRDefault="00753C57" w:rsidP="00531CD4">
            <w:pPr>
              <w:bidi w:val="0"/>
              <w:snapToGrid w:val="0"/>
              <w:jc w:val="both"/>
              <w:rPr>
                <w:rFonts w:eastAsia="Calibri"/>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2</w:t>
            </w:r>
          </w:p>
        </w:tc>
        <w:tc>
          <w:tcPr>
            <w:tcW w:w="310"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7</w:t>
            </w:r>
          </w:p>
        </w:tc>
        <w:tc>
          <w:tcPr>
            <w:tcW w:w="310"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4</w:t>
            </w:r>
          </w:p>
        </w:tc>
        <w:tc>
          <w:tcPr>
            <w:tcW w:w="310"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9</w:t>
            </w:r>
          </w:p>
        </w:tc>
        <w:tc>
          <w:tcPr>
            <w:tcW w:w="528"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21</w:t>
            </w:r>
          </w:p>
        </w:tc>
      </w:tr>
      <w:tr w:rsidR="00753C57" w:rsidRPr="005B0931" w:rsidTr="005B0931">
        <w:trPr>
          <w:jc w:val="center"/>
        </w:trPr>
        <w:tc>
          <w:tcPr>
            <w:tcW w:w="1695" w:type="pct"/>
            <w:vMerge w:val="restart"/>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531CD4">
            <w:pPr>
              <w:bidi w:val="0"/>
              <w:snapToGrid w:val="0"/>
              <w:jc w:val="both"/>
              <w:rPr>
                <w:rFonts w:eastAsia="Calibri"/>
                <w:sz w:val="16"/>
                <w:szCs w:val="16"/>
              </w:rPr>
            </w:pPr>
            <w:r w:rsidRPr="005B0931">
              <w:rPr>
                <w:rFonts w:eastAsia="Calibri"/>
                <w:sz w:val="16"/>
                <w:szCs w:val="16"/>
              </w:rPr>
              <w:t xml:space="preserve">Patients With Abnormal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591"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Initial</w:t>
            </w:r>
          </w:p>
        </w:tc>
        <w:tc>
          <w:tcPr>
            <w:tcW w:w="986" w:type="pct"/>
            <w:vMerge w:val="restart"/>
            <w:tcBorders>
              <w:top w:val="single" w:sz="4" w:space="0" w:color="auto"/>
              <w:left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17</w:t>
            </w:r>
          </w:p>
        </w:tc>
        <w:tc>
          <w:tcPr>
            <w:tcW w:w="268"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8</w:t>
            </w:r>
          </w:p>
        </w:tc>
        <w:tc>
          <w:tcPr>
            <w:tcW w:w="310"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2</w:t>
            </w:r>
          </w:p>
        </w:tc>
        <w:tc>
          <w:tcPr>
            <w:tcW w:w="310"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7</w:t>
            </w:r>
          </w:p>
        </w:tc>
        <w:tc>
          <w:tcPr>
            <w:tcW w:w="310"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w:t>
            </w:r>
          </w:p>
        </w:tc>
        <w:tc>
          <w:tcPr>
            <w:tcW w:w="528"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13.6</w:t>
            </w:r>
          </w:p>
        </w:tc>
      </w:tr>
      <w:tr w:rsidR="00753C57" w:rsidRPr="005B0931" w:rsidTr="005B0931">
        <w:trPr>
          <w:jc w:val="center"/>
        </w:trPr>
        <w:tc>
          <w:tcPr>
            <w:tcW w:w="1695" w:type="pct"/>
            <w:vMerge/>
            <w:tcBorders>
              <w:top w:val="single" w:sz="4" w:space="0" w:color="auto"/>
              <w:left w:val="single" w:sz="4" w:space="0" w:color="auto"/>
              <w:bottom w:val="single" w:sz="4" w:space="0" w:color="auto"/>
              <w:right w:val="single" w:sz="4" w:space="0" w:color="auto"/>
            </w:tcBorders>
            <w:vAlign w:val="center"/>
            <w:hideMark/>
          </w:tcPr>
          <w:p w:rsidR="00753C57" w:rsidRPr="005B0931" w:rsidRDefault="00753C57" w:rsidP="00531CD4">
            <w:pPr>
              <w:bidi w:val="0"/>
              <w:snapToGrid w:val="0"/>
              <w:jc w:val="both"/>
              <w:rPr>
                <w:rFonts w:eastAsia="Calibri"/>
                <w:sz w:val="16"/>
                <w:szCs w:val="16"/>
              </w:rPr>
            </w:pPr>
          </w:p>
        </w:tc>
        <w:tc>
          <w:tcPr>
            <w:tcW w:w="591" w:type="pct"/>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531CD4">
            <w:pPr>
              <w:bidi w:val="0"/>
              <w:snapToGrid w:val="0"/>
              <w:jc w:val="both"/>
              <w:rPr>
                <w:rFonts w:eastAsia="Calibri"/>
                <w:sz w:val="16"/>
                <w:szCs w:val="16"/>
              </w:rPr>
            </w:pPr>
            <w:r w:rsidRPr="005B0931">
              <w:rPr>
                <w:rFonts w:eastAsia="Calibri"/>
                <w:sz w:val="16"/>
                <w:szCs w:val="16"/>
              </w:rPr>
              <w:t>After 15 Days</w:t>
            </w:r>
          </w:p>
        </w:tc>
        <w:tc>
          <w:tcPr>
            <w:tcW w:w="986" w:type="pct"/>
            <w:vMerge/>
            <w:tcBorders>
              <w:left w:val="single" w:sz="4" w:space="0" w:color="auto"/>
              <w:bottom w:val="single" w:sz="4" w:space="0" w:color="auto"/>
              <w:right w:val="single" w:sz="4" w:space="0" w:color="auto"/>
            </w:tcBorders>
            <w:vAlign w:val="center"/>
          </w:tcPr>
          <w:p w:rsidR="00753C57" w:rsidRPr="005B0931" w:rsidRDefault="00753C57" w:rsidP="00531CD4">
            <w:pPr>
              <w:bidi w:val="0"/>
              <w:snapToGrid w:val="0"/>
              <w:jc w:val="both"/>
              <w:rPr>
                <w:rFonts w:eastAsia="Calibri"/>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8</w:t>
            </w:r>
          </w:p>
        </w:tc>
        <w:tc>
          <w:tcPr>
            <w:tcW w:w="310"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2</w:t>
            </w:r>
          </w:p>
        </w:tc>
        <w:tc>
          <w:tcPr>
            <w:tcW w:w="310"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4</w:t>
            </w:r>
          </w:p>
        </w:tc>
        <w:tc>
          <w:tcPr>
            <w:tcW w:w="310"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3</w:t>
            </w:r>
          </w:p>
        </w:tc>
        <w:tc>
          <w:tcPr>
            <w:tcW w:w="528" w:type="pc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14.5</w:t>
            </w:r>
          </w:p>
        </w:tc>
      </w:tr>
    </w:tbl>
    <w:p w:rsidR="0062070F" w:rsidRPr="005B0931" w:rsidRDefault="0062070F" w:rsidP="008620BE">
      <w:pPr>
        <w:bidi w:val="0"/>
        <w:snapToGrid w:val="0"/>
        <w:ind w:firstLine="425"/>
        <w:jc w:val="both"/>
        <w:rPr>
          <w:rFonts w:eastAsia="Calibri"/>
          <w:sz w:val="20"/>
          <w:szCs w:val="20"/>
        </w:rPr>
      </w:pPr>
    </w:p>
    <w:p w:rsidR="0062070F" w:rsidRPr="005B0931" w:rsidRDefault="0062070F" w:rsidP="008620BE">
      <w:pPr>
        <w:bidi w:val="0"/>
        <w:snapToGrid w:val="0"/>
        <w:ind w:firstLine="425"/>
        <w:jc w:val="both"/>
        <w:rPr>
          <w:rFonts w:eastAsia="Calibri"/>
          <w:sz w:val="20"/>
          <w:szCs w:val="20"/>
        </w:rPr>
        <w:sectPr w:rsidR="0062070F" w:rsidRPr="005B0931" w:rsidSect="0062070F">
          <w:type w:val="continuous"/>
          <w:pgSz w:w="12240" w:h="15840" w:code="1"/>
          <w:pgMar w:top="1440" w:right="1440" w:bottom="1440" w:left="1440" w:header="720" w:footer="720" w:gutter="0"/>
          <w:cols w:space="720"/>
          <w:docGrid w:linePitch="360"/>
        </w:sectPr>
      </w:pPr>
    </w:p>
    <w:p w:rsidR="00753C57" w:rsidRPr="005B0931" w:rsidRDefault="00753C57" w:rsidP="008620BE">
      <w:pPr>
        <w:bidi w:val="0"/>
        <w:snapToGrid w:val="0"/>
        <w:ind w:firstLine="425"/>
        <w:jc w:val="both"/>
        <w:rPr>
          <w:rFonts w:eastAsia="Calibri"/>
          <w:sz w:val="20"/>
          <w:szCs w:val="20"/>
        </w:rPr>
      </w:pPr>
      <w:r w:rsidRPr="005B0931">
        <w:rPr>
          <w:rFonts w:eastAsia="Calibri"/>
          <w:sz w:val="20"/>
          <w:szCs w:val="20"/>
        </w:rPr>
        <w:lastRenderedPageBreak/>
        <w:t>From table (b)</w:t>
      </w:r>
    </w:p>
    <w:p w:rsidR="002A6D47" w:rsidRPr="005B0931" w:rsidRDefault="00753C57" w:rsidP="008620BE">
      <w:pPr>
        <w:numPr>
          <w:ilvl w:val="0"/>
          <w:numId w:val="19"/>
        </w:numPr>
        <w:bidi w:val="0"/>
        <w:snapToGrid w:val="0"/>
        <w:ind w:left="0" w:firstLine="425"/>
        <w:contextualSpacing/>
        <w:jc w:val="both"/>
        <w:rPr>
          <w:rFonts w:eastAsia="Calibri"/>
          <w:sz w:val="20"/>
          <w:szCs w:val="20"/>
        </w:rPr>
      </w:pPr>
      <w:r w:rsidRPr="005B0931">
        <w:rPr>
          <w:rFonts w:eastAsia="Calibri"/>
          <w:sz w:val="20"/>
          <w:szCs w:val="20"/>
        </w:rPr>
        <w:t>Definitive incline of MMSE is seen in the first grou</w:t>
      </w:r>
      <w:r w:rsidR="002A6D47" w:rsidRPr="005B0931">
        <w:rPr>
          <w:rFonts w:eastAsia="Calibri"/>
          <w:sz w:val="20"/>
          <w:szCs w:val="20"/>
        </w:rPr>
        <w:t>p.</w:t>
      </w:r>
    </w:p>
    <w:p w:rsidR="002A6D47" w:rsidRPr="005B0931" w:rsidRDefault="00753C57" w:rsidP="008620BE">
      <w:pPr>
        <w:numPr>
          <w:ilvl w:val="0"/>
          <w:numId w:val="19"/>
        </w:numPr>
        <w:bidi w:val="0"/>
        <w:snapToGrid w:val="0"/>
        <w:ind w:left="0" w:firstLine="425"/>
        <w:contextualSpacing/>
        <w:jc w:val="both"/>
        <w:rPr>
          <w:rFonts w:eastAsia="Calibri"/>
          <w:sz w:val="20"/>
          <w:szCs w:val="20"/>
        </w:rPr>
      </w:pPr>
      <w:r w:rsidRPr="005B0931">
        <w:rPr>
          <w:rFonts w:eastAsia="Calibri"/>
          <w:sz w:val="20"/>
          <w:szCs w:val="20"/>
        </w:rPr>
        <w:t>The first group was significantly responding with MMSE mean value initially 18.6 and after 15 days was around 21 with an incline of 2.</w:t>
      </w:r>
      <w:r w:rsidR="002A6D47" w:rsidRPr="005B0931">
        <w:rPr>
          <w:rFonts w:eastAsia="Calibri"/>
          <w:sz w:val="20"/>
          <w:szCs w:val="20"/>
        </w:rPr>
        <w:t>4.</w:t>
      </w:r>
    </w:p>
    <w:p w:rsidR="002A6D47" w:rsidRPr="005B0931" w:rsidRDefault="00753C57" w:rsidP="008620BE">
      <w:pPr>
        <w:numPr>
          <w:ilvl w:val="0"/>
          <w:numId w:val="19"/>
        </w:numPr>
        <w:bidi w:val="0"/>
        <w:snapToGrid w:val="0"/>
        <w:ind w:left="0" w:firstLine="425"/>
        <w:contextualSpacing/>
        <w:jc w:val="both"/>
        <w:rPr>
          <w:rFonts w:eastAsia="Calibri"/>
          <w:sz w:val="20"/>
          <w:szCs w:val="20"/>
        </w:rPr>
      </w:pPr>
      <w:r w:rsidRPr="005B0931">
        <w:rPr>
          <w:rFonts w:eastAsia="Calibri"/>
          <w:sz w:val="20"/>
          <w:szCs w:val="20"/>
        </w:rPr>
        <w:t>The second group was less significantly responding with MMSE mean value initially 13.6</w:t>
      </w:r>
      <w:r w:rsidR="002A6D47" w:rsidRPr="005B0931">
        <w:rPr>
          <w:rFonts w:eastAsia="Calibri"/>
          <w:sz w:val="20"/>
          <w:szCs w:val="20"/>
        </w:rPr>
        <w:t xml:space="preserve"> </w:t>
      </w:r>
      <w:r w:rsidRPr="005B0931">
        <w:rPr>
          <w:rFonts w:eastAsia="Calibri"/>
          <w:sz w:val="20"/>
          <w:szCs w:val="20"/>
        </w:rPr>
        <w:t>and after 15 days was around 14.5 with an incline of 0.</w:t>
      </w:r>
      <w:r w:rsidR="002A6D47" w:rsidRPr="005B0931">
        <w:rPr>
          <w:rFonts w:eastAsia="Calibri"/>
          <w:sz w:val="20"/>
          <w:szCs w:val="20"/>
        </w:rPr>
        <w:t>9.</w:t>
      </w:r>
    </w:p>
    <w:p w:rsidR="00753C57" w:rsidRPr="005B0931" w:rsidRDefault="00753C57" w:rsidP="00531CD4">
      <w:pPr>
        <w:bidi w:val="0"/>
        <w:snapToGrid w:val="0"/>
        <w:ind w:firstLine="425"/>
        <w:jc w:val="both"/>
        <w:rPr>
          <w:rFonts w:eastAsia="Calibri"/>
          <w:sz w:val="20"/>
          <w:szCs w:val="20"/>
        </w:rPr>
      </w:pPr>
      <w:r w:rsidRPr="005B0931">
        <w:rPr>
          <w:rFonts w:eastAsia="Calibri"/>
          <w:sz w:val="20"/>
          <w:szCs w:val="20"/>
        </w:rPr>
        <w:lastRenderedPageBreak/>
        <w:t xml:space="preserve">This supports that better prognosis could be predicted in the presence of normal </w:t>
      </w:r>
      <w:proofErr w:type="spellStart"/>
      <w:r w:rsidRPr="005B0931">
        <w:rPr>
          <w:rFonts w:eastAsia="Calibri"/>
          <w:sz w:val="20"/>
          <w:szCs w:val="20"/>
        </w:rPr>
        <w:t>sonographic</w:t>
      </w:r>
      <w:proofErr w:type="spellEnd"/>
      <w:r w:rsidRPr="005B0931">
        <w:rPr>
          <w:rFonts w:eastAsia="Calibri"/>
          <w:sz w:val="20"/>
          <w:szCs w:val="20"/>
        </w:rPr>
        <w:t xml:space="preserve"> findings.</w:t>
      </w:r>
    </w:p>
    <w:p w:rsidR="00753C57" w:rsidRPr="005B0931" w:rsidRDefault="00753C57" w:rsidP="00531CD4">
      <w:pPr>
        <w:bidi w:val="0"/>
        <w:snapToGrid w:val="0"/>
        <w:ind w:firstLine="425"/>
        <w:jc w:val="both"/>
        <w:rPr>
          <w:rFonts w:eastAsia="Calibri"/>
          <w:sz w:val="20"/>
          <w:szCs w:val="20"/>
        </w:rPr>
      </w:pPr>
      <w:r w:rsidRPr="005B0931">
        <w:rPr>
          <w:rFonts w:eastAsia="Calibri"/>
          <w:sz w:val="20"/>
          <w:szCs w:val="20"/>
        </w:rPr>
        <w:t>Table (</w:t>
      </w:r>
      <w:r w:rsidR="00DD6C5C" w:rsidRPr="005B0931">
        <w:rPr>
          <w:rFonts w:eastAsia="Calibri"/>
          <w:sz w:val="20"/>
          <w:szCs w:val="20"/>
        </w:rPr>
        <w:t>2)</w:t>
      </w:r>
      <w:r w:rsidRPr="005B0931">
        <w:rPr>
          <w:rFonts w:eastAsia="Calibri"/>
          <w:sz w:val="20"/>
          <w:szCs w:val="20"/>
        </w:rPr>
        <w:t xml:space="preserve"> Analysis of prognosis using (a) NIHSS values and (b) MMSE values in 21 female patients with ischemic </w:t>
      </w:r>
      <w:proofErr w:type="spellStart"/>
      <w:r w:rsidRPr="005B0931">
        <w:rPr>
          <w:rFonts w:eastAsia="Calibri"/>
          <w:sz w:val="20"/>
          <w:szCs w:val="20"/>
        </w:rPr>
        <w:t>cerebrovascular</w:t>
      </w:r>
      <w:proofErr w:type="spellEnd"/>
      <w:r w:rsidRPr="005B0931">
        <w:rPr>
          <w:rFonts w:eastAsia="Calibri"/>
          <w:sz w:val="20"/>
          <w:szCs w:val="20"/>
        </w:rPr>
        <w:t xml:space="preserve"> stroke showing either normal or abnormal </w:t>
      </w:r>
      <w:proofErr w:type="spellStart"/>
      <w:r w:rsidRPr="005B0931">
        <w:rPr>
          <w:rFonts w:eastAsia="Calibri"/>
          <w:sz w:val="20"/>
          <w:szCs w:val="20"/>
        </w:rPr>
        <w:t>sonographic</w:t>
      </w:r>
      <w:proofErr w:type="spellEnd"/>
      <w:r w:rsidRPr="005B0931">
        <w:rPr>
          <w:rFonts w:eastAsia="Calibri"/>
          <w:sz w:val="20"/>
          <w:szCs w:val="20"/>
        </w:rPr>
        <w:t xml:space="preserve"> findings:</w:t>
      </w:r>
    </w:p>
    <w:p w:rsidR="0062070F" w:rsidRPr="005B0931" w:rsidRDefault="0062070F" w:rsidP="008620BE">
      <w:pPr>
        <w:bidi w:val="0"/>
        <w:snapToGrid w:val="0"/>
        <w:ind w:firstLine="425"/>
        <w:jc w:val="both"/>
        <w:rPr>
          <w:rFonts w:eastAsia="Calibri"/>
          <w:sz w:val="20"/>
          <w:szCs w:val="20"/>
        </w:rPr>
        <w:sectPr w:rsidR="0062070F" w:rsidRPr="005B0931" w:rsidSect="002A6D47">
          <w:type w:val="continuous"/>
          <w:pgSz w:w="12240" w:h="15840" w:code="1"/>
          <w:pgMar w:top="1440" w:right="1440" w:bottom="1440" w:left="1440" w:header="720" w:footer="720" w:gutter="0"/>
          <w:cols w:num="2" w:space="600"/>
          <w:docGrid w:linePitch="360"/>
        </w:sectPr>
      </w:pPr>
    </w:p>
    <w:p w:rsidR="00531CD4" w:rsidRPr="005B0931" w:rsidRDefault="00531CD4" w:rsidP="008620BE">
      <w:pPr>
        <w:bidi w:val="0"/>
        <w:snapToGrid w:val="0"/>
        <w:ind w:firstLine="425"/>
        <w:jc w:val="both"/>
        <w:rPr>
          <w:rFonts w:eastAsiaTheme="minorEastAsia"/>
          <w:sz w:val="20"/>
          <w:szCs w:val="20"/>
          <w:lang w:eastAsia="zh-CN"/>
        </w:rPr>
      </w:pPr>
    </w:p>
    <w:p w:rsidR="00753C57" w:rsidRPr="005B0931" w:rsidRDefault="00753C57" w:rsidP="00531CD4">
      <w:pPr>
        <w:bidi w:val="0"/>
        <w:snapToGrid w:val="0"/>
        <w:ind w:firstLine="425"/>
        <w:jc w:val="both"/>
        <w:rPr>
          <w:rFonts w:eastAsiaTheme="minorEastAsia"/>
          <w:sz w:val="20"/>
          <w:szCs w:val="20"/>
          <w:lang w:eastAsia="zh-CN"/>
        </w:rPr>
      </w:pPr>
      <w:r w:rsidRPr="005B0931">
        <w:rPr>
          <w:rFonts w:eastAsia="Calibri"/>
          <w:sz w:val="20"/>
          <w:szCs w:val="20"/>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1"/>
        <w:gridCol w:w="1123"/>
        <w:gridCol w:w="1709"/>
        <w:gridCol w:w="461"/>
        <w:gridCol w:w="430"/>
        <w:gridCol w:w="430"/>
        <w:gridCol w:w="590"/>
        <w:gridCol w:w="590"/>
        <w:gridCol w:w="1003"/>
      </w:tblGrid>
      <w:tr w:rsidR="00753C57" w:rsidRPr="005B0931" w:rsidTr="005B0931">
        <w:trPr>
          <w:jc w:val="center"/>
        </w:trPr>
        <w:tc>
          <w:tcPr>
            <w:tcW w:w="0" w:type="auto"/>
            <w:gridSpan w:val="2"/>
            <w:vMerge w:val="restart"/>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Group</w:t>
            </w:r>
          </w:p>
        </w:tc>
        <w:tc>
          <w:tcPr>
            <w:tcW w:w="1709" w:type="dxa"/>
            <w:vMerge w:val="restart"/>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Total Number Of Patients</w:t>
            </w:r>
          </w:p>
        </w:tc>
        <w:tc>
          <w:tcPr>
            <w:tcW w:w="3504" w:type="dxa"/>
            <w:gridSpan w:val="6"/>
            <w:shd w:val="clear" w:color="auto" w:fill="auto"/>
            <w:vAlign w:val="center"/>
          </w:tcPr>
          <w:p w:rsidR="00753C57" w:rsidRPr="005B0931" w:rsidRDefault="00531CD4" w:rsidP="00531CD4">
            <w:pPr>
              <w:bidi w:val="0"/>
              <w:snapToGrid w:val="0"/>
              <w:jc w:val="both"/>
              <w:rPr>
                <w:rFonts w:eastAsia="Calibri"/>
                <w:sz w:val="16"/>
                <w:szCs w:val="16"/>
              </w:rPr>
            </w:pPr>
            <w:proofErr w:type="spellStart"/>
            <w:r w:rsidRPr="005B0931">
              <w:rPr>
                <w:rFonts w:eastAsia="Calibri"/>
                <w:sz w:val="16"/>
                <w:szCs w:val="16"/>
              </w:rPr>
              <w:t>Nihss</w:t>
            </w:r>
            <w:proofErr w:type="spellEnd"/>
            <w:r w:rsidRPr="005B0931">
              <w:rPr>
                <w:rFonts w:eastAsia="Calibri"/>
                <w:sz w:val="16"/>
                <w:szCs w:val="16"/>
              </w:rPr>
              <w:t xml:space="preserve"> Value</w:t>
            </w:r>
          </w:p>
        </w:tc>
      </w:tr>
      <w:tr w:rsidR="00753C57" w:rsidRPr="005B0931" w:rsidTr="005B0931">
        <w:trPr>
          <w:jc w:val="center"/>
        </w:trPr>
        <w:tc>
          <w:tcPr>
            <w:tcW w:w="0" w:type="auto"/>
            <w:gridSpan w:val="2"/>
            <w:vMerge/>
            <w:vAlign w:val="center"/>
          </w:tcPr>
          <w:p w:rsidR="00753C57" w:rsidRPr="005B0931" w:rsidRDefault="00753C57" w:rsidP="00531CD4">
            <w:pPr>
              <w:bidi w:val="0"/>
              <w:snapToGrid w:val="0"/>
              <w:jc w:val="both"/>
              <w:rPr>
                <w:rFonts w:eastAsia="Calibri"/>
                <w:sz w:val="16"/>
                <w:szCs w:val="16"/>
              </w:rPr>
            </w:pPr>
          </w:p>
        </w:tc>
        <w:tc>
          <w:tcPr>
            <w:tcW w:w="1709" w:type="dxa"/>
            <w:vMerge/>
            <w:shd w:val="clear" w:color="auto" w:fill="auto"/>
            <w:vAlign w:val="center"/>
          </w:tcPr>
          <w:p w:rsidR="00753C57" w:rsidRPr="005B0931" w:rsidRDefault="00753C57" w:rsidP="00531CD4">
            <w:pPr>
              <w:bidi w:val="0"/>
              <w:snapToGrid w:val="0"/>
              <w:jc w:val="both"/>
              <w:rPr>
                <w:rFonts w:eastAsia="Calibri"/>
                <w:sz w:val="16"/>
                <w:szCs w:val="16"/>
              </w:rPr>
            </w:pPr>
          </w:p>
        </w:tc>
        <w:tc>
          <w:tcPr>
            <w:tcW w:w="461" w:type="dxa"/>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0</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1-4</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5-9</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10-20</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21-24</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Mean Value</w:t>
            </w:r>
          </w:p>
        </w:tc>
      </w:tr>
      <w:tr w:rsidR="00753C57" w:rsidRPr="005B0931" w:rsidTr="005B0931">
        <w:trPr>
          <w:jc w:val="center"/>
        </w:trPr>
        <w:tc>
          <w:tcPr>
            <w:tcW w:w="0" w:type="auto"/>
            <w:vMerge w:val="restart"/>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 xml:space="preserve">Patients With </w:t>
            </w:r>
            <w:proofErr w:type="spellStart"/>
            <w:r w:rsidRPr="005B0931">
              <w:rPr>
                <w:rFonts w:eastAsia="Calibri"/>
                <w:sz w:val="16"/>
                <w:szCs w:val="16"/>
              </w:rPr>
              <w:t>Nomral</w:t>
            </w:r>
            <w:proofErr w:type="spellEnd"/>
            <w:r w:rsidRPr="005B0931">
              <w:rPr>
                <w:rFonts w:eastAsia="Calibri"/>
                <w:sz w:val="16"/>
                <w:szCs w:val="16"/>
              </w:rPr>
              <w:t xml:space="preserve">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0" w:type="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Initial</w:t>
            </w:r>
          </w:p>
        </w:tc>
        <w:tc>
          <w:tcPr>
            <w:tcW w:w="1709" w:type="dxa"/>
            <w:vMerge w:val="restart"/>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11</w:t>
            </w:r>
          </w:p>
        </w:tc>
        <w:tc>
          <w:tcPr>
            <w:tcW w:w="461" w:type="dxa"/>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3</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6</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8</w:t>
            </w:r>
          </w:p>
        </w:tc>
      </w:tr>
      <w:tr w:rsidR="00753C57" w:rsidRPr="005B0931" w:rsidTr="005B0931">
        <w:trPr>
          <w:jc w:val="center"/>
        </w:trPr>
        <w:tc>
          <w:tcPr>
            <w:tcW w:w="0" w:type="auto"/>
            <w:vMerge/>
            <w:vAlign w:val="center"/>
          </w:tcPr>
          <w:p w:rsidR="00753C57" w:rsidRPr="005B0931" w:rsidRDefault="00753C57" w:rsidP="00531CD4">
            <w:pPr>
              <w:bidi w:val="0"/>
              <w:snapToGrid w:val="0"/>
              <w:jc w:val="both"/>
              <w:rPr>
                <w:rFonts w:eastAsia="Calibri"/>
                <w:sz w:val="16"/>
                <w:szCs w:val="16"/>
              </w:rPr>
            </w:pPr>
          </w:p>
        </w:tc>
        <w:tc>
          <w:tcPr>
            <w:tcW w:w="0" w:type="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After 15 Days</w:t>
            </w:r>
          </w:p>
        </w:tc>
        <w:tc>
          <w:tcPr>
            <w:tcW w:w="1709" w:type="dxa"/>
            <w:vMerge/>
            <w:shd w:val="clear" w:color="auto" w:fill="auto"/>
            <w:vAlign w:val="center"/>
          </w:tcPr>
          <w:p w:rsidR="00753C57" w:rsidRPr="005B0931" w:rsidRDefault="00753C57" w:rsidP="00531CD4">
            <w:pPr>
              <w:bidi w:val="0"/>
              <w:snapToGrid w:val="0"/>
              <w:jc w:val="both"/>
              <w:rPr>
                <w:rFonts w:eastAsia="Calibri"/>
                <w:sz w:val="16"/>
                <w:szCs w:val="16"/>
              </w:rPr>
            </w:pPr>
          </w:p>
        </w:tc>
        <w:tc>
          <w:tcPr>
            <w:tcW w:w="461" w:type="dxa"/>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4</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4</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753C57" w:rsidP="00531CD4">
            <w:pPr>
              <w:bidi w:val="0"/>
              <w:snapToGrid w:val="0"/>
              <w:jc w:val="both"/>
              <w:rPr>
                <w:rFonts w:eastAsia="Calibri"/>
                <w:sz w:val="16"/>
                <w:szCs w:val="16"/>
              </w:rPr>
            </w:pP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6.1</w:t>
            </w:r>
          </w:p>
        </w:tc>
      </w:tr>
      <w:tr w:rsidR="00753C57" w:rsidRPr="005B0931" w:rsidTr="005B0931">
        <w:trPr>
          <w:jc w:val="center"/>
        </w:trPr>
        <w:tc>
          <w:tcPr>
            <w:tcW w:w="0" w:type="auto"/>
            <w:vMerge w:val="restart"/>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 xml:space="preserve">Patients With Abnormal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0" w:type="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Initial</w:t>
            </w:r>
          </w:p>
        </w:tc>
        <w:tc>
          <w:tcPr>
            <w:tcW w:w="1709" w:type="dxa"/>
            <w:vMerge w:val="restart"/>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10</w:t>
            </w:r>
          </w:p>
        </w:tc>
        <w:tc>
          <w:tcPr>
            <w:tcW w:w="461" w:type="dxa"/>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4</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4</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16</w:t>
            </w:r>
          </w:p>
        </w:tc>
      </w:tr>
      <w:tr w:rsidR="00753C57" w:rsidRPr="005B0931" w:rsidTr="005B0931">
        <w:trPr>
          <w:jc w:val="center"/>
        </w:trPr>
        <w:tc>
          <w:tcPr>
            <w:tcW w:w="0" w:type="auto"/>
            <w:vMerge/>
            <w:vAlign w:val="center"/>
          </w:tcPr>
          <w:p w:rsidR="00753C57" w:rsidRPr="005B0931" w:rsidRDefault="00753C57" w:rsidP="00531CD4">
            <w:pPr>
              <w:bidi w:val="0"/>
              <w:snapToGrid w:val="0"/>
              <w:jc w:val="both"/>
              <w:rPr>
                <w:rFonts w:eastAsia="Calibri"/>
                <w:sz w:val="16"/>
                <w:szCs w:val="16"/>
              </w:rPr>
            </w:pPr>
          </w:p>
        </w:tc>
        <w:tc>
          <w:tcPr>
            <w:tcW w:w="0" w:type="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After 15 Days</w:t>
            </w:r>
          </w:p>
        </w:tc>
        <w:tc>
          <w:tcPr>
            <w:tcW w:w="1709" w:type="dxa"/>
            <w:vMerge/>
            <w:shd w:val="clear" w:color="auto" w:fill="auto"/>
            <w:vAlign w:val="center"/>
          </w:tcPr>
          <w:p w:rsidR="00753C57" w:rsidRPr="005B0931" w:rsidRDefault="00753C57" w:rsidP="00531CD4">
            <w:pPr>
              <w:bidi w:val="0"/>
              <w:snapToGrid w:val="0"/>
              <w:jc w:val="both"/>
              <w:rPr>
                <w:rFonts w:eastAsia="Calibri"/>
                <w:sz w:val="16"/>
                <w:szCs w:val="16"/>
              </w:rPr>
            </w:pPr>
          </w:p>
        </w:tc>
        <w:tc>
          <w:tcPr>
            <w:tcW w:w="461" w:type="dxa"/>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4</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4</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15.6</w:t>
            </w:r>
          </w:p>
        </w:tc>
      </w:tr>
    </w:tbl>
    <w:p w:rsidR="0062070F" w:rsidRPr="005B0931" w:rsidRDefault="0062070F" w:rsidP="008620BE">
      <w:pPr>
        <w:bidi w:val="0"/>
        <w:snapToGrid w:val="0"/>
        <w:ind w:firstLine="425"/>
        <w:jc w:val="both"/>
        <w:rPr>
          <w:rFonts w:eastAsia="Calibri"/>
          <w:sz w:val="20"/>
          <w:szCs w:val="20"/>
        </w:rPr>
      </w:pPr>
    </w:p>
    <w:p w:rsidR="0062070F" w:rsidRPr="005B0931" w:rsidRDefault="0062070F" w:rsidP="008620BE">
      <w:pPr>
        <w:bidi w:val="0"/>
        <w:snapToGrid w:val="0"/>
        <w:ind w:firstLine="425"/>
        <w:jc w:val="both"/>
        <w:rPr>
          <w:rFonts w:eastAsia="Calibri"/>
          <w:sz w:val="20"/>
          <w:szCs w:val="20"/>
        </w:rPr>
        <w:sectPr w:rsidR="0062070F" w:rsidRPr="005B0931" w:rsidSect="0062070F">
          <w:type w:val="continuous"/>
          <w:pgSz w:w="12240" w:h="15840" w:code="1"/>
          <w:pgMar w:top="1440" w:right="1440" w:bottom="1440" w:left="1440" w:header="720" w:footer="720" w:gutter="0"/>
          <w:cols w:space="720"/>
          <w:docGrid w:linePitch="360"/>
        </w:sectPr>
      </w:pPr>
    </w:p>
    <w:p w:rsidR="00753C57" w:rsidRPr="005B0931" w:rsidRDefault="00753C57" w:rsidP="00531CD4">
      <w:pPr>
        <w:bidi w:val="0"/>
        <w:snapToGrid w:val="0"/>
        <w:ind w:firstLine="425"/>
        <w:jc w:val="both"/>
        <w:rPr>
          <w:rFonts w:eastAsia="Calibri"/>
          <w:sz w:val="20"/>
          <w:szCs w:val="20"/>
        </w:rPr>
      </w:pPr>
      <w:r w:rsidRPr="005B0931">
        <w:rPr>
          <w:rFonts w:eastAsia="Calibri"/>
          <w:sz w:val="20"/>
          <w:szCs w:val="20"/>
        </w:rPr>
        <w:lastRenderedPageBreak/>
        <w:t>From Table (a)</w:t>
      </w:r>
    </w:p>
    <w:p w:rsidR="002A6D47" w:rsidRPr="005B0931" w:rsidRDefault="00753C57" w:rsidP="008620BE">
      <w:pPr>
        <w:numPr>
          <w:ilvl w:val="0"/>
          <w:numId w:val="20"/>
        </w:numPr>
        <w:bidi w:val="0"/>
        <w:snapToGrid w:val="0"/>
        <w:ind w:left="0" w:firstLine="425"/>
        <w:contextualSpacing/>
        <w:jc w:val="both"/>
        <w:rPr>
          <w:rFonts w:eastAsia="Calibri"/>
          <w:sz w:val="20"/>
          <w:szCs w:val="20"/>
        </w:rPr>
      </w:pPr>
      <w:r w:rsidRPr="005B0931">
        <w:rPr>
          <w:rFonts w:eastAsia="Calibri"/>
          <w:sz w:val="20"/>
          <w:szCs w:val="20"/>
        </w:rPr>
        <w:t>Definitive decline of NIHSS was seen in both group</w:t>
      </w:r>
      <w:r w:rsidR="002A6D47" w:rsidRPr="005B0931">
        <w:rPr>
          <w:rFonts w:eastAsia="Calibri"/>
          <w:sz w:val="20"/>
          <w:szCs w:val="20"/>
        </w:rPr>
        <w:t>s.</w:t>
      </w:r>
    </w:p>
    <w:p w:rsidR="002A6D47" w:rsidRPr="005B0931" w:rsidRDefault="00753C57" w:rsidP="008620BE">
      <w:pPr>
        <w:numPr>
          <w:ilvl w:val="0"/>
          <w:numId w:val="20"/>
        </w:numPr>
        <w:bidi w:val="0"/>
        <w:snapToGrid w:val="0"/>
        <w:ind w:left="0" w:firstLine="425"/>
        <w:contextualSpacing/>
        <w:jc w:val="both"/>
        <w:rPr>
          <w:rFonts w:eastAsia="Calibri"/>
          <w:sz w:val="20"/>
          <w:szCs w:val="20"/>
        </w:rPr>
      </w:pPr>
      <w:r w:rsidRPr="005B0931">
        <w:rPr>
          <w:rFonts w:eastAsia="Calibri"/>
          <w:sz w:val="20"/>
          <w:szCs w:val="20"/>
        </w:rPr>
        <w:t>The first group was significantly responding with NIHSS mean value initially 8 and after 15 days was around 6.1 with a decline of 1.</w:t>
      </w:r>
      <w:r w:rsidR="002A6D47" w:rsidRPr="005B0931">
        <w:rPr>
          <w:rFonts w:eastAsia="Calibri"/>
          <w:sz w:val="20"/>
          <w:szCs w:val="20"/>
        </w:rPr>
        <w:t>9.</w:t>
      </w:r>
    </w:p>
    <w:p w:rsidR="002A6D47" w:rsidRPr="005B0931" w:rsidRDefault="00753C57" w:rsidP="008620BE">
      <w:pPr>
        <w:numPr>
          <w:ilvl w:val="0"/>
          <w:numId w:val="20"/>
        </w:numPr>
        <w:bidi w:val="0"/>
        <w:snapToGrid w:val="0"/>
        <w:ind w:left="0" w:firstLine="425"/>
        <w:contextualSpacing/>
        <w:jc w:val="both"/>
        <w:rPr>
          <w:rFonts w:eastAsia="Calibri"/>
          <w:sz w:val="20"/>
          <w:szCs w:val="20"/>
        </w:rPr>
      </w:pPr>
      <w:r w:rsidRPr="005B0931">
        <w:rPr>
          <w:rFonts w:eastAsia="Calibri"/>
          <w:sz w:val="20"/>
          <w:szCs w:val="20"/>
        </w:rPr>
        <w:t>The second group was less significantly responding with NIHSS mean value initially 16 and after 15 days was around 15.6 with a decline of</w:t>
      </w:r>
      <w:r w:rsidR="002A6D47" w:rsidRPr="005B0931">
        <w:rPr>
          <w:rFonts w:eastAsia="Calibri"/>
          <w:sz w:val="20"/>
          <w:szCs w:val="20"/>
        </w:rPr>
        <w:t xml:space="preserve"> </w:t>
      </w:r>
      <w:r w:rsidRPr="005B0931">
        <w:rPr>
          <w:rFonts w:eastAsia="Calibri"/>
          <w:sz w:val="20"/>
          <w:szCs w:val="20"/>
        </w:rPr>
        <w:t>0.</w:t>
      </w:r>
      <w:r w:rsidR="002A6D47" w:rsidRPr="005B0931">
        <w:rPr>
          <w:rFonts w:eastAsia="Calibri"/>
          <w:sz w:val="20"/>
          <w:szCs w:val="20"/>
        </w:rPr>
        <w:t>4.</w:t>
      </w:r>
    </w:p>
    <w:p w:rsidR="002A6D47" w:rsidRPr="005B0931" w:rsidRDefault="00753C57" w:rsidP="008620BE">
      <w:pPr>
        <w:numPr>
          <w:ilvl w:val="0"/>
          <w:numId w:val="20"/>
        </w:numPr>
        <w:bidi w:val="0"/>
        <w:snapToGrid w:val="0"/>
        <w:ind w:left="0" w:firstLine="425"/>
        <w:contextualSpacing/>
        <w:jc w:val="both"/>
        <w:rPr>
          <w:rFonts w:eastAsia="Calibri"/>
          <w:sz w:val="20"/>
          <w:szCs w:val="20"/>
        </w:rPr>
      </w:pPr>
      <w:r w:rsidRPr="005B0931">
        <w:rPr>
          <w:rFonts w:eastAsia="Calibri"/>
          <w:sz w:val="20"/>
          <w:szCs w:val="20"/>
        </w:rPr>
        <w:lastRenderedPageBreak/>
        <w:t xml:space="preserve">The initial NIHSS values were higher in the second group who presented with abnormal </w:t>
      </w:r>
      <w:proofErr w:type="spellStart"/>
      <w:r w:rsidRPr="005B0931">
        <w:rPr>
          <w:rFonts w:eastAsia="Calibri"/>
          <w:sz w:val="20"/>
          <w:szCs w:val="20"/>
        </w:rPr>
        <w:t>sonographic</w:t>
      </w:r>
      <w:proofErr w:type="spellEnd"/>
      <w:r w:rsidRPr="005B0931">
        <w:rPr>
          <w:rFonts w:eastAsia="Calibri"/>
          <w:sz w:val="20"/>
          <w:szCs w:val="20"/>
        </w:rPr>
        <w:t xml:space="preserve"> finding</w:t>
      </w:r>
      <w:r w:rsidR="002A6D47" w:rsidRPr="005B0931">
        <w:rPr>
          <w:rFonts w:eastAsia="Calibri"/>
          <w:sz w:val="20"/>
          <w:szCs w:val="20"/>
        </w:rPr>
        <w:t>s.</w:t>
      </w:r>
    </w:p>
    <w:p w:rsidR="002A6D47" w:rsidRPr="005B0931" w:rsidRDefault="00753C57" w:rsidP="008620BE">
      <w:pPr>
        <w:bidi w:val="0"/>
        <w:snapToGrid w:val="0"/>
        <w:ind w:firstLine="425"/>
        <w:jc w:val="both"/>
        <w:rPr>
          <w:rFonts w:eastAsia="Calibri"/>
          <w:sz w:val="20"/>
          <w:szCs w:val="20"/>
        </w:rPr>
      </w:pPr>
      <w:r w:rsidRPr="005B0931">
        <w:rPr>
          <w:rFonts w:eastAsia="Calibri"/>
          <w:sz w:val="20"/>
          <w:szCs w:val="20"/>
        </w:rPr>
        <w:t xml:space="preserve">This supports that better prognosis could be predicted in the presence of normal </w:t>
      </w:r>
      <w:proofErr w:type="spellStart"/>
      <w:r w:rsidRPr="005B0931">
        <w:rPr>
          <w:rFonts w:eastAsia="Calibri"/>
          <w:sz w:val="20"/>
          <w:szCs w:val="20"/>
        </w:rPr>
        <w:t>sonographic</w:t>
      </w:r>
      <w:proofErr w:type="spellEnd"/>
      <w:r w:rsidRPr="005B0931">
        <w:rPr>
          <w:rFonts w:eastAsia="Calibri"/>
          <w:sz w:val="20"/>
          <w:szCs w:val="20"/>
        </w:rPr>
        <w:t xml:space="preserve"> finding</w:t>
      </w:r>
      <w:r w:rsidR="002A6D47" w:rsidRPr="005B0931">
        <w:rPr>
          <w:rFonts w:eastAsia="Calibri"/>
          <w:sz w:val="20"/>
          <w:szCs w:val="20"/>
        </w:rPr>
        <w:t>s.</w:t>
      </w:r>
    </w:p>
    <w:p w:rsidR="00753C57" w:rsidRPr="005B0931" w:rsidRDefault="00753C57" w:rsidP="008620BE">
      <w:pPr>
        <w:bidi w:val="0"/>
        <w:snapToGrid w:val="0"/>
        <w:ind w:firstLine="425"/>
        <w:jc w:val="both"/>
        <w:rPr>
          <w:rFonts w:eastAsia="Calibri"/>
          <w:sz w:val="20"/>
          <w:szCs w:val="20"/>
        </w:rPr>
      </w:pPr>
      <w:r w:rsidRPr="005B0931">
        <w:rPr>
          <w:rFonts w:eastAsia="Calibri"/>
          <w:sz w:val="20"/>
          <w:szCs w:val="20"/>
        </w:rPr>
        <w:t xml:space="preserve">b) Analysis of prognosis using MMSE values in 21 female patients with ischemic </w:t>
      </w:r>
      <w:proofErr w:type="spellStart"/>
      <w:r w:rsidRPr="005B0931">
        <w:rPr>
          <w:rFonts w:eastAsia="Calibri"/>
          <w:sz w:val="20"/>
          <w:szCs w:val="20"/>
        </w:rPr>
        <w:t>cerebrovascular</w:t>
      </w:r>
      <w:proofErr w:type="spellEnd"/>
      <w:r w:rsidRPr="005B0931">
        <w:rPr>
          <w:rFonts w:eastAsia="Calibri"/>
          <w:sz w:val="20"/>
          <w:szCs w:val="20"/>
        </w:rPr>
        <w:t xml:space="preserve"> stroke showing either normal or</w:t>
      </w:r>
      <w:r w:rsidR="00957A59" w:rsidRPr="005B0931">
        <w:rPr>
          <w:rFonts w:eastAsia="Calibri"/>
          <w:sz w:val="20"/>
          <w:szCs w:val="20"/>
        </w:rPr>
        <w:t xml:space="preserve"> abnormal </w:t>
      </w:r>
      <w:proofErr w:type="spellStart"/>
      <w:r w:rsidR="00957A59" w:rsidRPr="005B0931">
        <w:rPr>
          <w:rFonts w:eastAsia="Calibri"/>
          <w:sz w:val="20"/>
          <w:szCs w:val="20"/>
        </w:rPr>
        <w:t>sonographic</w:t>
      </w:r>
      <w:proofErr w:type="spellEnd"/>
      <w:r w:rsidR="00957A59" w:rsidRPr="005B0931">
        <w:rPr>
          <w:rFonts w:eastAsia="Calibri"/>
          <w:sz w:val="20"/>
          <w:szCs w:val="20"/>
        </w:rPr>
        <w:t xml:space="preserve"> findings:</w:t>
      </w:r>
    </w:p>
    <w:p w:rsidR="008F5126" w:rsidRPr="005B0931" w:rsidRDefault="008F5126" w:rsidP="008620BE">
      <w:pPr>
        <w:bidi w:val="0"/>
        <w:snapToGrid w:val="0"/>
        <w:ind w:firstLine="425"/>
        <w:jc w:val="both"/>
        <w:rPr>
          <w:rFonts w:eastAsia="Calibri"/>
          <w:sz w:val="20"/>
          <w:szCs w:val="20"/>
        </w:rPr>
        <w:sectPr w:rsidR="008F5126" w:rsidRPr="005B0931" w:rsidSect="002A6D47">
          <w:type w:val="continuous"/>
          <w:pgSz w:w="12240" w:h="15840" w:code="1"/>
          <w:pgMar w:top="1440" w:right="1440" w:bottom="1440" w:left="1440" w:header="720" w:footer="720" w:gutter="0"/>
          <w:cols w:num="2" w:space="600"/>
          <w:docGrid w:linePitch="360"/>
        </w:sectPr>
      </w:pPr>
    </w:p>
    <w:p w:rsidR="00531CD4" w:rsidRPr="005B0931" w:rsidRDefault="00531CD4">
      <w:pPr>
        <w:bidi w:val="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1"/>
        <w:gridCol w:w="1123"/>
        <w:gridCol w:w="1874"/>
        <w:gridCol w:w="510"/>
        <w:gridCol w:w="590"/>
        <w:gridCol w:w="590"/>
        <w:gridCol w:w="590"/>
        <w:gridCol w:w="1003"/>
      </w:tblGrid>
      <w:tr w:rsidR="00753C57" w:rsidRPr="005B0931" w:rsidTr="00531CD4">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Group</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531CD4">
            <w:pPr>
              <w:bidi w:val="0"/>
              <w:snapToGrid w:val="0"/>
              <w:jc w:val="both"/>
              <w:rPr>
                <w:rFonts w:eastAsia="Calibri"/>
                <w:sz w:val="16"/>
                <w:szCs w:val="16"/>
              </w:rPr>
            </w:pPr>
            <w:r w:rsidRPr="005B0931">
              <w:rPr>
                <w:rFonts w:eastAsia="Calibri"/>
                <w:sz w:val="16"/>
                <w:szCs w:val="16"/>
              </w:rPr>
              <w:t>Total Number Of Patients</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531CD4">
            <w:pPr>
              <w:bidi w:val="0"/>
              <w:snapToGrid w:val="0"/>
              <w:jc w:val="both"/>
              <w:rPr>
                <w:rFonts w:eastAsia="Calibri"/>
                <w:sz w:val="16"/>
                <w:szCs w:val="16"/>
              </w:rPr>
            </w:pPr>
            <w:proofErr w:type="spellStart"/>
            <w:r w:rsidRPr="005B0931">
              <w:rPr>
                <w:rFonts w:eastAsia="Calibri"/>
                <w:sz w:val="16"/>
                <w:szCs w:val="16"/>
              </w:rPr>
              <w:t>Mmse</w:t>
            </w:r>
            <w:proofErr w:type="spellEnd"/>
            <w:r w:rsidRPr="005B0931">
              <w:rPr>
                <w:rFonts w:eastAsia="Calibri"/>
                <w:sz w:val="16"/>
                <w:szCs w:val="16"/>
              </w:rPr>
              <w:t xml:space="preserve"> Value</w:t>
            </w:r>
          </w:p>
        </w:tc>
      </w:tr>
      <w:tr w:rsidR="00753C57" w:rsidRPr="005B0931" w:rsidTr="00531CD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53C57" w:rsidRPr="005B0931" w:rsidRDefault="00753C57" w:rsidP="00531CD4">
            <w:pPr>
              <w:bidi w:val="0"/>
              <w:snapToGrid w:val="0"/>
              <w:jc w:val="both"/>
              <w:rPr>
                <w:rFonts w:eastAsia="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3C57" w:rsidRPr="005B0931" w:rsidRDefault="00753C57" w:rsidP="00531CD4">
            <w:pPr>
              <w:bidi w:val="0"/>
              <w:snapToGrid w:val="0"/>
              <w:jc w:val="both"/>
              <w:rPr>
                <w:rFonts w:eastAsia="Calibri"/>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531CD4">
            <w:pPr>
              <w:bidi w:val="0"/>
              <w:snapToGrid w:val="0"/>
              <w:jc w:val="both"/>
              <w:rPr>
                <w:rFonts w:eastAsia="Calibri"/>
                <w:sz w:val="16"/>
                <w:szCs w:val="16"/>
              </w:rPr>
            </w:pPr>
            <w:r w:rsidRPr="005B0931">
              <w:rPr>
                <w:rFonts w:eastAsia="Calibri"/>
                <w:sz w:val="16"/>
                <w:szCs w:val="16"/>
              </w:rPr>
              <w:t>0-10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531CD4">
            <w:pPr>
              <w:bidi w:val="0"/>
              <w:snapToGrid w:val="0"/>
              <w:jc w:val="both"/>
              <w:rPr>
                <w:rFonts w:eastAsia="Calibri"/>
                <w:sz w:val="16"/>
                <w:szCs w:val="16"/>
              </w:rPr>
            </w:pPr>
            <w:r w:rsidRPr="005B0931">
              <w:rPr>
                <w:rFonts w:eastAsia="Calibri"/>
                <w:sz w:val="16"/>
                <w:szCs w:val="16"/>
              </w:rPr>
              <w:t>11-20</w:t>
            </w:r>
          </w:p>
        </w:tc>
        <w:tc>
          <w:tcPr>
            <w:tcW w:w="0" w:type="auto"/>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531CD4">
            <w:pPr>
              <w:bidi w:val="0"/>
              <w:snapToGrid w:val="0"/>
              <w:jc w:val="both"/>
              <w:rPr>
                <w:rFonts w:eastAsia="Calibri"/>
                <w:sz w:val="16"/>
                <w:szCs w:val="16"/>
              </w:rPr>
            </w:pPr>
            <w:r w:rsidRPr="005B0931">
              <w:rPr>
                <w:rFonts w:eastAsia="Calibri"/>
                <w:sz w:val="16"/>
                <w:szCs w:val="16"/>
              </w:rPr>
              <w:t>21-25</w:t>
            </w:r>
          </w:p>
        </w:tc>
        <w:tc>
          <w:tcPr>
            <w:tcW w:w="0" w:type="auto"/>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531CD4">
            <w:pPr>
              <w:bidi w:val="0"/>
              <w:snapToGrid w:val="0"/>
              <w:jc w:val="both"/>
              <w:rPr>
                <w:rFonts w:eastAsia="Calibri"/>
                <w:sz w:val="16"/>
                <w:szCs w:val="16"/>
              </w:rPr>
            </w:pPr>
            <w:r w:rsidRPr="005B0931">
              <w:rPr>
                <w:rFonts w:eastAsia="Calibri"/>
                <w:sz w:val="16"/>
                <w:szCs w:val="16"/>
              </w:rPr>
              <w:t>26-30</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Mean Value</w:t>
            </w:r>
          </w:p>
        </w:tc>
      </w:tr>
      <w:tr w:rsidR="00753C57" w:rsidRPr="005B0931" w:rsidTr="00531CD4">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531CD4">
            <w:pPr>
              <w:bidi w:val="0"/>
              <w:snapToGrid w:val="0"/>
              <w:jc w:val="both"/>
              <w:rPr>
                <w:rFonts w:eastAsia="Calibri"/>
                <w:sz w:val="16"/>
                <w:szCs w:val="16"/>
              </w:rPr>
            </w:pPr>
            <w:r w:rsidRPr="005B0931">
              <w:rPr>
                <w:rFonts w:eastAsia="Calibri"/>
                <w:sz w:val="16"/>
                <w:szCs w:val="16"/>
              </w:rPr>
              <w:t xml:space="preserve">Patients With </w:t>
            </w:r>
            <w:proofErr w:type="spellStart"/>
            <w:r w:rsidRPr="005B0931">
              <w:rPr>
                <w:rFonts w:eastAsia="Calibri"/>
                <w:sz w:val="16"/>
                <w:szCs w:val="16"/>
              </w:rPr>
              <w:t>Nomral</w:t>
            </w:r>
            <w:proofErr w:type="spellEnd"/>
            <w:r w:rsidRPr="005B0931">
              <w:rPr>
                <w:rFonts w:eastAsia="Calibri"/>
                <w:sz w:val="16"/>
                <w:szCs w:val="16"/>
              </w:rPr>
              <w:t xml:space="preserve">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Initial</w:t>
            </w:r>
          </w:p>
        </w:tc>
        <w:tc>
          <w:tcPr>
            <w:tcW w:w="0" w:type="auto"/>
            <w:vMerge w:val="restart"/>
            <w:tcBorders>
              <w:top w:val="single" w:sz="4" w:space="0" w:color="auto"/>
              <w:left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11</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20.2</w:t>
            </w:r>
          </w:p>
        </w:tc>
      </w:tr>
      <w:tr w:rsidR="00753C57" w:rsidRPr="005B0931" w:rsidTr="00531C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3C57" w:rsidRPr="005B0931" w:rsidRDefault="00753C57" w:rsidP="00531CD4">
            <w:pPr>
              <w:bidi w:val="0"/>
              <w:snapToGrid w:val="0"/>
              <w:jc w:val="both"/>
              <w:rPr>
                <w:rFonts w:eastAsia="Calibri"/>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531CD4">
            <w:pPr>
              <w:bidi w:val="0"/>
              <w:snapToGrid w:val="0"/>
              <w:jc w:val="both"/>
              <w:rPr>
                <w:rFonts w:eastAsia="Calibri"/>
                <w:sz w:val="16"/>
                <w:szCs w:val="16"/>
              </w:rPr>
            </w:pPr>
            <w:r w:rsidRPr="005B0931">
              <w:rPr>
                <w:rFonts w:eastAsia="Calibri"/>
                <w:sz w:val="16"/>
                <w:szCs w:val="16"/>
              </w:rPr>
              <w:t>After 15 Days</w:t>
            </w:r>
          </w:p>
        </w:tc>
        <w:tc>
          <w:tcPr>
            <w:tcW w:w="0" w:type="auto"/>
            <w:vMerge/>
            <w:tcBorders>
              <w:left w:val="single" w:sz="4" w:space="0" w:color="auto"/>
              <w:bottom w:val="single" w:sz="4" w:space="0" w:color="auto"/>
              <w:right w:val="single" w:sz="4" w:space="0" w:color="auto"/>
            </w:tcBorders>
            <w:vAlign w:val="center"/>
          </w:tcPr>
          <w:p w:rsidR="00753C57" w:rsidRPr="005B0931" w:rsidRDefault="00753C57" w:rsidP="00531CD4">
            <w:pPr>
              <w:bidi w:val="0"/>
              <w:snapToGrid w:val="0"/>
              <w:jc w:val="both"/>
              <w:rPr>
                <w:rFonts w:eastAsia="Calibri"/>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22.3</w:t>
            </w:r>
          </w:p>
        </w:tc>
      </w:tr>
      <w:tr w:rsidR="00753C57" w:rsidRPr="005B0931" w:rsidTr="00531CD4">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531CD4">
            <w:pPr>
              <w:bidi w:val="0"/>
              <w:snapToGrid w:val="0"/>
              <w:jc w:val="both"/>
              <w:rPr>
                <w:rFonts w:eastAsia="Calibri"/>
                <w:sz w:val="16"/>
                <w:szCs w:val="16"/>
              </w:rPr>
            </w:pPr>
            <w:r w:rsidRPr="005B0931">
              <w:rPr>
                <w:rFonts w:eastAsia="Calibri"/>
                <w:sz w:val="16"/>
                <w:szCs w:val="16"/>
              </w:rPr>
              <w:t xml:space="preserve">Patients With Abnormal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Initial</w:t>
            </w:r>
          </w:p>
        </w:tc>
        <w:tc>
          <w:tcPr>
            <w:tcW w:w="0" w:type="auto"/>
            <w:vMerge w:val="restart"/>
            <w:tcBorders>
              <w:top w:val="single" w:sz="4" w:space="0" w:color="auto"/>
              <w:left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11.7</w:t>
            </w:r>
          </w:p>
        </w:tc>
      </w:tr>
      <w:tr w:rsidR="00753C57" w:rsidRPr="005B0931" w:rsidTr="00531C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3C57" w:rsidRPr="005B0931" w:rsidRDefault="00753C57" w:rsidP="00531CD4">
            <w:pPr>
              <w:bidi w:val="0"/>
              <w:snapToGrid w:val="0"/>
              <w:jc w:val="both"/>
              <w:rPr>
                <w:rFonts w:eastAsia="Calibri"/>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531CD4">
            <w:pPr>
              <w:bidi w:val="0"/>
              <w:snapToGrid w:val="0"/>
              <w:jc w:val="both"/>
              <w:rPr>
                <w:rFonts w:eastAsia="Calibri"/>
                <w:sz w:val="16"/>
                <w:szCs w:val="16"/>
              </w:rPr>
            </w:pPr>
            <w:r w:rsidRPr="005B0931">
              <w:rPr>
                <w:rFonts w:eastAsia="Calibri"/>
                <w:sz w:val="16"/>
                <w:szCs w:val="16"/>
              </w:rPr>
              <w:t>After 15 Days</w:t>
            </w:r>
          </w:p>
        </w:tc>
        <w:tc>
          <w:tcPr>
            <w:tcW w:w="0" w:type="auto"/>
            <w:vMerge/>
            <w:tcBorders>
              <w:left w:val="single" w:sz="4" w:space="0" w:color="auto"/>
              <w:bottom w:val="single" w:sz="4" w:space="0" w:color="auto"/>
              <w:right w:val="single" w:sz="4" w:space="0" w:color="auto"/>
            </w:tcBorders>
            <w:vAlign w:val="center"/>
          </w:tcPr>
          <w:p w:rsidR="00753C57" w:rsidRPr="005B0931" w:rsidRDefault="00753C57" w:rsidP="00531CD4">
            <w:pPr>
              <w:bidi w:val="0"/>
              <w:snapToGrid w:val="0"/>
              <w:jc w:val="both"/>
              <w:rPr>
                <w:rFonts w:eastAsia="Calibri"/>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12.3</w:t>
            </w:r>
          </w:p>
        </w:tc>
      </w:tr>
    </w:tbl>
    <w:p w:rsidR="0062070F" w:rsidRPr="005B0931" w:rsidRDefault="0062070F" w:rsidP="008620BE">
      <w:pPr>
        <w:bidi w:val="0"/>
        <w:snapToGrid w:val="0"/>
        <w:ind w:firstLine="425"/>
        <w:jc w:val="both"/>
        <w:rPr>
          <w:rFonts w:eastAsia="Calibri"/>
          <w:sz w:val="20"/>
          <w:szCs w:val="20"/>
        </w:rPr>
      </w:pPr>
    </w:p>
    <w:p w:rsidR="0062070F" w:rsidRPr="005B0931" w:rsidRDefault="0062070F" w:rsidP="008620BE">
      <w:pPr>
        <w:bidi w:val="0"/>
        <w:snapToGrid w:val="0"/>
        <w:ind w:firstLine="425"/>
        <w:jc w:val="both"/>
        <w:rPr>
          <w:rFonts w:eastAsia="Calibri"/>
          <w:sz w:val="20"/>
          <w:szCs w:val="20"/>
        </w:rPr>
        <w:sectPr w:rsidR="0062070F" w:rsidRPr="005B0931" w:rsidSect="0062070F">
          <w:type w:val="continuous"/>
          <w:pgSz w:w="12240" w:h="15840" w:code="1"/>
          <w:pgMar w:top="1440" w:right="1440" w:bottom="1440" w:left="1440" w:header="720" w:footer="720" w:gutter="0"/>
          <w:cols w:space="720"/>
          <w:docGrid w:linePitch="360"/>
        </w:sectPr>
      </w:pPr>
    </w:p>
    <w:p w:rsidR="00753C57" w:rsidRPr="005B0931" w:rsidRDefault="00753C57" w:rsidP="008620BE">
      <w:pPr>
        <w:bidi w:val="0"/>
        <w:snapToGrid w:val="0"/>
        <w:ind w:firstLine="425"/>
        <w:jc w:val="both"/>
        <w:rPr>
          <w:rFonts w:eastAsia="Calibri"/>
          <w:sz w:val="20"/>
          <w:szCs w:val="20"/>
        </w:rPr>
      </w:pPr>
      <w:r w:rsidRPr="005B0931">
        <w:rPr>
          <w:rFonts w:eastAsia="Calibri"/>
          <w:sz w:val="20"/>
          <w:szCs w:val="20"/>
        </w:rPr>
        <w:lastRenderedPageBreak/>
        <w:t>From table b)</w:t>
      </w:r>
    </w:p>
    <w:p w:rsidR="002A6D47" w:rsidRPr="005B0931" w:rsidRDefault="00753C57" w:rsidP="008620BE">
      <w:pPr>
        <w:numPr>
          <w:ilvl w:val="0"/>
          <w:numId w:val="30"/>
        </w:numPr>
        <w:bidi w:val="0"/>
        <w:snapToGrid w:val="0"/>
        <w:ind w:left="0" w:firstLine="425"/>
        <w:contextualSpacing/>
        <w:jc w:val="both"/>
        <w:rPr>
          <w:rFonts w:eastAsia="Calibri"/>
          <w:sz w:val="20"/>
          <w:szCs w:val="20"/>
        </w:rPr>
      </w:pPr>
      <w:r w:rsidRPr="005B0931">
        <w:rPr>
          <w:rFonts w:eastAsia="Calibri"/>
          <w:sz w:val="20"/>
          <w:szCs w:val="20"/>
        </w:rPr>
        <w:t>Definitive incline of MMSE is seen in the first grou</w:t>
      </w:r>
      <w:r w:rsidR="002A6D47" w:rsidRPr="005B0931">
        <w:rPr>
          <w:rFonts w:eastAsia="Calibri"/>
          <w:sz w:val="20"/>
          <w:szCs w:val="20"/>
        </w:rPr>
        <w:t>p.</w:t>
      </w:r>
    </w:p>
    <w:p w:rsidR="002A6D47" w:rsidRPr="005B0931" w:rsidRDefault="00753C57" w:rsidP="008620BE">
      <w:pPr>
        <w:numPr>
          <w:ilvl w:val="0"/>
          <w:numId w:val="30"/>
        </w:numPr>
        <w:bidi w:val="0"/>
        <w:snapToGrid w:val="0"/>
        <w:ind w:left="0" w:firstLine="425"/>
        <w:contextualSpacing/>
        <w:jc w:val="both"/>
        <w:rPr>
          <w:rFonts w:eastAsia="Calibri"/>
          <w:sz w:val="20"/>
          <w:szCs w:val="20"/>
        </w:rPr>
      </w:pPr>
      <w:r w:rsidRPr="005B0931">
        <w:rPr>
          <w:rFonts w:eastAsia="Calibri"/>
          <w:sz w:val="20"/>
          <w:szCs w:val="20"/>
        </w:rPr>
        <w:lastRenderedPageBreak/>
        <w:t>The first group is significantly responding with MMSE mean value initially 20.2 and after 15 days is around 22.3 with an incline of 2.</w:t>
      </w:r>
      <w:r w:rsidR="002A6D47" w:rsidRPr="005B0931">
        <w:rPr>
          <w:rFonts w:eastAsia="Calibri"/>
          <w:sz w:val="20"/>
          <w:szCs w:val="20"/>
        </w:rPr>
        <w:t>1.</w:t>
      </w:r>
    </w:p>
    <w:p w:rsidR="002A6D47" w:rsidRPr="005B0931" w:rsidRDefault="00753C57" w:rsidP="008620BE">
      <w:pPr>
        <w:numPr>
          <w:ilvl w:val="0"/>
          <w:numId w:val="30"/>
        </w:numPr>
        <w:bidi w:val="0"/>
        <w:snapToGrid w:val="0"/>
        <w:ind w:left="0" w:firstLine="425"/>
        <w:contextualSpacing/>
        <w:jc w:val="both"/>
        <w:rPr>
          <w:rFonts w:eastAsia="Calibri"/>
          <w:sz w:val="20"/>
          <w:szCs w:val="20"/>
        </w:rPr>
      </w:pPr>
      <w:r w:rsidRPr="005B0931">
        <w:rPr>
          <w:rFonts w:eastAsia="Calibri"/>
          <w:sz w:val="20"/>
          <w:szCs w:val="20"/>
        </w:rPr>
        <w:lastRenderedPageBreak/>
        <w:t>The second group is less significantly responding with MMSE mean value initially 11.7 and after 15 days is around 12.3</w:t>
      </w:r>
      <w:r w:rsidR="002A6D47" w:rsidRPr="005B0931">
        <w:rPr>
          <w:rFonts w:eastAsia="Calibri"/>
          <w:sz w:val="20"/>
          <w:szCs w:val="20"/>
        </w:rPr>
        <w:t xml:space="preserve"> </w:t>
      </w:r>
      <w:r w:rsidRPr="005B0931">
        <w:rPr>
          <w:rFonts w:eastAsia="Calibri"/>
          <w:sz w:val="20"/>
          <w:szCs w:val="20"/>
        </w:rPr>
        <w:t>with an incline of 0.</w:t>
      </w:r>
      <w:r w:rsidR="002A6D47" w:rsidRPr="005B0931">
        <w:rPr>
          <w:rFonts w:eastAsia="Calibri"/>
          <w:sz w:val="20"/>
          <w:szCs w:val="20"/>
        </w:rPr>
        <w:t>6.</w:t>
      </w:r>
    </w:p>
    <w:p w:rsidR="002A6D47" w:rsidRPr="005B0931" w:rsidRDefault="00753C57" w:rsidP="008620BE">
      <w:pPr>
        <w:numPr>
          <w:ilvl w:val="0"/>
          <w:numId w:val="30"/>
        </w:numPr>
        <w:bidi w:val="0"/>
        <w:snapToGrid w:val="0"/>
        <w:ind w:left="0" w:firstLine="425"/>
        <w:contextualSpacing/>
        <w:jc w:val="both"/>
        <w:rPr>
          <w:rFonts w:eastAsia="Calibri"/>
          <w:sz w:val="20"/>
          <w:szCs w:val="20"/>
        </w:rPr>
      </w:pPr>
      <w:r w:rsidRPr="005B0931">
        <w:rPr>
          <w:rFonts w:eastAsia="Calibri"/>
          <w:sz w:val="20"/>
          <w:szCs w:val="20"/>
        </w:rPr>
        <w:t xml:space="preserve">The initial MMSE values were lower in the second group who presented with abnormal </w:t>
      </w:r>
      <w:proofErr w:type="spellStart"/>
      <w:r w:rsidRPr="005B0931">
        <w:rPr>
          <w:rFonts w:eastAsia="Calibri"/>
          <w:sz w:val="20"/>
          <w:szCs w:val="20"/>
        </w:rPr>
        <w:t>sonographic</w:t>
      </w:r>
      <w:proofErr w:type="spellEnd"/>
      <w:r w:rsidRPr="005B0931">
        <w:rPr>
          <w:rFonts w:eastAsia="Calibri"/>
          <w:sz w:val="20"/>
          <w:szCs w:val="20"/>
        </w:rPr>
        <w:t xml:space="preserve"> finding</w:t>
      </w:r>
      <w:r w:rsidR="002A6D47" w:rsidRPr="005B0931">
        <w:rPr>
          <w:rFonts w:eastAsia="Calibri"/>
          <w:sz w:val="20"/>
          <w:szCs w:val="20"/>
        </w:rPr>
        <w:t>s.</w:t>
      </w:r>
    </w:p>
    <w:p w:rsidR="002A6D47" w:rsidRPr="005B0931" w:rsidRDefault="00753C57" w:rsidP="008620BE">
      <w:pPr>
        <w:bidi w:val="0"/>
        <w:snapToGrid w:val="0"/>
        <w:ind w:firstLine="425"/>
        <w:jc w:val="both"/>
        <w:rPr>
          <w:rFonts w:eastAsia="Calibri"/>
          <w:sz w:val="20"/>
          <w:szCs w:val="20"/>
        </w:rPr>
      </w:pPr>
      <w:r w:rsidRPr="005B0931">
        <w:rPr>
          <w:rFonts w:eastAsia="Calibri"/>
          <w:sz w:val="20"/>
          <w:szCs w:val="20"/>
        </w:rPr>
        <w:lastRenderedPageBreak/>
        <w:t xml:space="preserve">This supports that better prognosis could be predicted in the presence of normal </w:t>
      </w:r>
      <w:proofErr w:type="spellStart"/>
      <w:r w:rsidRPr="005B0931">
        <w:rPr>
          <w:rFonts w:eastAsia="Calibri"/>
          <w:sz w:val="20"/>
          <w:szCs w:val="20"/>
        </w:rPr>
        <w:t>sonographic</w:t>
      </w:r>
      <w:proofErr w:type="spellEnd"/>
      <w:r w:rsidRPr="005B0931">
        <w:rPr>
          <w:rFonts w:eastAsia="Calibri"/>
          <w:sz w:val="20"/>
          <w:szCs w:val="20"/>
        </w:rPr>
        <w:t xml:space="preserve"> finding</w:t>
      </w:r>
      <w:r w:rsidR="002A6D47" w:rsidRPr="005B0931">
        <w:rPr>
          <w:rFonts w:eastAsia="Calibri"/>
          <w:sz w:val="20"/>
          <w:szCs w:val="20"/>
        </w:rPr>
        <w:t>s.</w:t>
      </w:r>
    </w:p>
    <w:p w:rsidR="0062070F" w:rsidRPr="005B0931" w:rsidRDefault="0062070F" w:rsidP="008620BE">
      <w:pPr>
        <w:bidi w:val="0"/>
        <w:snapToGrid w:val="0"/>
        <w:ind w:firstLine="425"/>
        <w:jc w:val="both"/>
        <w:rPr>
          <w:rFonts w:eastAsia="Calibri"/>
          <w:sz w:val="20"/>
          <w:szCs w:val="20"/>
        </w:rPr>
        <w:sectPr w:rsidR="0062070F" w:rsidRPr="005B0931" w:rsidSect="002A6D47">
          <w:type w:val="continuous"/>
          <w:pgSz w:w="12240" w:h="15840" w:code="1"/>
          <w:pgMar w:top="1440" w:right="1440" w:bottom="1440" w:left="1440" w:header="720" w:footer="720" w:gutter="0"/>
          <w:cols w:num="2" w:space="600"/>
          <w:docGrid w:linePitch="360"/>
        </w:sectPr>
      </w:pPr>
    </w:p>
    <w:p w:rsidR="00957A59" w:rsidRPr="005B0931" w:rsidRDefault="00957A59" w:rsidP="008620BE">
      <w:pPr>
        <w:bidi w:val="0"/>
        <w:snapToGrid w:val="0"/>
        <w:jc w:val="center"/>
        <w:rPr>
          <w:rFonts w:eastAsia="Calibri"/>
          <w:sz w:val="20"/>
          <w:szCs w:val="20"/>
        </w:rPr>
      </w:pPr>
    </w:p>
    <w:p w:rsidR="00753C57" w:rsidRPr="005B0931" w:rsidRDefault="00753C57" w:rsidP="00531CD4">
      <w:pPr>
        <w:bidi w:val="0"/>
        <w:snapToGrid w:val="0"/>
        <w:jc w:val="both"/>
        <w:rPr>
          <w:rFonts w:eastAsia="Calibri"/>
          <w:sz w:val="20"/>
          <w:szCs w:val="20"/>
        </w:rPr>
      </w:pPr>
      <w:r w:rsidRPr="005B0931">
        <w:rPr>
          <w:rFonts w:eastAsia="Calibri"/>
          <w:sz w:val="20"/>
          <w:szCs w:val="20"/>
        </w:rPr>
        <w:t>Table (</w:t>
      </w:r>
      <w:r w:rsidR="00DD6C5C" w:rsidRPr="005B0931">
        <w:rPr>
          <w:rFonts w:eastAsia="Calibri"/>
          <w:sz w:val="20"/>
          <w:szCs w:val="20"/>
        </w:rPr>
        <w:t>3</w:t>
      </w:r>
      <w:r w:rsidRPr="005B0931">
        <w:rPr>
          <w:rFonts w:eastAsia="Calibri"/>
          <w:sz w:val="20"/>
          <w:szCs w:val="20"/>
        </w:rPr>
        <w:t xml:space="preserve">) Analysis of both initial and after 15 days using (a) NIHSS values and (b) MMSE values in 60 patients with different extra and </w:t>
      </w:r>
      <w:proofErr w:type="spellStart"/>
      <w:r w:rsidRPr="005B0931">
        <w:rPr>
          <w:rFonts w:eastAsia="Calibri"/>
          <w:sz w:val="20"/>
          <w:szCs w:val="20"/>
        </w:rPr>
        <w:t>intracerebral</w:t>
      </w:r>
      <w:proofErr w:type="spellEnd"/>
      <w:r w:rsidRPr="005B0931">
        <w:rPr>
          <w:rFonts w:eastAsia="Calibri"/>
          <w:sz w:val="20"/>
          <w:szCs w:val="20"/>
        </w:rPr>
        <w:t xml:space="preserve"> </w:t>
      </w:r>
      <w:proofErr w:type="spellStart"/>
      <w:r w:rsidRPr="005B0931">
        <w:rPr>
          <w:rFonts w:eastAsia="Calibri"/>
          <w:sz w:val="20"/>
          <w:szCs w:val="20"/>
        </w:rPr>
        <w:t>sonographic</w:t>
      </w:r>
      <w:proofErr w:type="spellEnd"/>
      <w:r w:rsidRPr="005B0931">
        <w:rPr>
          <w:rFonts w:eastAsia="Calibri"/>
          <w:sz w:val="20"/>
          <w:szCs w:val="20"/>
        </w:rPr>
        <w:t xml:space="preserve"> findings:</w:t>
      </w:r>
    </w:p>
    <w:tbl>
      <w:tblPr>
        <w:tblStyle w:val="TableGrid"/>
        <w:tblW w:w="9889" w:type="dxa"/>
        <w:jc w:val="center"/>
        <w:tblBorders>
          <w:insideH w:val="single" w:sz="6" w:space="0" w:color="auto"/>
          <w:insideV w:val="single" w:sz="6" w:space="0" w:color="auto"/>
        </w:tblBorders>
        <w:tblLook w:val="04A0"/>
      </w:tblPr>
      <w:tblGrid>
        <w:gridCol w:w="3282"/>
        <w:gridCol w:w="1387"/>
        <w:gridCol w:w="1256"/>
        <w:gridCol w:w="296"/>
        <w:gridCol w:w="546"/>
        <w:gridCol w:w="560"/>
        <w:gridCol w:w="746"/>
        <w:gridCol w:w="682"/>
        <w:gridCol w:w="1134"/>
      </w:tblGrid>
      <w:tr w:rsidR="00531CD4" w:rsidRPr="005B0931" w:rsidTr="005B0931">
        <w:trPr>
          <w:jc w:val="center"/>
        </w:trPr>
        <w:tc>
          <w:tcPr>
            <w:tcW w:w="4669" w:type="dxa"/>
            <w:gridSpan w:val="2"/>
            <w:vMerge w:val="restart"/>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Group</w:t>
            </w:r>
          </w:p>
        </w:tc>
        <w:tc>
          <w:tcPr>
            <w:tcW w:w="1256" w:type="dxa"/>
            <w:vMerge w:val="restart"/>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Total Number Of Patients</w:t>
            </w:r>
          </w:p>
        </w:tc>
        <w:tc>
          <w:tcPr>
            <w:tcW w:w="3964" w:type="dxa"/>
            <w:gridSpan w:val="6"/>
            <w:shd w:val="clear" w:color="auto" w:fill="auto"/>
            <w:vAlign w:val="center"/>
          </w:tcPr>
          <w:p w:rsidR="00DD6C5C" w:rsidRPr="005B0931" w:rsidRDefault="00531CD4" w:rsidP="002A6D47">
            <w:pPr>
              <w:bidi w:val="0"/>
              <w:snapToGrid w:val="0"/>
              <w:jc w:val="both"/>
              <w:rPr>
                <w:rFonts w:eastAsia="Calibri"/>
                <w:sz w:val="16"/>
                <w:szCs w:val="16"/>
              </w:rPr>
            </w:pPr>
            <w:proofErr w:type="spellStart"/>
            <w:r w:rsidRPr="005B0931">
              <w:rPr>
                <w:rFonts w:eastAsia="Calibri"/>
                <w:sz w:val="16"/>
                <w:szCs w:val="16"/>
              </w:rPr>
              <w:t>Nihss</w:t>
            </w:r>
            <w:proofErr w:type="spellEnd"/>
            <w:r w:rsidRPr="005B0931">
              <w:rPr>
                <w:rFonts w:eastAsia="Calibri"/>
                <w:sz w:val="16"/>
                <w:szCs w:val="16"/>
              </w:rPr>
              <w:t xml:space="preserve"> Value</w:t>
            </w:r>
          </w:p>
        </w:tc>
      </w:tr>
      <w:tr w:rsidR="00531CD4" w:rsidRPr="005B0931" w:rsidTr="005B0931">
        <w:trPr>
          <w:jc w:val="center"/>
        </w:trPr>
        <w:tc>
          <w:tcPr>
            <w:tcW w:w="4669" w:type="dxa"/>
            <w:gridSpan w:val="2"/>
            <w:vMerge/>
            <w:shd w:val="clear" w:color="auto" w:fill="auto"/>
            <w:vAlign w:val="center"/>
          </w:tcPr>
          <w:p w:rsidR="00DD6C5C" w:rsidRPr="005B0931" w:rsidRDefault="00DD6C5C" w:rsidP="002A6D47">
            <w:pPr>
              <w:bidi w:val="0"/>
              <w:snapToGrid w:val="0"/>
              <w:jc w:val="both"/>
              <w:rPr>
                <w:rFonts w:eastAsia="Calibri"/>
                <w:sz w:val="16"/>
                <w:szCs w:val="16"/>
              </w:rPr>
            </w:pPr>
          </w:p>
        </w:tc>
        <w:tc>
          <w:tcPr>
            <w:tcW w:w="1256" w:type="dxa"/>
            <w:vMerge/>
            <w:shd w:val="clear" w:color="auto" w:fill="auto"/>
            <w:vAlign w:val="center"/>
          </w:tcPr>
          <w:p w:rsidR="00DD6C5C" w:rsidRPr="005B0931" w:rsidRDefault="00DD6C5C" w:rsidP="002A6D47">
            <w:pPr>
              <w:bidi w:val="0"/>
              <w:snapToGrid w:val="0"/>
              <w:jc w:val="both"/>
              <w:rPr>
                <w:rFonts w:eastAsia="Calibri"/>
                <w:sz w:val="16"/>
                <w:szCs w:val="16"/>
              </w:rPr>
            </w:pPr>
          </w:p>
        </w:tc>
        <w:tc>
          <w:tcPr>
            <w:tcW w:w="29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0</w:t>
            </w:r>
          </w:p>
        </w:tc>
        <w:tc>
          <w:tcPr>
            <w:tcW w:w="54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1-4</w:t>
            </w:r>
          </w:p>
        </w:tc>
        <w:tc>
          <w:tcPr>
            <w:tcW w:w="560"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5-9</w:t>
            </w:r>
          </w:p>
        </w:tc>
        <w:tc>
          <w:tcPr>
            <w:tcW w:w="74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10-20</w:t>
            </w:r>
          </w:p>
        </w:tc>
        <w:tc>
          <w:tcPr>
            <w:tcW w:w="682"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21-24</w:t>
            </w:r>
          </w:p>
        </w:tc>
        <w:tc>
          <w:tcPr>
            <w:tcW w:w="1134"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Mean Value</w:t>
            </w:r>
          </w:p>
        </w:tc>
      </w:tr>
      <w:tr w:rsidR="005B0931" w:rsidRPr="005B0931" w:rsidTr="005B0931">
        <w:trPr>
          <w:jc w:val="center"/>
        </w:trPr>
        <w:tc>
          <w:tcPr>
            <w:tcW w:w="3282" w:type="dxa"/>
            <w:vMerge w:val="restart"/>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 xml:space="preserve">Patients With Normal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1387"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Initial</w:t>
            </w:r>
          </w:p>
        </w:tc>
        <w:tc>
          <w:tcPr>
            <w:tcW w:w="1256" w:type="dxa"/>
            <w:vMerge w:val="restart"/>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33</w:t>
            </w:r>
          </w:p>
        </w:tc>
        <w:tc>
          <w:tcPr>
            <w:tcW w:w="29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w:t>
            </w:r>
          </w:p>
        </w:tc>
        <w:tc>
          <w:tcPr>
            <w:tcW w:w="54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9</w:t>
            </w:r>
          </w:p>
        </w:tc>
        <w:tc>
          <w:tcPr>
            <w:tcW w:w="560"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13</w:t>
            </w:r>
          </w:p>
        </w:tc>
        <w:tc>
          <w:tcPr>
            <w:tcW w:w="74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7</w:t>
            </w:r>
          </w:p>
        </w:tc>
        <w:tc>
          <w:tcPr>
            <w:tcW w:w="682"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4</w:t>
            </w:r>
          </w:p>
        </w:tc>
        <w:tc>
          <w:tcPr>
            <w:tcW w:w="1134"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9.4</w:t>
            </w:r>
          </w:p>
        </w:tc>
      </w:tr>
      <w:tr w:rsidR="005B0931" w:rsidRPr="005B0931" w:rsidTr="005B0931">
        <w:trPr>
          <w:jc w:val="center"/>
        </w:trPr>
        <w:tc>
          <w:tcPr>
            <w:tcW w:w="3282" w:type="dxa"/>
            <w:vMerge/>
            <w:shd w:val="clear" w:color="auto" w:fill="auto"/>
            <w:vAlign w:val="center"/>
          </w:tcPr>
          <w:p w:rsidR="00DD6C5C" w:rsidRPr="005B0931" w:rsidRDefault="00DD6C5C" w:rsidP="002A6D47">
            <w:pPr>
              <w:bidi w:val="0"/>
              <w:snapToGrid w:val="0"/>
              <w:jc w:val="both"/>
              <w:rPr>
                <w:rFonts w:eastAsia="Calibri"/>
                <w:sz w:val="16"/>
                <w:szCs w:val="16"/>
              </w:rPr>
            </w:pPr>
          </w:p>
        </w:tc>
        <w:tc>
          <w:tcPr>
            <w:tcW w:w="1387"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After 15 Days</w:t>
            </w:r>
          </w:p>
        </w:tc>
        <w:tc>
          <w:tcPr>
            <w:tcW w:w="1256" w:type="dxa"/>
            <w:vMerge/>
            <w:shd w:val="clear" w:color="auto" w:fill="auto"/>
            <w:vAlign w:val="center"/>
          </w:tcPr>
          <w:p w:rsidR="00DD6C5C" w:rsidRPr="005B0931" w:rsidRDefault="00DD6C5C" w:rsidP="002A6D47">
            <w:pPr>
              <w:bidi w:val="0"/>
              <w:snapToGrid w:val="0"/>
              <w:jc w:val="both"/>
              <w:rPr>
                <w:rFonts w:eastAsia="Calibri"/>
                <w:sz w:val="16"/>
                <w:szCs w:val="16"/>
              </w:rPr>
            </w:pPr>
          </w:p>
        </w:tc>
        <w:tc>
          <w:tcPr>
            <w:tcW w:w="29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4</w:t>
            </w:r>
          </w:p>
        </w:tc>
        <w:tc>
          <w:tcPr>
            <w:tcW w:w="54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9</w:t>
            </w:r>
          </w:p>
        </w:tc>
        <w:tc>
          <w:tcPr>
            <w:tcW w:w="560"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11</w:t>
            </w:r>
          </w:p>
        </w:tc>
        <w:tc>
          <w:tcPr>
            <w:tcW w:w="74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7</w:t>
            </w:r>
          </w:p>
        </w:tc>
        <w:tc>
          <w:tcPr>
            <w:tcW w:w="682"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2</w:t>
            </w:r>
          </w:p>
        </w:tc>
        <w:tc>
          <w:tcPr>
            <w:tcW w:w="1134"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7.5</w:t>
            </w:r>
          </w:p>
        </w:tc>
      </w:tr>
      <w:tr w:rsidR="005B0931" w:rsidRPr="005B0931" w:rsidTr="005B0931">
        <w:trPr>
          <w:jc w:val="center"/>
        </w:trPr>
        <w:tc>
          <w:tcPr>
            <w:tcW w:w="3282" w:type="dxa"/>
            <w:vMerge w:val="restart"/>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 xml:space="preserve">Patients With Abnormal </w:t>
            </w:r>
            <w:proofErr w:type="spellStart"/>
            <w:r w:rsidRPr="005B0931">
              <w:rPr>
                <w:rFonts w:eastAsia="Calibri"/>
                <w:sz w:val="16"/>
                <w:szCs w:val="16"/>
              </w:rPr>
              <w:t>Sonographic</w:t>
            </w:r>
            <w:proofErr w:type="spellEnd"/>
            <w:r w:rsidRPr="005B0931">
              <w:rPr>
                <w:rFonts w:eastAsia="Calibri"/>
                <w:sz w:val="16"/>
                <w:szCs w:val="16"/>
              </w:rPr>
              <w:t xml:space="preserve"> Findings </w:t>
            </w:r>
            <w:proofErr w:type="spellStart"/>
            <w:r w:rsidRPr="005B0931">
              <w:rPr>
                <w:rFonts w:eastAsia="Calibri"/>
                <w:sz w:val="16"/>
                <w:szCs w:val="16"/>
              </w:rPr>
              <w:t>Extracranial</w:t>
            </w:r>
            <w:proofErr w:type="spellEnd"/>
            <w:r w:rsidRPr="005B0931">
              <w:rPr>
                <w:rFonts w:eastAsia="Calibri"/>
                <w:sz w:val="16"/>
                <w:szCs w:val="16"/>
              </w:rPr>
              <w:t xml:space="preserve"> And Intracranial</w:t>
            </w:r>
          </w:p>
        </w:tc>
        <w:tc>
          <w:tcPr>
            <w:tcW w:w="1387"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Initial</w:t>
            </w:r>
          </w:p>
        </w:tc>
        <w:tc>
          <w:tcPr>
            <w:tcW w:w="1256" w:type="dxa"/>
            <w:vMerge w:val="restart"/>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18</w:t>
            </w:r>
          </w:p>
        </w:tc>
        <w:tc>
          <w:tcPr>
            <w:tcW w:w="29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w:t>
            </w:r>
          </w:p>
        </w:tc>
        <w:tc>
          <w:tcPr>
            <w:tcW w:w="54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1</w:t>
            </w:r>
          </w:p>
        </w:tc>
        <w:tc>
          <w:tcPr>
            <w:tcW w:w="560"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3</w:t>
            </w:r>
          </w:p>
        </w:tc>
        <w:tc>
          <w:tcPr>
            <w:tcW w:w="74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4</w:t>
            </w:r>
          </w:p>
        </w:tc>
        <w:tc>
          <w:tcPr>
            <w:tcW w:w="682"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10</w:t>
            </w:r>
          </w:p>
        </w:tc>
        <w:tc>
          <w:tcPr>
            <w:tcW w:w="1134"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17</w:t>
            </w:r>
          </w:p>
        </w:tc>
      </w:tr>
      <w:tr w:rsidR="005B0931" w:rsidRPr="005B0931" w:rsidTr="005B0931">
        <w:trPr>
          <w:jc w:val="center"/>
        </w:trPr>
        <w:tc>
          <w:tcPr>
            <w:tcW w:w="3282" w:type="dxa"/>
            <w:vMerge/>
            <w:shd w:val="clear" w:color="auto" w:fill="auto"/>
            <w:vAlign w:val="center"/>
          </w:tcPr>
          <w:p w:rsidR="00DD6C5C" w:rsidRPr="005B0931" w:rsidRDefault="00DD6C5C" w:rsidP="002A6D47">
            <w:pPr>
              <w:bidi w:val="0"/>
              <w:snapToGrid w:val="0"/>
              <w:jc w:val="both"/>
              <w:rPr>
                <w:rFonts w:eastAsia="Calibri"/>
                <w:sz w:val="16"/>
                <w:szCs w:val="16"/>
              </w:rPr>
            </w:pPr>
          </w:p>
        </w:tc>
        <w:tc>
          <w:tcPr>
            <w:tcW w:w="1387"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After 15 Days</w:t>
            </w:r>
          </w:p>
        </w:tc>
        <w:tc>
          <w:tcPr>
            <w:tcW w:w="1256" w:type="dxa"/>
            <w:vMerge/>
            <w:shd w:val="clear" w:color="auto" w:fill="auto"/>
            <w:vAlign w:val="center"/>
          </w:tcPr>
          <w:p w:rsidR="00DD6C5C" w:rsidRPr="005B0931" w:rsidRDefault="00DD6C5C" w:rsidP="002A6D47">
            <w:pPr>
              <w:bidi w:val="0"/>
              <w:snapToGrid w:val="0"/>
              <w:jc w:val="both"/>
              <w:rPr>
                <w:rFonts w:eastAsia="Calibri"/>
                <w:sz w:val="16"/>
                <w:szCs w:val="16"/>
              </w:rPr>
            </w:pPr>
          </w:p>
        </w:tc>
        <w:tc>
          <w:tcPr>
            <w:tcW w:w="29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w:t>
            </w:r>
          </w:p>
        </w:tc>
        <w:tc>
          <w:tcPr>
            <w:tcW w:w="54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1</w:t>
            </w:r>
          </w:p>
        </w:tc>
        <w:tc>
          <w:tcPr>
            <w:tcW w:w="560"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4</w:t>
            </w:r>
          </w:p>
        </w:tc>
        <w:tc>
          <w:tcPr>
            <w:tcW w:w="74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6</w:t>
            </w:r>
          </w:p>
        </w:tc>
        <w:tc>
          <w:tcPr>
            <w:tcW w:w="682"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7</w:t>
            </w:r>
          </w:p>
        </w:tc>
        <w:tc>
          <w:tcPr>
            <w:tcW w:w="1134"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15.5</w:t>
            </w:r>
          </w:p>
        </w:tc>
      </w:tr>
      <w:tr w:rsidR="005B0931" w:rsidRPr="005B0931" w:rsidTr="005B0931">
        <w:trPr>
          <w:jc w:val="center"/>
        </w:trPr>
        <w:tc>
          <w:tcPr>
            <w:tcW w:w="3282"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 xml:space="preserve">Patients With Normal </w:t>
            </w:r>
            <w:proofErr w:type="spellStart"/>
            <w:r w:rsidRPr="005B0931">
              <w:rPr>
                <w:rFonts w:eastAsia="Calibri"/>
                <w:sz w:val="16"/>
                <w:szCs w:val="16"/>
              </w:rPr>
              <w:t>Extracranial</w:t>
            </w:r>
            <w:proofErr w:type="spellEnd"/>
            <w:r w:rsidRPr="005B0931">
              <w:rPr>
                <w:rFonts w:eastAsia="Calibri"/>
                <w:sz w:val="16"/>
                <w:szCs w:val="16"/>
              </w:rPr>
              <w:t xml:space="preserve"> </w:t>
            </w:r>
            <w:proofErr w:type="spellStart"/>
            <w:r w:rsidRPr="005B0931">
              <w:rPr>
                <w:rFonts w:eastAsia="Calibri"/>
                <w:sz w:val="16"/>
                <w:szCs w:val="16"/>
              </w:rPr>
              <w:t>Sonographic</w:t>
            </w:r>
            <w:proofErr w:type="spellEnd"/>
            <w:r w:rsidRPr="005B0931">
              <w:rPr>
                <w:rFonts w:eastAsia="Calibri"/>
                <w:sz w:val="16"/>
                <w:szCs w:val="16"/>
              </w:rPr>
              <w:t xml:space="preserve"> Findings And Abnormal Intracranial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1387"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Initial</w:t>
            </w:r>
          </w:p>
        </w:tc>
        <w:tc>
          <w:tcPr>
            <w:tcW w:w="125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9</w:t>
            </w:r>
          </w:p>
        </w:tc>
        <w:tc>
          <w:tcPr>
            <w:tcW w:w="29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w:t>
            </w:r>
          </w:p>
        </w:tc>
        <w:tc>
          <w:tcPr>
            <w:tcW w:w="54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3</w:t>
            </w:r>
          </w:p>
        </w:tc>
        <w:tc>
          <w:tcPr>
            <w:tcW w:w="560"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1</w:t>
            </w:r>
          </w:p>
        </w:tc>
        <w:tc>
          <w:tcPr>
            <w:tcW w:w="74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4</w:t>
            </w:r>
          </w:p>
        </w:tc>
        <w:tc>
          <w:tcPr>
            <w:tcW w:w="682"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1</w:t>
            </w:r>
          </w:p>
        </w:tc>
        <w:tc>
          <w:tcPr>
            <w:tcW w:w="1134"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10.7</w:t>
            </w:r>
          </w:p>
        </w:tc>
      </w:tr>
      <w:tr w:rsidR="005B0931" w:rsidRPr="005B0931" w:rsidTr="005B0931">
        <w:trPr>
          <w:jc w:val="center"/>
        </w:trPr>
        <w:tc>
          <w:tcPr>
            <w:tcW w:w="3282" w:type="dxa"/>
            <w:shd w:val="clear" w:color="auto" w:fill="auto"/>
            <w:vAlign w:val="center"/>
          </w:tcPr>
          <w:p w:rsidR="00DD6C5C" w:rsidRPr="005B0931" w:rsidRDefault="00DD6C5C" w:rsidP="002A6D47">
            <w:pPr>
              <w:bidi w:val="0"/>
              <w:snapToGrid w:val="0"/>
              <w:jc w:val="both"/>
              <w:rPr>
                <w:rFonts w:eastAsia="Calibri"/>
                <w:sz w:val="16"/>
                <w:szCs w:val="16"/>
              </w:rPr>
            </w:pPr>
          </w:p>
        </w:tc>
        <w:tc>
          <w:tcPr>
            <w:tcW w:w="1387"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After 15 Days</w:t>
            </w:r>
          </w:p>
        </w:tc>
        <w:tc>
          <w:tcPr>
            <w:tcW w:w="1256" w:type="dxa"/>
            <w:shd w:val="clear" w:color="auto" w:fill="auto"/>
            <w:vAlign w:val="center"/>
          </w:tcPr>
          <w:p w:rsidR="00DD6C5C" w:rsidRPr="005B0931" w:rsidRDefault="00DD6C5C" w:rsidP="002A6D47">
            <w:pPr>
              <w:bidi w:val="0"/>
              <w:snapToGrid w:val="0"/>
              <w:jc w:val="both"/>
              <w:rPr>
                <w:rFonts w:eastAsia="Calibri"/>
                <w:sz w:val="16"/>
                <w:szCs w:val="16"/>
              </w:rPr>
            </w:pPr>
          </w:p>
        </w:tc>
        <w:tc>
          <w:tcPr>
            <w:tcW w:w="29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2</w:t>
            </w:r>
          </w:p>
        </w:tc>
        <w:tc>
          <w:tcPr>
            <w:tcW w:w="54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1</w:t>
            </w:r>
          </w:p>
        </w:tc>
        <w:tc>
          <w:tcPr>
            <w:tcW w:w="560"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1</w:t>
            </w:r>
          </w:p>
        </w:tc>
        <w:tc>
          <w:tcPr>
            <w:tcW w:w="746"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4</w:t>
            </w:r>
          </w:p>
        </w:tc>
        <w:tc>
          <w:tcPr>
            <w:tcW w:w="682"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1</w:t>
            </w:r>
          </w:p>
        </w:tc>
        <w:tc>
          <w:tcPr>
            <w:tcW w:w="1134" w:type="dxa"/>
            <w:shd w:val="clear" w:color="auto" w:fill="auto"/>
            <w:vAlign w:val="center"/>
          </w:tcPr>
          <w:p w:rsidR="00DD6C5C" w:rsidRPr="005B0931" w:rsidRDefault="00531CD4" w:rsidP="002A6D47">
            <w:pPr>
              <w:bidi w:val="0"/>
              <w:snapToGrid w:val="0"/>
              <w:jc w:val="both"/>
              <w:rPr>
                <w:rFonts w:eastAsia="Calibri"/>
                <w:sz w:val="16"/>
                <w:szCs w:val="16"/>
              </w:rPr>
            </w:pPr>
            <w:r w:rsidRPr="005B0931">
              <w:rPr>
                <w:rFonts w:eastAsia="Calibri"/>
                <w:sz w:val="16"/>
                <w:szCs w:val="16"/>
              </w:rPr>
              <w:t>10.2</w:t>
            </w:r>
          </w:p>
        </w:tc>
      </w:tr>
    </w:tbl>
    <w:p w:rsidR="0062070F" w:rsidRPr="005B0931" w:rsidRDefault="0062070F" w:rsidP="008620BE">
      <w:pPr>
        <w:bidi w:val="0"/>
        <w:snapToGrid w:val="0"/>
        <w:ind w:firstLine="425"/>
        <w:jc w:val="both"/>
        <w:rPr>
          <w:rFonts w:eastAsia="Calibri"/>
          <w:sz w:val="20"/>
          <w:szCs w:val="20"/>
        </w:rPr>
      </w:pPr>
    </w:p>
    <w:p w:rsidR="0062070F" w:rsidRPr="005B0931" w:rsidRDefault="0062070F" w:rsidP="008620BE">
      <w:pPr>
        <w:bidi w:val="0"/>
        <w:snapToGrid w:val="0"/>
        <w:ind w:firstLine="425"/>
        <w:jc w:val="both"/>
        <w:rPr>
          <w:rFonts w:eastAsia="Calibri"/>
          <w:sz w:val="20"/>
          <w:szCs w:val="20"/>
        </w:rPr>
        <w:sectPr w:rsidR="0062070F" w:rsidRPr="005B0931" w:rsidSect="0062070F">
          <w:type w:val="continuous"/>
          <w:pgSz w:w="12240" w:h="15840" w:code="1"/>
          <w:pgMar w:top="1440" w:right="1440" w:bottom="1440" w:left="1440" w:header="720" w:footer="720" w:gutter="0"/>
          <w:cols w:space="720"/>
          <w:docGrid w:linePitch="360"/>
        </w:sectPr>
      </w:pPr>
    </w:p>
    <w:p w:rsidR="00753C57" w:rsidRPr="005B0931" w:rsidRDefault="00531CD4" w:rsidP="008620BE">
      <w:pPr>
        <w:bidi w:val="0"/>
        <w:snapToGrid w:val="0"/>
        <w:ind w:firstLine="425"/>
        <w:jc w:val="both"/>
        <w:rPr>
          <w:rFonts w:eastAsia="Calibri"/>
          <w:sz w:val="20"/>
          <w:szCs w:val="20"/>
        </w:rPr>
      </w:pPr>
      <w:r w:rsidRPr="005B0931">
        <w:rPr>
          <w:rFonts w:eastAsia="Calibri"/>
          <w:sz w:val="20"/>
          <w:szCs w:val="20"/>
        </w:rPr>
        <w:lastRenderedPageBreak/>
        <w:t>a)</w:t>
      </w:r>
      <w:r w:rsidRPr="005B0931">
        <w:rPr>
          <w:rFonts w:eastAsiaTheme="minorEastAsia" w:hint="eastAsia"/>
          <w:sz w:val="20"/>
          <w:szCs w:val="20"/>
          <w:lang w:eastAsia="zh-CN"/>
        </w:rPr>
        <w:t xml:space="preserve"> </w:t>
      </w:r>
      <w:r w:rsidR="00753C57" w:rsidRPr="005B0931">
        <w:rPr>
          <w:rFonts w:eastAsia="Calibri"/>
          <w:sz w:val="20"/>
          <w:szCs w:val="20"/>
        </w:rPr>
        <w:t>From table (a)</w:t>
      </w:r>
    </w:p>
    <w:p w:rsidR="002A6D47" w:rsidRPr="005B0931" w:rsidRDefault="00753C57" w:rsidP="008620BE">
      <w:pPr>
        <w:numPr>
          <w:ilvl w:val="0"/>
          <w:numId w:val="21"/>
        </w:numPr>
        <w:bidi w:val="0"/>
        <w:snapToGrid w:val="0"/>
        <w:ind w:left="0" w:firstLine="425"/>
        <w:contextualSpacing/>
        <w:jc w:val="both"/>
        <w:rPr>
          <w:rFonts w:eastAsia="Calibri"/>
          <w:sz w:val="20"/>
          <w:szCs w:val="20"/>
        </w:rPr>
      </w:pPr>
      <w:r w:rsidRPr="005B0931">
        <w:rPr>
          <w:rFonts w:eastAsia="Calibri"/>
          <w:sz w:val="20"/>
          <w:szCs w:val="20"/>
        </w:rPr>
        <w:t>Definitive decline of NIHSS was seen in all group</w:t>
      </w:r>
      <w:r w:rsidR="002A6D47" w:rsidRPr="005B0931">
        <w:rPr>
          <w:rFonts w:eastAsia="Calibri"/>
          <w:sz w:val="20"/>
          <w:szCs w:val="20"/>
        </w:rPr>
        <w:t>s.</w:t>
      </w:r>
    </w:p>
    <w:p w:rsidR="002A6D47" w:rsidRPr="005B0931" w:rsidRDefault="00753C57" w:rsidP="008620BE">
      <w:pPr>
        <w:numPr>
          <w:ilvl w:val="0"/>
          <w:numId w:val="21"/>
        </w:numPr>
        <w:bidi w:val="0"/>
        <w:snapToGrid w:val="0"/>
        <w:ind w:left="0" w:firstLine="425"/>
        <w:contextualSpacing/>
        <w:jc w:val="both"/>
        <w:rPr>
          <w:rFonts w:eastAsia="Calibri"/>
          <w:sz w:val="20"/>
          <w:szCs w:val="20"/>
        </w:rPr>
      </w:pPr>
      <w:r w:rsidRPr="005B0931">
        <w:rPr>
          <w:rFonts w:eastAsia="Calibri"/>
          <w:sz w:val="20"/>
          <w:szCs w:val="20"/>
        </w:rPr>
        <w:t xml:space="preserve">The first group representing patients with normal </w:t>
      </w:r>
      <w:proofErr w:type="spellStart"/>
      <w:r w:rsidRPr="005B0931">
        <w:rPr>
          <w:rFonts w:eastAsia="Calibri"/>
          <w:sz w:val="20"/>
          <w:szCs w:val="20"/>
        </w:rPr>
        <w:t>sonographic</w:t>
      </w:r>
      <w:proofErr w:type="spellEnd"/>
      <w:r w:rsidRPr="005B0931">
        <w:rPr>
          <w:rFonts w:eastAsia="Calibri"/>
          <w:sz w:val="20"/>
          <w:szCs w:val="20"/>
        </w:rPr>
        <w:t xml:space="preserve"> findings was significantly responding with NIHSS mean value initially 9.4 and after 15 days was around 7.5 with a decline of 1.</w:t>
      </w:r>
      <w:r w:rsidR="002A6D47" w:rsidRPr="005B0931">
        <w:rPr>
          <w:rFonts w:eastAsia="Calibri"/>
          <w:sz w:val="20"/>
          <w:szCs w:val="20"/>
        </w:rPr>
        <w:t>9.</w:t>
      </w:r>
    </w:p>
    <w:p w:rsidR="002A6D47" w:rsidRPr="005B0931" w:rsidRDefault="00753C57" w:rsidP="008620BE">
      <w:pPr>
        <w:numPr>
          <w:ilvl w:val="0"/>
          <w:numId w:val="21"/>
        </w:numPr>
        <w:bidi w:val="0"/>
        <w:snapToGrid w:val="0"/>
        <w:ind w:left="0" w:firstLine="425"/>
        <w:contextualSpacing/>
        <w:jc w:val="both"/>
        <w:rPr>
          <w:rFonts w:eastAsia="Calibri"/>
          <w:sz w:val="20"/>
          <w:szCs w:val="20"/>
        </w:rPr>
      </w:pPr>
      <w:r w:rsidRPr="005B0931">
        <w:rPr>
          <w:rFonts w:eastAsia="Calibri"/>
          <w:sz w:val="20"/>
          <w:szCs w:val="20"/>
        </w:rPr>
        <w:t xml:space="preserve">The second group representing patients with abnormal </w:t>
      </w:r>
      <w:proofErr w:type="spellStart"/>
      <w:r w:rsidRPr="005B0931">
        <w:rPr>
          <w:rFonts w:eastAsia="Calibri"/>
          <w:sz w:val="20"/>
          <w:szCs w:val="20"/>
        </w:rPr>
        <w:t>sonographic</w:t>
      </w:r>
      <w:proofErr w:type="spellEnd"/>
      <w:r w:rsidRPr="005B0931">
        <w:rPr>
          <w:rFonts w:eastAsia="Calibri"/>
          <w:sz w:val="20"/>
          <w:szCs w:val="20"/>
        </w:rPr>
        <w:t xml:space="preserve"> findings extra and intra</w:t>
      </w:r>
      <w:r w:rsidR="002A6D47" w:rsidRPr="005B0931">
        <w:rPr>
          <w:rFonts w:eastAsia="Calibri"/>
          <w:sz w:val="20"/>
          <w:szCs w:val="20"/>
        </w:rPr>
        <w:t xml:space="preserve"> </w:t>
      </w:r>
      <w:r w:rsidRPr="005B0931">
        <w:rPr>
          <w:rFonts w:eastAsia="Calibri"/>
          <w:sz w:val="20"/>
          <w:szCs w:val="20"/>
        </w:rPr>
        <w:t>was less significantly responding with NIHSS mean value initially 17 and after 15 days is around 15.5 with a decline of 1.</w:t>
      </w:r>
      <w:r w:rsidR="002A6D47" w:rsidRPr="005B0931">
        <w:rPr>
          <w:rFonts w:eastAsia="Calibri"/>
          <w:sz w:val="20"/>
          <w:szCs w:val="20"/>
        </w:rPr>
        <w:t>5.</w:t>
      </w:r>
    </w:p>
    <w:p w:rsidR="002A6D47" w:rsidRPr="005B0931" w:rsidRDefault="00753C57" w:rsidP="008620BE">
      <w:pPr>
        <w:numPr>
          <w:ilvl w:val="0"/>
          <w:numId w:val="21"/>
        </w:numPr>
        <w:bidi w:val="0"/>
        <w:snapToGrid w:val="0"/>
        <w:ind w:left="0" w:firstLine="425"/>
        <w:contextualSpacing/>
        <w:jc w:val="both"/>
        <w:rPr>
          <w:rFonts w:eastAsia="Calibri"/>
          <w:sz w:val="20"/>
          <w:szCs w:val="20"/>
        </w:rPr>
      </w:pPr>
      <w:r w:rsidRPr="005B0931">
        <w:rPr>
          <w:rFonts w:eastAsia="Calibri"/>
          <w:sz w:val="20"/>
          <w:szCs w:val="20"/>
        </w:rPr>
        <w:t xml:space="preserve">The third group representing patients with normal </w:t>
      </w:r>
      <w:proofErr w:type="spellStart"/>
      <w:r w:rsidRPr="005B0931">
        <w:rPr>
          <w:rFonts w:eastAsia="Calibri"/>
          <w:sz w:val="20"/>
          <w:szCs w:val="20"/>
        </w:rPr>
        <w:t>sonographic</w:t>
      </w:r>
      <w:proofErr w:type="spellEnd"/>
      <w:r w:rsidRPr="005B0931">
        <w:rPr>
          <w:rFonts w:eastAsia="Calibri"/>
          <w:sz w:val="20"/>
          <w:szCs w:val="20"/>
        </w:rPr>
        <w:t xml:space="preserve"> findings extra and abnormal intra</w:t>
      </w:r>
      <w:r w:rsidR="002A6D47" w:rsidRPr="005B0931">
        <w:rPr>
          <w:rFonts w:eastAsia="Calibri"/>
          <w:sz w:val="20"/>
          <w:szCs w:val="20"/>
        </w:rPr>
        <w:t xml:space="preserve"> </w:t>
      </w:r>
      <w:r w:rsidRPr="005B0931">
        <w:rPr>
          <w:rFonts w:eastAsia="Calibri"/>
          <w:sz w:val="20"/>
          <w:szCs w:val="20"/>
        </w:rPr>
        <w:lastRenderedPageBreak/>
        <w:t>was less significantly responding with NIHSS mean value initially 10.7</w:t>
      </w:r>
      <w:r w:rsidR="002A6D47" w:rsidRPr="005B0931">
        <w:rPr>
          <w:rFonts w:eastAsia="Calibri"/>
          <w:sz w:val="20"/>
          <w:szCs w:val="20"/>
        </w:rPr>
        <w:t xml:space="preserve"> </w:t>
      </w:r>
      <w:r w:rsidRPr="005B0931">
        <w:rPr>
          <w:rFonts w:eastAsia="Calibri"/>
          <w:sz w:val="20"/>
          <w:szCs w:val="20"/>
        </w:rPr>
        <w:t>and after 15 days is around 10.2 with a decline of 0.</w:t>
      </w:r>
      <w:r w:rsidR="002A6D47" w:rsidRPr="005B0931">
        <w:rPr>
          <w:rFonts w:eastAsia="Calibri"/>
          <w:sz w:val="20"/>
          <w:szCs w:val="20"/>
        </w:rPr>
        <w:t>5.</w:t>
      </w:r>
    </w:p>
    <w:p w:rsidR="00753C57" w:rsidRPr="005B0931" w:rsidRDefault="00753C57" w:rsidP="008620BE">
      <w:pPr>
        <w:numPr>
          <w:ilvl w:val="0"/>
          <w:numId w:val="21"/>
        </w:numPr>
        <w:bidi w:val="0"/>
        <w:snapToGrid w:val="0"/>
        <w:ind w:left="0" w:firstLine="425"/>
        <w:contextualSpacing/>
        <w:jc w:val="both"/>
        <w:rPr>
          <w:rFonts w:eastAsia="Calibri"/>
          <w:sz w:val="20"/>
          <w:szCs w:val="20"/>
        </w:rPr>
      </w:pPr>
      <w:r w:rsidRPr="005B0931">
        <w:rPr>
          <w:rFonts w:eastAsia="Calibri"/>
          <w:sz w:val="20"/>
          <w:szCs w:val="20"/>
        </w:rPr>
        <w:t xml:space="preserve">The initial NIHSS values were higher in the second group who presented with abnormal </w:t>
      </w:r>
      <w:proofErr w:type="spellStart"/>
      <w:r w:rsidRPr="005B0931">
        <w:rPr>
          <w:rFonts w:eastAsia="Calibri"/>
          <w:sz w:val="20"/>
          <w:szCs w:val="20"/>
        </w:rPr>
        <w:t>sonographic</w:t>
      </w:r>
      <w:proofErr w:type="spellEnd"/>
      <w:r w:rsidRPr="005B0931">
        <w:rPr>
          <w:rFonts w:eastAsia="Calibri"/>
          <w:sz w:val="20"/>
          <w:szCs w:val="20"/>
        </w:rPr>
        <w:t xml:space="preserve"> findings </w:t>
      </w:r>
      <w:proofErr w:type="spellStart"/>
      <w:r w:rsidRPr="005B0931">
        <w:rPr>
          <w:rFonts w:eastAsia="Calibri"/>
          <w:sz w:val="20"/>
          <w:szCs w:val="20"/>
        </w:rPr>
        <w:t>extracranial</w:t>
      </w:r>
      <w:proofErr w:type="spellEnd"/>
      <w:r w:rsidR="002A6D47" w:rsidRPr="005B0931">
        <w:rPr>
          <w:rFonts w:eastAsia="Calibri"/>
          <w:sz w:val="20"/>
          <w:szCs w:val="20"/>
        </w:rPr>
        <w:t xml:space="preserve"> </w:t>
      </w:r>
      <w:r w:rsidRPr="005B0931">
        <w:rPr>
          <w:rFonts w:eastAsia="Calibri"/>
          <w:sz w:val="20"/>
          <w:szCs w:val="20"/>
        </w:rPr>
        <w:t>and intracranial.</w:t>
      </w:r>
    </w:p>
    <w:p w:rsidR="00753C57" w:rsidRPr="005B0931" w:rsidRDefault="00753C57" w:rsidP="008620BE">
      <w:pPr>
        <w:bidi w:val="0"/>
        <w:snapToGrid w:val="0"/>
        <w:ind w:firstLine="425"/>
        <w:jc w:val="both"/>
        <w:rPr>
          <w:rFonts w:eastAsia="Calibri"/>
          <w:sz w:val="20"/>
          <w:szCs w:val="20"/>
        </w:rPr>
      </w:pPr>
      <w:r w:rsidRPr="005B0931">
        <w:rPr>
          <w:rFonts w:eastAsia="Calibri"/>
          <w:sz w:val="20"/>
          <w:szCs w:val="20"/>
        </w:rPr>
        <w:t xml:space="preserve">This supports that better prognosis could be predicted in the presence of normal </w:t>
      </w:r>
      <w:proofErr w:type="spellStart"/>
      <w:r w:rsidRPr="005B0931">
        <w:rPr>
          <w:rFonts w:eastAsia="Calibri"/>
          <w:sz w:val="20"/>
          <w:szCs w:val="20"/>
        </w:rPr>
        <w:t>sonographic</w:t>
      </w:r>
      <w:proofErr w:type="spellEnd"/>
      <w:r w:rsidRPr="005B0931">
        <w:rPr>
          <w:rFonts w:eastAsia="Calibri"/>
          <w:sz w:val="20"/>
          <w:szCs w:val="20"/>
        </w:rPr>
        <w:t xml:space="preserve"> findings.</w:t>
      </w:r>
    </w:p>
    <w:p w:rsidR="00753C57" w:rsidRPr="005B0931" w:rsidRDefault="00753C57" w:rsidP="008620BE">
      <w:pPr>
        <w:bidi w:val="0"/>
        <w:snapToGrid w:val="0"/>
        <w:ind w:firstLine="425"/>
        <w:jc w:val="both"/>
        <w:rPr>
          <w:rFonts w:eastAsia="Calibri"/>
          <w:sz w:val="20"/>
          <w:szCs w:val="20"/>
        </w:rPr>
      </w:pPr>
      <w:r w:rsidRPr="005B0931">
        <w:rPr>
          <w:rFonts w:eastAsia="Calibri"/>
          <w:sz w:val="20"/>
          <w:szCs w:val="20"/>
        </w:rPr>
        <w:t>b) Analysis of both initial and after 15 days usin</w:t>
      </w:r>
      <w:r w:rsidR="002A6D47" w:rsidRPr="005B0931">
        <w:rPr>
          <w:rFonts w:eastAsia="Calibri"/>
          <w:sz w:val="20"/>
          <w:szCs w:val="20"/>
        </w:rPr>
        <w:t>g M</w:t>
      </w:r>
      <w:r w:rsidRPr="005B0931">
        <w:rPr>
          <w:rFonts w:eastAsia="Calibri"/>
          <w:sz w:val="20"/>
          <w:szCs w:val="20"/>
        </w:rPr>
        <w:t xml:space="preserve">MSE values in 60 patients with different extra and </w:t>
      </w:r>
      <w:proofErr w:type="spellStart"/>
      <w:r w:rsidRPr="005B0931">
        <w:rPr>
          <w:rFonts w:eastAsia="Calibri"/>
          <w:sz w:val="20"/>
          <w:szCs w:val="20"/>
        </w:rPr>
        <w:t>intracerebral</w:t>
      </w:r>
      <w:proofErr w:type="spellEnd"/>
      <w:r w:rsidRPr="005B0931">
        <w:rPr>
          <w:rFonts w:eastAsia="Calibri"/>
          <w:sz w:val="20"/>
          <w:szCs w:val="20"/>
        </w:rPr>
        <w:t xml:space="preserve"> </w:t>
      </w:r>
      <w:proofErr w:type="spellStart"/>
      <w:r w:rsidRPr="005B0931">
        <w:rPr>
          <w:rFonts w:eastAsia="Calibri"/>
          <w:sz w:val="20"/>
          <w:szCs w:val="20"/>
        </w:rPr>
        <w:t>sonographic</w:t>
      </w:r>
      <w:proofErr w:type="spellEnd"/>
      <w:r w:rsidRPr="005B0931">
        <w:rPr>
          <w:rFonts w:eastAsia="Calibri"/>
          <w:sz w:val="20"/>
          <w:szCs w:val="20"/>
        </w:rPr>
        <w:t xml:space="preserve"> findings:</w:t>
      </w:r>
    </w:p>
    <w:p w:rsidR="0062070F" w:rsidRPr="005B0931" w:rsidRDefault="0062070F" w:rsidP="008620BE">
      <w:pPr>
        <w:bidi w:val="0"/>
        <w:snapToGrid w:val="0"/>
        <w:ind w:firstLine="425"/>
        <w:jc w:val="both"/>
        <w:rPr>
          <w:rFonts w:eastAsia="Calibri"/>
          <w:sz w:val="20"/>
          <w:szCs w:val="20"/>
        </w:rPr>
        <w:sectPr w:rsidR="0062070F" w:rsidRPr="005B0931" w:rsidSect="002A6D47">
          <w:type w:val="continuous"/>
          <w:pgSz w:w="12240" w:h="15840" w:code="1"/>
          <w:pgMar w:top="1440" w:right="1440" w:bottom="1440" w:left="1440" w:header="720" w:footer="720" w:gutter="0"/>
          <w:cols w:num="2" w:space="600"/>
          <w:docGrid w:linePitch="360"/>
        </w:sectPr>
      </w:pPr>
    </w:p>
    <w:p w:rsidR="008F5126" w:rsidRPr="005B0931" w:rsidRDefault="008F5126" w:rsidP="008620BE">
      <w:pPr>
        <w:bidi w:val="0"/>
        <w:snapToGrid w:val="0"/>
        <w:ind w:firstLine="425"/>
        <w:jc w:val="both"/>
        <w:rPr>
          <w:rFonts w:eastAsia="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1138"/>
        <w:gridCol w:w="1380"/>
        <w:gridCol w:w="452"/>
        <w:gridCol w:w="520"/>
        <w:gridCol w:w="520"/>
        <w:gridCol w:w="520"/>
        <w:gridCol w:w="827"/>
      </w:tblGrid>
      <w:tr w:rsidR="00957A59" w:rsidRPr="005B0931" w:rsidTr="002A6D47">
        <w:trPr>
          <w:jc w:val="center"/>
        </w:trPr>
        <w:tc>
          <w:tcPr>
            <w:tcW w:w="0" w:type="auto"/>
            <w:gridSpan w:val="2"/>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Group</w:t>
            </w:r>
          </w:p>
        </w:tc>
        <w:tc>
          <w:tcPr>
            <w:tcW w:w="0" w:type="auto"/>
            <w:vMerge w:val="restart"/>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Total Number Of Patients</w:t>
            </w:r>
          </w:p>
        </w:tc>
        <w:tc>
          <w:tcPr>
            <w:tcW w:w="0" w:type="auto"/>
            <w:gridSpan w:val="5"/>
            <w:shd w:val="clear" w:color="auto" w:fill="auto"/>
            <w:vAlign w:val="center"/>
          </w:tcPr>
          <w:p w:rsidR="00753C57" w:rsidRPr="005B0931" w:rsidRDefault="00531CD4" w:rsidP="002A6D47">
            <w:pPr>
              <w:bidi w:val="0"/>
              <w:snapToGrid w:val="0"/>
              <w:jc w:val="both"/>
              <w:rPr>
                <w:rFonts w:eastAsia="Calibri"/>
                <w:sz w:val="16"/>
                <w:szCs w:val="16"/>
              </w:rPr>
            </w:pPr>
            <w:proofErr w:type="spellStart"/>
            <w:r w:rsidRPr="005B0931">
              <w:rPr>
                <w:rFonts w:eastAsia="Calibri"/>
                <w:sz w:val="16"/>
                <w:szCs w:val="16"/>
              </w:rPr>
              <w:t>Mmse</w:t>
            </w:r>
            <w:proofErr w:type="spellEnd"/>
            <w:r w:rsidR="002A6D47" w:rsidRPr="005B0931">
              <w:rPr>
                <w:rFonts w:eastAsia="Calibri"/>
                <w:sz w:val="16"/>
                <w:szCs w:val="16"/>
              </w:rPr>
              <w:t xml:space="preserve"> </w:t>
            </w:r>
            <w:r w:rsidRPr="005B0931">
              <w:rPr>
                <w:rFonts w:eastAsia="Calibri"/>
                <w:sz w:val="16"/>
                <w:szCs w:val="16"/>
              </w:rPr>
              <w:t>Value</w:t>
            </w:r>
          </w:p>
        </w:tc>
      </w:tr>
      <w:tr w:rsidR="00957A59" w:rsidRPr="005B0931" w:rsidTr="002A6D47">
        <w:trPr>
          <w:jc w:val="center"/>
        </w:trPr>
        <w:tc>
          <w:tcPr>
            <w:tcW w:w="0" w:type="auto"/>
            <w:gridSpan w:val="2"/>
            <w:vMerge/>
            <w:vAlign w:val="center"/>
          </w:tcPr>
          <w:p w:rsidR="00753C57" w:rsidRPr="005B0931" w:rsidRDefault="00753C57" w:rsidP="002A6D47">
            <w:pPr>
              <w:bidi w:val="0"/>
              <w:snapToGrid w:val="0"/>
              <w:jc w:val="both"/>
              <w:rPr>
                <w:rFonts w:eastAsia="Calibri"/>
                <w:sz w:val="16"/>
                <w:szCs w:val="16"/>
              </w:rPr>
            </w:pPr>
          </w:p>
        </w:tc>
        <w:tc>
          <w:tcPr>
            <w:tcW w:w="0" w:type="auto"/>
            <w:vMerge/>
            <w:shd w:val="clear" w:color="auto" w:fill="auto"/>
            <w:vAlign w:val="center"/>
          </w:tcPr>
          <w:p w:rsidR="00753C57" w:rsidRPr="005B0931" w:rsidRDefault="00753C57" w:rsidP="002A6D47">
            <w:pPr>
              <w:bidi w:val="0"/>
              <w:snapToGrid w:val="0"/>
              <w:jc w:val="both"/>
              <w:rPr>
                <w:rFonts w:eastAsia="Calibri"/>
                <w:sz w:val="16"/>
                <w:szCs w:val="16"/>
              </w:rPr>
            </w:pP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0-10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11-20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21-25</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26-30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Mean Value</w:t>
            </w:r>
          </w:p>
        </w:tc>
      </w:tr>
      <w:tr w:rsidR="00957A59" w:rsidRPr="005B0931" w:rsidTr="005B0931">
        <w:trPr>
          <w:jc w:val="center"/>
        </w:trPr>
        <w:tc>
          <w:tcPr>
            <w:tcW w:w="4219" w:type="dxa"/>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 xml:space="preserve">Patients With Normal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1138" w:type="dxa"/>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Initial</w:t>
            </w:r>
          </w:p>
        </w:tc>
        <w:tc>
          <w:tcPr>
            <w:tcW w:w="0" w:type="auto"/>
            <w:vMerge w:val="restart"/>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33</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4</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9</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16</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4</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19.3</w:t>
            </w:r>
          </w:p>
        </w:tc>
      </w:tr>
      <w:tr w:rsidR="00957A59" w:rsidRPr="005B0931" w:rsidTr="005B0931">
        <w:trPr>
          <w:jc w:val="center"/>
        </w:trPr>
        <w:tc>
          <w:tcPr>
            <w:tcW w:w="4219" w:type="dxa"/>
            <w:vMerge/>
            <w:vAlign w:val="center"/>
          </w:tcPr>
          <w:p w:rsidR="00753C57" w:rsidRPr="005B0931" w:rsidRDefault="00753C57" w:rsidP="002A6D47">
            <w:pPr>
              <w:bidi w:val="0"/>
              <w:snapToGrid w:val="0"/>
              <w:jc w:val="both"/>
              <w:rPr>
                <w:rFonts w:eastAsia="Calibri"/>
                <w:sz w:val="16"/>
                <w:szCs w:val="16"/>
              </w:rPr>
            </w:pPr>
          </w:p>
        </w:tc>
        <w:tc>
          <w:tcPr>
            <w:tcW w:w="1138" w:type="dxa"/>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After 15 Days</w:t>
            </w:r>
          </w:p>
        </w:tc>
        <w:tc>
          <w:tcPr>
            <w:tcW w:w="0" w:type="auto"/>
            <w:vMerge/>
            <w:shd w:val="clear" w:color="auto" w:fill="auto"/>
            <w:vAlign w:val="center"/>
          </w:tcPr>
          <w:p w:rsidR="00753C57" w:rsidRPr="005B0931" w:rsidRDefault="00753C57" w:rsidP="002A6D47">
            <w:pPr>
              <w:bidi w:val="0"/>
              <w:snapToGrid w:val="0"/>
              <w:jc w:val="both"/>
              <w:rPr>
                <w:rFonts w:eastAsia="Calibri"/>
                <w:sz w:val="16"/>
                <w:szCs w:val="16"/>
              </w:rPr>
            </w:pP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8</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8</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14</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21.6</w:t>
            </w:r>
          </w:p>
        </w:tc>
      </w:tr>
      <w:tr w:rsidR="00957A59" w:rsidRPr="005B0931" w:rsidTr="005B0931">
        <w:trPr>
          <w:jc w:val="center"/>
        </w:trPr>
        <w:tc>
          <w:tcPr>
            <w:tcW w:w="4219" w:type="dxa"/>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 xml:space="preserve">Patients With Abnormal </w:t>
            </w:r>
            <w:proofErr w:type="spellStart"/>
            <w:r w:rsidRPr="005B0931">
              <w:rPr>
                <w:rFonts w:eastAsia="Calibri"/>
                <w:sz w:val="16"/>
                <w:szCs w:val="16"/>
              </w:rPr>
              <w:t>Sonographic</w:t>
            </w:r>
            <w:proofErr w:type="spellEnd"/>
            <w:r w:rsidRPr="005B0931">
              <w:rPr>
                <w:rFonts w:eastAsia="Calibri"/>
                <w:sz w:val="16"/>
                <w:szCs w:val="16"/>
              </w:rPr>
              <w:t xml:space="preserve"> Findings </w:t>
            </w:r>
            <w:proofErr w:type="spellStart"/>
            <w:r w:rsidRPr="005B0931">
              <w:rPr>
                <w:rFonts w:eastAsia="Calibri"/>
                <w:sz w:val="16"/>
                <w:szCs w:val="16"/>
              </w:rPr>
              <w:t>Extracranial</w:t>
            </w:r>
            <w:proofErr w:type="spellEnd"/>
            <w:r w:rsidRPr="005B0931">
              <w:rPr>
                <w:rFonts w:eastAsia="Calibri"/>
                <w:sz w:val="16"/>
                <w:szCs w:val="16"/>
              </w:rPr>
              <w:t xml:space="preserve"> And Intracranial</w:t>
            </w:r>
          </w:p>
        </w:tc>
        <w:tc>
          <w:tcPr>
            <w:tcW w:w="1138" w:type="dxa"/>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Initial</w:t>
            </w:r>
          </w:p>
        </w:tc>
        <w:tc>
          <w:tcPr>
            <w:tcW w:w="0" w:type="auto"/>
            <w:vMerge w:val="restart"/>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18</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4</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4</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11.3</w:t>
            </w:r>
          </w:p>
        </w:tc>
      </w:tr>
      <w:tr w:rsidR="00957A59" w:rsidRPr="005B0931" w:rsidTr="005B0931">
        <w:trPr>
          <w:jc w:val="center"/>
        </w:trPr>
        <w:tc>
          <w:tcPr>
            <w:tcW w:w="4219" w:type="dxa"/>
            <w:vMerge/>
            <w:vAlign w:val="center"/>
          </w:tcPr>
          <w:p w:rsidR="00753C57" w:rsidRPr="005B0931" w:rsidRDefault="00753C57" w:rsidP="002A6D47">
            <w:pPr>
              <w:bidi w:val="0"/>
              <w:snapToGrid w:val="0"/>
              <w:jc w:val="both"/>
              <w:rPr>
                <w:rFonts w:eastAsia="Calibri"/>
                <w:sz w:val="16"/>
                <w:szCs w:val="16"/>
              </w:rPr>
            </w:pPr>
          </w:p>
        </w:tc>
        <w:tc>
          <w:tcPr>
            <w:tcW w:w="1138" w:type="dxa"/>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After 15 Days</w:t>
            </w:r>
          </w:p>
        </w:tc>
        <w:tc>
          <w:tcPr>
            <w:tcW w:w="0" w:type="auto"/>
            <w:vMerge/>
            <w:shd w:val="clear" w:color="auto" w:fill="auto"/>
            <w:vAlign w:val="center"/>
          </w:tcPr>
          <w:p w:rsidR="00753C57" w:rsidRPr="005B0931" w:rsidRDefault="00753C57" w:rsidP="002A6D47">
            <w:pPr>
              <w:bidi w:val="0"/>
              <w:snapToGrid w:val="0"/>
              <w:jc w:val="both"/>
              <w:rPr>
                <w:rFonts w:eastAsia="Calibri"/>
                <w:sz w:val="16"/>
                <w:szCs w:val="16"/>
              </w:rPr>
            </w:pP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12.3</w:t>
            </w:r>
          </w:p>
        </w:tc>
      </w:tr>
      <w:tr w:rsidR="00957A59" w:rsidRPr="005B0931" w:rsidTr="005B0931">
        <w:trPr>
          <w:jc w:val="center"/>
        </w:trPr>
        <w:tc>
          <w:tcPr>
            <w:tcW w:w="4219" w:type="dxa"/>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 xml:space="preserve">Patients With Normal </w:t>
            </w:r>
            <w:proofErr w:type="spellStart"/>
            <w:r w:rsidRPr="005B0931">
              <w:rPr>
                <w:rFonts w:eastAsia="Calibri"/>
                <w:sz w:val="16"/>
                <w:szCs w:val="16"/>
              </w:rPr>
              <w:t>Extracranial</w:t>
            </w:r>
            <w:proofErr w:type="spellEnd"/>
            <w:r w:rsidRPr="005B0931">
              <w:rPr>
                <w:rFonts w:eastAsia="Calibri"/>
                <w:sz w:val="16"/>
                <w:szCs w:val="16"/>
              </w:rPr>
              <w:t xml:space="preserve"> </w:t>
            </w:r>
            <w:proofErr w:type="spellStart"/>
            <w:r w:rsidRPr="005B0931">
              <w:rPr>
                <w:rFonts w:eastAsia="Calibri"/>
                <w:sz w:val="16"/>
                <w:szCs w:val="16"/>
              </w:rPr>
              <w:t>Sonographic</w:t>
            </w:r>
            <w:proofErr w:type="spellEnd"/>
            <w:r w:rsidRPr="005B0931">
              <w:rPr>
                <w:rFonts w:eastAsia="Calibri"/>
                <w:sz w:val="16"/>
                <w:szCs w:val="16"/>
              </w:rPr>
              <w:t xml:space="preserve"> Findings And Abnormal Intracranial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1138" w:type="dxa"/>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Initial</w:t>
            </w:r>
          </w:p>
        </w:tc>
        <w:tc>
          <w:tcPr>
            <w:tcW w:w="0" w:type="auto"/>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9</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4</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15.3</w:t>
            </w:r>
          </w:p>
        </w:tc>
      </w:tr>
      <w:tr w:rsidR="00957A59" w:rsidRPr="005B0931" w:rsidTr="005B0931">
        <w:trPr>
          <w:jc w:val="center"/>
        </w:trPr>
        <w:tc>
          <w:tcPr>
            <w:tcW w:w="4219" w:type="dxa"/>
            <w:vMerge/>
            <w:vAlign w:val="center"/>
          </w:tcPr>
          <w:p w:rsidR="00753C57" w:rsidRPr="005B0931" w:rsidRDefault="00753C57" w:rsidP="002A6D47">
            <w:pPr>
              <w:bidi w:val="0"/>
              <w:snapToGrid w:val="0"/>
              <w:jc w:val="both"/>
              <w:rPr>
                <w:rFonts w:eastAsia="Calibri"/>
                <w:sz w:val="16"/>
                <w:szCs w:val="16"/>
              </w:rPr>
            </w:pPr>
          </w:p>
        </w:tc>
        <w:tc>
          <w:tcPr>
            <w:tcW w:w="1138" w:type="dxa"/>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After 15 Days</w:t>
            </w:r>
          </w:p>
        </w:tc>
        <w:tc>
          <w:tcPr>
            <w:tcW w:w="0" w:type="auto"/>
            <w:vMerge/>
            <w:vAlign w:val="center"/>
          </w:tcPr>
          <w:p w:rsidR="00753C57" w:rsidRPr="005B0931" w:rsidRDefault="00753C57" w:rsidP="002A6D47">
            <w:pPr>
              <w:bidi w:val="0"/>
              <w:snapToGrid w:val="0"/>
              <w:jc w:val="both"/>
              <w:rPr>
                <w:rFonts w:eastAsia="Calibri"/>
                <w:sz w:val="16"/>
                <w:szCs w:val="16"/>
              </w:rPr>
            </w:pP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16.5</w:t>
            </w:r>
          </w:p>
        </w:tc>
      </w:tr>
    </w:tbl>
    <w:p w:rsidR="0062070F" w:rsidRPr="005B0931" w:rsidRDefault="0062070F" w:rsidP="008620BE">
      <w:pPr>
        <w:bidi w:val="0"/>
        <w:snapToGrid w:val="0"/>
        <w:ind w:firstLine="425"/>
        <w:jc w:val="both"/>
        <w:rPr>
          <w:rFonts w:eastAsia="Calibri"/>
          <w:sz w:val="20"/>
          <w:szCs w:val="20"/>
        </w:rPr>
      </w:pPr>
    </w:p>
    <w:p w:rsidR="0062070F" w:rsidRPr="005B0931" w:rsidRDefault="0062070F" w:rsidP="008620BE">
      <w:pPr>
        <w:bidi w:val="0"/>
        <w:snapToGrid w:val="0"/>
        <w:ind w:firstLine="425"/>
        <w:jc w:val="both"/>
        <w:rPr>
          <w:rFonts w:eastAsia="Calibri"/>
          <w:sz w:val="20"/>
          <w:szCs w:val="20"/>
        </w:rPr>
        <w:sectPr w:rsidR="0062070F" w:rsidRPr="005B0931" w:rsidSect="0062070F">
          <w:type w:val="continuous"/>
          <w:pgSz w:w="12240" w:h="15840" w:code="1"/>
          <w:pgMar w:top="1440" w:right="1440" w:bottom="1440" w:left="1440" w:header="720" w:footer="720" w:gutter="0"/>
          <w:cols w:space="720"/>
          <w:docGrid w:linePitch="360"/>
        </w:sectPr>
      </w:pPr>
    </w:p>
    <w:p w:rsidR="00753C57" w:rsidRPr="005B0931" w:rsidRDefault="00753C57" w:rsidP="008620BE">
      <w:pPr>
        <w:bidi w:val="0"/>
        <w:snapToGrid w:val="0"/>
        <w:ind w:firstLine="425"/>
        <w:jc w:val="both"/>
        <w:rPr>
          <w:rFonts w:eastAsia="Calibri"/>
          <w:sz w:val="20"/>
          <w:szCs w:val="20"/>
        </w:rPr>
      </w:pPr>
      <w:r w:rsidRPr="005B0931">
        <w:rPr>
          <w:rFonts w:eastAsia="Calibri"/>
          <w:sz w:val="20"/>
          <w:szCs w:val="20"/>
        </w:rPr>
        <w:lastRenderedPageBreak/>
        <w:t>From table (b)</w:t>
      </w:r>
    </w:p>
    <w:p w:rsidR="002A6D47" w:rsidRPr="005B0931" w:rsidRDefault="00753C57" w:rsidP="008620BE">
      <w:pPr>
        <w:numPr>
          <w:ilvl w:val="0"/>
          <w:numId w:val="22"/>
        </w:numPr>
        <w:bidi w:val="0"/>
        <w:snapToGrid w:val="0"/>
        <w:ind w:left="0" w:firstLine="425"/>
        <w:contextualSpacing/>
        <w:jc w:val="both"/>
        <w:rPr>
          <w:rFonts w:eastAsia="Calibri"/>
          <w:sz w:val="20"/>
          <w:szCs w:val="20"/>
        </w:rPr>
      </w:pPr>
      <w:r w:rsidRPr="005B0931">
        <w:rPr>
          <w:rFonts w:eastAsia="Calibri"/>
          <w:sz w:val="20"/>
          <w:szCs w:val="20"/>
        </w:rPr>
        <w:t>Definitive incline of MMSE is seen in all group</w:t>
      </w:r>
      <w:r w:rsidR="002A6D47" w:rsidRPr="005B0931">
        <w:rPr>
          <w:rFonts w:eastAsia="Calibri"/>
          <w:sz w:val="20"/>
          <w:szCs w:val="20"/>
        </w:rPr>
        <w:t>s.</w:t>
      </w:r>
    </w:p>
    <w:p w:rsidR="002A6D47" w:rsidRPr="005B0931" w:rsidRDefault="00753C57" w:rsidP="008620BE">
      <w:pPr>
        <w:numPr>
          <w:ilvl w:val="0"/>
          <w:numId w:val="22"/>
        </w:numPr>
        <w:bidi w:val="0"/>
        <w:snapToGrid w:val="0"/>
        <w:ind w:left="0" w:firstLine="425"/>
        <w:contextualSpacing/>
        <w:jc w:val="both"/>
        <w:rPr>
          <w:rFonts w:eastAsia="Calibri"/>
          <w:sz w:val="20"/>
          <w:szCs w:val="20"/>
        </w:rPr>
      </w:pPr>
      <w:r w:rsidRPr="005B0931">
        <w:rPr>
          <w:rFonts w:eastAsia="Calibri"/>
          <w:sz w:val="20"/>
          <w:szCs w:val="20"/>
        </w:rPr>
        <w:t xml:space="preserve">The first group representing patients with normal </w:t>
      </w:r>
      <w:proofErr w:type="spellStart"/>
      <w:r w:rsidRPr="005B0931">
        <w:rPr>
          <w:rFonts w:eastAsia="Calibri"/>
          <w:sz w:val="20"/>
          <w:szCs w:val="20"/>
        </w:rPr>
        <w:t>sonographic</w:t>
      </w:r>
      <w:proofErr w:type="spellEnd"/>
      <w:r w:rsidRPr="005B0931">
        <w:rPr>
          <w:rFonts w:eastAsia="Calibri"/>
          <w:sz w:val="20"/>
          <w:szCs w:val="20"/>
        </w:rPr>
        <w:t xml:space="preserve"> findings was significantly responding with MMSE mean value initially 19.3 and after 15 days was around 21.6 with an incline of 2.</w:t>
      </w:r>
      <w:r w:rsidR="002A6D47" w:rsidRPr="005B0931">
        <w:rPr>
          <w:rFonts w:eastAsia="Calibri"/>
          <w:sz w:val="20"/>
          <w:szCs w:val="20"/>
        </w:rPr>
        <w:t>7.</w:t>
      </w:r>
    </w:p>
    <w:p w:rsidR="002A6D47" w:rsidRPr="005B0931" w:rsidRDefault="00753C57" w:rsidP="008620BE">
      <w:pPr>
        <w:numPr>
          <w:ilvl w:val="0"/>
          <w:numId w:val="22"/>
        </w:numPr>
        <w:bidi w:val="0"/>
        <w:snapToGrid w:val="0"/>
        <w:ind w:left="0" w:firstLine="425"/>
        <w:contextualSpacing/>
        <w:jc w:val="both"/>
        <w:rPr>
          <w:rFonts w:eastAsia="Calibri"/>
          <w:sz w:val="20"/>
          <w:szCs w:val="20"/>
        </w:rPr>
      </w:pPr>
      <w:r w:rsidRPr="005B0931">
        <w:rPr>
          <w:rFonts w:eastAsia="Calibri"/>
          <w:sz w:val="20"/>
          <w:szCs w:val="20"/>
        </w:rPr>
        <w:t xml:space="preserve">The second group representing patients with abnormal </w:t>
      </w:r>
      <w:proofErr w:type="spellStart"/>
      <w:r w:rsidRPr="005B0931">
        <w:rPr>
          <w:rFonts w:eastAsia="Calibri"/>
          <w:sz w:val="20"/>
          <w:szCs w:val="20"/>
        </w:rPr>
        <w:t>sonographic</w:t>
      </w:r>
      <w:proofErr w:type="spellEnd"/>
      <w:r w:rsidRPr="005B0931">
        <w:rPr>
          <w:rFonts w:eastAsia="Calibri"/>
          <w:sz w:val="20"/>
          <w:szCs w:val="20"/>
        </w:rPr>
        <w:t xml:space="preserve"> findings extra and intra was the least significantly responding with MMSE mean value initially 11.3 and after 15 days was around 12.3 with an incline of </w:t>
      </w:r>
      <w:r w:rsidR="002A6D47" w:rsidRPr="005B0931">
        <w:rPr>
          <w:rFonts w:eastAsia="Calibri"/>
          <w:sz w:val="20"/>
          <w:szCs w:val="20"/>
        </w:rPr>
        <w:t>1.</w:t>
      </w:r>
    </w:p>
    <w:p w:rsidR="00753C57" w:rsidRPr="005B0931" w:rsidRDefault="00753C57" w:rsidP="008620BE">
      <w:pPr>
        <w:numPr>
          <w:ilvl w:val="0"/>
          <w:numId w:val="22"/>
        </w:numPr>
        <w:bidi w:val="0"/>
        <w:snapToGrid w:val="0"/>
        <w:ind w:left="0" w:firstLine="425"/>
        <w:contextualSpacing/>
        <w:jc w:val="both"/>
        <w:rPr>
          <w:rFonts w:eastAsia="Calibri"/>
          <w:sz w:val="20"/>
          <w:szCs w:val="20"/>
        </w:rPr>
      </w:pPr>
      <w:r w:rsidRPr="005B0931">
        <w:rPr>
          <w:rFonts w:eastAsia="Calibri"/>
          <w:sz w:val="20"/>
          <w:szCs w:val="20"/>
        </w:rPr>
        <w:lastRenderedPageBreak/>
        <w:t xml:space="preserve">The third group representing patients with normal </w:t>
      </w:r>
      <w:proofErr w:type="spellStart"/>
      <w:r w:rsidRPr="005B0931">
        <w:rPr>
          <w:rFonts w:eastAsia="Calibri"/>
          <w:sz w:val="20"/>
          <w:szCs w:val="20"/>
        </w:rPr>
        <w:t>sonographic</w:t>
      </w:r>
      <w:proofErr w:type="spellEnd"/>
      <w:r w:rsidRPr="005B0931">
        <w:rPr>
          <w:rFonts w:eastAsia="Calibri"/>
          <w:sz w:val="20"/>
          <w:szCs w:val="20"/>
        </w:rPr>
        <w:t xml:space="preserve"> findings extra and abnormal intra</w:t>
      </w:r>
      <w:r w:rsidR="002A6D47" w:rsidRPr="005B0931">
        <w:rPr>
          <w:rFonts w:eastAsia="Calibri"/>
          <w:sz w:val="20"/>
          <w:szCs w:val="20"/>
        </w:rPr>
        <w:t xml:space="preserve"> </w:t>
      </w:r>
      <w:r w:rsidRPr="005B0931">
        <w:rPr>
          <w:rFonts w:eastAsia="Calibri"/>
          <w:sz w:val="20"/>
          <w:szCs w:val="20"/>
        </w:rPr>
        <w:t>was less significantly responding with MMSE mean value initially 15.3 and after 15 days was around 16.5 with an incline of 1.2</w:t>
      </w:r>
    </w:p>
    <w:p w:rsidR="002A6D47" w:rsidRPr="005B0931" w:rsidRDefault="00753C57" w:rsidP="00531CD4">
      <w:pPr>
        <w:bidi w:val="0"/>
        <w:snapToGrid w:val="0"/>
        <w:ind w:firstLine="425"/>
        <w:jc w:val="both"/>
        <w:rPr>
          <w:rFonts w:eastAsia="Calibri"/>
          <w:sz w:val="20"/>
          <w:szCs w:val="20"/>
        </w:rPr>
      </w:pPr>
      <w:r w:rsidRPr="005B0931">
        <w:rPr>
          <w:rFonts w:eastAsia="Calibri"/>
          <w:sz w:val="20"/>
          <w:szCs w:val="20"/>
        </w:rPr>
        <w:t xml:space="preserve">This supports that better prognosis could be predicted in the presence of normal </w:t>
      </w:r>
      <w:proofErr w:type="spellStart"/>
      <w:r w:rsidRPr="005B0931">
        <w:rPr>
          <w:rFonts w:eastAsia="Calibri"/>
          <w:sz w:val="20"/>
          <w:szCs w:val="20"/>
        </w:rPr>
        <w:t>sonographic</w:t>
      </w:r>
      <w:proofErr w:type="spellEnd"/>
      <w:r w:rsidRPr="005B0931">
        <w:rPr>
          <w:rFonts w:eastAsia="Calibri"/>
          <w:sz w:val="20"/>
          <w:szCs w:val="20"/>
        </w:rPr>
        <w:t xml:space="preserve"> finding</w:t>
      </w:r>
      <w:r w:rsidR="002A6D47" w:rsidRPr="005B0931">
        <w:rPr>
          <w:rFonts w:eastAsia="Calibri"/>
          <w:sz w:val="20"/>
          <w:szCs w:val="20"/>
        </w:rPr>
        <w:t>s.</w:t>
      </w:r>
    </w:p>
    <w:p w:rsidR="00753C57" w:rsidRPr="005B0931" w:rsidRDefault="00753C57" w:rsidP="002A6D47">
      <w:pPr>
        <w:bidi w:val="0"/>
        <w:snapToGrid w:val="0"/>
        <w:jc w:val="both"/>
        <w:rPr>
          <w:rFonts w:eastAsia="Calibri"/>
          <w:sz w:val="20"/>
          <w:szCs w:val="20"/>
        </w:rPr>
      </w:pPr>
      <w:r w:rsidRPr="005B0931">
        <w:rPr>
          <w:rFonts w:eastAsia="Calibri"/>
          <w:sz w:val="20"/>
          <w:szCs w:val="20"/>
        </w:rPr>
        <w:t>Table (</w:t>
      </w:r>
      <w:r w:rsidR="00DD6C5C" w:rsidRPr="005B0931">
        <w:rPr>
          <w:rFonts w:eastAsia="Calibri"/>
          <w:sz w:val="20"/>
          <w:szCs w:val="20"/>
        </w:rPr>
        <w:t>4</w:t>
      </w:r>
      <w:r w:rsidRPr="005B0931">
        <w:rPr>
          <w:rFonts w:eastAsia="Calibri"/>
          <w:sz w:val="20"/>
          <w:szCs w:val="20"/>
        </w:rPr>
        <w:t>)</w:t>
      </w:r>
      <w:r w:rsidR="002A6D47" w:rsidRPr="005B0931">
        <w:rPr>
          <w:rFonts w:eastAsiaTheme="minorEastAsia" w:hint="eastAsia"/>
          <w:sz w:val="20"/>
          <w:szCs w:val="20"/>
          <w:lang w:eastAsia="zh-CN"/>
        </w:rPr>
        <w:t xml:space="preserve"> </w:t>
      </w:r>
      <w:r w:rsidRPr="005B0931">
        <w:rPr>
          <w:rFonts w:eastAsia="Calibri"/>
          <w:sz w:val="20"/>
          <w:szCs w:val="20"/>
        </w:rPr>
        <w:t xml:space="preserve">Analysis of prognosis using (a) NIHSS values and (b) MMSE values in 35 patients; smokers with ischemic </w:t>
      </w:r>
      <w:proofErr w:type="spellStart"/>
      <w:r w:rsidRPr="005B0931">
        <w:rPr>
          <w:rFonts w:eastAsia="Calibri"/>
          <w:sz w:val="20"/>
          <w:szCs w:val="20"/>
        </w:rPr>
        <w:t>cerebrovascular</w:t>
      </w:r>
      <w:proofErr w:type="spellEnd"/>
      <w:r w:rsidRPr="005B0931">
        <w:rPr>
          <w:rFonts w:eastAsia="Calibri"/>
          <w:sz w:val="20"/>
          <w:szCs w:val="20"/>
        </w:rPr>
        <w:t xml:space="preserve"> </w:t>
      </w:r>
      <w:proofErr w:type="spellStart"/>
      <w:r w:rsidRPr="005B0931">
        <w:rPr>
          <w:rFonts w:eastAsia="Calibri"/>
          <w:sz w:val="20"/>
          <w:szCs w:val="20"/>
        </w:rPr>
        <w:t>strokeshowing</w:t>
      </w:r>
      <w:proofErr w:type="spellEnd"/>
      <w:r w:rsidRPr="005B0931">
        <w:rPr>
          <w:rFonts w:eastAsia="Calibri"/>
          <w:sz w:val="20"/>
          <w:szCs w:val="20"/>
        </w:rPr>
        <w:t xml:space="preserve"> either normal or abnormal </w:t>
      </w:r>
      <w:proofErr w:type="spellStart"/>
      <w:r w:rsidRPr="005B0931">
        <w:rPr>
          <w:rFonts w:eastAsia="Calibri"/>
          <w:sz w:val="20"/>
          <w:szCs w:val="20"/>
        </w:rPr>
        <w:t>sonographic</w:t>
      </w:r>
      <w:proofErr w:type="spellEnd"/>
      <w:r w:rsidRPr="005B0931">
        <w:rPr>
          <w:rFonts w:eastAsia="Calibri"/>
          <w:sz w:val="20"/>
          <w:szCs w:val="20"/>
        </w:rPr>
        <w:t xml:space="preserve"> findings:</w:t>
      </w:r>
    </w:p>
    <w:p w:rsidR="0062070F" w:rsidRPr="005B0931" w:rsidRDefault="0062070F" w:rsidP="008620BE">
      <w:pPr>
        <w:bidi w:val="0"/>
        <w:snapToGrid w:val="0"/>
        <w:ind w:firstLine="425"/>
        <w:jc w:val="both"/>
        <w:rPr>
          <w:rFonts w:eastAsia="Calibri"/>
          <w:sz w:val="20"/>
          <w:szCs w:val="20"/>
        </w:rPr>
        <w:sectPr w:rsidR="0062070F" w:rsidRPr="005B0931" w:rsidSect="002A6D47">
          <w:type w:val="continuous"/>
          <w:pgSz w:w="12240" w:h="15840" w:code="1"/>
          <w:pgMar w:top="1440" w:right="1440" w:bottom="1440" w:left="1440" w:header="720" w:footer="720" w:gutter="0"/>
          <w:cols w:num="2" w:space="600"/>
          <w:docGrid w:linePitch="360"/>
        </w:sectPr>
      </w:pPr>
    </w:p>
    <w:p w:rsidR="005B0931" w:rsidRDefault="005B0931" w:rsidP="00531CD4">
      <w:pPr>
        <w:bidi w:val="0"/>
        <w:snapToGrid w:val="0"/>
        <w:ind w:firstLine="425"/>
        <w:jc w:val="both"/>
        <w:rPr>
          <w:rFonts w:eastAsiaTheme="minorEastAsia" w:hint="eastAsia"/>
          <w:sz w:val="20"/>
          <w:szCs w:val="20"/>
          <w:lang w:eastAsia="zh-CN"/>
        </w:rPr>
      </w:pPr>
    </w:p>
    <w:p w:rsidR="005B0931" w:rsidRDefault="005B0931" w:rsidP="005B0931">
      <w:pPr>
        <w:bidi w:val="0"/>
        <w:snapToGrid w:val="0"/>
        <w:ind w:firstLine="425"/>
        <w:jc w:val="both"/>
        <w:rPr>
          <w:rFonts w:eastAsiaTheme="minorEastAsia" w:hint="eastAsia"/>
          <w:sz w:val="20"/>
          <w:szCs w:val="20"/>
          <w:lang w:eastAsia="zh-CN"/>
        </w:rPr>
      </w:pPr>
    </w:p>
    <w:p w:rsidR="00753C57" w:rsidRPr="005B0931" w:rsidRDefault="00753C57" w:rsidP="005B0931">
      <w:pPr>
        <w:bidi w:val="0"/>
        <w:snapToGrid w:val="0"/>
        <w:ind w:firstLine="425"/>
        <w:jc w:val="both"/>
        <w:rPr>
          <w:rFonts w:eastAsiaTheme="minorEastAsia"/>
          <w:sz w:val="20"/>
          <w:szCs w:val="20"/>
          <w:lang w:eastAsia="zh-CN"/>
        </w:rPr>
      </w:pPr>
      <w:r w:rsidRPr="005B0931">
        <w:rPr>
          <w:rFonts w:eastAsia="Calibri"/>
          <w:sz w:val="20"/>
          <w:szCs w:val="20"/>
        </w:rPr>
        <w:lastRenderedPageBreak/>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1"/>
        <w:gridCol w:w="1123"/>
        <w:gridCol w:w="1874"/>
        <w:gridCol w:w="296"/>
        <w:gridCol w:w="430"/>
        <w:gridCol w:w="430"/>
        <w:gridCol w:w="590"/>
        <w:gridCol w:w="590"/>
        <w:gridCol w:w="1003"/>
      </w:tblGrid>
      <w:tr w:rsidR="00957A59" w:rsidRPr="005B0931" w:rsidTr="002A6D47">
        <w:trPr>
          <w:jc w:val="center"/>
        </w:trPr>
        <w:tc>
          <w:tcPr>
            <w:tcW w:w="0" w:type="auto"/>
            <w:gridSpan w:val="2"/>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Group</w:t>
            </w:r>
          </w:p>
        </w:tc>
        <w:tc>
          <w:tcPr>
            <w:tcW w:w="0" w:type="auto"/>
            <w:vMerge w:val="restart"/>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Total Number Of Patients</w:t>
            </w:r>
          </w:p>
        </w:tc>
        <w:tc>
          <w:tcPr>
            <w:tcW w:w="0" w:type="auto"/>
            <w:gridSpan w:val="6"/>
            <w:shd w:val="clear" w:color="auto" w:fill="auto"/>
            <w:vAlign w:val="center"/>
          </w:tcPr>
          <w:p w:rsidR="00753C57" w:rsidRPr="005B0931" w:rsidRDefault="00531CD4" w:rsidP="002A6D47">
            <w:pPr>
              <w:bidi w:val="0"/>
              <w:snapToGrid w:val="0"/>
              <w:jc w:val="both"/>
              <w:rPr>
                <w:rFonts w:eastAsia="Calibri"/>
                <w:sz w:val="16"/>
                <w:szCs w:val="16"/>
              </w:rPr>
            </w:pPr>
            <w:proofErr w:type="spellStart"/>
            <w:r w:rsidRPr="005B0931">
              <w:rPr>
                <w:rFonts w:eastAsia="Calibri"/>
                <w:sz w:val="16"/>
                <w:szCs w:val="16"/>
              </w:rPr>
              <w:t>Nihss</w:t>
            </w:r>
            <w:proofErr w:type="spellEnd"/>
            <w:r w:rsidRPr="005B0931">
              <w:rPr>
                <w:rFonts w:eastAsia="Calibri"/>
                <w:sz w:val="16"/>
                <w:szCs w:val="16"/>
              </w:rPr>
              <w:t xml:space="preserve"> Value</w:t>
            </w:r>
          </w:p>
        </w:tc>
      </w:tr>
      <w:tr w:rsidR="00957A59" w:rsidRPr="005B0931" w:rsidTr="002A6D47">
        <w:trPr>
          <w:jc w:val="center"/>
        </w:trPr>
        <w:tc>
          <w:tcPr>
            <w:tcW w:w="0" w:type="auto"/>
            <w:gridSpan w:val="2"/>
            <w:vMerge/>
            <w:vAlign w:val="center"/>
          </w:tcPr>
          <w:p w:rsidR="00753C57" w:rsidRPr="005B0931" w:rsidRDefault="00753C57" w:rsidP="002A6D47">
            <w:pPr>
              <w:bidi w:val="0"/>
              <w:snapToGrid w:val="0"/>
              <w:jc w:val="both"/>
              <w:rPr>
                <w:rFonts w:eastAsia="Calibri"/>
                <w:sz w:val="16"/>
                <w:szCs w:val="16"/>
              </w:rPr>
            </w:pPr>
          </w:p>
        </w:tc>
        <w:tc>
          <w:tcPr>
            <w:tcW w:w="0" w:type="auto"/>
            <w:vMerge/>
            <w:shd w:val="clear" w:color="auto" w:fill="auto"/>
            <w:vAlign w:val="center"/>
          </w:tcPr>
          <w:p w:rsidR="00753C57" w:rsidRPr="005B0931" w:rsidRDefault="00753C57" w:rsidP="002A6D47">
            <w:pPr>
              <w:bidi w:val="0"/>
              <w:snapToGrid w:val="0"/>
              <w:jc w:val="both"/>
              <w:rPr>
                <w:rFonts w:eastAsia="Calibri"/>
                <w:sz w:val="16"/>
                <w:szCs w:val="16"/>
              </w:rPr>
            </w:pP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1-4</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5-9</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10-20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21-24</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Mean Value</w:t>
            </w:r>
          </w:p>
        </w:tc>
      </w:tr>
      <w:tr w:rsidR="00957A59" w:rsidRPr="005B0931" w:rsidTr="002A6D47">
        <w:trPr>
          <w:jc w:val="center"/>
        </w:trPr>
        <w:tc>
          <w:tcPr>
            <w:tcW w:w="0" w:type="auto"/>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 xml:space="preserve">Patients With </w:t>
            </w:r>
            <w:proofErr w:type="spellStart"/>
            <w:r w:rsidRPr="005B0931">
              <w:rPr>
                <w:rFonts w:eastAsia="Calibri"/>
                <w:sz w:val="16"/>
                <w:szCs w:val="16"/>
              </w:rPr>
              <w:t>Nomral</w:t>
            </w:r>
            <w:proofErr w:type="spellEnd"/>
            <w:r w:rsidRPr="005B0931">
              <w:rPr>
                <w:rFonts w:eastAsia="Calibri"/>
                <w:sz w:val="16"/>
                <w:szCs w:val="16"/>
              </w:rPr>
              <w:t xml:space="preserve">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Initial</w:t>
            </w:r>
          </w:p>
        </w:tc>
        <w:tc>
          <w:tcPr>
            <w:tcW w:w="0" w:type="auto"/>
            <w:vMerge w:val="restart"/>
            <w:shd w:val="clear" w:color="auto" w:fill="auto"/>
            <w:vAlign w:val="center"/>
          </w:tcPr>
          <w:p w:rsidR="00753C57" w:rsidRPr="005B0931" w:rsidRDefault="00531CD4" w:rsidP="002A6D47">
            <w:pPr>
              <w:tabs>
                <w:tab w:val="left" w:pos="391"/>
                <w:tab w:val="center" w:pos="519"/>
              </w:tabs>
              <w:bidi w:val="0"/>
              <w:snapToGrid w:val="0"/>
              <w:jc w:val="both"/>
              <w:rPr>
                <w:rFonts w:eastAsia="Calibri"/>
                <w:sz w:val="16"/>
                <w:szCs w:val="16"/>
              </w:rPr>
            </w:pPr>
            <w:r w:rsidRPr="005B0931">
              <w:rPr>
                <w:rFonts w:eastAsia="Calibri"/>
                <w:sz w:val="16"/>
                <w:szCs w:val="16"/>
              </w:rPr>
              <w:t>17</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6</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5</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4</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12.3</w:t>
            </w:r>
          </w:p>
        </w:tc>
      </w:tr>
      <w:tr w:rsidR="00957A59" w:rsidRPr="005B0931" w:rsidTr="002A6D47">
        <w:trPr>
          <w:jc w:val="center"/>
        </w:trPr>
        <w:tc>
          <w:tcPr>
            <w:tcW w:w="0" w:type="auto"/>
            <w:vMerge/>
            <w:vAlign w:val="center"/>
          </w:tcPr>
          <w:p w:rsidR="00753C57" w:rsidRPr="005B0931" w:rsidRDefault="00753C57" w:rsidP="002A6D47">
            <w:pPr>
              <w:bidi w:val="0"/>
              <w:snapToGrid w:val="0"/>
              <w:jc w:val="both"/>
              <w:rPr>
                <w:rFonts w:eastAsia="Calibri"/>
                <w:sz w:val="16"/>
                <w:szCs w:val="16"/>
              </w:rPr>
            </w:pP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After 15 Days</w:t>
            </w:r>
          </w:p>
        </w:tc>
        <w:tc>
          <w:tcPr>
            <w:tcW w:w="0" w:type="auto"/>
            <w:vMerge/>
            <w:shd w:val="clear" w:color="auto" w:fill="auto"/>
            <w:vAlign w:val="center"/>
          </w:tcPr>
          <w:p w:rsidR="00753C57" w:rsidRPr="005B0931" w:rsidRDefault="00753C57" w:rsidP="002A6D47">
            <w:pPr>
              <w:tabs>
                <w:tab w:val="left" w:pos="391"/>
                <w:tab w:val="center" w:pos="519"/>
              </w:tabs>
              <w:bidi w:val="0"/>
              <w:snapToGrid w:val="0"/>
              <w:jc w:val="both"/>
              <w:rPr>
                <w:rFonts w:eastAsia="Calibri"/>
                <w:sz w:val="16"/>
                <w:szCs w:val="16"/>
              </w:rPr>
            </w:pP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5</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6</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10.5</w:t>
            </w:r>
          </w:p>
        </w:tc>
      </w:tr>
      <w:tr w:rsidR="00957A59" w:rsidRPr="005B0931" w:rsidTr="002A6D47">
        <w:trPr>
          <w:jc w:val="center"/>
        </w:trPr>
        <w:tc>
          <w:tcPr>
            <w:tcW w:w="0" w:type="auto"/>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 xml:space="preserve">Patients With Abnormal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Initial</w:t>
            </w:r>
          </w:p>
        </w:tc>
        <w:tc>
          <w:tcPr>
            <w:tcW w:w="0" w:type="auto"/>
            <w:vMerge w:val="restart"/>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18</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16.4</w:t>
            </w:r>
          </w:p>
        </w:tc>
      </w:tr>
      <w:tr w:rsidR="00957A59" w:rsidRPr="005B0931" w:rsidTr="002A6D47">
        <w:trPr>
          <w:jc w:val="center"/>
        </w:trPr>
        <w:tc>
          <w:tcPr>
            <w:tcW w:w="0" w:type="auto"/>
            <w:vMerge/>
            <w:vAlign w:val="center"/>
          </w:tcPr>
          <w:p w:rsidR="00753C57" w:rsidRPr="005B0931" w:rsidRDefault="00753C57" w:rsidP="002A6D47">
            <w:pPr>
              <w:bidi w:val="0"/>
              <w:snapToGrid w:val="0"/>
              <w:jc w:val="both"/>
              <w:rPr>
                <w:rFonts w:eastAsia="Calibri"/>
                <w:sz w:val="16"/>
                <w:szCs w:val="16"/>
              </w:rPr>
            </w:pP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After 15 Days</w:t>
            </w:r>
          </w:p>
        </w:tc>
        <w:tc>
          <w:tcPr>
            <w:tcW w:w="0" w:type="auto"/>
            <w:vMerge/>
            <w:shd w:val="clear" w:color="auto" w:fill="auto"/>
            <w:vAlign w:val="center"/>
          </w:tcPr>
          <w:p w:rsidR="00753C57" w:rsidRPr="005B0931" w:rsidRDefault="00753C57" w:rsidP="002A6D47">
            <w:pPr>
              <w:bidi w:val="0"/>
              <w:snapToGrid w:val="0"/>
              <w:jc w:val="both"/>
              <w:rPr>
                <w:rFonts w:eastAsia="Calibri"/>
                <w:sz w:val="16"/>
                <w:szCs w:val="16"/>
              </w:rPr>
            </w:pP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6</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7</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16</w:t>
            </w:r>
          </w:p>
        </w:tc>
      </w:tr>
    </w:tbl>
    <w:p w:rsidR="0062070F" w:rsidRPr="005B0931" w:rsidRDefault="0062070F" w:rsidP="008620BE">
      <w:pPr>
        <w:bidi w:val="0"/>
        <w:snapToGrid w:val="0"/>
        <w:ind w:firstLine="425"/>
        <w:jc w:val="both"/>
        <w:rPr>
          <w:rFonts w:eastAsia="Calibri"/>
          <w:sz w:val="20"/>
          <w:szCs w:val="20"/>
        </w:rPr>
      </w:pPr>
    </w:p>
    <w:p w:rsidR="0062070F" w:rsidRPr="005B0931" w:rsidRDefault="0062070F" w:rsidP="008620BE">
      <w:pPr>
        <w:bidi w:val="0"/>
        <w:snapToGrid w:val="0"/>
        <w:ind w:firstLine="425"/>
        <w:jc w:val="both"/>
        <w:rPr>
          <w:rFonts w:eastAsia="Calibri"/>
          <w:sz w:val="20"/>
          <w:szCs w:val="20"/>
        </w:rPr>
        <w:sectPr w:rsidR="0062070F" w:rsidRPr="005B0931" w:rsidSect="0062070F">
          <w:type w:val="continuous"/>
          <w:pgSz w:w="12240" w:h="15840" w:code="1"/>
          <w:pgMar w:top="1440" w:right="1440" w:bottom="1440" w:left="1440" w:header="720" w:footer="720" w:gutter="0"/>
          <w:cols w:space="720"/>
          <w:docGrid w:linePitch="360"/>
        </w:sectPr>
      </w:pPr>
    </w:p>
    <w:p w:rsidR="00753C57" w:rsidRPr="005B0931" w:rsidRDefault="00753C57" w:rsidP="008620BE">
      <w:pPr>
        <w:bidi w:val="0"/>
        <w:snapToGrid w:val="0"/>
        <w:ind w:firstLine="425"/>
        <w:jc w:val="both"/>
        <w:rPr>
          <w:rFonts w:eastAsia="Calibri"/>
          <w:sz w:val="20"/>
          <w:szCs w:val="20"/>
        </w:rPr>
      </w:pPr>
      <w:r w:rsidRPr="005B0931">
        <w:rPr>
          <w:rFonts w:eastAsia="Calibri"/>
          <w:sz w:val="20"/>
          <w:szCs w:val="20"/>
        </w:rPr>
        <w:lastRenderedPageBreak/>
        <w:t>From Table (a)</w:t>
      </w:r>
    </w:p>
    <w:p w:rsidR="002A6D47" w:rsidRPr="005B0931" w:rsidRDefault="00753C57" w:rsidP="008620BE">
      <w:pPr>
        <w:numPr>
          <w:ilvl w:val="0"/>
          <w:numId w:val="23"/>
        </w:numPr>
        <w:bidi w:val="0"/>
        <w:snapToGrid w:val="0"/>
        <w:ind w:left="0" w:firstLine="425"/>
        <w:contextualSpacing/>
        <w:jc w:val="both"/>
        <w:rPr>
          <w:rFonts w:eastAsia="Calibri"/>
          <w:sz w:val="20"/>
          <w:szCs w:val="20"/>
        </w:rPr>
      </w:pPr>
      <w:r w:rsidRPr="005B0931">
        <w:rPr>
          <w:rFonts w:eastAsia="Calibri"/>
          <w:sz w:val="20"/>
          <w:szCs w:val="20"/>
        </w:rPr>
        <w:t>Definitive decline of NIHSS was seen in both group</w:t>
      </w:r>
      <w:r w:rsidR="002A6D47" w:rsidRPr="005B0931">
        <w:rPr>
          <w:rFonts w:eastAsia="Calibri"/>
          <w:sz w:val="20"/>
          <w:szCs w:val="20"/>
        </w:rPr>
        <w:t>s.</w:t>
      </w:r>
    </w:p>
    <w:p w:rsidR="002A6D47" w:rsidRPr="005B0931" w:rsidRDefault="00753C57" w:rsidP="008620BE">
      <w:pPr>
        <w:numPr>
          <w:ilvl w:val="0"/>
          <w:numId w:val="23"/>
        </w:numPr>
        <w:bidi w:val="0"/>
        <w:snapToGrid w:val="0"/>
        <w:ind w:left="0" w:firstLine="425"/>
        <w:contextualSpacing/>
        <w:jc w:val="both"/>
        <w:rPr>
          <w:rFonts w:eastAsia="Calibri"/>
          <w:sz w:val="20"/>
          <w:szCs w:val="20"/>
        </w:rPr>
      </w:pPr>
      <w:r w:rsidRPr="005B0931">
        <w:rPr>
          <w:rFonts w:eastAsia="Calibri"/>
          <w:sz w:val="20"/>
          <w:szCs w:val="20"/>
        </w:rPr>
        <w:t>The first group was significantly responding wit</w:t>
      </w:r>
      <w:r w:rsidR="002A6D47" w:rsidRPr="005B0931">
        <w:rPr>
          <w:rFonts w:eastAsia="Calibri"/>
          <w:sz w:val="20"/>
          <w:szCs w:val="20"/>
        </w:rPr>
        <w:t>h.</w:t>
      </w:r>
    </w:p>
    <w:p w:rsidR="002A6D47" w:rsidRPr="005B0931" w:rsidRDefault="00753C57" w:rsidP="008620BE">
      <w:pPr>
        <w:bidi w:val="0"/>
        <w:snapToGrid w:val="0"/>
        <w:ind w:firstLine="425"/>
        <w:contextualSpacing/>
        <w:jc w:val="both"/>
        <w:rPr>
          <w:rFonts w:eastAsia="Calibri"/>
          <w:sz w:val="20"/>
          <w:szCs w:val="20"/>
        </w:rPr>
      </w:pPr>
      <w:r w:rsidRPr="005B0931">
        <w:rPr>
          <w:rFonts w:eastAsia="Calibri"/>
          <w:sz w:val="20"/>
          <w:szCs w:val="20"/>
        </w:rPr>
        <w:t>NIHSS mean value initially 12.3 and after 15 days was around 10.5 with a decline of 1.</w:t>
      </w:r>
      <w:r w:rsidR="002A6D47" w:rsidRPr="005B0931">
        <w:rPr>
          <w:rFonts w:eastAsia="Calibri"/>
          <w:sz w:val="20"/>
          <w:szCs w:val="20"/>
        </w:rPr>
        <w:t>8.</w:t>
      </w:r>
    </w:p>
    <w:p w:rsidR="002A6D47" w:rsidRPr="005B0931" w:rsidRDefault="00753C57" w:rsidP="008620BE">
      <w:pPr>
        <w:numPr>
          <w:ilvl w:val="0"/>
          <w:numId w:val="23"/>
        </w:numPr>
        <w:bidi w:val="0"/>
        <w:snapToGrid w:val="0"/>
        <w:ind w:left="0" w:firstLine="425"/>
        <w:contextualSpacing/>
        <w:jc w:val="both"/>
        <w:rPr>
          <w:rFonts w:eastAsia="Calibri"/>
          <w:sz w:val="20"/>
          <w:szCs w:val="20"/>
        </w:rPr>
      </w:pPr>
      <w:r w:rsidRPr="005B0931">
        <w:rPr>
          <w:rFonts w:eastAsia="Calibri"/>
          <w:sz w:val="20"/>
          <w:szCs w:val="20"/>
        </w:rPr>
        <w:lastRenderedPageBreak/>
        <w:t>The second group was less significantly responding with NIHSS mean value initially 16.4 and after 15 days was around 16 with a decline of</w:t>
      </w:r>
      <w:r w:rsidR="002A6D47" w:rsidRPr="005B0931">
        <w:rPr>
          <w:rFonts w:eastAsia="Calibri"/>
          <w:sz w:val="20"/>
          <w:szCs w:val="20"/>
        </w:rPr>
        <w:t xml:space="preserve"> </w:t>
      </w:r>
      <w:r w:rsidRPr="005B0931">
        <w:rPr>
          <w:rFonts w:eastAsia="Calibri"/>
          <w:sz w:val="20"/>
          <w:szCs w:val="20"/>
        </w:rPr>
        <w:t>0.</w:t>
      </w:r>
      <w:r w:rsidR="002A6D47" w:rsidRPr="005B0931">
        <w:rPr>
          <w:rFonts w:eastAsia="Calibri"/>
          <w:sz w:val="20"/>
          <w:szCs w:val="20"/>
        </w:rPr>
        <w:t>4.</w:t>
      </w:r>
    </w:p>
    <w:p w:rsidR="002A6D47" w:rsidRPr="005B0931" w:rsidRDefault="00753C57" w:rsidP="008620BE">
      <w:pPr>
        <w:bidi w:val="0"/>
        <w:snapToGrid w:val="0"/>
        <w:ind w:firstLine="425"/>
        <w:jc w:val="both"/>
        <w:rPr>
          <w:rFonts w:eastAsia="Calibri"/>
          <w:sz w:val="20"/>
          <w:szCs w:val="20"/>
        </w:rPr>
      </w:pPr>
      <w:r w:rsidRPr="005B0931">
        <w:rPr>
          <w:rFonts w:eastAsia="Calibri"/>
          <w:sz w:val="20"/>
          <w:szCs w:val="20"/>
        </w:rPr>
        <w:t xml:space="preserve">This supports that better prognosis could be predicted in the presence of normal </w:t>
      </w:r>
      <w:proofErr w:type="spellStart"/>
      <w:r w:rsidRPr="005B0931">
        <w:rPr>
          <w:rFonts w:eastAsia="Calibri"/>
          <w:sz w:val="20"/>
          <w:szCs w:val="20"/>
        </w:rPr>
        <w:t>sonographic</w:t>
      </w:r>
      <w:proofErr w:type="spellEnd"/>
      <w:r w:rsidRPr="005B0931">
        <w:rPr>
          <w:rFonts w:eastAsia="Calibri"/>
          <w:sz w:val="20"/>
          <w:szCs w:val="20"/>
        </w:rPr>
        <w:t xml:space="preserve"> finding</w:t>
      </w:r>
      <w:r w:rsidR="002A6D47" w:rsidRPr="005B0931">
        <w:rPr>
          <w:rFonts w:eastAsia="Calibri"/>
          <w:sz w:val="20"/>
          <w:szCs w:val="20"/>
        </w:rPr>
        <w:t>s.</w:t>
      </w:r>
    </w:p>
    <w:p w:rsidR="002A6D47" w:rsidRPr="005B0931" w:rsidRDefault="002A6D47" w:rsidP="008620BE">
      <w:pPr>
        <w:bidi w:val="0"/>
        <w:snapToGrid w:val="0"/>
        <w:ind w:firstLine="425"/>
        <w:jc w:val="both"/>
        <w:rPr>
          <w:rFonts w:eastAsia="Calibri"/>
          <w:sz w:val="20"/>
          <w:szCs w:val="20"/>
        </w:rPr>
        <w:sectPr w:rsidR="002A6D47" w:rsidRPr="005B0931" w:rsidSect="002A6D47">
          <w:type w:val="continuous"/>
          <w:pgSz w:w="12240" w:h="15840" w:code="1"/>
          <w:pgMar w:top="1440" w:right="1440" w:bottom="1440" w:left="1440" w:header="720" w:footer="720" w:gutter="0"/>
          <w:cols w:num="2" w:space="600"/>
          <w:docGrid w:linePitch="360"/>
        </w:sectPr>
      </w:pPr>
    </w:p>
    <w:p w:rsidR="002A6D47" w:rsidRPr="005B0931" w:rsidRDefault="002A6D47" w:rsidP="008620BE">
      <w:pPr>
        <w:bidi w:val="0"/>
        <w:snapToGrid w:val="0"/>
        <w:ind w:firstLine="425"/>
        <w:jc w:val="both"/>
        <w:rPr>
          <w:rFonts w:eastAsia="Calibri"/>
          <w:sz w:val="20"/>
          <w:szCs w:val="20"/>
        </w:rPr>
      </w:pPr>
    </w:p>
    <w:p w:rsidR="00753C57" w:rsidRPr="005B0931" w:rsidRDefault="00DD6C5C" w:rsidP="00531CD4">
      <w:pPr>
        <w:bidi w:val="0"/>
        <w:snapToGrid w:val="0"/>
        <w:ind w:firstLine="425"/>
        <w:jc w:val="both"/>
        <w:rPr>
          <w:rFonts w:eastAsiaTheme="minorEastAsia"/>
          <w:sz w:val="20"/>
          <w:szCs w:val="20"/>
          <w:lang w:eastAsia="zh-CN"/>
        </w:rPr>
      </w:pPr>
      <w:r w:rsidRPr="005B0931">
        <w:rPr>
          <w:rFonts w:eastAsia="Calibri"/>
          <w:sz w:val="20"/>
          <w:szCs w:val="20"/>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1"/>
        <w:gridCol w:w="1123"/>
        <w:gridCol w:w="1874"/>
        <w:gridCol w:w="510"/>
        <w:gridCol w:w="590"/>
        <w:gridCol w:w="590"/>
        <w:gridCol w:w="590"/>
        <w:gridCol w:w="1003"/>
      </w:tblGrid>
      <w:tr w:rsidR="002A6D47" w:rsidRPr="005B0931" w:rsidTr="002A6D47">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Group</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A6D47" w:rsidRPr="005B0931" w:rsidRDefault="002A6D47" w:rsidP="002A6D47">
            <w:pPr>
              <w:bidi w:val="0"/>
              <w:snapToGrid w:val="0"/>
              <w:jc w:val="both"/>
              <w:rPr>
                <w:rFonts w:eastAsia="Calibri"/>
                <w:sz w:val="16"/>
                <w:szCs w:val="16"/>
              </w:rPr>
            </w:pPr>
            <w:r w:rsidRPr="005B0931">
              <w:rPr>
                <w:rFonts w:eastAsia="Calibri"/>
                <w:sz w:val="16"/>
                <w:szCs w:val="16"/>
              </w:rPr>
              <w:t>Total Number Of Patients</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2A6D47" w:rsidRPr="005B0931" w:rsidRDefault="002A6D47" w:rsidP="002A6D47">
            <w:pPr>
              <w:bidi w:val="0"/>
              <w:snapToGrid w:val="0"/>
              <w:jc w:val="both"/>
              <w:rPr>
                <w:rFonts w:eastAsia="Calibri"/>
                <w:sz w:val="16"/>
                <w:szCs w:val="16"/>
              </w:rPr>
            </w:pPr>
            <w:proofErr w:type="spellStart"/>
            <w:r w:rsidRPr="005B0931">
              <w:rPr>
                <w:rFonts w:eastAsia="Calibri"/>
                <w:sz w:val="16"/>
                <w:szCs w:val="16"/>
              </w:rPr>
              <w:t>Mmse</w:t>
            </w:r>
            <w:proofErr w:type="spellEnd"/>
            <w:r w:rsidRPr="005B0931">
              <w:rPr>
                <w:rFonts w:eastAsia="Calibri"/>
                <w:sz w:val="16"/>
                <w:szCs w:val="16"/>
              </w:rPr>
              <w:t xml:space="preserve"> Value</w:t>
            </w:r>
          </w:p>
        </w:tc>
      </w:tr>
      <w:tr w:rsidR="002A6D47" w:rsidRPr="005B0931" w:rsidTr="002A6D4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A6D47" w:rsidRPr="005B0931" w:rsidRDefault="002A6D47" w:rsidP="002A6D47">
            <w:pPr>
              <w:bidi w:val="0"/>
              <w:snapToGrid w:val="0"/>
              <w:jc w:val="both"/>
              <w:rPr>
                <w:rFonts w:eastAsia="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6D47" w:rsidRPr="005B0931" w:rsidRDefault="002A6D47" w:rsidP="002A6D47">
            <w:pPr>
              <w:bidi w:val="0"/>
              <w:snapToGrid w:val="0"/>
              <w:jc w:val="both"/>
              <w:rPr>
                <w:rFonts w:eastAsia="Calibri"/>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6D47" w:rsidRPr="005B0931" w:rsidRDefault="002A6D47" w:rsidP="002A6D47">
            <w:pPr>
              <w:bidi w:val="0"/>
              <w:snapToGrid w:val="0"/>
              <w:jc w:val="both"/>
              <w:rPr>
                <w:rFonts w:eastAsia="Calibri"/>
                <w:sz w:val="16"/>
                <w:szCs w:val="16"/>
              </w:rPr>
            </w:pPr>
            <w:r w:rsidRPr="005B0931">
              <w:rPr>
                <w:rFonts w:eastAsia="Calibri"/>
                <w:sz w:val="16"/>
                <w:szCs w:val="16"/>
              </w:rPr>
              <w:t>0-10</w:t>
            </w:r>
          </w:p>
        </w:tc>
        <w:tc>
          <w:tcPr>
            <w:tcW w:w="0" w:type="auto"/>
            <w:tcBorders>
              <w:top w:val="single" w:sz="4" w:space="0" w:color="auto"/>
              <w:left w:val="single" w:sz="4" w:space="0" w:color="auto"/>
              <w:bottom w:val="single" w:sz="4" w:space="0" w:color="auto"/>
              <w:right w:val="single" w:sz="4" w:space="0" w:color="auto"/>
            </w:tcBorders>
            <w:vAlign w:val="center"/>
            <w:hideMark/>
          </w:tcPr>
          <w:p w:rsidR="002A6D47" w:rsidRPr="005B0931" w:rsidRDefault="002A6D47" w:rsidP="002A6D47">
            <w:pPr>
              <w:bidi w:val="0"/>
              <w:snapToGrid w:val="0"/>
              <w:jc w:val="both"/>
              <w:rPr>
                <w:rFonts w:eastAsia="Calibri"/>
                <w:sz w:val="16"/>
                <w:szCs w:val="16"/>
              </w:rPr>
            </w:pPr>
            <w:r w:rsidRPr="005B0931">
              <w:rPr>
                <w:rFonts w:eastAsia="Calibri"/>
                <w:sz w:val="16"/>
                <w:szCs w:val="16"/>
              </w:rPr>
              <w:t>11-20</w:t>
            </w:r>
          </w:p>
        </w:tc>
        <w:tc>
          <w:tcPr>
            <w:tcW w:w="0" w:type="auto"/>
            <w:tcBorders>
              <w:top w:val="single" w:sz="4" w:space="0" w:color="auto"/>
              <w:left w:val="single" w:sz="4" w:space="0" w:color="auto"/>
              <w:bottom w:val="single" w:sz="4" w:space="0" w:color="auto"/>
              <w:right w:val="single" w:sz="4" w:space="0" w:color="auto"/>
            </w:tcBorders>
            <w:vAlign w:val="center"/>
            <w:hideMark/>
          </w:tcPr>
          <w:p w:rsidR="002A6D47" w:rsidRPr="005B0931" w:rsidRDefault="002A6D47" w:rsidP="002A6D47">
            <w:pPr>
              <w:bidi w:val="0"/>
              <w:snapToGrid w:val="0"/>
              <w:jc w:val="both"/>
              <w:rPr>
                <w:rFonts w:eastAsia="Calibri"/>
                <w:sz w:val="16"/>
                <w:szCs w:val="16"/>
              </w:rPr>
            </w:pPr>
            <w:r w:rsidRPr="005B0931">
              <w:rPr>
                <w:rFonts w:eastAsia="Calibri"/>
                <w:sz w:val="16"/>
                <w:szCs w:val="16"/>
              </w:rPr>
              <w:t>21-25</w:t>
            </w:r>
          </w:p>
        </w:tc>
        <w:tc>
          <w:tcPr>
            <w:tcW w:w="0" w:type="auto"/>
            <w:tcBorders>
              <w:top w:val="single" w:sz="4" w:space="0" w:color="auto"/>
              <w:left w:val="single" w:sz="4" w:space="0" w:color="auto"/>
              <w:bottom w:val="single" w:sz="4" w:space="0" w:color="auto"/>
              <w:right w:val="single" w:sz="4" w:space="0" w:color="auto"/>
            </w:tcBorders>
            <w:vAlign w:val="center"/>
            <w:hideMark/>
          </w:tcPr>
          <w:p w:rsidR="002A6D47" w:rsidRPr="005B0931" w:rsidRDefault="002A6D47" w:rsidP="002A6D47">
            <w:pPr>
              <w:bidi w:val="0"/>
              <w:snapToGrid w:val="0"/>
              <w:jc w:val="both"/>
              <w:rPr>
                <w:rFonts w:eastAsia="Calibri"/>
                <w:sz w:val="16"/>
                <w:szCs w:val="16"/>
              </w:rPr>
            </w:pPr>
            <w:r w:rsidRPr="005B0931">
              <w:rPr>
                <w:rFonts w:eastAsia="Calibri"/>
                <w:sz w:val="16"/>
                <w:szCs w:val="16"/>
              </w:rPr>
              <w:t>26-30</w:t>
            </w: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Mean Value</w:t>
            </w:r>
          </w:p>
        </w:tc>
      </w:tr>
      <w:tr w:rsidR="002A6D47" w:rsidRPr="005B0931" w:rsidTr="002A6D47">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A6D47" w:rsidRPr="005B0931" w:rsidRDefault="002A6D47" w:rsidP="002A6D47">
            <w:pPr>
              <w:bidi w:val="0"/>
              <w:snapToGrid w:val="0"/>
              <w:jc w:val="both"/>
              <w:rPr>
                <w:rFonts w:eastAsia="Calibri"/>
                <w:sz w:val="16"/>
                <w:szCs w:val="16"/>
              </w:rPr>
            </w:pPr>
            <w:r w:rsidRPr="005B0931">
              <w:rPr>
                <w:rFonts w:eastAsia="Calibri"/>
                <w:sz w:val="16"/>
                <w:szCs w:val="16"/>
              </w:rPr>
              <w:t xml:space="preserve">Patients With </w:t>
            </w:r>
            <w:proofErr w:type="spellStart"/>
            <w:r w:rsidRPr="005B0931">
              <w:rPr>
                <w:rFonts w:eastAsia="Calibri"/>
                <w:sz w:val="16"/>
                <w:szCs w:val="16"/>
              </w:rPr>
              <w:t>Nomral</w:t>
            </w:r>
            <w:proofErr w:type="spellEnd"/>
            <w:r w:rsidRPr="005B0931">
              <w:rPr>
                <w:rFonts w:eastAsia="Calibri"/>
                <w:sz w:val="16"/>
                <w:szCs w:val="16"/>
              </w:rPr>
              <w:t xml:space="preserve">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Initial</w:t>
            </w:r>
          </w:p>
        </w:tc>
        <w:tc>
          <w:tcPr>
            <w:tcW w:w="0" w:type="auto"/>
            <w:vMerge w:val="restart"/>
            <w:tcBorders>
              <w:top w:val="single" w:sz="4" w:space="0" w:color="auto"/>
              <w:left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17</w:t>
            </w: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6</w:t>
            </w: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16.5</w:t>
            </w:r>
          </w:p>
        </w:tc>
      </w:tr>
      <w:tr w:rsidR="002A6D47" w:rsidRPr="005B0931" w:rsidTr="002A6D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6D47" w:rsidRPr="005B0931" w:rsidRDefault="002A6D47" w:rsidP="002A6D47">
            <w:pPr>
              <w:bidi w:val="0"/>
              <w:snapToGrid w:val="0"/>
              <w:jc w:val="both"/>
              <w:rPr>
                <w:rFonts w:eastAsia="Calibri"/>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6D47" w:rsidRPr="005B0931" w:rsidRDefault="002A6D47" w:rsidP="002A6D47">
            <w:pPr>
              <w:bidi w:val="0"/>
              <w:snapToGrid w:val="0"/>
              <w:jc w:val="both"/>
              <w:rPr>
                <w:rFonts w:eastAsia="Calibri"/>
                <w:sz w:val="16"/>
                <w:szCs w:val="16"/>
              </w:rPr>
            </w:pPr>
            <w:r w:rsidRPr="005B0931">
              <w:rPr>
                <w:rFonts w:eastAsia="Calibri"/>
                <w:sz w:val="16"/>
                <w:szCs w:val="16"/>
              </w:rPr>
              <w:t>After 15 Days</w:t>
            </w:r>
          </w:p>
        </w:tc>
        <w:tc>
          <w:tcPr>
            <w:tcW w:w="0" w:type="auto"/>
            <w:vMerge/>
            <w:tcBorders>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18</w:t>
            </w:r>
          </w:p>
        </w:tc>
      </w:tr>
      <w:tr w:rsidR="002A6D47" w:rsidRPr="005B0931" w:rsidTr="002A6D47">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A6D47" w:rsidRPr="005B0931" w:rsidRDefault="002A6D47" w:rsidP="002A6D47">
            <w:pPr>
              <w:bidi w:val="0"/>
              <w:snapToGrid w:val="0"/>
              <w:jc w:val="both"/>
              <w:rPr>
                <w:rFonts w:eastAsia="Calibri"/>
                <w:sz w:val="16"/>
                <w:szCs w:val="16"/>
              </w:rPr>
            </w:pPr>
            <w:r w:rsidRPr="005B0931">
              <w:rPr>
                <w:rFonts w:eastAsia="Calibri"/>
                <w:sz w:val="16"/>
                <w:szCs w:val="16"/>
              </w:rPr>
              <w:t xml:space="preserve">Patients With Abnormal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Initial</w:t>
            </w:r>
          </w:p>
        </w:tc>
        <w:tc>
          <w:tcPr>
            <w:tcW w:w="0" w:type="auto"/>
            <w:vMerge w:val="restart"/>
            <w:tcBorders>
              <w:top w:val="single" w:sz="4" w:space="0" w:color="auto"/>
              <w:left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18</w:t>
            </w: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11.8</w:t>
            </w:r>
          </w:p>
        </w:tc>
      </w:tr>
      <w:tr w:rsidR="002A6D47" w:rsidRPr="005B0931" w:rsidTr="002A6D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6D47" w:rsidRPr="005B0931" w:rsidRDefault="002A6D47" w:rsidP="002A6D47">
            <w:pPr>
              <w:bidi w:val="0"/>
              <w:snapToGrid w:val="0"/>
              <w:jc w:val="both"/>
              <w:rPr>
                <w:rFonts w:eastAsia="Calibri"/>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A6D47" w:rsidRPr="005B0931" w:rsidRDefault="002A6D47" w:rsidP="002A6D47">
            <w:pPr>
              <w:bidi w:val="0"/>
              <w:snapToGrid w:val="0"/>
              <w:jc w:val="both"/>
              <w:rPr>
                <w:rFonts w:eastAsia="Calibri"/>
                <w:sz w:val="16"/>
                <w:szCs w:val="16"/>
              </w:rPr>
            </w:pPr>
            <w:r w:rsidRPr="005B0931">
              <w:rPr>
                <w:rFonts w:eastAsia="Calibri"/>
                <w:sz w:val="16"/>
                <w:szCs w:val="16"/>
              </w:rPr>
              <w:t>After 15 Days</w:t>
            </w:r>
          </w:p>
        </w:tc>
        <w:tc>
          <w:tcPr>
            <w:tcW w:w="0" w:type="auto"/>
            <w:vMerge/>
            <w:tcBorders>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9</w:t>
            </w: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2A6D47" w:rsidRPr="005B0931" w:rsidRDefault="002A6D47" w:rsidP="002A6D47">
            <w:pPr>
              <w:bidi w:val="0"/>
              <w:snapToGrid w:val="0"/>
              <w:jc w:val="both"/>
              <w:rPr>
                <w:rFonts w:eastAsia="Calibri"/>
                <w:sz w:val="16"/>
                <w:szCs w:val="16"/>
              </w:rPr>
            </w:pPr>
            <w:r w:rsidRPr="005B0931">
              <w:rPr>
                <w:rFonts w:eastAsia="Calibri"/>
                <w:sz w:val="16"/>
                <w:szCs w:val="16"/>
              </w:rPr>
              <w:t>12.8</w:t>
            </w:r>
          </w:p>
        </w:tc>
      </w:tr>
    </w:tbl>
    <w:p w:rsidR="0062070F" w:rsidRPr="005B0931" w:rsidRDefault="0062070F" w:rsidP="008620BE">
      <w:pPr>
        <w:bidi w:val="0"/>
        <w:snapToGrid w:val="0"/>
        <w:ind w:firstLine="425"/>
        <w:jc w:val="both"/>
        <w:rPr>
          <w:rFonts w:eastAsia="Calibri"/>
          <w:sz w:val="20"/>
          <w:szCs w:val="20"/>
        </w:rPr>
      </w:pPr>
    </w:p>
    <w:p w:rsidR="0062070F" w:rsidRPr="005B0931" w:rsidRDefault="0062070F" w:rsidP="008620BE">
      <w:pPr>
        <w:bidi w:val="0"/>
        <w:snapToGrid w:val="0"/>
        <w:ind w:firstLine="425"/>
        <w:jc w:val="both"/>
        <w:rPr>
          <w:rFonts w:eastAsia="Calibri"/>
          <w:sz w:val="20"/>
          <w:szCs w:val="20"/>
        </w:rPr>
        <w:sectPr w:rsidR="0062070F" w:rsidRPr="005B0931" w:rsidSect="0062070F">
          <w:type w:val="continuous"/>
          <w:pgSz w:w="12240" w:h="15840" w:code="1"/>
          <w:pgMar w:top="1440" w:right="1440" w:bottom="1440" w:left="1440" w:header="720" w:footer="720" w:gutter="0"/>
          <w:cols w:space="720"/>
          <w:docGrid w:linePitch="360"/>
        </w:sectPr>
      </w:pPr>
    </w:p>
    <w:p w:rsidR="00753C57" w:rsidRPr="005B0931" w:rsidRDefault="00753C57" w:rsidP="008620BE">
      <w:pPr>
        <w:bidi w:val="0"/>
        <w:snapToGrid w:val="0"/>
        <w:ind w:firstLine="425"/>
        <w:jc w:val="both"/>
        <w:rPr>
          <w:rFonts w:eastAsia="Calibri"/>
          <w:sz w:val="20"/>
          <w:szCs w:val="20"/>
        </w:rPr>
      </w:pPr>
      <w:r w:rsidRPr="005B0931">
        <w:rPr>
          <w:rFonts w:eastAsia="Calibri"/>
          <w:sz w:val="20"/>
          <w:szCs w:val="20"/>
        </w:rPr>
        <w:lastRenderedPageBreak/>
        <w:t>From table (b)</w:t>
      </w:r>
    </w:p>
    <w:p w:rsidR="002A6D47" w:rsidRPr="005B0931" w:rsidRDefault="00753C57" w:rsidP="008620BE">
      <w:pPr>
        <w:numPr>
          <w:ilvl w:val="0"/>
          <w:numId w:val="24"/>
        </w:numPr>
        <w:bidi w:val="0"/>
        <w:snapToGrid w:val="0"/>
        <w:ind w:left="0" w:firstLine="425"/>
        <w:contextualSpacing/>
        <w:jc w:val="both"/>
        <w:rPr>
          <w:rFonts w:eastAsia="Calibri"/>
          <w:sz w:val="20"/>
          <w:szCs w:val="20"/>
        </w:rPr>
      </w:pPr>
      <w:r w:rsidRPr="005B0931">
        <w:rPr>
          <w:rFonts w:eastAsia="Calibri"/>
          <w:sz w:val="20"/>
          <w:szCs w:val="20"/>
        </w:rPr>
        <w:t>Definitive incline of MMSE is seen in both group</w:t>
      </w:r>
      <w:r w:rsidR="002A6D47" w:rsidRPr="005B0931">
        <w:rPr>
          <w:rFonts w:eastAsia="Calibri"/>
          <w:sz w:val="20"/>
          <w:szCs w:val="20"/>
        </w:rPr>
        <w:t>s.</w:t>
      </w:r>
    </w:p>
    <w:p w:rsidR="002A6D47" w:rsidRPr="005B0931" w:rsidRDefault="00753C57" w:rsidP="008620BE">
      <w:pPr>
        <w:numPr>
          <w:ilvl w:val="0"/>
          <w:numId w:val="24"/>
        </w:numPr>
        <w:bidi w:val="0"/>
        <w:snapToGrid w:val="0"/>
        <w:ind w:left="0" w:firstLine="425"/>
        <w:contextualSpacing/>
        <w:jc w:val="both"/>
        <w:rPr>
          <w:rFonts w:eastAsia="Calibri"/>
          <w:sz w:val="20"/>
          <w:szCs w:val="20"/>
        </w:rPr>
      </w:pPr>
      <w:r w:rsidRPr="005B0931">
        <w:rPr>
          <w:rFonts w:eastAsia="Calibri"/>
          <w:sz w:val="20"/>
          <w:szCs w:val="20"/>
        </w:rPr>
        <w:t>The first group was significantly responding with MMSE mean value initially 16.5 and after 15 days was around 18 with an incline of 1.</w:t>
      </w:r>
      <w:r w:rsidR="002A6D47" w:rsidRPr="005B0931">
        <w:rPr>
          <w:rFonts w:eastAsia="Calibri"/>
          <w:sz w:val="20"/>
          <w:szCs w:val="20"/>
        </w:rPr>
        <w:t>5.</w:t>
      </w:r>
    </w:p>
    <w:p w:rsidR="002A6D47" w:rsidRPr="005B0931" w:rsidRDefault="00753C57" w:rsidP="008620BE">
      <w:pPr>
        <w:numPr>
          <w:ilvl w:val="0"/>
          <w:numId w:val="24"/>
        </w:numPr>
        <w:bidi w:val="0"/>
        <w:snapToGrid w:val="0"/>
        <w:ind w:left="0" w:firstLine="425"/>
        <w:contextualSpacing/>
        <w:jc w:val="both"/>
        <w:rPr>
          <w:rFonts w:eastAsia="Calibri"/>
          <w:sz w:val="20"/>
          <w:szCs w:val="20"/>
        </w:rPr>
      </w:pPr>
      <w:r w:rsidRPr="005B0931">
        <w:rPr>
          <w:rFonts w:eastAsia="Calibri"/>
          <w:sz w:val="20"/>
          <w:szCs w:val="20"/>
        </w:rPr>
        <w:t xml:space="preserve">The second group was less significantly responding with MMSE mean value initially 11.8 and after 15 days was around 12.8 with an incline of </w:t>
      </w:r>
      <w:r w:rsidR="002A6D47" w:rsidRPr="005B0931">
        <w:rPr>
          <w:rFonts w:eastAsia="Calibri"/>
          <w:sz w:val="20"/>
          <w:szCs w:val="20"/>
        </w:rPr>
        <w:t>1.</w:t>
      </w:r>
    </w:p>
    <w:p w:rsidR="002A6D47" w:rsidRPr="005B0931" w:rsidRDefault="00753C57" w:rsidP="008620BE">
      <w:pPr>
        <w:numPr>
          <w:ilvl w:val="0"/>
          <w:numId w:val="24"/>
        </w:numPr>
        <w:bidi w:val="0"/>
        <w:snapToGrid w:val="0"/>
        <w:ind w:left="0" w:firstLine="425"/>
        <w:contextualSpacing/>
        <w:jc w:val="both"/>
        <w:rPr>
          <w:rFonts w:eastAsia="Calibri"/>
          <w:sz w:val="20"/>
          <w:szCs w:val="20"/>
        </w:rPr>
      </w:pPr>
      <w:r w:rsidRPr="005B0931">
        <w:rPr>
          <w:rFonts w:eastAsia="Calibri"/>
          <w:sz w:val="20"/>
          <w:szCs w:val="20"/>
        </w:rPr>
        <w:lastRenderedPageBreak/>
        <w:t xml:space="preserve">The initial MMSE values were lower in the second group who presented with abnormal </w:t>
      </w:r>
      <w:proofErr w:type="spellStart"/>
      <w:r w:rsidRPr="005B0931">
        <w:rPr>
          <w:rFonts w:eastAsia="Calibri"/>
          <w:sz w:val="20"/>
          <w:szCs w:val="20"/>
        </w:rPr>
        <w:t>sonographic</w:t>
      </w:r>
      <w:proofErr w:type="spellEnd"/>
      <w:r w:rsidRPr="005B0931">
        <w:rPr>
          <w:rFonts w:eastAsia="Calibri"/>
          <w:sz w:val="20"/>
          <w:szCs w:val="20"/>
        </w:rPr>
        <w:t xml:space="preserve"> finding</w:t>
      </w:r>
      <w:r w:rsidR="002A6D47" w:rsidRPr="005B0931">
        <w:rPr>
          <w:rFonts w:eastAsia="Calibri"/>
          <w:sz w:val="20"/>
          <w:szCs w:val="20"/>
        </w:rPr>
        <w:t>s.</w:t>
      </w:r>
    </w:p>
    <w:p w:rsidR="002A6D47" w:rsidRPr="005B0931" w:rsidRDefault="00753C57" w:rsidP="008620BE">
      <w:pPr>
        <w:bidi w:val="0"/>
        <w:snapToGrid w:val="0"/>
        <w:ind w:firstLine="425"/>
        <w:jc w:val="both"/>
        <w:rPr>
          <w:rFonts w:eastAsia="Calibri"/>
          <w:sz w:val="20"/>
          <w:szCs w:val="20"/>
        </w:rPr>
      </w:pPr>
      <w:r w:rsidRPr="005B0931">
        <w:rPr>
          <w:rFonts w:eastAsia="Calibri"/>
          <w:sz w:val="20"/>
          <w:szCs w:val="20"/>
        </w:rPr>
        <w:t>This supports that better prognosis could be predicted in the presence</w:t>
      </w:r>
      <w:r w:rsidR="00D61A21" w:rsidRPr="005B0931">
        <w:rPr>
          <w:rFonts w:eastAsia="Calibri"/>
          <w:sz w:val="20"/>
          <w:szCs w:val="20"/>
        </w:rPr>
        <w:t xml:space="preserve"> of normal </w:t>
      </w:r>
      <w:proofErr w:type="spellStart"/>
      <w:r w:rsidR="00D61A21" w:rsidRPr="005B0931">
        <w:rPr>
          <w:rFonts w:eastAsia="Calibri"/>
          <w:sz w:val="20"/>
          <w:szCs w:val="20"/>
        </w:rPr>
        <w:t>sonographic</w:t>
      </w:r>
      <w:proofErr w:type="spellEnd"/>
      <w:r w:rsidR="00D61A21" w:rsidRPr="005B0931">
        <w:rPr>
          <w:rFonts w:eastAsia="Calibri"/>
          <w:sz w:val="20"/>
          <w:szCs w:val="20"/>
        </w:rPr>
        <w:t xml:space="preserve"> findin</w:t>
      </w:r>
      <w:r w:rsidR="002A6D47" w:rsidRPr="005B0931">
        <w:rPr>
          <w:rFonts w:eastAsia="Calibri"/>
          <w:sz w:val="20"/>
          <w:szCs w:val="20"/>
        </w:rPr>
        <w:t>g.</w:t>
      </w:r>
    </w:p>
    <w:p w:rsidR="002A6D47" w:rsidRPr="005B0931" w:rsidRDefault="002A6D47" w:rsidP="002A6D47">
      <w:pPr>
        <w:bidi w:val="0"/>
        <w:snapToGrid w:val="0"/>
        <w:ind w:firstLine="425"/>
        <w:jc w:val="both"/>
        <w:rPr>
          <w:rFonts w:eastAsia="Calibri"/>
          <w:sz w:val="20"/>
          <w:szCs w:val="20"/>
        </w:rPr>
      </w:pPr>
      <w:r w:rsidRPr="005B0931">
        <w:rPr>
          <w:rFonts w:eastAsia="Calibri"/>
          <w:sz w:val="20"/>
          <w:szCs w:val="20"/>
        </w:rPr>
        <w:t xml:space="preserve">Table (5) Analysis of prognosis using (a) NIHSS values and (b) MMSE values in 25 non-smokers with ischemic </w:t>
      </w:r>
      <w:proofErr w:type="spellStart"/>
      <w:r w:rsidRPr="005B0931">
        <w:rPr>
          <w:rFonts w:eastAsia="Calibri"/>
          <w:sz w:val="20"/>
          <w:szCs w:val="20"/>
        </w:rPr>
        <w:t>cerebrovascular</w:t>
      </w:r>
      <w:proofErr w:type="spellEnd"/>
      <w:r w:rsidRPr="005B0931">
        <w:rPr>
          <w:rFonts w:eastAsia="Calibri"/>
          <w:sz w:val="20"/>
          <w:szCs w:val="20"/>
        </w:rPr>
        <w:t xml:space="preserve"> stroke showing either normal or abnormal </w:t>
      </w:r>
      <w:proofErr w:type="spellStart"/>
      <w:r w:rsidRPr="005B0931">
        <w:rPr>
          <w:rFonts w:eastAsia="Calibri"/>
          <w:sz w:val="20"/>
          <w:szCs w:val="20"/>
        </w:rPr>
        <w:t>sonographic</w:t>
      </w:r>
      <w:proofErr w:type="spellEnd"/>
      <w:r w:rsidRPr="005B0931">
        <w:rPr>
          <w:rFonts w:eastAsia="Calibri"/>
          <w:sz w:val="20"/>
          <w:szCs w:val="20"/>
        </w:rPr>
        <w:t xml:space="preserve"> findings:</w:t>
      </w:r>
    </w:p>
    <w:p w:rsidR="002A6D47" w:rsidRPr="005B0931" w:rsidRDefault="002A6D47" w:rsidP="002A6D47">
      <w:pPr>
        <w:bidi w:val="0"/>
        <w:snapToGrid w:val="0"/>
        <w:ind w:firstLine="425"/>
        <w:jc w:val="both"/>
        <w:rPr>
          <w:rFonts w:eastAsiaTheme="minorEastAsia"/>
          <w:sz w:val="20"/>
          <w:szCs w:val="20"/>
          <w:lang w:eastAsia="zh-CN"/>
        </w:rPr>
        <w:sectPr w:rsidR="002A6D47" w:rsidRPr="005B0931" w:rsidSect="008620BE">
          <w:type w:val="continuous"/>
          <w:pgSz w:w="12240" w:h="15840" w:code="1"/>
          <w:pgMar w:top="1440" w:right="1440" w:bottom="1440" w:left="1440" w:header="720" w:footer="720" w:gutter="0"/>
          <w:cols w:num="2" w:space="600"/>
          <w:docGrid w:linePitch="360"/>
        </w:sectPr>
      </w:pPr>
    </w:p>
    <w:p w:rsidR="00753C57" w:rsidRPr="005B0931" w:rsidRDefault="00753C57" w:rsidP="002A6D47">
      <w:pPr>
        <w:bidi w:val="0"/>
        <w:snapToGrid w:val="0"/>
        <w:ind w:firstLine="425"/>
        <w:jc w:val="both"/>
        <w:rPr>
          <w:rFonts w:eastAsiaTheme="minorEastAsia"/>
          <w:sz w:val="20"/>
          <w:szCs w:val="20"/>
          <w:lang w:eastAsia="zh-CN"/>
        </w:rPr>
      </w:pPr>
      <w:r w:rsidRPr="005B0931">
        <w:rPr>
          <w:rFonts w:eastAsia="Calibri"/>
          <w:sz w:val="20"/>
          <w:szCs w:val="20"/>
        </w:rPr>
        <w:lastRenderedPageBreak/>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1"/>
        <w:gridCol w:w="1123"/>
        <w:gridCol w:w="1874"/>
        <w:gridCol w:w="296"/>
        <w:gridCol w:w="430"/>
        <w:gridCol w:w="430"/>
        <w:gridCol w:w="590"/>
        <w:gridCol w:w="590"/>
        <w:gridCol w:w="1003"/>
      </w:tblGrid>
      <w:tr w:rsidR="00957A59" w:rsidRPr="005B0931" w:rsidTr="00531CD4">
        <w:trPr>
          <w:jc w:val="center"/>
        </w:trPr>
        <w:tc>
          <w:tcPr>
            <w:tcW w:w="0" w:type="auto"/>
            <w:gridSpan w:val="2"/>
            <w:vMerge w:val="restart"/>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Group</w:t>
            </w:r>
          </w:p>
        </w:tc>
        <w:tc>
          <w:tcPr>
            <w:tcW w:w="0" w:type="auto"/>
            <w:vMerge w:val="restart"/>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Total Number Of Patients</w:t>
            </w:r>
          </w:p>
        </w:tc>
        <w:tc>
          <w:tcPr>
            <w:tcW w:w="0" w:type="auto"/>
            <w:gridSpan w:val="6"/>
            <w:shd w:val="clear" w:color="auto" w:fill="auto"/>
            <w:vAlign w:val="center"/>
          </w:tcPr>
          <w:p w:rsidR="00753C57" w:rsidRPr="005B0931" w:rsidRDefault="00531CD4" w:rsidP="00531CD4">
            <w:pPr>
              <w:bidi w:val="0"/>
              <w:snapToGrid w:val="0"/>
              <w:jc w:val="both"/>
              <w:rPr>
                <w:rFonts w:eastAsia="Calibri"/>
                <w:sz w:val="16"/>
                <w:szCs w:val="16"/>
              </w:rPr>
            </w:pPr>
            <w:proofErr w:type="spellStart"/>
            <w:r w:rsidRPr="005B0931">
              <w:rPr>
                <w:rFonts w:eastAsia="Calibri"/>
                <w:sz w:val="16"/>
                <w:szCs w:val="16"/>
              </w:rPr>
              <w:t>Nihss</w:t>
            </w:r>
            <w:proofErr w:type="spellEnd"/>
            <w:r w:rsidRPr="005B0931">
              <w:rPr>
                <w:rFonts w:eastAsia="Calibri"/>
                <w:sz w:val="16"/>
                <w:szCs w:val="16"/>
              </w:rPr>
              <w:t xml:space="preserve"> Value</w:t>
            </w:r>
          </w:p>
        </w:tc>
      </w:tr>
      <w:tr w:rsidR="00957A59" w:rsidRPr="005B0931" w:rsidTr="00531CD4">
        <w:trPr>
          <w:jc w:val="center"/>
        </w:trPr>
        <w:tc>
          <w:tcPr>
            <w:tcW w:w="0" w:type="auto"/>
            <w:gridSpan w:val="2"/>
            <w:vMerge/>
            <w:vAlign w:val="center"/>
          </w:tcPr>
          <w:p w:rsidR="00753C57" w:rsidRPr="005B0931" w:rsidRDefault="00753C57" w:rsidP="00531CD4">
            <w:pPr>
              <w:bidi w:val="0"/>
              <w:snapToGrid w:val="0"/>
              <w:jc w:val="both"/>
              <w:rPr>
                <w:rFonts w:eastAsia="Calibri"/>
                <w:sz w:val="16"/>
                <w:szCs w:val="16"/>
              </w:rPr>
            </w:pPr>
          </w:p>
        </w:tc>
        <w:tc>
          <w:tcPr>
            <w:tcW w:w="0" w:type="auto"/>
            <w:vMerge/>
            <w:shd w:val="clear" w:color="auto" w:fill="auto"/>
            <w:vAlign w:val="center"/>
          </w:tcPr>
          <w:p w:rsidR="00753C57" w:rsidRPr="005B0931" w:rsidRDefault="00753C57" w:rsidP="00531CD4">
            <w:pPr>
              <w:bidi w:val="0"/>
              <w:snapToGrid w:val="0"/>
              <w:jc w:val="both"/>
              <w:rPr>
                <w:rFonts w:eastAsia="Calibri"/>
                <w:sz w:val="16"/>
                <w:szCs w:val="16"/>
              </w:rPr>
            </w:pP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0</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1-4</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5-9</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10-20</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21-24</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Mean Value</w:t>
            </w:r>
          </w:p>
        </w:tc>
      </w:tr>
      <w:tr w:rsidR="00957A59" w:rsidRPr="005B0931" w:rsidTr="00531CD4">
        <w:trPr>
          <w:jc w:val="center"/>
        </w:trPr>
        <w:tc>
          <w:tcPr>
            <w:tcW w:w="0" w:type="auto"/>
            <w:vMerge w:val="restart"/>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 xml:space="preserve">Patients With </w:t>
            </w:r>
            <w:proofErr w:type="spellStart"/>
            <w:r w:rsidRPr="005B0931">
              <w:rPr>
                <w:rFonts w:eastAsia="Calibri"/>
                <w:sz w:val="16"/>
                <w:szCs w:val="16"/>
              </w:rPr>
              <w:t>Nomral</w:t>
            </w:r>
            <w:proofErr w:type="spellEnd"/>
            <w:r w:rsidRPr="005B0931">
              <w:rPr>
                <w:rFonts w:eastAsia="Calibri"/>
                <w:sz w:val="16"/>
                <w:szCs w:val="16"/>
              </w:rPr>
              <w:t xml:space="preserve">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0" w:type="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Initial</w:t>
            </w:r>
          </w:p>
        </w:tc>
        <w:tc>
          <w:tcPr>
            <w:tcW w:w="0" w:type="auto"/>
            <w:vMerge w:val="restart"/>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16</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7</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7</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6.1</w:t>
            </w:r>
          </w:p>
        </w:tc>
      </w:tr>
      <w:tr w:rsidR="00957A59" w:rsidRPr="005B0931" w:rsidTr="00531CD4">
        <w:trPr>
          <w:jc w:val="center"/>
        </w:trPr>
        <w:tc>
          <w:tcPr>
            <w:tcW w:w="0" w:type="auto"/>
            <w:vMerge/>
            <w:vAlign w:val="center"/>
          </w:tcPr>
          <w:p w:rsidR="00753C57" w:rsidRPr="005B0931" w:rsidRDefault="00753C57" w:rsidP="00531CD4">
            <w:pPr>
              <w:bidi w:val="0"/>
              <w:snapToGrid w:val="0"/>
              <w:jc w:val="both"/>
              <w:rPr>
                <w:rFonts w:eastAsia="Calibri"/>
                <w:sz w:val="16"/>
                <w:szCs w:val="16"/>
              </w:rPr>
            </w:pPr>
          </w:p>
        </w:tc>
        <w:tc>
          <w:tcPr>
            <w:tcW w:w="0" w:type="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After 15 Days</w:t>
            </w:r>
          </w:p>
        </w:tc>
        <w:tc>
          <w:tcPr>
            <w:tcW w:w="0" w:type="auto"/>
            <w:vMerge/>
            <w:shd w:val="clear" w:color="auto" w:fill="auto"/>
            <w:vAlign w:val="center"/>
          </w:tcPr>
          <w:p w:rsidR="00753C57" w:rsidRPr="005B0931" w:rsidRDefault="00753C57" w:rsidP="00531CD4">
            <w:pPr>
              <w:bidi w:val="0"/>
              <w:snapToGrid w:val="0"/>
              <w:jc w:val="both"/>
              <w:rPr>
                <w:rFonts w:eastAsia="Calibri"/>
                <w:sz w:val="16"/>
                <w:szCs w:val="16"/>
              </w:rPr>
            </w:pP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3</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7</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5</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4</w:t>
            </w:r>
          </w:p>
        </w:tc>
      </w:tr>
      <w:tr w:rsidR="00957A59" w:rsidRPr="005B0931" w:rsidTr="00531CD4">
        <w:trPr>
          <w:jc w:val="center"/>
        </w:trPr>
        <w:tc>
          <w:tcPr>
            <w:tcW w:w="0" w:type="auto"/>
            <w:vMerge w:val="restart"/>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 xml:space="preserve">Patients With Abnormal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0" w:type="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Initial</w:t>
            </w:r>
          </w:p>
        </w:tc>
        <w:tc>
          <w:tcPr>
            <w:tcW w:w="0" w:type="auto"/>
            <w:vMerge w:val="restart"/>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9</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5</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12.2</w:t>
            </w:r>
          </w:p>
        </w:tc>
      </w:tr>
      <w:tr w:rsidR="00957A59" w:rsidRPr="005B0931" w:rsidTr="00531CD4">
        <w:trPr>
          <w:jc w:val="center"/>
        </w:trPr>
        <w:tc>
          <w:tcPr>
            <w:tcW w:w="0" w:type="auto"/>
            <w:vMerge/>
            <w:vAlign w:val="center"/>
          </w:tcPr>
          <w:p w:rsidR="00753C57" w:rsidRPr="005B0931" w:rsidRDefault="00753C57" w:rsidP="00531CD4">
            <w:pPr>
              <w:bidi w:val="0"/>
              <w:snapToGrid w:val="0"/>
              <w:jc w:val="both"/>
              <w:rPr>
                <w:rFonts w:eastAsia="Calibri"/>
                <w:sz w:val="16"/>
                <w:szCs w:val="16"/>
              </w:rPr>
            </w:pPr>
          </w:p>
        </w:tc>
        <w:tc>
          <w:tcPr>
            <w:tcW w:w="0" w:type="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After 15 Days</w:t>
            </w:r>
          </w:p>
        </w:tc>
        <w:tc>
          <w:tcPr>
            <w:tcW w:w="0" w:type="auto"/>
            <w:vMerge/>
            <w:shd w:val="clear" w:color="auto" w:fill="auto"/>
            <w:vAlign w:val="center"/>
          </w:tcPr>
          <w:p w:rsidR="00753C57" w:rsidRPr="005B0931" w:rsidRDefault="00753C57" w:rsidP="00531CD4">
            <w:pPr>
              <w:bidi w:val="0"/>
              <w:snapToGrid w:val="0"/>
              <w:jc w:val="both"/>
              <w:rPr>
                <w:rFonts w:eastAsia="Calibri"/>
                <w:sz w:val="16"/>
                <w:szCs w:val="16"/>
              </w:rPr>
            </w:pP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5</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531CD4">
            <w:pPr>
              <w:bidi w:val="0"/>
              <w:snapToGrid w:val="0"/>
              <w:jc w:val="both"/>
              <w:rPr>
                <w:rFonts w:eastAsia="Calibri"/>
                <w:sz w:val="16"/>
                <w:szCs w:val="16"/>
              </w:rPr>
            </w:pPr>
            <w:r w:rsidRPr="005B0931">
              <w:rPr>
                <w:rFonts w:eastAsia="Calibri"/>
                <w:sz w:val="16"/>
                <w:szCs w:val="16"/>
              </w:rPr>
              <w:t>11.5</w:t>
            </w:r>
          </w:p>
        </w:tc>
      </w:tr>
    </w:tbl>
    <w:p w:rsidR="0062070F" w:rsidRPr="005B0931" w:rsidRDefault="0062070F" w:rsidP="008620BE">
      <w:pPr>
        <w:bidi w:val="0"/>
        <w:snapToGrid w:val="0"/>
        <w:ind w:firstLine="425"/>
        <w:jc w:val="both"/>
        <w:rPr>
          <w:rFonts w:eastAsia="Calibri"/>
          <w:sz w:val="20"/>
          <w:szCs w:val="20"/>
        </w:rPr>
      </w:pPr>
    </w:p>
    <w:p w:rsidR="0062070F" w:rsidRPr="005B0931" w:rsidRDefault="0062070F" w:rsidP="008620BE">
      <w:pPr>
        <w:bidi w:val="0"/>
        <w:snapToGrid w:val="0"/>
        <w:ind w:firstLine="425"/>
        <w:jc w:val="both"/>
        <w:rPr>
          <w:rFonts w:eastAsia="Calibri"/>
          <w:sz w:val="20"/>
          <w:szCs w:val="20"/>
        </w:rPr>
        <w:sectPr w:rsidR="0062070F" w:rsidRPr="005B0931" w:rsidSect="0062070F">
          <w:type w:val="continuous"/>
          <w:pgSz w:w="12240" w:h="15840" w:code="1"/>
          <w:pgMar w:top="1440" w:right="1440" w:bottom="1440" w:left="1440" w:header="720" w:footer="720" w:gutter="0"/>
          <w:cols w:space="720"/>
          <w:docGrid w:linePitch="360"/>
        </w:sectPr>
      </w:pPr>
    </w:p>
    <w:p w:rsidR="00753C57" w:rsidRPr="005B0931" w:rsidRDefault="00753C57" w:rsidP="008620BE">
      <w:pPr>
        <w:bidi w:val="0"/>
        <w:snapToGrid w:val="0"/>
        <w:ind w:firstLine="425"/>
        <w:jc w:val="both"/>
        <w:rPr>
          <w:rFonts w:eastAsia="Calibri"/>
          <w:sz w:val="20"/>
          <w:szCs w:val="20"/>
        </w:rPr>
      </w:pPr>
      <w:r w:rsidRPr="005B0931">
        <w:rPr>
          <w:rFonts w:eastAsia="Calibri"/>
          <w:sz w:val="20"/>
          <w:szCs w:val="20"/>
        </w:rPr>
        <w:lastRenderedPageBreak/>
        <w:t>From table (a)</w:t>
      </w:r>
    </w:p>
    <w:p w:rsidR="002A6D47" w:rsidRPr="005B0931" w:rsidRDefault="00753C57" w:rsidP="008620BE">
      <w:pPr>
        <w:numPr>
          <w:ilvl w:val="0"/>
          <w:numId w:val="25"/>
        </w:numPr>
        <w:bidi w:val="0"/>
        <w:snapToGrid w:val="0"/>
        <w:ind w:left="0" w:firstLine="425"/>
        <w:contextualSpacing/>
        <w:jc w:val="both"/>
        <w:rPr>
          <w:rFonts w:eastAsia="Calibri"/>
          <w:sz w:val="20"/>
          <w:szCs w:val="20"/>
        </w:rPr>
      </w:pPr>
      <w:r w:rsidRPr="005B0931">
        <w:rPr>
          <w:rFonts w:eastAsia="Calibri"/>
          <w:sz w:val="20"/>
          <w:szCs w:val="20"/>
        </w:rPr>
        <w:t>Definitive decline of NIHSS was seen in both group</w:t>
      </w:r>
      <w:r w:rsidR="002A6D47" w:rsidRPr="005B0931">
        <w:rPr>
          <w:rFonts w:eastAsia="Calibri"/>
          <w:sz w:val="20"/>
          <w:szCs w:val="20"/>
        </w:rPr>
        <w:t>s.</w:t>
      </w:r>
    </w:p>
    <w:p w:rsidR="002A6D47" w:rsidRPr="005B0931" w:rsidRDefault="00753C57" w:rsidP="008620BE">
      <w:pPr>
        <w:numPr>
          <w:ilvl w:val="0"/>
          <w:numId w:val="25"/>
        </w:numPr>
        <w:bidi w:val="0"/>
        <w:snapToGrid w:val="0"/>
        <w:ind w:left="0" w:firstLine="425"/>
        <w:contextualSpacing/>
        <w:jc w:val="both"/>
        <w:rPr>
          <w:rFonts w:eastAsia="Calibri"/>
          <w:sz w:val="20"/>
          <w:szCs w:val="20"/>
        </w:rPr>
      </w:pPr>
      <w:r w:rsidRPr="005B0931">
        <w:rPr>
          <w:rFonts w:eastAsia="Calibri"/>
          <w:sz w:val="20"/>
          <w:szCs w:val="20"/>
        </w:rPr>
        <w:t>The first group was significantly responding with NIHSS mean value initially 6.1 and after 15 days was around 4 with a decline of 2.</w:t>
      </w:r>
      <w:r w:rsidR="002A6D47" w:rsidRPr="005B0931">
        <w:rPr>
          <w:rFonts w:eastAsia="Calibri"/>
          <w:sz w:val="20"/>
          <w:szCs w:val="20"/>
        </w:rPr>
        <w:t>1.</w:t>
      </w:r>
    </w:p>
    <w:p w:rsidR="002A6D47" w:rsidRPr="005B0931" w:rsidRDefault="00753C57" w:rsidP="008620BE">
      <w:pPr>
        <w:numPr>
          <w:ilvl w:val="0"/>
          <w:numId w:val="25"/>
        </w:numPr>
        <w:bidi w:val="0"/>
        <w:snapToGrid w:val="0"/>
        <w:ind w:left="0" w:firstLine="425"/>
        <w:contextualSpacing/>
        <w:jc w:val="both"/>
        <w:rPr>
          <w:rFonts w:eastAsia="Calibri"/>
          <w:sz w:val="20"/>
          <w:szCs w:val="20"/>
        </w:rPr>
      </w:pPr>
      <w:r w:rsidRPr="005B0931">
        <w:rPr>
          <w:rFonts w:eastAsia="Calibri"/>
          <w:sz w:val="20"/>
          <w:szCs w:val="20"/>
        </w:rPr>
        <w:t>The second group was less significantly responding with NIHSS mean value initially 12.2 and after 15 days was around 11.5 with a decline of</w:t>
      </w:r>
      <w:r w:rsidR="002A6D47" w:rsidRPr="005B0931">
        <w:rPr>
          <w:rFonts w:eastAsia="Calibri"/>
          <w:sz w:val="20"/>
          <w:szCs w:val="20"/>
        </w:rPr>
        <w:t xml:space="preserve"> </w:t>
      </w:r>
      <w:r w:rsidRPr="005B0931">
        <w:rPr>
          <w:rFonts w:eastAsia="Calibri"/>
          <w:sz w:val="20"/>
          <w:szCs w:val="20"/>
        </w:rPr>
        <w:t>0.</w:t>
      </w:r>
      <w:r w:rsidR="002A6D47" w:rsidRPr="005B0931">
        <w:rPr>
          <w:rFonts w:eastAsia="Calibri"/>
          <w:sz w:val="20"/>
          <w:szCs w:val="20"/>
        </w:rPr>
        <w:t>7.</w:t>
      </w:r>
    </w:p>
    <w:p w:rsidR="002A6D47" w:rsidRPr="005B0931" w:rsidRDefault="00753C57" w:rsidP="008620BE">
      <w:pPr>
        <w:numPr>
          <w:ilvl w:val="0"/>
          <w:numId w:val="25"/>
        </w:numPr>
        <w:bidi w:val="0"/>
        <w:snapToGrid w:val="0"/>
        <w:ind w:left="0" w:firstLine="425"/>
        <w:contextualSpacing/>
        <w:jc w:val="both"/>
        <w:rPr>
          <w:rFonts w:eastAsia="Calibri"/>
          <w:sz w:val="20"/>
          <w:szCs w:val="20"/>
        </w:rPr>
      </w:pPr>
      <w:r w:rsidRPr="005B0931">
        <w:rPr>
          <w:rFonts w:eastAsia="Calibri"/>
          <w:sz w:val="20"/>
          <w:szCs w:val="20"/>
        </w:rPr>
        <w:lastRenderedPageBreak/>
        <w:t xml:space="preserve">The initial NIHSS values were higher in the second group who presented with abnormal </w:t>
      </w:r>
      <w:proofErr w:type="spellStart"/>
      <w:r w:rsidRPr="005B0931">
        <w:rPr>
          <w:rFonts w:eastAsia="Calibri"/>
          <w:sz w:val="20"/>
          <w:szCs w:val="20"/>
        </w:rPr>
        <w:t>sonographic</w:t>
      </w:r>
      <w:proofErr w:type="spellEnd"/>
      <w:r w:rsidRPr="005B0931">
        <w:rPr>
          <w:rFonts w:eastAsia="Calibri"/>
          <w:sz w:val="20"/>
          <w:szCs w:val="20"/>
        </w:rPr>
        <w:t xml:space="preserve"> finding</w:t>
      </w:r>
      <w:r w:rsidR="002A6D47" w:rsidRPr="005B0931">
        <w:rPr>
          <w:rFonts w:eastAsia="Calibri"/>
          <w:sz w:val="20"/>
          <w:szCs w:val="20"/>
        </w:rPr>
        <w:t>s.</w:t>
      </w:r>
    </w:p>
    <w:p w:rsidR="002A6D47" w:rsidRPr="005B0931" w:rsidRDefault="00753C57" w:rsidP="008620BE">
      <w:pPr>
        <w:bidi w:val="0"/>
        <w:snapToGrid w:val="0"/>
        <w:ind w:firstLine="425"/>
        <w:jc w:val="both"/>
        <w:rPr>
          <w:rFonts w:eastAsia="Calibri"/>
          <w:sz w:val="20"/>
          <w:szCs w:val="20"/>
        </w:rPr>
      </w:pPr>
      <w:r w:rsidRPr="005B0931">
        <w:rPr>
          <w:rFonts w:eastAsia="Calibri"/>
          <w:sz w:val="20"/>
          <w:szCs w:val="20"/>
        </w:rPr>
        <w:t xml:space="preserve">This supports that better prognosis could be predicted in the presence of normal </w:t>
      </w:r>
      <w:proofErr w:type="spellStart"/>
      <w:r w:rsidRPr="005B0931">
        <w:rPr>
          <w:rFonts w:eastAsia="Calibri"/>
          <w:sz w:val="20"/>
          <w:szCs w:val="20"/>
        </w:rPr>
        <w:t>sonographic</w:t>
      </w:r>
      <w:proofErr w:type="spellEnd"/>
      <w:r w:rsidRPr="005B0931">
        <w:rPr>
          <w:rFonts w:eastAsia="Calibri"/>
          <w:sz w:val="20"/>
          <w:szCs w:val="20"/>
        </w:rPr>
        <w:t xml:space="preserve"> finding</w:t>
      </w:r>
      <w:r w:rsidR="002A6D47" w:rsidRPr="005B0931">
        <w:rPr>
          <w:rFonts w:eastAsia="Calibri"/>
          <w:sz w:val="20"/>
          <w:szCs w:val="20"/>
        </w:rPr>
        <w:t>s.</w:t>
      </w:r>
    </w:p>
    <w:p w:rsidR="0062070F" w:rsidRPr="005B0931" w:rsidRDefault="0062070F" w:rsidP="008620BE">
      <w:pPr>
        <w:bidi w:val="0"/>
        <w:snapToGrid w:val="0"/>
        <w:ind w:firstLine="425"/>
        <w:jc w:val="both"/>
        <w:rPr>
          <w:rFonts w:eastAsia="Calibri"/>
          <w:sz w:val="20"/>
          <w:szCs w:val="20"/>
        </w:rPr>
        <w:sectPr w:rsidR="0062070F" w:rsidRPr="005B0931" w:rsidSect="002A6D47">
          <w:type w:val="continuous"/>
          <w:pgSz w:w="12240" w:h="15840" w:code="1"/>
          <w:pgMar w:top="1440" w:right="1440" w:bottom="1440" w:left="1440" w:header="720" w:footer="720" w:gutter="0"/>
          <w:cols w:num="2" w:space="600"/>
          <w:docGrid w:linePitch="360"/>
        </w:sectPr>
      </w:pPr>
    </w:p>
    <w:p w:rsidR="005B0931" w:rsidRDefault="005B0931" w:rsidP="008620BE">
      <w:pPr>
        <w:bidi w:val="0"/>
        <w:snapToGrid w:val="0"/>
        <w:ind w:firstLine="425"/>
        <w:jc w:val="both"/>
        <w:rPr>
          <w:rFonts w:eastAsiaTheme="minorEastAsia" w:hint="eastAsia"/>
          <w:sz w:val="20"/>
          <w:szCs w:val="20"/>
          <w:lang w:eastAsia="zh-CN"/>
        </w:rPr>
      </w:pPr>
    </w:p>
    <w:p w:rsidR="00753C57" w:rsidRPr="005B0931" w:rsidRDefault="00753C57" w:rsidP="005B0931">
      <w:pPr>
        <w:bidi w:val="0"/>
        <w:snapToGrid w:val="0"/>
        <w:ind w:firstLine="425"/>
        <w:jc w:val="both"/>
        <w:rPr>
          <w:rFonts w:eastAsia="Calibri"/>
          <w:sz w:val="20"/>
          <w:szCs w:val="20"/>
        </w:rPr>
      </w:pPr>
      <w:r w:rsidRPr="005B0931">
        <w:rPr>
          <w:rFonts w:eastAsia="Calibri"/>
          <w:sz w:val="20"/>
          <w:szCs w:val="20"/>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1"/>
        <w:gridCol w:w="1123"/>
        <w:gridCol w:w="1874"/>
        <w:gridCol w:w="510"/>
        <w:gridCol w:w="590"/>
        <w:gridCol w:w="590"/>
        <w:gridCol w:w="590"/>
        <w:gridCol w:w="1003"/>
      </w:tblGrid>
      <w:tr w:rsidR="00753C57" w:rsidRPr="005B0931" w:rsidTr="002A6D47">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Group</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2A6D47">
            <w:pPr>
              <w:bidi w:val="0"/>
              <w:snapToGrid w:val="0"/>
              <w:jc w:val="both"/>
              <w:rPr>
                <w:rFonts w:eastAsia="Calibri"/>
                <w:sz w:val="16"/>
                <w:szCs w:val="16"/>
              </w:rPr>
            </w:pPr>
            <w:r w:rsidRPr="005B0931">
              <w:rPr>
                <w:rFonts w:eastAsia="Calibri"/>
                <w:sz w:val="16"/>
                <w:szCs w:val="16"/>
              </w:rPr>
              <w:t>Total Number Of Patients</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2A6D47">
            <w:pPr>
              <w:bidi w:val="0"/>
              <w:snapToGrid w:val="0"/>
              <w:jc w:val="both"/>
              <w:rPr>
                <w:rFonts w:eastAsia="Calibri"/>
                <w:sz w:val="16"/>
                <w:szCs w:val="16"/>
              </w:rPr>
            </w:pPr>
            <w:proofErr w:type="spellStart"/>
            <w:r w:rsidRPr="005B0931">
              <w:rPr>
                <w:rFonts w:eastAsia="Calibri"/>
                <w:sz w:val="16"/>
                <w:szCs w:val="16"/>
              </w:rPr>
              <w:t>Mmse</w:t>
            </w:r>
            <w:proofErr w:type="spellEnd"/>
            <w:r w:rsidRPr="005B0931">
              <w:rPr>
                <w:rFonts w:eastAsia="Calibri"/>
                <w:sz w:val="16"/>
                <w:szCs w:val="16"/>
              </w:rPr>
              <w:t xml:space="preserve"> Value</w:t>
            </w:r>
          </w:p>
        </w:tc>
      </w:tr>
      <w:tr w:rsidR="00753C57" w:rsidRPr="005B0931" w:rsidTr="002A6D4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53C57" w:rsidRPr="005B0931" w:rsidRDefault="00753C57" w:rsidP="002A6D47">
            <w:pPr>
              <w:bidi w:val="0"/>
              <w:snapToGrid w:val="0"/>
              <w:jc w:val="both"/>
              <w:rPr>
                <w:rFonts w:eastAsia="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3C57" w:rsidRPr="005B0931" w:rsidRDefault="00753C57" w:rsidP="002A6D47">
            <w:pPr>
              <w:bidi w:val="0"/>
              <w:snapToGrid w:val="0"/>
              <w:jc w:val="both"/>
              <w:rPr>
                <w:rFonts w:eastAsia="Calibri"/>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2A6D47">
            <w:pPr>
              <w:bidi w:val="0"/>
              <w:snapToGrid w:val="0"/>
              <w:jc w:val="both"/>
              <w:rPr>
                <w:rFonts w:eastAsia="Calibri"/>
                <w:sz w:val="16"/>
                <w:szCs w:val="16"/>
              </w:rPr>
            </w:pPr>
            <w:r w:rsidRPr="005B0931">
              <w:rPr>
                <w:rFonts w:eastAsia="Calibri"/>
                <w:sz w:val="16"/>
                <w:szCs w:val="16"/>
              </w:rPr>
              <w:t>0-10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2A6D47">
            <w:pPr>
              <w:bidi w:val="0"/>
              <w:snapToGrid w:val="0"/>
              <w:jc w:val="both"/>
              <w:rPr>
                <w:rFonts w:eastAsia="Calibri"/>
                <w:sz w:val="16"/>
                <w:szCs w:val="16"/>
              </w:rPr>
            </w:pPr>
            <w:r w:rsidRPr="005B0931">
              <w:rPr>
                <w:rFonts w:eastAsia="Calibri"/>
                <w:sz w:val="16"/>
                <w:szCs w:val="16"/>
              </w:rPr>
              <w:t>11-20</w:t>
            </w:r>
          </w:p>
        </w:tc>
        <w:tc>
          <w:tcPr>
            <w:tcW w:w="0" w:type="auto"/>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2A6D47">
            <w:pPr>
              <w:bidi w:val="0"/>
              <w:snapToGrid w:val="0"/>
              <w:jc w:val="both"/>
              <w:rPr>
                <w:rFonts w:eastAsia="Calibri"/>
                <w:sz w:val="16"/>
                <w:szCs w:val="16"/>
              </w:rPr>
            </w:pPr>
            <w:r w:rsidRPr="005B0931">
              <w:rPr>
                <w:rFonts w:eastAsia="Calibri"/>
                <w:sz w:val="16"/>
                <w:szCs w:val="16"/>
              </w:rPr>
              <w:t>21-25</w:t>
            </w:r>
          </w:p>
        </w:tc>
        <w:tc>
          <w:tcPr>
            <w:tcW w:w="0" w:type="auto"/>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2A6D47">
            <w:pPr>
              <w:bidi w:val="0"/>
              <w:snapToGrid w:val="0"/>
              <w:jc w:val="both"/>
              <w:rPr>
                <w:rFonts w:eastAsia="Calibri"/>
                <w:sz w:val="16"/>
                <w:szCs w:val="16"/>
              </w:rPr>
            </w:pPr>
            <w:r w:rsidRPr="005B0931">
              <w:rPr>
                <w:rFonts w:eastAsia="Calibri"/>
                <w:sz w:val="16"/>
                <w:szCs w:val="16"/>
              </w:rPr>
              <w:t>26-30</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Mean Value</w:t>
            </w:r>
          </w:p>
        </w:tc>
      </w:tr>
      <w:tr w:rsidR="00753C57" w:rsidRPr="005B0931" w:rsidTr="002A6D47">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2A6D47">
            <w:pPr>
              <w:bidi w:val="0"/>
              <w:snapToGrid w:val="0"/>
              <w:jc w:val="both"/>
              <w:rPr>
                <w:rFonts w:eastAsia="Calibri"/>
                <w:sz w:val="16"/>
                <w:szCs w:val="16"/>
              </w:rPr>
            </w:pPr>
            <w:r w:rsidRPr="005B0931">
              <w:rPr>
                <w:rFonts w:eastAsia="Calibri"/>
                <w:sz w:val="16"/>
                <w:szCs w:val="16"/>
              </w:rPr>
              <w:t xml:space="preserve">Patients With </w:t>
            </w:r>
            <w:proofErr w:type="spellStart"/>
            <w:r w:rsidRPr="005B0931">
              <w:rPr>
                <w:rFonts w:eastAsia="Calibri"/>
                <w:sz w:val="16"/>
                <w:szCs w:val="16"/>
              </w:rPr>
              <w:t>Nomral</w:t>
            </w:r>
            <w:proofErr w:type="spellEnd"/>
            <w:r w:rsidRPr="005B0931">
              <w:rPr>
                <w:rFonts w:eastAsia="Calibri"/>
                <w:sz w:val="16"/>
                <w:szCs w:val="16"/>
              </w:rPr>
              <w:t xml:space="preserve">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Initial</w:t>
            </w:r>
          </w:p>
        </w:tc>
        <w:tc>
          <w:tcPr>
            <w:tcW w:w="0" w:type="auto"/>
            <w:vMerge w:val="restart"/>
            <w:tcBorders>
              <w:top w:val="single" w:sz="4" w:space="0" w:color="auto"/>
              <w:left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16</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21.7</w:t>
            </w:r>
          </w:p>
        </w:tc>
      </w:tr>
      <w:tr w:rsidR="00753C57" w:rsidRPr="005B0931" w:rsidTr="002A6D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3C57" w:rsidRPr="005B0931" w:rsidRDefault="00753C57" w:rsidP="002A6D47">
            <w:pPr>
              <w:bidi w:val="0"/>
              <w:snapToGrid w:val="0"/>
              <w:jc w:val="both"/>
              <w:rPr>
                <w:rFonts w:eastAsia="Calibri"/>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2A6D47">
            <w:pPr>
              <w:bidi w:val="0"/>
              <w:snapToGrid w:val="0"/>
              <w:jc w:val="both"/>
              <w:rPr>
                <w:rFonts w:eastAsia="Calibri"/>
                <w:sz w:val="16"/>
                <w:szCs w:val="16"/>
              </w:rPr>
            </w:pPr>
            <w:r w:rsidRPr="005B0931">
              <w:rPr>
                <w:rFonts w:eastAsia="Calibri"/>
                <w:sz w:val="16"/>
                <w:szCs w:val="16"/>
              </w:rPr>
              <w:t>After 15 Days</w:t>
            </w:r>
          </w:p>
        </w:tc>
        <w:tc>
          <w:tcPr>
            <w:tcW w:w="0" w:type="auto"/>
            <w:vMerge/>
            <w:tcBorders>
              <w:left w:val="single" w:sz="4" w:space="0" w:color="auto"/>
              <w:bottom w:val="single" w:sz="4" w:space="0" w:color="auto"/>
              <w:right w:val="single" w:sz="4" w:space="0" w:color="auto"/>
            </w:tcBorders>
            <w:vAlign w:val="center"/>
          </w:tcPr>
          <w:p w:rsidR="00753C57" w:rsidRPr="005B0931" w:rsidRDefault="00753C57" w:rsidP="002A6D47">
            <w:pPr>
              <w:bidi w:val="0"/>
              <w:snapToGrid w:val="0"/>
              <w:jc w:val="both"/>
              <w:rPr>
                <w:rFonts w:eastAsia="Calibri"/>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9</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24.7</w:t>
            </w:r>
          </w:p>
        </w:tc>
      </w:tr>
      <w:tr w:rsidR="00753C57" w:rsidRPr="005B0931" w:rsidTr="002A6D47">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2A6D47">
            <w:pPr>
              <w:bidi w:val="0"/>
              <w:snapToGrid w:val="0"/>
              <w:jc w:val="both"/>
              <w:rPr>
                <w:rFonts w:eastAsia="Calibri"/>
                <w:sz w:val="16"/>
                <w:szCs w:val="16"/>
              </w:rPr>
            </w:pPr>
            <w:r w:rsidRPr="005B0931">
              <w:rPr>
                <w:rFonts w:eastAsia="Calibri"/>
                <w:sz w:val="16"/>
                <w:szCs w:val="16"/>
              </w:rPr>
              <w:t xml:space="preserve">Patients With Abnormal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Initial</w:t>
            </w:r>
          </w:p>
        </w:tc>
        <w:tc>
          <w:tcPr>
            <w:tcW w:w="0" w:type="auto"/>
            <w:vMerge w:val="restart"/>
            <w:tcBorders>
              <w:top w:val="single" w:sz="4" w:space="0" w:color="auto"/>
              <w:left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9</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14.5</w:t>
            </w:r>
          </w:p>
        </w:tc>
      </w:tr>
      <w:tr w:rsidR="00753C57" w:rsidRPr="005B0931" w:rsidTr="002A6D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3C57" w:rsidRPr="005B0931" w:rsidRDefault="00753C57" w:rsidP="002A6D47">
            <w:pPr>
              <w:bidi w:val="0"/>
              <w:snapToGrid w:val="0"/>
              <w:jc w:val="both"/>
              <w:rPr>
                <w:rFonts w:eastAsia="Calibri"/>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3C57" w:rsidRPr="005B0931" w:rsidRDefault="00531CD4" w:rsidP="002A6D47">
            <w:pPr>
              <w:bidi w:val="0"/>
              <w:snapToGrid w:val="0"/>
              <w:jc w:val="both"/>
              <w:rPr>
                <w:rFonts w:eastAsia="Calibri"/>
                <w:sz w:val="16"/>
                <w:szCs w:val="16"/>
              </w:rPr>
            </w:pPr>
            <w:r w:rsidRPr="005B0931">
              <w:rPr>
                <w:rFonts w:eastAsia="Calibri"/>
                <w:sz w:val="16"/>
                <w:szCs w:val="16"/>
              </w:rPr>
              <w:t>After 15 Days</w:t>
            </w:r>
          </w:p>
        </w:tc>
        <w:tc>
          <w:tcPr>
            <w:tcW w:w="0" w:type="auto"/>
            <w:vMerge/>
            <w:tcBorders>
              <w:left w:val="single" w:sz="4" w:space="0" w:color="auto"/>
              <w:bottom w:val="single" w:sz="4" w:space="0" w:color="auto"/>
              <w:right w:val="single" w:sz="4" w:space="0" w:color="auto"/>
            </w:tcBorders>
            <w:vAlign w:val="center"/>
          </w:tcPr>
          <w:p w:rsidR="00753C57" w:rsidRPr="005B0931" w:rsidRDefault="00753C57" w:rsidP="002A6D47">
            <w:pPr>
              <w:bidi w:val="0"/>
              <w:snapToGrid w:val="0"/>
              <w:jc w:val="both"/>
              <w:rPr>
                <w:rFonts w:eastAsia="Calibri"/>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15.6</w:t>
            </w:r>
          </w:p>
        </w:tc>
      </w:tr>
    </w:tbl>
    <w:p w:rsidR="0062070F" w:rsidRPr="005B0931" w:rsidRDefault="0062070F" w:rsidP="008620BE">
      <w:pPr>
        <w:bidi w:val="0"/>
        <w:snapToGrid w:val="0"/>
        <w:ind w:firstLine="425"/>
        <w:jc w:val="both"/>
        <w:rPr>
          <w:rFonts w:eastAsia="Calibri"/>
          <w:sz w:val="20"/>
          <w:szCs w:val="20"/>
        </w:rPr>
      </w:pPr>
    </w:p>
    <w:p w:rsidR="0062070F" w:rsidRPr="005B0931" w:rsidRDefault="0062070F" w:rsidP="008620BE">
      <w:pPr>
        <w:bidi w:val="0"/>
        <w:snapToGrid w:val="0"/>
        <w:ind w:firstLine="425"/>
        <w:jc w:val="both"/>
        <w:rPr>
          <w:rFonts w:eastAsia="Calibri"/>
          <w:sz w:val="20"/>
          <w:szCs w:val="20"/>
        </w:rPr>
        <w:sectPr w:rsidR="0062070F" w:rsidRPr="005B0931" w:rsidSect="0062070F">
          <w:type w:val="continuous"/>
          <w:pgSz w:w="12240" w:h="15840" w:code="1"/>
          <w:pgMar w:top="1440" w:right="1440" w:bottom="1440" w:left="1440" w:header="720" w:footer="720" w:gutter="0"/>
          <w:cols w:space="720"/>
          <w:docGrid w:linePitch="360"/>
        </w:sectPr>
      </w:pPr>
    </w:p>
    <w:p w:rsidR="00753C57" w:rsidRPr="005B0931" w:rsidRDefault="00753C57" w:rsidP="008620BE">
      <w:pPr>
        <w:bidi w:val="0"/>
        <w:snapToGrid w:val="0"/>
        <w:ind w:firstLine="425"/>
        <w:jc w:val="both"/>
        <w:rPr>
          <w:rFonts w:eastAsia="Calibri"/>
          <w:sz w:val="20"/>
          <w:szCs w:val="20"/>
        </w:rPr>
      </w:pPr>
      <w:r w:rsidRPr="005B0931">
        <w:rPr>
          <w:rFonts w:eastAsia="Calibri"/>
          <w:sz w:val="20"/>
          <w:szCs w:val="20"/>
        </w:rPr>
        <w:lastRenderedPageBreak/>
        <w:t>From table (b)</w:t>
      </w:r>
    </w:p>
    <w:p w:rsidR="002A6D47" w:rsidRPr="005B0931" w:rsidRDefault="00753C57" w:rsidP="008620BE">
      <w:pPr>
        <w:numPr>
          <w:ilvl w:val="0"/>
          <w:numId w:val="31"/>
        </w:numPr>
        <w:bidi w:val="0"/>
        <w:snapToGrid w:val="0"/>
        <w:ind w:left="0" w:firstLine="425"/>
        <w:contextualSpacing/>
        <w:jc w:val="both"/>
        <w:rPr>
          <w:rFonts w:eastAsia="Calibri"/>
          <w:sz w:val="20"/>
          <w:szCs w:val="20"/>
        </w:rPr>
      </w:pPr>
      <w:r w:rsidRPr="005B0931">
        <w:rPr>
          <w:rFonts w:eastAsia="Calibri"/>
          <w:sz w:val="20"/>
          <w:szCs w:val="20"/>
        </w:rPr>
        <w:t>Definitive incline of MMSE is seen in both grou</w:t>
      </w:r>
      <w:r w:rsidR="002A6D47" w:rsidRPr="005B0931">
        <w:rPr>
          <w:rFonts w:eastAsia="Calibri"/>
          <w:sz w:val="20"/>
          <w:szCs w:val="20"/>
        </w:rPr>
        <w:t>p.</w:t>
      </w:r>
    </w:p>
    <w:p w:rsidR="002A6D47" w:rsidRPr="005B0931" w:rsidRDefault="00753C57" w:rsidP="008620BE">
      <w:pPr>
        <w:numPr>
          <w:ilvl w:val="0"/>
          <w:numId w:val="31"/>
        </w:numPr>
        <w:bidi w:val="0"/>
        <w:snapToGrid w:val="0"/>
        <w:ind w:left="0" w:firstLine="425"/>
        <w:contextualSpacing/>
        <w:jc w:val="both"/>
        <w:rPr>
          <w:rFonts w:eastAsia="Calibri"/>
          <w:sz w:val="20"/>
          <w:szCs w:val="20"/>
        </w:rPr>
      </w:pPr>
      <w:r w:rsidRPr="005B0931">
        <w:rPr>
          <w:rFonts w:eastAsia="Calibri"/>
          <w:sz w:val="20"/>
          <w:szCs w:val="20"/>
        </w:rPr>
        <w:t xml:space="preserve">The first group was significantly responding with MMSE mean value initially 21.7 and after 15 days was around 24.7 with an incline of </w:t>
      </w:r>
      <w:r w:rsidR="002A6D47" w:rsidRPr="005B0931">
        <w:rPr>
          <w:rFonts w:eastAsia="Calibri"/>
          <w:sz w:val="20"/>
          <w:szCs w:val="20"/>
        </w:rPr>
        <w:t>3.</w:t>
      </w:r>
    </w:p>
    <w:p w:rsidR="002A6D47" w:rsidRPr="005B0931" w:rsidRDefault="00753C57" w:rsidP="008620BE">
      <w:pPr>
        <w:numPr>
          <w:ilvl w:val="0"/>
          <w:numId w:val="31"/>
        </w:numPr>
        <w:bidi w:val="0"/>
        <w:snapToGrid w:val="0"/>
        <w:ind w:left="0" w:firstLine="425"/>
        <w:contextualSpacing/>
        <w:jc w:val="both"/>
        <w:rPr>
          <w:rFonts w:eastAsia="Calibri"/>
          <w:sz w:val="20"/>
          <w:szCs w:val="20"/>
        </w:rPr>
      </w:pPr>
      <w:r w:rsidRPr="005B0931">
        <w:rPr>
          <w:rFonts w:eastAsia="Calibri"/>
          <w:sz w:val="20"/>
          <w:szCs w:val="20"/>
        </w:rPr>
        <w:t>The second group was less significantly responding with MMSE mean value initially 14.5 and after 15 days was around 15.6 with an incline of 1.</w:t>
      </w:r>
      <w:r w:rsidR="002A6D47" w:rsidRPr="005B0931">
        <w:rPr>
          <w:rFonts w:eastAsia="Calibri"/>
          <w:sz w:val="20"/>
          <w:szCs w:val="20"/>
        </w:rPr>
        <w:t>1.</w:t>
      </w:r>
    </w:p>
    <w:p w:rsidR="002A6D47" w:rsidRPr="005B0931" w:rsidRDefault="00753C57" w:rsidP="008620BE">
      <w:pPr>
        <w:numPr>
          <w:ilvl w:val="0"/>
          <w:numId w:val="31"/>
        </w:numPr>
        <w:bidi w:val="0"/>
        <w:snapToGrid w:val="0"/>
        <w:ind w:left="0" w:firstLine="425"/>
        <w:contextualSpacing/>
        <w:jc w:val="both"/>
        <w:rPr>
          <w:rFonts w:eastAsia="Calibri"/>
          <w:sz w:val="20"/>
          <w:szCs w:val="20"/>
        </w:rPr>
      </w:pPr>
      <w:r w:rsidRPr="005B0931">
        <w:rPr>
          <w:rFonts w:eastAsia="Calibri"/>
          <w:sz w:val="20"/>
          <w:szCs w:val="20"/>
        </w:rPr>
        <w:lastRenderedPageBreak/>
        <w:t xml:space="preserve">The initial MMSE values were lower in the second group who presented with abnormal </w:t>
      </w:r>
      <w:proofErr w:type="spellStart"/>
      <w:r w:rsidRPr="005B0931">
        <w:rPr>
          <w:rFonts w:eastAsia="Calibri"/>
          <w:sz w:val="20"/>
          <w:szCs w:val="20"/>
        </w:rPr>
        <w:t>sonographic</w:t>
      </w:r>
      <w:proofErr w:type="spellEnd"/>
      <w:r w:rsidRPr="005B0931">
        <w:rPr>
          <w:rFonts w:eastAsia="Calibri"/>
          <w:sz w:val="20"/>
          <w:szCs w:val="20"/>
        </w:rPr>
        <w:t xml:space="preserve"> finding</w:t>
      </w:r>
      <w:r w:rsidR="002A6D47" w:rsidRPr="005B0931">
        <w:rPr>
          <w:rFonts w:eastAsia="Calibri"/>
          <w:sz w:val="20"/>
          <w:szCs w:val="20"/>
        </w:rPr>
        <w:t>s.</w:t>
      </w:r>
    </w:p>
    <w:p w:rsidR="002A6D47" w:rsidRPr="005B0931" w:rsidRDefault="00753C57" w:rsidP="002A6D47">
      <w:pPr>
        <w:bidi w:val="0"/>
        <w:snapToGrid w:val="0"/>
        <w:ind w:firstLine="425"/>
        <w:jc w:val="both"/>
        <w:rPr>
          <w:rFonts w:eastAsia="Calibri"/>
          <w:sz w:val="20"/>
          <w:szCs w:val="20"/>
        </w:rPr>
      </w:pPr>
      <w:r w:rsidRPr="005B0931">
        <w:rPr>
          <w:rFonts w:eastAsia="Calibri"/>
          <w:sz w:val="20"/>
          <w:szCs w:val="20"/>
        </w:rPr>
        <w:t xml:space="preserve">This supports that better prognosis could be predicted in the presence of normal </w:t>
      </w:r>
      <w:proofErr w:type="spellStart"/>
      <w:r w:rsidRPr="005B0931">
        <w:rPr>
          <w:rFonts w:eastAsia="Calibri"/>
          <w:sz w:val="20"/>
          <w:szCs w:val="20"/>
        </w:rPr>
        <w:t>sonographic</w:t>
      </w:r>
      <w:proofErr w:type="spellEnd"/>
      <w:r w:rsidRPr="005B0931">
        <w:rPr>
          <w:rFonts w:eastAsia="Calibri"/>
          <w:sz w:val="20"/>
          <w:szCs w:val="20"/>
        </w:rPr>
        <w:t xml:space="preserve"> finding</w:t>
      </w:r>
      <w:r w:rsidR="002A6D47" w:rsidRPr="005B0931">
        <w:rPr>
          <w:rFonts w:eastAsia="Calibri"/>
          <w:sz w:val="20"/>
          <w:szCs w:val="20"/>
        </w:rPr>
        <w:t>s.</w:t>
      </w:r>
    </w:p>
    <w:p w:rsidR="0062070F" w:rsidRPr="005B0931" w:rsidRDefault="00D91B14" w:rsidP="002A6D47">
      <w:pPr>
        <w:bidi w:val="0"/>
        <w:snapToGrid w:val="0"/>
        <w:ind w:firstLine="425"/>
        <w:jc w:val="both"/>
        <w:rPr>
          <w:rFonts w:eastAsia="Calibri"/>
          <w:sz w:val="20"/>
          <w:szCs w:val="20"/>
        </w:rPr>
      </w:pPr>
      <w:r w:rsidRPr="005B0931">
        <w:rPr>
          <w:rFonts w:eastAsia="Calibri"/>
          <w:sz w:val="20"/>
          <w:szCs w:val="20"/>
        </w:rPr>
        <w:t>Table (</w:t>
      </w:r>
      <w:r w:rsidR="006C67BF" w:rsidRPr="005B0931">
        <w:rPr>
          <w:rFonts w:eastAsia="Calibri"/>
          <w:sz w:val="20"/>
          <w:szCs w:val="20"/>
        </w:rPr>
        <w:t>6</w:t>
      </w:r>
      <w:r w:rsidRPr="005B0931">
        <w:rPr>
          <w:rFonts w:eastAsia="Calibri"/>
          <w:sz w:val="20"/>
          <w:szCs w:val="20"/>
        </w:rPr>
        <w:t xml:space="preserve">) </w:t>
      </w:r>
      <w:r w:rsidR="00753C57" w:rsidRPr="005B0931">
        <w:rPr>
          <w:rFonts w:eastAsia="Calibri"/>
          <w:sz w:val="20"/>
          <w:szCs w:val="20"/>
        </w:rPr>
        <w:t xml:space="preserve">Analysis of prognosis using (a) NIHSS values and (b) MMSE values in 23 patients with ischemic </w:t>
      </w:r>
      <w:proofErr w:type="spellStart"/>
      <w:r w:rsidR="00753C57" w:rsidRPr="005B0931">
        <w:rPr>
          <w:rFonts w:eastAsia="Calibri"/>
          <w:sz w:val="20"/>
          <w:szCs w:val="20"/>
        </w:rPr>
        <w:t>cerebrovascular</w:t>
      </w:r>
      <w:proofErr w:type="spellEnd"/>
      <w:r w:rsidR="00753C57" w:rsidRPr="005B0931">
        <w:rPr>
          <w:rFonts w:eastAsia="Calibri"/>
          <w:sz w:val="20"/>
          <w:szCs w:val="20"/>
        </w:rPr>
        <w:t xml:space="preserve"> stroke and IHD showing either normal or abnormal </w:t>
      </w:r>
      <w:proofErr w:type="spellStart"/>
      <w:r w:rsidR="00753C57" w:rsidRPr="005B0931">
        <w:rPr>
          <w:rFonts w:eastAsia="Calibri"/>
          <w:sz w:val="20"/>
          <w:szCs w:val="20"/>
        </w:rPr>
        <w:t>sonographic</w:t>
      </w:r>
      <w:proofErr w:type="spellEnd"/>
      <w:r w:rsidR="00753C57" w:rsidRPr="005B0931">
        <w:rPr>
          <w:rFonts w:eastAsia="Calibri"/>
          <w:sz w:val="20"/>
          <w:szCs w:val="20"/>
        </w:rPr>
        <w:t xml:space="preserve"> findings:</w:t>
      </w:r>
    </w:p>
    <w:p w:rsidR="0062070F" w:rsidRPr="005B0931" w:rsidRDefault="0062070F" w:rsidP="008620BE">
      <w:pPr>
        <w:bidi w:val="0"/>
        <w:snapToGrid w:val="0"/>
        <w:ind w:firstLine="425"/>
        <w:jc w:val="both"/>
        <w:rPr>
          <w:rFonts w:eastAsia="Calibri"/>
          <w:sz w:val="20"/>
          <w:szCs w:val="20"/>
        </w:rPr>
        <w:sectPr w:rsidR="0062070F" w:rsidRPr="005B0931" w:rsidSect="002A6D47">
          <w:type w:val="continuous"/>
          <w:pgSz w:w="12240" w:h="15840" w:code="1"/>
          <w:pgMar w:top="1440" w:right="1440" w:bottom="1440" w:left="1440" w:header="720" w:footer="720" w:gutter="0"/>
          <w:cols w:num="2" w:space="600"/>
          <w:docGrid w:linePitch="360"/>
        </w:sectPr>
      </w:pPr>
    </w:p>
    <w:p w:rsidR="002A6D47" w:rsidRDefault="002A6D47" w:rsidP="008620BE">
      <w:pPr>
        <w:bidi w:val="0"/>
        <w:snapToGrid w:val="0"/>
        <w:ind w:firstLine="425"/>
        <w:jc w:val="both"/>
        <w:rPr>
          <w:rFonts w:eastAsiaTheme="minorEastAsia" w:hint="eastAsia"/>
          <w:sz w:val="20"/>
          <w:szCs w:val="20"/>
          <w:lang w:eastAsia="zh-CN"/>
        </w:rPr>
      </w:pPr>
    </w:p>
    <w:p w:rsidR="005B0931" w:rsidRPr="005B0931" w:rsidRDefault="005B0931" w:rsidP="005B0931">
      <w:pPr>
        <w:bidi w:val="0"/>
        <w:snapToGrid w:val="0"/>
        <w:ind w:firstLine="425"/>
        <w:jc w:val="both"/>
        <w:rPr>
          <w:rFonts w:eastAsiaTheme="minorEastAsia"/>
          <w:sz w:val="20"/>
          <w:szCs w:val="20"/>
          <w:lang w:eastAsia="zh-CN"/>
        </w:rPr>
      </w:pPr>
    </w:p>
    <w:p w:rsidR="00753C57" w:rsidRPr="005B0931" w:rsidRDefault="002A6D47" w:rsidP="002A6D47">
      <w:pPr>
        <w:bidi w:val="0"/>
        <w:snapToGrid w:val="0"/>
        <w:ind w:firstLine="425"/>
        <w:jc w:val="both"/>
        <w:rPr>
          <w:rFonts w:eastAsia="Calibri"/>
          <w:sz w:val="20"/>
          <w:szCs w:val="20"/>
        </w:rPr>
      </w:pPr>
      <w:r w:rsidRPr="005B0931">
        <w:rPr>
          <w:rFonts w:eastAsia="Calibri"/>
          <w:sz w:val="20"/>
          <w:szCs w:val="20"/>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1"/>
        <w:gridCol w:w="1123"/>
        <w:gridCol w:w="1874"/>
        <w:gridCol w:w="296"/>
        <w:gridCol w:w="430"/>
        <w:gridCol w:w="430"/>
        <w:gridCol w:w="590"/>
        <w:gridCol w:w="590"/>
        <w:gridCol w:w="1003"/>
      </w:tblGrid>
      <w:tr w:rsidR="00957A59" w:rsidRPr="005B0931" w:rsidTr="002A6D47">
        <w:trPr>
          <w:jc w:val="center"/>
        </w:trPr>
        <w:tc>
          <w:tcPr>
            <w:tcW w:w="0" w:type="auto"/>
            <w:gridSpan w:val="2"/>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Group</w:t>
            </w:r>
          </w:p>
        </w:tc>
        <w:tc>
          <w:tcPr>
            <w:tcW w:w="0" w:type="auto"/>
            <w:vMerge w:val="restart"/>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Total Number Of Patients</w:t>
            </w:r>
          </w:p>
        </w:tc>
        <w:tc>
          <w:tcPr>
            <w:tcW w:w="0" w:type="auto"/>
            <w:gridSpan w:val="6"/>
            <w:shd w:val="clear" w:color="auto" w:fill="auto"/>
            <w:vAlign w:val="center"/>
          </w:tcPr>
          <w:p w:rsidR="00753C57" w:rsidRPr="005B0931" w:rsidRDefault="00531CD4" w:rsidP="002A6D47">
            <w:pPr>
              <w:bidi w:val="0"/>
              <w:snapToGrid w:val="0"/>
              <w:jc w:val="both"/>
              <w:rPr>
                <w:rFonts w:eastAsia="Calibri"/>
                <w:sz w:val="16"/>
                <w:szCs w:val="16"/>
              </w:rPr>
            </w:pPr>
            <w:proofErr w:type="spellStart"/>
            <w:r w:rsidRPr="005B0931">
              <w:rPr>
                <w:rFonts w:eastAsia="Calibri"/>
                <w:sz w:val="16"/>
                <w:szCs w:val="16"/>
              </w:rPr>
              <w:t>Nihss</w:t>
            </w:r>
            <w:proofErr w:type="spellEnd"/>
            <w:r w:rsidRPr="005B0931">
              <w:rPr>
                <w:rFonts w:eastAsia="Calibri"/>
                <w:sz w:val="16"/>
                <w:szCs w:val="16"/>
              </w:rPr>
              <w:t xml:space="preserve"> Value</w:t>
            </w:r>
          </w:p>
        </w:tc>
      </w:tr>
      <w:tr w:rsidR="00957A59" w:rsidRPr="005B0931" w:rsidTr="002A6D47">
        <w:trPr>
          <w:jc w:val="center"/>
        </w:trPr>
        <w:tc>
          <w:tcPr>
            <w:tcW w:w="0" w:type="auto"/>
            <w:gridSpan w:val="2"/>
            <w:vMerge/>
            <w:vAlign w:val="center"/>
          </w:tcPr>
          <w:p w:rsidR="00753C57" w:rsidRPr="005B0931" w:rsidRDefault="00753C57" w:rsidP="002A6D47">
            <w:pPr>
              <w:bidi w:val="0"/>
              <w:snapToGrid w:val="0"/>
              <w:jc w:val="both"/>
              <w:rPr>
                <w:rFonts w:eastAsia="Calibri"/>
                <w:sz w:val="16"/>
                <w:szCs w:val="16"/>
              </w:rPr>
            </w:pPr>
          </w:p>
        </w:tc>
        <w:tc>
          <w:tcPr>
            <w:tcW w:w="0" w:type="auto"/>
            <w:vMerge/>
            <w:shd w:val="clear" w:color="auto" w:fill="auto"/>
            <w:vAlign w:val="center"/>
          </w:tcPr>
          <w:p w:rsidR="00753C57" w:rsidRPr="005B0931" w:rsidRDefault="00753C57" w:rsidP="002A6D47">
            <w:pPr>
              <w:bidi w:val="0"/>
              <w:snapToGrid w:val="0"/>
              <w:jc w:val="both"/>
              <w:rPr>
                <w:rFonts w:eastAsia="Calibri"/>
                <w:sz w:val="16"/>
                <w:szCs w:val="16"/>
              </w:rPr>
            </w:pP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1-4</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5-9</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10-20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21-24</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Mean Value</w:t>
            </w:r>
          </w:p>
        </w:tc>
      </w:tr>
      <w:tr w:rsidR="00957A59" w:rsidRPr="005B0931" w:rsidTr="002A6D47">
        <w:trPr>
          <w:jc w:val="center"/>
        </w:trPr>
        <w:tc>
          <w:tcPr>
            <w:tcW w:w="0" w:type="auto"/>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 xml:space="preserve">Patients With </w:t>
            </w:r>
            <w:proofErr w:type="spellStart"/>
            <w:r w:rsidRPr="005B0931">
              <w:rPr>
                <w:rFonts w:eastAsia="Calibri"/>
                <w:sz w:val="16"/>
                <w:szCs w:val="16"/>
              </w:rPr>
              <w:t>Nomral</w:t>
            </w:r>
            <w:proofErr w:type="spellEnd"/>
            <w:r w:rsidRPr="005B0931">
              <w:rPr>
                <w:rFonts w:eastAsia="Calibri"/>
                <w:sz w:val="16"/>
                <w:szCs w:val="16"/>
              </w:rPr>
              <w:t xml:space="preserve">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Initial</w:t>
            </w:r>
          </w:p>
        </w:tc>
        <w:tc>
          <w:tcPr>
            <w:tcW w:w="0" w:type="auto"/>
            <w:vMerge w:val="restart"/>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6</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13.7</w:t>
            </w:r>
          </w:p>
        </w:tc>
      </w:tr>
      <w:tr w:rsidR="00957A59" w:rsidRPr="005B0931" w:rsidTr="002A6D47">
        <w:trPr>
          <w:jc w:val="center"/>
        </w:trPr>
        <w:tc>
          <w:tcPr>
            <w:tcW w:w="0" w:type="auto"/>
            <w:vMerge/>
            <w:vAlign w:val="center"/>
          </w:tcPr>
          <w:p w:rsidR="00753C57" w:rsidRPr="005B0931" w:rsidRDefault="00753C57" w:rsidP="002A6D47">
            <w:pPr>
              <w:bidi w:val="0"/>
              <w:snapToGrid w:val="0"/>
              <w:jc w:val="both"/>
              <w:rPr>
                <w:rFonts w:eastAsia="Calibri"/>
                <w:sz w:val="16"/>
                <w:szCs w:val="16"/>
              </w:rPr>
            </w:pP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After 15 Days</w:t>
            </w:r>
          </w:p>
        </w:tc>
        <w:tc>
          <w:tcPr>
            <w:tcW w:w="0" w:type="auto"/>
            <w:vMerge/>
            <w:shd w:val="clear" w:color="auto" w:fill="auto"/>
            <w:vAlign w:val="center"/>
          </w:tcPr>
          <w:p w:rsidR="00753C57" w:rsidRPr="005B0931" w:rsidRDefault="00753C57" w:rsidP="002A6D47">
            <w:pPr>
              <w:bidi w:val="0"/>
              <w:snapToGrid w:val="0"/>
              <w:jc w:val="both"/>
              <w:rPr>
                <w:rFonts w:eastAsia="Calibri"/>
                <w:sz w:val="16"/>
                <w:szCs w:val="16"/>
              </w:rPr>
            </w:pP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4</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11.2</w:t>
            </w:r>
          </w:p>
        </w:tc>
      </w:tr>
      <w:tr w:rsidR="00957A59" w:rsidRPr="005B0931" w:rsidTr="002A6D47">
        <w:trPr>
          <w:jc w:val="center"/>
        </w:trPr>
        <w:tc>
          <w:tcPr>
            <w:tcW w:w="0" w:type="auto"/>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 xml:space="preserve">Patients With Abnormal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Initial</w:t>
            </w:r>
          </w:p>
        </w:tc>
        <w:tc>
          <w:tcPr>
            <w:tcW w:w="0" w:type="auto"/>
            <w:vMerge w:val="restart"/>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17</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4</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17</w:t>
            </w:r>
          </w:p>
        </w:tc>
      </w:tr>
      <w:tr w:rsidR="00957A59" w:rsidRPr="005B0931" w:rsidTr="002A6D47">
        <w:trPr>
          <w:jc w:val="center"/>
        </w:trPr>
        <w:tc>
          <w:tcPr>
            <w:tcW w:w="0" w:type="auto"/>
            <w:vMerge/>
            <w:vAlign w:val="center"/>
          </w:tcPr>
          <w:p w:rsidR="00753C57" w:rsidRPr="005B0931" w:rsidRDefault="00753C57" w:rsidP="002A6D47">
            <w:pPr>
              <w:bidi w:val="0"/>
              <w:snapToGrid w:val="0"/>
              <w:jc w:val="both"/>
              <w:rPr>
                <w:rFonts w:eastAsia="Calibri"/>
                <w:sz w:val="16"/>
                <w:szCs w:val="16"/>
              </w:rPr>
            </w:pP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After 15 Days</w:t>
            </w:r>
          </w:p>
        </w:tc>
        <w:tc>
          <w:tcPr>
            <w:tcW w:w="0" w:type="auto"/>
            <w:vMerge/>
            <w:shd w:val="clear" w:color="auto" w:fill="auto"/>
            <w:vAlign w:val="center"/>
          </w:tcPr>
          <w:p w:rsidR="00753C57" w:rsidRPr="005B0931" w:rsidRDefault="00753C57" w:rsidP="002A6D47">
            <w:pPr>
              <w:bidi w:val="0"/>
              <w:snapToGrid w:val="0"/>
              <w:jc w:val="both"/>
              <w:rPr>
                <w:rFonts w:eastAsia="Calibri"/>
                <w:sz w:val="16"/>
                <w:szCs w:val="16"/>
              </w:rPr>
            </w:pP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6</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7</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15.5</w:t>
            </w:r>
          </w:p>
        </w:tc>
      </w:tr>
    </w:tbl>
    <w:p w:rsidR="0062070F" w:rsidRDefault="0062070F" w:rsidP="008620BE">
      <w:pPr>
        <w:bidi w:val="0"/>
        <w:snapToGrid w:val="0"/>
        <w:ind w:firstLine="425"/>
        <w:jc w:val="both"/>
        <w:rPr>
          <w:rFonts w:eastAsiaTheme="minorEastAsia" w:hint="eastAsia"/>
          <w:sz w:val="20"/>
          <w:szCs w:val="20"/>
          <w:lang w:eastAsia="zh-CN"/>
        </w:rPr>
      </w:pPr>
    </w:p>
    <w:p w:rsidR="005B0931" w:rsidRPr="005B0931" w:rsidRDefault="005B0931" w:rsidP="005B0931">
      <w:pPr>
        <w:bidi w:val="0"/>
        <w:snapToGrid w:val="0"/>
        <w:ind w:firstLine="425"/>
        <w:jc w:val="both"/>
        <w:rPr>
          <w:rFonts w:eastAsiaTheme="minorEastAsia" w:hint="eastAsia"/>
          <w:sz w:val="20"/>
          <w:szCs w:val="20"/>
          <w:lang w:eastAsia="zh-CN"/>
        </w:rPr>
      </w:pPr>
    </w:p>
    <w:p w:rsidR="0062070F" w:rsidRPr="005B0931" w:rsidRDefault="0062070F" w:rsidP="008620BE">
      <w:pPr>
        <w:bidi w:val="0"/>
        <w:snapToGrid w:val="0"/>
        <w:ind w:firstLine="425"/>
        <w:jc w:val="both"/>
        <w:rPr>
          <w:rFonts w:eastAsia="Calibri"/>
          <w:sz w:val="20"/>
          <w:szCs w:val="20"/>
        </w:rPr>
        <w:sectPr w:rsidR="0062070F" w:rsidRPr="005B0931" w:rsidSect="0062070F">
          <w:type w:val="continuous"/>
          <w:pgSz w:w="12240" w:h="15840" w:code="1"/>
          <w:pgMar w:top="1440" w:right="1440" w:bottom="1440" w:left="1440" w:header="720" w:footer="720" w:gutter="0"/>
          <w:cols w:space="720"/>
          <w:docGrid w:linePitch="360"/>
        </w:sectPr>
      </w:pPr>
    </w:p>
    <w:p w:rsidR="00753C57" w:rsidRPr="005B0931" w:rsidRDefault="00753C57" w:rsidP="008620BE">
      <w:pPr>
        <w:bidi w:val="0"/>
        <w:snapToGrid w:val="0"/>
        <w:ind w:firstLine="425"/>
        <w:jc w:val="both"/>
        <w:rPr>
          <w:rFonts w:eastAsia="Calibri"/>
          <w:sz w:val="20"/>
          <w:szCs w:val="20"/>
        </w:rPr>
      </w:pPr>
      <w:r w:rsidRPr="005B0931">
        <w:rPr>
          <w:rFonts w:eastAsia="Calibri"/>
          <w:sz w:val="20"/>
          <w:szCs w:val="20"/>
        </w:rPr>
        <w:lastRenderedPageBreak/>
        <w:t>From table (a)</w:t>
      </w:r>
    </w:p>
    <w:p w:rsidR="002A6D47" w:rsidRPr="005B0931" w:rsidRDefault="00753C57" w:rsidP="008620BE">
      <w:pPr>
        <w:numPr>
          <w:ilvl w:val="0"/>
          <w:numId w:val="26"/>
        </w:numPr>
        <w:bidi w:val="0"/>
        <w:snapToGrid w:val="0"/>
        <w:ind w:left="0" w:firstLine="425"/>
        <w:contextualSpacing/>
        <w:jc w:val="both"/>
        <w:rPr>
          <w:rFonts w:eastAsia="Calibri"/>
          <w:sz w:val="20"/>
          <w:szCs w:val="20"/>
        </w:rPr>
      </w:pPr>
      <w:r w:rsidRPr="005B0931">
        <w:rPr>
          <w:rFonts w:eastAsia="Calibri"/>
          <w:sz w:val="20"/>
          <w:szCs w:val="20"/>
        </w:rPr>
        <w:t>Definitive decline of NIHSS was seen in both group</w:t>
      </w:r>
      <w:r w:rsidR="002A6D47" w:rsidRPr="005B0931">
        <w:rPr>
          <w:rFonts w:eastAsia="Calibri"/>
          <w:sz w:val="20"/>
          <w:szCs w:val="20"/>
        </w:rPr>
        <w:t>s.</w:t>
      </w:r>
    </w:p>
    <w:p w:rsidR="002A6D47" w:rsidRPr="005B0931" w:rsidRDefault="00753C57" w:rsidP="008620BE">
      <w:pPr>
        <w:numPr>
          <w:ilvl w:val="0"/>
          <w:numId w:val="26"/>
        </w:numPr>
        <w:bidi w:val="0"/>
        <w:snapToGrid w:val="0"/>
        <w:ind w:left="0" w:firstLine="425"/>
        <w:contextualSpacing/>
        <w:jc w:val="both"/>
        <w:rPr>
          <w:rFonts w:eastAsia="Calibri"/>
          <w:sz w:val="20"/>
          <w:szCs w:val="20"/>
        </w:rPr>
      </w:pPr>
      <w:r w:rsidRPr="005B0931">
        <w:rPr>
          <w:rFonts w:eastAsia="Calibri"/>
          <w:sz w:val="20"/>
          <w:szCs w:val="20"/>
        </w:rPr>
        <w:t>The first group was significantly responding with NIHSS mean value initially 13.7 and after 15 days was around 11.2 with a decline of 2.</w:t>
      </w:r>
      <w:r w:rsidR="002A6D47" w:rsidRPr="005B0931">
        <w:rPr>
          <w:rFonts w:eastAsia="Calibri"/>
          <w:sz w:val="20"/>
          <w:szCs w:val="20"/>
        </w:rPr>
        <w:t>5.</w:t>
      </w:r>
    </w:p>
    <w:p w:rsidR="002A6D47" w:rsidRPr="005B0931" w:rsidRDefault="00753C57" w:rsidP="008620BE">
      <w:pPr>
        <w:numPr>
          <w:ilvl w:val="0"/>
          <w:numId w:val="26"/>
        </w:numPr>
        <w:bidi w:val="0"/>
        <w:snapToGrid w:val="0"/>
        <w:ind w:left="0" w:firstLine="425"/>
        <w:contextualSpacing/>
        <w:jc w:val="both"/>
        <w:rPr>
          <w:rFonts w:eastAsia="Calibri"/>
          <w:sz w:val="20"/>
          <w:szCs w:val="20"/>
        </w:rPr>
      </w:pPr>
      <w:r w:rsidRPr="005B0931">
        <w:rPr>
          <w:rFonts w:eastAsia="Calibri"/>
          <w:sz w:val="20"/>
          <w:szCs w:val="20"/>
        </w:rPr>
        <w:t>The second group was less significantly responding with NIHSS mean value initially 17 and after 15 days was</w:t>
      </w:r>
      <w:r w:rsidR="002A6D47" w:rsidRPr="005B0931">
        <w:rPr>
          <w:rFonts w:eastAsia="Calibri"/>
          <w:sz w:val="20"/>
          <w:szCs w:val="20"/>
        </w:rPr>
        <w:t xml:space="preserve"> </w:t>
      </w:r>
      <w:r w:rsidRPr="005B0931">
        <w:rPr>
          <w:rFonts w:eastAsia="Calibri"/>
          <w:sz w:val="20"/>
          <w:szCs w:val="20"/>
        </w:rPr>
        <w:t>around 15.5 with a decline of</w:t>
      </w:r>
      <w:r w:rsidR="002A6D47" w:rsidRPr="005B0931">
        <w:rPr>
          <w:rFonts w:eastAsia="Calibri"/>
          <w:sz w:val="20"/>
          <w:szCs w:val="20"/>
        </w:rPr>
        <w:t xml:space="preserve"> </w:t>
      </w:r>
      <w:r w:rsidRPr="005B0931">
        <w:rPr>
          <w:rFonts w:eastAsia="Calibri"/>
          <w:sz w:val="20"/>
          <w:szCs w:val="20"/>
        </w:rPr>
        <w:t>1.</w:t>
      </w:r>
      <w:r w:rsidR="002A6D47" w:rsidRPr="005B0931">
        <w:rPr>
          <w:rFonts w:eastAsia="Calibri"/>
          <w:sz w:val="20"/>
          <w:szCs w:val="20"/>
        </w:rPr>
        <w:t>5.</w:t>
      </w:r>
    </w:p>
    <w:p w:rsidR="002A6D47" w:rsidRPr="005B0931" w:rsidRDefault="00753C57" w:rsidP="008620BE">
      <w:pPr>
        <w:numPr>
          <w:ilvl w:val="0"/>
          <w:numId w:val="26"/>
        </w:numPr>
        <w:bidi w:val="0"/>
        <w:snapToGrid w:val="0"/>
        <w:ind w:left="0" w:firstLine="425"/>
        <w:contextualSpacing/>
        <w:jc w:val="both"/>
        <w:rPr>
          <w:rFonts w:eastAsia="Calibri"/>
          <w:sz w:val="20"/>
          <w:szCs w:val="20"/>
        </w:rPr>
      </w:pPr>
      <w:r w:rsidRPr="005B0931">
        <w:rPr>
          <w:rFonts w:eastAsia="Calibri"/>
          <w:sz w:val="20"/>
          <w:szCs w:val="20"/>
        </w:rPr>
        <w:lastRenderedPageBreak/>
        <w:t xml:space="preserve">The initial NIHSS values were higher in the second group who presented with abnormal </w:t>
      </w:r>
      <w:proofErr w:type="spellStart"/>
      <w:r w:rsidRPr="005B0931">
        <w:rPr>
          <w:rFonts w:eastAsia="Calibri"/>
          <w:sz w:val="20"/>
          <w:szCs w:val="20"/>
        </w:rPr>
        <w:t>sonographic</w:t>
      </w:r>
      <w:proofErr w:type="spellEnd"/>
      <w:r w:rsidRPr="005B0931">
        <w:rPr>
          <w:rFonts w:eastAsia="Calibri"/>
          <w:sz w:val="20"/>
          <w:szCs w:val="20"/>
        </w:rPr>
        <w:t xml:space="preserve"> finding</w:t>
      </w:r>
      <w:r w:rsidR="002A6D47" w:rsidRPr="005B0931">
        <w:rPr>
          <w:rFonts w:eastAsia="Calibri"/>
          <w:sz w:val="20"/>
          <w:szCs w:val="20"/>
        </w:rPr>
        <w:t>s.</w:t>
      </w:r>
    </w:p>
    <w:p w:rsidR="00D91B14" w:rsidRPr="005B0931" w:rsidRDefault="00753C57" w:rsidP="008620BE">
      <w:pPr>
        <w:bidi w:val="0"/>
        <w:snapToGrid w:val="0"/>
        <w:ind w:firstLine="425"/>
        <w:jc w:val="both"/>
        <w:rPr>
          <w:rFonts w:eastAsia="Calibri"/>
          <w:sz w:val="20"/>
          <w:szCs w:val="20"/>
        </w:rPr>
      </w:pPr>
      <w:r w:rsidRPr="005B0931">
        <w:rPr>
          <w:rFonts w:eastAsia="Calibri"/>
          <w:sz w:val="20"/>
          <w:szCs w:val="20"/>
        </w:rPr>
        <w:t xml:space="preserve">This supports that better prognosis could be predicted in the presence </w:t>
      </w:r>
      <w:r w:rsidR="00D91B14" w:rsidRPr="005B0931">
        <w:rPr>
          <w:rFonts w:eastAsia="Calibri"/>
          <w:sz w:val="20"/>
          <w:szCs w:val="20"/>
        </w:rPr>
        <w:t xml:space="preserve">of normal </w:t>
      </w:r>
      <w:proofErr w:type="spellStart"/>
      <w:r w:rsidR="00D91B14" w:rsidRPr="005B0931">
        <w:rPr>
          <w:rFonts w:eastAsia="Calibri"/>
          <w:sz w:val="20"/>
          <w:szCs w:val="20"/>
        </w:rPr>
        <w:t>sonographic</w:t>
      </w:r>
      <w:proofErr w:type="spellEnd"/>
      <w:r w:rsidR="00D91B14" w:rsidRPr="005B0931">
        <w:rPr>
          <w:rFonts w:eastAsia="Calibri"/>
          <w:sz w:val="20"/>
          <w:szCs w:val="20"/>
        </w:rPr>
        <w:t xml:space="preserve"> findings.</w:t>
      </w:r>
    </w:p>
    <w:p w:rsidR="0062070F" w:rsidRPr="005B0931" w:rsidRDefault="0062070F" w:rsidP="008620BE">
      <w:pPr>
        <w:bidi w:val="0"/>
        <w:snapToGrid w:val="0"/>
        <w:ind w:firstLine="425"/>
        <w:jc w:val="both"/>
        <w:rPr>
          <w:rFonts w:eastAsia="Calibri"/>
          <w:sz w:val="20"/>
          <w:szCs w:val="20"/>
        </w:rPr>
        <w:sectPr w:rsidR="0062070F" w:rsidRPr="005B0931" w:rsidSect="002A6D47">
          <w:type w:val="continuous"/>
          <w:pgSz w:w="12240" w:h="15840" w:code="1"/>
          <w:pgMar w:top="1440" w:right="1440" w:bottom="1440" w:left="1440" w:header="720" w:footer="720" w:gutter="0"/>
          <w:cols w:num="2" w:space="600"/>
          <w:docGrid w:linePitch="360"/>
        </w:sectPr>
      </w:pPr>
    </w:p>
    <w:p w:rsidR="002A6D47" w:rsidRDefault="002A6D47" w:rsidP="008620BE">
      <w:pPr>
        <w:bidi w:val="0"/>
        <w:snapToGrid w:val="0"/>
        <w:ind w:firstLine="425"/>
        <w:jc w:val="both"/>
        <w:rPr>
          <w:rFonts w:eastAsiaTheme="minorEastAsia" w:hint="eastAsia"/>
          <w:sz w:val="20"/>
          <w:szCs w:val="20"/>
          <w:lang w:eastAsia="zh-CN"/>
        </w:rPr>
      </w:pPr>
    </w:p>
    <w:p w:rsidR="005B0931" w:rsidRPr="005B0931" w:rsidRDefault="005B0931" w:rsidP="005B0931">
      <w:pPr>
        <w:bidi w:val="0"/>
        <w:snapToGrid w:val="0"/>
        <w:ind w:firstLine="425"/>
        <w:jc w:val="both"/>
        <w:rPr>
          <w:rFonts w:eastAsiaTheme="minorEastAsia"/>
          <w:sz w:val="20"/>
          <w:szCs w:val="20"/>
          <w:lang w:eastAsia="zh-CN"/>
        </w:rPr>
      </w:pPr>
    </w:p>
    <w:p w:rsidR="00753C57" w:rsidRPr="005B0931" w:rsidRDefault="00753C57" w:rsidP="002A6D47">
      <w:pPr>
        <w:bidi w:val="0"/>
        <w:snapToGrid w:val="0"/>
        <w:ind w:firstLine="425"/>
        <w:jc w:val="both"/>
        <w:rPr>
          <w:rFonts w:eastAsia="Calibri"/>
          <w:sz w:val="20"/>
          <w:szCs w:val="20"/>
        </w:rPr>
      </w:pPr>
      <w:r w:rsidRPr="005B0931">
        <w:rPr>
          <w:rFonts w:eastAsia="Calibri"/>
          <w:sz w:val="20"/>
          <w:szCs w:val="20"/>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1"/>
        <w:gridCol w:w="1123"/>
        <w:gridCol w:w="1874"/>
        <w:gridCol w:w="510"/>
        <w:gridCol w:w="590"/>
        <w:gridCol w:w="590"/>
        <w:gridCol w:w="590"/>
        <w:gridCol w:w="1003"/>
      </w:tblGrid>
      <w:tr w:rsidR="00957A59" w:rsidRPr="005B0931" w:rsidTr="002A6D47">
        <w:trPr>
          <w:jc w:val="center"/>
        </w:trPr>
        <w:tc>
          <w:tcPr>
            <w:tcW w:w="0" w:type="auto"/>
            <w:gridSpan w:val="2"/>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Group</w:t>
            </w:r>
          </w:p>
        </w:tc>
        <w:tc>
          <w:tcPr>
            <w:tcW w:w="0" w:type="auto"/>
            <w:vMerge w:val="restart"/>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Total Number Of Patients</w:t>
            </w:r>
          </w:p>
        </w:tc>
        <w:tc>
          <w:tcPr>
            <w:tcW w:w="0" w:type="auto"/>
            <w:gridSpan w:val="5"/>
            <w:shd w:val="clear" w:color="auto" w:fill="auto"/>
            <w:vAlign w:val="center"/>
          </w:tcPr>
          <w:p w:rsidR="00753C57" w:rsidRPr="005B0931" w:rsidRDefault="00531CD4" w:rsidP="002A6D47">
            <w:pPr>
              <w:bidi w:val="0"/>
              <w:snapToGrid w:val="0"/>
              <w:jc w:val="both"/>
              <w:rPr>
                <w:rFonts w:eastAsia="Calibri"/>
                <w:sz w:val="16"/>
                <w:szCs w:val="16"/>
              </w:rPr>
            </w:pPr>
            <w:proofErr w:type="spellStart"/>
            <w:r w:rsidRPr="005B0931">
              <w:rPr>
                <w:rFonts w:eastAsia="Calibri"/>
                <w:sz w:val="16"/>
                <w:szCs w:val="16"/>
              </w:rPr>
              <w:t>Mmse</w:t>
            </w:r>
            <w:proofErr w:type="spellEnd"/>
            <w:r w:rsidRPr="005B0931">
              <w:rPr>
                <w:rFonts w:eastAsia="Calibri"/>
                <w:sz w:val="16"/>
                <w:szCs w:val="16"/>
              </w:rPr>
              <w:t xml:space="preserve"> Value</w:t>
            </w:r>
          </w:p>
        </w:tc>
      </w:tr>
      <w:tr w:rsidR="00957A59" w:rsidRPr="005B0931" w:rsidTr="002A6D47">
        <w:trPr>
          <w:jc w:val="center"/>
        </w:trPr>
        <w:tc>
          <w:tcPr>
            <w:tcW w:w="0" w:type="auto"/>
            <w:gridSpan w:val="2"/>
            <w:vMerge/>
            <w:vAlign w:val="center"/>
          </w:tcPr>
          <w:p w:rsidR="00753C57" w:rsidRPr="005B0931" w:rsidRDefault="00753C57" w:rsidP="002A6D47">
            <w:pPr>
              <w:bidi w:val="0"/>
              <w:snapToGrid w:val="0"/>
              <w:jc w:val="both"/>
              <w:rPr>
                <w:rFonts w:eastAsia="Calibri"/>
                <w:sz w:val="16"/>
                <w:szCs w:val="16"/>
              </w:rPr>
            </w:pPr>
          </w:p>
        </w:tc>
        <w:tc>
          <w:tcPr>
            <w:tcW w:w="0" w:type="auto"/>
            <w:vMerge/>
            <w:shd w:val="clear" w:color="auto" w:fill="auto"/>
            <w:vAlign w:val="center"/>
          </w:tcPr>
          <w:p w:rsidR="00753C57" w:rsidRPr="005B0931" w:rsidRDefault="00753C57" w:rsidP="002A6D47">
            <w:pPr>
              <w:bidi w:val="0"/>
              <w:snapToGrid w:val="0"/>
              <w:jc w:val="both"/>
              <w:rPr>
                <w:rFonts w:eastAsia="Calibri"/>
                <w:sz w:val="16"/>
                <w:szCs w:val="16"/>
              </w:rPr>
            </w:pP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0-10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11-20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21-25</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26-30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Mean Value</w:t>
            </w:r>
          </w:p>
        </w:tc>
      </w:tr>
      <w:tr w:rsidR="00957A59" w:rsidRPr="005B0931" w:rsidTr="002A6D47">
        <w:trPr>
          <w:jc w:val="center"/>
        </w:trPr>
        <w:tc>
          <w:tcPr>
            <w:tcW w:w="0" w:type="auto"/>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 xml:space="preserve">Patients With </w:t>
            </w:r>
            <w:proofErr w:type="spellStart"/>
            <w:r w:rsidRPr="005B0931">
              <w:rPr>
                <w:rFonts w:eastAsia="Calibri"/>
                <w:sz w:val="16"/>
                <w:szCs w:val="16"/>
              </w:rPr>
              <w:t>Nomral</w:t>
            </w:r>
            <w:proofErr w:type="spellEnd"/>
            <w:r w:rsidRPr="005B0931">
              <w:rPr>
                <w:rFonts w:eastAsia="Calibri"/>
                <w:sz w:val="16"/>
                <w:szCs w:val="16"/>
              </w:rPr>
              <w:t xml:space="preserve">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Initial</w:t>
            </w:r>
          </w:p>
        </w:tc>
        <w:tc>
          <w:tcPr>
            <w:tcW w:w="0" w:type="auto"/>
            <w:vMerge w:val="restart"/>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6</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13.5</w:t>
            </w:r>
          </w:p>
        </w:tc>
      </w:tr>
      <w:tr w:rsidR="00957A59" w:rsidRPr="005B0931" w:rsidTr="002A6D47">
        <w:trPr>
          <w:jc w:val="center"/>
        </w:trPr>
        <w:tc>
          <w:tcPr>
            <w:tcW w:w="0" w:type="auto"/>
            <w:vMerge/>
            <w:vAlign w:val="center"/>
          </w:tcPr>
          <w:p w:rsidR="00753C57" w:rsidRPr="005B0931" w:rsidRDefault="00753C57" w:rsidP="002A6D47">
            <w:pPr>
              <w:bidi w:val="0"/>
              <w:snapToGrid w:val="0"/>
              <w:jc w:val="both"/>
              <w:rPr>
                <w:rFonts w:eastAsia="Calibri"/>
                <w:sz w:val="16"/>
                <w:szCs w:val="16"/>
              </w:rPr>
            </w:pP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After 15 Days</w:t>
            </w:r>
          </w:p>
        </w:tc>
        <w:tc>
          <w:tcPr>
            <w:tcW w:w="0" w:type="auto"/>
            <w:vMerge/>
            <w:shd w:val="clear" w:color="auto" w:fill="auto"/>
            <w:vAlign w:val="center"/>
          </w:tcPr>
          <w:p w:rsidR="00753C57" w:rsidRPr="005B0931" w:rsidRDefault="00753C57" w:rsidP="002A6D47">
            <w:pPr>
              <w:bidi w:val="0"/>
              <w:snapToGrid w:val="0"/>
              <w:jc w:val="both"/>
              <w:rPr>
                <w:rFonts w:eastAsia="Calibri"/>
                <w:sz w:val="16"/>
                <w:szCs w:val="16"/>
              </w:rPr>
            </w:pP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16.5</w:t>
            </w:r>
          </w:p>
        </w:tc>
      </w:tr>
      <w:tr w:rsidR="00957A59" w:rsidRPr="005B0931" w:rsidTr="002A6D47">
        <w:trPr>
          <w:jc w:val="center"/>
        </w:trPr>
        <w:tc>
          <w:tcPr>
            <w:tcW w:w="0" w:type="auto"/>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 xml:space="preserve">Patients With Abnormal </w:t>
            </w:r>
            <w:proofErr w:type="spellStart"/>
            <w:r w:rsidRPr="005B0931">
              <w:rPr>
                <w:rFonts w:eastAsia="Calibri"/>
                <w:sz w:val="16"/>
                <w:szCs w:val="16"/>
              </w:rPr>
              <w:t>Sonographic</w:t>
            </w:r>
            <w:proofErr w:type="spellEnd"/>
            <w:r w:rsidRPr="005B0931">
              <w:rPr>
                <w:rFonts w:eastAsia="Calibri"/>
                <w:sz w:val="16"/>
                <w:szCs w:val="16"/>
              </w:rPr>
              <w:t xml:space="preserve"> Findings</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Initial</w:t>
            </w:r>
          </w:p>
        </w:tc>
        <w:tc>
          <w:tcPr>
            <w:tcW w:w="0" w:type="auto"/>
            <w:vMerge w:val="restart"/>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17</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4</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11</w:t>
            </w:r>
          </w:p>
        </w:tc>
      </w:tr>
      <w:tr w:rsidR="00957A59" w:rsidRPr="005B0931" w:rsidTr="002A6D47">
        <w:trPr>
          <w:jc w:val="center"/>
        </w:trPr>
        <w:tc>
          <w:tcPr>
            <w:tcW w:w="0" w:type="auto"/>
            <w:vMerge/>
            <w:vAlign w:val="center"/>
          </w:tcPr>
          <w:p w:rsidR="00753C57" w:rsidRPr="005B0931" w:rsidRDefault="00753C57" w:rsidP="002A6D47">
            <w:pPr>
              <w:bidi w:val="0"/>
              <w:snapToGrid w:val="0"/>
              <w:jc w:val="both"/>
              <w:rPr>
                <w:rFonts w:eastAsia="Calibri"/>
                <w:sz w:val="16"/>
                <w:szCs w:val="16"/>
              </w:rPr>
            </w:pP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After 15 Days</w:t>
            </w:r>
          </w:p>
        </w:tc>
        <w:tc>
          <w:tcPr>
            <w:tcW w:w="0" w:type="auto"/>
            <w:vMerge/>
            <w:shd w:val="clear" w:color="auto" w:fill="auto"/>
            <w:vAlign w:val="center"/>
          </w:tcPr>
          <w:p w:rsidR="00753C57" w:rsidRPr="005B0931" w:rsidRDefault="00753C57" w:rsidP="002A6D47">
            <w:pPr>
              <w:bidi w:val="0"/>
              <w:snapToGrid w:val="0"/>
              <w:jc w:val="both"/>
              <w:rPr>
                <w:rFonts w:eastAsia="Calibri"/>
                <w:sz w:val="16"/>
                <w:szCs w:val="16"/>
              </w:rPr>
            </w:pP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11.6</w:t>
            </w:r>
          </w:p>
        </w:tc>
      </w:tr>
    </w:tbl>
    <w:p w:rsidR="0062070F" w:rsidRDefault="0062070F" w:rsidP="008620BE">
      <w:pPr>
        <w:bidi w:val="0"/>
        <w:snapToGrid w:val="0"/>
        <w:ind w:firstLine="425"/>
        <w:jc w:val="both"/>
        <w:rPr>
          <w:rFonts w:eastAsiaTheme="minorEastAsia" w:hint="eastAsia"/>
          <w:sz w:val="20"/>
          <w:szCs w:val="20"/>
          <w:lang w:eastAsia="zh-CN"/>
        </w:rPr>
      </w:pPr>
    </w:p>
    <w:p w:rsidR="005B0931" w:rsidRPr="005B0931" w:rsidRDefault="005B0931" w:rsidP="005B0931">
      <w:pPr>
        <w:bidi w:val="0"/>
        <w:snapToGrid w:val="0"/>
        <w:ind w:firstLine="425"/>
        <w:jc w:val="both"/>
        <w:rPr>
          <w:rFonts w:eastAsiaTheme="minorEastAsia" w:hint="eastAsia"/>
          <w:sz w:val="20"/>
          <w:szCs w:val="20"/>
          <w:lang w:eastAsia="zh-CN"/>
        </w:rPr>
      </w:pPr>
    </w:p>
    <w:p w:rsidR="0062070F" w:rsidRPr="005B0931" w:rsidRDefault="0062070F" w:rsidP="008620BE">
      <w:pPr>
        <w:bidi w:val="0"/>
        <w:snapToGrid w:val="0"/>
        <w:ind w:firstLine="425"/>
        <w:jc w:val="both"/>
        <w:rPr>
          <w:rFonts w:eastAsia="Calibri"/>
          <w:sz w:val="20"/>
          <w:szCs w:val="20"/>
        </w:rPr>
        <w:sectPr w:rsidR="0062070F" w:rsidRPr="005B0931" w:rsidSect="0062070F">
          <w:type w:val="continuous"/>
          <w:pgSz w:w="12240" w:h="15840" w:code="1"/>
          <w:pgMar w:top="1440" w:right="1440" w:bottom="1440" w:left="1440" w:header="720" w:footer="720" w:gutter="0"/>
          <w:cols w:space="720"/>
          <w:docGrid w:linePitch="360"/>
        </w:sectPr>
      </w:pPr>
    </w:p>
    <w:p w:rsidR="00753C57" w:rsidRPr="005B0931" w:rsidRDefault="00753C57" w:rsidP="008620BE">
      <w:pPr>
        <w:bidi w:val="0"/>
        <w:snapToGrid w:val="0"/>
        <w:ind w:firstLine="425"/>
        <w:jc w:val="both"/>
        <w:rPr>
          <w:rFonts w:eastAsia="Calibri"/>
          <w:sz w:val="20"/>
          <w:szCs w:val="20"/>
        </w:rPr>
      </w:pPr>
      <w:r w:rsidRPr="005B0931">
        <w:rPr>
          <w:rFonts w:eastAsia="Calibri"/>
          <w:sz w:val="20"/>
          <w:szCs w:val="20"/>
        </w:rPr>
        <w:lastRenderedPageBreak/>
        <w:t>From table (b)</w:t>
      </w:r>
    </w:p>
    <w:p w:rsidR="002A6D47" w:rsidRPr="005B0931" w:rsidRDefault="00753C57" w:rsidP="008620BE">
      <w:pPr>
        <w:numPr>
          <w:ilvl w:val="0"/>
          <w:numId w:val="27"/>
        </w:numPr>
        <w:bidi w:val="0"/>
        <w:snapToGrid w:val="0"/>
        <w:ind w:left="0" w:firstLine="425"/>
        <w:contextualSpacing/>
        <w:jc w:val="both"/>
        <w:rPr>
          <w:rFonts w:eastAsia="Calibri"/>
          <w:sz w:val="20"/>
          <w:szCs w:val="20"/>
        </w:rPr>
      </w:pPr>
      <w:r w:rsidRPr="005B0931">
        <w:rPr>
          <w:rFonts w:eastAsia="Calibri"/>
          <w:sz w:val="20"/>
          <w:szCs w:val="20"/>
        </w:rPr>
        <w:t>Definitive incline of MMSE is seen in both group</w:t>
      </w:r>
      <w:r w:rsidR="002A6D47" w:rsidRPr="005B0931">
        <w:rPr>
          <w:rFonts w:eastAsia="Calibri"/>
          <w:sz w:val="20"/>
          <w:szCs w:val="20"/>
        </w:rPr>
        <w:t>s.</w:t>
      </w:r>
    </w:p>
    <w:p w:rsidR="002A6D47" w:rsidRPr="005B0931" w:rsidRDefault="00753C57" w:rsidP="008620BE">
      <w:pPr>
        <w:numPr>
          <w:ilvl w:val="0"/>
          <w:numId w:val="27"/>
        </w:numPr>
        <w:bidi w:val="0"/>
        <w:snapToGrid w:val="0"/>
        <w:ind w:left="0" w:firstLine="425"/>
        <w:contextualSpacing/>
        <w:jc w:val="both"/>
        <w:rPr>
          <w:rFonts w:eastAsia="Calibri"/>
          <w:sz w:val="20"/>
          <w:szCs w:val="20"/>
        </w:rPr>
      </w:pPr>
      <w:r w:rsidRPr="005B0931">
        <w:rPr>
          <w:rFonts w:eastAsia="Calibri"/>
          <w:sz w:val="20"/>
          <w:szCs w:val="20"/>
        </w:rPr>
        <w:t xml:space="preserve">The first group was significantly responding with MMSE mean value initially 13.5 and after 15 days was around 16.5 with an incline of </w:t>
      </w:r>
      <w:r w:rsidR="002A6D47" w:rsidRPr="005B0931">
        <w:rPr>
          <w:rFonts w:eastAsia="Calibri"/>
          <w:sz w:val="20"/>
          <w:szCs w:val="20"/>
        </w:rPr>
        <w:t>3.</w:t>
      </w:r>
    </w:p>
    <w:p w:rsidR="002A6D47" w:rsidRPr="005B0931" w:rsidRDefault="00753C57" w:rsidP="008620BE">
      <w:pPr>
        <w:numPr>
          <w:ilvl w:val="0"/>
          <w:numId w:val="27"/>
        </w:numPr>
        <w:bidi w:val="0"/>
        <w:snapToGrid w:val="0"/>
        <w:ind w:left="0" w:firstLine="425"/>
        <w:contextualSpacing/>
        <w:jc w:val="both"/>
        <w:rPr>
          <w:rFonts w:eastAsia="Calibri"/>
          <w:sz w:val="20"/>
          <w:szCs w:val="20"/>
        </w:rPr>
      </w:pPr>
      <w:r w:rsidRPr="005B0931">
        <w:rPr>
          <w:rFonts w:eastAsia="Calibri"/>
          <w:sz w:val="20"/>
          <w:szCs w:val="20"/>
        </w:rPr>
        <w:t>The second group was</w:t>
      </w:r>
      <w:r w:rsidR="002A6D47" w:rsidRPr="005B0931">
        <w:rPr>
          <w:rFonts w:eastAsia="Calibri"/>
          <w:sz w:val="20"/>
          <w:szCs w:val="20"/>
        </w:rPr>
        <w:t xml:space="preserve"> </w:t>
      </w:r>
      <w:r w:rsidRPr="005B0931">
        <w:rPr>
          <w:rFonts w:eastAsia="Calibri"/>
          <w:sz w:val="20"/>
          <w:szCs w:val="20"/>
        </w:rPr>
        <w:t>less significantly responding with MMSE mean value initially 11 and after 15 days was around 11.6 with an incline of 1.</w:t>
      </w:r>
      <w:r w:rsidR="002A6D47" w:rsidRPr="005B0931">
        <w:rPr>
          <w:rFonts w:eastAsia="Calibri"/>
          <w:sz w:val="20"/>
          <w:szCs w:val="20"/>
        </w:rPr>
        <w:t>7.</w:t>
      </w:r>
    </w:p>
    <w:p w:rsidR="002A6D47" w:rsidRPr="005B0931" w:rsidRDefault="00753C57" w:rsidP="008620BE">
      <w:pPr>
        <w:numPr>
          <w:ilvl w:val="0"/>
          <w:numId w:val="27"/>
        </w:numPr>
        <w:bidi w:val="0"/>
        <w:snapToGrid w:val="0"/>
        <w:ind w:left="0" w:firstLine="425"/>
        <w:contextualSpacing/>
        <w:jc w:val="both"/>
        <w:rPr>
          <w:rFonts w:eastAsia="Calibri"/>
          <w:sz w:val="20"/>
          <w:szCs w:val="20"/>
        </w:rPr>
      </w:pPr>
      <w:r w:rsidRPr="005B0931">
        <w:rPr>
          <w:rFonts w:eastAsia="Calibri"/>
          <w:sz w:val="20"/>
          <w:szCs w:val="20"/>
        </w:rPr>
        <w:t xml:space="preserve">The initial MMSE values were lower in the second group who presented with abnormal </w:t>
      </w:r>
      <w:proofErr w:type="spellStart"/>
      <w:r w:rsidRPr="005B0931">
        <w:rPr>
          <w:rFonts w:eastAsia="Calibri"/>
          <w:sz w:val="20"/>
          <w:szCs w:val="20"/>
        </w:rPr>
        <w:t>sonographic</w:t>
      </w:r>
      <w:proofErr w:type="spellEnd"/>
      <w:r w:rsidRPr="005B0931">
        <w:rPr>
          <w:rFonts w:eastAsia="Calibri"/>
          <w:sz w:val="20"/>
          <w:szCs w:val="20"/>
        </w:rPr>
        <w:t xml:space="preserve"> finding</w:t>
      </w:r>
      <w:r w:rsidR="002A6D47" w:rsidRPr="005B0931">
        <w:rPr>
          <w:rFonts w:eastAsia="Calibri"/>
          <w:sz w:val="20"/>
          <w:szCs w:val="20"/>
        </w:rPr>
        <w:t>s.</w:t>
      </w:r>
    </w:p>
    <w:p w:rsidR="00753C57" w:rsidRPr="005B0931" w:rsidRDefault="00753C57" w:rsidP="002A6D47">
      <w:pPr>
        <w:bidi w:val="0"/>
        <w:snapToGrid w:val="0"/>
        <w:ind w:firstLine="425"/>
        <w:jc w:val="both"/>
        <w:rPr>
          <w:rFonts w:eastAsia="Calibri"/>
          <w:sz w:val="20"/>
          <w:szCs w:val="20"/>
        </w:rPr>
      </w:pPr>
      <w:r w:rsidRPr="005B0931">
        <w:rPr>
          <w:rFonts w:eastAsia="Calibri"/>
          <w:sz w:val="20"/>
          <w:szCs w:val="20"/>
        </w:rPr>
        <w:lastRenderedPageBreak/>
        <w:t xml:space="preserve">This supports that better prognosis could be predicted in the presence of normal </w:t>
      </w:r>
      <w:proofErr w:type="spellStart"/>
      <w:r w:rsidRPr="005B0931">
        <w:rPr>
          <w:rFonts w:eastAsia="Calibri"/>
          <w:sz w:val="20"/>
          <w:szCs w:val="20"/>
        </w:rPr>
        <w:t>sonographic</w:t>
      </w:r>
      <w:proofErr w:type="spellEnd"/>
      <w:r w:rsidRPr="005B0931">
        <w:rPr>
          <w:rFonts w:eastAsia="Calibri"/>
          <w:sz w:val="20"/>
          <w:szCs w:val="20"/>
        </w:rPr>
        <w:t xml:space="preserve"> findings.</w:t>
      </w:r>
    </w:p>
    <w:p w:rsidR="002A6D47" w:rsidRPr="005B0931" w:rsidRDefault="00753C57" w:rsidP="002A6D47">
      <w:pPr>
        <w:bidi w:val="0"/>
        <w:snapToGrid w:val="0"/>
        <w:ind w:firstLine="425"/>
        <w:jc w:val="both"/>
        <w:rPr>
          <w:rFonts w:eastAsia="Calibri"/>
          <w:sz w:val="20"/>
          <w:szCs w:val="20"/>
        </w:rPr>
      </w:pPr>
      <w:r w:rsidRPr="005B0931">
        <w:rPr>
          <w:rFonts w:eastAsia="Calibri"/>
          <w:sz w:val="20"/>
          <w:szCs w:val="20"/>
        </w:rPr>
        <w:t>Table (</w:t>
      </w:r>
      <w:r w:rsidR="006C67BF" w:rsidRPr="005B0931">
        <w:rPr>
          <w:rFonts w:eastAsia="Calibri"/>
          <w:sz w:val="20"/>
          <w:szCs w:val="20"/>
        </w:rPr>
        <w:t>7</w:t>
      </w:r>
      <w:r w:rsidR="002A6D47" w:rsidRPr="005B0931">
        <w:rPr>
          <w:rFonts w:eastAsia="Calibri"/>
          <w:sz w:val="20"/>
          <w:szCs w:val="20"/>
        </w:rPr>
        <w:t>) A</w:t>
      </w:r>
      <w:r w:rsidRPr="005B0931">
        <w:rPr>
          <w:rFonts w:eastAsia="Calibri"/>
          <w:sz w:val="20"/>
          <w:szCs w:val="20"/>
        </w:rPr>
        <w:t xml:space="preserve">nalysis of prognosis using (a) NIHSS values and (b) MMSE values in 27 patients with ischemic </w:t>
      </w:r>
      <w:proofErr w:type="spellStart"/>
      <w:r w:rsidRPr="005B0931">
        <w:rPr>
          <w:rFonts w:eastAsia="Calibri"/>
          <w:sz w:val="20"/>
          <w:szCs w:val="20"/>
        </w:rPr>
        <w:t>cerebrovascular</w:t>
      </w:r>
      <w:proofErr w:type="spellEnd"/>
      <w:r w:rsidRPr="005B0931">
        <w:rPr>
          <w:rFonts w:eastAsia="Calibri"/>
          <w:sz w:val="20"/>
          <w:szCs w:val="20"/>
        </w:rPr>
        <w:t xml:space="preserve"> stroke presenting with abnormal intracranial </w:t>
      </w:r>
      <w:proofErr w:type="spellStart"/>
      <w:r w:rsidRPr="005B0931">
        <w:rPr>
          <w:rFonts w:eastAsia="Calibri"/>
          <w:sz w:val="20"/>
          <w:szCs w:val="20"/>
        </w:rPr>
        <w:t>sonographic</w:t>
      </w:r>
      <w:proofErr w:type="spellEnd"/>
      <w:r w:rsidRPr="005B0931">
        <w:rPr>
          <w:rFonts w:eastAsia="Calibri"/>
          <w:sz w:val="20"/>
          <w:szCs w:val="20"/>
        </w:rPr>
        <w:t xml:space="preserve"> findings; terminal ICA </w:t>
      </w:r>
      <w:proofErr w:type="spellStart"/>
      <w:r w:rsidRPr="005B0931">
        <w:rPr>
          <w:rFonts w:eastAsia="Calibri"/>
          <w:sz w:val="20"/>
          <w:szCs w:val="20"/>
        </w:rPr>
        <w:t>stenosis</w:t>
      </w:r>
      <w:proofErr w:type="spellEnd"/>
      <w:r w:rsidRPr="005B0931">
        <w:rPr>
          <w:rFonts w:eastAsia="Calibri"/>
          <w:sz w:val="20"/>
          <w:szCs w:val="20"/>
        </w:rPr>
        <w:t xml:space="preserve">/occlusion, Proximal and Distal MCA </w:t>
      </w:r>
      <w:proofErr w:type="spellStart"/>
      <w:r w:rsidRPr="005B0931">
        <w:rPr>
          <w:rFonts w:eastAsia="Calibri"/>
          <w:sz w:val="20"/>
          <w:szCs w:val="20"/>
        </w:rPr>
        <w:t>stenosis</w:t>
      </w:r>
      <w:proofErr w:type="spellEnd"/>
      <w:r w:rsidRPr="005B0931">
        <w:rPr>
          <w:rFonts w:eastAsia="Calibri"/>
          <w:sz w:val="20"/>
          <w:szCs w:val="20"/>
        </w:rPr>
        <w:t>/occlusio</w:t>
      </w:r>
      <w:r w:rsidR="002A6D47" w:rsidRPr="005B0931">
        <w:rPr>
          <w:rFonts w:eastAsia="Calibri"/>
          <w:sz w:val="20"/>
          <w:szCs w:val="20"/>
        </w:rPr>
        <w:t>n.</w:t>
      </w:r>
    </w:p>
    <w:p w:rsidR="00D61A21" w:rsidRPr="005B0931" w:rsidRDefault="00D61A21" w:rsidP="008620BE">
      <w:pPr>
        <w:bidi w:val="0"/>
        <w:snapToGrid w:val="0"/>
        <w:ind w:firstLine="425"/>
        <w:jc w:val="both"/>
        <w:rPr>
          <w:rFonts w:eastAsia="Calibri"/>
          <w:sz w:val="20"/>
          <w:szCs w:val="20"/>
        </w:rPr>
        <w:sectPr w:rsidR="00D61A21" w:rsidRPr="005B0931" w:rsidSect="002A6D47">
          <w:type w:val="continuous"/>
          <w:pgSz w:w="12240" w:h="15840" w:code="1"/>
          <w:pgMar w:top="1440" w:right="1440" w:bottom="1440" w:left="1440" w:header="720" w:footer="720" w:gutter="0"/>
          <w:cols w:num="2" w:space="600"/>
          <w:docGrid w:linePitch="360"/>
        </w:sectPr>
      </w:pPr>
    </w:p>
    <w:p w:rsidR="002A6D47" w:rsidRPr="005B0931" w:rsidRDefault="002A6D47" w:rsidP="002A6D47">
      <w:pPr>
        <w:bidi w:val="0"/>
        <w:snapToGrid w:val="0"/>
        <w:jc w:val="both"/>
        <w:rPr>
          <w:rFonts w:eastAsiaTheme="minorEastAsia"/>
          <w:sz w:val="20"/>
          <w:szCs w:val="20"/>
          <w:lang w:eastAsia="zh-CN"/>
        </w:rPr>
      </w:pPr>
    </w:p>
    <w:p w:rsidR="005B0931" w:rsidRDefault="005B0931" w:rsidP="002A6D47">
      <w:pPr>
        <w:bidi w:val="0"/>
        <w:snapToGrid w:val="0"/>
        <w:jc w:val="both"/>
        <w:rPr>
          <w:rFonts w:eastAsiaTheme="minorEastAsia" w:hint="eastAsia"/>
          <w:sz w:val="20"/>
          <w:szCs w:val="20"/>
          <w:lang w:eastAsia="zh-CN"/>
        </w:rPr>
      </w:pPr>
    </w:p>
    <w:p w:rsidR="005B0931" w:rsidRDefault="005B0931" w:rsidP="005B0931">
      <w:pPr>
        <w:bidi w:val="0"/>
        <w:snapToGrid w:val="0"/>
        <w:jc w:val="both"/>
        <w:rPr>
          <w:rFonts w:eastAsiaTheme="minorEastAsia" w:hint="eastAsia"/>
          <w:sz w:val="20"/>
          <w:szCs w:val="20"/>
          <w:lang w:eastAsia="zh-CN"/>
        </w:rPr>
      </w:pPr>
    </w:p>
    <w:p w:rsidR="005B0931" w:rsidRDefault="005B0931" w:rsidP="005B0931">
      <w:pPr>
        <w:bidi w:val="0"/>
        <w:snapToGrid w:val="0"/>
        <w:jc w:val="both"/>
        <w:rPr>
          <w:rFonts w:eastAsiaTheme="minorEastAsia" w:hint="eastAsia"/>
          <w:sz w:val="20"/>
          <w:szCs w:val="20"/>
          <w:lang w:eastAsia="zh-CN"/>
        </w:rPr>
      </w:pPr>
    </w:p>
    <w:p w:rsidR="005B0931" w:rsidRDefault="005B0931" w:rsidP="005B0931">
      <w:pPr>
        <w:bidi w:val="0"/>
        <w:snapToGrid w:val="0"/>
        <w:jc w:val="both"/>
        <w:rPr>
          <w:rFonts w:eastAsiaTheme="minorEastAsia" w:hint="eastAsia"/>
          <w:sz w:val="20"/>
          <w:szCs w:val="20"/>
          <w:lang w:eastAsia="zh-CN"/>
        </w:rPr>
      </w:pPr>
    </w:p>
    <w:p w:rsidR="002A6D47" w:rsidRPr="005B0931" w:rsidRDefault="002A6D47" w:rsidP="005B0931">
      <w:pPr>
        <w:bidi w:val="0"/>
        <w:snapToGrid w:val="0"/>
        <w:jc w:val="both"/>
        <w:rPr>
          <w:sz w:val="20"/>
          <w:szCs w:val="20"/>
        </w:rPr>
      </w:pPr>
      <w:r w:rsidRPr="005B0931">
        <w:rPr>
          <w:rFonts w:eastAsia="Calibri"/>
          <w:sz w:val="20"/>
          <w:szCs w:val="20"/>
        </w:rPr>
        <w:t>Table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1589"/>
        <w:gridCol w:w="1858"/>
        <w:gridCol w:w="296"/>
        <w:gridCol w:w="429"/>
        <w:gridCol w:w="429"/>
        <w:gridCol w:w="588"/>
        <w:gridCol w:w="588"/>
        <w:gridCol w:w="997"/>
      </w:tblGrid>
      <w:tr w:rsidR="00957A59" w:rsidRPr="005B0931" w:rsidTr="002A6D47">
        <w:trPr>
          <w:jc w:val="center"/>
        </w:trPr>
        <w:tc>
          <w:tcPr>
            <w:tcW w:w="0" w:type="auto"/>
            <w:gridSpan w:val="2"/>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Group</w:t>
            </w:r>
          </w:p>
        </w:tc>
        <w:tc>
          <w:tcPr>
            <w:tcW w:w="0" w:type="auto"/>
            <w:vMerge w:val="restart"/>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Total Number Of Patients</w:t>
            </w:r>
          </w:p>
        </w:tc>
        <w:tc>
          <w:tcPr>
            <w:tcW w:w="0" w:type="auto"/>
            <w:gridSpan w:val="6"/>
            <w:shd w:val="clear" w:color="auto" w:fill="auto"/>
            <w:vAlign w:val="center"/>
          </w:tcPr>
          <w:p w:rsidR="00753C57" w:rsidRPr="005B0931" w:rsidRDefault="00531CD4" w:rsidP="002A6D47">
            <w:pPr>
              <w:bidi w:val="0"/>
              <w:snapToGrid w:val="0"/>
              <w:jc w:val="both"/>
              <w:rPr>
                <w:rFonts w:eastAsia="Calibri"/>
                <w:sz w:val="16"/>
                <w:szCs w:val="16"/>
              </w:rPr>
            </w:pPr>
            <w:proofErr w:type="spellStart"/>
            <w:r w:rsidRPr="005B0931">
              <w:rPr>
                <w:rFonts w:eastAsia="Calibri"/>
                <w:sz w:val="16"/>
                <w:szCs w:val="16"/>
              </w:rPr>
              <w:t>Nihss</w:t>
            </w:r>
            <w:proofErr w:type="spellEnd"/>
            <w:r w:rsidRPr="005B0931">
              <w:rPr>
                <w:rFonts w:eastAsia="Calibri"/>
                <w:sz w:val="16"/>
                <w:szCs w:val="16"/>
              </w:rPr>
              <w:t xml:space="preserve"> Value</w:t>
            </w:r>
          </w:p>
        </w:tc>
      </w:tr>
      <w:tr w:rsidR="00957A59" w:rsidRPr="005B0931" w:rsidTr="002A6D47">
        <w:trPr>
          <w:jc w:val="center"/>
        </w:trPr>
        <w:tc>
          <w:tcPr>
            <w:tcW w:w="0" w:type="auto"/>
            <w:gridSpan w:val="2"/>
            <w:vMerge/>
            <w:vAlign w:val="center"/>
          </w:tcPr>
          <w:p w:rsidR="00753C57" w:rsidRPr="005B0931" w:rsidRDefault="00753C57" w:rsidP="002A6D47">
            <w:pPr>
              <w:bidi w:val="0"/>
              <w:snapToGrid w:val="0"/>
              <w:jc w:val="both"/>
              <w:rPr>
                <w:rFonts w:eastAsia="Calibri"/>
                <w:sz w:val="16"/>
                <w:szCs w:val="16"/>
              </w:rPr>
            </w:pPr>
          </w:p>
        </w:tc>
        <w:tc>
          <w:tcPr>
            <w:tcW w:w="0" w:type="auto"/>
            <w:vMerge/>
            <w:shd w:val="clear" w:color="auto" w:fill="auto"/>
            <w:vAlign w:val="center"/>
          </w:tcPr>
          <w:p w:rsidR="00753C57" w:rsidRPr="005B0931" w:rsidRDefault="00753C57" w:rsidP="002A6D47">
            <w:pPr>
              <w:bidi w:val="0"/>
              <w:snapToGrid w:val="0"/>
              <w:jc w:val="both"/>
              <w:rPr>
                <w:rFonts w:eastAsia="Calibri"/>
                <w:sz w:val="16"/>
                <w:szCs w:val="16"/>
              </w:rPr>
            </w:pP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1-4</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5-9</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10-20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21-24</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Mean Value</w:t>
            </w:r>
          </w:p>
        </w:tc>
      </w:tr>
      <w:tr w:rsidR="00957A59" w:rsidRPr="005B0931" w:rsidTr="005B0931">
        <w:trPr>
          <w:jc w:val="center"/>
        </w:trPr>
        <w:tc>
          <w:tcPr>
            <w:tcW w:w="2802" w:type="dxa"/>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 xml:space="preserve">Patients With Terminal Ica </w:t>
            </w:r>
            <w:proofErr w:type="spellStart"/>
            <w:r w:rsidRPr="005B0931">
              <w:rPr>
                <w:rFonts w:eastAsia="Calibri"/>
                <w:sz w:val="16"/>
                <w:szCs w:val="16"/>
              </w:rPr>
              <w:t>Stenosis</w:t>
            </w:r>
            <w:proofErr w:type="spellEnd"/>
            <w:r w:rsidRPr="005B0931">
              <w:rPr>
                <w:rFonts w:eastAsia="Calibri"/>
                <w:sz w:val="16"/>
                <w:szCs w:val="16"/>
              </w:rPr>
              <w:t>/Occlusion</w:t>
            </w:r>
          </w:p>
        </w:tc>
        <w:tc>
          <w:tcPr>
            <w:tcW w:w="1589" w:type="dxa"/>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Initial</w:t>
            </w:r>
          </w:p>
        </w:tc>
        <w:tc>
          <w:tcPr>
            <w:tcW w:w="0" w:type="auto"/>
            <w:vMerge w:val="restart"/>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14</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6</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6</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17</w:t>
            </w:r>
          </w:p>
        </w:tc>
      </w:tr>
      <w:tr w:rsidR="00957A59" w:rsidRPr="005B0931" w:rsidTr="005B0931">
        <w:trPr>
          <w:jc w:val="center"/>
        </w:trPr>
        <w:tc>
          <w:tcPr>
            <w:tcW w:w="2802" w:type="dxa"/>
            <w:vMerge/>
            <w:vAlign w:val="center"/>
          </w:tcPr>
          <w:p w:rsidR="00753C57" w:rsidRPr="005B0931" w:rsidRDefault="00753C57" w:rsidP="002A6D47">
            <w:pPr>
              <w:bidi w:val="0"/>
              <w:snapToGrid w:val="0"/>
              <w:jc w:val="both"/>
              <w:rPr>
                <w:rFonts w:eastAsia="Calibri"/>
                <w:sz w:val="16"/>
                <w:szCs w:val="16"/>
              </w:rPr>
            </w:pPr>
          </w:p>
        </w:tc>
        <w:tc>
          <w:tcPr>
            <w:tcW w:w="1589" w:type="dxa"/>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After 15 Days</w:t>
            </w:r>
          </w:p>
        </w:tc>
        <w:tc>
          <w:tcPr>
            <w:tcW w:w="0" w:type="auto"/>
            <w:vMerge/>
            <w:shd w:val="clear" w:color="auto" w:fill="auto"/>
            <w:vAlign w:val="center"/>
          </w:tcPr>
          <w:p w:rsidR="00753C57" w:rsidRPr="005B0931" w:rsidRDefault="00753C57" w:rsidP="002A6D47">
            <w:pPr>
              <w:bidi w:val="0"/>
              <w:snapToGrid w:val="0"/>
              <w:jc w:val="both"/>
              <w:rPr>
                <w:rFonts w:eastAsia="Calibri"/>
                <w:sz w:val="16"/>
                <w:szCs w:val="16"/>
              </w:rPr>
            </w:pP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7</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4</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15.4</w:t>
            </w:r>
          </w:p>
        </w:tc>
      </w:tr>
      <w:tr w:rsidR="00957A59" w:rsidRPr="005B0931" w:rsidTr="005B0931">
        <w:trPr>
          <w:jc w:val="center"/>
        </w:trPr>
        <w:tc>
          <w:tcPr>
            <w:tcW w:w="2802" w:type="dxa"/>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 xml:space="preserve">Patients With Distal </w:t>
            </w:r>
            <w:proofErr w:type="spellStart"/>
            <w:r w:rsidRPr="005B0931">
              <w:rPr>
                <w:rFonts w:eastAsia="Calibri"/>
                <w:sz w:val="16"/>
                <w:szCs w:val="16"/>
              </w:rPr>
              <w:t>Mca</w:t>
            </w:r>
            <w:proofErr w:type="spellEnd"/>
            <w:r w:rsidRPr="005B0931">
              <w:rPr>
                <w:rFonts w:eastAsia="Calibri"/>
                <w:sz w:val="16"/>
                <w:szCs w:val="16"/>
              </w:rPr>
              <w:t xml:space="preserve"> Occlusion/</w:t>
            </w:r>
            <w:proofErr w:type="spellStart"/>
            <w:r w:rsidRPr="005B0931">
              <w:rPr>
                <w:rFonts w:eastAsia="Calibri"/>
                <w:sz w:val="16"/>
                <w:szCs w:val="16"/>
              </w:rPr>
              <w:t>Stenosis</w:t>
            </w:r>
            <w:proofErr w:type="spellEnd"/>
          </w:p>
        </w:tc>
        <w:tc>
          <w:tcPr>
            <w:tcW w:w="1589" w:type="dxa"/>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Initial</w:t>
            </w:r>
          </w:p>
        </w:tc>
        <w:tc>
          <w:tcPr>
            <w:tcW w:w="0" w:type="auto"/>
            <w:vMerge w:val="restart"/>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5</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12.4</w:t>
            </w:r>
          </w:p>
        </w:tc>
      </w:tr>
      <w:tr w:rsidR="00957A59" w:rsidRPr="005B0931" w:rsidTr="005B0931">
        <w:trPr>
          <w:jc w:val="center"/>
        </w:trPr>
        <w:tc>
          <w:tcPr>
            <w:tcW w:w="2802" w:type="dxa"/>
            <w:vMerge/>
            <w:vAlign w:val="center"/>
          </w:tcPr>
          <w:p w:rsidR="00753C57" w:rsidRPr="005B0931" w:rsidRDefault="00753C57" w:rsidP="002A6D47">
            <w:pPr>
              <w:bidi w:val="0"/>
              <w:snapToGrid w:val="0"/>
              <w:jc w:val="both"/>
              <w:rPr>
                <w:rFonts w:eastAsia="Calibri"/>
                <w:sz w:val="16"/>
                <w:szCs w:val="16"/>
              </w:rPr>
            </w:pPr>
          </w:p>
        </w:tc>
        <w:tc>
          <w:tcPr>
            <w:tcW w:w="1589" w:type="dxa"/>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After 15 Days</w:t>
            </w:r>
          </w:p>
        </w:tc>
        <w:tc>
          <w:tcPr>
            <w:tcW w:w="0" w:type="auto"/>
            <w:vMerge/>
            <w:shd w:val="clear" w:color="auto" w:fill="auto"/>
            <w:vAlign w:val="center"/>
          </w:tcPr>
          <w:p w:rsidR="00753C57" w:rsidRPr="005B0931" w:rsidRDefault="00753C57" w:rsidP="002A6D47">
            <w:pPr>
              <w:bidi w:val="0"/>
              <w:snapToGrid w:val="0"/>
              <w:jc w:val="both"/>
              <w:rPr>
                <w:rFonts w:eastAsia="Calibri"/>
                <w:sz w:val="16"/>
                <w:szCs w:val="16"/>
              </w:rPr>
            </w:pP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8.8</w:t>
            </w:r>
          </w:p>
        </w:tc>
      </w:tr>
      <w:tr w:rsidR="00957A59" w:rsidRPr="005B0931" w:rsidTr="005B0931">
        <w:trPr>
          <w:jc w:val="center"/>
        </w:trPr>
        <w:tc>
          <w:tcPr>
            <w:tcW w:w="2802" w:type="dxa"/>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 xml:space="preserve">Patients With Proximal </w:t>
            </w:r>
            <w:proofErr w:type="spellStart"/>
            <w:r w:rsidRPr="005B0931">
              <w:rPr>
                <w:rFonts w:eastAsia="Calibri"/>
                <w:sz w:val="16"/>
                <w:szCs w:val="16"/>
              </w:rPr>
              <w:t>Mca</w:t>
            </w:r>
            <w:proofErr w:type="spellEnd"/>
            <w:r w:rsidRPr="005B0931">
              <w:rPr>
                <w:rFonts w:eastAsia="Calibri"/>
                <w:sz w:val="16"/>
                <w:szCs w:val="16"/>
              </w:rPr>
              <w:t xml:space="preserve"> Occlusion/</w:t>
            </w:r>
            <w:proofErr w:type="spellStart"/>
            <w:r w:rsidRPr="005B0931">
              <w:rPr>
                <w:rFonts w:eastAsia="Calibri"/>
                <w:sz w:val="16"/>
                <w:szCs w:val="16"/>
              </w:rPr>
              <w:t>Stenosis</w:t>
            </w:r>
            <w:proofErr w:type="spellEnd"/>
          </w:p>
        </w:tc>
        <w:tc>
          <w:tcPr>
            <w:tcW w:w="1589" w:type="dxa"/>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Initial</w:t>
            </w:r>
          </w:p>
        </w:tc>
        <w:tc>
          <w:tcPr>
            <w:tcW w:w="0" w:type="auto"/>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8</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4</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15.6</w:t>
            </w:r>
          </w:p>
        </w:tc>
      </w:tr>
      <w:tr w:rsidR="00957A59" w:rsidRPr="005B0931" w:rsidTr="005B0931">
        <w:trPr>
          <w:jc w:val="center"/>
        </w:trPr>
        <w:tc>
          <w:tcPr>
            <w:tcW w:w="2802" w:type="dxa"/>
            <w:vMerge/>
            <w:vAlign w:val="center"/>
          </w:tcPr>
          <w:p w:rsidR="00753C57" w:rsidRPr="005B0931" w:rsidRDefault="00753C57" w:rsidP="002A6D47">
            <w:pPr>
              <w:bidi w:val="0"/>
              <w:snapToGrid w:val="0"/>
              <w:jc w:val="both"/>
              <w:rPr>
                <w:rFonts w:eastAsia="Calibri"/>
                <w:sz w:val="16"/>
                <w:szCs w:val="16"/>
              </w:rPr>
            </w:pPr>
          </w:p>
        </w:tc>
        <w:tc>
          <w:tcPr>
            <w:tcW w:w="1589" w:type="dxa"/>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After 15 Days</w:t>
            </w:r>
          </w:p>
        </w:tc>
        <w:tc>
          <w:tcPr>
            <w:tcW w:w="0" w:type="auto"/>
            <w:vMerge/>
            <w:vAlign w:val="center"/>
          </w:tcPr>
          <w:p w:rsidR="00753C57" w:rsidRPr="005B0931" w:rsidRDefault="00753C57" w:rsidP="002A6D47">
            <w:pPr>
              <w:bidi w:val="0"/>
              <w:snapToGrid w:val="0"/>
              <w:jc w:val="both"/>
              <w:rPr>
                <w:rFonts w:eastAsia="Calibri"/>
                <w:sz w:val="16"/>
                <w:szCs w:val="16"/>
              </w:rPr>
            </w:pP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14.3</w:t>
            </w:r>
          </w:p>
        </w:tc>
      </w:tr>
    </w:tbl>
    <w:p w:rsidR="0062070F" w:rsidRDefault="0062070F" w:rsidP="008620BE">
      <w:pPr>
        <w:bidi w:val="0"/>
        <w:snapToGrid w:val="0"/>
        <w:ind w:firstLine="425"/>
        <w:jc w:val="both"/>
        <w:rPr>
          <w:rFonts w:eastAsiaTheme="minorEastAsia" w:hint="eastAsia"/>
          <w:sz w:val="20"/>
          <w:szCs w:val="20"/>
          <w:lang w:eastAsia="zh-CN"/>
        </w:rPr>
      </w:pPr>
    </w:p>
    <w:p w:rsidR="005B0931" w:rsidRPr="005B0931" w:rsidRDefault="005B0931" w:rsidP="005B0931">
      <w:pPr>
        <w:bidi w:val="0"/>
        <w:snapToGrid w:val="0"/>
        <w:ind w:firstLine="425"/>
        <w:jc w:val="both"/>
        <w:rPr>
          <w:rFonts w:eastAsiaTheme="minorEastAsia" w:hint="eastAsia"/>
          <w:sz w:val="20"/>
          <w:szCs w:val="20"/>
          <w:lang w:eastAsia="zh-CN"/>
        </w:rPr>
      </w:pPr>
    </w:p>
    <w:p w:rsidR="0062070F" w:rsidRPr="005B0931" w:rsidRDefault="0062070F" w:rsidP="008620BE">
      <w:pPr>
        <w:bidi w:val="0"/>
        <w:snapToGrid w:val="0"/>
        <w:ind w:firstLine="425"/>
        <w:jc w:val="both"/>
        <w:rPr>
          <w:rFonts w:eastAsia="Calibri"/>
          <w:sz w:val="20"/>
          <w:szCs w:val="20"/>
        </w:rPr>
        <w:sectPr w:rsidR="0062070F" w:rsidRPr="005B0931" w:rsidSect="0062070F">
          <w:type w:val="continuous"/>
          <w:pgSz w:w="12240" w:h="15840" w:code="1"/>
          <w:pgMar w:top="1440" w:right="1440" w:bottom="1440" w:left="1440" w:header="720" w:footer="720" w:gutter="0"/>
          <w:cols w:space="720"/>
          <w:docGrid w:linePitch="360"/>
        </w:sectPr>
      </w:pPr>
    </w:p>
    <w:p w:rsidR="00753C57" w:rsidRPr="005B0931" w:rsidRDefault="00753C57" w:rsidP="008620BE">
      <w:pPr>
        <w:bidi w:val="0"/>
        <w:snapToGrid w:val="0"/>
        <w:ind w:firstLine="425"/>
        <w:jc w:val="both"/>
        <w:rPr>
          <w:rFonts w:eastAsia="Calibri"/>
          <w:sz w:val="20"/>
          <w:szCs w:val="20"/>
        </w:rPr>
      </w:pPr>
      <w:r w:rsidRPr="005B0931">
        <w:rPr>
          <w:rFonts w:eastAsia="Calibri"/>
          <w:sz w:val="20"/>
          <w:szCs w:val="20"/>
        </w:rPr>
        <w:lastRenderedPageBreak/>
        <w:t>From table (a)</w:t>
      </w:r>
    </w:p>
    <w:p w:rsidR="002A6D47" w:rsidRPr="005B0931" w:rsidRDefault="00753C57" w:rsidP="008620BE">
      <w:pPr>
        <w:numPr>
          <w:ilvl w:val="0"/>
          <w:numId w:val="28"/>
        </w:numPr>
        <w:bidi w:val="0"/>
        <w:snapToGrid w:val="0"/>
        <w:ind w:left="0" w:firstLine="425"/>
        <w:contextualSpacing/>
        <w:jc w:val="both"/>
        <w:rPr>
          <w:rFonts w:eastAsia="Calibri"/>
          <w:sz w:val="20"/>
          <w:szCs w:val="20"/>
        </w:rPr>
      </w:pPr>
      <w:r w:rsidRPr="005B0931">
        <w:rPr>
          <w:rFonts w:eastAsia="Calibri"/>
          <w:sz w:val="20"/>
          <w:szCs w:val="20"/>
        </w:rPr>
        <w:t xml:space="preserve">Patients with terminal ICA </w:t>
      </w:r>
      <w:proofErr w:type="spellStart"/>
      <w:r w:rsidRPr="005B0931">
        <w:rPr>
          <w:rFonts w:eastAsia="Calibri"/>
          <w:sz w:val="20"/>
          <w:szCs w:val="20"/>
        </w:rPr>
        <w:t>stenosis</w:t>
      </w:r>
      <w:proofErr w:type="spellEnd"/>
      <w:r w:rsidRPr="005B0931">
        <w:rPr>
          <w:rFonts w:eastAsia="Calibri"/>
          <w:sz w:val="20"/>
          <w:szCs w:val="20"/>
        </w:rPr>
        <w:t>/occlusion was less significantly responding with NIHSS mean value initially 17 and after 15 days was 15.4</w:t>
      </w:r>
      <w:r w:rsidR="002A6D47" w:rsidRPr="005B0931">
        <w:rPr>
          <w:rFonts w:eastAsia="Calibri"/>
          <w:sz w:val="20"/>
          <w:szCs w:val="20"/>
        </w:rPr>
        <w:t xml:space="preserve"> </w:t>
      </w:r>
      <w:r w:rsidRPr="005B0931">
        <w:rPr>
          <w:rFonts w:eastAsia="Calibri"/>
          <w:sz w:val="20"/>
          <w:szCs w:val="20"/>
        </w:rPr>
        <w:t>around</w:t>
      </w:r>
      <w:r w:rsidR="002A6D47" w:rsidRPr="005B0931">
        <w:rPr>
          <w:rFonts w:eastAsia="Calibri"/>
          <w:sz w:val="20"/>
          <w:szCs w:val="20"/>
        </w:rPr>
        <w:t xml:space="preserve"> </w:t>
      </w:r>
      <w:r w:rsidRPr="005B0931">
        <w:rPr>
          <w:rFonts w:eastAsia="Calibri"/>
          <w:sz w:val="20"/>
          <w:szCs w:val="20"/>
        </w:rPr>
        <w:t>with a decline of 1.</w:t>
      </w:r>
      <w:r w:rsidR="002A6D47" w:rsidRPr="005B0931">
        <w:rPr>
          <w:rFonts w:eastAsia="Calibri"/>
          <w:sz w:val="20"/>
          <w:szCs w:val="20"/>
        </w:rPr>
        <w:t>6.</w:t>
      </w:r>
    </w:p>
    <w:p w:rsidR="002A6D47" w:rsidRPr="005B0931" w:rsidRDefault="00753C57" w:rsidP="008620BE">
      <w:pPr>
        <w:numPr>
          <w:ilvl w:val="0"/>
          <w:numId w:val="28"/>
        </w:numPr>
        <w:bidi w:val="0"/>
        <w:snapToGrid w:val="0"/>
        <w:ind w:left="0" w:firstLine="425"/>
        <w:contextualSpacing/>
        <w:jc w:val="both"/>
        <w:rPr>
          <w:rFonts w:eastAsia="Calibri"/>
          <w:sz w:val="20"/>
          <w:szCs w:val="20"/>
        </w:rPr>
      </w:pPr>
      <w:r w:rsidRPr="005B0931">
        <w:rPr>
          <w:rFonts w:eastAsia="Calibri"/>
          <w:sz w:val="20"/>
          <w:szCs w:val="20"/>
        </w:rPr>
        <w:t>Patients with distal MCA occlusion/</w:t>
      </w:r>
      <w:proofErr w:type="spellStart"/>
      <w:r w:rsidRPr="005B0931">
        <w:rPr>
          <w:rFonts w:eastAsia="Calibri"/>
          <w:sz w:val="20"/>
          <w:szCs w:val="20"/>
        </w:rPr>
        <w:t>stenosis</w:t>
      </w:r>
      <w:proofErr w:type="spellEnd"/>
      <w:r w:rsidRPr="005B0931">
        <w:rPr>
          <w:rFonts w:eastAsia="Calibri"/>
          <w:sz w:val="20"/>
          <w:szCs w:val="20"/>
        </w:rPr>
        <w:t xml:space="preserve"> was significantly responding with NIHSS mean value initially 12.4 and after 15 days was around 9 with a decline of</w:t>
      </w:r>
      <w:r w:rsidR="002A6D47" w:rsidRPr="005B0931">
        <w:rPr>
          <w:rFonts w:eastAsia="Calibri"/>
          <w:sz w:val="20"/>
          <w:szCs w:val="20"/>
        </w:rPr>
        <w:t xml:space="preserve"> </w:t>
      </w:r>
      <w:r w:rsidRPr="005B0931">
        <w:rPr>
          <w:rFonts w:eastAsia="Calibri"/>
          <w:sz w:val="20"/>
          <w:szCs w:val="20"/>
        </w:rPr>
        <w:t>3.</w:t>
      </w:r>
      <w:r w:rsidR="002A6D47" w:rsidRPr="005B0931">
        <w:rPr>
          <w:rFonts w:eastAsia="Calibri"/>
          <w:sz w:val="20"/>
          <w:szCs w:val="20"/>
        </w:rPr>
        <w:t>4.</w:t>
      </w:r>
    </w:p>
    <w:p w:rsidR="002A6D47" w:rsidRPr="005B0931" w:rsidRDefault="00753C57" w:rsidP="008620BE">
      <w:pPr>
        <w:numPr>
          <w:ilvl w:val="0"/>
          <w:numId w:val="28"/>
        </w:numPr>
        <w:bidi w:val="0"/>
        <w:snapToGrid w:val="0"/>
        <w:ind w:left="0" w:firstLine="425"/>
        <w:contextualSpacing/>
        <w:jc w:val="both"/>
        <w:rPr>
          <w:rFonts w:eastAsia="Calibri"/>
          <w:sz w:val="20"/>
          <w:szCs w:val="20"/>
        </w:rPr>
      </w:pPr>
      <w:r w:rsidRPr="005B0931">
        <w:rPr>
          <w:rFonts w:eastAsia="Calibri"/>
          <w:sz w:val="20"/>
          <w:szCs w:val="20"/>
        </w:rPr>
        <w:lastRenderedPageBreak/>
        <w:t>Patients with proximal MCA occlusion/</w:t>
      </w:r>
      <w:proofErr w:type="spellStart"/>
      <w:r w:rsidRPr="005B0931">
        <w:rPr>
          <w:rFonts w:eastAsia="Calibri"/>
          <w:sz w:val="20"/>
          <w:szCs w:val="20"/>
        </w:rPr>
        <w:t>stenosis</w:t>
      </w:r>
      <w:proofErr w:type="spellEnd"/>
      <w:r w:rsidRPr="005B0931">
        <w:rPr>
          <w:rFonts w:eastAsia="Calibri"/>
          <w:sz w:val="20"/>
          <w:szCs w:val="20"/>
        </w:rPr>
        <w:t xml:space="preserve"> was less significantly responding with NIHSS mean value initially 15.6 and after 15 days was 14.3 around</w:t>
      </w:r>
      <w:r w:rsidR="002A6D47" w:rsidRPr="005B0931">
        <w:rPr>
          <w:rFonts w:eastAsia="Calibri"/>
          <w:sz w:val="20"/>
          <w:szCs w:val="20"/>
        </w:rPr>
        <w:t xml:space="preserve"> </w:t>
      </w:r>
      <w:r w:rsidRPr="005B0931">
        <w:rPr>
          <w:rFonts w:eastAsia="Calibri"/>
          <w:sz w:val="20"/>
          <w:szCs w:val="20"/>
        </w:rPr>
        <w:t>with a decline of 1.</w:t>
      </w:r>
      <w:r w:rsidR="002A6D47" w:rsidRPr="005B0931">
        <w:rPr>
          <w:rFonts w:eastAsia="Calibri"/>
          <w:sz w:val="20"/>
          <w:szCs w:val="20"/>
        </w:rPr>
        <w:t>3.</w:t>
      </w:r>
    </w:p>
    <w:p w:rsidR="00753C57" w:rsidRPr="005B0931" w:rsidRDefault="00753C57" w:rsidP="008620BE">
      <w:pPr>
        <w:bidi w:val="0"/>
        <w:snapToGrid w:val="0"/>
        <w:ind w:firstLine="425"/>
        <w:jc w:val="both"/>
        <w:rPr>
          <w:rFonts w:eastAsiaTheme="minorEastAsia"/>
          <w:sz w:val="20"/>
          <w:szCs w:val="20"/>
          <w:shd w:val="clear" w:color="auto" w:fill="FFFFFF"/>
          <w:lang w:eastAsia="zh-CN"/>
        </w:rPr>
      </w:pPr>
      <w:r w:rsidRPr="005B0931">
        <w:rPr>
          <w:rFonts w:eastAsia="Calibri"/>
          <w:sz w:val="20"/>
          <w:szCs w:val="20"/>
        </w:rPr>
        <w:t>This indicated that p</w:t>
      </w:r>
      <w:r w:rsidRPr="005B0931">
        <w:rPr>
          <w:rFonts w:eastAsia="Calibri"/>
          <w:sz w:val="20"/>
          <w:szCs w:val="20"/>
          <w:shd w:val="clear" w:color="auto" w:fill="FFFFFF"/>
        </w:rPr>
        <w:t>atients with distal middle cerebral artery (MCA) occlusion are likely to have a better outcome when compared to patients with proximal MCA occlusion and patients with terminal ICA occlusions.</w:t>
      </w:r>
    </w:p>
    <w:p w:rsidR="0062070F" w:rsidRPr="005B0931" w:rsidRDefault="0062070F" w:rsidP="008620BE">
      <w:pPr>
        <w:bidi w:val="0"/>
        <w:snapToGrid w:val="0"/>
        <w:ind w:firstLine="425"/>
        <w:jc w:val="both"/>
        <w:rPr>
          <w:rFonts w:eastAsia="Calibri"/>
          <w:sz w:val="20"/>
          <w:szCs w:val="20"/>
        </w:rPr>
        <w:sectPr w:rsidR="0062070F" w:rsidRPr="005B0931" w:rsidSect="002A6D47">
          <w:type w:val="continuous"/>
          <w:pgSz w:w="12240" w:h="15840" w:code="1"/>
          <w:pgMar w:top="1440" w:right="1440" w:bottom="1440" w:left="1440" w:header="720" w:footer="720" w:gutter="0"/>
          <w:cols w:num="2" w:space="600"/>
          <w:docGrid w:linePitch="360"/>
        </w:sectPr>
      </w:pPr>
    </w:p>
    <w:p w:rsidR="002A6D47" w:rsidRPr="005B0931" w:rsidRDefault="002A6D47" w:rsidP="008620BE">
      <w:pPr>
        <w:bidi w:val="0"/>
        <w:snapToGrid w:val="0"/>
        <w:ind w:firstLine="425"/>
        <w:jc w:val="both"/>
        <w:rPr>
          <w:rFonts w:eastAsiaTheme="minorEastAsia"/>
          <w:sz w:val="20"/>
          <w:szCs w:val="20"/>
          <w:lang w:eastAsia="zh-CN"/>
        </w:rPr>
      </w:pPr>
    </w:p>
    <w:p w:rsidR="005B0931" w:rsidRDefault="005B0931" w:rsidP="002A6D47">
      <w:pPr>
        <w:bidi w:val="0"/>
        <w:snapToGrid w:val="0"/>
        <w:ind w:firstLine="425"/>
        <w:jc w:val="both"/>
        <w:rPr>
          <w:rFonts w:eastAsiaTheme="minorEastAsia" w:hint="eastAsia"/>
          <w:sz w:val="20"/>
          <w:szCs w:val="20"/>
          <w:lang w:eastAsia="zh-CN"/>
        </w:rPr>
      </w:pPr>
    </w:p>
    <w:p w:rsidR="00753C57" w:rsidRPr="005B0931" w:rsidRDefault="00753C57" w:rsidP="005B0931">
      <w:pPr>
        <w:bidi w:val="0"/>
        <w:snapToGrid w:val="0"/>
        <w:ind w:firstLine="425"/>
        <w:jc w:val="both"/>
        <w:rPr>
          <w:rFonts w:eastAsia="Calibri"/>
          <w:sz w:val="20"/>
          <w:szCs w:val="20"/>
        </w:rPr>
      </w:pPr>
      <w:r w:rsidRPr="005B0931">
        <w:rPr>
          <w:rFonts w:eastAsia="Calibri"/>
          <w:sz w:val="20"/>
          <w:szCs w:val="20"/>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1618"/>
        <w:gridCol w:w="1873"/>
        <w:gridCol w:w="510"/>
        <w:gridCol w:w="590"/>
        <w:gridCol w:w="590"/>
        <w:gridCol w:w="590"/>
        <w:gridCol w:w="1003"/>
      </w:tblGrid>
      <w:tr w:rsidR="00957A59" w:rsidRPr="005B0931" w:rsidTr="002A6D47">
        <w:trPr>
          <w:jc w:val="center"/>
        </w:trPr>
        <w:tc>
          <w:tcPr>
            <w:tcW w:w="0" w:type="auto"/>
            <w:gridSpan w:val="2"/>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Group</w:t>
            </w:r>
          </w:p>
        </w:tc>
        <w:tc>
          <w:tcPr>
            <w:tcW w:w="0" w:type="auto"/>
            <w:vMerge w:val="restart"/>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Total Number Of Patients</w:t>
            </w:r>
          </w:p>
        </w:tc>
        <w:tc>
          <w:tcPr>
            <w:tcW w:w="0" w:type="auto"/>
            <w:gridSpan w:val="5"/>
            <w:shd w:val="clear" w:color="auto" w:fill="auto"/>
            <w:vAlign w:val="center"/>
          </w:tcPr>
          <w:p w:rsidR="00753C57" w:rsidRPr="005B0931" w:rsidRDefault="00531CD4" w:rsidP="002A6D47">
            <w:pPr>
              <w:bidi w:val="0"/>
              <w:snapToGrid w:val="0"/>
              <w:jc w:val="both"/>
              <w:rPr>
                <w:rFonts w:eastAsia="Calibri"/>
                <w:sz w:val="16"/>
                <w:szCs w:val="16"/>
              </w:rPr>
            </w:pPr>
            <w:proofErr w:type="spellStart"/>
            <w:r w:rsidRPr="005B0931">
              <w:rPr>
                <w:rFonts w:eastAsia="Calibri"/>
                <w:sz w:val="16"/>
                <w:szCs w:val="16"/>
              </w:rPr>
              <w:t>Mmse</w:t>
            </w:r>
            <w:proofErr w:type="spellEnd"/>
          </w:p>
        </w:tc>
      </w:tr>
      <w:tr w:rsidR="00957A59" w:rsidRPr="005B0931" w:rsidTr="002A6D47">
        <w:trPr>
          <w:jc w:val="center"/>
        </w:trPr>
        <w:tc>
          <w:tcPr>
            <w:tcW w:w="0" w:type="auto"/>
            <w:gridSpan w:val="2"/>
            <w:vMerge/>
            <w:vAlign w:val="center"/>
          </w:tcPr>
          <w:p w:rsidR="00753C57" w:rsidRPr="005B0931" w:rsidRDefault="00753C57" w:rsidP="002A6D47">
            <w:pPr>
              <w:bidi w:val="0"/>
              <w:snapToGrid w:val="0"/>
              <w:jc w:val="both"/>
              <w:rPr>
                <w:rFonts w:eastAsia="Calibri"/>
                <w:sz w:val="16"/>
                <w:szCs w:val="16"/>
              </w:rPr>
            </w:pPr>
          </w:p>
        </w:tc>
        <w:tc>
          <w:tcPr>
            <w:tcW w:w="0" w:type="auto"/>
            <w:vMerge/>
            <w:shd w:val="clear" w:color="auto" w:fill="auto"/>
            <w:vAlign w:val="center"/>
          </w:tcPr>
          <w:p w:rsidR="00753C57" w:rsidRPr="005B0931" w:rsidRDefault="00753C57" w:rsidP="002A6D47">
            <w:pPr>
              <w:bidi w:val="0"/>
              <w:snapToGrid w:val="0"/>
              <w:jc w:val="both"/>
              <w:rPr>
                <w:rFonts w:eastAsia="Calibri"/>
                <w:sz w:val="16"/>
                <w:szCs w:val="16"/>
              </w:rPr>
            </w:pP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0-10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11-20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21-25</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26-30</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Mean Value</w:t>
            </w:r>
          </w:p>
        </w:tc>
      </w:tr>
      <w:tr w:rsidR="00957A59" w:rsidRPr="005B0931" w:rsidTr="005B0931">
        <w:trPr>
          <w:jc w:val="center"/>
        </w:trPr>
        <w:tc>
          <w:tcPr>
            <w:tcW w:w="2802" w:type="dxa"/>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 xml:space="preserve">Patients With Terminal Ica </w:t>
            </w:r>
            <w:proofErr w:type="spellStart"/>
            <w:r w:rsidRPr="005B0931">
              <w:rPr>
                <w:rFonts w:eastAsia="Calibri"/>
                <w:sz w:val="16"/>
                <w:szCs w:val="16"/>
              </w:rPr>
              <w:t>Stenosis</w:t>
            </w:r>
            <w:proofErr w:type="spellEnd"/>
            <w:r w:rsidRPr="005B0931">
              <w:rPr>
                <w:rFonts w:eastAsia="Calibri"/>
                <w:sz w:val="16"/>
                <w:szCs w:val="16"/>
              </w:rPr>
              <w:t>/Occlusion</w:t>
            </w:r>
          </w:p>
        </w:tc>
        <w:tc>
          <w:tcPr>
            <w:tcW w:w="1618" w:type="dxa"/>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Initial</w:t>
            </w:r>
          </w:p>
        </w:tc>
        <w:tc>
          <w:tcPr>
            <w:tcW w:w="0" w:type="auto"/>
            <w:vMerge w:val="restart"/>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14</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6</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6</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12</w:t>
            </w:r>
          </w:p>
        </w:tc>
      </w:tr>
      <w:tr w:rsidR="00957A59" w:rsidRPr="005B0931" w:rsidTr="005B0931">
        <w:trPr>
          <w:jc w:val="center"/>
        </w:trPr>
        <w:tc>
          <w:tcPr>
            <w:tcW w:w="2802" w:type="dxa"/>
            <w:vMerge/>
            <w:vAlign w:val="center"/>
          </w:tcPr>
          <w:p w:rsidR="00753C57" w:rsidRPr="005B0931" w:rsidRDefault="00753C57" w:rsidP="002A6D47">
            <w:pPr>
              <w:bidi w:val="0"/>
              <w:snapToGrid w:val="0"/>
              <w:jc w:val="both"/>
              <w:rPr>
                <w:rFonts w:eastAsia="Calibri"/>
                <w:sz w:val="16"/>
                <w:szCs w:val="16"/>
              </w:rPr>
            </w:pPr>
          </w:p>
        </w:tc>
        <w:tc>
          <w:tcPr>
            <w:tcW w:w="1618" w:type="dxa"/>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After 15 Days</w:t>
            </w:r>
          </w:p>
        </w:tc>
        <w:tc>
          <w:tcPr>
            <w:tcW w:w="0" w:type="auto"/>
            <w:vMerge/>
            <w:shd w:val="clear" w:color="auto" w:fill="auto"/>
            <w:vAlign w:val="center"/>
          </w:tcPr>
          <w:p w:rsidR="00753C57" w:rsidRPr="005B0931" w:rsidRDefault="00753C57" w:rsidP="002A6D47">
            <w:pPr>
              <w:bidi w:val="0"/>
              <w:snapToGrid w:val="0"/>
              <w:jc w:val="both"/>
              <w:rPr>
                <w:rFonts w:eastAsia="Calibri"/>
                <w:sz w:val="16"/>
                <w:szCs w:val="16"/>
              </w:rPr>
            </w:pP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6</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6</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12.4</w:t>
            </w:r>
          </w:p>
        </w:tc>
      </w:tr>
      <w:tr w:rsidR="00957A59" w:rsidRPr="005B0931" w:rsidTr="005B0931">
        <w:trPr>
          <w:jc w:val="center"/>
        </w:trPr>
        <w:tc>
          <w:tcPr>
            <w:tcW w:w="2802" w:type="dxa"/>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 xml:space="preserve">Patients With Distal </w:t>
            </w:r>
            <w:proofErr w:type="spellStart"/>
            <w:r w:rsidRPr="005B0931">
              <w:rPr>
                <w:rFonts w:eastAsia="Calibri"/>
                <w:sz w:val="16"/>
                <w:szCs w:val="16"/>
              </w:rPr>
              <w:t>Mca</w:t>
            </w:r>
            <w:proofErr w:type="spellEnd"/>
            <w:r w:rsidRPr="005B0931">
              <w:rPr>
                <w:rFonts w:eastAsia="Calibri"/>
                <w:sz w:val="16"/>
                <w:szCs w:val="16"/>
              </w:rPr>
              <w:t xml:space="preserve"> Occlusion/</w:t>
            </w:r>
            <w:proofErr w:type="spellStart"/>
            <w:r w:rsidRPr="005B0931">
              <w:rPr>
                <w:rFonts w:eastAsia="Calibri"/>
                <w:sz w:val="16"/>
                <w:szCs w:val="16"/>
              </w:rPr>
              <w:t>Stenosis</w:t>
            </w:r>
            <w:proofErr w:type="spellEnd"/>
          </w:p>
        </w:tc>
        <w:tc>
          <w:tcPr>
            <w:tcW w:w="1618" w:type="dxa"/>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Initial</w:t>
            </w:r>
          </w:p>
        </w:tc>
        <w:tc>
          <w:tcPr>
            <w:tcW w:w="0" w:type="auto"/>
            <w:vMerge w:val="restart"/>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5</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3</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15.8</w:t>
            </w:r>
          </w:p>
        </w:tc>
      </w:tr>
      <w:tr w:rsidR="00957A59" w:rsidRPr="005B0931" w:rsidTr="005B0931">
        <w:trPr>
          <w:jc w:val="center"/>
        </w:trPr>
        <w:tc>
          <w:tcPr>
            <w:tcW w:w="2802" w:type="dxa"/>
            <w:vMerge/>
            <w:vAlign w:val="center"/>
          </w:tcPr>
          <w:p w:rsidR="00753C57" w:rsidRPr="005B0931" w:rsidRDefault="00753C57" w:rsidP="002A6D47">
            <w:pPr>
              <w:bidi w:val="0"/>
              <w:snapToGrid w:val="0"/>
              <w:jc w:val="both"/>
              <w:rPr>
                <w:rFonts w:eastAsia="Calibri"/>
                <w:sz w:val="16"/>
                <w:szCs w:val="16"/>
              </w:rPr>
            </w:pPr>
          </w:p>
        </w:tc>
        <w:tc>
          <w:tcPr>
            <w:tcW w:w="1618" w:type="dxa"/>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After 15 Days</w:t>
            </w:r>
          </w:p>
        </w:tc>
        <w:tc>
          <w:tcPr>
            <w:tcW w:w="0" w:type="auto"/>
            <w:vMerge/>
            <w:shd w:val="clear" w:color="auto" w:fill="auto"/>
            <w:vAlign w:val="center"/>
          </w:tcPr>
          <w:p w:rsidR="00753C57" w:rsidRPr="005B0931" w:rsidRDefault="00753C57" w:rsidP="002A6D47">
            <w:pPr>
              <w:bidi w:val="0"/>
              <w:snapToGrid w:val="0"/>
              <w:jc w:val="both"/>
              <w:rPr>
                <w:rFonts w:eastAsia="Calibri"/>
                <w:sz w:val="16"/>
                <w:szCs w:val="16"/>
              </w:rPr>
            </w:pP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shd w:val="clear" w:color="auto" w:fill="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17.8</w:t>
            </w:r>
          </w:p>
        </w:tc>
      </w:tr>
      <w:tr w:rsidR="00957A59" w:rsidRPr="005B0931" w:rsidTr="005B0931">
        <w:trPr>
          <w:jc w:val="center"/>
        </w:trPr>
        <w:tc>
          <w:tcPr>
            <w:tcW w:w="2802" w:type="dxa"/>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 xml:space="preserve">Patients With Proximal </w:t>
            </w:r>
            <w:proofErr w:type="spellStart"/>
            <w:r w:rsidRPr="005B0931">
              <w:rPr>
                <w:rFonts w:eastAsia="Calibri"/>
                <w:sz w:val="16"/>
                <w:szCs w:val="16"/>
              </w:rPr>
              <w:t>Mca</w:t>
            </w:r>
            <w:proofErr w:type="spellEnd"/>
            <w:r w:rsidRPr="005B0931">
              <w:rPr>
                <w:rFonts w:eastAsia="Calibri"/>
                <w:sz w:val="16"/>
                <w:szCs w:val="16"/>
              </w:rPr>
              <w:t xml:space="preserve"> Occlusion/</w:t>
            </w:r>
            <w:proofErr w:type="spellStart"/>
            <w:r w:rsidRPr="005B0931">
              <w:rPr>
                <w:rFonts w:eastAsia="Calibri"/>
                <w:sz w:val="16"/>
                <w:szCs w:val="16"/>
              </w:rPr>
              <w:t>Stenosis</w:t>
            </w:r>
            <w:proofErr w:type="spellEnd"/>
          </w:p>
        </w:tc>
        <w:tc>
          <w:tcPr>
            <w:tcW w:w="1618" w:type="dxa"/>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Initial</w:t>
            </w:r>
          </w:p>
        </w:tc>
        <w:tc>
          <w:tcPr>
            <w:tcW w:w="0" w:type="auto"/>
            <w:vMerge w:val="restart"/>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8</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5</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2</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10.8</w:t>
            </w:r>
          </w:p>
        </w:tc>
      </w:tr>
      <w:tr w:rsidR="00957A59" w:rsidRPr="005B0931" w:rsidTr="005B0931">
        <w:trPr>
          <w:jc w:val="center"/>
        </w:trPr>
        <w:tc>
          <w:tcPr>
            <w:tcW w:w="2802" w:type="dxa"/>
            <w:vMerge/>
            <w:vAlign w:val="center"/>
          </w:tcPr>
          <w:p w:rsidR="00753C57" w:rsidRPr="005B0931" w:rsidRDefault="00753C57" w:rsidP="002A6D47">
            <w:pPr>
              <w:bidi w:val="0"/>
              <w:snapToGrid w:val="0"/>
              <w:jc w:val="both"/>
              <w:rPr>
                <w:rFonts w:eastAsia="Calibri"/>
                <w:sz w:val="16"/>
                <w:szCs w:val="16"/>
              </w:rPr>
            </w:pPr>
          </w:p>
        </w:tc>
        <w:tc>
          <w:tcPr>
            <w:tcW w:w="1618" w:type="dxa"/>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After 15 Days</w:t>
            </w:r>
          </w:p>
        </w:tc>
        <w:tc>
          <w:tcPr>
            <w:tcW w:w="0" w:type="auto"/>
            <w:vMerge/>
            <w:vAlign w:val="center"/>
          </w:tcPr>
          <w:p w:rsidR="00753C57" w:rsidRPr="005B0931" w:rsidRDefault="00753C57" w:rsidP="002A6D47">
            <w:pPr>
              <w:bidi w:val="0"/>
              <w:snapToGrid w:val="0"/>
              <w:jc w:val="both"/>
              <w:rPr>
                <w:rFonts w:eastAsia="Calibri"/>
                <w:sz w:val="16"/>
                <w:szCs w:val="16"/>
              </w:rPr>
            </w:pP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5</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w:t>
            </w:r>
          </w:p>
        </w:tc>
        <w:tc>
          <w:tcPr>
            <w:tcW w:w="0" w:type="auto"/>
            <w:vAlign w:val="center"/>
          </w:tcPr>
          <w:p w:rsidR="00753C57" w:rsidRPr="005B0931" w:rsidRDefault="00531CD4" w:rsidP="002A6D47">
            <w:pPr>
              <w:bidi w:val="0"/>
              <w:snapToGrid w:val="0"/>
              <w:jc w:val="both"/>
              <w:rPr>
                <w:rFonts w:eastAsia="Calibri"/>
                <w:sz w:val="16"/>
                <w:szCs w:val="16"/>
              </w:rPr>
            </w:pPr>
            <w:r w:rsidRPr="005B0931">
              <w:rPr>
                <w:rFonts w:eastAsia="Calibri"/>
                <w:sz w:val="16"/>
                <w:szCs w:val="16"/>
              </w:rPr>
              <w:t>11.4</w:t>
            </w:r>
          </w:p>
        </w:tc>
      </w:tr>
    </w:tbl>
    <w:p w:rsidR="0062070F" w:rsidRDefault="0062070F" w:rsidP="008620BE">
      <w:pPr>
        <w:bidi w:val="0"/>
        <w:snapToGrid w:val="0"/>
        <w:ind w:firstLine="425"/>
        <w:jc w:val="both"/>
        <w:rPr>
          <w:rFonts w:eastAsiaTheme="minorEastAsia" w:hint="eastAsia"/>
          <w:sz w:val="20"/>
          <w:szCs w:val="20"/>
          <w:lang w:eastAsia="zh-CN"/>
        </w:rPr>
      </w:pPr>
    </w:p>
    <w:p w:rsidR="005B0931" w:rsidRPr="005B0931" w:rsidRDefault="005B0931" w:rsidP="005B0931">
      <w:pPr>
        <w:bidi w:val="0"/>
        <w:snapToGrid w:val="0"/>
        <w:ind w:firstLine="425"/>
        <w:jc w:val="both"/>
        <w:rPr>
          <w:rFonts w:eastAsiaTheme="minorEastAsia" w:hint="eastAsia"/>
          <w:sz w:val="20"/>
          <w:szCs w:val="20"/>
          <w:lang w:eastAsia="zh-CN"/>
        </w:rPr>
      </w:pPr>
    </w:p>
    <w:p w:rsidR="0062070F" w:rsidRPr="005B0931" w:rsidRDefault="0062070F" w:rsidP="008620BE">
      <w:pPr>
        <w:bidi w:val="0"/>
        <w:snapToGrid w:val="0"/>
        <w:ind w:firstLine="425"/>
        <w:jc w:val="both"/>
        <w:rPr>
          <w:rFonts w:eastAsia="Calibri"/>
          <w:sz w:val="20"/>
          <w:szCs w:val="20"/>
        </w:rPr>
        <w:sectPr w:rsidR="0062070F" w:rsidRPr="005B0931" w:rsidSect="0062070F">
          <w:type w:val="continuous"/>
          <w:pgSz w:w="12240" w:h="15840" w:code="1"/>
          <w:pgMar w:top="1440" w:right="1440" w:bottom="1440" w:left="1440" w:header="720" w:footer="720" w:gutter="0"/>
          <w:cols w:space="720"/>
          <w:docGrid w:linePitch="360"/>
        </w:sectPr>
      </w:pPr>
    </w:p>
    <w:p w:rsidR="00753C57" w:rsidRPr="005B0931" w:rsidRDefault="00753C57" w:rsidP="00D872DE">
      <w:pPr>
        <w:bidi w:val="0"/>
        <w:snapToGrid w:val="0"/>
        <w:ind w:firstLine="425"/>
        <w:jc w:val="both"/>
        <w:rPr>
          <w:rFonts w:eastAsia="Calibri"/>
          <w:sz w:val="20"/>
          <w:szCs w:val="20"/>
        </w:rPr>
      </w:pPr>
      <w:r w:rsidRPr="005B0931">
        <w:rPr>
          <w:rFonts w:eastAsia="Calibri"/>
          <w:sz w:val="20"/>
          <w:szCs w:val="20"/>
        </w:rPr>
        <w:lastRenderedPageBreak/>
        <w:t>From table (b)</w:t>
      </w:r>
    </w:p>
    <w:p w:rsidR="002A6D47" w:rsidRPr="005B0931" w:rsidRDefault="00753C57" w:rsidP="008620BE">
      <w:pPr>
        <w:numPr>
          <w:ilvl w:val="0"/>
          <w:numId w:val="29"/>
        </w:numPr>
        <w:bidi w:val="0"/>
        <w:snapToGrid w:val="0"/>
        <w:ind w:left="0" w:firstLine="425"/>
        <w:contextualSpacing/>
        <w:jc w:val="both"/>
        <w:rPr>
          <w:rFonts w:eastAsia="Calibri"/>
          <w:sz w:val="20"/>
          <w:szCs w:val="20"/>
        </w:rPr>
      </w:pPr>
      <w:r w:rsidRPr="005B0931">
        <w:rPr>
          <w:rFonts w:eastAsia="Calibri"/>
          <w:sz w:val="20"/>
          <w:szCs w:val="20"/>
        </w:rPr>
        <w:t>The first group was less significantly responding with MMSE mean value initially 12 and after 15 days was around 12.4 with an incline of 0.</w:t>
      </w:r>
      <w:r w:rsidR="002A6D47" w:rsidRPr="005B0931">
        <w:rPr>
          <w:rFonts w:eastAsia="Calibri"/>
          <w:sz w:val="20"/>
          <w:szCs w:val="20"/>
        </w:rPr>
        <w:t>4.</w:t>
      </w:r>
    </w:p>
    <w:p w:rsidR="002A6D47" w:rsidRPr="005B0931" w:rsidRDefault="00753C57" w:rsidP="008620BE">
      <w:pPr>
        <w:numPr>
          <w:ilvl w:val="0"/>
          <w:numId w:val="29"/>
        </w:numPr>
        <w:bidi w:val="0"/>
        <w:snapToGrid w:val="0"/>
        <w:ind w:left="0" w:firstLine="425"/>
        <w:contextualSpacing/>
        <w:jc w:val="both"/>
        <w:rPr>
          <w:rFonts w:eastAsia="Calibri"/>
          <w:sz w:val="20"/>
          <w:szCs w:val="20"/>
        </w:rPr>
      </w:pPr>
      <w:r w:rsidRPr="005B0931">
        <w:rPr>
          <w:rFonts w:eastAsia="Calibri"/>
          <w:sz w:val="20"/>
          <w:szCs w:val="20"/>
        </w:rPr>
        <w:t>The second group responding with MMSE mean value initially 15.8 and after 15 days was around 17.8 with an incline of</w:t>
      </w:r>
      <w:r w:rsidR="002A6D47" w:rsidRPr="005B0931">
        <w:rPr>
          <w:rFonts w:eastAsia="Calibri"/>
          <w:sz w:val="20"/>
          <w:szCs w:val="20"/>
        </w:rPr>
        <w:t xml:space="preserve"> 2.</w:t>
      </w:r>
    </w:p>
    <w:p w:rsidR="002A6D47" w:rsidRPr="005B0931" w:rsidRDefault="00753C57" w:rsidP="008620BE">
      <w:pPr>
        <w:numPr>
          <w:ilvl w:val="0"/>
          <w:numId w:val="29"/>
        </w:numPr>
        <w:bidi w:val="0"/>
        <w:snapToGrid w:val="0"/>
        <w:ind w:left="0" w:firstLine="425"/>
        <w:contextualSpacing/>
        <w:jc w:val="both"/>
        <w:rPr>
          <w:rFonts w:eastAsia="Calibri"/>
          <w:sz w:val="20"/>
          <w:szCs w:val="20"/>
        </w:rPr>
      </w:pPr>
      <w:r w:rsidRPr="005B0931">
        <w:rPr>
          <w:rFonts w:eastAsia="Calibri"/>
          <w:sz w:val="20"/>
          <w:szCs w:val="20"/>
        </w:rPr>
        <w:t>The third group responding with MMSE mean value initially 10.8 and after 15 days was around 11.4 with an incline of</w:t>
      </w:r>
      <w:r w:rsidR="002A6D47" w:rsidRPr="005B0931">
        <w:rPr>
          <w:rFonts w:eastAsia="Calibri"/>
          <w:sz w:val="20"/>
          <w:szCs w:val="20"/>
        </w:rPr>
        <w:t xml:space="preserve"> </w:t>
      </w:r>
      <w:r w:rsidRPr="005B0931">
        <w:rPr>
          <w:rFonts w:eastAsia="Calibri"/>
          <w:sz w:val="20"/>
          <w:szCs w:val="20"/>
        </w:rPr>
        <w:t>0.</w:t>
      </w:r>
      <w:r w:rsidR="002A6D47" w:rsidRPr="005B0931">
        <w:rPr>
          <w:rFonts w:eastAsia="Calibri"/>
          <w:sz w:val="20"/>
          <w:szCs w:val="20"/>
        </w:rPr>
        <w:t>6.</w:t>
      </w:r>
    </w:p>
    <w:p w:rsidR="00B47A84" w:rsidRPr="005B0931" w:rsidRDefault="00753C57" w:rsidP="008620BE">
      <w:pPr>
        <w:bidi w:val="0"/>
        <w:snapToGrid w:val="0"/>
        <w:ind w:firstLine="425"/>
        <w:jc w:val="both"/>
        <w:rPr>
          <w:rFonts w:eastAsia="Calibri"/>
          <w:sz w:val="20"/>
          <w:szCs w:val="20"/>
        </w:rPr>
      </w:pPr>
      <w:r w:rsidRPr="005B0931">
        <w:rPr>
          <w:rFonts w:eastAsia="Calibri"/>
          <w:sz w:val="20"/>
          <w:szCs w:val="20"/>
        </w:rPr>
        <w:t xml:space="preserve">This indicated that </w:t>
      </w:r>
      <w:r w:rsidRPr="005B0931">
        <w:rPr>
          <w:rFonts w:eastAsia="Calibri"/>
          <w:sz w:val="20"/>
          <w:szCs w:val="20"/>
          <w:shd w:val="clear" w:color="auto" w:fill="FFFFFF"/>
        </w:rPr>
        <w:t>Patients with distal middle cerebral artery (MCA) occlusion are likely to have a better outcome when compared to patients with proximal MCA occlusion and patients with terminal ICA occlusion.</w:t>
      </w:r>
    </w:p>
    <w:p w:rsidR="00D61A21" w:rsidRPr="005B0931" w:rsidRDefault="00D61A21" w:rsidP="008620BE">
      <w:pPr>
        <w:bidi w:val="0"/>
        <w:snapToGrid w:val="0"/>
        <w:jc w:val="both"/>
        <w:rPr>
          <w:b/>
          <w:bCs/>
          <w:sz w:val="20"/>
          <w:szCs w:val="20"/>
          <w:lang w:bidi="ar-EG"/>
        </w:rPr>
      </w:pPr>
    </w:p>
    <w:p w:rsidR="007C4FF3" w:rsidRPr="005B0931" w:rsidRDefault="00D61A21" w:rsidP="008620BE">
      <w:pPr>
        <w:bidi w:val="0"/>
        <w:snapToGrid w:val="0"/>
        <w:jc w:val="both"/>
        <w:rPr>
          <w:b/>
          <w:bCs/>
          <w:sz w:val="20"/>
          <w:szCs w:val="20"/>
          <w:lang w:bidi="ar-EG"/>
        </w:rPr>
      </w:pPr>
      <w:r w:rsidRPr="005B0931">
        <w:rPr>
          <w:b/>
          <w:bCs/>
          <w:sz w:val="20"/>
          <w:szCs w:val="20"/>
          <w:lang w:bidi="ar-EG"/>
        </w:rPr>
        <w:t xml:space="preserve">4. </w:t>
      </w:r>
      <w:r w:rsidR="007C4FF3" w:rsidRPr="005B0931">
        <w:rPr>
          <w:b/>
          <w:bCs/>
          <w:sz w:val="20"/>
          <w:szCs w:val="20"/>
          <w:lang w:bidi="ar-EG"/>
        </w:rPr>
        <w:t>Discussion</w:t>
      </w:r>
    </w:p>
    <w:p w:rsidR="00E97A70" w:rsidRPr="005B0931" w:rsidRDefault="00E97A70" w:rsidP="008620BE">
      <w:pPr>
        <w:bidi w:val="0"/>
        <w:snapToGrid w:val="0"/>
        <w:ind w:firstLine="425"/>
        <w:jc w:val="both"/>
        <w:rPr>
          <w:rFonts w:eastAsia="Calibri"/>
          <w:sz w:val="20"/>
          <w:szCs w:val="20"/>
        </w:rPr>
      </w:pPr>
      <w:r w:rsidRPr="005B0931">
        <w:rPr>
          <w:rFonts w:eastAsia="Calibri"/>
          <w:sz w:val="20"/>
          <w:szCs w:val="20"/>
        </w:rPr>
        <w:t xml:space="preserve">In this study analysis of prognosis using mean NIHSS values and mean MMSE values in 39 male patients and 21 female patients with ischemic </w:t>
      </w:r>
      <w:proofErr w:type="spellStart"/>
      <w:r w:rsidRPr="005B0931">
        <w:rPr>
          <w:rFonts w:eastAsia="Calibri"/>
          <w:sz w:val="20"/>
          <w:szCs w:val="20"/>
        </w:rPr>
        <w:t>cerebrovascular</w:t>
      </w:r>
      <w:proofErr w:type="spellEnd"/>
      <w:r w:rsidRPr="005B0931">
        <w:rPr>
          <w:rFonts w:eastAsia="Calibri"/>
          <w:sz w:val="20"/>
          <w:szCs w:val="20"/>
        </w:rPr>
        <w:t xml:space="preserve"> stroke support that better prognosis could be predicted if the initial </w:t>
      </w:r>
      <w:proofErr w:type="spellStart"/>
      <w:r w:rsidRPr="005B0931">
        <w:rPr>
          <w:rFonts w:eastAsia="Calibri"/>
          <w:sz w:val="20"/>
          <w:szCs w:val="20"/>
        </w:rPr>
        <w:t>sonographic</w:t>
      </w:r>
      <w:proofErr w:type="spellEnd"/>
      <w:r w:rsidRPr="005B0931">
        <w:rPr>
          <w:rFonts w:eastAsia="Calibri"/>
          <w:sz w:val="20"/>
          <w:szCs w:val="20"/>
        </w:rPr>
        <w:t xml:space="preserve"> findings are normal, we found a higher stroke incidence in </w:t>
      </w:r>
      <w:r w:rsidRPr="005B0931">
        <w:rPr>
          <w:rFonts w:eastAsia="Calibri"/>
          <w:sz w:val="20"/>
          <w:szCs w:val="20"/>
        </w:rPr>
        <w:lastRenderedPageBreak/>
        <w:t>males over females in the three age groups which is consistent with the Oxford Vascular Study that showed lower ischemic stroke incidence for women than men aged 55–74 years (4)</w:t>
      </w:r>
      <w:r w:rsidR="002A6D47" w:rsidRPr="005B0931">
        <w:rPr>
          <w:rFonts w:eastAsia="Calibri"/>
          <w:sz w:val="20"/>
          <w:szCs w:val="20"/>
        </w:rPr>
        <w:t>. W</w:t>
      </w:r>
      <w:r w:rsidRPr="005B0931">
        <w:rPr>
          <w:rFonts w:eastAsia="Calibri"/>
          <w:sz w:val="20"/>
          <w:szCs w:val="20"/>
        </w:rPr>
        <w:t>e also found that male patients have a better outcome when compared to female patients which is in agree with studies that have been done with the primary objective of examining sex differences in functional outcomes after stroke; these studies include those from Europ</w:t>
      </w:r>
      <w:r w:rsidR="0062070F" w:rsidRPr="005B0931">
        <w:rPr>
          <w:rFonts w:eastAsia="Calibri"/>
          <w:sz w:val="20"/>
          <w:szCs w:val="20"/>
        </w:rPr>
        <w:t>e (</w:t>
      </w:r>
      <w:r w:rsidR="00E973C5" w:rsidRPr="005B0931">
        <w:rPr>
          <w:rFonts w:eastAsia="Calibri"/>
          <w:sz w:val="20"/>
          <w:szCs w:val="20"/>
        </w:rPr>
        <w:t>30,31,32,33</w:t>
      </w:r>
      <w:r w:rsidRPr="005B0931">
        <w:rPr>
          <w:rFonts w:eastAsia="Calibri"/>
          <w:sz w:val="20"/>
          <w:szCs w:val="20"/>
        </w:rPr>
        <w:t>) a</w:t>
      </w:r>
      <w:r w:rsidR="006C67BF" w:rsidRPr="005B0931">
        <w:rPr>
          <w:rFonts w:eastAsia="Calibri"/>
          <w:sz w:val="20"/>
          <w:szCs w:val="20"/>
        </w:rPr>
        <w:t>nd North America (</w:t>
      </w:r>
      <w:r w:rsidR="00E973C5" w:rsidRPr="005B0931">
        <w:rPr>
          <w:rFonts w:eastAsia="Calibri"/>
          <w:sz w:val="20"/>
          <w:szCs w:val="20"/>
        </w:rPr>
        <w:t>34,35,36</w:t>
      </w:r>
      <w:r w:rsidR="006C67BF" w:rsidRPr="005B0931">
        <w:rPr>
          <w:rFonts w:eastAsia="Calibri"/>
          <w:sz w:val="20"/>
          <w:szCs w:val="20"/>
        </w:rPr>
        <w:t>)</w:t>
      </w:r>
      <w:r w:rsidRPr="005B0931">
        <w:rPr>
          <w:rFonts w:eastAsia="Calibri"/>
          <w:sz w:val="20"/>
          <w:szCs w:val="20"/>
        </w:rPr>
        <w:t>.</w:t>
      </w:r>
    </w:p>
    <w:p w:rsidR="00E97A70" w:rsidRPr="005B0931" w:rsidRDefault="00E97A70" w:rsidP="008620BE">
      <w:pPr>
        <w:bidi w:val="0"/>
        <w:snapToGrid w:val="0"/>
        <w:ind w:firstLine="425"/>
        <w:jc w:val="both"/>
        <w:rPr>
          <w:rFonts w:eastAsia="Calibri"/>
          <w:sz w:val="20"/>
          <w:szCs w:val="20"/>
        </w:rPr>
      </w:pPr>
      <w:r w:rsidRPr="005B0931">
        <w:rPr>
          <w:rFonts w:eastAsia="Calibri"/>
          <w:sz w:val="20"/>
          <w:szCs w:val="20"/>
        </w:rPr>
        <w:t>In our study, the</w:t>
      </w:r>
      <w:r w:rsidR="002A6D47" w:rsidRPr="005B0931">
        <w:rPr>
          <w:rFonts w:eastAsia="Calibri"/>
          <w:sz w:val="20"/>
          <w:szCs w:val="20"/>
        </w:rPr>
        <w:t xml:space="preserve"> </w:t>
      </w:r>
      <w:r w:rsidRPr="005B0931">
        <w:rPr>
          <w:rFonts w:eastAsia="Calibri"/>
          <w:sz w:val="20"/>
          <w:szCs w:val="20"/>
        </w:rPr>
        <w:t>analysis of</w:t>
      </w:r>
      <w:r w:rsidR="002A6D47" w:rsidRPr="005B0931">
        <w:rPr>
          <w:rFonts w:eastAsia="Calibri"/>
          <w:sz w:val="20"/>
          <w:szCs w:val="20"/>
        </w:rPr>
        <w:t xml:space="preserve"> </w:t>
      </w:r>
      <w:r w:rsidRPr="005B0931">
        <w:rPr>
          <w:rFonts w:eastAsia="Calibri"/>
          <w:sz w:val="20"/>
          <w:szCs w:val="20"/>
        </w:rPr>
        <w:t>NIHSS mean values and MMSE mean values</w:t>
      </w:r>
      <w:r w:rsidR="002A6D47" w:rsidRPr="005B0931">
        <w:rPr>
          <w:rFonts w:eastAsia="Calibri"/>
          <w:sz w:val="20"/>
          <w:szCs w:val="20"/>
        </w:rPr>
        <w:t xml:space="preserve"> </w:t>
      </w:r>
      <w:r w:rsidRPr="005B0931">
        <w:rPr>
          <w:rFonts w:eastAsia="Calibri"/>
          <w:sz w:val="20"/>
          <w:szCs w:val="20"/>
        </w:rPr>
        <w:t>in 6</w:t>
      </w:r>
      <w:r w:rsidR="006C67BF" w:rsidRPr="005B0931">
        <w:rPr>
          <w:rFonts w:eastAsia="Calibri"/>
          <w:sz w:val="20"/>
          <w:szCs w:val="20"/>
        </w:rPr>
        <w:t xml:space="preserve">0 patients with different </w:t>
      </w:r>
      <w:proofErr w:type="spellStart"/>
      <w:r w:rsidR="006C67BF" w:rsidRPr="005B0931">
        <w:rPr>
          <w:rFonts w:eastAsia="Calibri"/>
          <w:sz w:val="20"/>
          <w:szCs w:val="20"/>
        </w:rPr>
        <w:t>extracranial</w:t>
      </w:r>
      <w:proofErr w:type="spellEnd"/>
      <w:r w:rsidRPr="005B0931">
        <w:rPr>
          <w:rFonts w:eastAsia="Calibri"/>
          <w:sz w:val="20"/>
          <w:szCs w:val="20"/>
        </w:rPr>
        <w:t xml:space="preserve"> and intrac</w:t>
      </w:r>
      <w:r w:rsidR="006C67BF" w:rsidRPr="005B0931">
        <w:rPr>
          <w:rFonts w:eastAsia="Calibri"/>
          <w:sz w:val="20"/>
          <w:szCs w:val="20"/>
        </w:rPr>
        <w:t>rania</w:t>
      </w:r>
      <w:r w:rsidRPr="005B0931">
        <w:rPr>
          <w:rFonts w:eastAsia="Calibri"/>
          <w:sz w:val="20"/>
          <w:szCs w:val="20"/>
        </w:rPr>
        <w:t xml:space="preserve">l </w:t>
      </w:r>
      <w:proofErr w:type="spellStart"/>
      <w:r w:rsidRPr="005B0931">
        <w:rPr>
          <w:rFonts w:eastAsia="Calibri"/>
          <w:sz w:val="20"/>
          <w:szCs w:val="20"/>
        </w:rPr>
        <w:t>sonographic</w:t>
      </w:r>
      <w:proofErr w:type="spellEnd"/>
      <w:r w:rsidRPr="005B0931">
        <w:rPr>
          <w:rFonts w:eastAsia="Calibri"/>
          <w:sz w:val="20"/>
          <w:szCs w:val="20"/>
        </w:rPr>
        <w:t xml:space="preserve"> findings showed that</w:t>
      </w:r>
      <w:r w:rsidR="002A6D47" w:rsidRPr="005B0931">
        <w:rPr>
          <w:rFonts w:eastAsia="Calibri"/>
          <w:sz w:val="20"/>
          <w:szCs w:val="20"/>
        </w:rPr>
        <w:t xml:space="preserve"> </w:t>
      </w:r>
      <w:r w:rsidRPr="005B0931">
        <w:rPr>
          <w:rFonts w:eastAsia="Calibri"/>
          <w:sz w:val="20"/>
          <w:szCs w:val="20"/>
        </w:rPr>
        <w:t xml:space="preserve">patients with normal </w:t>
      </w:r>
      <w:proofErr w:type="spellStart"/>
      <w:r w:rsidRPr="005B0931">
        <w:rPr>
          <w:rFonts w:eastAsia="Calibri"/>
          <w:sz w:val="20"/>
          <w:szCs w:val="20"/>
        </w:rPr>
        <w:t>sonographic</w:t>
      </w:r>
      <w:proofErr w:type="spellEnd"/>
      <w:r w:rsidRPr="005B0931">
        <w:rPr>
          <w:rFonts w:eastAsia="Calibri"/>
          <w:sz w:val="20"/>
          <w:szCs w:val="20"/>
        </w:rPr>
        <w:t xml:space="preserve"> findings were significantly responding and have a better outcome when compared with patients with abnormal </w:t>
      </w:r>
      <w:proofErr w:type="spellStart"/>
      <w:r w:rsidRPr="005B0931">
        <w:rPr>
          <w:rFonts w:eastAsia="Calibri"/>
          <w:sz w:val="20"/>
          <w:szCs w:val="20"/>
        </w:rPr>
        <w:t>sonographic</w:t>
      </w:r>
      <w:proofErr w:type="spellEnd"/>
      <w:r w:rsidRPr="005B0931">
        <w:rPr>
          <w:rFonts w:eastAsia="Calibri"/>
          <w:sz w:val="20"/>
          <w:szCs w:val="20"/>
        </w:rPr>
        <w:t xml:space="preserve"> findings involving both </w:t>
      </w:r>
      <w:proofErr w:type="spellStart"/>
      <w:r w:rsidRPr="005B0931">
        <w:rPr>
          <w:rFonts w:eastAsia="Calibri"/>
          <w:sz w:val="20"/>
          <w:szCs w:val="20"/>
        </w:rPr>
        <w:t>extracranial</w:t>
      </w:r>
      <w:proofErr w:type="spellEnd"/>
      <w:r w:rsidRPr="005B0931">
        <w:rPr>
          <w:rFonts w:eastAsia="Calibri"/>
          <w:sz w:val="20"/>
          <w:szCs w:val="20"/>
        </w:rPr>
        <w:t xml:space="preserve"> vessels and intracranial vessels or intracranial vessels only which was previously published by Lei C et al. in 2014 where they studied the risk factors and clinical outcomes associated with intracranial and </w:t>
      </w:r>
      <w:proofErr w:type="spellStart"/>
      <w:r w:rsidRPr="005B0931">
        <w:rPr>
          <w:rFonts w:eastAsia="Calibri"/>
          <w:sz w:val="20"/>
          <w:szCs w:val="20"/>
        </w:rPr>
        <w:t>extracranial</w:t>
      </w:r>
      <w:proofErr w:type="spellEnd"/>
      <w:r w:rsidRPr="005B0931">
        <w:rPr>
          <w:rFonts w:eastAsia="Calibri"/>
          <w:sz w:val="20"/>
          <w:szCs w:val="20"/>
        </w:rPr>
        <w:t xml:space="preserve"> atherosclerotic </w:t>
      </w:r>
      <w:proofErr w:type="spellStart"/>
      <w:r w:rsidRPr="005B0931">
        <w:rPr>
          <w:rFonts w:eastAsia="Calibri"/>
          <w:sz w:val="20"/>
          <w:szCs w:val="20"/>
        </w:rPr>
        <w:t>stenosis</w:t>
      </w:r>
      <w:proofErr w:type="spellEnd"/>
      <w:r w:rsidR="002A6D47" w:rsidRPr="005B0931">
        <w:rPr>
          <w:rFonts w:eastAsia="Calibri"/>
          <w:sz w:val="20"/>
          <w:szCs w:val="20"/>
        </w:rPr>
        <w:t xml:space="preserve"> </w:t>
      </w:r>
      <w:r w:rsidR="006C67BF" w:rsidRPr="005B0931">
        <w:rPr>
          <w:rFonts w:eastAsia="Calibri"/>
          <w:sz w:val="20"/>
          <w:szCs w:val="20"/>
        </w:rPr>
        <w:t xml:space="preserve">and </w:t>
      </w:r>
      <w:r w:rsidRPr="005B0931">
        <w:rPr>
          <w:rFonts w:eastAsia="Calibri"/>
          <w:sz w:val="20"/>
          <w:szCs w:val="20"/>
        </w:rPr>
        <w:t xml:space="preserve">they found that Poor functional outcome and </w:t>
      </w:r>
      <w:r w:rsidRPr="005B0931">
        <w:rPr>
          <w:rFonts w:eastAsia="Calibri"/>
          <w:sz w:val="20"/>
          <w:szCs w:val="20"/>
        </w:rPr>
        <w:lastRenderedPageBreak/>
        <w:t xml:space="preserve">mortality were significantly more frequent patients with intracranial </w:t>
      </w:r>
      <w:proofErr w:type="spellStart"/>
      <w:r w:rsidRPr="005B0931">
        <w:rPr>
          <w:rFonts w:eastAsia="Calibri"/>
          <w:sz w:val="20"/>
          <w:szCs w:val="20"/>
        </w:rPr>
        <w:t>stenosis</w:t>
      </w:r>
      <w:proofErr w:type="spellEnd"/>
      <w:r w:rsidRPr="005B0931">
        <w:rPr>
          <w:rFonts w:eastAsia="Calibri"/>
          <w:sz w:val="20"/>
          <w:szCs w:val="20"/>
        </w:rPr>
        <w:t xml:space="preserve"> and patients with both intracranial and </w:t>
      </w:r>
      <w:proofErr w:type="spellStart"/>
      <w:r w:rsidRPr="005B0931">
        <w:rPr>
          <w:rFonts w:eastAsia="Calibri"/>
          <w:sz w:val="20"/>
          <w:szCs w:val="20"/>
        </w:rPr>
        <w:t>extracranial</w:t>
      </w:r>
      <w:proofErr w:type="spellEnd"/>
      <w:r w:rsidRPr="005B0931">
        <w:rPr>
          <w:rFonts w:eastAsia="Calibri"/>
          <w:sz w:val="20"/>
          <w:szCs w:val="20"/>
        </w:rPr>
        <w:t xml:space="preserve"> </w:t>
      </w:r>
      <w:proofErr w:type="spellStart"/>
      <w:r w:rsidRPr="005B0931">
        <w:rPr>
          <w:rFonts w:eastAsia="Calibri"/>
          <w:sz w:val="20"/>
          <w:szCs w:val="20"/>
        </w:rPr>
        <w:t>stenosis</w:t>
      </w:r>
      <w:proofErr w:type="spellEnd"/>
      <w:r w:rsidRPr="005B0931">
        <w:rPr>
          <w:rFonts w:eastAsia="Calibri"/>
          <w:sz w:val="20"/>
          <w:szCs w:val="20"/>
        </w:rPr>
        <w:t xml:space="preserve"> than in the non-</w:t>
      </w:r>
      <w:proofErr w:type="spellStart"/>
      <w:r w:rsidRPr="005B0931">
        <w:rPr>
          <w:rFonts w:eastAsia="Calibri"/>
          <w:sz w:val="20"/>
          <w:szCs w:val="20"/>
        </w:rPr>
        <w:t>stenotic</w:t>
      </w:r>
      <w:proofErr w:type="spellEnd"/>
      <w:r w:rsidR="002A6D47" w:rsidRPr="005B0931">
        <w:rPr>
          <w:rFonts w:eastAsia="Calibri"/>
          <w:sz w:val="20"/>
          <w:szCs w:val="20"/>
        </w:rPr>
        <w:t xml:space="preserve"> </w:t>
      </w:r>
      <w:r w:rsidRPr="005B0931">
        <w:rPr>
          <w:rFonts w:eastAsia="Calibri"/>
          <w:sz w:val="20"/>
          <w:szCs w:val="20"/>
        </w:rPr>
        <w:t>patients (</w:t>
      </w:r>
      <w:r w:rsidR="00E973C5" w:rsidRPr="005B0931">
        <w:rPr>
          <w:rFonts w:eastAsia="Calibri"/>
          <w:sz w:val="20"/>
          <w:szCs w:val="20"/>
        </w:rPr>
        <w:t>37</w:t>
      </w:r>
      <w:r w:rsidRPr="005B0931">
        <w:rPr>
          <w:rFonts w:eastAsia="Calibri"/>
          <w:sz w:val="20"/>
          <w:szCs w:val="20"/>
        </w:rPr>
        <w:t>).</w:t>
      </w:r>
    </w:p>
    <w:p w:rsidR="002A6D47" w:rsidRPr="005B0931" w:rsidRDefault="00E97A70" w:rsidP="008620BE">
      <w:pPr>
        <w:bidi w:val="0"/>
        <w:snapToGrid w:val="0"/>
        <w:ind w:firstLine="425"/>
        <w:jc w:val="both"/>
        <w:rPr>
          <w:rFonts w:eastAsia="Calibri"/>
          <w:sz w:val="20"/>
          <w:szCs w:val="20"/>
        </w:rPr>
      </w:pPr>
      <w:r w:rsidRPr="005B0931">
        <w:rPr>
          <w:rFonts w:eastAsia="Calibri"/>
          <w:sz w:val="20"/>
          <w:szCs w:val="20"/>
        </w:rPr>
        <w:t xml:space="preserve">Our study also shows that better prognosis outcome could be predicted using mean NIHSS and MMSE values in non-smokers compared to smokers whether with normal or abnormal </w:t>
      </w:r>
      <w:proofErr w:type="spellStart"/>
      <w:r w:rsidRPr="005B0931">
        <w:rPr>
          <w:rFonts w:eastAsia="Calibri"/>
          <w:sz w:val="20"/>
          <w:szCs w:val="20"/>
        </w:rPr>
        <w:t>sonographic</w:t>
      </w:r>
      <w:proofErr w:type="spellEnd"/>
      <w:r w:rsidRPr="005B0931">
        <w:rPr>
          <w:rFonts w:eastAsia="Calibri"/>
          <w:sz w:val="20"/>
          <w:szCs w:val="20"/>
        </w:rPr>
        <w:t xml:space="preserve"> findings which is in a agree with 3 previous studies stating that smoking was not associated with a good functional outcome and that long-time smoking had a negative effect on functional outcome at discharge and mortality at 1 year which does not support the (smoking paradox) which is paradoxical benefit of smoking on functional outcome following acute ischemic stroke (</w:t>
      </w:r>
      <w:r w:rsidR="00E973C5" w:rsidRPr="005B0931">
        <w:rPr>
          <w:rFonts w:eastAsia="Calibri"/>
          <w:sz w:val="20"/>
          <w:szCs w:val="20"/>
        </w:rPr>
        <w:t>38,39,40</w:t>
      </w:r>
      <w:r w:rsidR="002A6D47" w:rsidRPr="005B0931">
        <w:rPr>
          <w:rFonts w:eastAsia="Calibri"/>
          <w:sz w:val="20"/>
          <w:szCs w:val="20"/>
        </w:rPr>
        <w:t>).</w:t>
      </w:r>
    </w:p>
    <w:p w:rsidR="00E973C5" w:rsidRPr="005B0931" w:rsidRDefault="00957A59" w:rsidP="008620BE">
      <w:pPr>
        <w:bidi w:val="0"/>
        <w:snapToGrid w:val="0"/>
        <w:ind w:firstLine="425"/>
        <w:jc w:val="both"/>
        <w:rPr>
          <w:rFonts w:eastAsia="Calibri"/>
          <w:sz w:val="20"/>
          <w:szCs w:val="20"/>
        </w:rPr>
      </w:pPr>
      <w:r w:rsidRPr="005B0931">
        <w:rPr>
          <w:rFonts w:eastAsia="Calibri"/>
          <w:sz w:val="20"/>
          <w:szCs w:val="20"/>
        </w:rPr>
        <w:t xml:space="preserve">In this study, the analysis of prognosis using NIHSS values and MMSE values in 23 patients with ischemic </w:t>
      </w:r>
      <w:proofErr w:type="spellStart"/>
      <w:r w:rsidRPr="005B0931">
        <w:rPr>
          <w:rFonts w:eastAsia="Calibri"/>
          <w:sz w:val="20"/>
          <w:szCs w:val="20"/>
        </w:rPr>
        <w:t>cerebrovascular</w:t>
      </w:r>
      <w:proofErr w:type="spellEnd"/>
      <w:r w:rsidRPr="005B0931">
        <w:rPr>
          <w:rFonts w:eastAsia="Calibri"/>
          <w:sz w:val="20"/>
          <w:szCs w:val="20"/>
        </w:rPr>
        <w:t xml:space="preserve"> stroke and IHD with normal </w:t>
      </w:r>
      <w:proofErr w:type="spellStart"/>
      <w:r w:rsidRPr="005B0931">
        <w:rPr>
          <w:rFonts w:eastAsia="Calibri"/>
          <w:sz w:val="20"/>
          <w:szCs w:val="20"/>
        </w:rPr>
        <w:t>sonographic</w:t>
      </w:r>
      <w:proofErr w:type="spellEnd"/>
      <w:r w:rsidRPr="005B0931">
        <w:rPr>
          <w:rFonts w:eastAsia="Calibri"/>
          <w:sz w:val="20"/>
          <w:szCs w:val="20"/>
        </w:rPr>
        <w:t xml:space="preserve"> findings showed a favorable outcome while those with abnormal </w:t>
      </w:r>
      <w:proofErr w:type="spellStart"/>
      <w:r w:rsidRPr="005B0931">
        <w:rPr>
          <w:rFonts w:eastAsia="Calibri"/>
          <w:sz w:val="20"/>
          <w:szCs w:val="20"/>
        </w:rPr>
        <w:t>sonographic</w:t>
      </w:r>
      <w:proofErr w:type="spellEnd"/>
      <w:r w:rsidRPr="005B0931">
        <w:rPr>
          <w:rFonts w:eastAsia="Calibri"/>
          <w:sz w:val="20"/>
          <w:szCs w:val="20"/>
        </w:rPr>
        <w:t xml:space="preserve"> findings showed higher NIHSS mean values and lower MMSE values therefore both NIHSS and MMSE mean values support that better prognosis could be predicted if the initial </w:t>
      </w:r>
      <w:proofErr w:type="spellStart"/>
      <w:r w:rsidRPr="005B0931">
        <w:rPr>
          <w:rFonts w:eastAsia="Calibri"/>
          <w:sz w:val="20"/>
          <w:szCs w:val="20"/>
        </w:rPr>
        <w:t>sonographic</w:t>
      </w:r>
      <w:proofErr w:type="spellEnd"/>
      <w:r w:rsidRPr="005B0931">
        <w:rPr>
          <w:rFonts w:eastAsia="Calibri"/>
          <w:sz w:val="20"/>
          <w:szCs w:val="20"/>
        </w:rPr>
        <w:t xml:space="preserve"> findings are normal</w:t>
      </w:r>
      <w:r w:rsidR="006C67BF" w:rsidRPr="005B0931">
        <w:rPr>
          <w:sz w:val="20"/>
          <w:szCs w:val="20"/>
        </w:rPr>
        <w:t>, also t</w:t>
      </w:r>
      <w:r w:rsidRPr="005B0931">
        <w:rPr>
          <w:sz w:val="20"/>
          <w:szCs w:val="20"/>
        </w:rPr>
        <w:t xml:space="preserve">he risk for intracranial artery </w:t>
      </w:r>
      <w:proofErr w:type="spellStart"/>
      <w:r w:rsidRPr="005B0931">
        <w:rPr>
          <w:sz w:val="20"/>
          <w:szCs w:val="20"/>
        </w:rPr>
        <w:t>stenosis</w:t>
      </w:r>
      <w:proofErr w:type="spellEnd"/>
      <w:r w:rsidRPr="005B0931">
        <w:rPr>
          <w:sz w:val="20"/>
          <w:szCs w:val="20"/>
        </w:rPr>
        <w:t xml:space="preserve"> was significantly increased in middle-aged subjects with </w:t>
      </w:r>
      <w:proofErr w:type="spellStart"/>
      <w:r w:rsidRPr="005B0931">
        <w:rPr>
          <w:sz w:val="20"/>
          <w:szCs w:val="20"/>
        </w:rPr>
        <w:t>Coronry</w:t>
      </w:r>
      <w:proofErr w:type="spellEnd"/>
      <w:r w:rsidRPr="005B0931">
        <w:rPr>
          <w:sz w:val="20"/>
          <w:szCs w:val="20"/>
        </w:rPr>
        <w:t xml:space="preserve"> artery calcification compared with that in those without Coronary artery </w:t>
      </w:r>
      <w:proofErr w:type="spellStart"/>
      <w:r w:rsidRPr="005B0931">
        <w:rPr>
          <w:sz w:val="20"/>
          <w:szCs w:val="20"/>
        </w:rPr>
        <w:t>calicification</w:t>
      </w:r>
      <w:proofErr w:type="spellEnd"/>
      <w:r w:rsidRPr="005B0931">
        <w:rPr>
          <w:sz w:val="20"/>
          <w:szCs w:val="20"/>
        </w:rPr>
        <w:t xml:space="preserve"> (</w:t>
      </w:r>
      <w:r w:rsidR="00E973C5" w:rsidRPr="005B0931">
        <w:rPr>
          <w:sz w:val="20"/>
          <w:szCs w:val="20"/>
        </w:rPr>
        <w:t>41</w:t>
      </w:r>
      <w:r w:rsidRPr="005B0931">
        <w:rPr>
          <w:sz w:val="20"/>
          <w:szCs w:val="20"/>
        </w:rPr>
        <w:t xml:space="preserve">) which was also proven by our study as 75% of patients with IHD had abnormal </w:t>
      </w:r>
      <w:proofErr w:type="spellStart"/>
      <w:r w:rsidRPr="005B0931">
        <w:rPr>
          <w:sz w:val="20"/>
          <w:szCs w:val="20"/>
        </w:rPr>
        <w:t>sonographic</w:t>
      </w:r>
      <w:proofErr w:type="spellEnd"/>
      <w:r w:rsidRPr="005B0931">
        <w:rPr>
          <w:sz w:val="20"/>
          <w:szCs w:val="20"/>
        </w:rPr>
        <w:t xml:space="preserve"> findings.</w:t>
      </w:r>
    </w:p>
    <w:p w:rsidR="0003428F" w:rsidRPr="005B0931" w:rsidRDefault="00957A59" w:rsidP="008620BE">
      <w:pPr>
        <w:bidi w:val="0"/>
        <w:snapToGrid w:val="0"/>
        <w:ind w:firstLine="425"/>
        <w:jc w:val="both"/>
        <w:rPr>
          <w:rFonts w:eastAsia="Calibri"/>
          <w:sz w:val="20"/>
          <w:szCs w:val="20"/>
        </w:rPr>
      </w:pPr>
      <w:r w:rsidRPr="005B0931">
        <w:rPr>
          <w:rFonts w:eastAsia="Calibri"/>
          <w:sz w:val="20"/>
          <w:szCs w:val="20"/>
        </w:rPr>
        <w:t xml:space="preserve">In our study using mean NIHSS values and MMSE values in 27 patients with ischemic </w:t>
      </w:r>
      <w:proofErr w:type="spellStart"/>
      <w:r w:rsidRPr="005B0931">
        <w:rPr>
          <w:rFonts w:eastAsia="Calibri"/>
          <w:sz w:val="20"/>
          <w:szCs w:val="20"/>
        </w:rPr>
        <w:t>cerebrovascular</w:t>
      </w:r>
      <w:proofErr w:type="spellEnd"/>
      <w:r w:rsidRPr="005B0931">
        <w:rPr>
          <w:rFonts w:eastAsia="Calibri"/>
          <w:sz w:val="20"/>
          <w:szCs w:val="20"/>
        </w:rPr>
        <w:t xml:space="preserve"> stroke presenting with different abnormal intracranial </w:t>
      </w:r>
      <w:proofErr w:type="spellStart"/>
      <w:r w:rsidRPr="005B0931">
        <w:rPr>
          <w:rFonts w:eastAsia="Calibri"/>
          <w:sz w:val="20"/>
          <w:szCs w:val="20"/>
        </w:rPr>
        <w:t>sonographic</w:t>
      </w:r>
      <w:proofErr w:type="spellEnd"/>
      <w:r w:rsidRPr="005B0931">
        <w:rPr>
          <w:rFonts w:eastAsia="Calibri"/>
          <w:sz w:val="20"/>
          <w:szCs w:val="20"/>
        </w:rPr>
        <w:t xml:space="preserve"> findings; including terminal ICA </w:t>
      </w:r>
      <w:proofErr w:type="spellStart"/>
      <w:r w:rsidRPr="005B0931">
        <w:rPr>
          <w:rFonts w:eastAsia="Calibri"/>
          <w:sz w:val="20"/>
          <w:szCs w:val="20"/>
        </w:rPr>
        <w:t>stenosis</w:t>
      </w:r>
      <w:proofErr w:type="spellEnd"/>
      <w:r w:rsidRPr="005B0931">
        <w:rPr>
          <w:rFonts w:eastAsia="Calibri"/>
          <w:sz w:val="20"/>
          <w:szCs w:val="20"/>
        </w:rPr>
        <w:t xml:space="preserve">/occlusion, Proximal and Distal MCA </w:t>
      </w:r>
      <w:proofErr w:type="spellStart"/>
      <w:r w:rsidRPr="005B0931">
        <w:rPr>
          <w:rFonts w:eastAsia="Calibri"/>
          <w:sz w:val="20"/>
          <w:szCs w:val="20"/>
        </w:rPr>
        <w:t>stenosis</w:t>
      </w:r>
      <w:proofErr w:type="spellEnd"/>
      <w:r w:rsidRPr="005B0931">
        <w:rPr>
          <w:rFonts w:eastAsia="Calibri"/>
          <w:sz w:val="20"/>
          <w:szCs w:val="20"/>
        </w:rPr>
        <w:t>/occlusion</w:t>
      </w:r>
      <w:r w:rsidR="002A6D47" w:rsidRPr="005B0931">
        <w:rPr>
          <w:rFonts w:eastAsia="Calibri"/>
          <w:sz w:val="20"/>
          <w:szCs w:val="20"/>
        </w:rPr>
        <w:t>. I</w:t>
      </w:r>
      <w:r w:rsidRPr="005B0931">
        <w:rPr>
          <w:rFonts w:eastAsia="Calibri"/>
          <w:sz w:val="20"/>
          <w:szCs w:val="20"/>
        </w:rPr>
        <w:t>t was found that</w:t>
      </w:r>
      <w:r w:rsidRPr="005B0931">
        <w:rPr>
          <w:rFonts w:eastAsia="Calibri"/>
          <w:sz w:val="20"/>
          <w:szCs w:val="20"/>
          <w:shd w:val="clear" w:color="auto" w:fill="FFFFFF"/>
        </w:rPr>
        <w:t xml:space="preserve"> patients with distal middle cerebral artery (MCA) occlusion are likely to have a better outcome when compared to patients with proximal MCA occlusion and patien</w:t>
      </w:r>
      <w:r w:rsidR="006C67BF" w:rsidRPr="005B0931">
        <w:rPr>
          <w:rFonts w:eastAsia="Calibri"/>
          <w:sz w:val="20"/>
          <w:szCs w:val="20"/>
          <w:shd w:val="clear" w:color="auto" w:fill="FFFFFF"/>
        </w:rPr>
        <w:t xml:space="preserve">ts with terminal ICA occlusions which is </w:t>
      </w:r>
      <w:r w:rsidRPr="005B0931">
        <w:rPr>
          <w:rFonts w:eastAsia="Calibri"/>
          <w:sz w:val="20"/>
          <w:szCs w:val="20"/>
        </w:rPr>
        <w:t xml:space="preserve">consistent with a study by </w:t>
      </w:r>
      <w:hyperlink r:id="rId18" w:history="1">
        <w:r w:rsidRPr="005B0931">
          <w:rPr>
            <w:rFonts w:eastAsia="Calibri"/>
            <w:sz w:val="20"/>
            <w:szCs w:val="20"/>
            <w:u w:val="single"/>
          </w:rPr>
          <w:t>Friedrich B</w:t>
        </w:r>
      </w:hyperlink>
      <w:r w:rsidRPr="005B0931">
        <w:rPr>
          <w:rFonts w:eastAsia="Calibri"/>
          <w:sz w:val="20"/>
          <w:szCs w:val="20"/>
        </w:rPr>
        <w:t xml:space="preserve"> et al. where 136 with acute stroke and MCA occlusion confirmed by CT angiography were retrospectively included in this study. The distance from the carotid T to the thrombus (DT) on coronal maximum intensity projection images and the thrombus length were measured. The correlation between DT and the modified Rankin Scale score at 90 days was analyzed</w:t>
      </w:r>
      <w:r w:rsidR="002A6D47" w:rsidRPr="005B0931">
        <w:rPr>
          <w:rFonts w:eastAsia="Calibri"/>
          <w:sz w:val="20"/>
          <w:szCs w:val="20"/>
        </w:rPr>
        <w:t>. I</w:t>
      </w:r>
      <w:r w:rsidRPr="005B0931">
        <w:rPr>
          <w:rFonts w:eastAsia="Calibri"/>
          <w:sz w:val="20"/>
          <w:szCs w:val="20"/>
        </w:rPr>
        <w:t>n acute stroke with MCA occlusion confirmed by CT angiography and DT &lt;16 mm, the likelihood of a good clinical outcome after treatment w</w:t>
      </w:r>
      <w:r w:rsidR="006C67BF" w:rsidRPr="005B0931">
        <w:rPr>
          <w:rFonts w:eastAsia="Calibri"/>
          <w:sz w:val="20"/>
          <w:szCs w:val="20"/>
        </w:rPr>
        <w:t xml:space="preserve">ith IVT was exponentially &lt;50% </w:t>
      </w:r>
      <w:r w:rsidRPr="005B0931">
        <w:rPr>
          <w:rFonts w:eastAsia="Calibri"/>
          <w:sz w:val="20"/>
          <w:szCs w:val="20"/>
        </w:rPr>
        <w:t>(</w:t>
      </w:r>
      <w:r w:rsidR="00E973C5" w:rsidRPr="005B0931">
        <w:rPr>
          <w:rFonts w:eastAsia="Calibri"/>
          <w:sz w:val="20"/>
          <w:szCs w:val="20"/>
        </w:rPr>
        <w:t>42</w:t>
      </w:r>
      <w:r w:rsidRPr="005B0931">
        <w:rPr>
          <w:rFonts w:eastAsia="Calibri"/>
          <w:sz w:val="20"/>
          <w:szCs w:val="20"/>
        </w:rPr>
        <w:t>).</w:t>
      </w:r>
    </w:p>
    <w:p w:rsidR="008620BE" w:rsidRPr="005B0931" w:rsidRDefault="008620BE" w:rsidP="008620BE">
      <w:pPr>
        <w:autoSpaceDE w:val="0"/>
        <w:autoSpaceDN w:val="0"/>
        <w:bidi w:val="0"/>
        <w:adjustRightInd w:val="0"/>
        <w:snapToGrid w:val="0"/>
        <w:jc w:val="both"/>
        <w:rPr>
          <w:rFonts w:eastAsiaTheme="minorEastAsia"/>
          <w:b/>
          <w:bCs/>
          <w:sz w:val="20"/>
          <w:szCs w:val="20"/>
          <w:lang w:eastAsia="zh-CN"/>
        </w:rPr>
      </w:pPr>
    </w:p>
    <w:p w:rsidR="00164AF1" w:rsidRPr="005B0931" w:rsidRDefault="00E973C5" w:rsidP="008620BE">
      <w:pPr>
        <w:autoSpaceDE w:val="0"/>
        <w:autoSpaceDN w:val="0"/>
        <w:bidi w:val="0"/>
        <w:adjustRightInd w:val="0"/>
        <w:snapToGrid w:val="0"/>
        <w:jc w:val="both"/>
        <w:rPr>
          <w:b/>
          <w:bCs/>
          <w:sz w:val="20"/>
          <w:szCs w:val="20"/>
          <w:u w:val="single"/>
        </w:rPr>
      </w:pPr>
      <w:r w:rsidRPr="005B0931">
        <w:rPr>
          <w:b/>
          <w:bCs/>
          <w:sz w:val="20"/>
          <w:szCs w:val="20"/>
        </w:rPr>
        <w:t>Conclusion</w:t>
      </w:r>
    </w:p>
    <w:p w:rsidR="00E973C5" w:rsidRPr="005B0931" w:rsidRDefault="00E973C5" w:rsidP="008620BE">
      <w:pPr>
        <w:bidi w:val="0"/>
        <w:snapToGrid w:val="0"/>
        <w:ind w:firstLine="425"/>
        <w:jc w:val="both"/>
        <w:rPr>
          <w:rFonts w:eastAsia="Calibri"/>
          <w:sz w:val="20"/>
          <w:szCs w:val="20"/>
        </w:rPr>
      </w:pPr>
      <w:r w:rsidRPr="005B0931">
        <w:rPr>
          <w:rFonts w:eastAsia="Calibri"/>
          <w:sz w:val="20"/>
          <w:szCs w:val="20"/>
        </w:rPr>
        <w:lastRenderedPageBreak/>
        <w:t xml:space="preserve">Early duplex findings can be very useful for prognosis in patients presenting with acute ischemic </w:t>
      </w:r>
      <w:proofErr w:type="spellStart"/>
      <w:r w:rsidRPr="005B0931">
        <w:rPr>
          <w:rFonts w:eastAsia="Calibri"/>
          <w:sz w:val="20"/>
          <w:szCs w:val="20"/>
        </w:rPr>
        <w:t>strokeand</w:t>
      </w:r>
      <w:proofErr w:type="spellEnd"/>
      <w:r w:rsidRPr="005B0931">
        <w:rPr>
          <w:rFonts w:eastAsia="Calibri"/>
          <w:sz w:val="20"/>
          <w:szCs w:val="20"/>
        </w:rPr>
        <w:t xml:space="preserve"> the outcome of acute </w:t>
      </w:r>
      <w:proofErr w:type="spellStart"/>
      <w:r w:rsidRPr="005B0931">
        <w:rPr>
          <w:rFonts w:eastAsia="Calibri"/>
          <w:sz w:val="20"/>
          <w:szCs w:val="20"/>
        </w:rPr>
        <w:t>cerebrovascular</w:t>
      </w:r>
      <w:proofErr w:type="spellEnd"/>
      <w:r w:rsidRPr="005B0931">
        <w:rPr>
          <w:rFonts w:eastAsia="Calibri"/>
          <w:sz w:val="20"/>
          <w:szCs w:val="20"/>
        </w:rPr>
        <w:t xml:space="preserve"> stroke can be predicted by duplex and associated risk factors and the </w:t>
      </w:r>
      <w:proofErr w:type="spellStart"/>
      <w:r w:rsidRPr="005B0931">
        <w:rPr>
          <w:rFonts w:eastAsia="Calibri"/>
          <w:sz w:val="20"/>
          <w:szCs w:val="20"/>
        </w:rPr>
        <w:t>premorbid</w:t>
      </w:r>
      <w:proofErr w:type="spellEnd"/>
      <w:r w:rsidRPr="005B0931">
        <w:rPr>
          <w:rFonts w:eastAsia="Calibri"/>
          <w:sz w:val="20"/>
          <w:szCs w:val="20"/>
        </w:rPr>
        <w:t xml:space="preserve"> condition of the patient.</w:t>
      </w:r>
    </w:p>
    <w:p w:rsidR="002A6D47" w:rsidRPr="005B0931" w:rsidRDefault="00E973C5" w:rsidP="008620BE">
      <w:pPr>
        <w:bidi w:val="0"/>
        <w:snapToGrid w:val="0"/>
        <w:ind w:firstLine="425"/>
        <w:jc w:val="both"/>
        <w:rPr>
          <w:sz w:val="20"/>
          <w:szCs w:val="20"/>
        </w:rPr>
      </w:pPr>
      <w:proofErr w:type="spellStart"/>
      <w:r w:rsidRPr="005B0931">
        <w:rPr>
          <w:sz w:val="20"/>
          <w:szCs w:val="20"/>
        </w:rPr>
        <w:t>Transcranial</w:t>
      </w:r>
      <w:proofErr w:type="spellEnd"/>
      <w:r w:rsidRPr="005B0931">
        <w:rPr>
          <w:sz w:val="20"/>
          <w:szCs w:val="20"/>
        </w:rPr>
        <w:t xml:space="preserve"> </w:t>
      </w:r>
      <w:proofErr w:type="spellStart"/>
      <w:r w:rsidRPr="005B0931">
        <w:rPr>
          <w:sz w:val="20"/>
          <w:szCs w:val="20"/>
        </w:rPr>
        <w:t>doppler</w:t>
      </w:r>
      <w:proofErr w:type="spellEnd"/>
      <w:r w:rsidRPr="005B0931">
        <w:rPr>
          <w:sz w:val="20"/>
          <w:szCs w:val="20"/>
        </w:rPr>
        <w:t xml:space="preserve"> and </w:t>
      </w:r>
      <w:proofErr w:type="spellStart"/>
      <w:r w:rsidRPr="005B0931">
        <w:rPr>
          <w:sz w:val="20"/>
          <w:szCs w:val="20"/>
        </w:rPr>
        <w:t>transcranial</w:t>
      </w:r>
      <w:proofErr w:type="spellEnd"/>
      <w:r w:rsidRPr="005B0931">
        <w:rPr>
          <w:sz w:val="20"/>
          <w:szCs w:val="20"/>
        </w:rPr>
        <w:t xml:space="preserve"> color coded duplex are non‐invasive, non‐</w:t>
      </w:r>
      <w:proofErr w:type="spellStart"/>
      <w:r w:rsidRPr="005B0931">
        <w:rPr>
          <w:sz w:val="20"/>
          <w:szCs w:val="20"/>
        </w:rPr>
        <w:t>ionising</w:t>
      </w:r>
      <w:proofErr w:type="spellEnd"/>
      <w:r w:rsidRPr="005B0931">
        <w:rPr>
          <w:sz w:val="20"/>
          <w:szCs w:val="20"/>
        </w:rPr>
        <w:t xml:space="preserve">, inexpensive, portable and safe techniques for assessment of </w:t>
      </w:r>
      <w:proofErr w:type="spellStart"/>
      <w:r w:rsidRPr="005B0931">
        <w:rPr>
          <w:sz w:val="20"/>
          <w:szCs w:val="20"/>
        </w:rPr>
        <w:t>intracerebral</w:t>
      </w:r>
      <w:proofErr w:type="spellEnd"/>
      <w:r w:rsidRPr="005B0931">
        <w:rPr>
          <w:sz w:val="20"/>
          <w:szCs w:val="20"/>
        </w:rPr>
        <w:t xml:space="preserve"> blood flo</w:t>
      </w:r>
      <w:r w:rsidR="002A6D47" w:rsidRPr="005B0931">
        <w:rPr>
          <w:sz w:val="20"/>
          <w:szCs w:val="20"/>
        </w:rPr>
        <w:t>w.</w:t>
      </w:r>
    </w:p>
    <w:p w:rsidR="00753C57" w:rsidRPr="005B0931" w:rsidRDefault="00753C57" w:rsidP="008620BE">
      <w:pPr>
        <w:autoSpaceDE w:val="0"/>
        <w:autoSpaceDN w:val="0"/>
        <w:bidi w:val="0"/>
        <w:adjustRightInd w:val="0"/>
        <w:snapToGrid w:val="0"/>
        <w:jc w:val="both"/>
        <w:rPr>
          <w:b/>
          <w:bCs/>
          <w:sz w:val="20"/>
          <w:szCs w:val="20"/>
          <w:u w:val="single"/>
        </w:rPr>
      </w:pPr>
    </w:p>
    <w:p w:rsidR="00201025" w:rsidRPr="005B0931" w:rsidRDefault="008620BE" w:rsidP="008620BE">
      <w:pPr>
        <w:autoSpaceDE w:val="0"/>
        <w:autoSpaceDN w:val="0"/>
        <w:bidi w:val="0"/>
        <w:adjustRightInd w:val="0"/>
        <w:snapToGrid w:val="0"/>
        <w:jc w:val="both"/>
        <w:rPr>
          <w:rFonts w:eastAsiaTheme="minorHAnsi"/>
          <w:sz w:val="20"/>
          <w:szCs w:val="20"/>
        </w:rPr>
      </w:pPr>
      <w:r w:rsidRPr="005B0931">
        <w:rPr>
          <w:b/>
          <w:bCs/>
          <w:sz w:val="20"/>
          <w:szCs w:val="20"/>
        </w:rPr>
        <w:t>References</w:t>
      </w:r>
    </w:p>
    <w:p w:rsidR="002A6D47" w:rsidRPr="005B0931" w:rsidRDefault="006C67BF" w:rsidP="002A6D47">
      <w:pPr>
        <w:numPr>
          <w:ilvl w:val="0"/>
          <w:numId w:val="32"/>
        </w:numPr>
        <w:bidi w:val="0"/>
        <w:snapToGrid w:val="0"/>
        <w:ind w:left="425" w:hanging="425"/>
        <w:contextualSpacing/>
        <w:jc w:val="both"/>
        <w:rPr>
          <w:rFonts w:eastAsia="Calibri"/>
          <w:sz w:val="20"/>
          <w:szCs w:val="20"/>
        </w:rPr>
      </w:pPr>
      <w:r w:rsidRPr="005B0931">
        <w:rPr>
          <w:rFonts w:eastAsia="Calibri"/>
          <w:sz w:val="20"/>
          <w:szCs w:val="20"/>
        </w:rPr>
        <w:t>WHO</w:t>
      </w:r>
      <w:r w:rsidR="002A6D47" w:rsidRPr="005B0931">
        <w:rPr>
          <w:rFonts w:eastAsia="Calibri"/>
          <w:sz w:val="20"/>
          <w:szCs w:val="20"/>
        </w:rPr>
        <w:t xml:space="preserve"> </w:t>
      </w:r>
      <w:r w:rsidRPr="005B0931">
        <w:rPr>
          <w:rFonts w:eastAsia="Calibri"/>
          <w:sz w:val="20"/>
          <w:szCs w:val="20"/>
        </w:rPr>
        <w:t>MONICA</w:t>
      </w:r>
      <w:r w:rsidR="002A6D47" w:rsidRPr="005B0931">
        <w:rPr>
          <w:rFonts w:eastAsia="Calibri"/>
          <w:sz w:val="20"/>
          <w:szCs w:val="20"/>
        </w:rPr>
        <w:t xml:space="preserve"> </w:t>
      </w:r>
      <w:r w:rsidRPr="005B0931">
        <w:rPr>
          <w:rFonts w:eastAsia="Calibri"/>
          <w:sz w:val="20"/>
          <w:szCs w:val="20"/>
        </w:rPr>
        <w:t>Project</w:t>
      </w:r>
      <w:r w:rsidR="002A6D47" w:rsidRPr="005B0931">
        <w:rPr>
          <w:rFonts w:eastAsia="Calibri"/>
          <w:sz w:val="20"/>
          <w:szCs w:val="20"/>
        </w:rPr>
        <w:t xml:space="preserve"> </w:t>
      </w:r>
      <w:r w:rsidRPr="005B0931">
        <w:rPr>
          <w:rFonts w:eastAsia="Calibri"/>
          <w:sz w:val="20"/>
          <w:szCs w:val="20"/>
        </w:rPr>
        <w:t>Investigators.</w:t>
      </w:r>
      <w:r w:rsidR="002A6D47" w:rsidRPr="005B0931">
        <w:rPr>
          <w:rFonts w:eastAsia="Calibri"/>
          <w:sz w:val="20"/>
          <w:szCs w:val="20"/>
        </w:rPr>
        <w:t xml:space="preserve"> </w:t>
      </w:r>
      <w:r w:rsidRPr="005B0931">
        <w:rPr>
          <w:rFonts w:eastAsia="Calibri"/>
          <w:sz w:val="20"/>
          <w:szCs w:val="20"/>
        </w:rPr>
        <w:t>The</w:t>
      </w:r>
      <w:r w:rsidR="002A6D47" w:rsidRPr="005B0931">
        <w:rPr>
          <w:rFonts w:eastAsia="Calibri"/>
          <w:sz w:val="20"/>
          <w:szCs w:val="20"/>
        </w:rPr>
        <w:t xml:space="preserve"> </w:t>
      </w:r>
      <w:r w:rsidRPr="005B0931">
        <w:rPr>
          <w:rFonts w:eastAsia="Calibri"/>
          <w:sz w:val="20"/>
          <w:szCs w:val="20"/>
        </w:rPr>
        <w:t>World</w:t>
      </w:r>
      <w:r w:rsidR="002A6D47" w:rsidRPr="005B0931">
        <w:rPr>
          <w:rFonts w:eastAsia="Calibri"/>
          <w:sz w:val="20"/>
          <w:szCs w:val="20"/>
        </w:rPr>
        <w:t xml:space="preserve"> </w:t>
      </w:r>
      <w:r w:rsidRPr="005B0931">
        <w:rPr>
          <w:rFonts w:eastAsia="Calibri"/>
          <w:sz w:val="20"/>
          <w:szCs w:val="20"/>
        </w:rPr>
        <w:t>Health</w:t>
      </w:r>
      <w:r w:rsidR="002A6D47" w:rsidRPr="005B0931">
        <w:rPr>
          <w:rFonts w:eastAsia="Calibri"/>
          <w:sz w:val="20"/>
          <w:szCs w:val="20"/>
        </w:rPr>
        <w:t xml:space="preserve"> </w:t>
      </w:r>
      <w:r w:rsidRPr="005B0931">
        <w:rPr>
          <w:rFonts w:eastAsia="Calibri"/>
          <w:sz w:val="20"/>
          <w:szCs w:val="20"/>
        </w:rPr>
        <w:t>Organization</w:t>
      </w:r>
      <w:r w:rsidR="002A6D47" w:rsidRPr="005B0931">
        <w:rPr>
          <w:rFonts w:eastAsia="Calibri"/>
          <w:sz w:val="20"/>
          <w:szCs w:val="20"/>
        </w:rPr>
        <w:t xml:space="preserve"> </w:t>
      </w:r>
      <w:r w:rsidRPr="005B0931">
        <w:rPr>
          <w:rFonts w:eastAsia="Calibri"/>
          <w:sz w:val="20"/>
          <w:szCs w:val="20"/>
        </w:rPr>
        <w:t>MONICA</w:t>
      </w:r>
      <w:r w:rsidR="002A6D47" w:rsidRPr="005B0931">
        <w:rPr>
          <w:rFonts w:eastAsia="Calibri"/>
          <w:sz w:val="20"/>
          <w:szCs w:val="20"/>
        </w:rPr>
        <w:t xml:space="preserve"> </w:t>
      </w:r>
      <w:r w:rsidRPr="005B0931">
        <w:rPr>
          <w:rFonts w:eastAsia="Calibri"/>
          <w:sz w:val="20"/>
          <w:szCs w:val="20"/>
        </w:rPr>
        <w:t>Project</w:t>
      </w:r>
      <w:r w:rsidR="002A6D47" w:rsidRPr="005B0931">
        <w:rPr>
          <w:rFonts w:eastAsia="Calibri"/>
          <w:sz w:val="20"/>
          <w:szCs w:val="20"/>
        </w:rPr>
        <w:t xml:space="preserve"> </w:t>
      </w:r>
      <w:r w:rsidRPr="005B0931">
        <w:rPr>
          <w:rFonts w:eastAsia="Calibri"/>
          <w:sz w:val="20"/>
          <w:szCs w:val="20"/>
        </w:rPr>
        <w:t>(Monitoring</w:t>
      </w:r>
      <w:r w:rsidR="002A6D47" w:rsidRPr="005B0931">
        <w:rPr>
          <w:rFonts w:eastAsia="Calibri"/>
          <w:sz w:val="20"/>
          <w:szCs w:val="20"/>
        </w:rPr>
        <w:t xml:space="preserve"> </w:t>
      </w:r>
      <w:r w:rsidRPr="005B0931">
        <w:rPr>
          <w:rFonts w:eastAsia="Calibri"/>
          <w:sz w:val="20"/>
          <w:szCs w:val="20"/>
        </w:rPr>
        <w:t>trends</w:t>
      </w:r>
      <w:r w:rsidR="002A6D47" w:rsidRPr="005B0931">
        <w:rPr>
          <w:rFonts w:eastAsia="Calibri"/>
          <w:sz w:val="20"/>
          <w:szCs w:val="20"/>
        </w:rPr>
        <w:t xml:space="preserve"> </w:t>
      </w:r>
      <w:r w:rsidRPr="005B0931">
        <w:rPr>
          <w:rFonts w:eastAsia="Calibri"/>
          <w:sz w:val="20"/>
          <w:szCs w:val="20"/>
        </w:rPr>
        <w:t>and</w:t>
      </w:r>
      <w:r w:rsidR="002A6D47" w:rsidRPr="005B0931">
        <w:rPr>
          <w:rFonts w:eastAsia="Calibri"/>
          <w:sz w:val="20"/>
          <w:szCs w:val="20"/>
        </w:rPr>
        <w:t xml:space="preserve"> </w:t>
      </w:r>
      <w:r w:rsidRPr="005B0931">
        <w:rPr>
          <w:rFonts w:eastAsia="Calibri"/>
          <w:sz w:val="20"/>
          <w:szCs w:val="20"/>
        </w:rPr>
        <w:t>determinants</w:t>
      </w:r>
      <w:r w:rsidR="002A6D47" w:rsidRPr="005B0931">
        <w:rPr>
          <w:rFonts w:eastAsia="Calibri"/>
          <w:sz w:val="20"/>
          <w:szCs w:val="20"/>
        </w:rPr>
        <w:t xml:space="preserve"> </w:t>
      </w:r>
      <w:r w:rsidRPr="005B0931">
        <w:rPr>
          <w:rFonts w:eastAsia="Calibri"/>
          <w:sz w:val="20"/>
          <w:szCs w:val="20"/>
        </w:rPr>
        <w:t>in</w:t>
      </w:r>
      <w:r w:rsidR="002A6D47" w:rsidRPr="005B0931">
        <w:rPr>
          <w:rFonts w:eastAsia="Calibri"/>
          <w:sz w:val="20"/>
          <w:szCs w:val="20"/>
        </w:rPr>
        <w:t xml:space="preserve"> </w:t>
      </w:r>
      <w:r w:rsidRPr="005B0931">
        <w:rPr>
          <w:rFonts w:eastAsia="Calibri"/>
          <w:sz w:val="20"/>
          <w:szCs w:val="20"/>
        </w:rPr>
        <w:t>cardiovascular</w:t>
      </w:r>
      <w:r w:rsidR="002A6D47" w:rsidRPr="005B0931">
        <w:rPr>
          <w:rFonts w:eastAsia="Calibri"/>
          <w:sz w:val="20"/>
          <w:szCs w:val="20"/>
        </w:rPr>
        <w:t xml:space="preserve"> </w:t>
      </w:r>
      <w:r w:rsidRPr="005B0931">
        <w:rPr>
          <w:rFonts w:eastAsia="Calibri"/>
          <w:sz w:val="20"/>
          <w:szCs w:val="20"/>
        </w:rPr>
        <w:t>disease).</w:t>
      </w:r>
      <w:r w:rsidR="002A6D47" w:rsidRPr="005B0931">
        <w:rPr>
          <w:rFonts w:eastAsia="Calibri"/>
          <w:sz w:val="20"/>
          <w:szCs w:val="20"/>
        </w:rPr>
        <w:t xml:space="preserve"> </w:t>
      </w:r>
      <w:r w:rsidRPr="005B0931">
        <w:rPr>
          <w:rFonts w:eastAsia="Calibri"/>
          <w:sz w:val="20"/>
          <w:szCs w:val="20"/>
        </w:rPr>
        <w:t>J</w:t>
      </w:r>
      <w:r w:rsidR="002A6D47" w:rsidRPr="005B0931">
        <w:rPr>
          <w:rFonts w:eastAsia="Calibri"/>
          <w:sz w:val="20"/>
          <w:szCs w:val="20"/>
        </w:rPr>
        <w:t xml:space="preserve"> </w:t>
      </w:r>
      <w:proofErr w:type="spellStart"/>
      <w:r w:rsidRPr="005B0931">
        <w:rPr>
          <w:rFonts w:eastAsia="Calibri"/>
          <w:sz w:val="20"/>
          <w:szCs w:val="20"/>
        </w:rPr>
        <w:t>Cli</w:t>
      </w:r>
      <w:r w:rsidR="002A6D47" w:rsidRPr="005B0931">
        <w:rPr>
          <w:rFonts w:eastAsia="Calibri"/>
          <w:sz w:val="20"/>
          <w:szCs w:val="20"/>
        </w:rPr>
        <w:t>n</w:t>
      </w:r>
      <w:proofErr w:type="spellEnd"/>
      <w:r w:rsidR="002A6D47" w:rsidRPr="005B0931">
        <w:rPr>
          <w:rFonts w:eastAsia="Calibri"/>
          <w:sz w:val="20"/>
          <w:szCs w:val="20"/>
        </w:rPr>
        <w:t xml:space="preserve"> </w:t>
      </w:r>
      <w:proofErr w:type="spellStart"/>
      <w:r w:rsidR="002A6D47" w:rsidRPr="005B0931">
        <w:rPr>
          <w:rFonts w:eastAsia="Calibri"/>
          <w:sz w:val="20"/>
          <w:szCs w:val="20"/>
        </w:rPr>
        <w:t>E</w:t>
      </w:r>
      <w:r w:rsidRPr="005B0931">
        <w:rPr>
          <w:rFonts w:eastAsia="Calibri"/>
          <w:sz w:val="20"/>
          <w:szCs w:val="20"/>
        </w:rPr>
        <w:t>pidemiol</w:t>
      </w:r>
      <w:proofErr w:type="spellEnd"/>
      <w:r w:rsidR="002A6D47" w:rsidRPr="005B0931">
        <w:rPr>
          <w:rFonts w:eastAsia="Calibri"/>
          <w:sz w:val="20"/>
          <w:szCs w:val="20"/>
        </w:rPr>
        <w:t xml:space="preserve"> </w:t>
      </w:r>
      <w:r w:rsidRPr="005B0931">
        <w:rPr>
          <w:rFonts w:eastAsia="Calibri"/>
          <w:sz w:val="20"/>
          <w:szCs w:val="20"/>
        </w:rPr>
        <w:t>41,</w:t>
      </w:r>
      <w:r w:rsidR="002A6D47" w:rsidRPr="005B0931">
        <w:rPr>
          <w:rFonts w:eastAsia="Calibri"/>
          <w:sz w:val="20"/>
          <w:szCs w:val="20"/>
        </w:rPr>
        <w:t xml:space="preserve"> </w:t>
      </w:r>
      <w:r w:rsidRPr="005B0931">
        <w:rPr>
          <w:rFonts w:eastAsia="Calibri"/>
          <w:sz w:val="20"/>
          <w:szCs w:val="20"/>
        </w:rPr>
        <w:t>105-11</w:t>
      </w:r>
      <w:r w:rsidR="002A6D47" w:rsidRPr="005B0931">
        <w:rPr>
          <w:rFonts w:eastAsia="Calibri"/>
          <w:sz w:val="20"/>
          <w:szCs w:val="20"/>
        </w:rPr>
        <w:t>4.</w:t>
      </w:r>
    </w:p>
    <w:p w:rsidR="002A6D47" w:rsidRPr="005B0931" w:rsidRDefault="006C67BF" w:rsidP="002A6D47">
      <w:pPr>
        <w:numPr>
          <w:ilvl w:val="0"/>
          <w:numId w:val="32"/>
        </w:numPr>
        <w:bidi w:val="0"/>
        <w:snapToGrid w:val="0"/>
        <w:ind w:left="425" w:hanging="425"/>
        <w:contextualSpacing/>
        <w:jc w:val="both"/>
        <w:rPr>
          <w:sz w:val="20"/>
          <w:szCs w:val="20"/>
        </w:rPr>
      </w:pPr>
      <w:r w:rsidRPr="005B0931">
        <w:rPr>
          <w:sz w:val="20"/>
          <w:szCs w:val="20"/>
        </w:rPr>
        <w:t>Incidence</w:t>
      </w:r>
      <w:r w:rsidR="002A6D47" w:rsidRPr="005B0931">
        <w:rPr>
          <w:sz w:val="20"/>
          <w:szCs w:val="20"/>
        </w:rPr>
        <w:t xml:space="preserve"> </w:t>
      </w:r>
      <w:r w:rsidRPr="005B0931">
        <w:rPr>
          <w:sz w:val="20"/>
          <w:szCs w:val="20"/>
        </w:rPr>
        <w:t>and</w:t>
      </w:r>
      <w:r w:rsidR="002A6D47" w:rsidRPr="005B0931">
        <w:rPr>
          <w:sz w:val="20"/>
          <w:szCs w:val="20"/>
        </w:rPr>
        <w:t xml:space="preserve"> </w:t>
      </w:r>
      <w:r w:rsidRPr="005B0931">
        <w:rPr>
          <w:sz w:val="20"/>
          <w:szCs w:val="20"/>
        </w:rPr>
        <w:t>Prevalence:</w:t>
      </w:r>
      <w:r w:rsidR="002A6D47" w:rsidRPr="005B0931">
        <w:rPr>
          <w:sz w:val="20"/>
          <w:szCs w:val="20"/>
        </w:rPr>
        <w:t xml:space="preserve"> </w:t>
      </w:r>
      <w:r w:rsidRPr="005B0931">
        <w:rPr>
          <w:sz w:val="20"/>
          <w:szCs w:val="20"/>
        </w:rPr>
        <w:t>2006</w:t>
      </w:r>
      <w:r w:rsidR="002A6D47" w:rsidRPr="005B0931">
        <w:rPr>
          <w:sz w:val="20"/>
          <w:szCs w:val="20"/>
        </w:rPr>
        <w:t xml:space="preserve"> </w:t>
      </w:r>
      <w:r w:rsidRPr="005B0931">
        <w:rPr>
          <w:sz w:val="20"/>
          <w:szCs w:val="20"/>
        </w:rPr>
        <w:t>Chart</w:t>
      </w:r>
      <w:r w:rsidR="002A6D47" w:rsidRPr="005B0931">
        <w:rPr>
          <w:sz w:val="20"/>
          <w:szCs w:val="20"/>
        </w:rPr>
        <w:t xml:space="preserve"> </w:t>
      </w:r>
      <w:r w:rsidRPr="005B0931">
        <w:rPr>
          <w:sz w:val="20"/>
          <w:szCs w:val="20"/>
        </w:rPr>
        <w:t>Book</w:t>
      </w:r>
      <w:r w:rsidR="002A6D47" w:rsidRPr="005B0931">
        <w:rPr>
          <w:sz w:val="20"/>
          <w:szCs w:val="20"/>
        </w:rPr>
        <w:t xml:space="preserve"> </w:t>
      </w:r>
      <w:r w:rsidRPr="005B0931">
        <w:rPr>
          <w:sz w:val="20"/>
          <w:szCs w:val="20"/>
        </w:rPr>
        <w:t>on</w:t>
      </w:r>
      <w:r w:rsidR="002A6D47" w:rsidRPr="005B0931">
        <w:rPr>
          <w:sz w:val="20"/>
          <w:szCs w:val="20"/>
        </w:rPr>
        <w:t xml:space="preserve"> </w:t>
      </w:r>
      <w:r w:rsidRPr="005B0931">
        <w:rPr>
          <w:sz w:val="20"/>
          <w:szCs w:val="20"/>
        </w:rPr>
        <w:t>Cardiovascular</w:t>
      </w:r>
      <w:r w:rsidR="002A6D47" w:rsidRPr="005B0931">
        <w:rPr>
          <w:sz w:val="20"/>
          <w:szCs w:val="20"/>
        </w:rPr>
        <w:t xml:space="preserve"> </w:t>
      </w:r>
      <w:r w:rsidRPr="005B0931">
        <w:rPr>
          <w:sz w:val="20"/>
          <w:szCs w:val="20"/>
        </w:rPr>
        <w:t>and</w:t>
      </w:r>
      <w:r w:rsidR="002A6D47" w:rsidRPr="005B0931">
        <w:rPr>
          <w:sz w:val="20"/>
          <w:szCs w:val="20"/>
        </w:rPr>
        <w:t xml:space="preserve"> </w:t>
      </w:r>
      <w:r w:rsidRPr="005B0931">
        <w:rPr>
          <w:sz w:val="20"/>
          <w:szCs w:val="20"/>
        </w:rPr>
        <w:t>Lung</w:t>
      </w:r>
      <w:r w:rsidR="002A6D47" w:rsidRPr="005B0931">
        <w:rPr>
          <w:sz w:val="20"/>
          <w:szCs w:val="20"/>
        </w:rPr>
        <w:t xml:space="preserve"> </w:t>
      </w:r>
      <w:r w:rsidRPr="005B0931">
        <w:rPr>
          <w:sz w:val="20"/>
          <w:szCs w:val="20"/>
        </w:rPr>
        <w:t>Diseases.</w:t>
      </w:r>
      <w:r w:rsidR="002A6D47" w:rsidRPr="005B0931">
        <w:rPr>
          <w:sz w:val="20"/>
          <w:szCs w:val="20"/>
        </w:rPr>
        <w:t xml:space="preserve"> </w:t>
      </w:r>
      <w:r w:rsidRPr="005B0931">
        <w:rPr>
          <w:sz w:val="20"/>
          <w:szCs w:val="20"/>
        </w:rPr>
        <w:t>Bethesda,</w:t>
      </w:r>
      <w:r w:rsidR="002A6D47" w:rsidRPr="005B0931">
        <w:rPr>
          <w:sz w:val="20"/>
          <w:szCs w:val="20"/>
        </w:rPr>
        <w:t xml:space="preserve"> </w:t>
      </w:r>
      <w:proofErr w:type="spellStart"/>
      <w:r w:rsidRPr="005B0931">
        <w:rPr>
          <w:sz w:val="20"/>
          <w:szCs w:val="20"/>
        </w:rPr>
        <w:t>Md</w:t>
      </w:r>
      <w:proofErr w:type="spellEnd"/>
      <w:r w:rsidRPr="005B0931">
        <w:rPr>
          <w:sz w:val="20"/>
          <w:szCs w:val="20"/>
        </w:rPr>
        <w:t>:</w:t>
      </w:r>
      <w:r w:rsidR="002A6D47" w:rsidRPr="005B0931">
        <w:rPr>
          <w:sz w:val="20"/>
          <w:szCs w:val="20"/>
        </w:rPr>
        <w:t xml:space="preserve"> </w:t>
      </w:r>
      <w:r w:rsidRPr="005B0931">
        <w:rPr>
          <w:sz w:val="20"/>
          <w:szCs w:val="20"/>
        </w:rPr>
        <w:t>National</w:t>
      </w:r>
      <w:r w:rsidR="002A6D47" w:rsidRPr="005B0931">
        <w:rPr>
          <w:sz w:val="20"/>
          <w:szCs w:val="20"/>
        </w:rPr>
        <w:t xml:space="preserve"> </w:t>
      </w:r>
      <w:r w:rsidRPr="005B0931">
        <w:rPr>
          <w:sz w:val="20"/>
          <w:szCs w:val="20"/>
        </w:rPr>
        <w:t>Heart,</w:t>
      </w:r>
      <w:r w:rsidR="002A6D47" w:rsidRPr="005B0931">
        <w:rPr>
          <w:sz w:val="20"/>
          <w:szCs w:val="20"/>
        </w:rPr>
        <w:t xml:space="preserve"> </w:t>
      </w:r>
      <w:r w:rsidRPr="005B0931">
        <w:rPr>
          <w:sz w:val="20"/>
          <w:szCs w:val="20"/>
        </w:rPr>
        <w:t>Lung,</w:t>
      </w:r>
      <w:r w:rsidR="002A6D47" w:rsidRPr="005B0931">
        <w:rPr>
          <w:sz w:val="20"/>
          <w:szCs w:val="20"/>
        </w:rPr>
        <w:t xml:space="preserve"> </w:t>
      </w:r>
      <w:r w:rsidRPr="005B0931">
        <w:rPr>
          <w:sz w:val="20"/>
          <w:szCs w:val="20"/>
        </w:rPr>
        <w:t>and</w:t>
      </w:r>
      <w:r w:rsidR="002A6D47" w:rsidRPr="005B0931">
        <w:rPr>
          <w:sz w:val="20"/>
          <w:szCs w:val="20"/>
        </w:rPr>
        <w:t xml:space="preserve"> </w:t>
      </w:r>
      <w:r w:rsidRPr="005B0931">
        <w:rPr>
          <w:sz w:val="20"/>
          <w:szCs w:val="20"/>
        </w:rPr>
        <w:t>Blood</w:t>
      </w:r>
      <w:r w:rsidR="002A6D47" w:rsidRPr="005B0931">
        <w:rPr>
          <w:sz w:val="20"/>
          <w:szCs w:val="20"/>
        </w:rPr>
        <w:t xml:space="preserve"> </w:t>
      </w:r>
      <w:r w:rsidRPr="005B0931">
        <w:rPr>
          <w:sz w:val="20"/>
          <w:szCs w:val="20"/>
        </w:rPr>
        <w:t>Institute;</w:t>
      </w:r>
      <w:r w:rsidR="002A6D47" w:rsidRPr="005B0931">
        <w:rPr>
          <w:sz w:val="20"/>
          <w:szCs w:val="20"/>
        </w:rPr>
        <w:t xml:space="preserve"> </w:t>
      </w:r>
      <w:r w:rsidRPr="005B0931">
        <w:rPr>
          <w:sz w:val="20"/>
          <w:szCs w:val="20"/>
        </w:rPr>
        <w:t>200</w:t>
      </w:r>
      <w:r w:rsidR="002A6D47" w:rsidRPr="005B0931">
        <w:rPr>
          <w:sz w:val="20"/>
          <w:szCs w:val="20"/>
        </w:rPr>
        <w:t>6.</w:t>
      </w:r>
    </w:p>
    <w:p w:rsidR="006C67BF" w:rsidRPr="005B0931" w:rsidRDefault="00893D2E" w:rsidP="002A6D47">
      <w:pPr>
        <w:numPr>
          <w:ilvl w:val="0"/>
          <w:numId w:val="32"/>
        </w:numPr>
        <w:bidi w:val="0"/>
        <w:snapToGrid w:val="0"/>
        <w:ind w:left="425" w:hanging="425"/>
        <w:contextualSpacing/>
        <w:jc w:val="both"/>
        <w:rPr>
          <w:rFonts w:eastAsia="Calibri"/>
          <w:sz w:val="20"/>
          <w:szCs w:val="20"/>
        </w:rPr>
      </w:pPr>
      <w:hyperlink r:id="rId19" w:history="1">
        <w:r w:rsidR="006C67BF" w:rsidRPr="005B0931">
          <w:rPr>
            <w:sz w:val="20"/>
            <w:szCs w:val="20"/>
          </w:rPr>
          <w:t>M.</w:t>
        </w:r>
        <w:r w:rsidR="002A6D47" w:rsidRPr="005B0931">
          <w:rPr>
            <w:sz w:val="20"/>
            <w:szCs w:val="20"/>
          </w:rPr>
          <w:t xml:space="preserve"> </w:t>
        </w:r>
        <w:proofErr w:type="spellStart"/>
        <w:r w:rsidR="006C67BF" w:rsidRPr="005B0931">
          <w:rPr>
            <w:sz w:val="20"/>
            <w:szCs w:val="20"/>
          </w:rPr>
          <w:t>Edwardson,</w:t>
        </w:r>
      </w:hyperlink>
      <w:r w:rsidR="006C67BF" w:rsidRPr="005B0931">
        <w:rPr>
          <w:sz w:val="20"/>
          <w:szCs w:val="20"/>
        </w:rPr>
        <w:t>A</w:t>
      </w:r>
      <w:proofErr w:type="spellEnd"/>
      <w:r w:rsidR="006C67BF" w:rsidRPr="005B0931">
        <w:rPr>
          <w:sz w:val="20"/>
          <w:szCs w:val="20"/>
        </w:rPr>
        <w:t>.</w:t>
      </w:r>
      <w:r w:rsidR="002A6D47" w:rsidRPr="005B0931">
        <w:rPr>
          <w:sz w:val="20"/>
          <w:szCs w:val="20"/>
        </w:rPr>
        <w:t xml:space="preserve"> </w:t>
      </w:r>
      <w:proofErr w:type="spellStart"/>
      <w:r w:rsidR="006C67BF" w:rsidRPr="005B0931">
        <w:rPr>
          <w:sz w:val="20"/>
          <w:szCs w:val="20"/>
        </w:rPr>
        <w:t>Dromerick</w:t>
      </w:r>
      <w:proofErr w:type="spellEnd"/>
      <w:r w:rsidR="002A6D47" w:rsidRPr="005B0931">
        <w:rPr>
          <w:sz w:val="20"/>
          <w:szCs w:val="20"/>
        </w:rPr>
        <w:t>, u</w:t>
      </w:r>
      <w:r w:rsidR="006C67BF" w:rsidRPr="005B0931">
        <w:rPr>
          <w:sz w:val="20"/>
          <w:szCs w:val="20"/>
        </w:rPr>
        <w:t>ptodate.com,</w:t>
      </w:r>
      <w:r w:rsidR="002A6D47" w:rsidRPr="005B0931">
        <w:rPr>
          <w:sz w:val="20"/>
          <w:szCs w:val="20"/>
        </w:rPr>
        <w:t xml:space="preserve"> </w:t>
      </w:r>
      <w:r w:rsidR="006C67BF" w:rsidRPr="005B0931">
        <w:rPr>
          <w:sz w:val="20"/>
          <w:szCs w:val="20"/>
        </w:rPr>
        <w:t>Ischemic</w:t>
      </w:r>
      <w:r w:rsidR="002A6D47" w:rsidRPr="005B0931">
        <w:rPr>
          <w:sz w:val="20"/>
          <w:szCs w:val="20"/>
        </w:rPr>
        <w:t xml:space="preserve"> </w:t>
      </w:r>
      <w:r w:rsidR="006C67BF" w:rsidRPr="005B0931">
        <w:rPr>
          <w:sz w:val="20"/>
          <w:szCs w:val="20"/>
        </w:rPr>
        <w:t>stroke</w:t>
      </w:r>
      <w:r w:rsidR="002A6D47" w:rsidRPr="005B0931">
        <w:rPr>
          <w:sz w:val="20"/>
          <w:szCs w:val="20"/>
        </w:rPr>
        <w:t xml:space="preserve"> </w:t>
      </w:r>
      <w:r w:rsidR="006C67BF" w:rsidRPr="005B0931">
        <w:rPr>
          <w:sz w:val="20"/>
          <w:szCs w:val="20"/>
        </w:rPr>
        <w:t>prognosis</w:t>
      </w:r>
      <w:r w:rsidR="002A6D47" w:rsidRPr="005B0931">
        <w:rPr>
          <w:sz w:val="20"/>
          <w:szCs w:val="20"/>
        </w:rPr>
        <w:t xml:space="preserve"> </w:t>
      </w:r>
      <w:r w:rsidR="006C67BF" w:rsidRPr="005B0931">
        <w:rPr>
          <w:sz w:val="20"/>
          <w:szCs w:val="20"/>
        </w:rPr>
        <w:t>in</w:t>
      </w:r>
      <w:r w:rsidR="002A6D47" w:rsidRPr="005B0931">
        <w:rPr>
          <w:sz w:val="20"/>
          <w:szCs w:val="20"/>
        </w:rPr>
        <w:t xml:space="preserve"> </w:t>
      </w:r>
      <w:r w:rsidR="006C67BF" w:rsidRPr="005B0931">
        <w:rPr>
          <w:sz w:val="20"/>
          <w:szCs w:val="20"/>
        </w:rPr>
        <w:t>adults</w:t>
      </w:r>
      <w:r w:rsidR="002A6D47" w:rsidRPr="005B0931">
        <w:rPr>
          <w:sz w:val="20"/>
          <w:szCs w:val="20"/>
        </w:rPr>
        <w:t xml:space="preserve"> </w:t>
      </w:r>
      <w:r w:rsidR="006C67BF" w:rsidRPr="005B0931">
        <w:rPr>
          <w:sz w:val="20"/>
          <w:szCs w:val="20"/>
        </w:rPr>
        <w:t>2016.</w:t>
      </w:r>
    </w:p>
    <w:p w:rsidR="002A6D47" w:rsidRPr="005B0931" w:rsidRDefault="006C67BF" w:rsidP="002A6D47">
      <w:pPr>
        <w:numPr>
          <w:ilvl w:val="0"/>
          <w:numId w:val="32"/>
        </w:numPr>
        <w:bidi w:val="0"/>
        <w:snapToGrid w:val="0"/>
        <w:ind w:left="425" w:hanging="425"/>
        <w:contextualSpacing/>
        <w:jc w:val="both"/>
        <w:rPr>
          <w:rFonts w:eastAsia="Calibri"/>
          <w:color w:val="000000"/>
          <w:sz w:val="20"/>
          <w:szCs w:val="20"/>
          <w:shd w:val="clear" w:color="auto" w:fill="FFFFFF"/>
        </w:rPr>
      </w:pPr>
      <w:proofErr w:type="spellStart"/>
      <w:r w:rsidRPr="005B0931">
        <w:rPr>
          <w:rFonts w:eastAsia="Calibri"/>
          <w:color w:val="000000"/>
          <w:sz w:val="20"/>
          <w:szCs w:val="20"/>
          <w:shd w:val="clear" w:color="auto" w:fill="FFFFFF"/>
        </w:rPr>
        <w:t>Glader</w:t>
      </w:r>
      <w:proofErr w:type="spellEnd"/>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EL,</w:t>
      </w:r>
      <w:r w:rsidR="002A6D47" w:rsidRPr="005B0931">
        <w:rPr>
          <w:rFonts w:eastAsia="Calibri"/>
          <w:color w:val="000000"/>
          <w:sz w:val="20"/>
          <w:szCs w:val="20"/>
          <w:shd w:val="clear" w:color="auto" w:fill="FFFFFF"/>
        </w:rPr>
        <w:t xml:space="preserve"> </w:t>
      </w:r>
      <w:proofErr w:type="spellStart"/>
      <w:r w:rsidRPr="005B0931">
        <w:rPr>
          <w:rFonts w:eastAsia="Calibri"/>
          <w:color w:val="000000"/>
          <w:sz w:val="20"/>
          <w:szCs w:val="20"/>
          <w:shd w:val="clear" w:color="auto" w:fill="FFFFFF"/>
        </w:rPr>
        <w:t>Stegmayr</w:t>
      </w:r>
      <w:proofErr w:type="spellEnd"/>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B,</w:t>
      </w:r>
      <w:r w:rsidR="002A6D47" w:rsidRPr="005B0931">
        <w:rPr>
          <w:rFonts w:eastAsia="Calibri"/>
          <w:color w:val="000000"/>
          <w:sz w:val="20"/>
          <w:szCs w:val="20"/>
          <w:shd w:val="clear" w:color="auto" w:fill="FFFFFF"/>
        </w:rPr>
        <w:t xml:space="preserve"> </w:t>
      </w:r>
      <w:proofErr w:type="spellStart"/>
      <w:r w:rsidRPr="005B0931">
        <w:rPr>
          <w:rFonts w:eastAsia="Calibri"/>
          <w:color w:val="000000"/>
          <w:sz w:val="20"/>
          <w:szCs w:val="20"/>
          <w:shd w:val="clear" w:color="auto" w:fill="FFFFFF"/>
        </w:rPr>
        <w:t>Norrving</w:t>
      </w:r>
      <w:proofErr w:type="spellEnd"/>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B,</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et</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al.</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Sex</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differences</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in</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management</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and</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outcome</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after</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stroke:</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a</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Swedish</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national</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perspective.</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Stroke.</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2003;34:1970–7</w:t>
      </w:r>
      <w:r w:rsidR="002A6D47" w:rsidRPr="005B0931">
        <w:rPr>
          <w:rFonts w:eastAsia="Calibri"/>
          <w:color w:val="000000"/>
          <w:sz w:val="20"/>
          <w:szCs w:val="20"/>
          <w:shd w:val="clear" w:color="auto" w:fill="FFFFFF"/>
        </w:rPr>
        <w:t>5.</w:t>
      </w:r>
    </w:p>
    <w:p w:rsidR="006C67BF" w:rsidRPr="005B0931" w:rsidRDefault="006C67BF" w:rsidP="002A6D47">
      <w:pPr>
        <w:numPr>
          <w:ilvl w:val="0"/>
          <w:numId w:val="32"/>
        </w:numPr>
        <w:bidi w:val="0"/>
        <w:snapToGrid w:val="0"/>
        <w:ind w:left="425" w:hanging="425"/>
        <w:contextualSpacing/>
        <w:jc w:val="both"/>
        <w:rPr>
          <w:rFonts w:eastAsia="Calibri"/>
          <w:sz w:val="20"/>
          <w:szCs w:val="20"/>
        </w:rPr>
      </w:pPr>
      <w:r w:rsidRPr="005B0931">
        <w:rPr>
          <w:sz w:val="20"/>
          <w:szCs w:val="20"/>
        </w:rPr>
        <w:t>Weimar</w:t>
      </w:r>
      <w:r w:rsidR="002A6D47" w:rsidRPr="005B0931">
        <w:rPr>
          <w:sz w:val="20"/>
          <w:szCs w:val="20"/>
        </w:rPr>
        <w:t xml:space="preserve"> </w:t>
      </w:r>
      <w:r w:rsidRPr="005B0931">
        <w:rPr>
          <w:sz w:val="20"/>
          <w:szCs w:val="20"/>
        </w:rPr>
        <w:t>C,</w:t>
      </w:r>
      <w:r w:rsidR="002A6D47" w:rsidRPr="005B0931">
        <w:rPr>
          <w:sz w:val="20"/>
          <w:szCs w:val="20"/>
        </w:rPr>
        <w:t xml:space="preserve"> </w:t>
      </w:r>
      <w:proofErr w:type="spellStart"/>
      <w:r w:rsidRPr="005B0931">
        <w:rPr>
          <w:sz w:val="20"/>
          <w:szCs w:val="20"/>
        </w:rPr>
        <w:t>König</w:t>
      </w:r>
      <w:proofErr w:type="spellEnd"/>
      <w:r w:rsidR="002A6D47" w:rsidRPr="005B0931">
        <w:rPr>
          <w:sz w:val="20"/>
          <w:szCs w:val="20"/>
        </w:rPr>
        <w:t xml:space="preserve"> </w:t>
      </w:r>
      <w:r w:rsidRPr="005B0931">
        <w:rPr>
          <w:sz w:val="20"/>
          <w:szCs w:val="20"/>
        </w:rPr>
        <w:t>IR,</w:t>
      </w:r>
      <w:r w:rsidR="002A6D47" w:rsidRPr="005B0931">
        <w:rPr>
          <w:sz w:val="20"/>
          <w:szCs w:val="20"/>
        </w:rPr>
        <w:t xml:space="preserve"> </w:t>
      </w:r>
      <w:proofErr w:type="spellStart"/>
      <w:r w:rsidRPr="005B0931">
        <w:rPr>
          <w:sz w:val="20"/>
          <w:szCs w:val="20"/>
        </w:rPr>
        <w:t>Kraywinkel</w:t>
      </w:r>
      <w:proofErr w:type="spellEnd"/>
      <w:r w:rsidR="002A6D47" w:rsidRPr="005B0931">
        <w:rPr>
          <w:sz w:val="20"/>
          <w:szCs w:val="20"/>
        </w:rPr>
        <w:t xml:space="preserve"> </w:t>
      </w:r>
      <w:r w:rsidRPr="005B0931">
        <w:rPr>
          <w:sz w:val="20"/>
          <w:szCs w:val="20"/>
        </w:rPr>
        <w:t>K,</w:t>
      </w:r>
      <w:r w:rsidR="002A6D47" w:rsidRPr="005B0931">
        <w:rPr>
          <w:sz w:val="20"/>
          <w:szCs w:val="20"/>
        </w:rPr>
        <w:t xml:space="preserve"> </w:t>
      </w:r>
      <w:r w:rsidRPr="005B0931">
        <w:rPr>
          <w:sz w:val="20"/>
          <w:szCs w:val="20"/>
        </w:rPr>
        <w:t>et</w:t>
      </w:r>
      <w:r w:rsidR="002A6D47" w:rsidRPr="005B0931">
        <w:rPr>
          <w:sz w:val="20"/>
          <w:szCs w:val="20"/>
        </w:rPr>
        <w:t xml:space="preserve"> </w:t>
      </w:r>
      <w:r w:rsidRPr="005B0931">
        <w:rPr>
          <w:sz w:val="20"/>
          <w:szCs w:val="20"/>
        </w:rPr>
        <w:t>al.</w:t>
      </w:r>
      <w:r w:rsidR="002A6D47" w:rsidRPr="005B0931">
        <w:rPr>
          <w:sz w:val="20"/>
          <w:szCs w:val="20"/>
        </w:rPr>
        <w:t xml:space="preserve"> </w:t>
      </w:r>
      <w:r w:rsidRPr="005B0931">
        <w:rPr>
          <w:sz w:val="20"/>
          <w:szCs w:val="20"/>
        </w:rPr>
        <w:t>Age</w:t>
      </w:r>
      <w:r w:rsidR="002A6D47" w:rsidRPr="005B0931">
        <w:rPr>
          <w:sz w:val="20"/>
          <w:szCs w:val="20"/>
        </w:rPr>
        <w:t xml:space="preserve"> </w:t>
      </w:r>
      <w:r w:rsidRPr="005B0931">
        <w:rPr>
          <w:sz w:val="20"/>
          <w:szCs w:val="20"/>
        </w:rPr>
        <w:t>and</w:t>
      </w:r>
      <w:r w:rsidR="002A6D47" w:rsidRPr="005B0931">
        <w:rPr>
          <w:sz w:val="20"/>
          <w:szCs w:val="20"/>
        </w:rPr>
        <w:t xml:space="preserve"> </w:t>
      </w:r>
      <w:r w:rsidRPr="005B0931">
        <w:rPr>
          <w:sz w:val="20"/>
          <w:szCs w:val="20"/>
        </w:rPr>
        <w:t>National</w:t>
      </w:r>
      <w:r w:rsidR="002A6D47" w:rsidRPr="005B0931">
        <w:rPr>
          <w:sz w:val="20"/>
          <w:szCs w:val="20"/>
        </w:rPr>
        <w:t xml:space="preserve"> </w:t>
      </w:r>
      <w:r w:rsidRPr="005B0931">
        <w:rPr>
          <w:sz w:val="20"/>
          <w:szCs w:val="20"/>
        </w:rPr>
        <w:t>Institutes</w:t>
      </w:r>
      <w:r w:rsidR="002A6D47" w:rsidRPr="005B0931">
        <w:rPr>
          <w:sz w:val="20"/>
          <w:szCs w:val="20"/>
        </w:rPr>
        <w:t xml:space="preserve"> </w:t>
      </w:r>
      <w:r w:rsidRPr="005B0931">
        <w:rPr>
          <w:sz w:val="20"/>
          <w:szCs w:val="20"/>
        </w:rPr>
        <w:t>of</w:t>
      </w:r>
      <w:r w:rsidR="002A6D47" w:rsidRPr="005B0931">
        <w:rPr>
          <w:sz w:val="20"/>
          <w:szCs w:val="20"/>
        </w:rPr>
        <w:t xml:space="preserve"> </w:t>
      </w:r>
      <w:r w:rsidRPr="005B0931">
        <w:rPr>
          <w:sz w:val="20"/>
          <w:szCs w:val="20"/>
        </w:rPr>
        <w:t>Health</w:t>
      </w:r>
      <w:r w:rsidR="002A6D47" w:rsidRPr="005B0931">
        <w:rPr>
          <w:sz w:val="20"/>
          <w:szCs w:val="20"/>
        </w:rPr>
        <w:t xml:space="preserve"> </w:t>
      </w:r>
      <w:r w:rsidRPr="005B0931">
        <w:rPr>
          <w:sz w:val="20"/>
          <w:szCs w:val="20"/>
        </w:rPr>
        <w:t>Stroke</w:t>
      </w:r>
      <w:r w:rsidR="002A6D47" w:rsidRPr="005B0931">
        <w:rPr>
          <w:sz w:val="20"/>
          <w:szCs w:val="20"/>
        </w:rPr>
        <w:t xml:space="preserve"> </w:t>
      </w:r>
      <w:r w:rsidRPr="005B0931">
        <w:rPr>
          <w:sz w:val="20"/>
          <w:szCs w:val="20"/>
        </w:rPr>
        <w:t>Scale</w:t>
      </w:r>
      <w:r w:rsidR="002A6D47" w:rsidRPr="005B0931">
        <w:rPr>
          <w:sz w:val="20"/>
          <w:szCs w:val="20"/>
        </w:rPr>
        <w:t xml:space="preserve"> </w:t>
      </w:r>
      <w:r w:rsidRPr="005B0931">
        <w:rPr>
          <w:sz w:val="20"/>
          <w:szCs w:val="20"/>
        </w:rPr>
        <w:t>Score</w:t>
      </w:r>
      <w:r w:rsidR="002A6D47" w:rsidRPr="005B0931">
        <w:rPr>
          <w:sz w:val="20"/>
          <w:szCs w:val="20"/>
        </w:rPr>
        <w:t xml:space="preserve"> </w:t>
      </w:r>
      <w:r w:rsidRPr="005B0931">
        <w:rPr>
          <w:sz w:val="20"/>
          <w:szCs w:val="20"/>
        </w:rPr>
        <w:t>within</w:t>
      </w:r>
      <w:r w:rsidR="002A6D47" w:rsidRPr="005B0931">
        <w:rPr>
          <w:sz w:val="20"/>
          <w:szCs w:val="20"/>
        </w:rPr>
        <w:t xml:space="preserve"> </w:t>
      </w:r>
      <w:r w:rsidRPr="005B0931">
        <w:rPr>
          <w:sz w:val="20"/>
          <w:szCs w:val="20"/>
        </w:rPr>
        <w:t>6</w:t>
      </w:r>
      <w:r w:rsidR="002A6D47" w:rsidRPr="005B0931">
        <w:rPr>
          <w:sz w:val="20"/>
          <w:szCs w:val="20"/>
        </w:rPr>
        <w:t xml:space="preserve"> </w:t>
      </w:r>
      <w:r w:rsidRPr="005B0931">
        <w:rPr>
          <w:sz w:val="20"/>
          <w:szCs w:val="20"/>
        </w:rPr>
        <w:t>hours</w:t>
      </w:r>
      <w:r w:rsidR="002A6D47" w:rsidRPr="005B0931">
        <w:rPr>
          <w:sz w:val="20"/>
          <w:szCs w:val="20"/>
        </w:rPr>
        <w:t xml:space="preserve"> </w:t>
      </w:r>
      <w:r w:rsidRPr="005B0931">
        <w:rPr>
          <w:sz w:val="20"/>
          <w:szCs w:val="20"/>
        </w:rPr>
        <w:t>after</w:t>
      </w:r>
      <w:r w:rsidR="002A6D47" w:rsidRPr="005B0931">
        <w:rPr>
          <w:sz w:val="20"/>
          <w:szCs w:val="20"/>
        </w:rPr>
        <w:t xml:space="preserve"> </w:t>
      </w:r>
      <w:r w:rsidRPr="005B0931">
        <w:rPr>
          <w:sz w:val="20"/>
          <w:szCs w:val="20"/>
        </w:rPr>
        <w:t>onset</w:t>
      </w:r>
      <w:r w:rsidR="002A6D47" w:rsidRPr="005B0931">
        <w:rPr>
          <w:sz w:val="20"/>
          <w:szCs w:val="20"/>
        </w:rPr>
        <w:t xml:space="preserve"> </w:t>
      </w:r>
      <w:r w:rsidRPr="005B0931">
        <w:rPr>
          <w:sz w:val="20"/>
          <w:szCs w:val="20"/>
        </w:rPr>
        <w:t>are</w:t>
      </w:r>
      <w:r w:rsidR="002A6D47" w:rsidRPr="005B0931">
        <w:rPr>
          <w:sz w:val="20"/>
          <w:szCs w:val="20"/>
        </w:rPr>
        <w:t xml:space="preserve"> </w:t>
      </w:r>
      <w:r w:rsidRPr="005B0931">
        <w:rPr>
          <w:sz w:val="20"/>
          <w:szCs w:val="20"/>
        </w:rPr>
        <w:t>accurate</w:t>
      </w:r>
      <w:r w:rsidR="002A6D47" w:rsidRPr="005B0931">
        <w:rPr>
          <w:sz w:val="20"/>
          <w:szCs w:val="20"/>
        </w:rPr>
        <w:t xml:space="preserve"> </w:t>
      </w:r>
      <w:r w:rsidRPr="005B0931">
        <w:rPr>
          <w:sz w:val="20"/>
          <w:szCs w:val="20"/>
        </w:rPr>
        <w:t>predictors</w:t>
      </w:r>
      <w:r w:rsidR="002A6D47" w:rsidRPr="005B0931">
        <w:rPr>
          <w:sz w:val="20"/>
          <w:szCs w:val="20"/>
        </w:rPr>
        <w:t xml:space="preserve"> </w:t>
      </w:r>
      <w:r w:rsidRPr="005B0931">
        <w:rPr>
          <w:sz w:val="20"/>
          <w:szCs w:val="20"/>
        </w:rPr>
        <w:t>of</w:t>
      </w:r>
      <w:r w:rsidR="002A6D47" w:rsidRPr="005B0931">
        <w:rPr>
          <w:sz w:val="20"/>
          <w:szCs w:val="20"/>
        </w:rPr>
        <w:t xml:space="preserve"> </w:t>
      </w:r>
      <w:r w:rsidRPr="005B0931">
        <w:rPr>
          <w:sz w:val="20"/>
          <w:szCs w:val="20"/>
        </w:rPr>
        <w:t>outcome</w:t>
      </w:r>
      <w:r w:rsidR="002A6D47" w:rsidRPr="005B0931">
        <w:rPr>
          <w:sz w:val="20"/>
          <w:szCs w:val="20"/>
        </w:rPr>
        <w:t xml:space="preserve"> </w:t>
      </w:r>
      <w:r w:rsidRPr="005B0931">
        <w:rPr>
          <w:sz w:val="20"/>
          <w:szCs w:val="20"/>
        </w:rPr>
        <w:t>after</w:t>
      </w:r>
      <w:r w:rsidR="002A6D47" w:rsidRPr="005B0931">
        <w:rPr>
          <w:sz w:val="20"/>
          <w:szCs w:val="20"/>
        </w:rPr>
        <w:t xml:space="preserve"> </w:t>
      </w:r>
      <w:r w:rsidRPr="005B0931">
        <w:rPr>
          <w:sz w:val="20"/>
          <w:szCs w:val="20"/>
        </w:rPr>
        <w:t>cerebral</w:t>
      </w:r>
      <w:r w:rsidR="002A6D47" w:rsidRPr="005B0931">
        <w:rPr>
          <w:sz w:val="20"/>
          <w:szCs w:val="20"/>
        </w:rPr>
        <w:t xml:space="preserve"> </w:t>
      </w:r>
      <w:r w:rsidRPr="005B0931">
        <w:rPr>
          <w:sz w:val="20"/>
          <w:szCs w:val="20"/>
        </w:rPr>
        <w:t>ischemia:</w:t>
      </w:r>
      <w:r w:rsidR="002A6D47" w:rsidRPr="005B0931">
        <w:rPr>
          <w:sz w:val="20"/>
          <w:szCs w:val="20"/>
        </w:rPr>
        <w:t xml:space="preserve"> </w:t>
      </w:r>
      <w:r w:rsidRPr="005B0931">
        <w:rPr>
          <w:sz w:val="20"/>
          <w:szCs w:val="20"/>
        </w:rPr>
        <w:t>development</w:t>
      </w:r>
      <w:r w:rsidR="002A6D47" w:rsidRPr="005B0931">
        <w:rPr>
          <w:sz w:val="20"/>
          <w:szCs w:val="20"/>
        </w:rPr>
        <w:t xml:space="preserve"> </w:t>
      </w:r>
      <w:r w:rsidRPr="005B0931">
        <w:rPr>
          <w:sz w:val="20"/>
          <w:szCs w:val="20"/>
        </w:rPr>
        <w:t>and</w:t>
      </w:r>
      <w:r w:rsidR="002A6D47" w:rsidRPr="005B0931">
        <w:rPr>
          <w:sz w:val="20"/>
          <w:szCs w:val="20"/>
        </w:rPr>
        <w:t xml:space="preserve"> </w:t>
      </w:r>
      <w:r w:rsidRPr="005B0931">
        <w:rPr>
          <w:sz w:val="20"/>
          <w:szCs w:val="20"/>
        </w:rPr>
        <w:t>external</w:t>
      </w:r>
      <w:r w:rsidR="002A6D47" w:rsidRPr="005B0931">
        <w:rPr>
          <w:sz w:val="20"/>
          <w:szCs w:val="20"/>
        </w:rPr>
        <w:t xml:space="preserve"> </w:t>
      </w:r>
      <w:r w:rsidRPr="005B0931">
        <w:rPr>
          <w:sz w:val="20"/>
          <w:szCs w:val="20"/>
        </w:rPr>
        <w:t>validation</w:t>
      </w:r>
      <w:r w:rsidR="002A6D47" w:rsidRPr="005B0931">
        <w:rPr>
          <w:sz w:val="20"/>
          <w:szCs w:val="20"/>
        </w:rPr>
        <w:t xml:space="preserve"> </w:t>
      </w:r>
      <w:r w:rsidRPr="005B0931">
        <w:rPr>
          <w:sz w:val="20"/>
          <w:szCs w:val="20"/>
        </w:rPr>
        <w:t>of</w:t>
      </w:r>
      <w:r w:rsidR="002A6D47" w:rsidRPr="005B0931">
        <w:rPr>
          <w:sz w:val="20"/>
          <w:szCs w:val="20"/>
        </w:rPr>
        <w:t xml:space="preserve"> </w:t>
      </w:r>
      <w:r w:rsidRPr="005B0931">
        <w:rPr>
          <w:sz w:val="20"/>
          <w:szCs w:val="20"/>
        </w:rPr>
        <w:t>prognostic</w:t>
      </w:r>
      <w:r w:rsidR="002A6D47" w:rsidRPr="005B0931">
        <w:rPr>
          <w:sz w:val="20"/>
          <w:szCs w:val="20"/>
        </w:rPr>
        <w:t xml:space="preserve"> </w:t>
      </w:r>
      <w:r w:rsidRPr="005B0931">
        <w:rPr>
          <w:sz w:val="20"/>
          <w:szCs w:val="20"/>
        </w:rPr>
        <w:t>models.</w:t>
      </w:r>
      <w:r w:rsidR="002A6D47" w:rsidRPr="005B0931">
        <w:rPr>
          <w:sz w:val="20"/>
          <w:szCs w:val="20"/>
        </w:rPr>
        <w:t xml:space="preserve"> </w:t>
      </w:r>
      <w:r w:rsidRPr="005B0931">
        <w:rPr>
          <w:sz w:val="20"/>
          <w:szCs w:val="20"/>
        </w:rPr>
        <w:t>Stroke</w:t>
      </w:r>
      <w:r w:rsidR="002A6D47" w:rsidRPr="005B0931">
        <w:rPr>
          <w:sz w:val="20"/>
          <w:szCs w:val="20"/>
        </w:rPr>
        <w:t xml:space="preserve"> </w:t>
      </w:r>
      <w:r w:rsidRPr="005B0931">
        <w:rPr>
          <w:sz w:val="20"/>
          <w:szCs w:val="20"/>
        </w:rPr>
        <w:t>2004;</w:t>
      </w:r>
      <w:r w:rsidR="002A6D47" w:rsidRPr="005B0931">
        <w:rPr>
          <w:sz w:val="20"/>
          <w:szCs w:val="20"/>
        </w:rPr>
        <w:t xml:space="preserve"> </w:t>
      </w:r>
      <w:r w:rsidRPr="005B0931">
        <w:rPr>
          <w:sz w:val="20"/>
          <w:szCs w:val="20"/>
        </w:rPr>
        <w:t>35:158.</w:t>
      </w:r>
    </w:p>
    <w:p w:rsidR="006C67BF" w:rsidRPr="005B0931" w:rsidRDefault="006C67BF" w:rsidP="002A6D47">
      <w:pPr>
        <w:numPr>
          <w:ilvl w:val="0"/>
          <w:numId w:val="32"/>
        </w:numPr>
        <w:bidi w:val="0"/>
        <w:snapToGrid w:val="0"/>
        <w:ind w:left="425" w:hanging="425"/>
        <w:contextualSpacing/>
        <w:jc w:val="both"/>
        <w:rPr>
          <w:rFonts w:eastAsia="Calibri"/>
          <w:sz w:val="20"/>
          <w:szCs w:val="20"/>
        </w:rPr>
      </w:pPr>
      <w:r w:rsidRPr="005B0931">
        <w:rPr>
          <w:sz w:val="20"/>
          <w:szCs w:val="20"/>
        </w:rPr>
        <w:t>Coutts</w:t>
      </w:r>
      <w:r w:rsidR="002A6D47" w:rsidRPr="005B0931">
        <w:rPr>
          <w:sz w:val="20"/>
          <w:szCs w:val="20"/>
        </w:rPr>
        <w:t xml:space="preserve"> </w:t>
      </w:r>
      <w:r w:rsidRPr="005B0931">
        <w:rPr>
          <w:sz w:val="20"/>
          <w:szCs w:val="20"/>
        </w:rPr>
        <w:t>SB,</w:t>
      </w:r>
      <w:r w:rsidR="002A6D47" w:rsidRPr="005B0931">
        <w:rPr>
          <w:sz w:val="20"/>
          <w:szCs w:val="20"/>
        </w:rPr>
        <w:t xml:space="preserve"> </w:t>
      </w:r>
      <w:proofErr w:type="spellStart"/>
      <w:r w:rsidRPr="005B0931">
        <w:rPr>
          <w:sz w:val="20"/>
          <w:szCs w:val="20"/>
        </w:rPr>
        <w:t>Modi</w:t>
      </w:r>
      <w:proofErr w:type="spellEnd"/>
      <w:r w:rsidR="002A6D47" w:rsidRPr="005B0931">
        <w:rPr>
          <w:sz w:val="20"/>
          <w:szCs w:val="20"/>
        </w:rPr>
        <w:t xml:space="preserve"> </w:t>
      </w:r>
      <w:r w:rsidRPr="005B0931">
        <w:rPr>
          <w:sz w:val="20"/>
          <w:szCs w:val="20"/>
        </w:rPr>
        <w:t>J,</w:t>
      </w:r>
      <w:r w:rsidR="002A6D47" w:rsidRPr="005B0931">
        <w:rPr>
          <w:sz w:val="20"/>
          <w:szCs w:val="20"/>
        </w:rPr>
        <w:t xml:space="preserve"> </w:t>
      </w:r>
      <w:r w:rsidRPr="005B0931">
        <w:rPr>
          <w:sz w:val="20"/>
          <w:szCs w:val="20"/>
        </w:rPr>
        <w:t>Patel</w:t>
      </w:r>
      <w:r w:rsidR="002A6D47" w:rsidRPr="005B0931">
        <w:rPr>
          <w:sz w:val="20"/>
          <w:szCs w:val="20"/>
        </w:rPr>
        <w:t xml:space="preserve"> </w:t>
      </w:r>
      <w:r w:rsidRPr="005B0931">
        <w:rPr>
          <w:sz w:val="20"/>
          <w:szCs w:val="20"/>
        </w:rPr>
        <w:t>SK,</w:t>
      </w:r>
      <w:r w:rsidR="002A6D47" w:rsidRPr="005B0931">
        <w:rPr>
          <w:sz w:val="20"/>
          <w:szCs w:val="20"/>
        </w:rPr>
        <w:t xml:space="preserve"> </w:t>
      </w:r>
      <w:r w:rsidRPr="005B0931">
        <w:rPr>
          <w:sz w:val="20"/>
          <w:szCs w:val="20"/>
        </w:rPr>
        <w:t>et</w:t>
      </w:r>
      <w:r w:rsidR="002A6D47" w:rsidRPr="005B0931">
        <w:rPr>
          <w:sz w:val="20"/>
          <w:szCs w:val="20"/>
        </w:rPr>
        <w:t xml:space="preserve"> </w:t>
      </w:r>
      <w:r w:rsidRPr="005B0931">
        <w:rPr>
          <w:sz w:val="20"/>
          <w:szCs w:val="20"/>
        </w:rPr>
        <w:t>al.</w:t>
      </w:r>
      <w:r w:rsidR="002A6D47" w:rsidRPr="005B0931">
        <w:rPr>
          <w:sz w:val="20"/>
          <w:szCs w:val="20"/>
        </w:rPr>
        <w:t xml:space="preserve"> </w:t>
      </w:r>
      <w:r w:rsidRPr="005B0931">
        <w:rPr>
          <w:sz w:val="20"/>
          <w:szCs w:val="20"/>
        </w:rPr>
        <w:t>What</w:t>
      </w:r>
      <w:r w:rsidR="002A6D47" w:rsidRPr="005B0931">
        <w:rPr>
          <w:sz w:val="20"/>
          <w:szCs w:val="20"/>
        </w:rPr>
        <w:t xml:space="preserve"> </w:t>
      </w:r>
      <w:r w:rsidRPr="005B0931">
        <w:rPr>
          <w:sz w:val="20"/>
          <w:szCs w:val="20"/>
        </w:rPr>
        <w:t>causes</w:t>
      </w:r>
      <w:r w:rsidR="002A6D47" w:rsidRPr="005B0931">
        <w:rPr>
          <w:sz w:val="20"/>
          <w:szCs w:val="20"/>
        </w:rPr>
        <w:t xml:space="preserve"> </w:t>
      </w:r>
      <w:r w:rsidRPr="005B0931">
        <w:rPr>
          <w:sz w:val="20"/>
          <w:szCs w:val="20"/>
        </w:rPr>
        <w:t>disability</w:t>
      </w:r>
      <w:r w:rsidR="002A6D47" w:rsidRPr="005B0931">
        <w:rPr>
          <w:sz w:val="20"/>
          <w:szCs w:val="20"/>
        </w:rPr>
        <w:t xml:space="preserve"> </w:t>
      </w:r>
      <w:r w:rsidRPr="005B0931">
        <w:rPr>
          <w:sz w:val="20"/>
          <w:szCs w:val="20"/>
        </w:rPr>
        <w:t>after</w:t>
      </w:r>
      <w:r w:rsidR="002A6D47" w:rsidRPr="005B0931">
        <w:rPr>
          <w:sz w:val="20"/>
          <w:szCs w:val="20"/>
        </w:rPr>
        <w:t xml:space="preserve"> </w:t>
      </w:r>
      <w:r w:rsidRPr="005B0931">
        <w:rPr>
          <w:sz w:val="20"/>
          <w:szCs w:val="20"/>
        </w:rPr>
        <w:t>transient</w:t>
      </w:r>
      <w:r w:rsidR="002A6D47" w:rsidRPr="005B0931">
        <w:rPr>
          <w:sz w:val="20"/>
          <w:szCs w:val="20"/>
        </w:rPr>
        <w:t xml:space="preserve"> </w:t>
      </w:r>
      <w:r w:rsidRPr="005B0931">
        <w:rPr>
          <w:sz w:val="20"/>
          <w:szCs w:val="20"/>
        </w:rPr>
        <w:t>ischemic</w:t>
      </w:r>
      <w:r w:rsidR="002A6D47" w:rsidRPr="005B0931">
        <w:rPr>
          <w:sz w:val="20"/>
          <w:szCs w:val="20"/>
        </w:rPr>
        <w:t xml:space="preserve"> </w:t>
      </w:r>
      <w:r w:rsidRPr="005B0931">
        <w:rPr>
          <w:sz w:val="20"/>
          <w:szCs w:val="20"/>
        </w:rPr>
        <w:t>attack</w:t>
      </w:r>
      <w:r w:rsidR="002A6D47" w:rsidRPr="005B0931">
        <w:rPr>
          <w:sz w:val="20"/>
          <w:szCs w:val="20"/>
        </w:rPr>
        <w:t xml:space="preserve"> </w:t>
      </w:r>
      <w:r w:rsidRPr="005B0931">
        <w:rPr>
          <w:sz w:val="20"/>
          <w:szCs w:val="20"/>
        </w:rPr>
        <w:t>and</w:t>
      </w:r>
      <w:r w:rsidR="002A6D47" w:rsidRPr="005B0931">
        <w:rPr>
          <w:sz w:val="20"/>
          <w:szCs w:val="20"/>
        </w:rPr>
        <w:t xml:space="preserve"> </w:t>
      </w:r>
      <w:r w:rsidRPr="005B0931">
        <w:rPr>
          <w:sz w:val="20"/>
          <w:szCs w:val="20"/>
        </w:rPr>
        <w:t>minor</w:t>
      </w:r>
      <w:r w:rsidR="002A6D47" w:rsidRPr="005B0931">
        <w:rPr>
          <w:sz w:val="20"/>
          <w:szCs w:val="20"/>
        </w:rPr>
        <w:t xml:space="preserve"> </w:t>
      </w:r>
      <w:r w:rsidRPr="005B0931">
        <w:rPr>
          <w:sz w:val="20"/>
          <w:szCs w:val="20"/>
        </w:rPr>
        <w:t>stroke?:</w:t>
      </w:r>
      <w:r w:rsidR="002A6D47" w:rsidRPr="005B0931">
        <w:rPr>
          <w:sz w:val="20"/>
          <w:szCs w:val="20"/>
        </w:rPr>
        <w:t xml:space="preserve"> </w:t>
      </w:r>
      <w:r w:rsidRPr="005B0931">
        <w:rPr>
          <w:sz w:val="20"/>
          <w:szCs w:val="20"/>
        </w:rPr>
        <w:t>Results</w:t>
      </w:r>
      <w:r w:rsidR="002A6D47" w:rsidRPr="005B0931">
        <w:rPr>
          <w:sz w:val="20"/>
          <w:szCs w:val="20"/>
        </w:rPr>
        <w:t xml:space="preserve"> </w:t>
      </w:r>
      <w:r w:rsidRPr="005B0931">
        <w:rPr>
          <w:sz w:val="20"/>
          <w:szCs w:val="20"/>
        </w:rPr>
        <w:t>from</w:t>
      </w:r>
      <w:r w:rsidR="002A6D47" w:rsidRPr="005B0931">
        <w:rPr>
          <w:sz w:val="20"/>
          <w:szCs w:val="20"/>
        </w:rPr>
        <w:t xml:space="preserve"> </w:t>
      </w:r>
      <w:r w:rsidRPr="005B0931">
        <w:rPr>
          <w:sz w:val="20"/>
          <w:szCs w:val="20"/>
        </w:rPr>
        <w:t>the</w:t>
      </w:r>
      <w:r w:rsidR="002A6D47" w:rsidRPr="005B0931">
        <w:rPr>
          <w:sz w:val="20"/>
          <w:szCs w:val="20"/>
        </w:rPr>
        <w:t xml:space="preserve"> </w:t>
      </w:r>
      <w:r w:rsidRPr="005B0931">
        <w:rPr>
          <w:sz w:val="20"/>
          <w:szCs w:val="20"/>
        </w:rPr>
        <w:t>CT</w:t>
      </w:r>
      <w:r w:rsidR="002A6D47" w:rsidRPr="005B0931">
        <w:rPr>
          <w:sz w:val="20"/>
          <w:szCs w:val="20"/>
        </w:rPr>
        <w:t xml:space="preserve"> </w:t>
      </w:r>
      <w:r w:rsidRPr="005B0931">
        <w:rPr>
          <w:sz w:val="20"/>
          <w:szCs w:val="20"/>
        </w:rPr>
        <w:t>and</w:t>
      </w:r>
      <w:r w:rsidR="002A6D47" w:rsidRPr="005B0931">
        <w:rPr>
          <w:sz w:val="20"/>
          <w:szCs w:val="20"/>
        </w:rPr>
        <w:t xml:space="preserve"> </w:t>
      </w:r>
      <w:r w:rsidRPr="005B0931">
        <w:rPr>
          <w:sz w:val="20"/>
          <w:szCs w:val="20"/>
        </w:rPr>
        <w:t>MRI</w:t>
      </w:r>
      <w:r w:rsidR="002A6D47" w:rsidRPr="005B0931">
        <w:rPr>
          <w:sz w:val="20"/>
          <w:szCs w:val="20"/>
        </w:rPr>
        <w:t xml:space="preserve"> </w:t>
      </w:r>
      <w:r w:rsidRPr="005B0931">
        <w:rPr>
          <w:sz w:val="20"/>
          <w:szCs w:val="20"/>
        </w:rPr>
        <w:t>in</w:t>
      </w:r>
      <w:r w:rsidR="002A6D47" w:rsidRPr="005B0931">
        <w:rPr>
          <w:sz w:val="20"/>
          <w:szCs w:val="20"/>
        </w:rPr>
        <w:t xml:space="preserve"> </w:t>
      </w:r>
      <w:r w:rsidRPr="005B0931">
        <w:rPr>
          <w:sz w:val="20"/>
          <w:szCs w:val="20"/>
        </w:rPr>
        <w:t>the</w:t>
      </w:r>
      <w:r w:rsidR="002A6D47" w:rsidRPr="005B0931">
        <w:rPr>
          <w:sz w:val="20"/>
          <w:szCs w:val="20"/>
        </w:rPr>
        <w:t xml:space="preserve"> </w:t>
      </w:r>
      <w:r w:rsidRPr="005B0931">
        <w:rPr>
          <w:sz w:val="20"/>
          <w:szCs w:val="20"/>
        </w:rPr>
        <w:t>Triage</w:t>
      </w:r>
      <w:r w:rsidR="002A6D47" w:rsidRPr="005B0931">
        <w:rPr>
          <w:sz w:val="20"/>
          <w:szCs w:val="20"/>
        </w:rPr>
        <w:t xml:space="preserve"> </w:t>
      </w:r>
      <w:r w:rsidRPr="005B0931">
        <w:rPr>
          <w:sz w:val="20"/>
          <w:szCs w:val="20"/>
        </w:rPr>
        <w:t>of</w:t>
      </w:r>
      <w:r w:rsidR="002A6D47" w:rsidRPr="005B0931">
        <w:rPr>
          <w:sz w:val="20"/>
          <w:szCs w:val="20"/>
        </w:rPr>
        <w:t xml:space="preserve"> </w:t>
      </w:r>
      <w:r w:rsidRPr="005B0931">
        <w:rPr>
          <w:sz w:val="20"/>
          <w:szCs w:val="20"/>
        </w:rPr>
        <w:t>TIA</w:t>
      </w:r>
      <w:r w:rsidR="002A6D47" w:rsidRPr="005B0931">
        <w:rPr>
          <w:sz w:val="20"/>
          <w:szCs w:val="20"/>
        </w:rPr>
        <w:t xml:space="preserve"> </w:t>
      </w:r>
      <w:r w:rsidRPr="005B0931">
        <w:rPr>
          <w:sz w:val="20"/>
          <w:szCs w:val="20"/>
        </w:rPr>
        <w:t>and</w:t>
      </w:r>
      <w:r w:rsidR="002A6D47" w:rsidRPr="005B0931">
        <w:rPr>
          <w:sz w:val="20"/>
          <w:szCs w:val="20"/>
        </w:rPr>
        <w:t xml:space="preserve"> </w:t>
      </w:r>
      <w:r w:rsidRPr="005B0931">
        <w:rPr>
          <w:sz w:val="20"/>
          <w:szCs w:val="20"/>
        </w:rPr>
        <w:t>minor</w:t>
      </w:r>
      <w:r w:rsidR="002A6D47" w:rsidRPr="005B0931">
        <w:rPr>
          <w:sz w:val="20"/>
          <w:szCs w:val="20"/>
        </w:rPr>
        <w:t xml:space="preserve"> </w:t>
      </w:r>
      <w:proofErr w:type="spellStart"/>
      <w:r w:rsidRPr="005B0931">
        <w:rPr>
          <w:sz w:val="20"/>
          <w:szCs w:val="20"/>
        </w:rPr>
        <w:t>Cerebrovascular</w:t>
      </w:r>
      <w:proofErr w:type="spellEnd"/>
      <w:r w:rsidR="002A6D47" w:rsidRPr="005B0931">
        <w:rPr>
          <w:sz w:val="20"/>
          <w:szCs w:val="20"/>
        </w:rPr>
        <w:t xml:space="preserve"> </w:t>
      </w:r>
      <w:r w:rsidRPr="005B0931">
        <w:rPr>
          <w:sz w:val="20"/>
          <w:szCs w:val="20"/>
        </w:rPr>
        <w:t>Events</w:t>
      </w:r>
      <w:r w:rsidR="002A6D47" w:rsidRPr="005B0931">
        <w:rPr>
          <w:sz w:val="20"/>
          <w:szCs w:val="20"/>
        </w:rPr>
        <w:t xml:space="preserve"> </w:t>
      </w:r>
      <w:r w:rsidRPr="005B0931">
        <w:rPr>
          <w:sz w:val="20"/>
          <w:szCs w:val="20"/>
        </w:rPr>
        <w:t>to</w:t>
      </w:r>
      <w:r w:rsidR="002A6D47" w:rsidRPr="005B0931">
        <w:rPr>
          <w:sz w:val="20"/>
          <w:szCs w:val="20"/>
        </w:rPr>
        <w:t xml:space="preserve"> </w:t>
      </w:r>
      <w:r w:rsidRPr="005B0931">
        <w:rPr>
          <w:sz w:val="20"/>
          <w:szCs w:val="20"/>
        </w:rPr>
        <w:t>Identify</w:t>
      </w:r>
      <w:r w:rsidR="002A6D47" w:rsidRPr="005B0931">
        <w:rPr>
          <w:sz w:val="20"/>
          <w:szCs w:val="20"/>
        </w:rPr>
        <w:t xml:space="preserve"> </w:t>
      </w:r>
      <w:r w:rsidRPr="005B0931">
        <w:rPr>
          <w:sz w:val="20"/>
          <w:szCs w:val="20"/>
        </w:rPr>
        <w:t>High</w:t>
      </w:r>
      <w:r w:rsidR="002A6D47" w:rsidRPr="005B0931">
        <w:rPr>
          <w:sz w:val="20"/>
          <w:szCs w:val="20"/>
        </w:rPr>
        <w:t xml:space="preserve"> </w:t>
      </w:r>
      <w:r w:rsidRPr="005B0931">
        <w:rPr>
          <w:sz w:val="20"/>
          <w:szCs w:val="20"/>
        </w:rPr>
        <w:t>Risk</w:t>
      </w:r>
      <w:r w:rsidR="002A6D47" w:rsidRPr="005B0931">
        <w:rPr>
          <w:sz w:val="20"/>
          <w:szCs w:val="20"/>
        </w:rPr>
        <w:t xml:space="preserve"> </w:t>
      </w:r>
      <w:r w:rsidRPr="005B0931">
        <w:rPr>
          <w:sz w:val="20"/>
          <w:szCs w:val="20"/>
        </w:rPr>
        <w:t>Patients</w:t>
      </w:r>
      <w:r w:rsidR="002A6D47" w:rsidRPr="005B0931">
        <w:rPr>
          <w:sz w:val="20"/>
          <w:szCs w:val="20"/>
        </w:rPr>
        <w:t xml:space="preserve"> </w:t>
      </w:r>
      <w:r w:rsidRPr="005B0931">
        <w:rPr>
          <w:sz w:val="20"/>
          <w:szCs w:val="20"/>
        </w:rPr>
        <w:t>(CATCH)</w:t>
      </w:r>
      <w:r w:rsidR="002A6D47" w:rsidRPr="005B0931">
        <w:rPr>
          <w:sz w:val="20"/>
          <w:szCs w:val="20"/>
        </w:rPr>
        <w:t xml:space="preserve"> </w:t>
      </w:r>
      <w:r w:rsidRPr="005B0931">
        <w:rPr>
          <w:sz w:val="20"/>
          <w:szCs w:val="20"/>
        </w:rPr>
        <w:t>Study.</w:t>
      </w:r>
      <w:r w:rsidR="002A6D47" w:rsidRPr="005B0931">
        <w:rPr>
          <w:sz w:val="20"/>
          <w:szCs w:val="20"/>
        </w:rPr>
        <w:t xml:space="preserve"> </w:t>
      </w:r>
      <w:r w:rsidRPr="005B0931">
        <w:rPr>
          <w:sz w:val="20"/>
          <w:szCs w:val="20"/>
        </w:rPr>
        <w:t>Stroke</w:t>
      </w:r>
      <w:r w:rsidR="002A6D47" w:rsidRPr="005B0931">
        <w:rPr>
          <w:sz w:val="20"/>
          <w:szCs w:val="20"/>
        </w:rPr>
        <w:t xml:space="preserve"> </w:t>
      </w:r>
      <w:r w:rsidRPr="005B0931">
        <w:rPr>
          <w:sz w:val="20"/>
          <w:szCs w:val="20"/>
        </w:rPr>
        <w:t>2012;</w:t>
      </w:r>
      <w:r w:rsidR="002A6D47" w:rsidRPr="005B0931">
        <w:rPr>
          <w:sz w:val="20"/>
          <w:szCs w:val="20"/>
        </w:rPr>
        <w:t xml:space="preserve"> </w:t>
      </w:r>
      <w:r w:rsidRPr="005B0931">
        <w:rPr>
          <w:sz w:val="20"/>
          <w:szCs w:val="20"/>
        </w:rPr>
        <w:t>43:3018.</w:t>
      </w:r>
    </w:p>
    <w:p w:rsidR="006C67BF" w:rsidRPr="005B0931" w:rsidRDefault="006C67BF" w:rsidP="002A6D47">
      <w:pPr>
        <w:numPr>
          <w:ilvl w:val="0"/>
          <w:numId w:val="32"/>
        </w:numPr>
        <w:bidi w:val="0"/>
        <w:snapToGrid w:val="0"/>
        <w:ind w:left="425" w:hanging="425"/>
        <w:contextualSpacing/>
        <w:jc w:val="both"/>
        <w:rPr>
          <w:rFonts w:eastAsia="Calibri"/>
          <w:sz w:val="20"/>
          <w:szCs w:val="20"/>
        </w:rPr>
      </w:pPr>
      <w:r w:rsidRPr="005B0931">
        <w:rPr>
          <w:rFonts w:eastAsia="Calibri"/>
          <w:color w:val="000000"/>
          <w:sz w:val="20"/>
          <w:szCs w:val="20"/>
        </w:rPr>
        <w:t>Bushnell,</w:t>
      </w:r>
      <w:r w:rsidR="002A6D47" w:rsidRPr="005B0931">
        <w:rPr>
          <w:rFonts w:eastAsia="Calibri"/>
          <w:color w:val="000000"/>
          <w:sz w:val="20"/>
          <w:szCs w:val="20"/>
        </w:rPr>
        <w:t xml:space="preserve"> </w:t>
      </w:r>
      <w:r w:rsidRPr="005B0931">
        <w:rPr>
          <w:rFonts w:eastAsia="Calibri"/>
          <w:color w:val="000000"/>
          <w:sz w:val="20"/>
          <w:szCs w:val="20"/>
        </w:rPr>
        <w:t>C.,</w:t>
      </w:r>
      <w:r w:rsidR="002A6D47" w:rsidRPr="005B0931">
        <w:rPr>
          <w:rFonts w:eastAsia="Calibri"/>
          <w:color w:val="000000"/>
          <w:sz w:val="20"/>
          <w:szCs w:val="20"/>
        </w:rPr>
        <w:t xml:space="preserve"> </w:t>
      </w:r>
      <w:r w:rsidRPr="005B0931">
        <w:rPr>
          <w:rFonts w:eastAsia="Calibri"/>
          <w:color w:val="000000"/>
          <w:sz w:val="20"/>
          <w:szCs w:val="20"/>
        </w:rPr>
        <w:t>Johnston,</w:t>
      </w:r>
      <w:r w:rsidR="002A6D47" w:rsidRPr="005B0931">
        <w:rPr>
          <w:rFonts w:eastAsia="Calibri"/>
          <w:color w:val="000000"/>
          <w:sz w:val="20"/>
          <w:szCs w:val="20"/>
        </w:rPr>
        <w:t xml:space="preserve"> </w:t>
      </w:r>
      <w:r w:rsidRPr="005B0931">
        <w:rPr>
          <w:rFonts w:eastAsia="Calibri"/>
          <w:color w:val="000000"/>
          <w:sz w:val="20"/>
          <w:szCs w:val="20"/>
        </w:rPr>
        <w:t>D.,</w:t>
      </w:r>
      <w:r w:rsidR="002A6D47" w:rsidRPr="005B0931">
        <w:rPr>
          <w:rFonts w:eastAsia="Calibri"/>
          <w:color w:val="000000"/>
          <w:sz w:val="20"/>
          <w:szCs w:val="20"/>
        </w:rPr>
        <w:t xml:space="preserve"> </w:t>
      </w:r>
      <w:r w:rsidRPr="005B0931">
        <w:rPr>
          <w:rFonts w:eastAsia="Calibri"/>
          <w:color w:val="000000"/>
          <w:sz w:val="20"/>
          <w:szCs w:val="20"/>
        </w:rPr>
        <w:t>et</w:t>
      </w:r>
      <w:r w:rsidR="002A6D47" w:rsidRPr="005B0931">
        <w:rPr>
          <w:rFonts w:eastAsia="Calibri"/>
          <w:color w:val="000000"/>
          <w:sz w:val="20"/>
          <w:szCs w:val="20"/>
        </w:rPr>
        <w:t xml:space="preserve"> </w:t>
      </w:r>
      <w:r w:rsidRPr="005B0931">
        <w:rPr>
          <w:rFonts w:eastAsia="Calibri"/>
          <w:color w:val="000000"/>
          <w:sz w:val="20"/>
          <w:szCs w:val="20"/>
        </w:rPr>
        <w:t>al.</w:t>
      </w:r>
      <w:r w:rsidR="002A6D47" w:rsidRPr="005B0931">
        <w:rPr>
          <w:rFonts w:eastAsia="Calibri"/>
          <w:color w:val="000000"/>
          <w:sz w:val="20"/>
          <w:szCs w:val="20"/>
        </w:rPr>
        <w:t xml:space="preserve"> </w:t>
      </w:r>
      <w:r w:rsidRPr="005B0931">
        <w:rPr>
          <w:rFonts w:eastAsia="Calibri"/>
          <w:color w:val="000000"/>
          <w:sz w:val="20"/>
          <w:szCs w:val="20"/>
        </w:rPr>
        <w:t>(2001).</w:t>
      </w:r>
      <w:r w:rsidR="002A6D47" w:rsidRPr="005B0931">
        <w:rPr>
          <w:rFonts w:eastAsia="Calibri"/>
          <w:color w:val="000000"/>
          <w:sz w:val="20"/>
          <w:szCs w:val="20"/>
        </w:rPr>
        <w:t xml:space="preserve"> </w:t>
      </w:r>
      <w:r w:rsidRPr="005B0931">
        <w:rPr>
          <w:rFonts w:eastAsia="Calibri"/>
          <w:color w:val="000000"/>
          <w:sz w:val="20"/>
          <w:szCs w:val="20"/>
        </w:rPr>
        <w:t>"Retrospective</w:t>
      </w:r>
      <w:r w:rsidR="002A6D47" w:rsidRPr="005B0931">
        <w:rPr>
          <w:rFonts w:eastAsia="Calibri"/>
          <w:color w:val="000000"/>
          <w:sz w:val="20"/>
          <w:szCs w:val="20"/>
        </w:rPr>
        <w:t xml:space="preserve"> </w:t>
      </w:r>
      <w:r w:rsidRPr="005B0931">
        <w:rPr>
          <w:rFonts w:eastAsia="Calibri"/>
          <w:color w:val="000000"/>
          <w:sz w:val="20"/>
          <w:szCs w:val="20"/>
        </w:rPr>
        <w:t>assessment</w:t>
      </w:r>
      <w:r w:rsidR="002A6D47" w:rsidRPr="005B0931">
        <w:rPr>
          <w:rFonts w:eastAsia="Calibri"/>
          <w:color w:val="000000"/>
          <w:sz w:val="20"/>
          <w:szCs w:val="20"/>
        </w:rPr>
        <w:t xml:space="preserve"> </w:t>
      </w:r>
      <w:r w:rsidRPr="005B0931">
        <w:rPr>
          <w:rFonts w:eastAsia="Calibri"/>
          <w:color w:val="000000"/>
          <w:sz w:val="20"/>
          <w:szCs w:val="20"/>
        </w:rPr>
        <w:t>of</w:t>
      </w:r>
      <w:r w:rsidR="002A6D47" w:rsidRPr="005B0931">
        <w:rPr>
          <w:rFonts w:eastAsia="Calibri"/>
          <w:color w:val="000000"/>
          <w:sz w:val="20"/>
          <w:szCs w:val="20"/>
        </w:rPr>
        <w:t xml:space="preserve"> </w:t>
      </w:r>
      <w:r w:rsidRPr="005B0931">
        <w:rPr>
          <w:rFonts w:eastAsia="Calibri"/>
          <w:color w:val="000000"/>
          <w:sz w:val="20"/>
          <w:szCs w:val="20"/>
        </w:rPr>
        <w:t>initial</w:t>
      </w:r>
      <w:r w:rsidR="002A6D47" w:rsidRPr="005B0931">
        <w:rPr>
          <w:rFonts w:eastAsia="Calibri"/>
          <w:color w:val="000000"/>
          <w:sz w:val="20"/>
          <w:szCs w:val="20"/>
        </w:rPr>
        <w:t xml:space="preserve"> </w:t>
      </w:r>
      <w:r w:rsidRPr="005B0931">
        <w:rPr>
          <w:rFonts w:eastAsia="Calibri"/>
          <w:color w:val="000000"/>
          <w:sz w:val="20"/>
          <w:szCs w:val="20"/>
        </w:rPr>
        <w:t>stroke</w:t>
      </w:r>
      <w:r w:rsidR="002A6D47" w:rsidRPr="005B0931">
        <w:rPr>
          <w:rFonts w:eastAsia="Calibri"/>
          <w:color w:val="000000"/>
          <w:sz w:val="20"/>
          <w:szCs w:val="20"/>
        </w:rPr>
        <w:t xml:space="preserve"> </w:t>
      </w:r>
      <w:r w:rsidRPr="005B0931">
        <w:rPr>
          <w:rFonts w:eastAsia="Calibri"/>
          <w:color w:val="000000"/>
          <w:sz w:val="20"/>
          <w:szCs w:val="20"/>
        </w:rPr>
        <w:t>severity:</w:t>
      </w:r>
      <w:r w:rsidR="002A6D47" w:rsidRPr="005B0931">
        <w:rPr>
          <w:rFonts w:eastAsia="Calibri"/>
          <w:color w:val="000000"/>
          <w:sz w:val="20"/>
          <w:szCs w:val="20"/>
        </w:rPr>
        <w:t xml:space="preserve"> </w:t>
      </w:r>
      <w:r w:rsidRPr="005B0931">
        <w:rPr>
          <w:rFonts w:eastAsia="Calibri"/>
          <w:color w:val="000000"/>
          <w:sz w:val="20"/>
          <w:szCs w:val="20"/>
        </w:rPr>
        <w:t>comparison</w:t>
      </w:r>
      <w:r w:rsidR="002A6D47" w:rsidRPr="005B0931">
        <w:rPr>
          <w:rFonts w:eastAsia="Calibri"/>
          <w:color w:val="000000"/>
          <w:sz w:val="20"/>
          <w:szCs w:val="20"/>
        </w:rPr>
        <w:t xml:space="preserve"> </w:t>
      </w:r>
      <w:r w:rsidRPr="005B0931">
        <w:rPr>
          <w:rFonts w:eastAsia="Calibri"/>
          <w:color w:val="000000"/>
          <w:sz w:val="20"/>
          <w:szCs w:val="20"/>
        </w:rPr>
        <w:t>of</w:t>
      </w:r>
      <w:r w:rsidR="002A6D47" w:rsidRPr="005B0931">
        <w:rPr>
          <w:rFonts w:eastAsia="Calibri"/>
          <w:color w:val="000000"/>
          <w:sz w:val="20"/>
          <w:szCs w:val="20"/>
        </w:rPr>
        <w:t xml:space="preserve"> </w:t>
      </w:r>
      <w:r w:rsidRPr="005B0931">
        <w:rPr>
          <w:rFonts w:eastAsia="Calibri"/>
          <w:color w:val="000000"/>
          <w:sz w:val="20"/>
          <w:szCs w:val="20"/>
        </w:rPr>
        <w:t>the</w:t>
      </w:r>
      <w:r w:rsidR="002A6D47" w:rsidRPr="005B0931">
        <w:rPr>
          <w:rFonts w:eastAsia="Calibri"/>
          <w:color w:val="000000"/>
          <w:sz w:val="20"/>
          <w:szCs w:val="20"/>
        </w:rPr>
        <w:t xml:space="preserve"> </w:t>
      </w:r>
      <w:r w:rsidRPr="005B0931">
        <w:rPr>
          <w:rFonts w:eastAsia="Calibri"/>
          <w:color w:val="000000"/>
          <w:sz w:val="20"/>
          <w:szCs w:val="20"/>
        </w:rPr>
        <w:t>NIH</w:t>
      </w:r>
      <w:r w:rsidR="002A6D47" w:rsidRPr="005B0931">
        <w:rPr>
          <w:rFonts w:eastAsia="Calibri"/>
          <w:color w:val="000000"/>
          <w:sz w:val="20"/>
          <w:szCs w:val="20"/>
        </w:rPr>
        <w:t xml:space="preserve"> </w:t>
      </w:r>
      <w:r w:rsidRPr="005B0931">
        <w:rPr>
          <w:rFonts w:eastAsia="Calibri"/>
          <w:color w:val="000000"/>
          <w:sz w:val="20"/>
          <w:szCs w:val="20"/>
        </w:rPr>
        <w:t>Stroke</w:t>
      </w:r>
      <w:r w:rsidR="002A6D47" w:rsidRPr="005B0931">
        <w:rPr>
          <w:rFonts w:eastAsia="Calibri"/>
          <w:color w:val="000000"/>
          <w:sz w:val="20"/>
          <w:szCs w:val="20"/>
        </w:rPr>
        <w:t xml:space="preserve"> </w:t>
      </w:r>
      <w:r w:rsidRPr="005B0931">
        <w:rPr>
          <w:rFonts w:eastAsia="Calibri"/>
          <w:color w:val="000000"/>
          <w:sz w:val="20"/>
          <w:szCs w:val="20"/>
        </w:rPr>
        <w:t>Scale</w:t>
      </w:r>
      <w:r w:rsidR="002A6D47" w:rsidRPr="005B0931">
        <w:rPr>
          <w:rFonts w:eastAsia="Calibri"/>
          <w:color w:val="000000"/>
          <w:sz w:val="20"/>
          <w:szCs w:val="20"/>
        </w:rPr>
        <w:t xml:space="preserve"> </w:t>
      </w:r>
      <w:r w:rsidRPr="005B0931">
        <w:rPr>
          <w:rFonts w:eastAsia="Calibri"/>
          <w:color w:val="000000"/>
          <w:sz w:val="20"/>
          <w:szCs w:val="20"/>
        </w:rPr>
        <w:t>and</w:t>
      </w:r>
      <w:r w:rsidR="002A6D47" w:rsidRPr="005B0931">
        <w:rPr>
          <w:rFonts w:eastAsia="Calibri"/>
          <w:color w:val="000000"/>
          <w:sz w:val="20"/>
          <w:szCs w:val="20"/>
        </w:rPr>
        <w:t xml:space="preserve"> </w:t>
      </w:r>
      <w:r w:rsidRPr="005B0931">
        <w:rPr>
          <w:rFonts w:eastAsia="Calibri"/>
          <w:color w:val="000000"/>
          <w:sz w:val="20"/>
          <w:szCs w:val="20"/>
        </w:rPr>
        <w:t>the</w:t>
      </w:r>
      <w:r w:rsidR="002A6D47" w:rsidRPr="005B0931">
        <w:rPr>
          <w:rFonts w:eastAsia="Calibri"/>
          <w:color w:val="000000"/>
          <w:sz w:val="20"/>
          <w:szCs w:val="20"/>
        </w:rPr>
        <w:t xml:space="preserve"> </w:t>
      </w:r>
      <w:r w:rsidRPr="005B0931">
        <w:rPr>
          <w:rFonts w:eastAsia="Calibri"/>
          <w:color w:val="000000"/>
          <w:sz w:val="20"/>
          <w:szCs w:val="20"/>
        </w:rPr>
        <w:t>Canadian</w:t>
      </w:r>
      <w:r w:rsidR="002A6D47" w:rsidRPr="005B0931">
        <w:rPr>
          <w:rFonts w:eastAsia="Calibri"/>
          <w:color w:val="000000"/>
          <w:sz w:val="20"/>
          <w:szCs w:val="20"/>
        </w:rPr>
        <w:t xml:space="preserve"> </w:t>
      </w:r>
      <w:r w:rsidRPr="005B0931">
        <w:rPr>
          <w:rFonts w:eastAsia="Calibri"/>
          <w:color w:val="000000"/>
          <w:sz w:val="20"/>
          <w:szCs w:val="20"/>
        </w:rPr>
        <w:t>Neurological</w:t>
      </w:r>
      <w:r w:rsidR="002A6D47" w:rsidRPr="005B0931">
        <w:rPr>
          <w:rFonts w:eastAsia="Calibri"/>
          <w:color w:val="000000"/>
          <w:sz w:val="20"/>
          <w:szCs w:val="20"/>
        </w:rPr>
        <w:t xml:space="preserve"> </w:t>
      </w:r>
      <w:r w:rsidRPr="005B0931">
        <w:rPr>
          <w:rFonts w:eastAsia="Calibri"/>
          <w:color w:val="000000"/>
          <w:sz w:val="20"/>
          <w:szCs w:val="20"/>
        </w:rPr>
        <w:t>Scale."</w:t>
      </w:r>
      <w:r w:rsidR="002A6D47" w:rsidRPr="005B0931">
        <w:rPr>
          <w:rFonts w:eastAsia="Calibri"/>
          <w:color w:val="000000"/>
          <w:sz w:val="20"/>
          <w:szCs w:val="20"/>
        </w:rPr>
        <w:t xml:space="preserve"> </w:t>
      </w:r>
      <w:r w:rsidRPr="005B0931">
        <w:rPr>
          <w:rFonts w:eastAsia="Calibri"/>
          <w:color w:val="000000"/>
          <w:sz w:val="20"/>
          <w:szCs w:val="20"/>
        </w:rPr>
        <w:t>Stroke</w:t>
      </w:r>
      <w:r w:rsidR="002A6D47" w:rsidRPr="005B0931">
        <w:rPr>
          <w:rFonts w:eastAsia="Calibri"/>
          <w:color w:val="000000"/>
          <w:sz w:val="20"/>
          <w:szCs w:val="20"/>
        </w:rPr>
        <w:t xml:space="preserve"> </w:t>
      </w:r>
      <w:r w:rsidRPr="005B0931">
        <w:rPr>
          <w:rFonts w:eastAsia="Calibri"/>
          <w:color w:val="000000"/>
          <w:sz w:val="20"/>
          <w:szCs w:val="20"/>
        </w:rPr>
        <w:t>32(3):</w:t>
      </w:r>
      <w:r w:rsidR="002A6D47" w:rsidRPr="005B0931">
        <w:rPr>
          <w:rFonts w:eastAsia="Calibri"/>
          <w:color w:val="000000"/>
          <w:sz w:val="20"/>
          <w:szCs w:val="20"/>
        </w:rPr>
        <w:t xml:space="preserve"> </w:t>
      </w:r>
      <w:r w:rsidRPr="005B0931">
        <w:rPr>
          <w:rFonts w:eastAsia="Calibri"/>
          <w:color w:val="000000"/>
          <w:sz w:val="20"/>
          <w:szCs w:val="20"/>
        </w:rPr>
        <w:t>656</w:t>
      </w:r>
      <w:r w:rsidRPr="005B0931">
        <w:rPr>
          <w:sz w:val="20"/>
          <w:szCs w:val="20"/>
        </w:rPr>
        <w:t>.</w:t>
      </w:r>
    </w:p>
    <w:p w:rsidR="006C67BF" w:rsidRPr="005B0931" w:rsidRDefault="006C67BF" w:rsidP="002A6D47">
      <w:pPr>
        <w:numPr>
          <w:ilvl w:val="0"/>
          <w:numId w:val="32"/>
        </w:numPr>
        <w:bidi w:val="0"/>
        <w:snapToGrid w:val="0"/>
        <w:ind w:left="425" w:hanging="425"/>
        <w:contextualSpacing/>
        <w:jc w:val="both"/>
        <w:rPr>
          <w:rFonts w:eastAsia="Calibri"/>
          <w:sz w:val="20"/>
          <w:szCs w:val="20"/>
        </w:rPr>
      </w:pPr>
      <w:r w:rsidRPr="005B0931">
        <w:rPr>
          <w:sz w:val="20"/>
          <w:szCs w:val="20"/>
        </w:rPr>
        <w:t>Frankel</w:t>
      </w:r>
      <w:r w:rsidR="002A6D47" w:rsidRPr="005B0931">
        <w:rPr>
          <w:sz w:val="20"/>
          <w:szCs w:val="20"/>
        </w:rPr>
        <w:t xml:space="preserve"> </w:t>
      </w:r>
      <w:r w:rsidRPr="005B0931">
        <w:rPr>
          <w:sz w:val="20"/>
          <w:szCs w:val="20"/>
        </w:rPr>
        <w:t>MR,</w:t>
      </w:r>
      <w:r w:rsidR="002A6D47" w:rsidRPr="005B0931">
        <w:rPr>
          <w:sz w:val="20"/>
          <w:szCs w:val="20"/>
        </w:rPr>
        <w:t xml:space="preserve"> </w:t>
      </w:r>
      <w:r w:rsidRPr="005B0931">
        <w:rPr>
          <w:sz w:val="20"/>
          <w:szCs w:val="20"/>
        </w:rPr>
        <w:t>Morgenstern</w:t>
      </w:r>
      <w:r w:rsidR="002A6D47" w:rsidRPr="005B0931">
        <w:rPr>
          <w:sz w:val="20"/>
          <w:szCs w:val="20"/>
        </w:rPr>
        <w:t xml:space="preserve"> </w:t>
      </w:r>
      <w:r w:rsidRPr="005B0931">
        <w:rPr>
          <w:sz w:val="20"/>
          <w:szCs w:val="20"/>
        </w:rPr>
        <w:t>LB,</w:t>
      </w:r>
      <w:r w:rsidR="002A6D47" w:rsidRPr="005B0931">
        <w:rPr>
          <w:sz w:val="20"/>
          <w:szCs w:val="20"/>
        </w:rPr>
        <w:t xml:space="preserve"> </w:t>
      </w:r>
      <w:proofErr w:type="spellStart"/>
      <w:r w:rsidRPr="005B0931">
        <w:rPr>
          <w:sz w:val="20"/>
          <w:szCs w:val="20"/>
        </w:rPr>
        <w:t>Kw</w:t>
      </w:r>
      <w:proofErr w:type="spellEnd"/>
      <w:r w:rsidR="002A6D47" w:rsidRPr="005B0931">
        <w:rPr>
          <w:sz w:val="20"/>
          <w:szCs w:val="20"/>
        </w:rPr>
        <w:t xml:space="preserve"> </w:t>
      </w:r>
      <w:proofErr w:type="spellStart"/>
      <w:r w:rsidRPr="005B0931">
        <w:rPr>
          <w:sz w:val="20"/>
          <w:szCs w:val="20"/>
        </w:rPr>
        <w:t>iatkowski</w:t>
      </w:r>
      <w:proofErr w:type="spellEnd"/>
      <w:r w:rsidR="002A6D47" w:rsidRPr="005B0931">
        <w:rPr>
          <w:sz w:val="20"/>
          <w:szCs w:val="20"/>
        </w:rPr>
        <w:t xml:space="preserve"> </w:t>
      </w:r>
      <w:r w:rsidRPr="005B0931">
        <w:rPr>
          <w:sz w:val="20"/>
          <w:szCs w:val="20"/>
        </w:rPr>
        <w:t>T,</w:t>
      </w:r>
      <w:r w:rsidR="002A6D47" w:rsidRPr="005B0931">
        <w:rPr>
          <w:sz w:val="20"/>
          <w:szCs w:val="20"/>
        </w:rPr>
        <w:t xml:space="preserve"> </w:t>
      </w:r>
      <w:r w:rsidRPr="005B0931">
        <w:rPr>
          <w:sz w:val="20"/>
          <w:szCs w:val="20"/>
        </w:rPr>
        <w:t>et</w:t>
      </w:r>
      <w:r w:rsidR="002A6D47" w:rsidRPr="005B0931">
        <w:rPr>
          <w:sz w:val="20"/>
          <w:szCs w:val="20"/>
        </w:rPr>
        <w:t xml:space="preserve"> </w:t>
      </w:r>
      <w:r w:rsidRPr="005B0931">
        <w:rPr>
          <w:sz w:val="20"/>
          <w:szCs w:val="20"/>
        </w:rPr>
        <w:t>al.</w:t>
      </w:r>
      <w:r w:rsidR="002A6D47" w:rsidRPr="005B0931">
        <w:rPr>
          <w:sz w:val="20"/>
          <w:szCs w:val="20"/>
        </w:rPr>
        <w:t xml:space="preserve"> </w:t>
      </w:r>
      <w:r w:rsidRPr="005B0931">
        <w:rPr>
          <w:sz w:val="20"/>
          <w:szCs w:val="20"/>
        </w:rPr>
        <w:t>Predicting</w:t>
      </w:r>
      <w:r w:rsidR="002A6D47" w:rsidRPr="005B0931">
        <w:rPr>
          <w:sz w:val="20"/>
          <w:szCs w:val="20"/>
        </w:rPr>
        <w:t xml:space="preserve"> </w:t>
      </w:r>
      <w:r w:rsidRPr="005B0931">
        <w:rPr>
          <w:sz w:val="20"/>
          <w:szCs w:val="20"/>
        </w:rPr>
        <w:t>prognosis</w:t>
      </w:r>
      <w:r w:rsidR="002A6D47" w:rsidRPr="005B0931">
        <w:rPr>
          <w:sz w:val="20"/>
          <w:szCs w:val="20"/>
        </w:rPr>
        <w:t xml:space="preserve"> </w:t>
      </w:r>
      <w:r w:rsidRPr="005B0931">
        <w:rPr>
          <w:sz w:val="20"/>
          <w:szCs w:val="20"/>
        </w:rPr>
        <w:t>after</w:t>
      </w:r>
      <w:r w:rsidR="002A6D47" w:rsidRPr="005B0931">
        <w:rPr>
          <w:sz w:val="20"/>
          <w:szCs w:val="20"/>
        </w:rPr>
        <w:t xml:space="preserve"> </w:t>
      </w:r>
      <w:r w:rsidRPr="005B0931">
        <w:rPr>
          <w:sz w:val="20"/>
          <w:szCs w:val="20"/>
        </w:rPr>
        <w:t>stroke:</w:t>
      </w:r>
      <w:r w:rsidR="002A6D47" w:rsidRPr="005B0931">
        <w:rPr>
          <w:sz w:val="20"/>
          <w:szCs w:val="20"/>
        </w:rPr>
        <w:t xml:space="preserve"> </w:t>
      </w:r>
      <w:r w:rsidRPr="005B0931">
        <w:rPr>
          <w:sz w:val="20"/>
          <w:szCs w:val="20"/>
        </w:rPr>
        <w:t>a</w:t>
      </w:r>
      <w:r w:rsidR="002A6D47" w:rsidRPr="005B0931">
        <w:rPr>
          <w:sz w:val="20"/>
          <w:szCs w:val="20"/>
        </w:rPr>
        <w:t xml:space="preserve"> </w:t>
      </w:r>
      <w:r w:rsidRPr="005B0931">
        <w:rPr>
          <w:sz w:val="20"/>
          <w:szCs w:val="20"/>
        </w:rPr>
        <w:t>placebo</w:t>
      </w:r>
      <w:r w:rsidR="002A6D47" w:rsidRPr="005B0931">
        <w:rPr>
          <w:sz w:val="20"/>
          <w:szCs w:val="20"/>
        </w:rPr>
        <w:t xml:space="preserve"> </w:t>
      </w:r>
      <w:r w:rsidRPr="005B0931">
        <w:rPr>
          <w:sz w:val="20"/>
          <w:szCs w:val="20"/>
        </w:rPr>
        <w:t>group</w:t>
      </w:r>
      <w:r w:rsidR="002A6D47" w:rsidRPr="005B0931">
        <w:rPr>
          <w:sz w:val="20"/>
          <w:szCs w:val="20"/>
        </w:rPr>
        <w:t xml:space="preserve"> </w:t>
      </w:r>
      <w:r w:rsidRPr="005B0931">
        <w:rPr>
          <w:sz w:val="20"/>
          <w:szCs w:val="20"/>
        </w:rPr>
        <w:t>analysis</w:t>
      </w:r>
      <w:r w:rsidR="002A6D47" w:rsidRPr="005B0931">
        <w:rPr>
          <w:sz w:val="20"/>
          <w:szCs w:val="20"/>
        </w:rPr>
        <w:t xml:space="preserve"> </w:t>
      </w:r>
      <w:r w:rsidRPr="005B0931">
        <w:rPr>
          <w:sz w:val="20"/>
          <w:szCs w:val="20"/>
        </w:rPr>
        <w:t>from</w:t>
      </w:r>
      <w:r w:rsidR="002A6D47" w:rsidRPr="005B0931">
        <w:rPr>
          <w:sz w:val="20"/>
          <w:szCs w:val="20"/>
        </w:rPr>
        <w:t xml:space="preserve"> </w:t>
      </w:r>
      <w:r w:rsidRPr="005B0931">
        <w:rPr>
          <w:sz w:val="20"/>
          <w:szCs w:val="20"/>
        </w:rPr>
        <w:t>the</w:t>
      </w:r>
      <w:r w:rsidR="002A6D47" w:rsidRPr="005B0931">
        <w:rPr>
          <w:sz w:val="20"/>
          <w:szCs w:val="20"/>
        </w:rPr>
        <w:t xml:space="preserve"> </w:t>
      </w:r>
      <w:r w:rsidRPr="005B0931">
        <w:rPr>
          <w:sz w:val="20"/>
          <w:szCs w:val="20"/>
        </w:rPr>
        <w:t>National</w:t>
      </w:r>
      <w:r w:rsidR="002A6D47" w:rsidRPr="005B0931">
        <w:rPr>
          <w:sz w:val="20"/>
          <w:szCs w:val="20"/>
        </w:rPr>
        <w:t xml:space="preserve"> </w:t>
      </w:r>
      <w:r w:rsidRPr="005B0931">
        <w:rPr>
          <w:sz w:val="20"/>
          <w:szCs w:val="20"/>
        </w:rPr>
        <w:t>Institute</w:t>
      </w:r>
      <w:r w:rsidR="002A6D47" w:rsidRPr="005B0931">
        <w:rPr>
          <w:sz w:val="20"/>
          <w:szCs w:val="20"/>
        </w:rPr>
        <w:t xml:space="preserve"> </w:t>
      </w:r>
      <w:r w:rsidRPr="005B0931">
        <w:rPr>
          <w:sz w:val="20"/>
          <w:szCs w:val="20"/>
        </w:rPr>
        <w:t>of</w:t>
      </w:r>
      <w:r w:rsidR="002A6D47" w:rsidRPr="005B0931">
        <w:rPr>
          <w:sz w:val="20"/>
          <w:szCs w:val="20"/>
        </w:rPr>
        <w:t xml:space="preserve"> </w:t>
      </w:r>
      <w:r w:rsidRPr="005B0931">
        <w:rPr>
          <w:sz w:val="20"/>
          <w:szCs w:val="20"/>
        </w:rPr>
        <w:t>Neurological</w:t>
      </w:r>
      <w:r w:rsidR="002A6D47" w:rsidRPr="005B0931">
        <w:rPr>
          <w:sz w:val="20"/>
          <w:szCs w:val="20"/>
        </w:rPr>
        <w:t xml:space="preserve"> </w:t>
      </w:r>
      <w:r w:rsidRPr="005B0931">
        <w:rPr>
          <w:sz w:val="20"/>
          <w:szCs w:val="20"/>
        </w:rPr>
        <w:t>Disorders</w:t>
      </w:r>
      <w:r w:rsidR="002A6D47" w:rsidRPr="005B0931">
        <w:rPr>
          <w:sz w:val="20"/>
          <w:szCs w:val="20"/>
        </w:rPr>
        <w:t xml:space="preserve"> </w:t>
      </w:r>
      <w:r w:rsidRPr="005B0931">
        <w:rPr>
          <w:sz w:val="20"/>
          <w:szCs w:val="20"/>
        </w:rPr>
        <w:t>and</w:t>
      </w:r>
      <w:r w:rsidR="002A6D47" w:rsidRPr="005B0931">
        <w:rPr>
          <w:sz w:val="20"/>
          <w:szCs w:val="20"/>
        </w:rPr>
        <w:t xml:space="preserve"> </w:t>
      </w:r>
      <w:r w:rsidRPr="005B0931">
        <w:rPr>
          <w:sz w:val="20"/>
          <w:szCs w:val="20"/>
        </w:rPr>
        <w:t>Stroke</w:t>
      </w:r>
      <w:r w:rsidR="002A6D47" w:rsidRPr="005B0931">
        <w:rPr>
          <w:sz w:val="20"/>
          <w:szCs w:val="20"/>
        </w:rPr>
        <w:t xml:space="preserve"> </w:t>
      </w:r>
      <w:proofErr w:type="spellStart"/>
      <w:r w:rsidRPr="005B0931">
        <w:rPr>
          <w:sz w:val="20"/>
          <w:szCs w:val="20"/>
        </w:rPr>
        <w:t>rt</w:t>
      </w:r>
      <w:proofErr w:type="spellEnd"/>
      <w:r w:rsidRPr="005B0931">
        <w:rPr>
          <w:sz w:val="20"/>
          <w:szCs w:val="20"/>
        </w:rPr>
        <w:t>-PA</w:t>
      </w:r>
      <w:r w:rsidR="002A6D47" w:rsidRPr="005B0931">
        <w:rPr>
          <w:sz w:val="20"/>
          <w:szCs w:val="20"/>
        </w:rPr>
        <w:t xml:space="preserve"> </w:t>
      </w:r>
      <w:r w:rsidRPr="005B0931">
        <w:rPr>
          <w:sz w:val="20"/>
          <w:szCs w:val="20"/>
        </w:rPr>
        <w:t>Stroke</w:t>
      </w:r>
      <w:r w:rsidR="002A6D47" w:rsidRPr="005B0931">
        <w:rPr>
          <w:sz w:val="20"/>
          <w:szCs w:val="20"/>
        </w:rPr>
        <w:t xml:space="preserve"> </w:t>
      </w:r>
      <w:r w:rsidRPr="005B0931">
        <w:rPr>
          <w:sz w:val="20"/>
          <w:szCs w:val="20"/>
        </w:rPr>
        <w:t>Trial.</w:t>
      </w:r>
      <w:r w:rsidR="002A6D47" w:rsidRPr="005B0931">
        <w:rPr>
          <w:sz w:val="20"/>
          <w:szCs w:val="20"/>
        </w:rPr>
        <w:t xml:space="preserve"> </w:t>
      </w:r>
      <w:r w:rsidRPr="005B0931">
        <w:rPr>
          <w:sz w:val="20"/>
          <w:szCs w:val="20"/>
        </w:rPr>
        <w:t>Neurology</w:t>
      </w:r>
      <w:r w:rsidR="002A6D47" w:rsidRPr="005B0931">
        <w:rPr>
          <w:sz w:val="20"/>
          <w:szCs w:val="20"/>
        </w:rPr>
        <w:t xml:space="preserve"> </w:t>
      </w:r>
      <w:r w:rsidRPr="005B0931">
        <w:rPr>
          <w:sz w:val="20"/>
          <w:szCs w:val="20"/>
        </w:rPr>
        <w:t>2000;</w:t>
      </w:r>
      <w:r w:rsidR="002A6D47" w:rsidRPr="005B0931">
        <w:rPr>
          <w:sz w:val="20"/>
          <w:szCs w:val="20"/>
        </w:rPr>
        <w:t xml:space="preserve"> </w:t>
      </w:r>
      <w:r w:rsidRPr="005B0931">
        <w:rPr>
          <w:sz w:val="20"/>
          <w:szCs w:val="20"/>
        </w:rPr>
        <w:t>55:952.</w:t>
      </w:r>
    </w:p>
    <w:p w:rsidR="006C67BF" w:rsidRPr="005B0931" w:rsidRDefault="006C67BF" w:rsidP="002A6D47">
      <w:pPr>
        <w:numPr>
          <w:ilvl w:val="0"/>
          <w:numId w:val="32"/>
        </w:numPr>
        <w:bidi w:val="0"/>
        <w:snapToGrid w:val="0"/>
        <w:ind w:left="425" w:hanging="425"/>
        <w:contextualSpacing/>
        <w:jc w:val="both"/>
        <w:rPr>
          <w:rFonts w:eastAsia="Calibri"/>
          <w:sz w:val="20"/>
          <w:szCs w:val="20"/>
        </w:rPr>
      </w:pPr>
      <w:proofErr w:type="spellStart"/>
      <w:r w:rsidRPr="005B0931">
        <w:rPr>
          <w:sz w:val="20"/>
          <w:szCs w:val="20"/>
        </w:rPr>
        <w:t>Censori</w:t>
      </w:r>
      <w:proofErr w:type="spellEnd"/>
      <w:r w:rsidR="002A6D47" w:rsidRPr="005B0931">
        <w:rPr>
          <w:sz w:val="20"/>
          <w:szCs w:val="20"/>
        </w:rPr>
        <w:t xml:space="preserve"> </w:t>
      </w:r>
      <w:r w:rsidRPr="005B0931">
        <w:rPr>
          <w:sz w:val="20"/>
          <w:szCs w:val="20"/>
        </w:rPr>
        <w:t>B,</w:t>
      </w:r>
      <w:r w:rsidR="002A6D47" w:rsidRPr="005B0931">
        <w:rPr>
          <w:sz w:val="20"/>
          <w:szCs w:val="20"/>
        </w:rPr>
        <w:t xml:space="preserve"> </w:t>
      </w:r>
      <w:proofErr w:type="spellStart"/>
      <w:r w:rsidRPr="005B0931">
        <w:rPr>
          <w:sz w:val="20"/>
          <w:szCs w:val="20"/>
        </w:rPr>
        <w:t>Camerlingo</w:t>
      </w:r>
      <w:proofErr w:type="spellEnd"/>
      <w:r w:rsidR="002A6D47" w:rsidRPr="005B0931">
        <w:rPr>
          <w:sz w:val="20"/>
          <w:szCs w:val="20"/>
        </w:rPr>
        <w:t xml:space="preserve"> </w:t>
      </w:r>
      <w:r w:rsidRPr="005B0931">
        <w:rPr>
          <w:sz w:val="20"/>
          <w:szCs w:val="20"/>
        </w:rPr>
        <w:t>M,</w:t>
      </w:r>
      <w:r w:rsidR="002A6D47" w:rsidRPr="005B0931">
        <w:rPr>
          <w:sz w:val="20"/>
          <w:szCs w:val="20"/>
        </w:rPr>
        <w:t xml:space="preserve"> </w:t>
      </w:r>
      <w:proofErr w:type="spellStart"/>
      <w:r w:rsidRPr="005B0931">
        <w:rPr>
          <w:sz w:val="20"/>
          <w:szCs w:val="20"/>
        </w:rPr>
        <w:t>Casto</w:t>
      </w:r>
      <w:proofErr w:type="spellEnd"/>
      <w:r w:rsidR="002A6D47" w:rsidRPr="005B0931">
        <w:rPr>
          <w:sz w:val="20"/>
          <w:szCs w:val="20"/>
        </w:rPr>
        <w:t xml:space="preserve"> </w:t>
      </w:r>
      <w:r w:rsidRPr="005B0931">
        <w:rPr>
          <w:sz w:val="20"/>
          <w:szCs w:val="20"/>
        </w:rPr>
        <w:t>L,</w:t>
      </w:r>
      <w:r w:rsidR="002A6D47" w:rsidRPr="005B0931">
        <w:rPr>
          <w:sz w:val="20"/>
          <w:szCs w:val="20"/>
        </w:rPr>
        <w:t xml:space="preserve"> </w:t>
      </w:r>
      <w:r w:rsidRPr="005B0931">
        <w:rPr>
          <w:sz w:val="20"/>
          <w:szCs w:val="20"/>
        </w:rPr>
        <w:t>et</w:t>
      </w:r>
      <w:r w:rsidR="002A6D47" w:rsidRPr="005B0931">
        <w:rPr>
          <w:sz w:val="20"/>
          <w:szCs w:val="20"/>
        </w:rPr>
        <w:t xml:space="preserve"> </w:t>
      </w:r>
      <w:r w:rsidRPr="005B0931">
        <w:rPr>
          <w:sz w:val="20"/>
          <w:szCs w:val="20"/>
        </w:rPr>
        <w:t>al.</w:t>
      </w:r>
      <w:r w:rsidR="002A6D47" w:rsidRPr="005B0931">
        <w:rPr>
          <w:sz w:val="20"/>
          <w:szCs w:val="20"/>
        </w:rPr>
        <w:t xml:space="preserve"> </w:t>
      </w:r>
      <w:r w:rsidRPr="005B0931">
        <w:rPr>
          <w:sz w:val="20"/>
          <w:szCs w:val="20"/>
        </w:rPr>
        <w:t>Prognostic</w:t>
      </w:r>
      <w:r w:rsidR="002A6D47" w:rsidRPr="005B0931">
        <w:rPr>
          <w:sz w:val="20"/>
          <w:szCs w:val="20"/>
        </w:rPr>
        <w:t xml:space="preserve"> </w:t>
      </w:r>
      <w:r w:rsidRPr="005B0931">
        <w:rPr>
          <w:sz w:val="20"/>
          <w:szCs w:val="20"/>
        </w:rPr>
        <w:t>factors</w:t>
      </w:r>
      <w:r w:rsidR="002A6D47" w:rsidRPr="005B0931">
        <w:rPr>
          <w:sz w:val="20"/>
          <w:szCs w:val="20"/>
        </w:rPr>
        <w:t xml:space="preserve"> </w:t>
      </w:r>
      <w:r w:rsidRPr="005B0931">
        <w:rPr>
          <w:sz w:val="20"/>
          <w:szCs w:val="20"/>
        </w:rPr>
        <w:t>in</w:t>
      </w:r>
      <w:r w:rsidR="002A6D47" w:rsidRPr="005B0931">
        <w:rPr>
          <w:sz w:val="20"/>
          <w:szCs w:val="20"/>
        </w:rPr>
        <w:t xml:space="preserve"> </w:t>
      </w:r>
      <w:r w:rsidRPr="005B0931">
        <w:rPr>
          <w:sz w:val="20"/>
          <w:szCs w:val="20"/>
        </w:rPr>
        <w:t>first-ever</w:t>
      </w:r>
      <w:r w:rsidR="002A6D47" w:rsidRPr="005B0931">
        <w:rPr>
          <w:sz w:val="20"/>
          <w:szCs w:val="20"/>
        </w:rPr>
        <w:t xml:space="preserve"> </w:t>
      </w:r>
      <w:r w:rsidRPr="005B0931">
        <w:rPr>
          <w:sz w:val="20"/>
          <w:szCs w:val="20"/>
        </w:rPr>
        <w:t>stroke</w:t>
      </w:r>
      <w:r w:rsidR="002A6D47" w:rsidRPr="005B0931">
        <w:rPr>
          <w:sz w:val="20"/>
          <w:szCs w:val="20"/>
        </w:rPr>
        <w:t xml:space="preserve"> </w:t>
      </w:r>
      <w:r w:rsidRPr="005B0931">
        <w:rPr>
          <w:sz w:val="20"/>
          <w:szCs w:val="20"/>
        </w:rPr>
        <w:t>in</w:t>
      </w:r>
      <w:r w:rsidR="002A6D47" w:rsidRPr="005B0931">
        <w:rPr>
          <w:sz w:val="20"/>
          <w:szCs w:val="20"/>
        </w:rPr>
        <w:t xml:space="preserve"> </w:t>
      </w:r>
      <w:r w:rsidRPr="005B0931">
        <w:rPr>
          <w:sz w:val="20"/>
          <w:szCs w:val="20"/>
        </w:rPr>
        <w:t>the</w:t>
      </w:r>
      <w:r w:rsidR="002A6D47" w:rsidRPr="005B0931">
        <w:rPr>
          <w:sz w:val="20"/>
          <w:szCs w:val="20"/>
        </w:rPr>
        <w:t xml:space="preserve"> </w:t>
      </w:r>
      <w:r w:rsidRPr="005B0931">
        <w:rPr>
          <w:sz w:val="20"/>
          <w:szCs w:val="20"/>
        </w:rPr>
        <w:t>carotid</w:t>
      </w:r>
      <w:r w:rsidR="002A6D47" w:rsidRPr="005B0931">
        <w:rPr>
          <w:sz w:val="20"/>
          <w:szCs w:val="20"/>
        </w:rPr>
        <w:t xml:space="preserve"> </w:t>
      </w:r>
      <w:r w:rsidRPr="005B0931">
        <w:rPr>
          <w:sz w:val="20"/>
          <w:szCs w:val="20"/>
        </w:rPr>
        <w:t>artery</w:t>
      </w:r>
      <w:r w:rsidR="002A6D47" w:rsidRPr="005B0931">
        <w:rPr>
          <w:sz w:val="20"/>
          <w:szCs w:val="20"/>
        </w:rPr>
        <w:t xml:space="preserve"> </w:t>
      </w:r>
      <w:r w:rsidRPr="005B0931">
        <w:rPr>
          <w:sz w:val="20"/>
          <w:szCs w:val="20"/>
        </w:rPr>
        <w:t>territory</w:t>
      </w:r>
      <w:r w:rsidR="002A6D47" w:rsidRPr="005B0931">
        <w:rPr>
          <w:sz w:val="20"/>
          <w:szCs w:val="20"/>
        </w:rPr>
        <w:t xml:space="preserve"> </w:t>
      </w:r>
      <w:r w:rsidRPr="005B0931">
        <w:rPr>
          <w:sz w:val="20"/>
          <w:szCs w:val="20"/>
        </w:rPr>
        <w:t>seen</w:t>
      </w:r>
      <w:r w:rsidR="002A6D47" w:rsidRPr="005B0931">
        <w:rPr>
          <w:sz w:val="20"/>
          <w:szCs w:val="20"/>
        </w:rPr>
        <w:t xml:space="preserve"> </w:t>
      </w:r>
      <w:r w:rsidRPr="005B0931">
        <w:rPr>
          <w:sz w:val="20"/>
          <w:szCs w:val="20"/>
        </w:rPr>
        <w:t>within</w:t>
      </w:r>
      <w:r w:rsidR="002A6D47" w:rsidRPr="005B0931">
        <w:rPr>
          <w:sz w:val="20"/>
          <w:szCs w:val="20"/>
        </w:rPr>
        <w:t xml:space="preserve"> </w:t>
      </w:r>
      <w:r w:rsidRPr="005B0931">
        <w:rPr>
          <w:sz w:val="20"/>
          <w:szCs w:val="20"/>
        </w:rPr>
        <w:t>6</w:t>
      </w:r>
      <w:r w:rsidR="002A6D47" w:rsidRPr="005B0931">
        <w:rPr>
          <w:sz w:val="20"/>
          <w:szCs w:val="20"/>
        </w:rPr>
        <w:t xml:space="preserve"> </w:t>
      </w:r>
      <w:r w:rsidRPr="005B0931">
        <w:rPr>
          <w:sz w:val="20"/>
          <w:szCs w:val="20"/>
        </w:rPr>
        <w:t>hours</w:t>
      </w:r>
      <w:r w:rsidR="002A6D47" w:rsidRPr="005B0931">
        <w:rPr>
          <w:sz w:val="20"/>
          <w:szCs w:val="20"/>
        </w:rPr>
        <w:t xml:space="preserve"> </w:t>
      </w:r>
      <w:r w:rsidRPr="005B0931">
        <w:rPr>
          <w:sz w:val="20"/>
          <w:szCs w:val="20"/>
        </w:rPr>
        <w:t>after</w:t>
      </w:r>
      <w:r w:rsidR="002A6D47" w:rsidRPr="005B0931">
        <w:rPr>
          <w:sz w:val="20"/>
          <w:szCs w:val="20"/>
        </w:rPr>
        <w:t xml:space="preserve"> </w:t>
      </w:r>
      <w:r w:rsidRPr="005B0931">
        <w:rPr>
          <w:sz w:val="20"/>
          <w:szCs w:val="20"/>
        </w:rPr>
        <w:t>onset.</w:t>
      </w:r>
      <w:r w:rsidR="002A6D47" w:rsidRPr="005B0931">
        <w:rPr>
          <w:sz w:val="20"/>
          <w:szCs w:val="20"/>
        </w:rPr>
        <w:t xml:space="preserve"> </w:t>
      </w:r>
      <w:r w:rsidRPr="005B0931">
        <w:rPr>
          <w:sz w:val="20"/>
          <w:szCs w:val="20"/>
        </w:rPr>
        <w:t>Stroke</w:t>
      </w:r>
      <w:r w:rsidR="002A6D47" w:rsidRPr="005B0931">
        <w:rPr>
          <w:sz w:val="20"/>
          <w:szCs w:val="20"/>
        </w:rPr>
        <w:t xml:space="preserve"> </w:t>
      </w:r>
      <w:r w:rsidRPr="005B0931">
        <w:rPr>
          <w:sz w:val="20"/>
          <w:szCs w:val="20"/>
        </w:rPr>
        <w:t>1993;</w:t>
      </w:r>
      <w:r w:rsidR="002A6D47" w:rsidRPr="005B0931">
        <w:rPr>
          <w:sz w:val="20"/>
          <w:szCs w:val="20"/>
        </w:rPr>
        <w:t xml:space="preserve"> </w:t>
      </w:r>
      <w:r w:rsidRPr="005B0931">
        <w:rPr>
          <w:sz w:val="20"/>
          <w:szCs w:val="20"/>
        </w:rPr>
        <w:t>24:532.</w:t>
      </w:r>
    </w:p>
    <w:p w:rsidR="006C67BF" w:rsidRPr="005B0931" w:rsidRDefault="006C67BF" w:rsidP="002A6D47">
      <w:pPr>
        <w:numPr>
          <w:ilvl w:val="0"/>
          <w:numId w:val="32"/>
        </w:numPr>
        <w:bidi w:val="0"/>
        <w:snapToGrid w:val="0"/>
        <w:ind w:left="425" w:hanging="425"/>
        <w:contextualSpacing/>
        <w:jc w:val="both"/>
        <w:rPr>
          <w:rFonts w:eastAsia="Calibri"/>
          <w:sz w:val="20"/>
          <w:szCs w:val="20"/>
        </w:rPr>
      </w:pPr>
      <w:r w:rsidRPr="005B0931">
        <w:rPr>
          <w:sz w:val="20"/>
          <w:szCs w:val="20"/>
        </w:rPr>
        <w:t>Weimar</w:t>
      </w:r>
      <w:r w:rsidR="002A6D47" w:rsidRPr="005B0931">
        <w:rPr>
          <w:sz w:val="20"/>
          <w:szCs w:val="20"/>
        </w:rPr>
        <w:t xml:space="preserve"> </w:t>
      </w:r>
      <w:r w:rsidRPr="005B0931">
        <w:rPr>
          <w:sz w:val="20"/>
          <w:szCs w:val="20"/>
        </w:rPr>
        <w:t>C,</w:t>
      </w:r>
      <w:r w:rsidR="002A6D47" w:rsidRPr="005B0931">
        <w:rPr>
          <w:sz w:val="20"/>
          <w:szCs w:val="20"/>
        </w:rPr>
        <w:t xml:space="preserve"> </w:t>
      </w:r>
      <w:proofErr w:type="spellStart"/>
      <w:r w:rsidRPr="005B0931">
        <w:rPr>
          <w:sz w:val="20"/>
          <w:szCs w:val="20"/>
        </w:rPr>
        <w:t>König</w:t>
      </w:r>
      <w:proofErr w:type="spellEnd"/>
      <w:r w:rsidR="002A6D47" w:rsidRPr="005B0931">
        <w:rPr>
          <w:sz w:val="20"/>
          <w:szCs w:val="20"/>
        </w:rPr>
        <w:t xml:space="preserve"> </w:t>
      </w:r>
      <w:r w:rsidRPr="005B0931">
        <w:rPr>
          <w:sz w:val="20"/>
          <w:szCs w:val="20"/>
        </w:rPr>
        <w:t>IR,</w:t>
      </w:r>
      <w:r w:rsidR="002A6D47" w:rsidRPr="005B0931">
        <w:rPr>
          <w:sz w:val="20"/>
          <w:szCs w:val="20"/>
        </w:rPr>
        <w:t xml:space="preserve"> </w:t>
      </w:r>
      <w:proofErr w:type="spellStart"/>
      <w:r w:rsidRPr="005B0931">
        <w:rPr>
          <w:sz w:val="20"/>
          <w:szCs w:val="20"/>
        </w:rPr>
        <w:t>Kraywinkel</w:t>
      </w:r>
      <w:proofErr w:type="spellEnd"/>
      <w:r w:rsidR="002A6D47" w:rsidRPr="005B0931">
        <w:rPr>
          <w:sz w:val="20"/>
          <w:szCs w:val="20"/>
        </w:rPr>
        <w:t xml:space="preserve"> </w:t>
      </w:r>
      <w:r w:rsidRPr="005B0931">
        <w:rPr>
          <w:sz w:val="20"/>
          <w:szCs w:val="20"/>
        </w:rPr>
        <w:t>K,</w:t>
      </w:r>
      <w:r w:rsidR="002A6D47" w:rsidRPr="005B0931">
        <w:rPr>
          <w:sz w:val="20"/>
          <w:szCs w:val="20"/>
        </w:rPr>
        <w:t xml:space="preserve"> </w:t>
      </w:r>
      <w:r w:rsidRPr="005B0931">
        <w:rPr>
          <w:sz w:val="20"/>
          <w:szCs w:val="20"/>
        </w:rPr>
        <w:t>et</w:t>
      </w:r>
      <w:r w:rsidR="002A6D47" w:rsidRPr="005B0931">
        <w:rPr>
          <w:sz w:val="20"/>
          <w:szCs w:val="20"/>
        </w:rPr>
        <w:t xml:space="preserve"> </w:t>
      </w:r>
      <w:r w:rsidRPr="005B0931">
        <w:rPr>
          <w:sz w:val="20"/>
          <w:szCs w:val="20"/>
        </w:rPr>
        <w:t>al.</w:t>
      </w:r>
      <w:r w:rsidR="002A6D47" w:rsidRPr="005B0931">
        <w:rPr>
          <w:sz w:val="20"/>
          <w:szCs w:val="20"/>
        </w:rPr>
        <w:t xml:space="preserve"> </w:t>
      </w:r>
      <w:r w:rsidRPr="005B0931">
        <w:rPr>
          <w:sz w:val="20"/>
          <w:szCs w:val="20"/>
        </w:rPr>
        <w:t>Age</w:t>
      </w:r>
      <w:r w:rsidR="002A6D47" w:rsidRPr="005B0931">
        <w:rPr>
          <w:sz w:val="20"/>
          <w:szCs w:val="20"/>
        </w:rPr>
        <w:t xml:space="preserve"> </w:t>
      </w:r>
      <w:r w:rsidRPr="005B0931">
        <w:rPr>
          <w:sz w:val="20"/>
          <w:szCs w:val="20"/>
        </w:rPr>
        <w:t>and</w:t>
      </w:r>
      <w:r w:rsidR="002A6D47" w:rsidRPr="005B0931">
        <w:rPr>
          <w:sz w:val="20"/>
          <w:szCs w:val="20"/>
        </w:rPr>
        <w:t xml:space="preserve"> </w:t>
      </w:r>
      <w:r w:rsidRPr="005B0931">
        <w:rPr>
          <w:sz w:val="20"/>
          <w:szCs w:val="20"/>
        </w:rPr>
        <w:t>National</w:t>
      </w:r>
      <w:r w:rsidR="002A6D47" w:rsidRPr="005B0931">
        <w:rPr>
          <w:sz w:val="20"/>
          <w:szCs w:val="20"/>
        </w:rPr>
        <w:t xml:space="preserve"> </w:t>
      </w:r>
      <w:r w:rsidRPr="005B0931">
        <w:rPr>
          <w:sz w:val="20"/>
          <w:szCs w:val="20"/>
        </w:rPr>
        <w:t>Institutes</w:t>
      </w:r>
      <w:r w:rsidR="002A6D47" w:rsidRPr="005B0931">
        <w:rPr>
          <w:sz w:val="20"/>
          <w:szCs w:val="20"/>
        </w:rPr>
        <w:t xml:space="preserve"> </w:t>
      </w:r>
      <w:r w:rsidRPr="005B0931">
        <w:rPr>
          <w:sz w:val="20"/>
          <w:szCs w:val="20"/>
        </w:rPr>
        <w:t>of</w:t>
      </w:r>
      <w:r w:rsidR="002A6D47" w:rsidRPr="005B0931">
        <w:rPr>
          <w:sz w:val="20"/>
          <w:szCs w:val="20"/>
        </w:rPr>
        <w:t xml:space="preserve"> </w:t>
      </w:r>
      <w:r w:rsidRPr="005B0931">
        <w:rPr>
          <w:sz w:val="20"/>
          <w:szCs w:val="20"/>
        </w:rPr>
        <w:t>Health</w:t>
      </w:r>
      <w:r w:rsidR="002A6D47" w:rsidRPr="005B0931">
        <w:rPr>
          <w:sz w:val="20"/>
          <w:szCs w:val="20"/>
        </w:rPr>
        <w:t xml:space="preserve"> </w:t>
      </w:r>
      <w:r w:rsidRPr="005B0931">
        <w:rPr>
          <w:sz w:val="20"/>
          <w:szCs w:val="20"/>
        </w:rPr>
        <w:t>Stroke</w:t>
      </w:r>
      <w:r w:rsidR="002A6D47" w:rsidRPr="005B0931">
        <w:rPr>
          <w:sz w:val="20"/>
          <w:szCs w:val="20"/>
        </w:rPr>
        <w:t xml:space="preserve"> </w:t>
      </w:r>
      <w:r w:rsidRPr="005B0931">
        <w:rPr>
          <w:sz w:val="20"/>
          <w:szCs w:val="20"/>
        </w:rPr>
        <w:t>Scale</w:t>
      </w:r>
      <w:r w:rsidR="002A6D47" w:rsidRPr="005B0931">
        <w:rPr>
          <w:sz w:val="20"/>
          <w:szCs w:val="20"/>
        </w:rPr>
        <w:t xml:space="preserve"> </w:t>
      </w:r>
      <w:r w:rsidRPr="005B0931">
        <w:rPr>
          <w:sz w:val="20"/>
          <w:szCs w:val="20"/>
        </w:rPr>
        <w:t>Score</w:t>
      </w:r>
      <w:r w:rsidR="002A6D47" w:rsidRPr="005B0931">
        <w:rPr>
          <w:sz w:val="20"/>
          <w:szCs w:val="20"/>
        </w:rPr>
        <w:t xml:space="preserve"> </w:t>
      </w:r>
      <w:r w:rsidRPr="005B0931">
        <w:rPr>
          <w:sz w:val="20"/>
          <w:szCs w:val="20"/>
        </w:rPr>
        <w:t>within</w:t>
      </w:r>
      <w:r w:rsidR="002A6D47" w:rsidRPr="005B0931">
        <w:rPr>
          <w:sz w:val="20"/>
          <w:szCs w:val="20"/>
        </w:rPr>
        <w:t xml:space="preserve"> </w:t>
      </w:r>
      <w:r w:rsidRPr="005B0931">
        <w:rPr>
          <w:sz w:val="20"/>
          <w:szCs w:val="20"/>
        </w:rPr>
        <w:t>6</w:t>
      </w:r>
      <w:r w:rsidR="002A6D47" w:rsidRPr="005B0931">
        <w:rPr>
          <w:sz w:val="20"/>
          <w:szCs w:val="20"/>
        </w:rPr>
        <w:t xml:space="preserve"> </w:t>
      </w:r>
      <w:r w:rsidRPr="005B0931">
        <w:rPr>
          <w:sz w:val="20"/>
          <w:szCs w:val="20"/>
        </w:rPr>
        <w:t>hours</w:t>
      </w:r>
      <w:r w:rsidR="002A6D47" w:rsidRPr="005B0931">
        <w:rPr>
          <w:sz w:val="20"/>
          <w:szCs w:val="20"/>
        </w:rPr>
        <w:t xml:space="preserve"> </w:t>
      </w:r>
      <w:r w:rsidRPr="005B0931">
        <w:rPr>
          <w:sz w:val="20"/>
          <w:szCs w:val="20"/>
        </w:rPr>
        <w:t>after</w:t>
      </w:r>
      <w:r w:rsidR="002A6D47" w:rsidRPr="005B0931">
        <w:rPr>
          <w:sz w:val="20"/>
          <w:szCs w:val="20"/>
        </w:rPr>
        <w:t xml:space="preserve"> </w:t>
      </w:r>
      <w:r w:rsidRPr="005B0931">
        <w:rPr>
          <w:sz w:val="20"/>
          <w:szCs w:val="20"/>
        </w:rPr>
        <w:t>onset</w:t>
      </w:r>
      <w:r w:rsidR="002A6D47" w:rsidRPr="005B0931">
        <w:rPr>
          <w:sz w:val="20"/>
          <w:szCs w:val="20"/>
        </w:rPr>
        <w:t xml:space="preserve"> </w:t>
      </w:r>
      <w:r w:rsidRPr="005B0931">
        <w:rPr>
          <w:sz w:val="20"/>
          <w:szCs w:val="20"/>
        </w:rPr>
        <w:t>are</w:t>
      </w:r>
      <w:r w:rsidR="002A6D47" w:rsidRPr="005B0931">
        <w:rPr>
          <w:sz w:val="20"/>
          <w:szCs w:val="20"/>
        </w:rPr>
        <w:t xml:space="preserve"> </w:t>
      </w:r>
      <w:r w:rsidRPr="005B0931">
        <w:rPr>
          <w:sz w:val="20"/>
          <w:szCs w:val="20"/>
        </w:rPr>
        <w:t>accurate</w:t>
      </w:r>
      <w:r w:rsidR="002A6D47" w:rsidRPr="005B0931">
        <w:rPr>
          <w:sz w:val="20"/>
          <w:szCs w:val="20"/>
        </w:rPr>
        <w:t xml:space="preserve"> </w:t>
      </w:r>
      <w:r w:rsidRPr="005B0931">
        <w:rPr>
          <w:sz w:val="20"/>
          <w:szCs w:val="20"/>
        </w:rPr>
        <w:t>predictors</w:t>
      </w:r>
      <w:r w:rsidR="002A6D47" w:rsidRPr="005B0931">
        <w:rPr>
          <w:sz w:val="20"/>
          <w:szCs w:val="20"/>
        </w:rPr>
        <w:t xml:space="preserve"> </w:t>
      </w:r>
      <w:r w:rsidRPr="005B0931">
        <w:rPr>
          <w:sz w:val="20"/>
          <w:szCs w:val="20"/>
        </w:rPr>
        <w:t>of</w:t>
      </w:r>
      <w:r w:rsidR="002A6D47" w:rsidRPr="005B0931">
        <w:rPr>
          <w:sz w:val="20"/>
          <w:szCs w:val="20"/>
        </w:rPr>
        <w:t xml:space="preserve"> </w:t>
      </w:r>
      <w:r w:rsidRPr="005B0931">
        <w:rPr>
          <w:sz w:val="20"/>
          <w:szCs w:val="20"/>
        </w:rPr>
        <w:t>outcome</w:t>
      </w:r>
      <w:r w:rsidR="002A6D47" w:rsidRPr="005B0931">
        <w:rPr>
          <w:sz w:val="20"/>
          <w:szCs w:val="20"/>
        </w:rPr>
        <w:t xml:space="preserve"> </w:t>
      </w:r>
      <w:r w:rsidRPr="005B0931">
        <w:rPr>
          <w:sz w:val="20"/>
          <w:szCs w:val="20"/>
        </w:rPr>
        <w:t>after</w:t>
      </w:r>
      <w:r w:rsidR="002A6D47" w:rsidRPr="005B0931">
        <w:rPr>
          <w:sz w:val="20"/>
          <w:szCs w:val="20"/>
        </w:rPr>
        <w:t xml:space="preserve"> </w:t>
      </w:r>
      <w:r w:rsidRPr="005B0931">
        <w:rPr>
          <w:sz w:val="20"/>
          <w:szCs w:val="20"/>
        </w:rPr>
        <w:t>cerebral</w:t>
      </w:r>
      <w:r w:rsidR="002A6D47" w:rsidRPr="005B0931">
        <w:rPr>
          <w:sz w:val="20"/>
          <w:szCs w:val="20"/>
        </w:rPr>
        <w:t xml:space="preserve"> </w:t>
      </w:r>
      <w:r w:rsidRPr="005B0931">
        <w:rPr>
          <w:sz w:val="20"/>
          <w:szCs w:val="20"/>
        </w:rPr>
        <w:t>ischemia:</w:t>
      </w:r>
      <w:r w:rsidR="002A6D47" w:rsidRPr="005B0931">
        <w:rPr>
          <w:sz w:val="20"/>
          <w:szCs w:val="20"/>
        </w:rPr>
        <w:t xml:space="preserve"> </w:t>
      </w:r>
      <w:r w:rsidRPr="005B0931">
        <w:rPr>
          <w:sz w:val="20"/>
          <w:szCs w:val="20"/>
        </w:rPr>
        <w:lastRenderedPageBreak/>
        <w:t>development</w:t>
      </w:r>
      <w:r w:rsidR="002A6D47" w:rsidRPr="005B0931">
        <w:rPr>
          <w:sz w:val="20"/>
          <w:szCs w:val="20"/>
        </w:rPr>
        <w:t xml:space="preserve"> </w:t>
      </w:r>
      <w:r w:rsidRPr="005B0931">
        <w:rPr>
          <w:sz w:val="20"/>
          <w:szCs w:val="20"/>
        </w:rPr>
        <w:t>and</w:t>
      </w:r>
      <w:r w:rsidR="002A6D47" w:rsidRPr="005B0931">
        <w:rPr>
          <w:sz w:val="20"/>
          <w:szCs w:val="20"/>
        </w:rPr>
        <w:t xml:space="preserve"> </w:t>
      </w:r>
      <w:r w:rsidRPr="005B0931">
        <w:rPr>
          <w:sz w:val="20"/>
          <w:szCs w:val="20"/>
        </w:rPr>
        <w:t>external</w:t>
      </w:r>
      <w:r w:rsidR="002A6D47" w:rsidRPr="005B0931">
        <w:rPr>
          <w:sz w:val="20"/>
          <w:szCs w:val="20"/>
        </w:rPr>
        <w:t xml:space="preserve"> </w:t>
      </w:r>
      <w:r w:rsidRPr="005B0931">
        <w:rPr>
          <w:sz w:val="20"/>
          <w:szCs w:val="20"/>
        </w:rPr>
        <w:t>validation</w:t>
      </w:r>
      <w:r w:rsidR="002A6D47" w:rsidRPr="005B0931">
        <w:rPr>
          <w:sz w:val="20"/>
          <w:szCs w:val="20"/>
        </w:rPr>
        <w:t xml:space="preserve"> </w:t>
      </w:r>
      <w:r w:rsidRPr="005B0931">
        <w:rPr>
          <w:sz w:val="20"/>
          <w:szCs w:val="20"/>
        </w:rPr>
        <w:t>of</w:t>
      </w:r>
      <w:r w:rsidR="002A6D47" w:rsidRPr="005B0931">
        <w:rPr>
          <w:sz w:val="20"/>
          <w:szCs w:val="20"/>
        </w:rPr>
        <w:t xml:space="preserve"> </w:t>
      </w:r>
      <w:r w:rsidRPr="005B0931">
        <w:rPr>
          <w:sz w:val="20"/>
          <w:szCs w:val="20"/>
        </w:rPr>
        <w:t>prognostic</w:t>
      </w:r>
      <w:r w:rsidR="002A6D47" w:rsidRPr="005B0931">
        <w:rPr>
          <w:sz w:val="20"/>
          <w:szCs w:val="20"/>
        </w:rPr>
        <w:t xml:space="preserve"> </w:t>
      </w:r>
      <w:r w:rsidRPr="005B0931">
        <w:rPr>
          <w:sz w:val="20"/>
          <w:szCs w:val="20"/>
        </w:rPr>
        <w:t>models.</w:t>
      </w:r>
      <w:r w:rsidR="002A6D47" w:rsidRPr="005B0931">
        <w:rPr>
          <w:sz w:val="20"/>
          <w:szCs w:val="20"/>
        </w:rPr>
        <w:t xml:space="preserve"> </w:t>
      </w:r>
      <w:r w:rsidRPr="005B0931">
        <w:rPr>
          <w:sz w:val="20"/>
          <w:szCs w:val="20"/>
        </w:rPr>
        <w:t>Stroke</w:t>
      </w:r>
      <w:r w:rsidR="002A6D47" w:rsidRPr="005B0931">
        <w:rPr>
          <w:sz w:val="20"/>
          <w:szCs w:val="20"/>
        </w:rPr>
        <w:t xml:space="preserve"> </w:t>
      </w:r>
      <w:r w:rsidRPr="005B0931">
        <w:rPr>
          <w:sz w:val="20"/>
          <w:szCs w:val="20"/>
        </w:rPr>
        <w:t>2004;</w:t>
      </w:r>
      <w:r w:rsidR="002A6D47" w:rsidRPr="005B0931">
        <w:rPr>
          <w:sz w:val="20"/>
          <w:szCs w:val="20"/>
        </w:rPr>
        <w:t xml:space="preserve"> </w:t>
      </w:r>
      <w:r w:rsidRPr="005B0931">
        <w:rPr>
          <w:sz w:val="20"/>
          <w:szCs w:val="20"/>
        </w:rPr>
        <w:t>35:158.</w:t>
      </w:r>
    </w:p>
    <w:p w:rsidR="006C67BF" w:rsidRPr="005B0931" w:rsidRDefault="006C67BF" w:rsidP="002A6D47">
      <w:pPr>
        <w:numPr>
          <w:ilvl w:val="0"/>
          <w:numId w:val="32"/>
        </w:numPr>
        <w:bidi w:val="0"/>
        <w:snapToGrid w:val="0"/>
        <w:ind w:left="425" w:hanging="425"/>
        <w:contextualSpacing/>
        <w:jc w:val="both"/>
        <w:rPr>
          <w:rFonts w:eastAsia="Calibri"/>
          <w:sz w:val="20"/>
          <w:szCs w:val="20"/>
        </w:rPr>
      </w:pPr>
      <w:r w:rsidRPr="005B0931">
        <w:rPr>
          <w:sz w:val="20"/>
          <w:szCs w:val="20"/>
        </w:rPr>
        <w:t>Vogt</w:t>
      </w:r>
      <w:r w:rsidR="002A6D47" w:rsidRPr="005B0931">
        <w:rPr>
          <w:sz w:val="20"/>
          <w:szCs w:val="20"/>
        </w:rPr>
        <w:t xml:space="preserve"> </w:t>
      </w:r>
      <w:r w:rsidRPr="005B0931">
        <w:rPr>
          <w:sz w:val="20"/>
          <w:szCs w:val="20"/>
        </w:rPr>
        <w:t>G,</w:t>
      </w:r>
      <w:r w:rsidR="002A6D47" w:rsidRPr="005B0931">
        <w:rPr>
          <w:sz w:val="20"/>
          <w:szCs w:val="20"/>
        </w:rPr>
        <w:t xml:space="preserve"> </w:t>
      </w:r>
      <w:proofErr w:type="spellStart"/>
      <w:r w:rsidRPr="005B0931">
        <w:rPr>
          <w:sz w:val="20"/>
          <w:szCs w:val="20"/>
        </w:rPr>
        <w:t>Laage</w:t>
      </w:r>
      <w:proofErr w:type="spellEnd"/>
      <w:r w:rsidR="002A6D47" w:rsidRPr="005B0931">
        <w:rPr>
          <w:sz w:val="20"/>
          <w:szCs w:val="20"/>
        </w:rPr>
        <w:t xml:space="preserve"> </w:t>
      </w:r>
      <w:r w:rsidRPr="005B0931">
        <w:rPr>
          <w:sz w:val="20"/>
          <w:szCs w:val="20"/>
        </w:rPr>
        <w:t>R,</w:t>
      </w:r>
      <w:r w:rsidR="002A6D47" w:rsidRPr="005B0931">
        <w:rPr>
          <w:sz w:val="20"/>
          <w:szCs w:val="20"/>
        </w:rPr>
        <w:t xml:space="preserve"> </w:t>
      </w:r>
      <w:proofErr w:type="spellStart"/>
      <w:r w:rsidRPr="005B0931">
        <w:rPr>
          <w:sz w:val="20"/>
          <w:szCs w:val="20"/>
        </w:rPr>
        <w:t>Shuaib</w:t>
      </w:r>
      <w:proofErr w:type="spellEnd"/>
      <w:r w:rsidR="002A6D47" w:rsidRPr="005B0931">
        <w:rPr>
          <w:sz w:val="20"/>
          <w:szCs w:val="20"/>
        </w:rPr>
        <w:t xml:space="preserve"> </w:t>
      </w:r>
      <w:r w:rsidRPr="005B0931">
        <w:rPr>
          <w:sz w:val="20"/>
          <w:szCs w:val="20"/>
        </w:rPr>
        <w:t>A,</w:t>
      </w:r>
      <w:r w:rsidR="002A6D47" w:rsidRPr="005B0931">
        <w:rPr>
          <w:sz w:val="20"/>
          <w:szCs w:val="20"/>
        </w:rPr>
        <w:t xml:space="preserve"> </w:t>
      </w:r>
      <w:r w:rsidRPr="005B0931">
        <w:rPr>
          <w:sz w:val="20"/>
          <w:szCs w:val="20"/>
        </w:rPr>
        <w:t>et</w:t>
      </w:r>
      <w:r w:rsidR="002A6D47" w:rsidRPr="005B0931">
        <w:rPr>
          <w:sz w:val="20"/>
          <w:szCs w:val="20"/>
        </w:rPr>
        <w:t xml:space="preserve"> </w:t>
      </w:r>
      <w:r w:rsidRPr="005B0931">
        <w:rPr>
          <w:sz w:val="20"/>
          <w:szCs w:val="20"/>
        </w:rPr>
        <w:t>al.</w:t>
      </w:r>
      <w:r w:rsidR="002A6D47" w:rsidRPr="005B0931">
        <w:rPr>
          <w:sz w:val="20"/>
          <w:szCs w:val="20"/>
        </w:rPr>
        <w:t xml:space="preserve"> </w:t>
      </w:r>
      <w:r w:rsidRPr="005B0931">
        <w:rPr>
          <w:sz w:val="20"/>
          <w:szCs w:val="20"/>
        </w:rPr>
        <w:t>Initial</w:t>
      </w:r>
      <w:r w:rsidR="002A6D47" w:rsidRPr="005B0931">
        <w:rPr>
          <w:sz w:val="20"/>
          <w:szCs w:val="20"/>
        </w:rPr>
        <w:t xml:space="preserve"> </w:t>
      </w:r>
      <w:r w:rsidRPr="005B0931">
        <w:rPr>
          <w:sz w:val="20"/>
          <w:szCs w:val="20"/>
        </w:rPr>
        <w:t>lesion</w:t>
      </w:r>
      <w:r w:rsidR="002A6D47" w:rsidRPr="005B0931">
        <w:rPr>
          <w:sz w:val="20"/>
          <w:szCs w:val="20"/>
        </w:rPr>
        <w:t xml:space="preserve"> </w:t>
      </w:r>
      <w:r w:rsidRPr="005B0931">
        <w:rPr>
          <w:sz w:val="20"/>
          <w:szCs w:val="20"/>
        </w:rPr>
        <w:t>volume</w:t>
      </w:r>
      <w:r w:rsidR="002A6D47" w:rsidRPr="005B0931">
        <w:rPr>
          <w:sz w:val="20"/>
          <w:szCs w:val="20"/>
        </w:rPr>
        <w:t xml:space="preserve"> </w:t>
      </w:r>
      <w:r w:rsidRPr="005B0931">
        <w:rPr>
          <w:sz w:val="20"/>
          <w:szCs w:val="20"/>
        </w:rPr>
        <w:t>is</w:t>
      </w:r>
      <w:r w:rsidR="002A6D47" w:rsidRPr="005B0931">
        <w:rPr>
          <w:sz w:val="20"/>
          <w:szCs w:val="20"/>
        </w:rPr>
        <w:t xml:space="preserve"> </w:t>
      </w:r>
      <w:r w:rsidRPr="005B0931">
        <w:rPr>
          <w:sz w:val="20"/>
          <w:szCs w:val="20"/>
        </w:rPr>
        <w:t>an</w:t>
      </w:r>
      <w:r w:rsidR="002A6D47" w:rsidRPr="005B0931">
        <w:rPr>
          <w:sz w:val="20"/>
          <w:szCs w:val="20"/>
        </w:rPr>
        <w:t xml:space="preserve"> </w:t>
      </w:r>
      <w:r w:rsidRPr="005B0931">
        <w:rPr>
          <w:sz w:val="20"/>
          <w:szCs w:val="20"/>
        </w:rPr>
        <w:t>independent</w:t>
      </w:r>
      <w:r w:rsidR="002A6D47" w:rsidRPr="005B0931">
        <w:rPr>
          <w:sz w:val="20"/>
          <w:szCs w:val="20"/>
        </w:rPr>
        <w:t xml:space="preserve"> </w:t>
      </w:r>
      <w:r w:rsidRPr="005B0931">
        <w:rPr>
          <w:sz w:val="20"/>
          <w:szCs w:val="20"/>
        </w:rPr>
        <w:t>predictor</w:t>
      </w:r>
      <w:r w:rsidR="002A6D47" w:rsidRPr="005B0931">
        <w:rPr>
          <w:sz w:val="20"/>
          <w:szCs w:val="20"/>
        </w:rPr>
        <w:t xml:space="preserve"> </w:t>
      </w:r>
      <w:r w:rsidRPr="005B0931">
        <w:rPr>
          <w:sz w:val="20"/>
          <w:szCs w:val="20"/>
        </w:rPr>
        <w:t>of</w:t>
      </w:r>
      <w:r w:rsidR="002A6D47" w:rsidRPr="005B0931">
        <w:rPr>
          <w:sz w:val="20"/>
          <w:szCs w:val="20"/>
        </w:rPr>
        <w:t xml:space="preserve"> </w:t>
      </w:r>
      <w:r w:rsidRPr="005B0931">
        <w:rPr>
          <w:sz w:val="20"/>
          <w:szCs w:val="20"/>
        </w:rPr>
        <w:t>clinical</w:t>
      </w:r>
      <w:r w:rsidR="002A6D47" w:rsidRPr="005B0931">
        <w:rPr>
          <w:sz w:val="20"/>
          <w:szCs w:val="20"/>
        </w:rPr>
        <w:t xml:space="preserve"> </w:t>
      </w:r>
      <w:r w:rsidRPr="005B0931">
        <w:rPr>
          <w:sz w:val="20"/>
          <w:szCs w:val="20"/>
        </w:rPr>
        <w:t>stroke</w:t>
      </w:r>
      <w:r w:rsidR="002A6D47" w:rsidRPr="005B0931">
        <w:rPr>
          <w:sz w:val="20"/>
          <w:szCs w:val="20"/>
        </w:rPr>
        <w:t xml:space="preserve"> </w:t>
      </w:r>
      <w:r w:rsidRPr="005B0931">
        <w:rPr>
          <w:sz w:val="20"/>
          <w:szCs w:val="20"/>
        </w:rPr>
        <w:t>outcome</w:t>
      </w:r>
      <w:r w:rsidR="002A6D47" w:rsidRPr="005B0931">
        <w:rPr>
          <w:sz w:val="20"/>
          <w:szCs w:val="20"/>
        </w:rPr>
        <w:t xml:space="preserve"> </w:t>
      </w:r>
      <w:r w:rsidRPr="005B0931">
        <w:rPr>
          <w:sz w:val="20"/>
          <w:szCs w:val="20"/>
        </w:rPr>
        <w:t>at</w:t>
      </w:r>
      <w:r w:rsidR="002A6D47" w:rsidRPr="005B0931">
        <w:rPr>
          <w:sz w:val="20"/>
          <w:szCs w:val="20"/>
        </w:rPr>
        <w:t xml:space="preserve"> </w:t>
      </w:r>
      <w:r w:rsidRPr="005B0931">
        <w:rPr>
          <w:sz w:val="20"/>
          <w:szCs w:val="20"/>
        </w:rPr>
        <w:t>day</w:t>
      </w:r>
      <w:r w:rsidR="002A6D47" w:rsidRPr="005B0931">
        <w:rPr>
          <w:sz w:val="20"/>
          <w:szCs w:val="20"/>
        </w:rPr>
        <w:t xml:space="preserve"> </w:t>
      </w:r>
      <w:r w:rsidRPr="005B0931">
        <w:rPr>
          <w:sz w:val="20"/>
          <w:szCs w:val="20"/>
        </w:rPr>
        <w:t>90:</w:t>
      </w:r>
      <w:r w:rsidR="002A6D47" w:rsidRPr="005B0931">
        <w:rPr>
          <w:sz w:val="20"/>
          <w:szCs w:val="20"/>
        </w:rPr>
        <w:t xml:space="preserve"> </w:t>
      </w:r>
      <w:r w:rsidRPr="005B0931">
        <w:rPr>
          <w:sz w:val="20"/>
          <w:szCs w:val="20"/>
        </w:rPr>
        <w:t>an</w:t>
      </w:r>
      <w:r w:rsidR="002A6D47" w:rsidRPr="005B0931">
        <w:rPr>
          <w:sz w:val="20"/>
          <w:szCs w:val="20"/>
        </w:rPr>
        <w:t xml:space="preserve"> </w:t>
      </w:r>
      <w:r w:rsidRPr="005B0931">
        <w:rPr>
          <w:sz w:val="20"/>
          <w:szCs w:val="20"/>
        </w:rPr>
        <w:t>analysis</w:t>
      </w:r>
      <w:r w:rsidR="002A6D47" w:rsidRPr="005B0931">
        <w:rPr>
          <w:sz w:val="20"/>
          <w:szCs w:val="20"/>
        </w:rPr>
        <w:t xml:space="preserve"> </w:t>
      </w:r>
      <w:r w:rsidRPr="005B0931">
        <w:rPr>
          <w:sz w:val="20"/>
          <w:szCs w:val="20"/>
        </w:rPr>
        <w:t>of</w:t>
      </w:r>
      <w:r w:rsidR="002A6D47" w:rsidRPr="005B0931">
        <w:rPr>
          <w:sz w:val="20"/>
          <w:szCs w:val="20"/>
        </w:rPr>
        <w:t xml:space="preserve"> </w:t>
      </w:r>
      <w:r w:rsidRPr="005B0931">
        <w:rPr>
          <w:sz w:val="20"/>
          <w:szCs w:val="20"/>
        </w:rPr>
        <w:t>the</w:t>
      </w:r>
      <w:r w:rsidR="002A6D47" w:rsidRPr="005B0931">
        <w:rPr>
          <w:sz w:val="20"/>
          <w:szCs w:val="20"/>
        </w:rPr>
        <w:t xml:space="preserve"> </w:t>
      </w:r>
      <w:r w:rsidRPr="005B0931">
        <w:rPr>
          <w:sz w:val="20"/>
          <w:szCs w:val="20"/>
        </w:rPr>
        <w:t>Virtual</w:t>
      </w:r>
      <w:r w:rsidR="002A6D47" w:rsidRPr="005B0931">
        <w:rPr>
          <w:sz w:val="20"/>
          <w:szCs w:val="20"/>
        </w:rPr>
        <w:t xml:space="preserve"> </w:t>
      </w:r>
      <w:r w:rsidRPr="005B0931">
        <w:rPr>
          <w:sz w:val="20"/>
          <w:szCs w:val="20"/>
        </w:rPr>
        <w:t>International</w:t>
      </w:r>
      <w:r w:rsidR="002A6D47" w:rsidRPr="005B0931">
        <w:rPr>
          <w:sz w:val="20"/>
          <w:szCs w:val="20"/>
        </w:rPr>
        <w:t xml:space="preserve"> </w:t>
      </w:r>
      <w:r w:rsidRPr="005B0931">
        <w:rPr>
          <w:sz w:val="20"/>
          <w:szCs w:val="20"/>
        </w:rPr>
        <w:t>Stroke</w:t>
      </w:r>
      <w:r w:rsidR="002A6D47" w:rsidRPr="005B0931">
        <w:rPr>
          <w:sz w:val="20"/>
          <w:szCs w:val="20"/>
        </w:rPr>
        <w:t xml:space="preserve"> </w:t>
      </w:r>
      <w:r w:rsidRPr="005B0931">
        <w:rPr>
          <w:sz w:val="20"/>
          <w:szCs w:val="20"/>
        </w:rPr>
        <w:t>Trials</w:t>
      </w:r>
      <w:r w:rsidR="002A6D47" w:rsidRPr="005B0931">
        <w:rPr>
          <w:sz w:val="20"/>
          <w:szCs w:val="20"/>
        </w:rPr>
        <w:t xml:space="preserve"> </w:t>
      </w:r>
      <w:r w:rsidRPr="005B0931">
        <w:rPr>
          <w:sz w:val="20"/>
          <w:szCs w:val="20"/>
        </w:rPr>
        <w:t>Archive</w:t>
      </w:r>
      <w:r w:rsidR="002A6D47" w:rsidRPr="005B0931">
        <w:rPr>
          <w:sz w:val="20"/>
          <w:szCs w:val="20"/>
        </w:rPr>
        <w:t xml:space="preserve"> </w:t>
      </w:r>
      <w:r w:rsidRPr="005B0931">
        <w:rPr>
          <w:sz w:val="20"/>
          <w:szCs w:val="20"/>
        </w:rPr>
        <w:t>(VISTA)</w:t>
      </w:r>
      <w:r w:rsidR="002A6D47" w:rsidRPr="005B0931">
        <w:rPr>
          <w:sz w:val="20"/>
          <w:szCs w:val="20"/>
        </w:rPr>
        <w:t xml:space="preserve"> </w:t>
      </w:r>
      <w:r w:rsidRPr="005B0931">
        <w:rPr>
          <w:sz w:val="20"/>
          <w:szCs w:val="20"/>
        </w:rPr>
        <w:t>database.</w:t>
      </w:r>
      <w:r w:rsidR="002A6D47" w:rsidRPr="005B0931">
        <w:rPr>
          <w:sz w:val="20"/>
          <w:szCs w:val="20"/>
        </w:rPr>
        <w:t xml:space="preserve"> </w:t>
      </w:r>
      <w:r w:rsidRPr="005B0931">
        <w:rPr>
          <w:sz w:val="20"/>
          <w:szCs w:val="20"/>
        </w:rPr>
        <w:t>Stroke</w:t>
      </w:r>
      <w:r w:rsidR="002A6D47" w:rsidRPr="005B0931">
        <w:rPr>
          <w:sz w:val="20"/>
          <w:szCs w:val="20"/>
        </w:rPr>
        <w:t xml:space="preserve"> </w:t>
      </w:r>
      <w:r w:rsidRPr="005B0931">
        <w:rPr>
          <w:sz w:val="20"/>
          <w:szCs w:val="20"/>
        </w:rPr>
        <w:t>2012;</w:t>
      </w:r>
      <w:r w:rsidR="002A6D47" w:rsidRPr="005B0931">
        <w:rPr>
          <w:sz w:val="20"/>
          <w:szCs w:val="20"/>
        </w:rPr>
        <w:t xml:space="preserve"> </w:t>
      </w:r>
      <w:r w:rsidRPr="005B0931">
        <w:rPr>
          <w:sz w:val="20"/>
          <w:szCs w:val="20"/>
        </w:rPr>
        <w:t>43:1266.</w:t>
      </w:r>
    </w:p>
    <w:p w:rsidR="006C67BF" w:rsidRPr="005B0931" w:rsidRDefault="006C67BF" w:rsidP="002A6D47">
      <w:pPr>
        <w:numPr>
          <w:ilvl w:val="0"/>
          <w:numId w:val="32"/>
        </w:numPr>
        <w:bidi w:val="0"/>
        <w:snapToGrid w:val="0"/>
        <w:ind w:left="425" w:hanging="425"/>
        <w:contextualSpacing/>
        <w:jc w:val="both"/>
        <w:rPr>
          <w:rFonts w:eastAsia="Calibri"/>
          <w:sz w:val="20"/>
          <w:szCs w:val="20"/>
        </w:rPr>
      </w:pPr>
      <w:proofErr w:type="spellStart"/>
      <w:r w:rsidRPr="005B0931">
        <w:rPr>
          <w:sz w:val="20"/>
          <w:szCs w:val="20"/>
        </w:rPr>
        <w:t>Koennecke</w:t>
      </w:r>
      <w:proofErr w:type="spellEnd"/>
      <w:r w:rsidR="002A6D47" w:rsidRPr="005B0931">
        <w:rPr>
          <w:sz w:val="20"/>
          <w:szCs w:val="20"/>
        </w:rPr>
        <w:t xml:space="preserve"> </w:t>
      </w:r>
      <w:r w:rsidRPr="005B0931">
        <w:rPr>
          <w:sz w:val="20"/>
          <w:szCs w:val="20"/>
        </w:rPr>
        <w:t>HC,</w:t>
      </w:r>
      <w:r w:rsidR="002A6D47" w:rsidRPr="005B0931">
        <w:rPr>
          <w:sz w:val="20"/>
          <w:szCs w:val="20"/>
        </w:rPr>
        <w:t xml:space="preserve"> </w:t>
      </w:r>
      <w:proofErr w:type="spellStart"/>
      <w:r w:rsidRPr="005B0931">
        <w:rPr>
          <w:sz w:val="20"/>
          <w:szCs w:val="20"/>
        </w:rPr>
        <w:t>Belz</w:t>
      </w:r>
      <w:proofErr w:type="spellEnd"/>
      <w:r w:rsidR="002A6D47" w:rsidRPr="005B0931">
        <w:rPr>
          <w:sz w:val="20"/>
          <w:szCs w:val="20"/>
        </w:rPr>
        <w:t xml:space="preserve"> </w:t>
      </w:r>
      <w:r w:rsidRPr="005B0931">
        <w:rPr>
          <w:sz w:val="20"/>
          <w:szCs w:val="20"/>
        </w:rPr>
        <w:t>W,</w:t>
      </w:r>
      <w:r w:rsidR="002A6D47" w:rsidRPr="005B0931">
        <w:rPr>
          <w:sz w:val="20"/>
          <w:szCs w:val="20"/>
        </w:rPr>
        <w:t xml:space="preserve"> </w:t>
      </w:r>
      <w:proofErr w:type="spellStart"/>
      <w:r w:rsidRPr="005B0931">
        <w:rPr>
          <w:sz w:val="20"/>
          <w:szCs w:val="20"/>
        </w:rPr>
        <w:t>Berfelde</w:t>
      </w:r>
      <w:proofErr w:type="spellEnd"/>
      <w:r w:rsidR="002A6D47" w:rsidRPr="005B0931">
        <w:rPr>
          <w:sz w:val="20"/>
          <w:szCs w:val="20"/>
        </w:rPr>
        <w:t xml:space="preserve"> </w:t>
      </w:r>
      <w:r w:rsidRPr="005B0931">
        <w:rPr>
          <w:sz w:val="20"/>
          <w:szCs w:val="20"/>
        </w:rPr>
        <w:t>D,</w:t>
      </w:r>
      <w:r w:rsidR="002A6D47" w:rsidRPr="005B0931">
        <w:rPr>
          <w:sz w:val="20"/>
          <w:szCs w:val="20"/>
        </w:rPr>
        <w:t xml:space="preserve"> </w:t>
      </w:r>
      <w:r w:rsidRPr="005B0931">
        <w:rPr>
          <w:sz w:val="20"/>
          <w:szCs w:val="20"/>
        </w:rPr>
        <w:t>et</w:t>
      </w:r>
      <w:r w:rsidR="002A6D47" w:rsidRPr="005B0931">
        <w:rPr>
          <w:sz w:val="20"/>
          <w:szCs w:val="20"/>
        </w:rPr>
        <w:t xml:space="preserve"> </w:t>
      </w:r>
      <w:r w:rsidRPr="005B0931">
        <w:rPr>
          <w:sz w:val="20"/>
          <w:szCs w:val="20"/>
        </w:rPr>
        <w:t>al.</w:t>
      </w:r>
      <w:r w:rsidR="002A6D47" w:rsidRPr="005B0931">
        <w:rPr>
          <w:sz w:val="20"/>
          <w:szCs w:val="20"/>
        </w:rPr>
        <w:t xml:space="preserve"> </w:t>
      </w:r>
      <w:r w:rsidRPr="005B0931">
        <w:rPr>
          <w:sz w:val="20"/>
          <w:szCs w:val="20"/>
        </w:rPr>
        <w:t>Factors</w:t>
      </w:r>
      <w:r w:rsidR="002A6D47" w:rsidRPr="005B0931">
        <w:rPr>
          <w:sz w:val="20"/>
          <w:szCs w:val="20"/>
        </w:rPr>
        <w:t xml:space="preserve"> </w:t>
      </w:r>
      <w:r w:rsidRPr="005B0931">
        <w:rPr>
          <w:sz w:val="20"/>
          <w:szCs w:val="20"/>
        </w:rPr>
        <w:t>influencing</w:t>
      </w:r>
      <w:r w:rsidR="002A6D47" w:rsidRPr="005B0931">
        <w:rPr>
          <w:sz w:val="20"/>
          <w:szCs w:val="20"/>
        </w:rPr>
        <w:t xml:space="preserve"> </w:t>
      </w:r>
      <w:r w:rsidRPr="005B0931">
        <w:rPr>
          <w:sz w:val="20"/>
          <w:szCs w:val="20"/>
        </w:rPr>
        <w:t>in-hospital</w:t>
      </w:r>
      <w:r w:rsidR="002A6D47" w:rsidRPr="005B0931">
        <w:rPr>
          <w:sz w:val="20"/>
          <w:szCs w:val="20"/>
        </w:rPr>
        <w:t xml:space="preserve"> </w:t>
      </w:r>
      <w:r w:rsidRPr="005B0931">
        <w:rPr>
          <w:sz w:val="20"/>
          <w:szCs w:val="20"/>
        </w:rPr>
        <w:t>mortality</w:t>
      </w:r>
      <w:r w:rsidR="002A6D47" w:rsidRPr="005B0931">
        <w:rPr>
          <w:sz w:val="20"/>
          <w:szCs w:val="20"/>
        </w:rPr>
        <w:t xml:space="preserve"> </w:t>
      </w:r>
      <w:r w:rsidRPr="005B0931">
        <w:rPr>
          <w:sz w:val="20"/>
          <w:szCs w:val="20"/>
        </w:rPr>
        <w:t>and</w:t>
      </w:r>
      <w:r w:rsidR="002A6D47" w:rsidRPr="005B0931">
        <w:rPr>
          <w:sz w:val="20"/>
          <w:szCs w:val="20"/>
        </w:rPr>
        <w:t xml:space="preserve"> </w:t>
      </w:r>
      <w:r w:rsidRPr="005B0931">
        <w:rPr>
          <w:sz w:val="20"/>
          <w:szCs w:val="20"/>
        </w:rPr>
        <w:t>morbidity</w:t>
      </w:r>
      <w:r w:rsidR="002A6D47" w:rsidRPr="005B0931">
        <w:rPr>
          <w:sz w:val="20"/>
          <w:szCs w:val="20"/>
        </w:rPr>
        <w:t xml:space="preserve"> </w:t>
      </w:r>
      <w:r w:rsidRPr="005B0931">
        <w:rPr>
          <w:sz w:val="20"/>
          <w:szCs w:val="20"/>
        </w:rPr>
        <w:t>in</w:t>
      </w:r>
      <w:r w:rsidR="002A6D47" w:rsidRPr="005B0931">
        <w:rPr>
          <w:sz w:val="20"/>
          <w:szCs w:val="20"/>
        </w:rPr>
        <w:t xml:space="preserve"> </w:t>
      </w:r>
      <w:r w:rsidRPr="005B0931">
        <w:rPr>
          <w:sz w:val="20"/>
          <w:szCs w:val="20"/>
        </w:rPr>
        <w:t>patients</w:t>
      </w:r>
      <w:r w:rsidR="002A6D47" w:rsidRPr="005B0931">
        <w:rPr>
          <w:sz w:val="20"/>
          <w:szCs w:val="20"/>
        </w:rPr>
        <w:t xml:space="preserve"> </w:t>
      </w:r>
      <w:r w:rsidRPr="005B0931">
        <w:rPr>
          <w:sz w:val="20"/>
          <w:szCs w:val="20"/>
        </w:rPr>
        <w:t>treated</w:t>
      </w:r>
      <w:r w:rsidR="002A6D47" w:rsidRPr="005B0931">
        <w:rPr>
          <w:sz w:val="20"/>
          <w:szCs w:val="20"/>
        </w:rPr>
        <w:t xml:space="preserve"> </w:t>
      </w:r>
      <w:r w:rsidRPr="005B0931">
        <w:rPr>
          <w:sz w:val="20"/>
          <w:szCs w:val="20"/>
        </w:rPr>
        <w:t>on</w:t>
      </w:r>
      <w:r w:rsidR="002A6D47" w:rsidRPr="005B0931">
        <w:rPr>
          <w:sz w:val="20"/>
          <w:szCs w:val="20"/>
        </w:rPr>
        <w:t xml:space="preserve"> </w:t>
      </w:r>
      <w:r w:rsidRPr="005B0931">
        <w:rPr>
          <w:sz w:val="20"/>
          <w:szCs w:val="20"/>
        </w:rPr>
        <w:t>a</w:t>
      </w:r>
      <w:r w:rsidR="002A6D47" w:rsidRPr="005B0931">
        <w:rPr>
          <w:sz w:val="20"/>
          <w:szCs w:val="20"/>
        </w:rPr>
        <w:t xml:space="preserve"> </w:t>
      </w:r>
      <w:r w:rsidRPr="005B0931">
        <w:rPr>
          <w:sz w:val="20"/>
          <w:szCs w:val="20"/>
        </w:rPr>
        <w:t>stroke</w:t>
      </w:r>
      <w:r w:rsidR="002A6D47" w:rsidRPr="005B0931">
        <w:rPr>
          <w:sz w:val="20"/>
          <w:szCs w:val="20"/>
        </w:rPr>
        <w:t xml:space="preserve"> </w:t>
      </w:r>
      <w:r w:rsidRPr="005B0931">
        <w:rPr>
          <w:sz w:val="20"/>
          <w:szCs w:val="20"/>
        </w:rPr>
        <w:t>unit.</w:t>
      </w:r>
      <w:r w:rsidR="002A6D47" w:rsidRPr="005B0931">
        <w:rPr>
          <w:sz w:val="20"/>
          <w:szCs w:val="20"/>
        </w:rPr>
        <w:t xml:space="preserve"> </w:t>
      </w:r>
      <w:r w:rsidRPr="005B0931">
        <w:rPr>
          <w:sz w:val="20"/>
          <w:szCs w:val="20"/>
        </w:rPr>
        <w:t>Neurology</w:t>
      </w:r>
      <w:r w:rsidR="002A6D47" w:rsidRPr="005B0931">
        <w:rPr>
          <w:sz w:val="20"/>
          <w:szCs w:val="20"/>
        </w:rPr>
        <w:t xml:space="preserve"> </w:t>
      </w:r>
      <w:r w:rsidRPr="005B0931">
        <w:rPr>
          <w:sz w:val="20"/>
          <w:szCs w:val="20"/>
        </w:rPr>
        <w:t>2011;</w:t>
      </w:r>
      <w:r w:rsidR="002A6D47" w:rsidRPr="005B0931">
        <w:rPr>
          <w:sz w:val="20"/>
          <w:szCs w:val="20"/>
        </w:rPr>
        <w:t xml:space="preserve"> </w:t>
      </w:r>
      <w:r w:rsidRPr="005B0931">
        <w:rPr>
          <w:sz w:val="20"/>
          <w:szCs w:val="20"/>
        </w:rPr>
        <w:t>77:965.</w:t>
      </w:r>
    </w:p>
    <w:p w:rsidR="006C67BF" w:rsidRPr="005B0931" w:rsidRDefault="006C67BF" w:rsidP="002A6D47">
      <w:pPr>
        <w:numPr>
          <w:ilvl w:val="0"/>
          <w:numId w:val="32"/>
        </w:numPr>
        <w:bidi w:val="0"/>
        <w:snapToGrid w:val="0"/>
        <w:ind w:left="425" w:hanging="425"/>
        <w:contextualSpacing/>
        <w:jc w:val="both"/>
        <w:rPr>
          <w:rFonts w:eastAsia="Calibri"/>
          <w:sz w:val="20"/>
          <w:szCs w:val="20"/>
        </w:rPr>
      </w:pPr>
      <w:r w:rsidRPr="005B0931">
        <w:rPr>
          <w:sz w:val="20"/>
          <w:szCs w:val="20"/>
        </w:rPr>
        <w:t>Andersen</w:t>
      </w:r>
      <w:r w:rsidR="002A6D47" w:rsidRPr="005B0931">
        <w:rPr>
          <w:sz w:val="20"/>
          <w:szCs w:val="20"/>
        </w:rPr>
        <w:t xml:space="preserve"> </w:t>
      </w:r>
      <w:r w:rsidRPr="005B0931">
        <w:rPr>
          <w:sz w:val="20"/>
          <w:szCs w:val="20"/>
        </w:rPr>
        <w:t>KK,</w:t>
      </w:r>
      <w:r w:rsidR="002A6D47" w:rsidRPr="005B0931">
        <w:rPr>
          <w:sz w:val="20"/>
          <w:szCs w:val="20"/>
        </w:rPr>
        <w:t xml:space="preserve"> </w:t>
      </w:r>
      <w:r w:rsidRPr="005B0931">
        <w:rPr>
          <w:sz w:val="20"/>
          <w:szCs w:val="20"/>
        </w:rPr>
        <w:t>Andersen</w:t>
      </w:r>
      <w:r w:rsidR="002A6D47" w:rsidRPr="005B0931">
        <w:rPr>
          <w:sz w:val="20"/>
          <w:szCs w:val="20"/>
        </w:rPr>
        <w:t xml:space="preserve"> </w:t>
      </w:r>
      <w:r w:rsidRPr="005B0931">
        <w:rPr>
          <w:sz w:val="20"/>
          <w:szCs w:val="20"/>
        </w:rPr>
        <w:t>ZJ,</w:t>
      </w:r>
      <w:r w:rsidR="002A6D47" w:rsidRPr="005B0931">
        <w:rPr>
          <w:sz w:val="20"/>
          <w:szCs w:val="20"/>
        </w:rPr>
        <w:t xml:space="preserve"> </w:t>
      </w:r>
      <w:r w:rsidRPr="005B0931">
        <w:rPr>
          <w:sz w:val="20"/>
          <w:szCs w:val="20"/>
        </w:rPr>
        <w:t>Olsen</w:t>
      </w:r>
      <w:r w:rsidR="002A6D47" w:rsidRPr="005B0931">
        <w:rPr>
          <w:sz w:val="20"/>
          <w:szCs w:val="20"/>
        </w:rPr>
        <w:t xml:space="preserve"> </w:t>
      </w:r>
      <w:r w:rsidRPr="005B0931">
        <w:rPr>
          <w:sz w:val="20"/>
          <w:szCs w:val="20"/>
        </w:rPr>
        <w:t>TS.</w:t>
      </w:r>
      <w:r w:rsidR="002A6D47" w:rsidRPr="005B0931">
        <w:rPr>
          <w:sz w:val="20"/>
          <w:szCs w:val="20"/>
        </w:rPr>
        <w:t xml:space="preserve"> </w:t>
      </w:r>
      <w:r w:rsidRPr="005B0931">
        <w:rPr>
          <w:sz w:val="20"/>
          <w:szCs w:val="20"/>
        </w:rPr>
        <w:t>Predictors</w:t>
      </w:r>
      <w:r w:rsidR="002A6D47" w:rsidRPr="005B0931">
        <w:rPr>
          <w:sz w:val="20"/>
          <w:szCs w:val="20"/>
        </w:rPr>
        <w:t xml:space="preserve"> </w:t>
      </w:r>
      <w:r w:rsidRPr="005B0931">
        <w:rPr>
          <w:sz w:val="20"/>
          <w:szCs w:val="20"/>
        </w:rPr>
        <w:t>of</w:t>
      </w:r>
      <w:r w:rsidR="002A6D47" w:rsidRPr="005B0931">
        <w:rPr>
          <w:sz w:val="20"/>
          <w:szCs w:val="20"/>
        </w:rPr>
        <w:t xml:space="preserve"> </w:t>
      </w:r>
      <w:r w:rsidRPr="005B0931">
        <w:rPr>
          <w:sz w:val="20"/>
          <w:szCs w:val="20"/>
        </w:rPr>
        <w:t>early</w:t>
      </w:r>
      <w:r w:rsidR="002A6D47" w:rsidRPr="005B0931">
        <w:rPr>
          <w:sz w:val="20"/>
          <w:szCs w:val="20"/>
        </w:rPr>
        <w:t xml:space="preserve"> </w:t>
      </w:r>
      <w:r w:rsidRPr="005B0931">
        <w:rPr>
          <w:sz w:val="20"/>
          <w:szCs w:val="20"/>
        </w:rPr>
        <w:t>and</w:t>
      </w:r>
      <w:r w:rsidR="002A6D47" w:rsidRPr="005B0931">
        <w:rPr>
          <w:sz w:val="20"/>
          <w:szCs w:val="20"/>
        </w:rPr>
        <w:t xml:space="preserve"> </w:t>
      </w:r>
      <w:r w:rsidRPr="005B0931">
        <w:rPr>
          <w:sz w:val="20"/>
          <w:szCs w:val="20"/>
        </w:rPr>
        <w:t>late</w:t>
      </w:r>
      <w:r w:rsidR="002A6D47" w:rsidRPr="005B0931">
        <w:rPr>
          <w:sz w:val="20"/>
          <w:szCs w:val="20"/>
        </w:rPr>
        <w:t xml:space="preserve"> </w:t>
      </w:r>
      <w:r w:rsidRPr="005B0931">
        <w:rPr>
          <w:sz w:val="20"/>
          <w:szCs w:val="20"/>
        </w:rPr>
        <w:t>case-fatality</w:t>
      </w:r>
      <w:r w:rsidR="002A6D47" w:rsidRPr="005B0931">
        <w:rPr>
          <w:sz w:val="20"/>
          <w:szCs w:val="20"/>
        </w:rPr>
        <w:t xml:space="preserve"> </w:t>
      </w:r>
      <w:r w:rsidRPr="005B0931">
        <w:rPr>
          <w:sz w:val="20"/>
          <w:szCs w:val="20"/>
        </w:rPr>
        <w:t>in</w:t>
      </w:r>
      <w:r w:rsidR="002A6D47" w:rsidRPr="005B0931">
        <w:rPr>
          <w:sz w:val="20"/>
          <w:szCs w:val="20"/>
        </w:rPr>
        <w:t xml:space="preserve"> </w:t>
      </w:r>
      <w:r w:rsidRPr="005B0931">
        <w:rPr>
          <w:sz w:val="20"/>
          <w:szCs w:val="20"/>
        </w:rPr>
        <w:t>a</w:t>
      </w:r>
      <w:r w:rsidR="002A6D47" w:rsidRPr="005B0931">
        <w:rPr>
          <w:sz w:val="20"/>
          <w:szCs w:val="20"/>
        </w:rPr>
        <w:t xml:space="preserve"> </w:t>
      </w:r>
      <w:r w:rsidRPr="005B0931">
        <w:rPr>
          <w:sz w:val="20"/>
          <w:szCs w:val="20"/>
        </w:rPr>
        <w:t>nationwide</w:t>
      </w:r>
      <w:r w:rsidR="002A6D47" w:rsidRPr="005B0931">
        <w:rPr>
          <w:sz w:val="20"/>
          <w:szCs w:val="20"/>
        </w:rPr>
        <w:t xml:space="preserve"> </w:t>
      </w:r>
      <w:r w:rsidRPr="005B0931">
        <w:rPr>
          <w:sz w:val="20"/>
          <w:szCs w:val="20"/>
        </w:rPr>
        <w:t>Danish</w:t>
      </w:r>
      <w:r w:rsidR="002A6D47" w:rsidRPr="005B0931">
        <w:rPr>
          <w:sz w:val="20"/>
          <w:szCs w:val="20"/>
        </w:rPr>
        <w:t xml:space="preserve"> </w:t>
      </w:r>
      <w:r w:rsidRPr="005B0931">
        <w:rPr>
          <w:sz w:val="20"/>
          <w:szCs w:val="20"/>
        </w:rPr>
        <w:t>study</w:t>
      </w:r>
      <w:r w:rsidR="002A6D47" w:rsidRPr="005B0931">
        <w:rPr>
          <w:sz w:val="20"/>
          <w:szCs w:val="20"/>
        </w:rPr>
        <w:t xml:space="preserve"> </w:t>
      </w:r>
      <w:r w:rsidRPr="005B0931">
        <w:rPr>
          <w:sz w:val="20"/>
          <w:szCs w:val="20"/>
        </w:rPr>
        <w:t>of</w:t>
      </w:r>
      <w:r w:rsidR="002A6D47" w:rsidRPr="005B0931">
        <w:rPr>
          <w:sz w:val="20"/>
          <w:szCs w:val="20"/>
        </w:rPr>
        <w:t xml:space="preserve"> </w:t>
      </w:r>
      <w:r w:rsidRPr="005B0931">
        <w:rPr>
          <w:sz w:val="20"/>
          <w:szCs w:val="20"/>
        </w:rPr>
        <w:t>26,818</w:t>
      </w:r>
      <w:r w:rsidR="002A6D47" w:rsidRPr="005B0931">
        <w:rPr>
          <w:sz w:val="20"/>
          <w:szCs w:val="20"/>
        </w:rPr>
        <w:t xml:space="preserve"> </w:t>
      </w:r>
      <w:r w:rsidRPr="005B0931">
        <w:rPr>
          <w:sz w:val="20"/>
          <w:szCs w:val="20"/>
        </w:rPr>
        <w:t>patients</w:t>
      </w:r>
      <w:r w:rsidR="002A6D47" w:rsidRPr="005B0931">
        <w:rPr>
          <w:sz w:val="20"/>
          <w:szCs w:val="20"/>
        </w:rPr>
        <w:t xml:space="preserve"> </w:t>
      </w:r>
      <w:r w:rsidRPr="005B0931">
        <w:rPr>
          <w:sz w:val="20"/>
          <w:szCs w:val="20"/>
        </w:rPr>
        <w:t>with</w:t>
      </w:r>
      <w:r w:rsidR="002A6D47" w:rsidRPr="005B0931">
        <w:rPr>
          <w:sz w:val="20"/>
          <w:szCs w:val="20"/>
        </w:rPr>
        <w:t xml:space="preserve"> </w:t>
      </w:r>
      <w:r w:rsidRPr="005B0931">
        <w:rPr>
          <w:sz w:val="20"/>
          <w:szCs w:val="20"/>
        </w:rPr>
        <w:t>first-ever</w:t>
      </w:r>
      <w:r w:rsidR="002A6D47" w:rsidRPr="005B0931">
        <w:rPr>
          <w:sz w:val="20"/>
          <w:szCs w:val="20"/>
        </w:rPr>
        <w:t xml:space="preserve"> </w:t>
      </w:r>
      <w:r w:rsidRPr="005B0931">
        <w:rPr>
          <w:sz w:val="20"/>
          <w:szCs w:val="20"/>
        </w:rPr>
        <w:t>ischemic</w:t>
      </w:r>
      <w:r w:rsidR="002A6D47" w:rsidRPr="005B0931">
        <w:rPr>
          <w:sz w:val="20"/>
          <w:szCs w:val="20"/>
        </w:rPr>
        <w:t xml:space="preserve"> </w:t>
      </w:r>
      <w:r w:rsidRPr="005B0931">
        <w:rPr>
          <w:sz w:val="20"/>
          <w:szCs w:val="20"/>
        </w:rPr>
        <w:t>stroke.</w:t>
      </w:r>
      <w:r w:rsidR="002A6D47" w:rsidRPr="005B0931">
        <w:rPr>
          <w:sz w:val="20"/>
          <w:szCs w:val="20"/>
        </w:rPr>
        <w:t xml:space="preserve"> </w:t>
      </w:r>
      <w:r w:rsidRPr="005B0931">
        <w:rPr>
          <w:sz w:val="20"/>
          <w:szCs w:val="20"/>
        </w:rPr>
        <w:t>Stroke</w:t>
      </w:r>
      <w:r w:rsidR="002A6D47" w:rsidRPr="005B0931">
        <w:rPr>
          <w:sz w:val="20"/>
          <w:szCs w:val="20"/>
        </w:rPr>
        <w:t xml:space="preserve"> </w:t>
      </w:r>
      <w:r w:rsidRPr="005B0931">
        <w:rPr>
          <w:sz w:val="20"/>
          <w:szCs w:val="20"/>
        </w:rPr>
        <w:t>2011;</w:t>
      </w:r>
      <w:r w:rsidR="002A6D47" w:rsidRPr="005B0931">
        <w:rPr>
          <w:sz w:val="20"/>
          <w:szCs w:val="20"/>
        </w:rPr>
        <w:t xml:space="preserve"> </w:t>
      </w:r>
      <w:r w:rsidRPr="005B0931">
        <w:rPr>
          <w:sz w:val="20"/>
          <w:szCs w:val="20"/>
        </w:rPr>
        <w:t>42:2806.</w:t>
      </w:r>
    </w:p>
    <w:p w:rsidR="006C67BF" w:rsidRPr="005B0931" w:rsidRDefault="006C67BF" w:rsidP="002A6D47">
      <w:pPr>
        <w:numPr>
          <w:ilvl w:val="0"/>
          <w:numId w:val="32"/>
        </w:numPr>
        <w:bidi w:val="0"/>
        <w:snapToGrid w:val="0"/>
        <w:ind w:left="425" w:hanging="425"/>
        <w:contextualSpacing/>
        <w:jc w:val="both"/>
        <w:rPr>
          <w:rFonts w:eastAsia="Calibri"/>
          <w:sz w:val="20"/>
          <w:szCs w:val="20"/>
        </w:rPr>
      </w:pPr>
      <w:r w:rsidRPr="005B0931">
        <w:rPr>
          <w:rFonts w:eastAsia="Calibri"/>
          <w:color w:val="303030"/>
          <w:sz w:val="20"/>
          <w:szCs w:val="20"/>
          <w:shd w:val="clear" w:color="auto" w:fill="FFFFFF"/>
        </w:rPr>
        <w:t>Blackburn</w:t>
      </w:r>
      <w:r w:rsidR="002A6D47" w:rsidRPr="005B0931">
        <w:rPr>
          <w:rFonts w:eastAsia="Calibri"/>
          <w:color w:val="303030"/>
          <w:sz w:val="20"/>
          <w:szCs w:val="20"/>
          <w:shd w:val="clear" w:color="auto" w:fill="FFFFFF"/>
        </w:rPr>
        <w:t xml:space="preserve"> </w:t>
      </w:r>
      <w:r w:rsidRPr="005B0931">
        <w:rPr>
          <w:rFonts w:eastAsia="Calibri"/>
          <w:color w:val="303030"/>
          <w:sz w:val="20"/>
          <w:szCs w:val="20"/>
          <w:shd w:val="clear" w:color="auto" w:fill="FFFFFF"/>
        </w:rPr>
        <w:t>DJ,</w:t>
      </w:r>
      <w:r w:rsidR="002A6D47" w:rsidRPr="005B0931">
        <w:rPr>
          <w:rFonts w:eastAsia="Calibri"/>
          <w:color w:val="303030"/>
          <w:sz w:val="20"/>
          <w:szCs w:val="20"/>
          <w:shd w:val="clear" w:color="auto" w:fill="FFFFFF"/>
        </w:rPr>
        <w:t xml:space="preserve"> </w:t>
      </w:r>
      <w:proofErr w:type="spellStart"/>
      <w:r w:rsidRPr="005B0931">
        <w:rPr>
          <w:rFonts w:eastAsia="Calibri"/>
          <w:color w:val="303030"/>
          <w:sz w:val="20"/>
          <w:szCs w:val="20"/>
          <w:shd w:val="clear" w:color="auto" w:fill="FFFFFF"/>
        </w:rPr>
        <w:t>Bafadhel</w:t>
      </w:r>
      <w:proofErr w:type="spellEnd"/>
      <w:r w:rsidR="002A6D47" w:rsidRPr="005B0931">
        <w:rPr>
          <w:rFonts w:eastAsia="Calibri"/>
          <w:color w:val="303030"/>
          <w:sz w:val="20"/>
          <w:szCs w:val="20"/>
          <w:shd w:val="clear" w:color="auto" w:fill="FFFFFF"/>
        </w:rPr>
        <w:t xml:space="preserve"> </w:t>
      </w:r>
      <w:r w:rsidRPr="005B0931">
        <w:rPr>
          <w:rFonts w:eastAsia="Calibri"/>
          <w:color w:val="303030"/>
          <w:sz w:val="20"/>
          <w:szCs w:val="20"/>
          <w:shd w:val="clear" w:color="auto" w:fill="FFFFFF"/>
        </w:rPr>
        <w:t>L,</w:t>
      </w:r>
      <w:r w:rsidR="002A6D47" w:rsidRPr="005B0931">
        <w:rPr>
          <w:rFonts w:eastAsia="Calibri"/>
          <w:color w:val="303030"/>
          <w:sz w:val="20"/>
          <w:szCs w:val="20"/>
          <w:shd w:val="clear" w:color="auto" w:fill="FFFFFF"/>
        </w:rPr>
        <w:t xml:space="preserve"> </w:t>
      </w:r>
      <w:r w:rsidRPr="005B0931">
        <w:rPr>
          <w:rFonts w:eastAsia="Calibri"/>
          <w:color w:val="303030"/>
          <w:sz w:val="20"/>
          <w:szCs w:val="20"/>
          <w:shd w:val="clear" w:color="auto" w:fill="FFFFFF"/>
        </w:rPr>
        <w:t>Randall</w:t>
      </w:r>
      <w:r w:rsidR="002A6D47" w:rsidRPr="005B0931">
        <w:rPr>
          <w:rFonts w:eastAsia="Calibri"/>
          <w:color w:val="303030"/>
          <w:sz w:val="20"/>
          <w:szCs w:val="20"/>
          <w:shd w:val="clear" w:color="auto" w:fill="FFFFFF"/>
        </w:rPr>
        <w:t xml:space="preserve"> </w:t>
      </w:r>
      <w:r w:rsidRPr="005B0931">
        <w:rPr>
          <w:rFonts w:eastAsia="Calibri"/>
          <w:color w:val="303030"/>
          <w:sz w:val="20"/>
          <w:szCs w:val="20"/>
          <w:shd w:val="clear" w:color="auto" w:fill="FFFFFF"/>
        </w:rPr>
        <w:t>M,</w:t>
      </w:r>
      <w:r w:rsidR="002A6D47" w:rsidRPr="005B0931">
        <w:rPr>
          <w:rFonts w:eastAsia="Calibri"/>
          <w:color w:val="303030"/>
          <w:sz w:val="20"/>
          <w:szCs w:val="20"/>
          <w:shd w:val="clear" w:color="auto" w:fill="FFFFFF"/>
        </w:rPr>
        <w:t xml:space="preserve"> </w:t>
      </w:r>
      <w:proofErr w:type="spellStart"/>
      <w:r w:rsidRPr="005B0931">
        <w:rPr>
          <w:rFonts w:eastAsia="Calibri"/>
          <w:color w:val="303030"/>
          <w:sz w:val="20"/>
          <w:szCs w:val="20"/>
          <w:shd w:val="clear" w:color="auto" w:fill="FFFFFF"/>
        </w:rPr>
        <w:t>Harkness</w:t>
      </w:r>
      <w:proofErr w:type="spellEnd"/>
      <w:r w:rsidR="002A6D47" w:rsidRPr="005B0931">
        <w:rPr>
          <w:rFonts w:eastAsia="Calibri"/>
          <w:color w:val="303030"/>
          <w:sz w:val="20"/>
          <w:szCs w:val="20"/>
          <w:shd w:val="clear" w:color="auto" w:fill="FFFFFF"/>
        </w:rPr>
        <w:t xml:space="preserve"> </w:t>
      </w:r>
      <w:r w:rsidRPr="005B0931">
        <w:rPr>
          <w:rFonts w:eastAsia="Calibri"/>
          <w:color w:val="303030"/>
          <w:sz w:val="20"/>
          <w:szCs w:val="20"/>
          <w:shd w:val="clear" w:color="auto" w:fill="FFFFFF"/>
        </w:rPr>
        <w:t>KA.</w:t>
      </w:r>
      <w:r w:rsidR="002A6D47" w:rsidRPr="005B0931">
        <w:rPr>
          <w:rFonts w:eastAsia="Calibri"/>
          <w:color w:val="303030"/>
          <w:sz w:val="20"/>
          <w:szCs w:val="20"/>
          <w:shd w:val="clear" w:color="auto" w:fill="FFFFFF"/>
        </w:rPr>
        <w:t xml:space="preserve"> </w:t>
      </w:r>
      <w:r w:rsidRPr="005B0931">
        <w:rPr>
          <w:rFonts w:eastAsia="Calibri"/>
          <w:color w:val="303030"/>
          <w:sz w:val="20"/>
          <w:szCs w:val="20"/>
          <w:shd w:val="clear" w:color="auto" w:fill="FFFFFF"/>
        </w:rPr>
        <w:t>Cognitive</w:t>
      </w:r>
      <w:r w:rsidR="002A6D47" w:rsidRPr="005B0931">
        <w:rPr>
          <w:rFonts w:eastAsia="Calibri"/>
          <w:color w:val="303030"/>
          <w:sz w:val="20"/>
          <w:szCs w:val="20"/>
          <w:shd w:val="clear" w:color="auto" w:fill="FFFFFF"/>
        </w:rPr>
        <w:t xml:space="preserve"> </w:t>
      </w:r>
      <w:r w:rsidRPr="005B0931">
        <w:rPr>
          <w:rFonts w:eastAsia="Calibri"/>
          <w:color w:val="303030"/>
          <w:sz w:val="20"/>
          <w:szCs w:val="20"/>
          <w:shd w:val="clear" w:color="auto" w:fill="FFFFFF"/>
        </w:rPr>
        <w:t>screening</w:t>
      </w:r>
      <w:r w:rsidR="002A6D47" w:rsidRPr="005B0931">
        <w:rPr>
          <w:rFonts w:eastAsia="Calibri"/>
          <w:color w:val="303030"/>
          <w:sz w:val="20"/>
          <w:szCs w:val="20"/>
          <w:shd w:val="clear" w:color="auto" w:fill="FFFFFF"/>
        </w:rPr>
        <w:t xml:space="preserve"> </w:t>
      </w:r>
      <w:r w:rsidRPr="005B0931">
        <w:rPr>
          <w:rFonts w:eastAsia="Calibri"/>
          <w:color w:val="303030"/>
          <w:sz w:val="20"/>
          <w:szCs w:val="20"/>
          <w:shd w:val="clear" w:color="auto" w:fill="FFFFFF"/>
        </w:rPr>
        <w:t>in</w:t>
      </w:r>
      <w:r w:rsidR="002A6D47" w:rsidRPr="005B0931">
        <w:rPr>
          <w:rFonts w:eastAsia="Calibri"/>
          <w:color w:val="303030"/>
          <w:sz w:val="20"/>
          <w:szCs w:val="20"/>
          <w:shd w:val="clear" w:color="auto" w:fill="FFFFFF"/>
        </w:rPr>
        <w:t xml:space="preserve"> </w:t>
      </w:r>
      <w:r w:rsidRPr="005B0931">
        <w:rPr>
          <w:rFonts w:eastAsia="Calibri"/>
          <w:color w:val="303030"/>
          <w:sz w:val="20"/>
          <w:szCs w:val="20"/>
          <w:shd w:val="clear" w:color="auto" w:fill="FFFFFF"/>
        </w:rPr>
        <w:t>the</w:t>
      </w:r>
      <w:r w:rsidR="002A6D47" w:rsidRPr="005B0931">
        <w:rPr>
          <w:rFonts w:eastAsia="Calibri"/>
          <w:color w:val="303030"/>
          <w:sz w:val="20"/>
          <w:szCs w:val="20"/>
          <w:shd w:val="clear" w:color="auto" w:fill="FFFFFF"/>
        </w:rPr>
        <w:t xml:space="preserve"> </w:t>
      </w:r>
      <w:r w:rsidRPr="005B0931">
        <w:rPr>
          <w:rFonts w:eastAsia="Calibri"/>
          <w:color w:val="303030"/>
          <w:sz w:val="20"/>
          <w:szCs w:val="20"/>
          <w:shd w:val="clear" w:color="auto" w:fill="FFFFFF"/>
        </w:rPr>
        <w:t>acute</w:t>
      </w:r>
      <w:r w:rsidR="002A6D47" w:rsidRPr="005B0931">
        <w:rPr>
          <w:rFonts w:eastAsia="Calibri"/>
          <w:color w:val="303030"/>
          <w:sz w:val="20"/>
          <w:szCs w:val="20"/>
          <w:shd w:val="clear" w:color="auto" w:fill="FFFFFF"/>
        </w:rPr>
        <w:t xml:space="preserve"> </w:t>
      </w:r>
      <w:r w:rsidRPr="005B0931">
        <w:rPr>
          <w:rFonts w:eastAsia="Calibri"/>
          <w:color w:val="303030"/>
          <w:sz w:val="20"/>
          <w:szCs w:val="20"/>
          <w:shd w:val="clear" w:color="auto" w:fill="FFFFFF"/>
        </w:rPr>
        <w:t>stroke</w:t>
      </w:r>
      <w:r w:rsidR="002A6D47" w:rsidRPr="005B0931">
        <w:rPr>
          <w:rFonts w:eastAsia="Calibri"/>
          <w:color w:val="303030"/>
          <w:sz w:val="20"/>
          <w:szCs w:val="20"/>
          <w:shd w:val="clear" w:color="auto" w:fill="FFFFFF"/>
        </w:rPr>
        <w:t xml:space="preserve"> </w:t>
      </w:r>
      <w:r w:rsidRPr="005B0931">
        <w:rPr>
          <w:rFonts w:eastAsia="Calibri"/>
          <w:color w:val="303030"/>
          <w:sz w:val="20"/>
          <w:szCs w:val="20"/>
          <w:shd w:val="clear" w:color="auto" w:fill="FFFFFF"/>
        </w:rPr>
        <w:t>setting.</w:t>
      </w:r>
      <w:r w:rsidR="002A6D47" w:rsidRPr="005B0931">
        <w:rPr>
          <w:rFonts w:eastAsia="Calibri"/>
          <w:color w:val="303030"/>
          <w:sz w:val="20"/>
          <w:szCs w:val="20"/>
          <w:shd w:val="clear" w:color="auto" w:fill="FFFFFF"/>
        </w:rPr>
        <w:t xml:space="preserve"> </w:t>
      </w:r>
      <w:r w:rsidRPr="005B0931">
        <w:rPr>
          <w:rFonts w:eastAsia="Calibri"/>
          <w:i/>
          <w:iCs/>
          <w:color w:val="303030"/>
          <w:sz w:val="20"/>
          <w:szCs w:val="20"/>
          <w:shd w:val="clear" w:color="auto" w:fill="FFFFFF"/>
        </w:rPr>
        <w:t>Age</w:t>
      </w:r>
      <w:r w:rsidR="002A6D47" w:rsidRPr="005B0931">
        <w:rPr>
          <w:rFonts w:eastAsia="Calibri"/>
          <w:i/>
          <w:iCs/>
          <w:color w:val="303030"/>
          <w:sz w:val="20"/>
          <w:szCs w:val="20"/>
          <w:shd w:val="clear" w:color="auto" w:fill="FFFFFF"/>
        </w:rPr>
        <w:t xml:space="preserve"> </w:t>
      </w:r>
      <w:r w:rsidRPr="005B0931">
        <w:rPr>
          <w:rFonts w:eastAsia="Calibri"/>
          <w:i/>
          <w:iCs/>
          <w:color w:val="303030"/>
          <w:sz w:val="20"/>
          <w:szCs w:val="20"/>
          <w:shd w:val="clear" w:color="auto" w:fill="FFFFFF"/>
        </w:rPr>
        <w:t>and</w:t>
      </w:r>
      <w:r w:rsidR="002A6D47" w:rsidRPr="005B0931">
        <w:rPr>
          <w:rFonts w:eastAsia="Calibri"/>
          <w:i/>
          <w:iCs/>
          <w:color w:val="303030"/>
          <w:sz w:val="20"/>
          <w:szCs w:val="20"/>
          <w:shd w:val="clear" w:color="auto" w:fill="FFFFFF"/>
        </w:rPr>
        <w:t xml:space="preserve"> </w:t>
      </w:r>
      <w:r w:rsidRPr="005B0931">
        <w:rPr>
          <w:rFonts w:eastAsia="Calibri"/>
          <w:i/>
          <w:iCs/>
          <w:color w:val="303030"/>
          <w:sz w:val="20"/>
          <w:szCs w:val="20"/>
          <w:shd w:val="clear" w:color="auto" w:fill="FFFFFF"/>
        </w:rPr>
        <w:t>Ageing</w:t>
      </w:r>
      <w:r w:rsidRPr="005B0931">
        <w:rPr>
          <w:rFonts w:eastAsia="Calibri"/>
          <w:color w:val="303030"/>
          <w:sz w:val="20"/>
          <w:szCs w:val="20"/>
          <w:shd w:val="clear" w:color="auto" w:fill="FFFFFF"/>
        </w:rPr>
        <w:t>.</w:t>
      </w:r>
      <w:r w:rsidR="002A6D47" w:rsidRPr="005B0931">
        <w:rPr>
          <w:rFonts w:eastAsia="Calibri"/>
          <w:color w:val="303030"/>
          <w:sz w:val="20"/>
          <w:szCs w:val="20"/>
          <w:shd w:val="clear" w:color="auto" w:fill="FFFFFF"/>
        </w:rPr>
        <w:t xml:space="preserve"> </w:t>
      </w:r>
      <w:r w:rsidRPr="005B0931">
        <w:rPr>
          <w:rFonts w:eastAsia="Calibri"/>
          <w:color w:val="303030"/>
          <w:sz w:val="20"/>
          <w:szCs w:val="20"/>
          <w:shd w:val="clear" w:color="auto" w:fill="FFFFFF"/>
        </w:rPr>
        <w:t>2013;42(1):113-116.</w:t>
      </w:r>
      <w:r w:rsidR="002A6D47" w:rsidRPr="005B0931">
        <w:rPr>
          <w:rFonts w:eastAsia="Calibri"/>
          <w:color w:val="303030"/>
          <w:sz w:val="20"/>
          <w:szCs w:val="20"/>
          <w:shd w:val="clear" w:color="auto" w:fill="FFFFFF"/>
        </w:rPr>
        <w:t xml:space="preserve"> </w:t>
      </w:r>
      <w:r w:rsidRPr="005B0931">
        <w:rPr>
          <w:rFonts w:eastAsia="Calibri"/>
          <w:color w:val="303030"/>
          <w:sz w:val="20"/>
          <w:szCs w:val="20"/>
          <w:shd w:val="clear" w:color="auto" w:fill="FFFFFF"/>
        </w:rPr>
        <w:t>doi:10.1093/ageing/afs116.</w:t>
      </w:r>
    </w:p>
    <w:p w:rsidR="006C67BF" w:rsidRPr="005B0931" w:rsidRDefault="006C67BF" w:rsidP="002A6D47">
      <w:pPr>
        <w:numPr>
          <w:ilvl w:val="0"/>
          <w:numId w:val="32"/>
        </w:numPr>
        <w:bidi w:val="0"/>
        <w:snapToGrid w:val="0"/>
        <w:ind w:left="425" w:hanging="425"/>
        <w:contextualSpacing/>
        <w:jc w:val="both"/>
        <w:rPr>
          <w:rFonts w:eastAsia="Calibri"/>
          <w:sz w:val="20"/>
          <w:szCs w:val="20"/>
        </w:rPr>
      </w:pPr>
      <w:r w:rsidRPr="005B0931">
        <w:rPr>
          <w:rFonts w:eastAsia="Calibri"/>
          <w:sz w:val="20"/>
          <w:szCs w:val="20"/>
        </w:rPr>
        <w:t>Burke</w:t>
      </w:r>
      <w:r w:rsidR="002A6D47" w:rsidRPr="005B0931">
        <w:rPr>
          <w:rFonts w:eastAsia="Calibri"/>
          <w:sz w:val="20"/>
          <w:szCs w:val="20"/>
        </w:rPr>
        <w:t xml:space="preserve"> </w:t>
      </w:r>
      <w:r w:rsidRPr="005B0931">
        <w:rPr>
          <w:rFonts w:eastAsia="Calibri"/>
          <w:sz w:val="20"/>
          <w:szCs w:val="20"/>
        </w:rPr>
        <w:t>MJ,</w:t>
      </w:r>
      <w:r w:rsidR="002A6D47" w:rsidRPr="005B0931">
        <w:rPr>
          <w:rFonts w:eastAsia="Calibri"/>
          <w:sz w:val="20"/>
          <w:szCs w:val="20"/>
        </w:rPr>
        <w:t xml:space="preserve"> </w:t>
      </w:r>
      <w:proofErr w:type="spellStart"/>
      <w:r w:rsidRPr="005B0931">
        <w:rPr>
          <w:rFonts w:eastAsia="Calibri"/>
          <w:sz w:val="20"/>
          <w:szCs w:val="20"/>
        </w:rPr>
        <w:t>Vergouwen</w:t>
      </w:r>
      <w:proofErr w:type="spellEnd"/>
      <w:r w:rsidR="002A6D47" w:rsidRPr="005B0931">
        <w:rPr>
          <w:rFonts w:eastAsia="Calibri"/>
          <w:sz w:val="20"/>
          <w:szCs w:val="20"/>
        </w:rPr>
        <w:t xml:space="preserve"> </w:t>
      </w:r>
      <w:r w:rsidRPr="005B0931">
        <w:rPr>
          <w:rFonts w:eastAsia="Calibri"/>
          <w:sz w:val="20"/>
          <w:szCs w:val="20"/>
        </w:rPr>
        <w:t>MD,</w:t>
      </w:r>
      <w:r w:rsidR="002A6D47" w:rsidRPr="005B0931">
        <w:rPr>
          <w:rFonts w:eastAsia="Calibri"/>
          <w:sz w:val="20"/>
          <w:szCs w:val="20"/>
        </w:rPr>
        <w:t xml:space="preserve"> </w:t>
      </w:r>
      <w:r w:rsidRPr="005B0931">
        <w:rPr>
          <w:rFonts w:eastAsia="Calibri"/>
          <w:sz w:val="20"/>
          <w:szCs w:val="20"/>
        </w:rPr>
        <w:t>Fang</w:t>
      </w:r>
      <w:r w:rsidR="002A6D47" w:rsidRPr="005B0931">
        <w:rPr>
          <w:rFonts w:eastAsia="Calibri"/>
          <w:sz w:val="20"/>
          <w:szCs w:val="20"/>
        </w:rPr>
        <w:t xml:space="preserve"> </w:t>
      </w:r>
      <w:r w:rsidRPr="005B0931">
        <w:rPr>
          <w:rFonts w:eastAsia="Calibri"/>
          <w:sz w:val="20"/>
          <w:szCs w:val="20"/>
        </w:rPr>
        <w:t>J,</w:t>
      </w:r>
      <w:r w:rsidR="002A6D47" w:rsidRPr="005B0931">
        <w:rPr>
          <w:rFonts w:eastAsia="Calibri"/>
          <w:sz w:val="20"/>
          <w:szCs w:val="20"/>
        </w:rPr>
        <w:t xml:space="preserve"> </w:t>
      </w:r>
      <w:r w:rsidRPr="005B0931">
        <w:rPr>
          <w:rFonts w:eastAsia="Calibri"/>
          <w:sz w:val="20"/>
          <w:szCs w:val="20"/>
        </w:rPr>
        <w:t>et</w:t>
      </w:r>
      <w:r w:rsidR="002A6D47" w:rsidRPr="005B0931">
        <w:rPr>
          <w:rFonts w:eastAsia="Calibri"/>
          <w:sz w:val="20"/>
          <w:szCs w:val="20"/>
        </w:rPr>
        <w:t xml:space="preserve"> </w:t>
      </w:r>
      <w:r w:rsidRPr="005B0931">
        <w:rPr>
          <w:rFonts w:eastAsia="Calibri"/>
          <w:sz w:val="20"/>
          <w:szCs w:val="20"/>
        </w:rPr>
        <w:t>al.</w:t>
      </w:r>
      <w:r w:rsidR="002A6D47" w:rsidRPr="005B0931">
        <w:rPr>
          <w:rFonts w:eastAsia="Calibri"/>
          <w:sz w:val="20"/>
          <w:szCs w:val="20"/>
        </w:rPr>
        <w:t xml:space="preserve"> </w:t>
      </w:r>
      <w:r w:rsidRPr="005B0931">
        <w:rPr>
          <w:rFonts w:eastAsia="Calibri"/>
          <w:sz w:val="20"/>
          <w:szCs w:val="20"/>
        </w:rPr>
        <w:t>Short-term</w:t>
      </w:r>
      <w:r w:rsidR="002A6D47" w:rsidRPr="005B0931">
        <w:rPr>
          <w:rFonts w:eastAsia="Calibri"/>
          <w:sz w:val="20"/>
          <w:szCs w:val="20"/>
        </w:rPr>
        <w:t xml:space="preserve"> </w:t>
      </w:r>
      <w:r w:rsidRPr="005B0931">
        <w:rPr>
          <w:rFonts w:eastAsia="Calibri"/>
          <w:sz w:val="20"/>
          <w:szCs w:val="20"/>
        </w:rPr>
        <w:t>outcomes</w:t>
      </w:r>
      <w:r w:rsidR="002A6D47" w:rsidRPr="005B0931">
        <w:rPr>
          <w:rFonts w:eastAsia="Calibri"/>
          <w:sz w:val="20"/>
          <w:szCs w:val="20"/>
        </w:rPr>
        <w:t xml:space="preserve"> </w:t>
      </w:r>
      <w:r w:rsidRPr="005B0931">
        <w:rPr>
          <w:rFonts w:eastAsia="Calibri"/>
          <w:sz w:val="20"/>
          <w:szCs w:val="20"/>
        </w:rPr>
        <w:t>after</w:t>
      </w:r>
      <w:r w:rsidR="002A6D47" w:rsidRPr="005B0931">
        <w:rPr>
          <w:rFonts w:eastAsia="Calibri"/>
          <w:sz w:val="20"/>
          <w:szCs w:val="20"/>
        </w:rPr>
        <w:t xml:space="preserve"> </w:t>
      </w:r>
      <w:r w:rsidRPr="005B0931">
        <w:rPr>
          <w:rFonts w:eastAsia="Calibri"/>
          <w:sz w:val="20"/>
          <w:szCs w:val="20"/>
        </w:rPr>
        <w:t>symptomatic</w:t>
      </w:r>
      <w:r w:rsidR="002A6D47" w:rsidRPr="005B0931">
        <w:rPr>
          <w:rFonts w:eastAsia="Calibri"/>
          <w:sz w:val="20"/>
          <w:szCs w:val="20"/>
        </w:rPr>
        <w:t xml:space="preserve"> </w:t>
      </w:r>
      <w:r w:rsidRPr="005B0931">
        <w:rPr>
          <w:rFonts w:eastAsia="Calibri"/>
          <w:sz w:val="20"/>
          <w:szCs w:val="20"/>
        </w:rPr>
        <w:t>internal</w:t>
      </w:r>
      <w:r w:rsidR="002A6D47" w:rsidRPr="005B0931">
        <w:rPr>
          <w:rFonts w:eastAsia="Calibri"/>
          <w:sz w:val="20"/>
          <w:szCs w:val="20"/>
        </w:rPr>
        <w:t xml:space="preserve"> </w:t>
      </w:r>
      <w:r w:rsidRPr="005B0931">
        <w:rPr>
          <w:rFonts w:eastAsia="Calibri"/>
          <w:sz w:val="20"/>
          <w:szCs w:val="20"/>
        </w:rPr>
        <w:t>carotid</w:t>
      </w:r>
      <w:r w:rsidR="002A6D47" w:rsidRPr="005B0931">
        <w:rPr>
          <w:rFonts w:eastAsia="Calibri"/>
          <w:sz w:val="20"/>
          <w:szCs w:val="20"/>
        </w:rPr>
        <w:t xml:space="preserve"> </w:t>
      </w:r>
      <w:r w:rsidRPr="005B0931">
        <w:rPr>
          <w:rFonts w:eastAsia="Calibri"/>
          <w:sz w:val="20"/>
          <w:szCs w:val="20"/>
        </w:rPr>
        <w:t>artery</w:t>
      </w:r>
      <w:r w:rsidR="002A6D47" w:rsidRPr="005B0931">
        <w:rPr>
          <w:rFonts w:eastAsia="Calibri"/>
          <w:sz w:val="20"/>
          <w:szCs w:val="20"/>
        </w:rPr>
        <w:t xml:space="preserve"> </w:t>
      </w:r>
      <w:r w:rsidRPr="005B0931">
        <w:rPr>
          <w:rFonts w:eastAsia="Calibri"/>
          <w:sz w:val="20"/>
          <w:szCs w:val="20"/>
        </w:rPr>
        <w:t>occlusion.</w:t>
      </w:r>
      <w:r w:rsidR="002A6D47" w:rsidRPr="005B0931">
        <w:rPr>
          <w:rFonts w:eastAsia="Calibri"/>
          <w:sz w:val="20"/>
          <w:szCs w:val="20"/>
        </w:rPr>
        <w:t xml:space="preserve"> </w:t>
      </w:r>
      <w:r w:rsidRPr="005B0931">
        <w:rPr>
          <w:rFonts w:eastAsia="Calibri"/>
          <w:sz w:val="20"/>
          <w:szCs w:val="20"/>
        </w:rPr>
        <w:t>Stroke</w:t>
      </w:r>
      <w:r w:rsidR="002A6D47" w:rsidRPr="005B0931">
        <w:rPr>
          <w:rFonts w:eastAsia="Calibri"/>
          <w:sz w:val="20"/>
          <w:szCs w:val="20"/>
        </w:rPr>
        <w:t xml:space="preserve"> </w:t>
      </w:r>
      <w:r w:rsidRPr="005B0931">
        <w:rPr>
          <w:rFonts w:eastAsia="Calibri"/>
          <w:sz w:val="20"/>
          <w:szCs w:val="20"/>
        </w:rPr>
        <w:t>2011;</w:t>
      </w:r>
      <w:r w:rsidR="002A6D47" w:rsidRPr="005B0931">
        <w:rPr>
          <w:rFonts w:eastAsia="Calibri"/>
          <w:sz w:val="20"/>
          <w:szCs w:val="20"/>
        </w:rPr>
        <w:t xml:space="preserve"> </w:t>
      </w:r>
      <w:r w:rsidRPr="005B0931">
        <w:rPr>
          <w:rFonts w:eastAsia="Calibri"/>
          <w:sz w:val="20"/>
          <w:szCs w:val="20"/>
        </w:rPr>
        <w:t>42:2419.</w:t>
      </w:r>
    </w:p>
    <w:p w:rsidR="006C67BF" w:rsidRPr="005B0931" w:rsidRDefault="006C67BF" w:rsidP="002A6D47">
      <w:pPr>
        <w:numPr>
          <w:ilvl w:val="0"/>
          <w:numId w:val="32"/>
        </w:numPr>
        <w:bidi w:val="0"/>
        <w:snapToGrid w:val="0"/>
        <w:ind w:left="425" w:hanging="425"/>
        <w:contextualSpacing/>
        <w:jc w:val="both"/>
        <w:rPr>
          <w:rFonts w:eastAsia="Calibri"/>
          <w:sz w:val="20"/>
          <w:szCs w:val="20"/>
        </w:rPr>
      </w:pPr>
      <w:r w:rsidRPr="005B0931">
        <w:rPr>
          <w:sz w:val="20"/>
          <w:szCs w:val="20"/>
        </w:rPr>
        <w:t>Weimar</w:t>
      </w:r>
      <w:r w:rsidR="002A6D47" w:rsidRPr="005B0931">
        <w:rPr>
          <w:sz w:val="20"/>
          <w:szCs w:val="20"/>
        </w:rPr>
        <w:t xml:space="preserve"> </w:t>
      </w:r>
      <w:r w:rsidRPr="005B0931">
        <w:rPr>
          <w:sz w:val="20"/>
          <w:szCs w:val="20"/>
        </w:rPr>
        <w:t>C,</w:t>
      </w:r>
      <w:r w:rsidR="002A6D47" w:rsidRPr="005B0931">
        <w:rPr>
          <w:sz w:val="20"/>
          <w:szCs w:val="20"/>
        </w:rPr>
        <w:t xml:space="preserve"> </w:t>
      </w:r>
      <w:proofErr w:type="spellStart"/>
      <w:r w:rsidRPr="005B0931">
        <w:rPr>
          <w:sz w:val="20"/>
          <w:szCs w:val="20"/>
        </w:rPr>
        <w:t>Goertler</w:t>
      </w:r>
      <w:proofErr w:type="spellEnd"/>
      <w:r w:rsidR="002A6D47" w:rsidRPr="005B0931">
        <w:rPr>
          <w:sz w:val="20"/>
          <w:szCs w:val="20"/>
        </w:rPr>
        <w:t xml:space="preserve"> </w:t>
      </w:r>
      <w:r w:rsidRPr="005B0931">
        <w:rPr>
          <w:sz w:val="20"/>
          <w:szCs w:val="20"/>
        </w:rPr>
        <w:t>M,</w:t>
      </w:r>
      <w:r w:rsidR="002A6D47" w:rsidRPr="005B0931">
        <w:rPr>
          <w:sz w:val="20"/>
          <w:szCs w:val="20"/>
        </w:rPr>
        <w:t xml:space="preserve"> </w:t>
      </w:r>
      <w:r w:rsidRPr="005B0931">
        <w:rPr>
          <w:sz w:val="20"/>
          <w:szCs w:val="20"/>
        </w:rPr>
        <w:t>Harms</w:t>
      </w:r>
      <w:r w:rsidR="002A6D47" w:rsidRPr="005B0931">
        <w:rPr>
          <w:sz w:val="20"/>
          <w:szCs w:val="20"/>
        </w:rPr>
        <w:t xml:space="preserve"> </w:t>
      </w:r>
      <w:r w:rsidRPr="005B0931">
        <w:rPr>
          <w:sz w:val="20"/>
          <w:szCs w:val="20"/>
        </w:rPr>
        <w:t>L,</w:t>
      </w:r>
      <w:r w:rsidR="002A6D47" w:rsidRPr="005B0931">
        <w:rPr>
          <w:sz w:val="20"/>
          <w:szCs w:val="20"/>
        </w:rPr>
        <w:t xml:space="preserve"> </w:t>
      </w:r>
      <w:proofErr w:type="spellStart"/>
      <w:r w:rsidRPr="005B0931">
        <w:rPr>
          <w:sz w:val="20"/>
          <w:szCs w:val="20"/>
        </w:rPr>
        <w:t>Diener</w:t>
      </w:r>
      <w:proofErr w:type="spellEnd"/>
      <w:r w:rsidR="002A6D47" w:rsidRPr="005B0931">
        <w:rPr>
          <w:sz w:val="20"/>
          <w:szCs w:val="20"/>
        </w:rPr>
        <w:t xml:space="preserve"> </w:t>
      </w:r>
      <w:r w:rsidRPr="005B0931">
        <w:rPr>
          <w:sz w:val="20"/>
          <w:szCs w:val="20"/>
        </w:rPr>
        <w:t>HC.</w:t>
      </w:r>
      <w:r w:rsidR="002A6D47" w:rsidRPr="005B0931">
        <w:rPr>
          <w:sz w:val="20"/>
          <w:szCs w:val="20"/>
        </w:rPr>
        <w:t xml:space="preserve"> </w:t>
      </w:r>
      <w:r w:rsidRPr="005B0931">
        <w:rPr>
          <w:sz w:val="20"/>
          <w:szCs w:val="20"/>
        </w:rPr>
        <w:t>Distribution</w:t>
      </w:r>
      <w:r w:rsidR="002A6D47" w:rsidRPr="005B0931">
        <w:rPr>
          <w:sz w:val="20"/>
          <w:szCs w:val="20"/>
        </w:rPr>
        <w:t xml:space="preserve"> </w:t>
      </w:r>
      <w:r w:rsidRPr="005B0931">
        <w:rPr>
          <w:sz w:val="20"/>
          <w:szCs w:val="20"/>
        </w:rPr>
        <w:t>and</w:t>
      </w:r>
      <w:r w:rsidR="002A6D47" w:rsidRPr="005B0931">
        <w:rPr>
          <w:sz w:val="20"/>
          <w:szCs w:val="20"/>
        </w:rPr>
        <w:t xml:space="preserve"> </w:t>
      </w:r>
      <w:r w:rsidRPr="005B0931">
        <w:rPr>
          <w:sz w:val="20"/>
          <w:szCs w:val="20"/>
        </w:rPr>
        <w:t>outcome</w:t>
      </w:r>
      <w:r w:rsidR="002A6D47" w:rsidRPr="005B0931">
        <w:rPr>
          <w:sz w:val="20"/>
          <w:szCs w:val="20"/>
        </w:rPr>
        <w:t xml:space="preserve"> </w:t>
      </w:r>
      <w:r w:rsidRPr="005B0931">
        <w:rPr>
          <w:sz w:val="20"/>
          <w:szCs w:val="20"/>
        </w:rPr>
        <w:t>of</w:t>
      </w:r>
      <w:r w:rsidR="002A6D47" w:rsidRPr="005B0931">
        <w:rPr>
          <w:sz w:val="20"/>
          <w:szCs w:val="20"/>
        </w:rPr>
        <w:t xml:space="preserve"> </w:t>
      </w:r>
      <w:r w:rsidRPr="005B0931">
        <w:rPr>
          <w:sz w:val="20"/>
          <w:szCs w:val="20"/>
        </w:rPr>
        <w:t>symptomatic</w:t>
      </w:r>
      <w:r w:rsidR="002A6D47" w:rsidRPr="005B0931">
        <w:rPr>
          <w:sz w:val="20"/>
          <w:szCs w:val="20"/>
        </w:rPr>
        <w:t xml:space="preserve"> </w:t>
      </w:r>
      <w:proofErr w:type="spellStart"/>
      <w:r w:rsidRPr="005B0931">
        <w:rPr>
          <w:sz w:val="20"/>
          <w:szCs w:val="20"/>
        </w:rPr>
        <w:t>stenoses</w:t>
      </w:r>
      <w:proofErr w:type="spellEnd"/>
      <w:r w:rsidR="002A6D47" w:rsidRPr="005B0931">
        <w:rPr>
          <w:sz w:val="20"/>
          <w:szCs w:val="20"/>
        </w:rPr>
        <w:t xml:space="preserve"> </w:t>
      </w:r>
      <w:r w:rsidRPr="005B0931">
        <w:rPr>
          <w:sz w:val="20"/>
          <w:szCs w:val="20"/>
        </w:rPr>
        <w:t>and</w:t>
      </w:r>
      <w:r w:rsidR="002A6D47" w:rsidRPr="005B0931">
        <w:rPr>
          <w:sz w:val="20"/>
          <w:szCs w:val="20"/>
        </w:rPr>
        <w:t xml:space="preserve"> </w:t>
      </w:r>
      <w:r w:rsidRPr="005B0931">
        <w:rPr>
          <w:sz w:val="20"/>
          <w:szCs w:val="20"/>
        </w:rPr>
        <w:t>occlusions</w:t>
      </w:r>
      <w:r w:rsidR="002A6D47" w:rsidRPr="005B0931">
        <w:rPr>
          <w:sz w:val="20"/>
          <w:szCs w:val="20"/>
        </w:rPr>
        <w:t xml:space="preserve"> </w:t>
      </w:r>
      <w:r w:rsidRPr="005B0931">
        <w:rPr>
          <w:sz w:val="20"/>
          <w:szCs w:val="20"/>
        </w:rPr>
        <w:t>in</w:t>
      </w:r>
      <w:r w:rsidR="002A6D47" w:rsidRPr="005B0931">
        <w:rPr>
          <w:sz w:val="20"/>
          <w:szCs w:val="20"/>
        </w:rPr>
        <w:t xml:space="preserve"> </w:t>
      </w:r>
      <w:r w:rsidRPr="005B0931">
        <w:rPr>
          <w:sz w:val="20"/>
          <w:szCs w:val="20"/>
        </w:rPr>
        <w:t>patients</w:t>
      </w:r>
      <w:r w:rsidR="002A6D47" w:rsidRPr="005B0931">
        <w:rPr>
          <w:sz w:val="20"/>
          <w:szCs w:val="20"/>
        </w:rPr>
        <w:t xml:space="preserve"> </w:t>
      </w:r>
      <w:r w:rsidRPr="005B0931">
        <w:rPr>
          <w:sz w:val="20"/>
          <w:szCs w:val="20"/>
        </w:rPr>
        <w:t>with</w:t>
      </w:r>
      <w:r w:rsidR="002A6D47" w:rsidRPr="005B0931">
        <w:rPr>
          <w:sz w:val="20"/>
          <w:szCs w:val="20"/>
        </w:rPr>
        <w:t xml:space="preserve"> </w:t>
      </w:r>
      <w:r w:rsidRPr="005B0931">
        <w:rPr>
          <w:sz w:val="20"/>
          <w:szCs w:val="20"/>
        </w:rPr>
        <w:t>acute</w:t>
      </w:r>
      <w:r w:rsidR="002A6D47" w:rsidRPr="005B0931">
        <w:rPr>
          <w:sz w:val="20"/>
          <w:szCs w:val="20"/>
        </w:rPr>
        <w:t xml:space="preserve"> </w:t>
      </w:r>
      <w:r w:rsidRPr="005B0931">
        <w:rPr>
          <w:sz w:val="20"/>
          <w:szCs w:val="20"/>
        </w:rPr>
        <w:t>cerebral</w:t>
      </w:r>
      <w:r w:rsidR="002A6D47" w:rsidRPr="005B0931">
        <w:rPr>
          <w:sz w:val="20"/>
          <w:szCs w:val="20"/>
        </w:rPr>
        <w:t xml:space="preserve"> </w:t>
      </w:r>
      <w:r w:rsidRPr="005B0931">
        <w:rPr>
          <w:sz w:val="20"/>
          <w:szCs w:val="20"/>
        </w:rPr>
        <w:t>ischemia.</w:t>
      </w:r>
      <w:r w:rsidR="002A6D47" w:rsidRPr="005B0931">
        <w:rPr>
          <w:sz w:val="20"/>
          <w:szCs w:val="20"/>
        </w:rPr>
        <w:t xml:space="preserve"> </w:t>
      </w:r>
      <w:r w:rsidRPr="005B0931">
        <w:rPr>
          <w:sz w:val="20"/>
          <w:szCs w:val="20"/>
        </w:rPr>
        <w:t>Arch</w:t>
      </w:r>
      <w:r w:rsidR="002A6D47" w:rsidRPr="005B0931">
        <w:rPr>
          <w:sz w:val="20"/>
          <w:szCs w:val="20"/>
        </w:rPr>
        <w:t xml:space="preserve"> </w:t>
      </w:r>
      <w:proofErr w:type="spellStart"/>
      <w:r w:rsidRPr="005B0931">
        <w:rPr>
          <w:sz w:val="20"/>
          <w:szCs w:val="20"/>
        </w:rPr>
        <w:t>Neurol</w:t>
      </w:r>
      <w:proofErr w:type="spellEnd"/>
      <w:r w:rsidR="002A6D47" w:rsidRPr="005B0931">
        <w:rPr>
          <w:sz w:val="20"/>
          <w:szCs w:val="20"/>
        </w:rPr>
        <w:t xml:space="preserve"> </w:t>
      </w:r>
      <w:r w:rsidRPr="005B0931">
        <w:rPr>
          <w:sz w:val="20"/>
          <w:szCs w:val="20"/>
        </w:rPr>
        <w:t>2006;</w:t>
      </w:r>
      <w:r w:rsidR="002A6D47" w:rsidRPr="005B0931">
        <w:rPr>
          <w:sz w:val="20"/>
          <w:szCs w:val="20"/>
        </w:rPr>
        <w:t xml:space="preserve"> </w:t>
      </w:r>
      <w:r w:rsidRPr="005B0931">
        <w:rPr>
          <w:sz w:val="20"/>
          <w:szCs w:val="20"/>
        </w:rPr>
        <w:t>63:1287.</w:t>
      </w:r>
    </w:p>
    <w:p w:rsidR="006C67BF" w:rsidRPr="005B0931" w:rsidRDefault="00893D2E" w:rsidP="002A6D47">
      <w:pPr>
        <w:numPr>
          <w:ilvl w:val="0"/>
          <w:numId w:val="32"/>
        </w:numPr>
        <w:bidi w:val="0"/>
        <w:snapToGrid w:val="0"/>
        <w:ind w:left="425" w:hanging="425"/>
        <w:contextualSpacing/>
        <w:jc w:val="both"/>
        <w:rPr>
          <w:rFonts w:eastAsia="Calibri"/>
          <w:sz w:val="20"/>
          <w:szCs w:val="20"/>
        </w:rPr>
      </w:pPr>
      <w:hyperlink r:id="rId20" w:history="1">
        <w:r w:rsidR="006C67BF" w:rsidRPr="005B0931">
          <w:rPr>
            <w:sz w:val="20"/>
            <w:szCs w:val="20"/>
          </w:rPr>
          <w:t>Lau</w:t>
        </w:r>
        <w:r w:rsidR="002A6D47" w:rsidRPr="005B0931">
          <w:rPr>
            <w:sz w:val="20"/>
            <w:szCs w:val="20"/>
          </w:rPr>
          <w:t xml:space="preserve"> </w:t>
        </w:r>
        <w:r w:rsidR="006C67BF" w:rsidRPr="005B0931">
          <w:rPr>
            <w:sz w:val="20"/>
            <w:szCs w:val="20"/>
          </w:rPr>
          <w:t>AY,</w:t>
        </w:r>
        <w:r w:rsidR="002A6D47" w:rsidRPr="005B0931">
          <w:rPr>
            <w:sz w:val="20"/>
            <w:szCs w:val="20"/>
          </w:rPr>
          <w:t xml:space="preserve"> </w:t>
        </w:r>
        <w:r w:rsidR="006C67BF" w:rsidRPr="005B0931">
          <w:rPr>
            <w:sz w:val="20"/>
            <w:szCs w:val="20"/>
          </w:rPr>
          <w:t>Wong</w:t>
        </w:r>
        <w:r w:rsidR="002A6D47" w:rsidRPr="005B0931">
          <w:rPr>
            <w:sz w:val="20"/>
            <w:szCs w:val="20"/>
          </w:rPr>
          <w:t xml:space="preserve"> </w:t>
        </w:r>
        <w:r w:rsidR="006C67BF" w:rsidRPr="005B0931">
          <w:rPr>
            <w:sz w:val="20"/>
            <w:szCs w:val="20"/>
          </w:rPr>
          <w:t>KS,</w:t>
        </w:r>
        <w:r w:rsidR="002A6D47" w:rsidRPr="005B0931">
          <w:rPr>
            <w:sz w:val="20"/>
            <w:szCs w:val="20"/>
          </w:rPr>
          <w:t xml:space="preserve"> </w:t>
        </w:r>
        <w:r w:rsidR="006C67BF" w:rsidRPr="005B0931">
          <w:rPr>
            <w:sz w:val="20"/>
            <w:szCs w:val="20"/>
          </w:rPr>
          <w:t>Lev</w:t>
        </w:r>
        <w:r w:rsidR="002A6D47" w:rsidRPr="005B0931">
          <w:rPr>
            <w:sz w:val="20"/>
            <w:szCs w:val="20"/>
          </w:rPr>
          <w:t xml:space="preserve"> </w:t>
        </w:r>
        <w:r w:rsidR="006C67BF" w:rsidRPr="005B0931">
          <w:rPr>
            <w:sz w:val="20"/>
            <w:szCs w:val="20"/>
          </w:rPr>
          <w:t>M,</w:t>
        </w:r>
        <w:r w:rsidR="002A6D47" w:rsidRPr="005B0931">
          <w:rPr>
            <w:sz w:val="20"/>
            <w:szCs w:val="20"/>
          </w:rPr>
          <w:t xml:space="preserve"> </w:t>
        </w:r>
        <w:r w:rsidR="006C67BF" w:rsidRPr="005B0931">
          <w:rPr>
            <w:sz w:val="20"/>
            <w:szCs w:val="20"/>
          </w:rPr>
          <w:t>et</w:t>
        </w:r>
        <w:r w:rsidR="002A6D47" w:rsidRPr="005B0931">
          <w:rPr>
            <w:sz w:val="20"/>
            <w:szCs w:val="20"/>
          </w:rPr>
          <w:t xml:space="preserve"> </w:t>
        </w:r>
        <w:r w:rsidR="006C67BF" w:rsidRPr="005B0931">
          <w:rPr>
            <w:sz w:val="20"/>
            <w:szCs w:val="20"/>
          </w:rPr>
          <w:t>al.</w:t>
        </w:r>
        <w:r w:rsidR="002A6D47" w:rsidRPr="005B0931">
          <w:rPr>
            <w:sz w:val="20"/>
            <w:szCs w:val="20"/>
          </w:rPr>
          <w:t xml:space="preserve"> </w:t>
        </w:r>
        <w:r w:rsidR="006C67BF" w:rsidRPr="005B0931">
          <w:rPr>
            <w:sz w:val="20"/>
            <w:szCs w:val="20"/>
          </w:rPr>
          <w:t>Burden</w:t>
        </w:r>
        <w:r w:rsidR="002A6D47" w:rsidRPr="005B0931">
          <w:rPr>
            <w:sz w:val="20"/>
            <w:szCs w:val="20"/>
          </w:rPr>
          <w:t xml:space="preserve"> </w:t>
        </w:r>
        <w:r w:rsidR="006C67BF" w:rsidRPr="005B0931">
          <w:rPr>
            <w:sz w:val="20"/>
            <w:szCs w:val="20"/>
          </w:rPr>
          <w:t>of</w:t>
        </w:r>
        <w:r w:rsidR="002A6D47" w:rsidRPr="005B0931">
          <w:rPr>
            <w:sz w:val="20"/>
            <w:szCs w:val="20"/>
          </w:rPr>
          <w:t xml:space="preserve"> </w:t>
        </w:r>
        <w:r w:rsidR="006C67BF" w:rsidRPr="005B0931">
          <w:rPr>
            <w:sz w:val="20"/>
            <w:szCs w:val="20"/>
          </w:rPr>
          <w:t>intracranial</w:t>
        </w:r>
        <w:r w:rsidR="002A6D47" w:rsidRPr="005B0931">
          <w:rPr>
            <w:sz w:val="20"/>
            <w:szCs w:val="20"/>
          </w:rPr>
          <w:t xml:space="preserve"> </w:t>
        </w:r>
        <w:r w:rsidR="006C67BF" w:rsidRPr="005B0931">
          <w:rPr>
            <w:sz w:val="20"/>
            <w:szCs w:val="20"/>
          </w:rPr>
          <w:t>steno-occlusive</w:t>
        </w:r>
        <w:r w:rsidR="002A6D47" w:rsidRPr="005B0931">
          <w:rPr>
            <w:sz w:val="20"/>
            <w:szCs w:val="20"/>
          </w:rPr>
          <w:t xml:space="preserve"> </w:t>
        </w:r>
        <w:r w:rsidR="006C67BF" w:rsidRPr="005B0931">
          <w:rPr>
            <w:sz w:val="20"/>
            <w:szCs w:val="20"/>
          </w:rPr>
          <w:t>lesions</w:t>
        </w:r>
        <w:r w:rsidR="002A6D47" w:rsidRPr="005B0931">
          <w:rPr>
            <w:sz w:val="20"/>
            <w:szCs w:val="20"/>
          </w:rPr>
          <w:t xml:space="preserve"> </w:t>
        </w:r>
        <w:r w:rsidR="006C67BF" w:rsidRPr="005B0931">
          <w:rPr>
            <w:sz w:val="20"/>
            <w:szCs w:val="20"/>
          </w:rPr>
          <w:t>on</w:t>
        </w:r>
        <w:r w:rsidR="002A6D47" w:rsidRPr="005B0931">
          <w:rPr>
            <w:sz w:val="20"/>
            <w:szCs w:val="20"/>
          </w:rPr>
          <w:t xml:space="preserve"> </w:t>
        </w:r>
        <w:r w:rsidR="006C67BF" w:rsidRPr="005B0931">
          <w:rPr>
            <w:sz w:val="20"/>
            <w:szCs w:val="20"/>
          </w:rPr>
          <w:t>initial</w:t>
        </w:r>
        <w:r w:rsidR="002A6D47" w:rsidRPr="005B0931">
          <w:rPr>
            <w:sz w:val="20"/>
            <w:szCs w:val="20"/>
          </w:rPr>
          <w:t xml:space="preserve"> </w:t>
        </w:r>
        <w:r w:rsidR="006C67BF" w:rsidRPr="005B0931">
          <w:rPr>
            <w:sz w:val="20"/>
            <w:szCs w:val="20"/>
          </w:rPr>
          <w:t>computed</w:t>
        </w:r>
        <w:r w:rsidR="002A6D47" w:rsidRPr="005B0931">
          <w:rPr>
            <w:sz w:val="20"/>
            <w:szCs w:val="20"/>
          </w:rPr>
          <w:t xml:space="preserve"> </w:t>
        </w:r>
        <w:r w:rsidR="006C67BF" w:rsidRPr="005B0931">
          <w:rPr>
            <w:sz w:val="20"/>
            <w:szCs w:val="20"/>
          </w:rPr>
          <w:t>tomography</w:t>
        </w:r>
        <w:r w:rsidR="002A6D47" w:rsidRPr="005B0931">
          <w:rPr>
            <w:sz w:val="20"/>
            <w:szCs w:val="20"/>
          </w:rPr>
          <w:t xml:space="preserve"> </w:t>
        </w:r>
        <w:r w:rsidR="006C67BF" w:rsidRPr="005B0931">
          <w:rPr>
            <w:sz w:val="20"/>
            <w:szCs w:val="20"/>
          </w:rPr>
          <w:t>angiography</w:t>
        </w:r>
        <w:r w:rsidR="002A6D47" w:rsidRPr="005B0931">
          <w:rPr>
            <w:sz w:val="20"/>
            <w:szCs w:val="20"/>
          </w:rPr>
          <w:t xml:space="preserve"> </w:t>
        </w:r>
        <w:r w:rsidR="006C67BF" w:rsidRPr="005B0931">
          <w:rPr>
            <w:sz w:val="20"/>
            <w:szCs w:val="20"/>
          </w:rPr>
          <w:t>predicts</w:t>
        </w:r>
        <w:r w:rsidR="002A6D47" w:rsidRPr="005B0931">
          <w:rPr>
            <w:sz w:val="20"/>
            <w:szCs w:val="20"/>
          </w:rPr>
          <w:t xml:space="preserve"> </w:t>
        </w:r>
        <w:r w:rsidR="006C67BF" w:rsidRPr="005B0931">
          <w:rPr>
            <w:sz w:val="20"/>
            <w:szCs w:val="20"/>
          </w:rPr>
          <w:t>poor</w:t>
        </w:r>
        <w:r w:rsidR="002A6D47" w:rsidRPr="005B0931">
          <w:rPr>
            <w:sz w:val="20"/>
            <w:szCs w:val="20"/>
          </w:rPr>
          <w:t xml:space="preserve"> </w:t>
        </w:r>
        <w:r w:rsidR="006C67BF" w:rsidRPr="005B0931">
          <w:rPr>
            <w:sz w:val="20"/>
            <w:szCs w:val="20"/>
          </w:rPr>
          <w:t>outcome</w:t>
        </w:r>
        <w:r w:rsidR="002A6D47" w:rsidRPr="005B0931">
          <w:rPr>
            <w:sz w:val="20"/>
            <w:szCs w:val="20"/>
          </w:rPr>
          <w:t xml:space="preserve"> </w:t>
        </w:r>
        <w:r w:rsidR="006C67BF" w:rsidRPr="005B0931">
          <w:rPr>
            <w:sz w:val="20"/>
            <w:szCs w:val="20"/>
          </w:rPr>
          <w:t>in</w:t>
        </w:r>
        <w:r w:rsidR="002A6D47" w:rsidRPr="005B0931">
          <w:rPr>
            <w:sz w:val="20"/>
            <w:szCs w:val="20"/>
          </w:rPr>
          <w:t xml:space="preserve"> </w:t>
        </w:r>
        <w:r w:rsidR="006C67BF" w:rsidRPr="005B0931">
          <w:rPr>
            <w:sz w:val="20"/>
            <w:szCs w:val="20"/>
          </w:rPr>
          <w:t>patients</w:t>
        </w:r>
        <w:r w:rsidR="002A6D47" w:rsidRPr="005B0931">
          <w:rPr>
            <w:sz w:val="20"/>
            <w:szCs w:val="20"/>
          </w:rPr>
          <w:t xml:space="preserve"> </w:t>
        </w:r>
        <w:r w:rsidR="006C67BF" w:rsidRPr="005B0931">
          <w:rPr>
            <w:sz w:val="20"/>
            <w:szCs w:val="20"/>
          </w:rPr>
          <w:t>with</w:t>
        </w:r>
        <w:r w:rsidR="002A6D47" w:rsidRPr="005B0931">
          <w:rPr>
            <w:sz w:val="20"/>
            <w:szCs w:val="20"/>
          </w:rPr>
          <w:t xml:space="preserve"> </w:t>
        </w:r>
        <w:r w:rsidR="006C67BF" w:rsidRPr="005B0931">
          <w:rPr>
            <w:sz w:val="20"/>
            <w:szCs w:val="20"/>
          </w:rPr>
          <w:t>acute</w:t>
        </w:r>
        <w:r w:rsidR="002A6D47" w:rsidRPr="005B0931">
          <w:rPr>
            <w:sz w:val="20"/>
            <w:szCs w:val="20"/>
          </w:rPr>
          <w:t xml:space="preserve"> </w:t>
        </w:r>
        <w:r w:rsidR="006C67BF" w:rsidRPr="005B0931">
          <w:rPr>
            <w:sz w:val="20"/>
            <w:szCs w:val="20"/>
          </w:rPr>
          <w:t>stroke.</w:t>
        </w:r>
        <w:r w:rsidR="002A6D47" w:rsidRPr="005B0931">
          <w:rPr>
            <w:sz w:val="20"/>
            <w:szCs w:val="20"/>
          </w:rPr>
          <w:t xml:space="preserve"> </w:t>
        </w:r>
        <w:r w:rsidR="006C67BF" w:rsidRPr="005B0931">
          <w:rPr>
            <w:sz w:val="20"/>
            <w:szCs w:val="20"/>
          </w:rPr>
          <w:t>Stroke</w:t>
        </w:r>
        <w:r w:rsidR="002A6D47" w:rsidRPr="005B0931">
          <w:rPr>
            <w:sz w:val="20"/>
            <w:szCs w:val="20"/>
          </w:rPr>
          <w:t xml:space="preserve"> </w:t>
        </w:r>
        <w:r w:rsidR="006C67BF" w:rsidRPr="005B0931">
          <w:rPr>
            <w:sz w:val="20"/>
            <w:szCs w:val="20"/>
          </w:rPr>
          <w:t>2013;</w:t>
        </w:r>
        <w:r w:rsidR="002A6D47" w:rsidRPr="005B0931">
          <w:rPr>
            <w:sz w:val="20"/>
            <w:szCs w:val="20"/>
          </w:rPr>
          <w:t xml:space="preserve"> </w:t>
        </w:r>
        <w:r w:rsidR="006C67BF" w:rsidRPr="005B0931">
          <w:rPr>
            <w:sz w:val="20"/>
            <w:szCs w:val="20"/>
          </w:rPr>
          <w:t>44:1310.</w:t>
        </w:r>
        <w:r w:rsidR="002A6D47" w:rsidRPr="005B0931">
          <w:rPr>
            <w:sz w:val="20"/>
            <w:szCs w:val="20"/>
          </w:rPr>
          <w:t xml:space="preserve"> </w:t>
        </w:r>
      </w:hyperlink>
    </w:p>
    <w:p w:rsidR="006C67BF" w:rsidRPr="005B0931" w:rsidRDefault="00893D2E" w:rsidP="002A6D47">
      <w:pPr>
        <w:numPr>
          <w:ilvl w:val="0"/>
          <w:numId w:val="32"/>
        </w:numPr>
        <w:bidi w:val="0"/>
        <w:snapToGrid w:val="0"/>
        <w:ind w:left="425" w:hanging="425"/>
        <w:contextualSpacing/>
        <w:jc w:val="both"/>
        <w:rPr>
          <w:rFonts w:eastAsia="Calibri"/>
          <w:sz w:val="20"/>
          <w:szCs w:val="20"/>
        </w:rPr>
      </w:pPr>
      <w:hyperlink r:id="rId21" w:history="1">
        <w:proofErr w:type="spellStart"/>
        <w:r w:rsidR="006C67BF" w:rsidRPr="005B0931">
          <w:rPr>
            <w:sz w:val="20"/>
            <w:szCs w:val="20"/>
          </w:rPr>
          <w:t>Nedeltchev</w:t>
        </w:r>
        <w:proofErr w:type="spellEnd"/>
        <w:r w:rsidR="002A6D47" w:rsidRPr="005B0931">
          <w:rPr>
            <w:sz w:val="20"/>
            <w:szCs w:val="20"/>
          </w:rPr>
          <w:t xml:space="preserve"> </w:t>
        </w:r>
        <w:r w:rsidR="006C67BF" w:rsidRPr="005B0931">
          <w:rPr>
            <w:sz w:val="20"/>
            <w:szCs w:val="20"/>
          </w:rPr>
          <w:t>K,</w:t>
        </w:r>
        <w:r w:rsidR="002A6D47" w:rsidRPr="005B0931">
          <w:rPr>
            <w:sz w:val="20"/>
            <w:szCs w:val="20"/>
          </w:rPr>
          <w:t xml:space="preserve"> </w:t>
        </w:r>
        <w:proofErr w:type="spellStart"/>
        <w:r w:rsidR="006C67BF" w:rsidRPr="005B0931">
          <w:rPr>
            <w:sz w:val="20"/>
            <w:szCs w:val="20"/>
          </w:rPr>
          <w:t>der</w:t>
        </w:r>
        <w:proofErr w:type="spellEnd"/>
        <w:r w:rsidR="002A6D47" w:rsidRPr="005B0931">
          <w:rPr>
            <w:sz w:val="20"/>
            <w:szCs w:val="20"/>
          </w:rPr>
          <w:t xml:space="preserve"> </w:t>
        </w:r>
        <w:proofErr w:type="spellStart"/>
        <w:r w:rsidR="006C67BF" w:rsidRPr="005B0931">
          <w:rPr>
            <w:sz w:val="20"/>
            <w:szCs w:val="20"/>
          </w:rPr>
          <w:t>Maur</w:t>
        </w:r>
        <w:proofErr w:type="spellEnd"/>
        <w:r w:rsidR="002A6D47" w:rsidRPr="005B0931">
          <w:rPr>
            <w:sz w:val="20"/>
            <w:szCs w:val="20"/>
          </w:rPr>
          <w:t xml:space="preserve"> </w:t>
        </w:r>
        <w:r w:rsidR="006C67BF" w:rsidRPr="005B0931">
          <w:rPr>
            <w:sz w:val="20"/>
            <w:szCs w:val="20"/>
          </w:rPr>
          <w:t>TA,</w:t>
        </w:r>
        <w:r w:rsidR="002A6D47" w:rsidRPr="005B0931">
          <w:rPr>
            <w:sz w:val="20"/>
            <w:szCs w:val="20"/>
          </w:rPr>
          <w:t xml:space="preserve"> </w:t>
        </w:r>
        <w:proofErr w:type="spellStart"/>
        <w:r w:rsidR="006C67BF" w:rsidRPr="005B0931">
          <w:rPr>
            <w:sz w:val="20"/>
            <w:szCs w:val="20"/>
          </w:rPr>
          <w:t>Georgiadis</w:t>
        </w:r>
        <w:proofErr w:type="spellEnd"/>
        <w:r w:rsidR="002A6D47" w:rsidRPr="005B0931">
          <w:rPr>
            <w:sz w:val="20"/>
            <w:szCs w:val="20"/>
          </w:rPr>
          <w:t xml:space="preserve"> </w:t>
        </w:r>
        <w:r w:rsidR="006C67BF" w:rsidRPr="005B0931">
          <w:rPr>
            <w:sz w:val="20"/>
            <w:szCs w:val="20"/>
          </w:rPr>
          <w:t>D,</w:t>
        </w:r>
        <w:r w:rsidR="002A6D47" w:rsidRPr="005B0931">
          <w:rPr>
            <w:sz w:val="20"/>
            <w:szCs w:val="20"/>
          </w:rPr>
          <w:t xml:space="preserve"> </w:t>
        </w:r>
        <w:r w:rsidR="006C67BF" w:rsidRPr="005B0931">
          <w:rPr>
            <w:sz w:val="20"/>
            <w:szCs w:val="20"/>
          </w:rPr>
          <w:t>et</w:t>
        </w:r>
        <w:r w:rsidR="002A6D47" w:rsidRPr="005B0931">
          <w:rPr>
            <w:sz w:val="20"/>
            <w:szCs w:val="20"/>
          </w:rPr>
          <w:t xml:space="preserve"> </w:t>
        </w:r>
        <w:r w:rsidR="006C67BF" w:rsidRPr="005B0931">
          <w:rPr>
            <w:sz w:val="20"/>
            <w:szCs w:val="20"/>
          </w:rPr>
          <w:t>al.</w:t>
        </w:r>
        <w:r w:rsidR="002A6D47" w:rsidRPr="005B0931">
          <w:rPr>
            <w:sz w:val="20"/>
            <w:szCs w:val="20"/>
          </w:rPr>
          <w:t xml:space="preserve"> </w:t>
        </w:r>
        <w:proofErr w:type="spellStart"/>
        <w:r w:rsidR="006C67BF" w:rsidRPr="005B0931">
          <w:rPr>
            <w:sz w:val="20"/>
            <w:szCs w:val="20"/>
          </w:rPr>
          <w:t>Ischaemic</w:t>
        </w:r>
        <w:proofErr w:type="spellEnd"/>
        <w:r w:rsidR="002A6D47" w:rsidRPr="005B0931">
          <w:rPr>
            <w:sz w:val="20"/>
            <w:szCs w:val="20"/>
          </w:rPr>
          <w:t xml:space="preserve"> </w:t>
        </w:r>
        <w:r w:rsidR="006C67BF" w:rsidRPr="005B0931">
          <w:rPr>
            <w:sz w:val="20"/>
            <w:szCs w:val="20"/>
          </w:rPr>
          <w:t>stroke</w:t>
        </w:r>
        <w:r w:rsidR="002A6D47" w:rsidRPr="005B0931">
          <w:rPr>
            <w:sz w:val="20"/>
            <w:szCs w:val="20"/>
          </w:rPr>
          <w:t xml:space="preserve"> </w:t>
        </w:r>
        <w:r w:rsidR="006C67BF" w:rsidRPr="005B0931">
          <w:rPr>
            <w:sz w:val="20"/>
            <w:szCs w:val="20"/>
          </w:rPr>
          <w:t>in</w:t>
        </w:r>
        <w:r w:rsidR="002A6D47" w:rsidRPr="005B0931">
          <w:rPr>
            <w:sz w:val="20"/>
            <w:szCs w:val="20"/>
          </w:rPr>
          <w:t xml:space="preserve"> </w:t>
        </w:r>
        <w:r w:rsidR="006C67BF" w:rsidRPr="005B0931">
          <w:rPr>
            <w:sz w:val="20"/>
            <w:szCs w:val="20"/>
          </w:rPr>
          <w:t>young</w:t>
        </w:r>
        <w:r w:rsidR="002A6D47" w:rsidRPr="005B0931">
          <w:rPr>
            <w:sz w:val="20"/>
            <w:szCs w:val="20"/>
          </w:rPr>
          <w:t xml:space="preserve"> </w:t>
        </w:r>
        <w:r w:rsidR="006C67BF" w:rsidRPr="005B0931">
          <w:rPr>
            <w:sz w:val="20"/>
            <w:szCs w:val="20"/>
          </w:rPr>
          <w:t>adults:</w:t>
        </w:r>
        <w:r w:rsidR="002A6D47" w:rsidRPr="005B0931">
          <w:rPr>
            <w:sz w:val="20"/>
            <w:szCs w:val="20"/>
          </w:rPr>
          <w:t xml:space="preserve"> </w:t>
        </w:r>
        <w:r w:rsidR="006C67BF" w:rsidRPr="005B0931">
          <w:rPr>
            <w:sz w:val="20"/>
            <w:szCs w:val="20"/>
          </w:rPr>
          <w:t>predictors</w:t>
        </w:r>
        <w:r w:rsidR="002A6D47" w:rsidRPr="005B0931">
          <w:rPr>
            <w:sz w:val="20"/>
            <w:szCs w:val="20"/>
          </w:rPr>
          <w:t xml:space="preserve"> </w:t>
        </w:r>
        <w:r w:rsidR="006C67BF" w:rsidRPr="005B0931">
          <w:rPr>
            <w:sz w:val="20"/>
            <w:szCs w:val="20"/>
          </w:rPr>
          <w:t>of</w:t>
        </w:r>
        <w:r w:rsidR="002A6D47" w:rsidRPr="005B0931">
          <w:rPr>
            <w:sz w:val="20"/>
            <w:szCs w:val="20"/>
          </w:rPr>
          <w:t xml:space="preserve"> </w:t>
        </w:r>
        <w:r w:rsidR="006C67BF" w:rsidRPr="005B0931">
          <w:rPr>
            <w:sz w:val="20"/>
            <w:szCs w:val="20"/>
          </w:rPr>
          <w:t>outcome</w:t>
        </w:r>
        <w:r w:rsidR="002A6D47" w:rsidRPr="005B0931">
          <w:rPr>
            <w:sz w:val="20"/>
            <w:szCs w:val="20"/>
          </w:rPr>
          <w:t xml:space="preserve"> </w:t>
        </w:r>
        <w:r w:rsidR="006C67BF" w:rsidRPr="005B0931">
          <w:rPr>
            <w:sz w:val="20"/>
            <w:szCs w:val="20"/>
          </w:rPr>
          <w:t>and</w:t>
        </w:r>
        <w:r w:rsidR="002A6D47" w:rsidRPr="005B0931">
          <w:rPr>
            <w:sz w:val="20"/>
            <w:szCs w:val="20"/>
          </w:rPr>
          <w:t xml:space="preserve"> </w:t>
        </w:r>
        <w:r w:rsidR="006C67BF" w:rsidRPr="005B0931">
          <w:rPr>
            <w:sz w:val="20"/>
            <w:szCs w:val="20"/>
          </w:rPr>
          <w:t>recurrence.</w:t>
        </w:r>
        <w:r w:rsidR="002A6D47" w:rsidRPr="005B0931">
          <w:rPr>
            <w:sz w:val="20"/>
            <w:szCs w:val="20"/>
          </w:rPr>
          <w:t xml:space="preserve"> </w:t>
        </w:r>
        <w:r w:rsidR="006C67BF" w:rsidRPr="005B0931">
          <w:rPr>
            <w:sz w:val="20"/>
            <w:szCs w:val="20"/>
          </w:rPr>
          <w:t>J</w:t>
        </w:r>
        <w:r w:rsidR="002A6D47" w:rsidRPr="005B0931">
          <w:rPr>
            <w:sz w:val="20"/>
            <w:szCs w:val="20"/>
          </w:rPr>
          <w:t xml:space="preserve"> </w:t>
        </w:r>
        <w:proofErr w:type="spellStart"/>
        <w:r w:rsidR="006C67BF" w:rsidRPr="005B0931">
          <w:rPr>
            <w:sz w:val="20"/>
            <w:szCs w:val="20"/>
          </w:rPr>
          <w:t>Neuro</w:t>
        </w:r>
        <w:r w:rsidR="002A6D47" w:rsidRPr="005B0931">
          <w:rPr>
            <w:sz w:val="20"/>
            <w:szCs w:val="20"/>
          </w:rPr>
          <w:t>l</w:t>
        </w:r>
        <w:proofErr w:type="spellEnd"/>
        <w:r w:rsidR="002A6D47" w:rsidRPr="005B0931">
          <w:rPr>
            <w:sz w:val="20"/>
            <w:szCs w:val="20"/>
          </w:rPr>
          <w:t xml:space="preserve"> </w:t>
        </w:r>
        <w:proofErr w:type="spellStart"/>
        <w:r w:rsidR="002A6D47" w:rsidRPr="005B0931">
          <w:rPr>
            <w:sz w:val="20"/>
            <w:szCs w:val="20"/>
          </w:rPr>
          <w:t>N</w:t>
        </w:r>
        <w:r w:rsidR="006C67BF" w:rsidRPr="005B0931">
          <w:rPr>
            <w:sz w:val="20"/>
            <w:szCs w:val="20"/>
          </w:rPr>
          <w:t>eurosurg</w:t>
        </w:r>
        <w:proofErr w:type="spellEnd"/>
        <w:r w:rsidR="002A6D47" w:rsidRPr="005B0931">
          <w:rPr>
            <w:sz w:val="20"/>
            <w:szCs w:val="20"/>
          </w:rPr>
          <w:t xml:space="preserve"> </w:t>
        </w:r>
        <w:r w:rsidR="006C67BF" w:rsidRPr="005B0931">
          <w:rPr>
            <w:sz w:val="20"/>
            <w:szCs w:val="20"/>
          </w:rPr>
          <w:t>Psychiatry</w:t>
        </w:r>
        <w:r w:rsidR="002A6D47" w:rsidRPr="005B0931">
          <w:rPr>
            <w:sz w:val="20"/>
            <w:szCs w:val="20"/>
          </w:rPr>
          <w:t xml:space="preserve"> </w:t>
        </w:r>
        <w:r w:rsidR="006C67BF" w:rsidRPr="005B0931">
          <w:rPr>
            <w:sz w:val="20"/>
            <w:szCs w:val="20"/>
          </w:rPr>
          <w:t>2005;</w:t>
        </w:r>
        <w:r w:rsidR="002A6D47" w:rsidRPr="005B0931">
          <w:rPr>
            <w:sz w:val="20"/>
            <w:szCs w:val="20"/>
          </w:rPr>
          <w:t xml:space="preserve"> </w:t>
        </w:r>
        <w:r w:rsidR="006C67BF" w:rsidRPr="005B0931">
          <w:rPr>
            <w:sz w:val="20"/>
            <w:szCs w:val="20"/>
          </w:rPr>
          <w:t>76:191</w:t>
        </w:r>
      </w:hyperlink>
      <w:r w:rsidR="006C67BF" w:rsidRPr="005B0931">
        <w:rPr>
          <w:sz w:val="20"/>
          <w:szCs w:val="20"/>
        </w:rPr>
        <w:t>.</w:t>
      </w:r>
    </w:p>
    <w:p w:rsidR="006C67BF" w:rsidRPr="005B0931" w:rsidRDefault="006C67BF" w:rsidP="002A6D47">
      <w:pPr>
        <w:numPr>
          <w:ilvl w:val="0"/>
          <w:numId w:val="32"/>
        </w:numPr>
        <w:bidi w:val="0"/>
        <w:snapToGrid w:val="0"/>
        <w:ind w:left="425" w:hanging="425"/>
        <w:contextualSpacing/>
        <w:jc w:val="both"/>
        <w:rPr>
          <w:rFonts w:eastAsia="Calibri"/>
          <w:sz w:val="20"/>
          <w:szCs w:val="20"/>
        </w:rPr>
      </w:pPr>
      <w:proofErr w:type="spellStart"/>
      <w:r w:rsidRPr="005B0931">
        <w:rPr>
          <w:sz w:val="20"/>
          <w:szCs w:val="20"/>
        </w:rPr>
        <w:t>Abboud</w:t>
      </w:r>
      <w:proofErr w:type="spellEnd"/>
      <w:r w:rsidR="002A6D47" w:rsidRPr="005B0931">
        <w:rPr>
          <w:sz w:val="20"/>
          <w:szCs w:val="20"/>
        </w:rPr>
        <w:t xml:space="preserve"> </w:t>
      </w:r>
      <w:r w:rsidRPr="005B0931">
        <w:rPr>
          <w:sz w:val="20"/>
          <w:szCs w:val="20"/>
        </w:rPr>
        <w:t>H,</w:t>
      </w:r>
      <w:r w:rsidR="002A6D47" w:rsidRPr="005B0931">
        <w:rPr>
          <w:sz w:val="20"/>
          <w:szCs w:val="20"/>
        </w:rPr>
        <w:t xml:space="preserve"> </w:t>
      </w:r>
      <w:proofErr w:type="spellStart"/>
      <w:r w:rsidRPr="005B0931">
        <w:rPr>
          <w:sz w:val="20"/>
          <w:szCs w:val="20"/>
        </w:rPr>
        <w:t>Berroir</w:t>
      </w:r>
      <w:proofErr w:type="spellEnd"/>
      <w:r w:rsidR="002A6D47" w:rsidRPr="005B0931">
        <w:rPr>
          <w:sz w:val="20"/>
          <w:szCs w:val="20"/>
        </w:rPr>
        <w:t xml:space="preserve"> </w:t>
      </w:r>
      <w:r w:rsidRPr="005B0931">
        <w:rPr>
          <w:sz w:val="20"/>
          <w:szCs w:val="20"/>
        </w:rPr>
        <w:t>S,</w:t>
      </w:r>
      <w:r w:rsidR="002A6D47" w:rsidRPr="005B0931">
        <w:rPr>
          <w:sz w:val="20"/>
          <w:szCs w:val="20"/>
        </w:rPr>
        <w:t xml:space="preserve"> </w:t>
      </w:r>
      <w:proofErr w:type="spellStart"/>
      <w:r w:rsidRPr="005B0931">
        <w:rPr>
          <w:sz w:val="20"/>
          <w:szCs w:val="20"/>
        </w:rPr>
        <w:t>Labreuche</w:t>
      </w:r>
      <w:proofErr w:type="spellEnd"/>
      <w:r w:rsidR="002A6D47" w:rsidRPr="005B0931">
        <w:rPr>
          <w:sz w:val="20"/>
          <w:szCs w:val="20"/>
        </w:rPr>
        <w:t xml:space="preserve"> </w:t>
      </w:r>
      <w:r w:rsidRPr="005B0931">
        <w:rPr>
          <w:sz w:val="20"/>
          <w:szCs w:val="20"/>
        </w:rPr>
        <w:t>J,</w:t>
      </w:r>
      <w:r w:rsidR="002A6D47" w:rsidRPr="005B0931">
        <w:rPr>
          <w:sz w:val="20"/>
          <w:szCs w:val="20"/>
        </w:rPr>
        <w:t xml:space="preserve"> </w:t>
      </w:r>
      <w:r w:rsidRPr="005B0931">
        <w:rPr>
          <w:sz w:val="20"/>
          <w:szCs w:val="20"/>
        </w:rPr>
        <w:t>et</w:t>
      </w:r>
      <w:r w:rsidR="002A6D47" w:rsidRPr="005B0931">
        <w:rPr>
          <w:sz w:val="20"/>
          <w:szCs w:val="20"/>
        </w:rPr>
        <w:t xml:space="preserve"> </w:t>
      </w:r>
      <w:r w:rsidRPr="005B0931">
        <w:rPr>
          <w:sz w:val="20"/>
          <w:szCs w:val="20"/>
        </w:rPr>
        <w:t>al.</w:t>
      </w:r>
      <w:r w:rsidR="002A6D47" w:rsidRPr="005B0931">
        <w:rPr>
          <w:sz w:val="20"/>
          <w:szCs w:val="20"/>
        </w:rPr>
        <w:t xml:space="preserve"> </w:t>
      </w:r>
      <w:r w:rsidRPr="005B0931">
        <w:rPr>
          <w:sz w:val="20"/>
          <w:szCs w:val="20"/>
        </w:rPr>
        <w:t>Insular</w:t>
      </w:r>
      <w:r w:rsidR="002A6D47" w:rsidRPr="005B0931">
        <w:rPr>
          <w:sz w:val="20"/>
          <w:szCs w:val="20"/>
        </w:rPr>
        <w:t xml:space="preserve"> </w:t>
      </w:r>
      <w:r w:rsidRPr="005B0931">
        <w:rPr>
          <w:sz w:val="20"/>
          <w:szCs w:val="20"/>
        </w:rPr>
        <w:t>involvement</w:t>
      </w:r>
      <w:r w:rsidR="002A6D47" w:rsidRPr="005B0931">
        <w:rPr>
          <w:sz w:val="20"/>
          <w:szCs w:val="20"/>
        </w:rPr>
        <w:t xml:space="preserve"> </w:t>
      </w:r>
      <w:r w:rsidRPr="005B0931">
        <w:rPr>
          <w:sz w:val="20"/>
          <w:szCs w:val="20"/>
        </w:rPr>
        <w:t>in</w:t>
      </w:r>
      <w:r w:rsidR="002A6D47" w:rsidRPr="005B0931">
        <w:rPr>
          <w:sz w:val="20"/>
          <w:szCs w:val="20"/>
        </w:rPr>
        <w:t xml:space="preserve"> </w:t>
      </w:r>
      <w:r w:rsidRPr="005B0931">
        <w:rPr>
          <w:sz w:val="20"/>
          <w:szCs w:val="20"/>
        </w:rPr>
        <w:t>brain</w:t>
      </w:r>
      <w:r w:rsidR="002A6D47" w:rsidRPr="005B0931">
        <w:rPr>
          <w:sz w:val="20"/>
          <w:szCs w:val="20"/>
        </w:rPr>
        <w:t xml:space="preserve"> </w:t>
      </w:r>
      <w:r w:rsidRPr="005B0931">
        <w:rPr>
          <w:sz w:val="20"/>
          <w:szCs w:val="20"/>
        </w:rPr>
        <w:t>infarction</w:t>
      </w:r>
      <w:r w:rsidR="002A6D47" w:rsidRPr="005B0931">
        <w:rPr>
          <w:sz w:val="20"/>
          <w:szCs w:val="20"/>
        </w:rPr>
        <w:t xml:space="preserve"> </w:t>
      </w:r>
      <w:r w:rsidRPr="005B0931">
        <w:rPr>
          <w:sz w:val="20"/>
          <w:szCs w:val="20"/>
        </w:rPr>
        <w:t>increases</w:t>
      </w:r>
      <w:r w:rsidR="002A6D47" w:rsidRPr="005B0931">
        <w:rPr>
          <w:sz w:val="20"/>
          <w:szCs w:val="20"/>
        </w:rPr>
        <w:t xml:space="preserve"> </w:t>
      </w:r>
      <w:r w:rsidRPr="005B0931">
        <w:rPr>
          <w:sz w:val="20"/>
          <w:szCs w:val="20"/>
        </w:rPr>
        <w:t>risk</w:t>
      </w:r>
      <w:r w:rsidR="002A6D47" w:rsidRPr="005B0931">
        <w:rPr>
          <w:sz w:val="20"/>
          <w:szCs w:val="20"/>
        </w:rPr>
        <w:t xml:space="preserve"> </w:t>
      </w:r>
      <w:r w:rsidRPr="005B0931">
        <w:rPr>
          <w:sz w:val="20"/>
          <w:szCs w:val="20"/>
        </w:rPr>
        <w:t>for</w:t>
      </w:r>
      <w:r w:rsidR="002A6D47" w:rsidRPr="005B0931">
        <w:rPr>
          <w:sz w:val="20"/>
          <w:szCs w:val="20"/>
        </w:rPr>
        <w:t xml:space="preserve"> </w:t>
      </w:r>
      <w:r w:rsidRPr="005B0931">
        <w:rPr>
          <w:sz w:val="20"/>
          <w:szCs w:val="20"/>
        </w:rPr>
        <w:t>cardiac</w:t>
      </w:r>
      <w:r w:rsidR="002A6D47" w:rsidRPr="005B0931">
        <w:rPr>
          <w:sz w:val="20"/>
          <w:szCs w:val="20"/>
        </w:rPr>
        <w:t xml:space="preserve"> </w:t>
      </w:r>
      <w:r w:rsidRPr="005B0931">
        <w:rPr>
          <w:sz w:val="20"/>
          <w:szCs w:val="20"/>
        </w:rPr>
        <w:t>arrhythmia</w:t>
      </w:r>
      <w:r w:rsidR="002A6D47" w:rsidRPr="005B0931">
        <w:rPr>
          <w:sz w:val="20"/>
          <w:szCs w:val="20"/>
        </w:rPr>
        <w:t xml:space="preserve"> </w:t>
      </w:r>
      <w:r w:rsidRPr="005B0931">
        <w:rPr>
          <w:sz w:val="20"/>
          <w:szCs w:val="20"/>
        </w:rPr>
        <w:t>and</w:t>
      </w:r>
      <w:r w:rsidR="002A6D47" w:rsidRPr="005B0931">
        <w:rPr>
          <w:sz w:val="20"/>
          <w:szCs w:val="20"/>
        </w:rPr>
        <w:t xml:space="preserve"> </w:t>
      </w:r>
      <w:r w:rsidRPr="005B0931">
        <w:rPr>
          <w:sz w:val="20"/>
          <w:szCs w:val="20"/>
        </w:rPr>
        <w:t>death.</w:t>
      </w:r>
      <w:r w:rsidR="002A6D47" w:rsidRPr="005B0931">
        <w:rPr>
          <w:sz w:val="20"/>
          <w:szCs w:val="20"/>
        </w:rPr>
        <w:t xml:space="preserve"> </w:t>
      </w:r>
      <w:r w:rsidRPr="005B0931">
        <w:rPr>
          <w:sz w:val="20"/>
          <w:szCs w:val="20"/>
        </w:rPr>
        <w:t>Ann</w:t>
      </w:r>
      <w:r w:rsidR="002A6D47" w:rsidRPr="005B0931">
        <w:rPr>
          <w:sz w:val="20"/>
          <w:szCs w:val="20"/>
        </w:rPr>
        <w:t xml:space="preserve"> </w:t>
      </w:r>
      <w:proofErr w:type="spellStart"/>
      <w:r w:rsidRPr="005B0931">
        <w:rPr>
          <w:sz w:val="20"/>
          <w:szCs w:val="20"/>
        </w:rPr>
        <w:t>Neurol</w:t>
      </w:r>
      <w:proofErr w:type="spellEnd"/>
      <w:r w:rsidR="002A6D47" w:rsidRPr="005B0931">
        <w:rPr>
          <w:sz w:val="20"/>
          <w:szCs w:val="20"/>
        </w:rPr>
        <w:t xml:space="preserve"> </w:t>
      </w:r>
      <w:r w:rsidRPr="005B0931">
        <w:rPr>
          <w:sz w:val="20"/>
          <w:szCs w:val="20"/>
        </w:rPr>
        <w:t>2006;</w:t>
      </w:r>
      <w:r w:rsidR="002A6D47" w:rsidRPr="005B0931">
        <w:rPr>
          <w:sz w:val="20"/>
          <w:szCs w:val="20"/>
        </w:rPr>
        <w:t xml:space="preserve"> </w:t>
      </w:r>
      <w:r w:rsidRPr="005B0931">
        <w:rPr>
          <w:sz w:val="20"/>
          <w:szCs w:val="20"/>
        </w:rPr>
        <w:t>59:691.</w:t>
      </w:r>
    </w:p>
    <w:p w:rsidR="006C67BF" w:rsidRPr="005B0931" w:rsidRDefault="00893D2E" w:rsidP="002A6D47">
      <w:pPr>
        <w:numPr>
          <w:ilvl w:val="0"/>
          <w:numId w:val="32"/>
        </w:numPr>
        <w:bidi w:val="0"/>
        <w:snapToGrid w:val="0"/>
        <w:ind w:left="425" w:hanging="425"/>
        <w:contextualSpacing/>
        <w:jc w:val="both"/>
        <w:rPr>
          <w:rFonts w:eastAsia="Calibri"/>
          <w:sz w:val="20"/>
          <w:szCs w:val="20"/>
        </w:rPr>
      </w:pPr>
      <w:hyperlink r:id="rId22" w:history="1">
        <w:proofErr w:type="spellStart"/>
        <w:r w:rsidR="006C67BF" w:rsidRPr="005B0931">
          <w:rPr>
            <w:sz w:val="20"/>
            <w:szCs w:val="20"/>
          </w:rPr>
          <w:t>Colivicchi</w:t>
        </w:r>
        <w:proofErr w:type="spellEnd"/>
        <w:r w:rsidR="002A6D47" w:rsidRPr="005B0931">
          <w:rPr>
            <w:sz w:val="20"/>
            <w:szCs w:val="20"/>
          </w:rPr>
          <w:t xml:space="preserve"> </w:t>
        </w:r>
        <w:r w:rsidR="006C67BF" w:rsidRPr="005B0931">
          <w:rPr>
            <w:sz w:val="20"/>
            <w:szCs w:val="20"/>
          </w:rPr>
          <w:t>F,</w:t>
        </w:r>
        <w:r w:rsidR="002A6D47" w:rsidRPr="005B0931">
          <w:rPr>
            <w:sz w:val="20"/>
            <w:szCs w:val="20"/>
          </w:rPr>
          <w:t xml:space="preserve"> </w:t>
        </w:r>
        <w:proofErr w:type="spellStart"/>
        <w:r w:rsidR="006C67BF" w:rsidRPr="005B0931">
          <w:rPr>
            <w:sz w:val="20"/>
            <w:szCs w:val="20"/>
          </w:rPr>
          <w:t>Bassi</w:t>
        </w:r>
        <w:proofErr w:type="spellEnd"/>
        <w:r w:rsidR="002A6D47" w:rsidRPr="005B0931">
          <w:rPr>
            <w:sz w:val="20"/>
            <w:szCs w:val="20"/>
          </w:rPr>
          <w:t xml:space="preserve"> </w:t>
        </w:r>
        <w:r w:rsidR="006C67BF" w:rsidRPr="005B0931">
          <w:rPr>
            <w:sz w:val="20"/>
            <w:szCs w:val="20"/>
          </w:rPr>
          <w:t>A,</w:t>
        </w:r>
        <w:r w:rsidR="002A6D47" w:rsidRPr="005B0931">
          <w:rPr>
            <w:sz w:val="20"/>
            <w:szCs w:val="20"/>
          </w:rPr>
          <w:t xml:space="preserve"> </w:t>
        </w:r>
        <w:proofErr w:type="spellStart"/>
        <w:r w:rsidR="006C67BF" w:rsidRPr="005B0931">
          <w:rPr>
            <w:sz w:val="20"/>
            <w:szCs w:val="20"/>
          </w:rPr>
          <w:t>Santini</w:t>
        </w:r>
        <w:proofErr w:type="spellEnd"/>
        <w:r w:rsidR="002A6D47" w:rsidRPr="005B0931">
          <w:rPr>
            <w:sz w:val="20"/>
            <w:szCs w:val="20"/>
          </w:rPr>
          <w:t xml:space="preserve"> </w:t>
        </w:r>
        <w:r w:rsidR="006C67BF" w:rsidRPr="005B0931">
          <w:rPr>
            <w:sz w:val="20"/>
            <w:szCs w:val="20"/>
          </w:rPr>
          <w:t>M,</w:t>
        </w:r>
        <w:r w:rsidR="002A6D47" w:rsidRPr="005B0931">
          <w:rPr>
            <w:sz w:val="20"/>
            <w:szCs w:val="20"/>
          </w:rPr>
          <w:t xml:space="preserve"> </w:t>
        </w:r>
        <w:proofErr w:type="spellStart"/>
        <w:r w:rsidR="006C67BF" w:rsidRPr="005B0931">
          <w:rPr>
            <w:sz w:val="20"/>
            <w:szCs w:val="20"/>
          </w:rPr>
          <w:t>Caltagirone</w:t>
        </w:r>
        <w:proofErr w:type="spellEnd"/>
        <w:r w:rsidR="002A6D47" w:rsidRPr="005B0931">
          <w:rPr>
            <w:sz w:val="20"/>
            <w:szCs w:val="20"/>
          </w:rPr>
          <w:t xml:space="preserve"> </w:t>
        </w:r>
        <w:r w:rsidR="006C67BF" w:rsidRPr="005B0931">
          <w:rPr>
            <w:sz w:val="20"/>
            <w:szCs w:val="20"/>
          </w:rPr>
          <w:t>C.</w:t>
        </w:r>
        <w:r w:rsidR="002A6D47" w:rsidRPr="005B0931">
          <w:rPr>
            <w:sz w:val="20"/>
            <w:szCs w:val="20"/>
          </w:rPr>
          <w:t xml:space="preserve"> </w:t>
        </w:r>
        <w:r w:rsidR="006C67BF" w:rsidRPr="005B0931">
          <w:rPr>
            <w:sz w:val="20"/>
            <w:szCs w:val="20"/>
          </w:rPr>
          <w:t>Prognostic</w:t>
        </w:r>
        <w:r w:rsidR="002A6D47" w:rsidRPr="005B0931">
          <w:rPr>
            <w:sz w:val="20"/>
            <w:szCs w:val="20"/>
          </w:rPr>
          <w:t xml:space="preserve"> </w:t>
        </w:r>
        <w:r w:rsidR="006C67BF" w:rsidRPr="005B0931">
          <w:rPr>
            <w:sz w:val="20"/>
            <w:szCs w:val="20"/>
          </w:rPr>
          <w:t>implications</w:t>
        </w:r>
        <w:r w:rsidR="002A6D47" w:rsidRPr="005B0931">
          <w:rPr>
            <w:sz w:val="20"/>
            <w:szCs w:val="20"/>
          </w:rPr>
          <w:t xml:space="preserve"> </w:t>
        </w:r>
        <w:r w:rsidR="006C67BF" w:rsidRPr="005B0931">
          <w:rPr>
            <w:sz w:val="20"/>
            <w:szCs w:val="20"/>
          </w:rPr>
          <w:t>of</w:t>
        </w:r>
        <w:r w:rsidR="002A6D47" w:rsidRPr="005B0931">
          <w:rPr>
            <w:sz w:val="20"/>
            <w:szCs w:val="20"/>
          </w:rPr>
          <w:t xml:space="preserve"> </w:t>
        </w:r>
        <w:r w:rsidR="006C67BF" w:rsidRPr="005B0931">
          <w:rPr>
            <w:sz w:val="20"/>
            <w:szCs w:val="20"/>
          </w:rPr>
          <w:t>right-sided</w:t>
        </w:r>
        <w:r w:rsidR="002A6D47" w:rsidRPr="005B0931">
          <w:rPr>
            <w:sz w:val="20"/>
            <w:szCs w:val="20"/>
          </w:rPr>
          <w:t xml:space="preserve"> </w:t>
        </w:r>
        <w:r w:rsidR="006C67BF" w:rsidRPr="005B0931">
          <w:rPr>
            <w:sz w:val="20"/>
            <w:szCs w:val="20"/>
          </w:rPr>
          <w:t>insular</w:t>
        </w:r>
        <w:r w:rsidR="002A6D47" w:rsidRPr="005B0931">
          <w:rPr>
            <w:sz w:val="20"/>
            <w:szCs w:val="20"/>
          </w:rPr>
          <w:t xml:space="preserve"> </w:t>
        </w:r>
        <w:r w:rsidR="006C67BF" w:rsidRPr="005B0931">
          <w:rPr>
            <w:sz w:val="20"/>
            <w:szCs w:val="20"/>
          </w:rPr>
          <w:t>damage,</w:t>
        </w:r>
        <w:r w:rsidR="002A6D47" w:rsidRPr="005B0931">
          <w:rPr>
            <w:sz w:val="20"/>
            <w:szCs w:val="20"/>
          </w:rPr>
          <w:t xml:space="preserve"> </w:t>
        </w:r>
        <w:r w:rsidR="006C67BF" w:rsidRPr="005B0931">
          <w:rPr>
            <w:sz w:val="20"/>
            <w:szCs w:val="20"/>
          </w:rPr>
          <w:t>cardiac</w:t>
        </w:r>
        <w:r w:rsidR="002A6D47" w:rsidRPr="005B0931">
          <w:rPr>
            <w:sz w:val="20"/>
            <w:szCs w:val="20"/>
          </w:rPr>
          <w:t xml:space="preserve"> </w:t>
        </w:r>
        <w:r w:rsidR="006C67BF" w:rsidRPr="005B0931">
          <w:rPr>
            <w:sz w:val="20"/>
            <w:szCs w:val="20"/>
          </w:rPr>
          <w:t>autonomic</w:t>
        </w:r>
        <w:r w:rsidR="002A6D47" w:rsidRPr="005B0931">
          <w:rPr>
            <w:sz w:val="20"/>
            <w:szCs w:val="20"/>
          </w:rPr>
          <w:t xml:space="preserve"> </w:t>
        </w:r>
        <w:r w:rsidR="006C67BF" w:rsidRPr="005B0931">
          <w:rPr>
            <w:sz w:val="20"/>
            <w:szCs w:val="20"/>
          </w:rPr>
          <w:t>derangement,</w:t>
        </w:r>
        <w:r w:rsidR="002A6D47" w:rsidRPr="005B0931">
          <w:rPr>
            <w:sz w:val="20"/>
            <w:szCs w:val="20"/>
          </w:rPr>
          <w:t xml:space="preserve"> </w:t>
        </w:r>
        <w:r w:rsidR="006C67BF" w:rsidRPr="005B0931">
          <w:rPr>
            <w:sz w:val="20"/>
            <w:szCs w:val="20"/>
          </w:rPr>
          <w:t>and</w:t>
        </w:r>
        <w:r w:rsidR="002A6D47" w:rsidRPr="005B0931">
          <w:rPr>
            <w:sz w:val="20"/>
            <w:szCs w:val="20"/>
          </w:rPr>
          <w:t xml:space="preserve"> </w:t>
        </w:r>
        <w:r w:rsidR="006C67BF" w:rsidRPr="005B0931">
          <w:rPr>
            <w:sz w:val="20"/>
            <w:szCs w:val="20"/>
          </w:rPr>
          <w:t>arrhythmias</w:t>
        </w:r>
        <w:r w:rsidR="002A6D47" w:rsidRPr="005B0931">
          <w:rPr>
            <w:sz w:val="20"/>
            <w:szCs w:val="20"/>
          </w:rPr>
          <w:t xml:space="preserve"> </w:t>
        </w:r>
        <w:r w:rsidR="006C67BF" w:rsidRPr="005B0931">
          <w:rPr>
            <w:sz w:val="20"/>
            <w:szCs w:val="20"/>
          </w:rPr>
          <w:t>after</w:t>
        </w:r>
        <w:r w:rsidR="002A6D47" w:rsidRPr="005B0931">
          <w:rPr>
            <w:sz w:val="20"/>
            <w:szCs w:val="20"/>
          </w:rPr>
          <w:t xml:space="preserve"> </w:t>
        </w:r>
        <w:r w:rsidR="006C67BF" w:rsidRPr="005B0931">
          <w:rPr>
            <w:sz w:val="20"/>
            <w:szCs w:val="20"/>
          </w:rPr>
          <w:t>acute</w:t>
        </w:r>
        <w:r w:rsidR="002A6D47" w:rsidRPr="005B0931">
          <w:rPr>
            <w:sz w:val="20"/>
            <w:szCs w:val="20"/>
          </w:rPr>
          <w:t xml:space="preserve"> </w:t>
        </w:r>
        <w:r w:rsidR="006C67BF" w:rsidRPr="005B0931">
          <w:rPr>
            <w:sz w:val="20"/>
            <w:szCs w:val="20"/>
          </w:rPr>
          <w:t>ischemic</w:t>
        </w:r>
        <w:r w:rsidR="002A6D47" w:rsidRPr="005B0931">
          <w:rPr>
            <w:sz w:val="20"/>
            <w:szCs w:val="20"/>
          </w:rPr>
          <w:t xml:space="preserve"> </w:t>
        </w:r>
        <w:r w:rsidR="006C67BF" w:rsidRPr="005B0931">
          <w:rPr>
            <w:sz w:val="20"/>
            <w:szCs w:val="20"/>
          </w:rPr>
          <w:t>stroke.</w:t>
        </w:r>
        <w:r w:rsidR="002A6D47" w:rsidRPr="005B0931">
          <w:rPr>
            <w:sz w:val="20"/>
            <w:szCs w:val="20"/>
          </w:rPr>
          <w:t xml:space="preserve"> </w:t>
        </w:r>
        <w:r w:rsidR="006C67BF" w:rsidRPr="005B0931">
          <w:rPr>
            <w:sz w:val="20"/>
            <w:szCs w:val="20"/>
          </w:rPr>
          <w:t>Stroke</w:t>
        </w:r>
        <w:r w:rsidR="002A6D47" w:rsidRPr="005B0931">
          <w:rPr>
            <w:sz w:val="20"/>
            <w:szCs w:val="20"/>
          </w:rPr>
          <w:t xml:space="preserve"> </w:t>
        </w:r>
        <w:r w:rsidR="006C67BF" w:rsidRPr="005B0931">
          <w:rPr>
            <w:sz w:val="20"/>
            <w:szCs w:val="20"/>
          </w:rPr>
          <w:t>2005;</w:t>
        </w:r>
        <w:r w:rsidR="002A6D47" w:rsidRPr="005B0931">
          <w:rPr>
            <w:sz w:val="20"/>
            <w:szCs w:val="20"/>
          </w:rPr>
          <w:t xml:space="preserve"> </w:t>
        </w:r>
        <w:r w:rsidR="006C67BF" w:rsidRPr="005B0931">
          <w:rPr>
            <w:sz w:val="20"/>
            <w:szCs w:val="20"/>
          </w:rPr>
          <w:t>36:1710.</w:t>
        </w:r>
        <w:r w:rsidR="002A6D47" w:rsidRPr="005B0931">
          <w:rPr>
            <w:sz w:val="20"/>
            <w:szCs w:val="20"/>
          </w:rPr>
          <w:t xml:space="preserve"> </w:t>
        </w:r>
      </w:hyperlink>
    </w:p>
    <w:p w:rsidR="006C67BF" w:rsidRPr="005B0931" w:rsidRDefault="00893D2E" w:rsidP="002A6D47">
      <w:pPr>
        <w:numPr>
          <w:ilvl w:val="0"/>
          <w:numId w:val="32"/>
        </w:numPr>
        <w:bidi w:val="0"/>
        <w:snapToGrid w:val="0"/>
        <w:ind w:left="425" w:hanging="425"/>
        <w:contextualSpacing/>
        <w:jc w:val="both"/>
        <w:rPr>
          <w:rFonts w:eastAsia="Calibri"/>
          <w:sz w:val="20"/>
          <w:szCs w:val="20"/>
        </w:rPr>
      </w:pPr>
      <w:hyperlink r:id="rId23" w:history="1">
        <w:proofErr w:type="spellStart"/>
        <w:r w:rsidR="006C67BF" w:rsidRPr="005B0931">
          <w:rPr>
            <w:sz w:val="20"/>
            <w:szCs w:val="20"/>
          </w:rPr>
          <w:t>Borsody</w:t>
        </w:r>
        <w:proofErr w:type="spellEnd"/>
        <w:r w:rsidR="002A6D47" w:rsidRPr="005B0931">
          <w:rPr>
            <w:sz w:val="20"/>
            <w:szCs w:val="20"/>
          </w:rPr>
          <w:t xml:space="preserve"> </w:t>
        </w:r>
        <w:r w:rsidR="006C67BF" w:rsidRPr="005B0931">
          <w:rPr>
            <w:sz w:val="20"/>
            <w:szCs w:val="20"/>
          </w:rPr>
          <w:t>M,</w:t>
        </w:r>
        <w:r w:rsidR="002A6D47" w:rsidRPr="005B0931">
          <w:rPr>
            <w:sz w:val="20"/>
            <w:szCs w:val="20"/>
          </w:rPr>
          <w:t xml:space="preserve"> </w:t>
        </w:r>
        <w:r w:rsidR="006C67BF" w:rsidRPr="005B0931">
          <w:rPr>
            <w:sz w:val="20"/>
            <w:szCs w:val="20"/>
          </w:rPr>
          <w:t>Warner</w:t>
        </w:r>
        <w:r w:rsidR="002A6D47" w:rsidRPr="005B0931">
          <w:rPr>
            <w:sz w:val="20"/>
            <w:szCs w:val="20"/>
          </w:rPr>
          <w:t xml:space="preserve"> </w:t>
        </w:r>
        <w:proofErr w:type="spellStart"/>
        <w:r w:rsidR="006C67BF" w:rsidRPr="005B0931">
          <w:rPr>
            <w:sz w:val="20"/>
            <w:szCs w:val="20"/>
          </w:rPr>
          <w:t>Gargano</w:t>
        </w:r>
        <w:proofErr w:type="spellEnd"/>
        <w:r w:rsidR="002A6D47" w:rsidRPr="005B0931">
          <w:rPr>
            <w:sz w:val="20"/>
            <w:szCs w:val="20"/>
          </w:rPr>
          <w:t xml:space="preserve"> </w:t>
        </w:r>
        <w:r w:rsidR="006C67BF" w:rsidRPr="005B0931">
          <w:rPr>
            <w:sz w:val="20"/>
            <w:szCs w:val="20"/>
          </w:rPr>
          <w:t>J,</w:t>
        </w:r>
        <w:r w:rsidR="002A6D47" w:rsidRPr="005B0931">
          <w:rPr>
            <w:sz w:val="20"/>
            <w:szCs w:val="20"/>
          </w:rPr>
          <w:t xml:space="preserve"> </w:t>
        </w:r>
        <w:r w:rsidR="006C67BF" w:rsidRPr="005B0931">
          <w:rPr>
            <w:sz w:val="20"/>
            <w:szCs w:val="20"/>
          </w:rPr>
          <w:t>Reeves</w:t>
        </w:r>
        <w:r w:rsidR="002A6D47" w:rsidRPr="005B0931">
          <w:rPr>
            <w:sz w:val="20"/>
            <w:szCs w:val="20"/>
          </w:rPr>
          <w:t xml:space="preserve"> </w:t>
        </w:r>
        <w:r w:rsidR="006C67BF" w:rsidRPr="005B0931">
          <w:rPr>
            <w:sz w:val="20"/>
            <w:szCs w:val="20"/>
          </w:rPr>
          <w:t>M,</w:t>
        </w:r>
        <w:r w:rsidR="002A6D47" w:rsidRPr="005B0931">
          <w:rPr>
            <w:sz w:val="20"/>
            <w:szCs w:val="20"/>
          </w:rPr>
          <w:t xml:space="preserve"> </w:t>
        </w:r>
        <w:r w:rsidR="006C67BF" w:rsidRPr="005B0931">
          <w:rPr>
            <w:sz w:val="20"/>
            <w:szCs w:val="20"/>
          </w:rPr>
          <w:t>et</w:t>
        </w:r>
        <w:r w:rsidR="002A6D47" w:rsidRPr="005B0931">
          <w:rPr>
            <w:sz w:val="20"/>
            <w:szCs w:val="20"/>
          </w:rPr>
          <w:t xml:space="preserve"> </w:t>
        </w:r>
        <w:r w:rsidR="006C67BF" w:rsidRPr="005B0931">
          <w:rPr>
            <w:sz w:val="20"/>
            <w:szCs w:val="20"/>
          </w:rPr>
          <w:t>al.</w:t>
        </w:r>
        <w:r w:rsidR="002A6D47" w:rsidRPr="005B0931">
          <w:rPr>
            <w:sz w:val="20"/>
            <w:szCs w:val="20"/>
          </w:rPr>
          <w:t xml:space="preserve"> </w:t>
        </w:r>
        <w:r w:rsidR="006C67BF" w:rsidRPr="005B0931">
          <w:rPr>
            <w:sz w:val="20"/>
            <w:szCs w:val="20"/>
          </w:rPr>
          <w:t>Infarction</w:t>
        </w:r>
        <w:r w:rsidR="002A6D47" w:rsidRPr="005B0931">
          <w:rPr>
            <w:sz w:val="20"/>
            <w:szCs w:val="20"/>
          </w:rPr>
          <w:t xml:space="preserve"> </w:t>
        </w:r>
        <w:r w:rsidR="006C67BF" w:rsidRPr="005B0931">
          <w:rPr>
            <w:sz w:val="20"/>
            <w:szCs w:val="20"/>
          </w:rPr>
          <w:t>involving</w:t>
        </w:r>
        <w:r w:rsidR="002A6D47" w:rsidRPr="005B0931">
          <w:rPr>
            <w:sz w:val="20"/>
            <w:szCs w:val="20"/>
          </w:rPr>
          <w:t xml:space="preserve"> </w:t>
        </w:r>
        <w:r w:rsidR="006C67BF" w:rsidRPr="005B0931">
          <w:rPr>
            <w:sz w:val="20"/>
            <w:szCs w:val="20"/>
          </w:rPr>
          <w:t>the</w:t>
        </w:r>
        <w:r w:rsidR="002A6D47" w:rsidRPr="005B0931">
          <w:rPr>
            <w:sz w:val="20"/>
            <w:szCs w:val="20"/>
          </w:rPr>
          <w:t xml:space="preserve"> </w:t>
        </w:r>
        <w:proofErr w:type="spellStart"/>
        <w:r w:rsidR="006C67BF" w:rsidRPr="005B0931">
          <w:rPr>
            <w:sz w:val="20"/>
            <w:szCs w:val="20"/>
          </w:rPr>
          <w:t>insula</w:t>
        </w:r>
        <w:proofErr w:type="spellEnd"/>
        <w:r w:rsidR="002A6D47" w:rsidRPr="005B0931">
          <w:rPr>
            <w:sz w:val="20"/>
            <w:szCs w:val="20"/>
          </w:rPr>
          <w:t xml:space="preserve"> </w:t>
        </w:r>
        <w:r w:rsidR="006C67BF" w:rsidRPr="005B0931">
          <w:rPr>
            <w:sz w:val="20"/>
            <w:szCs w:val="20"/>
          </w:rPr>
          <w:t>and</w:t>
        </w:r>
        <w:r w:rsidR="002A6D47" w:rsidRPr="005B0931">
          <w:rPr>
            <w:sz w:val="20"/>
            <w:szCs w:val="20"/>
          </w:rPr>
          <w:t xml:space="preserve"> </w:t>
        </w:r>
        <w:r w:rsidR="006C67BF" w:rsidRPr="005B0931">
          <w:rPr>
            <w:sz w:val="20"/>
            <w:szCs w:val="20"/>
          </w:rPr>
          <w:t>risk</w:t>
        </w:r>
        <w:r w:rsidR="002A6D47" w:rsidRPr="005B0931">
          <w:rPr>
            <w:sz w:val="20"/>
            <w:szCs w:val="20"/>
          </w:rPr>
          <w:t xml:space="preserve"> </w:t>
        </w:r>
        <w:r w:rsidR="006C67BF" w:rsidRPr="005B0931">
          <w:rPr>
            <w:sz w:val="20"/>
            <w:szCs w:val="20"/>
          </w:rPr>
          <w:t>of</w:t>
        </w:r>
        <w:r w:rsidR="002A6D47" w:rsidRPr="005B0931">
          <w:rPr>
            <w:sz w:val="20"/>
            <w:szCs w:val="20"/>
          </w:rPr>
          <w:t xml:space="preserve"> </w:t>
        </w:r>
        <w:r w:rsidR="006C67BF" w:rsidRPr="005B0931">
          <w:rPr>
            <w:sz w:val="20"/>
            <w:szCs w:val="20"/>
          </w:rPr>
          <w:t>mortality</w:t>
        </w:r>
        <w:r w:rsidR="002A6D47" w:rsidRPr="005B0931">
          <w:rPr>
            <w:sz w:val="20"/>
            <w:szCs w:val="20"/>
          </w:rPr>
          <w:t xml:space="preserve"> </w:t>
        </w:r>
        <w:r w:rsidR="006C67BF" w:rsidRPr="005B0931">
          <w:rPr>
            <w:sz w:val="20"/>
            <w:szCs w:val="20"/>
          </w:rPr>
          <w:t>after</w:t>
        </w:r>
        <w:r w:rsidR="002A6D47" w:rsidRPr="005B0931">
          <w:rPr>
            <w:sz w:val="20"/>
            <w:szCs w:val="20"/>
          </w:rPr>
          <w:t xml:space="preserve"> </w:t>
        </w:r>
        <w:r w:rsidR="006C67BF" w:rsidRPr="005B0931">
          <w:rPr>
            <w:sz w:val="20"/>
            <w:szCs w:val="20"/>
          </w:rPr>
          <w:t>stroke.</w:t>
        </w:r>
        <w:r w:rsidR="002A6D47" w:rsidRPr="005B0931">
          <w:rPr>
            <w:sz w:val="20"/>
            <w:szCs w:val="20"/>
          </w:rPr>
          <w:t xml:space="preserve"> </w:t>
        </w:r>
        <w:proofErr w:type="spellStart"/>
        <w:r w:rsidR="006C67BF" w:rsidRPr="005B0931">
          <w:rPr>
            <w:sz w:val="20"/>
            <w:szCs w:val="20"/>
          </w:rPr>
          <w:t>Cerebrovasc</w:t>
        </w:r>
        <w:proofErr w:type="spellEnd"/>
        <w:r w:rsidR="002A6D47" w:rsidRPr="005B0931">
          <w:rPr>
            <w:sz w:val="20"/>
            <w:szCs w:val="20"/>
          </w:rPr>
          <w:t xml:space="preserve"> </w:t>
        </w:r>
        <w:proofErr w:type="spellStart"/>
        <w:r w:rsidR="006C67BF" w:rsidRPr="005B0931">
          <w:rPr>
            <w:sz w:val="20"/>
            <w:szCs w:val="20"/>
          </w:rPr>
          <w:t>Dis</w:t>
        </w:r>
        <w:proofErr w:type="spellEnd"/>
        <w:r w:rsidR="002A6D47" w:rsidRPr="005B0931">
          <w:rPr>
            <w:sz w:val="20"/>
            <w:szCs w:val="20"/>
          </w:rPr>
          <w:t xml:space="preserve"> </w:t>
        </w:r>
        <w:r w:rsidR="006C67BF" w:rsidRPr="005B0931">
          <w:rPr>
            <w:sz w:val="20"/>
            <w:szCs w:val="20"/>
          </w:rPr>
          <w:t>2009;</w:t>
        </w:r>
        <w:r w:rsidR="002A6D47" w:rsidRPr="005B0931">
          <w:rPr>
            <w:sz w:val="20"/>
            <w:szCs w:val="20"/>
          </w:rPr>
          <w:t xml:space="preserve"> </w:t>
        </w:r>
        <w:r w:rsidR="006C67BF" w:rsidRPr="005B0931">
          <w:rPr>
            <w:sz w:val="20"/>
            <w:szCs w:val="20"/>
          </w:rPr>
          <w:t>27:564.</w:t>
        </w:r>
      </w:hyperlink>
    </w:p>
    <w:p w:rsidR="006C67BF" w:rsidRPr="005B0931" w:rsidRDefault="00893D2E" w:rsidP="002A6D47">
      <w:pPr>
        <w:numPr>
          <w:ilvl w:val="0"/>
          <w:numId w:val="32"/>
        </w:numPr>
        <w:bidi w:val="0"/>
        <w:snapToGrid w:val="0"/>
        <w:ind w:left="425" w:hanging="425"/>
        <w:contextualSpacing/>
        <w:jc w:val="both"/>
        <w:rPr>
          <w:rFonts w:eastAsia="Calibri"/>
          <w:sz w:val="20"/>
          <w:szCs w:val="20"/>
        </w:rPr>
      </w:pPr>
      <w:hyperlink r:id="rId24" w:history="1">
        <w:r w:rsidR="006C67BF" w:rsidRPr="005B0931">
          <w:rPr>
            <w:sz w:val="20"/>
            <w:szCs w:val="20"/>
          </w:rPr>
          <w:t>S.</w:t>
        </w:r>
        <w:r w:rsidR="002A6D47" w:rsidRPr="005B0931">
          <w:rPr>
            <w:sz w:val="20"/>
            <w:szCs w:val="20"/>
          </w:rPr>
          <w:t xml:space="preserve"> </w:t>
        </w:r>
        <w:proofErr w:type="spellStart"/>
        <w:r w:rsidR="006C67BF" w:rsidRPr="005B0931">
          <w:rPr>
            <w:sz w:val="20"/>
            <w:szCs w:val="20"/>
          </w:rPr>
          <w:t>Purkayastha</w:t>
        </w:r>
        <w:proofErr w:type="spellEnd"/>
      </w:hyperlink>
      <w:r w:rsidR="006C67BF" w:rsidRPr="005B0931">
        <w:rPr>
          <w:sz w:val="20"/>
          <w:szCs w:val="20"/>
        </w:rPr>
        <w:t>,</w:t>
      </w:r>
      <w:r w:rsidR="002A6D47" w:rsidRPr="005B0931">
        <w:rPr>
          <w:sz w:val="20"/>
          <w:szCs w:val="20"/>
        </w:rPr>
        <w:t xml:space="preserve"> </w:t>
      </w:r>
      <w:r w:rsidR="006C67BF" w:rsidRPr="005B0931">
        <w:rPr>
          <w:sz w:val="20"/>
          <w:szCs w:val="20"/>
        </w:rPr>
        <w:t>and</w:t>
      </w:r>
      <w:r w:rsidR="002A6D47" w:rsidRPr="005B0931">
        <w:rPr>
          <w:sz w:val="20"/>
          <w:szCs w:val="20"/>
        </w:rPr>
        <w:t xml:space="preserve"> </w:t>
      </w:r>
      <w:hyperlink r:id="rId25" w:history="1">
        <w:r w:rsidR="006C67BF" w:rsidRPr="005B0931">
          <w:rPr>
            <w:sz w:val="20"/>
            <w:szCs w:val="20"/>
          </w:rPr>
          <w:t>F.</w:t>
        </w:r>
        <w:r w:rsidR="002A6D47" w:rsidRPr="005B0931">
          <w:rPr>
            <w:sz w:val="20"/>
            <w:szCs w:val="20"/>
          </w:rPr>
          <w:t xml:space="preserve"> </w:t>
        </w:r>
        <w:proofErr w:type="spellStart"/>
        <w:r w:rsidR="006C67BF" w:rsidRPr="005B0931">
          <w:rPr>
            <w:sz w:val="20"/>
            <w:szCs w:val="20"/>
          </w:rPr>
          <w:t>Sorond</w:t>
        </w:r>
        <w:proofErr w:type="spellEnd"/>
      </w:hyperlink>
      <w:r w:rsidR="002A6D47" w:rsidRPr="005B0931">
        <w:rPr>
          <w:rFonts w:eastAsia="Calibri"/>
          <w:sz w:val="20"/>
          <w:szCs w:val="20"/>
        </w:rPr>
        <w:t xml:space="preserve">, </w:t>
      </w:r>
      <w:proofErr w:type="spellStart"/>
      <w:r w:rsidR="002A6D47" w:rsidRPr="005B0931">
        <w:rPr>
          <w:sz w:val="20"/>
          <w:szCs w:val="20"/>
        </w:rPr>
        <w:t>T</w:t>
      </w:r>
      <w:r w:rsidR="006C67BF" w:rsidRPr="005B0931">
        <w:rPr>
          <w:sz w:val="20"/>
          <w:szCs w:val="20"/>
        </w:rPr>
        <w:t>ranscranial</w:t>
      </w:r>
      <w:proofErr w:type="spellEnd"/>
      <w:r w:rsidR="002A6D47" w:rsidRPr="005B0931">
        <w:rPr>
          <w:sz w:val="20"/>
          <w:szCs w:val="20"/>
        </w:rPr>
        <w:t xml:space="preserve"> </w:t>
      </w:r>
      <w:r w:rsidR="006C67BF" w:rsidRPr="005B0931">
        <w:rPr>
          <w:sz w:val="20"/>
          <w:szCs w:val="20"/>
        </w:rPr>
        <w:t>Doppler</w:t>
      </w:r>
      <w:r w:rsidR="002A6D47" w:rsidRPr="005B0931">
        <w:rPr>
          <w:sz w:val="20"/>
          <w:szCs w:val="20"/>
        </w:rPr>
        <w:t xml:space="preserve"> </w:t>
      </w:r>
      <w:r w:rsidR="006C67BF" w:rsidRPr="005B0931">
        <w:rPr>
          <w:sz w:val="20"/>
          <w:szCs w:val="20"/>
        </w:rPr>
        <w:t>Ultrasound:</w:t>
      </w:r>
      <w:r w:rsidR="002A6D47" w:rsidRPr="005B0931">
        <w:rPr>
          <w:sz w:val="20"/>
          <w:szCs w:val="20"/>
        </w:rPr>
        <w:t xml:space="preserve"> </w:t>
      </w:r>
      <w:r w:rsidR="006C67BF" w:rsidRPr="005B0931">
        <w:rPr>
          <w:sz w:val="20"/>
          <w:szCs w:val="20"/>
        </w:rPr>
        <w:t>Technique</w:t>
      </w:r>
      <w:r w:rsidR="002A6D47" w:rsidRPr="005B0931">
        <w:rPr>
          <w:sz w:val="20"/>
          <w:szCs w:val="20"/>
        </w:rPr>
        <w:t xml:space="preserve"> </w:t>
      </w:r>
      <w:r w:rsidR="006C67BF" w:rsidRPr="005B0931">
        <w:rPr>
          <w:sz w:val="20"/>
          <w:szCs w:val="20"/>
        </w:rPr>
        <w:t>and</w:t>
      </w:r>
      <w:r w:rsidR="002A6D47" w:rsidRPr="005B0931">
        <w:rPr>
          <w:sz w:val="20"/>
          <w:szCs w:val="20"/>
        </w:rPr>
        <w:t xml:space="preserve"> </w:t>
      </w:r>
      <w:r w:rsidR="006C67BF" w:rsidRPr="005B0931">
        <w:rPr>
          <w:sz w:val="20"/>
          <w:szCs w:val="20"/>
        </w:rPr>
        <w:t>Application</w:t>
      </w:r>
      <w:r w:rsidR="002A6D47" w:rsidRPr="005B0931">
        <w:rPr>
          <w:sz w:val="20"/>
          <w:szCs w:val="20"/>
        </w:rPr>
        <w:t xml:space="preserve">, </w:t>
      </w:r>
      <w:hyperlink r:id="rId26" w:tgtFrame="pmc_ext" w:history="1">
        <w:proofErr w:type="spellStart"/>
        <w:r w:rsidR="006C67BF" w:rsidRPr="005B0931">
          <w:rPr>
            <w:sz w:val="20"/>
            <w:szCs w:val="20"/>
          </w:rPr>
          <w:t>Semin</w:t>
        </w:r>
        <w:proofErr w:type="spellEnd"/>
        <w:r w:rsidR="002A6D47" w:rsidRPr="005B0931">
          <w:rPr>
            <w:sz w:val="20"/>
            <w:szCs w:val="20"/>
          </w:rPr>
          <w:t xml:space="preserve"> </w:t>
        </w:r>
        <w:r w:rsidR="006C67BF" w:rsidRPr="005B0931">
          <w:rPr>
            <w:sz w:val="20"/>
            <w:szCs w:val="20"/>
          </w:rPr>
          <w:t>Neurol.</w:t>
        </w:r>
        <w:r w:rsidR="002A6D47" w:rsidRPr="005B0931">
          <w:rPr>
            <w:sz w:val="20"/>
            <w:szCs w:val="20"/>
          </w:rPr>
          <w:t xml:space="preserve"> </w:t>
        </w:r>
        <w:r w:rsidR="006C67BF" w:rsidRPr="005B0931">
          <w:rPr>
            <w:sz w:val="20"/>
            <w:szCs w:val="20"/>
          </w:rPr>
          <w:t>2012</w:t>
        </w:r>
        <w:r w:rsidR="002A6D47" w:rsidRPr="005B0931">
          <w:rPr>
            <w:sz w:val="20"/>
            <w:szCs w:val="20"/>
          </w:rPr>
          <w:t xml:space="preserve"> </w:t>
        </w:r>
        <w:r w:rsidR="006C67BF" w:rsidRPr="005B0931">
          <w:rPr>
            <w:sz w:val="20"/>
            <w:szCs w:val="20"/>
          </w:rPr>
          <w:t>Sep;</w:t>
        </w:r>
        <w:r w:rsidR="002A6D47" w:rsidRPr="005B0931">
          <w:rPr>
            <w:sz w:val="20"/>
            <w:szCs w:val="20"/>
          </w:rPr>
          <w:t xml:space="preserve"> </w:t>
        </w:r>
        <w:r w:rsidR="006C67BF" w:rsidRPr="005B0931">
          <w:rPr>
            <w:sz w:val="20"/>
            <w:szCs w:val="20"/>
          </w:rPr>
          <w:t>32(4):</w:t>
        </w:r>
        <w:r w:rsidR="002A6D47" w:rsidRPr="005B0931">
          <w:rPr>
            <w:sz w:val="20"/>
            <w:szCs w:val="20"/>
          </w:rPr>
          <w:t xml:space="preserve"> </w:t>
        </w:r>
        <w:r w:rsidR="006C67BF" w:rsidRPr="005B0931">
          <w:rPr>
            <w:sz w:val="20"/>
            <w:szCs w:val="20"/>
          </w:rPr>
          <w:t>411–420</w:t>
        </w:r>
      </w:hyperlink>
      <w:r w:rsidR="006C67BF" w:rsidRPr="005B0931">
        <w:rPr>
          <w:sz w:val="20"/>
          <w:szCs w:val="20"/>
        </w:rPr>
        <w:t>.</w:t>
      </w:r>
    </w:p>
    <w:p w:rsidR="006C67BF" w:rsidRPr="005B0931" w:rsidRDefault="006C67BF" w:rsidP="002A6D47">
      <w:pPr>
        <w:numPr>
          <w:ilvl w:val="0"/>
          <w:numId w:val="32"/>
        </w:numPr>
        <w:bidi w:val="0"/>
        <w:snapToGrid w:val="0"/>
        <w:ind w:left="425" w:hanging="425"/>
        <w:contextualSpacing/>
        <w:jc w:val="both"/>
        <w:rPr>
          <w:rFonts w:eastAsia="Calibri"/>
          <w:sz w:val="20"/>
          <w:szCs w:val="20"/>
        </w:rPr>
      </w:pPr>
      <w:proofErr w:type="spellStart"/>
      <w:r w:rsidRPr="005B0931">
        <w:rPr>
          <w:sz w:val="20"/>
          <w:szCs w:val="20"/>
        </w:rPr>
        <w:t>D’Andre</w:t>
      </w:r>
      <w:r w:rsidR="002A6D47" w:rsidRPr="005B0931">
        <w:rPr>
          <w:sz w:val="20"/>
          <w:szCs w:val="20"/>
        </w:rPr>
        <w:t>a</w:t>
      </w:r>
      <w:proofErr w:type="spellEnd"/>
      <w:r w:rsidR="002A6D47" w:rsidRPr="005B0931">
        <w:rPr>
          <w:sz w:val="20"/>
          <w:szCs w:val="20"/>
        </w:rPr>
        <w:t xml:space="preserve"> A, C</w:t>
      </w:r>
      <w:r w:rsidRPr="005B0931">
        <w:rPr>
          <w:sz w:val="20"/>
          <w:szCs w:val="20"/>
        </w:rPr>
        <w:t>ont</w:t>
      </w:r>
      <w:r w:rsidR="002A6D47" w:rsidRPr="005B0931">
        <w:rPr>
          <w:sz w:val="20"/>
          <w:szCs w:val="20"/>
        </w:rPr>
        <w:t xml:space="preserve">e M, </w:t>
      </w:r>
      <w:proofErr w:type="spellStart"/>
      <w:r w:rsidR="002A6D47" w:rsidRPr="005B0931">
        <w:rPr>
          <w:sz w:val="20"/>
          <w:szCs w:val="20"/>
        </w:rPr>
        <w:t>S</w:t>
      </w:r>
      <w:r w:rsidRPr="005B0931">
        <w:rPr>
          <w:sz w:val="20"/>
          <w:szCs w:val="20"/>
        </w:rPr>
        <w:t>carafil</w:t>
      </w:r>
      <w:r w:rsidR="002A6D47" w:rsidRPr="005B0931">
        <w:rPr>
          <w:sz w:val="20"/>
          <w:szCs w:val="20"/>
        </w:rPr>
        <w:t>e</w:t>
      </w:r>
      <w:proofErr w:type="spellEnd"/>
      <w:r w:rsidR="002A6D47" w:rsidRPr="005B0931">
        <w:rPr>
          <w:sz w:val="20"/>
          <w:szCs w:val="20"/>
        </w:rPr>
        <w:t xml:space="preserve"> R, </w:t>
      </w:r>
      <w:proofErr w:type="spellStart"/>
      <w:r w:rsidR="002A6D47" w:rsidRPr="005B0931">
        <w:rPr>
          <w:sz w:val="20"/>
          <w:szCs w:val="20"/>
        </w:rPr>
        <w:t>R</w:t>
      </w:r>
      <w:r w:rsidRPr="005B0931">
        <w:rPr>
          <w:sz w:val="20"/>
          <w:szCs w:val="20"/>
        </w:rPr>
        <w:t>iegle</w:t>
      </w:r>
      <w:r w:rsidR="002A6D47" w:rsidRPr="005B0931">
        <w:rPr>
          <w:sz w:val="20"/>
          <w:szCs w:val="20"/>
        </w:rPr>
        <w:t>r</w:t>
      </w:r>
      <w:proofErr w:type="spellEnd"/>
      <w:r w:rsidR="002A6D47" w:rsidRPr="005B0931">
        <w:rPr>
          <w:sz w:val="20"/>
          <w:szCs w:val="20"/>
        </w:rPr>
        <w:t xml:space="preserve"> L, </w:t>
      </w:r>
      <w:proofErr w:type="spellStart"/>
      <w:r w:rsidR="002A6D47" w:rsidRPr="005B0931">
        <w:rPr>
          <w:sz w:val="20"/>
          <w:szCs w:val="20"/>
        </w:rPr>
        <w:t>C</w:t>
      </w:r>
      <w:r w:rsidRPr="005B0931">
        <w:rPr>
          <w:sz w:val="20"/>
          <w:szCs w:val="20"/>
        </w:rPr>
        <w:t>occhia</w:t>
      </w:r>
      <w:proofErr w:type="spellEnd"/>
      <w:r w:rsidR="002A6D47" w:rsidRPr="005B0931">
        <w:rPr>
          <w:sz w:val="20"/>
          <w:szCs w:val="20"/>
        </w:rPr>
        <w:t xml:space="preserve"> </w:t>
      </w:r>
      <w:r w:rsidRPr="005B0931">
        <w:rPr>
          <w:sz w:val="20"/>
          <w:szCs w:val="20"/>
        </w:rPr>
        <w:t>R,</w:t>
      </w:r>
      <w:r w:rsidR="002A6D47" w:rsidRPr="005B0931">
        <w:rPr>
          <w:sz w:val="20"/>
          <w:szCs w:val="20"/>
        </w:rPr>
        <w:t xml:space="preserve"> </w:t>
      </w:r>
      <w:proofErr w:type="spellStart"/>
      <w:r w:rsidRPr="005B0931">
        <w:rPr>
          <w:sz w:val="20"/>
          <w:szCs w:val="20"/>
        </w:rPr>
        <w:t>Pezzull</w:t>
      </w:r>
      <w:r w:rsidR="002A6D47" w:rsidRPr="005B0931">
        <w:rPr>
          <w:sz w:val="20"/>
          <w:szCs w:val="20"/>
        </w:rPr>
        <w:t>o</w:t>
      </w:r>
      <w:proofErr w:type="spellEnd"/>
      <w:r w:rsidR="002A6D47" w:rsidRPr="005B0931">
        <w:rPr>
          <w:sz w:val="20"/>
          <w:szCs w:val="20"/>
        </w:rPr>
        <w:t xml:space="preserve"> E, </w:t>
      </w:r>
      <w:proofErr w:type="spellStart"/>
      <w:r w:rsidR="002A6D47" w:rsidRPr="005B0931">
        <w:rPr>
          <w:sz w:val="20"/>
          <w:szCs w:val="20"/>
        </w:rPr>
        <w:t>C</w:t>
      </w:r>
      <w:r w:rsidRPr="005B0931">
        <w:rPr>
          <w:sz w:val="20"/>
          <w:szCs w:val="20"/>
        </w:rPr>
        <w:t>avallar</w:t>
      </w:r>
      <w:r w:rsidR="002A6D47" w:rsidRPr="005B0931">
        <w:rPr>
          <w:sz w:val="20"/>
          <w:szCs w:val="20"/>
        </w:rPr>
        <w:t>o</w:t>
      </w:r>
      <w:proofErr w:type="spellEnd"/>
      <w:r w:rsidR="002A6D47" w:rsidRPr="005B0931">
        <w:rPr>
          <w:sz w:val="20"/>
          <w:szCs w:val="20"/>
        </w:rPr>
        <w:t xml:space="preserve"> M, C</w:t>
      </w:r>
      <w:r w:rsidRPr="005B0931">
        <w:rPr>
          <w:sz w:val="20"/>
          <w:szCs w:val="20"/>
        </w:rPr>
        <w:t>arbon</w:t>
      </w:r>
      <w:r w:rsidR="002A6D47" w:rsidRPr="005B0931">
        <w:rPr>
          <w:sz w:val="20"/>
          <w:szCs w:val="20"/>
        </w:rPr>
        <w:t xml:space="preserve">e A, </w:t>
      </w:r>
      <w:proofErr w:type="spellStart"/>
      <w:r w:rsidR="002A6D47" w:rsidRPr="005B0931">
        <w:rPr>
          <w:sz w:val="20"/>
          <w:szCs w:val="20"/>
        </w:rPr>
        <w:t>N</w:t>
      </w:r>
      <w:r w:rsidRPr="005B0931">
        <w:rPr>
          <w:sz w:val="20"/>
          <w:szCs w:val="20"/>
        </w:rPr>
        <w:t>atal</w:t>
      </w:r>
      <w:r w:rsidR="002A6D47" w:rsidRPr="005B0931">
        <w:rPr>
          <w:sz w:val="20"/>
          <w:szCs w:val="20"/>
        </w:rPr>
        <w:t>e</w:t>
      </w:r>
      <w:proofErr w:type="spellEnd"/>
      <w:r w:rsidR="002A6D47" w:rsidRPr="005B0931">
        <w:rPr>
          <w:sz w:val="20"/>
          <w:szCs w:val="20"/>
        </w:rPr>
        <w:t xml:space="preserve"> F, R</w:t>
      </w:r>
      <w:r w:rsidRPr="005B0931">
        <w:rPr>
          <w:sz w:val="20"/>
          <w:szCs w:val="20"/>
        </w:rPr>
        <w:t>usso</w:t>
      </w:r>
      <w:r w:rsidR="002A6D47" w:rsidRPr="005B0931">
        <w:rPr>
          <w:sz w:val="20"/>
          <w:szCs w:val="20"/>
        </w:rPr>
        <w:t xml:space="preserve"> </w:t>
      </w:r>
      <w:r w:rsidRPr="005B0931">
        <w:rPr>
          <w:sz w:val="20"/>
          <w:szCs w:val="20"/>
        </w:rPr>
        <w:t>MG,</w:t>
      </w:r>
      <w:r w:rsidR="002A6D47" w:rsidRPr="005B0931">
        <w:rPr>
          <w:sz w:val="20"/>
          <w:szCs w:val="20"/>
        </w:rPr>
        <w:t xml:space="preserve"> </w:t>
      </w:r>
      <w:r w:rsidRPr="005B0931">
        <w:rPr>
          <w:sz w:val="20"/>
          <w:szCs w:val="20"/>
        </w:rPr>
        <w:t>Gregorio</w:t>
      </w:r>
      <w:r w:rsidR="002A6D47" w:rsidRPr="005B0931">
        <w:rPr>
          <w:sz w:val="20"/>
          <w:szCs w:val="20"/>
        </w:rPr>
        <w:t xml:space="preserve"> </w:t>
      </w:r>
      <w:r w:rsidRPr="005B0931">
        <w:rPr>
          <w:sz w:val="20"/>
          <w:szCs w:val="20"/>
        </w:rPr>
        <w:t>G,</w:t>
      </w:r>
      <w:r w:rsidR="002A6D47" w:rsidRPr="005B0931">
        <w:rPr>
          <w:sz w:val="20"/>
          <w:szCs w:val="20"/>
        </w:rPr>
        <w:t xml:space="preserve"> </w:t>
      </w:r>
      <w:proofErr w:type="spellStart"/>
      <w:r w:rsidRPr="005B0931">
        <w:rPr>
          <w:sz w:val="20"/>
          <w:szCs w:val="20"/>
        </w:rPr>
        <w:t>Calabro</w:t>
      </w:r>
      <w:proofErr w:type="spellEnd"/>
      <w:r w:rsidR="002A6D47" w:rsidRPr="005B0931">
        <w:rPr>
          <w:sz w:val="20"/>
          <w:szCs w:val="20"/>
        </w:rPr>
        <w:t xml:space="preserve"> </w:t>
      </w:r>
      <w:r w:rsidRPr="005B0931">
        <w:rPr>
          <w:sz w:val="20"/>
          <w:szCs w:val="20"/>
        </w:rPr>
        <w:t>R</w:t>
      </w:r>
      <w:r w:rsidR="002A6D47" w:rsidRPr="005B0931">
        <w:rPr>
          <w:sz w:val="20"/>
          <w:szCs w:val="20"/>
        </w:rPr>
        <w:t xml:space="preserve">. </w:t>
      </w:r>
      <w:proofErr w:type="spellStart"/>
      <w:r w:rsidR="002A6D47" w:rsidRPr="005B0931">
        <w:rPr>
          <w:sz w:val="20"/>
          <w:szCs w:val="20"/>
        </w:rPr>
        <w:t>T</w:t>
      </w:r>
      <w:r w:rsidRPr="005B0931">
        <w:rPr>
          <w:sz w:val="20"/>
          <w:szCs w:val="20"/>
        </w:rPr>
        <w:t>ranscranial</w:t>
      </w:r>
      <w:proofErr w:type="spellEnd"/>
      <w:r w:rsidR="002A6D47" w:rsidRPr="005B0931">
        <w:rPr>
          <w:sz w:val="20"/>
          <w:szCs w:val="20"/>
        </w:rPr>
        <w:t xml:space="preserve"> </w:t>
      </w:r>
      <w:r w:rsidRPr="005B0931">
        <w:rPr>
          <w:sz w:val="20"/>
          <w:szCs w:val="20"/>
        </w:rPr>
        <w:t>Doppler</w:t>
      </w:r>
      <w:r w:rsidR="002A6D47" w:rsidRPr="005B0931">
        <w:rPr>
          <w:sz w:val="20"/>
          <w:szCs w:val="20"/>
        </w:rPr>
        <w:t xml:space="preserve"> </w:t>
      </w:r>
      <w:r w:rsidRPr="005B0931">
        <w:rPr>
          <w:sz w:val="20"/>
          <w:szCs w:val="20"/>
        </w:rPr>
        <w:t>ultrasound</w:t>
      </w:r>
      <w:r w:rsidR="002A6D47" w:rsidRPr="005B0931">
        <w:rPr>
          <w:sz w:val="20"/>
          <w:szCs w:val="20"/>
        </w:rPr>
        <w:t>: p</w:t>
      </w:r>
      <w:r w:rsidRPr="005B0931">
        <w:rPr>
          <w:sz w:val="20"/>
          <w:szCs w:val="20"/>
        </w:rPr>
        <w:t>hysical</w:t>
      </w:r>
      <w:r w:rsidR="002A6D47" w:rsidRPr="005B0931">
        <w:rPr>
          <w:sz w:val="20"/>
          <w:szCs w:val="20"/>
        </w:rPr>
        <w:t xml:space="preserve"> </w:t>
      </w:r>
      <w:r w:rsidRPr="005B0931">
        <w:rPr>
          <w:sz w:val="20"/>
          <w:szCs w:val="20"/>
        </w:rPr>
        <w:t>principles</w:t>
      </w:r>
      <w:r w:rsidR="002A6D47" w:rsidRPr="005B0931">
        <w:rPr>
          <w:sz w:val="20"/>
          <w:szCs w:val="20"/>
        </w:rPr>
        <w:t xml:space="preserve"> </w:t>
      </w:r>
      <w:r w:rsidRPr="005B0931">
        <w:rPr>
          <w:sz w:val="20"/>
          <w:szCs w:val="20"/>
        </w:rPr>
        <w:t>and</w:t>
      </w:r>
      <w:r w:rsidR="002A6D47" w:rsidRPr="005B0931">
        <w:rPr>
          <w:sz w:val="20"/>
          <w:szCs w:val="20"/>
        </w:rPr>
        <w:t xml:space="preserve"> </w:t>
      </w:r>
      <w:r w:rsidRPr="005B0931">
        <w:rPr>
          <w:sz w:val="20"/>
          <w:szCs w:val="20"/>
        </w:rPr>
        <w:t>principal</w:t>
      </w:r>
      <w:r w:rsidR="002A6D47" w:rsidRPr="005B0931">
        <w:rPr>
          <w:sz w:val="20"/>
          <w:szCs w:val="20"/>
        </w:rPr>
        <w:t xml:space="preserve"> </w:t>
      </w:r>
      <w:r w:rsidRPr="005B0931">
        <w:rPr>
          <w:sz w:val="20"/>
          <w:szCs w:val="20"/>
        </w:rPr>
        <w:t>applications</w:t>
      </w:r>
      <w:r w:rsidR="002A6D47" w:rsidRPr="005B0931">
        <w:rPr>
          <w:sz w:val="20"/>
          <w:szCs w:val="20"/>
        </w:rPr>
        <w:t xml:space="preserve"> </w:t>
      </w:r>
      <w:r w:rsidRPr="005B0931">
        <w:rPr>
          <w:sz w:val="20"/>
          <w:szCs w:val="20"/>
        </w:rPr>
        <w:t>in</w:t>
      </w:r>
      <w:r w:rsidR="002A6D47" w:rsidRPr="005B0931">
        <w:rPr>
          <w:sz w:val="20"/>
          <w:szCs w:val="20"/>
        </w:rPr>
        <w:t xml:space="preserve"> </w:t>
      </w:r>
      <w:proofErr w:type="spellStart"/>
      <w:r w:rsidRPr="005B0931">
        <w:rPr>
          <w:sz w:val="20"/>
          <w:szCs w:val="20"/>
        </w:rPr>
        <w:lastRenderedPageBreak/>
        <w:t>Neurocritical</w:t>
      </w:r>
      <w:proofErr w:type="spellEnd"/>
      <w:r w:rsidR="002A6D47" w:rsidRPr="005B0931">
        <w:rPr>
          <w:sz w:val="20"/>
          <w:szCs w:val="20"/>
        </w:rPr>
        <w:t xml:space="preserve"> </w:t>
      </w:r>
      <w:r w:rsidRPr="005B0931">
        <w:rPr>
          <w:sz w:val="20"/>
          <w:szCs w:val="20"/>
        </w:rPr>
        <w:t>care</w:t>
      </w:r>
      <w:r w:rsidR="002A6D47" w:rsidRPr="005B0931">
        <w:rPr>
          <w:sz w:val="20"/>
          <w:szCs w:val="20"/>
        </w:rPr>
        <w:t xml:space="preserve"> </w:t>
      </w:r>
      <w:r w:rsidRPr="005B0931">
        <w:rPr>
          <w:sz w:val="20"/>
          <w:szCs w:val="20"/>
        </w:rPr>
        <w:t>unit</w:t>
      </w:r>
      <w:r w:rsidR="002A6D47" w:rsidRPr="005B0931">
        <w:rPr>
          <w:sz w:val="20"/>
          <w:szCs w:val="20"/>
        </w:rPr>
        <w:t xml:space="preserve">, J </w:t>
      </w:r>
      <w:proofErr w:type="spellStart"/>
      <w:r w:rsidRPr="005B0931">
        <w:rPr>
          <w:sz w:val="20"/>
          <w:szCs w:val="20"/>
        </w:rPr>
        <w:t>Cardiovasc</w:t>
      </w:r>
      <w:proofErr w:type="spellEnd"/>
      <w:r w:rsidR="002A6D47" w:rsidRPr="005B0931">
        <w:rPr>
          <w:sz w:val="20"/>
          <w:szCs w:val="20"/>
        </w:rPr>
        <w:t xml:space="preserve"> </w:t>
      </w:r>
      <w:proofErr w:type="spellStart"/>
      <w:r w:rsidRPr="005B0931">
        <w:rPr>
          <w:sz w:val="20"/>
          <w:szCs w:val="20"/>
        </w:rPr>
        <w:t>Echography</w:t>
      </w:r>
      <w:proofErr w:type="spellEnd"/>
      <w:r w:rsidR="002A6D47" w:rsidRPr="005B0931">
        <w:rPr>
          <w:sz w:val="20"/>
          <w:szCs w:val="20"/>
        </w:rPr>
        <w:t xml:space="preserve"> </w:t>
      </w:r>
      <w:r w:rsidRPr="005B0931">
        <w:rPr>
          <w:sz w:val="20"/>
          <w:szCs w:val="20"/>
        </w:rPr>
        <w:t>2016;26:28-41.</w:t>
      </w:r>
    </w:p>
    <w:p w:rsidR="006C67BF" w:rsidRPr="005B0931" w:rsidRDefault="006C67BF" w:rsidP="002A6D47">
      <w:pPr>
        <w:numPr>
          <w:ilvl w:val="0"/>
          <w:numId w:val="32"/>
        </w:numPr>
        <w:bidi w:val="0"/>
        <w:snapToGrid w:val="0"/>
        <w:ind w:left="425" w:hanging="425"/>
        <w:contextualSpacing/>
        <w:jc w:val="both"/>
        <w:rPr>
          <w:rFonts w:eastAsia="Calibri"/>
          <w:sz w:val="20"/>
          <w:szCs w:val="20"/>
        </w:rPr>
      </w:pPr>
      <w:proofErr w:type="spellStart"/>
      <w:r w:rsidRPr="005B0931">
        <w:rPr>
          <w:rFonts w:eastAsia="Calibri"/>
          <w:color w:val="000000"/>
          <w:sz w:val="20"/>
          <w:szCs w:val="20"/>
          <w:shd w:val="clear" w:color="auto" w:fill="FFFFFF"/>
        </w:rPr>
        <w:t>Nicoletto</w:t>
      </w:r>
      <w:proofErr w:type="spellEnd"/>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HA,</w:t>
      </w:r>
      <w:r w:rsidR="002A6D47" w:rsidRPr="005B0931">
        <w:rPr>
          <w:rFonts w:eastAsia="Calibri"/>
          <w:color w:val="000000"/>
          <w:sz w:val="20"/>
          <w:szCs w:val="20"/>
          <w:shd w:val="clear" w:color="auto" w:fill="FFFFFF"/>
        </w:rPr>
        <w:t xml:space="preserve"> </w:t>
      </w:r>
      <w:proofErr w:type="spellStart"/>
      <w:r w:rsidRPr="005B0931">
        <w:rPr>
          <w:rFonts w:eastAsia="Calibri"/>
          <w:color w:val="000000"/>
          <w:sz w:val="20"/>
          <w:szCs w:val="20"/>
          <w:shd w:val="clear" w:color="auto" w:fill="FFFFFF"/>
        </w:rPr>
        <w:t>Burkman</w:t>
      </w:r>
      <w:proofErr w:type="spellEnd"/>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MH.</w:t>
      </w:r>
      <w:r w:rsidR="002A6D47" w:rsidRPr="005B0931">
        <w:rPr>
          <w:rFonts w:eastAsia="Calibri"/>
          <w:color w:val="000000"/>
          <w:sz w:val="20"/>
          <w:szCs w:val="20"/>
          <w:shd w:val="clear" w:color="auto" w:fill="FFFFFF"/>
        </w:rPr>
        <w:t xml:space="preserve"> </w:t>
      </w:r>
      <w:proofErr w:type="spellStart"/>
      <w:r w:rsidRPr="005B0931">
        <w:rPr>
          <w:rFonts w:eastAsia="Calibri"/>
          <w:color w:val="000000"/>
          <w:sz w:val="20"/>
          <w:szCs w:val="20"/>
          <w:shd w:val="clear" w:color="auto" w:fill="FFFFFF"/>
        </w:rPr>
        <w:t>Transcranial</w:t>
      </w:r>
      <w:proofErr w:type="spellEnd"/>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Doppler</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series</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part</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II:</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Performing</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a</w:t>
      </w:r>
      <w:r w:rsidR="002A6D47" w:rsidRPr="005B0931">
        <w:rPr>
          <w:rFonts w:eastAsia="Calibri"/>
          <w:color w:val="000000"/>
          <w:sz w:val="20"/>
          <w:szCs w:val="20"/>
          <w:shd w:val="clear" w:color="auto" w:fill="FFFFFF"/>
        </w:rPr>
        <w:t xml:space="preserve"> </w:t>
      </w:r>
      <w:proofErr w:type="spellStart"/>
      <w:r w:rsidRPr="005B0931">
        <w:rPr>
          <w:rFonts w:eastAsia="Calibri"/>
          <w:color w:val="000000"/>
          <w:sz w:val="20"/>
          <w:szCs w:val="20"/>
          <w:shd w:val="clear" w:color="auto" w:fill="FFFFFF"/>
        </w:rPr>
        <w:t>transcranial</w:t>
      </w:r>
      <w:proofErr w:type="spellEnd"/>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Doppler.</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Am</w:t>
      </w:r>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J</w:t>
      </w:r>
      <w:r w:rsidR="002A6D47" w:rsidRPr="005B0931">
        <w:rPr>
          <w:rFonts w:eastAsia="Calibri"/>
          <w:color w:val="000000"/>
          <w:sz w:val="20"/>
          <w:szCs w:val="20"/>
          <w:shd w:val="clear" w:color="auto" w:fill="FFFFFF"/>
        </w:rPr>
        <w:t xml:space="preserve"> </w:t>
      </w:r>
      <w:proofErr w:type="spellStart"/>
      <w:r w:rsidRPr="005B0931">
        <w:rPr>
          <w:rFonts w:eastAsia="Calibri"/>
          <w:color w:val="000000"/>
          <w:sz w:val="20"/>
          <w:szCs w:val="20"/>
          <w:shd w:val="clear" w:color="auto" w:fill="FFFFFF"/>
        </w:rPr>
        <w:t>Electroneurodiagnosti</w:t>
      </w:r>
      <w:r w:rsidR="002A6D47" w:rsidRPr="005B0931">
        <w:rPr>
          <w:rFonts w:eastAsia="Calibri"/>
          <w:color w:val="000000"/>
          <w:sz w:val="20"/>
          <w:szCs w:val="20"/>
          <w:shd w:val="clear" w:color="auto" w:fill="FFFFFF"/>
        </w:rPr>
        <w:t>c</w:t>
      </w:r>
      <w:proofErr w:type="spellEnd"/>
      <w:r w:rsidR="002A6D47" w:rsidRPr="005B0931">
        <w:rPr>
          <w:rFonts w:eastAsia="Calibri"/>
          <w:color w:val="000000"/>
          <w:sz w:val="20"/>
          <w:szCs w:val="20"/>
          <w:shd w:val="clear" w:color="auto" w:fill="FFFFFF"/>
        </w:rPr>
        <w:t xml:space="preserve"> </w:t>
      </w:r>
      <w:proofErr w:type="spellStart"/>
      <w:r w:rsidR="002A6D47" w:rsidRPr="005B0931">
        <w:rPr>
          <w:rFonts w:eastAsia="Calibri"/>
          <w:color w:val="000000"/>
          <w:sz w:val="20"/>
          <w:szCs w:val="20"/>
          <w:shd w:val="clear" w:color="auto" w:fill="FFFFFF"/>
        </w:rPr>
        <w:t>T</w:t>
      </w:r>
      <w:r w:rsidRPr="005B0931">
        <w:rPr>
          <w:rFonts w:eastAsia="Calibri"/>
          <w:color w:val="000000"/>
          <w:sz w:val="20"/>
          <w:szCs w:val="20"/>
          <w:shd w:val="clear" w:color="auto" w:fill="FFFFFF"/>
        </w:rPr>
        <w:t>echnol</w:t>
      </w:r>
      <w:proofErr w:type="spellEnd"/>
      <w:r w:rsidR="002A6D47" w:rsidRPr="005B0931">
        <w:rPr>
          <w:rFonts w:eastAsia="Calibri"/>
          <w:color w:val="000000"/>
          <w:sz w:val="20"/>
          <w:szCs w:val="20"/>
          <w:shd w:val="clear" w:color="auto" w:fill="FFFFFF"/>
        </w:rPr>
        <w:t xml:space="preserve"> </w:t>
      </w:r>
      <w:r w:rsidRPr="005B0931">
        <w:rPr>
          <w:rFonts w:eastAsia="Calibri"/>
          <w:color w:val="000000"/>
          <w:sz w:val="20"/>
          <w:szCs w:val="20"/>
          <w:shd w:val="clear" w:color="auto" w:fill="FFFFFF"/>
        </w:rPr>
        <w:t>2009;49:14-27.</w:t>
      </w:r>
    </w:p>
    <w:p w:rsidR="006C67BF" w:rsidRPr="005B0931" w:rsidRDefault="006C67BF" w:rsidP="002A6D47">
      <w:pPr>
        <w:numPr>
          <w:ilvl w:val="0"/>
          <w:numId w:val="32"/>
        </w:numPr>
        <w:bidi w:val="0"/>
        <w:snapToGrid w:val="0"/>
        <w:ind w:left="425" w:hanging="425"/>
        <w:contextualSpacing/>
        <w:jc w:val="both"/>
        <w:rPr>
          <w:rFonts w:eastAsia="Calibri"/>
          <w:sz w:val="20"/>
          <w:szCs w:val="20"/>
        </w:rPr>
      </w:pPr>
      <w:proofErr w:type="spellStart"/>
      <w:r w:rsidRPr="005B0931">
        <w:rPr>
          <w:rFonts w:eastAsia="Calibri"/>
          <w:sz w:val="20"/>
          <w:szCs w:val="20"/>
          <w:shd w:val="clear" w:color="auto" w:fill="FFFFFF"/>
        </w:rPr>
        <w:t>Vriens</w:t>
      </w:r>
      <w:proofErr w:type="spellEnd"/>
      <w:r w:rsidR="002A6D47" w:rsidRPr="005B0931">
        <w:rPr>
          <w:rFonts w:eastAsia="Calibri"/>
          <w:sz w:val="20"/>
          <w:szCs w:val="20"/>
          <w:shd w:val="clear" w:color="auto" w:fill="FFFFFF"/>
        </w:rPr>
        <w:t xml:space="preserve"> </w:t>
      </w:r>
      <w:r w:rsidRPr="005B0931">
        <w:rPr>
          <w:rFonts w:eastAsia="Calibri"/>
          <w:sz w:val="20"/>
          <w:szCs w:val="20"/>
          <w:shd w:val="clear" w:color="auto" w:fill="FFFFFF"/>
        </w:rPr>
        <w:t>EM,</w:t>
      </w:r>
      <w:r w:rsidR="002A6D47" w:rsidRPr="005B0931">
        <w:rPr>
          <w:rFonts w:eastAsia="Calibri"/>
          <w:sz w:val="20"/>
          <w:szCs w:val="20"/>
          <w:shd w:val="clear" w:color="auto" w:fill="FFFFFF"/>
        </w:rPr>
        <w:t xml:space="preserve"> </w:t>
      </w:r>
      <w:proofErr w:type="spellStart"/>
      <w:r w:rsidRPr="005B0931">
        <w:rPr>
          <w:rFonts w:eastAsia="Calibri"/>
          <w:sz w:val="20"/>
          <w:szCs w:val="20"/>
          <w:shd w:val="clear" w:color="auto" w:fill="FFFFFF"/>
        </w:rPr>
        <w:t>Kraaier</w:t>
      </w:r>
      <w:proofErr w:type="spellEnd"/>
      <w:r w:rsidR="002A6D47" w:rsidRPr="005B0931">
        <w:rPr>
          <w:rFonts w:eastAsia="Calibri"/>
          <w:sz w:val="20"/>
          <w:szCs w:val="20"/>
          <w:shd w:val="clear" w:color="auto" w:fill="FFFFFF"/>
        </w:rPr>
        <w:t xml:space="preserve"> </w:t>
      </w:r>
      <w:r w:rsidRPr="005B0931">
        <w:rPr>
          <w:rFonts w:eastAsia="Calibri"/>
          <w:sz w:val="20"/>
          <w:szCs w:val="20"/>
          <w:shd w:val="clear" w:color="auto" w:fill="FFFFFF"/>
        </w:rPr>
        <w:t>V,</w:t>
      </w:r>
      <w:r w:rsidR="002A6D47" w:rsidRPr="005B0931">
        <w:rPr>
          <w:rFonts w:eastAsia="Calibri"/>
          <w:sz w:val="20"/>
          <w:szCs w:val="20"/>
          <w:shd w:val="clear" w:color="auto" w:fill="FFFFFF"/>
        </w:rPr>
        <w:t xml:space="preserve"> </w:t>
      </w:r>
      <w:proofErr w:type="spellStart"/>
      <w:r w:rsidRPr="005B0931">
        <w:rPr>
          <w:rFonts w:eastAsia="Calibri"/>
          <w:sz w:val="20"/>
          <w:szCs w:val="20"/>
          <w:shd w:val="clear" w:color="auto" w:fill="FFFFFF"/>
        </w:rPr>
        <w:t>Musbach</w:t>
      </w:r>
      <w:proofErr w:type="spellEnd"/>
      <w:r w:rsidR="002A6D47" w:rsidRPr="005B0931">
        <w:rPr>
          <w:rFonts w:eastAsia="Calibri"/>
          <w:sz w:val="20"/>
          <w:szCs w:val="20"/>
          <w:shd w:val="clear" w:color="auto" w:fill="FFFFFF"/>
        </w:rPr>
        <w:t xml:space="preserve"> </w:t>
      </w:r>
      <w:r w:rsidRPr="005B0931">
        <w:rPr>
          <w:rFonts w:eastAsia="Calibri"/>
          <w:sz w:val="20"/>
          <w:szCs w:val="20"/>
          <w:shd w:val="clear" w:color="auto" w:fill="FFFFFF"/>
        </w:rPr>
        <w:t>M,</w:t>
      </w:r>
      <w:r w:rsidR="002A6D47" w:rsidRPr="005B0931">
        <w:rPr>
          <w:rFonts w:eastAsia="Calibri"/>
          <w:sz w:val="20"/>
          <w:szCs w:val="20"/>
          <w:shd w:val="clear" w:color="auto" w:fill="FFFFFF"/>
        </w:rPr>
        <w:t xml:space="preserve"> </w:t>
      </w:r>
      <w:proofErr w:type="spellStart"/>
      <w:r w:rsidRPr="005B0931">
        <w:rPr>
          <w:rFonts w:eastAsia="Calibri"/>
          <w:sz w:val="20"/>
          <w:szCs w:val="20"/>
          <w:shd w:val="clear" w:color="auto" w:fill="FFFFFF"/>
        </w:rPr>
        <w:t>Wieneke</w:t>
      </w:r>
      <w:proofErr w:type="spellEnd"/>
      <w:r w:rsidR="002A6D47" w:rsidRPr="005B0931">
        <w:rPr>
          <w:rFonts w:eastAsia="Calibri"/>
          <w:sz w:val="20"/>
          <w:szCs w:val="20"/>
          <w:shd w:val="clear" w:color="auto" w:fill="FFFFFF"/>
        </w:rPr>
        <w:t xml:space="preserve"> </w:t>
      </w:r>
      <w:r w:rsidRPr="005B0931">
        <w:rPr>
          <w:rFonts w:eastAsia="Calibri"/>
          <w:sz w:val="20"/>
          <w:szCs w:val="20"/>
          <w:shd w:val="clear" w:color="auto" w:fill="FFFFFF"/>
        </w:rPr>
        <w:t>GH,</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van</w:t>
      </w:r>
      <w:r w:rsidR="002A6D47" w:rsidRPr="005B0931">
        <w:rPr>
          <w:rFonts w:eastAsia="Calibri"/>
          <w:sz w:val="20"/>
          <w:szCs w:val="20"/>
          <w:shd w:val="clear" w:color="auto" w:fill="FFFFFF"/>
        </w:rPr>
        <w:t xml:space="preserve"> </w:t>
      </w:r>
      <w:proofErr w:type="spellStart"/>
      <w:r w:rsidRPr="005B0931">
        <w:rPr>
          <w:rFonts w:eastAsia="Calibri"/>
          <w:sz w:val="20"/>
          <w:szCs w:val="20"/>
          <w:shd w:val="clear" w:color="auto" w:fill="FFFFFF"/>
        </w:rPr>
        <w:t>Huffelen</w:t>
      </w:r>
      <w:proofErr w:type="spellEnd"/>
      <w:r w:rsidR="002A6D47" w:rsidRPr="005B0931">
        <w:rPr>
          <w:rFonts w:eastAsia="Calibri"/>
          <w:sz w:val="20"/>
          <w:szCs w:val="20"/>
          <w:shd w:val="clear" w:color="auto" w:fill="FFFFFF"/>
        </w:rPr>
        <w:t xml:space="preserve"> </w:t>
      </w:r>
      <w:r w:rsidRPr="005B0931">
        <w:rPr>
          <w:rFonts w:eastAsia="Calibri"/>
          <w:sz w:val="20"/>
          <w:szCs w:val="20"/>
          <w:shd w:val="clear" w:color="auto" w:fill="FFFFFF"/>
        </w:rPr>
        <w:t>AC.</w:t>
      </w:r>
      <w:r w:rsidR="002A6D47" w:rsidRPr="005B0931">
        <w:rPr>
          <w:rFonts w:eastAsia="Calibri"/>
          <w:sz w:val="20"/>
          <w:szCs w:val="20"/>
          <w:shd w:val="clear" w:color="auto" w:fill="FFFFFF"/>
        </w:rPr>
        <w:t xml:space="preserve"> </w:t>
      </w:r>
      <w:proofErr w:type="spellStart"/>
      <w:r w:rsidRPr="005B0931">
        <w:rPr>
          <w:rFonts w:eastAsia="Calibri"/>
          <w:sz w:val="20"/>
          <w:szCs w:val="20"/>
          <w:shd w:val="clear" w:color="auto" w:fill="FFFFFF"/>
        </w:rPr>
        <w:t>Transcranial</w:t>
      </w:r>
      <w:proofErr w:type="spellEnd"/>
      <w:r w:rsidR="002A6D47" w:rsidRPr="005B0931">
        <w:rPr>
          <w:rFonts w:eastAsia="Calibri"/>
          <w:sz w:val="20"/>
          <w:szCs w:val="20"/>
          <w:shd w:val="clear" w:color="auto" w:fill="FFFFFF"/>
        </w:rPr>
        <w:t xml:space="preserve"> </w:t>
      </w:r>
      <w:r w:rsidRPr="005B0931">
        <w:rPr>
          <w:rFonts w:eastAsia="Calibri"/>
          <w:sz w:val="20"/>
          <w:szCs w:val="20"/>
          <w:shd w:val="clear" w:color="auto" w:fill="FFFFFF"/>
        </w:rPr>
        <w:t>pulsed</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Doppler</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measurements</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of</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blood</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velocity</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in</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the</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middle</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cerebral</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artery:</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reference</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values</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at</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rest</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and</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during</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hyperventilation</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in</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healthy</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volunteers</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in</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relation</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to</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age</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and</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sex.</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Ultrasound</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Med</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Biol.</w:t>
      </w:r>
      <w:r w:rsidR="002A6D47" w:rsidRPr="005B0931">
        <w:rPr>
          <w:rFonts w:eastAsia="Calibri"/>
          <w:sz w:val="20"/>
          <w:szCs w:val="20"/>
          <w:shd w:val="clear" w:color="auto" w:fill="FFFFFF"/>
        </w:rPr>
        <w:t xml:space="preserve"> </w:t>
      </w:r>
      <w:r w:rsidRPr="005B0931">
        <w:rPr>
          <w:rFonts w:eastAsia="Calibri"/>
          <w:sz w:val="20"/>
          <w:szCs w:val="20"/>
          <w:shd w:val="clear" w:color="auto" w:fill="FFFFFF"/>
        </w:rPr>
        <w:t>1989;15(1):1–8.</w:t>
      </w:r>
    </w:p>
    <w:p w:rsidR="002A6D47" w:rsidRPr="005B0931" w:rsidRDefault="006C67BF" w:rsidP="002A6D47">
      <w:pPr>
        <w:numPr>
          <w:ilvl w:val="0"/>
          <w:numId w:val="32"/>
        </w:numPr>
        <w:bidi w:val="0"/>
        <w:snapToGrid w:val="0"/>
        <w:ind w:left="425" w:hanging="425"/>
        <w:contextualSpacing/>
        <w:jc w:val="both"/>
        <w:rPr>
          <w:rFonts w:eastAsia="Calibri"/>
          <w:sz w:val="20"/>
          <w:szCs w:val="20"/>
        </w:rPr>
      </w:pPr>
      <w:proofErr w:type="spellStart"/>
      <w:r w:rsidRPr="005B0931">
        <w:rPr>
          <w:rFonts w:eastAsia="Calibri"/>
          <w:sz w:val="20"/>
          <w:szCs w:val="20"/>
        </w:rPr>
        <w:t>Alexandrov</w:t>
      </w:r>
      <w:proofErr w:type="spellEnd"/>
      <w:r w:rsidR="002A6D47" w:rsidRPr="005B0931">
        <w:rPr>
          <w:rFonts w:eastAsia="Calibri"/>
          <w:sz w:val="20"/>
          <w:szCs w:val="20"/>
        </w:rPr>
        <w:t xml:space="preserve"> </w:t>
      </w:r>
      <w:r w:rsidRPr="005B0931">
        <w:rPr>
          <w:rFonts w:eastAsia="Calibri"/>
          <w:sz w:val="20"/>
          <w:szCs w:val="20"/>
        </w:rPr>
        <w:t>AV,</w:t>
      </w:r>
      <w:r w:rsidR="002A6D47" w:rsidRPr="005B0931">
        <w:rPr>
          <w:rFonts w:eastAsia="Calibri"/>
          <w:sz w:val="20"/>
          <w:szCs w:val="20"/>
        </w:rPr>
        <w:t xml:space="preserve"> </w:t>
      </w:r>
      <w:r w:rsidRPr="005B0931">
        <w:rPr>
          <w:rFonts w:eastAsia="Calibri"/>
          <w:sz w:val="20"/>
          <w:szCs w:val="20"/>
        </w:rPr>
        <w:t>Molina</w:t>
      </w:r>
      <w:r w:rsidR="002A6D47" w:rsidRPr="005B0931">
        <w:rPr>
          <w:rFonts w:eastAsia="Calibri"/>
          <w:sz w:val="20"/>
          <w:szCs w:val="20"/>
        </w:rPr>
        <w:t xml:space="preserve"> </w:t>
      </w:r>
      <w:r w:rsidRPr="005B0931">
        <w:rPr>
          <w:rFonts w:eastAsia="Calibri"/>
          <w:sz w:val="20"/>
          <w:szCs w:val="20"/>
        </w:rPr>
        <w:t>CA,</w:t>
      </w:r>
      <w:r w:rsidR="002A6D47" w:rsidRPr="005B0931">
        <w:rPr>
          <w:rFonts w:eastAsia="Calibri"/>
          <w:sz w:val="20"/>
          <w:szCs w:val="20"/>
        </w:rPr>
        <w:t xml:space="preserve"> </w:t>
      </w:r>
      <w:proofErr w:type="spellStart"/>
      <w:r w:rsidRPr="005B0931">
        <w:rPr>
          <w:rFonts w:eastAsia="Calibri"/>
          <w:sz w:val="20"/>
          <w:szCs w:val="20"/>
        </w:rPr>
        <w:t>Grotta</w:t>
      </w:r>
      <w:proofErr w:type="spellEnd"/>
      <w:r w:rsidR="002A6D47" w:rsidRPr="005B0931">
        <w:rPr>
          <w:rFonts w:eastAsia="Calibri"/>
          <w:sz w:val="20"/>
          <w:szCs w:val="20"/>
        </w:rPr>
        <w:t xml:space="preserve"> </w:t>
      </w:r>
      <w:r w:rsidRPr="005B0931">
        <w:rPr>
          <w:rFonts w:eastAsia="Calibri"/>
          <w:sz w:val="20"/>
          <w:szCs w:val="20"/>
        </w:rPr>
        <w:t>JC,</w:t>
      </w:r>
      <w:r w:rsidR="002A6D47" w:rsidRPr="005B0931">
        <w:rPr>
          <w:rFonts w:eastAsia="Calibri"/>
          <w:sz w:val="20"/>
          <w:szCs w:val="20"/>
        </w:rPr>
        <w:t xml:space="preserve"> </w:t>
      </w:r>
      <w:r w:rsidRPr="005B0931">
        <w:rPr>
          <w:rFonts w:eastAsia="Calibri"/>
          <w:sz w:val="20"/>
          <w:szCs w:val="20"/>
        </w:rPr>
        <w:t>et</w:t>
      </w:r>
      <w:r w:rsidR="002A6D47" w:rsidRPr="005B0931">
        <w:rPr>
          <w:rFonts w:eastAsia="Calibri"/>
          <w:sz w:val="20"/>
          <w:szCs w:val="20"/>
        </w:rPr>
        <w:t xml:space="preserve"> </w:t>
      </w:r>
      <w:r w:rsidRPr="005B0931">
        <w:rPr>
          <w:rFonts w:eastAsia="Calibri"/>
          <w:sz w:val="20"/>
          <w:szCs w:val="20"/>
        </w:rPr>
        <w:t>al.</w:t>
      </w:r>
      <w:r w:rsidR="002A6D47" w:rsidRPr="005B0931">
        <w:rPr>
          <w:rFonts w:eastAsia="Calibri"/>
          <w:sz w:val="20"/>
          <w:szCs w:val="20"/>
        </w:rPr>
        <w:t xml:space="preserve"> </w:t>
      </w:r>
      <w:r w:rsidRPr="005B0931">
        <w:rPr>
          <w:rFonts w:eastAsia="Calibri"/>
          <w:sz w:val="20"/>
          <w:szCs w:val="20"/>
        </w:rPr>
        <w:t>Ultrasound-enhanced</w:t>
      </w:r>
      <w:r w:rsidR="002A6D47" w:rsidRPr="005B0931">
        <w:rPr>
          <w:rFonts w:eastAsia="Calibri"/>
          <w:sz w:val="20"/>
          <w:szCs w:val="20"/>
        </w:rPr>
        <w:t xml:space="preserve"> </w:t>
      </w:r>
      <w:r w:rsidRPr="005B0931">
        <w:rPr>
          <w:rFonts w:eastAsia="Calibri"/>
          <w:sz w:val="20"/>
          <w:szCs w:val="20"/>
        </w:rPr>
        <w:t>systemic</w:t>
      </w:r>
      <w:r w:rsidR="002A6D47" w:rsidRPr="005B0931">
        <w:rPr>
          <w:rFonts w:eastAsia="Calibri"/>
          <w:sz w:val="20"/>
          <w:szCs w:val="20"/>
        </w:rPr>
        <w:t xml:space="preserve"> </w:t>
      </w:r>
      <w:proofErr w:type="spellStart"/>
      <w:r w:rsidRPr="005B0931">
        <w:rPr>
          <w:rFonts w:eastAsia="Calibri"/>
          <w:sz w:val="20"/>
          <w:szCs w:val="20"/>
        </w:rPr>
        <w:t>thrombolysis</w:t>
      </w:r>
      <w:proofErr w:type="spellEnd"/>
      <w:r w:rsidR="002A6D47" w:rsidRPr="005B0931">
        <w:rPr>
          <w:rFonts w:eastAsia="Calibri"/>
          <w:sz w:val="20"/>
          <w:szCs w:val="20"/>
        </w:rPr>
        <w:t xml:space="preserve"> </w:t>
      </w:r>
      <w:r w:rsidRPr="005B0931">
        <w:rPr>
          <w:rFonts w:eastAsia="Calibri"/>
          <w:sz w:val="20"/>
          <w:szCs w:val="20"/>
        </w:rPr>
        <w:t>for</w:t>
      </w:r>
      <w:r w:rsidR="002A6D47" w:rsidRPr="005B0931">
        <w:rPr>
          <w:rFonts w:eastAsia="Calibri"/>
          <w:sz w:val="20"/>
          <w:szCs w:val="20"/>
        </w:rPr>
        <w:t xml:space="preserve"> </w:t>
      </w:r>
      <w:r w:rsidRPr="005B0931">
        <w:rPr>
          <w:rFonts w:eastAsia="Calibri"/>
          <w:sz w:val="20"/>
          <w:szCs w:val="20"/>
        </w:rPr>
        <w:t>acute</w:t>
      </w:r>
      <w:r w:rsidR="002A6D47" w:rsidRPr="005B0931">
        <w:rPr>
          <w:rFonts w:eastAsia="Calibri"/>
          <w:sz w:val="20"/>
          <w:szCs w:val="20"/>
        </w:rPr>
        <w:t xml:space="preserve"> </w:t>
      </w:r>
      <w:r w:rsidRPr="005B0931">
        <w:rPr>
          <w:rFonts w:eastAsia="Calibri"/>
          <w:sz w:val="20"/>
          <w:szCs w:val="20"/>
        </w:rPr>
        <w:t>ischemic</w:t>
      </w:r>
      <w:r w:rsidR="002A6D47" w:rsidRPr="005B0931">
        <w:rPr>
          <w:rFonts w:eastAsia="Calibri"/>
          <w:sz w:val="20"/>
          <w:szCs w:val="20"/>
        </w:rPr>
        <w:t xml:space="preserve"> </w:t>
      </w:r>
      <w:r w:rsidRPr="005B0931">
        <w:rPr>
          <w:rFonts w:eastAsia="Calibri"/>
          <w:sz w:val="20"/>
          <w:szCs w:val="20"/>
        </w:rPr>
        <w:t>stroke.</w:t>
      </w:r>
      <w:r w:rsidR="002A6D47" w:rsidRPr="005B0931">
        <w:rPr>
          <w:rFonts w:eastAsia="Calibri"/>
          <w:sz w:val="20"/>
          <w:szCs w:val="20"/>
        </w:rPr>
        <w:t xml:space="preserve"> </w:t>
      </w:r>
      <w:r w:rsidRPr="005B0931">
        <w:rPr>
          <w:rFonts w:eastAsia="Calibri"/>
          <w:sz w:val="20"/>
          <w:szCs w:val="20"/>
        </w:rPr>
        <w:t>N</w:t>
      </w:r>
      <w:r w:rsidR="002A6D47" w:rsidRPr="005B0931">
        <w:rPr>
          <w:rFonts w:eastAsia="Calibri"/>
          <w:sz w:val="20"/>
          <w:szCs w:val="20"/>
        </w:rPr>
        <w:t xml:space="preserve"> </w:t>
      </w:r>
      <w:proofErr w:type="spellStart"/>
      <w:r w:rsidRPr="005B0931">
        <w:rPr>
          <w:rFonts w:eastAsia="Calibri"/>
          <w:sz w:val="20"/>
          <w:szCs w:val="20"/>
        </w:rPr>
        <w:t>Engl</w:t>
      </w:r>
      <w:proofErr w:type="spellEnd"/>
      <w:r w:rsidR="002A6D47" w:rsidRPr="005B0931">
        <w:rPr>
          <w:rFonts w:eastAsia="Calibri"/>
          <w:sz w:val="20"/>
          <w:szCs w:val="20"/>
        </w:rPr>
        <w:t xml:space="preserve"> </w:t>
      </w:r>
      <w:r w:rsidRPr="005B0931">
        <w:rPr>
          <w:rFonts w:eastAsia="Calibri"/>
          <w:sz w:val="20"/>
          <w:szCs w:val="20"/>
        </w:rPr>
        <w:t>J</w:t>
      </w:r>
      <w:r w:rsidR="002A6D47" w:rsidRPr="005B0931">
        <w:rPr>
          <w:rFonts w:eastAsia="Calibri"/>
          <w:sz w:val="20"/>
          <w:szCs w:val="20"/>
        </w:rPr>
        <w:t xml:space="preserve"> </w:t>
      </w:r>
      <w:r w:rsidRPr="005B0931">
        <w:rPr>
          <w:rFonts w:eastAsia="Calibri"/>
          <w:sz w:val="20"/>
          <w:szCs w:val="20"/>
        </w:rPr>
        <w:t>Med</w:t>
      </w:r>
      <w:r w:rsidR="002A6D47" w:rsidRPr="005B0931">
        <w:rPr>
          <w:rFonts w:eastAsia="Calibri"/>
          <w:sz w:val="20"/>
          <w:szCs w:val="20"/>
        </w:rPr>
        <w:t xml:space="preserve"> </w:t>
      </w:r>
      <w:r w:rsidRPr="005B0931">
        <w:rPr>
          <w:rFonts w:eastAsia="Calibri"/>
          <w:sz w:val="20"/>
          <w:szCs w:val="20"/>
        </w:rPr>
        <w:t>2004;</w:t>
      </w:r>
      <w:r w:rsidR="002A6D47" w:rsidRPr="005B0931">
        <w:rPr>
          <w:rFonts w:eastAsia="Calibri"/>
          <w:sz w:val="20"/>
          <w:szCs w:val="20"/>
        </w:rPr>
        <w:t xml:space="preserve"> </w:t>
      </w:r>
      <w:r w:rsidRPr="005B0931">
        <w:rPr>
          <w:rFonts w:eastAsia="Calibri"/>
          <w:sz w:val="20"/>
          <w:szCs w:val="20"/>
        </w:rPr>
        <w:t>351:2170–217</w:t>
      </w:r>
      <w:r w:rsidR="002A6D47" w:rsidRPr="005B0931">
        <w:rPr>
          <w:rFonts w:eastAsia="Calibri"/>
          <w:sz w:val="20"/>
          <w:szCs w:val="20"/>
        </w:rPr>
        <w:t>8.</w:t>
      </w:r>
    </w:p>
    <w:p w:rsidR="006C67BF" w:rsidRPr="005B0931" w:rsidRDefault="006C67BF" w:rsidP="002A6D47">
      <w:pPr>
        <w:numPr>
          <w:ilvl w:val="0"/>
          <w:numId w:val="32"/>
        </w:numPr>
        <w:bidi w:val="0"/>
        <w:snapToGrid w:val="0"/>
        <w:ind w:left="425" w:hanging="425"/>
        <w:contextualSpacing/>
        <w:jc w:val="both"/>
        <w:rPr>
          <w:rFonts w:eastAsia="Calibri"/>
          <w:sz w:val="20"/>
          <w:szCs w:val="20"/>
        </w:rPr>
      </w:pPr>
      <w:proofErr w:type="spellStart"/>
      <w:r w:rsidRPr="005B0931">
        <w:rPr>
          <w:rFonts w:eastAsia="Calibri"/>
          <w:sz w:val="20"/>
          <w:szCs w:val="20"/>
        </w:rPr>
        <w:t>Tsivgoulis</w:t>
      </w:r>
      <w:proofErr w:type="spellEnd"/>
      <w:r w:rsidR="002A6D47" w:rsidRPr="005B0931">
        <w:rPr>
          <w:rFonts w:eastAsia="Calibri"/>
          <w:sz w:val="20"/>
          <w:szCs w:val="20"/>
        </w:rPr>
        <w:t xml:space="preserve"> </w:t>
      </w:r>
      <w:r w:rsidRPr="005B0931">
        <w:rPr>
          <w:rFonts w:eastAsia="Calibri"/>
          <w:sz w:val="20"/>
          <w:szCs w:val="20"/>
        </w:rPr>
        <w:t>G,</w:t>
      </w:r>
      <w:r w:rsidR="002A6D47" w:rsidRPr="005B0931">
        <w:rPr>
          <w:rFonts w:eastAsia="Calibri"/>
          <w:sz w:val="20"/>
          <w:szCs w:val="20"/>
        </w:rPr>
        <w:t xml:space="preserve"> </w:t>
      </w:r>
      <w:proofErr w:type="spellStart"/>
      <w:r w:rsidRPr="005B0931">
        <w:rPr>
          <w:rFonts w:eastAsia="Calibri"/>
          <w:sz w:val="20"/>
          <w:szCs w:val="20"/>
        </w:rPr>
        <w:t>Alexandrov</w:t>
      </w:r>
      <w:proofErr w:type="spellEnd"/>
      <w:r w:rsidR="002A6D47" w:rsidRPr="005B0931">
        <w:rPr>
          <w:rFonts w:eastAsia="Calibri"/>
          <w:sz w:val="20"/>
          <w:szCs w:val="20"/>
        </w:rPr>
        <w:t xml:space="preserve"> </w:t>
      </w:r>
      <w:r w:rsidRPr="005B0931">
        <w:rPr>
          <w:rFonts w:eastAsia="Calibri"/>
          <w:sz w:val="20"/>
          <w:szCs w:val="20"/>
        </w:rPr>
        <w:t>AV,</w:t>
      </w:r>
      <w:r w:rsidR="002A6D47" w:rsidRPr="005B0931">
        <w:rPr>
          <w:rFonts w:eastAsia="Calibri"/>
          <w:sz w:val="20"/>
          <w:szCs w:val="20"/>
        </w:rPr>
        <w:t xml:space="preserve"> </w:t>
      </w:r>
      <w:r w:rsidRPr="005B0931">
        <w:rPr>
          <w:rFonts w:eastAsia="Calibri"/>
          <w:sz w:val="20"/>
          <w:szCs w:val="20"/>
        </w:rPr>
        <w:t>Sloan</w:t>
      </w:r>
      <w:r w:rsidR="002A6D47" w:rsidRPr="005B0931">
        <w:rPr>
          <w:rFonts w:eastAsia="Calibri"/>
          <w:sz w:val="20"/>
          <w:szCs w:val="20"/>
        </w:rPr>
        <w:t xml:space="preserve"> </w:t>
      </w:r>
      <w:r w:rsidRPr="005B0931">
        <w:rPr>
          <w:rFonts w:eastAsia="Calibri"/>
          <w:sz w:val="20"/>
          <w:szCs w:val="20"/>
        </w:rPr>
        <w:t>MA.</w:t>
      </w:r>
      <w:r w:rsidR="002A6D47" w:rsidRPr="005B0931">
        <w:rPr>
          <w:rFonts w:eastAsia="Calibri"/>
          <w:sz w:val="20"/>
          <w:szCs w:val="20"/>
        </w:rPr>
        <w:t xml:space="preserve"> </w:t>
      </w:r>
      <w:r w:rsidRPr="005B0931">
        <w:rPr>
          <w:rFonts w:eastAsia="Calibri"/>
          <w:sz w:val="20"/>
          <w:szCs w:val="20"/>
        </w:rPr>
        <w:t>Advances</w:t>
      </w:r>
      <w:r w:rsidR="002A6D47" w:rsidRPr="005B0931">
        <w:rPr>
          <w:rFonts w:eastAsia="Calibri"/>
          <w:sz w:val="20"/>
          <w:szCs w:val="20"/>
        </w:rPr>
        <w:t xml:space="preserve"> </w:t>
      </w:r>
      <w:r w:rsidRPr="005B0931">
        <w:rPr>
          <w:rFonts w:eastAsia="Calibri"/>
          <w:sz w:val="20"/>
          <w:szCs w:val="20"/>
        </w:rPr>
        <w:t>in</w:t>
      </w:r>
      <w:r w:rsidR="002A6D47" w:rsidRPr="005B0931">
        <w:rPr>
          <w:rFonts w:eastAsia="Calibri"/>
          <w:sz w:val="20"/>
          <w:szCs w:val="20"/>
        </w:rPr>
        <w:t xml:space="preserve"> </w:t>
      </w:r>
      <w:proofErr w:type="spellStart"/>
      <w:r w:rsidRPr="005B0931">
        <w:rPr>
          <w:rFonts w:eastAsia="Calibri"/>
          <w:sz w:val="20"/>
          <w:szCs w:val="20"/>
        </w:rPr>
        <w:t>transcranial</w:t>
      </w:r>
      <w:proofErr w:type="spellEnd"/>
      <w:r w:rsidR="002A6D47" w:rsidRPr="005B0931">
        <w:rPr>
          <w:rFonts w:eastAsia="Calibri"/>
          <w:sz w:val="20"/>
          <w:szCs w:val="20"/>
        </w:rPr>
        <w:t xml:space="preserve"> </w:t>
      </w:r>
      <w:r w:rsidRPr="005B0931">
        <w:rPr>
          <w:rFonts w:eastAsia="Calibri"/>
          <w:sz w:val="20"/>
          <w:szCs w:val="20"/>
        </w:rPr>
        <w:t>Doppler</w:t>
      </w:r>
      <w:r w:rsidR="002A6D47" w:rsidRPr="005B0931">
        <w:rPr>
          <w:rFonts w:eastAsia="Calibri"/>
          <w:sz w:val="20"/>
          <w:szCs w:val="20"/>
        </w:rPr>
        <w:t xml:space="preserve"> </w:t>
      </w:r>
      <w:proofErr w:type="spellStart"/>
      <w:r w:rsidRPr="005B0931">
        <w:rPr>
          <w:rFonts w:eastAsia="Calibri"/>
          <w:sz w:val="20"/>
          <w:szCs w:val="20"/>
        </w:rPr>
        <w:t>ultrasonography</w:t>
      </w:r>
      <w:proofErr w:type="spellEnd"/>
      <w:r w:rsidRPr="005B0931">
        <w:rPr>
          <w:rFonts w:eastAsia="Calibri"/>
          <w:sz w:val="20"/>
          <w:szCs w:val="20"/>
        </w:rPr>
        <w:t>.</w:t>
      </w:r>
      <w:r w:rsidR="002A6D47" w:rsidRPr="005B0931">
        <w:rPr>
          <w:rFonts w:eastAsia="Calibri"/>
          <w:sz w:val="20"/>
          <w:szCs w:val="20"/>
        </w:rPr>
        <w:t xml:space="preserve"> </w:t>
      </w:r>
      <w:proofErr w:type="spellStart"/>
      <w:r w:rsidRPr="005B0931">
        <w:rPr>
          <w:rFonts w:eastAsia="Calibri"/>
          <w:sz w:val="20"/>
          <w:szCs w:val="20"/>
        </w:rPr>
        <w:t>Cur</w:t>
      </w:r>
      <w:r w:rsidR="002A6D47" w:rsidRPr="005B0931">
        <w:rPr>
          <w:rFonts w:eastAsia="Calibri"/>
          <w:sz w:val="20"/>
          <w:szCs w:val="20"/>
        </w:rPr>
        <w:t>r</w:t>
      </w:r>
      <w:proofErr w:type="spellEnd"/>
      <w:r w:rsidR="002A6D47" w:rsidRPr="005B0931">
        <w:rPr>
          <w:rFonts w:eastAsia="Calibri"/>
          <w:sz w:val="20"/>
          <w:szCs w:val="20"/>
        </w:rPr>
        <w:t xml:space="preserve"> </w:t>
      </w:r>
      <w:proofErr w:type="spellStart"/>
      <w:r w:rsidR="002A6D47" w:rsidRPr="005B0931">
        <w:rPr>
          <w:rFonts w:eastAsia="Calibri"/>
          <w:sz w:val="20"/>
          <w:szCs w:val="20"/>
        </w:rPr>
        <w:t>N</w:t>
      </w:r>
      <w:r w:rsidRPr="005B0931">
        <w:rPr>
          <w:rFonts w:eastAsia="Calibri"/>
          <w:sz w:val="20"/>
          <w:szCs w:val="20"/>
        </w:rPr>
        <w:t>euro</w:t>
      </w:r>
      <w:r w:rsidR="002A6D47" w:rsidRPr="005B0931">
        <w:rPr>
          <w:rFonts w:eastAsia="Calibri"/>
          <w:sz w:val="20"/>
          <w:szCs w:val="20"/>
        </w:rPr>
        <w:t>l</w:t>
      </w:r>
      <w:proofErr w:type="spellEnd"/>
      <w:r w:rsidR="002A6D47" w:rsidRPr="005B0931">
        <w:rPr>
          <w:rFonts w:eastAsia="Calibri"/>
          <w:sz w:val="20"/>
          <w:szCs w:val="20"/>
        </w:rPr>
        <w:t xml:space="preserve"> </w:t>
      </w:r>
      <w:proofErr w:type="spellStart"/>
      <w:r w:rsidR="002A6D47" w:rsidRPr="005B0931">
        <w:rPr>
          <w:rFonts w:eastAsia="Calibri"/>
          <w:sz w:val="20"/>
          <w:szCs w:val="20"/>
        </w:rPr>
        <w:t>N</w:t>
      </w:r>
      <w:r w:rsidRPr="005B0931">
        <w:rPr>
          <w:rFonts w:eastAsia="Calibri"/>
          <w:sz w:val="20"/>
          <w:szCs w:val="20"/>
        </w:rPr>
        <w:t>eurosci</w:t>
      </w:r>
      <w:proofErr w:type="spellEnd"/>
      <w:r w:rsidR="002A6D47" w:rsidRPr="005B0931">
        <w:rPr>
          <w:rFonts w:eastAsia="Calibri"/>
          <w:sz w:val="20"/>
          <w:szCs w:val="20"/>
        </w:rPr>
        <w:t xml:space="preserve"> </w:t>
      </w:r>
      <w:r w:rsidRPr="005B0931">
        <w:rPr>
          <w:rFonts w:eastAsia="Calibri"/>
          <w:sz w:val="20"/>
          <w:szCs w:val="20"/>
        </w:rPr>
        <w:t>Rep</w:t>
      </w:r>
      <w:r w:rsidR="002A6D47" w:rsidRPr="005B0931">
        <w:rPr>
          <w:rFonts w:eastAsia="Calibri"/>
          <w:sz w:val="20"/>
          <w:szCs w:val="20"/>
        </w:rPr>
        <w:t xml:space="preserve"> </w:t>
      </w:r>
      <w:r w:rsidRPr="005B0931">
        <w:rPr>
          <w:rFonts w:eastAsia="Calibri"/>
          <w:sz w:val="20"/>
          <w:szCs w:val="20"/>
        </w:rPr>
        <w:t>2009;</w:t>
      </w:r>
      <w:r w:rsidR="002A6D47" w:rsidRPr="005B0931">
        <w:rPr>
          <w:rFonts w:eastAsia="Calibri"/>
          <w:sz w:val="20"/>
          <w:szCs w:val="20"/>
        </w:rPr>
        <w:t xml:space="preserve"> </w:t>
      </w:r>
      <w:r w:rsidRPr="005B0931">
        <w:rPr>
          <w:rFonts w:eastAsia="Calibri"/>
          <w:sz w:val="20"/>
          <w:szCs w:val="20"/>
        </w:rPr>
        <w:t>9:46–54.</w:t>
      </w:r>
    </w:p>
    <w:p w:rsidR="006C67BF" w:rsidRPr="005B0931" w:rsidRDefault="006C67BF" w:rsidP="002A6D47">
      <w:pPr>
        <w:numPr>
          <w:ilvl w:val="0"/>
          <w:numId w:val="32"/>
        </w:numPr>
        <w:bidi w:val="0"/>
        <w:snapToGrid w:val="0"/>
        <w:ind w:left="425" w:hanging="425"/>
        <w:contextualSpacing/>
        <w:jc w:val="both"/>
        <w:rPr>
          <w:rFonts w:eastAsia="Calibri"/>
          <w:sz w:val="20"/>
          <w:szCs w:val="20"/>
        </w:rPr>
      </w:pPr>
      <w:r w:rsidRPr="005B0931">
        <w:rPr>
          <w:rFonts w:eastAsia="Calibri"/>
          <w:sz w:val="20"/>
          <w:szCs w:val="20"/>
        </w:rPr>
        <w:t>Lowe</w:t>
      </w:r>
      <w:r w:rsidR="002A6D47" w:rsidRPr="005B0931">
        <w:rPr>
          <w:rFonts w:eastAsia="Calibri"/>
          <w:sz w:val="20"/>
          <w:szCs w:val="20"/>
        </w:rPr>
        <w:t xml:space="preserve"> </w:t>
      </w:r>
      <w:r w:rsidRPr="005B0931">
        <w:rPr>
          <w:rFonts w:eastAsia="Calibri"/>
          <w:sz w:val="20"/>
          <w:szCs w:val="20"/>
        </w:rPr>
        <w:t>LH,</w:t>
      </w:r>
      <w:r w:rsidR="002A6D47" w:rsidRPr="005B0931">
        <w:rPr>
          <w:rFonts w:eastAsia="Calibri"/>
          <w:sz w:val="20"/>
          <w:szCs w:val="20"/>
        </w:rPr>
        <w:t xml:space="preserve"> </w:t>
      </w:r>
      <w:proofErr w:type="spellStart"/>
      <w:r w:rsidRPr="005B0931">
        <w:rPr>
          <w:rFonts w:eastAsia="Calibri"/>
          <w:sz w:val="20"/>
          <w:szCs w:val="20"/>
        </w:rPr>
        <w:t>Bulas</w:t>
      </w:r>
      <w:proofErr w:type="spellEnd"/>
      <w:r w:rsidR="002A6D47" w:rsidRPr="005B0931">
        <w:rPr>
          <w:rFonts w:eastAsia="Calibri"/>
          <w:sz w:val="20"/>
          <w:szCs w:val="20"/>
        </w:rPr>
        <w:t xml:space="preserve"> </w:t>
      </w:r>
      <w:r w:rsidRPr="005B0931">
        <w:rPr>
          <w:rFonts w:eastAsia="Calibri"/>
          <w:sz w:val="20"/>
          <w:szCs w:val="20"/>
        </w:rPr>
        <w:t>DI.</w:t>
      </w:r>
      <w:r w:rsidR="002A6D47" w:rsidRPr="005B0931">
        <w:rPr>
          <w:rFonts w:eastAsia="Calibri"/>
          <w:sz w:val="20"/>
          <w:szCs w:val="20"/>
        </w:rPr>
        <w:t xml:space="preserve"> </w:t>
      </w:r>
      <w:proofErr w:type="spellStart"/>
      <w:r w:rsidRPr="005B0931">
        <w:rPr>
          <w:rFonts w:eastAsia="Calibri"/>
          <w:sz w:val="20"/>
          <w:szCs w:val="20"/>
        </w:rPr>
        <w:t>Transcranial</w:t>
      </w:r>
      <w:proofErr w:type="spellEnd"/>
      <w:r w:rsidR="002A6D47" w:rsidRPr="005B0931">
        <w:rPr>
          <w:rFonts w:eastAsia="Calibri"/>
          <w:sz w:val="20"/>
          <w:szCs w:val="20"/>
        </w:rPr>
        <w:t xml:space="preserve"> </w:t>
      </w:r>
      <w:r w:rsidRPr="005B0931">
        <w:rPr>
          <w:rFonts w:eastAsia="Calibri"/>
          <w:sz w:val="20"/>
          <w:szCs w:val="20"/>
        </w:rPr>
        <w:t>Doppler</w:t>
      </w:r>
      <w:r w:rsidR="002A6D47" w:rsidRPr="005B0931">
        <w:rPr>
          <w:rFonts w:eastAsia="Calibri"/>
          <w:sz w:val="20"/>
          <w:szCs w:val="20"/>
        </w:rPr>
        <w:t xml:space="preserve"> </w:t>
      </w:r>
      <w:r w:rsidRPr="005B0931">
        <w:rPr>
          <w:rFonts w:eastAsia="Calibri"/>
          <w:sz w:val="20"/>
          <w:szCs w:val="20"/>
        </w:rPr>
        <w:t>imaging</w:t>
      </w:r>
      <w:r w:rsidR="002A6D47" w:rsidRPr="005B0931">
        <w:rPr>
          <w:rFonts w:eastAsia="Calibri"/>
          <w:sz w:val="20"/>
          <w:szCs w:val="20"/>
        </w:rPr>
        <w:t xml:space="preserve"> </w:t>
      </w:r>
      <w:r w:rsidRPr="005B0931">
        <w:rPr>
          <w:rFonts w:eastAsia="Calibri"/>
          <w:sz w:val="20"/>
          <w:szCs w:val="20"/>
        </w:rPr>
        <w:t>in</w:t>
      </w:r>
      <w:r w:rsidR="002A6D47" w:rsidRPr="005B0931">
        <w:rPr>
          <w:rFonts w:eastAsia="Calibri"/>
          <w:sz w:val="20"/>
          <w:szCs w:val="20"/>
        </w:rPr>
        <w:t xml:space="preserve"> </w:t>
      </w:r>
      <w:r w:rsidRPr="005B0931">
        <w:rPr>
          <w:rFonts w:eastAsia="Calibri"/>
          <w:sz w:val="20"/>
          <w:szCs w:val="20"/>
        </w:rPr>
        <w:t>children:</w:t>
      </w:r>
      <w:r w:rsidR="002A6D47" w:rsidRPr="005B0931">
        <w:rPr>
          <w:rFonts w:eastAsia="Calibri"/>
          <w:sz w:val="20"/>
          <w:szCs w:val="20"/>
        </w:rPr>
        <w:t xml:space="preserve"> </w:t>
      </w:r>
      <w:r w:rsidRPr="005B0931">
        <w:rPr>
          <w:rFonts w:eastAsia="Calibri"/>
          <w:sz w:val="20"/>
          <w:szCs w:val="20"/>
        </w:rPr>
        <w:t>sickle</w:t>
      </w:r>
      <w:r w:rsidR="002A6D47" w:rsidRPr="005B0931">
        <w:rPr>
          <w:rFonts w:eastAsia="Calibri"/>
          <w:sz w:val="20"/>
          <w:szCs w:val="20"/>
        </w:rPr>
        <w:t xml:space="preserve"> </w:t>
      </w:r>
      <w:r w:rsidRPr="005B0931">
        <w:rPr>
          <w:rFonts w:eastAsia="Calibri"/>
          <w:sz w:val="20"/>
          <w:szCs w:val="20"/>
        </w:rPr>
        <w:t>cell</w:t>
      </w:r>
      <w:r w:rsidR="002A6D47" w:rsidRPr="005B0931">
        <w:rPr>
          <w:rFonts w:eastAsia="Calibri"/>
          <w:sz w:val="20"/>
          <w:szCs w:val="20"/>
        </w:rPr>
        <w:t xml:space="preserve"> </w:t>
      </w:r>
      <w:r w:rsidRPr="005B0931">
        <w:rPr>
          <w:rFonts w:eastAsia="Calibri"/>
          <w:sz w:val="20"/>
          <w:szCs w:val="20"/>
        </w:rPr>
        <w:t>screening</w:t>
      </w:r>
      <w:r w:rsidR="002A6D47" w:rsidRPr="005B0931">
        <w:rPr>
          <w:rFonts w:eastAsia="Calibri"/>
          <w:sz w:val="20"/>
          <w:szCs w:val="20"/>
        </w:rPr>
        <w:t xml:space="preserve"> </w:t>
      </w:r>
      <w:r w:rsidRPr="005B0931">
        <w:rPr>
          <w:rFonts w:eastAsia="Calibri"/>
          <w:sz w:val="20"/>
          <w:szCs w:val="20"/>
        </w:rPr>
        <w:t>and</w:t>
      </w:r>
      <w:r w:rsidR="002A6D47" w:rsidRPr="005B0931">
        <w:rPr>
          <w:rFonts w:eastAsia="Calibri"/>
          <w:sz w:val="20"/>
          <w:szCs w:val="20"/>
        </w:rPr>
        <w:t xml:space="preserve"> </w:t>
      </w:r>
      <w:r w:rsidRPr="005B0931">
        <w:rPr>
          <w:rFonts w:eastAsia="Calibri"/>
          <w:sz w:val="20"/>
          <w:szCs w:val="20"/>
        </w:rPr>
        <w:t>beyond.</w:t>
      </w:r>
      <w:r w:rsidR="002A6D47" w:rsidRPr="005B0931">
        <w:rPr>
          <w:rFonts w:eastAsia="Calibri"/>
          <w:sz w:val="20"/>
          <w:szCs w:val="20"/>
        </w:rPr>
        <w:t xml:space="preserve"> </w:t>
      </w:r>
      <w:proofErr w:type="spellStart"/>
      <w:r w:rsidRPr="005B0931">
        <w:rPr>
          <w:rFonts w:eastAsia="Calibri"/>
          <w:sz w:val="20"/>
          <w:szCs w:val="20"/>
        </w:rPr>
        <w:t>Pediat</w:t>
      </w:r>
      <w:r w:rsidR="002A6D47" w:rsidRPr="005B0931">
        <w:rPr>
          <w:rFonts w:eastAsia="Calibri"/>
          <w:sz w:val="20"/>
          <w:szCs w:val="20"/>
        </w:rPr>
        <w:t>r</w:t>
      </w:r>
      <w:proofErr w:type="spellEnd"/>
      <w:r w:rsidR="002A6D47" w:rsidRPr="005B0931">
        <w:rPr>
          <w:rFonts w:eastAsia="Calibri"/>
          <w:sz w:val="20"/>
          <w:szCs w:val="20"/>
        </w:rPr>
        <w:t xml:space="preserve"> </w:t>
      </w:r>
      <w:proofErr w:type="spellStart"/>
      <w:r w:rsidR="002A6D47" w:rsidRPr="005B0931">
        <w:rPr>
          <w:rFonts w:eastAsia="Calibri"/>
          <w:sz w:val="20"/>
          <w:szCs w:val="20"/>
        </w:rPr>
        <w:t>R</w:t>
      </w:r>
      <w:r w:rsidRPr="005B0931">
        <w:rPr>
          <w:rFonts w:eastAsia="Calibri"/>
          <w:sz w:val="20"/>
          <w:szCs w:val="20"/>
        </w:rPr>
        <w:t>adiol</w:t>
      </w:r>
      <w:proofErr w:type="spellEnd"/>
      <w:r w:rsidR="002A6D47" w:rsidRPr="005B0931">
        <w:rPr>
          <w:rFonts w:eastAsia="Calibri"/>
          <w:sz w:val="20"/>
          <w:szCs w:val="20"/>
        </w:rPr>
        <w:t xml:space="preserve"> </w:t>
      </w:r>
      <w:r w:rsidRPr="005B0931">
        <w:rPr>
          <w:rFonts w:eastAsia="Calibri"/>
          <w:sz w:val="20"/>
          <w:szCs w:val="20"/>
        </w:rPr>
        <w:t>2005;</w:t>
      </w:r>
      <w:r w:rsidR="002A6D47" w:rsidRPr="005B0931">
        <w:rPr>
          <w:rFonts w:eastAsia="Calibri"/>
          <w:sz w:val="20"/>
          <w:szCs w:val="20"/>
        </w:rPr>
        <w:t xml:space="preserve"> </w:t>
      </w:r>
      <w:r w:rsidRPr="005B0931">
        <w:rPr>
          <w:rFonts w:eastAsia="Calibri"/>
          <w:sz w:val="20"/>
          <w:szCs w:val="20"/>
        </w:rPr>
        <w:t>35:54–65.</w:t>
      </w:r>
    </w:p>
    <w:p w:rsidR="006C67BF" w:rsidRPr="005B0931" w:rsidRDefault="006C67BF" w:rsidP="002A6D47">
      <w:pPr>
        <w:numPr>
          <w:ilvl w:val="0"/>
          <w:numId w:val="32"/>
        </w:numPr>
        <w:bidi w:val="0"/>
        <w:snapToGrid w:val="0"/>
        <w:ind w:left="425" w:hanging="425"/>
        <w:contextualSpacing/>
        <w:jc w:val="both"/>
        <w:rPr>
          <w:rFonts w:eastAsia="Calibri"/>
          <w:sz w:val="20"/>
          <w:szCs w:val="20"/>
        </w:rPr>
      </w:pPr>
      <w:proofErr w:type="spellStart"/>
      <w:r w:rsidRPr="005B0931">
        <w:rPr>
          <w:rFonts w:eastAsia="Calibri"/>
          <w:sz w:val="20"/>
          <w:szCs w:val="20"/>
        </w:rPr>
        <w:t>Soetaert</w:t>
      </w:r>
      <w:proofErr w:type="spellEnd"/>
      <w:r w:rsidR="002A6D47" w:rsidRPr="005B0931">
        <w:rPr>
          <w:rFonts w:eastAsia="Calibri"/>
          <w:sz w:val="20"/>
          <w:szCs w:val="20"/>
        </w:rPr>
        <w:t xml:space="preserve"> </w:t>
      </w:r>
      <w:r w:rsidRPr="005B0931">
        <w:rPr>
          <w:rFonts w:eastAsia="Calibri"/>
          <w:sz w:val="20"/>
          <w:szCs w:val="20"/>
        </w:rPr>
        <w:t>AM,</w:t>
      </w:r>
      <w:r w:rsidR="002A6D47" w:rsidRPr="005B0931">
        <w:rPr>
          <w:rFonts w:eastAsia="Calibri"/>
          <w:sz w:val="20"/>
          <w:szCs w:val="20"/>
        </w:rPr>
        <w:t xml:space="preserve"> </w:t>
      </w:r>
      <w:r w:rsidRPr="005B0931">
        <w:rPr>
          <w:rFonts w:eastAsia="Calibri"/>
          <w:sz w:val="20"/>
          <w:szCs w:val="20"/>
        </w:rPr>
        <w:t>Lowe</w:t>
      </w:r>
      <w:r w:rsidR="002A6D47" w:rsidRPr="005B0931">
        <w:rPr>
          <w:rFonts w:eastAsia="Calibri"/>
          <w:sz w:val="20"/>
          <w:szCs w:val="20"/>
        </w:rPr>
        <w:t xml:space="preserve"> </w:t>
      </w:r>
      <w:r w:rsidRPr="005B0931">
        <w:rPr>
          <w:rFonts w:eastAsia="Calibri"/>
          <w:sz w:val="20"/>
          <w:szCs w:val="20"/>
        </w:rPr>
        <w:t>LH,</w:t>
      </w:r>
      <w:r w:rsidR="002A6D47" w:rsidRPr="005B0931">
        <w:rPr>
          <w:rFonts w:eastAsia="Calibri"/>
          <w:sz w:val="20"/>
          <w:szCs w:val="20"/>
        </w:rPr>
        <w:t xml:space="preserve"> </w:t>
      </w:r>
      <w:proofErr w:type="spellStart"/>
      <w:r w:rsidRPr="005B0931">
        <w:rPr>
          <w:rFonts w:eastAsia="Calibri"/>
          <w:sz w:val="20"/>
          <w:szCs w:val="20"/>
        </w:rPr>
        <w:t>Formen</w:t>
      </w:r>
      <w:proofErr w:type="spellEnd"/>
      <w:r w:rsidR="002A6D47" w:rsidRPr="005B0931">
        <w:rPr>
          <w:rFonts w:eastAsia="Calibri"/>
          <w:sz w:val="20"/>
          <w:szCs w:val="20"/>
        </w:rPr>
        <w:t xml:space="preserve"> </w:t>
      </w:r>
      <w:r w:rsidRPr="005B0931">
        <w:rPr>
          <w:rFonts w:eastAsia="Calibri"/>
          <w:sz w:val="20"/>
          <w:szCs w:val="20"/>
        </w:rPr>
        <w:t>C.</w:t>
      </w:r>
      <w:r w:rsidR="002A6D47" w:rsidRPr="005B0931">
        <w:rPr>
          <w:rFonts w:eastAsia="Calibri"/>
          <w:sz w:val="20"/>
          <w:szCs w:val="20"/>
        </w:rPr>
        <w:t xml:space="preserve"> </w:t>
      </w:r>
      <w:r w:rsidRPr="005B0931">
        <w:rPr>
          <w:rFonts w:eastAsia="Calibri"/>
          <w:sz w:val="20"/>
          <w:szCs w:val="20"/>
        </w:rPr>
        <w:t>Pediatric</w:t>
      </w:r>
      <w:r w:rsidR="002A6D47" w:rsidRPr="005B0931">
        <w:rPr>
          <w:rFonts w:eastAsia="Calibri"/>
          <w:sz w:val="20"/>
          <w:szCs w:val="20"/>
        </w:rPr>
        <w:t xml:space="preserve"> </w:t>
      </w:r>
      <w:r w:rsidRPr="005B0931">
        <w:rPr>
          <w:rFonts w:eastAsia="Calibri"/>
          <w:sz w:val="20"/>
          <w:szCs w:val="20"/>
        </w:rPr>
        <w:t>cranial</w:t>
      </w:r>
      <w:r w:rsidR="002A6D47" w:rsidRPr="005B0931">
        <w:rPr>
          <w:rFonts w:eastAsia="Calibri"/>
          <w:sz w:val="20"/>
          <w:szCs w:val="20"/>
        </w:rPr>
        <w:t xml:space="preserve"> </w:t>
      </w:r>
      <w:r w:rsidRPr="005B0931">
        <w:rPr>
          <w:rFonts w:eastAsia="Calibri"/>
          <w:sz w:val="20"/>
          <w:szCs w:val="20"/>
        </w:rPr>
        <w:t>Doppler</w:t>
      </w:r>
      <w:r w:rsidR="002A6D47" w:rsidRPr="005B0931">
        <w:rPr>
          <w:rFonts w:eastAsia="Calibri"/>
          <w:sz w:val="20"/>
          <w:szCs w:val="20"/>
        </w:rPr>
        <w:t xml:space="preserve"> </w:t>
      </w:r>
      <w:proofErr w:type="spellStart"/>
      <w:r w:rsidRPr="005B0931">
        <w:rPr>
          <w:rFonts w:eastAsia="Calibri"/>
          <w:sz w:val="20"/>
          <w:szCs w:val="20"/>
        </w:rPr>
        <w:t>sonography</w:t>
      </w:r>
      <w:proofErr w:type="spellEnd"/>
      <w:r w:rsidR="002A6D47" w:rsidRPr="005B0931">
        <w:rPr>
          <w:rFonts w:eastAsia="Calibri"/>
          <w:sz w:val="20"/>
          <w:szCs w:val="20"/>
        </w:rPr>
        <w:t xml:space="preserve"> </w:t>
      </w:r>
      <w:r w:rsidRPr="005B0931">
        <w:rPr>
          <w:rFonts w:eastAsia="Calibri"/>
          <w:sz w:val="20"/>
          <w:szCs w:val="20"/>
        </w:rPr>
        <w:t>in</w:t>
      </w:r>
      <w:r w:rsidR="002A6D47" w:rsidRPr="005B0931">
        <w:rPr>
          <w:rFonts w:eastAsia="Calibri"/>
          <w:sz w:val="20"/>
          <w:szCs w:val="20"/>
        </w:rPr>
        <w:t xml:space="preserve"> </w:t>
      </w:r>
      <w:r w:rsidRPr="005B0931">
        <w:rPr>
          <w:rFonts w:eastAsia="Calibri"/>
          <w:sz w:val="20"/>
          <w:szCs w:val="20"/>
        </w:rPr>
        <w:t>children:</w:t>
      </w:r>
      <w:r w:rsidR="002A6D47" w:rsidRPr="005B0931">
        <w:rPr>
          <w:rFonts w:eastAsia="Calibri"/>
          <w:sz w:val="20"/>
          <w:szCs w:val="20"/>
        </w:rPr>
        <w:t xml:space="preserve"> </w:t>
      </w:r>
      <w:r w:rsidRPr="005B0931">
        <w:rPr>
          <w:rFonts w:eastAsia="Calibri"/>
          <w:sz w:val="20"/>
          <w:szCs w:val="20"/>
        </w:rPr>
        <w:t>non-sickle</w:t>
      </w:r>
      <w:r w:rsidR="002A6D47" w:rsidRPr="005B0931">
        <w:rPr>
          <w:rFonts w:eastAsia="Calibri"/>
          <w:sz w:val="20"/>
          <w:szCs w:val="20"/>
        </w:rPr>
        <w:t xml:space="preserve"> </w:t>
      </w:r>
      <w:r w:rsidRPr="005B0931">
        <w:rPr>
          <w:rFonts w:eastAsia="Calibri"/>
          <w:sz w:val="20"/>
          <w:szCs w:val="20"/>
        </w:rPr>
        <w:t>cell</w:t>
      </w:r>
      <w:r w:rsidR="002A6D47" w:rsidRPr="005B0931">
        <w:rPr>
          <w:rFonts w:eastAsia="Calibri"/>
          <w:sz w:val="20"/>
          <w:szCs w:val="20"/>
        </w:rPr>
        <w:t xml:space="preserve"> </w:t>
      </w:r>
      <w:r w:rsidRPr="005B0931">
        <w:rPr>
          <w:rFonts w:eastAsia="Calibri"/>
          <w:sz w:val="20"/>
          <w:szCs w:val="20"/>
        </w:rPr>
        <w:t>applications.</w:t>
      </w:r>
      <w:r w:rsidR="002A6D47" w:rsidRPr="005B0931">
        <w:rPr>
          <w:rFonts w:eastAsia="Calibri"/>
          <w:sz w:val="20"/>
          <w:szCs w:val="20"/>
        </w:rPr>
        <w:t xml:space="preserve"> </w:t>
      </w:r>
      <w:proofErr w:type="spellStart"/>
      <w:r w:rsidRPr="005B0931">
        <w:rPr>
          <w:rFonts w:eastAsia="Calibri"/>
          <w:sz w:val="20"/>
          <w:szCs w:val="20"/>
        </w:rPr>
        <w:t>Cur</w:t>
      </w:r>
      <w:r w:rsidR="002A6D47" w:rsidRPr="005B0931">
        <w:rPr>
          <w:rFonts w:eastAsia="Calibri"/>
          <w:sz w:val="20"/>
          <w:szCs w:val="20"/>
        </w:rPr>
        <w:t>r</w:t>
      </w:r>
      <w:proofErr w:type="spellEnd"/>
      <w:r w:rsidR="002A6D47" w:rsidRPr="005B0931">
        <w:rPr>
          <w:rFonts w:eastAsia="Calibri"/>
          <w:sz w:val="20"/>
          <w:szCs w:val="20"/>
        </w:rPr>
        <w:t xml:space="preserve"> </w:t>
      </w:r>
      <w:proofErr w:type="spellStart"/>
      <w:r w:rsidR="002A6D47" w:rsidRPr="005B0931">
        <w:rPr>
          <w:rFonts w:eastAsia="Calibri"/>
          <w:sz w:val="20"/>
          <w:szCs w:val="20"/>
        </w:rPr>
        <w:t>P</w:t>
      </w:r>
      <w:r w:rsidRPr="005B0931">
        <w:rPr>
          <w:rFonts w:eastAsia="Calibri"/>
          <w:sz w:val="20"/>
          <w:szCs w:val="20"/>
        </w:rPr>
        <w:t>rob</w:t>
      </w:r>
      <w:r w:rsidR="002A6D47" w:rsidRPr="005B0931">
        <w:rPr>
          <w:rFonts w:eastAsia="Calibri"/>
          <w:sz w:val="20"/>
          <w:szCs w:val="20"/>
        </w:rPr>
        <w:t>l</w:t>
      </w:r>
      <w:proofErr w:type="spellEnd"/>
      <w:r w:rsidR="002A6D47" w:rsidRPr="005B0931">
        <w:rPr>
          <w:rFonts w:eastAsia="Calibri"/>
          <w:sz w:val="20"/>
          <w:szCs w:val="20"/>
        </w:rPr>
        <w:t xml:space="preserve"> </w:t>
      </w:r>
      <w:proofErr w:type="spellStart"/>
      <w:r w:rsidR="002A6D47" w:rsidRPr="005B0931">
        <w:rPr>
          <w:rFonts w:eastAsia="Calibri"/>
          <w:sz w:val="20"/>
          <w:szCs w:val="20"/>
        </w:rPr>
        <w:t>D</w:t>
      </w:r>
      <w:r w:rsidRPr="005B0931">
        <w:rPr>
          <w:rFonts w:eastAsia="Calibri"/>
          <w:sz w:val="20"/>
          <w:szCs w:val="20"/>
        </w:rPr>
        <w:t>iag</w:t>
      </w:r>
      <w:r w:rsidR="002A6D47" w:rsidRPr="005B0931">
        <w:rPr>
          <w:rFonts w:eastAsia="Calibri"/>
          <w:sz w:val="20"/>
          <w:szCs w:val="20"/>
        </w:rPr>
        <w:t>n</w:t>
      </w:r>
      <w:proofErr w:type="spellEnd"/>
      <w:r w:rsidR="002A6D47" w:rsidRPr="005B0931">
        <w:rPr>
          <w:rFonts w:eastAsia="Calibri"/>
          <w:sz w:val="20"/>
          <w:szCs w:val="20"/>
        </w:rPr>
        <w:t xml:space="preserve"> </w:t>
      </w:r>
      <w:proofErr w:type="spellStart"/>
      <w:r w:rsidR="002A6D47" w:rsidRPr="005B0931">
        <w:rPr>
          <w:rFonts w:eastAsia="Calibri"/>
          <w:sz w:val="20"/>
          <w:szCs w:val="20"/>
        </w:rPr>
        <w:t>R</w:t>
      </w:r>
      <w:r w:rsidRPr="005B0931">
        <w:rPr>
          <w:rFonts w:eastAsia="Calibri"/>
          <w:sz w:val="20"/>
          <w:szCs w:val="20"/>
        </w:rPr>
        <w:t>adiol</w:t>
      </w:r>
      <w:proofErr w:type="spellEnd"/>
      <w:r w:rsidR="002A6D47" w:rsidRPr="005B0931">
        <w:rPr>
          <w:rFonts w:eastAsia="Calibri"/>
          <w:sz w:val="20"/>
          <w:szCs w:val="20"/>
        </w:rPr>
        <w:t xml:space="preserve"> </w:t>
      </w:r>
      <w:r w:rsidRPr="005B0931">
        <w:rPr>
          <w:rFonts w:eastAsia="Calibri"/>
          <w:sz w:val="20"/>
          <w:szCs w:val="20"/>
        </w:rPr>
        <w:t>2009;</w:t>
      </w:r>
      <w:r w:rsidR="002A6D47" w:rsidRPr="005B0931">
        <w:rPr>
          <w:rFonts w:eastAsia="Calibri"/>
          <w:sz w:val="20"/>
          <w:szCs w:val="20"/>
        </w:rPr>
        <w:t xml:space="preserve"> </w:t>
      </w:r>
      <w:r w:rsidRPr="005B0931">
        <w:rPr>
          <w:rFonts w:eastAsia="Calibri"/>
          <w:sz w:val="20"/>
          <w:szCs w:val="20"/>
        </w:rPr>
        <w:t>38:218–227.</w:t>
      </w:r>
    </w:p>
    <w:p w:rsidR="002A6D47" w:rsidRPr="005B0931" w:rsidRDefault="00E973C5" w:rsidP="002A6D47">
      <w:pPr>
        <w:pStyle w:val="ListParagraph"/>
        <w:numPr>
          <w:ilvl w:val="0"/>
          <w:numId w:val="32"/>
        </w:numPr>
        <w:snapToGrid w:val="0"/>
        <w:ind w:left="425" w:hanging="425"/>
        <w:jc w:val="both"/>
        <w:textAlignment w:val="baseline"/>
        <w:rPr>
          <w:rStyle w:val="citation"/>
          <w:color w:val="000000"/>
          <w:sz w:val="20"/>
          <w:szCs w:val="20"/>
          <w:shd w:val="clear" w:color="auto" w:fill="FFFFFF"/>
        </w:rPr>
      </w:pPr>
      <w:proofErr w:type="spellStart"/>
      <w:r w:rsidRPr="005B0931">
        <w:rPr>
          <w:rStyle w:val="citation"/>
          <w:color w:val="000000"/>
          <w:sz w:val="20"/>
          <w:szCs w:val="20"/>
          <w:shd w:val="clear" w:color="auto" w:fill="FFFFFF"/>
        </w:rPr>
        <w:t>Roquer</w:t>
      </w:r>
      <w:proofErr w:type="spellEnd"/>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J,</w:t>
      </w:r>
      <w:r w:rsidR="002A6D47" w:rsidRPr="005B0931">
        <w:rPr>
          <w:rStyle w:val="citation"/>
          <w:color w:val="000000"/>
          <w:sz w:val="20"/>
          <w:szCs w:val="20"/>
          <w:shd w:val="clear" w:color="auto" w:fill="FFFFFF"/>
        </w:rPr>
        <w:t xml:space="preserve"> </w:t>
      </w:r>
      <w:proofErr w:type="spellStart"/>
      <w:r w:rsidRPr="005B0931">
        <w:rPr>
          <w:rStyle w:val="citation"/>
          <w:color w:val="000000"/>
          <w:sz w:val="20"/>
          <w:szCs w:val="20"/>
          <w:shd w:val="clear" w:color="auto" w:fill="FFFFFF"/>
        </w:rPr>
        <w:t>Campello</w:t>
      </w:r>
      <w:proofErr w:type="spellEnd"/>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AR,</w:t>
      </w:r>
      <w:r w:rsidR="002A6D47" w:rsidRPr="005B0931">
        <w:rPr>
          <w:rStyle w:val="citation"/>
          <w:color w:val="000000"/>
          <w:sz w:val="20"/>
          <w:szCs w:val="20"/>
          <w:shd w:val="clear" w:color="auto" w:fill="FFFFFF"/>
        </w:rPr>
        <w:t xml:space="preserve"> </w:t>
      </w:r>
      <w:proofErr w:type="spellStart"/>
      <w:r w:rsidRPr="005B0931">
        <w:rPr>
          <w:rStyle w:val="citation"/>
          <w:color w:val="000000"/>
          <w:sz w:val="20"/>
          <w:szCs w:val="20"/>
          <w:shd w:val="clear" w:color="auto" w:fill="FFFFFF"/>
        </w:rPr>
        <w:t>Gomis</w:t>
      </w:r>
      <w:proofErr w:type="spellEnd"/>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M.</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Sex</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differences</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in</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first-ever</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acute</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stroke.</w:t>
      </w:r>
      <w:r w:rsidR="002A6D47" w:rsidRPr="005B0931">
        <w:rPr>
          <w:rStyle w:val="apple-converted-space"/>
          <w:color w:val="000000"/>
          <w:sz w:val="20"/>
          <w:szCs w:val="20"/>
          <w:shd w:val="clear" w:color="auto" w:fill="FFFFFF"/>
        </w:rPr>
        <w:t xml:space="preserve"> </w:t>
      </w:r>
      <w:r w:rsidRPr="005B0931">
        <w:rPr>
          <w:rStyle w:val="ref-journal"/>
          <w:color w:val="000000"/>
          <w:sz w:val="20"/>
          <w:szCs w:val="20"/>
          <w:shd w:val="clear" w:color="auto" w:fill="FFFFFF"/>
        </w:rPr>
        <w:t>Stroke.</w:t>
      </w:r>
      <w:r w:rsidR="002A6D47" w:rsidRPr="005B0931">
        <w:rPr>
          <w:rStyle w:val="apple-converted-space"/>
          <w:color w:val="000000"/>
          <w:sz w:val="20"/>
          <w:szCs w:val="20"/>
          <w:shd w:val="clear" w:color="auto" w:fill="FFFFFF"/>
        </w:rPr>
        <w:t xml:space="preserve"> </w:t>
      </w:r>
      <w:r w:rsidRPr="005B0931">
        <w:rPr>
          <w:rStyle w:val="citation"/>
          <w:color w:val="000000"/>
          <w:sz w:val="20"/>
          <w:szCs w:val="20"/>
          <w:shd w:val="clear" w:color="auto" w:fill="FFFFFF"/>
        </w:rPr>
        <w:t>2003;</w:t>
      </w:r>
      <w:r w:rsidRPr="005B0931">
        <w:rPr>
          <w:rStyle w:val="ref-vol"/>
          <w:color w:val="000000"/>
          <w:sz w:val="20"/>
          <w:szCs w:val="20"/>
          <w:shd w:val="clear" w:color="auto" w:fill="FFFFFF"/>
        </w:rPr>
        <w:t>34</w:t>
      </w:r>
      <w:r w:rsidRPr="005B0931">
        <w:rPr>
          <w:rStyle w:val="citation"/>
          <w:color w:val="000000"/>
          <w:sz w:val="20"/>
          <w:szCs w:val="20"/>
          <w:shd w:val="clear" w:color="auto" w:fill="FFFFFF"/>
        </w:rPr>
        <w:t>:1581–8</w:t>
      </w:r>
      <w:r w:rsidR="002A6D47" w:rsidRPr="005B0931">
        <w:rPr>
          <w:rStyle w:val="citation"/>
          <w:color w:val="000000"/>
          <w:sz w:val="20"/>
          <w:szCs w:val="20"/>
          <w:shd w:val="clear" w:color="auto" w:fill="FFFFFF"/>
        </w:rPr>
        <w:t>5.</w:t>
      </w:r>
    </w:p>
    <w:p w:rsidR="002A6D47" w:rsidRPr="005B0931" w:rsidRDefault="00E973C5" w:rsidP="002A6D47">
      <w:pPr>
        <w:pStyle w:val="ListParagraph"/>
        <w:numPr>
          <w:ilvl w:val="0"/>
          <w:numId w:val="32"/>
        </w:numPr>
        <w:snapToGrid w:val="0"/>
        <w:ind w:left="425" w:hanging="425"/>
        <w:jc w:val="both"/>
        <w:textAlignment w:val="baseline"/>
        <w:rPr>
          <w:rStyle w:val="citation"/>
          <w:color w:val="000000"/>
          <w:sz w:val="20"/>
          <w:szCs w:val="20"/>
          <w:shd w:val="clear" w:color="auto" w:fill="FFFFFF"/>
        </w:rPr>
      </w:pPr>
      <w:r w:rsidRPr="005B0931">
        <w:rPr>
          <w:rStyle w:val="citation"/>
          <w:color w:val="000000"/>
          <w:sz w:val="20"/>
          <w:szCs w:val="20"/>
          <w:shd w:val="clear" w:color="auto" w:fill="FFFFFF"/>
        </w:rPr>
        <w:t>Di</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Carlo</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A,</w:t>
      </w:r>
      <w:r w:rsidR="002A6D47" w:rsidRPr="005B0931">
        <w:rPr>
          <w:rStyle w:val="citation"/>
          <w:color w:val="000000"/>
          <w:sz w:val="20"/>
          <w:szCs w:val="20"/>
          <w:shd w:val="clear" w:color="auto" w:fill="FFFFFF"/>
        </w:rPr>
        <w:t xml:space="preserve"> </w:t>
      </w:r>
      <w:proofErr w:type="spellStart"/>
      <w:r w:rsidRPr="005B0931">
        <w:rPr>
          <w:rStyle w:val="citation"/>
          <w:color w:val="000000"/>
          <w:sz w:val="20"/>
          <w:szCs w:val="20"/>
          <w:shd w:val="clear" w:color="auto" w:fill="FFFFFF"/>
        </w:rPr>
        <w:t>Lamassa</w:t>
      </w:r>
      <w:proofErr w:type="spellEnd"/>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M,</w:t>
      </w:r>
      <w:r w:rsidR="002A6D47" w:rsidRPr="005B0931">
        <w:rPr>
          <w:rStyle w:val="citation"/>
          <w:color w:val="000000"/>
          <w:sz w:val="20"/>
          <w:szCs w:val="20"/>
          <w:shd w:val="clear" w:color="auto" w:fill="FFFFFF"/>
        </w:rPr>
        <w:t xml:space="preserve"> </w:t>
      </w:r>
      <w:proofErr w:type="spellStart"/>
      <w:r w:rsidRPr="005B0931">
        <w:rPr>
          <w:rStyle w:val="citation"/>
          <w:color w:val="000000"/>
          <w:sz w:val="20"/>
          <w:szCs w:val="20"/>
          <w:shd w:val="clear" w:color="auto" w:fill="FFFFFF"/>
        </w:rPr>
        <w:t>Baldereschi</w:t>
      </w:r>
      <w:proofErr w:type="spellEnd"/>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M,</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et</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al.</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Sex</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differences</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in</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the</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clinical</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presentation,</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resource</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use,</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and</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3-month</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outcome</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of</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acute</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stroke</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in</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Europe:</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data</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from</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a</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multicenter</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multinational</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hospital-based</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registry.</w:t>
      </w:r>
      <w:r w:rsidR="002A6D47" w:rsidRPr="005B0931">
        <w:rPr>
          <w:rStyle w:val="apple-converted-space"/>
          <w:color w:val="000000"/>
          <w:sz w:val="20"/>
          <w:szCs w:val="20"/>
          <w:shd w:val="clear" w:color="auto" w:fill="FFFFFF"/>
        </w:rPr>
        <w:t xml:space="preserve"> </w:t>
      </w:r>
      <w:r w:rsidRPr="005B0931">
        <w:rPr>
          <w:rStyle w:val="ref-journal"/>
          <w:color w:val="000000"/>
          <w:sz w:val="20"/>
          <w:szCs w:val="20"/>
          <w:shd w:val="clear" w:color="auto" w:fill="FFFFFF"/>
        </w:rPr>
        <w:t>Stroke.</w:t>
      </w:r>
      <w:r w:rsidR="005B0931" w:rsidRPr="005B0931">
        <w:rPr>
          <w:rStyle w:val="ref-journal"/>
          <w:rFonts w:eastAsiaTheme="minorEastAsia" w:hint="eastAsia"/>
          <w:color w:val="000000"/>
          <w:sz w:val="20"/>
          <w:szCs w:val="20"/>
          <w:shd w:val="clear" w:color="auto" w:fill="FFFFFF"/>
          <w:lang w:eastAsia="zh-CN"/>
        </w:rPr>
        <w:t xml:space="preserve"> </w:t>
      </w:r>
      <w:r w:rsidRPr="005B0931">
        <w:rPr>
          <w:rStyle w:val="citation"/>
          <w:color w:val="000000"/>
          <w:sz w:val="20"/>
          <w:szCs w:val="20"/>
          <w:shd w:val="clear" w:color="auto" w:fill="FFFFFF"/>
        </w:rPr>
        <w:t>2003;</w:t>
      </w:r>
      <w:r w:rsidRPr="005B0931">
        <w:rPr>
          <w:rStyle w:val="ref-vol"/>
          <w:color w:val="000000"/>
          <w:sz w:val="20"/>
          <w:szCs w:val="20"/>
          <w:shd w:val="clear" w:color="auto" w:fill="FFFFFF"/>
        </w:rPr>
        <w:t>34</w:t>
      </w:r>
      <w:r w:rsidRPr="005B0931">
        <w:rPr>
          <w:rStyle w:val="citation"/>
          <w:color w:val="000000"/>
          <w:sz w:val="20"/>
          <w:szCs w:val="20"/>
          <w:shd w:val="clear" w:color="auto" w:fill="FFFFFF"/>
        </w:rPr>
        <w:t>:1114–1</w:t>
      </w:r>
      <w:r w:rsidR="002A6D47" w:rsidRPr="005B0931">
        <w:rPr>
          <w:rStyle w:val="citation"/>
          <w:color w:val="000000"/>
          <w:sz w:val="20"/>
          <w:szCs w:val="20"/>
          <w:shd w:val="clear" w:color="auto" w:fill="FFFFFF"/>
        </w:rPr>
        <w:t>9.</w:t>
      </w:r>
    </w:p>
    <w:p w:rsidR="002A6D47" w:rsidRPr="005B0931" w:rsidRDefault="00E973C5" w:rsidP="002A6D47">
      <w:pPr>
        <w:pStyle w:val="ListParagraph"/>
        <w:numPr>
          <w:ilvl w:val="0"/>
          <w:numId w:val="32"/>
        </w:numPr>
        <w:snapToGrid w:val="0"/>
        <w:ind w:left="425" w:hanging="425"/>
        <w:jc w:val="both"/>
        <w:textAlignment w:val="baseline"/>
        <w:rPr>
          <w:color w:val="000000"/>
          <w:sz w:val="20"/>
          <w:szCs w:val="20"/>
          <w:shd w:val="clear" w:color="auto" w:fill="FFFFFF"/>
        </w:rPr>
      </w:pPr>
      <w:proofErr w:type="spellStart"/>
      <w:r w:rsidRPr="005B0931">
        <w:rPr>
          <w:color w:val="000000"/>
          <w:sz w:val="20"/>
          <w:szCs w:val="20"/>
          <w:shd w:val="clear" w:color="auto" w:fill="FFFFFF"/>
        </w:rPr>
        <w:t>Niewada</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M,</w:t>
      </w:r>
      <w:r w:rsidR="002A6D47" w:rsidRPr="005B0931">
        <w:rPr>
          <w:color w:val="000000"/>
          <w:sz w:val="20"/>
          <w:szCs w:val="20"/>
          <w:shd w:val="clear" w:color="auto" w:fill="FFFFFF"/>
        </w:rPr>
        <w:t xml:space="preserve"> </w:t>
      </w:r>
      <w:r w:rsidRPr="005B0931">
        <w:rPr>
          <w:color w:val="000000"/>
          <w:sz w:val="20"/>
          <w:szCs w:val="20"/>
          <w:shd w:val="clear" w:color="auto" w:fill="FFFFFF"/>
        </w:rPr>
        <w:t>Kobayashi</w:t>
      </w:r>
      <w:r w:rsidR="002A6D47" w:rsidRPr="005B0931">
        <w:rPr>
          <w:color w:val="000000"/>
          <w:sz w:val="20"/>
          <w:szCs w:val="20"/>
          <w:shd w:val="clear" w:color="auto" w:fill="FFFFFF"/>
        </w:rPr>
        <w:t xml:space="preserve"> </w:t>
      </w:r>
      <w:r w:rsidRPr="005B0931">
        <w:rPr>
          <w:color w:val="000000"/>
          <w:sz w:val="20"/>
          <w:szCs w:val="20"/>
          <w:shd w:val="clear" w:color="auto" w:fill="FFFFFF"/>
        </w:rPr>
        <w:t>A,</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Sandercock</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PA,</w:t>
      </w:r>
      <w:r w:rsidR="002A6D47" w:rsidRPr="005B0931">
        <w:rPr>
          <w:color w:val="000000"/>
          <w:sz w:val="20"/>
          <w:szCs w:val="20"/>
          <w:shd w:val="clear" w:color="auto" w:fill="FFFFFF"/>
        </w:rPr>
        <w:t xml:space="preserve"> </w:t>
      </w:r>
      <w:r w:rsidRPr="005B0931">
        <w:rPr>
          <w:color w:val="000000"/>
          <w:sz w:val="20"/>
          <w:szCs w:val="20"/>
          <w:shd w:val="clear" w:color="auto" w:fill="FFFFFF"/>
        </w:rPr>
        <w:t>Kaminski</w:t>
      </w:r>
      <w:r w:rsidR="002A6D47" w:rsidRPr="005B0931">
        <w:rPr>
          <w:color w:val="000000"/>
          <w:sz w:val="20"/>
          <w:szCs w:val="20"/>
          <w:shd w:val="clear" w:color="auto" w:fill="FFFFFF"/>
        </w:rPr>
        <w:t xml:space="preserve"> </w:t>
      </w:r>
      <w:r w:rsidRPr="005B0931">
        <w:rPr>
          <w:color w:val="000000"/>
          <w:sz w:val="20"/>
          <w:szCs w:val="20"/>
          <w:shd w:val="clear" w:color="auto" w:fill="FFFFFF"/>
        </w:rPr>
        <w:t>B,</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Czlonkowska</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A.</w:t>
      </w:r>
      <w:r w:rsidR="002A6D47" w:rsidRPr="005B0931">
        <w:rPr>
          <w:color w:val="000000"/>
          <w:sz w:val="20"/>
          <w:szCs w:val="20"/>
          <w:shd w:val="clear" w:color="auto" w:fill="FFFFFF"/>
        </w:rPr>
        <w:t xml:space="preserve"> </w:t>
      </w:r>
      <w:r w:rsidRPr="005B0931">
        <w:rPr>
          <w:color w:val="000000"/>
          <w:sz w:val="20"/>
          <w:szCs w:val="20"/>
          <w:shd w:val="clear" w:color="auto" w:fill="FFFFFF"/>
        </w:rPr>
        <w:t>Influence</w:t>
      </w:r>
      <w:r w:rsidR="002A6D47" w:rsidRPr="005B0931">
        <w:rPr>
          <w:color w:val="000000"/>
          <w:sz w:val="20"/>
          <w:szCs w:val="20"/>
          <w:shd w:val="clear" w:color="auto" w:fill="FFFFFF"/>
        </w:rPr>
        <w:t xml:space="preserve"> </w:t>
      </w:r>
      <w:r w:rsidRPr="005B0931">
        <w:rPr>
          <w:color w:val="000000"/>
          <w:sz w:val="20"/>
          <w:szCs w:val="20"/>
          <w:shd w:val="clear" w:color="auto" w:fill="FFFFFF"/>
        </w:rPr>
        <w:t>of</w:t>
      </w:r>
      <w:r w:rsidR="002A6D47" w:rsidRPr="005B0931">
        <w:rPr>
          <w:color w:val="000000"/>
          <w:sz w:val="20"/>
          <w:szCs w:val="20"/>
          <w:shd w:val="clear" w:color="auto" w:fill="FFFFFF"/>
        </w:rPr>
        <w:t xml:space="preserve"> </w:t>
      </w:r>
      <w:r w:rsidRPr="005B0931">
        <w:rPr>
          <w:color w:val="000000"/>
          <w:sz w:val="20"/>
          <w:szCs w:val="20"/>
          <w:shd w:val="clear" w:color="auto" w:fill="FFFFFF"/>
        </w:rPr>
        <w:t>gender</w:t>
      </w:r>
      <w:r w:rsidR="002A6D47" w:rsidRPr="005B0931">
        <w:rPr>
          <w:color w:val="000000"/>
          <w:sz w:val="20"/>
          <w:szCs w:val="20"/>
          <w:shd w:val="clear" w:color="auto" w:fill="FFFFFF"/>
        </w:rPr>
        <w:t xml:space="preserve"> </w:t>
      </w:r>
      <w:r w:rsidRPr="005B0931">
        <w:rPr>
          <w:color w:val="000000"/>
          <w:sz w:val="20"/>
          <w:szCs w:val="20"/>
          <w:shd w:val="clear" w:color="auto" w:fill="FFFFFF"/>
        </w:rPr>
        <w:t>on</w:t>
      </w:r>
      <w:r w:rsidR="002A6D47" w:rsidRPr="005B0931">
        <w:rPr>
          <w:color w:val="000000"/>
          <w:sz w:val="20"/>
          <w:szCs w:val="20"/>
          <w:shd w:val="clear" w:color="auto" w:fill="FFFFFF"/>
        </w:rPr>
        <w:t xml:space="preserve"> </w:t>
      </w:r>
      <w:r w:rsidRPr="005B0931">
        <w:rPr>
          <w:color w:val="000000"/>
          <w:sz w:val="20"/>
          <w:szCs w:val="20"/>
          <w:shd w:val="clear" w:color="auto" w:fill="FFFFFF"/>
        </w:rPr>
        <w:t>baseline</w:t>
      </w:r>
      <w:r w:rsidR="002A6D47" w:rsidRPr="005B0931">
        <w:rPr>
          <w:color w:val="000000"/>
          <w:sz w:val="20"/>
          <w:szCs w:val="20"/>
          <w:shd w:val="clear" w:color="auto" w:fill="FFFFFF"/>
        </w:rPr>
        <w:t xml:space="preserve"> </w:t>
      </w:r>
      <w:r w:rsidRPr="005B0931">
        <w:rPr>
          <w:color w:val="000000"/>
          <w:sz w:val="20"/>
          <w:szCs w:val="20"/>
          <w:shd w:val="clear" w:color="auto" w:fill="FFFFFF"/>
        </w:rPr>
        <w:t>features</w:t>
      </w:r>
      <w:r w:rsidR="002A6D47" w:rsidRPr="005B0931">
        <w:rPr>
          <w:color w:val="000000"/>
          <w:sz w:val="20"/>
          <w:szCs w:val="20"/>
          <w:shd w:val="clear" w:color="auto" w:fill="FFFFFF"/>
        </w:rPr>
        <w:t xml:space="preserve"> </w:t>
      </w:r>
      <w:r w:rsidRPr="005B0931">
        <w:rPr>
          <w:color w:val="000000"/>
          <w:sz w:val="20"/>
          <w:szCs w:val="20"/>
          <w:shd w:val="clear" w:color="auto" w:fill="FFFFFF"/>
        </w:rPr>
        <w:t>and</w:t>
      </w:r>
      <w:r w:rsidR="002A6D47" w:rsidRPr="005B0931">
        <w:rPr>
          <w:color w:val="000000"/>
          <w:sz w:val="20"/>
          <w:szCs w:val="20"/>
          <w:shd w:val="clear" w:color="auto" w:fill="FFFFFF"/>
        </w:rPr>
        <w:t xml:space="preserve"> </w:t>
      </w:r>
      <w:r w:rsidRPr="005B0931">
        <w:rPr>
          <w:color w:val="000000"/>
          <w:sz w:val="20"/>
          <w:szCs w:val="20"/>
          <w:shd w:val="clear" w:color="auto" w:fill="FFFFFF"/>
        </w:rPr>
        <w:t>clinical</w:t>
      </w:r>
      <w:r w:rsidR="002A6D47" w:rsidRPr="005B0931">
        <w:rPr>
          <w:color w:val="000000"/>
          <w:sz w:val="20"/>
          <w:szCs w:val="20"/>
          <w:shd w:val="clear" w:color="auto" w:fill="FFFFFF"/>
        </w:rPr>
        <w:t xml:space="preserve"> </w:t>
      </w:r>
      <w:r w:rsidRPr="005B0931">
        <w:rPr>
          <w:color w:val="000000"/>
          <w:sz w:val="20"/>
          <w:szCs w:val="20"/>
          <w:shd w:val="clear" w:color="auto" w:fill="FFFFFF"/>
        </w:rPr>
        <w:t>outcomes</w:t>
      </w:r>
      <w:r w:rsidR="002A6D47" w:rsidRPr="005B0931">
        <w:rPr>
          <w:color w:val="000000"/>
          <w:sz w:val="20"/>
          <w:szCs w:val="20"/>
          <w:shd w:val="clear" w:color="auto" w:fill="FFFFFF"/>
        </w:rPr>
        <w:t xml:space="preserve"> </w:t>
      </w:r>
      <w:r w:rsidRPr="005B0931">
        <w:rPr>
          <w:color w:val="000000"/>
          <w:sz w:val="20"/>
          <w:szCs w:val="20"/>
          <w:shd w:val="clear" w:color="auto" w:fill="FFFFFF"/>
        </w:rPr>
        <w:t>among</w:t>
      </w:r>
      <w:r w:rsidR="002A6D47" w:rsidRPr="005B0931">
        <w:rPr>
          <w:color w:val="000000"/>
          <w:sz w:val="20"/>
          <w:szCs w:val="20"/>
          <w:shd w:val="clear" w:color="auto" w:fill="FFFFFF"/>
        </w:rPr>
        <w:t xml:space="preserve"> </w:t>
      </w:r>
      <w:r w:rsidRPr="005B0931">
        <w:rPr>
          <w:color w:val="000000"/>
          <w:sz w:val="20"/>
          <w:szCs w:val="20"/>
          <w:shd w:val="clear" w:color="auto" w:fill="FFFFFF"/>
        </w:rPr>
        <w:t>17,370</w:t>
      </w:r>
      <w:r w:rsidR="002A6D47" w:rsidRPr="005B0931">
        <w:rPr>
          <w:color w:val="000000"/>
          <w:sz w:val="20"/>
          <w:szCs w:val="20"/>
          <w:shd w:val="clear" w:color="auto" w:fill="FFFFFF"/>
        </w:rPr>
        <w:t xml:space="preserve"> </w:t>
      </w:r>
      <w:r w:rsidRPr="005B0931">
        <w:rPr>
          <w:color w:val="000000"/>
          <w:sz w:val="20"/>
          <w:szCs w:val="20"/>
          <w:shd w:val="clear" w:color="auto" w:fill="FFFFFF"/>
        </w:rPr>
        <w:t>patients</w:t>
      </w:r>
      <w:r w:rsidR="002A6D47" w:rsidRPr="005B0931">
        <w:rPr>
          <w:color w:val="000000"/>
          <w:sz w:val="20"/>
          <w:szCs w:val="20"/>
          <w:shd w:val="clear" w:color="auto" w:fill="FFFFFF"/>
        </w:rPr>
        <w:t xml:space="preserve"> </w:t>
      </w:r>
      <w:r w:rsidRPr="005B0931">
        <w:rPr>
          <w:color w:val="000000"/>
          <w:sz w:val="20"/>
          <w:szCs w:val="20"/>
          <w:shd w:val="clear" w:color="auto" w:fill="FFFFFF"/>
        </w:rPr>
        <w:t>with</w:t>
      </w:r>
      <w:r w:rsidR="002A6D47" w:rsidRPr="005B0931">
        <w:rPr>
          <w:color w:val="000000"/>
          <w:sz w:val="20"/>
          <w:szCs w:val="20"/>
          <w:shd w:val="clear" w:color="auto" w:fill="FFFFFF"/>
        </w:rPr>
        <w:t xml:space="preserve"> </w:t>
      </w:r>
      <w:r w:rsidRPr="005B0931">
        <w:rPr>
          <w:color w:val="000000"/>
          <w:sz w:val="20"/>
          <w:szCs w:val="20"/>
          <w:shd w:val="clear" w:color="auto" w:fill="FFFFFF"/>
        </w:rPr>
        <w:t>confirmed</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ischaemic</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stroke</w:t>
      </w:r>
      <w:r w:rsidR="002A6D47" w:rsidRPr="005B0931">
        <w:rPr>
          <w:color w:val="000000"/>
          <w:sz w:val="20"/>
          <w:szCs w:val="20"/>
          <w:shd w:val="clear" w:color="auto" w:fill="FFFFFF"/>
        </w:rPr>
        <w:t xml:space="preserve"> </w:t>
      </w:r>
      <w:r w:rsidRPr="005B0931">
        <w:rPr>
          <w:color w:val="000000"/>
          <w:sz w:val="20"/>
          <w:szCs w:val="20"/>
          <w:shd w:val="clear" w:color="auto" w:fill="FFFFFF"/>
        </w:rPr>
        <w:t>in</w:t>
      </w:r>
      <w:r w:rsidR="002A6D47" w:rsidRPr="005B0931">
        <w:rPr>
          <w:color w:val="000000"/>
          <w:sz w:val="20"/>
          <w:szCs w:val="20"/>
          <w:shd w:val="clear" w:color="auto" w:fill="FFFFFF"/>
        </w:rPr>
        <w:t xml:space="preserve"> </w:t>
      </w:r>
      <w:r w:rsidRPr="005B0931">
        <w:rPr>
          <w:color w:val="000000"/>
          <w:sz w:val="20"/>
          <w:szCs w:val="20"/>
          <w:shd w:val="clear" w:color="auto" w:fill="FFFFFF"/>
        </w:rPr>
        <w:t>the</w:t>
      </w:r>
      <w:r w:rsidR="002A6D47" w:rsidRPr="005B0931">
        <w:rPr>
          <w:color w:val="000000"/>
          <w:sz w:val="20"/>
          <w:szCs w:val="20"/>
          <w:shd w:val="clear" w:color="auto" w:fill="FFFFFF"/>
        </w:rPr>
        <w:t xml:space="preserve"> </w:t>
      </w:r>
      <w:r w:rsidRPr="005B0931">
        <w:rPr>
          <w:color w:val="000000"/>
          <w:sz w:val="20"/>
          <w:szCs w:val="20"/>
          <w:shd w:val="clear" w:color="auto" w:fill="FFFFFF"/>
        </w:rPr>
        <w:t>international</w:t>
      </w:r>
      <w:r w:rsidR="002A6D47" w:rsidRPr="005B0931">
        <w:rPr>
          <w:color w:val="000000"/>
          <w:sz w:val="20"/>
          <w:szCs w:val="20"/>
          <w:shd w:val="clear" w:color="auto" w:fill="FFFFFF"/>
        </w:rPr>
        <w:t xml:space="preserve"> </w:t>
      </w:r>
      <w:r w:rsidRPr="005B0931">
        <w:rPr>
          <w:color w:val="000000"/>
          <w:sz w:val="20"/>
          <w:szCs w:val="20"/>
          <w:shd w:val="clear" w:color="auto" w:fill="FFFFFF"/>
        </w:rPr>
        <w:t>stroke</w:t>
      </w:r>
      <w:r w:rsidR="002A6D47" w:rsidRPr="005B0931">
        <w:rPr>
          <w:color w:val="000000"/>
          <w:sz w:val="20"/>
          <w:szCs w:val="20"/>
          <w:shd w:val="clear" w:color="auto" w:fill="FFFFFF"/>
        </w:rPr>
        <w:t xml:space="preserve"> </w:t>
      </w:r>
      <w:r w:rsidRPr="005B0931">
        <w:rPr>
          <w:color w:val="000000"/>
          <w:sz w:val="20"/>
          <w:szCs w:val="20"/>
          <w:shd w:val="clear" w:color="auto" w:fill="FFFFFF"/>
        </w:rPr>
        <w:t>trial.</w:t>
      </w:r>
      <w:r w:rsidR="002A6D47" w:rsidRPr="005B0931">
        <w:rPr>
          <w:rStyle w:val="apple-converted-space"/>
          <w:color w:val="000000"/>
          <w:sz w:val="20"/>
          <w:szCs w:val="20"/>
          <w:shd w:val="clear" w:color="auto" w:fill="FFFFFF"/>
        </w:rPr>
        <w:t xml:space="preserve"> </w:t>
      </w:r>
      <w:proofErr w:type="spellStart"/>
      <w:r w:rsidRPr="005B0931">
        <w:rPr>
          <w:rStyle w:val="ref-journal"/>
          <w:color w:val="000000"/>
          <w:sz w:val="20"/>
          <w:szCs w:val="20"/>
          <w:shd w:val="clear" w:color="auto" w:fill="FFFFFF"/>
        </w:rPr>
        <w:t>Neuroepidemiology</w:t>
      </w:r>
      <w:proofErr w:type="spellEnd"/>
      <w:r w:rsidRPr="005B0931">
        <w:rPr>
          <w:rStyle w:val="ref-journal"/>
          <w:color w:val="000000"/>
          <w:sz w:val="20"/>
          <w:szCs w:val="20"/>
          <w:shd w:val="clear" w:color="auto" w:fill="FFFFFF"/>
        </w:rPr>
        <w:t>.</w:t>
      </w:r>
      <w:r w:rsidR="002A6D47" w:rsidRPr="005B0931">
        <w:rPr>
          <w:rStyle w:val="apple-converted-space"/>
          <w:color w:val="000000"/>
          <w:sz w:val="20"/>
          <w:szCs w:val="20"/>
          <w:shd w:val="clear" w:color="auto" w:fill="FFFFFF"/>
        </w:rPr>
        <w:t xml:space="preserve"> </w:t>
      </w:r>
      <w:r w:rsidRPr="005B0931">
        <w:rPr>
          <w:color w:val="000000"/>
          <w:sz w:val="20"/>
          <w:szCs w:val="20"/>
          <w:shd w:val="clear" w:color="auto" w:fill="FFFFFF"/>
        </w:rPr>
        <w:t>2005;</w:t>
      </w:r>
      <w:r w:rsidRPr="005B0931">
        <w:rPr>
          <w:rStyle w:val="ref-vol"/>
          <w:color w:val="000000"/>
          <w:sz w:val="20"/>
          <w:szCs w:val="20"/>
          <w:shd w:val="clear" w:color="auto" w:fill="FFFFFF"/>
        </w:rPr>
        <w:t>24</w:t>
      </w:r>
      <w:r w:rsidRPr="005B0931">
        <w:rPr>
          <w:color w:val="000000"/>
          <w:sz w:val="20"/>
          <w:szCs w:val="20"/>
          <w:shd w:val="clear" w:color="auto" w:fill="FFFFFF"/>
        </w:rPr>
        <w:t>:123–2</w:t>
      </w:r>
      <w:r w:rsidR="002A6D47" w:rsidRPr="005B0931">
        <w:rPr>
          <w:color w:val="000000"/>
          <w:sz w:val="20"/>
          <w:szCs w:val="20"/>
          <w:shd w:val="clear" w:color="auto" w:fill="FFFFFF"/>
        </w:rPr>
        <w:t>8.</w:t>
      </w:r>
    </w:p>
    <w:p w:rsidR="002A6D47" w:rsidRPr="005B0931" w:rsidRDefault="00E973C5" w:rsidP="002A6D47">
      <w:pPr>
        <w:pStyle w:val="ListParagraph"/>
        <w:numPr>
          <w:ilvl w:val="0"/>
          <w:numId w:val="32"/>
        </w:numPr>
        <w:snapToGrid w:val="0"/>
        <w:ind w:left="425" w:hanging="425"/>
        <w:jc w:val="both"/>
        <w:textAlignment w:val="baseline"/>
        <w:rPr>
          <w:color w:val="000000"/>
          <w:sz w:val="20"/>
          <w:szCs w:val="20"/>
          <w:shd w:val="clear" w:color="auto" w:fill="FFFFFF"/>
        </w:rPr>
      </w:pPr>
      <w:proofErr w:type="spellStart"/>
      <w:r w:rsidRPr="005B0931">
        <w:rPr>
          <w:color w:val="000000"/>
          <w:sz w:val="20"/>
          <w:szCs w:val="20"/>
          <w:shd w:val="clear" w:color="auto" w:fill="FFFFFF"/>
        </w:rPr>
        <w:t>Wyller</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TB,</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Sodring</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KM,</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Sveen</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U,</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Ljunggren</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AE,</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Bautz-Holter</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E.</w:t>
      </w:r>
      <w:r w:rsidR="002A6D47" w:rsidRPr="005B0931">
        <w:rPr>
          <w:color w:val="000000"/>
          <w:sz w:val="20"/>
          <w:szCs w:val="20"/>
          <w:shd w:val="clear" w:color="auto" w:fill="FFFFFF"/>
        </w:rPr>
        <w:t xml:space="preserve"> </w:t>
      </w:r>
      <w:r w:rsidRPr="005B0931">
        <w:rPr>
          <w:color w:val="000000"/>
          <w:sz w:val="20"/>
          <w:szCs w:val="20"/>
          <w:shd w:val="clear" w:color="auto" w:fill="FFFFFF"/>
        </w:rPr>
        <w:t>Are</w:t>
      </w:r>
      <w:r w:rsidR="002A6D47" w:rsidRPr="005B0931">
        <w:rPr>
          <w:color w:val="000000"/>
          <w:sz w:val="20"/>
          <w:szCs w:val="20"/>
          <w:shd w:val="clear" w:color="auto" w:fill="FFFFFF"/>
        </w:rPr>
        <w:t xml:space="preserve"> </w:t>
      </w:r>
      <w:r w:rsidRPr="005B0931">
        <w:rPr>
          <w:color w:val="000000"/>
          <w:sz w:val="20"/>
          <w:szCs w:val="20"/>
          <w:shd w:val="clear" w:color="auto" w:fill="FFFFFF"/>
        </w:rPr>
        <w:t>there</w:t>
      </w:r>
      <w:r w:rsidR="002A6D47" w:rsidRPr="005B0931">
        <w:rPr>
          <w:color w:val="000000"/>
          <w:sz w:val="20"/>
          <w:szCs w:val="20"/>
          <w:shd w:val="clear" w:color="auto" w:fill="FFFFFF"/>
        </w:rPr>
        <w:t xml:space="preserve"> </w:t>
      </w:r>
      <w:r w:rsidRPr="005B0931">
        <w:rPr>
          <w:color w:val="000000"/>
          <w:sz w:val="20"/>
          <w:szCs w:val="20"/>
          <w:shd w:val="clear" w:color="auto" w:fill="FFFFFF"/>
        </w:rPr>
        <w:t>gender</w:t>
      </w:r>
      <w:r w:rsidR="002A6D47" w:rsidRPr="005B0931">
        <w:rPr>
          <w:color w:val="000000"/>
          <w:sz w:val="20"/>
          <w:szCs w:val="20"/>
          <w:shd w:val="clear" w:color="auto" w:fill="FFFFFF"/>
        </w:rPr>
        <w:t xml:space="preserve"> </w:t>
      </w:r>
      <w:r w:rsidRPr="005B0931">
        <w:rPr>
          <w:color w:val="000000"/>
          <w:sz w:val="20"/>
          <w:szCs w:val="20"/>
          <w:shd w:val="clear" w:color="auto" w:fill="FFFFFF"/>
        </w:rPr>
        <w:t>differences</w:t>
      </w:r>
      <w:r w:rsidR="002A6D47" w:rsidRPr="005B0931">
        <w:rPr>
          <w:color w:val="000000"/>
          <w:sz w:val="20"/>
          <w:szCs w:val="20"/>
          <w:shd w:val="clear" w:color="auto" w:fill="FFFFFF"/>
        </w:rPr>
        <w:t xml:space="preserve"> </w:t>
      </w:r>
      <w:r w:rsidRPr="005B0931">
        <w:rPr>
          <w:color w:val="000000"/>
          <w:sz w:val="20"/>
          <w:szCs w:val="20"/>
          <w:shd w:val="clear" w:color="auto" w:fill="FFFFFF"/>
        </w:rPr>
        <w:t>in</w:t>
      </w:r>
      <w:r w:rsidR="002A6D47" w:rsidRPr="005B0931">
        <w:rPr>
          <w:color w:val="000000"/>
          <w:sz w:val="20"/>
          <w:szCs w:val="20"/>
          <w:shd w:val="clear" w:color="auto" w:fill="FFFFFF"/>
        </w:rPr>
        <w:t xml:space="preserve"> </w:t>
      </w:r>
      <w:r w:rsidRPr="005B0931">
        <w:rPr>
          <w:color w:val="000000"/>
          <w:sz w:val="20"/>
          <w:szCs w:val="20"/>
          <w:shd w:val="clear" w:color="auto" w:fill="FFFFFF"/>
        </w:rPr>
        <w:t>functional</w:t>
      </w:r>
      <w:r w:rsidR="002A6D47" w:rsidRPr="005B0931">
        <w:rPr>
          <w:color w:val="000000"/>
          <w:sz w:val="20"/>
          <w:szCs w:val="20"/>
          <w:shd w:val="clear" w:color="auto" w:fill="FFFFFF"/>
        </w:rPr>
        <w:t xml:space="preserve"> </w:t>
      </w:r>
      <w:r w:rsidRPr="005B0931">
        <w:rPr>
          <w:color w:val="000000"/>
          <w:sz w:val="20"/>
          <w:szCs w:val="20"/>
          <w:shd w:val="clear" w:color="auto" w:fill="FFFFFF"/>
        </w:rPr>
        <w:t>outcome</w:t>
      </w:r>
      <w:r w:rsidR="002A6D47" w:rsidRPr="005B0931">
        <w:rPr>
          <w:color w:val="000000"/>
          <w:sz w:val="20"/>
          <w:szCs w:val="20"/>
          <w:shd w:val="clear" w:color="auto" w:fill="FFFFFF"/>
        </w:rPr>
        <w:t xml:space="preserve"> </w:t>
      </w:r>
      <w:r w:rsidRPr="005B0931">
        <w:rPr>
          <w:color w:val="000000"/>
          <w:sz w:val="20"/>
          <w:szCs w:val="20"/>
          <w:shd w:val="clear" w:color="auto" w:fill="FFFFFF"/>
        </w:rPr>
        <w:t>after</w:t>
      </w:r>
      <w:r w:rsidR="002A6D47" w:rsidRPr="005B0931">
        <w:rPr>
          <w:color w:val="000000"/>
          <w:sz w:val="20"/>
          <w:szCs w:val="20"/>
          <w:shd w:val="clear" w:color="auto" w:fill="FFFFFF"/>
        </w:rPr>
        <w:t xml:space="preserve"> </w:t>
      </w:r>
      <w:r w:rsidRPr="005B0931">
        <w:rPr>
          <w:color w:val="000000"/>
          <w:sz w:val="20"/>
          <w:szCs w:val="20"/>
          <w:shd w:val="clear" w:color="auto" w:fill="FFFFFF"/>
        </w:rPr>
        <w:t>stroke?</w:t>
      </w:r>
      <w:r w:rsidR="002A6D47" w:rsidRPr="005B0931">
        <w:rPr>
          <w:rStyle w:val="apple-converted-space"/>
          <w:color w:val="000000"/>
          <w:sz w:val="20"/>
          <w:szCs w:val="20"/>
          <w:shd w:val="clear" w:color="auto" w:fill="FFFFFF"/>
        </w:rPr>
        <w:t xml:space="preserve"> </w:t>
      </w:r>
      <w:proofErr w:type="spellStart"/>
      <w:r w:rsidRPr="005B0931">
        <w:rPr>
          <w:rStyle w:val="ref-journal"/>
          <w:color w:val="000000"/>
          <w:sz w:val="20"/>
          <w:szCs w:val="20"/>
          <w:shd w:val="clear" w:color="auto" w:fill="FFFFFF"/>
        </w:rPr>
        <w:t>Cli</w:t>
      </w:r>
      <w:r w:rsidR="002A6D47" w:rsidRPr="005B0931">
        <w:rPr>
          <w:rStyle w:val="ref-journal"/>
          <w:color w:val="000000"/>
          <w:sz w:val="20"/>
          <w:szCs w:val="20"/>
          <w:shd w:val="clear" w:color="auto" w:fill="FFFFFF"/>
        </w:rPr>
        <w:t>n</w:t>
      </w:r>
      <w:proofErr w:type="spellEnd"/>
      <w:r w:rsidR="002A6D47" w:rsidRPr="005B0931">
        <w:rPr>
          <w:rStyle w:val="ref-journal"/>
          <w:color w:val="000000"/>
          <w:sz w:val="20"/>
          <w:szCs w:val="20"/>
          <w:shd w:val="clear" w:color="auto" w:fill="FFFFFF"/>
        </w:rPr>
        <w:t xml:space="preserve"> </w:t>
      </w:r>
      <w:proofErr w:type="spellStart"/>
      <w:r w:rsidR="002A6D47" w:rsidRPr="005B0931">
        <w:rPr>
          <w:rStyle w:val="ref-journal"/>
          <w:color w:val="000000"/>
          <w:sz w:val="20"/>
          <w:szCs w:val="20"/>
          <w:shd w:val="clear" w:color="auto" w:fill="FFFFFF"/>
        </w:rPr>
        <w:t>R</w:t>
      </w:r>
      <w:r w:rsidRPr="005B0931">
        <w:rPr>
          <w:rStyle w:val="ref-journal"/>
          <w:color w:val="000000"/>
          <w:sz w:val="20"/>
          <w:szCs w:val="20"/>
          <w:shd w:val="clear" w:color="auto" w:fill="FFFFFF"/>
        </w:rPr>
        <w:t>ehabil</w:t>
      </w:r>
      <w:proofErr w:type="spellEnd"/>
      <w:r w:rsidRPr="005B0931">
        <w:rPr>
          <w:rStyle w:val="ref-journal"/>
          <w:color w:val="000000"/>
          <w:sz w:val="20"/>
          <w:szCs w:val="20"/>
          <w:shd w:val="clear" w:color="auto" w:fill="FFFFFF"/>
        </w:rPr>
        <w:t>.</w:t>
      </w:r>
      <w:r w:rsidR="002A6D47" w:rsidRPr="005B0931">
        <w:rPr>
          <w:rStyle w:val="apple-converted-space"/>
          <w:color w:val="000000"/>
          <w:sz w:val="20"/>
          <w:szCs w:val="20"/>
          <w:shd w:val="clear" w:color="auto" w:fill="FFFFFF"/>
        </w:rPr>
        <w:t xml:space="preserve"> </w:t>
      </w:r>
      <w:r w:rsidRPr="005B0931">
        <w:rPr>
          <w:color w:val="000000"/>
          <w:sz w:val="20"/>
          <w:szCs w:val="20"/>
          <w:shd w:val="clear" w:color="auto" w:fill="FFFFFF"/>
        </w:rPr>
        <w:t>1997;</w:t>
      </w:r>
      <w:r w:rsidRPr="005B0931">
        <w:rPr>
          <w:rStyle w:val="ref-vol"/>
          <w:color w:val="000000"/>
          <w:sz w:val="20"/>
          <w:szCs w:val="20"/>
          <w:shd w:val="clear" w:color="auto" w:fill="FFFFFF"/>
        </w:rPr>
        <w:t>11</w:t>
      </w:r>
      <w:r w:rsidRPr="005B0931">
        <w:rPr>
          <w:color w:val="000000"/>
          <w:sz w:val="20"/>
          <w:szCs w:val="20"/>
          <w:shd w:val="clear" w:color="auto" w:fill="FFFFFF"/>
        </w:rPr>
        <w:t>:171–7</w:t>
      </w:r>
      <w:r w:rsidR="002A6D47" w:rsidRPr="005B0931">
        <w:rPr>
          <w:color w:val="000000"/>
          <w:sz w:val="20"/>
          <w:szCs w:val="20"/>
          <w:shd w:val="clear" w:color="auto" w:fill="FFFFFF"/>
        </w:rPr>
        <w:t>9.</w:t>
      </w:r>
    </w:p>
    <w:p w:rsidR="002A6D47" w:rsidRPr="005B0931" w:rsidRDefault="00E973C5" w:rsidP="002A6D47">
      <w:pPr>
        <w:pStyle w:val="ListParagraph"/>
        <w:numPr>
          <w:ilvl w:val="0"/>
          <w:numId w:val="32"/>
        </w:numPr>
        <w:snapToGrid w:val="0"/>
        <w:ind w:left="425" w:hanging="425"/>
        <w:jc w:val="both"/>
        <w:textAlignment w:val="baseline"/>
        <w:rPr>
          <w:color w:val="000000"/>
          <w:sz w:val="20"/>
          <w:szCs w:val="20"/>
          <w:shd w:val="clear" w:color="auto" w:fill="FFFFFF"/>
        </w:rPr>
      </w:pPr>
      <w:proofErr w:type="spellStart"/>
      <w:r w:rsidRPr="005B0931">
        <w:rPr>
          <w:color w:val="000000"/>
          <w:sz w:val="20"/>
          <w:szCs w:val="20"/>
          <w:shd w:val="clear" w:color="auto" w:fill="FFFFFF"/>
        </w:rPr>
        <w:t>Kapral</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MK,</w:t>
      </w:r>
      <w:r w:rsidR="002A6D47" w:rsidRPr="005B0931">
        <w:rPr>
          <w:color w:val="000000"/>
          <w:sz w:val="20"/>
          <w:szCs w:val="20"/>
          <w:shd w:val="clear" w:color="auto" w:fill="FFFFFF"/>
        </w:rPr>
        <w:t xml:space="preserve"> </w:t>
      </w:r>
      <w:r w:rsidRPr="005B0931">
        <w:rPr>
          <w:color w:val="000000"/>
          <w:sz w:val="20"/>
          <w:szCs w:val="20"/>
          <w:shd w:val="clear" w:color="auto" w:fill="FFFFFF"/>
        </w:rPr>
        <w:t>Fang</w:t>
      </w:r>
      <w:r w:rsidR="002A6D47" w:rsidRPr="005B0931">
        <w:rPr>
          <w:color w:val="000000"/>
          <w:sz w:val="20"/>
          <w:szCs w:val="20"/>
          <w:shd w:val="clear" w:color="auto" w:fill="FFFFFF"/>
        </w:rPr>
        <w:t xml:space="preserve"> </w:t>
      </w:r>
      <w:r w:rsidRPr="005B0931">
        <w:rPr>
          <w:color w:val="000000"/>
          <w:sz w:val="20"/>
          <w:szCs w:val="20"/>
          <w:shd w:val="clear" w:color="auto" w:fill="FFFFFF"/>
        </w:rPr>
        <w:t>J,</w:t>
      </w:r>
      <w:r w:rsidR="002A6D47" w:rsidRPr="005B0931">
        <w:rPr>
          <w:color w:val="000000"/>
          <w:sz w:val="20"/>
          <w:szCs w:val="20"/>
          <w:shd w:val="clear" w:color="auto" w:fill="FFFFFF"/>
        </w:rPr>
        <w:t xml:space="preserve"> </w:t>
      </w:r>
      <w:r w:rsidRPr="005B0931">
        <w:rPr>
          <w:color w:val="000000"/>
          <w:sz w:val="20"/>
          <w:szCs w:val="20"/>
          <w:shd w:val="clear" w:color="auto" w:fill="FFFFFF"/>
        </w:rPr>
        <w:t>Hill</w:t>
      </w:r>
      <w:r w:rsidR="002A6D47" w:rsidRPr="005B0931">
        <w:rPr>
          <w:color w:val="000000"/>
          <w:sz w:val="20"/>
          <w:szCs w:val="20"/>
          <w:shd w:val="clear" w:color="auto" w:fill="FFFFFF"/>
        </w:rPr>
        <w:t xml:space="preserve"> </w:t>
      </w:r>
      <w:r w:rsidRPr="005B0931">
        <w:rPr>
          <w:color w:val="000000"/>
          <w:sz w:val="20"/>
          <w:szCs w:val="20"/>
          <w:shd w:val="clear" w:color="auto" w:fill="FFFFFF"/>
        </w:rPr>
        <w:t>MD,</w:t>
      </w:r>
      <w:r w:rsidR="002A6D47" w:rsidRPr="005B0931">
        <w:rPr>
          <w:color w:val="000000"/>
          <w:sz w:val="20"/>
          <w:szCs w:val="20"/>
          <w:shd w:val="clear" w:color="auto" w:fill="FFFFFF"/>
        </w:rPr>
        <w:t xml:space="preserve"> </w:t>
      </w:r>
      <w:r w:rsidRPr="005B0931">
        <w:rPr>
          <w:color w:val="000000"/>
          <w:sz w:val="20"/>
          <w:szCs w:val="20"/>
          <w:shd w:val="clear" w:color="auto" w:fill="FFFFFF"/>
        </w:rPr>
        <w:t>et</w:t>
      </w:r>
      <w:r w:rsidR="002A6D47" w:rsidRPr="005B0931">
        <w:rPr>
          <w:color w:val="000000"/>
          <w:sz w:val="20"/>
          <w:szCs w:val="20"/>
          <w:shd w:val="clear" w:color="auto" w:fill="FFFFFF"/>
        </w:rPr>
        <w:t xml:space="preserve"> </w:t>
      </w:r>
      <w:r w:rsidRPr="005B0931">
        <w:rPr>
          <w:color w:val="000000"/>
          <w:sz w:val="20"/>
          <w:szCs w:val="20"/>
          <w:shd w:val="clear" w:color="auto" w:fill="FFFFFF"/>
        </w:rPr>
        <w:t>al.</w:t>
      </w:r>
      <w:r w:rsidR="002A6D47" w:rsidRPr="005B0931">
        <w:rPr>
          <w:color w:val="000000"/>
          <w:sz w:val="20"/>
          <w:szCs w:val="20"/>
          <w:shd w:val="clear" w:color="auto" w:fill="FFFFFF"/>
        </w:rPr>
        <w:t xml:space="preserve"> </w:t>
      </w:r>
      <w:r w:rsidRPr="005B0931">
        <w:rPr>
          <w:color w:val="000000"/>
          <w:sz w:val="20"/>
          <w:szCs w:val="20"/>
          <w:shd w:val="clear" w:color="auto" w:fill="FFFFFF"/>
        </w:rPr>
        <w:t>Sex</w:t>
      </w:r>
      <w:r w:rsidR="002A6D47" w:rsidRPr="005B0931">
        <w:rPr>
          <w:color w:val="000000"/>
          <w:sz w:val="20"/>
          <w:szCs w:val="20"/>
          <w:shd w:val="clear" w:color="auto" w:fill="FFFFFF"/>
        </w:rPr>
        <w:t xml:space="preserve"> </w:t>
      </w:r>
      <w:r w:rsidRPr="005B0931">
        <w:rPr>
          <w:color w:val="000000"/>
          <w:sz w:val="20"/>
          <w:szCs w:val="20"/>
          <w:shd w:val="clear" w:color="auto" w:fill="FFFFFF"/>
        </w:rPr>
        <w:t>differences</w:t>
      </w:r>
      <w:r w:rsidR="002A6D47" w:rsidRPr="005B0931">
        <w:rPr>
          <w:color w:val="000000"/>
          <w:sz w:val="20"/>
          <w:szCs w:val="20"/>
          <w:shd w:val="clear" w:color="auto" w:fill="FFFFFF"/>
        </w:rPr>
        <w:t xml:space="preserve"> </w:t>
      </w:r>
      <w:r w:rsidRPr="005B0931">
        <w:rPr>
          <w:color w:val="000000"/>
          <w:sz w:val="20"/>
          <w:szCs w:val="20"/>
          <w:shd w:val="clear" w:color="auto" w:fill="FFFFFF"/>
        </w:rPr>
        <w:t>in</w:t>
      </w:r>
      <w:r w:rsidR="002A6D47" w:rsidRPr="005B0931">
        <w:rPr>
          <w:color w:val="000000"/>
          <w:sz w:val="20"/>
          <w:szCs w:val="20"/>
          <w:shd w:val="clear" w:color="auto" w:fill="FFFFFF"/>
        </w:rPr>
        <w:t xml:space="preserve"> </w:t>
      </w:r>
      <w:r w:rsidRPr="005B0931">
        <w:rPr>
          <w:color w:val="000000"/>
          <w:sz w:val="20"/>
          <w:szCs w:val="20"/>
          <w:shd w:val="clear" w:color="auto" w:fill="FFFFFF"/>
        </w:rPr>
        <w:t>stroke</w:t>
      </w:r>
      <w:r w:rsidR="002A6D47" w:rsidRPr="005B0931">
        <w:rPr>
          <w:color w:val="000000"/>
          <w:sz w:val="20"/>
          <w:szCs w:val="20"/>
          <w:shd w:val="clear" w:color="auto" w:fill="FFFFFF"/>
        </w:rPr>
        <w:t xml:space="preserve"> </w:t>
      </w:r>
      <w:r w:rsidRPr="005B0931">
        <w:rPr>
          <w:color w:val="000000"/>
          <w:sz w:val="20"/>
          <w:szCs w:val="20"/>
          <w:shd w:val="clear" w:color="auto" w:fill="FFFFFF"/>
        </w:rPr>
        <w:t>care</w:t>
      </w:r>
      <w:r w:rsidR="002A6D47" w:rsidRPr="005B0931">
        <w:rPr>
          <w:color w:val="000000"/>
          <w:sz w:val="20"/>
          <w:szCs w:val="20"/>
          <w:shd w:val="clear" w:color="auto" w:fill="FFFFFF"/>
        </w:rPr>
        <w:t xml:space="preserve"> </w:t>
      </w:r>
      <w:r w:rsidRPr="005B0931">
        <w:rPr>
          <w:color w:val="000000"/>
          <w:sz w:val="20"/>
          <w:szCs w:val="20"/>
          <w:shd w:val="clear" w:color="auto" w:fill="FFFFFF"/>
        </w:rPr>
        <w:t>and</w:t>
      </w:r>
      <w:r w:rsidR="002A6D47" w:rsidRPr="005B0931">
        <w:rPr>
          <w:color w:val="000000"/>
          <w:sz w:val="20"/>
          <w:szCs w:val="20"/>
          <w:shd w:val="clear" w:color="auto" w:fill="FFFFFF"/>
        </w:rPr>
        <w:t xml:space="preserve"> </w:t>
      </w:r>
      <w:r w:rsidRPr="005B0931">
        <w:rPr>
          <w:color w:val="000000"/>
          <w:sz w:val="20"/>
          <w:szCs w:val="20"/>
          <w:shd w:val="clear" w:color="auto" w:fill="FFFFFF"/>
        </w:rPr>
        <w:t>outcomes:</w:t>
      </w:r>
      <w:r w:rsidR="002A6D47" w:rsidRPr="005B0931">
        <w:rPr>
          <w:color w:val="000000"/>
          <w:sz w:val="20"/>
          <w:szCs w:val="20"/>
          <w:shd w:val="clear" w:color="auto" w:fill="FFFFFF"/>
        </w:rPr>
        <w:t xml:space="preserve"> </w:t>
      </w:r>
      <w:r w:rsidRPr="005B0931">
        <w:rPr>
          <w:color w:val="000000"/>
          <w:sz w:val="20"/>
          <w:szCs w:val="20"/>
          <w:shd w:val="clear" w:color="auto" w:fill="FFFFFF"/>
        </w:rPr>
        <w:t>results</w:t>
      </w:r>
      <w:r w:rsidR="002A6D47" w:rsidRPr="005B0931">
        <w:rPr>
          <w:color w:val="000000"/>
          <w:sz w:val="20"/>
          <w:szCs w:val="20"/>
          <w:shd w:val="clear" w:color="auto" w:fill="FFFFFF"/>
        </w:rPr>
        <w:t xml:space="preserve"> </w:t>
      </w:r>
      <w:r w:rsidRPr="005B0931">
        <w:rPr>
          <w:color w:val="000000"/>
          <w:sz w:val="20"/>
          <w:szCs w:val="20"/>
          <w:shd w:val="clear" w:color="auto" w:fill="FFFFFF"/>
        </w:rPr>
        <w:t>from</w:t>
      </w:r>
      <w:r w:rsidR="002A6D47" w:rsidRPr="005B0931">
        <w:rPr>
          <w:color w:val="000000"/>
          <w:sz w:val="20"/>
          <w:szCs w:val="20"/>
          <w:shd w:val="clear" w:color="auto" w:fill="FFFFFF"/>
        </w:rPr>
        <w:t xml:space="preserve"> </w:t>
      </w:r>
      <w:r w:rsidRPr="005B0931">
        <w:rPr>
          <w:color w:val="000000"/>
          <w:sz w:val="20"/>
          <w:szCs w:val="20"/>
          <w:shd w:val="clear" w:color="auto" w:fill="FFFFFF"/>
        </w:rPr>
        <w:t>the</w:t>
      </w:r>
      <w:r w:rsidR="002A6D47" w:rsidRPr="005B0931">
        <w:rPr>
          <w:color w:val="000000"/>
          <w:sz w:val="20"/>
          <w:szCs w:val="20"/>
          <w:shd w:val="clear" w:color="auto" w:fill="FFFFFF"/>
        </w:rPr>
        <w:t xml:space="preserve"> </w:t>
      </w:r>
      <w:r w:rsidRPr="005B0931">
        <w:rPr>
          <w:color w:val="000000"/>
          <w:sz w:val="20"/>
          <w:szCs w:val="20"/>
          <w:shd w:val="clear" w:color="auto" w:fill="FFFFFF"/>
        </w:rPr>
        <w:t>Registry</w:t>
      </w:r>
      <w:r w:rsidR="002A6D47" w:rsidRPr="005B0931">
        <w:rPr>
          <w:color w:val="000000"/>
          <w:sz w:val="20"/>
          <w:szCs w:val="20"/>
          <w:shd w:val="clear" w:color="auto" w:fill="FFFFFF"/>
        </w:rPr>
        <w:t xml:space="preserve"> </w:t>
      </w:r>
      <w:r w:rsidRPr="005B0931">
        <w:rPr>
          <w:color w:val="000000"/>
          <w:sz w:val="20"/>
          <w:szCs w:val="20"/>
          <w:shd w:val="clear" w:color="auto" w:fill="FFFFFF"/>
        </w:rPr>
        <w:t>of</w:t>
      </w:r>
      <w:r w:rsidR="002A6D47" w:rsidRPr="005B0931">
        <w:rPr>
          <w:color w:val="000000"/>
          <w:sz w:val="20"/>
          <w:szCs w:val="20"/>
          <w:shd w:val="clear" w:color="auto" w:fill="FFFFFF"/>
        </w:rPr>
        <w:t xml:space="preserve"> </w:t>
      </w:r>
      <w:r w:rsidRPr="005B0931">
        <w:rPr>
          <w:color w:val="000000"/>
          <w:sz w:val="20"/>
          <w:szCs w:val="20"/>
          <w:shd w:val="clear" w:color="auto" w:fill="FFFFFF"/>
        </w:rPr>
        <w:t>the</w:t>
      </w:r>
      <w:r w:rsidR="002A6D47" w:rsidRPr="005B0931">
        <w:rPr>
          <w:color w:val="000000"/>
          <w:sz w:val="20"/>
          <w:szCs w:val="20"/>
          <w:shd w:val="clear" w:color="auto" w:fill="FFFFFF"/>
        </w:rPr>
        <w:t xml:space="preserve"> </w:t>
      </w:r>
      <w:r w:rsidRPr="005B0931">
        <w:rPr>
          <w:color w:val="000000"/>
          <w:sz w:val="20"/>
          <w:szCs w:val="20"/>
          <w:shd w:val="clear" w:color="auto" w:fill="FFFFFF"/>
        </w:rPr>
        <w:t>Canadian</w:t>
      </w:r>
      <w:r w:rsidR="002A6D47" w:rsidRPr="005B0931">
        <w:rPr>
          <w:color w:val="000000"/>
          <w:sz w:val="20"/>
          <w:szCs w:val="20"/>
          <w:shd w:val="clear" w:color="auto" w:fill="FFFFFF"/>
        </w:rPr>
        <w:t xml:space="preserve"> </w:t>
      </w:r>
      <w:r w:rsidRPr="005B0931">
        <w:rPr>
          <w:color w:val="000000"/>
          <w:sz w:val="20"/>
          <w:szCs w:val="20"/>
          <w:shd w:val="clear" w:color="auto" w:fill="FFFFFF"/>
        </w:rPr>
        <w:t>Stroke</w:t>
      </w:r>
      <w:r w:rsidR="002A6D47" w:rsidRPr="005B0931">
        <w:rPr>
          <w:color w:val="000000"/>
          <w:sz w:val="20"/>
          <w:szCs w:val="20"/>
          <w:shd w:val="clear" w:color="auto" w:fill="FFFFFF"/>
        </w:rPr>
        <w:t xml:space="preserve"> </w:t>
      </w:r>
      <w:r w:rsidRPr="005B0931">
        <w:rPr>
          <w:color w:val="000000"/>
          <w:sz w:val="20"/>
          <w:szCs w:val="20"/>
          <w:shd w:val="clear" w:color="auto" w:fill="FFFFFF"/>
        </w:rPr>
        <w:t>Network.</w:t>
      </w:r>
      <w:r w:rsidR="002A6D47" w:rsidRPr="005B0931">
        <w:rPr>
          <w:rStyle w:val="apple-converted-space"/>
          <w:color w:val="000000"/>
          <w:sz w:val="20"/>
          <w:szCs w:val="20"/>
          <w:shd w:val="clear" w:color="auto" w:fill="FFFFFF"/>
        </w:rPr>
        <w:t xml:space="preserve"> </w:t>
      </w:r>
      <w:r w:rsidRPr="005B0931">
        <w:rPr>
          <w:rStyle w:val="ref-journal"/>
          <w:color w:val="000000"/>
          <w:sz w:val="20"/>
          <w:szCs w:val="20"/>
          <w:shd w:val="clear" w:color="auto" w:fill="FFFFFF"/>
        </w:rPr>
        <w:t>Stroke.</w:t>
      </w:r>
      <w:r w:rsidR="002A6D47" w:rsidRPr="005B0931">
        <w:rPr>
          <w:rStyle w:val="apple-converted-space"/>
          <w:color w:val="000000"/>
          <w:sz w:val="20"/>
          <w:szCs w:val="20"/>
          <w:shd w:val="clear" w:color="auto" w:fill="FFFFFF"/>
        </w:rPr>
        <w:t xml:space="preserve"> </w:t>
      </w:r>
      <w:r w:rsidRPr="005B0931">
        <w:rPr>
          <w:color w:val="000000"/>
          <w:sz w:val="20"/>
          <w:szCs w:val="20"/>
          <w:shd w:val="clear" w:color="auto" w:fill="FFFFFF"/>
        </w:rPr>
        <w:t>2005;</w:t>
      </w:r>
      <w:r w:rsidRPr="005B0931">
        <w:rPr>
          <w:rStyle w:val="ref-vol"/>
          <w:color w:val="000000"/>
          <w:sz w:val="20"/>
          <w:szCs w:val="20"/>
          <w:shd w:val="clear" w:color="auto" w:fill="FFFFFF"/>
        </w:rPr>
        <w:t>36</w:t>
      </w:r>
      <w:r w:rsidRPr="005B0931">
        <w:rPr>
          <w:color w:val="000000"/>
          <w:sz w:val="20"/>
          <w:szCs w:val="20"/>
          <w:shd w:val="clear" w:color="auto" w:fill="FFFFFF"/>
        </w:rPr>
        <w:t>:809–1</w:t>
      </w:r>
      <w:r w:rsidR="002A6D47" w:rsidRPr="005B0931">
        <w:rPr>
          <w:color w:val="000000"/>
          <w:sz w:val="20"/>
          <w:szCs w:val="20"/>
          <w:shd w:val="clear" w:color="auto" w:fill="FFFFFF"/>
        </w:rPr>
        <w:t>4.</w:t>
      </w:r>
    </w:p>
    <w:p w:rsidR="002A6D47" w:rsidRPr="005B0931" w:rsidRDefault="00E973C5" w:rsidP="002A6D47">
      <w:pPr>
        <w:pStyle w:val="ListParagraph"/>
        <w:numPr>
          <w:ilvl w:val="0"/>
          <w:numId w:val="32"/>
        </w:numPr>
        <w:snapToGrid w:val="0"/>
        <w:ind w:left="425" w:hanging="425"/>
        <w:jc w:val="both"/>
        <w:textAlignment w:val="baseline"/>
        <w:rPr>
          <w:rStyle w:val="citation"/>
          <w:color w:val="000000"/>
          <w:sz w:val="20"/>
          <w:szCs w:val="20"/>
          <w:shd w:val="clear" w:color="auto" w:fill="FFFFFF"/>
        </w:rPr>
      </w:pPr>
      <w:r w:rsidRPr="005B0931">
        <w:rPr>
          <w:rStyle w:val="citation"/>
          <w:color w:val="000000"/>
          <w:sz w:val="20"/>
          <w:szCs w:val="20"/>
          <w:shd w:val="clear" w:color="auto" w:fill="FFFFFF"/>
        </w:rPr>
        <w:t>Lai</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SM,</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Duncan</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PW,</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Dew</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P,</w:t>
      </w:r>
      <w:r w:rsidR="002A6D47" w:rsidRPr="005B0931">
        <w:rPr>
          <w:rStyle w:val="citation"/>
          <w:color w:val="000000"/>
          <w:sz w:val="20"/>
          <w:szCs w:val="20"/>
          <w:shd w:val="clear" w:color="auto" w:fill="FFFFFF"/>
        </w:rPr>
        <w:t xml:space="preserve"> </w:t>
      </w:r>
      <w:proofErr w:type="spellStart"/>
      <w:r w:rsidRPr="005B0931">
        <w:rPr>
          <w:rStyle w:val="citation"/>
          <w:color w:val="000000"/>
          <w:sz w:val="20"/>
          <w:szCs w:val="20"/>
          <w:shd w:val="clear" w:color="auto" w:fill="FFFFFF"/>
        </w:rPr>
        <w:t>Keighley</w:t>
      </w:r>
      <w:proofErr w:type="spellEnd"/>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J.</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Sex</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differences</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in</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stroke</w:t>
      </w:r>
      <w:r w:rsidR="002A6D47" w:rsidRPr="005B0931">
        <w:rPr>
          <w:rStyle w:val="citation"/>
          <w:color w:val="000000"/>
          <w:sz w:val="20"/>
          <w:szCs w:val="20"/>
          <w:shd w:val="clear" w:color="auto" w:fill="FFFFFF"/>
        </w:rPr>
        <w:t xml:space="preserve"> </w:t>
      </w:r>
      <w:r w:rsidRPr="005B0931">
        <w:rPr>
          <w:rStyle w:val="citation"/>
          <w:color w:val="000000"/>
          <w:sz w:val="20"/>
          <w:szCs w:val="20"/>
          <w:shd w:val="clear" w:color="auto" w:fill="FFFFFF"/>
        </w:rPr>
        <w:t>recovery.</w:t>
      </w:r>
      <w:r w:rsidR="002A6D47" w:rsidRPr="005B0931">
        <w:rPr>
          <w:rStyle w:val="apple-converted-space"/>
          <w:color w:val="000000"/>
          <w:sz w:val="20"/>
          <w:szCs w:val="20"/>
          <w:shd w:val="clear" w:color="auto" w:fill="FFFFFF"/>
        </w:rPr>
        <w:t xml:space="preserve"> </w:t>
      </w:r>
      <w:proofErr w:type="spellStart"/>
      <w:r w:rsidRPr="005B0931">
        <w:rPr>
          <w:rStyle w:val="ref-journal"/>
          <w:color w:val="000000"/>
          <w:sz w:val="20"/>
          <w:szCs w:val="20"/>
          <w:shd w:val="clear" w:color="auto" w:fill="FFFFFF"/>
        </w:rPr>
        <w:t>Prev</w:t>
      </w:r>
      <w:proofErr w:type="spellEnd"/>
      <w:r w:rsidR="002A6D47" w:rsidRPr="005B0931">
        <w:rPr>
          <w:rStyle w:val="ref-journal"/>
          <w:color w:val="000000"/>
          <w:sz w:val="20"/>
          <w:szCs w:val="20"/>
          <w:shd w:val="clear" w:color="auto" w:fill="FFFFFF"/>
        </w:rPr>
        <w:t xml:space="preserve"> </w:t>
      </w:r>
      <w:r w:rsidRPr="005B0931">
        <w:rPr>
          <w:rStyle w:val="ref-journal"/>
          <w:color w:val="000000"/>
          <w:sz w:val="20"/>
          <w:szCs w:val="20"/>
          <w:shd w:val="clear" w:color="auto" w:fill="FFFFFF"/>
        </w:rPr>
        <w:t>Chronic</w:t>
      </w:r>
      <w:r w:rsidR="002A6D47" w:rsidRPr="005B0931">
        <w:rPr>
          <w:rStyle w:val="ref-journal"/>
          <w:color w:val="000000"/>
          <w:sz w:val="20"/>
          <w:szCs w:val="20"/>
          <w:shd w:val="clear" w:color="auto" w:fill="FFFFFF"/>
        </w:rPr>
        <w:t xml:space="preserve"> </w:t>
      </w:r>
      <w:r w:rsidRPr="005B0931">
        <w:rPr>
          <w:rStyle w:val="ref-journal"/>
          <w:color w:val="000000"/>
          <w:sz w:val="20"/>
          <w:szCs w:val="20"/>
          <w:shd w:val="clear" w:color="auto" w:fill="FFFFFF"/>
        </w:rPr>
        <w:t>Dis.</w:t>
      </w:r>
      <w:r w:rsidR="002A6D47" w:rsidRPr="005B0931">
        <w:rPr>
          <w:rStyle w:val="apple-converted-space"/>
          <w:color w:val="000000"/>
          <w:sz w:val="20"/>
          <w:szCs w:val="20"/>
          <w:shd w:val="clear" w:color="auto" w:fill="FFFFFF"/>
        </w:rPr>
        <w:t xml:space="preserve"> </w:t>
      </w:r>
      <w:r w:rsidRPr="005B0931">
        <w:rPr>
          <w:rStyle w:val="citation"/>
          <w:color w:val="000000"/>
          <w:sz w:val="20"/>
          <w:szCs w:val="20"/>
          <w:shd w:val="clear" w:color="auto" w:fill="FFFFFF"/>
        </w:rPr>
        <w:t>2005;</w:t>
      </w:r>
      <w:r w:rsidRPr="005B0931">
        <w:rPr>
          <w:rStyle w:val="ref-vol"/>
          <w:color w:val="000000"/>
          <w:sz w:val="20"/>
          <w:szCs w:val="20"/>
          <w:shd w:val="clear" w:color="auto" w:fill="FFFFFF"/>
        </w:rPr>
        <w:t>2</w:t>
      </w:r>
      <w:r w:rsidR="002A6D47" w:rsidRPr="005B0931">
        <w:rPr>
          <w:rStyle w:val="citation"/>
          <w:color w:val="000000"/>
          <w:sz w:val="20"/>
          <w:szCs w:val="20"/>
          <w:shd w:val="clear" w:color="auto" w:fill="FFFFFF"/>
        </w:rPr>
        <w:t>: A</w:t>
      </w:r>
      <w:r w:rsidRPr="005B0931">
        <w:rPr>
          <w:rStyle w:val="citation"/>
          <w:color w:val="000000"/>
          <w:sz w:val="20"/>
          <w:szCs w:val="20"/>
          <w:shd w:val="clear" w:color="auto" w:fill="FFFFFF"/>
        </w:rPr>
        <w:t>1</w:t>
      </w:r>
      <w:r w:rsidR="002A6D47" w:rsidRPr="005B0931">
        <w:rPr>
          <w:rStyle w:val="citation"/>
          <w:color w:val="000000"/>
          <w:sz w:val="20"/>
          <w:szCs w:val="20"/>
          <w:shd w:val="clear" w:color="auto" w:fill="FFFFFF"/>
        </w:rPr>
        <w:t>3.</w:t>
      </w:r>
    </w:p>
    <w:p w:rsidR="00E973C5" w:rsidRPr="005B0931" w:rsidRDefault="00E973C5" w:rsidP="002A6D47">
      <w:pPr>
        <w:pStyle w:val="ListParagraph"/>
        <w:numPr>
          <w:ilvl w:val="0"/>
          <w:numId w:val="32"/>
        </w:numPr>
        <w:snapToGrid w:val="0"/>
        <w:ind w:left="425" w:hanging="425"/>
        <w:jc w:val="both"/>
        <w:textAlignment w:val="baseline"/>
        <w:rPr>
          <w:color w:val="000000"/>
          <w:sz w:val="20"/>
          <w:szCs w:val="20"/>
          <w:shd w:val="clear" w:color="auto" w:fill="FFFFFF"/>
        </w:rPr>
      </w:pPr>
      <w:r w:rsidRPr="005B0931">
        <w:rPr>
          <w:color w:val="000000"/>
          <w:sz w:val="20"/>
          <w:szCs w:val="20"/>
          <w:shd w:val="clear" w:color="auto" w:fill="FFFFFF"/>
        </w:rPr>
        <w:t>Kelly-Hayes</w:t>
      </w:r>
      <w:r w:rsidR="002A6D47" w:rsidRPr="005B0931">
        <w:rPr>
          <w:color w:val="000000"/>
          <w:sz w:val="20"/>
          <w:szCs w:val="20"/>
          <w:shd w:val="clear" w:color="auto" w:fill="FFFFFF"/>
        </w:rPr>
        <w:t xml:space="preserve"> </w:t>
      </w:r>
      <w:r w:rsidRPr="005B0931">
        <w:rPr>
          <w:color w:val="000000"/>
          <w:sz w:val="20"/>
          <w:szCs w:val="20"/>
          <w:shd w:val="clear" w:color="auto" w:fill="FFFFFF"/>
        </w:rPr>
        <w:t>M,</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Beiser</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A,</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Kase</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CS,</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Scaramucci</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A,</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D'Agostino</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RB,</w:t>
      </w:r>
      <w:r w:rsidR="002A6D47" w:rsidRPr="005B0931">
        <w:rPr>
          <w:color w:val="000000"/>
          <w:sz w:val="20"/>
          <w:szCs w:val="20"/>
          <w:shd w:val="clear" w:color="auto" w:fill="FFFFFF"/>
        </w:rPr>
        <w:t xml:space="preserve"> </w:t>
      </w:r>
      <w:r w:rsidRPr="005B0931">
        <w:rPr>
          <w:color w:val="000000"/>
          <w:sz w:val="20"/>
          <w:szCs w:val="20"/>
          <w:shd w:val="clear" w:color="auto" w:fill="FFFFFF"/>
        </w:rPr>
        <w:t>Wolf</w:t>
      </w:r>
      <w:r w:rsidR="002A6D47" w:rsidRPr="005B0931">
        <w:rPr>
          <w:color w:val="000000"/>
          <w:sz w:val="20"/>
          <w:szCs w:val="20"/>
          <w:shd w:val="clear" w:color="auto" w:fill="FFFFFF"/>
        </w:rPr>
        <w:t xml:space="preserve"> </w:t>
      </w:r>
      <w:r w:rsidRPr="005B0931">
        <w:rPr>
          <w:color w:val="000000"/>
          <w:sz w:val="20"/>
          <w:szCs w:val="20"/>
          <w:shd w:val="clear" w:color="auto" w:fill="FFFFFF"/>
        </w:rPr>
        <w:t>PA.</w:t>
      </w:r>
      <w:r w:rsidR="002A6D47" w:rsidRPr="005B0931">
        <w:rPr>
          <w:color w:val="000000"/>
          <w:sz w:val="20"/>
          <w:szCs w:val="20"/>
          <w:shd w:val="clear" w:color="auto" w:fill="FFFFFF"/>
        </w:rPr>
        <w:t xml:space="preserve"> </w:t>
      </w:r>
      <w:r w:rsidRPr="005B0931">
        <w:rPr>
          <w:color w:val="000000"/>
          <w:sz w:val="20"/>
          <w:szCs w:val="20"/>
          <w:shd w:val="clear" w:color="auto" w:fill="FFFFFF"/>
        </w:rPr>
        <w:t>The</w:t>
      </w:r>
      <w:r w:rsidR="002A6D47" w:rsidRPr="005B0931">
        <w:rPr>
          <w:color w:val="000000"/>
          <w:sz w:val="20"/>
          <w:szCs w:val="20"/>
          <w:shd w:val="clear" w:color="auto" w:fill="FFFFFF"/>
        </w:rPr>
        <w:t xml:space="preserve"> </w:t>
      </w:r>
      <w:r w:rsidRPr="005B0931">
        <w:rPr>
          <w:color w:val="000000"/>
          <w:sz w:val="20"/>
          <w:szCs w:val="20"/>
          <w:shd w:val="clear" w:color="auto" w:fill="FFFFFF"/>
        </w:rPr>
        <w:t>influence</w:t>
      </w:r>
      <w:r w:rsidR="002A6D47" w:rsidRPr="005B0931">
        <w:rPr>
          <w:color w:val="000000"/>
          <w:sz w:val="20"/>
          <w:szCs w:val="20"/>
          <w:shd w:val="clear" w:color="auto" w:fill="FFFFFF"/>
        </w:rPr>
        <w:t xml:space="preserve"> </w:t>
      </w:r>
      <w:r w:rsidRPr="005B0931">
        <w:rPr>
          <w:color w:val="000000"/>
          <w:sz w:val="20"/>
          <w:szCs w:val="20"/>
          <w:shd w:val="clear" w:color="auto" w:fill="FFFFFF"/>
        </w:rPr>
        <w:t>of</w:t>
      </w:r>
      <w:r w:rsidR="002A6D47" w:rsidRPr="005B0931">
        <w:rPr>
          <w:color w:val="000000"/>
          <w:sz w:val="20"/>
          <w:szCs w:val="20"/>
          <w:shd w:val="clear" w:color="auto" w:fill="FFFFFF"/>
        </w:rPr>
        <w:t xml:space="preserve"> </w:t>
      </w:r>
      <w:r w:rsidRPr="005B0931">
        <w:rPr>
          <w:color w:val="000000"/>
          <w:sz w:val="20"/>
          <w:szCs w:val="20"/>
          <w:shd w:val="clear" w:color="auto" w:fill="FFFFFF"/>
        </w:rPr>
        <w:lastRenderedPageBreak/>
        <w:t>gender</w:t>
      </w:r>
      <w:r w:rsidR="002A6D47" w:rsidRPr="005B0931">
        <w:rPr>
          <w:color w:val="000000"/>
          <w:sz w:val="20"/>
          <w:szCs w:val="20"/>
          <w:shd w:val="clear" w:color="auto" w:fill="FFFFFF"/>
        </w:rPr>
        <w:t xml:space="preserve"> </w:t>
      </w:r>
      <w:r w:rsidRPr="005B0931">
        <w:rPr>
          <w:color w:val="000000"/>
          <w:sz w:val="20"/>
          <w:szCs w:val="20"/>
          <w:shd w:val="clear" w:color="auto" w:fill="FFFFFF"/>
        </w:rPr>
        <w:t>and</w:t>
      </w:r>
      <w:r w:rsidR="002A6D47" w:rsidRPr="005B0931">
        <w:rPr>
          <w:color w:val="000000"/>
          <w:sz w:val="20"/>
          <w:szCs w:val="20"/>
          <w:shd w:val="clear" w:color="auto" w:fill="FFFFFF"/>
        </w:rPr>
        <w:t xml:space="preserve"> </w:t>
      </w:r>
      <w:r w:rsidRPr="005B0931">
        <w:rPr>
          <w:color w:val="000000"/>
          <w:sz w:val="20"/>
          <w:szCs w:val="20"/>
          <w:shd w:val="clear" w:color="auto" w:fill="FFFFFF"/>
        </w:rPr>
        <w:t>age</w:t>
      </w:r>
      <w:r w:rsidR="002A6D47" w:rsidRPr="005B0931">
        <w:rPr>
          <w:color w:val="000000"/>
          <w:sz w:val="20"/>
          <w:szCs w:val="20"/>
          <w:shd w:val="clear" w:color="auto" w:fill="FFFFFF"/>
        </w:rPr>
        <w:t xml:space="preserve"> </w:t>
      </w:r>
      <w:r w:rsidRPr="005B0931">
        <w:rPr>
          <w:color w:val="000000"/>
          <w:sz w:val="20"/>
          <w:szCs w:val="20"/>
          <w:shd w:val="clear" w:color="auto" w:fill="FFFFFF"/>
        </w:rPr>
        <w:t>on</w:t>
      </w:r>
      <w:r w:rsidR="002A6D47" w:rsidRPr="005B0931">
        <w:rPr>
          <w:color w:val="000000"/>
          <w:sz w:val="20"/>
          <w:szCs w:val="20"/>
          <w:shd w:val="clear" w:color="auto" w:fill="FFFFFF"/>
        </w:rPr>
        <w:t xml:space="preserve"> </w:t>
      </w:r>
      <w:r w:rsidRPr="005B0931">
        <w:rPr>
          <w:color w:val="000000"/>
          <w:sz w:val="20"/>
          <w:szCs w:val="20"/>
          <w:shd w:val="clear" w:color="auto" w:fill="FFFFFF"/>
        </w:rPr>
        <w:t>disability</w:t>
      </w:r>
      <w:r w:rsidR="002A6D47" w:rsidRPr="005B0931">
        <w:rPr>
          <w:color w:val="000000"/>
          <w:sz w:val="20"/>
          <w:szCs w:val="20"/>
          <w:shd w:val="clear" w:color="auto" w:fill="FFFFFF"/>
        </w:rPr>
        <w:t xml:space="preserve"> </w:t>
      </w:r>
      <w:r w:rsidRPr="005B0931">
        <w:rPr>
          <w:color w:val="000000"/>
          <w:sz w:val="20"/>
          <w:szCs w:val="20"/>
          <w:shd w:val="clear" w:color="auto" w:fill="FFFFFF"/>
        </w:rPr>
        <w:t>following</w:t>
      </w:r>
      <w:r w:rsidR="002A6D47" w:rsidRPr="005B0931">
        <w:rPr>
          <w:color w:val="000000"/>
          <w:sz w:val="20"/>
          <w:szCs w:val="20"/>
          <w:shd w:val="clear" w:color="auto" w:fill="FFFFFF"/>
        </w:rPr>
        <w:t xml:space="preserve"> </w:t>
      </w:r>
      <w:r w:rsidRPr="005B0931">
        <w:rPr>
          <w:color w:val="000000"/>
          <w:sz w:val="20"/>
          <w:szCs w:val="20"/>
          <w:shd w:val="clear" w:color="auto" w:fill="FFFFFF"/>
        </w:rPr>
        <w:t>ischemic</w:t>
      </w:r>
      <w:r w:rsidR="002A6D47" w:rsidRPr="005B0931">
        <w:rPr>
          <w:color w:val="000000"/>
          <w:sz w:val="20"/>
          <w:szCs w:val="20"/>
          <w:shd w:val="clear" w:color="auto" w:fill="FFFFFF"/>
        </w:rPr>
        <w:t xml:space="preserve"> </w:t>
      </w:r>
      <w:r w:rsidRPr="005B0931">
        <w:rPr>
          <w:color w:val="000000"/>
          <w:sz w:val="20"/>
          <w:szCs w:val="20"/>
          <w:shd w:val="clear" w:color="auto" w:fill="FFFFFF"/>
        </w:rPr>
        <w:t>stroke:</w:t>
      </w:r>
      <w:r w:rsidR="002A6D47" w:rsidRPr="005B0931">
        <w:rPr>
          <w:color w:val="000000"/>
          <w:sz w:val="20"/>
          <w:szCs w:val="20"/>
          <w:shd w:val="clear" w:color="auto" w:fill="FFFFFF"/>
        </w:rPr>
        <w:t xml:space="preserve"> </w:t>
      </w:r>
      <w:r w:rsidRPr="005B0931">
        <w:rPr>
          <w:color w:val="000000"/>
          <w:sz w:val="20"/>
          <w:szCs w:val="20"/>
          <w:shd w:val="clear" w:color="auto" w:fill="FFFFFF"/>
        </w:rPr>
        <w:t>the</w:t>
      </w:r>
      <w:r w:rsidR="002A6D47" w:rsidRPr="005B0931">
        <w:rPr>
          <w:color w:val="000000"/>
          <w:sz w:val="20"/>
          <w:szCs w:val="20"/>
          <w:shd w:val="clear" w:color="auto" w:fill="FFFFFF"/>
        </w:rPr>
        <w:t xml:space="preserve"> </w:t>
      </w:r>
      <w:r w:rsidRPr="005B0931">
        <w:rPr>
          <w:color w:val="000000"/>
          <w:sz w:val="20"/>
          <w:szCs w:val="20"/>
          <w:shd w:val="clear" w:color="auto" w:fill="FFFFFF"/>
        </w:rPr>
        <w:t>Framingham</w:t>
      </w:r>
      <w:r w:rsidR="002A6D47" w:rsidRPr="005B0931">
        <w:rPr>
          <w:color w:val="000000"/>
          <w:sz w:val="20"/>
          <w:szCs w:val="20"/>
          <w:shd w:val="clear" w:color="auto" w:fill="FFFFFF"/>
        </w:rPr>
        <w:t xml:space="preserve"> </w:t>
      </w:r>
      <w:r w:rsidRPr="005B0931">
        <w:rPr>
          <w:color w:val="000000"/>
          <w:sz w:val="20"/>
          <w:szCs w:val="20"/>
          <w:shd w:val="clear" w:color="auto" w:fill="FFFFFF"/>
        </w:rPr>
        <w:t>study.</w:t>
      </w:r>
      <w:r w:rsidR="002A6D47" w:rsidRPr="005B0931">
        <w:rPr>
          <w:rStyle w:val="apple-converted-space"/>
          <w:color w:val="000000"/>
          <w:sz w:val="20"/>
          <w:szCs w:val="20"/>
          <w:shd w:val="clear" w:color="auto" w:fill="FFFFFF"/>
        </w:rPr>
        <w:t xml:space="preserve"> </w:t>
      </w:r>
      <w:r w:rsidRPr="005B0931">
        <w:rPr>
          <w:rStyle w:val="ref-journal"/>
          <w:color w:val="000000"/>
          <w:sz w:val="20"/>
          <w:szCs w:val="20"/>
          <w:shd w:val="clear" w:color="auto" w:fill="FFFFFF"/>
        </w:rPr>
        <w:t>J</w:t>
      </w:r>
      <w:r w:rsidR="002A6D47" w:rsidRPr="005B0931">
        <w:rPr>
          <w:rStyle w:val="ref-journal"/>
          <w:color w:val="000000"/>
          <w:sz w:val="20"/>
          <w:szCs w:val="20"/>
          <w:shd w:val="clear" w:color="auto" w:fill="FFFFFF"/>
        </w:rPr>
        <w:t xml:space="preserve"> </w:t>
      </w:r>
      <w:r w:rsidRPr="005B0931">
        <w:rPr>
          <w:rStyle w:val="ref-journal"/>
          <w:color w:val="000000"/>
          <w:sz w:val="20"/>
          <w:szCs w:val="20"/>
          <w:shd w:val="clear" w:color="auto" w:fill="FFFFFF"/>
        </w:rPr>
        <w:t>Stroke</w:t>
      </w:r>
      <w:r w:rsidR="002A6D47" w:rsidRPr="005B0931">
        <w:rPr>
          <w:rStyle w:val="ref-journal"/>
          <w:color w:val="000000"/>
          <w:sz w:val="20"/>
          <w:szCs w:val="20"/>
          <w:shd w:val="clear" w:color="auto" w:fill="FFFFFF"/>
        </w:rPr>
        <w:t xml:space="preserve"> </w:t>
      </w:r>
      <w:proofErr w:type="spellStart"/>
      <w:r w:rsidRPr="005B0931">
        <w:rPr>
          <w:rStyle w:val="ref-journal"/>
          <w:color w:val="000000"/>
          <w:sz w:val="20"/>
          <w:szCs w:val="20"/>
          <w:shd w:val="clear" w:color="auto" w:fill="FFFFFF"/>
        </w:rPr>
        <w:t>Cerebrovasc</w:t>
      </w:r>
      <w:proofErr w:type="spellEnd"/>
      <w:r w:rsidR="002A6D47" w:rsidRPr="005B0931">
        <w:rPr>
          <w:rStyle w:val="ref-journal"/>
          <w:color w:val="000000"/>
          <w:sz w:val="20"/>
          <w:szCs w:val="20"/>
          <w:shd w:val="clear" w:color="auto" w:fill="FFFFFF"/>
        </w:rPr>
        <w:t xml:space="preserve"> </w:t>
      </w:r>
      <w:r w:rsidRPr="005B0931">
        <w:rPr>
          <w:rStyle w:val="ref-journal"/>
          <w:color w:val="000000"/>
          <w:sz w:val="20"/>
          <w:szCs w:val="20"/>
          <w:shd w:val="clear" w:color="auto" w:fill="FFFFFF"/>
        </w:rPr>
        <w:t>Dis.</w:t>
      </w:r>
      <w:r w:rsidR="002A6D47" w:rsidRPr="005B0931">
        <w:rPr>
          <w:rStyle w:val="apple-converted-space"/>
          <w:color w:val="000000"/>
          <w:sz w:val="20"/>
          <w:szCs w:val="20"/>
          <w:shd w:val="clear" w:color="auto" w:fill="FFFFFF"/>
        </w:rPr>
        <w:t xml:space="preserve"> </w:t>
      </w:r>
      <w:r w:rsidRPr="005B0931">
        <w:rPr>
          <w:color w:val="000000"/>
          <w:sz w:val="20"/>
          <w:szCs w:val="20"/>
          <w:shd w:val="clear" w:color="auto" w:fill="FFFFFF"/>
        </w:rPr>
        <w:t>2003;</w:t>
      </w:r>
      <w:r w:rsidRPr="005B0931">
        <w:rPr>
          <w:rStyle w:val="ref-vol"/>
          <w:color w:val="000000"/>
          <w:sz w:val="20"/>
          <w:szCs w:val="20"/>
          <w:shd w:val="clear" w:color="auto" w:fill="FFFFFF"/>
        </w:rPr>
        <w:t>12</w:t>
      </w:r>
      <w:r w:rsidRPr="005B0931">
        <w:rPr>
          <w:color w:val="000000"/>
          <w:sz w:val="20"/>
          <w:szCs w:val="20"/>
          <w:shd w:val="clear" w:color="auto" w:fill="FFFFFF"/>
        </w:rPr>
        <w:t>:119–26.</w:t>
      </w:r>
    </w:p>
    <w:p w:rsidR="00E973C5" w:rsidRPr="005B0931" w:rsidRDefault="00E973C5" w:rsidP="002A6D47">
      <w:pPr>
        <w:pStyle w:val="ListParagraph"/>
        <w:numPr>
          <w:ilvl w:val="0"/>
          <w:numId w:val="32"/>
        </w:numPr>
        <w:snapToGrid w:val="0"/>
        <w:ind w:left="425" w:hanging="425"/>
        <w:jc w:val="both"/>
        <w:textAlignment w:val="baseline"/>
        <w:rPr>
          <w:b/>
          <w:bCs/>
          <w:color w:val="000000"/>
          <w:sz w:val="20"/>
          <w:szCs w:val="20"/>
          <w:shd w:val="clear" w:color="auto" w:fill="FFFFFF"/>
        </w:rPr>
      </w:pPr>
      <w:r w:rsidRPr="005B0931">
        <w:rPr>
          <w:color w:val="000000"/>
          <w:sz w:val="20"/>
          <w:szCs w:val="20"/>
          <w:shd w:val="clear" w:color="auto" w:fill="FFFFFF"/>
        </w:rPr>
        <w:t>Lei-C,</w:t>
      </w:r>
      <w:r w:rsidR="002A6D47" w:rsidRPr="005B0931">
        <w:rPr>
          <w:color w:val="000000"/>
          <w:sz w:val="20"/>
          <w:szCs w:val="20"/>
          <w:shd w:val="clear" w:color="auto" w:fill="FFFFFF"/>
        </w:rPr>
        <w:t xml:space="preserve"> </w:t>
      </w:r>
      <w:r w:rsidRPr="005B0931">
        <w:rPr>
          <w:color w:val="000000"/>
          <w:sz w:val="20"/>
          <w:szCs w:val="20"/>
          <w:shd w:val="clear" w:color="auto" w:fill="FFFFFF"/>
        </w:rPr>
        <w:t>Wu-B,</w:t>
      </w:r>
      <w:r w:rsidR="002A6D47" w:rsidRPr="005B0931">
        <w:rPr>
          <w:color w:val="000000"/>
          <w:sz w:val="20"/>
          <w:szCs w:val="20"/>
          <w:shd w:val="clear" w:color="auto" w:fill="FFFFFF"/>
        </w:rPr>
        <w:t xml:space="preserve"> </w:t>
      </w:r>
      <w:r w:rsidRPr="005B0931">
        <w:rPr>
          <w:color w:val="000000"/>
          <w:sz w:val="20"/>
          <w:szCs w:val="20"/>
          <w:shd w:val="clear" w:color="auto" w:fill="FFFFFF"/>
        </w:rPr>
        <w:t>Liu-M</w:t>
      </w:r>
      <w:r w:rsidR="002A6D47" w:rsidRPr="005B0931">
        <w:rPr>
          <w:color w:val="000000"/>
          <w:sz w:val="20"/>
          <w:szCs w:val="20"/>
          <w:shd w:val="clear" w:color="auto" w:fill="FFFFFF"/>
        </w:rPr>
        <w:t>, C</w:t>
      </w:r>
      <w:r w:rsidRPr="005B0931">
        <w:rPr>
          <w:color w:val="000000"/>
          <w:sz w:val="20"/>
          <w:szCs w:val="20"/>
          <w:shd w:val="clear" w:color="auto" w:fill="FFFFFF"/>
        </w:rPr>
        <w:t>hen-Y</w:t>
      </w:r>
      <w:r w:rsidR="002A6D47" w:rsidRPr="005B0931">
        <w:rPr>
          <w:color w:val="000000"/>
          <w:sz w:val="20"/>
          <w:szCs w:val="20"/>
          <w:shd w:val="clear" w:color="auto" w:fill="FFFFFF"/>
        </w:rPr>
        <w:t>, R</w:t>
      </w:r>
      <w:r w:rsidRPr="005B0931">
        <w:rPr>
          <w:color w:val="000000"/>
          <w:sz w:val="20"/>
          <w:szCs w:val="20"/>
          <w:shd w:val="clear" w:color="auto" w:fill="FFFFFF"/>
        </w:rPr>
        <w:t>isk</w:t>
      </w:r>
      <w:r w:rsidR="002A6D47" w:rsidRPr="005B0931">
        <w:rPr>
          <w:color w:val="000000"/>
          <w:sz w:val="20"/>
          <w:szCs w:val="20"/>
          <w:shd w:val="clear" w:color="auto" w:fill="FFFFFF"/>
        </w:rPr>
        <w:t xml:space="preserve"> </w:t>
      </w:r>
      <w:r w:rsidRPr="005B0931">
        <w:rPr>
          <w:color w:val="000000"/>
          <w:sz w:val="20"/>
          <w:szCs w:val="20"/>
          <w:shd w:val="clear" w:color="auto" w:fill="FFFFFF"/>
        </w:rPr>
        <w:t>factors</w:t>
      </w:r>
      <w:r w:rsidR="002A6D47" w:rsidRPr="005B0931">
        <w:rPr>
          <w:color w:val="000000"/>
          <w:sz w:val="20"/>
          <w:szCs w:val="20"/>
          <w:shd w:val="clear" w:color="auto" w:fill="FFFFFF"/>
        </w:rPr>
        <w:t xml:space="preserve"> </w:t>
      </w:r>
      <w:r w:rsidRPr="005B0931">
        <w:rPr>
          <w:color w:val="000000"/>
          <w:sz w:val="20"/>
          <w:szCs w:val="20"/>
          <w:shd w:val="clear" w:color="auto" w:fill="FFFFFF"/>
        </w:rPr>
        <w:t>and</w:t>
      </w:r>
      <w:r w:rsidR="002A6D47" w:rsidRPr="005B0931">
        <w:rPr>
          <w:color w:val="000000"/>
          <w:sz w:val="20"/>
          <w:szCs w:val="20"/>
          <w:shd w:val="clear" w:color="auto" w:fill="FFFFFF"/>
        </w:rPr>
        <w:t xml:space="preserve"> </w:t>
      </w:r>
      <w:r w:rsidRPr="005B0931">
        <w:rPr>
          <w:color w:val="000000"/>
          <w:sz w:val="20"/>
          <w:szCs w:val="20"/>
          <w:shd w:val="clear" w:color="auto" w:fill="FFFFFF"/>
        </w:rPr>
        <w:t>clinical</w:t>
      </w:r>
      <w:r w:rsidR="002A6D47" w:rsidRPr="005B0931">
        <w:rPr>
          <w:color w:val="000000"/>
          <w:sz w:val="20"/>
          <w:szCs w:val="20"/>
          <w:shd w:val="clear" w:color="auto" w:fill="FFFFFF"/>
        </w:rPr>
        <w:t xml:space="preserve"> </w:t>
      </w:r>
      <w:r w:rsidRPr="005B0931">
        <w:rPr>
          <w:color w:val="000000"/>
          <w:sz w:val="20"/>
          <w:szCs w:val="20"/>
          <w:shd w:val="clear" w:color="auto" w:fill="FFFFFF"/>
        </w:rPr>
        <w:t>outcomes</w:t>
      </w:r>
      <w:r w:rsidR="002A6D47" w:rsidRPr="005B0931">
        <w:rPr>
          <w:color w:val="000000"/>
          <w:sz w:val="20"/>
          <w:szCs w:val="20"/>
          <w:shd w:val="clear" w:color="auto" w:fill="FFFFFF"/>
        </w:rPr>
        <w:t xml:space="preserve"> </w:t>
      </w:r>
      <w:r w:rsidRPr="005B0931">
        <w:rPr>
          <w:color w:val="000000"/>
          <w:sz w:val="20"/>
          <w:szCs w:val="20"/>
          <w:shd w:val="clear" w:color="auto" w:fill="FFFFFF"/>
        </w:rPr>
        <w:t>associated</w:t>
      </w:r>
      <w:r w:rsidR="002A6D47" w:rsidRPr="005B0931">
        <w:rPr>
          <w:color w:val="000000"/>
          <w:sz w:val="20"/>
          <w:szCs w:val="20"/>
          <w:shd w:val="clear" w:color="auto" w:fill="FFFFFF"/>
        </w:rPr>
        <w:t xml:space="preserve"> </w:t>
      </w:r>
      <w:r w:rsidRPr="005B0931">
        <w:rPr>
          <w:color w:val="000000"/>
          <w:sz w:val="20"/>
          <w:szCs w:val="20"/>
          <w:shd w:val="clear" w:color="auto" w:fill="FFFFFF"/>
        </w:rPr>
        <w:t>with</w:t>
      </w:r>
      <w:r w:rsidR="002A6D47" w:rsidRPr="005B0931">
        <w:rPr>
          <w:color w:val="000000"/>
          <w:sz w:val="20"/>
          <w:szCs w:val="20"/>
          <w:shd w:val="clear" w:color="auto" w:fill="FFFFFF"/>
        </w:rPr>
        <w:t xml:space="preserve"> </w:t>
      </w:r>
      <w:r w:rsidRPr="005B0931">
        <w:rPr>
          <w:color w:val="000000"/>
          <w:sz w:val="20"/>
          <w:szCs w:val="20"/>
          <w:shd w:val="clear" w:color="auto" w:fill="FFFFFF"/>
        </w:rPr>
        <w:t>intracranial</w:t>
      </w:r>
      <w:r w:rsidR="002A6D47" w:rsidRPr="005B0931">
        <w:rPr>
          <w:color w:val="000000"/>
          <w:sz w:val="20"/>
          <w:szCs w:val="20"/>
          <w:shd w:val="clear" w:color="auto" w:fill="FFFFFF"/>
        </w:rPr>
        <w:t xml:space="preserve"> </w:t>
      </w:r>
      <w:r w:rsidRPr="005B0931">
        <w:rPr>
          <w:color w:val="000000"/>
          <w:sz w:val="20"/>
          <w:szCs w:val="20"/>
          <w:shd w:val="clear" w:color="auto" w:fill="FFFFFF"/>
        </w:rPr>
        <w:t>and</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extracranial</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atherosclerotic</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stenosis</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acute</w:t>
      </w:r>
      <w:r w:rsidR="002A6D47" w:rsidRPr="005B0931">
        <w:rPr>
          <w:color w:val="000000"/>
          <w:sz w:val="20"/>
          <w:szCs w:val="20"/>
          <w:shd w:val="clear" w:color="auto" w:fill="FFFFFF"/>
        </w:rPr>
        <w:t xml:space="preserve"> </w:t>
      </w:r>
      <w:r w:rsidRPr="005B0931">
        <w:rPr>
          <w:color w:val="000000"/>
          <w:sz w:val="20"/>
          <w:szCs w:val="20"/>
          <w:shd w:val="clear" w:color="auto" w:fill="FFFFFF"/>
        </w:rPr>
        <w:t>ischemic</w:t>
      </w:r>
      <w:r w:rsidR="002A6D47" w:rsidRPr="005B0931">
        <w:rPr>
          <w:color w:val="000000"/>
          <w:sz w:val="20"/>
          <w:szCs w:val="20"/>
          <w:shd w:val="clear" w:color="auto" w:fill="FFFFFF"/>
        </w:rPr>
        <w:t xml:space="preserve"> </w:t>
      </w:r>
      <w:r w:rsidRPr="005B0931">
        <w:rPr>
          <w:color w:val="000000"/>
          <w:sz w:val="20"/>
          <w:szCs w:val="20"/>
          <w:shd w:val="clear" w:color="auto" w:fill="FFFFFF"/>
        </w:rPr>
        <w:t>stroke</w:t>
      </w:r>
      <w:r w:rsidR="002A6D47" w:rsidRPr="005B0931">
        <w:rPr>
          <w:color w:val="000000"/>
          <w:sz w:val="20"/>
          <w:szCs w:val="20"/>
          <w:shd w:val="clear" w:color="auto" w:fill="FFFFFF"/>
        </w:rPr>
        <w:t>. J</w:t>
      </w:r>
      <w:r w:rsidR="002A6D47" w:rsidRPr="005B0931">
        <w:rPr>
          <w:rFonts w:eastAsiaTheme="minorEastAsia" w:hint="eastAsia"/>
          <w:color w:val="000000"/>
          <w:sz w:val="20"/>
          <w:szCs w:val="20"/>
          <w:shd w:val="clear" w:color="auto" w:fill="FFFFFF"/>
          <w:lang w:eastAsia="zh-CN"/>
        </w:rPr>
        <w:t xml:space="preserve"> </w:t>
      </w:r>
      <w:r w:rsidRPr="005B0931">
        <w:rPr>
          <w:color w:val="000000"/>
          <w:sz w:val="20"/>
          <w:szCs w:val="20"/>
          <w:shd w:val="clear" w:color="auto" w:fill="FFFFFF"/>
        </w:rPr>
        <w:t>Strok</w:t>
      </w:r>
      <w:r w:rsidR="002A6D47" w:rsidRPr="005B0931">
        <w:rPr>
          <w:color w:val="000000"/>
          <w:sz w:val="20"/>
          <w:szCs w:val="20"/>
          <w:shd w:val="clear" w:color="auto" w:fill="FFFFFF"/>
        </w:rPr>
        <w:t xml:space="preserve">e </w:t>
      </w:r>
      <w:proofErr w:type="spellStart"/>
      <w:r w:rsidR="002A6D47" w:rsidRPr="005B0931">
        <w:rPr>
          <w:color w:val="000000"/>
          <w:sz w:val="20"/>
          <w:szCs w:val="20"/>
          <w:shd w:val="clear" w:color="auto" w:fill="FFFFFF"/>
        </w:rPr>
        <w:t>C</w:t>
      </w:r>
      <w:r w:rsidRPr="005B0931">
        <w:rPr>
          <w:color w:val="000000"/>
          <w:sz w:val="20"/>
          <w:szCs w:val="20"/>
          <w:shd w:val="clear" w:color="auto" w:fill="FFFFFF"/>
        </w:rPr>
        <w:t>erebrovasc</w:t>
      </w:r>
      <w:proofErr w:type="spellEnd"/>
      <w:r w:rsidR="002A6D47" w:rsidRPr="005B0931">
        <w:rPr>
          <w:rFonts w:eastAsiaTheme="minorEastAsia" w:hint="eastAsia"/>
          <w:color w:val="000000"/>
          <w:sz w:val="20"/>
          <w:szCs w:val="20"/>
          <w:shd w:val="clear" w:color="auto" w:fill="FFFFFF"/>
          <w:lang w:eastAsia="zh-CN"/>
        </w:rPr>
        <w:t xml:space="preserve"> </w:t>
      </w:r>
      <w:r w:rsidRPr="005B0931">
        <w:rPr>
          <w:color w:val="000000"/>
          <w:sz w:val="20"/>
          <w:szCs w:val="20"/>
          <w:shd w:val="clear" w:color="auto" w:fill="FFFFFF"/>
        </w:rPr>
        <w:t>Dis.</w:t>
      </w:r>
      <w:r w:rsidR="002A6D47" w:rsidRPr="005B0931">
        <w:rPr>
          <w:color w:val="000000"/>
          <w:sz w:val="20"/>
          <w:szCs w:val="20"/>
          <w:shd w:val="clear" w:color="auto" w:fill="FFFFFF"/>
        </w:rPr>
        <w:t xml:space="preserve"> </w:t>
      </w:r>
      <w:r w:rsidRPr="005B0931">
        <w:rPr>
          <w:color w:val="000000"/>
          <w:sz w:val="20"/>
          <w:szCs w:val="20"/>
          <w:shd w:val="clear" w:color="auto" w:fill="FFFFFF"/>
        </w:rPr>
        <w:t>2014</w:t>
      </w:r>
      <w:r w:rsidR="002A6D47" w:rsidRPr="005B0931">
        <w:rPr>
          <w:color w:val="000000"/>
          <w:sz w:val="20"/>
          <w:szCs w:val="20"/>
          <w:shd w:val="clear" w:color="auto" w:fill="FFFFFF"/>
        </w:rPr>
        <w:t>, M</w:t>
      </w:r>
      <w:r w:rsidRPr="005B0931">
        <w:rPr>
          <w:color w:val="000000"/>
          <w:sz w:val="20"/>
          <w:szCs w:val="20"/>
          <w:shd w:val="clear" w:color="auto" w:fill="FFFFFF"/>
        </w:rPr>
        <w:t>ay-Jun;23(5):1112-10.1016/j</w:t>
      </w:r>
      <w:r w:rsidR="002A6D47" w:rsidRPr="005B0931">
        <w:rPr>
          <w:color w:val="000000"/>
          <w:sz w:val="20"/>
          <w:szCs w:val="20"/>
          <w:shd w:val="clear" w:color="auto" w:fill="FFFFFF"/>
        </w:rPr>
        <w:t>. j</w:t>
      </w:r>
      <w:r w:rsidRPr="005B0931">
        <w:rPr>
          <w:color w:val="000000"/>
          <w:sz w:val="20"/>
          <w:szCs w:val="20"/>
          <w:shd w:val="clear" w:color="auto" w:fill="FFFFFF"/>
        </w:rPr>
        <w:t>strokecerebrovasdis.2013.09.024.</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Epub</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2013</w:t>
      </w:r>
      <w:r w:rsidR="002A6D47" w:rsidRPr="005B0931">
        <w:rPr>
          <w:color w:val="000000"/>
          <w:sz w:val="20"/>
          <w:szCs w:val="20"/>
          <w:shd w:val="clear" w:color="auto" w:fill="FFFFFF"/>
        </w:rPr>
        <w:t xml:space="preserve"> </w:t>
      </w:r>
      <w:r w:rsidRPr="005B0931">
        <w:rPr>
          <w:color w:val="000000"/>
          <w:sz w:val="20"/>
          <w:szCs w:val="20"/>
          <w:shd w:val="clear" w:color="auto" w:fill="FFFFFF"/>
        </w:rPr>
        <w:t>Nov</w:t>
      </w:r>
      <w:r w:rsidR="002A6D47" w:rsidRPr="005B0931">
        <w:rPr>
          <w:color w:val="000000"/>
          <w:sz w:val="20"/>
          <w:szCs w:val="20"/>
          <w:shd w:val="clear" w:color="auto" w:fill="FFFFFF"/>
        </w:rPr>
        <w:t xml:space="preserve"> </w:t>
      </w:r>
      <w:r w:rsidRPr="005B0931">
        <w:rPr>
          <w:color w:val="000000"/>
          <w:sz w:val="20"/>
          <w:szCs w:val="20"/>
          <w:shd w:val="clear" w:color="auto" w:fill="FFFFFF"/>
        </w:rPr>
        <w:t>1.</w:t>
      </w:r>
    </w:p>
    <w:p w:rsidR="002A6D47" w:rsidRPr="005B0931" w:rsidRDefault="00E973C5" w:rsidP="002A6D47">
      <w:pPr>
        <w:pStyle w:val="ListParagraph"/>
        <w:numPr>
          <w:ilvl w:val="0"/>
          <w:numId w:val="32"/>
        </w:numPr>
        <w:snapToGrid w:val="0"/>
        <w:ind w:left="425" w:hanging="425"/>
        <w:jc w:val="both"/>
        <w:textAlignment w:val="baseline"/>
        <w:rPr>
          <w:color w:val="000000"/>
          <w:sz w:val="20"/>
          <w:szCs w:val="20"/>
          <w:shd w:val="clear" w:color="auto" w:fill="FFFFFF"/>
        </w:rPr>
      </w:pPr>
      <w:proofErr w:type="spellStart"/>
      <w:r w:rsidRPr="005B0931">
        <w:rPr>
          <w:color w:val="000000"/>
          <w:sz w:val="20"/>
          <w:szCs w:val="20"/>
          <w:shd w:val="clear" w:color="auto" w:fill="FFFFFF"/>
        </w:rPr>
        <w:t>Edjoc</w:t>
      </w:r>
      <w:proofErr w:type="spellEnd"/>
      <w:r w:rsidRPr="005B0931">
        <w:rPr>
          <w:color w:val="000000"/>
          <w:sz w:val="20"/>
          <w:szCs w:val="20"/>
          <w:shd w:val="clear" w:color="auto" w:fill="FFFFFF"/>
        </w:rPr>
        <w:t>,</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Rojiemiahd</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K.</w:t>
      </w:r>
      <w:r w:rsidR="002A6D47" w:rsidRPr="005B0931">
        <w:rPr>
          <w:color w:val="000000"/>
          <w:sz w:val="20"/>
          <w:szCs w:val="20"/>
          <w:shd w:val="clear" w:color="auto" w:fill="FFFFFF"/>
        </w:rPr>
        <w:t xml:space="preserve"> </w:t>
      </w:r>
      <w:r w:rsidRPr="005B0931">
        <w:rPr>
          <w:color w:val="000000"/>
          <w:sz w:val="20"/>
          <w:szCs w:val="20"/>
          <w:shd w:val="clear" w:color="auto" w:fill="FFFFFF"/>
        </w:rPr>
        <w:t>et</w:t>
      </w:r>
      <w:r w:rsidR="002A6D47" w:rsidRPr="005B0931">
        <w:rPr>
          <w:color w:val="000000"/>
          <w:sz w:val="20"/>
          <w:szCs w:val="20"/>
          <w:shd w:val="clear" w:color="auto" w:fill="FFFFFF"/>
        </w:rPr>
        <w:t xml:space="preserve"> </w:t>
      </w:r>
      <w:r w:rsidRPr="005B0931">
        <w:rPr>
          <w:color w:val="000000"/>
          <w:sz w:val="20"/>
          <w:szCs w:val="20"/>
          <w:shd w:val="clear" w:color="auto" w:fill="FFFFFF"/>
        </w:rPr>
        <w:t>al.</w:t>
      </w:r>
      <w:r w:rsidR="002A6D47" w:rsidRPr="005B0931">
        <w:rPr>
          <w:color w:val="000000"/>
          <w:sz w:val="20"/>
          <w:szCs w:val="20"/>
          <w:shd w:val="clear" w:color="auto" w:fill="FFFFFF"/>
        </w:rPr>
        <w:t xml:space="preserve"> </w:t>
      </w:r>
      <w:r w:rsidRPr="005B0931">
        <w:rPr>
          <w:color w:val="000000"/>
          <w:sz w:val="20"/>
          <w:szCs w:val="20"/>
          <w:shd w:val="clear" w:color="auto" w:fill="FFFFFF"/>
        </w:rPr>
        <w:t>The</w:t>
      </w:r>
      <w:r w:rsidR="002A6D47" w:rsidRPr="005B0931">
        <w:rPr>
          <w:color w:val="000000"/>
          <w:sz w:val="20"/>
          <w:szCs w:val="20"/>
          <w:shd w:val="clear" w:color="auto" w:fill="FFFFFF"/>
        </w:rPr>
        <w:t xml:space="preserve"> </w:t>
      </w:r>
      <w:r w:rsidRPr="005B0931">
        <w:rPr>
          <w:color w:val="000000"/>
          <w:sz w:val="20"/>
          <w:szCs w:val="20"/>
          <w:shd w:val="clear" w:color="auto" w:fill="FFFFFF"/>
        </w:rPr>
        <w:t>Prognostic</w:t>
      </w:r>
      <w:r w:rsidR="002A6D47" w:rsidRPr="005B0931">
        <w:rPr>
          <w:color w:val="000000"/>
          <w:sz w:val="20"/>
          <w:szCs w:val="20"/>
          <w:shd w:val="clear" w:color="auto" w:fill="FFFFFF"/>
        </w:rPr>
        <w:t xml:space="preserve"> </w:t>
      </w:r>
      <w:r w:rsidRPr="005B0931">
        <w:rPr>
          <w:color w:val="000000"/>
          <w:sz w:val="20"/>
          <w:szCs w:val="20"/>
          <w:shd w:val="clear" w:color="auto" w:fill="FFFFFF"/>
        </w:rPr>
        <w:t>Effect</w:t>
      </w:r>
      <w:r w:rsidR="002A6D47" w:rsidRPr="005B0931">
        <w:rPr>
          <w:color w:val="000000"/>
          <w:sz w:val="20"/>
          <w:szCs w:val="20"/>
          <w:shd w:val="clear" w:color="auto" w:fill="FFFFFF"/>
        </w:rPr>
        <w:t xml:space="preserve"> </w:t>
      </w:r>
      <w:r w:rsidRPr="005B0931">
        <w:rPr>
          <w:color w:val="000000"/>
          <w:sz w:val="20"/>
          <w:szCs w:val="20"/>
          <w:shd w:val="clear" w:color="auto" w:fill="FFFFFF"/>
        </w:rPr>
        <w:t>of</w:t>
      </w:r>
      <w:r w:rsidR="002A6D47" w:rsidRPr="005B0931">
        <w:rPr>
          <w:color w:val="000000"/>
          <w:sz w:val="20"/>
          <w:szCs w:val="20"/>
          <w:shd w:val="clear" w:color="auto" w:fill="FFFFFF"/>
        </w:rPr>
        <w:t xml:space="preserve"> </w:t>
      </w:r>
      <w:r w:rsidRPr="005B0931">
        <w:rPr>
          <w:color w:val="000000"/>
          <w:sz w:val="20"/>
          <w:szCs w:val="20"/>
          <w:shd w:val="clear" w:color="auto" w:fill="FFFFFF"/>
        </w:rPr>
        <w:t>Cigarette</w:t>
      </w:r>
      <w:r w:rsidR="002A6D47" w:rsidRPr="005B0931">
        <w:rPr>
          <w:color w:val="000000"/>
          <w:sz w:val="20"/>
          <w:szCs w:val="20"/>
          <w:shd w:val="clear" w:color="auto" w:fill="FFFFFF"/>
        </w:rPr>
        <w:t xml:space="preserve"> </w:t>
      </w:r>
      <w:r w:rsidRPr="005B0931">
        <w:rPr>
          <w:color w:val="000000"/>
          <w:sz w:val="20"/>
          <w:szCs w:val="20"/>
          <w:shd w:val="clear" w:color="auto" w:fill="FFFFFF"/>
        </w:rPr>
        <w:t>Smoking</w:t>
      </w:r>
      <w:r w:rsidR="002A6D47" w:rsidRPr="005B0931">
        <w:rPr>
          <w:color w:val="000000"/>
          <w:sz w:val="20"/>
          <w:szCs w:val="20"/>
          <w:shd w:val="clear" w:color="auto" w:fill="FFFFFF"/>
        </w:rPr>
        <w:t xml:space="preserve"> </w:t>
      </w:r>
      <w:r w:rsidRPr="005B0931">
        <w:rPr>
          <w:color w:val="000000"/>
          <w:sz w:val="20"/>
          <w:szCs w:val="20"/>
          <w:shd w:val="clear" w:color="auto" w:fill="FFFFFF"/>
        </w:rPr>
        <w:t>on</w:t>
      </w:r>
      <w:r w:rsidR="002A6D47" w:rsidRPr="005B0931">
        <w:rPr>
          <w:color w:val="000000"/>
          <w:sz w:val="20"/>
          <w:szCs w:val="20"/>
          <w:shd w:val="clear" w:color="auto" w:fill="FFFFFF"/>
        </w:rPr>
        <w:t xml:space="preserve"> </w:t>
      </w:r>
      <w:r w:rsidRPr="005B0931">
        <w:rPr>
          <w:color w:val="000000"/>
          <w:sz w:val="20"/>
          <w:szCs w:val="20"/>
          <w:shd w:val="clear" w:color="auto" w:fill="FFFFFF"/>
        </w:rPr>
        <w:t>Stroke</w:t>
      </w:r>
      <w:r w:rsidR="002A6D47" w:rsidRPr="005B0931">
        <w:rPr>
          <w:color w:val="000000"/>
          <w:sz w:val="20"/>
          <w:szCs w:val="20"/>
          <w:shd w:val="clear" w:color="auto" w:fill="FFFFFF"/>
        </w:rPr>
        <w:t xml:space="preserve"> </w:t>
      </w:r>
      <w:r w:rsidRPr="005B0931">
        <w:rPr>
          <w:color w:val="000000"/>
          <w:sz w:val="20"/>
          <w:szCs w:val="20"/>
          <w:shd w:val="clear" w:color="auto" w:fill="FFFFFF"/>
        </w:rPr>
        <w:t>Severity,</w:t>
      </w:r>
      <w:r w:rsidR="002A6D47" w:rsidRPr="005B0931">
        <w:rPr>
          <w:color w:val="000000"/>
          <w:sz w:val="20"/>
          <w:szCs w:val="20"/>
          <w:shd w:val="clear" w:color="auto" w:fill="FFFFFF"/>
        </w:rPr>
        <w:t xml:space="preserve"> </w:t>
      </w:r>
      <w:r w:rsidRPr="005B0931">
        <w:rPr>
          <w:color w:val="000000"/>
          <w:sz w:val="20"/>
          <w:szCs w:val="20"/>
          <w:shd w:val="clear" w:color="auto" w:fill="FFFFFF"/>
        </w:rPr>
        <w:t>Disability,</w:t>
      </w:r>
      <w:r w:rsidR="002A6D47" w:rsidRPr="005B0931">
        <w:rPr>
          <w:color w:val="000000"/>
          <w:sz w:val="20"/>
          <w:szCs w:val="20"/>
          <w:shd w:val="clear" w:color="auto" w:fill="FFFFFF"/>
        </w:rPr>
        <w:t xml:space="preserve"> </w:t>
      </w:r>
      <w:r w:rsidRPr="005B0931">
        <w:rPr>
          <w:color w:val="000000"/>
          <w:sz w:val="20"/>
          <w:szCs w:val="20"/>
          <w:shd w:val="clear" w:color="auto" w:fill="FFFFFF"/>
        </w:rPr>
        <w:t>Length</w:t>
      </w:r>
      <w:r w:rsidR="002A6D47" w:rsidRPr="005B0931">
        <w:rPr>
          <w:color w:val="000000"/>
          <w:sz w:val="20"/>
          <w:szCs w:val="20"/>
          <w:shd w:val="clear" w:color="auto" w:fill="FFFFFF"/>
        </w:rPr>
        <w:t xml:space="preserve"> </w:t>
      </w:r>
      <w:r w:rsidRPr="005B0931">
        <w:rPr>
          <w:color w:val="000000"/>
          <w:sz w:val="20"/>
          <w:szCs w:val="20"/>
          <w:shd w:val="clear" w:color="auto" w:fill="FFFFFF"/>
        </w:rPr>
        <w:t>of</w:t>
      </w:r>
      <w:r w:rsidR="002A6D47" w:rsidRPr="005B0931">
        <w:rPr>
          <w:color w:val="000000"/>
          <w:sz w:val="20"/>
          <w:szCs w:val="20"/>
          <w:shd w:val="clear" w:color="auto" w:fill="FFFFFF"/>
        </w:rPr>
        <w:t xml:space="preserve"> </w:t>
      </w:r>
      <w:r w:rsidRPr="005B0931">
        <w:rPr>
          <w:color w:val="000000"/>
          <w:sz w:val="20"/>
          <w:szCs w:val="20"/>
          <w:shd w:val="clear" w:color="auto" w:fill="FFFFFF"/>
        </w:rPr>
        <w:t>Stay</w:t>
      </w:r>
      <w:r w:rsidR="002A6D47" w:rsidRPr="005B0931">
        <w:rPr>
          <w:color w:val="000000"/>
          <w:sz w:val="20"/>
          <w:szCs w:val="20"/>
          <w:shd w:val="clear" w:color="auto" w:fill="FFFFFF"/>
        </w:rPr>
        <w:t xml:space="preserve"> </w:t>
      </w:r>
      <w:r w:rsidRPr="005B0931">
        <w:rPr>
          <w:color w:val="000000"/>
          <w:sz w:val="20"/>
          <w:szCs w:val="20"/>
          <w:shd w:val="clear" w:color="auto" w:fill="FFFFFF"/>
        </w:rPr>
        <w:t>in</w:t>
      </w:r>
      <w:r w:rsidR="002A6D47" w:rsidRPr="005B0931">
        <w:rPr>
          <w:color w:val="000000"/>
          <w:sz w:val="20"/>
          <w:szCs w:val="20"/>
          <w:shd w:val="clear" w:color="auto" w:fill="FFFFFF"/>
        </w:rPr>
        <w:t xml:space="preserve"> </w:t>
      </w:r>
      <w:r w:rsidRPr="005B0931">
        <w:rPr>
          <w:color w:val="000000"/>
          <w:sz w:val="20"/>
          <w:szCs w:val="20"/>
          <w:shd w:val="clear" w:color="auto" w:fill="FFFFFF"/>
        </w:rPr>
        <w:t>Hospital,</w:t>
      </w:r>
      <w:r w:rsidR="002A6D47" w:rsidRPr="005B0931">
        <w:rPr>
          <w:color w:val="000000"/>
          <w:sz w:val="20"/>
          <w:szCs w:val="20"/>
          <w:shd w:val="clear" w:color="auto" w:fill="FFFFFF"/>
        </w:rPr>
        <w:t xml:space="preserve"> </w:t>
      </w:r>
      <w:r w:rsidRPr="005B0931">
        <w:rPr>
          <w:color w:val="000000"/>
          <w:sz w:val="20"/>
          <w:szCs w:val="20"/>
          <w:shd w:val="clear" w:color="auto" w:fill="FFFFFF"/>
        </w:rPr>
        <w:t>and</w:t>
      </w:r>
      <w:r w:rsidR="002A6D47" w:rsidRPr="005B0931">
        <w:rPr>
          <w:color w:val="000000"/>
          <w:sz w:val="20"/>
          <w:szCs w:val="20"/>
          <w:shd w:val="clear" w:color="auto" w:fill="FFFFFF"/>
        </w:rPr>
        <w:t xml:space="preserve"> </w:t>
      </w:r>
      <w:r w:rsidRPr="005B0931">
        <w:rPr>
          <w:color w:val="000000"/>
          <w:sz w:val="20"/>
          <w:szCs w:val="20"/>
          <w:shd w:val="clear" w:color="auto" w:fill="FFFFFF"/>
        </w:rPr>
        <w:t>Mortality</w:t>
      </w:r>
      <w:r w:rsidR="002A6D47" w:rsidRPr="005B0931">
        <w:rPr>
          <w:color w:val="000000"/>
          <w:sz w:val="20"/>
          <w:szCs w:val="20"/>
          <w:shd w:val="clear" w:color="auto" w:fill="FFFFFF"/>
        </w:rPr>
        <w:t xml:space="preserve"> </w:t>
      </w:r>
      <w:r w:rsidRPr="005B0931">
        <w:rPr>
          <w:color w:val="000000"/>
          <w:sz w:val="20"/>
          <w:szCs w:val="20"/>
          <w:shd w:val="clear" w:color="auto" w:fill="FFFFFF"/>
        </w:rPr>
        <w:t>in</w:t>
      </w:r>
      <w:r w:rsidR="002A6D47" w:rsidRPr="005B0931">
        <w:rPr>
          <w:color w:val="000000"/>
          <w:sz w:val="20"/>
          <w:szCs w:val="20"/>
          <w:shd w:val="clear" w:color="auto" w:fill="FFFFFF"/>
        </w:rPr>
        <w:t xml:space="preserve"> </w:t>
      </w:r>
      <w:r w:rsidRPr="005B0931">
        <w:rPr>
          <w:color w:val="000000"/>
          <w:sz w:val="20"/>
          <w:szCs w:val="20"/>
          <w:shd w:val="clear" w:color="auto" w:fill="FFFFFF"/>
        </w:rPr>
        <w:t>a</w:t>
      </w:r>
      <w:r w:rsidR="002A6D47" w:rsidRPr="005B0931">
        <w:rPr>
          <w:color w:val="000000"/>
          <w:sz w:val="20"/>
          <w:szCs w:val="20"/>
          <w:shd w:val="clear" w:color="auto" w:fill="FFFFFF"/>
        </w:rPr>
        <w:t xml:space="preserve"> </w:t>
      </w:r>
      <w:r w:rsidRPr="005B0931">
        <w:rPr>
          <w:color w:val="000000"/>
          <w:sz w:val="20"/>
          <w:szCs w:val="20"/>
          <w:shd w:val="clear" w:color="auto" w:fill="FFFFFF"/>
        </w:rPr>
        <w:t>Cohort</w:t>
      </w:r>
      <w:r w:rsidR="002A6D47" w:rsidRPr="005B0931">
        <w:rPr>
          <w:color w:val="000000"/>
          <w:sz w:val="20"/>
          <w:szCs w:val="20"/>
          <w:shd w:val="clear" w:color="auto" w:fill="FFFFFF"/>
        </w:rPr>
        <w:t xml:space="preserve"> </w:t>
      </w:r>
      <w:r w:rsidRPr="005B0931">
        <w:rPr>
          <w:color w:val="000000"/>
          <w:sz w:val="20"/>
          <w:szCs w:val="20"/>
          <w:shd w:val="clear" w:color="auto" w:fill="FFFFFF"/>
        </w:rPr>
        <w:t>with</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Cerebrovascular</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Disease</w:t>
      </w:r>
      <w:r w:rsidR="002A6D47" w:rsidRPr="005B0931">
        <w:rPr>
          <w:color w:val="000000"/>
          <w:sz w:val="20"/>
          <w:szCs w:val="20"/>
          <w:shd w:val="clear" w:color="auto" w:fill="FFFFFF"/>
        </w:rPr>
        <w:t>. J</w:t>
      </w:r>
      <w:r w:rsidRPr="005B0931">
        <w:rPr>
          <w:color w:val="000000"/>
          <w:sz w:val="20"/>
          <w:szCs w:val="20"/>
          <w:shd w:val="clear" w:color="auto" w:fill="FFFFFF"/>
        </w:rPr>
        <w:t>ournal</w:t>
      </w:r>
      <w:r w:rsidR="002A6D47" w:rsidRPr="005B0931">
        <w:rPr>
          <w:color w:val="000000"/>
          <w:sz w:val="20"/>
          <w:szCs w:val="20"/>
          <w:shd w:val="clear" w:color="auto" w:fill="FFFFFF"/>
        </w:rPr>
        <w:t xml:space="preserve"> </w:t>
      </w:r>
      <w:r w:rsidRPr="005B0931">
        <w:rPr>
          <w:color w:val="000000"/>
          <w:sz w:val="20"/>
          <w:szCs w:val="20"/>
          <w:shd w:val="clear" w:color="auto" w:fill="FFFFFF"/>
        </w:rPr>
        <w:t>of</w:t>
      </w:r>
      <w:r w:rsidR="002A6D47" w:rsidRPr="005B0931">
        <w:rPr>
          <w:color w:val="000000"/>
          <w:sz w:val="20"/>
          <w:szCs w:val="20"/>
          <w:shd w:val="clear" w:color="auto" w:fill="FFFFFF"/>
        </w:rPr>
        <w:t xml:space="preserve"> </w:t>
      </w:r>
      <w:r w:rsidRPr="005B0931">
        <w:rPr>
          <w:color w:val="000000"/>
          <w:sz w:val="20"/>
          <w:szCs w:val="20"/>
          <w:shd w:val="clear" w:color="auto" w:fill="FFFFFF"/>
        </w:rPr>
        <w:t>Stroke</w:t>
      </w:r>
      <w:r w:rsidR="002A6D47" w:rsidRPr="005B0931">
        <w:rPr>
          <w:color w:val="000000"/>
          <w:sz w:val="20"/>
          <w:szCs w:val="20"/>
          <w:shd w:val="clear" w:color="auto" w:fill="FFFFFF"/>
        </w:rPr>
        <w:t xml:space="preserve"> </w:t>
      </w:r>
      <w:r w:rsidRPr="005B0931">
        <w:rPr>
          <w:color w:val="000000"/>
          <w:sz w:val="20"/>
          <w:szCs w:val="20"/>
          <w:shd w:val="clear" w:color="auto" w:fill="FFFFFF"/>
        </w:rPr>
        <w:t>and</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Cerebrovascular</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Diseases</w:t>
      </w:r>
      <w:r w:rsidR="002A6D47" w:rsidRPr="005B0931">
        <w:rPr>
          <w:color w:val="000000"/>
          <w:sz w:val="20"/>
          <w:szCs w:val="20"/>
          <w:shd w:val="clear" w:color="auto" w:fill="FFFFFF"/>
        </w:rPr>
        <w:t xml:space="preserve">, </w:t>
      </w:r>
      <w:r w:rsidRPr="005B0931">
        <w:rPr>
          <w:color w:val="000000"/>
          <w:sz w:val="20"/>
          <w:szCs w:val="20"/>
          <w:shd w:val="clear" w:color="auto" w:fill="FFFFFF"/>
        </w:rPr>
        <w:t>Volume</w:t>
      </w:r>
      <w:r w:rsidR="002A6D47" w:rsidRPr="005B0931">
        <w:rPr>
          <w:color w:val="000000"/>
          <w:sz w:val="20"/>
          <w:szCs w:val="20"/>
          <w:shd w:val="clear" w:color="auto" w:fill="FFFFFF"/>
        </w:rPr>
        <w:t xml:space="preserve"> </w:t>
      </w:r>
      <w:r w:rsidRPr="005B0931">
        <w:rPr>
          <w:color w:val="000000"/>
          <w:sz w:val="20"/>
          <w:szCs w:val="20"/>
          <w:shd w:val="clear" w:color="auto" w:fill="FFFFFF"/>
        </w:rPr>
        <w:t>22</w:t>
      </w:r>
      <w:r w:rsidR="002A6D47" w:rsidRPr="005B0931">
        <w:rPr>
          <w:color w:val="000000"/>
          <w:sz w:val="20"/>
          <w:szCs w:val="20"/>
          <w:shd w:val="clear" w:color="auto" w:fill="FFFFFF"/>
        </w:rPr>
        <w:t xml:space="preserve">, </w:t>
      </w:r>
      <w:r w:rsidRPr="005B0931">
        <w:rPr>
          <w:color w:val="000000"/>
          <w:sz w:val="20"/>
          <w:szCs w:val="20"/>
          <w:shd w:val="clear" w:color="auto" w:fill="FFFFFF"/>
        </w:rPr>
        <w:t>Issue</w:t>
      </w:r>
      <w:r w:rsidR="002A6D47" w:rsidRPr="005B0931">
        <w:rPr>
          <w:color w:val="000000"/>
          <w:sz w:val="20"/>
          <w:szCs w:val="20"/>
          <w:shd w:val="clear" w:color="auto" w:fill="FFFFFF"/>
        </w:rPr>
        <w:t xml:space="preserve"> </w:t>
      </w:r>
      <w:r w:rsidRPr="005B0931">
        <w:rPr>
          <w:color w:val="000000"/>
          <w:sz w:val="20"/>
          <w:szCs w:val="20"/>
          <w:shd w:val="clear" w:color="auto" w:fill="FFFFFF"/>
        </w:rPr>
        <w:t>8</w:t>
      </w:r>
      <w:r w:rsidR="002A6D47" w:rsidRPr="005B0931">
        <w:rPr>
          <w:color w:val="000000"/>
          <w:sz w:val="20"/>
          <w:szCs w:val="20"/>
          <w:shd w:val="clear" w:color="auto" w:fill="FFFFFF"/>
        </w:rPr>
        <w:t xml:space="preserve">, </w:t>
      </w:r>
      <w:r w:rsidRPr="005B0931">
        <w:rPr>
          <w:color w:val="000000"/>
          <w:sz w:val="20"/>
          <w:szCs w:val="20"/>
          <w:shd w:val="clear" w:color="auto" w:fill="FFFFFF"/>
        </w:rPr>
        <w:t>e446</w:t>
      </w:r>
      <w:r w:rsidR="002A6D47" w:rsidRPr="005B0931">
        <w:rPr>
          <w:color w:val="000000"/>
          <w:sz w:val="20"/>
          <w:szCs w:val="20"/>
          <w:shd w:val="clear" w:color="auto" w:fill="FFFFFF"/>
        </w:rPr>
        <w:t xml:space="preserve"> </w:t>
      </w:r>
      <w:r w:rsidRPr="005B0931">
        <w:rPr>
          <w:color w:val="000000"/>
          <w:sz w:val="20"/>
          <w:szCs w:val="20"/>
          <w:shd w:val="clear" w:color="auto" w:fill="FFFFFF"/>
        </w:rPr>
        <w:t>-</w:t>
      </w:r>
      <w:r w:rsidR="002A6D47" w:rsidRPr="005B0931">
        <w:rPr>
          <w:color w:val="000000"/>
          <w:sz w:val="20"/>
          <w:szCs w:val="20"/>
          <w:shd w:val="clear" w:color="auto" w:fill="FFFFFF"/>
        </w:rPr>
        <w:t xml:space="preserve"> </w:t>
      </w:r>
      <w:r w:rsidRPr="005B0931">
        <w:rPr>
          <w:color w:val="000000"/>
          <w:sz w:val="20"/>
          <w:szCs w:val="20"/>
          <w:shd w:val="clear" w:color="auto" w:fill="FFFFFF"/>
        </w:rPr>
        <w:t>e45</w:t>
      </w:r>
      <w:r w:rsidR="002A6D47" w:rsidRPr="005B0931">
        <w:rPr>
          <w:color w:val="000000"/>
          <w:sz w:val="20"/>
          <w:szCs w:val="20"/>
          <w:shd w:val="clear" w:color="auto" w:fill="FFFFFF"/>
        </w:rPr>
        <w:t>4.</w:t>
      </w:r>
    </w:p>
    <w:p w:rsidR="002A6D47" w:rsidRPr="005B0931" w:rsidRDefault="00E973C5" w:rsidP="002A6D47">
      <w:pPr>
        <w:pStyle w:val="ListParagraph"/>
        <w:numPr>
          <w:ilvl w:val="0"/>
          <w:numId w:val="32"/>
        </w:numPr>
        <w:snapToGrid w:val="0"/>
        <w:ind w:left="425" w:hanging="425"/>
        <w:jc w:val="both"/>
        <w:textAlignment w:val="baseline"/>
        <w:rPr>
          <w:color w:val="000000"/>
          <w:sz w:val="20"/>
          <w:szCs w:val="20"/>
          <w:shd w:val="clear" w:color="auto" w:fill="FFFFFF"/>
        </w:rPr>
      </w:pPr>
      <w:proofErr w:type="spellStart"/>
      <w:r w:rsidRPr="005B0931">
        <w:rPr>
          <w:color w:val="000000"/>
          <w:sz w:val="20"/>
          <w:szCs w:val="20"/>
          <w:shd w:val="clear" w:color="auto" w:fill="FFFFFF"/>
        </w:rPr>
        <w:t>Kumagai</w:t>
      </w:r>
      <w:proofErr w:type="spellEnd"/>
      <w:r w:rsidRPr="005B0931">
        <w:rPr>
          <w:color w:val="000000"/>
          <w:sz w:val="20"/>
          <w:szCs w:val="20"/>
          <w:shd w:val="clear" w:color="auto" w:fill="FFFFFF"/>
        </w:rPr>
        <w:t>,</w:t>
      </w:r>
      <w:r w:rsidR="002A6D47" w:rsidRPr="005B0931">
        <w:rPr>
          <w:color w:val="000000"/>
          <w:sz w:val="20"/>
          <w:szCs w:val="20"/>
          <w:shd w:val="clear" w:color="auto" w:fill="FFFFFF"/>
        </w:rPr>
        <w:t xml:space="preserve"> </w:t>
      </w:r>
      <w:r w:rsidRPr="005B0931">
        <w:rPr>
          <w:color w:val="000000"/>
          <w:sz w:val="20"/>
          <w:szCs w:val="20"/>
          <w:shd w:val="clear" w:color="auto" w:fill="FFFFFF"/>
        </w:rPr>
        <w:t>Naoko</w:t>
      </w:r>
      <w:r w:rsidR="002A6D47" w:rsidRPr="005B0931">
        <w:rPr>
          <w:color w:val="000000"/>
          <w:sz w:val="20"/>
          <w:szCs w:val="20"/>
          <w:shd w:val="clear" w:color="auto" w:fill="FFFFFF"/>
        </w:rPr>
        <w:t xml:space="preserve"> </w:t>
      </w:r>
      <w:r w:rsidRPr="005B0931">
        <w:rPr>
          <w:color w:val="000000"/>
          <w:sz w:val="20"/>
          <w:szCs w:val="20"/>
          <w:shd w:val="clear" w:color="auto" w:fill="FFFFFF"/>
        </w:rPr>
        <w:t>et</w:t>
      </w:r>
      <w:r w:rsidR="002A6D47" w:rsidRPr="005B0931">
        <w:rPr>
          <w:color w:val="000000"/>
          <w:sz w:val="20"/>
          <w:szCs w:val="20"/>
          <w:shd w:val="clear" w:color="auto" w:fill="FFFFFF"/>
        </w:rPr>
        <w:t xml:space="preserve"> </w:t>
      </w:r>
      <w:r w:rsidRPr="005B0931">
        <w:rPr>
          <w:color w:val="000000"/>
          <w:sz w:val="20"/>
          <w:szCs w:val="20"/>
          <w:shd w:val="clear" w:color="auto" w:fill="FFFFFF"/>
        </w:rPr>
        <w:t>al.</w:t>
      </w:r>
      <w:r w:rsidR="002A6D47" w:rsidRPr="005B0931">
        <w:rPr>
          <w:color w:val="000000"/>
          <w:sz w:val="20"/>
          <w:szCs w:val="20"/>
          <w:shd w:val="clear" w:color="auto" w:fill="FFFFFF"/>
        </w:rPr>
        <w:t xml:space="preserve"> </w:t>
      </w:r>
      <w:r w:rsidRPr="005B0931">
        <w:rPr>
          <w:color w:val="000000"/>
          <w:sz w:val="20"/>
          <w:szCs w:val="20"/>
          <w:shd w:val="clear" w:color="auto" w:fill="FFFFFF"/>
        </w:rPr>
        <w:t>Effects</w:t>
      </w:r>
      <w:r w:rsidR="002A6D47" w:rsidRPr="005B0931">
        <w:rPr>
          <w:color w:val="000000"/>
          <w:sz w:val="20"/>
          <w:szCs w:val="20"/>
          <w:shd w:val="clear" w:color="auto" w:fill="FFFFFF"/>
        </w:rPr>
        <w:t xml:space="preserve"> </w:t>
      </w:r>
      <w:r w:rsidRPr="005B0931">
        <w:rPr>
          <w:color w:val="000000"/>
          <w:sz w:val="20"/>
          <w:szCs w:val="20"/>
          <w:shd w:val="clear" w:color="auto" w:fill="FFFFFF"/>
        </w:rPr>
        <w:t>of</w:t>
      </w:r>
      <w:r w:rsidR="002A6D47" w:rsidRPr="005B0931">
        <w:rPr>
          <w:color w:val="000000"/>
          <w:sz w:val="20"/>
          <w:szCs w:val="20"/>
          <w:shd w:val="clear" w:color="auto" w:fill="FFFFFF"/>
        </w:rPr>
        <w:t xml:space="preserve"> </w:t>
      </w:r>
      <w:r w:rsidRPr="005B0931">
        <w:rPr>
          <w:color w:val="000000"/>
          <w:sz w:val="20"/>
          <w:szCs w:val="20"/>
          <w:shd w:val="clear" w:color="auto" w:fill="FFFFFF"/>
        </w:rPr>
        <w:t>smoking</w:t>
      </w:r>
      <w:r w:rsidR="002A6D47" w:rsidRPr="005B0931">
        <w:rPr>
          <w:color w:val="000000"/>
          <w:sz w:val="20"/>
          <w:szCs w:val="20"/>
          <w:shd w:val="clear" w:color="auto" w:fill="FFFFFF"/>
        </w:rPr>
        <w:t xml:space="preserve"> </w:t>
      </w:r>
      <w:r w:rsidRPr="005B0931">
        <w:rPr>
          <w:color w:val="000000"/>
          <w:sz w:val="20"/>
          <w:szCs w:val="20"/>
          <w:shd w:val="clear" w:color="auto" w:fill="FFFFFF"/>
        </w:rPr>
        <w:t>on</w:t>
      </w:r>
      <w:r w:rsidR="002A6D47" w:rsidRPr="005B0931">
        <w:rPr>
          <w:color w:val="000000"/>
          <w:sz w:val="20"/>
          <w:szCs w:val="20"/>
          <w:shd w:val="clear" w:color="auto" w:fill="FFFFFF"/>
        </w:rPr>
        <w:t xml:space="preserve"> </w:t>
      </w:r>
      <w:r w:rsidRPr="005B0931">
        <w:rPr>
          <w:color w:val="000000"/>
          <w:sz w:val="20"/>
          <w:szCs w:val="20"/>
          <w:shd w:val="clear" w:color="auto" w:fill="FFFFFF"/>
        </w:rPr>
        <w:t>outcomes</w:t>
      </w:r>
      <w:r w:rsidR="002A6D47" w:rsidRPr="005B0931">
        <w:rPr>
          <w:color w:val="000000"/>
          <w:sz w:val="20"/>
          <w:szCs w:val="20"/>
          <w:shd w:val="clear" w:color="auto" w:fill="FFFFFF"/>
        </w:rPr>
        <w:t xml:space="preserve"> </w:t>
      </w:r>
      <w:r w:rsidRPr="005B0931">
        <w:rPr>
          <w:color w:val="000000"/>
          <w:sz w:val="20"/>
          <w:szCs w:val="20"/>
          <w:shd w:val="clear" w:color="auto" w:fill="FFFFFF"/>
        </w:rPr>
        <w:t>after</w:t>
      </w:r>
      <w:r w:rsidR="002A6D47" w:rsidRPr="005B0931">
        <w:rPr>
          <w:color w:val="000000"/>
          <w:sz w:val="20"/>
          <w:szCs w:val="20"/>
          <w:shd w:val="clear" w:color="auto" w:fill="FFFFFF"/>
        </w:rPr>
        <w:t xml:space="preserve"> </w:t>
      </w:r>
      <w:r w:rsidRPr="005B0931">
        <w:rPr>
          <w:color w:val="000000"/>
          <w:sz w:val="20"/>
          <w:szCs w:val="20"/>
          <w:shd w:val="clear" w:color="auto" w:fill="FFFFFF"/>
        </w:rPr>
        <w:t>acute</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atherothrombotic</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stroke</w:t>
      </w:r>
      <w:r w:rsidR="002A6D47" w:rsidRPr="005B0931">
        <w:rPr>
          <w:color w:val="000000"/>
          <w:sz w:val="20"/>
          <w:szCs w:val="20"/>
          <w:shd w:val="clear" w:color="auto" w:fill="FFFFFF"/>
        </w:rPr>
        <w:t xml:space="preserve"> </w:t>
      </w:r>
      <w:r w:rsidRPr="005B0931">
        <w:rPr>
          <w:color w:val="000000"/>
          <w:sz w:val="20"/>
          <w:szCs w:val="20"/>
          <w:shd w:val="clear" w:color="auto" w:fill="FFFFFF"/>
        </w:rPr>
        <w:t>in</w:t>
      </w:r>
      <w:r w:rsidR="002A6D47" w:rsidRPr="005B0931">
        <w:rPr>
          <w:color w:val="000000"/>
          <w:sz w:val="20"/>
          <w:szCs w:val="20"/>
          <w:shd w:val="clear" w:color="auto" w:fill="FFFFFF"/>
        </w:rPr>
        <w:t xml:space="preserve"> </w:t>
      </w:r>
      <w:r w:rsidRPr="005B0931">
        <w:rPr>
          <w:color w:val="000000"/>
          <w:sz w:val="20"/>
          <w:szCs w:val="20"/>
          <w:shd w:val="clear" w:color="auto" w:fill="FFFFFF"/>
        </w:rPr>
        <w:lastRenderedPageBreak/>
        <w:t>Japanese</w:t>
      </w:r>
      <w:r w:rsidR="002A6D47" w:rsidRPr="005B0931">
        <w:rPr>
          <w:color w:val="000000"/>
          <w:sz w:val="20"/>
          <w:szCs w:val="20"/>
          <w:shd w:val="clear" w:color="auto" w:fill="FFFFFF"/>
        </w:rPr>
        <w:t xml:space="preserve"> </w:t>
      </w:r>
      <w:r w:rsidRPr="005B0931">
        <w:rPr>
          <w:color w:val="000000"/>
          <w:sz w:val="20"/>
          <w:szCs w:val="20"/>
          <w:shd w:val="clear" w:color="auto" w:fill="FFFFFF"/>
        </w:rPr>
        <w:t>men.</w:t>
      </w:r>
      <w:r w:rsidR="002A6D47" w:rsidRPr="005B0931">
        <w:rPr>
          <w:color w:val="000000"/>
          <w:sz w:val="20"/>
          <w:szCs w:val="20"/>
          <w:shd w:val="clear" w:color="auto" w:fill="FFFFFF"/>
        </w:rPr>
        <w:t xml:space="preserve"> </w:t>
      </w:r>
      <w:r w:rsidRPr="005B0931">
        <w:rPr>
          <w:color w:val="000000"/>
          <w:sz w:val="20"/>
          <w:szCs w:val="20"/>
          <w:shd w:val="clear" w:color="auto" w:fill="FFFFFF"/>
        </w:rPr>
        <w:t>Journal</w:t>
      </w:r>
      <w:r w:rsidR="002A6D47" w:rsidRPr="005B0931">
        <w:rPr>
          <w:color w:val="000000"/>
          <w:sz w:val="20"/>
          <w:szCs w:val="20"/>
          <w:shd w:val="clear" w:color="auto" w:fill="FFFFFF"/>
        </w:rPr>
        <w:t xml:space="preserve"> </w:t>
      </w:r>
      <w:r w:rsidRPr="005B0931">
        <w:rPr>
          <w:color w:val="000000"/>
          <w:sz w:val="20"/>
          <w:szCs w:val="20"/>
          <w:shd w:val="clear" w:color="auto" w:fill="FFFFFF"/>
        </w:rPr>
        <w:t>of</w:t>
      </w:r>
      <w:r w:rsidR="002A6D47" w:rsidRPr="005B0931">
        <w:rPr>
          <w:color w:val="000000"/>
          <w:sz w:val="20"/>
          <w:szCs w:val="20"/>
          <w:shd w:val="clear" w:color="auto" w:fill="FFFFFF"/>
        </w:rPr>
        <w:t xml:space="preserve"> </w:t>
      </w:r>
      <w:r w:rsidRPr="005B0931">
        <w:rPr>
          <w:color w:val="000000"/>
          <w:sz w:val="20"/>
          <w:szCs w:val="20"/>
          <w:shd w:val="clear" w:color="auto" w:fill="FFFFFF"/>
        </w:rPr>
        <w:t>the</w:t>
      </w:r>
      <w:r w:rsidR="002A6D47" w:rsidRPr="005B0931">
        <w:rPr>
          <w:color w:val="000000"/>
          <w:sz w:val="20"/>
          <w:szCs w:val="20"/>
          <w:shd w:val="clear" w:color="auto" w:fill="FFFFFF"/>
        </w:rPr>
        <w:t xml:space="preserve"> </w:t>
      </w:r>
      <w:r w:rsidRPr="005B0931">
        <w:rPr>
          <w:color w:val="000000"/>
          <w:sz w:val="20"/>
          <w:szCs w:val="20"/>
          <w:shd w:val="clear" w:color="auto" w:fill="FFFFFF"/>
        </w:rPr>
        <w:t>Neurological</w:t>
      </w:r>
      <w:r w:rsidR="002A6D47" w:rsidRPr="005B0931">
        <w:rPr>
          <w:color w:val="000000"/>
          <w:sz w:val="20"/>
          <w:szCs w:val="20"/>
          <w:shd w:val="clear" w:color="auto" w:fill="FFFFFF"/>
        </w:rPr>
        <w:t xml:space="preserve"> </w:t>
      </w:r>
      <w:r w:rsidRPr="005B0931">
        <w:rPr>
          <w:color w:val="000000"/>
          <w:sz w:val="20"/>
          <w:szCs w:val="20"/>
          <w:shd w:val="clear" w:color="auto" w:fill="FFFFFF"/>
        </w:rPr>
        <w:t>Sciences</w:t>
      </w:r>
      <w:r w:rsidR="002A6D47" w:rsidRPr="005B0931">
        <w:rPr>
          <w:color w:val="000000"/>
          <w:sz w:val="20"/>
          <w:szCs w:val="20"/>
          <w:shd w:val="clear" w:color="auto" w:fill="FFFFFF"/>
        </w:rPr>
        <w:t xml:space="preserve">, </w:t>
      </w:r>
      <w:r w:rsidRPr="005B0931">
        <w:rPr>
          <w:color w:val="000000"/>
          <w:sz w:val="20"/>
          <w:szCs w:val="20"/>
          <w:shd w:val="clear" w:color="auto" w:fill="FFFFFF"/>
        </w:rPr>
        <w:t>Volume</w:t>
      </w:r>
      <w:r w:rsidR="002A6D47" w:rsidRPr="005B0931">
        <w:rPr>
          <w:color w:val="000000"/>
          <w:sz w:val="20"/>
          <w:szCs w:val="20"/>
          <w:shd w:val="clear" w:color="auto" w:fill="FFFFFF"/>
        </w:rPr>
        <w:t xml:space="preserve"> </w:t>
      </w:r>
      <w:r w:rsidRPr="005B0931">
        <w:rPr>
          <w:color w:val="000000"/>
          <w:sz w:val="20"/>
          <w:szCs w:val="20"/>
          <w:shd w:val="clear" w:color="auto" w:fill="FFFFFF"/>
        </w:rPr>
        <w:t>335</w:t>
      </w:r>
      <w:r w:rsidR="002A6D47" w:rsidRPr="005B0931">
        <w:rPr>
          <w:color w:val="000000"/>
          <w:sz w:val="20"/>
          <w:szCs w:val="20"/>
          <w:shd w:val="clear" w:color="auto" w:fill="FFFFFF"/>
        </w:rPr>
        <w:t xml:space="preserve">, </w:t>
      </w:r>
      <w:r w:rsidRPr="005B0931">
        <w:rPr>
          <w:color w:val="000000"/>
          <w:sz w:val="20"/>
          <w:szCs w:val="20"/>
          <w:shd w:val="clear" w:color="auto" w:fill="FFFFFF"/>
        </w:rPr>
        <w:t>Issue</w:t>
      </w:r>
      <w:r w:rsidR="002A6D47" w:rsidRPr="005B0931">
        <w:rPr>
          <w:color w:val="000000"/>
          <w:sz w:val="20"/>
          <w:szCs w:val="20"/>
          <w:shd w:val="clear" w:color="auto" w:fill="FFFFFF"/>
        </w:rPr>
        <w:t xml:space="preserve"> </w:t>
      </w:r>
      <w:r w:rsidRPr="005B0931">
        <w:rPr>
          <w:color w:val="000000"/>
          <w:sz w:val="20"/>
          <w:szCs w:val="20"/>
          <w:shd w:val="clear" w:color="auto" w:fill="FFFFFF"/>
        </w:rPr>
        <w:t>1</w:t>
      </w:r>
      <w:r w:rsidR="002A6D47" w:rsidRPr="005B0931">
        <w:rPr>
          <w:color w:val="000000"/>
          <w:sz w:val="20"/>
          <w:szCs w:val="20"/>
          <w:shd w:val="clear" w:color="auto" w:fill="FFFFFF"/>
        </w:rPr>
        <w:t xml:space="preserve">, </w:t>
      </w:r>
      <w:r w:rsidRPr="005B0931">
        <w:rPr>
          <w:color w:val="000000"/>
          <w:sz w:val="20"/>
          <w:szCs w:val="20"/>
          <w:shd w:val="clear" w:color="auto" w:fill="FFFFFF"/>
        </w:rPr>
        <w:t>164</w:t>
      </w:r>
      <w:r w:rsidR="002A6D47" w:rsidRPr="005B0931">
        <w:rPr>
          <w:color w:val="000000"/>
          <w:sz w:val="20"/>
          <w:szCs w:val="20"/>
          <w:shd w:val="clear" w:color="auto" w:fill="FFFFFF"/>
        </w:rPr>
        <w:t xml:space="preserve"> </w:t>
      </w:r>
      <w:r w:rsidRPr="005B0931">
        <w:rPr>
          <w:color w:val="000000"/>
          <w:sz w:val="20"/>
          <w:szCs w:val="20"/>
          <w:shd w:val="clear" w:color="auto" w:fill="FFFFFF"/>
        </w:rPr>
        <w:t>–</w:t>
      </w:r>
      <w:r w:rsidR="002A6D47" w:rsidRPr="005B0931">
        <w:rPr>
          <w:color w:val="000000"/>
          <w:sz w:val="20"/>
          <w:szCs w:val="20"/>
          <w:shd w:val="clear" w:color="auto" w:fill="FFFFFF"/>
        </w:rPr>
        <w:t xml:space="preserve"> </w:t>
      </w:r>
      <w:r w:rsidRPr="005B0931">
        <w:rPr>
          <w:color w:val="000000"/>
          <w:sz w:val="20"/>
          <w:szCs w:val="20"/>
          <w:shd w:val="clear" w:color="auto" w:fill="FFFFFF"/>
        </w:rPr>
        <w:t>16</w:t>
      </w:r>
      <w:r w:rsidR="002A6D47" w:rsidRPr="005B0931">
        <w:rPr>
          <w:color w:val="000000"/>
          <w:sz w:val="20"/>
          <w:szCs w:val="20"/>
          <w:shd w:val="clear" w:color="auto" w:fill="FFFFFF"/>
        </w:rPr>
        <w:t>8.</w:t>
      </w:r>
    </w:p>
    <w:p w:rsidR="00E973C5" w:rsidRPr="005B0931" w:rsidRDefault="00E973C5" w:rsidP="002A6D47">
      <w:pPr>
        <w:pStyle w:val="ListParagraph"/>
        <w:numPr>
          <w:ilvl w:val="0"/>
          <w:numId w:val="32"/>
        </w:numPr>
        <w:snapToGrid w:val="0"/>
        <w:ind w:left="425" w:hanging="425"/>
        <w:jc w:val="both"/>
        <w:textAlignment w:val="baseline"/>
        <w:rPr>
          <w:color w:val="000000"/>
          <w:sz w:val="20"/>
          <w:szCs w:val="20"/>
          <w:shd w:val="clear" w:color="auto" w:fill="FFFFFF"/>
        </w:rPr>
      </w:pPr>
      <w:r w:rsidRPr="005B0931">
        <w:rPr>
          <w:color w:val="000000"/>
          <w:sz w:val="20"/>
          <w:szCs w:val="20"/>
          <w:shd w:val="clear" w:color="auto" w:fill="FFFFFF"/>
        </w:rPr>
        <w:t>Lee</w:t>
      </w:r>
      <w:r w:rsidR="002A6D47" w:rsidRPr="005B0931">
        <w:rPr>
          <w:color w:val="000000"/>
          <w:sz w:val="20"/>
          <w:szCs w:val="20"/>
          <w:shd w:val="clear" w:color="auto" w:fill="FFFFFF"/>
        </w:rPr>
        <w:t xml:space="preserve"> </w:t>
      </w:r>
      <w:r w:rsidRPr="005B0931">
        <w:rPr>
          <w:color w:val="000000"/>
          <w:sz w:val="20"/>
          <w:szCs w:val="20"/>
          <w:shd w:val="clear" w:color="auto" w:fill="FFFFFF"/>
        </w:rPr>
        <w:t>J-H,</w:t>
      </w:r>
      <w:r w:rsidR="002A6D47" w:rsidRPr="005B0931">
        <w:rPr>
          <w:color w:val="000000"/>
          <w:sz w:val="20"/>
          <w:szCs w:val="20"/>
          <w:shd w:val="clear" w:color="auto" w:fill="FFFFFF"/>
        </w:rPr>
        <w:t xml:space="preserve"> </w:t>
      </w:r>
      <w:r w:rsidRPr="005B0931">
        <w:rPr>
          <w:color w:val="000000"/>
          <w:sz w:val="20"/>
          <w:szCs w:val="20"/>
          <w:shd w:val="clear" w:color="auto" w:fill="FFFFFF"/>
        </w:rPr>
        <w:t>Lee</w:t>
      </w:r>
      <w:r w:rsidR="002A6D47" w:rsidRPr="005B0931">
        <w:rPr>
          <w:color w:val="000000"/>
          <w:sz w:val="20"/>
          <w:szCs w:val="20"/>
          <w:shd w:val="clear" w:color="auto" w:fill="FFFFFF"/>
        </w:rPr>
        <w:t xml:space="preserve"> </w:t>
      </w:r>
      <w:r w:rsidRPr="005B0931">
        <w:rPr>
          <w:color w:val="000000"/>
          <w:sz w:val="20"/>
          <w:szCs w:val="20"/>
          <w:shd w:val="clear" w:color="auto" w:fill="FFFFFF"/>
        </w:rPr>
        <w:t>JY,</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Ahn</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SH,</w:t>
      </w:r>
      <w:r w:rsidR="002A6D47" w:rsidRPr="005B0931">
        <w:rPr>
          <w:color w:val="000000"/>
          <w:sz w:val="20"/>
          <w:szCs w:val="20"/>
          <w:shd w:val="clear" w:color="auto" w:fill="FFFFFF"/>
        </w:rPr>
        <w:t xml:space="preserve"> </w:t>
      </w:r>
      <w:r w:rsidRPr="005B0931">
        <w:rPr>
          <w:color w:val="000000"/>
          <w:sz w:val="20"/>
          <w:szCs w:val="20"/>
          <w:shd w:val="clear" w:color="auto" w:fill="FFFFFF"/>
        </w:rPr>
        <w:t>et</w:t>
      </w:r>
      <w:r w:rsidR="002A6D47" w:rsidRPr="005B0931">
        <w:rPr>
          <w:color w:val="000000"/>
          <w:sz w:val="20"/>
          <w:szCs w:val="20"/>
          <w:shd w:val="clear" w:color="auto" w:fill="FFFFFF"/>
        </w:rPr>
        <w:t xml:space="preserve"> </w:t>
      </w:r>
      <w:r w:rsidRPr="005B0931">
        <w:rPr>
          <w:color w:val="000000"/>
          <w:sz w:val="20"/>
          <w:szCs w:val="20"/>
          <w:shd w:val="clear" w:color="auto" w:fill="FFFFFF"/>
        </w:rPr>
        <w:t>al.</w:t>
      </w:r>
      <w:r w:rsidR="002A6D47" w:rsidRPr="005B0931">
        <w:rPr>
          <w:color w:val="000000"/>
          <w:sz w:val="20"/>
          <w:szCs w:val="20"/>
          <w:shd w:val="clear" w:color="auto" w:fill="FFFFFF"/>
        </w:rPr>
        <w:t xml:space="preserve"> </w:t>
      </w:r>
      <w:r w:rsidRPr="005B0931">
        <w:rPr>
          <w:color w:val="000000"/>
          <w:sz w:val="20"/>
          <w:szCs w:val="20"/>
          <w:shd w:val="clear" w:color="auto" w:fill="FFFFFF"/>
        </w:rPr>
        <w:t>Smoking</w:t>
      </w:r>
      <w:r w:rsidR="002A6D47" w:rsidRPr="005B0931">
        <w:rPr>
          <w:color w:val="000000"/>
          <w:sz w:val="20"/>
          <w:szCs w:val="20"/>
          <w:shd w:val="clear" w:color="auto" w:fill="FFFFFF"/>
        </w:rPr>
        <w:t xml:space="preserve"> </w:t>
      </w:r>
      <w:r w:rsidRPr="005B0931">
        <w:rPr>
          <w:color w:val="000000"/>
          <w:sz w:val="20"/>
          <w:szCs w:val="20"/>
          <w:shd w:val="clear" w:color="auto" w:fill="FFFFFF"/>
        </w:rPr>
        <w:t>is</w:t>
      </w:r>
      <w:r w:rsidR="002A6D47" w:rsidRPr="005B0931">
        <w:rPr>
          <w:color w:val="000000"/>
          <w:sz w:val="20"/>
          <w:szCs w:val="20"/>
          <w:shd w:val="clear" w:color="auto" w:fill="FFFFFF"/>
        </w:rPr>
        <w:t xml:space="preserve"> </w:t>
      </w:r>
      <w:r w:rsidRPr="005B0931">
        <w:rPr>
          <w:color w:val="000000"/>
          <w:sz w:val="20"/>
          <w:szCs w:val="20"/>
          <w:shd w:val="clear" w:color="auto" w:fill="FFFFFF"/>
        </w:rPr>
        <w:t>Not</w:t>
      </w:r>
      <w:r w:rsidR="002A6D47" w:rsidRPr="005B0931">
        <w:rPr>
          <w:color w:val="000000"/>
          <w:sz w:val="20"/>
          <w:szCs w:val="20"/>
          <w:shd w:val="clear" w:color="auto" w:fill="FFFFFF"/>
        </w:rPr>
        <w:t xml:space="preserve"> </w:t>
      </w:r>
      <w:r w:rsidRPr="005B0931">
        <w:rPr>
          <w:color w:val="000000"/>
          <w:sz w:val="20"/>
          <w:szCs w:val="20"/>
          <w:shd w:val="clear" w:color="auto" w:fill="FFFFFF"/>
        </w:rPr>
        <w:t>a</w:t>
      </w:r>
      <w:r w:rsidR="002A6D47" w:rsidRPr="005B0931">
        <w:rPr>
          <w:color w:val="000000"/>
          <w:sz w:val="20"/>
          <w:szCs w:val="20"/>
          <w:shd w:val="clear" w:color="auto" w:fill="FFFFFF"/>
        </w:rPr>
        <w:t xml:space="preserve"> </w:t>
      </w:r>
      <w:r w:rsidRPr="005B0931">
        <w:rPr>
          <w:color w:val="000000"/>
          <w:sz w:val="20"/>
          <w:szCs w:val="20"/>
          <w:shd w:val="clear" w:color="auto" w:fill="FFFFFF"/>
        </w:rPr>
        <w:t>Good</w:t>
      </w:r>
      <w:r w:rsidR="002A6D47" w:rsidRPr="005B0931">
        <w:rPr>
          <w:color w:val="000000"/>
          <w:sz w:val="20"/>
          <w:szCs w:val="20"/>
          <w:shd w:val="clear" w:color="auto" w:fill="FFFFFF"/>
        </w:rPr>
        <w:t xml:space="preserve"> </w:t>
      </w:r>
      <w:r w:rsidRPr="005B0931">
        <w:rPr>
          <w:color w:val="000000"/>
          <w:sz w:val="20"/>
          <w:szCs w:val="20"/>
          <w:shd w:val="clear" w:color="auto" w:fill="FFFFFF"/>
        </w:rPr>
        <w:t>Prognostic</w:t>
      </w:r>
      <w:r w:rsidR="002A6D47" w:rsidRPr="005B0931">
        <w:rPr>
          <w:color w:val="000000"/>
          <w:sz w:val="20"/>
          <w:szCs w:val="20"/>
          <w:shd w:val="clear" w:color="auto" w:fill="FFFFFF"/>
        </w:rPr>
        <w:t xml:space="preserve"> </w:t>
      </w:r>
      <w:r w:rsidRPr="005B0931">
        <w:rPr>
          <w:color w:val="000000"/>
          <w:sz w:val="20"/>
          <w:szCs w:val="20"/>
          <w:shd w:val="clear" w:color="auto" w:fill="FFFFFF"/>
        </w:rPr>
        <w:t>Factor</w:t>
      </w:r>
      <w:r w:rsidR="002A6D47" w:rsidRPr="005B0931">
        <w:rPr>
          <w:color w:val="000000"/>
          <w:sz w:val="20"/>
          <w:szCs w:val="20"/>
          <w:shd w:val="clear" w:color="auto" w:fill="FFFFFF"/>
        </w:rPr>
        <w:t xml:space="preserve"> </w:t>
      </w:r>
      <w:r w:rsidRPr="005B0931">
        <w:rPr>
          <w:color w:val="000000"/>
          <w:sz w:val="20"/>
          <w:szCs w:val="20"/>
          <w:shd w:val="clear" w:color="auto" w:fill="FFFFFF"/>
        </w:rPr>
        <w:t>following</w:t>
      </w:r>
      <w:r w:rsidR="002A6D47" w:rsidRPr="005B0931">
        <w:rPr>
          <w:color w:val="000000"/>
          <w:sz w:val="20"/>
          <w:szCs w:val="20"/>
          <w:shd w:val="clear" w:color="auto" w:fill="FFFFFF"/>
        </w:rPr>
        <w:t xml:space="preserve"> </w:t>
      </w:r>
      <w:r w:rsidRPr="005B0931">
        <w:rPr>
          <w:color w:val="000000"/>
          <w:sz w:val="20"/>
          <w:szCs w:val="20"/>
          <w:shd w:val="clear" w:color="auto" w:fill="FFFFFF"/>
        </w:rPr>
        <w:t>First-Ever</w:t>
      </w:r>
      <w:r w:rsidR="002A6D47" w:rsidRPr="005B0931">
        <w:rPr>
          <w:color w:val="000000"/>
          <w:sz w:val="20"/>
          <w:szCs w:val="20"/>
          <w:shd w:val="clear" w:color="auto" w:fill="FFFFFF"/>
        </w:rPr>
        <w:t xml:space="preserve"> </w:t>
      </w:r>
      <w:r w:rsidRPr="005B0931">
        <w:rPr>
          <w:color w:val="000000"/>
          <w:sz w:val="20"/>
          <w:szCs w:val="20"/>
          <w:shd w:val="clear" w:color="auto" w:fill="FFFFFF"/>
        </w:rPr>
        <w:t>Acute</w:t>
      </w:r>
      <w:r w:rsidR="002A6D47" w:rsidRPr="005B0931">
        <w:rPr>
          <w:color w:val="000000"/>
          <w:sz w:val="20"/>
          <w:szCs w:val="20"/>
          <w:shd w:val="clear" w:color="auto" w:fill="FFFFFF"/>
        </w:rPr>
        <w:t xml:space="preserve"> </w:t>
      </w:r>
      <w:r w:rsidRPr="005B0931">
        <w:rPr>
          <w:color w:val="000000"/>
          <w:sz w:val="20"/>
          <w:szCs w:val="20"/>
          <w:shd w:val="clear" w:color="auto" w:fill="FFFFFF"/>
        </w:rPr>
        <w:t>Ischemic</w:t>
      </w:r>
      <w:r w:rsidR="002A6D47" w:rsidRPr="005B0931">
        <w:rPr>
          <w:color w:val="000000"/>
          <w:sz w:val="20"/>
          <w:szCs w:val="20"/>
          <w:shd w:val="clear" w:color="auto" w:fill="FFFFFF"/>
        </w:rPr>
        <w:t xml:space="preserve"> </w:t>
      </w:r>
      <w:r w:rsidRPr="005B0931">
        <w:rPr>
          <w:color w:val="000000"/>
          <w:sz w:val="20"/>
          <w:szCs w:val="20"/>
          <w:shd w:val="clear" w:color="auto" w:fill="FFFFFF"/>
        </w:rPr>
        <w:t>Stroke.</w:t>
      </w:r>
      <w:r w:rsidR="002A6D47" w:rsidRPr="005B0931">
        <w:rPr>
          <w:color w:val="000000"/>
          <w:sz w:val="20"/>
          <w:szCs w:val="20"/>
          <w:shd w:val="clear" w:color="auto" w:fill="FFFFFF"/>
        </w:rPr>
        <w:t xml:space="preserve"> </w:t>
      </w:r>
      <w:r w:rsidRPr="005B0931">
        <w:rPr>
          <w:i/>
          <w:iCs/>
          <w:color w:val="000000"/>
          <w:sz w:val="20"/>
          <w:szCs w:val="20"/>
          <w:shd w:val="clear" w:color="auto" w:fill="FFFFFF"/>
        </w:rPr>
        <w:t>Journal</w:t>
      </w:r>
      <w:r w:rsidR="002A6D47" w:rsidRPr="005B0931">
        <w:rPr>
          <w:i/>
          <w:iCs/>
          <w:color w:val="000000"/>
          <w:sz w:val="20"/>
          <w:szCs w:val="20"/>
          <w:shd w:val="clear" w:color="auto" w:fill="FFFFFF"/>
        </w:rPr>
        <w:t xml:space="preserve"> </w:t>
      </w:r>
      <w:r w:rsidRPr="005B0931">
        <w:rPr>
          <w:i/>
          <w:iCs/>
          <w:color w:val="000000"/>
          <w:sz w:val="20"/>
          <w:szCs w:val="20"/>
          <w:shd w:val="clear" w:color="auto" w:fill="FFFFFF"/>
        </w:rPr>
        <w:t>of</w:t>
      </w:r>
      <w:r w:rsidR="002A6D47" w:rsidRPr="005B0931">
        <w:rPr>
          <w:i/>
          <w:iCs/>
          <w:color w:val="000000"/>
          <w:sz w:val="20"/>
          <w:szCs w:val="20"/>
          <w:shd w:val="clear" w:color="auto" w:fill="FFFFFF"/>
        </w:rPr>
        <w:t xml:space="preserve"> </w:t>
      </w:r>
      <w:r w:rsidRPr="005B0931">
        <w:rPr>
          <w:i/>
          <w:iCs/>
          <w:color w:val="000000"/>
          <w:sz w:val="20"/>
          <w:szCs w:val="20"/>
          <w:shd w:val="clear" w:color="auto" w:fill="FFFFFF"/>
        </w:rPr>
        <w:t>Stroke</w:t>
      </w:r>
      <w:r w:rsidRPr="005B0931">
        <w:rPr>
          <w:color w:val="000000"/>
          <w:sz w:val="20"/>
          <w:szCs w:val="20"/>
          <w:shd w:val="clear" w:color="auto" w:fill="FFFFFF"/>
        </w:rPr>
        <w:t>.</w:t>
      </w:r>
      <w:r w:rsidR="002A6D47" w:rsidRPr="005B0931">
        <w:rPr>
          <w:color w:val="000000"/>
          <w:sz w:val="20"/>
          <w:szCs w:val="20"/>
          <w:shd w:val="clear" w:color="auto" w:fill="FFFFFF"/>
        </w:rPr>
        <w:t xml:space="preserve"> </w:t>
      </w:r>
      <w:r w:rsidRPr="005B0931">
        <w:rPr>
          <w:color w:val="000000"/>
          <w:sz w:val="20"/>
          <w:szCs w:val="20"/>
          <w:shd w:val="clear" w:color="auto" w:fill="FFFFFF"/>
        </w:rPr>
        <w:t>2015;</w:t>
      </w:r>
      <w:r w:rsidR="002A6D47" w:rsidRPr="005B0931">
        <w:rPr>
          <w:rFonts w:eastAsiaTheme="minorEastAsia" w:hint="eastAsia"/>
          <w:color w:val="000000"/>
          <w:sz w:val="20"/>
          <w:szCs w:val="20"/>
          <w:shd w:val="clear" w:color="auto" w:fill="FFFFFF"/>
          <w:lang w:eastAsia="zh-CN"/>
        </w:rPr>
        <w:t xml:space="preserve"> </w:t>
      </w:r>
      <w:r w:rsidRPr="005B0931">
        <w:rPr>
          <w:color w:val="000000"/>
          <w:sz w:val="20"/>
          <w:szCs w:val="20"/>
          <w:shd w:val="clear" w:color="auto" w:fill="FFFFFF"/>
        </w:rPr>
        <w:t>17(2):177-191.</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doi</w:t>
      </w:r>
      <w:proofErr w:type="spellEnd"/>
      <w:r w:rsidRPr="005B0931">
        <w:rPr>
          <w:color w:val="000000"/>
          <w:sz w:val="20"/>
          <w:szCs w:val="20"/>
          <w:shd w:val="clear" w:color="auto" w:fill="FFFFFF"/>
        </w:rPr>
        <w:t>:</w:t>
      </w:r>
      <w:r w:rsidR="002A6D47" w:rsidRPr="005B0931">
        <w:rPr>
          <w:rFonts w:eastAsiaTheme="minorEastAsia" w:hint="eastAsia"/>
          <w:color w:val="000000"/>
          <w:sz w:val="20"/>
          <w:szCs w:val="20"/>
          <w:shd w:val="clear" w:color="auto" w:fill="FFFFFF"/>
          <w:lang w:eastAsia="zh-CN"/>
        </w:rPr>
        <w:t xml:space="preserve"> </w:t>
      </w:r>
      <w:r w:rsidRPr="005B0931">
        <w:rPr>
          <w:color w:val="000000"/>
          <w:sz w:val="20"/>
          <w:szCs w:val="20"/>
          <w:shd w:val="clear" w:color="auto" w:fill="FFFFFF"/>
        </w:rPr>
        <w:t>10.5853/jos.2015.17.2.177.</w:t>
      </w:r>
    </w:p>
    <w:p w:rsidR="002A6D47" w:rsidRPr="005B0931" w:rsidRDefault="00E973C5" w:rsidP="002A6D47">
      <w:pPr>
        <w:pStyle w:val="ListParagraph"/>
        <w:numPr>
          <w:ilvl w:val="0"/>
          <w:numId w:val="32"/>
        </w:numPr>
        <w:snapToGrid w:val="0"/>
        <w:ind w:left="425" w:hanging="425"/>
        <w:jc w:val="both"/>
        <w:textAlignment w:val="baseline"/>
        <w:rPr>
          <w:color w:val="000000"/>
          <w:sz w:val="20"/>
          <w:szCs w:val="20"/>
          <w:shd w:val="clear" w:color="auto" w:fill="FFFFFF"/>
        </w:rPr>
      </w:pPr>
      <w:proofErr w:type="spellStart"/>
      <w:r w:rsidRPr="005B0931">
        <w:rPr>
          <w:color w:val="000000"/>
          <w:sz w:val="20"/>
          <w:szCs w:val="20"/>
          <w:shd w:val="clear" w:color="auto" w:fill="FFFFFF"/>
        </w:rPr>
        <w:t>Hyung-Geun</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Oh,</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Pil-Wook</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Chung,</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Eun</w:t>
      </w:r>
      <w:proofErr w:type="spellEnd"/>
      <w:r w:rsidRPr="005B0931">
        <w:rPr>
          <w:color w:val="000000"/>
          <w:sz w:val="20"/>
          <w:szCs w:val="20"/>
          <w:shd w:val="clear" w:color="auto" w:fill="FFFFFF"/>
        </w:rPr>
        <w:t>-Jung</w:t>
      </w:r>
      <w:r w:rsidR="002A6D47" w:rsidRPr="005B0931">
        <w:rPr>
          <w:color w:val="000000"/>
          <w:sz w:val="20"/>
          <w:szCs w:val="20"/>
          <w:shd w:val="clear" w:color="auto" w:fill="FFFFFF"/>
        </w:rPr>
        <w:t xml:space="preserve"> </w:t>
      </w:r>
      <w:r w:rsidRPr="005B0931">
        <w:rPr>
          <w:color w:val="000000"/>
          <w:sz w:val="20"/>
          <w:szCs w:val="20"/>
          <w:shd w:val="clear" w:color="auto" w:fill="FFFFFF"/>
        </w:rPr>
        <w:t>Rhee</w:t>
      </w:r>
      <w:r w:rsidR="002A6D47" w:rsidRPr="005B0931">
        <w:rPr>
          <w:color w:val="000000"/>
          <w:sz w:val="20"/>
          <w:szCs w:val="20"/>
          <w:shd w:val="clear" w:color="auto" w:fill="FFFFFF"/>
        </w:rPr>
        <w:t>, I</w:t>
      </w:r>
      <w:r w:rsidRPr="005B0931">
        <w:rPr>
          <w:color w:val="000000"/>
          <w:sz w:val="20"/>
          <w:szCs w:val="20"/>
          <w:shd w:val="clear" w:color="auto" w:fill="FFFFFF"/>
        </w:rPr>
        <w:t>ncreased</w:t>
      </w:r>
      <w:r w:rsidR="002A6D47" w:rsidRPr="005B0931">
        <w:rPr>
          <w:color w:val="000000"/>
          <w:sz w:val="20"/>
          <w:szCs w:val="20"/>
          <w:shd w:val="clear" w:color="auto" w:fill="FFFFFF"/>
        </w:rPr>
        <w:t xml:space="preserve"> </w:t>
      </w:r>
      <w:r w:rsidRPr="005B0931">
        <w:rPr>
          <w:color w:val="000000"/>
          <w:sz w:val="20"/>
          <w:szCs w:val="20"/>
          <w:shd w:val="clear" w:color="auto" w:fill="FFFFFF"/>
        </w:rPr>
        <w:t>Risk</w:t>
      </w:r>
      <w:r w:rsidR="002A6D47" w:rsidRPr="005B0931">
        <w:rPr>
          <w:color w:val="000000"/>
          <w:sz w:val="20"/>
          <w:szCs w:val="20"/>
          <w:shd w:val="clear" w:color="auto" w:fill="FFFFFF"/>
        </w:rPr>
        <w:t xml:space="preserve"> </w:t>
      </w:r>
      <w:r w:rsidRPr="005B0931">
        <w:rPr>
          <w:color w:val="000000"/>
          <w:sz w:val="20"/>
          <w:szCs w:val="20"/>
          <w:shd w:val="clear" w:color="auto" w:fill="FFFFFF"/>
        </w:rPr>
        <w:t>for</w:t>
      </w:r>
      <w:r w:rsidR="002A6D47" w:rsidRPr="005B0931">
        <w:rPr>
          <w:color w:val="000000"/>
          <w:sz w:val="20"/>
          <w:szCs w:val="20"/>
          <w:shd w:val="clear" w:color="auto" w:fill="FFFFFF"/>
        </w:rPr>
        <w:t xml:space="preserve"> </w:t>
      </w:r>
      <w:r w:rsidRPr="005B0931">
        <w:rPr>
          <w:color w:val="000000"/>
          <w:sz w:val="20"/>
          <w:szCs w:val="20"/>
          <w:shd w:val="clear" w:color="auto" w:fill="FFFFFF"/>
        </w:rPr>
        <w:t>Intracranial</w:t>
      </w:r>
      <w:r w:rsidR="002A6D47" w:rsidRPr="005B0931">
        <w:rPr>
          <w:color w:val="000000"/>
          <w:sz w:val="20"/>
          <w:szCs w:val="20"/>
          <w:shd w:val="clear" w:color="auto" w:fill="FFFFFF"/>
        </w:rPr>
        <w:t xml:space="preserve"> </w:t>
      </w:r>
      <w:r w:rsidRPr="005B0931">
        <w:rPr>
          <w:color w:val="000000"/>
          <w:sz w:val="20"/>
          <w:szCs w:val="20"/>
          <w:shd w:val="clear" w:color="auto" w:fill="FFFFFF"/>
        </w:rPr>
        <w:t>Arterial</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Stenosis</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in</w:t>
      </w:r>
      <w:r w:rsidR="002A6D47" w:rsidRPr="005B0931">
        <w:rPr>
          <w:color w:val="000000"/>
          <w:sz w:val="20"/>
          <w:szCs w:val="20"/>
          <w:shd w:val="clear" w:color="auto" w:fill="FFFFFF"/>
        </w:rPr>
        <w:t xml:space="preserve"> </w:t>
      </w:r>
      <w:r w:rsidRPr="005B0931">
        <w:rPr>
          <w:color w:val="000000"/>
          <w:sz w:val="20"/>
          <w:szCs w:val="20"/>
          <w:shd w:val="clear" w:color="auto" w:fill="FFFFFF"/>
        </w:rPr>
        <w:t>Subjects</w:t>
      </w:r>
      <w:r w:rsidR="002A6D47" w:rsidRPr="005B0931">
        <w:rPr>
          <w:color w:val="000000"/>
          <w:sz w:val="20"/>
          <w:szCs w:val="20"/>
          <w:shd w:val="clear" w:color="auto" w:fill="FFFFFF"/>
        </w:rPr>
        <w:t xml:space="preserve"> </w:t>
      </w:r>
      <w:r w:rsidRPr="005B0931">
        <w:rPr>
          <w:color w:val="000000"/>
          <w:sz w:val="20"/>
          <w:szCs w:val="20"/>
          <w:shd w:val="clear" w:color="auto" w:fill="FFFFFF"/>
        </w:rPr>
        <w:t>With</w:t>
      </w:r>
      <w:r w:rsidR="002A6D47" w:rsidRPr="005B0931">
        <w:rPr>
          <w:color w:val="000000"/>
          <w:sz w:val="20"/>
          <w:szCs w:val="20"/>
          <w:shd w:val="clear" w:color="auto" w:fill="FFFFFF"/>
        </w:rPr>
        <w:t xml:space="preserve"> </w:t>
      </w:r>
      <w:r w:rsidRPr="005B0931">
        <w:rPr>
          <w:color w:val="000000"/>
          <w:sz w:val="20"/>
          <w:szCs w:val="20"/>
          <w:shd w:val="clear" w:color="auto" w:fill="FFFFFF"/>
        </w:rPr>
        <w:t>Coronary</w:t>
      </w:r>
      <w:r w:rsidR="002A6D47" w:rsidRPr="005B0931">
        <w:rPr>
          <w:color w:val="000000"/>
          <w:sz w:val="20"/>
          <w:szCs w:val="20"/>
          <w:shd w:val="clear" w:color="auto" w:fill="FFFFFF"/>
        </w:rPr>
        <w:t xml:space="preserve"> </w:t>
      </w:r>
      <w:r w:rsidRPr="005B0931">
        <w:rPr>
          <w:color w:val="000000"/>
          <w:sz w:val="20"/>
          <w:szCs w:val="20"/>
          <w:shd w:val="clear" w:color="auto" w:fill="FFFFFF"/>
        </w:rPr>
        <w:t>Artery</w:t>
      </w:r>
      <w:r w:rsidR="002A6D47" w:rsidRPr="005B0931">
        <w:rPr>
          <w:color w:val="000000"/>
          <w:sz w:val="20"/>
          <w:szCs w:val="20"/>
          <w:shd w:val="clear" w:color="auto" w:fill="FFFFFF"/>
        </w:rPr>
        <w:t xml:space="preserve"> </w:t>
      </w:r>
      <w:r w:rsidRPr="005B0931">
        <w:rPr>
          <w:color w:val="000000"/>
          <w:sz w:val="20"/>
          <w:szCs w:val="20"/>
          <w:shd w:val="clear" w:color="auto" w:fill="FFFFFF"/>
        </w:rPr>
        <w:t>Calcification.</w:t>
      </w:r>
      <w:r w:rsidR="002A6D47" w:rsidRPr="005B0931">
        <w:rPr>
          <w:color w:val="000000"/>
          <w:sz w:val="20"/>
          <w:szCs w:val="20"/>
          <w:shd w:val="clear" w:color="auto" w:fill="FFFFFF"/>
        </w:rPr>
        <w:t xml:space="preserve"> </w:t>
      </w:r>
      <w:r w:rsidRPr="005B0931">
        <w:rPr>
          <w:color w:val="000000"/>
          <w:sz w:val="20"/>
          <w:szCs w:val="20"/>
          <w:shd w:val="clear" w:color="auto" w:fill="FFFFFF"/>
        </w:rPr>
        <w:t>Stroke.</w:t>
      </w:r>
      <w:r w:rsidR="002A6D47" w:rsidRPr="005B0931">
        <w:rPr>
          <w:color w:val="000000"/>
          <w:sz w:val="20"/>
          <w:szCs w:val="20"/>
          <w:shd w:val="clear" w:color="auto" w:fill="FFFFFF"/>
        </w:rPr>
        <w:t xml:space="preserve"> </w:t>
      </w:r>
      <w:r w:rsidRPr="005B0931">
        <w:rPr>
          <w:color w:val="000000"/>
          <w:sz w:val="20"/>
          <w:szCs w:val="20"/>
          <w:shd w:val="clear" w:color="auto" w:fill="FFFFFF"/>
        </w:rPr>
        <w:t>2015;46:151-15</w:t>
      </w:r>
      <w:r w:rsidR="002A6D47" w:rsidRPr="005B0931">
        <w:rPr>
          <w:color w:val="000000"/>
          <w:sz w:val="20"/>
          <w:szCs w:val="20"/>
          <w:shd w:val="clear" w:color="auto" w:fill="FFFFFF"/>
        </w:rPr>
        <w:t>6.</w:t>
      </w:r>
    </w:p>
    <w:p w:rsidR="0062070F" w:rsidRPr="005B0931" w:rsidRDefault="00E973C5" w:rsidP="002A6D47">
      <w:pPr>
        <w:pStyle w:val="ListParagraph"/>
        <w:numPr>
          <w:ilvl w:val="0"/>
          <w:numId w:val="32"/>
        </w:numPr>
        <w:snapToGrid w:val="0"/>
        <w:ind w:left="425" w:hanging="425"/>
        <w:jc w:val="both"/>
        <w:textAlignment w:val="baseline"/>
        <w:rPr>
          <w:b/>
          <w:bCs/>
          <w:sz w:val="20"/>
          <w:szCs w:val="20"/>
          <w:lang w:bidi="ar-EG"/>
        </w:rPr>
      </w:pPr>
      <w:r w:rsidRPr="005B0931">
        <w:rPr>
          <w:color w:val="000000"/>
          <w:sz w:val="20"/>
          <w:szCs w:val="20"/>
          <w:shd w:val="clear" w:color="auto" w:fill="FFFFFF"/>
        </w:rPr>
        <w:t>Friedrich</w:t>
      </w:r>
      <w:r w:rsidR="002A6D47" w:rsidRPr="005B0931">
        <w:rPr>
          <w:color w:val="000000"/>
          <w:sz w:val="20"/>
          <w:szCs w:val="20"/>
          <w:shd w:val="clear" w:color="auto" w:fill="FFFFFF"/>
        </w:rPr>
        <w:t xml:space="preserve"> </w:t>
      </w:r>
      <w:r w:rsidRPr="005B0931">
        <w:rPr>
          <w:color w:val="000000"/>
          <w:sz w:val="20"/>
          <w:szCs w:val="20"/>
          <w:shd w:val="clear" w:color="auto" w:fill="FFFFFF"/>
        </w:rPr>
        <w:t>B,</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Gawlitza</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M,</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Schob</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S,</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Hobohm</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C,</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Raviolo</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M,</w:t>
      </w:r>
      <w:r w:rsidR="002A6D47" w:rsidRPr="005B0931">
        <w:rPr>
          <w:color w:val="000000"/>
          <w:sz w:val="20"/>
          <w:szCs w:val="20"/>
          <w:shd w:val="clear" w:color="auto" w:fill="FFFFFF"/>
        </w:rPr>
        <w:t xml:space="preserve"> </w:t>
      </w:r>
      <w:r w:rsidRPr="005B0931">
        <w:rPr>
          <w:color w:val="000000"/>
          <w:sz w:val="20"/>
          <w:szCs w:val="20"/>
          <w:shd w:val="clear" w:color="auto" w:fill="FFFFFF"/>
        </w:rPr>
        <w:t>Hoffmann</w:t>
      </w:r>
      <w:r w:rsidR="002A6D47" w:rsidRPr="005B0931">
        <w:rPr>
          <w:color w:val="000000"/>
          <w:sz w:val="20"/>
          <w:szCs w:val="20"/>
          <w:shd w:val="clear" w:color="auto" w:fill="FFFFFF"/>
        </w:rPr>
        <w:t xml:space="preserve"> </w:t>
      </w:r>
      <w:r w:rsidRPr="005B0931">
        <w:rPr>
          <w:color w:val="000000"/>
          <w:sz w:val="20"/>
          <w:szCs w:val="20"/>
          <w:shd w:val="clear" w:color="auto" w:fill="FFFFFF"/>
        </w:rPr>
        <w:t>KT,</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Lobsien</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D</w:t>
      </w:r>
      <w:r w:rsidR="002A6D47" w:rsidRPr="005B0931">
        <w:rPr>
          <w:color w:val="000000"/>
          <w:sz w:val="20"/>
          <w:szCs w:val="20"/>
          <w:shd w:val="clear" w:color="auto" w:fill="FFFFFF"/>
        </w:rPr>
        <w:t>. D</w:t>
      </w:r>
      <w:r w:rsidRPr="005B0931">
        <w:rPr>
          <w:color w:val="000000"/>
          <w:sz w:val="20"/>
          <w:szCs w:val="20"/>
          <w:shd w:val="clear" w:color="auto" w:fill="FFFFFF"/>
        </w:rPr>
        <w:t>istance</w:t>
      </w:r>
      <w:r w:rsidR="002A6D47" w:rsidRPr="005B0931">
        <w:rPr>
          <w:color w:val="000000"/>
          <w:sz w:val="20"/>
          <w:szCs w:val="20"/>
          <w:shd w:val="clear" w:color="auto" w:fill="FFFFFF"/>
        </w:rPr>
        <w:t xml:space="preserve"> </w:t>
      </w:r>
      <w:r w:rsidRPr="005B0931">
        <w:rPr>
          <w:color w:val="000000"/>
          <w:sz w:val="20"/>
          <w:szCs w:val="20"/>
          <w:shd w:val="clear" w:color="auto" w:fill="FFFFFF"/>
        </w:rPr>
        <w:t>to</w:t>
      </w:r>
      <w:r w:rsidR="002A6D47" w:rsidRPr="005B0931">
        <w:rPr>
          <w:color w:val="000000"/>
          <w:sz w:val="20"/>
          <w:szCs w:val="20"/>
          <w:shd w:val="clear" w:color="auto" w:fill="FFFFFF"/>
        </w:rPr>
        <w:t xml:space="preserve"> </w:t>
      </w:r>
      <w:r w:rsidRPr="005B0931">
        <w:rPr>
          <w:color w:val="000000"/>
          <w:sz w:val="20"/>
          <w:szCs w:val="20"/>
          <w:shd w:val="clear" w:color="auto" w:fill="FFFFFF"/>
        </w:rPr>
        <w:t>thrombus</w:t>
      </w:r>
      <w:r w:rsidR="002A6D47" w:rsidRPr="005B0931">
        <w:rPr>
          <w:color w:val="000000"/>
          <w:sz w:val="20"/>
          <w:szCs w:val="20"/>
          <w:shd w:val="clear" w:color="auto" w:fill="FFFFFF"/>
        </w:rPr>
        <w:t xml:space="preserve"> </w:t>
      </w:r>
      <w:r w:rsidRPr="005B0931">
        <w:rPr>
          <w:color w:val="000000"/>
          <w:sz w:val="20"/>
          <w:szCs w:val="20"/>
          <w:shd w:val="clear" w:color="auto" w:fill="FFFFFF"/>
        </w:rPr>
        <w:t>in</w:t>
      </w:r>
      <w:r w:rsidR="002A6D47" w:rsidRPr="005B0931">
        <w:rPr>
          <w:color w:val="000000"/>
          <w:sz w:val="20"/>
          <w:szCs w:val="20"/>
          <w:shd w:val="clear" w:color="auto" w:fill="FFFFFF"/>
        </w:rPr>
        <w:t xml:space="preserve"> </w:t>
      </w:r>
      <w:r w:rsidRPr="005B0931">
        <w:rPr>
          <w:color w:val="000000"/>
          <w:sz w:val="20"/>
          <w:szCs w:val="20"/>
          <w:shd w:val="clear" w:color="auto" w:fill="FFFFFF"/>
        </w:rPr>
        <w:t>acute</w:t>
      </w:r>
      <w:r w:rsidR="002A6D47" w:rsidRPr="005B0931">
        <w:rPr>
          <w:color w:val="000000"/>
          <w:sz w:val="20"/>
          <w:szCs w:val="20"/>
          <w:shd w:val="clear" w:color="auto" w:fill="FFFFFF"/>
        </w:rPr>
        <w:t xml:space="preserve"> </w:t>
      </w:r>
      <w:r w:rsidRPr="005B0931">
        <w:rPr>
          <w:color w:val="000000"/>
          <w:sz w:val="20"/>
          <w:szCs w:val="20"/>
          <w:shd w:val="clear" w:color="auto" w:fill="FFFFFF"/>
        </w:rPr>
        <w:t>middle</w:t>
      </w:r>
      <w:r w:rsidR="002A6D47" w:rsidRPr="005B0931">
        <w:rPr>
          <w:color w:val="000000"/>
          <w:sz w:val="20"/>
          <w:szCs w:val="20"/>
          <w:shd w:val="clear" w:color="auto" w:fill="FFFFFF"/>
        </w:rPr>
        <w:t xml:space="preserve"> </w:t>
      </w:r>
      <w:r w:rsidRPr="005B0931">
        <w:rPr>
          <w:color w:val="000000"/>
          <w:sz w:val="20"/>
          <w:szCs w:val="20"/>
          <w:shd w:val="clear" w:color="auto" w:fill="FFFFFF"/>
        </w:rPr>
        <w:t>cerebral</w:t>
      </w:r>
      <w:r w:rsidR="002A6D47" w:rsidRPr="005B0931">
        <w:rPr>
          <w:color w:val="000000"/>
          <w:sz w:val="20"/>
          <w:szCs w:val="20"/>
          <w:shd w:val="clear" w:color="auto" w:fill="FFFFFF"/>
        </w:rPr>
        <w:t xml:space="preserve"> </w:t>
      </w:r>
      <w:r w:rsidRPr="005B0931">
        <w:rPr>
          <w:color w:val="000000"/>
          <w:sz w:val="20"/>
          <w:szCs w:val="20"/>
          <w:shd w:val="clear" w:color="auto" w:fill="FFFFFF"/>
        </w:rPr>
        <w:t>artery</w:t>
      </w:r>
      <w:r w:rsidR="002A6D47" w:rsidRPr="005B0931">
        <w:rPr>
          <w:color w:val="000000"/>
          <w:sz w:val="20"/>
          <w:szCs w:val="20"/>
          <w:shd w:val="clear" w:color="auto" w:fill="FFFFFF"/>
        </w:rPr>
        <w:t xml:space="preserve"> </w:t>
      </w:r>
      <w:r w:rsidRPr="005B0931">
        <w:rPr>
          <w:color w:val="000000"/>
          <w:sz w:val="20"/>
          <w:szCs w:val="20"/>
          <w:shd w:val="clear" w:color="auto" w:fill="FFFFFF"/>
        </w:rPr>
        <w:t>occlusion:</w:t>
      </w:r>
      <w:r w:rsidR="002A6D47" w:rsidRPr="005B0931">
        <w:rPr>
          <w:color w:val="000000"/>
          <w:sz w:val="20"/>
          <w:szCs w:val="20"/>
          <w:shd w:val="clear" w:color="auto" w:fill="FFFFFF"/>
        </w:rPr>
        <w:t xml:space="preserve"> </w:t>
      </w:r>
      <w:r w:rsidRPr="005B0931">
        <w:rPr>
          <w:color w:val="000000"/>
          <w:sz w:val="20"/>
          <w:szCs w:val="20"/>
          <w:shd w:val="clear" w:color="auto" w:fill="FFFFFF"/>
        </w:rPr>
        <w:t>a</w:t>
      </w:r>
      <w:r w:rsidR="002A6D47" w:rsidRPr="005B0931">
        <w:rPr>
          <w:color w:val="000000"/>
          <w:sz w:val="20"/>
          <w:szCs w:val="20"/>
          <w:shd w:val="clear" w:color="auto" w:fill="FFFFFF"/>
        </w:rPr>
        <w:t xml:space="preserve"> </w:t>
      </w:r>
      <w:r w:rsidRPr="005B0931">
        <w:rPr>
          <w:color w:val="000000"/>
          <w:sz w:val="20"/>
          <w:szCs w:val="20"/>
          <w:shd w:val="clear" w:color="auto" w:fill="FFFFFF"/>
        </w:rPr>
        <w:t>predictor</w:t>
      </w:r>
      <w:r w:rsidR="002A6D47" w:rsidRPr="005B0931">
        <w:rPr>
          <w:color w:val="000000"/>
          <w:sz w:val="20"/>
          <w:szCs w:val="20"/>
          <w:shd w:val="clear" w:color="auto" w:fill="FFFFFF"/>
        </w:rPr>
        <w:t xml:space="preserve"> </w:t>
      </w:r>
      <w:r w:rsidRPr="005B0931">
        <w:rPr>
          <w:color w:val="000000"/>
          <w:sz w:val="20"/>
          <w:szCs w:val="20"/>
          <w:shd w:val="clear" w:color="auto" w:fill="FFFFFF"/>
        </w:rPr>
        <w:t>of</w:t>
      </w:r>
      <w:r w:rsidR="002A6D47" w:rsidRPr="005B0931">
        <w:rPr>
          <w:color w:val="000000"/>
          <w:sz w:val="20"/>
          <w:szCs w:val="20"/>
          <w:shd w:val="clear" w:color="auto" w:fill="FFFFFF"/>
        </w:rPr>
        <w:t xml:space="preserve"> </w:t>
      </w:r>
      <w:r w:rsidRPr="005B0931">
        <w:rPr>
          <w:color w:val="000000"/>
          <w:sz w:val="20"/>
          <w:szCs w:val="20"/>
          <w:shd w:val="clear" w:color="auto" w:fill="FFFFFF"/>
        </w:rPr>
        <w:t>outcome</w:t>
      </w:r>
      <w:r w:rsidR="002A6D47" w:rsidRPr="005B0931">
        <w:rPr>
          <w:color w:val="000000"/>
          <w:sz w:val="20"/>
          <w:szCs w:val="20"/>
          <w:shd w:val="clear" w:color="auto" w:fill="FFFFFF"/>
        </w:rPr>
        <w:t xml:space="preserve"> </w:t>
      </w:r>
      <w:r w:rsidRPr="005B0931">
        <w:rPr>
          <w:color w:val="000000"/>
          <w:sz w:val="20"/>
          <w:szCs w:val="20"/>
          <w:shd w:val="clear" w:color="auto" w:fill="FFFFFF"/>
        </w:rPr>
        <w:t>after</w:t>
      </w:r>
      <w:r w:rsidR="002A6D47" w:rsidRPr="005B0931">
        <w:rPr>
          <w:color w:val="000000"/>
          <w:sz w:val="20"/>
          <w:szCs w:val="20"/>
          <w:shd w:val="clear" w:color="auto" w:fill="FFFFFF"/>
        </w:rPr>
        <w:t xml:space="preserve"> </w:t>
      </w:r>
      <w:r w:rsidRPr="005B0931">
        <w:rPr>
          <w:color w:val="000000"/>
          <w:sz w:val="20"/>
          <w:szCs w:val="20"/>
          <w:shd w:val="clear" w:color="auto" w:fill="FFFFFF"/>
        </w:rPr>
        <w:t>intravenous</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thrombolysis</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for</w:t>
      </w:r>
      <w:r w:rsidR="002A6D47" w:rsidRPr="005B0931">
        <w:rPr>
          <w:color w:val="000000"/>
          <w:sz w:val="20"/>
          <w:szCs w:val="20"/>
          <w:shd w:val="clear" w:color="auto" w:fill="FFFFFF"/>
        </w:rPr>
        <w:t xml:space="preserve"> </w:t>
      </w:r>
      <w:r w:rsidRPr="005B0931">
        <w:rPr>
          <w:color w:val="000000"/>
          <w:sz w:val="20"/>
          <w:szCs w:val="20"/>
          <w:shd w:val="clear" w:color="auto" w:fill="FFFFFF"/>
        </w:rPr>
        <w:t>acute</w:t>
      </w:r>
      <w:r w:rsidR="002A6D47" w:rsidRPr="005B0931">
        <w:rPr>
          <w:color w:val="000000"/>
          <w:sz w:val="20"/>
          <w:szCs w:val="20"/>
          <w:shd w:val="clear" w:color="auto" w:fill="FFFFFF"/>
        </w:rPr>
        <w:t xml:space="preserve"> </w:t>
      </w:r>
      <w:r w:rsidRPr="005B0931">
        <w:rPr>
          <w:color w:val="000000"/>
          <w:sz w:val="20"/>
          <w:szCs w:val="20"/>
          <w:shd w:val="clear" w:color="auto" w:fill="FFFFFF"/>
        </w:rPr>
        <w:t>ischemic</w:t>
      </w:r>
      <w:r w:rsidR="002A6D47" w:rsidRPr="005B0931">
        <w:rPr>
          <w:color w:val="000000"/>
          <w:sz w:val="20"/>
          <w:szCs w:val="20"/>
          <w:shd w:val="clear" w:color="auto" w:fill="FFFFFF"/>
        </w:rPr>
        <w:t xml:space="preserve"> </w:t>
      </w:r>
      <w:r w:rsidRPr="005B0931">
        <w:rPr>
          <w:color w:val="000000"/>
          <w:sz w:val="20"/>
          <w:szCs w:val="20"/>
          <w:shd w:val="clear" w:color="auto" w:fill="FFFFFF"/>
        </w:rPr>
        <w:t>stroke</w:t>
      </w:r>
      <w:r w:rsidR="002A6D47" w:rsidRPr="005B0931">
        <w:rPr>
          <w:color w:val="000000"/>
          <w:sz w:val="20"/>
          <w:szCs w:val="20"/>
          <w:shd w:val="clear" w:color="auto" w:fill="FFFFFF"/>
        </w:rPr>
        <w:t xml:space="preserve"> </w:t>
      </w:r>
      <w:hyperlink r:id="rId27" w:tooltip="Stroke." w:history="1">
        <w:proofErr w:type="spellStart"/>
        <w:r w:rsidRPr="005B0931">
          <w:rPr>
            <w:rStyle w:val="Hyperlink"/>
            <w:sz w:val="20"/>
            <w:szCs w:val="20"/>
            <w:shd w:val="clear" w:color="auto" w:fill="FFFFFF"/>
          </w:rPr>
          <w:t>Stroke</w:t>
        </w:r>
        <w:proofErr w:type="spellEnd"/>
        <w:r w:rsidRPr="005B0931">
          <w:rPr>
            <w:rStyle w:val="Hyperlink"/>
            <w:sz w:val="20"/>
            <w:szCs w:val="20"/>
            <w:shd w:val="clear" w:color="auto" w:fill="FFFFFF"/>
          </w:rPr>
          <w:t>.</w:t>
        </w:r>
      </w:hyperlink>
      <w:r w:rsidR="002A6D47" w:rsidRPr="005B0931">
        <w:rPr>
          <w:color w:val="000000"/>
          <w:sz w:val="20"/>
          <w:szCs w:val="20"/>
          <w:shd w:val="clear" w:color="auto" w:fill="FFFFFF"/>
        </w:rPr>
        <w:t xml:space="preserve"> </w:t>
      </w:r>
      <w:r w:rsidRPr="005B0931">
        <w:rPr>
          <w:color w:val="000000"/>
          <w:sz w:val="20"/>
          <w:szCs w:val="20"/>
          <w:shd w:val="clear" w:color="auto" w:fill="FFFFFF"/>
        </w:rPr>
        <w:t>2015</w:t>
      </w:r>
      <w:r w:rsidR="002A6D47" w:rsidRPr="005B0931">
        <w:rPr>
          <w:color w:val="000000"/>
          <w:sz w:val="20"/>
          <w:szCs w:val="20"/>
          <w:shd w:val="clear" w:color="auto" w:fill="FFFFFF"/>
        </w:rPr>
        <w:t xml:space="preserve"> </w:t>
      </w:r>
      <w:r w:rsidRPr="005B0931">
        <w:rPr>
          <w:color w:val="000000"/>
          <w:sz w:val="20"/>
          <w:szCs w:val="20"/>
          <w:shd w:val="clear" w:color="auto" w:fill="FFFFFF"/>
        </w:rPr>
        <w:t>Mar;46(3):692-6.</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doi</w:t>
      </w:r>
      <w:proofErr w:type="spellEnd"/>
      <w:r w:rsidRPr="005B0931">
        <w:rPr>
          <w:color w:val="000000"/>
          <w:sz w:val="20"/>
          <w:szCs w:val="20"/>
          <w:shd w:val="clear" w:color="auto" w:fill="FFFFFF"/>
        </w:rPr>
        <w:t>:</w:t>
      </w:r>
      <w:r w:rsidR="002A6D47" w:rsidRPr="005B0931">
        <w:rPr>
          <w:color w:val="000000"/>
          <w:sz w:val="20"/>
          <w:szCs w:val="20"/>
          <w:shd w:val="clear" w:color="auto" w:fill="FFFFFF"/>
        </w:rPr>
        <w:t xml:space="preserve"> </w:t>
      </w:r>
      <w:r w:rsidRPr="005B0931">
        <w:rPr>
          <w:color w:val="000000"/>
          <w:sz w:val="20"/>
          <w:szCs w:val="20"/>
          <w:shd w:val="clear" w:color="auto" w:fill="FFFFFF"/>
        </w:rPr>
        <w:t>10.1161/STROKEAHA.114.008454.</w:t>
      </w:r>
      <w:r w:rsidR="002A6D47" w:rsidRPr="005B0931">
        <w:rPr>
          <w:color w:val="000000"/>
          <w:sz w:val="20"/>
          <w:szCs w:val="20"/>
          <w:shd w:val="clear" w:color="auto" w:fill="FFFFFF"/>
        </w:rPr>
        <w:t xml:space="preserve"> </w:t>
      </w:r>
      <w:proofErr w:type="spellStart"/>
      <w:r w:rsidRPr="005B0931">
        <w:rPr>
          <w:color w:val="000000"/>
          <w:sz w:val="20"/>
          <w:szCs w:val="20"/>
          <w:shd w:val="clear" w:color="auto" w:fill="FFFFFF"/>
        </w:rPr>
        <w:t>Epub</w:t>
      </w:r>
      <w:proofErr w:type="spellEnd"/>
      <w:r w:rsidR="002A6D47" w:rsidRPr="005B0931">
        <w:rPr>
          <w:color w:val="000000"/>
          <w:sz w:val="20"/>
          <w:szCs w:val="20"/>
          <w:shd w:val="clear" w:color="auto" w:fill="FFFFFF"/>
        </w:rPr>
        <w:t xml:space="preserve"> </w:t>
      </w:r>
      <w:r w:rsidRPr="005B0931">
        <w:rPr>
          <w:color w:val="000000"/>
          <w:sz w:val="20"/>
          <w:szCs w:val="20"/>
          <w:shd w:val="clear" w:color="auto" w:fill="FFFFFF"/>
        </w:rPr>
        <w:t>2015</w:t>
      </w:r>
      <w:r w:rsidR="002A6D47" w:rsidRPr="005B0931">
        <w:rPr>
          <w:color w:val="000000"/>
          <w:sz w:val="20"/>
          <w:szCs w:val="20"/>
          <w:shd w:val="clear" w:color="auto" w:fill="FFFFFF"/>
        </w:rPr>
        <w:t xml:space="preserve"> </w:t>
      </w:r>
      <w:r w:rsidRPr="005B0931">
        <w:rPr>
          <w:color w:val="000000"/>
          <w:sz w:val="20"/>
          <w:szCs w:val="20"/>
          <w:shd w:val="clear" w:color="auto" w:fill="FFFFFF"/>
        </w:rPr>
        <w:t>Feb</w:t>
      </w:r>
      <w:r w:rsidR="002A6D47" w:rsidRPr="005B0931">
        <w:rPr>
          <w:color w:val="000000"/>
          <w:sz w:val="20"/>
          <w:szCs w:val="20"/>
          <w:shd w:val="clear" w:color="auto" w:fill="FFFFFF"/>
        </w:rPr>
        <w:t xml:space="preserve"> </w:t>
      </w:r>
      <w:r w:rsidRPr="005B0931">
        <w:rPr>
          <w:color w:val="000000"/>
          <w:sz w:val="20"/>
          <w:szCs w:val="20"/>
          <w:shd w:val="clear" w:color="auto" w:fill="FFFFFF"/>
        </w:rPr>
        <w:t>3.</w:t>
      </w:r>
    </w:p>
    <w:p w:rsidR="0062070F" w:rsidRPr="005B0931" w:rsidRDefault="0062070F" w:rsidP="002A6D47">
      <w:pPr>
        <w:bidi w:val="0"/>
        <w:snapToGrid w:val="0"/>
        <w:ind w:left="425" w:hanging="425"/>
        <w:jc w:val="both"/>
        <w:rPr>
          <w:b/>
          <w:bCs/>
          <w:sz w:val="20"/>
          <w:szCs w:val="20"/>
          <w:lang w:bidi="ar-EG"/>
        </w:rPr>
        <w:sectPr w:rsidR="0062070F" w:rsidRPr="005B0931" w:rsidSect="002A6D47">
          <w:type w:val="continuous"/>
          <w:pgSz w:w="12240" w:h="15840" w:code="1"/>
          <w:pgMar w:top="1440" w:right="1440" w:bottom="1440" w:left="1440" w:header="720" w:footer="720" w:gutter="0"/>
          <w:cols w:num="2" w:space="600"/>
          <w:docGrid w:linePitch="360"/>
        </w:sectPr>
      </w:pPr>
    </w:p>
    <w:p w:rsidR="00164AF1" w:rsidRPr="005B0931" w:rsidRDefault="00164AF1" w:rsidP="002A6D47">
      <w:pPr>
        <w:bidi w:val="0"/>
        <w:snapToGrid w:val="0"/>
        <w:ind w:left="425" w:hanging="425"/>
        <w:jc w:val="both"/>
        <w:rPr>
          <w:b/>
          <w:bCs/>
          <w:sz w:val="20"/>
          <w:szCs w:val="20"/>
          <w:lang w:bidi="ar-EG"/>
        </w:rPr>
      </w:pPr>
    </w:p>
    <w:p w:rsidR="0062070F" w:rsidRPr="005B0931" w:rsidRDefault="0062070F" w:rsidP="002A6D47">
      <w:pPr>
        <w:tabs>
          <w:tab w:val="left" w:pos="3195"/>
          <w:tab w:val="center" w:pos="4680"/>
        </w:tabs>
        <w:bidi w:val="0"/>
        <w:snapToGrid w:val="0"/>
        <w:ind w:left="425" w:hanging="425"/>
        <w:jc w:val="both"/>
        <w:rPr>
          <w:rFonts w:eastAsiaTheme="minorEastAsia"/>
          <w:b/>
          <w:bCs/>
          <w:sz w:val="20"/>
          <w:szCs w:val="20"/>
          <w:lang w:eastAsia="zh-CN" w:bidi="ar-EG"/>
        </w:rPr>
      </w:pPr>
    </w:p>
    <w:p w:rsidR="008620BE" w:rsidRPr="005B0931" w:rsidRDefault="008620BE" w:rsidP="002A6D47">
      <w:pPr>
        <w:tabs>
          <w:tab w:val="left" w:pos="3195"/>
          <w:tab w:val="center" w:pos="4680"/>
        </w:tabs>
        <w:bidi w:val="0"/>
        <w:snapToGrid w:val="0"/>
        <w:ind w:left="425" w:hanging="425"/>
        <w:jc w:val="both"/>
        <w:rPr>
          <w:rFonts w:eastAsiaTheme="minorEastAsia"/>
          <w:b/>
          <w:bCs/>
          <w:sz w:val="20"/>
          <w:szCs w:val="20"/>
          <w:lang w:eastAsia="zh-CN" w:bidi="ar-EG"/>
        </w:rPr>
      </w:pPr>
    </w:p>
    <w:p w:rsidR="00C81C75" w:rsidRPr="005B0931" w:rsidRDefault="0062070F" w:rsidP="002A6D47">
      <w:pPr>
        <w:tabs>
          <w:tab w:val="left" w:pos="3195"/>
          <w:tab w:val="center" w:pos="4680"/>
        </w:tabs>
        <w:bidi w:val="0"/>
        <w:snapToGrid w:val="0"/>
        <w:ind w:left="425" w:hanging="425"/>
        <w:jc w:val="both"/>
        <w:rPr>
          <w:bCs/>
          <w:sz w:val="20"/>
          <w:szCs w:val="20"/>
          <w:lang w:bidi="ar-EG"/>
        </w:rPr>
      </w:pPr>
      <w:r w:rsidRPr="005B0931">
        <w:rPr>
          <w:bCs/>
          <w:sz w:val="20"/>
          <w:szCs w:val="20"/>
          <w:lang w:bidi="ar-EG"/>
        </w:rPr>
        <w:t>5/31/2017</w:t>
      </w:r>
    </w:p>
    <w:sectPr w:rsidR="00C81C75" w:rsidRPr="005B0931" w:rsidSect="0062070F">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3E6" w:rsidRDefault="000F03E6" w:rsidP="00765ACC">
      <w:r>
        <w:separator/>
      </w:r>
    </w:p>
  </w:endnote>
  <w:endnote w:type="continuationSeparator" w:id="0">
    <w:p w:rsidR="000F03E6" w:rsidRDefault="000F03E6" w:rsidP="00765A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D4" w:rsidRPr="008620BE" w:rsidRDefault="00893D2E" w:rsidP="008620BE">
    <w:pPr>
      <w:bidi w:val="0"/>
      <w:jc w:val="center"/>
      <w:rPr>
        <w:sz w:val="20"/>
      </w:rPr>
    </w:pPr>
    <w:r w:rsidRPr="008620BE">
      <w:rPr>
        <w:sz w:val="20"/>
      </w:rPr>
      <w:fldChar w:fldCharType="begin"/>
    </w:r>
    <w:r w:rsidR="00531CD4" w:rsidRPr="008620BE">
      <w:rPr>
        <w:sz w:val="20"/>
      </w:rPr>
      <w:instrText xml:space="preserve"> page </w:instrText>
    </w:r>
    <w:r w:rsidRPr="008620BE">
      <w:rPr>
        <w:sz w:val="20"/>
      </w:rPr>
      <w:fldChar w:fldCharType="separate"/>
    </w:r>
    <w:r w:rsidR="005B0931">
      <w:rPr>
        <w:noProof/>
        <w:sz w:val="20"/>
      </w:rPr>
      <w:t>48</w:t>
    </w:r>
    <w:r w:rsidRPr="008620BE">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D4" w:rsidRPr="002A6D47" w:rsidRDefault="00893D2E" w:rsidP="002A6D47">
    <w:pPr>
      <w:bidi w:val="0"/>
      <w:jc w:val="center"/>
      <w:rPr>
        <w:sz w:val="20"/>
      </w:rPr>
    </w:pPr>
    <w:r w:rsidRPr="002A6D47">
      <w:rPr>
        <w:sz w:val="20"/>
      </w:rPr>
      <w:fldChar w:fldCharType="begin"/>
    </w:r>
    <w:r w:rsidR="002A6D47" w:rsidRPr="002A6D47">
      <w:rPr>
        <w:sz w:val="20"/>
      </w:rPr>
      <w:instrText xml:space="preserve"> page </w:instrText>
    </w:r>
    <w:r w:rsidRPr="002A6D47">
      <w:rPr>
        <w:sz w:val="20"/>
      </w:rPr>
      <w:fldChar w:fldCharType="separate"/>
    </w:r>
    <w:r w:rsidR="005B0931">
      <w:rPr>
        <w:noProof/>
        <w:sz w:val="20"/>
      </w:rPr>
      <w:t>49</w:t>
    </w:r>
    <w:r w:rsidRPr="002A6D4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3559"/>
      <w:docPartObj>
        <w:docPartGallery w:val="Page Numbers (Bottom of Page)"/>
        <w:docPartUnique/>
      </w:docPartObj>
    </w:sdtPr>
    <w:sdtEndPr>
      <w:rPr>
        <w:noProof/>
      </w:rPr>
    </w:sdtEndPr>
    <w:sdtContent>
      <w:p w:rsidR="00531CD4" w:rsidRDefault="00893D2E" w:rsidP="00A7144D">
        <w:pPr>
          <w:pStyle w:val="Footer"/>
          <w:bidi w:val="0"/>
          <w:jc w:val="center"/>
        </w:pPr>
        <w:r w:rsidRPr="00A7144D">
          <w:rPr>
            <w:b/>
            <w:bCs/>
            <w:sz w:val="28"/>
            <w:szCs w:val="28"/>
          </w:rPr>
          <w:fldChar w:fldCharType="begin"/>
        </w:r>
        <w:r w:rsidR="00531CD4" w:rsidRPr="00A7144D">
          <w:rPr>
            <w:b/>
            <w:bCs/>
            <w:sz w:val="28"/>
            <w:szCs w:val="28"/>
          </w:rPr>
          <w:instrText xml:space="preserve"> PAGE   \* MERGEFORMAT </w:instrText>
        </w:r>
        <w:r w:rsidRPr="00A7144D">
          <w:rPr>
            <w:b/>
            <w:bCs/>
            <w:sz w:val="28"/>
            <w:szCs w:val="28"/>
          </w:rPr>
          <w:fldChar w:fldCharType="separate"/>
        </w:r>
        <w:r w:rsidR="005B0931">
          <w:rPr>
            <w:b/>
            <w:bCs/>
            <w:noProof/>
            <w:sz w:val="28"/>
            <w:szCs w:val="28"/>
          </w:rPr>
          <w:t>50</w:t>
        </w:r>
        <w:r w:rsidRPr="00A7144D">
          <w:rPr>
            <w:b/>
            <w:bCs/>
            <w:noProof/>
            <w:sz w:val="28"/>
            <w:szCs w:val="28"/>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D4" w:rsidRPr="002A6D47" w:rsidRDefault="00893D2E" w:rsidP="002A6D47">
    <w:pPr>
      <w:bidi w:val="0"/>
      <w:jc w:val="center"/>
      <w:rPr>
        <w:sz w:val="20"/>
      </w:rPr>
    </w:pPr>
    <w:r w:rsidRPr="002A6D47">
      <w:rPr>
        <w:sz w:val="20"/>
      </w:rPr>
      <w:fldChar w:fldCharType="begin"/>
    </w:r>
    <w:r w:rsidR="002A6D47" w:rsidRPr="002A6D47">
      <w:rPr>
        <w:sz w:val="20"/>
      </w:rPr>
      <w:instrText xml:space="preserve"> page </w:instrText>
    </w:r>
    <w:r w:rsidRPr="002A6D47">
      <w:rPr>
        <w:sz w:val="20"/>
      </w:rPr>
      <w:fldChar w:fldCharType="separate"/>
    </w:r>
    <w:r w:rsidR="005B0931">
      <w:rPr>
        <w:noProof/>
        <w:sz w:val="20"/>
      </w:rPr>
      <w:t>57</w:t>
    </w:r>
    <w:r w:rsidRPr="002A6D4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3E6" w:rsidRDefault="000F03E6" w:rsidP="00765ACC">
      <w:r>
        <w:separator/>
      </w:r>
    </w:p>
  </w:footnote>
  <w:footnote w:type="continuationSeparator" w:id="0">
    <w:p w:rsidR="000F03E6" w:rsidRDefault="000F03E6" w:rsidP="00765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D4" w:rsidRPr="008620BE" w:rsidRDefault="00531CD4" w:rsidP="008620BE">
    <w:pPr>
      <w:pBdr>
        <w:bottom w:val="thinThickMediumGap" w:sz="12" w:space="1" w:color="auto"/>
      </w:pBdr>
      <w:tabs>
        <w:tab w:val="left" w:pos="851"/>
        <w:tab w:val="right" w:pos="8364"/>
      </w:tabs>
      <w:bidi w:val="0"/>
      <w:adjustRightInd w:val="0"/>
      <w:snapToGrid w:val="0"/>
      <w:jc w:val="both"/>
      <w:rPr>
        <w:iCs/>
        <w:sz w:val="20"/>
        <w:szCs w:val="20"/>
      </w:rPr>
    </w:pPr>
    <w:r w:rsidRPr="008620BE">
      <w:rPr>
        <w:rFonts w:hint="eastAsia"/>
        <w:sz w:val="20"/>
        <w:szCs w:val="20"/>
      </w:rPr>
      <w:tab/>
    </w:r>
    <w:r w:rsidRPr="008620BE">
      <w:rPr>
        <w:sz w:val="20"/>
        <w:szCs w:val="20"/>
      </w:rPr>
      <w:t>New York Science Journal 201</w:t>
    </w:r>
    <w:r w:rsidRPr="008620BE">
      <w:rPr>
        <w:rFonts w:hint="eastAsia"/>
        <w:sz w:val="20"/>
        <w:szCs w:val="20"/>
      </w:rPr>
      <w:t>7</w:t>
    </w:r>
    <w:r w:rsidRPr="008620BE">
      <w:rPr>
        <w:sz w:val="20"/>
        <w:szCs w:val="20"/>
      </w:rPr>
      <w:t>;</w:t>
    </w:r>
    <w:r w:rsidRPr="008620BE">
      <w:rPr>
        <w:rFonts w:hint="eastAsia"/>
        <w:sz w:val="20"/>
        <w:szCs w:val="20"/>
      </w:rPr>
      <w:t>10</w:t>
    </w:r>
    <w:r w:rsidRPr="008620BE">
      <w:rPr>
        <w:sz w:val="20"/>
        <w:szCs w:val="20"/>
      </w:rPr>
      <w:t>(</w:t>
    </w:r>
    <w:r w:rsidRPr="008620BE">
      <w:rPr>
        <w:rFonts w:hint="eastAsia"/>
        <w:sz w:val="20"/>
        <w:szCs w:val="20"/>
      </w:rPr>
      <w:t>7</w:t>
    </w:r>
    <w:r w:rsidRPr="008620BE">
      <w:rPr>
        <w:sz w:val="20"/>
        <w:szCs w:val="20"/>
      </w:rPr>
      <w:t>)</w:t>
    </w:r>
    <w:r w:rsidRPr="008620BE">
      <w:rPr>
        <w:iCs/>
        <w:sz w:val="20"/>
        <w:szCs w:val="20"/>
      </w:rPr>
      <w:t xml:space="preserve">     </w:t>
    </w:r>
    <w:r w:rsidRPr="008620BE">
      <w:rPr>
        <w:rFonts w:hint="eastAsia"/>
        <w:iCs/>
        <w:sz w:val="20"/>
        <w:szCs w:val="20"/>
      </w:rPr>
      <w:tab/>
    </w:r>
    <w:r w:rsidRPr="008620BE">
      <w:rPr>
        <w:iCs/>
        <w:sz w:val="20"/>
        <w:szCs w:val="20"/>
      </w:rPr>
      <w:t xml:space="preserve"> </w:t>
    </w:r>
    <w:r w:rsidRPr="008620BE">
      <w:rPr>
        <w:rFonts w:hint="eastAsia"/>
        <w:iCs/>
        <w:sz w:val="20"/>
        <w:szCs w:val="20"/>
      </w:rPr>
      <w:t xml:space="preserve"> </w:t>
    </w:r>
    <w:r w:rsidRPr="008620BE">
      <w:rPr>
        <w:iCs/>
        <w:sz w:val="20"/>
        <w:szCs w:val="20"/>
      </w:rPr>
      <w:t xml:space="preserve">   </w:t>
    </w:r>
    <w:hyperlink r:id="rId1" w:history="1">
      <w:r w:rsidRPr="008620BE">
        <w:rPr>
          <w:rStyle w:val="Hyperlink"/>
          <w:color w:val="0000FF"/>
          <w:sz w:val="20"/>
          <w:szCs w:val="20"/>
        </w:rPr>
        <w:t>http://www.sciencepub.net/newyork</w:t>
      </w:r>
    </w:hyperlink>
  </w:p>
  <w:p w:rsidR="00531CD4" w:rsidRPr="008620BE" w:rsidRDefault="00531CD4" w:rsidP="008620BE">
    <w:pPr>
      <w:tabs>
        <w:tab w:val="left" w:pos="851"/>
        <w:tab w:val="left" w:pos="7200"/>
        <w:tab w:val="right" w:pos="8364"/>
      </w:tabs>
      <w:bidi w:val="0"/>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D47" w:rsidRPr="002A6D47" w:rsidRDefault="002A6D47" w:rsidP="002A6D47">
    <w:pPr>
      <w:pBdr>
        <w:bottom w:val="thinThickMediumGap" w:sz="12" w:space="1" w:color="auto"/>
      </w:pBdr>
      <w:tabs>
        <w:tab w:val="left" w:pos="851"/>
        <w:tab w:val="right" w:pos="8364"/>
      </w:tabs>
      <w:bidi w:val="0"/>
      <w:adjustRightInd w:val="0"/>
      <w:snapToGrid w:val="0"/>
      <w:jc w:val="both"/>
      <w:rPr>
        <w:iCs/>
        <w:sz w:val="20"/>
        <w:szCs w:val="20"/>
      </w:rPr>
    </w:pPr>
    <w:r w:rsidRPr="002A6D47">
      <w:rPr>
        <w:rFonts w:hint="eastAsia"/>
        <w:sz w:val="20"/>
        <w:szCs w:val="20"/>
      </w:rPr>
      <w:tab/>
    </w:r>
    <w:r w:rsidRPr="002A6D47">
      <w:rPr>
        <w:sz w:val="20"/>
        <w:szCs w:val="20"/>
      </w:rPr>
      <w:t>New York Science Journal 201</w:t>
    </w:r>
    <w:r w:rsidRPr="002A6D47">
      <w:rPr>
        <w:rFonts w:hint="eastAsia"/>
        <w:sz w:val="20"/>
        <w:szCs w:val="20"/>
      </w:rPr>
      <w:t>7</w:t>
    </w:r>
    <w:r w:rsidRPr="002A6D47">
      <w:rPr>
        <w:sz w:val="20"/>
        <w:szCs w:val="20"/>
      </w:rPr>
      <w:t>;</w:t>
    </w:r>
    <w:r w:rsidRPr="002A6D47">
      <w:rPr>
        <w:rFonts w:hint="eastAsia"/>
        <w:sz w:val="20"/>
        <w:szCs w:val="20"/>
      </w:rPr>
      <w:t>10</w:t>
    </w:r>
    <w:r w:rsidRPr="002A6D47">
      <w:rPr>
        <w:sz w:val="20"/>
        <w:szCs w:val="20"/>
      </w:rPr>
      <w:t>(</w:t>
    </w:r>
    <w:r w:rsidRPr="002A6D47">
      <w:rPr>
        <w:rFonts w:hint="eastAsia"/>
        <w:sz w:val="20"/>
        <w:szCs w:val="20"/>
      </w:rPr>
      <w:t>7</w:t>
    </w:r>
    <w:r w:rsidRPr="002A6D47">
      <w:rPr>
        <w:sz w:val="20"/>
        <w:szCs w:val="20"/>
      </w:rPr>
      <w:t>)</w:t>
    </w:r>
    <w:r w:rsidRPr="002A6D47">
      <w:rPr>
        <w:iCs/>
        <w:sz w:val="20"/>
        <w:szCs w:val="20"/>
      </w:rPr>
      <w:t xml:space="preserve">     </w:t>
    </w:r>
    <w:r w:rsidRPr="002A6D47">
      <w:rPr>
        <w:rFonts w:hint="eastAsia"/>
        <w:iCs/>
        <w:sz w:val="20"/>
        <w:szCs w:val="20"/>
      </w:rPr>
      <w:tab/>
    </w:r>
    <w:r w:rsidRPr="002A6D47">
      <w:rPr>
        <w:iCs/>
        <w:sz w:val="20"/>
        <w:szCs w:val="20"/>
      </w:rPr>
      <w:t xml:space="preserve"> </w:t>
    </w:r>
    <w:r w:rsidRPr="002A6D47">
      <w:rPr>
        <w:rFonts w:hint="eastAsia"/>
        <w:iCs/>
        <w:sz w:val="20"/>
        <w:szCs w:val="20"/>
      </w:rPr>
      <w:t xml:space="preserve"> </w:t>
    </w:r>
    <w:r w:rsidRPr="002A6D47">
      <w:rPr>
        <w:iCs/>
        <w:sz w:val="20"/>
        <w:szCs w:val="20"/>
      </w:rPr>
      <w:t xml:space="preserve">   </w:t>
    </w:r>
    <w:hyperlink r:id="rId1" w:history="1">
      <w:r w:rsidRPr="002A6D47">
        <w:rPr>
          <w:rStyle w:val="Hyperlink"/>
          <w:color w:val="0000FF"/>
          <w:sz w:val="20"/>
          <w:szCs w:val="20"/>
        </w:rPr>
        <w:t>http://www.sciencepub.net/newyork</w:t>
      </w:r>
    </w:hyperlink>
  </w:p>
  <w:p w:rsidR="002A6D47" w:rsidRPr="002A6D47" w:rsidRDefault="002A6D47" w:rsidP="002A6D47">
    <w:pPr>
      <w:tabs>
        <w:tab w:val="left" w:pos="851"/>
        <w:tab w:val="left" w:pos="7200"/>
        <w:tab w:val="right" w:pos="8364"/>
      </w:tabs>
      <w:bidi w:val="0"/>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CD4" w:rsidRPr="007D14B0" w:rsidRDefault="00531CD4" w:rsidP="00902B19">
    <w:pPr>
      <w:pBdr>
        <w:bottom w:val="thinThickMediumGap" w:sz="12" w:space="1" w:color="auto"/>
      </w:pBdr>
      <w:tabs>
        <w:tab w:val="center" w:pos="4680"/>
        <w:tab w:val="right" w:pos="9360"/>
      </w:tabs>
      <w:rPr>
        <w:rFonts w:asciiTheme="majorBidi" w:hAnsiTheme="majorBidi" w:cstheme="majorBidi"/>
        <w:iCs/>
        <w:sz w:val="20"/>
        <w:szCs w:val="20"/>
        <w:lang w:bidi="ar-EG"/>
      </w:rPr>
    </w:pPr>
    <w:r w:rsidRPr="007D14B0">
      <w:rPr>
        <w:rFonts w:asciiTheme="majorBidi" w:hAnsiTheme="majorBidi" w:cstheme="majorBidi"/>
        <w:sz w:val="20"/>
        <w:szCs w:val="20"/>
      </w:rPr>
      <w:tab/>
      <w:t xml:space="preserve">New York Science Journal 2017;10(x)                             </w:t>
    </w:r>
    <w:hyperlink r:id="rId1" w:history="1">
      <w:r w:rsidRPr="007D14B0">
        <w:rPr>
          <w:rStyle w:val="Hyperlink"/>
          <w:rFonts w:asciiTheme="majorBidi" w:eastAsia="Arial" w:hAnsiTheme="majorBidi" w:cstheme="majorBidi"/>
          <w:sz w:val="20"/>
          <w:szCs w:val="20"/>
        </w:rPr>
        <w:t>http://www.sciencepub.net/newyork</w:t>
      </w:r>
    </w:hyperlink>
  </w:p>
  <w:p w:rsidR="00531CD4" w:rsidRPr="00902B19" w:rsidRDefault="00531CD4">
    <w:pPr>
      <w:pStyle w:val="Header"/>
      <w:rPr>
        <w:lang w:bidi="ar-EG"/>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D47" w:rsidRPr="002A6D47" w:rsidRDefault="002A6D47" w:rsidP="002A6D47">
    <w:pPr>
      <w:pBdr>
        <w:bottom w:val="thinThickMediumGap" w:sz="12" w:space="1" w:color="auto"/>
      </w:pBdr>
      <w:tabs>
        <w:tab w:val="left" w:pos="851"/>
        <w:tab w:val="right" w:pos="8364"/>
      </w:tabs>
      <w:bidi w:val="0"/>
      <w:adjustRightInd w:val="0"/>
      <w:snapToGrid w:val="0"/>
      <w:jc w:val="both"/>
      <w:rPr>
        <w:iCs/>
        <w:sz w:val="20"/>
        <w:szCs w:val="20"/>
      </w:rPr>
    </w:pPr>
    <w:r w:rsidRPr="002A6D47">
      <w:rPr>
        <w:rFonts w:hint="eastAsia"/>
        <w:sz w:val="20"/>
        <w:szCs w:val="20"/>
      </w:rPr>
      <w:tab/>
    </w:r>
    <w:r w:rsidRPr="002A6D47">
      <w:rPr>
        <w:sz w:val="20"/>
        <w:szCs w:val="20"/>
      </w:rPr>
      <w:t>New York Science Journal 201</w:t>
    </w:r>
    <w:r w:rsidRPr="002A6D47">
      <w:rPr>
        <w:rFonts w:hint="eastAsia"/>
        <w:sz w:val="20"/>
        <w:szCs w:val="20"/>
      </w:rPr>
      <w:t>7</w:t>
    </w:r>
    <w:r w:rsidRPr="002A6D47">
      <w:rPr>
        <w:sz w:val="20"/>
        <w:szCs w:val="20"/>
      </w:rPr>
      <w:t>;</w:t>
    </w:r>
    <w:r w:rsidRPr="002A6D47">
      <w:rPr>
        <w:rFonts w:hint="eastAsia"/>
        <w:sz w:val="20"/>
        <w:szCs w:val="20"/>
      </w:rPr>
      <w:t>10</w:t>
    </w:r>
    <w:r w:rsidRPr="002A6D47">
      <w:rPr>
        <w:sz w:val="20"/>
        <w:szCs w:val="20"/>
      </w:rPr>
      <w:t>(</w:t>
    </w:r>
    <w:r w:rsidRPr="002A6D47">
      <w:rPr>
        <w:rFonts w:hint="eastAsia"/>
        <w:sz w:val="20"/>
        <w:szCs w:val="20"/>
      </w:rPr>
      <w:t>7</w:t>
    </w:r>
    <w:r w:rsidRPr="002A6D47">
      <w:rPr>
        <w:sz w:val="20"/>
        <w:szCs w:val="20"/>
      </w:rPr>
      <w:t>)</w:t>
    </w:r>
    <w:r w:rsidRPr="002A6D47">
      <w:rPr>
        <w:iCs/>
        <w:sz w:val="20"/>
        <w:szCs w:val="20"/>
      </w:rPr>
      <w:t xml:space="preserve">     </w:t>
    </w:r>
    <w:r w:rsidRPr="002A6D47">
      <w:rPr>
        <w:rFonts w:hint="eastAsia"/>
        <w:iCs/>
        <w:sz w:val="20"/>
        <w:szCs w:val="20"/>
      </w:rPr>
      <w:tab/>
    </w:r>
    <w:r w:rsidRPr="002A6D47">
      <w:rPr>
        <w:iCs/>
        <w:sz w:val="20"/>
        <w:szCs w:val="20"/>
      </w:rPr>
      <w:t xml:space="preserve"> </w:t>
    </w:r>
    <w:r w:rsidRPr="002A6D47">
      <w:rPr>
        <w:rFonts w:hint="eastAsia"/>
        <w:iCs/>
        <w:sz w:val="20"/>
        <w:szCs w:val="20"/>
      </w:rPr>
      <w:t xml:space="preserve"> </w:t>
    </w:r>
    <w:r w:rsidRPr="002A6D47">
      <w:rPr>
        <w:iCs/>
        <w:sz w:val="20"/>
        <w:szCs w:val="20"/>
      </w:rPr>
      <w:t xml:space="preserve">   </w:t>
    </w:r>
    <w:hyperlink r:id="rId1" w:history="1">
      <w:r w:rsidRPr="002A6D47">
        <w:rPr>
          <w:rStyle w:val="Hyperlink"/>
          <w:color w:val="0000FF"/>
          <w:sz w:val="20"/>
          <w:szCs w:val="20"/>
        </w:rPr>
        <w:t>http://www.sciencepub.net/newyork</w:t>
      </w:r>
    </w:hyperlink>
  </w:p>
  <w:p w:rsidR="002A6D47" w:rsidRPr="002A6D47" w:rsidRDefault="002A6D47" w:rsidP="002A6D47">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F90"/>
    <w:multiLevelType w:val="hybridMultilevel"/>
    <w:tmpl w:val="00001649"/>
    <w:lvl w:ilvl="0" w:tplc="00006DF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501540"/>
    <w:multiLevelType w:val="hybridMultilevel"/>
    <w:tmpl w:val="2A927566"/>
    <w:lvl w:ilvl="0" w:tplc="2508FF12">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50778A"/>
    <w:multiLevelType w:val="hybridMultilevel"/>
    <w:tmpl w:val="A08CBDC4"/>
    <w:lvl w:ilvl="0" w:tplc="60AE55A2">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2C90F35"/>
    <w:multiLevelType w:val="hybridMultilevel"/>
    <w:tmpl w:val="08C82B70"/>
    <w:lvl w:ilvl="0" w:tplc="60AE55A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3A15ECA"/>
    <w:multiLevelType w:val="hybridMultilevel"/>
    <w:tmpl w:val="A08CBDC4"/>
    <w:lvl w:ilvl="0" w:tplc="60AE55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422403E"/>
    <w:multiLevelType w:val="hybridMultilevel"/>
    <w:tmpl w:val="996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8F557A"/>
    <w:multiLevelType w:val="hybridMultilevel"/>
    <w:tmpl w:val="A08CBDC4"/>
    <w:lvl w:ilvl="0" w:tplc="60AE55A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0E7B406D"/>
    <w:multiLevelType w:val="hybridMultilevel"/>
    <w:tmpl w:val="A08CBDC4"/>
    <w:lvl w:ilvl="0" w:tplc="60AE55A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FFD7522"/>
    <w:multiLevelType w:val="hybridMultilevel"/>
    <w:tmpl w:val="A08CBDC4"/>
    <w:lvl w:ilvl="0" w:tplc="60AE55A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66C31DF"/>
    <w:multiLevelType w:val="hybridMultilevel"/>
    <w:tmpl w:val="A08CBDC4"/>
    <w:lvl w:ilvl="0" w:tplc="60AE55A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A0958E1"/>
    <w:multiLevelType w:val="hybridMultilevel"/>
    <w:tmpl w:val="A08CBDC4"/>
    <w:lvl w:ilvl="0" w:tplc="60AE55A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2F6450B4"/>
    <w:multiLevelType w:val="hybridMultilevel"/>
    <w:tmpl w:val="A08CBDC4"/>
    <w:lvl w:ilvl="0" w:tplc="60AE55A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B126FD"/>
    <w:multiLevelType w:val="hybridMultilevel"/>
    <w:tmpl w:val="FBB4D318"/>
    <w:lvl w:ilvl="0" w:tplc="B2B0825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0420E1"/>
    <w:multiLevelType w:val="hybridMultilevel"/>
    <w:tmpl w:val="A08CBDC4"/>
    <w:lvl w:ilvl="0" w:tplc="60AE55A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1B136A"/>
    <w:multiLevelType w:val="hybridMultilevel"/>
    <w:tmpl w:val="E43A43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A51271"/>
    <w:multiLevelType w:val="hybridMultilevel"/>
    <w:tmpl w:val="A08CBDC4"/>
    <w:lvl w:ilvl="0" w:tplc="60AE55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EF25AC"/>
    <w:multiLevelType w:val="hybridMultilevel"/>
    <w:tmpl w:val="A08CBDC4"/>
    <w:lvl w:ilvl="0" w:tplc="60AE55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0961D6"/>
    <w:multiLevelType w:val="hybridMultilevel"/>
    <w:tmpl w:val="D16CD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D03C27"/>
    <w:multiLevelType w:val="hybridMultilevel"/>
    <w:tmpl w:val="524805E0"/>
    <w:lvl w:ilvl="0" w:tplc="5E5C4484">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F08A3"/>
    <w:multiLevelType w:val="hybridMultilevel"/>
    <w:tmpl w:val="1640EA4A"/>
    <w:lvl w:ilvl="0" w:tplc="C2AE1EE4">
      <w:start w:val="1"/>
      <w:numFmt w:val="decimal"/>
      <w:lvlText w:val="%1."/>
      <w:lvlJc w:val="left"/>
      <w:pPr>
        <w:ind w:left="630" w:hanging="360"/>
      </w:pPr>
      <w:rPr>
        <w:b w:val="0"/>
        <w:bCs w:val="0"/>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0">
    <w:nsid w:val="44F5326E"/>
    <w:multiLevelType w:val="hybridMultilevel"/>
    <w:tmpl w:val="A08CBDC4"/>
    <w:lvl w:ilvl="0" w:tplc="60AE55A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47223411"/>
    <w:multiLevelType w:val="hybridMultilevel"/>
    <w:tmpl w:val="8188A716"/>
    <w:lvl w:ilvl="0" w:tplc="A3BCFA6A">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4F6341CD"/>
    <w:multiLevelType w:val="hybridMultilevel"/>
    <w:tmpl w:val="A08CBDC4"/>
    <w:lvl w:ilvl="0" w:tplc="60AE55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9F21E7"/>
    <w:multiLevelType w:val="hybridMultilevel"/>
    <w:tmpl w:val="B9E8AAEA"/>
    <w:lvl w:ilvl="0" w:tplc="B2B0825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B242C5"/>
    <w:multiLevelType w:val="hybridMultilevel"/>
    <w:tmpl w:val="F44A6266"/>
    <w:lvl w:ilvl="0" w:tplc="2312B5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5F017F"/>
    <w:multiLevelType w:val="hybridMultilevel"/>
    <w:tmpl w:val="1640EA4A"/>
    <w:lvl w:ilvl="0" w:tplc="C2AE1EE4">
      <w:start w:val="1"/>
      <w:numFmt w:val="decimal"/>
      <w:lvlText w:val="%1."/>
      <w:lvlJc w:val="left"/>
      <w:pPr>
        <w:ind w:left="630" w:hanging="360"/>
      </w:pPr>
      <w:rPr>
        <w:b w:val="0"/>
        <w:bCs w:val="0"/>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6">
    <w:nsid w:val="58700DF2"/>
    <w:multiLevelType w:val="hybridMultilevel"/>
    <w:tmpl w:val="F5F07842"/>
    <w:lvl w:ilvl="0" w:tplc="533A63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6808E4"/>
    <w:multiLevelType w:val="hybridMultilevel"/>
    <w:tmpl w:val="A08CBDC4"/>
    <w:lvl w:ilvl="0" w:tplc="60AE55A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611F381A"/>
    <w:multiLevelType w:val="hybridMultilevel"/>
    <w:tmpl w:val="D9760E32"/>
    <w:lvl w:ilvl="0" w:tplc="5E5C4484">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68376D"/>
    <w:multiLevelType w:val="hybridMultilevel"/>
    <w:tmpl w:val="A08CBDC4"/>
    <w:lvl w:ilvl="0" w:tplc="60AE55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9B3456"/>
    <w:multiLevelType w:val="hybridMultilevel"/>
    <w:tmpl w:val="0AFA5394"/>
    <w:lvl w:ilvl="0" w:tplc="D778D764">
      <w:start w:val="6"/>
      <w:numFmt w:val="bullet"/>
      <w:lvlText w:val="-"/>
      <w:lvlJc w:val="left"/>
      <w:pPr>
        <w:tabs>
          <w:tab w:val="num" w:pos="720"/>
        </w:tabs>
        <w:ind w:left="720" w:hanging="360"/>
      </w:pPr>
      <w:rPr>
        <w:rFonts w:ascii="Times New Roman" w:eastAsia="Times New Roman" w:hAnsi="Times New Roman" w:cs="Simplified Arabic" w:hint="default"/>
      </w:rPr>
    </w:lvl>
    <w:lvl w:ilvl="1" w:tplc="B2B0825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0ED73F1"/>
    <w:multiLevelType w:val="hybridMultilevel"/>
    <w:tmpl w:val="5A7219EC"/>
    <w:lvl w:ilvl="0" w:tplc="01800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7C4F9F"/>
    <w:multiLevelType w:val="hybridMultilevel"/>
    <w:tmpl w:val="A08CBDC4"/>
    <w:lvl w:ilvl="0" w:tplc="60AE55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0"/>
  </w:num>
  <w:num w:numId="3">
    <w:abstractNumId w:val="23"/>
  </w:num>
  <w:num w:numId="4">
    <w:abstractNumId w:val="12"/>
  </w:num>
  <w:num w:numId="5">
    <w:abstractNumId w:val="18"/>
  </w:num>
  <w:num w:numId="6">
    <w:abstractNumId w:val="28"/>
  </w:num>
  <w:num w:numId="7">
    <w:abstractNumId w:val="24"/>
  </w:num>
  <w:num w:numId="8">
    <w:abstractNumId w:val="0"/>
  </w:num>
  <w:num w:numId="9">
    <w:abstractNumId w:val="17"/>
  </w:num>
  <w:num w:numId="10">
    <w:abstractNumId w:val="26"/>
  </w:num>
  <w:num w:numId="11">
    <w:abstractNumId w:val="3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1"/>
  </w:num>
  <w:num w:numId="16">
    <w:abstractNumId w:val="1"/>
  </w:num>
  <w:num w:numId="17">
    <w:abstractNumId w:val="27"/>
  </w:num>
  <w:num w:numId="18">
    <w:abstractNumId w:val="16"/>
  </w:num>
  <w:num w:numId="19">
    <w:abstractNumId w:val="10"/>
  </w:num>
  <w:num w:numId="20">
    <w:abstractNumId w:val="22"/>
  </w:num>
  <w:num w:numId="21">
    <w:abstractNumId w:val="13"/>
  </w:num>
  <w:num w:numId="22">
    <w:abstractNumId w:val="11"/>
  </w:num>
  <w:num w:numId="23">
    <w:abstractNumId w:val="29"/>
  </w:num>
  <w:num w:numId="24">
    <w:abstractNumId w:val="9"/>
  </w:num>
  <w:num w:numId="25">
    <w:abstractNumId w:val="15"/>
  </w:num>
  <w:num w:numId="26">
    <w:abstractNumId w:val="8"/>
  </w:num>
  <w:num w:numId="27">
    <w:abstractNumId w:val="6"/>
  </w:num>
  <w:num w:numId="28">
    <w:abstractNumId w:val="32"/>
  </w:num>
  <w:num w:numId="29">
    <w:abstractNumId w:val="14"/>
  </w:num>
  <w:num w:numId="30">
    <w:abstractNumId w:val="20"/>
  </w:num>
  <w:num w:numId="31">
    <w:abstractNumId w:val="3"/>
  </w:num>
  <w:num w:numId="32">
    <w:abstractNumId w:val="19"/>
  </w:num>
  <w:num w:numId="33">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D53F48"/>
    <w:rsid w:val="0003428F"/>
    <w:rsid w:val="000724EF"/>
    <w:rsid w:val="00075759"/>
    <w:rsid w:val="000A64A6"/>
    <w:rsid w:val="000F03E6"/>
    <w:rsid w:val="00137CEF"/>
    <w:rsid w:val="001450A5"/>
    <w:rsid w:val="00164AF1"/>
    <w:rsid w:val="0017032E"/>
    <w:rsid w:val="001C2DEF"/>
    <w:rsid w:val="00201025"/>
    <w:rsid w:val="00271359"/>
    <w:rsid w:val="002A2761"/>
    <w:rsid w:val="002A6D47"/>
    <w:rsid w:val="003103A7"/>
    <w:rsid w:val="0032436F"/>
    <w:rsid w:val="00345F40"/>
    <w:rsid w:val="00367C81"/>
    <w:rsid w:val="003924DE"/>
    <w:rsid w:val="004072BF"/>
    <w:rsid w:val="00407BB5"/>
    <w:rsid w:val="004250D0"/>
    <w:rsid w:val="00466097"/>
    <w:rsid w:val="004661B7"/>
    <w:rsid w:val="004B756C"/>
    <w:rsid w:val="0051008A"/>
    <w:rsid w:val="0052035B"/>
    <w:rsid w:val="00522868"/>
    <w:rsid w:val="00531CD4"/>
    <w:rsid w:val="00533ADD"/>
    <w:rsid w:val="005436CA"/>
    <w:rsid w:val="005A7A6D"/>
    <w:rsid w:val="005B0931"/>
    <w:rsid w:val="005B44BF"/>
    <w:rsid w:val="005B5E36"/>
    <w:rsid w:val="005C3D64"/>
    <w:rsid w:val="005C45DE"/>
    <w:rsid w:val="0062070F"/>
    <w:rsid w:val="006B6BB7"/>
    <w:rsid w:val="006C67BF"/>
    <w:rsid w:val="006D724A"/>
    <w:rsid w:val="00753C57"/>
    <w:rsid w:val="00765ACC"/>
    <w:rsid w:val="00772C27"/>
    <w:rsid w:val="007B617E"/>
    <w:rsid w:val="007C4FF3"/>
    <w:rsid w:val="007D4EA3"/>
    <w:rsid w:val="007E35FE"/>
    <w:rsid w:val="0080417B"/>
    <w:rsid w:val="008620BE"/>
    <w:rsid w:val="00893D2E"/>
    <w:rsid w:val="008977DA"/>
    <w:rsid w:val="008C0AB9"/>
    <w:rsid w:val="008D4F21"/>
    <w:rsid w:val="008E02E2"/>
    <w:rsid w:val="008F5126"/>
    <w:rsid w:val="00902B19"/>
    <w:rsid w:val="00957A59"/>
    <w:rsid w:val="009A4D79"/>
    <w:rsid w:val="009C6D70"/>
    <w:rsid w:val="00A03A52"/>
    <w:rsid w:val="00A534B3"/>
    <w:rsid w:val="00A7144D"/>
    <w:rsid w:val="00A7603C"/>
    <w:rsid w:val="00A83BB2"/>
    <w:rsid w:val="00AA28B9"/>
    <w:rsid w:val="00AB1B8F"/>
    <w:rsid w:val="00AD23EB"/>
    <w:rsid w:val="00B31306"/>
    <w:rsid w:val="00B43EDC"/>
    <w:rsid w:val="00B47A84"/>
    <w:rsid w:val="00B73645"/>
    <w:rsid w:val="00B91D04"/>
    <w:rsid w:val="00BD24B9"/>
    <w:rsid w:val="00BD3F09"/>
    <w:rsid w:val="00C01A7E"/>
    <w:rsid w:val="00C10E72"/>
    <w:rsid w:val="00C2722A"/>
    <w:rsid w:val="00C279AB"/>
    <w:rsid w:val="00C45160"/>
    <w:rsid w:val="00C81C75"/>
    <w:rsid w:val="00C81D76"/>
    <w:rsid w:val="00CC4B9E"/>
    <w:rsid w:val="00CD34D4"/>
    <w:rsid w:val="00CF54B1"/>
    <w:rsid w:val="00D051FB"/>
    <w:rsid w:val="00D30558"/>
    <w:rsid w:val="00D53F48"/>
    <w:rsid w:val="00D61A21"/>
    <w:rsid w:val="00D872DE"/>
    <w:rsid w:val="00D91B14"/>
    <w:rsid w:val="00D9390C"/>
    <w:rsid w:val="00DA21D2"/>
    <w:rsid w:val="00DD5BD1"/>
    <w:rsid w:val="00DD6C5C"/>
    <w:rsid w:val="00DD725A"/>
    <w:rsid w:val="00E4481C"/>
    <w:rsid w:val="00E56460"/>
    <w:rsid w:val="00E738A8"/>
    <w:rsid w:val="00E967BF"/>
    <w:rsid w:val="00E973C5"/>
    <w:rsid w:val="00E97A70"/>
    <w:rsid w:val="00EA48E5"/>
    <w:rsid w:val="00EE0066"/>
    <w:rsid w:val="00EE5AE9"/>
    <w:rsid w:val="00EE795D"/>
    <w:rsid w:val="00FA3E85"/>
    <w:rsid w:val="00FB5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40"/>
    <w:pPr>
      <w:bidi/>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01025"/>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ACC"/>
    <w:pPr>
      <w:tabs>
        <w:tab w:val="center" w:pos="4680"/>
        <w:tab w:val="right" w:pos="9360"/>
      </w:tabs>
    </w:pPr>
  </w:style>
  <w:style w:type="character" w:customStyle="1" w:styleId="HeaderChar">
    <w:name w:val="Header Char"/>
    <w:basedOn w:val="DefaultParagraphFont"/>
    <w:link w:val="Header"/>
    <w:uiPriority w:val="99"/>
    <w:rsid w:val="00765ACC"/>
  </w:style>
  <w:style w:type="paragraph" w:styleId="Footer">
    <w:name w:val="footer"/>
    <w:basedOn w:val="Normal"/>
    <w:link w:val="FooterChar"/>
    <w:uiPriority w:val="99"/>
    <w:unhideWhenUsed/>
    <w:rsid w:val="00765ACC"/>
    <w:pPr>
      <w:tabs>
        <w:tab w:val="center" w:pos="4680"/>
        <w:tab w:val="right" w:pos="9360"/>
      </w:tabs>
    </w:pPr>
  </w:style>
  <w:style w:type="character" w:customStyle="1" w:styleId="FooterChar">
    <w:name w:val="Footer Char"/>
    <w:basedOn w:val="DefaultParagraphFont"/>
    <w:link w:val="Footer"/>
    <w:uiPriority w:val="99"/>
    <w:rsid w:val="00765ACC"/>
  </w:style>
  <w:style w:type="character" w:styleId="PageNumber">
    <w:name w:val="page number"/>
    <w:basedOn w:val="DefaultParagraphFont"/>
    <w:rsid w:val="00345F40"/>
  </w:style>
  <w:style w:type="character" w:styleId="Strong">
    <w:name w:val="Strong"/>
    <w:basedOn w:val="DefaultParagraphFont"/>
    <w:uiPriority w:val="22"/>
    <w:qFormat/>
    <w:rsid w:val="00C81C75"/>
    <w:rPr>
      <w:b/>
      <w:bCs/>
    </w:rPr>
  </w:style>
  <w:style w:type="paragraph" w:styleId="ListParagraph">
    <w:name w:val="List Paragraph"/>
    <w:basedOn w:val="Normal"/>
    <w:uiPriority w:val="34"/>
    <w:qFormat/>
    <w:rsid w:val="00C81C75"/>
    <w:pPr>
      <w:bidi w:val="0"/>
      <w:ind w:left="720"/>
      <w:contextualSpacing/>
    </w:pPr>
  </w:style>
  <w:style w:type="character" w:customStyle="1" w:styleId="Heading1Char">
    <w:name w:val="Heading 1 Char"/>
    <w:basedOn w:val="DefaultParagraphFont"/>
    <w:link w:val="Heading1"/>
    <w:uiPriority w:val="9"/>
    <w:rsid w:val="00201025"/>
    <w:rPr>
      <w:rFonts w:ascii="Times New Roman" w:eastAsia="Times New Roman" w:hAnsi="Times New Roman" w:cs="Times New Roman"/>
      <w:b/>
      <w:bCs/>
      <w:kern w:val="36"/>
      <w:sz w:val="48"/>
      <w:szCs w:val="48"/>
    </w:rPr>
  </w:style>
  <w:style w:type="character" w:customStyle="1" w:styleId="highwire-citation-author">
    <w:name w:val="highwire-citation-author"/>
    <w:basedOn w:val="DefaultParagraphFont"/>
    <w:rsid w:val="00201025"/>
  </w:style>
  <w:style w:type="character" w:customStyle="1" w:styleId="apple-converted-space">
    <w:name w:val="apple-converted-space"/>
    <w:basedOn w:val="DefaultParagraphFont"/>
    <w:rsid w:val="00201025"/>
  </w:style>
  <w:style w:type="character" w:customStyle="1" w:styleId="highwire-cite-metadata-journal">
    <w:name w:val="highwire-cite-metadata-journal"/>
    <w:basedOn w:val="DefaultParagraphFont"/>
    <w:rsid w:val="00201025"/>
  </w:style>
  <w:style w:type="character" w:customStyle="1" w:styleId="highwire-cite-metadata-date">
    <w:name w:val="highwire-cite-metadata-date"/>
    <w:basedOn w:val="DefaultParagraphFont"/>
    <w:rsid w:val="00201025"/>
  </w:style>
  <w:style w:type="character" w:customStyle="1" w:styleId="highwire-cite-metadata-volume">
    <w:name w:val="highwire-cite-metadata-volume"/>
    <w:basedOn w:val="DefaultParagraphFont"/>
    <w:rsid w:val="00201025"/>
  </w:style>
  <w:style w:type="character" w:customStyle="1" w:styleId="highwire-cite-metadata-pages">
    <w:name w:val="highwire-cite-metadata-pages"/>
    <w:basedOn w:val="DefaultParagraphFont"/>
    <w:rsid w:val="00201025"/>
  </w:style>
  <w:style w:type="paragraph" w:styleId="BalloonText">
    <w:name w:val="Balloon Text"/>
    <w:basedOn w:val="Normal"/>
    <w:link w:val="BalloonTextChar"/>
    <w:uiPriority w:val="99"/>
    <w:semiHidden/>
    <w:unhideWhenUsed/>
    <w:rsid w:val="00A714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44D"/>
    <w:rPr>
      <w:rFonts w:ascii="Segoe UI" w:eastAsia="Times New Roman" w:hAnsi="Segoe UI" w:cs="Segoe UI"/>
      <w:sz w:val="18"/>
      <w:szCs w:val="18"/>
    </w:rPr>
  </w:style>
  <w:style w:type="table" w:styleId="TableGrid">
    <w:name w:val="Table Grid"/>
    <w:basedOn w:val="TableNormal"/>
    <w:uiPriority w:val="59"/>
    <w:rsid w:val="009C6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47A84"/>
  </w:style>
  <w:style w:type="table" w:customStyle="1" w:styleId="MediumGrid3-Accent51">
    <w:name w:val="Medium Grid 3 - Accent 51"/>
    <w:basedOn w:val="TableNormal"/>
    <w:next w:val="MediumGrid3-Accent5"/>
    <w:uiPriority w:val="69"/>
    <w:rsid w:val="00B47A84"/>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5">
    <w:name w:val="Medium Grid 3 Accent 5"/>
    <w:basedOn w:val="TableNormal"/>
    <w:uiPriority w:val="69"/>
    <w:rsid w:val="00B47A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numbering" w:customStyle="1" w:styleId="NoList2">
    <w:name w:val="No List2"/>
    <w:next w:val="NoList"/>
    <w:uiPriority w:val="99"/>
    <w:semiHidden/>
    <w:unhideWhenUsed/>
    <w:rsid w:val="00753C57"/>
  </w:style>
  <w:style w:type="table" w:customStyle="1" w:styleId="MediumGrid3-Accent52">
    <w:name w:val="Medium Grid 3 - Accent 52"/>
    <w:basedOn w:val="TableNormal"/>
    <w:next w:val="MediumGrid3-Accent5"/>
    <w:uiPriority w:val="69"/>
    <w:rsid w:val="00753C57"/>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ref-journal">
    <w:name w:val="ref-journal"/>
    <w:basedOn w:val="DefaultParagraphFont"/>
    <w:rsid w:val="00E973C5"/>
  </w:style>
  <w:style w:type="character" w:customStyle="1" w:styleId="ref-vol">
    <w:name w:val="ref-vol"/>
    <w:basedOn w:val="DefaultParagraphFont"/>
    <w:rsid w:val="00E973C5"/>
  </w:style>
  <w:style w:type="character" w:customStyle="1" w:styleId="citation">
    <w:name w:val="citation"/>
    <w:basedOn w:val="DefaultParagraphFont"/>
    <w:rsid w:val="00E973C5"/>
  </w:style>
  <w:style w:type="character" w:styleId="Hyperlink">
    <w:name w:val="Hyperlink"/>
    <w:basedOn w:val="DefaultParagraphFont"/>
    <w:uiPriority w:val="99"/>
    <w:unhideWhenUsed/>
    <w:rsid w:val="00E973C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40"/>
    <w:pPr>
      <w:bidi/>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01025"/>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ACC"/>
    <w:pPr>
      <w:tabs>
        <w:tab w:val="center" w:pos="4680"/>
        <w:tab w:val="right" w:pos="9360"/>
      </w:tabs>
    </w:pPr>
  </w:style>
  <w:style w:type="character" w:customStyle="1" w:styleId="HeaderChar">
    <w:name w:val="Header Char"/>
    <w:basedOn w:val="DefaultParagraphFont"/>
    <w:link w:val="Header"/>
    <w:uiPriority w:val="99"/>
    <w:rsid w:val="00765ACC"/>
  </w:style>
  <w:style w:type="paragraph" w:styleId="Footer">
    <w:name w:val="footer"/>
    <w:basedOn w:val="Normal"/>
    <w:link w:val="FooterChar"/>
    <w:uiPriority w:val="99"/>
    <w:unhideWhenUsed/>
    <w:rsid w:val="00765ACC"/>
    <w:pPr>
      <w:tabs>
        <w:tab w:val="center" w:pos="4680"/>
        <w:tab w:val="right" w:pos="9360"/>
      </w:tabs>
    </w:pPr>
  </w:style>
  <w:style w:type="character" w:customStyle="1" w:styleId="FooterChar">
    <w:name w:val="Footer Char"/>
    <w:basedOn w:val="DefaultParagraphFont"/>
    <w:link w:val="Footer"/>
    <w:uiPriority w:val="99"/>
    <w:rsid w:val="00765ACC"/>
  </w:style>
  <w:style w:type="character" w:styleId="PageNumber">
    <w:name w:val="page number"/>
    <w:basedOn w:val="DefaultParagraphFont"/>
    <w:rsid w:val="00345F40"/>
  </w:style>
  <w:style w:type="character" w:styleId="Strong">
    <w:name w:val="Strong"/>
    <w:basedOn w:val="DefaultParagraphFont"/>
    <w:uiPriority w:val="22"/>
    <w:qFormat/>
    <w:rsid w:val="00C81C75"/>
    <w:rPr>
      <w:b/>
      <w:bCs/>
    </w:rPr>
  </w:style>
  <w:style w:type="paragraph" w:styleId="ListParagraph">
    <w:name w:val="List Paragraph"/>
    <w:basedOn w:val="Normal"/>
    <w:uiPriority w:val="34"/>
    <w:qFormat/>
    <w:rsid w:val="00C81C75"/>
    <w:pPr>
      <w:bidi w:val="0"/>
      <w:ind w:left="720"/>
      <w:contextualSpacing/>
    </w:pPr>
  </w:style>
  <w:style w:type="character" w:customStyle="1" w:styleId="Heading1Char">
    <w:name w:val="Heading 1 Char"/>
    <w:basedOn w:val="DefaultParagraphFont"/>
    <w:link w:val="Heading1"/>
    <w:uiPriority w:val="9"/>
    <w:rsid w:val="00201025"/>
    <w:rPr>
      <w:rFonts w:ascii="Times New Roman" w:eastAsia="Times New Roman" w:hAnsi="Times New Roman" w:cs="Times New Roman"/>
      <w:b/>
      <w:bCs/>
      <w:kern w:val="36"/>
      <w:sz w:val="48"/>
      <w:szCs w:val="48"/>
    </w:rPr>
  </w:style>
  <w:style w:type="character" w:customStyle="1" w:styleId="highwire-citation-author">
    <w:name w:val="highwire-citation-author"/>
    <w:basedOn w:val="DefaultParagraphFont"/>
    <w:rsid w:val="00201025"/>
  </w:style>
  <w:style w:type="character" w:customStyle="1" w:styleId="apple-converted-space">
    <w:name w:val="apple-converted-space"/>
    <w:basedOn w:val="DefaultParagraphFont"/>
    <w:rsid w:val="00201025"/>
  </w:style>
  <w:style w:type="character" w:customStyle="1" w:styleId="highwire-cite-metadata-journal">
    <w:name w:val="highwire-cite-metadata-journal"/>
    <w:basedOn w:val="DefaultParagraphFont"/>
    <w:rsid w:val="00201025"/>
  </w:style>
  <w:style w:type="character" w:customStyle="1" w:styleId="highwire-cite-metadata-date">
    <w:name w:val="highwire-cite-metadata-date"/>
    <w:basedOn w:val="DefaultParagraphFont"/>
    <w:rsid w:val="00201025"/>
  </w:style>
  <w:style w:type="character" w:customStyle="1" w:styleId="highwire-cite-metadata-volume">
    <w:name w:val="highwire-cite-metadata-volume"/>
    <w:basedOn w:val="DefaultParagraphFont"/>
    <w:rsid w:val="00201025"/>
  </w:style>
  <w:style w:type="character" w:customStyle="1" w:styleId="highwire-cite-metadata-pages">
    <w:name w:val="highwire-cite-metadata-pages"/>
    <w:basedOn w:val="DefaultParagraphFont"/>
    <w:rsid w:val="00201025"/>
  </w:style>
  <w:style w:type="paragraph" w:styleId="BalloonText">
    <w:name w:val="Balloon Text"/>
    <w:basedOn w:val="Normal"/>
    <w:link w:val="BalloonTextChar"/>
    <w:uiPriority w:val="99"/>
    <w:semiHidden/>
    <w:unhideWhenUsed/>
    <w:rsid w:val="00A714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44D"/>
    <w:rPr>
      <w:rFonts w:ascii="Segoe UI" w:eastAsia="Times New Roman" w:hAnsi="Segoe UI" w:cs="Segoe UI"/>
      <w:sz w:val="18"/>
      <w:szCs w:val="18"/>
    </w:rPr>
  </w:style>
  <w:style w:type="table" w:styleId="TableGrid">
    <w:name w:val="Table Grid"/>
    <w:basedOn w:val="TableNormal"/>
    <w:uiPriority w:val="59"/>
    <w:rsid w:val="009C6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47A84"/>
  </w:style>
  <w:style w:type="table" w:customStyle="1" w:styleId="MediumGrid3-Accent51">
    <w:name w:val="Medium Grid 3 - Accent 51"/>
    <w:basedOn w:val="TableNormal"/>
    <w:next w:val="MediumGrid3-Accent5"/>
    <w:uiPriority w:val="69"/>
    <w:rsid w:val="00B47A84"/>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5">
    <w:name w:val="Medium Grid 3 Accent 5"/>
    <w:basedOn w:val="TableNormal"/>
    <w:uiPriority w:val="69"/>
    <w:rsid w:val="00B47A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numbering" w:customStyle="1" w:styleId="NoList2">
    <w:name w:val="No List2"/>
    <w:next w:val="NoList"/>
    <w:uiPriority w:val="99"/>
    <w:semiHidden/>
    <w:unhideWhenUsed/>
    <w:rsid w:val="00753C57"/>
  </w:style>
  <w:style w:type="table" w:customStyle="1" w:styleId="MediumGrid3-Accent52">
    <w:name w:val="Medium Grid 3 - Accent 52"/>
    <w:basedOn w:val="TableNormal"/>
    <w:next w:val="MediumGrid3-Accent5"/>
    <w:uiPriority w:val="69"/>
    <w:rsid w:val="00753C57"/>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ref-journal">
    <w:name w:val="ref-journal"/>
    <w:basedOn w:val="DefaultParagraphFont"/>
    <w:rsid w:val="00E973C5"/>
  </w:style>
  <w:style w:type="character" w:customStyle="1" w:styleId="ref-vol">
    <w:name w:val="ref-vol"/>
    <w:basedOn w:val="DefaultParagraphFont"/>
    <w:rsid w:val="00E973C5"/>
  </w:style>
  <w:style w:type="character" w:customStyle="1" w:styleId="citation">
    <w:name w:val="citation"/>
    <w:basedOn w:val="DefaultParagraphFont"/>
    <w:rsid w:val="00E973C5"/>
  </w:style>
  <w:style w:type="character" w:styleId="Hyperlink">
    <w:name w:val="Hyperlink"/>
    <w:basedOn w:val="DefaultParagraphFont"/>
    <w:uiPriority w:val="99"/>
    <w:unhideWhenUsed/>
    <w:rsid w:val="00E973C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80691060">
      <w:bodyDiv w:val="1"/>
      <w:marLeft w:val="0"/>
      <w:marRight w:val="0"/>
      <w:marTop w:val="0"/>
      <w:marBottom w:val="0"/>
      <w:divBdr>
        <w:top w:val="none" w:sz="0" w:space="0" w:color="auto"/>
        <w:left w:val="none" w:sz="0" w:space="0" w:color="auto"/>
        <w:bottom w:val="none" w:sz="0" w:space="0" w:color="auto"/>
        <w:right w:val="none" w:sz="0" w:space="0" w:color="auto"/>
      </w:divBdr>
      <w:divsChild>
        <w:div w:id="583494505">
          <w:marLeft w:val="0"/>
          <w:marRight w:val="0"/>
          <w:marTop w:val="120"/>
          <w:marBottom w:val="0"/>
          <w:divBdr>
            <w:top w:val="none" w:sz="0" w:space="0" w:color="auto"/>
            <w:left w:val="none" w:sz="0" w:space="0" w:color="auto"/>
            <w:bottom w:val="none" w:sz="0" w:space="0" w:color="auto"/>
            <w:right w:val="none" w:sz="0" w:space="0" w:color="auto"/>
          </w:divBdr>
        </w:div>
        <w:div w:id="8816016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yperlink" Target="https://www.ncbi.nlm.nih.gov/pubmed/?term=Friedrich%20B%5BAuthor%5D&amp;cauthor=true&amp;cauthor_uid=25649802" TargetMode="External"/><Relationship Id="rId26" Type="http://schemas.openxmlformats.org/officeDocument/2006/relationships/hyperlink" Target="http://www.ncbi.nlm.nih.gov/entrez/eutils/elink.fcgi?dbfrom=pubmed&amp;retmode=ref&amp;cmd=prlinks&amp;id=23361485" TargetMode="External"/><Relationship Id="rId3" Type="http://schemas.openxmlformats.org/officeDocument/2006/relationships/settings" Target="settings.xml"/><Relationship Id="rId21" Type="http://schemas.openxmlformats.org/officeDocument/2006/relationships/hyperlink" Target="http://www.uptodate.com/contents/ischemic-stroke-prognosis-in-adults/abstract/33" TargetMode="External"/><Relationship Id="rId34" Type="http://schemas.microsoft.com/office/2007/relationships/stylesWithEffects" Target="stylesWithEffects.xml"/><Relationship Id="rId7" Type="http://schemas.openxmlformats.org/officeDocument/2006/relationships/hyperlink" Target="mailto:Dr.ibrahim.sharaf@gmail.com"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ncbi.nlm.nih.gov/pubmed/?term=Sorond%20F%5Bauth%5D"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www.uptodate.com/contents/ischemic-stroke-prognosis-in-adults/abstract/3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ncbi.nlm.nih.gov/pubmed/?term=Purkayastha%20S%5Bauth%5D"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uptodate.com/contents/ischemic-stroke-prognosis-in-adults/abstract/38"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uptodate.com/contents/ischemic-stroke-prognosis-in-adults/contributors" TargetMode="External"/><Relationship Id="rId4" Type="http://schemas.openxmlformats.org/officeDocument/2006/relationships/webSettings" Target="webSettings.xml"/><Relationship Id="rId9" Type="http://schemas.openxmlformats.org/officeDocument/2006/relationships/hyperlink" Target="http://www.dx.doi.org/10.7537/marsnys100717.08" TargetMode="External"/><Relationship Id="rId14" Type="http://schemas.openxmlformats.org/officeDocument/2006/relationships/header" Target="header3.xml"/><Relationship Id="rId22" Type="http://schemas.openxmlformats.org/officeDocument/2006/relationships/hyperlink" Target="http://www.uptodate.com/contents/ischemic-stroke-prognosis-in-adults/abstract/37" TargetMode="External"/><Relationship Id="rId27" Type="http://schemas.openxmlformats.org/officeDocument/2006/relationships/hyperlink" Target="https://www.ncbi.nlm.nih.gov/pubmed/2564980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5330</Words>
  <Characters>30385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hamada</dc:creator>
  <cp:lastModifiedBy>Administrator</cp:lastModifiedBy>
  <cp:revision>3</cp:revision>
  <cp:lastPrinted>2016-10-31T08:45:00Z</cp:lastPrinted>
  <dcterms:created xsi:type="dcterms:W3CDTF">2017-06-03T03:05:00Z</dcterms:created>
  <dcterms:modified xsi:type="dcterms:W3CDTF">2017-06-03T04:30:00Z</dcterms:modified>
</cp:coreProperties>
</file>