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D9" w:rsidRPr="0074182F" w:rsidRDefault="003D69E5" w:rsidP="0063722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</w:rPr>
        <w:t xml:space="preserve">The effect of systemic </w:t>
      </w:r>
      <w:proofErr w:type="spellStart"/>
      <w:r w:rsidRPr="0074182F">
        <w:rPr>
          <w:rFonts w:ascii="Times New Roman" w:hAnsi="Times New Roman" w:cs="Times New Roman"/>
          <w:b/>
          <w:bCs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b/>
          <w:bCs/>
          <w:sz w:val="20"/>
          <w:szCs w:val="20"/>
        </w:rPr>
        <w:t xml:space="preserve"> dose on dry eye parameters in patients treated from acne vulgaris</w:t>
      </w:r>
    </w:p>
    <w:p w:rsidR="00B7011A" w:rsidRPr="0074182F" w:rsidRDefault="00B7011A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5710" w:rsidRPr="0074182F" w:rsidRDefault="009D5710" w:rsidP="005E2FA4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Talal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A.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Abd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El-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Raheem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M.D.</w:t>
      </w:r>
      <w:r w:rsidRPr="0074182F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Marwa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Nassar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M.D.</w:t>
      </w:r>
      <w:r w:rsidRPr="0074182F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, O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mar M.</w:t>
      </w:r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Sayed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M.D.</w:t>
      </w:r>
      <w:r w:rsidRPr="0074182F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Safaa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S. Gouda,</w:t>
      </w:r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M.B.B.Ch </w:t>
      </w:r>
      <w:r w:rsidR="005E2FA4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</w:p>
    <w:p w:rsidR="0063722A" w:rsidRPr="0074182F" w:rsidRDefault="0063722A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 w:bidi="ar-EG"/>
        </w:rPr>
      </w:pPr>
    </w:p>
    <w:p w:rsidR="009D5710" w:rsidRPr="0074182F" w:rsidRDefault="009D5710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1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Dermatology Department, Faculty of Medicine,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Fayoum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University, Egypt</w:t>
      </w:r>
    </w:p>
    <w:p w:rsidR="009D5710" w:rsidRPr="0074182F" w:rsidRDefault="009D5710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vertAlign w:val="superscript"/>
          <w:lang w:bidi="ar-EG"/>
        </w:rPr>
        <w:t>2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Ophthalmology Department, Faculty of Medicine,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Fayoum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University, Egypt</w:t>
      </w:r>
    </w:p>
    <w:p w:rsidR="002A7101" w:rsidRPr="0074182F" w:rsidRDefault="00DD4E3F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hyperlink r:id="rId8" w:history="1">
        <w:r w:rsidR="002A7101" w:rsidRPr="0074182F">
          <w:rPr>
            <w:rStyle w:val="Hyperlink"/>
            <w:rFonts w:ascii="Times New Roman" w:hAnsi="Times New Roman" w:cs="Times New Roman"/>
            <w:sz w:val="20"/>
            <w:szCs w:val="20"/>
          </w:rPr>
          <w:t>diabmmm@yahoo.com</w:t>
        </w:r>
      </w:hyperlink>
    </w:p>
    <w:p w:rsidR="005716F2" w:rsidRPr="0074182F" w:rsidRDefault="005716F2" w:rsidP="0063722A">
      <w:pPr>
        <w:bidi w:val="0"/>
        <w:snapToGrid w:val="0"/>
        <w:spacing w:after="0" w:line="240" w:lineRule="auto"/>
        <w:ind w:left="425" w:right="425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5716F2" w:rsidRPr="0074182F" w:rsidRDefault="00D253FC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Abstract</w:t>
      </w:r>
      <w:r w:rsidR="00A74562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  <w:r w:rsidR="0020666F" w:rsidRPr="0074182F">
        <w:rPr>
          <w:rFonts w:ascii="Times New Roman" w:hAnsi="Times New Roman" w:cs="Times New Roman" w:hint="eastAsia"/>
          <w:b/>
          <w:bCs/>
          <w:sz w:val="20"/>
          <w:szCs w:val="20"/>
          <w:lang w:eastAsia="zh-CN" w:bidi="ar-EG"/>
        </w:rPr>
        <w:t xml:space="preserve"> </w:t>
      </w:r>
      <w:r w:rsidR="001A3BB5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Purpose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: To</w:t>
      </w:r>
      <w:r w:rsidR="0020666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assess the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effect of systemic </w:t>
      </w:r>
      <w:proofErr w:type="spellStart"/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dose on dry eye parameters in patients treated from acne vulgaris. </w:t>
      </w: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Patient and Methods: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Forty patients with different types of acne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vulgaris treated with a dose 0.5mg/kg/day or 1mg/kg/day according to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severity and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response to treatment for six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months. Ophthalmological assessment was done before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treatment, 3 months and 6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months of treatment, and this included: tear break uptime,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test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corneal fluorescein </w:t>
      </w:r>
      <w:r w:rsidR="001A3BB5" w:rsidRPr="0074182F">
        <w:rPr>
          <w:rFonts w:ascii="Times New Roman" w:hAnsi="Times New Roman" w:cs="Times New Roman"/>
          <w:sz w:val="20"/>
          <w:szCs w:val="20"/>
          <w:lang w:bidi="ar-EG"/>
        </w:rPr>
        <w:t>staining.</w:t>
      </w:r>
      <w:r w:rsidR="001A3BB5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Results</w:t>
      </w: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Our study </w:t>
      </w:r>
      <w:r w:rsidR="001A3BB5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revealed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statistically significant affection of dry eye parameters (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pvalue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&lt;0.05).</w:t>
      </w:r>
      <w:r w:rsidR="0020666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Conclusion: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There is a strong association between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therapy</w:t>
      </w:r>
      <w:r w:rsidR="0020666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and the development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of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obvious ocular side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effects in the form of dry eye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disease that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can be controlled with careful follow up, but still safe with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minimal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difference in side effects between high and low </w:t>
      </w:r>
      <w:r w:rsidR="001A3BB5" w:rsidRPr="0074182F">
        <w:rPr>
          <w:rFonts w:ascii="Times New Roman" w:hAnsi="Times New Roman" w:cs="Times New Roman"/>
          <w:sz w:val="20"/>
          <w:szCs w:val="20"/>
          <w:lang w:bidi="ar-EG"/>
        </w:rPr>
        <w:t>doses.</w:t>
      </w:r>
    </w:p>
    <w:p w:rsidR="007F38C9" w:rsidRPr="0074182F" w:rsidRDefault="0063722A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  <w:r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>[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Talal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A. 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Abd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El-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Raheem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Marwa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Nassar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Omar M. 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Sayed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>Safaa</w:t>
      </w:r>
      <w:proofErr w:type="spellEnd"/>
      <w:r w:rsidR="00B7011A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S. Gouda</w:t>
      </w:r>
      <w:r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. </w:t>
      </w:r>
      <w:r w:rsidR="00B7011A" w:rsidRPr="0074182F">
        <w:rPr>
          <w:rFonts w:ascii="Times New Roman" w:hAnsi="Times New Roman" w:cs="Times New Roman"/>
          <w:b/>
          <w:bCs/>
          <w:sz w:val="20"/>
          <w:szCs w:val="20"/>
        </w:rPr>
        <w:t xml:space="preserve">The effect of systemic </w:t>
      </w:r>
      <w:proofErr w:type="spellStart"/>
      <w:r w:rsidR="00B7011A" w:rsidRPr="0074182F">
        <w:rPr>
          <w:rFonts w:ascii="Times New Roman" w:hAnsi="Times New Roman" w:cs="Times New Roman"/>
          <w:b/>
          <w:bCs/>
          <w:sz w:val="20"/>
          <w:szCs w:val="20"/>
        </w:rPr>
        <w:t>isotretinoin</w:t>
      </w:r>
      <w:proofErr w:type="spellEnd"/>
      <w:r w:rsidR="00B7011A" w:rsidRPr="0074182F">
        <w:rPr>
          <w:rFonts w:ascii="Times New Roman" w:hAnsi="Times New Roman" w:cs="Times New Roman"/>
          <w:b/>
          <w:bCs/>
          <w:sz w:val="20"/>
          <w:szCs w:val="20"/>
        </w:rPr>
        <w:t xml:space="preserve"> dose on dry eye parameters in patients treated from acne vulgaris</w:t>
      </w:r>
      <w:r w:rsidR="007F38C9" w:rsidRPr="0074182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7F38C9" w:rsidRPr="0074182F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7F38C9" w:rsidRPr="0074182F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7F38C9" w:rsidRPr="0074182F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7F38C9" w:rsidRPr="007418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F38C9" w:rsidRPr="0074182F">
        <w:rPr>
          <w:rFonts w:ascii="Times New Roman" w:hAnsi="Times New Roman" w:cs="Times New Roman"/>
          <w:sz w:val="20"/>
          <w:szCs w:val="20"/>
        </w:rPr>
        <w:t>201</w:t>
      </w:r>
      <w:r w:rsidR="007F38C9" w:rsidRPr="0074182F">
        <w:rPr>
          <w:rFonts w:ascii="Times New Roman" w:hAnsi="Times New Roman" w:cs="Times New Roman" w:hint="eastAsia"/>
          <w:sz w:val="20"/>
          <w:szCs w:val="20"/>
        </w:rPr>
        <w:t>7</w:t>
      </w:r>
      <w:r w:rsidR="007F38C9" w:rsidRPr="0074182F">
        <w:rPr>
          <w:rFonts w:ascii="Times New Roman" w:hAnsi="Times New Roman" w:cs="Times New Roman"/>
          <w:sz w:val="20"/>
          <w:szCs w:val="20"/>
        </w:rPr>
        <w:t>;</w:t>
      </w:r>
      <w:r w:rsidR="007F38C9" w:rsidRPr="0074182F">
        <w:rPr>
          <w:rFonts w:ascii="Times New Roman" w:hAnsi="Times New Roman" w:cs="Times New Roman" w:hint="eastAsia"/>
          <w:sz w:val="20"/>
          <w:szCs w:val="20"/>
        </w:rPr>
        <w:t>10</w:t>
      </w:r>
      <w:r w:rsidR="007F38C9" w:rsidRPr="0074182F">
        <w:rPr>
          <w:rFonts w:ascii="Times New Roman" w:hAnsi="Times New Roman" w:cs="Times New Roman"/>
          <w:sz w:val="20"/>
          <w:szCs w:val="20"/>
        </w:rPr>
        <w:t>(</w:t>
      </w:r>
      <w:r w:rsidR="007F38C9" w:rsidRPr="0074182F">
        <w:rPr>
          <w:rFonts w:ascii="Times New Roman" w:hAnsi="Times New Roman" w:cs="Times New Roman" w:hint="eastAsia"/>
          <w:sz w:val="20"/>
          <w:szCs w:val="20"/>
        </w:rPr>
        <w:t>8</w:t>
      </w:r>
      <w:r w:rsidR="007F38C9" w:rsidRPr="0074182F">
        <w:rPr>
          <w:rFonts w:ascii="Times New Roman" w:hAnsi="Times New Roman" w:cs="Times New Roman"/>
          <w:sz w:val="20"/>
          <w:szCs w:val="20"/>
        </w:rPr>
        <w:t>):</w:t>
      </w:r>
      <w:r w:rsidR="00F916D7" w:rsidRPr="0074182F">
        <w:rPr>
          <w:rFonts w:ascii="Times New Roman" w:hAnsi="Times New Roman" w:cs="Times New Roman"/>
          <w:noProof/>
          <w:color w:val="000000"/>
          <w:sz w:val="20"/>
          <w:szCs w:val="20"/>
        </w:rPr>
        <w:t>12-14</w:t>
      </w:r>
      <w:r w:rsidR="007F38C9" w:rsidRPr="0074182F">
        <w:rPr>
          <w:rFonts w:ascii="Times New Roman" w:hAnsi="Times New Roman" w:cs="Times New Roman"/>
          <w:sz w:val="20"/>
          <w:szCs w:val="20"/>
        </w:rPr>
        <w:t xml:space="preserve">]. </w:t>
      </w:r>
      <w:r w:rsidR="007F38C9" w:rsidRPr="0074182F">
        <w:rPr>
          <w:rFonts w:ascii="Times New Roman" w:hAnsi="Times New Roman" w:cs="Times New Roman"/>
          <w:iCs/>
          <w:color w:val="000000"/>
          <w:sz w:val="20"/>
          <w:szCs w:val="20"/>
        </w:rPr>
        <w:t>ISSN 1554-0200 (print); ISSN 2375-723X (online)</w:t>
      </w:r>
      <w:r w:rsidR="007F38C9" w:rsidRPr="0074182F">
        <w:rPr>
          <w:rFonts w:ascii="Times New Roman" w:hAnsi="Times New Roman" w:cs="Times New Roman"/>
          <w:sz w:val="20"/>
          <w:szCs w:val="20"/>
        </w:rPr>
        <w:t xml:space="preserve">. </w:t>
      </w:r>
      <w:hyperlink r:id="rId9" w:history="1">
        <w:r w:rsidR="007F38C9" w:rsidRPr="0074182F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="007F38C9" w:rsidRPr="0074182F">
        <w:rPr>
          <w:rFonts w:ascii="Times New Roman" w:hAnsi="Times New Roman" w:cs="Times New Roman"/>
          <w:sz w:val="20"/>
          <w:szCs w:val="20"/>
        </w:rPr>
        <w:t xml:space="preserve">. </w:t>
      </w:r>
      <w:r w:rsidRPr="0074182F">
        <w:rPr>
          <w:rFonts w:ascii="Times New Roman" w:hAnsi="Times New Roman" w:cs="Times New Roman" w:hint="eastAsia"/>
          <w:sz w:val="20"/>
          <w:szCs w:val="20"/>
          <w:lang w:eastAsia="zh-CN"/>
        </w:rPr>
        <w:t>2</w:t>
      </w:r>
      <w:r w:rsidR="007F38C9" w:rsidRPr="0074182F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="007F38C9" w:rsidRPr="00741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7F38C9" w:rsidRPr="0074182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7F38C9" w:rsidRPr="0074182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nys100817.</w:t>
        </w:r>
        <w:r w:rsidR="007F38C9" w:rsidRPr="0074182F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74182F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2</w:t>
        </w:r>
      </w:hyperlink>
      <w:r w:rsidR="007F38C9" w:rsidRPr="007418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3722A" w:rsidRPr="0074182F" w:rsidRDefault="0063722A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253FC" w:rsidRPr="0074182F" w:rsidRDefault="001A3BB5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Keywords</w:t>
      </w:r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>: Acne vulgaris</w:t>
      </w:r>
      <w:r w:rsidR="00753B0B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; </w:t>
      </w:r>
      <w:proofErr w:type="spellStart"/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753B0B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; </w:t>
      </w:r>
      <w:r w:rsidR="00FC0C9C" w:rsidRPr="0074182F">
        <w:rPr>
          <w:rFonts w:ascii="Times New Roman" w:hAnsi="Times New Roman" w:cs="Times New Roman"/>
          <w:sz w:val="20"/>
          <w:szCs w:val="20"/>
          <w:lang w:bidi="ar-EG"/>
        </w:rPr>
        <w:t>dry eye</w:t>
      </w:r>
    </w:p>
    <w:p w:rsidR="00393AD1" w:rsidRPr="0074182F" w:rsidRDefault="00393AD1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393AD1" w:rsidRPr="0074182F" w:rsidRDefault="00393AD1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  <w:sectPr w:rsidR="00393AD1" w:rsidRPr="0074182F" w:rsidSect="00F916D7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12"/>
          <w:cols w:space="708"/>
          <w:bidi/>
          <w:docGrid w:linePitch="360"/>
        </w:sectPr>
      </w:pPr>
    </w:p>
    <w:p w:rsidR="003D69E5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 xml:space="preserve">1. </w:t>
      </w:r>
      <w:r w:rsidR="003D69E5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Introduction</w:t>
      </w:r>
    </w:p>
    <w:p w:rsidR="00473B78" w:rsidRPr="0074182F" w:rsidRDefault="003D69E5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Acne vulgaris is one of the most common disorders for which patients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seek dermatologic care</w:t>
      </w:r>
      <w:r w:rsidR="00CF25E8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473B78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Acne is a chronic inflammatory disease of </w:t>
      </w:r>
      <w:proofErr w:type="spellStart"/>
      <w:r w:rsidR="00473B78" w:rsidRPr="0074182F">
        <w:rPr>
          <w:rFonts w:ascii="Times New Roman" w:hAnsi="Times New Roman" w:cs="Times New Roman"/>
          <w:sz w:val="20"/>
          <w:szCs w:val="20"/>
          <w:lang w:bidi="ar-EG"/>
        </w:rPr>
        <w:t>pilosebaceous</w:t>
      </w:r>
      <w:proofErr w:type="spellEnd"/>
      <w:r w:rsidR="00473B78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unit, clinically characterized by come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="00473B78" w:rsidRPr="0074182F">
        <w:rPr>
          <w:rFonts w:ascii="Times New Roman" w:hAnsi="Times New Roman" w:cs="Times New Roman"/>
          <w:sz w:val="20"/>
          <w:szCs w:val="20"/>
          <w:lang w:bidi="ar-EG"/>
        </w:rPr>
        <w:t>dones</w:t>
      </w:r>
      <w:proofErr w:type="spellEnd"/>
      <w:r w:rsidR="00473B78" w:rsidRPr="0074182F">
        <w:rPr>
          <w:rFonts w:ascii="Times New Roman" w:hAnsi="Times New Roman" w:cs="Times New Roman"/>
          <w:sz w:val="20"/>
          <w:szCs w:val="20"/>
          <w:lang w:bidi="ar-EG"/>
        </w:rPr>
        <w:t>, papules, pustules, nodules, cysts and in some cases scarring. It is the most common dermatological disorder affecting approximately 85% of individuals between 12- 24 year of ag</w:t>
      </w:r>
      <w:r w:rsidR="00393AD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e </w:t>
      </w:r>
      <w:r w:rsidR="00393AD1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473B78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Thiboutot</w:t>
      </w:r>
      <w:proofErr w:type="spellEnd"/>
      <w:r w:rsidR="00473B78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and Strauss, 2003)</w:t>
      </w:r>
      <w:r w:rsidR="00473B78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.</w:t>
      </w:r>
    </w:p>
    <w:p w:rsidR="003D69E5" w:rsidRPr="0074182F" w:rsidRDefault="003D69E5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Oral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retinoids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(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) are the most effective drugs available for severe acne and many disorders of cornification </w:t>
      </w:r>
      <w:r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Thielenan</w:t>
      </w:r>
      <w:r w:rsidR="00DC4347"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d</w:t>
      </w:r>
      <w:proofErr w:type="spellEnd"/>
      <w:r w:rsidR="00DC4347"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</w:t>
      </w:r>
      <w:proofErr w:type="spellStart"/>
      <w:r w:rsidR="00DC4347"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S</w:t>
      </w:r>
      <w:r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aurat</w:t>
      </w:r>
      <w:proofErr w:type="spellEnd"/>
      <w:r w:rsidRPr="00D038F7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, 2012</w:t>
      </w:r>
      <w:r w:rsidRPr="0074182F">
        <w:rPr>
          <w:rFonts w:ascii="Times New Roman" w:hAnsi="Times New Roman" w:cs="Times New Roman"/>
          <w:i/>
          <w:iCs/>
          <w:sz w:val="20"/>
          <w:szCs w:val="20"/>
          <w:lang w:bidi="ar-EG"/>
        </w:rPr>
        <w:t>)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I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sotretinoin</w:t>
      </w:r>
      <w:proofErr w:type="spellEnd"/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(13-cis </w:t>
      </w:r>
      <w:proofErr w:type="spellStart"/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retinoicacid</w:t>
      </w:r>
      <w:proofErr w:type="spellEnd"/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) has been approved by the Food an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d D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rug Administration (FDA) for the treatment of cystic and nodular acne, which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is not responsive to other forms of treatmen</w:t>
      </w:r>
      <w:r w:rsidR="00393AD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 </w:t>
      </w:r>
      <w:r w:rsidR="00393AD1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525F3F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Yuksel</w:t>
      </w:r>
      <w:proofErr w:type="spellEnd"/>
      <w:r w:rsidR="00525F3F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2015)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etinoids</w:t>
      </w:r>
      <w:proofErr w:type="spellEnd"/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exert their effect through cell proliferation, lipid synthesis and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>keratin expression. It suppresses sebum production up to 90% by inhibiting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525F3F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sebaceous lipid synthesis </w:t>
      </w:r>
      <w:r w:rsidR="00525F3F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525F3F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Zouboulis</w:t>
      </w:r>
      <w:proofErr w:type="spellEnd"/>
      <w:r w:rsidR="00525F3F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and Orfanos, 2000).</w:t>
      </w:r>
    </w:p>
    <w:p w:rsidR="00DC4347" w:rsidRPr="0074182F" w:rsidRDefault="00473B78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The usually prescribed dosage of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starts with 0.5 to 1 mg/kg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daily, divided in two doses. After 1 month of treatment with oral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the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dosage should be adjusted according to clinical response and level of tolerance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to the treatment. The usual duration of treatment varies between 15 and 20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weeks, with a total cumulative treatment dose of 120 to 150 mg/kg </w:t>
      </w: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Rigopoulos</w:t>
      </w:r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al., 2010)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. 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L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ower doses yield a favorable side effect profile, improve patient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compliance, and a lower cost. However, high relapse rates are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associated with a lower daily dose, </w:t>
      </w:r>
      <w:r w:rsidR="007D588E" w:rsidRPr="0074182F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with a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lastRenderedPageBreak/>
        <w:t>lower cumulative total dos</w:t>
      </w:r>
      <w:r w:rsidR="00393AD1" w:rsidRPr="0074182F">
        <w:rPr>
          <w:rFonts w:ascii="Times New Roman" w:hAnsi="Times New Roman" w:cs="Times New Roman"/>
          <w:sz w:val="20"/>
          <w:szCs w:val="20"/>
          <w:lang w:bidi="ar-EG"/>
        </w:rPr>
        <w:t>e 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Brelsford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and 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Beute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, 2008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).</w:t>
      </w:r>
    </w:p>
    <w:p w:rsidR="00525F3F" w:rsidRPr="0074182F" w:rsidRDefault="00525F3F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It is a far safer compound but s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ometimes can cause serious side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effects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. 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ome of the most common ones are dryness of skin, lips, mouth and nasal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mucosa. Other side effects are facial or body rash, itching, epistaxis,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cheilitis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bleeding and inflammation of gums, easily injured skin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and increased fatigue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, d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epression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eratogenic</w:t>
      </w:r>
      <w:proofErr w:type="spellEnd"/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potential necessitates cautious use in females of child bearing age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Amichai</w:t>
      </w:r>
      <w:proofErr w:type="spellEnd"/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</w:t>
      </w:r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al., 2006).</w:t>
      </w:r>
    </w:p>
    <w:p w:rsidR="002D4DE1" w:rsidRPr="0074182F" w:rsidRDefault="00525F3F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Ocular adverse effects associated with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use have been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reported, resulting mostly from changes to the eyelids and the surface of the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cornea or lacrimal abnormality that leads to dry eye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Neudorfer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2012)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B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lepharoconjunctivitis</w:t>
      </w:r>
      <w:proofErr w:type="spellEnd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and dry eye symptoms are the most common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and occur in 20%–50% of the patients usually at the third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to fifth weeks of therapy. </w:t>
      </w:r>
      <w:proofErr w:type="spellStart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Meibomianitis</w:t>
      </w:r>
      <w:proofErr w:type="spellEnd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, contact lens intolerance, blurred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vision, </w:t>
      </w:r>
      <w:proofErr w:type="spellStart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photodermatitis</w:t>
      </w:r>
      <w:proofErr w:type="spellEnd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of the eyelids, corneal opacities, papilledema, and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pseudo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>-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tumor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>cerebri</w:t>
      </w:r>
      <w:proofErr w:type="spellEnd"/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were</w:t>
      </w:r>
      <w:r w:rsidR="002D4DE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reported </w:t>
      </w:r>
      <w:r w:rsidR="002D4DE1" w:rsidRPr="0074182F">
        <w:rPr>
          <w:rFonts w:ascii="Times New Roman" w:hAnsi="Times New Roman" w:cs="Times New Roman"/>
          <w:i/>
          <w:iCs/>
          <w:sz w:val="20"/>
          <w:szCs w:val="20"/>
          <w:lang w:bidi="ar-EG"/>
        </w:rPr>
        <w:t>(</w:t>
      </w:r>
      <w:proofErr w:type="spellStart"/>
      <w:r w:rsidR="002D4DE1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Cumurcu</w:t>
      </w:r>
      <w:proofErr w:type="spellEnd"/>
      <w:r w:rsidR="002D4DE1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2009</w:t>
      </w:r>
      <w:r w:rsidR="002D4DE1" w:rsidRPr="0074182F">
        <w:rPr>
          <w:rFonts w:ascii="Times New Roman" w:hAnsi="Times New Roman" w:cs="Times New Roman"/>
          <w:i/>
          <w:iCs/>
          <w:sz w:val="20"/>
          <w:szCs w:val="20"/>
          <w:lang w:bidi="ar-EG"/>
        </w:rPr>
        <w:t>).</w:t>
      </w:r>
    </w:p>
    <w:p w:rsidR="000769B3" w:rsidRPr="0074182F" w:rsidRDefault="000769B3" w:rsidP="00D038F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The tear film is dynamic and synergistic with the cornea and conjunctiva</w:t>
      </w:r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The lipid layer is the external one, and it is produced by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Meibomian</w:t>
      </w:r>
      <w:proofErr w:type="spellEnd"/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glands. Its function is to delay the evaporation of the lacrimal film. The </w:t>
      </w:r>
      <w:r w:rsidR="0074182F" w:rsidRPr="0074182F">
        <w:rPr>
          <w:rFonts w:ascii="Times New Roman" w:hAnsi="Times New Roman" w:cs="Times New Roman"/>
          <w:sz w:val="20"/>
          <w:szCs w:val="20"/>
          <w:lang w:bidi="ar-EG"/>
        </w:rPr>
        <w:t>aqueous</w:t>
      </w:r>
      <w:r w:rsidR="00D038F7">
        <w:rPr>
          <w:rFonts w:ascii="Times New Roman" w:hAnsi="Times New Roman" w:cs="Times New Roman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layer is the major one. It is produced by the lacrimal glands and has high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aqueous content. 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Valim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2015)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eibomian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Gland Dysfunction result in alteration of the tear film, symptoms of eye irritation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, c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linically apparent inflammati</w:t>
      </w:r>
      <w:r w:rsidR="006E504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on, and ocular surface disease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Foulks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2003).</w:t>
      </w:r>
    </w:p>
    <w:p w:rsidR="005F6A93" w:rsidRPr="0074182F" w:rsidRDefault="006E504E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Because there are similarities between the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meibomian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gland in the eye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and the sebaceous glands in the skin, it has been suggested that </w:t>
      </w:r>
      <w:proofErr w:type="spellStart"/>
      <w:r w:rsidR="00022601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0226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might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adversely affect the function of the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meibomian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glands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Karalezli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</w:t>
      </w:r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2009)</w:t>
      </w:r>
      <w:r w:rsidR="00DC4347" w:rsidRPr="0074182F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. 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K</w:t>
      </w:r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eratitis, corneal opacity, corneal ulceration, and </w:t>
      </w:r>
      <w:proofErr w:type="spellStart"/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>keratoconus</w:t>
      </w:r>
      <w:proofErr w:type="spellEnd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>his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occurs due to affection of the </w:t>
      </w:r>
      <w:proofErr w:type="spellStart"/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>precorneal</w:t>
      </w:r>
      <w:proofErr w:type="spellEnd"/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tear film that plays an important role in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7E5D7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corneal stability and integrity </w:t>
      </w:r>
      <w:r w:rsidR="007E5D7B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</w:t>
      </w:r>
      <w:proofErr w:type="spellStart"/>
      <w:r w:rsidR="007E5D7B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Fraunfelder</w:t>
      </w:r>
      <w:proofErr w:type="spellEnd"/>
      <w:r w:rsidR="007E5D7B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, 2004).</w:t>
      </w:r>
    </w:p>
    <w:p w:rsidR="005716F2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7E5D7B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2. </w:t>
      </w:r>
      <w:r w:rsidR="007E5D7B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Patients and methods</w:t>
      </w:r>
      <w:r w:rsidR="001A3BB5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:</w:t>
      </w:r>
    </w:p>
    <w:p w:rsidR="002A1D01" w:rsidRPr="0074182F" w:rsidRDefault="007E5D7B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Full history was taken including age, sex, occupation, and family history of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same disease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F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ull examination to determine type of acne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A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djustment </w:t>
      </w:r>
      <w:r w:rsidR="001A3BB5" w:rsidRPr="0074182F">
        <w:rPr>
          <w:rFonts w:ascii="Times New Roman" w:hAnsi="Times New Roman" w:cs="Times New Roman"/>
          <w:sz w:val="20"/>
          <w:szCs w:val="20"/>
          <w:lang w:bidi="ar-EG"/>
        </w:rPr>
        <w:t>of dose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of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according to severity of acne and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body weight of the patient. Patients with severe acne vulgaris or acne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conglobate were treated with a dose 1mg/kg/day. Patients with moderate acne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vulgaris were treated with a dose 0.5mg/kg/day or 1mg/kg/day according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to response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to treatment.</w:t>
      </w:r>
    </w:p>
    <w:p w:rsidR="002A1D01" w:rsidRPr="0074182F" w:rsidRDefault="008429CB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</w:rPr>
        <w:t>We e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xcluded patients with Pregnancy and lactation, Patients with systemic hypertension, coronary artery disease,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familial hyperlipidemia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diabetes mellitus, renal or hepatic functional disorders,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severe osteoporosis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or severe pulmonary, gastrointestinal, or hematologic problems.</w:t>
      </w:r>
    </w:p>
    <w:p w:rsidR="007E5D7B" w:rsidRPr="0074182F" w:rsidRDefault="007E5D7B" w:rsidP="00D038F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A complete bilateral ophthalmologic examination was performed by the same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ophthalmologist before the onset of treatment, at 3 months and 6 months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of treatment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he examination included, external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eye examination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corneal fluorescein staining, </w:t>
      </w:r>
      <w:proofErr w:type="spellStart"/>
      <w:r w:rsidR="00D038F7">
        <w:rPr>
          <w:rFonts w:ascii="Times New Roman" w:hAnsi="Times New Roman" w:cs="Times New Roman"/>
          <w:sz w:val="20"/>
          <w:szCs w:val="20"/>
          <w:lang w:bidi="ar-EG"/>
        </w:rPr>
        <w:t>Schir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mer</w:t>
      </w:r>
      <w:proofErr w:type="spellEnd"/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test 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drop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of topical anesthetic agen</w:t>
      </w:r>
      <w:r w:rsidR="00393AD1" w:rsidRPr="0074182F">
        <w:rPr>
          <w:rFonts w:ascii="Times New Roman" w:hAnsi="Times New Roman" w:cs="Times New Roman"/>
          <w:sz w:val="20"/>
          <w:szCs w:val="20"/>
          <w:lang w:bidi="ar-EG"/>
        </w:rPr>
        <w:t>t (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0.4% </w:t>
      </w:r>
      <w:proofErr w:type="spellStart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benoxinate</w:t>
      </w:r>
      <w:proofErr w:type="spellEnd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hydrochloride) was instilled into the inferior fornix of the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right eye and excess moisture on the eyelid margin was dried with a cotton tip</w:t>
      </w:r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applicator. A </w:t>
      </w:r>
      <w:proofErr w:type="spellStart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test strip (</w:t>
      </w:r>
      <w:proofErr w:type="spellStart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Sno</w:t>
      </w:r>
      <w:proofErr w:type="spellEnd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strips, Chauvin Pharmaceuticals Ltd.) was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placed at the </w:t>
      </w:r>
      <w:proofErr w:type="spellStart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inferotemporal</w:t>
      </w:r>
      <w:proofErr w:type="spellEnd"/>
      <w:r w:rsidR="00D038F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conjunctival</w:t>
      </w:r>
      <w:proofErr w:type="spellEnd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fornix.</w:t>
      </w:r>
      <w:r w:rsidR="00E72B93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After 5</w:t>
      </w:r>
      <w:r w:rsidR="00E72B9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minutes the amount of wetting was measured in millimeters and recorded as the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basal secretion. Wetness extending less than 10 mm on the test paper in 5</w:t>
      </w:r>
      <w:r w:rsidR="0073577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bookmarkStart w:id="0" w:name="_GoBack"/>
      <w:bookmarkEnd w:id="0"/>
      <w:r w:rsidR="002A1D01" w:rsidRPr="0074182F">
        <w:rPr>
          <w:rFonts w:ascii="Times New Roman" w:hAnsi="Times New Roman" w:cs="Times New Roman"/>
          <w:sz w:val="20"/>
          <w:szCs w:val="20"/>
          <w:lang w:bidi="ar-EG"/>
        </w:rPr>
        <w:t>minutes was regarded as abnormal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ear film break-up time (BUT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) w</w:t>
      </w:r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>ith 0.125% fluorescein solution absorbed strip</w:t>
      </w:r>
      <w:r w:rsidR="00393AD1" w:rsidRPr="0074182F">
        <w:rPr>
          <w:rFonts w:ascii="Times New Roman" w:hAnsi="Times New Roman" w:cs="Times New Roman"/>
          <w:sz w:val="20"/>
          <w:szCs w:val="20"/>
          <w:lang w:bidi="ar-EG"/>
        </w:rPr>
        <w:t>s (</w:t>
      </w:r>
      <w:proofErr w:type="spellStart"/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>Fluo</w:t>
      </w:r>
      <w:proofErr w:type="spellEnd"/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strip, India) applied to the lower </w:t>
      </w:r>
      <w:proofErr w:type="spellStart"/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>conjunctival</w:t>
      </w:r>
      <w:proofErr w:type="spellEnd"/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fornix and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thereafter observing</w:t>
      </w:r>
      <w:r w:rsidR="008429CB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the tear film using the cobalt blue filter of the slit lamp. All values of 10seconds or less were considered abnormal.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Patients were examined monthly for evaluation of treatment response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, e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valuation of ocular, cutaneous, systemic side effects, and management of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them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D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uring the treatment and follow-up periods</w:t>
      </w:r>
      <w:r w:rsidR="00022601" w:rsidRPr="0074182F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5716F2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4F35FE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3. </w:t>
      </w:r>
      <w:r w:rsidR="004F35FE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Results:</w:t>
      </w:r>
    </w:p>
    <w:p w:rsidR="004F35FE" w:rsidRPr="0074182F" w:rsidRDefault="004238D4" w:rsidP="00E72B9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Forty two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patients were diagnosed with acne vulgaris, treated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with systemic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40 patients completed the study. (8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males,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32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females). 50% of 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patients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received systemic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proofErr w:type="spellStart"/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at a dose of 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lastRenderedPageBreak/>
        <w:t>0.5mg/kg/day and 50% at a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dose of 1mg/kg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P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>atients received treatment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4F35FE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for 6 months. </w:t>
      </w:r>
      <w:r w:rsidR="00E72B93">
        <w:rPr>
          <w:rFonts w:ascii="Times New Roman" w:hAnsi="Times New Roman" w:cs="Times New Roman"/>
          <w:sz w:val="20"/>
          <w:szCs w:val="20"/>
          <w:lang w:bidi="ar-EG"/>
        </w:rPr>
        <w:t>Thirteen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patients (32.5%) and 19 patients (47.5%) had punctate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epithelial erosions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on corneal fluorescein staining at 3 and 6 months of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treatment respectively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There was statistically significant difference in corneal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fluorescein staining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findings in the 3rd and 6th months of treatment compared with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baseline values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(p-value &lt;0.05)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hirty three patients (82.5%) and 40 patients (100%) had abnormal decrease in BUT at 3 months and 6 months of treatment respectively. Eight patients (20%) </w:t>
      </w:r>
      <w:r w:rsidR="00E72B93">
        <w:rPr>
          <w:rFonts w:ascii="Times New Roman" w:hAnsi="Times New Roman" w:cs="Times New Roman"/>
          <w:sz w:val="20"/>
          <w:szCs w:val="20"/>
          <w:lang w:bidi="ar-EG"/>
        </w:rPr>
        <w:t>and thirteen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patients (32.5%) had abnormal decrease in </w:t>
      </w:r>
      <w:proofErr w:type="spellStart"/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test at 3 months and 6 months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of treatment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respectively (P-value &lt;0.05)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B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ased on the dose of systemic </w:t>
      </w:r>
      <w:proofErr w:type="spellStart"/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, the patients were divided into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2 groups: Group 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(0.5 mg/kg/day); Group 2 (</w:t>
      </w:r>
      <w:r w:rsidR="00F57607" w:rsidRPr="0074182F">
        <w:rPr>
          <w:rFonts w:ascii="Times New Roman" w:hAnsi="Times New Roman" w:cs="Times New Roman"/>
          <w:sz w:val="20"/>
          <w:szCs w:val="20"/>
          <w:lang w:bidi="ar-EG"/>
        </w:rPr>
        <w:t>1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mg/kg/day). At 6 months of treatment, 9 patients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of group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1 (45%) had </w:t>
      </w:r>
      <w:r w:rsidR="00F57607" w:rsidRPr="0074182F">
        <w:rPr>
          <w:rFonts w:ascii="Times New Roman" w:hAnsi="Times New Roman" w:cs="Times New Roman"/>
          <w:sz w:val="20"/>
          <w:szCs w:val="20"/>
          <w:lang w:bidi="ar-EG"/>
        </w:rPr>
        <w:t>punctate epithelial erosions (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PEE</w:t>
      </w:r>
      <w:r w:rsidR="00F57607" w:rsidRPr="0074182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while 11 patients (55%) of group 2 had PEE. The mea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n B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UT value was 5.2 sec ± 2.1 and 4.7 sec ± 1.9 in group 1 and 2 respectively at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57017" w:rsidRPr="0074182F">
        <w:rPr>
          <w:rFonts w:ascii="Times New Roman" w:hAnsi="Times New Roman" w:cs="Times New Roman"/>
          <w:sz w:val="20"/>
          <w:szCs w:val="20"/>
          <w:lang w:bidi="ar-EG"/>
        </w:rPr>
        <w:t>6 months of treatment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A</w:t>
      </w:r>
      <w:r w:rsidR="00F57607" w:rsidRPr="0074182F">
        <w:rPr>
          <w:rFonts w:ascii="Times New Roman" w:hAnsi="Times New Roman" w:cs="Times New Roman"/>
          <w:sz w:val="20"/>
          <w:szCs w:val="20"/>
          <w:lang w:bidi="ar-EG"/>
        </w:rPr>
        <w:t>lthough changes in dry eye parameters results were higher among patients on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F57607" w:rsidRPr="0074182F">
        <w:rPr>
          <w:rFonts w:ascii="Times New Roman" w:hAnsi="Times New Roman" w:cs="Times New Roman"/>
          <w:sz w:val="20"/>
          <w:szCs w:val="20"/>
          <w:lang w:bidi="ar-EG"/>
        </w:rPr>
        <w:t>high dose, but still statistically not significant with (p-value &gt;0.05).</w:t>
      </w:r>
    </w:p>
    <w:p w:rsidR="00A64AA7" w:rsidRPr="0074182F" w:rsidRDefault="00A64AA7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F57607" w:rsidRPr="0074182F" w:rsidRDefault="005716F2" w:rsidP="00A64AA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4. </w:t>
      </w:r>
      <w:r w:rsidR="00F57607"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Discussion:</w:t>
      </w:r>
    </w:p>
    <w:p w:rsidR="00D253FC" w:rsidRPr="0074182F" w:rsidRDefault="00C35C7C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The aim of this study was to assess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the ocular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side effects in relation to the dose of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in patients treated for acne vulgaris.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>32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patients were not symptomatic, and </w:t>
      </w:r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>8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patients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suffered indoor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symptoms in the form of burning, blurred vision and tearing.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Three patients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experienced these symptoms indoor and outdoor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S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was given in a dose of 0.5 -1 mg /kg/day for 6</w:t>
      </w:r>
      <w:r w:rsidR="0073577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consecutive months. The dose was adjusted according to the severity of </w:t>
      </w:r>
      <w:r w:rsidR="005716F2" w:rsidRPr="0074182F">
        <w:rPr>
          <w:rFonts w:ascii="Times New Roman" w:hAnsi="Times New Roman" w:cs="Times New Roman"/>
          <w:sz w:val="20"/>
          <w:szCs w:val="20"/>
          <w:lang w:bidi="ar-EG"/>
        </w:rPr>
        <w:t>acne and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the response to treatment. Other authors used similar dosage protocols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umurcu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(2009)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used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in a dose &lt;0.5mg/kg /day for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group (1) and a dose &gt;0.5 mg /kg /day for group (2) </w:t>
      </w:r>
      <w:proofErr w:type="spellStart"/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Aragona</w:t>
      </w:r>
      <w:proofErr w:type="spellEnd"/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et al.,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(2005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) 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u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sed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a dose of 0.5 mg/kg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I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n this study anaesthetized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test showed statistically significant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reduction in value with a mean value of 19.4±1.3 before treatment and 14.2±3.5</w:t>
      </w:r>
      <w:r w:rsidR="00735777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after treatment. This is similar to the findings of 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Cumurcu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(2009)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with a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mean value of 20.23±8.0 before treatment and 13.31±5.97 after </w:t>
      </w:r>
      <w:r w:rsidR="00D253FC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treatment.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This is also similar to </w:t>
      </w:r>
      <w:proofErr w:type="spellStart"/>
      <w:r w:rsidR="00ED4436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Yildirim</w:t>
      </w:r>
      <w:proofErr w:type="spellEnd"/>
      <w:r w:rsidR="00ED4436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(2014)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with a mean value of 18.74 ± 3.42before treatment and14.92 ± 3.22 after treatment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O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n the other </w:t>
      </w:r>
      <w:r w:rsidR="003371FA" w:rsidRPr="0074182F">
        <w:rPr>
          <w:rFonts w:ascii="Times New Roman" w:hAnsi="Times New Roman" w:cs="Times New Roman"/>
          <w:sz w:val="20"/>
          <w:szCs w:val="20"/>
          <w:lang w:bidi="ar-EG"/>
        </w:rPr>
        <w:t>han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d </w:t>
      </w:r>
      <w:proofErr w:type="spellStart"/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</w:t>
      </w:r>
      <w:r w:rsidR="003371FA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ragona</w:t>
      </w:r>
      <w:proofErr w:type="spellEnd"/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et al., (20</w:t>
      </w:r>
      <w:r w:rsidR="003371FA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05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A74562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and </w:t>
      </w:r>
      <w:proofErr w:type="spellStart"/>
      <w:r w:rsidR="00A74562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Caglar</w:t>
      </w:r>
      <w:proofErr w:type="spellEnd"/>
      <w:r w:rsidR="00A74562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</w:t>
      </w:r>
      <w:r w:rsidR="00393AD1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, (</w:t>
      </w:r>
      <w:r w:rsidR="00A74562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2016</w:t>
      </w:r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) 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r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eported no changes in </w:t>
      </w:r>
      <w:proofErr w:type="spellStart"/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1 test (non-anaesthetized) readings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through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out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treatment. This may be due to using a </w:t>
      </w:r>
      <w:proofErr w:type="spellStart"/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schirmer</w:t>
      </w:r>
      <w:proofErr w:type="spellEnd"/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1 test which measures the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volume of tears produced after irritation of the ocular surface by the presence of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="00ED4436" w:rsidRPr="0074182F">
        <w:rPr>
          <w:rFonts w:ascii="Times New Roman" w:hAnsi="Times New Roman" w:cs="Times New Roman"/>
          <w:sz w:val="20"/>
          <w:szCs w:val="20"/>
          <w:lang w:bidi="ar-EG"/>
        </w:rPr>
        <w:t>filter.</w:t>
      </w:r>
    </w:p>
    <w:p w:rsidR="00D253FC" w:rsidRPr="0074182F" w:rsidRDefault="00ED4436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lastRenderedPageBreak/>
        <w:t>In this study tear BUT was significantly reduced after 6 months of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treatment with mean of 14.6±3, and 4.9±2sec before and after treatment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respectively. This is similar to the findings of 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Cumurcu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(2009)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with a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mean value of 15.23±4.95sec and 10.19±4.18 sec before and after treatment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respectively for group A, and a mean value of 15.60±4.55sec and 14.88±4.33sec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before and after treatment respectively for group B treated with low dose.</w:t>
      </w:r>
    </w:p>
    <w:p w:rsidR="00DC4347" w:rsidRPr="0074182F" w:rsidRDefault="00ED4436" w:rsidP="0063722A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sz w:val="20"/>
          <w:szCs w:val="20"/>
          <w:lang w:bidi="ar-EG"/>
        </w:rPr>
        <w:t>In our study corneal fluorescein staining revealed punctate epithelial</w:t>
      </w:r>
      <w:r w:rsidR="00C557B4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erosions in about 47.5% which was statistically significant. On the other hand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, </w:t>
      </w:r>
      <w:proofErr w:type="spellStart"/>
      <w:r w:rsidR="00DC4347"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S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antodomingo-Rubido</w:t>
      </w:r>
      <w:proofErr w:type="spellEnd"/>
      <w:r w:rsidR="0074182F" w:rsidRPr="0074182F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et al., (2008)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reported a single case with minimal corneal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staining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I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n our study there was no statistically significant difference in</w:t>
      </w:r>
      <w:r w:rsidR="00662F0B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ophthalmological tests findings between patients received high dose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and those who received low dose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T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his is similar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to the findings of </w:t>
      </w:r>
      <w:proofErr w:type="spellStart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Cumurcu</w:t>
      </w:r>
      <w:proofErr w:type="spellEnd"/>
      <w:r w:rsidRPr="0074182F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 xml:space="preserve"> et al., (2009)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. O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ur study results suggest that ocular changes during the treatment are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reversible and there is no permanent damage occurring to the ey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e.</w:t>
      </w:r>
    </w:p>
    <w:p w:rsidR="005716F2" w:rsidRPr="0074182F" w:rsidRDefault="005716F2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F57607" w:rsidRPr="0074182F" w:rsidRDefault="00D253FC" w:rsidP="0063722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74182F">
        <w:rPr>
          <w:rFonts w:ascii="Times New Roman" w:hAnsi="Times New Roman" w:cs="Times New Roman"/>
          <w:b/>
          <w:bCs/>
          <w:sz w:val="20"/>
          <w:szCs w:val="20"/>
          <w:lang w:bidi="ar-EG"/>
        </w:rPr>
        <w:t>References:</w:t>
      </w:r>
    </w:p>
    <w:p w:rsidR="003371FA" w:rsidRPr="0074182F" w:rsidRDefault="003371FA" w:rsidP="00A64AA7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Aragona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P,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Cannavo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SP, Borgia F, Guarneri F (2005).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Utility of studying the ocular surface in patients with acne vulgaris treated with oral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: a randomized controlled trial. British Journal of Dermatology;152(3):576-8.</w:t>
      </w:r>
    </w:p>
    <w:p w:rsidR="007D588E" w:rsidRPr="0074182F" w:rsidRDefault="007D588E" w:rsidP="00A64AA7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Amichai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B,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Shemer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Grunwald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MH (2006):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Low dose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in the treatment of acne vulgaris. J Am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Aca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d</w:t>
      </w:r>
      <w:proofErr w:type="spellEnd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D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ermatol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; 54:644-6.</w:t>
      </w:r>
    </w:p>
    <w:p w:rsidR="007D588E" w:rsidRPr="0074182F" w:rsidRDefault="00942AA4" w:rsidP="00A64AA7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Brelsford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M,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Beute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TC (2008):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Preventing and managing the side-effects of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Semi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n</w:t>
      </w:r>
      <w:proofErr w:type="spellEnd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C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utan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Med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Surg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, 27: 197–206.</w:t>
      </w:r>
    </w:p>
    <w:p w:rsidR="00A74562" w:rsidRPr="0074182F" w:rsidRDefault="00A74562" w:rsidP="00A64AA7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Caglar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C,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Senel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E,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Sabancilar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E,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Durmus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M (2016)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. Reduced ocular surface disease index (OSDI) scores in patients with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treatment. International ophthalmology; 18:1-6.</w:t>
      </w:r>
    </w:p>
    <w:p w:rsidR="00942AA4" w:rsidRPr="0074182F" w:rsidRDefault="00A35B0C" w:rsidP="00A64AA7">
      <w:pPr>
        <w:pStyle w:val="ListParagraph"/>
        <w:numPr>
          <w:ilvl w:val="0"/>
          <w:numId w:val="6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Cumurcu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T,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Sezer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E,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Kilic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R,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>Bulut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  <w:lang w:bidi="ar-EG"/>
        </w:rPr>
        <w:t xml:space="preserve"> Y (2009): 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Comparison of dose-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relatedocular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side effects during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administration. </w:t>
      </w:r>
      <w:proofErr w:type="spellStart"/>
      <w:r w:rsidRPr="0074182F">
        <w:rPr>
          <w:rFonts w:ascii="Times New Roman" w:hAnsi="Times New Roman" w:cs="Times New Roman"/>
          <w:sz w:val="20"/>
          <w:szCs w:val="20"/>
          <w:lang w:bidi="ar-EG"/>
        </w:rPr>
        <w:t>Eu</w:t>
      </w:r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r</w:t>
      </w:r>
      <w:proofErr w:type="spellEnd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Pr="0074182F">
        <w:rPr>
          <w:rFonts w:ascii="Times New Roman" w:hAnsi="Times New Roman" w:cs="Times New Roman"/>
          <w:sz w:val="20"/>
          <w:szCs w:val="20"/>
          <w:lang w:bidi="ar-EG"/>
        </w:rPr>
        <w:t>Ophthalmol</w:t>
      </w:r>
      <w:proofErr w:type="spellEnd"/>
      <w:r w:rsidRPr="0074182F">
        <w:rPr>
          <w:rFonts w:ascii="Times New Roman" w:hAnsi="Times New Roman" w:cs="Times New Roman"/>
          <w:sz w:val="20"/>
          <w:szCs w:val="20"/>
          <w:lang w:bidi="ar-EG"/>
        </w:rPr>
        <w:t>; 19(2):196.</w:t>
      </w:r>
    </w:p>
    <w:p w:rsidR="00A35B0C" w:rsidRPr="0074182F" w:rsidRDefault="00A35B0C" w:rsidP="00A64AA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lastRenderedPageBreak/>
        <w:t>Foulks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GN,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Bron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AJ.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Meibomian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gland dysfunction (2003): </w:t>
      </w:r>
      <w:r w:rsidRPr="0074182F">
        <w:rPr>
          <w:rFonts w:ascii="Times New Roman" w:hAnsi="Times New Roman" w:cs="Times New Roman"/>
          <w:sz w:val="20"/>
          <w:szCs w:val="20"/>
        </w:rPr>
        <w:t xml:space="preserve">a clinical scheme for description, diagnosis, classification, and grading.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Ocul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Surf; 1:107–26.</w:t>
      </w:r>
    </w:p>
    <w:p w:rsidR="00A35B0C" w:rsidRPr="0074182F" w:rsidRDefault="00A35B0C" w:rsidP="00A64AA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Karalezli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Borazan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M,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Altinors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DD,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Dursun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R,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Kiyici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H,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Akova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YA (2009)</w:t>
      </w:r>
      <w:r w:rsidR="00DC4347" w:rsidRPr="0074182F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</w:rPr>
        <w:t>C</w:t>
      </w:r>
      <w:r w:rsidRPr="0074182F">
        <w:rPr>
          <w:rFonts w:ascii="Times New Roman" w:hAnsi="Times New Roman" w:cs="Times New Roman"/>
          <w:sz w:val="20"/>
          <w:szCs w:val="20"/>
        </w:rPr>
        <w:t>onjunctival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impression cytology, ocular surface, and tear-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filmchanges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in patients treated with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. Cornea; 28(1):46-50.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Neudorfer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M,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Goldshtein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I,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Shamai-Lubovitz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O,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Chodick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G,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Dadon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Y,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Shalev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93AD1" w:rsidRPr="0074182F">
        <w:rPr>
          <w:rFonts w:ascii="Times New Roman" w:hAnsi="Times New Roman" w:cs="Times New Roman"/>
          <w:bCs/>
          <w:sz w:val="20"/>
          <w:szCs w:val="20"/>
        </w:rPr>
        <w:t>V (</w:t>
      </w:r>
      <w:r w:rsidRPr="0074182F">
        <w:rPr>
          <w:rFonts w:ascii="Times New Roman" w:hAnsi="Times New Roman" w:cs="Times New Roman"/>
          <w:bCs/>
          <w:sz w:val="20"/>
          <w:szCs w:val="20"/>
        </w:rPr>
        <w:t xml:space="preserve">2012): </w:t>
      </w:r>
      <w:r w:rsidRPr="0074182F">
        <w:rPr>
          <w:rFonts w:ascii="Times New Roman" w:hAnsi="Times New Roman" w:cs="Times New Roman"/>
          <w:sz w:val="20"/>
          <w:szCs w:val="20"/>
        </w:rPr>
        <w:t xml:space="preserve">Ocular adverse effects of systemic treatment with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</w:t>
      </w:r>
      <w:r w:rsidR="00DC4347" w:rsidRPr="0074182F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DC4347" w:rsidRPr="0074182F">
        <w:rPr>
          <w:rFonts w:ascii="Times New Roman" w:hAnsi="Times New Roman" w:cs="Times New Roman"/>
          <w:sz w:val="20"/>
          <w:szCs w:val="20"/>
        </w:rPr>
        <w:t xml:space="preserve"> A</w:t>
      </w:r>
      <w:r w:rsidRPr="0074182F">
        <w:rPr>
          <w:rFonts w:ascii="Times New Roman" w:hAnsi="Times New Roman" w:cs="Times New Roman"/>
          <w:sz w:val="20"/>
          <w:szCs w:val="20"/>
        </w:rPr>
        <w:t>rc</w:t>
      </w:r>
      <w:r w:rsidR="00DC4347" w:rsidRPr="0074182F">
        <w:rPr>
          <w:rFonts w:ascii="Times New Roman" w:hAnsi="Times New Roman" w:cs="Times New Roman"/>
          <w:sz w:val="20"/>
          <w:szCs w:val="20"/>
        </w:rPr>
        <w:t xml:space="preserve">h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</w:rPr>
        <w:t>D</w:t>
      </w:r>
      <w:r w:rsidRPr="0074182F">
        <w:rPr>
          <w:rFonts w:ascii="Times New Roman" w:hAnsi="Times New Roman" w:cs="Times New Roman"/>
          <w:sz w:val="20"/>
          <w:szCs w:val="20"/>
        </w:rPr>
        <w:t>ermatol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; 148(7):803-8.</w:t>
      </w:r>
    </w:p>
    <w:p w:rsidR="001B0522" w:rsidRPr="0074182F" w:rsidRDefault="001B0522" w:rsidP="00A64AA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Santodomingo</w:t>
      </w:r>
      <w:r w:rsidRPr="0074182F">
        <w:rPr>
          <w:rFonts w:ascii="SimSun" w:eastAsia="SimSun" w:hAnsi="SimSun" w:cs="SimSun" w:hint="eastAsia"/>
          <w:bCs/>
          <w:sz w:val="20"/>
          <w:szCs w:val="20"/>
        </w:rPr>
        <w:t>‐</w:t>
      </w:r>
      <w:r w:rsidRPr="0074182F">
        <w:rPr>
          <w:rFonts w:ascii="Times New Roman" w:hAnsi="Times New Roman" w:cs="Times New Roman"/>
          <w:bCs/>
          <w:sz w:val="20"/>
          <w:szCs w:val="20"/>
        </w:rPr>
        <w:t>Rubido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J,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Barrado</w:t>
      </w:r>
      <w:r w:rsidRPr="0074182F">
        <w:rPr>
          <w:rFonts w:ascii="SimSun" w:eastAsia="SimSun" w:hAnsi="SimSun" w:cs="SimSun" w:hint="eastAsia"/>
          <w:bCs/>
          <w:sz w:val="20"/>
          <w:szCs w:val="20"/>
        </w:rPr>
        <w:t>‐</w:t>
      </w:r>
      <w:r w:rsidRPr="0074182F">
        <w:rPr>
          <w:rFonts w:ascii="Times New Roman" w:hAnsi="Times New Roman" w:cs="Times New Roman"/>
          <w:bCs/>
          <w:sz w:val="20"/>
          <w:szCs w:val="20"/>
        </w:rPr>
        <w:t>Navascués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E,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Rubido</w:t>
      </w:r>
      <w:r w:rsidRPr="0074182F">
        <w:rPr>
          <w:rFonts w:ascii="SimSun" w:eastAsia="SimSun" w:hAnsi="SimSun" w:cs="SimSun" w:hint="eastAsia"/>
          <w:bCs/>
          <w:sz w:val="20"/>
          <w:szCs w:val="20"/>
        </w:rPr>
        <w:t>‐</w:t>
      </w:r>
      <w:r w:rsidRPr="0074182F">
        <w:rPr>
          <w:rFonts w:ascii="Times New Roman" w:hAnsi="Times New Roman" w:cs="Times New Roman"/>
          <w:bCs/>
          <w:sz w:val="20"/>
          <w:szCs w:val="20"/>
        </w:rPr>
        <w:t>Crespo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MJ (2008). </w:t>
      </w:r>
      <w:r w:rsidRPr="0074182F">
        <w:rPr>
          <w:rFonts w:ascii="Times New Roman" w:hAnsi="Times New Roman" w:cs="Times New Roman"/>
          <w:sz w:val="20"/>
          <w:szCs w:val="20"/>
        </w:rPr>
        <w:t>Drug</w:t>
      </w:r>
      <w:r w:rsidRPr="0074182F">
        <w:rPr>
          <w:rFonts w:ascii="SimSun" w:eastAsia="SimSun" w:hAnsi="SimSun" w:cs="SimSun" w:hint="eastAsia"/>
          <w:sz w:val="20"/>
          <w:szCs w:val="20"/>
        </w:rPr>
        <w:t>‐</w:t>
      </w:r>
      <w:r w:rsidRPr="0074182F">
        <w:rPr>
          <w:rFonts w:ascii="Times New Roman" w:hAnsi="Times New Roman" w:cs="Times New Roman"/>
          <w:sz w:val="20"/>
          <w:szCs w:val="20"/>
        </w:rPr>
        <w:t>induced ocular side</w:t>
      </w:r>
      <w:r w:rsidRPr="0074182F">
        <w:rPr>
          <w:rFonts w:ascii="SimSun" w:eastAsia="SimSun" w:hAnsi="SimSun" w:cs="SimSun" w:hint="eastAsia"/>
          <w:sz w:val="20"/>
          <w:szCs w:val="20"/>
        </w:rPr>
        <w:t>‐</w:t>
      </w:r>
      <w:r w:rsidRPr="0074182F">
        <w:rPr>
          <w:rFonts w:ascii="Times New Roman" w:hAnsi="Times New Roman" w:cs="Times New Roman"/>
          <w:sz w:val="20"/>
          <w:szCs w:val="20"/>
        </w:rPr>
        <w:t xml:space="preserve">effects with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. Ophthalmic and Physiological Optics; 1; 28(5):497-501.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tabs>
          <w:tab w:val="left" w:pos="10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82F">
        <w:rPr>
          <w:rFonts w:ascii="Times New Roman" w:hAnsi="Times New Roman" w:cs="Times New Roman"/>
          <w:bCs/>
          <w:sz w:val="20"/>
          <w:szCs w:val="20"/>
        </w:rPr>
        <w:t xml:space="preserve">Rigopoulos D,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Larios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G,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Katsambas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AD (2010):</w:t>
      </w:r>
      <w:r w:rsidRPr="0074182F">
        <w:rPr>
          <w:rFonts w:ascii="Times New Roman" w:hAnsi="Times New Roman" w:cs="Times New Roman"/>
          <w:sz w:val="20"/>
          <w:szCs w:val="20"/>
        </w:rPr>
        <w:t xml:space="preserve"> The role of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in acne therapy: why not as first-line therapy? Facts and controversies </w:t>
      </w:r>
      <w:r w:rsidRPr="0074182F">
        <w:rPr>
          <w:rFonts w:ascii="Times New Roman" w:hAnsi="Times New Roman" w:cs="Times New Roman" w:hint="cs"/>
          <w:sz w:val="20"/>
          <w:szCs w:val="20"/>
          <w:cs/>
          <w:lang w:bidi="ar-EG"/>
        </w:rPr>
        <w:t>‎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Dermatol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; 28(1), 24-30.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tabs>
          <w:tab w:val="left" w:pos="10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Thiboutot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DM, Strauss J</w:t>
      </w:r>
      <w:r w:rsidR="00393AD1" w:rsidRPr="0074182F">
        <w:rPr>
          <w:rFonts w:ascii="Times New Roman" w:hAnsi="Times New Roman" w:cs="Times New Roman"/>
          <w:bCs/>
          <w:sz w:val="20"/>
          <w:szCs w:val="20"/>
        </w:rPr>
        <w:t>S (</w:t>
      </w:r>
      <w:r w:rsidRPr="0074182F">
        <w:rPr>
          <w:rFonts w:ascii="Times New Roman" w:hAnsi="Times New Roman" w:cs="Times New Roman"/>
          <w:bCs/>
          <w:sz w:val="20"/>
          <w:szCs w:val="20"/>
        </w:rPr>
        <w:t>2003):</w:t>
      </w:r>
      <w:r w:rsidRPr="0074182F">
        <w:rPr>
          <w:rFonts w:ascii="Times New Roman" w:hAnsi="Times New Roman" w:cs="Times New Roman"/>
          <w:sz w:val="20"/>
          <w:szCs w:val="20"/>
        </w:rPr>
        <w:t xml:space="preserve"> Diseases of the sebaceous glands. In: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Freedberg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IM,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Eisen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AZ, Wolff K, Austen KF, Goldsmith LA, Katz SI. Fitzpatrick’s Dermatology in General Medicine.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74182F">
        <w:rPr>
          <w:rFonts w:ascii="Times New Roman" w:hAnsi="Times New Roman" w:cs="Times New Roman"/>
          <w:sz w:val="20"/>
          <w:szCs w:val="20"/>
        </w:rPr>
        <w:t xml:space="preserve">6th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edn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. New York: McGraw-Hill; 672-87.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tabs>
          <w:tab w:val="left" w:pos="10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Valim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V,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Trevisani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VF, de Sousa JM,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Vilela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VS, Belfort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Jr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R (2015): </w:t>
      </w:r>
      <w:r w:rsidRPr="0074182F">
        <w:rPr>
          <w:rFonts w:ascii="Times New Roman" w:hAnsi="Times New Roman" w:cs="Times New Roman"/>
          <w:sz w:val="20"/>
          <w:szCs w:val="20"/>
        </w:rPr>
        <w:t>Current approach to dry eye disease</w:t>
      </w:r>
      <w:r w:rsidR="00DC4347" w:rsidRPr="007418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C4347" w:rsidRPr="0074182F">
        <w:rPr>
          <w:rFonts w:ascii="Times New Roman" w:hAnsi="Times New Roman" w:cs="Times New Roman"/>
          <w:sz w:val="20"/>
          <w:szCs w:val="20"/>
        </w:rPr>
        <w:t>C</w:t>
      </w:r>
      <w:r w:rsidRPr="0074182F">
        <w:rPr>
          <w:rFonts w:ascii="Times New Roman" w:hAnsi="Times New Roman" w:cs="Times New Roman"/>
          <w:sz w:val="20"/>
          <w:szCs w:val="20"/>
        </w:rPr>
        <w:t>lin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Rev Allergy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Immunol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; 49(3):288-97.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Yildirim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Y,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Olcucu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O,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Agca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Alagoz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C,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Demircan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Basci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Demirok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A,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Kutlubay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Z (2014</w:t>
      </w:r>
      <w:r w:rsidRPr="0074182F">
        <w:rPr>
          <w:rFonts w:ascii="Times New Roman" w:hAnsi="Times New Roman" w:cs="Times New Roman"/>
          <w:sz w:val="20"/>
          <w:szCs w:val="20"/>
        </w:rPr>
        <w:t xml:space="preserve">): Evaluation of Corneal Topography and Biomechanical Parameters after Use of Systemic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in Acne Vulgaris. J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Ophthalmol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.</w:t>
      </w:r>
    </w:p>
    <w:p w:rsidR="00F038C4" w:rsidRPr="0074182F" w:rsidRDefault="00F038C4" w:rsidP="00A64AA7">
      <w:pPr>
        <w:pStyle w:val="ListParagraph"/>
        <w:numPr>
          <w:ilvl w:val="0"/>
          <w:numId w:val="6"/>
        </w:numPr>
        <w:tabs>
          <w:tab w:val="left" w:pos="1080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Yuksel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N,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Ozer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MD,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Akcay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E,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Ozen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U, </w:t>
      </w: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Uzun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S (2015):</w:t>
      </w:r>
      <w:r w:rsidRPr="0074182F">
        <w:rPr>
          <w:rFonts w:ascii="Times New Roman" w:hAnsi="Times New Roman" w:cs="Times New Roman"/>
          <w:sz w:val="20"/>
          <w:szCs w:val="20"/>
        </w:rPr>
        <w:t xml:space="preserve"> Reduced central corneal thickness in patients with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isotretinoin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 treatment</w:t>
      </w:r>
      <w:r w:rsidRPr="0074182F">
        <w:rPr>
          <w:rFonts w:ascii="Times New Roman" w:hAnsi="Times New Roman" w:cs="Times New Roman" w:hint="cs"/>
          <w:sz w:val="20"/>
          <w:szCs w:val="20"/>
          <w:cs/>
          <w:lang w:bidi="ar-EG"/>
        </w:rPr>
        <w:t>‎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Cutan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Ocul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Toxicol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, 34(4), 318-321.</w:t>
      </w:r>
    </w:p>
    <w:p w:rsidR="00393AD1" w:rsidRPr="0074182F" w:rsidRDefault="00F038C4" w:rsidP="0063722A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4182F">
        <w:rPr>
          <w:rFonts w:ascii="Times New Roman" w:hAnsi="Times New Roman" w:cs="Times New Roman"/>
          <w:bCs/>
          <w:sz w:val="20"/>
          <w:szCs w:val="20"/>
        </w:rPr>
        <w:t>Zouboulis</w:t>
      </w:r>
      <w:proofErr w:type="spellEnd"/>
      <w:r w:rsidRPr="0074182F">
        <w:rPr>
          <w:rFonts w:ascii="Times New Roman" w:hAnsi="Times New Roman" w:cs="Times New Roman"/>
          <w:bCs/>
          <w:sz w:val="20"/>
          <w:szCs w:val="20"/>
        </w:rPr>
        <w:t xml:space="preserve"> CC, Orfanos CE (2000): </w:t>
      </w:r>
      <w:proofErr w:type="spellStart"/>
      <w:r w:rsidRPr="0074182F">
        <w:rPr>
          <w:rFonts w:ascii="Times New Roman" w:hAnsi="Times New Roman" w:cs="Times New Roman"/>
          <w:sz w:val="20"/>
          <w:szCs w:val="20"/>
        </w:rPr>
        <w:t>Retinoids</w:t>
      </w:r>
      <w:proofErr w:type="spellEnd"/>
      <w:r w:rsidRPr="0074182F">
        <w:rPr>
          <w:rFonts w:ascii="Times New Roman" w:hAnsi="Times New Roman" w:cs="Times New Roman"/>
          <w:sz w:val="20"/>
          <w:szCs w:val="20"/>
        </w:rPr>
        <w:t>. In: Millikan LE, ed. Drug Therapy in Dermatology. Marcel Dekker: New York/Basel; 171–233.</w:t>
      </w:r>
      <w:r w:rsidR="0074182F" w:rsidRPr="0074182F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393AD1" w:rsidRPr="0074182F" w:rsidRDefault="00393AD1" w:rsidP="0063722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93AD1" w:rsidRPr="0074182F" w:rsidSect="00A64AA7">
          <w:headerReference w:type="default" r:id="rId13"/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393AD1" w:rsidRPr="0074182F" w:rsidRDefault="00393AD1" w:rsidP="0063722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A64AA7" w:rsidRPr="0074182F" w:rsidRDefault="00A64AA7" w:rsidP="00A64AA7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F038C4" w:rsidRPr="0074182F" w:rsidRDefault="00393AD1" w:rsidP="0063722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182F">
        <w:rPr>
          <w:rFonts w:ascii="Times New Roman" w:hAnsi="Times New Roman" w:cs="Times New Roman"/>
          <w:bCs/>
          <w:sz w:val="20"/>
          <w:szCs w:val="20"/>
        </w:rPr>
        <w:t>6/6/2017</w:t>
      </w:r>
    </w:p>
    <w:sectPr w:rsidR="00F038C4" w:rsidRPr="0074182F" w:rsidSect="00393AD1">
      <w:headerReference w:type="default" r:id="rId14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3F" w:rsidRDefault="00DD4E3F" w:rsidP="003D69E5">
      <w:pPr>
        <w:spacing w:after="0" w:line="240" w:lineRule="auto"/>
      </w:pPr>
      <w:r>
        <w:separator/>
      </w:r>
    </w:p>
  </w:endnote>
  <w:endnote w:type="continuationSeparator" w:id="0">
    <w:p w:rsidR="00DD4E3F" w:rsidRDefault="00DD4E3F" w:rsidP="003D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C9" w:rsidRPr="000E0B7A" w:rsidRDefault="005E5FAA" w:rsidP="000E0B7A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0E0B7A">
      <w:rPr>
        <w:rFonts w:ascii="Times New Roman" w:hAnsi="Times New Roman" w:cs="Times New Roman"/>
        <w:sz w:val="20"/>
      </w:rPr>
      <w:fldChar w:fldCharType="begin"/>
    </w:r>
    <w:r w:rsidR="000E0B7A" w:rsidRPr="000E0B7A">
      <w:rPr>
        <w:rFonts w:ascii="Times New Roman" w:hAnsi="Times New Roman" w:cs="Times New Roman"/>
        <w:sz w:val="20"/>
      </w:rPr>
      <w:instrText xml:space="preserve"> page </w:instrText>
    </w:r>
    <w:r w:rsidRPr="000E0B7A">
      <w:rPr>
        <w:rFonts w:ascii="Times New Roman" w:hAnsi="Times New Roman" w:cs="Times New Roman"/>
        <w:sz w:val="20"/>
      </w:rPr>
      <w:fldChar w:fldCharType="separate"/>
    </w:r>
    <w:r w:rsidR="00735777">
      <w:rPr>
        <w:rFonts w:ascii="Times New Roman" w:hAnsi="Times New Roman" w:cs="Times New Roman"/>
        <w:noProof/>
        <w:sz w:val="20"/>
      </w:rPr>
      <w:t>12</w:t>
    </w:r>
    <w:r w:rsidRPr="000E0B7A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3F" w:rsidRDefault="00DD4E3F" w:rsidP="003D69E5">
      <w:pPr>
        <w:spacing w:after="0" w:line="240" w:lineRule="auto"/>
      </w:pPr>
      <w:r>
        <w:separator/>
      </w:r>
    </w:p>
  </w:footnote>
  <w:footnote w:type="continuationSeparator" w:id="0">
    <w:p w:rsidR="00DD4E3F" w:rsidRDefault="00DD4E3F" w:rsidP="003D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7A" w:rsidRPr="000E0B7A" w:rsidRDefault="000E0B7A" w:rsidP="000E0B7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0E0B7A">
      <w:rPr>
        <w:rFonts w:ascii="Times New Roman" w:hAnsi="Times New Roman" w:cs="Times New Roman" w:hint="eastAsia"/>
        <w:sz w:val="20"/>
      </w:rPr>
      <w:tab/>
    </w:r>
    <w:r w:rsidRPr="000E0B7A">
      <w:rPr>
        <w:rFonts w:ascii="Times New Roman" w:hAnsi="Times New Roman" w:cs="Times New Roman"/>
        <w:sz w:val="20"/>
      </w:rPr>
      <w:t>New York Science Journal 201</w:t>
    </w:r>
    <w:r w:rsidRPr="000E0B7A">
      <w:rPr>
        <w:rFonts w:ascii="Times New Roman" w:hAnsi="Times New Roman" w:cs="Times New Roman" w:hint="eastAsia"/>
        <w:sz w:val="20"/>
      </w:rPr>
      <w:t>7</w:t>
    </w:r>
    <w:r w:rsidRPr="000E0B7A">
      <w:rPr>
        <w:rFonts w:ascii="Times New Roman" w:hAnsi="Times New Roman" w:cs="Times New Roman"/>
        <w:sz w:val="20"/>
      </w:rPr>
      <w:t>;</w:t>
    </w:r>
    <w:r w:rsidRPr="000E0B7A">
      <w:rPr>
        <w:rFonts w:ascii="Times New Roman" w:hAnsi="Times New Roman" w:cs="Times New Roman" w:hint="eastAsia"/>
        <w:sz w:val="20"/>
      </w:rPr>
      <w:t>10</w:t>
    </w:r>
    <w:r w:rsidRPr="000E0B7A">
      <w:rPr>
        <w:rFonts w:ascii="Times New Roman" w:hAnsi="Times New Roman" w:cs="Times New Roman"/>
        <w:sz w:val="20"/>
      </w:rPr>
      <w:t>(</w:t>
    </w:r>
    <w:r w:rsidRPr="000E0B7A">
      <w:rPr>
        <w:rFonts w:ascii="Times New Roman" w:hAnsi="Times New Roman" w:cs="Times New Roman" w:hint="eastAsia"/>
        <w:sz w:val="20"/>
      </w:rPr>
      <w:t>8</w:t>
    </w:r>
    <w:r w:rsidRPr="000E0B7A">
      <w:rPr>
        <w:rFonts w:ascii="Times New Roman" w:hAnsi="Times New Roman" w:cs="Times New Roman"/>
        <w:sz w:val="20"/>
      </w:rPr>
      <w:t>)</w:t>
    </w:r>
    <w:r w:rsidRPr="000E0B7A">
      <w:rPr>
        <w:rFonts w:ascii="Times New Roman" w:hAnsi="Times New Roman" w:cs="Times New Roman"/>
        <w:iCs/>
        <w:sz w:val="20"/>
      </w:rPr>
      <w:t xml:space="preserve">     </w:t>
    </w:r>
    <w:r w:rsidRPr="000E0B7A">
      <w:rPr>
        <w:rFonts w:ascii="Times New Roman" w:hAnsi="Times New Roman" w:cs="Times New Roman" w:hint="eastAsia"/>
        <w:iCs/>
        <w:sz w:val="20"/>
      </w:rPr>
      <w:tab/>
    </w:r>
    <w:r w:rsidRPr="000E0B7A">
      <w:rPr>
        <w:rFonts w:ascii="Times New Roman" w:hAnsi="Times New Roman" w:cs="Times New Roman"/>
        <w:iCs/>
        <w:sz w:val="20"/>
      </w:rPr>
      <w:t xml:space="preserve"> </w:t>
    </w:r>
    <w:r w:rsidRPr="000E0B7A">
      <w:rPr>
        <w:rFonts w:ascii="Times New Roman" w:hAnsi="Times New Roman" w:cs="Times New Roman" w:hint="eastAsia"/>
        <w:iCs/>
        <w:sz w:val="20"/>
      </w:rPr>
      <w:t xml:space="preserve"> </w:t>
    </w:r>
    <w:r w:rsidRPr="000E0B7A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0E0B7A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0E0B7A" w:rsidRPr="000E0B7A" w:rsidRDefault="000E0B7A" w:rsidP="000E0B7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7A" w:rsidRPr="000E0B7A" w:rsidRDefault="000E0B7A" w:rsidP="000E0B7A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</w:rPr>
    </w:pPr>
    <w:r w:rsidRPr="000E0B7A">
      <w:rPr>
        <w:rFonts w:ascii="Times New Roman" w:hAnsi="Times New Roman" w:cs="Times New Roman" w:hint="eastAsia"/>
        <w:sz w:val="20"/>
      </w:rPr>
      <w:tab/>
    </w:r>
    <w:r w:rsidRPr="000E0B7A">
      <w:rPr>
        <w:rFonts w:ascii="Times New Roman" w:hAnsi="Times New Roman" w:cs="Times New Roman"/>
        <w:sz w:val="20"/>
      </w:rPr>
      <w:t>New York Science Journal 201</w:t>
    </w:r>
    <w:r w:rsidRPr="000E0B7A">
      <w:rPr>
        <w:rFonts w:ascii="Times New Roman" w:hAnsi="Times New Roman" w:cs="Times New Roman" w:hint="eastAsia"/>
        <w:sz w:val="20"/>
      </w:rPr>
      <w:t>7</w:t>
    </w:r>
    <w:r w:rsidRPr="000E0B7A">
      <w:rPr>
        <w:rFonts w:ascii="Times New Roman" w:hAnsi="Times New Roman" w:cs="Times New Roman"/>
        <w:sz w:val="20"/>
      </w:rPr>
      <w:t>;</w:t>
    </w:r>
    <w:r w:rsidRPr="000E0B7A">
      <w:rPr>
        <w:rFonts w:ascii="Times New Roman" w:hAnsi="Times New Roman" w:cs="Times New Roman" w:hint="eastAsia"/>
        <w:sz w:val="20"/>
      </w:rPr>
      <w:t>10</w:t>
    </w:r>
    <w:r w:rsidRPr="000E0B7A">
      <w:rPr>
        <w:rFonts w:ascii="Times New Roman" w:hAnsi="Times New Roman" w:cs="Times New Roman"/>
        <w:sz w:val="20"/>
      </w:rPr>
      <w:t>(</w:t>
    </w:r>
    <w:r w:rsidRPr="000E0B7A">
      <w:rPr>
        <w:rFonts w:ascii="Times New Roman" w:hAnsi="Times New Roman" w:cs="Times New Roman" w:hint="eastAsia"/>
        <w:sz w:val="20"/>
      </w:rPr>
      <w:t>8</w:t>
    </w:r>
    <w:r w:rsidRPr="000E0B7A">
      <w:rPr>
        <w:rFonts w:ascii="Times New Roman" w:hAnsi="Times New Roman" w:cs="Times New Roman"/>
        <w:sz w:val="20"/>
      </w:rPr>
      <w:t>)</w:t>
    </w:r>
    <w:r w:rsidRPr="000E0B7A">
      <w:rPr>
        <w:rFonts w:ascii="Times New Roman" w:hAnsi="Times New Roman" w:cs="Times New Roman"/>
        <w:iCs/>
        <w:sz w:val="20"/>
      </w:rPr>
      <w:t xml:space="preserve">     </w:t>
    </w:r>
    <w:r w:rsidRPr="000E0B7A">
      <w:rPr>
        <w:rFonts w:ascii="Times New Roman" w:hAnsi="Times New Roman" w:cs="Times New Roman" w:hint="eastAsia"/>
        <w:iCs/>
        <w:sz w:val="20"/>
      </w:rPr>
      <w:tab/>
    </w:r>
    <w:r w:rsidRPr="000E0B7A">
      <w:rPr>
        <w:rFonts w:ascii="Times New Roman" w:hAnsi="Times New Roman" w:cs="Times New Roman"/>
        <w:iCs/>
        <w:sz w:val="20"/>
      </w:rPr>
      <w:t xml:space="preserve"> </w:t>
    </w:r>
    <w:r w:rsidRPr="000E0B7A">
      <w:rPr>
        <w:rFonts w:ascii="Times New Roman" w:hAnsi="Times New Roman" w:cs="Times New Roman" w:hint="eastAsia"/>
        <w:iCs/>
        <w:sz w:val="20"/>
      </w:rPr>
      <w:t xml:space="preserve"> </w:t>
    </w:r>
    <w:r w:rsidRPr="000E0B7A">
      <w:rPr>
        <w:rFonts w:ascii="Times New Roman" w:hAnsi="Times New Roman" w:cs="Times New Roman"/>
        <w:iCs/>
        <w:sz w:val="20"/>
      </w:rPr>
      <w:t xml:space="preserve">   </w:t>
    </w:r>
    <w:hyperlink r:id="rId1" w:history="1">
      <w:r w:rsidRPr="000E0B7A">
        <w:rPr>
          <w:rStyle w:val="Hyperlink"/>
          <w:rFonts w:ascii="Times New Roman" w:hAnsi="Times New Roman" w:cs="Times New Roman"/>
          <w:sz w:val="20"/>
        </w:rPr>
        <w:t>http://www.sciencepub.net/newyork</w:t>
      </w:r>
    </w:hyperlink>
  </w:p>
  <w:p w:rsidR="000E0B7A" w:rsidRPr="000E0B7A" w:rsidRDefault="000E0B7A" w:rsidP="000E0B7A">
    <w:pPr>
      <w:tabs>
        <w:tab w:val="left" w:pos="851"/>
        <w:tab w:val="left" w:pos="7200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1A" w:rsidRPr="00B7011A" w:rsidRDefault="00B7011A" w:rsidP="00B7011A">
    <w:pPr>
      <w:pBdr>
        <w:bottom w:val="thinThickMediumGap" w:sz="12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Theme="majorBidi" w:hAnsiTheme="majorBidi" w:cstheme="majorBidi"/>
        <w:iCs/>
        <w:sz w:val="20"/>
        <w:szCs w:val="20"/>
        <w:lang w:bidi="ar-EG"/>
      </w:rPr>
    </w:pPr>
    <w:bookmarkStart w:id="1" w:name="_Hlk302678399"/>
    <w:bookmarkStart w:id="2" w:name="OLE_LINK3"/>
    <w:bookmarkStart w:id="3" w:name="OLE_LINK4"/>
    <w:bookmarkStart w:id="4" w:name="_Hlk302678401"/>
    <w:bookmarkStart w:id="5" w:name="OLE_LINK5"/>
    <w:bookmarkStart w:id="6" w:name="OLE_LINK6"/>
    <w:bookmarkStart w:id="7" w:name="OLE_LINK7"/>
    <w:bookmarkStart w:id="8" w:name="OLE_LINK8"/>
    <w:bookmarkStart w:id="9" w:name="OLE_LINK9"/>
    <w:bookmarkStart w:id="10" w:name="_Hlk313407873"/>
    <w:bookmarkStart w:id="11" w:name="OLE_LINK10"/>
    <w:bookmarkStart w:id="12" w:name="OLE_LINK11"/>
    <w:bookmarkStart w:id="13" w:name="_Hlk31340787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 w:rsidRPr="00B7011A">
      <w:rPr>
        <w:rFonts w:asciiTheme="majorBidi" w:hAnsiTheme="majorBidi" w:cstheme="majorBidi"/>
        <w:sz w:val="20"/>
        <w:szCs w:val="20"/>
      </w:rPr>
      <w:t xml:space="preserve">New York Science Journal 2017;10(x)                             </w:t>
    </w:r>
    <w:hyperlink r:id="rId1" w:history="1">
      <w:r w:rsidRPr="00B7011A">
        <w:rPr>
          <w:rStyle w:val="Hyperlink"/>
          <w:rFonts w:asciiTheme="majorBidi" w:eastAsia="Arial" w:hAnsiTheme="majorBidi" w:cstheme="majorBidi"/>
          <w:sz w:val="20"/>
          <w:szCs w:val="20"/>
        </w:rPr>
        <w:t>http://www.sciencepub.net/newyork</w:t>
      </w:r>
    </w:hyperlink>
  </w:p>
  <w:p w:rsidR="00B7011A" w:rsidRPr="00B7011A" w:rsidRDefault="00B7011A" w:rsidP="00B7011A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4CCF"/>
    <w:multiLevelType w:val="hybridMultilevel"/>
    <w:tmpl w:val="CB4E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04C2F"/>
    <w:multiLevelType w:val="hybridMultilevel"/>
    <w:tmpl w:val="C9D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E4BDB"/>
    <w:multiLevelType w:val="hybridMultilevel"/>
    <w:tmpl w:val="D01446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3C4E"/>
    <w:multiLevelType w:val="hybridMultilevel"/>
    <w:tmpl w:val="BBDEB100"/>
    <w:lvl w:ilvl="0" w:tplc="E7F088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71F2D"/>
    <w:multiLevelType w:val="hybridMultilevel"/>
    <w:tmpl w:val="3FCCC150"/>
    <w:lvl w:ilvl="0" w:tplc="AF445A4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37181"/>
    <w:multiLevelType w:val="hybridMultilevel"/>
    <w:tmpl w:val="7960B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F6"/>
    <w:rsid w:val="00022601"/>
    <w:rsid w:val="00057017"/>
    <w:rsid w:val="000769B3"/>
    <w:rsid w:val="00082005"/>
    <w:rsid w:val="000D6D1D"/>
    <w:rsid w:val="000E0B7A"/>
    <w:rsid w:val="001A316B"/>
    <w:rsid w:val="001A3BB5"/>
    <w:rsid w:val="001B0522"/>
    <w:rsid w:val="001C174C"/>
    <w:rsid w:val="0020666F"/>
    <w:rsid w:val="0021122F"/>
    <w:rsid w:val="002A1D01"/>
    <w:rsid w:val="002A7101"/>
    <w:rsid w:val="002B7CC7"/>
    <w:rsid w:val="002D4DE1"/>
    <w:rsid w:val="002F1915"/>
    <w:rsid w:val="003371FA"/>
    <w:rsid w:val="00363975"/>
    <w:rsid w:val="00393AD1"/>
    <w:rsid w:val="003D69E5"/>
    <w:rsid w:val="004238D4"/>
    <w:rsid w:val="004515A4"/>
    <w:rsid w:val="00473B78"/>
    <w:rsid w:val="004F35FE"/>
    <w:rsid w:val="00515DF6"/>
    <w:rsid w:val="00525F3F"/>
    <w:rsid w:val="005716F2"/>
    <w:rsid w:val="005B04CA"/>
    <w:rsid w:val="005E2FA4"/>
    <w:rsid w:val="005E5FAA"/>
    <w:rsid w:val="005F5035"/>
    <w:rsid w:val="005F6A93"/>
    <w:rsid w:val="0063722A"/>
    <w:rsid w:val="00662F0B"/>
    <w:rsid w:val="006E504E"/>
    <w:rsid w:val="00702AC0"/>
    <w:rsid w:val="00735777"/>
    <w:rsid w:val="0074182F"/>
    <w:rsid w:val="00753B0B"/>
    <w:rsid w:val="00755C6E"/>
    <w:rsid w:val="007A6E7D"/>
    <w:rsid w:val="007A7419"/>
    <w:rsid w:val="007D0E60"/>
    <w:rsid w:val="007D588E"/>
    <w:rsid w:val="007E5D7B"/>
    <w:rsid w:val="007F38C9"/>
    <w:rsid w:val="008429CB"/>
    <w:rsid w:val="0094121A"/>
    <w:rsid w:val="00942AA4"/>
    <w:rsid w:val="0098317B"/>
    <w:rsid w:val="009A67CF"/>
    <w:rsid w:val="009D5710"/>
    <w:rsid w:val="00A35B0C"/>
    <w:rsid w:val="00A64AA7"/>
    <w:rsid w:val="00A74562"/>
    <w:rsid w:val="00A8055B"/>
    <w:rsid w:val="00B7011A"/>
    <w:rsid w:val="00C35C7C"/>
    <w:rsid w:val="00C557B4"/>
    <w:rsid w:val="00C9109E"/>
    <w:rsid w:val="00CF25E8"/>
    <w:rsid w:val="00D038F7"/>
    <w:rsid w:val="00D253FC"/>
    <w:rsid w:val="00D52701"/>
    <w:rsid w:val="00DC4347"/>
    <w:rsid w:val="00DD1652"/>
    <w:rsid w:val="00DD4E3F"/>
    <w:rsid w:val="00E01748"/>
    <w:rsid w:val="00E06F6A"/>
    <w:rsid w:val="00E27F26"/>
    <w:rsid w:val="00E63712"/>
    <w:rsid w:val="00E72B93"/>
    <w:rsid w:val="00E74922"/>
    <w:rsid w:val="00E86809"/>
    <w:rsid w:val="00ED4436"/>
    <w:rsid w:val="00ED480F"/>
    <w:rsid w:val="00F038C4"/>
    <w:rsid w:val="00F57607"/>
    <w:rsid w:val="00F916D7"/>
    <w:rsid w:val="00FC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E5"/>
  </w:style>
  <w:style w:type="paragraph" w:styleId="Footer">
    <w:name w:val="footer"/>
    <w:basedOn w:val="Normal"/>
    <w:link w:val="FooterChar"/>
    <w:uiPriority w:val="99"/>
    <w:unhideWhenUsed/>
    <w:rsid w:val="003D6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E5"/>
  </w:style>
  <w:style w:type="paragraph" w:styleId="ListParagraph">
    <w:name w:val="List Paragraph"/>
    <w:basedOn w:val="Normal"/>
    <w:uiPriority w:val="34"/>
    <w:qFormat/>
    <w:rsid w:val="007D588E"/>
    <w:pPr>
      <w:ind w:left="720"/>
      <w:contextualSpacing/>
    </w:pPr>
  </w:style>
  <w:style w:type="character" w:customStyle="1" w:styleId="un">
    <w:name w:val="u_n"/>
    <w:basedOn w:val="DefaultParagraphFont"/>
    <w:rsid w:val="002A7101"/>
  </w:style>
  <w:style w:type="character" w:styleId="Hyperlink">
    <w:name w:val="Hyperlink"/>
    <w:basedOn w:val="DefaultParagraphFont"/>
    <w:uiPriority w:val="99"/>
    <w:unhideWhenUsed/>
    <w:rsid w:val="002A7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E5"/>
  </w:style>
  <w:style w:type="paragraph" w:styleId="Footer">
    <w:name w:val="footer"/>
    <w:basedOn w:val="Normal"/>
    <w:link w:val="FooterChar"/>
    <w:uiPriority w:val="99"/>
    <w:unhideWhenUsed/>
    <w:rsid w:val="003D6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E5"/>
  </w:style>
  <w:style w:type="paragraph" w:styleId="ListParagraph">
    <w:name w:val="List Paragraph"/>
    <w:basedOn w:val="Normal"/>
    <w:uiPriority w:val="34"/>
    <w:qFormat/>
    <w:rsid w:val="007D588E"/>
    <w:pPr>
      <w:ind w:left="720"/>
      <w:contextualSpacing/>
    </w:pPr>
  </w:style>
  <w:style w:type="character" w:customStyle="1" w:styleId="un">
    <w:name w:val="u_n"/>
    <w:basedOn w:val="DefaultParagraphFont"/>
    <w:rsid w:val="002A7101"/>
  </w:style>
  <w:style w:type="character" w:styleId="Hyperlink">
    <w:name w:val="Hyperlink"/>
    <w:basedOn w:val="DefaultParagraphFont"/>
    <w:uiPriority w:val="99"/>
    <w:unhideWhenUsed/>
    <w:rsid w:val="002A7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bmmm@yahoo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x.doi.org/10.7537/marsnys100817.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Hassoba</cp:lastModifiedBy>
  <cp:revision>7</cp:revision>
  <dcterms:created xsi:type="dcterms:W3CDTF">2019-12-09T07:38:00Z</dcterms:created>
  <dcterms:modified xsi:type="dcterms:W3CDTF">2020-02-08T06:17:00Z</dcterms:modified>
</cp:coreProperties>
</file>