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A3" w:rsidRPr="000202EA" w:rsidRDefault="002722A3" w:rsidP="00243C1C">
      <w:pPr>
        <w:snapToGrid w:val="0"/>
        <w:ind w:left="425" w:right="425"/>
        <w:jc w:val="center"/>
        <w:rPr>
          <w:b/>
          <w:sz w:val="20"/>
          <w:szCs w:val="20"/>
        </w:rPr>
      </w:pPr>
      <w:r w:rsidRPr="000202EA">
        <w:rPr>
          <w:b/>
          <w:sz w:val="20"/>
          <w:szCs w:val="20"/>
        </w:rPr>
        <w:t xml:space="preserve">Duplex Ultrasound Guided Balloon Angioplasty of Lower Extremity Arteries in the Treatment of Critical Lower Limb </w:t>
      </w:r>
      <w:proofErr w:type="spellStart"/>
      <w:r w:rsidRPr="000202EA">
        <w:rPr>
          <w:b/>
          <w:sz w:val="20"/>
          <w:szCs w:val="20"/>
        </w:rPr>
        <w:t>Ischaemia</w:t>
      </w:r>
      <w:proofErr w:type="spellEnd"/>
    </w:p>
    <w:p w:rsidR="002722A3" w:rsidRPr="000202EA" w:rsidRDefault="002722A3" w:rsidP="00243C1C">
      <w:pPr>
        <w:snapToGrid w:val="0"/>
        <w:ind w:left="425" w:right="425"/>
        <w:jc w:val="center"/>
        <w:rPr>
          <w:b/>
          <w:sz w:val="20"/>
          <w:szCs w:val="20"/>
        </w:rPr>
      </w:pPr>
    </w:p>
    <w:p w:rsidR="002722A3" w:rsidRPr="000202EA" w:rsidRDefault="002722A3" w:rsidP="00243C1C">
      <w:pPr>
        <w:snapToGrid w:val="0"/>
        <w:ind w:left="425" w:right="425"/>
        <w:jc w:val="center"/>
        <w:rPr>
          <w:rFonts w:eastAsiaTheme="minorEastAsia"/>
          <w:bCs/>
          <w:sz w:val="20"/>
          <w:szCs w:val="20"/>
          <w:lang w:eastAsia="zh-CN"/>
        </w:rPr>
      </w:pPr>
      <w:proofErr w:type="spellStart"/>
      <w:r w:rsidRPr="000202EA">
        <w:rPr>
          <w:bCs/>
          <w:sz w:val="20"/>
          <w:szCs w:val="20"/>
        </w:rPr>
        <w:t>Alaa</w:t>
      </w:r>
      <w:proofErr w:type="spellEnd"/>
      <w:r w:rsidRPr="000202EA">
        <w:rPr>
          <w:bCs/>
          <w:sz w:val="20"/>
          <w:szCs w:val="20"/>
        </w:rPr>
        <w:t xml:space="preserve"> El-Din </w:t>
      </w:r>
      <w:proofErr w:type="spellStart"/>
      <w:r w:rsidRPr="000202EA">
        <w:rPr>
          <w:bCs/>
          <w:sz w:val="20"/>
          <w:szCs w:val="20"/>
        </w:rPr>
        <w:t>Mostaf</w:t>
      </w:r>
      <w:proofErr w:type="spellEnd"/>
      <w:r w:rsidRPr="000202EA">
        <w:rPr>
          <w:bCs/>
          <w:sz w:val="20"/>
          <w:szCs w:val="20"/>
        </w:rPr>
        <w:t xml:space="preserve"> </w:t>
      </w:r>
      <w:proofErr w:type="spellStart"/>
      <w:r w:rsidRPr="000202EA">
        <w:rPr>
          <w:bCs/>
          <w:sz w:val="20"/>
          <w:szCs w:val="20"/>
        </w:rPr>
        <w:t>Kamal</w:t>
      </w:r>
      <w:proofErr w:type="spellEnd"/>
      <w:r w:rsidRPr="000202EA">
        <w:rPr>
          <w:bCs/>
          <w:sz w:val="20"/>
          <w:szCs w:val="20"/>
        </w:rPr>
        <w:t xml:space="preserve"> </w:t>
      </w:r>
      <w:proofErr w:type="spellStart"/>
      <w:r w:rsidRPr="000202EA">
        <w:rPr>
          <w:bCs/>
          <w:sz w:val="20"/>
          <w:szCs w:val="20"/>
        </w:rPr>
        <w:t>Sharaby</w:t>
      </w:r>
      <w:proofErr w:type="spellEnd"/>
      <w:r w:rsidRPr="000202EA">
        <w:rPr>
          <w:bCs/>
          <w:sz w:val="20"/>
          <w:szCs w:val="20"/>
        </w:rPr>
        <w:t xml:space="preserve">, Mohamed </w:t>
      </w:r>
      <w:proofErr w:type="spellStart"/>
      <w:r w:rsidRPr="000202EA">
        <w:rPr>
          <w:bCs/>
          <w:sz w:val="20"/>
          <w:szCs w:val="20"/>
        </w:rPr>
        <w:t>Abd</w:t>
      </w:r>
      <w:proofErr w:type="spellEnd"/>
      <w:r w:rsidRPr="000202EA">
        <w:rPr>
          <w:bCs/>
          <w:sz w:val="20"/>
          <w:szCs w:val="20"/>
        </w:rPr>
        <w:t xml:space="preserve"> El-</w:t>
      </w:r>
      <w:proofErr w:type="spellStart"/>
      <w:r w:rsidRPr="000202EA">
        <w:rPr>
          <w:bCs/>
          <w:sz w:val="20"/>
          <w:szCs w:val="20"/>
        </w:rPr>
        <w:t>Hamid</w:t>
      </w:r>
      <w:proofErr w:type="spellEnd"/>
      <w:r w:rsidRPr="000202EA">
        <w:rPr>
          <w:bCs/>
          <w:sz w:val="20"/>
          <w:szCs w:val="20"/>
        </w:rPr>
        <w:t xml:space="preserve"> </w:t>
      </w:r>
      <w:proofErr w:type="spellStart"/>
      <w:r w:rsidRPr="000202EA">
        <w:rPr>
          <w:bCs/>
          <w:sz w:val="20"/>
          <w:szCs w:val="20"/>
        </w:rPr>
        <w:t>Abd</w:t>
      </w:r>
      <w:proofErr w:type="spellEnd"/>
      <w:r w:rsidRPr="000202EA">
        <w:rPr>
          <w:bCs/>
          <w:sz w:val="20"/>
          <w:szCs w:val="20"/>
        </w:rPr>
        <w:t xml:space="preserve"> El-</w:t>
      </w:r>
      <w:proofErr w:type="spellStart"/>
      <w:r w:rsidRPr="000202EA">
        <w:rPr>
          <w:bCs/>
          <w:sz w:val="20"/>
          <w:szCs w:val="20"/>
        </w:rPr>
        <w:t>Rahman</w:t>
      </w:r>
      <w:proofErr w:type="spellEnd"/>
      <w:r w:rsidRPr="000202EA">
        <w:rPr>
          <w:bCs/>
          <w:sz w:val="20"/>
          <w:szCs w:val="20"/>
        </w:rPr>
        <w:t xml:space="preserve"> and Mohamed </w:t>
      </w:r>
      <w:proofErr w:type="spellStart"/>
      <w:r w:rsidRPr="000202EA">
        <w:rPr>
          <w:bCs/>
          <w:sz w:val="20"/>
          <w:szCs w:val="20"/>
        </w:rPr>
        <w:t>Ibraheem</w:t>
      </w:r>
      <w:proofErr w:type="spellEnd"/>
      <w:r w:rsidRPr="000202EA">
        <w:rPr>
          <w:bCs/>
          <w:sz w:val="20"/>
          <w:szCs w:val="20"/>
        </w:rPr>
        <w:t xml:space="preserve"> </w:t>
      </w:r>
      <w:proofErr w:type="spellStart"/>
      <w:r w:rsidRPr="000202EA">
        <w:rPr>
          <w:bCs/>
          <w:sz w:val="20"/>
          <w:szCs w:val="20"/>
        </w:rPr>
        <w:t>Hammoda</w:t>
      </w:r>
      <w:proofErr w:type="spellEnd"/>
    </w:p>
    <w:p w:rsidR="009B39CE" w:rsidRPr="000202EA" w:rsidRDefault="009B39CE" w:rsidP="00243C1C">
      <w:pPr>
        <w:snapToGrid w:val="0"/>
        <w:ind w:left="425" w:right="425"/>
        <w:jc w:val="center"/>
        <w:rPr>
          <w:rFonts w:eastAsiaTheme="minorEastAsia"/>
          <w:bCs/>
          <w:sz w:val="20"/>
          <w:szCs w:val="20"/>
          <w:lang w:eastAsia="zh-CN"/>
        </w:rPr>
      </w:pPr>
    </w:p>
    <w:p w:rsidR="002722A3" w:rsidRPr="000202EA" w:rsidRDefault="002722A3" w:rsidP="00243C1C">
      <w:pPr>
        <w:snapToGrid w:val="0"/>
        <w:ind w:left="425" w:right="425"/>
        <w:jc w:val="center"/>
        <w:rPr>
          <w:bCs/>
          <w:sz w:val="20"/>
          <w:szCs w:val="20"/>
        </w:rPr>
      </w:pPr>
      <w:r w:rsidRPr="000202EA">
        <w:rPr>
          <w:bCs/>
          <w:sz w:val="20"/>
          <w:szCs w:val="20"/>
        </w:rPr>
        <w:t>Vascular Surgery Department, Faculty of Medicine, Al-</w:t>
      </w:r>
      <w:proofErr w:type="spellStart"/>
      <w:r w:rsidRPr="000202EA">
        <w:rPr>
          <w:bCs/>
          <w:sz w:val="20"/>
          <w:szCs w:val="20"/>
        </w:rPr>
        <w:t>Azhar</w:t>
      </w:r>
      <w:proofErr w:type="spellEnd"/>
      <w:r w:rsidRPr="000202EA">
        <w:rPr>
          <w:bCs/>
          <w:sz w:val="20"/>
          <w:szCs w:val="20"/>
        </w:rPr>
        <w:t xml:space="preserve"> University, Egypt</w:t>
      </w:r>
    </w:p>
    <w:p w:rsidR="002722A3" w:rsidRPr="000202EA" w:rsidRDefault="00A42605" w:rsidP="00243C1C">
      <w:pPr>
        <w:snapToGrid w:val="0"/>
        <w:ind w:left="425" w:right="425"/>
        <w:jc w:val="center"/>
        <w:rPr>
          <w:sz w:val="20"/>
          <w:szCs w:val="20"/>
        </w:rPr>
      </w:pPr>
      <w:hyperlink r:id="rId8" w:history="1">
        <w:r w:rsidR="002722A3" w:rsidRPr="000202EA">
          <w:rPr>
            <w:rStyle w:val="Hyperlink"/>
            <w:sz w:val="20"/>
            <w:szCs w:val="20"/>
            <w:u w:val="none"/>
          </w:rPr>
          <w:t>Hamoda_hr_84@yahoo.com</w:t>
        </w:r>
      </w:hyperlink>
    </w:p>
    <w:p w:rsidR="00ED442C" w:rsidRPr="000202EA" w:rsidRDefault="00ED442C" w:rsidP="00243C1C">
      <w:pPr>
        <w:snapToGrid w:val="0"/>
        <w:ind w:left="425" w:right="425"/>
        <w:jc w:val="center"/>
        <w:rPr>
          <w:bCs/>
          <w:sz w:val="20"/>
          <w:szCs w:val="20"/>
        </w:rPr>
      </w:pPr>
    </w:p>
    <w:p w:rsidR="002E184C" w:rsidRPr="000202EA" w:rsidRDefault="000A6C67" w:rsidP="00243C1C">
      <w:pPr>
        <w:snapToGrid w:val="0"/>
        <w:jc w:val="both"/>
        <w:rPr>
          <w:rFonts w:eastAsiaTheme="minorEastAsia"/>
          <w:sz w:val="20"/>
          <w:szCs w:val="20"/>
          <w:lang w:eastAsia="zh-CN"/>
        </w:rPr>
      </w:pPr>
      <w:r w:rsidRPr="000202EA">
        <w:rPr>
          <w:b/>
          <w:sz w:val="20"/>
          <w:szCs w:val="20"/>
        </w:rPr>
        <w:t>Abstract:</w:t>
      </w:r>
      <w:r w:rsidR="00ED442C" w:rsidRPr="000202EA">
        <w:rPr>
          <w:b/>
          <w:sz w:val="20"/>
          <w:szCs w:val="20"/>
        </w:rPr>
        <w:t xml:space="preserve"> </w:t>
      </w:r>
      <w:r w:rsidRPr="000202EA">
        <w:rPr>
          <w:b/>
          <w:sz w:val="20"/>
          <w:szCs w:val="20"/>
        </w:rPr>
        <w:t>Objective</w:t>
      </w:r>
      <w:r w:rsidR="007A57ED" w:rsidRPr="000202EA">
        <w:rPr>
          <w:rFonts w:eastAsiaTheme="minorEastAsia" w:hint="eastAsia"/>
          <w:b/>
          <w:sz w:val="20"/>
          <w:szCs w:val="20"/>
          <w:lang w:eastAsia="zh-CN"/>
        </w:rPr>
        <w:t>:</w:t>
      </w:r>
      <w:r w:rsidRPr="000202EA">
        <w:rPr>
          <w:b/>
          <w:sz w:val="20"/>
          <w:szCs w:val="20"/>
        </w:rPr>
        <w:t xml:space="preserve"> </w:t>
      </w:r>
      <w:r w:rsidR="007A57ED" w:rsidRPr="000202EA">
        <w:rPr>
          <w:rFonts w:eastAsiaTheme="minorEastAsia" w:hint="eastAsia"/>
          <w:sz w:val="20"/>
          <w:szCs w:val="20"/>
          <w:lang w:eastAsia="zh-CN"/>
        </w:rPr>
        <w:t>T</w:t>
      </w:r>
      <w:r w:rsidRPr="000202EA">
        <w:rPr>
          <w:sz w:val="20"/>
          <w:szCs w:val="20"/>
        </w:rPr>
        <w:t xml:space="preserve">o assess the using of duplex ultrasound technique during balloon angioplasty of the lower extremity arteries as regard efficacy, safety and results as well as complications in the treatment of cases of critical lower limb </w:t>
      </w:r>
      <w:proofErr w:type="spellStart"/>
      <w:r w:rsidRPr="000202EA">
        <w:rPr>
          <w:sz w:val="20"/>
          <w:szCs w:val="20"/>
        </w:rPr>
        <w:t>ischaemia</w:t>
      </w:r>
      <w:proofErr w:type="spellEnd"/>
      <w:r w:rsidR="00725563" w:rsidRPr="000202EA">
        <w:rPr>
          <w:rFonts w:eastAsiaTheme="minorEastAsia" w:hint="eastAsia"/>
          <w:sz w:val="20"/>
          <w:szCs w:val="20"/>
          <w:lang w:eastAsia="zh-CN"/>
        </w:rPr>
        <w:t>.</w:t>
      </w:r>
      <w:r w:rsidR="00ED442C" w:rsidRPr="000202EA">
        <w:rPr>
          <w:b/>
          <w:sz w:val="20"/>
          <w:szCs w:val="20"/>
        </w:rPr>
        <w:t xml:space="preserve"> </w:t>
      </w:r>
      <w:r w:rsidR="00824A6A" w:rsidRPr="000202EA">
        <w:rPr>
          <w:b/>
          <w:sz w:val="20"/>
          <w:szCs w:val="20"/>
        </w:rPr>
        <w:t>Methods</w:t>
      </w:r>
      <w:r w:rsidR="007A57ED" w:rsidRPr="000202EA">
        <w:rPr>
          <w:rFonts w:eastAsiaTheme="minorEastAsia" w:hint="eastAsia"/>
          <w:b/>
          <w:sz w:val="20"/>
          <w:szCs w:val="20"/>
          <w:lang w:eastAsia="zh-CN"/>
        </w:rPr>
        <w:t>:</w:t>
      </w:r>
      <w:r w:rsidR="00824A6A" w:rsidRPr="000202EA">
        <w:rPr>
          <w:bCs/>
          <w:sz w:val="20"/>
          <w:szCs w:val="20"/>
        </w:rPr>
        <w:t xml:space="preserve"> </w:t>
      </w:r>
      <w:r w:rsidR="00824A6A" w:rsidRPr="000202EA">
        <w:rPr>
          <w:sz w:val="20"/>
          <w:szCs w:val="20"/>
        </w:rPr>
        <w:t>This prospective randomized controlled study was conducted in the vascular surgery department of Al-</w:t>
      </w:r>
      <w:proofErr w:type="spellStart"/>
      <w:r w:rsidR="00824A6A" w:rsidRPr="000202EA">
        <w:rPr>
          <w:sz w:val="20"/>
          <w:szCs w:val="20"/>
        </w:rPr>
        <w:t>Azahar</w:t>
      </w:r>
      <w:proofErr w:type="spellEnd"/>
      <w:r w:rsidR="00824A6A" w:rsidRPr="000202EA">
        <w:rPr>
          <w:sz w:val="20"/>
          <w:szCs w:val="20"/>
        </w:rPr>
        <w:t xml:space="preserve"> University Hospitals during the period from December 2014 to October 2016. 40 patients; 31(77.5%) male and females was 9(22.5%) with critical lower limb </w:t>
      </w:r>
      <w:proofErr w:type="spellStart"/>
      <w:r w:rsidR="00824A6A" w:rsidRPr="000202EA">
        <w:rPr>
          <w:sz w:val="20"/>
          <w:szCs w:val="20"/>
        </w:rPr>
        <w:t>ischaemia</w:t>
      </w:r>
      <w:proofErr w:type="spellEnd"/>
      <w:r w:rsidR="00824A6A" w:rsidRPr="000202EA">
        <w:rPr>
          <w:sz w:val="20"/>
          <w:szCs w:val="20"/>
        </w:rPr>
        <w:t xml:space="preserve">. All 40 patients were treated with duplex guided balloon angioplasty and </w:t>
      </w:r>
      <w:proofErr w:type="spellStart"/>
      <w:r w:rsidR="00824A6A" w:rsidRPr="000202EA">
        <w:rPr>
          <w:sz w:val="20"/>
          <w:szCs w:val="20"/>
        </w:rPr>
        <w:t>stenting</w:t>
      </w:r>
      <w:proofErr w:type="spellEnd"/>
      <w:r w:rsidR="00824A6A" w:rsidRPr="000202EA">
        <w:rPr>
          <w:sz w:val="20"/>
          <w:szCs w:val="20"/>
        </w:rPr>
        <w:t xml:space="preserve">. </w:t>
      </w:r>
      <w:r w:rsidR="00824A6A" w:rsidRPr="000202EA">
        <w:rPr>
          <w:sz w:val="20"/>
          <w:szCs w:val="20"/>
          <w:lang w:bidi="ar-EG"/>
        </w:rPr>
        <w:t xml:space="preserve">The patients underwent duplex guidance balloon angioplasty for </w:t>
      </w:r>
      <w:proofErr w:type="spellStart"/>
      <w:r w:rsidR="00824A6A" w:rsidRPr="000202EA">
        <w:rPr>
          <w:sz w:val="20"/>
          <w:szCs w:val="20"/>
          <w:lang w:bidi="ar-EG"/>
        </w:rPr>
        <w:t>stenotic</w:t>
      </w:r>
      <w:proofErr w:type="spellEnd"/>
      <w:r w:rsidR="00824A6A" w:rsidRPr="000202EA">
        <w:rPr>
          <w:sz w:val="20"/>
          <w:szCs w:val="20"/>
          <w:lang w:bidi="ar-EG"/>
        </w:rPr>
        <w:t xml:space="preserve"> and occlusion lesions in the lower extremities.</w:t>
      </w:r>
      <w:r w:rsidR="00ED442C" w:rsidRPr="000202EA">
        <w:rPr>
          <w:b/>
          <w:sz w:val="20"/>
          <w:szCs w:val="20"/>
        </w:rPr>
        <w:t xml:space="preserve"> </w:t>
      </w:r>
      <w:r w:rsidR="00824A6A" w:rsidRPr="000202EA">
        <w:rPr>
          <w:rFonts w:eastAsia="Batang"/>
          <w:b/>
          <w:bCs/>
          <w:sz w:val="20"/>
          <w:szCs w:val="20"/>
        </w:rPr>
        <w:t>Results</w:t>
      </w:r>
      <w:r w:rsidR="007A57ED" w:rsidRPr="000202EA">
        <w:rPr>
          <w:rFonts w:eastAsiaTheme="minorEastAsia" w:hint="eastAsia"/>
          <w:b/>
          <w:bCs/>
          <w:sz w:val="20"/>
          <w:szCs w:val="20"/>
          <w:lang w:eastAsia="zh-CN"/>
        </w:rPr>
        <w:t>:</w:t>
      </w:r>
      <w:r w:rsidR="00824A6A" w:rsidRPr="000202EA">
        <w:rPr>
          <w:rFonts w:eastAsia="Batang"/>
          <w:sz w:val="20"/>
          <w:szCs w:val="20"/>
        </w:rPr>
        <w:t xml:space="preserve"> </w:t>
      </w:r>
      <w:r w:rsidR="00824A6A" w:rsidRPr="000202EA">
        <w:rPr>
          <w:color w:val="000000"/>
          <w:sz w:val="20"/>
          <w:szCs w:val="20"/>
        </w:rPr>
        <w:t>the technical success rate was 100% in this study</w:t>
      </w:r>
      <w:r w:rsidR="00824A6A" w:rsidRPr="000202EA">
        <w:rPr>
          <w:b/>
          <w:bCs/>
          <w:sz w:val="20"/>
          <w:szCs w:val="20"/>
        </w:rPr>
        <w:t xml:space="preserve">, </w:t>
      </w:r>
      <w:r w:rsidR="00824A6A" w:rsidRPr="000202EA">
        <w:rPr>
          <w:color w:val="000000"/>
          <w:sz w:val="20"/>
          <w:szCs w:val="20"/>
        </w:rPr>
        <w:t xml:space="preserve">based on blood flow was regard before accomplishing the procedure by PTA alone in 38 patients (95%) and </w:t>
      </w:r>
      <w:r w:rsidR="00824A6A" w:rsidRPr="000202EA">
        <w:rPr>
          <w:sz w:val="20"/>
          <w:szCs w:val="20"/>
        </w:rPr>
        <w:t>PTA</w:t>
      </w:r>
      <w:r w:rsidR="00824A6A" w:rsidRPr="000202EA">
        <w:rPr>
          <w:color w:val="000000"/>
          <w:sz w:val="20"/>
          <w:szCs w:val="20"/>
        </w:rPr>
        <w:t xml:space="preserve"> with stent in two patients (5%) </w:t>
      </w:r>
      <w:r w:rsidR="00824A6A" w:rsidRPr="000202EA">
        <w:rPr>
          <w:sz w:val="20"/>
          <w:szCs w:val="20"/>
          <w:lang w:bidi="ar-EG"/>
        </w:rPr>
        <w:t>due to dissection and treated with (6x80cm) EV3 (Self –expanding stent</w:t>
      </w:r>
      <w:r w:rsidR="00824A6A" w:rsidRPr="000202EA">
        <w:rPr>
          <w:sz w:val="20"/>
          <w:szCs w:val="20"/>
        </w:rPr>
        <w:t>.</w:t>
      </w:r>
      <w:r w:rsidR="00725563" w:rsidRPr="000202EA">
        <w:rPr>
          <w:rFonts w:eastAsiaTheme="minorEastAsia" w:hint="eastAsia"/>
          <w:sz w:val="20"/>
          <w:szCs w:val="20"/>
          <w:lang w:eastAsia="zh-CN"/>
        </w:rPr>
        <w:t xml:space="preserve"> </w:t>
      </w:r>
      <w:r w:rsidR="00824A6A" w:rsidRPr="000202EA">
        <w:rPr>
          <w:color w:val="000000"/>
          <w:sz w:val="20"/>
          <w:szCs w:val="20"/>
        </w:rPr>
        <w:t>The improvement detected by PSV at the site of arterial lesion before and after PTA in 40 patients</w:t>
      </w:r>
      <w:r w:rsidR="00824A6A" w:rsidRPr="000202EA">
        <w:rPr>
          <w:sz w:val="20"/>
          <w:szCs w:val="20"/>
        </w:rPr>
        <w:t xml:space="preserve">. Balloon angioplasty with or without </w:t>
      </w:r>
      <w:proofErr w:type="spellStart"/>
      <w:r w:rsidR="00824A6A" w:rsidRPr="000202EA">
        <w:rPr>
          <w:sz w:val="20"/>
          <w:szCs w:val="20"/>
        </w:rPr>
        <w:t>stenting</w:t>
      </w:r>
      <w:proofErr w:type="spellEnd"/>
      <w:r w:rsidR="00824A6A" w:rsidRPr="000202EA">
        <w:rPr>
          <w:sz w:val="20"/>
          <w:szCs w:val="20"/>
        </w:rPr>
        <w:t xml:space="preserve"> was done for the lesions after successful crossing.</w:t>
      </w:r>
      <w:r w:rsidR="00477AFD" w:rsidRPr="000202EA">
        <w:rPr>
          <w:sz w:val="20"/>
          <w:szCs w:val="20"/>
        </w:rPr>
        <w:t xml:space="preserve"> </w:t>
      </w:r>
      <w:r w:rsidR="00824A6A" w:rsidRPr="000202EA">
        <w:rPr>
          <w:sz w:val="20"/>
          <w:szCs w:val="20"/>
        </w:rPr>
        <w:t>Improvement detected by duplex ultrasound (PSV and wave form) of the studied group (40) 100% at 1 month, 80% at 6 month, 77.5% at 1 year</w:t>
      </w:r>
      <w:r w:rsidR="00725563" w:rsidRPr="000202EA">
        <w:rPr>
          <w:rFonts w:eastAsiaTheme="minorEastAsia" w:hint="eastAsia"/>
          <w:sz w:val="20"/>
          <w:szCs w:val="20"/>
          <w:lang w:eastAsia="zh-CN"/>
        </w:rPr>
        <w:t xml:space="preserve">. </w:t>
      </w:r>
      <w:proofErr w:type="spellStart"/>
      <w:r w:rsidR="00824A6A" w:rsidRPr="000202EA">
        <w:rPr>
          <w:sz w:val="20"/>
          <w:szCs w:val="20"/>
        </w:rPr>
        <w:t>Intraoperative</w:t>
      </w:r>
      <w:proofErr w:type="spellEnd"/>
      <w:r w:rsidR="00824A6A" w:rsidRPr="000202EA">
        <w:rPr>
          <w:sz w:val="20"/>
          <w:szCs w:val="20"/>
        </w:rPr>
        <w:t xml:space="preserve"> complications, there were dissection occurred in two cases one treated with stent deployment due to </w:t>
      </w:r>
      <w:proofErr w:type="spellStart"/>
      <w:r w:rsidR="00824A6A" w:rsidRPr="000202EA">
        <w:rPr>
          <w:sz w:val="20"/>
          <w:szCs w:val="20"/>
        </w:rPr>
        <w:t>hemodynamically</w:t>
      </w:r>
      <w:proofErr w:type="spellEnd"/>
      <w:r w:rsidR="00824A6A" w:rsidRPr="000202EA">
        <w:rPr>
          <w:sz w:val="20"/>
          <w:szCs w:val="20"/>
        </w:rPr>
        <w:t xml:space="preserve"> residual significant </w:t>
      </w:r>
      <w:proofErr w:type="spellStart"/>
      <w:r w:rsidR="00824A6A" w:rsidRPr="000202EA">
        <w:rPr>
          <w:sz w:val="20"/>
          <w:szCs w:val="20"/>
        </w:rPr>
        <w:t>stenosis</w:t>
      </w:r>
      <w:proofErr w:type="spellEnd"/>
      <w:r w:rsidR="00824A6A" w:rsidRPr="000202EA">
        <w:rPr>
          <w:sz w:val="20"/>
          <w:szCs w:val="20"/>
        </w:rPr>
        <w:t xml:space="preserve"> following angioplasty </w:t>
      </w:r>
      <w:r w:rsidR="00824A6A" w:rsidRPr="000202EA">
        <w:rPr>
          <w:sz w:val="20"/>
          <w:szCs w:val="20"/>
          <w:lang w:bidi="ar-EG"/>
        </w:rPr>
        <w:t>&lt;</w:t>
      </w:r>
      <w:r w:rsidR="00824A6A" w:rsidRPr="000202EA">
        <w:rPr>
          <w:sz w:val="20"/>
          <w:szCs w:val="20"/>
        </w:rPr>
        <w:t>30% diameter reduction and the other one treated with multiple successive balloon dilation for 30 second duration and one minute apart, no thrombosis of the SFA, no distal emboli were detected on completion duplex scans.</w:t>
      </w:r>
      <w:r w:rsidR="00ED442C" w:rsidRPr="000202EA">
        <w:rPr>
          <w:sz w:val="20"/>
          <w:szCs w:val="20"/>
        </w:rPr>
        <w:t xml:space="preserve"> </w:t>
      </w:r>
      <w:r w:rsidR="000D0C08" w:rsidRPr="000202EA">
        <w:rPr>
          <w:b/>
          <w:bCs/>
          <w:sz w:val="20"/>
          <w:szCs w:val="20"/>
        </w:rPr>
        <w:t>Conclusion</w:t>
      </w:r>
      <w:r w:rsidR="007A57ED" w:rsidRPr="000202EA">
        <w:rPr>
          <w:rFonts w:eastAsiaTheme="minorEastAsia" w:hint="eastAsia"/>
          <w:b/>
          <w:bCs/>
          <w:sz w:val="20"/>
          <w:szCs w:val="20"/>
          <w:lang w:eastAsia="zh-CN"/>
        </w:rPr>
        <w:t>:</w:t>
      </w:r>
      <w:r w:rsidR="000D0C08" w:rsidRPr="000202EA">
        <w:rPr>
          <w:sz w:val="20"/>
          <w:szCs w:val="20"/>
          <w:lang w:bidi="ar-EG"/>
        </w:rPr>
        <w:t xml:space="preserve"> Duplex-guided balloon angioplasty seems to be feasible, safe, effective technique, a bedside procedure and cost effective as well. Compared with fluoroscopy guidance its considerable cheap, feasible, safe, effective technique, abed–side procedure and cost effective as well</w:t>
      </w:r>
      <w:r w:rsidR="00725563" w:rsidRPr="000202EA">
        <w:rPr>
          <w:rFonts w:eastAsiaTheme="minorEastAsia" w:hint="eastAsia"/>
          <w:sz w:val="20"/>
          <w:szCs w:val="20"/>
          <w:lang w:eastAsia="zh-CN" w:bidi="ar-EG"/>
        </w:rPr>
        <w:t>.</w:t>
      </w:r>
    </w:p>
    <w:p w:rsidR="00243C1C" w:rsidRPr="000202EA" w:rsidRDefault="00ED442C" w:rsidP="00243C1C">
      <w:pPr>
        <w:snapToGrid w:val="0"/>
        <w:jc w:val="both"/>
        <w:rPr>
          <w:sz w:val="20"/>
          <w:szCs w:val="20"/>
        </w:rPr>
      </w:pPr>
      <w:r w:rsidRPr="000202EA">
        <w:rPr>
          <w:bCs/>
          <w:sz w:val="20"/>
          <w:szCs w:val="20"/>
        </w:rPr>
        <w:t>[</w:t>
      </w:r>
      <w:proofErr w:type="spellStart"/>
      <w:r w:rsidR="00012A84" w:rsidRPr="000202EA">
        <w:rPr>
          <w:bCs/>
          <w:sz w:val="20"/>
          <w:szCs w:val="20"/>
        </w:rPr>
        <w:t>Alaa</w:t>
      </w:r>
      <w:proofErr w:type="spellEnd"/>
      <w:r w:rsidR="00012A84" w:rsidRPr="000202EA">
        <w:rPr>
          <w:bCs/>
          <w:sz w:val="20"/>
          <w:szCs w:val="20"/>
        </w:rPr>
        <w:t xml:space="preserve"> El-Din </w:t>
      </w:r>
      <w:proofErr w:type="spellStart"/>
      <w:r w:rsidR="00012A84" w:rsidRPr="000202EA">
        <w:rPr>
          <w:bCs/>
          <w:sz w:val="20"/>
          <w:szCs w:val="20"/>
        </w:rPr>
        <w:t>Mostaf</w:t>
      </w:r>
      <w:proofErr w:type="spellEnd"/>
      <w:r w:rsidR="00012A84" w:rsidRPr="000202EA">
        <w:rPr>
          <w:bCs/>
          <w:sz w:val="20"/>
          <w:szCs w:val="20"/>
        </w:rPr>
        <w:t xml:space="preserve"> </w:t>
      </w:r>
      <w:proofErr w:type="spellStart"/>
      <w:r w:rsidR="00012A84" w:rsidRPr="000202EA">
        <w:rPr>
          <w:bCs/>
          <w:sz w:val="20"/>
          <w:szCs w:val="20"/>
        </w:rPr>
        <w:t>Kamal</w:t>
      </w:r>
      <w:proofErr w:type="spellEnd"/>
      <w:r w:rsidR="00012A84" w:rsidRPr="000202EA">
        <w:rPr>
          <w:bCs/>
          <w:sz w:val="20"/>
          <w:szCs w:val="20"/>
        </w:rPr>
        <w:t xml:space="preserve"> </w:t>
      </w:r>
      <w:proofErr w:type="spellStart"/>
      <w:r w:rsidR="00012A84" w:rsidRPr="000202EA">
        <w:rPr>
          <w:bCs/>
          <w:sz w:val="20"/>
          <w:szCs w:val="20"/>
        </w:rPr>
        <w:t>Sharaby</w:t>
      </w:r>
      <w:proofErr w:type="spellEnd"/>
      <w:r w:rsidR="00012A84" w:rsidRPr="000202EA">
        <w:rPr>
          <w:bCs/>
          <w:sz w:val="20"/>
          <w:szCs w:val="20"/>
        </w:rPr>
        <w:t xml:space="preserve">, Mohamed </w:t>
      </w:r>
      <w:proofErr w:type="spellStart"/>
      <w:r w:rsidR="00012A84" w:rsidRPr="000202EA">
        <w:rPr>
          <w:bCs/>
          <w:sz w:val="20"/>
          <w:szCs w:val="20"/>
        </w:rPr>
        <w:t>Abd</w:t>
      </w:r>
      <w:proofErr w:type="spellEnd"/>
      <w:r w:rsidR="00012A84" w:rsidRPr="000202EA">
        <w:rPr>
          <w:bCs/>
          <w:sz w:val="20"/>
          <w:szCs w:val="20"/>
        </w:rPr>
        <w:t xml:space="preserve"> El-</w:t>
      </w:r>
      <w:proofErr w:type="spellStart"/>
      <w:r w:rsidR="00012A84" w:rsidRPr="000202EA">
        <w:rPr>
          <w:bCs/>
          <w:sz w:val="20"/>
          <w:szCs w:val="20"/>
        </w:rPr>
        <w:t>Hamid</w:t>
      </w:r>
      <w:proofErr w:type="spellEnd"/>
      <w:r w:rsidR="00012A84" w:rsidRPr="000202EA">
        <w:rPr>
          <w:bCs/>
          <w:sz w:val="20"/>
          <w:szCs w:val="20"/>
        </w:rPr>
        <w:t xml:space="preserve"> </w:t>
      </w:r>
      <w:proofErr w:type="spellStart"/>
      <w:r w:rsidR="00012A84" w:rsidRPr="000202EA">
        <w:rPr>
          <w:bCs/>
          <w:sz w:val="20"/>
          <w:szCs w:val="20"/>
        </w:rPr>
        <w:t>Abd</w:t>
      </w:r>
      <w:proofErr w:type="spellEnd"/>
      <w:r w:rsidR="00012A84" w:rsidRPr="000202EA">
        <w:rPr>
          <w:bCs/>
          <w:sz w:val="20"/>
          <w:szCs w:val="20"/>
        </w:rPr>
        <w:t xml:space="preserve"> El-</w:t>
      </w:r>
      <w:proofErr w:type="spellStart"/>
      <w:r w:rsidR="00012A84" w:rsidRPr="000202EA">
        <w:rPr>
          <w:bCs/>
          <w:sz w:val="20"/>
          <w:szCs w:val="20"/>
        </w:rPr>
        <w:t>Rahman</w:t>
      </w:r>
      <w:proofErr w:type="spellEnd"/>
      <w:r w:rsidR="00012A84" w:rsidRPr="000202EA">
        <w:rPr>
          <w:bCs/>
          <w:sz w:val="20"/>
          <w:szCs w:val="20"/>
        </w:rPr>
        <w:t xml:space="preserve"> and Mohamed </w:t>
      </w:r>
      <w:proofErr w:type="spellStart"/>
      <w:r w:rsidR="00012A84" w:rsidRPr="000202EA">
        <w:rPr>
          <w:bCs/>
          <w:sz w:val="20"/>
          <w:szCs w:val="20"/>
        </w:rPr>
        <w:t>Ibraheem</w:t>
      </w:r>
      <w:proofErr w:type="spellEnd"/>
      <w:r w:rsidR="00012A84" w:rsidRPr="000202EA">
        <w:rPr>
          <w:bCs/>
          <w:sz w:val="20"/>
          <w:szCs w:val="20"/>
        </w:rPr>
        <w:t xml:space="preserve"> </w:t>
      </w:r>
      <w:proofErr w:type="spellStart"/>
      <w:r w:rsidR="00012A84" w:rsidRPr="000202EA">
        <w:rPr>
          <w:bCs/>
          <w:sz w:val="20"/>
          <w:szCs w:val="20"/>
        </w:rPr>
        <w:t>Hammoda</w:t>
      </w:r>
      <w:proofErr w:type="spellEnd"/>
      <w:r w:rsidR="00243C1C" w:rsidRPr="000202EA">
        <w:rPr>
          <w:rFonts w:eastAsiaTheme="minorEastAsia" w:hint="eastAsia"/>
          <w:bCs/>
          <w:sz w:val="20"/>
          <w:szCs w:val="20"/>
          <w:lang w:eastAsia="zh-CN"/>
        </w:rPr>
        <w:t>.</w:t>
      </w:r>
      <w:r w:rsidR="00012A84" w:rsidRPr="000202EA">
        <w:rPr>
          <w:bCs/>
          <w:sz w:val="20"/>
          <w:szCs w:val="20"/>
        </w:rPr>
        <w:t xml:space="preserve"> </w:t>
      </w:r>
      <w:r w:rsidRPr="000202EA">
        <w:rPr>
          <w:b/>
          <w:sz w:val="20"/>
          <w:szCs w:val="20"/>
        </w:rPr>
        <w:t xml:space="preserve">Duplex Ultrasound Guided Balloon Angioplasty of Lower Extremity Arteries in the Treatment of Critical Lower Limb </w:t>
      </w:r>
      <w:proofErr w:type="spellStart"/>
      <w:r w:rsidRPr="000202EA">
        <w:rPr>
          <w:b/>
          <w:sz w:val="20"/>
          <w:szCs w:val="20"/>
        </w:rPr>
        <w:t>Ischaemia</w:t>
      </w:r>
      <w:proofErr w:type="spellEnd"/>
      <w:r w:rsidR="00243C1C" w:rsidRPr="000202EA">
        <w:rPr>
          <w:b/>
          <w:bCs/>
          <w:sz w:val="20"/>
          <w:szCs w:val="20"/>
          <w:lang w:bidi="fa-IR"/>
        </w:rPr>
        <w:t>.</w:t>
      </w:r>
      <w:r w:rsidR="00243C1C" w:rsidRPr="000202EA">
        <w:rPr>
          <w:bCs/>
          <w:i/>
          <w:sz w:val="20"/>
          <w:szCs w:val="20"/>
        </w:rPr>
        <w:t xml:space="preserve"> N Y </w:t>
      </w:r>
      <w:proofErr w:type="spellStart"/>
      <w:r w:rsidR="00243C1C" w:rsidRPr="000202EA">
        <w:rPr>
          <w:bCs/>
          <w:i/>
          <w:sz w:val="20"/>
          <w:szCs w:val="20"/>
        </w:rPr>
        <w:t>Sci</w:t>
      </w:r>
      <w:proofErr w:type="spellEnd"/>
      <w:r w:rsidR="00243C1C" w:rsidRPr="000202EA">
        <w:rPr>
          <w:bCs/>
          <w:i/>
          <w:sz w:val="20"/>
          <w:szCs w:val="20"/>
        </w:rPr>
        <w:t xml:space="preserve"> J</w:t>
      </w:r>
      <w:r w:rsidR="00243C1C" w:rsidRPr="000202EA">
        <w:rPr>
          <w:bCs/>
          <w:sz w:val="20"/>
          <w:szCs w:val="20"/>
        </w:rPr>
        <w:t xml:space="preserve"> </w:t>
      </w:r>
      <w:r w:rsidR="00243C1C" w:rsidRPr="000202EA">
        <w:rPr>
          <w:sz w:val="20"/>
          <w:szCs w:val="20"/>
        </w:rPr>
        <w:t>201</w:t>
      </w:r>
      <w:r w:rsidR="00243C1C" w:rsidRPr="000202EA">
        <w:rPr>
          <w:rFonts w:hint="eastAsia"/>
          <w:sz w:val="20"/>
          <w:szCs w:val="20"/>
        </w:rPr>
        <w:t>7</w:t>
      </w:r>
      <w:r w:rsidR="00243C1C" w:rsidRPr="000202EA">
        <w:rPr>
          <w:sz w:val="20"/>
          <w:szCs w:val="20"/>
        </w:rPr>
        <w:t>;</w:t>
      </w:r>
      <w:r w:rsidR="00243C1C" w:rsidRPr="000202EA">
        <w:rPr>
          <w:rFonts w:hint="eastAsia"/>
          <w:sz w:val="20"/>
          <w:szCs w:val="20"/>
        </w:rPr>
        <w:t>10</w:t>
      </w:r>
      <w:r w:rsidR="00243C1C" w:rsidRPr="000202EA">
        <w:rPr>
          <w:sz w:val="20"/>
          <w:szCs w:val="20"/>
        </w:rPr>
        <w:t>(</w:t>
      </w:r>
      <w:r w:rsidR="00243C1C" w:rsidRPr="000202EA">
        <w:rPr>
          <w:rFonts w:hint="eastAsia"/>
          <w:sz w:val="20"/>
          <w:szCs w:val="20"/>
        </w:rPr>
        <w:t>8</w:t>
      </w:r>
      <w:r w:rsidR="00243C1C" w:rsidRPr="000202EA">
        <w:rPr>
          <w:sz w:val="20"/>
          <w:szCs w:val="20"/>
        </w:rPr>
        <w:t>):</w:t>
      </w:r>
      <w:r w:rsidR="00625EE7" w:rsidRPr="000202EA">
        <w:rPr>
          <w:noProof/>
          <w:color w:val="000000"/>
          <w:sz w:val="20"/>
          <w:szCs w:val="20"/>
        </w:rPr>
        <w:t>19-28</w:t>
      </w:r>
      <w:r w:rsidR="00243C1C" w:rsidRPr="000202EA">
        <w:rPr>
          <w:sz w:val="20"/>
          <w:szCs w:val="20"/>
        </w:rPr>
        <w:t xml:space="preserve">]. </w:t>
      </w:r>
      <w:r w:rsidR="00243C1C" w:rsidRPr="000202EA">
        <w:rPr>
          <w:iCs/>
          <w:color w:val="000000"/>
          <w:sz w:val="20"/>
          <w:szCs w:val="20"/>
        </w:rPr>
        <w:t>ISSN 1554-0200 (print); ISSN 2375-723X (online)</w:t>
      </w:r>
      <w:r w:rsidR="00243C1C" w:rsidRPr="000202EA">
        <w:rPr>
          <w:sz w:val="20"/>
          <w:szCs w:val="20"/>
        </w:rPr>
        <w:t xml:space="preserve">. </w:t>
      </w:r>
      <w:hyperlink r:id="rId9" w:history="1">
        <w:r w:rsidR="00243C1C" w:rsidRPr="000202EA">
          <w:rPr>
            <w:rStyle w:val="Hyperlink"/>
            <w:color w:val="0000FF"/>
            <w:sz w:val="20"/>
            <w:szCs w:val="20"/>
          </w:rPr>
          <w:t>http://www.sciencepub.net/newyork</w:t>
        </w:r>
      </w:hyperlink>
      <w:r w:rsidR="00243C1C" w:rsidRPr="000202EA">
        <w:rPr>
          <w:sz w:val="20"/>
          <w:szCs w:val="20"/>
        </w:rPr>
        <w:t xml:space="preserve">. </w:t>
      </w:r>
      <w:r w:rsidR="00243C1C" w:rsidRPr="000202EA">
        <w:rPr>
          <w:rFonts w:eastAsiaTheme="minorEastAsia" w:hint="eastAsia"/>
          <w:sz w:val="20"/>
          <w:szCs w:val="20"/>
          <w:lang w:eastAsia="zh-CN"/>
        </w:rPr>
        <w:t>4</w:t>
      </w:r>
      <w:r w:rsidR="00243C1C" w:rsidRPr="000202EA">
        <w:rPr>
          <w:rFonts w:hint="eastAsia"/>
          <w:sz w:val="20"/>
          <w:szCs w:val="20"/>
        </w:rPr>
        <w:t xml:space="preserve">. </w:t>
      </w:r>
      <w:r w:rsidR="00243C1C" w:rsidRPr="000202EA">
        <w:rPr>
          <w:color w:val="000000"/>
          <w:sz w:val="20"/>
          <w:szCs w:val="20"/>
          <w:shd w:val="clear" w:color="auto" w:fill="FFFFFF"/>
        </w:rPr>
        <w:t>doi:</w:t>
      </w:r>
      <w:hyperlink r:id="rId10" w:history="1">
        <w:r w:rsidR="00243C1C" w:rsidRPr="000202EA">
          <w:rPr>
            <w:rStyle w:val="Hyperlink"/>
            <w:color w:val="0000FF"/>
            <w:sz w:val="20"/>
            <w:szCs w:val="20"/>
            <w:shd w:val="clear" w:color="auto" w:fill="FFFFFF"/>
          </w:rPr>
          <w:t>10.7537/mars</w:t>
        </w:r>
        <w:r w:rsidR="00243C1C" w:rsidRPr="000202EA">
          <w:rPr>
            <w:rStyle w:val="Hyperlink"/>
            <w:rFonts w:hint="eastAsia"/>
            <w:color w:val="0000FF"/>
            <w:sz w:val="20"/>
            <w:szCs w:val="20"/>
            <w:shd w:val="clear" w:color="auto" w:fill="FFFFFF"/>
          </w:rPr>
          <w:t>nys100817.</w:t>
        </w:r>
        <w:r w:rsidR="00243C1C" w:rsidRPr="000202EA">
          <w:rPr>
            <w:rStyle w:val="Hyperlink"/>
            <w:color w:val="0000FF"/>
            <w:sz w:val="20"/>
            <w:szCs w:val="20"/>
            <w:shd w:val="clear" w:color="auto" w:fill="FFFFFF"/>
          </w:rPr>
          <w:t>0</w:t>
        </w:r>
        <w:r w:rsidR="00243C1C" w:rsidRPr="000202EA">
          <w:rPr>
            <w:rStyle w:val="Hyperlink"/>
            <w:rFonts w:eastAsiaTheme="minorEastAsia" w:hint="eastAsia"/>
            <w:color w:val="0000FF"/>
            <w:sz w:val="20"/>
            <w:szCs w:val="20"/>
            <w:shd w:val="clear" w:color="auto" w:fill="FFFFFF"/>
            <w:lang w:eastAsia="zh-CN"/>
          </w:rPr>
          <w:t>4</w:t>
        </w:r>
      </w:hyperlink>
      <w:r w:rsidR="00243C1C" w:rsidRPr="000202EA">
        <w:rPr>
          <w:color w:val="000000"/>
          <w:sz w:val="20"/>
          <w:szCs w:val="20"/>
          <w:shd w:val="clear" w:color="auto" w:fill="FFFFFF"/>
        </w:rPr>
        <w:t>.</w:t>
      </w:r>
    </w:p>
    <w:p w:rsidR="00725563" w:rsidRPr="000202EA" w:rsidRDefault="00725563" w:rsidP="00243C1C">
      <w:pPr>
        <w:autoSpaceDE w:val="0"/>
        <w:autoSpaceDN w:val="0"/>
        <w:adjustRightInd w:val="0"/>
        <w:snapToGrid w:val="0"/>
        <w:ind w:firstLine="425"/>
        <w:jc w:val="both"/>
        <w:rPr>
          <w:rFonts w:eastAsiaTheme="minorEastAsia"/>
          <w:sz w:val="20"/>
          <w:szCs w:val="20"/>
          <w:lang w:eastAsia="zh-CN"/>
        </w:rPr>
      </w:pPr>
    </w:p>
    <w:p w:rsidR="00725563" w:rsidRPr="000202EA" w:rsidRDefault="00725563" w:rsidP="00243C1C">
      <w:pPr>
        <w:autoSpaceDE w:val="0"/>
        <w:autoSpaceDN w:val="0"/>
        <w:adjustRightInd w:val="0"/>
        <w:snapToGrid w:val="0"/>
        <w:jc w:val="both"/>
        <w:rPr>
          <w:rFonts w:eastAsiaTheme="minorEastAsia"/>
          <w:bCs/>
          <w:sz w:val="20"/>
          <w:szCs w:val="20"/>
          <w:lang w:eastAsia="zh-CN" w:bidi="ar-EG"/>
        </w:rPr>
      </w:pPr>
      <w:r w:rsidRPr="000202EA">
        <w:rPr>
          <w:rFonts w:eastAsiaTheme="minorEastAsia" w:hint="eastAsia"/>
          <w:b/>
          <w:sz w:val="20"/>
          <w:szCs w:val="20"/>
          <w:lang w:eastAsia="zh-CN"/>
        </w:rPr>
        <w:t xml:space="preserve">Keywords: </w:t>
      </w:r>
      <w:r w:rsidRPr="000202EA">
        <w:rPr>
          <w:sz w:val="20"/>
          <w:szCs w:val="20"/>
        </w:rPr>
        <w:t>Duplex Ultrasound</w:t>
      </w:r>
      <w:r w:rsidRPr="000202EA">
        <w:rPr>
          <w:rFonts w:eastAsiaTheme="minorEastAsia" w:hint="eastAsia"/>
          <w:sz w:val="20"/>
          <w:szCs w:val="20"/>
          <w:lang w:eastAsia="zh-CN"/>
        </w:rPr>
        <w:t>;</w:t>
      </w:r>
      <w:r w:rsidRPr="000202EA">
        <w:rPr>
          <w:sz w:val="20"/>
          <w:szCs w:val="20"/>
        </w:rPr>
        <w:t xml:space="preserve"> Balloon Angioplasty</w:t>
      </w:r>
      <w:r w:rsidRPr="000202EA">
        <w:rPr>
          <w:rFonts w:eastAsiaTheme="minorEastAsia" w:hint="eastAsia"/>
          <w:sz w:val="20"/>
          <w:szCs w:val="20"/>
          <w:lang w:eastAsia="zh-CN"/>
        </w:rPr>
        <w:t>;</w:t>
      </w:r>
      <w:r w:rsidRPr="000202EA">
        <w:rPr>
          <w:sz w:val="20"/>
          <w:szCs w:val="20"/>
        </w:rPr>
        <w:t xml:space="preserve"> Lower Extremity Arter</w:t>
      </w:r>
      <w:r w:rsidRPr="000202EA">
        <w:rPr>
          <w:rFonts w:eastAsiaTheme="minorEastAsia" w:hint="eastAsia"/>
          <w:sz w:val="20"/>
          <w:szCs w:val="20"/>
          <w:lang w:eastAsia="zh-CN"/>
        </w:rPr>
        <w:t>y;</w:t>
      </w:r>
      <w:r w:rsidRPr="000202EA">
        <w:rPr>
          <w:sz w:val="20"/>
          <w:szCs w:val="20"/>
        </w:rPr>
        <w:t xml:space="preserve"> Treatment</w:t>
      </w:r>
      <w:r w:rsidRPr="000202EA">
        <w:rPr>
          <w:rFonts w:eastAsiaTheme="minorEastAsia" w:hint="eastAsia"/>
          <w:sz w:val="20"/>
          <w:szCs w:val="20"/>
          <w:lang w:eastAsia="zh-CN"/>
        </w:rPr>
        <w:t>;</w:t>
      </w:r>
      <w:r w:rsidRPr="000202EA">
        <w:rPr>
          <w:sz w:val="20"/>
          <w:szCs w:val="20"/>
        </w:rPr>
        <w:t xml:space="preserve"> Lower Limb </w:t>
      </w:r>
      <w:proofErr w:type="spellStart"/>
      <w:r w:rsidRPr="000202EA">
        <w:rPr>
          <w:sz w:val="20"/>
          <w:szCs w:val="20"/>
        </w:rPr>
        <w:t>Ischaemia</w:t>
      </w:r>
      <w:proofErr w:type="spellEnd"/>
    </w:p>
    <w:p w:rsidR="009B39CE" w:rsidRPr="000202EA" w:rsidRDefault="009B39CE" w:rsidP="00243C1C">
      <w:pPr>
        <w:autoSpaceDE w:val="0"/>
        <w:autoSpaceDN w:val="0"/>
        <w:adjustRightInd w:val="0"/>
        <w:snapToGrid w:val="0"/>
        <w:jc w:val="both"/>
        <w:rPr>
          <w:b/>
          <w:bCs/>
          <w:sz w:val="20"/>
          <w:szCs w:val="20"/>
        </w:rPr>
      </w:pPr>
    </w:p>
    <w:p w:rsidR="009B39CE" w:rsidRPr="000202EA" w:rsidRDefault="009B39CE" w:rsidP="00243C1C">
      <w:pPr>
        <w:autoSpaceDE w:val="0"/>
        <w:autoSpaceDN w:val="0"/>
        <w:adjustRightInd w:val="0"/>
        <w:snapToGrid w:val="0"/>
        <w:jc w:val="both"/>
        <w:rPr>
          <w:b/>
          <w:bCs/>
          <w:sz w:val="20"/>
          <w:szCs w:val="20"/>
        </w:rPr>
        <w:sectPr w:rsidR="009B39CE" w:rsidRPr="000202EA" w:rsidSect="00625EE7">
          <w:headerReference w:type="default" r:id="rId11"/>
          <w:footerReference w:type="default" r:id="rId12"/>
          <w:type w:val="continuous"/>
          <w:pgSz w:w="12242" w:h="15842" w:code="1"/>
          <w:pgMar w:top="1440" w:right="1440" w:bottom="1440" w:left="1440" w:header="720" w:footer="720" w:gutter="0"/>
          <w:pgNumType w:start="19"/>
          <w:cols w:space="708"/>
          <w:bidi/>
          <w:docGrid w:linePitch="360"/>
        </w:sectPr>
      </w:pPr>
    </w:p>
    <w:p w:rsidR="0081730A" w:rsidRPr="000202EA" w:rsidRDefault="00ED442C" w:rsidP="00243C1C">
      <w:pPr>
        <w:autoSpaceDE w:val="0"/>
        <w:autoSpaceDN w:val="0"/>
        <w:adjustRightInd w:val="0"/>
        <w:snapToGrid w:val="0"/>
        <w:jc w:val="both"/>
        <w:rPr>
          <w:b/>
          <w:bCs/>
          <w:sz w:val="20"/>
          <w:szCs w:val="20"/>
        </w:rPr>
      </w:pPr>
      <w:r w:rsidRPr="000202EA">
        <w:rPr>
          <w:b/>
          <w:bCs/>
          <w:sz w:val="20"/>
          <w:szCs w:val="20"/>
        </w:rPr>
        <w:lastRenderedPageBreak/>
        <w:t xml:space="preserve">1. </w:t>
      </w:r>
      <w:r w:rsidR="00714B51" w:rsidRPr="000202EA">
        <w:rPr>
          <w:b/>
          <w:bCs/>
          <w:sz w:val="20"/>
          <w:szCs w:val="20"/>
        </w:rPr>
        <w:t>Introduction:</w:t>
      </w:r>
    </w:p>
    <w:p w:rsidR="00714B51" w:rsidRPr="000202EA" w:rsidRDefault="0081730A" w:rsidP="00243C1C">
      <w:pPr>
        <w:snapToGrid w:val="0"/>
        <w:ind w:firstLine="425"/>
        <w:jc w:val="both"/>
        <w:rPr>
          <w:b/>
          <w:bCs/>
          <w:sz w:val="20"/>
          <w:szCs w:val="20"/>
        </w:rPr>
      </w:pPr>
      <w:r w:rsidRPr="000202EA">
        <w:rPr>
          <w:sz w:val="20"/>
          <w:szCs w:val="20"/>
        </w:rPr>
        <w:t xml:space="preserve">Critical limb </w:t>
      </w:r>
      <w:proofErr w:type="spellStart"/>
      <w:r w:rsidRPr="000202EA">
        <w:rPr>
          <w:sz w:val="20"/>
          <w:szCs w:val="20"/>
        </w:rPr>
        <w:t>ischaemia</w:t>
      </w:r>
      <w:proofErr w:type="spellEnd"/>
      <w:r w:rsidRPr="000202EA">
        <w:rPr>
          <w:sz w:val="20"/>
          <w:szCs w:val="20"/>
        </w:rPr>
        <w:t xml:space="preserve"> (CLI) represents the most advanced form of peripheral arterial occlusive disease (PAOD), manifested by pain at rest, focal or diffuse foot and ankle ulcerations, or gangrene. The rate of PAOD progression to CLI may approach 25%</w:t>
      </w:r>
      <w:r w:rsidR="00C305D9" w:rsidRPr="000202EA">
        <w:rPr>
          <w:sz w:val="20"/>
          <w:szCs w:val="20"/>
        </w:rPr>
        <w:t>, a</w:t>
      </w:r>
      <w:r w:rsidRPr="000202EA">
        <w:rPr>
          <w:sz w:val="20"/>
          <w:szCs w:val="20"/>
        </w:rPr>
        <w:t>nd these patients have a particularly poor prognosi</w:t>
      </w:r>
      <w:r w:rsidR="009B39CE" w:rsidRPr="000202EA">
        <w:rPr>
          <w:sz w:val="20"/>
          <w:szCs w:val="20"/>
        </w:rPr>
        <w:t xml:space="preserve">s </w:t>
      </w:r>
      <w:r w:rsidR="009B39CE" w:rsidRPr="000202EA">
        <w:rPr>
          <w:b/>
          <w:bCs/>
          <w:sz w:val="20"/>
          <w:szCs w:val="20"/>
        </w:rPr>
        <w:t>(</w:t>
      </w:r>
      <w:r w:rsidRPr="000202EA">
        <w:rPr>
          <w:b/>
          <w:bCs/>
          <w:sz w:val="20"/>
          <w:szCs w:val="20"/>
        </w:rPr>
        <w:t>Aquino et al., 2001)</w:t>
      </w:r>
      <w:r w:rsidRPr="000202EA">
        <w:rPr>
          <w:sz w:val="20"/>
          <w:szCs w:val="20"/>
        </w:rPr>
        <w:t>.</w:t>
      </w:r>
    </w:p>
    <w:p w:rsidR="00C305D9" w:rsidRPr="000202EA" w:rsidRDefault="0081730A" w:rsidP="00243C1C">
      <w:pPr>
        <w:snapToGrid w:val="0"/>
        <w:ind w:firstLine="425"/>
        <w:jc w:val="both"/>
        <w:rPr>
          <w:b/>
          <w:bCs/>
          <w:sz w:val="20"/>
          <w:szCs w:val="20"/>
          <w:lang w:bidi="ar-EG"/>
        </w:rPr>
      </w:pPr>
      <w:r w:rsidRPr="000202EA">
        <w:rPr>
          <w:sz w:val="20"/>
          <w:szCs w:val="20"/>
        </w:rPr>
        <w:t xml:space="preserve">Peripheral angioplasty (PA) refers to the use of a balloon to open a blood vessel outside the coronary arteries. It is commonly done to treat atherosclerotic narrowing of the blood vessels. PA can also be done to treat narrowing in veins, etc. Often, peripheral angioplasty is used in conjunction with peripheral </w:t>
      </w:r>
      <w:proofErr w:type="spellStart"/>
      <w:r w:rsidRPr="000202EA">
        <w:rPr>
          <w:sz w:val="20"/>
          <w:szCs w:val="20"/>
        </w:rPr>
        <w:t>stenting</w:t>
      </w:r>
      <w:proofErr w:type="spellEnd"/>
      <w:r w:rsidRPr="000202EA">
        <w:rPr>
          <w:sz w:val="20"/>
          <w:szCs w:val="20"/>
        </w:rPr>
        <w:t xml:space="preserve"> and </w:t>
      </w:r>
      <w:proofErr w:type="spellStart"/>
      <w:r w:rsidRPr="000202EA">
        <w:rPr>
          <w:sz w:val="20"/>
          <w:szCs w:val="20"/>
        </w:rPr>
        <w:t>atherectomy</w:t>
      </w:r>
      <w:proofErr w:type="spellEnd"/>
      <w:r w:rsidRPr="000202EA">
        <w:rPr>
          <w:sz w:val="20"/>
          <w:szCs w:val="20"/>
        </w:rPr>
        <w:t xml:space="preserve">. Technically, angioplasty can be used to describe any dimensional treatment of blood vessels, whether enlarging, or reducing diameter, depending on requirements to treat the </w:t>
      </w:r>
      <w:r w:rsidR="00993ABE" w:rsidRPr="000202EA">
        <w:rPr>
          <w:sz w:val="20"/>
          <w:szCs w:val="20"/>
        </w:rPr>
        <w:t>pathology</w:t>
      </w:r>
      <w:r w:rsidR="00993ABE" w:rsidRPr="000202EA">
        <w:rPr>
          <w:b/>
          <w:bCs/>
          <w:sz w:val="20"/>
          <w:szCs w:val="20"/>
          <w:lang w:bidi="ar-EG"/>
        </w:rPr>
        <w:t xml:space="preserve"> (</w:t>
      </w:r>
      <w:proofErr w:type="spellStart"/>
      <w:r w:rsidRPr="000202EA">
        <w:rPr>
          <w:b/>
          <w:bCs/>
          <w:sz w:val="20"/>
          <w:szCs w:val="20"/>
          <w:lang w:bidi="ar-EG"/>
        </w:rPr>
        <w:t>Boden</w:t>
      </w:r>
      <w:proofErr w:type="spellEnd"/>
      <w:r w:rsidRPr="000202EA">
        <w:rPr>
          <w:b/>
          <w:bCs/>
          <w:sz w:val="20"/>
          <w:szCs w:val="20"/>
          <w:lang w:bidi="ar-EG"/>
        </w:rPr>
        <w:t xml:space="preserve"> and O'Rourke, 2007</w:t>
      </w:r>
      <w:r w:rsidR="00C305D9" w:rsidRPr="000202EA">
        <w:rPr>
          <w:b/>
          <w:bCs/>
          <w:sz w:val="20"/>
          <w:szCs w:val="20"/>
          <w:lang w:bidi="ar-EG"/>
        </w:rPr>
        <w:t>).</w:t>
      </w:r>
    </w:p>
    <w:p w:rsidR="0081730A" w:rsidRPr="000202EA" w:rsidRDefault="006A7847" w:rsidP="00243C1C">
      <w:pPr>
        <w:snapToGrid w:val="0"/>
        <w:ind w:firstLine="425"/>
        <w:jc w:val="both"/>
        <w:rPr>
          <w:sz w:val="20"/>
          <w:szCs w:val="20"/>
        </w:rPr>
      </w:pPr>
      <w:r w:rsidRPr="000202EA">
        <w:rPr>
          <w:sz w:val="20"/>
          <w:szCs w:val="20"/>
        </w:rPr>
        <w:t xml:space="preserve">Duplex </w:t>
      </w:r>
      <w:proofErr w:type="spellStart"/>
      <w:r w:rsidRPr="000202EA">
        <w:rPr>
          <w:sz w:val="20"/>
          <w:szCs w:val="20"/>
        </w:rPr>
        <w:t>ultrasonography</w:t>
      </w:r>
      <w:proofErr w:type="spellEnd"/>
      <w:r w:rsidRPr="000202EA">
        <w:rPr>
          <w:sz w:val="20"/>
          <w:szCs w:val="20"/>
        </w:rPr>
        <w:t xml:space="preserve"> proposed as new alternative to contrast angiography to avoid the </w:t>
      </w:r>
      <w:r w:rsidRPr="000202EA">
        <w:rPr>
          <w:sz w:val="20"/>
          <w:szCs w:val="20"/>
        </w:rPr>
        <w:lastRenderedPageBreak/>
        <w:t xml:space="preserve">harmful effects of radiation exposure and the risk of acute renal failure. It offers the potential for a less expensive and more informative treatment of </w:t>
      </w:r>
      <w:proofErr w:type="spellStart"/>
      <w:r w:rsidRPr="000202EA">
        <w:rPr>
          <w:sz w:val="20"/>
          <w:szCs w:val="20"/>
        </w:rPr>
        <w:t>ischaemic</w:t>
      </w:r>
      <w:proofErr w:type="spellEnd"/>
      <w:r w:rsidRPr="000202EA">
        <w:rPr>
          <w:sz w:val="20"/>
          <w:szCs w:val="20"/>
        </w:rPr>
        <w:t xml:space="preserve"> patient </w:t>
      </w:r>
      <w:r w:rsidRPr="000202EA">
        <w:rPr>
          <w:b/>
          <w:bCs/>
          <w:sz w:val="20"/>
          <w:szCs w:val="20"/>
          <w:lang w:bidi="ar-EG"/>
        </w:rPr>
        <w:t>(Wang et al., 2009)</w:t>
      </w:r>
      <w:r w:rsidRPr="000202EA">
        <w:rPr>
          <w:sz w:val="20"/>
          <w:szCs w:val="20"/>
        </w:rPr>
        <w:t>.</w:t>
      </w:r>
    </w:p>
    <w:p w:rsidR="0081730A" w:rsidRPr="000202EA" w:rsidRDefault="006A7847" w:rsidP="00243C1C">
      <w:pPr>
        <w:snapToGrid w:val="0"/>
        <w:ind w:firstLine="425"/>
        <w:jc w:val="both"/>
        <w:rPr>
          <w:b/>
          <w:bCs/>
          <w:sz w:val="20"/>
          <w:szCs w:val="20"/>
        </w:rPr>
      </w:pPr>
      <w:r w:rsidRPr="000202EA">
        <w:rPr>
          <w:sz w:val="20"/>
          <w:szCs w:val="20"/>
        </w:rPr>
        <w:t>Unquestionably, duplex-guided arterial interventions are particularly beneficial for patients with allergies to contrast material and for those with chronic renal insufficiency. As vascular surgeons perform more endovascular procedures, they will have increased exposure to the deleterious effects of radiation. Unfortunately, these effects are cumulative and permanent and may cause a delayed onset of symptoms. It is now believed that the duplex-guided angioplasties are safe, beneficial, and effective. The potential of these techniques grows exponentially with the advent of new and improved technology and the positive impact on patient care shows great promise and it is anticipated that some of these procedures will eventually be performed in the vascular laboratory or in an office practice setting</w:t>
      </w:r>
      <w:r w:rsidRPr="000202EA">
        <w:rPr>
          <w:b/>
          <w:bCs/>
          <w:sz w:val="20"/>
          <w:szCs w:val="20"/>
        </w:rPr>
        <w:t xml:space="preserve"> (</w:t>
      </w:r>
      <w:proofErr w:type="spellStart"/>
      <w:r w:rsidRPr="000202EA">
        <w:rPr>
          <w:b/>
          <w:bCs/>
          <w:sz w:val="20"/>
          <w:szCs w:val="20"/>
        </w:rPr>
        <w:t>Lipsitz</w:t>
      </w:r>
      <w:proofErr w:type="spellEnd"/>
      <w:r w:rsidRPr="000202EA">
        <w:rPr>
          <w:b/>
          <w:bCs/>
          <w:sz w:val="20"/>
          <w:szCs w:val="20"/>
        </w:rPr>
        <w:t xml:space="preserve"> et al., 2000)</w:t>
      </w:r>
      <w:r w:rsidRPr="000202EA">
        <w:rPr>
          <w:sz w:val="20"/>
          <w:szCs w:val="20"/>
        </w:rPr>
        <w:t>.</w:t>
      </w:r>
    </w:p>
    <w:p w:rsidR="00ED442C" w:rsidRPr="000202EA" w:rsidRDefault="00ED442C" w:rsidP="00243C1C">
      <w:pPr>
        <w:snapToGrid w:val="0"/>
        <w:jc w:val="both"/>
        <w:rPr>
          <w:b/>
          <w:bCs/>
          <w:sz w:val="20"/>
          <w:szCs w:val="20"/>
        </w:rPr>
      </w:pPr>
    </w:p>
    <w:p w:rsidR="006A7847" w:rsidRPr="000202EA" w:rsidRDefault="00ED442C" w:rsidP="00243C1C">
      <w:pPr>
        <w:snapToGrid w:val="0"/>
        <w:jc w:val="both"/>
        <w:rPr>
          <w:b/>
          <w:bCs/>
          <w:sz w:val="20"/>
          <w:szCs w:val="20"/>
        </w:rPr>
      </w:pPr>
      <w:r w:rsidRPr="000202EA">
        <w:rPr>
          <w:b/>
          <w:bCs/>
          <w:sz w:val="20"/>
          <w:szCs w:val="20"/>
        </w:rPr>
        <w:lastRenderedPageBreak/>
        <w:t xml:space="preserve">2. </w:t>
      </w:r>
      <w:r w:rsidR="006A7847" w:rsidRPr="000202EA">
        <w:rPr>
          <w:b/>
          <w:bCs/>
          <w:sz w:val="20"/>
          <w:szCs w:val="20"/>
        </w:rPr>
        <w:t>Patient and method:</w:t>
      </w:r>
    </w:p>
    <w:p w:rsidR="006A7847" w:rsidRPr="000202EA" w:rsidRDefault="006A7847" w:rsidP="00243C1C">
      <w:pPr>
        <w:snapToGrid w:val="0"/>
        <w:ind w:firstLine="425"/>
        <w:jc w:val="both"/>
        <w:rPr>
          <w:rFonts w:eastAsia="Batang"/>
          <w:sz w:val="20"/>
          <w:szCs w:val="20"/>
        </w:rPr>
      </w:pPr>
      <w:r w:rsidRPr="000202EA">
        <w:rPr>
          <w:sz w:val="20"/>
          <w:szCs w:val="20"/>
        </w:rPr>
        <w:t>This prospective randomized controlled study was conducted in the vascular surgery department of Al-</w:t>
      </w:r>
      <w:proofErr w:type="spellStart"/>
      <w:r w:rsidRPr="000202EA">
        <w:rPr>
          <w:sz w:val="20"/>
          <w:szCs w:val="20"/>
        </w:rPr>
        <w:t>Azahar</w:t>
      </w:r>
      <w:proofErr w:type="spellEnd"/>
      <w:r w:rsidRPr="000202EA">
        <w:rPr>
          <w:sz w:val="20"/>
          <w:szCs w:val="20"/>
        </w:rPr>
        <w:t xml:space="preserve"> University Hospitals during the period from December 2014 to October 2016. 40 patients; 31(77.5%) male and females was 9(22.5%) with critical lower limb </w:t>
      </w:r>
      <w:proofErr w:type="spellStart"/>
      <w:r w:rsidRPr="000202EA">
        <w:rPr>
          <w:sz w:val="20"/>
          <w:szCs w:val="20"/>
        </w:rPr>
        <w:t>ischaemia</w:t>
      </w:r>
      <w:proofErr w:type="spellEnd"/>
      <w:r w:rsidRPr="000202EA">
        <w:rPr>
          <w:sz w:val="20"/>
          <w:szCs w:val="20"/>
        </w:rPr>
        <w:t xml:space="preserve">. All 40 patients were treated with duplex guided balloon angioplasty and </w:t>
      </w:r>
      <w:proofErr w:type="spellStart"/>
      <w:r w:rsidRPr="000202EA">
        <w:rPr>
          <w:sz w:val="20"/>
          <w:szCs w:val="20"/>
        </w:rPr>
        <w:t>stenting</w:t>
      </w:r>
      <w:proofErr w:type="spellEnd"/>
      <w:r w:rsidRPr="000202EA">
        <w:rPr>
          <w:sz w:val="20"/>
          <w:szCs w:val="20"/>
        </w:rPr>
        <w:t xml:space="preserve">. </w:t>
      </w:r>
      <w:r w:rsidRPr="000202EA">
        <w:rPr>
          <w:sz w:val="20"/>
          <w:szCs w:val="20"/>
          <w:lang w:bidi="ar-EG"/>
        </w:rPr>
        <w:t xml:space="preserve">The patients underwent duplex guidance balloon angioplasty for </w:t>
      </w:r>
      <w:proofErr w:type="spellStart"/>
      <w:r w:rsidRPr="000202EA">
        <w:rPr>
          <w:sz w:val="20"/>
          <w:szCs w:val="20"/>
          <w:lang w:bidi="ar-EG"/>
        </w:rPr>
        <w:t>stenotic</w:t>
      </w:r>
      <w:proofErr w:type="spellEnd"/>
      <w:r w:rsidRPr="000202EA">
        <w:rPr>
          <w:sz w:val="20"/>
          <w:szCs w:val="20"/>
          <w:lang w:bidi="ar-EG"/>
        </w:rPr>
        <w:t xml:space="preserve"> and occlusion lesions in the lower extremities.</w:t>
      </w:r>
    </w:p>
    <w:p w:rsidR="006A7847" w:rsidRPr="000202EA" w:rsidRDefault="006A7847" w:rsidP="00243C1C">
      <w:pPr>
        <w:snapToGrid w:val="0"/>
        <w:ind w:firstLine="425"/>
        <w:jc w:val="both"/>
        <w:rPr>
          <w:rFonts w:eastAsia="Calibri"/>
          <w:sz w:val="20"/>
          <w:szCs w:val="20"/>
        </w:rPr>
      </w:pPr>
      <w:r w:rsidRPr="000202EA">
        <w:rPr>
          <w:rFonts w:eastAsia="Batang"/>
          <w:sz w:val="20"/>
          <w:szCs w:val="20"/>
        </w:rPr>
        <w:t>Follow-up of the patients after the procedure was done by clinical examination with or without special investigations as needed. The study was undertaken after obtaining the approval of the local ethical committee and a written informed consent from each patient.</w:t>
      </w:r>
    </w:p>
    <w:p w:rsidR="006A7847" w:rsidRPr="000202EA" w:rsidRDefault="006A7847" w:rsidP="00243C1C">
      <w:pPr>
        <w:snapToGrid w:val="0"/>
        <w:jc w:val="both"/>
        <w:rPr>
          <w:sz w:val="20"/>
          <w:szCs w:val="20"/>
        </w:rPr>
      </w:pPr>
      <w:r w:rsidRPr="000202EA">
        <w:rPr>
          <w:b/>
          <w:bCs/>
          <w:sz w:val="20"/>
          <w:szCs w:val="20"/>
        </w:rPr>
        <w:t>Inclusion criteria</w:t>
      </w:r>
      <w:r w:rsidRPr="000202EA">
        <w:rPr>
          <w:sz w:val="20"/>
          <w:szCs w:val="20"/>
        </w:rPr>
        <w:t>:</w:t>
      </w:r>
    </w:p>
    <w:p w:rsidR="006A7847" w:rsidRPr="000202EA" w:rsidRDefault="006A7847" w:rsidP="00243C1C">
      <w:pPr>
        <w:snapToGrid w:val="0"/>
        <w:ind w:firstLine="425"/>
        <w:jc w:val="both"/>
        <w:rPr>
          <w:sz w:val="20"/>
          <w:szCs w:val="20"/>
          <w:lang w:bidi="ar-EG"/>
        </w:rPr>
      </w:pPr>
      <w:r w:rsidRPr="000202EA">
        <w:rPr>
          <w:sz w:val="20"/>
          <w:szCs w:val="20"/>
          <w:lang w:bidi="ar-EG"/>
        </w:rPr>
        <w:t xml:space="preserve">All patients with critical lower limb </w:t>
      </w:r>
      <w:proofErr w:type="spellStart"/>
      <w:r w:rsidRPr="000202EA">
        <w:rPr>
          <w:sz w:val="20"/>
          <w:szCs w:val="20"/>
          <w:lang w:bidi="ar-EG"/>
        </w:rPr>
        <w:t>ischaemia</w:t>
      </w:r>
      <w:proofErr w:type="spellEnd"/>
      <w:r w:rsidRPr="000202EA">
        <w:rPr>
          <w:sz w:val="20"/>
          <w:szCs w:val="20"/>
          <w:lang w:bidi="ar-EG"/>
        </w:rPr>
        <w:t xml:space="preserve"> who could be treated with balloon angioplasty and </w:t>
      </w:r>
      <w:proofErr w:type="spellStart"/>
      <w:r w:rsidRPr="000202EA">
        <w:rPr>
          <w:sz w:val="20"/>
          <w:szCs w:val="20"/>
          <w:lang w:bidi="ar-EG"/>
        </w:rPr>
        <w:t>stenting</w:t>
      </w:r>
      <w:proofErr w:type="spellEnd"/>
      <w:r w:rsidRPr="000202EA">
        <w:rPr>
          <w:sz w:val="20"/>
          <w:szCs w:val="20"/>
          <w:lang w:bidi="ar-EG"/>
        </w:rPr>
        <w:t xml:space="preserve"> rather than surgery are included. TASC A and TASC B groups are included.</w:t>
      </w:r>
    </w:p>
    <w:p w:rsidR="006A7847" w:rsidRPr="000202EA" w:rsidRDefault="006A7847" w:rsidP="00243C1C">
      <w:pPr>
        <w:snapToGrid w:val="0"/>
        <w:jc w:val="both"/>
        <w:rPr>
          <w:sz w:val="20"/>
          <w:szCs w:val="20"/>
          <w:lang w:bidi="ar-EG"/>
        </w:rPr>
      </w:pPr>
      <w:r w:rsidRPr="000202EA">
        <w:rPr>
          <w:b/>
          <w:bCs/>
          <w:sz w:val="20"/>
          <w:szCs w:val="20"/>
        </w:rPr>
        <w:t>Exclusion criteria</w:t>
      </w:r>
      <w:r w:rsidRPr="000202EA">
        <w:rPr>
          <w:sz w:val="20"/>
          <w:szCs w:val="20"/>
          <w:lang w:bidi="ar-EG"/>
        </w:rPr>
        <w:t>:</w:t>
      </w:r>
    </w:p>
    <w:p w:rsidR="006A7847" w:rsidRPr="000202EA" w:rsidRDefault="006A7847" w:rsidP="00243C1C">
      <w:pPr>
        <w:snapToGrid w:val="0"/>
        <w:ind w:firstLine="425"/>
        <w:jc w:val="both"/>
        <w:rPr>
          <w:sz w:val="20"/>
          <w:szCs w:val="20"/>
          <w:lang w:bidi="ar-EG"/>
        </w:rPr>
      </w:pPr>
      <w:r w:rsidRPr="000202EA">
        <w:rPr>
          <w:sz w:val="20"/>
          <w:szCs w:val="20"/>
        </w:rPr>
        <w:t>Some patients are excluded according to the following criteria:</w:t>
      </w:r>
    </w:p>
    <w:p w:rsidR="006A7847" w:rsidRPr="000202EA" w:rsidRDefault="006A7847" w:rsidP="00243C1C">
      <w:pPr>
        <w:widowControl w:val="0"/>
        <w:numPr>
          <w:ilvl w:val="0"/>
          <w:numId w:val="1"/>
        </w:numPr>
        <w:autoSpaceDN w:val="0"/>
        <w:snapToGrid w:val="0"/>
        <w:ind w:left="0" w:firstLine="425"/>
        <w:jc w:val="both"/>
        <w:rPr>
          <w:rFonts w:eastAsia="Batang"/>
          <w:sz w:val="20"/>
          <w:szCs w:val="20"/>
        </w:rPr>
      </w:pPr>
      <w:r w:rsidRPr="000202EA">
        <w:rPr>
          <w:rFonts w:eastAsia="Batang"/>
          <w:sz w:val="20"/>
          <w:szCs w:val="20"/>
        </w:rPr>
        <w:t>Inevitable amputation.</w:t>
      </w:r>
    </w:p>
    <w:p w:rsidR="006A7847" w:rsidRPr="000202EA" w:rsidRDefault="006A7847" w:rsidP="00243C1C">
      <w:pPr>
        <w:widowControl w:val="0"/>
        <w:numPr>
          <w:ilvl w:val="0"/>
          <w:numId w:val="1"/>
        </w:numPr>
        <w:autoSpaceDN w:val="0"/>
        <w:snapToGrid w:val="0"/>
        <w:ind w:left="0" w:firstLine="425"/>
        <w:jc w:val="both"/>
        <w:rPr>
          <w:rFonts w:eastAsia="Batang"/>
          <w:sz w:val="20"/>
          <w:szCs w:val="20"/>
        </w:rPr>
      </w:pPr>
      <w:r w:rsidRPr="000202EA">
        <w:rPr>
          <w:rFonts w:eastAsia="Batang"/>
          <w:sz w:val="20"/>
          <w:szCs w:val="20"/>
        </w:rPr>
        <w:t xml:space="preserve">Patients who cannot get benefit from balloon angioplasty and </w:t>
      </w:r>
      <w:proofErr w:type="spellStart"/>
      <w:r w:rsidRPr="000202EA">
        <w:rPr>
          <w:rFonts w:eastAsia="Batang"/>
          <w:sz w:val="20"/>
          <w:szCs w:val="20"/>
        </w:rPr>
        <w:t>stenting</w:t>
      </w:r>
      <w:proofErr w:type="spellEnd"/>
      <w:r w:rsidRPr="000202EA">
        <w:rPr>
          <w:rFonts w:eastAsia="Batang"/>
          <w:sz w:val="20"/>
          <w:szCs w:val="20"/>
        </w:rPr>
        <w:t xml:space="preserve"> and in needs for surgical revascularization.</w:t>
      </w:r>
    </w:p>
    <w:p w:rsidR="006A7847" w:rsidRPr="000202EA" w:rsidRDefault="006A7847" w:rsidP="00243C1C">
      <w:pPr>
        <w:widowControl w:val="0"/>
        <w:numPr>
          <w:ilvl w:val="0"/>
          <w:numId w:val="1"/>
        </w:numPr>
        <w:autoSpaceDN w:val="0"/>
        <w:snapToGrid w:val="0"/>
        <w:ind w:left="0" w:firstLine="425"/>
        <w:jc w:val="both"/>
        <w:rPr>
          <w:rFonts w:eastAsia="Batang"/>
          <w:sz w:val="20"/>
          <w:szCs w:val="20"/>
        </w:rPr>
      </w:pPr>
      <w:r w:rsidRPr="000202EA">
        <w:rPr>
          <w:rFonts w:eastAsia="Batang"/>
          <w:sz w:val="20"/>
          <w:szCs w:val="20"/>
        </w:rPr>
        <w:t xml:space="preserve">Acute on top of chronic </w:t>
      </w:r>
      <w:proofErr w:type="spellStart"/>
      <w:r w:rsidRPr="000202EA">
        <w:rPr>
          <w:rFonts w:eastAsia="Batang"/>
          <w:sz w:val="20"/>
          <w:szCs w:val="20"/>
        </w:rPr>
        <w:t>ischaemia</w:t>
      </w:r>
      <w:proofErr w:type="spellEnd"/>
      <w:r w:rsidRPr="000202EA">
        <w:rPr>
          <w:rFonts w:eastAsia="Batang"/>
          <w:sz w:val="20"/>
          <w:szCs w:val="20"/>
        </w:rPr>
        <w:t>.</w:t>
      </w:r>
    </w:p>
    <w:p w:rsidR="006A7847" w:rsidRPr="000202EA" w:rsidRDefault="006A7847" w:rsidP="00243C1C">
      <w:pPr>
        <w:widowControl w:val="0"/>
        <w:numPr>
          <w:ilvl w:val="0"/>
          <w:numId w:val="1"/>
        </w:numPr>
        <w:autoSpaceDN w:val="0"/>
        <w:snapToGrid w:val="0"/>
        <w:ind w:left="0" w:firstLine="425"/>
        <w:jc w:val="both"/>
        <w:rPr>
          <w:rFonts w:eastAsia="Batang"/>
          <w:sz w:val="20"/>
          <w:szCs w:val="20"/>
        </w:rPr>
      </w:pPr>
      <w:r w:rsidRPr="000202EA">
        <w:rPr>
          <w:rFonts w:eastAsia="Batang"/>
          <w:sz w:val="20"/>
          <w:szCs w:val="20"/>
        </w:rPr>
        <w:t>Poor general condition.</w:t>
      </w:r>
    </w:p>
    <w:p w:rsidR="006A7847" w:rsidRPr="000202EA" w:rsidRDefault="006A7847" w:rsidP="00243C1C">
      <w:pPr>
        <w:widowControl w:val="0"/>
        <w:numPr>
          <w:ilvl w:val="0"/>
          <w:numId w:val="1"/>
        </w:numPr>
        <w:autoSpaceDN w:val="0"/>
        <w:snapToGrid w:val="0"/>
        <w:ind w:left="0" w:firstLine="425"/>
        <w:jc w:val="both"/>
        <w:rPr>
          <w:rFonts w:eastAsia="Batang"/>
          <w:sz w:val="20"/>
          <w:szCs w:val="20"/>
        </w:rPr>
      </w:pPr>
      <w:r w:rsidRPr="000202EA">
        <w:rPr>
          <w:rFonts w:eastAsia="Batang"/>
          <w:sz w:val="20"/>
          <w:szCs w:val="20"/>
        </w:rPr>
        <w:t>Patient with long segment of diffuse disease (TASC C).</w:t>
      </w:r>
    </w:p>
    <w:p w:rsidR="006A7847" w:rsidRPr="000202EA" w:rsidRDefault="006A7847" w:rsidP="00243C1C">
      <w:pPr>
        <w:widowControl w:val="0"/>
        <w:numPr>
          <w:ilvl w:val="0"/>
          <w:numId w:val="1"/>
        </w:numPr>
        <w:autoSpaceDN w:val="0"/>
        <w:snapToGrid w:val="0"/>
        <w:ind w:left="0" w:firstLine="425"/>
        <w:jc w:val="both"/>
        <w:rPr>
          <w:rFonts w:eastAsia="Batang"/>
          <w:sz w:val="20"/>
          <w:szCs w:val="20"/>
        </w:rPr>
      </w:pPr>
      <w:r w:rsidRPr="000202EA">
        <w:rPr>
          <w:rFonts w:eastAsia="Batang"/>
          <w:sz w:val="20"/>
          <w:szCs w:val="20"/>
        </w:rPr>
        <w:t>Patient with long occlusion (TASC D).</w:t>
      </w:r>
    </w:p>
    <w:p w:rsidR="006A7847" w:rsidRPr="000202EA" w:rsidRDefault="006A7847" w:rsidP="00243C1C">
      <w:pPr>
        <w:snapToGrid w:val="0"/>
        <w:jc w:val="both"/>
        <w:rPr>
          <w:rFonts w:eastAsia="Batang"/>
          <w:b/>
          <w:bCs/>
          <w:sz w:val="20"/>
          <w:szCs w:val="20"/>
        </w:rPr>
      </w:pPr>
      <w:r w:rsidRPr="000202EA">
        <w:rPr>
          <w:rFonts w:eastAsia="Batang"/>
          <w:b/>
          <w:bCs/>
          <w:sz w:val="20"/>
          <w:szCs w:val="20"/>
        </w:rPr>
        <w:t>Procedure:</w:t>
      </w:r>
    </w:p>
    <w:p w:rsidR="006A7847" w:rsidRPr="000202EA" w:rsidRDefault="006A7847" w:rsidP="00243C1C">
      <w:pPr>
        <w:autoSpaceDE w:val="0"/>
        <w:autoSpaceDN w:val="0"/>
        <w:adjustRightInd w:val="0"/>
        <w:snapToGrid w:val="0"/>
        <w:jc w:val="both"/>
        <w:rPr>
          <w:b/>
          <w:bCs/>
          <w:sz w:val="20"/>
          <w:szCs w:val="20"/>
        </w:rPr>
      </w:pPr>
      <w:r w:rsidRPr="000202EA">
        <w:rPr>
          <w:b/>
          <w:bCs/>
          <w:sz w:val="20"/>
          <w:szCs w:val="20"/>
        </w:rPr>
        <w:t>Position of the patient</w:t>
      </w:r>
    </w:p>
    <w:p w:rsidR="006A7847" w:rsidRPr="000202EA" w:rsidRDefault="006A7847" w:rsidP="00243C1C">
      <w:pPr>
        <w:snapToGrid w:val="0"/>
        <w:ind w:firstLine="425"/>
        <w:jc w:val="both"/>
        <w:rPr>
          <w:sz w:val="20"/>
          <w:szCs w:val="20"/>
        </w:rPr>
      </w:pPr>
      <w:r w:rsidRPr="000202EA">
        <w:rPr>
          <w:sz w:val="20"/>
          <w:szCs w:val="20"/>
        </w:rPr>
        <w:t xml:space="preserve">The </w:t>
      </w:r>
      <w:r w:rsidRPr="000202EA">
        <w:rPr>
          <w:sz w:val="20"/>
          <w:szCs w:val="20"/>
          <w:lang w:bidi="ar-EG"/>
        </w:rPr>
        <w:t>patient</w:t>
      </w:r>
      <w:r w:rsidRPr="000202EA">
        <w:rPr>
          <w:sz w:val="20"/>
          <w:szCs w:val="20"/>
        </w:rPr>
        <w:t xml:space="preserve"> should be lying flat with the leg externally rotated and the knee is gently flexed and supported.</w:t>
      </w:r>
    </w:p>
    <w:p w:rsidR="006A7847" w:rsidRPr="000202EA" w:rsidRDefault="006A7847" w:rsidP="00243C1C">
      <w:pPr>
        <w:autoSpaceDE w:val="0"/>
        <w:autoSpaceDN w:val="0"/>
        <w:adjustRightInd w:val="0"/>
        <w:snapToGrid w:val="0"/>
        <w:jc w:val="both"/>
        <w:rPr>
          <w:b/>
          <w:bCs/>
          <w:sz w:val="20"/>
          <w:szCs w:val="20"/>
        </w:rPr>
      </w:pPr>
      <w:r w:rsidRPr="000202EA">
        <w:rPr>
          <w:b/>
          <w:bCs/>
          <w:sz w:val="20"/>
          <w:szCs w:val="20"/>
        </w:rPr>
        <w:t>Position of the interventionist</w:t>
      </w:r>
    </w:p>
    <w:p w:rsidR="006A7847" w:rsidRPr="000202EA" w:rsidRDefault="006A7847" w:rsidP="00243C1C">
      <w:pPr>
        <w:snapToGrid w:val="0"/>
        <w:ind w:firstLine="425"/>
        <w:jc w:val="both"/>
        <w:rPr>
          <w:sz w:val="20"/>
          <w:szCs w:val="20"/>
        </w:rPr>
      </w:pPr>
      <w:r w:rsidRPr="000202EA">
        <w:rPr>
          <w:sz w:val="20"/>
          <w:szCs w:val="20"/>
        </w:rPr>
        <w:t xml:space="preserve">The </w:t>
      </w:r>
      <w:proofErr w:type="spellStart"/>
      <w:r w:rsidRPr="000202EA">
        <w:rPr>
          <w:sz w:val="20"/>
          <w:szCs w:val="20"/>
        </w:rPr>
        <w:t>sonarist</w:t>
      </w:r>
      <w:proofErr w:type="spellEnd"/>
      <w:r w:rsidRPr="000202EA">
        <w:rPr>
          <w:sz w:val="20"/>
          <w:szCs w:val="20"/>
        </w:rPr>
        <w:t xml:space="preserve"> and interventionist</w:t>
      </w:r>
      <w:r w:rsidR="00C305D9" w:rsidRPr="000202EA">
        <w:rPr>
          <w:sz w:val="20"/>
          <w:szCs w:val="20"/>
        </w:rPr>
        <w:t xml:space="preserve"> </w:t>
      </w:r>
      <w:r w:rsidRPr="000202EA">
        <w:rPr>
          <w:sz w:val="20"/>
          <w:szCs w:val="20"/>
        </w:rPr>
        <w:t>stand the right side of the patient, the machine beside the head of the patient and equipment beside the Lt side.</w:t>
      </w:r>
    </w:p>
    <w:p w:rsidR="006A7847" w:rsidRPr="000202EA" w:rsidRDefault="002E184C" w:rsidP="00243C1C">
      <w:pPr>
        <w:autoSpaceDE w:val="0"/>
        <w:autoSpaceDN w:val="0"/>
        <w:adjustRightInd w:val="0"/>
        <w:snapToGrid w:val="0"/>
        <w:jc w:val="both"/>
        <w:rPr>
          <w:b/>
          <w:bCs/>
          <w:sz w:val="20"/>
          <w:szCs w:val="20"/>
        </w:rPr>
      </w:pPr>
      <w:r w:rsidRPr="000202EA">
        <w:rPr>
          <w:b/>
          <w:bCs/>
          <w:sz w:val="20"/>
          <w:szCs w:val="20"/>
        </w:rPr>
        <w:t>Anesthesia</w:t>
      </w:r>
    </w:p>
    <w:p w:rsidR="006A7847" w:rsidRPr="000202EA" w:rsidRDefault="006A7847" w:rsidP="00243C1C">
      <w:pPr>
        <w:autoSpaceDE w:val="0"/>
        <w:autoSpaceDN w:val="0"/>
        <w:adjustRightInd w:val="0"/>
        <w:snapToGrid w:val="0"/>
        <w:ind w:firstLine="425"/>
        <w:jc w:val="both"/>
        <w:rPr>
          <w:b/>
          <w:bCs/>
          <w:sz w:val="20"/>
          <w:szCs w:val="20"/>
        </w:rPr>
      </w:pPr>
      <w:r w:rsidRPr="000202EA">
        <w:rPr>
          <w:sz w:val="20"/>
          <w:szCs w:val="20"/>
        </w:rPr>
        <w:t xml:space="preserve">The procedures are performed with patients under local anesthesia of the puncture site, and whenever indicated, light </w:t>
      </w:r>
      <w:r w:rsidRPr="000202EA">
        <w:rPr>
          <w:sz w:val="20"/>
          <w:szCs w:val="20"/>
          <w:lang w:bidi="ar-EG"/>
        </w:rPr>
        <w:t>sedation</w:t>
      </w:r>
      <w:r w:rsidRPr="000202EA">
        <w:rPr>
          <w:sz w:val="20"/>
          <w:szCs w:val="20"/>
        </w:rPr>
        <w:t xml:space="preserve"> was is given during inflation of the balloon angioplasty catheter. The general anesthesia may be used because of severe back pain when placed in the supine</w:t>
      </w:r>
      <w:r w:rsidRPr="000202EA">
        <w:rPr>
          <w:sz w:val="20"/>
          <w:szCs w:val="20"/>
          <w:lang w:bidi="ar-EG"/>
        </w:rPr>
        <w:t>.</w:t>
      </w:r>
    </w:p>
    <w:p w:rsidR="006A7847" w:rsidRPr="000202EA" w:rsidRDefault="006A7847" w:rsidP="00243C1C">
      <w:pPr>
        <w:autoSpaceDE w:val="0"/>
        <w:autoSpaceDN w:val="0"/>
        <w:adjustRightInd w:val="0"/>
        <w:snapToGrid w:val="0"/>
        <w:jc w:val="both"/>
        <w:rPr>
          <w:b/>
          <w:bCs/>
          <w:color w:val="FF0000"/>
          <w:sz w:val="20"/>
          <w:szCs w:val="20"/>
        </w:rPr>
      </w:pPr>
      <w:r w:rsidRPr="000202EA">
        <w:rPr>
          <w:b/>
          <w:bCs/>
          <w:sz w:val="20"/>
          <w:szCs w:val="20"/>
        </w:rPr>
        <w:t>Access</w:t>
      </w:r>
    </w:p>
    <w:p w:rsidR="006A7847" w:rsidRPr="000202EA" w:rsidRDefault="006A7847" w:rsidP="00243C1C">
      <w:pPr>
        <w:snapToGrid w:val="0"/>
        <w:ind w:firstLine="425"/>
        <w:jc w:val="both"/>
        <w:rPr>
          <w:sz w:val="20"/>
          <w:szCs w:val="20"/>
        </w:rPr>
      </w:pPr>
      <w:r w:rsidRPr="000202EA">
        <w:rPr>
          <w:sz w:val="20"/>
          <w:szCs w:val="20"/>
        </w:rPr>
        <w:t xml:space="preserve">The </w:t>
      </w:r>
      <w:proofErr w:type="spellStart"/>
      <w:r w:rsidRPr="000202EA">
        <w:rPr>
          <w:sz w:val="20"/>
          <w:szCs w:val="20"/>
        </w:rPr>
        <w:t>ipsilateral</w:t>
      </w:r>
      <w:proofErr w:type="spellEnd"/>
      <w:r w:rsidRPr="000202EA">
        <w:rPr>
          <w:sz w:val="20"/>
          <w:szCs w:val="20"/>
        </w:rPr>
        <w:t xml:space="preserve"> common femoral artery (CFA) is </w:t>
      </w:r>
      <w:proofErr w:type="spellStart"/>
      <w:r w:rsidRPr="000202EA">
        <w:rPr>
          <w:sz w:val="20"/>
          <w:szCs w:val="20"/>
        </w:rPr>
        <w:t>cannulated</w:t>
      </w:r>
      <w:proofErr w:type="spellEnd"/>
      <w:r w:rsidRPr="000202EA">
        <w:rPr>
          <w:sz w:val="20"/>
          <w:szCs w:val="20"/>
        </w:rPr>
        <w:t xml:space="preserve"> with a single-entry needle and the </w:t>
      </w:r>
      <w:proofErr w:type="spellStart"/>
      <w:r w:rsidRPr="000202EA">
        <w:rPr>
          <w:sz w:val="20"/>
          <w:szCs w:val="20"/>
        </w:rPr>
        <w:t>contralateral</w:t>
      </w:r>
      <w:proofErr w:type="spellEnd"/>
      <w:r w:rsidRPr="000202EA">
        <w:rPr>
          <w:sz w:val="20"/>
          <w:szCs w:val="20"/>
        </w:rPr>
        <w:t xml:space="preserve"> CFA is </w:t>
      </w:r>
      <w:proofErr w:type="spellStart"/>
      <w:r w:rsidRPr="000202EA">
        <w:rPr>
          <w:sz w:val="20"/>
          <w:szCs w:val="20"/>
          <w:lang w:bidi="ar-EG"/>
        </w:rPr>
        <w:t>cannulated</w:t>
      </w:r>
      <w:proofErr w:type="spellEnd"/>
      <w:r w:rsidRPr="000202EA">
        <w:rPr>
          <w:sz w:val="20"/>
          <w:szCs w:val="20"/>
        </w:rPr>
        <w:t xml:space="preserve"> when the </w:t>
      </w:r>
      <w:proofErr w:type="spellStart"/>
      <w:r w:rsidRPr="000202EA">
        <w:rPr>
          <w:sz w:val="20"/>
          <w:szCs w:val="20"/>
        </w:rPr>
        <w:t>ipsilateral</w:t>
      </w:r>
      <w:proofErr w:type="spellEnd"/>
      <w:r w:rsidRPr="000202EA">
        <w:rPr>
          <w:sz w:val="20"/>
          <w:szCs w:val="20"/>
        </w:rPr>
        <w:t xml:space="preserve"> site is occluded.</w:t>
      </w:r>
    </w:p>
    <w:p w:rsidR="006A7847" w:rsidRPr="000202EA" w:rsidRDefault="006A7847" w:rsidP="00243C1C">
      <w:pPr>
        <w:snapToGrid w:val="0"/>
        <w:jc w:val="both"/>
        <w:rPr>
          <w:sz w:val="20"/>
          <w:szCs w:val="20"/>
          <w:lang w:bidi="ar-EG"/>
        </w:rPr>
      </w:pPr>
      <w:r w:rsidRPr="000202EA">
        <w:rPr>
          <w:b/>
          <w:bCs/>
          <w:sz w:val="20"/>
          <w:szCs w:val="20"/>
        </w:rPr>
        <w:t>Technique</w:t>
      </w:r>
    </w:p>
    <w:p w:rsidR="006A7847" w:rsidRPr="000202EA" w:rsidRDefault="006A7847" w:rsidP="00243C1C">
      <w:pPr>
        <w:snapToGrid w:val="0"/>
        <w:ind w:firstLine="425"/>
        <w:jc w:val="both"/>
        <w:rPr>
          <w:sz w:val="20"/>
          <w:szCs w:val="20"/>
        </w:rPr>
      </w:pPr>
      <w:r w:rsidRPr="000202EA">
        <w:rPr>
          <w:sz w:val="20"/>
          <w:szCs w:val="20"/>
        </w:rPr>
        <w:lastRenderedPageBreak/>
        <w:t xml:space="preserve">All </w:t>
      </w:r>
      <w:r w:rsidRPr="000202EA">
        <w:rPr>
          <w:sz w:val="20"/>
          <w:szCs w:val="20"/>
          <w:lang w:bidi="ar-EG"/>
        </w:rPr>
        <w:t>interventions</w:t>
      </w:r>
      <w:r w:rsidRPr="000202EA">
        <w:rPr>
          <w:sz w:val="20"/>
          <w:szCs w:val="20"/>
        </w:rPr>
        <w:t xml:space="preserve"> are performed under duplex guidance for all cases in the vascular surgery unit laboratory. A linear 7- to 4-MHz probe is used in a sterile plastic cover with coupling gel is used for </w:t>
      </w:r>
      <w:proofErr w:type="spellStart"/>
      <w:r w:rsidRPr="000202EA">
        <w:rPr>
          <w:sz w:val="20"/>
          <w:szCs w:val="20"/>
        </w:rPr>
        <w:t>insonation</w:t>
      </w:r>
      <w:proofErr w:type="spellEnd"/>
      <w:r w:rsidRPr="000202EA">
        <w:rPr>
          <w:sz w:val="20"/>
          <w:szCs w:val="20"/>
        </w:rPr>
        <w:t xml:space="preserve"> of the arteries of 4 cm deep or less. A curved 5- to 2-MHz transducer is used to visualize deeper arterial segments, including the distal SFA and the above-the-knee PA. The length of the </w:t>
      </w:r>
      <w:proofErr w:type="spellStart"/>
      <w:r w:rsidRPr="000202EA">
        <w:rPr>
          <w:sz w:val="20"/>
          <w:szCs w:val="20"/>
        </w:rPr>
        <w:t>stenosis</w:t>
      </w:r>
      <w:proofErr w:type="spellEnd"/>
      <w:r w:rsidRPr="000202EA">
        <w:rPr>
          <w:sz w:val="20"/>
          <w:szCs w:val="20"/>
        </w:rPr>
        <w:t xml:space="preserve"> is measured with a linear 7- to 4-MHz probe. The </w:t>
      </w:r>
      <w:proofErr w:type="spellStart"/>
      <w:r w:rsidRPr="000202EA">
        <w:rPr>
          <w:sz w:val="20"/>
          <w:szCs w:val="20"/>
          <w:lang w:bidi="ar-EG"/>
        </w:rPr>
        <w:t>heamodynamic</w:t>
      </w:r>
      <w:proofErr w:type="spellEnd"/>
      <w:r w:rsidRPr="000202EA">
        <w:rPr>
          <w:sz w:val="20"/>
          <w:szCs w:val="20"/>
        </w:rPr>
        <w:t xml:space="preserve"> study is recorded pre and post procedures.</w:t>
      </w:r>
    </w:p>
    <w:p w:rsidR="006A7847" w:rsidRPr="000202EA" w:rsidRDefault="006A7847" w:rsidP="00243C1C">
      <w:pPr>
        <w:numPr>
          <w:ilvl w:val="0"/>
          <w:numId w:val="2"/>
        </w:numPr>
        <w:autoSpaceDE w:val="0"/>
        <w:autoSpaceDN w:val="0"/>
        <w:adjustRightInd w:val="0"/>
        <w:snapToGrid w:val="0"/>
        <w:ind w:left="0" w:firstLine="425"/>
        <w:jc w:val="both"/>
        <w:rPr>
          <w:color w:val="000000"/>
          <w:sz w:val="20"/>
          <w:szCs w:val="20"/>
        </w:rPr>
      </w:pPr>
      <w:r w:rsidRPr="000202EA">
        <w:rPr>
          <w:sz w:val="20"/>
          <w:szCs w:val="20"/>
        </w:rPr>
        <w:t xml:space="preserve">Under duplex guidance a short 6F introducer sheath is inserted in an </w:t>
      </w:r>
      <w:proofErr w:type="spellStart"/>
      <w:r w:rsidRPr="000202EA">
        <w:rPr>
          <w:sz w:val="20"/>
          <w:szCs w:val="20"/>
        </w:rPr>
        <w:t>antegrade</w:t>
      </w:r>
      <w:proofErr w:type="spellEnd"/>
      <w:r w:rsidRPr="000202EA">
        <w:rPr>
          <w:sz w:val="20"/>
          <w:szCs w:val="20"/>
        </w:rPr>
        <w:t xml:space="preserve"> fashion into the SFA or retrograde in the external iliac artery (EIA) according to the target lesion. If the sheath is inserted in advertently in deep femoral artery, the position is corrected under duplex guidance.</w:t>
      </w:r>
    </w:p>
    <w:p w:rsidR="00C305D9" w:rsidRPr="000202EA" w:rsidRDefault="006A7847" w:rsidP="00243C1C">
      <w:pPr>
        <w:numPr>
          <w:ilvl w:val="0"/>
          <w:numId w:val="2"/>
        </w:numPr>
        <w:autoSpaceDE w:val="0"/>
        <w:autoSpaceDN w:val="0"/>
        <w:adjustRightInd w:val="0"/>
        <w:snapToGrid w:val="0"/>
        <w:ind w:left="0" w:firstLine="425"/>
        <w:jc w:val="both"/>
        <w:rPr>
          <w:color w:val="000000"/>
          <w:sz w:val="20"/>
          <w:szCs w:val="20"/>
        </w:rPr>
      </w:pPr>
      <w:r w:rsidRPr="000202EA">
        <w:rPr>
          <w:color w:val="000000"/>
          <w:sz w:val="20"/>
          <w:szCs w:val="20"/>
        </w:rPr>
        <w:t>The guide</w:t>
      </w:r>
      <w:r w:rsidR="000202EA" w:rsidRPr="000202EA">
        <w:rPr>
          <w:rFonts w:eastAsiaTheme="minorEastAsia" w:hint="eastAsia"/>
          <w:color w:val="000000"/>
          <w:sz w:val="20"/>
          <w:szCs w:val="20"/>
          <w:lang w:eastAsia="zh-CN"/>
        </w:rPr>
        <w:t xml:space="preserve"> </w:t>
      </w:r>
      <w:r w:rsidRPr="000202EA">
        <w:rPr>
          <w:color w:val="000000"/>
          <w:sz w:val="20"/>
          <w:szCs w:val="20"/>
        </w:rPr>
        <w:t xml:space="preserve">wire is directed into the SFA and across the PA and is </w:t>
      </w:r>
      <w:r w:rsidRPr="000202EA">
        <w:rPr>
          <w:sz w:val="20"/>
          <w:szCs w:val="20"/>
        </w:rPr>
        <w:t>parked</w:t>
      </w:r>
      <w:r w:rsidRPr="000202EA">
        <w:rPr>
          <w:color w:val="000000"/>
          <w:sz w:val="20"/>
          <w:szCs w:val="20"/>
        </w:rPr>
        <w:t xml:space="preserve"> distal to targeted lesion. To</w:t>
      </w:r>
      <w:r w:rsidR="00C305D9" w:rsidRPr="000202EA">
        <w:rPr>
          <w:color w:val="000000"/>
          <w:sz w:val="20"/>
          <w:szCs w:val="20"/>
        </w:rPr>
        <w:t xml:space="preserve"> </w:t>
      </w:r>
      <w:r w:rsidRPr="000202EA">
        <w:rPr>
          <w:color w:val="000000"/>
          <w:sz w:val="20"/>
          <w:szCs w:val="20"/>
        </w:rPr>
        <w:t>accomplish this, either a 5F Selective</w:t>
      </w:r>
      <w:r w:rsidR="00C305D9" w:rsidRPr="000202EA">
        <w:rPr>
          <w:color w:val="000000"/>
          <w:sz w:val="20"/>
          <w:szCs w:val="20"/>
        </w:rPr>
        <w:t xml:space="preserve"> </w:t>
      </w:r>
      <w:r w:rsidRPr="000202EA">
        <w:rPr>
          <w:color w:val="000000"/>
          <w:sz w:val="20"/>
          <w:szCs w:val="20"/>
        </w:rPr>
        <w:t>catheter</w:t>
      </w:r>
      <w:r w:rsidR="00C305D9" w:rsidRPr="000202EA">
        <w:rPr>
          <w:color w:val="000000"/>
          <w:sz w:val="20"/>
          <w:szCs w:val="20"/>
        </w:rPr>
        <w:t xml:space="preserve"> </w:t>
      </w:r>
      <w:r w:rsidRPr="000202EA">
        <w:rPr>
          <w:color w:val="000000"/>
          <w:sz w:val="20"/>
          <w:szCs w:val="20"/>
        </w:rPr>
        <w:t>or a 5F Angled Taper are used with the wire to support it and help crossing the lesion successfull</w:t>
      </w:r>
      <w:r w:rsidR="00C305D9" w:rsidRPr="000202EA">
        <w:rPr>
          <w:color w:val="000000"/>
          <w:sz w:val="20"/>
          <w:szCs w:val="20"/>
        </w:rPr>
        <w:t>y.</w:t>
      </w:r>
    </w:p>
    <w:p w:rsidR="006A7847" w:rsidRPr="000202EA" w:rsidRDefault="006A7847" w:rsidP="00243C1C">
      <w:pPr>
        <w:numPr>
          <w:ilvl w:val="0"/>
          <w:numId w:val="2"/>
        </w:numPr>
        <w:autoSpaceDE w:val="0"/>
        <w:autoSpaceDN w:val="0"/>
        <w:adjustRightInd w:val="0"/>
        <w:snapToGrid w:val="0"/>
        <w:ind w:left="0" w:firstLine="425"/>
        <w:jc w:val="both"/>
        <w:rPr>
          <w:color w:val="000000"/>
          <w:sz w:val="20"/>
          <w:szCs w:val="20"/>
        </w:rPr>
      </w:pPr>
      <w:r w:rsidRPr="000202EA">
        <w:rPr>
          <w:color w:val="000000"/>
          <w:sz w:val="20"/>
          <w:szCs w:val="20"/>
        </w:rPr>
        <w:t xml:space="preserve">All areas of suspected defects are assessed guided by </w:t>
      </w:r>
      <w:r w:rsidRPr="000202EA">
        <w:rPr>
          <w:sz w:val="20"/>
          <w:szCs w:val="20"/>
        </w:rPr>
        <w:t>arteriogram</w:t>
      </w:r>
      <w:r w:rsidRPr="000202EA">
        <w:rPr>
          <w:color w:val="000000"/>
          <w:sz w:val="20"/>
          <w:szCs w:val="20"/>
        </w:rPr>
        <w:t xml:space="preserve"> if available before dilation by</w:t>
      </w:r>
      <w:r w:rsidR="000202EA" w:rsidRPr="000202EA">
        <w:rPr>
          <w:rFonts w:eastAsiaTheme="minorEastAsia" w:hint="eastAsia"/>
          <w:color w:val="000000"/>
          <w:sz w:val="20"/>
          <w:szCs w:val="20"/>
          <w:lang w:eastAsia="zh-CN"/>
        </w:rPr>
        <w:t xml:space="preserve"> </w:t>
      </w:r>
      <w:r w:rsidRPr="000202EA">
        <w:rPr>
          <w:color w:val="000000"/>
          <w:sz w:val="20"/>
          <w:szCs w:val="20"/>
        </w:rPr>
        <w:t xml:space="preserve">direct diameter-reduction measurement on color or power image, as well as by spectral analyses, </w:t>
      </w:r>
      <w:proofErr w:type="spellStart"/>
      <w:r w:rsidRPr="000202EA">
        <w:rPr>
          <w:color w:val="000000"/>
          <w:sz w:val="20"/>
          <w:szCs w:val="20"/>
        </w:rPr>
        <w:t>haemodynamic</w:t>
      </w:r>
      <w:proofErr w:type="spellEnd"/>
      <w:r w:rsidRPr="000202EA">
        <w:rPr>
          <w:color w:val="000000"/>
          <w:sz w:val="20"/>
          <w:szCs w:val="20"/>
        </w:rPr>
        <w:t xml:space="preserve"> study including PSV and wave form changes</w:t>
      </w:r>
      <w:r w:rsidR="00C305D9" w:rsidRPr="000202EA">
        <w:rPr>
          <w:color w:val="000000"/>
          <w:sz w:val="20"/>
          <w:szCs w:val="20"/>
        </w:rPr>
        <w:t>.</w:t>
      </w:r>
      <w:r w:rsidRPr="000202EA">
        <w:rPr>
          <w:color w:val="000000"/>
          <w:sz w:val="20"/>
          <w:szCs w:val="20"/>
        </w:rPr>
        <w:t xml:space="preserve">5000 units heparin are given </w:t>
      </w:r>
      <w:proofErr w:type="spellStart"/>
      <w:r w:rsidRPr="000202EA">
        <w:rPr>
          <w:color w:val="000000"/>
          <w:sz w:val="20"/>
          <w:szCs w:val="20"/>
        </w:rPr>
        <w:t>intraarterially</w:t>
      </w:r>
      <w:proofErr w:type="spellEnd"/>
      <w:r w:rsidRPr="000202EA">
        <w:rPr>
          <w:color w:val="000000"/>
          <w:sz w:val="20"/>
          <w:szCs w:val="20"/>
        </w:rPr>
        <w:t xml:space="preserve"> before balloon dilation.</w:t>
      </w:r>
    </w:p>
    <w:p w:rsidR="006A7847" w:rsidRPr="000202EA" w:rsidRDefault="006A7847" w:rsidP="00243C1C">
      <w:pPr>
        <w:numPr>
          <w:ilvl w:val="0"/>
          <w:numId w:val="2"/>
        </w:numPr>
        <w:autoSpaceDE w:val="0"/>
        <w:autoSpaceDN w:val="0"/>
        <w:adjustRightInd w:val="0"/>
        <w:snapToGrid w:val="0"/>
        <w:ind w:left="0" w:firstLine="425"/>
        <w:jc w:val="both"/>
        <w:rPr>
          <w:sz w:val="20"/>
          <w:szCs w:val="20"/>
        </w:rPr>
      </w:pPr>
      <w:r w:rsidRPr="000202EA">
        <w:rPr>
          <w:color w:val="000000"/>
          <w:sz w:val="20"/>
          <w:szCs w:val="20"/>
        </w:rPr>
        <w:t xml:space="preserve">The diseased segment is balloon-dilated under duplex visualization. </w:t>
      </w:r>
      <w:r w:rsidRPr="000202EA">
        <w:rPr>
          <w:sz w:val="20"/>
          <w:szCs w:val="20"/>
        </w:rPr>
        <w:t xml:space="preserve">Balloon diameter and length were chosen according to arterial measurements obtained by duplex scanning. 5-, 6-, or 7-mm-diameter balloons should be prepared. Inflation devices are used to inflate the balloons with inflation duration of 1 minute and this may be repeated in some patients according to the resistance. Although multiple dilations of sequential lesions are feasible, matching the length of diffusely </w:t>
      </w:r>
      <w:proofErr w:type="spellStart"/>
      <w:r w:rsidRPr="000202EA">
        <w:rPr>
          <w:sz w:val="20"/>
          <w:szCs w:val="20"/>
        </w:rPr>
        <w:t>stenotic</w:t>
      </w:r>
      <w:proofErr w:type="spellEnd"/>
      <w:r w:rsidRPr="000202EA">
        <w:rPr>
          <w:sz w:val="20"/>
          <w:szCs w:val="20"/>
        </w:rPr>
        <w:t xml:space="preserve"> segment to the length of the PTA balloon is optimal to prevent injury to the non-diseased adjoining vessel. The sheath is withdrawn under </w:t>
      </w:r>
      <w:proofErr w:type="spellStart"/>
      <w:r w:rsidRPr="000202EA">
        <w:rPr>
          <w:sz w:val="20"/>
          <w:szCs w:val="20"/>
        </w:rPr>
        <w:t>ultrasonographic</w:t>
      </w:r>
      <w:proofErr w:type="spellEnd"/>
      <w:r w:rsidRPr="000202EA">
        <w:rPr>
          <w:sz w:val="20"/>
          <w:szCs w:val="20"/>
        </w:rPr>
        <w:t xml:space="preserve"> control, and </w:t>
      </w:r>
      <w:proofErr w:type="spellStart"/>
      <w:r w:rsidRPr="000202EA">
        <w:rPr>
          <w:sz w:val="20"/>
          <w:szCs w:val="20"/>
        </w:rPr>
        <w:t>heamostasis</w:t>
      </w:r>
      <w:proofErr w:type="spellEnd"/>
      <w:r w:rsidRPr="000202EA">
        <w:rPr>
          <w:sz w:val="20"/>
          <w:szCs w:val="20"/>
        </w:rPr>
        <w:t xml:space="preserve"> is secured.</w:t>
      </w:r>
    </w:p>
    <w:p w:rsidR="006A7847" w:rsidRPr="000202EA" w:rsidRDefault="006A7847" w:rsidP="00243C1C">
      <w:pPr>
        <w:numPr>
          <w:ilvl w:val="0"/>
          <w:numId w:val="2"/>
        </w:numPr>
        <w:autoSpaceDE w:val="0"/>
        <w:autoSpaceDN w:val="0"/>
        <w:adjustRightInd w:val="0"/>
        <w:snapToGrid w:val="0"/>
        <w:ind w:left="0" w:firstLine="425"/>
        <w:jc w:val="both"/>
        <w:rPr>
          <w:color w:val="000000"/>
          <w:sz w:val="20"/>
          <w:szCs w:val="20"/>
        </w:rPr>
      </w:pPr>
      <w:r w:rsidRPr="000202EA">
        <w:rPr>
          <w:color w:val="000000"/>
          <w:sz w:val="20"/>
          <w:szCs w:val="20"/>
        </w:rPr>
        <w:t xml:space="preserve">After retrieval of the balloon angioplasty catheter, a detailed duplex examination of the entire treated segment is performed to </w:t>
      </w:r>
      <w:r w:rsidRPr="000202EA">
        <w:rPr>
          <w:sz w:val="20"/>
          <w:szCs w:val="20"/>
        </w:rPr>
        <w:t>identify</w:t>
      </w:r>
      <w:r w:rsidRPr="000202EA">
        <w:rPr>
          <w:color w:val="000000"/>
          <w:sz w:val="20"/>
          <w:szCs w:val="20"/>
        </w:rPr>
        <w:t xml:space="preserve"> areas of possible residual </w:t>
      </w:r>
      <w:proofErr w:type="spellStart"/>
      <w:r w:rsidRPr="000202EA">
        <w:rPr>
          <w:color w:val="000000"/>
          <w:sz w:val="20"/>
          <w:szCs w:val="20"/>
        </w:rPr>
        <w:t>stenosis</w:t>
      </w:r>
      <w:proofErr w:type="spellEnd"/>
      <w:r w:rsidRPr="000202EA">
        <w:rPr>
          <w:color w:val="000000"/>
          <w:sz w:val="20"/>
          <w:szCs w:val="20"/>
        </w:rPr>
        <w:t xml:space="preserve">, plaque recoil, or dissection causing flow abnormalities. Arterial </w:t>
      </w:r>
      <w:proofErr w:type="spellStart"/>
      <w:r w:rsidRPr="000202EA">
        <w:rPr>
          <w:color w:val="000000"/>
          <w:sz w:val="20"/>
          <w:szCs w:val="20"/>
        </w:rPr>
        <w:t>stenoses</w:t>
      </w:r>
      <w:proofErr w:type="spellEnd"/>
      <w:r w:rsidRPr="000202EA">
        <w:rPr>
          <w:color w:val="000000"/>
          <w:sz w:val="20"/>
          <w:szCs w:val="20"/>
        </w:rPr>
        <w:t xml:space="preserve"> causing more than a 30% luminal diameter reduction or a PSV ratio of 2 or more is considered significant and require placement of a self-expanding stent.</w:t>
      </w:r>
    </w:p>
    <w:p w:rsidR="006A7847" w:rsidRPr="000202EA" w:rsidRDefault="006A7847" w:rsidP="00243C1C">
      <w:pPr>
        <w:numPr>
          <w:ilvl w:val="0"/>
          <w:numId w:val="2"/>
        </w:numPr>
        <w:autoSpaceDE w:val="0"/>
        <w:autoSpaceDN w:val="0"/>
        <w:adjustRightInd w:val="0"/>
        <w:snapToGrid w:val="0"/>
        <w:ind w:left="0" w:firstLine="425"/>
        <w:jc w:val="both"/>
        <w:rPr>
          <w:color w:val="000000"/>
          <w:sz w:val="20"/>
          <w:szCs w:val="20"/>
        </w:rPr>
      </w:pPr>
      <w:r w:rsidRPr="000202EA">
        <w:rPr>
          <w:color w:val="000000"/>
          <w:sz w:val="20"/>
          <w:szCs w:val="20"/>
        </w:rPr>
        <w:t xml:space="preserve">Completion duplex examinations included visualization of all </w:t>
      </w:r>
      <w:proofErr w:type="spellStart"/>
      <w:r w:rsidRPr="000202EA">
        <w:rPr>
          <w:sz w:val="20"/>
          <w:szCs w:val="20"/>
        </w:rPr>
        <w:t>infrapopliteal</w:t>
      </w:r>
      <w:proofErr w:type="spellEnd"/>
      <w:r w:rsidRPr="000202EA">
        <w:rPr>
          <w:color w:val="000000"/>
          <w:sz w:val="20"/>
          <w:szCs w:val="20"/>
        </w:rPr>
        <w:t xml:space="preserve"> arteries; results of these examinations are compared with the ones obtained before the procedure in an attempt to identify </w:t>
      </w:r>
      <w:r w:rsidRPr="000202EA">
        <w:rPr>
          <w:color w:val="000000"/>
          <w:sz w:val="20"/>
          <w:szCs w:val="20"/>
        </w:rPr>
        <w:lastRenderedPageBreak/>
        <w:t xml:space="preserve">possible </w:t>
      </w:r>
      <w:proofErr w:type="spellStart"/>
      <w:r w:rsidRPr="000202EA">
        <w:rPr>
          <w:color w:val="000000"/>
          <w:sz w:val="20"/>
          <w:szCs w:val="20"/>
        </w:rPr>
        <w:t>embolization</w:t>
      </w:r>
      <w:proofErr w:type="spellEnd"/>
      <w:r w:rsidRPr="000202EA">
        <w:rPr>
          <w:color w:val="000000"/>
          <w:sz w:val="20"/>
          <w:szCs w:val="20"/>
        </w:rPr>
        <w:t xml:space="preserve"> or thrombosis during balloon angioplasty.</w:t>
      </w:r>
    </w:p>
    <w:p w:rsidR="007B5136" w:rsidRPr="000202EA" w:rsidRDefault="007B5136" w:rsidP="00243C1C">
      <w:pPr>
        <w:autoSpaceDE w:val="0"/>
        <w:autoSpaceDN w:val="0"/>
        <w:adjustRightInd w:val="0"/>
        <w:snapToGrid w:val="0"/>
        <w:jc w:val="both"/>
        <w:rPr>
          <w:sz w:val="20"/>
          <w:szCs w:val="20"/>
        </w:rPr>
      </w:pPr>
      <w:proofErr w:type="spellStart"/>
      <w:r w:rsidRPr="000202EA">
        <w:rPr>
          <w:b/>
          <w:bCs/>
          <w:sz w:val="20"/>
          <w:szCs w:val="20"/>
        </w:rPr>
        <w:t>Postprocedure</w:t>
      </w:r>
      <w:proofErr w:type="spellEnd"/>
      <w:r w:rsidRPr="000202EA">
        <w:rPr>
          <w:b/>
          <w:bCs/>
          <w:sz w:val="20"/>
          <w:szCs w:val="20"/>
        </w:rPr>
        <w:t xml:space="preserve"> evaluation and follow-up</w:t>
      </w:r>
    </w:p>
    <w:p w:rsidR="00C305D9" w:rsidRPr="000202EA" w:rsidRDefault="007B5136" w:rsidP="00243C1C">
      <w:pPr>
        <w:numPr>
          <w:ilvl w:val="1"/>
          <w:numId w:val="2"/>
        </w:numPr>
        <w:tabs>
          <w:tab w:val="num" w:pos="540"/>
        </w:tabs>
        <w:autoSpaceDE w:val="0"/>
        <w:autoSpaceDN w:val="0"/>
        <w:adjustRightInd w:val="0"/>
        <w:snapToGrid w:val="0"/>
        <w:ind w:left="0" w:firstLine="425"/>
        <w:jc w:val="both"/>
        <w:rPr>
          <w:sz w:val="20"/>
          <w:szCs w:val="20"/>
        </w:rPr>
      </w:pPr>
      <w:r w:rsidRPr="000202EA">
        <w:rPr>
          <w:sz w:val="20"/>
          <w:szCs w:val="20"/>
        </w:rPr>
        <w:t>Arterial duplex scannin</w:t>
      </w:r>
      <w:r w:rsidR="00C305D9" w:rsidRPr="000202EA">
        <w:rPr>
          <w:sz w:val="20"/>
          <w:szCs w:val="20"/>
        </w:rPr>
        <w:t>g.</w:t>
      </w:r>
    </w:p>
    <w:p w:rsidR="00C305D9" w:rsidRPr="000202EA" w:rsidRDefault="007B5136" w:rsidP="00243C1C">
      <w:pPr>
        <w:numPr>
          <w:ilvl w:val="1"/>
          <w:numId w:val="2"/>
        </w:numPr>
        <w:tabs>
          <w:tab w:val="num" w:pos="540"/>
        </w:tabs>
        <w:autoSpaceDE w:val="0"/>
        <w:autoSpaceDN w:val="0"/>
        <w:adjustRightInd w:val="0"/>
        <w:snapToGrid w:val="0"/>
        <w:ind w:left="0" w:firstLine="425"/>
        <w:jc w:val="both"/>
        <w:rPr>
          <w:sz w:val="20"/>
          <w:szCs w:val="20"/>
        </w:rPr>
      </w:pPr>
      <w:r w:rsidRPr="000202EA">
        <w:rPr>
          <w:sz w:val="20"/>
          <w:szCs w:val="20"/>
        </w:rPr>
        <w:t>PSV and wave for</w:t>
      </w:r>
      <w:r w:rsidR="00C305D9" w:rsidRPr="000202EA">
        <w:rPr>
          <w:sz w:val="20"/>
          <w:szCs w:val="20"/>
        </w:rPr>
        <w:t>m.</w:t>
      </w:r>
    </w:p>
    <w:p w:rsidR="00C305D9" w:rsidRPr="000202EA" w:rsidRDefault="007B5136" w:rsidP="00243C1C">
      <w:pPr>
        <w:numPr>
          <w:ilvl w:val="1"/>
          <w:numId w:val="2"/>
        </w:numPr>
        <w:tabs>
          <w:tab w:val="num" w:pos="540"/>
        </w:tabs>
        <w:autoSpaceDE w:val="0"/>
        <w:autoSpaceDN w:val="0"/>
        <w:adjustRightInd w:val="0"/>
        <w:snapToGrid w:val="0"/>
        <w:ind w:left="0" w:firstLine="425"/>
        <w:jc w:val="both"/>
        <w:rPr>
          <w:sz w:val="20"/>
          <w:szCs w:val="20"/>
        </w:rPr>
      </w:pPr>
      <w:r w:rsidRPr="000202EA">
        <w:rPr>
          <w:sz w:val="20"/>
          <w:szCs w:val="20"/>
        </w:rPr>
        <w:t>Pulse-volume recording</w:t>
      </w:r>
      <w:r w:rsidR="00C305D9" w:rsidRPr="000202EA">
        <w:rPr>
          <w:sz w:val="20"/>
          <w:szCs w:val="20"/>
        </w:rPr>
        <w:t>s.</w:t>
      </w:r>
    </w:p>
    <w:p w:rsidR="007B5136" w:rsidRPr="000202EA" w:rsidRDefault="007B5136" w:rsidP="00243C1C">
      <w:pPr>
        <w:numPr>
          <w:ilvl w:val="1"/>
          <w:numId w:val="2"/>
        </w:numPr>
        <w:tabs>
          <w:tab w:val="num" w:pos="540"/>
        </w:tabs>
        <w:autoSpaceDE w:val="0"/>
        <w:autoSpaceDN w:val="0"/>
        <w:adjustRightInd w:val="0"/>
        <w:snapToGrid w:val="0"/>
        <w:ind w:left="0" w:firstLine="425"/>
        <w:jc w:val="both"/>
        <w:rPr>
          <w:sz w:val="20"/>
          <w:szCs w:val="20"/>
        </w:rPr>
      </w:pPr>
      <w:r w:rsidRPr="000202EA">
        <w:rPr>
          <w:sz w:val="20"/>
          <w:szCs w:val="20"/>
        </w:rPr>
        <w:t>Ankle brachial indexes (</w:t>
      </w:r>
      <w:proofErr w:type="spellStart"/>
      <w:r w:rsidRPr="000202EA">
        <w:rPr>
          <w:sz w:val="20"/>
          <w:szCs w:val="20"/>
        </w:rPr>
        <w:t>ABIs</w:t>
      </w:r>
      <w:proofErr w:type="spellEnd"/>
      <w:r w:rsidRPr="000202EA">
        <w:rPr>
          <w:sz w:val="20"/>
          <w:szCs w:val="20"/>
        </w:rPr>
        <w:t>) were routinely obtained before hospital discharge.</w:t>
      </w:r>
    </w:p>
    <w:p w:rsidR="00C305D9" w:rsidRPr="000202EA" w:rsidRDefault="007B5136" w:rsidP="00243C1C">
      <w:pPr>
        <w:numPr>
          <w:ilvl w:val="1"/>
          <w:numId w:val="2"/>
        </w:numPr>
        <w:tabs>
          <w:tab w:val="num" w:pos="540"/>
        </w:tabs>
        <w:snapToGrid w:val="0"/>
        <w:ind w:left="0" w:firstLine="425"/>
        <w:jc w:val="both"/>
        <w:rPr>
          <w:sz w:val="20"/>
          <w:szCs w:val="20"/>
        </w:rPr>
      </w:pPr>
      <w:r w:rsidRPr="000202EA">
        <w:rPr>
          <w:sz w:val="20"/>
          <w:szCs w:val="20"/>
        </w:rPr>
        <w:t xml:space="preserve">Patients were advised to schedule follow-up visit in our outpatient office for clinical evaluation, arterial duplex scans, and pulse-volume recording examinations within the first month after discharge and every 6 months thereafter. Arterial patency at each time point was confirmed in the absence of a recurrent </w:t>
      </w:r>
      <w:proofErr w:type="spellStart"/>
      <w:r w:rsidRPr="000202EA">
        <w:rPr>
          <w:sz w:val="20"/>
          <w:szCs w:val="20"/>
        </w:rPr>
        <w:t>stenosis</w:t>
      </w:r>
      <w:proofErr w:type="spellEnd"/>
      <w:r w:rsidRPr="000202EA">
        <w:rPr>
          <w:sz w:val="20"/>
          <w:szCs w:val="20"/>
        </w:rPr>
        <w:t xml:space="preserve"> by duplex scannin</w:t>
      </w:r>
      <w:r w:rsidR="00C305D9" w:rsidRPr="000202EA">
        <w:rPr>
          <w:sz w:val="20"/>
          <w:szCs w:val="20"/>
        </w:rPr>
        <w:t>g.</w:t>
      </w:r>
    </w:p>
    <w:p w:rsidR="007B5136" w:rsidRPr="000202EA" w:rsidRDefault="007B5136" w:rsidP="00243C1C">
      <w:pPr>
        <w:snapToGrid w:val="0"/>
        <w:jc w:val="both"/>
        <w:rPr>
          <w:b/>
          <w:sz w:val="20"/>
          <w:szCs w:val="20"/>
          <w:lang w:bidi="ar-EG"/>
        </w:rPr>
      </w:pPr>
      <w:r w:rsidRPr="000202EA">
        <w:rPr>
          <w:b/>
          <w:sz w:val="20"/>
          <w:szCs w:val="20"/>
        </w:rPr>
        <w:t>Follow-up Program</w:t>
      </w:r>
    </w:p>
    <w:p w:rsidR="007B5136" w:rsidRPr="000202EA" w:rsidRDefault="007B5136" w:rsidP="00243C1C">
      <w:pPr>
        <w:snapToGrid w:val="0"/>
        <w:ind w:firstLine="425"/>
        <w:jc w:val="both"/>
        <w:rPr>
          <w:sz w:val="20"/>
          <w:szCs w:val="20"/>
          <w:lang w:bidi="ar-EG"/>
        </w:rPr>
      </w:pPr>
      <w:r w:rsidRPr="000202EA">
        <w:rPr>
          <w:sz w:val="20"/>
          <w:szCs w:val="20"/>
          <w:lang w:bidi="ar-EG"/>
        </w:rPr>
        <w:t>Immediately after the procedure</w:t>
      </w:r>
      <w:r w:rsidR="00C305D9" w:rsidRPr="000202EA">
        <w:rPr>
          <w:sz w:val="20"/>
          <w:szCs w:val="20"/>
          <w:lang w:bidi="ar-EG"/>
        </w:rPr>
        <w:t>,</w:t>
      </w:r>
      <w:r w:rsidRPr="000202EA">
        <w:rPr>
          <w:sz w:val="20"/>
          <w:szCs w:val="20"/>
          <w:lang w:bidi="ar-EG"/>
        </w:rPr>
        <w:t xml:space="preserve"> then after one week</w:t>
      </w:r>
      <w:r w:rsidR="00C305D9" w:rsidRPr="000202EA">
        <w:rPr>
          <w:sz w:val="20"/>
          <w:szCs w:val="20"/>
          <w:lang w:bidi="ar-EG"/>
        </w:rPr>
        <w:t>,</w:t>
      </w:r>
      <w:r w:rsidRPr="000202EA">
        <w:rPr>
          <w:sz w:val="20"/>
          <w:szCs w:val="20"/>
          <w:lang w:bidi="ar-EG"/>
        </w:rPr>
        <w:t xml:space="preserve"> one month</w:t>
      </w:r>
      <w:r w:rsidR="00C305D9" w:rsidRPr="000202EA">
        <w:rPr>
          <w:sz w:val="20"/>
          <w:szCs w:val="20"/>
          <w:lang w:bidi="ar-EG"/>
        </w:rPr>
        <w:t>,</w:t>
      </w:r>
      <w:r w:rsidRPr="000202EA">
        <w:rPr>
          <w:sz w:val="20"/>
          <w:szCs w:val="20"/>
          <w:lang w:bidi="ar-EG"/>
        </w:rPr>
        <w:t xml:space="preserve"> six months and</w:t>
      </w:r>
      <w:r w:rsidR="00C305D9" w:rsidRPr="000202EA">
        <w:rPr>
          <w:sz w:val="20"/>
          <w:szCs w:val="20"/>
          <w:lang w:bidi="ar-EG"/>
        </w:rPr>
        <w:t xml:space="preserve"> </w:t>
      </w:r>
      <w:r w:rsidRPr="000202EA">
        <w:rPr>
          <w:sz w:val="20"/>
          <w:szCs w:val="20"/>
          <w:lang w:bidi="ar-EG"/>
        </w:rPr>
        <w:t>after one year.</w:t>
      </w:r>
    </w:p>
    <w:p w:rsidR="007B5136" w:rsidRPr="000202EA" w:rsidRDefault="007B5136" w:rsidP="00243C1C">
      <w:pPr>
        <w:snapToGrid w:val="0"/>
        <w:ind w:firstLine="425"/>
        <w:jc w:val="both"/>
        <w:rPr>
          <w:sz w:val="20"/>
          <w:szCs w:val="20"/>
          <w:lang w:bidi="ar-EG"/>
        </w:rPr>
      </w:pPr>
      <w:r w:rsidRPr="000202EA">
        <w:rPr>
          <w:sz w:val="20"/>
          <w:szCs w:val="20"/>
          <w:lang w:bidi="ar-EG"/>
        </w:rPr>
        <w:t>Follow-up will depend on:</w:t>
      </w:r>
    </w:p>
    <w:p w:rsidR="007B5136" w:rsidRPr="000202EA" w:rsidRDefault="007B5136" w:rsidP="00243C1C">
      <w:pPr>
        <w:snapToGrid w:val="0"/>
        <w:ind w:firstLine="425"/>
        <w:jc w:val="both"/>
        <w:rPr>
          <w:sz w:val="20"/>
          <w:szCs w:val="20"/>
          <w:lang w:bidi="ar-EG"/>
        </w:rPr>
      </w:pPr>
      <w:r w:rsidRPr="000202EA">
        <w:rPr>
          <w:sz w:val="20"/>
          <w:szCs w:val="20"/>
          <w:lang w:bidi="ar-EG"/>
        </w:rPr>
        <w:t xml:space="preserve">Clinical data, duplex </w:t>
      </w:r>
      <w:proofErr w:type="spellStart"/>
      <w:r w:rsidRPr="000202EA">
        <w:rPr>
          <w:sz w:val="20"/>
          <w:szCs w:val="20"/>
          <w:lang w:bidi="ar-EG"/>
        </w:rPr>
        <w:t>ultrasonography</w:t>
      </w:r>
      <w:proofErr w:type="spellEnd"/>
      <w:r w:rsidRPr="000202EA">
        <w:rPr>
          <w:sz w:val="20"/>
          <w:szCs w:val="20"/>
          <w:lang w:bidi="ar-EG"/>
        </w:rPr>
        <w:t xml:space="preserve"> as well as computed </w:t>
      </w:r>
      <w:proofErr w:type="spellStart"/>
      <w:r w:rsidRPr="000202EA">
        <w:rPr>
          <w:sz w:val="20"/>
          <w:szCs w:val="20"/>
          <w:lang w:bidi="ar-EG"/>
        </w:rPr>
        <w:t>tomographic</w:t>
      </w:r>
      <w:proofErr w:type="spellEnd"/>
      <w:r w:rsidRPr="000202EA">
        <w:rPr>
          <w:sz w:val="20"/>
          <w:szCs w:val="20"/>
          <w:lang w:bidi="ar-EG"/>
        </w:rPr>
        <w:t xml:space="preserve"> angiography.</w:t>
      </w:r>
    </w:p>
    <w:p w:rsidR="007B5136" w:rsidRPr="000202EA" w:rsidRDefault="007B5136" w:rsidP="00243C1C">
      <w:pPr>
        <w:snapToGrid w:val="0"/>
        <w:jc w:val="both"/>
        <w:rPr>
          <w:b/>
          <w:bCs/>
          <w:sz w:val="20"/>
          <w:szCs w:val="20"/>
          <w:lang w:val="en-GB" w:eastAsia="en-GB"/>
        </w:rPr>
      </w:pPr>
      <w:r w:rsidRPr="000202EA">
        <w:rPr>
          <w:b/>
          <w:bCs/>
          <w:sz w:val="20"/>
          <w:szCs w:val="20"/>
          <w:lang w:val="en-GB" w:eastAsia="en-GB"/>
        </w:rPr>
        <w:t>Statistical analysis</w:t>
      </w:r>
    </w:p>
    <w:p w:rsidR="007B5136" w:rsidRPr="000202EA" w:rsidRDefault="007B5136" w:rsidP="00243C1C">
      <w:pPr>
        <w:snapToGrid w:val="0"/>
        <w:ind w:firstLine="425"/>
        <w:jc w:val="both"/>
        <w:rPr>
          <w:sz w:val="20"/>
          <w:szCs w:val="20"/>
        </w:rPr>
      </w:pPr>
      <w:r w:rsidRPr="000202EA">
        <w:rPr>
          <w:sz w:val="20"/>
          <w:szCs w:val="20"/>
        </w:rPr>
        <w:t xml:space="preserve">Data were statistically described in terms of range, mean </w:t>
      </w:r>
      <w:r w:rsidRPr="000202EA">
        <w:rPr>
          <w:sz w:val="20"/>
          <w:szCs w:val="20"/>
        </w:rPr>
        <w:sym w:font="Symbol" w:char="F0B1"/>
      </w:r>
      <w:r w:rsidRPr="000202EA">
        <w:rPr>
          <w:sz w:val="20"/>
          <w:szCs w:val="20"/>
        </w:rPr>
        <w:t xml:space="preserve"> standard deviation (</w:t>
      </w:r>
      <w:r w:rsidRPr="000202EA">
        <w:rPr>
          <w:sz w:val="20"/>
          <w:szCs w:val="20"/>
        </w:rPr>
        <w:sym w:font="Symbol" w:char="F0B1"/>
      </w:r>
      <w:r w:rsidRPr="000202EA">
        <w:rPr>
          <w:sz w:val="20"/>
          <w:szCs w:val="20"/>
        </w:rPr>
        <w:t xml:space="preserve"> SD), median, frequencies (number and percentages of cases) when appropriate.</w:t>
      </w:r>
    </w:p>
    <w:p w:rsidR="007B5136" w:rsidRPr="000202EA" w:rsidRDefault="007B5136" w:rsidP="00243C1C">
      <w:pPr>
        <w:autoSpaceDE w:val="0"/>
        <w:autoSpaceDN w:val="0"/>
        <w:adjustRightInd w:val="0"/>
        <w:snapToGrid w:val="0"/>
        <w:ind w:firstLine="425"/>
        <w:jc w:val="both"/>
        <w:rPr>
          <w:sz w:val="20"/>
          <w:szCs w:val="20"/>
          <w:lang w:val="en-GB" w:eastAsia="en-GB"/>
        </w:rPr>
      </w:pPr>
      <w:r w:rsidRPr="000202EA">
        <w:rPr>
          <w:sz w:val="20"/>
          <w:szCs w:val="20"/>
          <w:lang w:val="en-GB" w:eastAsia="en-GB"/>
        </w:rPr>
        <w:t xml:space="preserve">Comparison of numerical variables between the study groups was done using Mann Whitney U test for independent samples when comparing 2 groups and </w:t>
      </w:r>
      <w:proofErr w:type="spellStart"/>
      <w:r w:rsidRPr="000202EA">
        <w:rPr>
          <w:sz w:val="20"/>
          <w:szCs w:val="20"/>
          <w:lang w:val="en-GB" w:eastAsia="en-GB"/>
        </w:rPr>
        <w:t>Kruskal</w:t>
      </w:r>
      <w:proofErr w:type="spellEnd"/>
      <w:r w:rsidRPr="000202EA">
        <w:rPr>
          <w:sz w:val="20"/>
          <w:szCs w:val="20"/>
          <w:lang w:val="en-GB" w:eastAsia="en-GB"/>
        </w:rPr>
        <w:t xml:space="preserve"> Wallis test with </w:t>
      </w:r>
      <w:proofErr w:type="spellStart"/>
      <w:r w:rsidRPr="000202EA">
        <w:rPr>
          <w:sz w:val="20"/>
          <w:szCs w:val="20"/>
          <w:lang w:val="en-GB" w:eastAsia="en-GB"/>
        </w:rPr>
        <w:t>posthoc</w:t>
      </w:r>
      <w:proofErr w:type="spellEnd"/>
      <w:r w:rsidRPr="000202EA">
        <w:rPr>
          <w:sz w:val="20"/>
          <w:szCs w:val="20"/>
          <w:lang w:val="en-GB" w:eastAsia="en-GB"/>
        </w:rPr>
        <w:t xml:space="preserve"> multiple 2-group comparisons when comparing more than 2 groups. To compare categorical data, </w:t>
      </w:r>
      <w:r w:rsidRPr="000202EA">
        <w:rPr>
          <w:sz w:val="20"/>
          <w:szCs w:val="20"/>
        </w:rPr>
        <w:t>Pearson</w:t>
      </w:r>
      <w:r w:rsidRPr="000202EA">
        <w:rPr>
          <w:sz w:val="20"/>
          <w:szCs w:val="20"/>
          <w:lang w:val="en-GB" w:eastAsia="en-GB"/>
        </w:rPr>
        <w:t xml:space="preserve"> Chi square (</w:t>
      </w:r>
      <w:r w:rsidRPr="000202EA">
        <w:rPr>
          <w:sz w:val="20"/>
          <w:szCs w:val="20"/>
          <w:lang w:val="en-GB" w:eastAsia="en-GB"/>
        </w:rPr>
        <w:sym w:font="Symbol" w:char="F063"/>
      </w:r>
      <w:r w:rsidRPr="000202EA">
        <w:rPr>
          <w:sz w:val="20"/>
          <w:szCs w:val="20"/>
          <w:vertAlign w:val="superscript"/>
          <w:lang w:val="en-GB" w:eastAsia="en-GB"/>
        </w:rPr>
        <w:t>2</w:t>
      </w:r>
      <w:r w:rsidRPr="000202EA">
        <w:rPr>
          <w:sz w:val="20"/>
          <w:szCs w:val="20"/>
          <w:lang w:val="en-GB" w:eastAsia="en-GB"/>
        </w:rPr>
        <w:t xml:space="preserve">) test was performed. </w:t>
      </w:r>
      <w:r w:rsidRPr="000202EA">
        <w:rPr>
          <w:sz w:val="20"/>
          <w:szCs w:val="20"/>
        </w:rPr>
        <w:t>Fisher’s exact two-tailed probability</w:t>
      </w:r>
      <w:r w:rsidRPr="000202EA">
        <w:rPr>
          <w:sz w:val="20"/>
          <w:szCs w:val="20"/>
          <w:lang w:val="en-GB" w:eastAsia="en-GB"/>
        </w:rPr>
        <w:t xml:space="preserve"> test was used instead when the expected frequency is less than 5</w:t>
      </w:r>
      <w:r w:rsidRPr="000202EA">
        <w:rPr>
          <w:sz w:val="20"/>
          <w:szCs w:val="20"/>
        </w:rPr>
        <w:t xml:space="preserve"> (i.e. when a Pearson Chi-Square test could not be calculated due to small number of observations)</w:t>
      </w:r>
      <w:r w:rsidRPr="000202EA">
        <w:rPr>
          <w:sz w:val="20"/>
          <w:szCs w:val="20"/>
          <w:lang w:val="en-GB" w:eastAsia="en-GB"/>
        </w:rPr>
        <w:t>.</w:t>
      </w:r>
    </w:p>
    <w:p w:rsidR="007B5136" w:rsidRPr="000202EA" w:rsidRDefault="007B5136" w:rsidP="00243C1C">
      <w:pPr>
        <w:snapToGrid w:val="0"/>
        <w:ind w:firstLine="425"/>
        <w:jc w:val="both"/>
        <w:rPr>
          <w:sz w:val="20"/>
          <w:szCs w:val="20"/>
          <w:lang w:bidi="ar-EG"/>
        </w:rPr>
      </w:pPr>
      <w:r w:rsidRPr="000202EA">
        <w:rPr>
          <w:sz w:val="20"/>
          <w:szCs w:val="20"/>
        </w:rPr>
        <w:t>Correlation between various variables was done using Spearman rank correlation equation for non-normal variables. P values ˂0.05 was considered significant. All calculations were done using SPSS computer programs (Statistical Package for the Social Science; SPSS Inc., Chicago, IL, USA) version 23.</w:t>
      </w:r>
    </w:p>
    <w:p w:rsidR="007B5136" w:rsidRPr="000202EA" w:rsidRDefault="007B5136" w:rsidP="00243C1C">
      <w:pPr>
        <w:snapToGrid w:val="0"/>
        <w:jc w:val="both"/>
        <w:rPr>
          <w:b/>
          <w:bCs/>
          <w:sz w:val="20"/>
          <w:szCs w:val="20"/>
          <w:lang w:bidi="ar-EG"/>
        </w:rPr>
      </w:pPr>
      <w:r w:rsidRPr="000202EA">
        <w:rPr>
          <w:b/>
          <w:bCs/>
          <w:sz w:val="20"/>
          <w:szCs w:val="20"/>
          <w:lang w:bidi="ar-EG"/>
        </w:rPr>
        <w:t>Criteria of success and failure</w:t>
      </w:r>
    </w:p>
    <w:p w:rsidR="007B5136" w:rsidRPr="000202EA" w:rsidRDefault="007B5136" w:rsidP="00243C1C">
      <w:pPr>
        <w:autoSpaceDE w:val="0"/>
        <w:autoSpaceDN w:val="0"/>
        <w:adjustRightInd w:val="0"/>
        <w:snapToGrid w:val="0"/>
        <w:jc w:val="both"/>
        <w:rPr>
          <w:b/>
          <w:bCs/>
          <w:sz w:val="20"/>
          <w:szCs w:val="20"/>
        </w:rPr>
      </w:pPr>
      <w:r w:rsidRPr="000202EA">
        <w:rPr>
          <w:b/>
          <w:bCs/>
          <w:sz w:val="20"/>
          <w:szCs w:val="20"/>
        </w:rPr>
        <w:t>Technical success</w:t>
      </w:r>
    </w:p>
    <w:p w:rsidR="007B5136" w:rsidRPr="000202EA" w:rsidRDefault="007B5136" w:rsidP="00243C1C">
      <w:pPr>
        <w:snapToGrid w:val="0"/>
        <w:ind w:firstLine="425"/>
        <w:jc w:val="both"/>
        <w:rPr>
          <w:sz w:val="20"/>
          <w:szCs w:val="20"/>
        </w:rPr>
      </w:pPr>
      <w:r w:rsidRPr="000202EA">
        <w:rPr>
          <w:sz w:val="20"/>
          <w:szCs w:val="20"/>
        </w:rPr>
        <w:t xml:space="preserve">Immediate technical success of SFA angioplasties, as confirmed by completion color flow imaging and spectral </w:t>
      </w:r>
      <w:r w:rsidRPr="000202EA">
        <w:rPr>
          <w:sz w:val="20"/>
          <w:szCs w:val="20"/>
          <w:lang w:bidi="ar-EG"/>
        </w:rPr>
        <w:t>analyses</w:t>
      </w:r>
      <w:r w:rsidRPr="000202EA">
        <w:rPr>
          <w:sz w:val="20"/>
          <w:szCs w:val="20"/>
        </w:rPr>
        <w:t xml:space="preserve">, patient is assessed by color flow </w:t>
      </w:r>
      <w:proofErr w:type="spellStart"/>
      <w:r w:rsidRPr="000202EA">
        <w:rPr>
          <w:sz w:val="20"/>
          <w:szCs w:val="20"/>
        </w:rPr>
        <w:t>ultrasonography</w:t>
      </w:r>
      <w:proofErr w:type="spellEnd"/>
      <w:r w:rsidRPr="000202EA">
        <w:rPr>
          <w:sz w:val="20"/>
          <w:szCs w:val="20"/>
        </w:rPr>
        <w:t xml:space="preserve"> and </w:t>
      </w:r>
      <w:proofErr w:type="spellStart"/>
      <w:r w:rsidRPr="000202EA">
        <w:rPr>
          <w:sz w:val="20"/>
          <w:szCs w:val="20"/>
        </w:rPr>
        <w:t>haemodynamic</w:t>
      </w:r>
      <w:proofErr w:type="spellEnd"/>
      <w:r w:rsidRPr="000202EA">
        <w:rPr>
          <w:sz w:val="20"/>
          <w:szCs w:val="20"/>
        </w:rPr>
        <w:t xml:space="preserve"> study post procedure which is compared with pre procedure in all cases. Technical success is identified as patency of the angioplasty femoral segment with less than 30% residual </w:t>
      </w:r>
      <w:proofErr w:type="spellStart"/>
      <w:r w:rsidRPr="000202EA">
        <w:rPr>
          <w:sz w:val="20"/>
          <w:szCs w:val="20"/>
        </w:rPr>
        <w:t>stenosis</w:t>
      </w:r>
      <w:proofErr w:type="spellEnd"/>
      <w:r w:rsidRPr="000202EA">
        <w:rPr>
          <w:sz w:val="20"/>
          <w:szCs w:val="20"/>
        </w:rPr>
        <w:t xml:space="preserve"> and an absence of distal embolism.</w:t>
      </w:r>
    </w:p>
    <w:p w:rsidR="007B5136" w:rsidRPr="000202EA" w:rsidRDefault="007B5136" w:rsidP="00243C1C">
      <w:pPr>
        <w:snapToGrid w:val="0"/>
        <w:jc w:val="both"/>
        <w:rPr>
          <w:sz w:val="20"/>
          <w:szCs w:val="20"/>
          <w:lang w:bidi="ar-EG"/>
        </w:rPr>
      </w:pPr>
      <w:r w:rsidRPr="000202EA">
        <w:rPr>
          <w:b/>
          <w:bCs/>
          <w:sz w:val="20"/>
          <w:szCs w:val="20"/>
          <w:lang w:bidi="ar-EG"/>
        </w:rPr>
        <w:t>Clinical success</w:t>
      </w:r>
    </w:p>
    <w:p w:rsidR="00C305D9" w:rsidRPr="000202EA" w:rsidRDefault="007B5136" w:rsidP="00243C1C">
      <w:pPr>
        <w:snapToGrid w:val="0"/>
        <w:ind w:firstLine="425"/>
        <w:jc w:val="both"/>
        <w:rPr>
          <w:sz w:val="20"/>
          <w:szCs w:val="20"/>
          <w:lang w:bidi="ar-EG"/>
        </w:rPr>
      </w:pPr>
      <w:r w:rsidRPr="000202EA">
        <w:rPr>
          <w:sz w:val="20"/>
          <w:szCs w:val="20"/>
          <w:lang w:bidi="ar-EG"/>
        </w:rPr>
        <w:lastRenderedPageBreak/>
        <w:t xml:space="preserve">Is defined as some combination of symptomatic improvement and objective </w:t>
      </w:r>
      <w:proofErr w:type="spellStart"/>
      <w:r w:rsidRPr="000202EA">
        <w:rPr>
          <w:sz w:val="20"/>
          <w:szCs w:val="20"/>
          <w:lang w:bidi="ar-EG"/>
        </w:rPr>
        <w:t>haemodynamic</w:t>
      </w:r>
      <w:proofErr w:type="spellEnd"/>
      <w:r w:rsidRPr="000202EA">
        <w:rPr>
          <w:sz w:val="20"/>
          <w:szCs w:val="20"/>
          <w:lang w:bidi="ar-EG"/>
        </w:rPr>
        <w:t xml:space="preserve"> succes</w:t>
      </w:r>
      <w:r w:rsidR="00C305D9" w:rsidRPr="000202EA">
        <w:rPr>
          <w:sz w:val="20"/>
          <w:szCs w:val="20"/>
          <w:lang w:bidi="ar-EG"/>
        </w:rPr>
        <w:t>s.</w:t>
      </w:r>
    </w:p>
    <w:p w:rsidR="007B5136" w:rsidRPr="000202EA" w:rsidRDefault="007B5136" w:rsidP="00243C1C">
      <w:pPr>
        <w:snapToGrid w:val="0"/>
        <w:ind w:firstLine="425"/>
        <w:jc w:val="both"/>
        <w:rPr>
          <w:sz w:val="20"/>
          <w:szCs w:val="20"/>
          <w:lang w:bidi="ar-EG"/>
        </w:rPr>
      </w:pPr>
      <w:r w:rsidRPr="000202EA">
        <w:rPr>
          <w:b/>
          <w:bCs/>
          <w:sz w:val="20"/>
          <w:szCs w:val="20"/>
          <w:lang w:bidi="ar-EG"/>
        </w:rPr>
        <w:t>Symptomatic improvement as</w:t>
      </w:r>
      <w:r w:rsidRPr="000202EA">
        <w:rPr>
          <w:sz w:val="20"/>
          <w:szCs w:val="20"/>
          <w:lang w:bidi="ar-EG"/>
        </w:rPr>
        <w:t xml:space="preserve"> decrease </w:t>
      </w:r>
      <w:proofErr w:type="spellStart"/>
      <w:r w:rsidRPr="000202EA">
        <w:rPr>
          <w:sz w:val="20"/>
          <w:szCs w:val="20"/>
          <w:lang w:bidi="ar-EG"/>
        </w:rPr>
        <w:t>claudication</w:t>
      </w:r>
      <w:proofErr w:type="spellEnd"/>
      <w:r w:rsidRPr="000202EA">
        <w:rPr>
          <w:sz w:val="20"/>
          <w:szCs w:val="20"/>
          <w:lang w:bidi="ar-EG"/>
        </w:rPr>
        <w:t>, no rest pain and improved wound healing.</w:t>
      </w:r>
    </w:p>
    <w:p w:rsidR="007B5136" w:rsidRPr="000202EA" w:rsidRDefault="007B5136" w:rsidP="00243C1C">
      <w:pPr>
        <w:snapToGrid w:val="0"/>
        <w:ind w:firstLine="425"/>
        <w:jc w:val="both"/>
        <w:rPr>
          <w:sz w:val="20"/>
          <w:szCs w:val="20"/>
          <w:lang w:bidi="ar-EG"/>
        </w:rPr>
      </w:pPr>
      <w:proofErr w:type="spellStart"/>
      <w:r w:rsidRPr="000202EA">
        <w:rPr>
          <w:b/>
          <w:bCs/>
          <w:sz w:val="20"/>
          <w:szCs w:val="20"/>
          <w:lang w:bidi="ar-EG"/>
        </w:rPr>
        <w:t>Haemodynamic</w:t>
      </w:r>
      <w:proofErr w:type="spellEnd"/>
      <w:r w:rsidRPr="000202EA">
        <w:rPr>
          <w:b/>
          <w:bCs/>
          <w:sz w:val="20"/>
          <w:szCs w:val="20"/>
          <w:lang w:bidi="ar-EG"/>
        </w:rPr>
        <w:t xml:space="preserve"> success </w:t>
      </w:r>
      <w:r w:rsidRPr="000202EA">
        <w:rPr>
          <w:sz w:val="20"/>
          <w:szCs w:val="20"/>
          <w:lang w:bidi="ar-EG"/>
        </w:rPr>
        <w:t>by PSV less than 1.5m/s, wave form changes and increase in the ABI of more than 0.10.</w:t>
      </w:r>
    </w:p>
    <w:p w:rsidR="007B5136" w:rsidRPr="000202EA" w:rsidRDefault="007B5136" w:rsidP="00243C1C">
      <w:pPr>
        <w:snapToGrid w:val="0"/>
        <w:ind w:firstLine="425"/>
        <w:jc w:val="both"/>
        <w:rPr>
          <w:sz w:val="20"/>
          <w:szCs w:val="20"/>
          <w:lang w:bidi="ar-EG"/>
        </w:rPr>
      </w:pPr>
      <w:r w:rsidRPr="000202EA">
        <w:rPr>
          <w:b/>
          <w:bCs/>
          <w:sz w:val="20"/>
          <w:szCs w:val="20"/>
          <w:lang w:bidi="ar-EG"/>
        </w:rPr>
        <w:t xml:space="preserve">Patency </w:t>
      </w:r>
      <w:r w:rsidRPr="000202EA">
        <w:rPr>
          <w:sz w:val="20"/>
          <w:szCs w:val="20"/>
          <w:lang w:bidi="ar-EG"/>
        </w:rPr>
        <w:t>is</w:t>
      </w:r>
      <w:r w:rsidR="000202EA" w:rsidRPr="000202EA">
        <w:rPr>
          <w:rFonts w:eastAsiaTheme="minorEastAsia" w:hint="eastAsia"/>
          <w:sz w:val="20"/>
          <w:szCs w:val="20"/>
          <w:lang w:eastAsia="zh-CN" w:bidi="ar-EG"/>
        </w:rPr>
        <w:t xml:space="preserve"> </w:t>
      </w:r>
      <w:r w:rsidRPr="000202EA">
        <w:rPr>
          <w:sz w:val="20"/>
          <w:szCs w:val="20"/>
          <w:lang w:bidi="ar-EG"/>
        </w:rPr>
        <w:t xml:space="preserve">defined as maintenance of achieved </w:t>
      </w:r>
      <w:proofErr w:type="spellStart"/>
      <w:r w:rsidRPr="000202EA">
        <w:rPr>
          <w:sz w:val="20"/>
          <w:szCs w:val="20"/>
          <w:lang w:bidi="ar-EG"/>
        </w:rPr>
        <w:t>haemodynamic</w:t>
      </w:r>
      <w:proofErr w:type="spellEnd"/>
      <w:r w:rsidRPr="000202EA">
        <w:rPr>
          <w:sz w:val="20"/>
          <w:szCs w:val="20"/>
          <w:lang w:bidi="ar-EG"/>
        </w:rPr>
        <w:t xml:space="preserve"> improvement in the relevant segment.</w:t>
      </w:r>
    </w:p>
    <w:p w:rsidR="00946FD3" w:rsidRPr="000202EA" w:rsidRDefault="00946FD3" w:rsidP="00243C1C">
      <w:pPr>
        <w:snapToGrid w:val="0"/>
        <w:jc w:val="both"/>
        <w:rPr>
          <w:b/>
          <w:bCs/>
          <w:sz w:val="20"/>
          <w:szCs w:val="20"/>
          <w:lang w:bidi="ar-EG"/>
        </w:rPr>
      </w:pPr>
    </w:p>
    <w:p w:rsidR="007B5136" w:rsidRPr="000202EA" w:rsidRDefault="00ED442C" w:rsidP="00243C1C">
      <w:pPr>
        <w:snapToGrid w:val="0"/>
        <w:jc w:val="both"/>
        <w:rPr>
          <w:b/>
          <w:bCs/>
          <w:sz w:val="20"/>
          <w:szCs w:val="20"/>
          <w:lang w:bidi="ar-EG"/>
        </w:rPr>
      </w:pPr>
      <w:r w:rsidRPr="000202EA">
        <w:rPr>
          <w:b/>
          <w:bCs/>
          <w:sz w:val="20"/>
          <w:szCs w:val="20"/>
          <w:lang w:bidi="ar-EG"/>
        </w:rPr>
        <w:t xml:space="preserve">3. </w:t>
      </w:r>
      <w:r w:rsidR="007B5136" w:rsidRPr="000202EA">
        <w:rPr>
          <w:b/>
          <w:bCs/>
          <w:sz w:val="20"/>
          <w:szCs w:val="20"/>
          <w:lang w:bidi="ar-EG"/>
        </w:rPr>
        <w:t>Results</w:t>
      </w:r>
    </w:p>
    <w:p w:rsidR="009B39CE" w:rsidRPr="000202EA" w:rsidRDefault="009B39CE" w:rsidP="00243C1C">
      <w:pPr>
        <w:autoSpaceDE w:val="0"/>
        <w:autoSpaceDN w:val="0"/>
        <w:adjustRightInd w:val="0"/>
        <w:snapToGrid w:val="0"/>
        <w:ind w:firstLine="425"/>
        <w:jc w:val="both"/>
        <w:rPr>
          <w:sz w:val="20"/>
          <w:szCs w:val="20"/>
        </w:rPr>
      </w:pPr>
    </w:p>
    <w:p w:rsidR="00243C1C" w:rsidRPr="000202EA" w:rsidRDefault="00243C1C" w:rsidP="00243C1C">
      <w:pPr>
        <w:autoSpaceDE w:val="0"/>
        <w:autoSpaceDN w:val="0"/>
        <w:adjustRightInd w:val="0"/>
        <w:snapToGrid w:val="0"/>
        <w:jc w:val="center"/>
        <w:rPr>
          <w:b/>
          <w:bCs/>
          <w:sz w:val="20"/>
          <w:szCs w:val="20"/>
        </w:rPr>
      </w:pPr>
      <w:r w:rsidRPr="000202EA">
        <w:rPr>
          <w:noProof/>
          <w:sz w:val="20"/>
          <w:szCs w:val="20"/>
          <w:lang w:eastAsia="zh-CN"/>
        </w:rPr>
        <w:drawing>
          <wp:inline distT="0" distB="0" distL="0" distR="0">
            <wp:extent cx="2748004" cy="2250219"/>
            <wp:effectExtent l="19050" t="0" r="14246"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3C1C" w:rsidRPr="000202EA" w:rsidRDefault="00243C1C" w:rsidP="00243C1C">
      <w:pPr>
        <w:autoSpaceDE w:val="0"/>
        <w:autoSpaceDN w:val="0"/>
        <w:adjustRightInd w:val="0"/>
        <w:snapToGrid w:val="0"/>
        <w:jc w:val="center"/>
        <w:rPr>
          <w:b/>
          <w:bCs/>
          <w:sz w:val="20"/>
          <w:szCs w:val="20"/>
        </w:rPr>
      </w:pPr>
      <w:r w:rsidRPr="000202EA">
        <w:rPr>
          <w:b/>
          <w:bCs/>
          <w:sz w:val="20"/>
          <w:szCs w:val="20"/>
        </w:rPr>
        <w:t>Figure 1: Gender distribution</w:t>
      </w:r>
    </w:p>
    <w:p w:rsidR="00243C1C" w:rsidRPr="000202EA" w:rsidRDefault="00243C1C" w:rsidP="00243C1C">
      <w:pPr>
        <w:autoSpaceDE w:val="0"/>
        <w:autoSpaceDN w:val="0"/>
        <w:adjustRightInd w:val="0"/>
        <w:snapToGrid w:val="0"/>
        <w:jc w:val="both"/>
        <w:rPr>
          <w:b/>
          <w:bCs/>
          <w:sz w:val="20"/>
          <w:szCs w:val="20"/>
        </w:rPr>
      </w:pPr>
    </w:p>
    <w:p w:rsidR="00243C1C" w:rsidRPr="000202EA" w:rsidRDefault="00243C1C" w:rsidP="00243C1C">
      <w:pPr>
        <w:autoSpaceDE w:val="0"/>
        <w:autoSpaceDN w:val="0"/>
        <w:adjustRightInd w:val="0"/>
        <w:snapToGrid w:val="0"/>
        <w:jc w:val="center"/>
        <w:rPr>
          <w:b/>
          <w:bCs/>
          <w:sz w:val="20"/>
          <w:szCs w:val="20"/>
        </w:rPr>
      </w:pPr>
      <w:r w:rsidRPr="000202EA">
        <w:rPr>
          <w:noProof/>
          <w:sz w:val="20"/>
          <w:szCs w:val="20"/>
          <w:lang w:eastAsia="zh-CN"/>
        </w:rPr>
        <w:drawing>
          <wp:inline distT="0" distB="0" distL="0" distR="0">
            <wp:extent cx="2811614" cy="2439145"/>
            <wp:effectExtent l="19050" t="0" r="26836"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3C1C" w:rsidRPr="000202EA" w:rsidRDefault="00243C1C" w:rsidP="00243C1C">
      <w:pPr>
        <w:autoSpaceDE w:val="0"/>
        <w:autoSpaceDN w:val="0"/>
        <w:adjustRightInd w:val="0"/>
        <w:snapToGrid w:val="0"/>
        <w:jc w:val="center"/>
        <w:rPr>
          <w:rFonts w:eastAsiaTheme="minorEastAsia"/>
          <w:b/>
          <w:bCs/>
          <w:sz w:val="20"/>
          <w:szCs w:val="20"/>
          <w:lang w:eastAsia="zh-CN"/>
        </w:rPr>
      </w:pPr>
      <w:r w:rsidRPr="000202EA">
        <w:rPr>
          <w:b/>
          <w:bCs/>
          <w:sz w:val="20"/>
          <w:szCs w:val="20"/>
        </w:rPr>
        <w:t>Figure 2: presentation of studied patients</w:t>
      </w:r>
    </w:p>
    <w:p w:rsidR="00243C1C" w:rsidRPr="000202EA" w:rsidRDefault="00243C1C" w:rsidP="00243C1C">
      <w:pPr>
        <w:autoSpaceDE w:val="0"/>
        <w:autoSpaceDN w:val="0"/>
        <w:adjustRightInd w:val="0"/>
        <w:snapToGrid w:val="0"/>
        <w:jc w:val="center"/>
        <w:rPr>
          <w:rFonts w:eastAsiaTheme="minorEastAsia"/>
          <w:b/>
          <w:bCs/>
          <w:sz w:val="20"/>
          <w:szCs w:val="20"/>
          <w:lang w:eastAsia="zh-CN"/>
        </w:rPr>
      </w:pPr>
    </w:p>
    <w:p w:rsidR="00243C1C" w:rsidRPr="000202EA" w:rsidRDefault="00243C1C" w:rsidP="00243C1C">
      <w:pPr>
        <w:snapToGrid w:val="0"/>
        <w:ind w:firstLine="425"/>
        <w:jc w:val="both"/>
        <w:rPr>
          <w:rFonts w:eastAsia="Batang"/>
          <w:sz w:val="20"/>
          <w:szCs w:val="20"/>
        </w:rPr>
      </w:pPr>
      <w:r w:rsidRPr="000202EA">
        <w:rPr>
          <w:sz w:val="20"/>
          <w:szCs w:val="20"/>
        </w:rPr>
        <w:t xml:space="preserve">The present study included 40 patients 31(77.5%) male and females was 9(22.5%) with critical lower limb </w:t>
      </w:r>
      <w:proofErr w:type="spellStart"/>
      <w:r w:rsidRPr="000202EA">
        <w:rPr>
          <w:sz w:val="20"/>
          <w:szCs w:val="20"/>
        </w:rPr>
        <w:t>ischaemia</w:t>
      </w:r>
      <w:proofErr w:type="spellEnd"/>
      <w:r w:rsidRPr="000202EA">
        <w:rPr>
          <w:sz w:val="20"/>
          <w:szCs w:val="20"/>
        </w:rPr>
        <w:t>, they were admitted in the vascular surgery unit of Al-</w:t>
      </w:r>
      <w:proofErr w:type="spellStart"/>
      <w:r w:rsidRPr="000202EA">
        <w:rPr>
          <w:sz w:val="20"/>
          <w:szCs w:val="20"/>
        </w:rPr>
        <w:t>Azhar</w:t>
      </w:r>
      <w:proofErr w:type="spellEnd"/>
      <w:r w:rsidRPr="000202EA">
        <w:rPr>
          <w:sz w:val="20"/>
          <w:szCs w:val="20"/>
        </w:rPr>
        <w:t xml:space="preserve"> University Hospitals. Their ages ranges between 52 and 76 years. All 40 patients had </w:t>
      </w:r>
      <w:proofErr w:type="spellStart"/>
      <w:r w:rsidRPr="000202EA">
        <w:rPr>
          <w:sz w:val="20"/>
          <w:szCs w:val="20"/>
        </w:rPr>
        <w:t>femoropopliteal</w:t>
      </w:r>
      <w:proofErr w:type="spellEnd"/>
      <w:r w:rsidRPr="000202EA">
        <w:rPr>
          <w:sz w:val="20"/>
          <w:szCs w:val="20"/>
        </w:rPr>
        <w:t xml:space="preserve"> occlusive disease that fulfilled the selection criteria and treated with </w:t>
      </w:r>
      <w:r w:rsidRPr="000202EA">
        <w:rPr>
          <w:sz w:val="20"/>
          <w:szCs w:val="20"/>
        </w:rPr>
        <w:lastRenderedPageBreak/>
        <w:t xml:space="preserve">duplex guided balloon angioplasty and </w:t>
      </w:r>
      <w:proofErr w:type="spellStart"/>
      <w:r w:rsidRPr="000202EA">
        <w:rPr>
          <w:sz w:val="20"/>
          <w:szCs w:val="20"/>
        </w:rPr>
        <w:t>stenting</w:t>
      </w:r>
      <w:proofErr w:type="spellEnd"/>
      <w:r w:rsidRPr="000202EA">
        <w:rPr>
          <w:sz w:val="20"/>
          <w:szCs w:val="20"/>
        </w:rPr>
        <w:t xml:space="preserve">. </w:t>
      </w:r>
      <w:r w:rsidRPr="000202EA">
        <w:rPr>
          <w:sz w:val="20"/>
          <w:szCs w:val="20"/>
          <w:lang w:bidi="ar-EG"/>
        </w:rPr>
        <w:t xml:space="preserve">The patients underwent balloon angioplasty under duplex guidance for </w:t>
      </w:r>
      <w:proofErr w:type="spellStart"/>
      <w:r w:rsidRPr="000202EA">
        <w:rPr>
          <w:sz w:val="20"/>
          <w:szCs w:val="20"/>
          <w:lang w:bidi="ar-EG"/>
        </w:rPr>
        <w:t>stenotic</w:t>
      </w:r>
      <w:proofErr w:type="spellEnd"/>
      <w:r w:rsidRPr="000202EA">
        <w:rPr>
          <w:sz w:val="20"/>
          <w:szCs w:val="20"/>
          <w:lang w:bidi="ar-EG"/>
        </w:rPr>
        <w:t xml:space="preserve"> and occlusive lesions in the lower </w:t>
      </w:r>
      <w:proofErr w:type="spellStart"/>
      <w:r w:rsidRPr="000202EA">
        <w:rPr>
          <w:sz w:val="20"/>
          <w:szCs w:val="20"/>
          <w:lang w:bidi="ar-EG"/>
        </w:rPr>
        <w:t>extremeities</w:t>
      </w:r>
      <w:proofErr w:type="spellEnd"/>
      <w:r w:rsidRPr="000202EA">
        <w:rPr>
          <w:sz w:val="20"/>
          <w:szCs w:val="20"/>
          <w:lang w:bidi="ar-EG"/>
        </w:rPr>
        <w:t>.</w:t>
      </w:r>
    </w:p>
    <w:p w:rsidR="00243C1C" w:rsidRPr="000202EA" w:rsidRDefault="00243C1C" w:rsidP="00243C1C">
      <w:pPr>
        <w:autoSpaceDE w:val="0"/>
        <w:autoSpaceDN w:val="0"/>
        <w:adjustRightInd w:val="0"/>
        <w:snapToGrid w:val="0"/>
        <w:jc w:val="both"/>
        <w:rPr>
          <w:b/>
          <w:bCs/>
          <w:sz w:val="20"/>
          <w:szCs w:val="20"/>
        </w:rPr>
      </w:pPr>
      <w:r w:rsidRPr="000202EA">
        <w:rPr>
          <w:b/>
          <w:bCs/>
          <w:sz w:val="20"/>
          <w:szCs w:val="20"/>
        </w:rPr>
        <w:t>Patient population</w:t>
      </w:r>
    </w:p>
    <w:p w:rsidR="00243C1C" w:rsidRPr="000202EA" w:rsidRDefault="00243C1C" w:rsidP="00243C1C">
      <w:pPr>
        <w:autoSpaceDE w:val="0"/>
        <w:autoSpaceDN w:val="0"/>
        <w:adjustRightInd w:val="0"/>
        <w:snapToGrid w:val="0"/>
        <w:ind w:firstLine="425"/>
        <w:jc w:val="both"/>
        <w:rPr>
          <w:sz w:val="20"/>
          <w:szCs w:val="20"/>
        </w:rPr>
      </w:pPr>
      <w:r w:rsidRPr="000202EA">
        <w:rPr>
          <w:sz w:val="20"/>
          <w:szCs w:val="20"/>
        </w:rPr>
        <w:t>During the time period reviewed, a total 40 patients were treated with TASC A and B lesions. They were treated due to CLI, 29(72.5%) of them treated due to persistent rest pain more than 2 weeks duration and 11(27.5%) due to tissue loss.</w:t>
      </w:r>
    </w:p>
    <w:p w:rsidR="00243C1C" w:rsidRPr="000202EA" w:rsidRDefault="00243C1C" w:rsidP="00243C1C">
      <w:pPr>
        <w:autoSpaceDE w:val="0"/>
        <w:autoSpaceDN w:val="0"/>
        <w:adjustRightInd w:val="0"/>
        <w:snapToGrid w:val="0"/>
        <w:ind w:firstLine="425"/>
        <w:jc w:val="both"/>
        <w:rPr>
          <w:sz w:val="20"/>
          <w:szCs w:val="20"/>
        </w:rPr>
      </w:pPr>
      <w:r w:rsidRPr="000202EA">
        <w:rPr>
          <w:sz w:val="20"/>
          <w:szCs w:val="20"/>
        </w:rPr>
        <w:t xml:space="preserve">The typical </w:t>
      </w:r>
      <w:proofErr w:type="spellStart"/>
      <w:r w:rsidRPr="000202EA">
        <w:rPr>
          <w:sz w:val="20"/>
          <w:szCs w:val="20"/>
        </w:rPr>
        <w:t>comorbid</w:t>
      </w:r>
      <w:proofErr w:type="spellEnd"/>
      <w:r w:rsidRPr="000202EA">
        <w:rPr>
          <w:sz w:val="20"/>
          <w:szCs w:val="20"/>
        </w:rPr>
        <w:t xml:space="preserve"> features associated with PAD were identified. 13 limbs (32.5%) had single-vessel runoff, 27 (67.5%) had multiple-vessel runoff.</w:t>
      </w:r>
    </w:p>
    <w:p w:rsidR="00243C1C" w:rsidRPr="000202EA" w:rsidRDefault="00243C1C" w:rsidP="00243C1C">
      <w:pPr>
        <w:autoSpaceDE w:val="0"/>
        <w:autoSpaceDN w:val="0"/>
        <w:adjustRightInd w:val="0"/>
        <w:snapToGrid w:val="0"/>
        <w:jc w:val="center"/>
        <w:rPr>
          <w:rFonts w:eastAsiaTheme="minorEastAsia"/>
          <w:b/>
          <w:bCs/>
          <w:sz w:val="20"/>
          <w:szCs w:val="20"/>
          <w:lang w:eastAsia="zh-CN"/>
        </w:rPr>
      </w:pPr>
    </w:p>
    <w:p w:rsidR="00243C1C" w:rsidRPr="000202EA" w:rsidRDefault="00243C1C" w:rsidP="00243C1C">
      <w:pPr>
        <w:autoSpaceDE w:val="0"/>
        <w:autoSpaceDN w:val="0"/>
        <w:adjustRightInd w:val="0"/>
        <w:snapToGrid w:val="0"/>
        <w:jc w:val="center"/>
        <w:rPr>
          <w:rFonts w:eastAsiaTheme="minorEastAsia"/>
          <w:b/>
          <w:bCs/>
          <w:sz w:val="20"/>
          <w:szCs w:val="20"/>
          <w:lang w:eastAsia="zh-CN"/>
        </w:rPr>
      </w:pPr>
      <w:r w:rsidRPr="000202EA">
        <w:rPr>
          <w:rFonts w:eastAsiaTheme="minorEastAsia" w:hint="eastAsia"/>
          <w:b/>
          <w:bCs/>
          <w:noProof/>
          <w:sz w:val="20"/>
          <w:szCs w:val="20"/>
          <w:lang w:eastAsia="zh-CN"/>
        </w:rPr>
        <w:drawing>
          <wp:inline distT="0" distB="0" distL="0" distR="0">
            <wp:extent cx="2562613" cy="2178657"/>
            <wp:effectExtent l="19050" t="0" r="9137"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64851" cy="2180560"/>
                    </a:xfrm>
                    <a:prstGeom prst="rect">
                      <a:avLst/>
                    </a:prstGeom>
                    <a:noFill/>
                    <a:ln w="9525">
                      <a:noFill/>
                      <a:miter lim="800000"/>
                      <a:headEnd/>
                      <a:tailEnd/>
                    </a:ln>
                  </pic:spPr>
                </pic:pic>
              </a:graphicData>
            </a:graphic>
          </wp:inline>
        </w:drawing>
      </w:r>
    </w:p>
    <w:p w:rsidR="00243C1C" w:rsidRPr="000202EA" w:rsidRDefault="00243C1C" w:rsidP="00243C1C">
      <w:pPr>
        <w:autoSpaceDE w:val="0"/>
        <w:autoSpaceDN w:val="0"/>
        <w:adjustRightInd w:val="0"/>
        <w:snapToGrid w:val="0"/>
        <w:jc w:val="both"/>
        <w:rPr>
          <w:b/>
          <w:bCs/>
          <w:sz w:val="20"/>
          <w:szCs w:val="20"/>
        </w:rPr>
      </w:pPr>
      <w:r w:rsidRPr="000202EA">
        <w:rPr>
          <w:b/>
          <w:bCs/>
          <w:sz w:val="20"/>
          <w:szCs w:val="20"/>
        </w:rPr>
        <w:t>Figure 3: Single-vessel runoff and multiple-vessel runoff.</w:t>
      </w:r>
    </w:p>
    <w:p w:rsidR="00243C1C" w:rsidRPr="000202EA" w:rsidRDefault="00243C1C" w:rsidP="00243C1C">
      <w:pPr>
        <w:autoSpaceDE w:val="0"/>
        <w:autoSpaceDN w:val="0"/>
        <w:adjustRightInd w:val="0"/>
        <w:snapToGrid w:val="0"/>
        <w:jc w:val="both"/>
        <w:rPr>
          <w:rFonts w:eastAsiaTheme="minorEastAsia"/>
          <w:b/>
          <w:bCs/>
          <w:sz w:val="20"/>
          <w:szCs w:val="20"/>
          <w:lang w:eastAsia="zh-CN"/>
        </w:rPr>
      </w:pPr>
    </w:p>
    <w:p w:rsidR="00243C1C" w:rsidRPr="000202EA" w:rsidRDefault="00243C1C" w:rsidP="00243C1C">
      <w:pPr>
        <w:autoSpaceDE w:val="0"/>
        <w:autoSpaceDN w:val="0"/>
        <w:adjustRightInd w:val="0"/>
        <w:snapToGrid w:val="0"/>
        <w:jc w:val="both"/>
        <w:rPr>
          <w:b/>
          <w:bCs/>
          <w:sz w:val="20"/>
          <w:szCs w:val="20"/>
        </w:rPr>
      </w:pPr>
      <w:r w:rsidRPr="000202EA">
        <w:rPr>
          <w:b/>
          <w:bCs/>
          <w:sz w:val="20"/>
          <w:szCs w:val="20"/>
        </w:rPr>
        <w:t>Procedural Data</w:t>
      </w:r>
    </w:p>
    <w:p w:rsidR="00243C1C" w:rsidRPr="000202EA" w:rsidRDefault="00243C1C" w:rsidP="00243C1C">
      <w:pPr>
        <w:autoSpaceDE w:val="0"/>
        <w:autoSpaceDN w:val="0"/>
        <w:adjustRightInd w:val="0"/>
        <w:snapToGrid w:val="0"/>
        <w:jc w:val="both"/>
        <w:rPr>
          <w:b/>
          <w:bCs/>
          <w:sz w:val="20"/>
          <w:szCs w:val="20"/>
        </w:rPr>
      </w:pPr>
      <w:r w:rsidRPr="000202EA">
        <w:rPr>
          <w:b/>
          <w:bCs/>
          <w:sz w:val="20"/>
          <w:szCs w:val="20"/>
        </w:rPr>
        <w:t>1- Access site</w:t>
      </w:r>
    </w:p>
    <w:p w:rsidR="00243C1C" w:rsidRPr="000202EA" w:rsidRDefault="00243C1C" w:rsidP="00243C1C">
      <w:pPr>
        <w:autoSpaceDE w:val="0"/>
        <w:autoSpaceDN w:val="0"/>
        <w:adjustRightInd w:val="0"/>
        <w:snapToGrid w:val="0"/>
        <w:ind w:firstLine="425"/>
        <w:jc w:val="both"/>
        <w:rPr>
          <w:rFonts w:eastAsiaTheme="minorEastAsia"/>
          <w:sz w:val="20"/>
          <w:szCs w:val="20"/>
          <w:lang w:eastAsia="zh-CN"/>
        </w:rPr>
      </w:pPr>
      <w:r w:rsidRPr="000202EA">
        <w:rPr>
          <w:sz w:val="20"/>
          <w:szCs w:val="20"/>
        </w:rPr>
        <w:t xml:space="preserve">The </w:t>
      </w:r>
      <w:proofErr w:type="spellStart"/>
      <w:r w:rsidRPr="000202EA">
        <w:rPr>
          <w:sz w:val="20"/>
          <w:szCs w:val="20"/>
        </w:rPr>
        <w:t>ipsilateral</w:t>
      </w:r>
      <w:proofErr w:type="spellEnd"/>
      <w:r w:rsidRPr="000202EA">
        <w:rPr>
          <w:sz w:val="20"/>
          <w:szCs w:val="20"/>
        </w:rPr>
        <w:t xml:space="preserve"> femoral approach was used in 23(57.5%) patients; the </w:t>
      </w:r>
      <w:proofErr w:type="spellStart"/>
      <w:r w:rsidRPr="000202EA">
        <w:rPr>
          <w:sz w:val="20"/>
          <w:szCs w:val="20"/>
        </w:rPr>
        <w:t>contralateral</w:t>
      </w:r>
      <w:proofErr w:type="spellEnd"/>
      <w:r w:rsidRPr="000202EA">
        <w:rPr>
          <w:sz w:val="20"/>
          <w:szCs w:val="20"/>
        </w:rPr>
        <w:t xml:space="preserve"> (crossover) approach was used in 17(42.5%) patients.</w:t>
      </w:r>
    </w:p>
    <w:p w:rsidR="00243C1C" w:rsidRPr="000202EA" w:rsidRDefault="00243C1C" w:rsidP="00243C1C">
      <w:pPr>
        <w:autoSpaceDE w:val="0"/>
        <w:autoSpaceDN w:val="0"/>
        <w:adjustRightInd w:val="0"/>
        <w:snapToGrid w:val="0"/>
        <w:jc w:val="both"/>
        <w:rPr>
          <w:b/>
          <w:bCs/>
          <w:sz w:val="20"/>
          <w:szCs w:val="20"/>
        </w:rPr>
      </w:pPr>
      <w:r w:rsidRPr="000202EA">
        <w:rPr>
          <w:b/>
          <w:bCs/>
          <w:sz w:val="20"/>
          <w:szCs w:val="20"/>
        </w:rPr>
        <w:t>Immediate outcomes</w:t>
      </w:r>
    </w:p>
    <w:p w:rsidR="00243C1C" w:rsidRPr="000202EA" w:rsidRDefault="00243C1C" w:rsidP="00243C1C">
      <w:pPr>
        <w:snapToGrid w:val="0"/>
        <w:ind w:firstLine="425"/>
        <w:jc w:val="both"/>
        <w:rPr>
          <w:color w:val="000000"/>
          <w:sz w:val="20"/>
          <w:szCs w:val="20"/>
        </w:rPr>
      </w:pPr>
      <w:r w:rsidRPr="000202EA">
        <w:rPr>
          <w:color w:val="000000"/>
          <w:sz w:val="20"/>
          <w:szCs w:val="20"/>
        </w:rPr>
        <w:t>The technical success rate was 100% in this study</w:t>
      </w:r>
      <w:r w:rsidRPr="000202EA">
        <w:rPr>
          <w:b/>
          <w:bCs/>
          <w:sz w:val="20"/>
          <w:szCs w:val="20"/>
        </w:rPr>
        <w:t xml:space="preserve">, </w:t>
      </w:r>
      <w:r w:rsidRPr="000202EA">
        <w:rPr>
          <w:color w:val="000000"/>
          <w:sz w:val="20"/>
          <w:szCs w:val="20"/>
        </w:rPr>
        <w:t xml:space="preserve">based on 1- blood flow was regard before accomplishing the procedure by PTA alone in 38 patients (95%) and </w:t>
      </w:r>
      <w:r w:rsidRPr="000202EA">
        <w:rPr>
          <w:sz w:val="20"/>
          <w:szCs w:val="20"/>
        </w:rPr>
        <w:t>PTA</w:t>
      </w:r>
      <w:r w:rsidRPr="000202EA">
        <w:rPr>
          <w:color w:val="000000"/>
          <w:sz w:val="20"/>
          <w:szCs w:val="20"/>
        </w:rPr>
        <w:t xml:space="preserve"> with stent in two patients (5%) </w:t>
      </w:r>
      <w:r w:rsidRPr="000202EA">
        <w:rPr>
          <w:sz w:val="20"/>
          <w:szCs w:val="20"/>
          <w:lang w:bidi="ar-EG"/>
        </w:rPr>
        <w:t>due to dissection and treated with (6x80cm) EV3 (Self –expanding stent</w:t>
      </w:r>
      <w:r w:rsidRPr="000202EA">
        <w:rPr>
          <w:sz w:val="20"/>
          <w:szCs w:val="20"/>
        </w:rPr>
        <w:t>.</w:t>
      </w:r>
    </w:p>
    <w:p w:rsidR="00C305D9" w:rsidRPr="000202EA" w:rsidRDefault="00243C1C" w:rsidP="00243C1C">
      <w:pPr>
        <w:snapToGrid w:val="0"/>
        <w:ind w:firstLine="425"/>
        <w:jc w:val="both"/>
        <w:rPr>
          <w:sz w:val="20"/>
          <w:szCs w:val="20"/>
        </w:rPr>
      </w:pPr>
      <w:r w:rsidRPr="000202EA">
        <w:rPr>
          <w:color w:val="000000"/>
          <w:sz w:val="20"/>
          <w:szCs w:val="20"/>
        </w:rPr>
        <w:t>The improvement detected by PSV at the site of arterial lesion before and after PTA in 40 patients</w:t>
      </w:r>
      <w:r w:rsidRPr="000202EA">
        <w:rPr>
          <w:sz w:val="20"/>
          <w:szCs w:val="20"/>
        </w:rPr>
        <w:t xml:space="preserve">. Balloon angioplasty with or without </w:t>
      </w:r>
      <w:proofErr w:type="spellStart"/>
      <w:r w:rsidRPr="000202EA">
        <w:rPr>
          <w:sz w:val="20"/>
          <w:szCs w:val="20"/>
        </w:rPr>
        <w:t>stenting</w:t>
      </w:r>
      <w:proofErr w:type="spellEnd"/>
      <w:r w:rsidRPr="000202EA">
        <w:rPr>
          <w:sz w:val="20"/>
          <w:szCs w:val="20"/>
        </w:rPr>
        <w:t xml:space="preserve"> was done for the lesions after successful crossing</w:t>
      </w:r>
      <w:r w:rsidR="00C305D9" w:rsidRPr="000202EA">
        <w:rPr>
          <w:sz w:val="20"/>
          <w:szCs w:val="20"/>
        </w:rPr>
        <w:t>. I</w:t>
      </w:r>
      <w:r w:rsidRPr="000202EA">
        <w:rPr>
          <w:sz w:val="20"/>
          <w:szCs w:val="20"/>
        </w:rPr>
        <w:t>mprovement detected by duplex ultrasound (PSV and wave form) of the studied group (40) 100% at 1 month, 80% at 6 month, 77.5% at 1 yea</w:t>
      </w:r>
      <w:r w:rsidR="00C305D9" w:rsidRPr="000202EA">
        <w:rPr>
          <w:sz w:val="20"/>
          <w:szCs w:val="20"/>
        </w:rPr>
        <w:t>r.</w:t>
      </w:r>
    </w:p>
    <w:p w:rsidR="00243C1C" w:rsidRPr="000202EA" w:rsidRDefault="00243C1C" w:rsidP="00243C1C">
      <w:pPr>
        <w:autoSpaceDE w:val="0"/>
        <w:autoSpaceDN w:val="0"/>
        <w:adjustRightInd w:val="0"/>
        <w:snapToGrid w:val="0"/>
        <w:ind w:firstLine="425"/>
        <w:jc w:val="both"/>
        <w:rPr>
          <w:sz w:val="20"/>
          <w:szCs w:val="20"/>
        </w:rPr>
      </w:pPr>
      <w:proofErr w:type="spellStart"/>
      <w:r w:rsidRPr="000202EA">
        <w:rPr>
          <w:sz w:val="20"/>
          <w:szCs w:val="20"/>
        </w:rPr>
        <w:t>Intraoperative</w:t>
      </w:r>
      <w:proofErr w:type="spellEnd"/>
      <w:r w:rsidRPr="000202EA">
        <w:rPr>
          <w:sz w:val="20"/>
          <w:szCs w:val="20"/>
        </w:rPr>
        <w:t xml:space="preserve"> complications, there were dissection occurred in two cases one treated with stent deployment due to </w:t>
      </w:r>
      <w:proofErr w:type="spellStart"/>
      <w:r w:rsidRPr="000202EA">
        <w:rPr>
          <w:sz w:val="20"/>
          <w:szCs w:val="20"/>
        </w:rPr>
        <w:t>hemodynamically</w:t>
      </w:r>
      <w:proofErr w:type="spellEnd"/>
      <w:r w:rsidRPr="000202EA">
        <w:rPr>
          <w:sz w:val="20"/>
          <w:szCs w:val="20"/>
        </w:rPr>
        <w:t xml:space="preserve"> residual significant </w:t>
      </w:r>
      <w:proofErr w:type="spellStart"/>
      <w:r w:rsidRPr="000202EA">
        <w:rPr>
          <w:sz w:val="20"/>
          <w:szCs w:val="20"/>
        </w:rPr>
        <w:t>stenosis</w:t>
      </w:r>
      <w:proofErr w:type="spellEnd"/>
      <w:r w:rsidRPr="000202EA">
        <w:rPr>
          <w:sz w:val="20"/>
          <w:szCs w:val="20"/>
        </w:rPr>
        <w:t xml:space="preserve"> following angioplasty </w:t>
      </w:r>
      <w:r w:rsidRPr="000202EA">
        <w:rPr>
          <w:sz w:val="20"/>
          <w:szCs w:val="20"/>
          <w:lang w:bidi="ar-EG"/>
        </w:rPr>
        <w:t>&lt;</w:t>
      </w:r>
      <w:r w:rsidRPr="000202EA">
        <w:rPr>
          <w:sz w:val="20"/>
          <w:szCs w:val="20"/>
        </w:rPr>
        <w:t xml:space="preserve">30% diameter reduction and the other one treated with </w:t>
      </w:r>
      <w:r w:rsidRPr="000202EA">
        <w:rPr>
          <w:sz w:val="20"/>
          <w:szCs w:val="20"/>
        </w:rPr>
        <w:lastRenderedPageBreak/>
        <w:t>multiple successive balloon dilation for 30 second duration and one minute apart, no thrombosis of the SFA, no distal emboli were detected on completion duplex scans.</w:t>
      </w:r>
    </w:p>
    <w:p w:rsidR="00243C1C" w:rsidRPr="000202EA" w:rsidRDefault="00243C1C" w:rsidP="00243C1C">
      <w:pPr>
        <w:autoSpaceDE w:val="0"/>
        <w:autoSpaceDN w:val="0"/>
        <w:adjustRightInd w:val="0"/>
        <w:snapToGrid w:val="0"/>
        <w:jc w:val="both"/>
        <w:rPr>
          <w:rFonts w:eastAsiaTheme="minorEastAsia"/>
          <w:b/>
          <w:bCs/>
          <w:sz w:val="20"/>
          <w:szCs w:val="20"/>
          <w:lang w:eastAsia="zh-CN"/>
        </w:rPr>
      </w:pPr>
    </w:p>
    <w:p w:rsidR="00243C1C" w:rsidRPr="000202EA" w:rsidRDefault="00243C1C" w:rsidP="00243C1C">
      <w:pPr>
        <w:autoSpaceDE w:val="0"/>
        <w:autoSpaceDN w:val="0"/>
        <w:adjustRightInd w:val="0"/>
        <w:snapToGrid w:val="0"/>
        <w:jc w:val="both"/>
        <w:rPr>
          <w:rFonts w:eastAsiaTheme="minorEastAsia"/>
          <w:b/>
          <w:bCs/>
          <w:sz w:val="20"/>
          <w:szCs w:val="20"/>
          <w:lang w:eastAsia="zh-CN"/>
        </w:rPr>
      </w:pPr>
      <w:r w:rsidRPr="000202EA">
        <w:rPr>
          <w:rFonts w:eastAsiaTheme="minorEastAsia" w:hint="eastAsia"/>
          <w:b/>
          <w:bCs/>
          <w:noProof/>
          <w:sz w:val="20"/>
          <w:szCs w:val="20"/>
          <w:lang w:eastAsia="zh-CN"/>
        </w:rPr>
        <w:drawing>
          <wp:inline distT="0" distB="0" distL="0" distR="0">
            <wp:extent cx="2638287" cy="1510748"/>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647772" cy="1516179"/>
                    </a:xfrm>
                    <a:prstGeom prst="rect">
                      <a:avLst/>
                    </a:prstGeom>
                    <a:noFill/>
                    <a:ln w="9525">
                      <a:noFill/>
                      <a:miter lim="800000"/>
                      <a:headEnd/>
                      <a:tailEnd/>
                    </a:ln>
                  </pic:spPr>
                </pic:pic>
              </a:graphicData>
            </a:graphic>
          </wp:inline>
        </w:drawing>
      </w:r>
    </w:p>
    <w:p w:rsidR="00243C1C" w:rsidRPr="000202EA" w:rsidRDefault="00243C1C" w:rsidP="00243C1C">
      <w:pPr>
        <w:autoSpaceDE w:val="0"/>
        <w:autoSpaceDN w:val="0"/>
        <w:adjustRightInd w:val="0"/>
        <w:snapToGrid w:val="0"/>
        <w:jc w:val="center"/>
        <w:rPr>
          <w:b/>
          <w:bCs/>
          <w:sz w:val="20"/>
          <w:szCs w:val="20"/>
        </w:rPr>
      </w:pPr>
      <w:r w:rsidRPr="000202EA">
        <w:rPr>
          <w:b/>
          <w:bCs/>
          <w:sz w:val="20"/>
          <w:szCs w:val="20"/>
        </w:rPr>
        <w:t>Figure 4: Access site</w:t>
      </w:r>
    </w:p>
    <w:p w:rsidR="00243C1C" w:rsidRPr="000202EA" w:rsidRDefault="00243C1C" w:rsidP="00243C1C">
      <w:pPr>
        <w:autoSpaceDE w:val="0"/>
        <w:autoSpaceDN w:val="0"/>
        <w:adjustRightInd w:val="0"/>
        <w:snapToGrid w:val="0"/>
        <w:jc w:val="both"/>
        <w:rPr>
          <w:rFonts w:eastAsiaTheme="minorEastAsia"/>
          <w:b/>
          <w:bCs/>
          <w:sz w:val="20"/>
          <w:szCs w:val="20"/>
          <w:lang w:eastAsia="zh-CN"/>
        </w:rPr>
      </w:pPr>
    </w:p>
    <w:p w:rsidR="007B5136" w:rsidRPr="000202EA" w:rsidRDefault="007B5136" w:rsidP="00243C1C">
      <w:pPr>
        <w:autoSpaceDE w:val="0"/>
        <w:autoSpaceDN w:val="0"/>
        <w:adjustRightInd w:val="0"/>
        <w:snapToGrid w:val="0"/>
        <w:jc w:val="both"/>
        <w:rPr>
          <w:b/>
          <w:bCs/>
          <w:sz w:val="20"/>
          <w:szCs w:val="20"/>
        </w:rPr>
      </w:pPr>
      <w:r w:rsidRPr="000202EA">
        <w:rPr>
          <w:b/>
          <w:bCs/>
          <w:sz w:val="20"/>
          <w:szCs w:val="20"/>
        </w:rPr>
        <w:t>Risk factors</w:t>
      </w:r>
    </w:p>
    <w:p w:rsidR="007B5136" w:rsidRPr="000202EA" w:rsidRDefault="007B5136" w:rsidP="00243C1C">
      <w:pPr>
        <w:autoSpaceDE w:val="0"/>
        <w:autoSpaceDN w:val="0"/>
        <w:adjustRightInd w:val="0"/>
        <w:snapToGrid w:val="0"/>
        <w:jc w:val="both"/>
        <w:rPr>
          <w:b/>
          <w:bCs/>
          <w:sz w:val="20"/>
          <w:szCs w:val="20"/>
        </w:rPr>
      </w:pPr>
      <w:r w:rsidRPr="000202EA">
        <w:rPr>
          <w:b/>
          <w:bCs/>
          <w:sz w:val="20"/>
          <w:szCs w:val="20"/>
        </w:rPr>
        <w:t>Lesion characteristics:</w:t>
      </w:r>
    </w:p>
    <w:p w:rsidR="007B5136" w:rsidRPr="000202EA" w:rsidRDefault="007B5136" w:rsidP="00243C1C">
      <w:pPr>
        <w:snapToGrid w:val="0"/>
        <w:ind w:firstLine="425"/>
        <w:jc w:val="both"/>
        <w:rPr>
          <w:sz w:val="20"/>
          <w:szCs w:val="20"/>
        </w:rPr>
      </w:pPr>
      <w:r w:rsidRPr="000202EA">
        <w:rPr>
          <w:sz w:val="20"/>
          <w:szCs w:val="20"/>
        </w:rPr>
        <w:t>In this study, 7 proximal SFA lesions (17.5%), 21 middle SFA lesions (52.5%) and 12 distal SFA lesions (30%) were treated with duplex guided angioplasty. The primary patency rate of proximal SFA lesions at 1,</w:t>
      </w:r>
      <w:r w:rsidR="000202EA" w:rsidRPr="000202EA">
        <w:rPr>
          <w:rFonts w:eastAsiaTheme="minorEastAsia" w:hint="eastAsia"/>
          <w:sz w:val="20"/>
          <w:szCs w:val="20"/>
          <w:lang w:eastAsia="zh-CN"/>
        </w:rPr>
        <w:t xml:space="preserve"> </w:t>
      </w:r>
      <w:r w:rsidRPr="000202EA">
        <w:rPr>
          <w:sz w:val="20"/>
          <w:szCs w:val="20"/>
        </w:rPr>
        <w:t>6,</w:t>
      </w:r>
      <w:r w:rsidR="000202EA" w:rsidRPr="000202EA">
        <w:rPr>
          <w:rFonts w:eastAsiaTheme="minorEastAsia" w:hint="eastAsia"/>
          <w:sz w:val="20"/>
          <w:szCs w:val="20"/>
          <w:lang w:eastAsia="zh-CN"/>
        </w:rPr>
        <w:t xml:space="preserve"> </w:t>
      </w:r>
      <w:r w:rsidRPr="000202EA">
        <w:rPr>
          <w:sz w:val="20"/>
          <w:szCs w:val="20"/>
        </w:rPr>
        <w:t>12 months were 100%, 71.4% and 57.14% respectively. The primary patency rate of middle SFA lesions at 1,</w:t>
      </w:r>
      <w:r w:rsidR="000202EA" w:rsidRPr="000202EA">
        <w:rPr>
          <w:rFonts w:eastAsiaTheme="minorEastAsia" w:hint="eastAsia"/>
          <w:sz w:val="20"/>
          <w:szCs w:val="20"/>
          <w:lang w:eastAsia="zh-CN"/>
        </w:rPr>
        <w:t xml:space="preserve"> </w:t>
      </w:r>
      <w:r w:rsidRPr="000202EA">
        <w:rPr>
          <w:sz w:val="20"/>
          <w:szCs w:val="20"/>
        </w:rPr>
        <w:t>6,</w:t>
      </w:r>
      <w:r w:rsidR="000202EA" w:rsidRPr="000202EA">
        <w:rPr>
          <w:rFonts w:eastAsiaTheme="minorEastAsia" w:hint="eastAsia"/>
          <w:sz w:val="20"/>
          <w:szCs w:val="20"/>
          <w:lang w:eastAsia="zh-CN"/>
        </w:rPr>
        <w:t xml:space="preserve"> </w:t>
      </w:r>
      <w:r w:rsidRPr="000202EA">
        <w:rPr>
          <w:sz w:val="20"/>
          <w:szCs w:val="20"/>
        </w:rPr>
        <w:t>12 months were 100%, 81% and 71.4% respectively. The primary patency rate of distal SFA lesions at 1,</w:t>
      </w:r>
      <w:r w:rsidR="000202EA" w:rsidRPr="000202EA">
        <w:rPr>
          <w:rFonts w:eastAsiaTheme="minorEastAsia" w:hint="eastAsia"/>
          <w:sz w:val="20"/>
          <w:szCs w:val="20"/>
          <w:lang w:eastAsia="zh-CN"/>
        </w:rPr>
        <w:t xml:space="preserve"> </w:t>
      </w:r>
      <w:r w:rsidRPr="000202EA">
        <w:rPr>
          <w:sz w:val="20"/>
          <w:szCs w:val="20"/>
        </w:rPr>
        <w:t>6,</w:t>
      </w:r>
      <w:r w:rsidR="000202EA" w:rsidRPr="000202EA">
        <w:rPr>
          <w:rFonts w:eastAsiaTheme="minorEastAsia" w:hint="eastAsia"/>
          <w:sz w:val="20"/>
          <w:szCs w:val="20"/>
          <w:lang w:eastAsia="zh-CN"/>
        </w:rPr>
        <w:t xml:space="preserve"> </w:t>
      </w:r>
      <w:r w:rsidRPr="000202EA">
        <w:rPr>
          <w:sz w:val="20"/>
          <w:szCs w:val="20"/>
        </w:rPr>
        <w:t>12 months were 100%, 75% and 66.7% respectively.</w:t>
      </w:r>
    </w:p>
    <w:p w:rsidR="009B39CE" w:rsidRPr="000202EA" w:rsidRDefault="009B39CE" w:rsidP="00243C1C">
      <w:pPr>
        <w:snapToGrid w:val="0"/>
        <w:ind w:firstLine="425"/>
        <w:jc w:val="both"/>
        <w:rPr>
          <w:sz w:val="20"/>
          <w:szCs w:val="20"/>
        </w:rPr>
      </w:pPr>
    </w:p>
    <w:p w:rsidR="007B5136" w:rsidRPr="000202EA" w:rsidRDefault="007B5136" w:rsidP="00243C1C">
      <w:pPr>
        <w:snapToGrid w:val="0"/>
        <w:jc w:val="center"/>
        <w:rPr>
          <w:sz w:val="20"/>
          <w:szCs w:val="20"/>
        </w:rPr>
      </w:pPr>
      <w:r w:rsidRPr="000202EA">
        <w:rPr>
          <w:noProof/>
          <w:sz w:val="20"/>
          <w:szCs w:val="20"/>
          <w:lang w:eastAsia="zh-CN"/>
        </w:rPr>
        <w:drawing>
          <wp:inline distT="0" distB="0" distL="0" distR="0">
            <wp:extent cx="2787761" cy="2369489"/>
            <wp:effectExtent l="19050" t="0" r="12589"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5136" w:rsidRPr="000202EA" w:rsidRDefault="007B5136" w:rsidP="00243C1C">
      <w:pPr>
        <w:snapToGrid w:val="0"/>
        <w:jc w:val="center"/>
        <w:rPr>
          <w:sz w:val="20"/>
          <w:szCs w:val="20"/>
        </w:rPr>
      </w:pPr>
      <w:r w:rsidRPr="000202EA">
        <w:rPr>
          <w:b/>
          <w:bCs/>
          <w:sz w:val="20"/>
          <w:szCs w:val="20"/>
        </w:rPr>
        <w:t xml:space="preserve">Figure </w:t>
      </w:r>
      <w:r w:rsidR="00477AFD" w:rsidRPr="000202EA">
        <w:rPr>
          <w:b/>
          <w:bCs/>
          <w:sz w:val="20"/>
          <w:szCs w:val="20"/>
        </w:rPr>
        <w:t>5</w:t>
      </w:r>
      <w:r w:rsidRPr="000202EA">
        <w:rPr>
          <w:b/>
          <w:bCs/>
          <w:sz w:val="20"/>
          <w:szCs w:val="20"/>
        </w:rPr>
        <w:t>: Lesion characteristics</w:t>
      </w:r>
    </w:p>
    <w:p w:rsidR="00243C1C" w:rsidRPr="000202EA" w:rsidRDefault="00243C1C" w:rsidP="00243C1C">
      <w:pPr>
        <w:snapToGrid w:val="0"/>
        <w:jc w:val="center"/>
        <w:rPr>
          <w:rFonts w:eastAsiaTheme="minorEastAsia"/>
          <w:b/>
          <w:bCs/>
          <w:sz w:val="20"/>
          <w:szCs w:val="20"/>
          <w:lang w:eastAsia="zh-CN"/>
        </w:rPr>
      </w:pPr>
    </w:p>
    <w:p w:rsidR="00ED442C" w:rsidRPr="000202EA" w:rsidRDefault="00ED442C" w:rsidP="00243C1C">
      <w:pPr>
        <w:snapToGrid w:val="0"/>
        <w:jc w:val="center"/>
        <w:rPr>
          <w:sz w:val="20"/>
          <w:szCs w:val="20"/>
        </w:rPr>
      </w:pPr>
      <w:r w:rsidRPr="000202EA">
        <w:rPr>
          <w:b/>
          <w:bCs/>
          <w:sz w:val="20"/>
          <w:szCs w:val="20"/>
        </w:rPr>
        <w:t xml:space="preserve">Table </w:t>
      </w:r>
      <w:r w:rsidR="00477AFD" w:rsidRPr="000202EA">
        <w:rPr>
          <w:b/>
          <w:bCs/>
          <w:sz w:val="20"/>
          <w:szCs w:val="20"/>
        </w:rPr>
        <w:t>1</w:t>
      </w:r>
      <w:r w:rsidRPr="000202EA">
        <w:rPr>
          <w:sz w:val="20"/>
          <w:szCs w:val="20"/>
        </w:rPr>
        <w:t>: Site of lesion in relation to primary patency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892"/>
        <w:gridCol w:w="859"/>
        <w:gridCol w:w="744"/>
      </w:tblGrid>
      <w:tr w:rsidR="00ED442C" w:rsidRPr="000202EA" w:rsidTr="000202EA">
        <w:trPr>
          <w:cantSplit/>
          <w:jc w:val="center"/>
        </w:trPr>
        <w:tc>
          <w:tcPr>
            <w:tcW w:w="2892"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D442C" w:rsidRPr="000202EA" w:rsidRDefault="00ED442C" w:rsidP="00243C1C">
            <w:pPr>
              <w:autoSpaceDE w:val="0"/>
              <w:autoSpaceDN w:val="0"/>
              <w:adjustRightInd w:val="0"/>
              <w:snapToGrid w:val="0"/>
              <w:jc w:val="both"/>
              <w:rPr>
                <w:b/>
                <w:bCs/>
                <w:sz w:val="20"/>
                <w:szCs w:val="20"/>
              </w:rPr>
            </w:pPr>
          </w:p>
        </w:tc>
        <w:tc>
          <w:tcPr>
            <w:tcW w:w="859" w:type="dxa"/>
            <w:tcBorders>
              <w:top w:val="single" w:sz="16" w:space="0" w:color="000000"/>
              <w:left w:val="single" w:sz="16" w:space="0" w:color="000000"/>
              <w:bottom w:val="single" w:sz="16" w:space="0" w:color="000000"/>
            </w:tcBorders>
            <w:shd w:val="clear" w:color="auto" w:fill="FFFFFF"/>
            <w:vAlign w:val="center"/>
          </w:tcPr>
          <w:p w:rsidR="00ED442C" w:rsidRPr="000202EA" w:rsidRDefault="00ED442C" w:rsidP="00243C1C">
            <w:pPr>
              <w:autoSpaceDE w:val="0"/>
              <w:autoSpaceDN w:val="0"/>
              <w:adjustRightInd w:val="0"/>
              <w:snapToGrid w:val="0"/>
              <w:jc w:val="both"/>
              <w:rPr>
                <w:b/>
                <w:bCs/>
                <w:color w:val="000000"/>
                <w:sz w:val="20"/>
                <w:szCs w:val="20"/>
              </w:rPr>
            </w:pPr>
            <w:r w:rsidRPr="000202EA">
              <w:rPr>
                <w:b/>
                <w:bCs/>
                <w:color w:val="000000"/>
                <w:sz w:val="20"/>
                <w:szCs w:val="20"/>
              </w:rPr>
              <w:t>Chi-Square</w:t>
            </w:r>
          </w:p>
        </w:tc>
        <w:tc>
          <w:tcPr>
            <w:tcW w:w="0" w:type="auto"/>
            <w:tcBorders>
              <w:top w:val="single" w:sz="16" w:space="0" w:color="000000"/>
              <w:bottom w:val="single" w:sz="16" w:space="0" w:color="000000"/>
              <w:right w:val="single" w:sz="16" w:space="0" w:color="000000"/>
            </w:tcBorders>
            <w:shd w:val="clear" w:color="auto" w:fill="FFFFFF"/>
            <w:vAlign w:val="center"/>
          </w:tcPr>
          <w:p w:rsidR="00ED442C" w:rsidRPr="000202EA" w:rsidRDefault="00ED442C" w:rsidP="00243C1C">
            <w:pPr>
              <w:autoSpaceDE w:val="0"/>
              <w:autoSpaceDN w:val="0"/>
              <w:adjustRightInd w:val="0"/>
              <w:snapToGrid w:val="0"/>
              <w:jc w:val="both"/>
              <w:rPr>
                <w:b/>
                <w:bCs/>
                <w:color w:val="000000"/>
                <w:sz w:val="20"/>
                <w:szCs w:val="20"/>
              </w:rPr>
            </w:pPr>
            <w:r w:rsidRPr="000202EA">
              <w:rPr>
                <w:b/>
                <w:bCs/>
                <w:color w:val="000000"/>
                <w:sz w:val="20"/>
                <w:szCs w:val="20"/>
              </w:rPr>
              <w:t>P-value</w:t>
            </w:r>
          </w:p>
        </w:tc>
      </w:tr>
      <w:tr w:rsidR="00ED442C" w:rsidRPr="000202EA" w:rsidTr="000202EA">
        <w:trPr>
          <w:cantSplit/>
          <w:jc w:val="center"/>
        </w:trPr>
        <w:tc>
          <w:tcPr>
            <w:tcW w:w="2892" w:type="dxa"/>
            <w:tcBorders>
              <w:top w:val="single" w:sz="16" w:space="0" w:color="000000"/>
              <w:left w:val="single" w:sz="16" w:space="0" w:color="000000"/>
              <w:bottom w:val="single" w:sz="4" w:space="0" w:color="auto"/>
              <w:right w:val="single" w:sz="16" w:space="0" w:color="000000"/>
            </w:tcBorders>
            <w:shd w:val="clear" w:color="auto" w:fill="FFFFFF"/>
            <w:vAlign w:val="center"/>
          </w:tcPr>
          <w:p w:rsidR="00ED442C" w:rsidRPr="000202EA" w:rsidRDefault="00ED442C" w:rsidP="00243C1C">
            <w:pPr>
              <w:autoSpaceDE w:val="0"/>
              <w:autoSpaceDN w:val="0"/>
              <w:adjustRightInd w:val="0"/>
              <w:snapToGrid w:val="0"/>
              <w:jc w:val="both"/>
              <w:rPr>
                <w:b/>
                <w:bCs/>
                <w:color w:val="000000"/>
                <w:sz w:val="20"/>
                <w:szCs w:val="20"/>
              </w:rPr>
            </w:pPr>
            <w:r w:rsidRPr="000202EA">
              <w:rPr>
                <w:b/>
                <w:bCs/>
                <w:color w:val="000000"/>
                <w:sz w:val="20"/>
                <w:szCs w:val="20"/>
              </w:rPr>
              <w:t>Log Rank (Mantel-Cox)</w:t>
            </w:r>
          </w:p>
        </w:tc>
        <w:tc>
          <w:tcPr>
            <w:tcW w:w="859" w:type="dxa"/>
            <w:tcBorders>
              <w:top w:val="single" w:sz="16" w:space="0" w:color="000000"/>
              <w:left w:val="single" w:sz="16" w:space="0" w:color="000000"/>
              <w:bottom w:val="single" w:sz="4" w:space="0" w:color="auto"/>
            </w:tcBorders>
            <w:shd w:val="clear" w:color="auto" w:fill="FFFFFF"/>
            <w:vAlign w:val="center"/>
          </w:tcPr>
          <w:p w:rsidR="00ED442C" w:rsidRPr="000202EA" w:rsidRDefault="00ED442C" w:rsidP="00243C1C">
            <w:pPr>
              <w:autoSpaceDE w:val="0"/>
              <w:autoSpaceDN w:val="0"/>
              <w:adjustRightInd w:val="0"/>
              <w:snapToGrid w:val="0"/>
              <w:jc w:val="both"/>
              <w:rPr>
                <w:color w:val="000000"/>
                <w:sz w:val="20"/>
                <w:szCs w:val="20"/>
              </w:rPr>
            </w:pPr>
            <w:r w:rsidRPr="000202EA">
              <w:rPr>
                <w:color w:val="000000"/>
                <w:sz w:val="20"/>
                <w:szCs w:val="20"/>
              </w:rPr>
              <w:t>9.291</w:t>
            </w:r>
          </w:p>
        </w:tc>
        <w:tc>
          <w:tcPr>
            <w:tcW w:w="0" w:type="auto"/>
            <w:tcBorders>
              <w:top w:val="single" w:sz="16" w:space="0" w:color="000000"/>
              <w:bottom w:val="single" w:sz="4" w:space="0" w:color="auto"/>
              <w:right w:val="single" w:sz="16" w:space="0" w:color="000000"/>
            </w:tcBorders>
            <w:shd w:val="clear" w:color="auto" w:fill="FFFFFF"/>
            <w:vAlign w:val="center"/>
          </w:tcPr>
          <w:p w:rsidR="00ED442C" w:rsidRPr="000202EA" w:rsidRDefault="00ED442C" w:rsidP="00243C1C">
            <w:pPr>
              <w:autoSpaceDE w:val="0"/>
              <w:autoSpaceDN w:val="0"/>
              <w:adjustRightInd w:val="0"/>
              <w:snapToGrid w:val="0"/>
              <w:jc w:val="both"/>
              <w:rPr>
                <w:b/>
                <w:bCs/>
                <w:color w:val="000000"/>
                <w:sz w:val="20"/>
                <w:szCs w:val="20"/>
                <w:vertAlign w:val="superscript"/>
              </w:rPr>
            </w:pPr>
            <w:r w:rsidRPr="000202EA">
              <w:rPr>
                <w:b/>
                <w:bCs/>
                <w:color w:val="000000"/>
                <w:sz w:val="20"/>
                <w:szCs w:val="20"/>
              </w:rPr>
              <w:t>0.010</w:t>
            </w:r>
            <w:r w:rsidRPr="000202EA">
              <w:rPr>
                <w:b/>
                <w:bCs/>
                <w:color w:val="000000"/>
                <w:sz w:val="20"/>
                <w:szCs w:val="20"/>
                <w:vertAlign w:val="superscript"/>
              </w:rPr>
              <w:t>*</w:t>
            </w:r>
          </w:p>
        </w:tc>
      </w:tr>
      <w:tr w:rsidR="00ED442C" w:rsidRPr="000202EA" w:rsidTr="000202EA">
        <w:trPr>
          <w:cantSplit/>
          <w:jc w:val="center"/>
        </w:trPr>
        <w:tc>
          <w:tcPr>
            <w:tcW w:w="2892" w:type="dxa"/>
            <w:tcBorders>
              <w:top w:val="single" w:sz="4" w:space="0" w:color="auto"/>
              <w:left w:val="single" w:sz="16" w:space="0" w:color="000000"/>
              <w:bottom w:val="single" w:sz="4" w:space="0" w:color="auto"/>
              <w:right w:val="single" w:sz="16" w:space="0" w:color="000000"/>
            </w:tcBorders>
            <w:shd w:val="clear" w:color="auto" w:fill="FFFFFF"/>
            <w:vAlign w:val="center"/>
          </w:tcPr>
          <w:p w:rsidR="00ED442C" w:rsidRPr="000202EA" w:rsidRDefault="00ED442C" w:rsidP="00243C1C">
            <w:pPr>
              <w:autoSpaceDE w:val="0"/>
              <w:autoSpaceDN w:val="0"/>
              <w:adjustRightInd w:val="0"/>
              <w:snapToGrid w:val="0"/>
              <w:jc w:val="both"/>
              <w:rPr>
                <w:b/>
                <w:bCs/>
                <w:color w:val="000000"/>
                <w:sz w:val="20"/>
                <w:szCs w:val="20"/>
              </w:rPr>
            </w:pPr>
            <w:proofErr w:type="spellStart"/>
            <w:r w:rsidRPr="000202EA">
              <w:rPr>
                <w:b/>
                <w:bCs/>
                <w:color w:val="000000"/>
                <w:sz w:val="20"/>
                <w:szCs w:val="20"/>
              </w:rPr>
              <w:t>Breslow</w:t>
            </w:r>
            <w:proofErr w:type="spellEnd"/>
            <w:r w:rsidRPr="000202EA">
              <w:rPr>
                <w:b/>
                <w:bCs/>
                <w:color w:val="000000"/>
                <w:sz w:val="20"/>
                <w:szCs w:val="20"/>
              </w:rPr>
              <w:t xml:space="preserve"> (Generalized </w:t>
            </w:r>
            <w:proofErr w:type="spellStart"/>
            <w:r w:rsidRPr="000202EA">
              <w:rPr>
                <w:b/>
                <w:bCs/>
                <w:color w:val="000000"/>
                <w:sz w:val="20"/>
                <w:szCs w:val="20"/>
              </w:rPr>
              <w:t>Wilcoxon</w:t>
            </w:r>
            <w:proofErr w:type="spellEnd"/>
            <w:r w:rsidRPr="000202EA">
              <w:rPr>
                <w:b/>
                <w:bCs/>
                <w:color w:val="000000"/>
                <w:sz w:val="20"/>
                <w:szCs w:val="20"/>
              </w:rPr>
              <w:t>)</w:t>
            </w:r>
          </w:p>
        </w:tc>
        <w:tc>
          <w:tcPr>
            <w:tcW w:w="859" w:type="dxa"/>
            <w:tcBorders>
              <w:top w:val="single" w:sz="4" w:space="0" w:color="auto"/>
              <w:left w:val="single" w:sz="16" w:space="0" w:color="000000"/>
              <w:bottom w:val="single" w:sz="4" w:space="0" w:color="auto"/>
            </w:tcBorders>
            <w:shd w:val="clear" w:color="auto" w:fill="FFFFFF"/>
            <w:vAlign w:val="center"/>
          </w:tcPr>
          <w:p w:rsidR="00ED442C" w:rsidRPr="000202EA" w:rsidRDefault="00ED442C" w:rsidP="00243C1C">
            <w:pPr>
              <w:autoSpaceDE w:val="0"/>
              <w:autoSpaceDN w:val="0"/>
              <w:adjustRightInd w:val="0"/>
              <w:snapToGrid w:val="0"/>
              <w:jc w:val="both"/>
              <w:rPr>
                <w:color w:val="000000"/>
                <w:sz w:val="20"/>
                <w:szCs w:val="20"/>
              </w:rPr>
            </w:pPr>
            <w:r w:rsidRPr="000202EA">
              <w:rPr>
                <w:color w:val="000000"/>
                <w:sz w:val="20"/>
                <w:szCs w:val="20"/>
              </w:rPr>
              <w:t>8.281</w:t>
            </w:r>
          </w:p>
        </w:tc>
        <w:tc>
          <w:tcPr>
            <w:tcW w:w="0" w:type="auto"/>
            <w:tcBorders>
              <w:top w:val="single" w:sz="4" w:space="0" w:color="auto"/>
              <w:bottom w:val="single" w:sz="4" w:space="0" w:color="auto"/>
              <w:right w:val="single" w:sz="16" w:space="0" w:color="000000"/>
            </w:tcBorders>
            <w:shd w:val="clear" w:color="auto" w:fill="FFFFFF"/>
            <w:vAlign w:val="center"/>
          </w:tcPr>
          <w:p w:rsidR="00ED442C" w:rsidRPr="000202EA" w:rsidRDefault="00ED442C" w:rsidP="00243C1C">
            <w:pPr>
              <w:autoSpaceDE w:val="0"/>
              <w:autoSpaceDN w:val="0"/>
              <w:adjustRightInd w:val="0"/>
              <w:snapToGrid w:val="0"/>
              <w:jc w:val="both"/>
              <w:rPr>
                <w:b/>
                <w:bCs/>
                <w:color w:val="000000"/>
                <w:sz w:val="20"/>
                <w:szCs w:val="20"/>
              </w:rPr>
            </w:pPr>
            <w:r w:rsidRPr="000202EA">
              <w:rPr>
                <w:b/>
                <w:bCs/>
                <w:color w:val="000000"/>
                <w:sz w:val="20"/>
                <w:szCs w:val="20"/>
              </w:rPr>
              <w:t>0.016</w:t>
            </w:r>
            <w:r w:rsidRPr="000202EA">
              <w:rPr>
                <w:b/>
                <w:bCs/>
                <w:color w:val="000000"/>
                <w:sz w:val="20"/>
                <w:szCs w:val="20"/>
                <w:vertAlign w:val="superscript"/>
              </w:rPr>
              <w:t>*</w:t>
            </w:r>
          </w:p>
        </w:tc>
      </w:tr>
      <w:tr w:rsidR="00ED442C" w:rsidRPr="000202EA" w:rsidTr="000202EA">
        <w:trPr>
          <w:cantSplit/>
          <w:jc w:val="center"/>
        </w:trPr>
        <w:tc>
          <w:tcPr>
            <w:tcW w:w="2892" w:type="dxa"/>
            <w:tcBorders>
              <w:top w:val="single" w:sz="4" w:space="0" w:color="auto"/>
              <w:left w:val="single" w:sz="16" w:space="0" w:color="000000"/>
              <w:bottom w:val="single" w:sz="16" w:space="0" w:color="000000"/>
              <w:right w:val="single" w:sz="16" w:space="0" w:color="000000"/>
            </w:tcBorders>
            <w:shd w:val="clear" w:color="auto" w:fill="FFFFFF"/>
            <w:vAlign w:val="center"/>
          </w:tcPr>
          <w:p w:rsidR="00ED442C" w:rsidRPr="000202EA" w:rsidRDefault="00ED442C" w:rsidP="00243C1C">
            <w:pPr>
              <w:autoSpaceDE w:val="0"/>
              <w:autoSpaceDN w:val="0"/>
              <w:adjustRightInd w:val="0"/>
              <w:snapToGrid w:val="0"/>
              <w:jc w:val="both"/>
              <w:rPr>
                <w:b/>
                <w:bCs/>
                <w:color w:val="000000"/>
                <w:sz w:val="20"/>
                <w:szCs w:val="20"/>
              </w:rPr>
            </w:pPr>
            <w:proofErr w:type="spellStart"/>
            <w:r w:rsidRPr="000202EA">
              <w:rPr>
                <w:b/>
                <w:bCs/>
                <w:color w:val="000000"/>
                <w:sz w:val="20"/>
                <w:szCs w:val="20"/>
              </w:rPr>
              <w:t>Tarone</w:t>
            </w:r>
            <w:proofErr w:type="spellEnd"/>
            <w:r w:rsidRPr="000202EA">
              <w:rPr>
                <w:b/>
                <w:bCs/>
                <w:color w:val="000000"/>
                <w:sz w:val="20"/>
                <w:szCs w:val="20"/>
              </w:rPr>
              <w:t>-Ware</w:t>
            </w:r>
          </w:p>
        </w:tc>
        <w:tc>
          <w:tcPr>
            <w:tcW w:w="859" w:type="dxa"/>
            <w:tcBorders>
              <w:top w:val="single" w:sz="4" w:space="0" w:color="auto"/>
              <w:left w:val="single" w:sz="16" w:space="0" w:color="000000"/>
              <w:bottom w:val="single" w:sz="16" w:space="0" w:color="000000"/>
            </w:tcBorders>
            <w:shd w:val="clear" w:color="auto" w:fill="FFFFFF"/>
            <w:vAlign w:val="center"/>
          </w:tcPr>
          <w:p w:rsidR="00ED442C" w:rsidRPr="000202EA" w:rsidRDefault="00ED442C" w:rsidP="00243C1C">
            <w:pPr>
              <w:autoSpaceDE w:val="0"/>
              <w:autoSpaceDN w:val="0"/>
              <w:adjustRightInd w:val="0"/>
              <w:snapToGrid w:val="0"/>
              <w:jc w:val="both"/>
              <w:rPr>
                <w:color w:val="000000"/>
                <w:sz w:val="20"/>
                <w:szCs w:val="20"/>
              </w:rPr>
            </w:pPr>
            <w:r w:rsidRPr="000202EA">
              <w:rPr>
                <w:color w:val="000000"/>
                <w:sz w:val="20"/>
                <w:szCs w:val="20"/>
              </w:rPr>
              <w:t>8.816</w:t>
            </w:r>
          </w:p>
        </w:tc>
        <w:tc>
          <w:tcPr>
            <w:tcW w:w="0" w:type="auto"/>
            <w:tcBorders>
              <w:top w:val="single" w:sz="4" w:space="0" w:color="auto"/>
              <w:bottom w:val="single" w:sz="16" w:space="0" w:color="000000"/>
              <w:right w:val="single" w:sz="16" w:space="0" w:color="000000"/>
            </w:tcBorders>
            <w:shd w:val="clear" w:color="auto" w:fill="FFFFFF"/>
            <w:vAlign w:val="center"/>
          </w:tcPr>
          <w:p w:rsidR="00ED442C" w:rsidRPr="000202EA" w:rsidRDefault="00ED442C" w:rsidP="00243C1C">
            <w:pPr>
              <w:autoSpaceDE w:val="0"/>
              <w:autoSpaceDN w:val="0"/>
              <w:adjustRightInd w:val="0"/>
              <w:snapToGrid w:val="0"/>
              <w:jc w:val="both"/>
              <w:rPr>
                <w:b/>
                <w:bCs/>
                <w:color w:val="000000"/>
                <w:sz w:val="20"/>
                <w:szCs w:val="20"/>
              </w:rPr>
            </w:pPr>
            <w:r w:rsidRPr="000202EA">
              <w:rPr>
                <w:b/>
                <w:bCs/>
                <w:color w:val="000000"/>
                <w:sz w:val="20"/>
                <w:szCs w:val="20"/>
              </w:rPr>
              <w:t>0.012</w:t>
            </w:r>
            <w:r w:rsidRPr="000202EA">
              <w:rPr>
                <w:b/>
                <w:bCs/>
                <w:color w:val="000000"/>
                <w:sz w:val="20"/>
                <w:szCs w:val="20"/>
                <w:vertAlign w:val="superscript"/>
              </w:rPr>
              <w:t>*</w:t>
            </w:r>
          </w:p>
        </w:tc>
      </w:tr>
    </w:tbl>
    <w:p w:rsidR="00243C1C" w:rsidRPr="000202EA" w:rsidRDefault="00243C1C" w:rsidP="00243C1C">
      <w:pPr>
        <w:snapToGrid w:val="0"/>
        <w:ind w:firstLine="425"/>
        <w:jc w:val="both"/>
        <w:rPr>
          <w:rFonts w:eastAsiaTheme="minorEastAsia"/>
          <w:sz w:val="20"/>
          <w:szCs w:val="20"/>
          <w:lang w:eastAsia="zh-CN"/>
        </w:rPr>
      </w:pPr>
    </w:p>
    <w:p w:rsidR="007B5136" w:rsidRPr="000202EA" w:rsidRDefault="007B5136" w:rsidP="00243C1C">
      <w:pPr>
        <w:snapToGrid w:val="0"/>
        <w:ind w:firstLine="425"/>
        <w:jc w:val="both"/>
        <w:rPr>
          <w:sz w:val="20"/>
          <w:szCs w:val="20"/>
        </w:rPr>
      </w:pPr>
      <w:r w:rsidRPr="000202EA">
        <w:rPr>
          <w:sz w:val="20"/>
          <w:szCs w:val="20"/>
        </w:rPr>
        <w:lastRenderedPageBreak/>
        <w:t>There is significant relation between site of lesion and long term patency rates. The middle SFA lesion showed better patency rates than proximal and distal SFA lesions (log Rank p-</w:t>
      </w:r>
      <w:proofErr w:type="spellStart"/>
      <w:r w:rsidRPr="000202EA">
        <w:rPr>
          <w:sz w:val="20"/>
          <w:szCs w:val="20"/>
        </w:rPr>
        <w:t>vlue</w:t>
      </w:r>
      <w:proofErr w:type="spellEnd"/>
      <w:r w:rsidRPr="000202EA">
        <w:rPr>
          <w:sz w:val="20"/>
          <w:szCs w:val="20"/>
        </w:rPr>
        <w:t xml:space="preserve"> = 0.01).</w:t>
      </w:r>
    </w:p>
    <w:p w:rsidR="007B5136" w:rsidRPr="000202EA" w:rsidRDefault="007B5136" w:rsidP="00243C1C">
      <w:pPr>
        <w:snapToGrid w:val="0"/>
        <w:ind w:firstLine="425"/>
        <w:jc w:val="both"/>
        <w:rPr>
          <w:sz w:val="20"/>
          <w:szCs w:val="20"/>
        </w:rPr>
      </w:pPr>
      <w:r w:rsidRPr="000202EA">
        <w:rPr>
          <w:sz w:val="20"/>
          <w:szCs w:val="20"/>
        </w:rPr>
        <w:t xml:space="preserve">In this study, 8 occlusion lesions (20%), 21 </w:t>
      </w:r>
      <w:proofErr w:type="spellStart"/>
      <w:r w:rsidRPr="000202EA">
        <w:rPr>
          <w:sz w:val="20"/>
          <w:szCs w:val="20"/>
        </w:rPr>
        <w:t>stenotic</w:t>
      </w:r>
      <w:proofErr w:type="spellEnd"/>
      <w:r w:rsidRPr="000202EA">
        <w:rPr>
          <w:sz w:val="20"/>
          <w:szCs w:val="20"/>
        </w:rPr>
        <w:t xml:space="preserve"> lesions (52.5%) and 11 multiple </w:t>
      </w:r>
      <w:proofErr w:type="spellStart"/>
      <w:r w:rsidRPr="000202EA">
        <w:rPr>
          <w:sz w:val="20"/>
          <w:szCs w:val="20"/>
        </w:rPr>
        <w:t>stenotic</w:t>
      </w:r>
      <w:proofErr w:type="spellEnd"/>
      <w:r w:rsidRPr="000202EA">
        <w:rPr>
          <w:sz w:val="20"/>
          <w:szCs w:val="20"/>
        </w:rPr>
        <w:t xml:space="preserve"> lesions (27.5%) were treated with duplex guided angioplasty. The primary patency rate of occlusion lesions at 1,6,12 months were 100%, 67.5% and 50% respectively. The primary patency rate of </w:t>
      </w:r>
      <w:proofErr w:type="spellStart"/>
      <w:r w:rsidRPr="000202EA">
        <w:rPr>
          <w:sz w:val="20"/>
          <w:szCs w:val="20"/>
        </w:rPr>
        <w:t>stenotic</w:t>
      </w:r>
      <w:proofErr w:type="spellEnd"/>
      <w:r w:rsidRPr="000202EA">
        <w:rPr>
          <w:sz w:val="20"/>
          <w:szCs w:val="20"/>
        </w:rPr>
        <w:t xml:space="preserve"> lesions at 1,6,12 months was 100%, 82.5% and 70% respectively. The primary patency rate of multiple </w:t>
      </w:r>
      <w:proofErr w:type="spellStart"/>
      <w:r w:rsidRPr="000202EA">
        <w:rPr>
          <w:sz w:val="20"/>
          <w:szCs w:val="20"/>
        </w:rPr>
        <w:t>stenotic</w:t>
      </w:r>
      <w:proofErr w:type="spellEnd"/>
      <w:r w:rsidRPr="000202EA">
        <w:rPr>
          <w:sz w:val="20"/>
          <w:szCs w:val="20"/>
        </w:rPr>
        <w:t xml:space="preserve"> lesions at 1,6,12 months was 100%, 77.5% and 65% respectively.</w:t>
      </w:r>
    </w:p>
    <w:p w:rsidR="009B39CE" w:rsidRPr="000202EA" w:rsidRDefault="009B39CE" w:rsidP="00243C1C">
      <w:pPr>
        <w:autoSpaceDE w:val="0"/>
        <w:autoSpaceDN w:val="0"/>
        <w:adjustRightInd w:val="0"/>
        <w:snapToGrid w:val="0"/>
        <w:ind w:firstLine="425"/>
        <w:jc w:val="both"/>
        <w:rPr>
          <w:sz w:val="20"/>
          <w:szCs w:val="20"/>
        </w:rPr>
      </w:pPr>
    </w:p>
    <w:p w:rsidR="007B5136" w:rsidRPr="000202EA" w:rsidRDefault="007B5136" w:rsidP="00243C1C">
      <w:pPr>
        <w:autoSpaceDE w:val="0"/>
        <w:autoSpaceDN w:val="0"/>
        <w:adjustRightInd w:val="0"/>
        <w:snapToGrid w:val="0"/>
        <w:jc w:val="center"/>
        <w:rPr>
          <w:sz w:val="20"/>
          <w:szCs w:val="20"/>
        </w:rPr>
      </w:pPr>
      <w:r w:rsidRPr="000202EA">
        <w:rPr>
          <w:noProof/>
          <w:sz w:val="20"/>
          <w:szCs w:val="20"/>
          <w:lang w:eastAsia="zh-CN"/>
        </w:rPr>
        <w:drawing>
          <wp:inline distT="0" distB="0" distL="0" distR="0">
            <wp:extent cx="2922933" cy="2934031"/>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131"/>
                    <a:stretch>
                      <a:fillRect/>
                    </a:stretch>
                  </pic:blipFill>
                  <pic:spPr bwMode="auto">
                    <a:xfrm>
                      <a:off x="0" y="0"/>
                      <a:ext cx="2922933" cy="2934031"/>
                    </a:xfrm>
                    <a:prstGeom prst="rect">
                      <a:avLst/>
                    </a:prstGeom>
                    <a:noFill/>
                    <a:ln>
                      <a:noFill/>
                    </a:ln>
                  </pic:spPr>
                </pic:pic>
              </a:graphicData>
            </a:graphic>
          </wp:inline>
        </w:drawing>
      </w:r>
    </w:p>
    <w:p w:rsidR="007B5136" w:rsidRPr="000202EA" w:rsidRDefault="007B5136" w:rsidP="00243C1C">
      <w:pPr>
        <w:autoSpaceDE w:val="0"/>
        <w:autoSpaceDN w:val="0"/>
        <w:adjustRightInd w:val="0"/>
        <w:snapToGrid w:val="0"/>
        <w:jc w:val="center"/>
        <w:rPr>
          <w:sz w:val="20"/>
          <w:szCs w:val="20"/>
        </w:rPr>
      </w:pPr>
      <w:r w:rsidRPr="000202EA">
        <w:rPr>
          <w:b/>
          <w:bCs/>
          <w:sz w:val="20"/>
          <w:szCs w:val="20"/>
        </w:rPr>
        <w:t xml:space="preserve">Figure </w:t>
      </w:r>
      <w:r w:rsidR="00477AFD" w:rsidRPr="000202EA">
        <w:rPr>
          <w:b/>
          <w:bCs/>
          <w:sz w:val="20"/>
          <w:szCs w:val="20"/>
        </w:rPr>
        <w:t>6</w:t>
      </w:r>
      <w:r w:rsidRPr="000202EA">
        <w:rPr>
          <w:b/>
          <w:bCs/>
          <w:sz w:val="20"/>
          <w:szCs w:val="20"/>
        </w:rPr>
        <w:t xml:space="preserve">: </w:t>
      </w:r>
      <w:r w:rsidRPr="000202EA">
        <w:rPr>
          <w:sz w:val="20"/>
          <w:szCs w:val="20"/>
        </w:rPr>
        <w:t>Site of lesion in relation to primary patency</w:t>
      </w:r>
    </w:p>
    <w:p w:rsidR="00243C1C" w:rsidRPr="000202EA" w:rsidRDefault="00243C1C" w:rsidP="00243C1C">
      <w:pPr>
        <w:snapToGrid w:val="0"/>
        <w:jc w:val="center"/>
        <w:rPr>
          <w:rFonts w:eastAsiaTheme="minorEastAsia"/>
          <w:b/>
          <w:bCs/>
          <w:sz w:val="20"/>
          <w:szCs w:val="20"/>
          <w:lang w:eastAsia="zh-CN"/>
        </w:rPr>
      </w:pPr>
    </w:p>
    <w:p w:rsidR="007B5136" w:rsidRPr="000202EA" w:rsidRDefault="007B5136" w:rsidP="00243C1C">
      <w:pPr>
        <w:snapToGrid w:val="0"/>
        <w:jc w:val="center"/>
        <w:rPr>
          <w:sz w:val="20"/>
          <w:szCs w:val="20"/>
        </w:rPr>
      </w:pPr>
      <w:r w:rsidRPr="000202EA">
        <w:rPr>
          <w:b/>
          <w:bCs/>
          <w:sz w:val="20"/>
          <w:szCs w:val="20"/>
        </w:rPr>
        <w:t xml:space="preserve">Table </w:t>
      </w:r>
      <w:r w:rsidR="00477AFD" w:rsidRPr="000202EA">
        <w:rPr>
          <w:b/>
          <w:bCs/>
          <w:sz w:val="20"/>
          <w:szCs w:val="20"/>
        </w:rPr>
        <w:t>2</w:t>
      </w:r>
      <w:r w:rsidRPr="000202EA">
        <w:rPr>
          <w:sz w:val="20"/>
          <w:szCs w:val="20"/>
        </w:rPr>
        <w:t>: Type of lesion in relation to primary patency</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892"/>
        <w:gridCol w:w="884"/>
        <w:gridCol w:w="719"/>
      </w:tblGrid>
      <w:tr w:rsidR="007B5136" w:rsidRPr="000202EA" w:rsidTr="000202EA">
        <w:trPr>
          <w:cantSplit/>
          <w:jc w:val="center"/>
        </w:trPr>
        <w:tc>
          <w:tcPr>
            <w:tcW w:w="3217"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sz w:val="20"/>
                <w:szCs w:val="20"/>
              </w:rPr>
            </w:pPr>
          </w:p>
        </w:tc>
        <w:tc>
          <w:tcPr>
            <w:tcW w:w="983" w:type="pct"/>
            <w:tcBorders>
              <w:top w:val="single" w:sz="16" w:space="0" w:color="000000"/>
              <w:left w:val="single" w:sz="16" w:space="0" w:color="000000"/>
              <w:bottom w:val="single" w:sz="16" w:space="0" w:color="000000"/>
              <w:right w:val="single" w:sz="4" w:space="0" w:color="auto"/>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Chi-Square</w:t>
            </w:r>
          </w:p>
        </w:tc>
        <w:tc>
          <w:tcPr>
            <w:tcW w:w="800" w:type="pct"/>
            <w:tcBorders>
              <w:top w:val="single" w:sz="16" w:space="0" w:color="000000"/>
              <w:left w:val="single" w:sz="4" w:space="0" w:color="auto"/>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P-value</w:t>
            </w:r>
          </w:p>
        </w:tc>
      </w:tr>
      <w:tr w:rsidR="007B5136" w:rsidRPr="000202EA" w:rsidTr="000202EA">
        <w:trPr>
          <w:cantSplit/>
          <w:jc w:val="center"/>
        </w:trPr>
        <w:tc>
          <w:tcPr>
            <w:tcW w:w="3217" w:type="pct"/>
            <w:tcBorders>
              <w:top w:val="single" w:sz="16" w:space="0" w:color="000000"/>
              <w:left w:val="single" w:sz="16" w:space="0" w:color="000000"/>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Log Rank (Mantel-Cox)</w:t>
            </w:r>
          </w:p>
        </w:tc>
        <w:tc>
          <w:tcPr>
            <w:tcW w:w="983" w:type="pct"/>
            <w:tcBorders>
              <w:top w:val="single" w:sz="16" w:space="0" w:color="000000"/>
              <w:left w:val="single" w:sz="16" w:space="0" w:color="000000"/>
              <w:bottom w:val="single" w:sz="4" w:space="0" w:color="auto"/>
              <w:right w:val="single" w:sz="4"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12.244</w:t>
            </w:r>
          </w:p>
        </w:tc>
        <w:tc>
          <w:tcPr>
            <w:tcW w:w="800" w:type="pct"/>
            <w:tcBorders>
              <w:top w:val="single" w:sz="16" w:space="0" w:color="000000"/>
              <w:left w:val="single" w:sz="4" w:space="0" w:color="auto"/>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0.002</w:t>
            </w:r>
            <w:r w:rsidRPr="000202EA">
              <w:rPr>
                <w:b/>
                <w:bCs/>
                <w:color w:val="000000"/>
                <w:sz w:val="20"/>
                <w:szCs w:val="20"/>
                <w:vertAlign w:val="superscript"/>
              </w:rPr>
              <w:t>*</w:t>
            </w:r>
          </w:p>
        </w:tc>
      </w:tr>
      <w:tr w:rsidR="007B5136" w:rsidRPr="000202EA" w:rsidTr="000202EA">
        <w:trPr>
          <w:cantSplit/>
          <w:jc w:val="center"/>
        </w:trPr>
        <w:tc>
          <w:tcPr>
            <w:tcW w:w="3217" w:type="pct"/>
            <w:tcBorders>
              <w:top w:val="single" w:sz="4" w:space="0" w:color="auto"/>
              <w:left w:val="single" w:sz="16" w:space="0" w:color="000000"/>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proofErr w:type="spellStart"/>
            <w:r w:rsidRPr="000202EA">
              <w:rPr>
                <w:b/>
                <w:bCs/>
                <w:color w:val="000000"/>
                <w:sz w:val="20"/>
                <w:szCs w:val="20"/>
              </w:rPr>
              <w:t>Breslow</w:t>
            </w:r>
            <w:proofErr w:type="spellEnd"/>
            <w:r w:rsidRPr="000202EA">
              <w:rPr>
                <w:b/>
                <w:bCs/>
                <w:color w:val="000000"/>
                <w:sz w:val="20"/>
                <w:szCs w:val="20"/>
              </w:rPr>
              <w:t xml:space="preserve"> (Generalized </w:t>
            </w:r>
            <w:proofErr w:type="spellStart"/>
            <w:r w:rsidRPr="000202EA">
              <w:rPr>
                <w:b/>
                <w:bCs/>
                <w:color w:val="000000"/>
                <w:sz w:val="20"/>
                <w:szCs w:val="20"/>
              </w:rPr>
              <w:t>Wilcoxon</w:t>
            </w:r>
            <w:proofErr w:type="spellEnd"/>
            <w:r w:rsidRPr="000202EA">
              <w:rPr>
                <w:b/>
                <w:bCs/>
                <w:color w:val="000000"/>
                <w:sz w:val="20"/>
                <w:szCs w:val="20"/>
              </w:rPr>
              <w:t>)</w:t>
            </w:r>
          </w:p>
        </w:tc>
        <w:tc>
          <w:tcPr>
            <w:tcW w:w="983" w:type="pct"/>
            <w:tcBorders>
              <w:top w:val="single" w:sz="4" w:space="0" w:color="auto"/>
              <w:left w:val="single" w:sz="16" w:space="0" w:color="000000"/>
              <w:bottom w:val="single" w:sz="4" w:space="0" w:color="auto"/>
              <w:right w:val="single" w:sz="4"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12.304</w:t>
            </w:r>
          </w:p>
        </w:tc>
        <w:tc>
          <w:tcPr>
            <w:tcW w:w="800" w:type="pct"/>
            <w:tcBorders>
              <w:top w:val="single" w:sz="4" w:space="0" w:color="auto"/>
              <w:left w:val="single" w:sz="4" w:space="0" w:color="auto"/>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0.002</w:t>
            </w:r>
            <w:r w:rsidRPr="000202EA">
              <w:rPr>
                <w:b/>
                <w:bCs/>
                <w:color w:val="000000"/>
                <w:sz w:val="20"/>
                <w:szCs w:val="20"/>
                <w:vertAlign w:val="superscript"/>
              </w:rPr>
              <w:t>*</w:t>
            </w:r>
          </w:p>
        </w:tc>
      </w:tr>
      <w:tr w:rsidR="007B5136" w:rsidRPr="000202EA" w:rsidTr="000202EA">
        <w:trPr>
          <w:cantSplit/>
          <w:jc w:val="center"/>
        </w:trPr>
        <w:tc>
          <w:tcPr>
            <w:tcW w:w="3217" w:type="pct"/>
            <w:tcBorders>
              <w:top w:val="single" w:sz="4" w:space="0" w:color="auto"/>
              <w:left w:val="single" w:sz="16" w:space="0" w:color="000000"/>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proofErr w:type="spellStart"/>
            <w:r w:rsidRPr="000202EA">
              <w:rPr>
                <w:b/>
                <w:bCs/>
                <w:color w:val="000000"/>
                <w:sz w:val="20"/>
                <w:szCs w:val="20"/>
              </w:rPr>
              <w:t>Tarone</w:t>
            </w:r>
            <w:proofErr w:type="spellEnd"/>
            <w:r w:rsidRPr="000202EA">
              <w:rPr>
                <w:b/>
                <w:bCs/>
                <w:color w:val="000000"/>
                <w:sz w:val="20"/>
                <w:szCs w:val="20"/>
              </w:rPr>
              <w:t>-Ware</w:t>
            </w:r>
          </w:p>
        </w:tc>
        <w:tc>
          <w:tcPr>
            <w:tcW w:w="983" w:type="pct"/>
            <w:tcBorders>
              <w:top w:val="single" w:sz="4" w:space="0" w:color="auto"/>
              <w:left w:val="single" w:sz="16" w:space="0" w:color="000000"/>
              <w:bottom w:val="single" w:sz="16" w:space="0" w:color="000000"/>
              <w:right w:val="single" w:sz="4"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12.343</w:t>
            </w:r>
          </w:p>
        </w:tc>
        <w:tc>
          <w:tcPr>
            <w:tcW w:w="800" w:type="pct"/>
            <w:tcBorders>
              <w:top w:val="single" w:sz="4" w:space="0" w:color="auto"/>
              <w:left w:val="single" w:sz="4" w:space="0" w:color="auto"/>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0.002</w:t>
            </w:r>
            <w:r w:rsidRPr="000202EA">
              <w:rPr>
                <w:b/>
                <w:bCs/>
                <w:color w:val="000000"/>
                <w:sz w:val="20"/>
                <w:szCs w:val="20"/>
                <w:vertAlign w:val="superscript"/>
              </w:rPr>
              <w:t>*</w:t>
            </w:r>
          </w:p>
        </w:tc>
      </w:tr>
    </w:tbl>
    <w:p w:rsidR="009B39CE" w:rsidRPr="000202EA" w:rsidRDefault="009B39CE" w:rsidP="00243C1C">
      <w:pPr>
        <w:snapToGrid w:val="0"/>
        <w:ind w:firstLine="425"/>
        <w:jc w:val="both"/>
        <w:rPr>
          <w:sz w:val="20"/>
          <w:szCs w:val="20"/>
        </w:rPr>
      </w:pPr>
    </w:p>
    <w:p w:rsidR="007B5136" w:rsidRPr="000202EA" w:rsidRDefault="007B5136" w:rsidP="00243C1C">
      <w:pPr>
        <w:snapToGrid w:val="0"/>
        <w:ind w:firstLine="425"/>
        <w:jc w:val="both"/>
        <w:rPr>
          <w:sz w:val="20"/>
          <w:szCs w:val="20"/>
        </w:rPr>
      </w:pPr>
      <w:r w:rsidRPr="000202EA">
        <w:rPr>
          <w:sz w:val="20"/>
          <w:szCs w:val="20"/>
        </w:rPr>
        <w:t xml:space="preserve">There is significant relation between type of lesion and long term patency rates. The </w:t>
      </w:r>
      <w:proofErr w:type="spellStart"/>
      <w:r w:rsidRPr="000202EA">
        <w:rPr>
          <w:sz w:val="20"/>
          <w:szCs w:val="20"/>
        </w:rPr>
        <w:t>stenotic</w:t>
      </w:r>
      <w:proofErr w:type="spellEnd"/>
      <w:r w:rsidRPr="000202EA">
        <w:rPr>
          <w:sz w:val="20"/>
          <w:szCs w:val="20"/>
        </w:rPr>
        <w:t xml:space="preserve"> lesion showed better patency rates than proximal and distal SFA lesions (log Rank p-value = 0.002).</w:t>
      </w:r>
    </w:p>
    <w:p w:rsidR="00C305D9" w:rsidRPr="000202EA" w:rsidRDefault="00C305D9" w:rsidP="00C305D9">
      <w:pPr>
        <w:autoSpaceDE w:val="0"/>
        <w:autoSpaceDN w:val="0"/>
        <w:adjustRightInd w:val="0"/>
        <w:snapToGrid w:val="0"/>
        <w:ind w:firstLine="425"/>
        <w:jc w:val="both"/>
        <w:rPr>
          <w:b/>
          <w:bCs/>
          <w:sz w:val="20"/>
          <w:szCs w:val="20"/>
        </w:rPr>
      </w:pPr>
      <w:r w:rsidRPr="000202EA">
        <w:rPr>
          <w:sz w:val="20"/>
          <w:szCs w:val="20"/>
        </w:rPr>
        <w:t xml:space="preserve">In this study, 27 lesions (67.5%) were associated with good run off (2-3 vessels) and 13 </w:t>
      </w:r>
      <w:proofErr w:type="spellStart"/>
      <w:r w:rsidRPr="000202EA">
        <w:rPr>
          <w:sz w:val="20"/>
          <w:szCs w:val="20"/>
        </w:rPr>
        <w:t>stenotic</w:t>
      </w:r>
      <w:proofErr w:type="spellEnd"/>
      <w:r w:rsidRPr="000202EA">
        <w:rPr>
          <w:sz w:val="20"/>
          <w:szCs w:val="20"/>
        </w:rPr>
        <w:t xml:space="preserve"> lesions (32.5%) were associated with poor run off (0-1 vessels). The primary patency rate for lesions with good run off at 1,6,12 months were 100%, 88.9% and 85% respectively. The primary patency rate for </w:t>
      </w:r>
      <w:r w:rsidRPr="000202EA">
        <w:rPr>
          <w:sz w:val="20"/>
          <w:szCs w:val="20"/>
        </w:rPr>
        <w:lastRenderedPageBreak/>
        <w:t>lesions with poor run off at 1,6,12 months were 100%, 53.8% and 30.7% respectively.</w:t>
      </w:r>
    </w:p>
    <w:p w:rsidR="007B5136" w:rsidRPr="000202EA" w:rsidRDefault="007B5136" w:rsidP="00243C1C">
      <w:pPr>
        <w:snapToGrid w:val="0"/>
        <w:ind w:firstLine="425"/>
        <w:jc w:val="both"/>
        <w:rPr>
          <w:sz w:val="20"/>
          <w:szCs w:val="20"/>
          <w:lang w:bidi="ar-EG"/>
        </w:rPr>
      </w:pPr>
    </w:p>
    <w:p w:rsidR="007B5136" w:rsidRPr="000202EA" w:rsidRDefault="007B5136" w:rsidP="00243C1C">
      <w:pPr>
        <w:snapToGrid w:val="0"/>
        <w:jc w:val="center"/>
        <w:rPr>
          <w:sz w:val="20"/>
          <w:szCs w:val="20"/>
        </w:rPr>
      </w:pPr>
      <w:r w:rsidRPr="000202EA">
        <w:rPr>
          <w:noProof/>
          <w:sz w:val="20"/>
          <w:szCs w:val="20"/>
          <w:lang w:eastAsia="zh-CN"/>
        </w:rPr>
        <w:drawing>
          <wp:inline distT="0" distB="0" distL="0" distR="0">
            <wp:extent cx="3057166" cy="2663687"/>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3061677" cy="2667617"/>
                    </a:xfrm>
                    <a:prstGeom prst="rect">
                      <a:avLst/>
                    </a:prstGeom>
                  </pic:spPr>
                </pic:pic>
              </a:graphicData>
            </a:graphic>
          </wp:inline>
        </w:drawing>
      </w:r>
    </w:p>
    <w:p w:rsidR="007B5136" w:rsidRPr="000202EA" w:rsidRDefault="007B5136" w:rsidP="00243C1C">
      <w:pPr>
        <w:autoSpaceDE w:val="0"/>
        <w:autoSpaceDN w:val="0"/>
        <w:adjustRightInd w:val="0"/>
        <w:snapToGrid w:val="0"/>
        <w:jc w:val="both"/>
        <w:rPr>
          <w:sz w:val="20"/>
          <w:szCs w:val="20"/>
        </w:rPr>
      </w:pPr>
      <w:r w:rsidRPr="000202EA">
        <w:rPr>
          <w:b/>
          <w:bCs/>
          <w:sz w:val="20"/>
          <w:szCs w:val="20"/>
        </w:rPr>
        <w:t xml:space="preserve">Figure </w:t>
      </w:r>
      <w:r w:rsidR="00477AFD" w:rsidRPr="000202EA">
        <w:rPr>
          <w:b/>
          <w:bCs/>
          <w:sz w:val="20"/>
          <w:szCs w:val="20"/>
        </w:rPr>
        <w:t>7</w:t>
      </w:r>
      <w:r w:rsidRPr="000202EA">
        <w:rPr>
          <w:b/>
          <w:bCs/>
          <w:sz w:val="20"/>
          <w:szCs w:val="20"/>
        </w:rPr>
        <w:t xml:space="preserve">: </w:t>
      </w:r>
      <w:r w:rsidRPr="000202EA">
        <w:rPr>
          <w:sz w:val="20"/>
          <w:szCs w:val="20"/>
        </w:rPr>
        <w:t>Type of lesion in relation to primary patency</w:t>
      </w:r>
    </w:p>
    <w:p w:rsidR="009B39CE" w:rsidRPr="000202EA" w:rsidRDefault="009B39CE" w:rsidP="00243C1C">
      <w:pPr>
        <w:autoSpaceDE w:val="0"/>
        <w:autoSpaceDN w:val="0"/>
        <w:adjustRightInd w:val="0"/>
        <w:snapToGrid w:val="0"/>
        <w:jc w:val="both"/>
        <w:rPr>
          <w:b/>
          <w:bCs/>
          <w:sz w:val="20"/>
          <w:szCs w:val="20"/>
        </w:rPr>
      </w:pPr>
    </w:p>
    <w:p w:rsidR="007B5136" w:rsidRPr="000202EA" w:rsidRDefault="007B5136" w:rsidP="00243C1C">
      <w:pPr>
        <w:snapToGrid w:val="0"/>
        <w:jc w:val="center"/>
        <w:rPr>
          <w:sz w:val="20"/>
          <w:szCs w:val="20"/>
        </w:rPr>
      </w:pPr>
      <w:r w:rsidRPr="000202EA">
        <w:rPr>
          <w:b/>
          <w:bCs/>
          <w:sz w:val="20"/>
          <w:szCs w:val="20"/>
        </w:rPr>
        <w:t xml:space="preserve">Table </w:t>
      </w:r>
      <w:r w:rsidR="00477AFD" w:rsidRPr="000202EA">
        <w:rPr>
          <w:b/>
          <w:bCs/>
          <w:sz w:val="20"/>
          <w:szCs w:val="20"/>
        </w:rPr>
        <w:t>3</w:t>
      </w:r>
      <w:r w:rsidRPr="000202EA">
        <w:rPr>
          <w:sz w:val="20"/>
          <w:szCs w:val="20"/>
        </w:rPr>
        <w:t>: Run-off in relation to primary patency</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892"/>
        <w:gridCol w:w="974"/>
        <w:gridCol w:w="629"/>
      </w:tblGrid>
      <w:tr w:rsidR="007B5136" w:rsidRPr="000202EA" w:rsidTr="000202EA">
        <w:trPr>
          <w:cantSplit/>
          <w:jc w:val="center"/>
        </w:trPr>
        <w:tc>
          <w:tcPr>
            <w:tcW w:w="3217"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sz w:val="20"/>
                <w:szCs w:val="20"/>
              </w:rPr>
            </w:pPr>
          </w:p>
        </w:tc>
        <w:tc>
          <w:tcPr>
            <w:tcW w:w="1083" w:type="pct"/>
            <w:tcBorders>
              <w:top w:val="single" w:sz="16" w:space="0" w:color="000000"/>
              <w:left w:val="single" w:sz="16" w:space="0" w:color="000000"/>
              <w:bottom w:val="single" w:sz="16" w:space="0" w:color="000000"/>
              <w:right w:val="single" w:sz="12" w:space="0" w:color="auto"/>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Chi-Square</w:t>
            </w:r>
          </w:p>
        </w:tc>
        <w:tc>
          <w:tcPr>
            <w:tcW w:w="700" w:type="pct"/>
            <w:tcBorders>
              <w:top w:val="single" w:sz="16" w:space="0" w:color="000000"/>
              <w:left w:val="single" w:sz="12" w:space="0" w:color="auto"/>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Sig.</w:t>
            </w:r>
          </w:p>
        </w:tc>
      </w:tr>
      <w:tr w:rsidR="007B5136" w:rsidRPr="000202EA" w:rsidTr="000202EA">
        <w:trPr>
          <w:cantSplit/>
          <w:jc w:val="center"/>
        </w:trPr>
        <w:tc>
          <w:tcPr>
            <w:tcW w:w="3217" w:type="pct"/>
            <w:tcBorders>
              <w:top w:val="single" w:sz="16" w:space="0" w:color="000000"/>
              <w:left w:val="single" w:sz="16" w:space="0" w:color="000000"/>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Log Rank (Mantel-Cox)</w:t>
            </w:r>
          </w:p>
        </w:tc>
        <w:tc>
          <w:tcPr>
            <w:tcW w:w="1083" w:type="pct"/>
            <w:tcBorders>
              <w:top w:val="single" w:sz="16" w:space="0" w:color="000000"/>
              <w:left w:val="single" w:sz="16" w:space="0" w:color="000000"/>
              <w:bottom w:val="single" w:sz="4" w:space="0" w:color="auto"/>
              <w:right w:val="single" w:sz="12"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4.531</w:t>
            </w:r>
          </w:p>
        </w:tc>
        <w:tc>
          <w:tcPr>
            <w:tcW w:w="700" w:type="pct"/>
            <w:tcBorders>
              <w:top w:val="single" w:sz="16" w:space="0" w:color="000000"/>
              <w:left w:val="single" w:sz="12" w:space="0" w:color="auto"/>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0.033</w:t>
            </w:r>
            <w:r w:rsidRPr="000202EA">
              <w:rPr>
                <w:b/>
                <w:bCs/>
                <w:color w:val="000000"/>
                <w:sz w:val="20"/>
                <w:szCs w:val="20"/>
                <w:vertAlign w:val="superscript"/>
              </w:rPr>
              <w:t>*</w:t>
            </w:r>
          </w:p>
        </w:tc>
      </w:tr>
      <w:tr w:rsidR="007B5136" w:rsidRPr="000202EA" w:rsidTr="000202EA">
        <w:trPr>
          <w:cantSplit/>
          <w:jc w:val="center"/>
        </w:trPr>
        <w:tc>
          <w:tcPr>
            <w:tcW w:w="3217" w:type="pct"/>
            <w:tcBorders>
              <w:top w:val="single" w:sz="4" w:space="0" w:color="auto"/>
              <w:left w:val="single" w:sz="16" w:space="0" w:color="000000"/>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proofErr w:type="spellStart"/>
            <w:r w:rsidRPr="000202EA">
              <w:rPr>
                <w:b/>
                <w:bCs/>
                <w:color w:val="000000"/>
                <w:sz w:val="20"/>
                <w:szCs w:val="20"/>
              </w:rPr>
              <w:t>Breslow</w:t>
            </w:r>
            <w:proofErr w:type="spellEnd"/>
            <w:r w:rsidRPr="000202EA">
              <w:rPr>
                <w:b/>
                <w:bCs/>
                <w:color w:val="000000"/>
                <w:sz w:val="20"/>
                <w:szCs w:val="20"/>
              </w:rPr>
              <w:t xml:space="preserve"> (Generalized </w:t>
            </w:r>
            <w:proofErr w:type="spellStart"/>
            <w:r w:rsidRPr="000202EA">
              <w:rPr>
                <w:b/>
                <w:bCs/>
                <w:color w:val="000000"/>
                <w:sz w:val="20"/>
                <w:szCs w:val="20"/>
              </w:rPr>
              <w:t>Wilcoxon</w:t>
            </w:r>
            <w:proofErr w:type="spellEnd"/>
            <w:r w:rsidRPr="000202EA">
              <w:rPr>
                <w:b/>
                <w:bCs/>
                <w:color w:val="000000"/>
                <w:sz w:val="20"/>
                <w:szCs w:val="20"/>
              </w:rPr>
              <w:t>)</w:t>
            </w:r>
          </w:p>
        </w:tc>
        <w:tc>
          <w:tcPr>
            <w:tcW w:w="1083" w:type="pct"/>
            <w:tcBorders>
              <w:top w:val="single" w:sz="4" w:space="0" w:color="auto"/>
              <w:left w:val="single" w:sz="16" w:space="0" w:color="000000"/>
              <w:bottom w:val="single" w:sz="4" w:space="0" w:color="auto"/>
              <w:right w:val="single" w:sz="12"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4.800</w:t>
            </w:r>
          </w:p>
        </w:tc>
        <w:tc>
          <w:tcPr>
            <w:tcW w:w="700" w:type="pct"/>
            <w:tcBorders>
              <w:top w:val="single" w:sz="4" w:space="0" w:color="auto"/>
              <w:left w:val="single" w:sz="12" w:space="0" w:color="auto"/>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0.028</w:t>
            </w:r>
            <w:r w:rsidRPr="000202EA">
              <w:rPr>
                <w:b/>
                <w:bCs/>
                <w:color w:val="000000"/>
                <w:sz w:val="20"/>
                <w:szCs w:val="20"/>
                <w:vertAlign w:val="superscript"/>
              </w:rPr>
              <w:t>*</w:t>
            </w:r>
          </w:p>
        </w:tc>
      </w:tr>
      <w:tr w:rsidR="007B5136" w:rsidRPr="000202EA" w:rsidTr="000202EA">
        <w:trPr>
          <w:cantSplit/>
          <w:jc w:val="center"/>
        </w:trPr>
        <w:tc>
          <w:tcPr>
            <w:tcW w:w="3217" w:type="pct"/>
            <w:tcBorders>
              <w:top w:val="single" w:sz="4" w:space="0" w:color="auto"/>
              <w:left w:val="single" w:sz="16" w:space="0" w:color="000000"/>
              <w:bottom w:val="single" w:sz="12"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proofErr w:type="spellStart"/>
            <w:r w:rsidRPr="000202EA">
              <w:rPr>
                <w:b/>
                <w:bCs/>
                <w:color w:val="000000"/>
                <w:sz w:val="20"/>
                <w:szCs w:val="20"/>
              </w:rPr>
              <w:t>Tarone</w:t>
            </w:r>
            <w:proofErr w:type="spellEnd"/>
            <w:r w:rsidRPr="000202EA">
              <w:rPr>
                <w:b/>
                <w:bCs/>
                <w:color w:val="000000"/>
                <w:sz w:val="20"/>
                <w:szCs w:val="20"/>
              </w:rPr>
              <w:t>-Ware</w:t>
            </w:r>
          </w:p>
        </w:tc>
        <w:tc>
          <w:tcPr>
            <w:tcW w:w="1083" w:type="pct"/>
            <w:tcBorders>
              <w:top w:val="single" w:sz="4" w:space="0" w:color="auto"/>
              <w:left w:val="single" w:sz="16" w:space="0" w:color="000000"/>
              <w:bottom w:val="single" w:sz="12" w:space="0" w:color="auto"/>
              <w:right w:val="single" w:sz="12"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4.678</w:t>
            </w:r>
          </w:p>
        </w:tc>
        <w:tc>
          <w:tcPr>
            <w:tcW w:w="700" w:type="pct"/>
            <w:tcBorders>
              <w:top w:val="single" w:sz="4" w:space="0" w:color="auto"/>
              <w:left w:val="single" w:sz="12" w:space="0" w:color="auto"/>
              <w:bottom w:val="single" w:sz="12"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0.031</w:t>
            </w:r>
            <w:r w:rsidRPr="000202EA">
              <w:rPr>
                <w:b/>
                <w:bCs/>
                <w:color w:val="000000"/>
                <w:sz w:val="20"/>
                <w:szCs w:val="20"/>
                <w:vertAlign w:val="superscript"/>
              </w:rPr>
              <w:t>*</w:t>
            </w:r>
          </w:p>
        </w:tc>
      </w:tr>
    </w:tbl>
    <w:p w:rsidR="00243C1C" w:rsidRPr="000202EA" w:rsidRDefault="00243C1C" w:rsidP="00243C1C">
      <w:pPr>
        <w:snapToGrid w:val="0"/>
        <w:ind w:firstLine="425"/>
        <w:jc w:val="both"/>
        <w:rPr>
          <w:rFonts w:eastAsiaTheme="minorEastAsia"/>
          <w:sz w:val="20"/>
          <w:szCs w:val="20"/>
          <w:lang w:eastAsia="zh-CN"/>
        </w:rPr>
      </w:pPr>
    </w:p>
    <w:p w:rsidR="007B5136" w:rsidRDefault="007B5136" w:rsidP="00243C1C">
      <w:pPr>
        <w:snapToGrid w:val="0"/>
        <w:ind w:firstLine="425"/>
        <w:jc w:val="both"/>
        <w:rPr>
          <w:rFonts w:eastAsiaTheme="minorEastAsia" w:hint="eastAsia"/>
          <w:sz w:val="20"/>
          <w:szCs w:val="20"/>
          <w:lang w:eastAsia="zh-CN"/>
        </w:rPr>
      </w:pPr>
      <w:r w:rsidRPr="000202EA">
        <w:rPr>
          <w:sz w:val="20"/>
          <w:szCs w:val="20"/>
        </w:rPr>
        <w:t>There is significant relation between single vessel runoff and long term patency rates (log Rank p-value = 0.033).</w:t>
      </w:r>
    </w:p>
    <w:p w:rsidR="000202EA" w:rsidRPr="000202EA" w:rsidRDefault="000202EA" w:rsidP="00243C1C">
      <w:pPr>
        <w:snapToGrid w:val="0"/>
        <w:ind w:firstLine="425"/>
        <w:jc w:val="both"/>
        <w:rPr>
          <w:rFonts w:eastAsiaTheme="minorEastAsia" w:hint="eastAsia"/>
          <w:sz w:val="20"/>
          <w:szCs w:val="20"/>
          <w:lang w:eastAsia="zh-CN"/>
        </w:rPr>
      </w:pPr>
    </w:p>
    <w:p w:rsidR="007B5136" w:rsidRPr="000202EA" w:rsidRDefault="007B5136" w:rsidP="00243C1C">
      <w:pPr>
        <w:autoSpaceDE w:val="0"/>
        <w:autoSpaceDN w:val="0"/>
        <w:adjustRightInd w:val="0"/>
        <w:snapToGrid w:val="0"/>
        <w:jc w:val="center"/>
        <w:rPr>
          <w:sz w:val="20"/>
          <w:szCs w:val="20"/>
        </w:rPr>
      </w:pPr>
      <w:r w:rsidRPr="000202EA">
        <w:rPr>
          <w:noProof/>
          <w:sz w:val="20"/>
          <w:szCs w:val="20"/>
          <w:lang w:eastAsia="zh-CN"/>
        </w:rPr>
        <w:drawing>
          <wp:inline distT="0" distB="0" distL="0" distR="0">
            <wp:extent cx="2787760" cy="2560320"/>
            <wp:effectExtent l="1905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396"/>
                    <a:stretch>
                      <a:fillRect/>
                    </a:stretch>
                  </pic:blipFill>
                  <pic:spPr bwMode="auto">
                    <a:xfrm>
                      <a:off x="0" y="0"/>
                      <a:ext cx="2787760" cy="2560320"/>
                    </a:xfrm>
                    <a:prstGeom prst="rect">
                      <a:avLst/>
                    </a:prstGeom>
                    <a:noFill/>
                    <a:ln>
                      <a:noFill/>
                    </a:ln>
                  </pic:spPr>
                </pic:pic>
              </a:graphicData>
            </a:graphic>
          </wp:inline>
        </w:drawing>
      </w:r>
    </w:p>
    <w:p w:rsidR="007B5136" w:rsidRPr="000202EA" w:rsidRDefault="007B5136" w:rsidP="00243C1C">
      <w:pPr>
        <w:autoSpaceDE w:val="0"/>
        <w:autoSpaceDN w:val="0"/>
        <w:adjustRightInd w:val="0"/>
        <w:snapToGrid w:val="0"/>
        <w:jc w:val="center"/>
        <w:rPr>
          <w:rFonts w:eastAsiaTheme="minorEastAsia"/>
          <w:sz w:val="20"/>
          <w:szCs w:val="20"/>
          <w:lang w:eastAsia="zh-CN"/>
        </w:rPr>
      </w:pPr>
      <w:r w:rsidRPr="000202EA">
        <w:rPr>
          <w:b/>
          <w:bCs/>
          <w:sz w:val="20"/>
          <w:szCs w:val="20"/>
        </w:rPr>
        <w:t xml:space="preserve">Figure </w:t>
      </w:r>
      <w:r w:rsidR="00477AFD" w:rsidRPr="000202EA">
        <w:rPr>
          <w:b/>
          <w:bCs/>
          <w:sz w:val="20"/>
          <w:szCs w:val="20"/>
        </w:rPr>
        <w:t>8</w:t>
      </w:r>
      <w:r w:rsidRPr="000202EA">
        <w:rPr>
          <w:b/>
          <w:bCs/>
          <w:sz w:val="20"/>
          <w:szCs w:val="20"/>
        </w:rPr>
        <w:t xml:space="preserve">: </w:t>
      </w:r>
      <w:r w:rsidRPr="000202EA">
        <w:rPr>
          <w:sz w:val="20"/>
          <w:szCs w:val="20"/>
        </w:rPr>
        <w:t>Runoff in relation to primary patency</w:t>
      </w:r>
    </w:p>
    <w:p w:rsidR="00243C1C" w:rsidRDefault="00243C1C" w:rsidP="00243C1C">
      <w:pPr>
        <w:autoSpaceDE w:val="0"/>
        <w:autoSpaceDN w:val="0"/>
        <w:adjustRightInd w:val="0"/>
        <w:snapToGrid w:val="0"/>
        <w:jc w:val="center"/>
        <w:rPr>
          <w:rFonts w:eastAsiaTheme="minorEastAsia" w:hint="eastAsia"/>
          <w:sz w:val="20"/>
          <w:szCs w:val="20"/>
          <w:lang w:eastAsia="zh-CN"/>
        </w:rPr>
      </w:pPr>
    </w:p>
    <w:p w:rsidR="000202EA" w:rsidRPr="000202EA" w:rsidRDefault="000202EA" w:rsidP="00243C1C">
      <w:pPr>
        <w:autoSpaceDE w:val="0"/>
        <w:autoSpaceDN w:val="0"/>
        <w:adjustRightInd w:val="0"/>
        <w:snapToGrid w:val="0"/>
        <w:jc w:val="center"/>
        <w:rPr>
          <w:rFonts w:eastAsiaTheme="minorEastAsia"/>
          <w:sz w:val="20"/>
          <w:szCs w:val="20"/>
          <w:lang w:eastAsia="zh-CN"/>
        </w:rPr>
      </w:pPr>
    </w:p>
    <w:p w:rsidR="007B5136" w:rsidRPr="000202EA" w:rsidRDefault="007B5136" w:rsidP="00243C1C">
      <w:pPr>
        <w:autoSpaceDE w:val="0"/>
        <w:autoSpaceDN w:val="0"/>
        <w:adjustRightInd w:val="0"/>
        <w:snapToGrid w:val="0"/>
        <w:jc w:val="center"/>
        <w:rPr>
          <w:sz w:val="20"/>
          <w:szCs w:val="20"/>
        </w:rPr>
      </w:pPr>
      <w:r w:rsidRPr="000202EA">
        <w:rPr>
          <w:b/>
          <w:bCs/>
          <w:sz w:val="20"/>
          <w:szCs w:val="20"/>
        </w:rPr>
        <w:lastRenderedPageBreak/>
        <w:t xml:space="preserve">Table </w:t>
      </w:r>
      <w:r w:rsidR="00477AFD" w:rsidRPr="000202EA">
        <w:rPr>
          <w:b/>
          <w:bCs/>
          <w:sz w:val="20"/>
          <w:szCs w:val="20"/>
        </w:rPr>
        <w:t>4</w:t>
      </w:r>
      <w:r w:rsidRPr="000202EA">
        <w:rPr>
          <w:sz w:val="20"/>
          <w:szCs w:val="20"/>
        </w:rPr>
        <w:t xml:space="preserve">: </w:t>
      </w:r>
      <w:r w:rsidRPr="000202EA">
        <w:rPr>
          <w:b/>
          <w:bCs/>
          <w:sz w:val="20"/>
          <w:szCs w:val="20"/>
        </w:rPr>
        <w:t>Age in relation to primary patency</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892"/>
        <w:gridCol w:w="876"/>
        <w:gridCol w:w="727"/>
      </w:tblGrid>
      <w:tr w:rsidR="007B5136" w:rsidRPr="000202EA" w:rsidTr="000202EA">
        <w:trPr>
          <w:cantSplit/>
          <w:jc w:val="center"/>
        </w:trPr>
        <w:tc>
          <w:tcPr>
            <w:tcW w:w="3217"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sz w:val="20"/>
                <w:szCs w:val="20"/>
              </w:rPr>
            </w:pPr>
          </w:p>
        </w:tc>
        <w:tc>
          <w:tcPr>
            <w:tcW w:w="974" w:type="pct"/>
            <w:tcBorders>
              <w:top w:val="single" w:sz="16" w:space="0" w:color="000000"/>
              <w:left w:val="single" w:sz="16" w:space="0" w:color="000000"/>
              <w:bottom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Chi-Square</w:t>
            </w:r>
          </w:p>
        </w:tc>
        <w:tc>
          <w:tcPr>
            <w:tcW w:w="809" w:type="pct"/>
            <w:tcBorders>
              <w:top w:val="single" w:sz="16" w:space="0" w:color="000000"/>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p-value</w:t>
            </w:r>
          </w:p>
        </w:tc>
      </w:tr>
      <w:tr w:rsidR="007B5136" w:rsidRPr="000202EA" w:rsidTr="000202EA">
        <w:trPr>
          <w:cantSplit/>
          <w:jc w:val="center"/>
        </w:trPr>
        <w:tc>
          <w:tcPr>
            <w:tcW w:w="3217" w:type="pct"/>
            <w:tcBorders>
              <w:top w:val="single" w:sz="16" w:space="0" w:color="000000"/>
              <w:left w:val="single" w:sz="16" w:space="0" w:color="000000"/>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Log Rank (Mantel-Cox)</w:t>
            </w:r>
          </w:p>
        </w:tc>
        <w:tc>
          <w:tcPr>
            <w:tcW w:w="974" w:type="pct"/>
            <w:tcBorders>
              <w:top w:val="single" w:sz="16" w:space="0" w:color="000000"/>
              <w:left w:val="single" w:sz="16" w:space="0" w:color="000000"/>
              <w:bottom w:val="single" w:sz="4"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0.927</w:t>
            </w:r>
          </w:p>
        </w:tc>
        <w:tc>
          <w:tcPr>
            <w:tcW w:w="809" w:type="pct"/>
            <w:tcBorders>
              <w:top w:val="single" w:sz="16" w:space="0" w:color="000000"/>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0.33</w:t>
            </w:r>
          </w:p>
        </w:tc>
      </w:tr>
      <w:tr w:rsidR="007B5136" w:rsidRPr="000202EA" w:rsidTr="000202EA">
        <w:trPr>
          <w:cantSplit/>
          <w:jc w:val="center"/>
        </w:trPr>
        <w:tc>
          <w:tcPr>
            <w:tcW w:w="3217" w:type="pct"/>
            <w:tcBorders>
              <w:top w:val="single" w:sz="4" w:space="0" w:color="auto"/>
              <w:left w:val="single" w:sz="16" w:space="0" w:color="000000"/>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proofErr w:type="spellStart"/>
            <w:r w:rsidRPr="000202EA">
              <w:rPr>
                <w:color w:val="000000"/>
                <w:sz w:val="20"/>
                <w:szCs w:val="20"/>
              </w:rPr>
              <w:t>Breslow</w:t>
            </w:r>
            <w:proofErr w:type="spellEnd"/>
            <w:r w:rsidRPr="000202EA">
              <w:rPr>
                <w:color w:val="000000"/>
                <w:sz w:val="20"/>
                <w:szCs w:val="20"/>
              </w:rPr>
              <w:t xml:space="preserve"> (Generalized </w:t>
            </w:r>
            <w:proofErr w:type="spellStart"/>
            <w:r w:rsidRPr="000202EA">
              <w:rPr>
                <w:color w:val="000000"/>
                <w:sz w:val="20"/>
                <w:szCs w:val="20"/>
              </w:rPr>
              <w:t>Wilcoxon</w:t>
            </w:r>
            <w:proofErr w:type="spellEnd"/>
            <w:r w:rsidRPr="000202EA">
              <w:rPr>
                <w:color w:val="000000"/>
                <w:sz w:val="20"/>
                <w:szCs w:val="20"/>
              </w:rPr>
              <w:t>)</w:t>
            </w:r>
          </w:p>
        </w:tc>
        <w:tc>
          <w:tcPr>
            <w:tcW w:w="974" w:type="pct"/>
            <w:tcBorders>
              <w:top w:val="single" w:sz="4" w:space="0" w:color="auto"/>
              <w:left w:val="single" w:sz="16" w:space="0" w:color="000000"/>
              <w:bottom w:val="single" w:sz="4"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0.728</w:t>
            </w:r>
          </w:p>
        </w:tc>
        <w:tc>
          <w:tcPr>
            <w:tcW w:w="809" w:type="pct"/>
            <w:tcBorders>
              <w:top w:val="single" w:sz="4" w:space="0" w:color="auto"/>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0.39</w:t>
            </w:r>
          </w:p>
        </w:tc>
      </w:tr>
      <w:tr w:rsidR="007B5136" w:rsidRPr="000202EA" w:rsidTr="000202EA">
        <w:trPr>
          <w:cantSplit/>
          <w:jc w:val="center"/>
        </w:trPr>
        <w:tc>
          <w:tcPr>
            <w:tcW w:w="3217" w:type="pct"/>
            <w:tcBorders>
              <w:top w:val="single" w:sz="4" w:space="0" w:color="auto"/>
              <w:left w:val="single" w:sz="16" w:space="0" w:color="000000"/>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proofErr w:type="spellStart"/>
            <w:r w:rsidRPr="000202EA">
              <w:rPr>
                <w:color w:val="000000"/>
                <w:sz w:val="20"/>
                <w:szCs w:val="20"/>
              </w:rPr>
              <w:t>Tarone</w:t>
            </w:r>
            <w:proofErr w:type="spellEnd"/>
            <w:r w:rsidRPr="000202EA">
              <w:rPr>
                <w:color w:val="000000"/>
                <w:sz w:val="20"/>
                <w:szCs w:val="20"/>
              </w:rPr>
              <w:t>-Ware</w:t>
            </w:r>
          </w:p>
        </w:tc>
        <w:tc>
          <w:tcPr>
            <w:tcW w:w="974" w:type="pct"/>
            <w:tcBorders>
              <w:top w:val="single" w:sz="4" w:space="0" w:color="auto"/>
              <w:left w:val="single" w:sz="16" w:space="0" w:color="000000"/>
              <w:bottom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0.832</w:t>
            </w:r>
          </w:p>
        </w:tc>
        <w:tc>
          <w:tcPr>
            <w:tcW w:w="809" w:type="pct"/>
            <w:tcBorders>
              <w:top w:val="single" w:sz="4" w:space="0" w:color="auto"/>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0.36</w:t>
            </w:r>
          </w:p>
        </w:tc>
      </w:tr>
    </w:tbl>
    <w:p w:rsidR="007B5136" w:rsidRPr="000202EA" w:rsidRDefault="007B5136" w:rsidP="000202EA">
      <w:pPr>
        <w:snapToGrid w:val="0"/>
        <w:ind w:firstLine="425"/>
        <w:jc w:val="both"/>
        <w:rPr>
          <w:b/>
          <w:bCs/>
          <w:sz w:val="20"/>
          <w:szCs w:val="20"/>
        </w:rPr>
      </w:pPr>
      <w:r w:rsidRPr="000202EA">
        <w:rPr>
          <w:sz w:val="20"/>
          <w:szCs w:val="20"/>
        </w:rPr>
        <w:t>There is insignificant relation between age≥60 and long term patency rates (log Rank p-value = 0.33).</w:t>
      </w:r>
    </w:p>
    <w:p w:rsidR="007B5136" w:rsidRPr="000202EA" w:rsidRDefault="007B5136" w:rsidP="00243C1C">
      <w:pPr>
        <w:autoSpaceDE w:val="0"/>
        <w:autoSpaceDN w:val="0"/>
        <w:adjustRightInd w:val="0"/>
        <w:snapToGrid w:val="0"/>
        <w:jc w:val="center"/>
        <w:rPr>
          <w:sz w:val="20"/>
          <w:szCs w:val="20"/>
        </w:rPr>
      </w:pPr>
      <w:r w:rsidRPr="000202EA">
        <w:rPr>
          <w:noProof/>
          <w:sz w:val="20"/>
          <w:szCs w:val="20"/>
          <w:lang w:eastAsia="zh-CN"/>
        </w:rPr>
        <w:drawing>
          <wp:inline distT="0" distB="0" distL="0" distR="0">
            <wp:extent cx="2652588" cy="2150971"/>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9227"/>
                    <a:stretch>
                      <a:fillRect/>
                    </a:stretch>
                  </pic:blipFill>
                  <pic:spPr bwMode="auto">
                    <a:xfrm>
                      <a:off x="0" y="0"/>
                      <a:ext cx="2652589" cy="2150972"/>
                    </a:xfrm>
                    <a:prstGeom prst="rect">
                      <a:avLst/>
                    </a:prstGeom>
                    <a:noFill/>
                    <a:ln>
                      <a:noFill/>
                    </a:ln>
                  </pic:spPr>
                </pic:pic>
              </a:graphicData>
            </a:graphic>
          </wp:inline>
        </w:drawing>
      </w:r>
    </w:p>
    <w:p w:rsidR="007B5136" w:rsidRPr="000202EA" w:rsidRDefault="007B5136" w:rsidP="00243C1C">
      <w:pPr>
        <w:snapToGrid w:val="0"/>
        <w:jc w:val="center"/>
        <w:rPr>
          <w:b/>
          <w:bCs/>
          <w:sz w:val="20"/>
          <w:szCs w:val="20"/>
        </w:rPr>
      </w:pPr>
      <w:r w:rsidRPr="000202EA">
        <w:rPr>
          <w:b/>
          <w:bCs/>
          <w:sz w:val="20"/>
          <w:szCs w:val="20"/>
        </w:rPr>
        <w:t xml:space="preserve">Figure </w:t>
      </w:r>
      <w:r w:rsidR="00477AFD" w:rsidRPr="000202EA">
        <w:rPr>
          <w:b/>
          <w:bCs/>
          <w:sz w:val="20"/>
          <w:szCs w:val="20"/>
        </w:rPr>
        <w:t>9</w:t>
      </w:r>
      <w:r w:rsidR="00EA2961" w:rsidRPr="000202EA">
        <w:rPr>
          <w:b/>
          <w:bCs/>
          <w:sz w:val="20"/>
          <w:szCs w:val="20"/>
        </w:rPr>
        <w:t>: Age</w:t>
      </w:r>
      <w:r w:rsidRPr="000202EA">
        <w:rPr>
          <w:b/>
          <w:bCs/>
          <w:sz w:val="20"/>
          <w:szCs w:val="20"/>
        </w:rPr>
        <w:t xml:space="preserve"> in relation to primary patency</w:t>
      </w:r>
    </w:p>
    <w:p w:rsidR="00243C1C" w:rsidRPr="000202EA" w:rsidRDefault="00243C1C" w:rsidP="00243C1C">
      <w:pPr>
        <w:snapToGrid w:val="0"/>
        <w:jc w:val="center"/>
        <w:rPr>
          <w:rFonts w:eastAsiaTheme="minorEastAsia"/>
          <w:b/>
          <w:bCs/>
          <w:sz w:val="20"/>
          <w:szCs w:val="20"/>
          <w:lang w:eastAsia="zh-CN"/>
        </w:rPr>
      </w:pPr>
    </w:p>
    <w:p w:rsidR="007B5136" w:rsidRPr="000202EA" w:rsidRDefault="007B5136" w:rsidP="00243C1C">
      <w:pPr>
        <w:snapToGrid w:val="0"/>
        <w:jc w:val="center"/>
        <w:rPr>
          <w:sz w:val="20"/>
          <w:szCs w:val="20"/>
        </w:rPr>
      </w:pPr>
      <w:r w:rsidRPr="000202EA">
        <w:rPr>
          <w:b/>
          <w:bCs/>
          <w:sz w:val="20"/>
          <w:szCs w:val="20"/>
        </w:rPr>
        <w:t xml:space="preserve">Table </w:t>
      </w:r>
      <w:r w:rsidR="00477AFD" w:rsidRPr="000202EA">
        <w:rPr>
          <w:b/>
          <w:bCs/>
          <w:sz w:val="20"/>
          <w:szCs w:val="20"/>
        </w:rPr>
        <w:t>5</w:t>
      </w:r>
      <w:r w:rsidRPr="000202EA">
        <w:rPr>
          <w:sz w:val="20"/>
          <w:szCs w:val="20"/>
        </w:rPr>
        <w:t xml:space="preserve">: </w:t>
      </w:r>
      <w:r w:rsidRPr="000202EA">
        <w:rPr>
          <w:b/>
          <w:bCs/>
          <w:sz w:val="20"/>
          <w:szCs w:val="20"/>
        </w:rPr>
        <w:t>Diabetes in relation to primary patency</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892"/>
        <w:gridCol w:w="974"/>
        <w:gridCol w:w="629"/>
      </w:tblGrid>
      <w:tr w:rsidR="007B5136" w:rsidRPr="000202EA" w:rsidTr="000202EA">
        <w:trPr>
          <w:cantSplit/>
          <w:jc w:val="center"/>
        </w:trPr>
        <w:tc>
          <w:tcPr>
            <w:tcW w:w="3217"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sz w:val="20"/>
                <w:szCs w:val="20"/>
              </w:rPr>
            </w:pPr>
          </w:p>
        </w:tc>
        <w:tc>
          <w:tcPr>
            <w:tcW w:w="1083" w:type="pct"/>
            <w:tcBorders>
              <w:top w:val="single" w:sz="16" w:space="0" w:color="000000"/>
              <w:left w:val="single" w:sz="16" w:space="0" w:color="000000"/>
              <w:bottom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Chi-Square</w:t>
            </w:r>
          </w:p>
        </w:tc>
        <w:tc>
          <w:tcPr>
            <w:tcW w:w="700" w:type="pct"/>
            <w:tcBorders>
              <w:top w:val="single" w:sz="16" w:space="0" w:color="000000"/>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Sig.</w:t>
            </w:r>
          </w:p>
        </w:tc>
      </w:tr>
      <w:tr w:rsidR="007B5136" w:rsidRPr="000202EA" w:rsidTr="000202EA">
        <w:trPr>
          <w:cantSplit/>
          <w:jc w:val="center"/>
        </w:trPr>
        <w:tc>
          <w:tcPr>
            <w:tcW w:w="3217" w:type="pct"/>
            <w:tcBorders>
              <w:top w:val="single" w:sz="16" w:space="0" w:color="000000"/>
              <w:left w:val="single" w:sz="16" w:space="0" w:color="000000"/>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Log Rank (Mantel-Cox)</w:t>
            </w:r>
          </w:p>
        </w:tc>
        <w:tc>
          <w:tcPr>
            <w:tcW w:w="1083" w:type="pct"/>
            <w:tcBorders>
              <w:top w:val="single" w:sz="16" w:space="0" w:color="000000"/>
              <w:left w:val="single" w:sz="16" w:space="0" w:color="000000"/>
              <w:bottom w:val="single" w:sz="4"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4.520</w:t>
            </w:r>
          </w:p>
        </w:tc>
        <w:tc>
          <w:tcPr>
            <w:tcW w:w="700" w:type="pct"/>
            <w:tcBorders>
              <w:top w:val="single" w:sz="16" w:space="0" w:color="000000"/>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0.031</w:t>
            </w:r>
            <w:r w:rsidRPr="000202EA">
              <w:rPr>
                <w:color w:val="000000"/>
                <w:sz w:val="20"/>
                <w:szCs w:val="20"/>
                <w:vertAlign w:val="superscript"/>
              </w:rPr>
              <w:t>*</w:t>
            </w:r>
          </w:p>
        </w:tc>
      </w:tr>
      <w:tr w:rsidR="007B5136" w:rsidRPr="000202EA" w:rsidTr="000202EA">
        <w:trPr>
          <w:cantSplit/>
          <w:jc w:val="center"/>
        </w:trPr>
        <w:tc>
          <w:tcPr>
            <w:tcW w:w="3217" w:type="pct"/>
            <w:tcBorders>
              <w:top w:val="single" w:sz="4" w:space="0" w:color="auto"/>
              <w:left w:val="single" w:sz="16" w:space="0" w:color="000000"/>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proofErr w:type="spellStart"/>
            <w:r w:rsidRPr="000202EA">
              <w:rPr>
                <w:b/>
                <w:bCs/>
                <w:color w:val="000000"/>
                <w:sz w:val="20"/>
                <w:szCs w:val="20"/>
              </w:rPr>
              <w:t>Breslow</w:t>
            </w:r>
            <w:proofErr w:type="spellEnd"/>
            <w:r w:rsidRPr="000202EA">
              <w:rPr>
                <w:b/>
                <w:bCs/>
                <w:color w:val="000000"/>
                <w:sz w:val="20"/>
                <w:szCs w:val="20"/>
              </w:rPr>
              <w:t xml:space="preserve"> (Generalized </w:t>
            </w:r>
            <w:proofErr w:type="spellStart"/>
            <w:r w:rsidRPr="000202EA">
              <w:rPr>
                <w:b/>
                <w:bCs/>
                <w:color w:val="000000"/>
                <w:sz w:val="20"/>
                <w:szCs w:val="20"/>
              </w:rPr>
              <w:t>Wilcoxon</w:t>
            </w:r>
            <w:proofErr w:type="spellEnd"/>
            <w:r w:rsidRPr="000202EA">
              <w:rPr>
                <w:b/>
                <w:bCs/>
                <w:color w:val="000000"/>
                <w:sz w:val="20"/>
                <w:szCs w:val="20"/>
              </w:rPr>
              <w:t>)</w:t>
            </w:r>
          </w:p>
        </w:tc>
        <w:tc>
          <w:tcPr>
            <w:tcW w:w="1083" w:type="pct"/>
            <w:tcBorders>
              <w:top w:val="single" w:sz="4" w:space="0" w:color="auto"/>
              <w:left w:val="single" w:sz="16" w:space="0" w:color="000000"/>
              <w:bottom w:val="single" w:sz="4"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4.550</w:t>
            </w:r>
          </w:p>
        </w:tc>
        <w:tc>
          <w:tcPr>
            <w:tcW w:w="700" w:type="pct"/>
            <w:tcBorders>
              <w:top w:val="single" w:sz="4" w:space="0" w:color="auto"/>
              <w:bottom w:val="single" w:sz="4"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0.023</w:t>
            </w:r>
            <w:r w:rsidRPr="000202EA">
              <w:rPr>
                <w:color w:val="000000"/>
                <w:sz w:val="20"/>
                <w:szCs w:val="20"/>
                <w:vertAlign w:val="superscript"/>
              </w:rPr>
              <w:t>*</w:t>
            </w:r>
          </w:p>
        </w:tc>
      </w:tr>
      <w:tr w:rsidR="007B5136" w:rsidRPr="000202EA" w:rsidTr="000202EA">
        <w:trPr>
          <w:cantSplit/>
          <w:jc w:val="center"/>
        </w:trPr>
        <w:tc>
          <w:tcPr>
            <w:tcW w:w="3217" w:type="pct"/>
            <w:tcBorders>
              <w:top w:val="single" w:sz="4" w:space="0" w:color="auto"/>
              <w:left w:val="single" w:sz="16" w:space="0" w:color="000000"/>
              <w:bottom w:val="single" w:sz="12"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proofErr w:type="spellStart"/>
            <w:r w:rsidRPr="000202EA">
              <w:rPr>
                <w:b/>
                <w:bCs/>
                <w:color w:val="000000"/>
                <w:sz w:val="20"/>
                <w:szCs w:val="20"/>
              </w:rPr>
              <w:t>Tarone</w:t>
            </w:r>
            <w:proofErr w:type="spellEnd"/>
            <w:r w:rsidRPr="000202EA">
              <w:rPr>
                <w:b/>
                <w:bCs/>
                <w:color w:val="000000"/>
                <w:sz w:val="20"/>
                <w:szCs w:val="20"/>
              </w:rPr>
              <w:t>-Ware</w:t>
            </w:r>
          </w:p>
        </w:tc>
        <w:tc>
          <w:tcPr>
            <w:tcW w:w="1083" w:type="pct"/>
            <w:tcBorders>
              <w:top w:val="single" w:sz="4" w:space="0" w:color="auto"/>
              <w:left w:val="single" w:sz="16" w:space="0" w:color="000000"/>
              <w:bottom w:val="single" w:sz="12"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4.556</w:t>
            </w:r>
          </w:p>
        </w:tc>
        <w:tc>
          <w:tcPr>
            <w:tcW w:w="700" w:type="pct"/>
            <w:tcBorders>
              <w:top w:val="single" w:sz="4" w:space="0" w:color="auto"/>
              <w:bottom w:val="single" w:sz="12"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0.035</w:t>
            </w:r>
            <w:r w:rsidRPr="000202EA">
              <w:rPr>
                <w:color w:val="000000"/>
                <w:sz w:val="20"/>
                <w:szCs w:val="20"/>
                <w:vertAlign w:val="superscript"/>
              </w:rPr>
              <w:t>*</w:t>
            </w:r>
          </w:p>
        </w:tc>
      </w:tr>
    </w:tbl>
    <w:p w:rsidR="007B5136" w:rsidRPr="000202EA" w:rsidRDefault="007B5136" w:rsidP="00243C1C">
      <w:pPr>
        <w:snapToGrid w:val="0"/>
        <w:ind w:firstLine="425"/>
        <w:jc w:val="both"/>
        <w:rPr>
          <w:sz w:val="20"/>
          <w:szCs w:val="20"/>
        </w:rPr>
      </w:pPr>
      <w:r w:rsidRPr="000202EA">
        <w:rPr>
          <w:sz w:val="20"/>
          <w:szCs w:val="20"/>
        </w:rPr>
        <w:t xml:space="preserve">There is significant relation between diabetes and long term patency rates. The </w:t>
      </w:r>
      <w:proofErr w:type="spellStart"/>
      <w:r w:rsidRPr="000202EA">
        <w:rPr>
          <w:sz w:val="20"/>
          <w:szCs w:val="20"/>
        </w:rPr>
        <w:t>nondiabetics</w:t>
      </w:r>
      <w:proofErr w:type="spellEnd"/>
      <w:r w:rsidRPr="000202EA">
        <w:rPr>
          <w:sz w:val="20"/>
          <w:szCs w:val="20"/>
        </w:rPr>
        <w:t xml:space="preserve"> showed better patency rates than poor runoff (log Rank p-value = 0.031).</w:t>
      </w:r>
    </w:p>
    <w:p w:rsidR="007B5136" w:rsidRPr="000202EA" w:rsidRDefault="007B5136" w:rsidP="00243C1C">
      <w:pPr>
        <w:autoSpaceDE w:val="0"/>
        <w:autoSpaceDN w:val="0"/>
        <w:adjustRightInd w:val="0"/>
        <w:snapToGrid w:val="0"/>
        <w:jc w:val="center"/>
        <w:rPr>
          <w:sz w:val="20"/>
          <w:szCs w:val="20"/>
        </w:rPr>
      </w:pPr>
      <w:r w:rsidRPr="000202EA">
        <w:rPr>
          <w:noProof/>
          <w:sz w:val="20"/>
          <w:szCs w:val="20"/>
          <w:lang w:eastAsia="zh-CN"/>
        </w:rPr>
        <w:drawing>
          <wp:inline distT="0" distB="0" distL="0" distR="0">
            <wp:extent cx="2684393" cy="2109831"/>
            <wp:effectExtent l="19050" t="0" r="1657"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233"/>
                    <a:stretch>
                      <a:fillRect/>
                    </a:stretch>
                  </pic:blipFill>
                  <pic:spPr bwMode="auto">
                    <a:xfrm>
                      <a:off x="0" y="0"/>
                      <a:ext cx="2685620" cy="2110795"/>
                    </a:xfrm>
                    <a:prstGeom prst="rect">
                      <a:avLst/>
                    </a:prstGeom>
                    <a:noFill/>
                    <a:ln>
                      <a:noFill/>
                    </a:ln>
                  </pic:spPr>
                </pic:pic>
              </a:graphicData>
            </a:graphic>
          </wp:inline>
        </w:drawing>
      </w:r>
    </w:p>
    <w:p w:rsidR="007B5136" w:rsidRPr="000202EA" w:rsidRDefault="007B5136" w:rsidP="00243C1C">
      <w:pPr>
        <w:snapToGrid w:val="0"/>
        <w:jc w:val="center"/>
        <w:rPr>
          <w:b/>
          <w:bCs/>
          <w:sz w:val="20"/>
          <w:szCs w:val="20"/>
        </w:rPr>
      </w:pPr>
      <w:r w:rsidRPr="000202EA">
        <w:rPr>
          <w:b/>
          <w:bCs/>
          <w:sz w:val="20"/>
          <w:szCs w:val="20"/>
        </w:rPr>
        <w:t xml:space="preserve">Figure </w:t>
      </w:r>
      <w:r w:rsidR="00477AFD" w:rsidRPr="000202EA">
        <w:rPr>
          <w:b/>
          <w:bCs/>
          <w:sz w:val="20"/>
          <w:szCs w:val="20"/>
        </w:rPr>
        <w:t>10</w:t>
      </w:r>
      <w:r w:rsidR="00C305D9" w:rsidRPr="000202EA">
        <w:rPr>
          <w:b/>
          <w:bCs/>
          <w:sz w:val="20"/>
          <w:szCs w:val="20"/>
        </w:rPr>
        <w:t>: D</w:t>
      </w:r>
      <w:r w:rsidRPr="000202EA">
        <w:rPr>
          <w:b/>
          <w:bCs/>
          <w:sz w:val="20"/>
          <w:szCs w:val="20"/>
        </w:rPr>
        <w:t>iabetes in relation to primary patency</w:t>
      </w:r>
    </w:p>
    <w:p w:rsidR="00ED442C" w:rsidRPr="000202EA" w:rsidRDefault="00ED442C" w:rsidP="00243C1C">
      <w:pPr>
        <w:snapToGrid w:val="0"/>
        <w:jc w:val="both"/>
        <w:rPr>
          <w:b/>
          <w:bCs/>
          <w:sz w:val="20"/>
          <w:szCs w:val="20"/>
        </w:rPr>
      </w:pPr>
    </w:p>
    <w:p w:rsidR="009B39CE" w:rsidRPr="000202EA" w:rsidRDefault="007B5136" w:rsidP="00243C1C">
      <w:pPr>
        <w:shd w:val="clear" w:color="auto" w:fill="FFFFFF"/>
        <w:snapToGrid w:val="0"/>
        <w:ind w:firstLine="425"/>
        <w:jc w:val="both"/>
        <w:rPr>
          <w:b/>
          <w:bCs/>
          <w:sz w:val="20"/>
          <w:szCs w:val="20"/>
        </w:rPr>
      </w:pPr>
      <w:r w:rsidRPr="000202EA">
        <w:rPr>
          <w:sz w:val="20"/>
          <w:szCs w:val="20"/>
        </w:rPr>
        <w:t xml:space="preserve">There were 32 diabetic patients (80%) and 8 non diabetic (20%). </w:t>
      </w:r>
      <w:r w:rsidRPr="000202EA">
        <w:rPr>
          <w:sz w:val="20"/>
          <w:szCs w:val="20"/>
          <w:lang w:val="en-GB"/>
        </w:rPr>
        <w:t xml:space="preserve">In diabetes group 1, 6, 12, month primary patency rates were 100%, 74 % </w:t>
      </w:r>
      <w:r w:rsidRPr="000202EA">
        <w:rPr>
          <w:sz w:val="20"/>
          <w:szCs w:val="20"/>
        </w:rPr>
        <w:t xml:space="preserve">and </w:t>
      </w:r>
      <w:r w:rsidRPr="000202EA">
        <w:rPr>
          <w:sz w:val="20"/>
          <w:szCs w:val="20"/>
          <w:lang w:val="en-GB"/>
        </w:rPr>
        <w:t xml:space="preserve">65.2%, in </w:t>
      </w:r>
      <w:r w:rsidRPr="000202EA">
        <w:rPr>
          <w:sz w:val="20"/>
          <w:szCs w:val="20"/>
          <w:lang w:val="en-GB"/>
        </w:rPr>
        <w:lastRenderedPageBreak/>
        <w:t>non-diabetes group</w:t>
      </w:r>
      <w:r w:rsidR="000202EA">
        <w:rPr>
          <w:rFonts w:eastAsiaTheme="minorEastAsia" w:hint="eastAsia"/>
          <w:sz w:val="20"/>
          <w:szCs w:val="20"/>
          <w:lang w:val="en-GB" w:eastAsia="zh-CN"/>
        </w:rPr>
        <w:t xml:space="preserve"> </w:t>
      </w:r>
      <w:r w:rsidRPr="000202EA">
        <w:rPr>
          <w:sz w:val="20"/>
          <w:szCs w:val="20"/>
          <w:lang w:val="en-GB"/>
        </w:rPr>
        <w:t xml:space="preserve">1, 6 and 12-month primary patency rates were 100%, 100% and 82.35%. </w:t>
      </w:r>
      <w:r w:rsidRPr="000202EA">
        <w:rPr>
          <w:sz w:val="20"/>
          <w:szCs w:val="20"/>
        </w:rPr>
        <w:t>There is significant relation between diabetes and long term patency rates. The non-diabetics showed better patency rates than poor runoff (log Rank p-value = 0.031).</w:t>
      </w:r>
    </w:p>
    <w:p w:rsidR="007B5136" w:rsidRPr="000202EA" w:rsidRDefault="007B5136" w:rsidP="00243C1C">
      <w:pPr>
        <w:shd w:val="clear" w:color="auto" w:fill="FFFFFF"/>
        <w:snapToGrid w:val="0"/>
        <w:jc w:val="center"/>
        <w:rPr>
          <w:b/>
          <w:bCs/>
          <w:sz w:val="20"/>
          <w:szCs w:val="20"/>
        </w:rPr>
      </w:pPr>
    </w:p>
    <w:p w:rsidR="007B5136" w:rsidRPr="000202EA" w:rsidRDefault="007B5136" w:rsidP="00243C1C">
      <w:pPr>
        <w:snapToGrid w:val="0"/>
        <w:jc w:val="center"/>
        <w:rPr>
          <w:b/>
          <w:bCs/>
          <w:sz w:val="20"/>
          <w:szCs w:val="20"/>
        </w:rPr>
      </w:pPr>
      <w:r w:rsidRPr="000202EA">
        <w:rPr>
          <w:b/>
          <w:bCs/>
          <w:sz w:val="20"/>
          <w:szCs w:val="20"/>
        </w:rPr>
        <w:t xml:space="preserve">Table </w:t>
      </w:r>
      <w:r w:rsidR="00477AFD" w:rsidRPr="000202EA">
        <w:rPr>
          <w:b/>
          <w:bCs/>
          <w:sz w:val="20"/>
          <w:szCs w:val="20"/>
        </w:rPr>
        <w:t>6</w:t>
      </w:r>
      <w:r w:rsidRPr="000202EA">
        <w:rPr>
          <w:sz w:val="20"/>
          <w:szCs w:val="20"/>
        </w:rPr>
        <w:t xml:space="preserve">: </w:t>
      </w:r>
      <w:r w:rsidRPr="000202EA">
        <w:rPr>
          <w:b/>
          <w:bCs/>
          <w:sz w:val="20"/>
          <w:szCs w:val="20"/>
        </w:rPr>
        <w:t>Smoking in relation to primary patency</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892"/>
        <w:gridCol w:w="893"/>
        <w:gridCol w:w="710"/>
      </w:tblGrid>
      <w:tr w:rsidR="007B5136" w:rsidRPr="000202EA" w:rsidTr="000202EA">
        <w:trPr>
          <w:cantSplit/>
          <w:jc w:val="center"/>
        </w:trPr>
        <w:tc>
          <w:tcPr>
            <w:tcW w:w="3217"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sz w:val="20"/>
                <w:szCs w:val="20"/>
              </w:rPr>
            </w:pPr>
          </w:p>
        </w:tc>
        <w:tc>
          <w:tcPr>
            <w:tcW w:w="993" w:type="pct"/>
            <w:tcBorders>
              <w:top w:val="single" w:sz="16" w:space="0" w:color="000000"/>
              <w:left w:val="single" w:sz="16" w:space="0" w:color="000000"/>
              <w:bottom w:val="single" w:sz="16" w:space="0" w:color="000000"/>
              <w:right w:val="single" w:sz="12" w:space="0" w:color="auto"/>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Chi-Square</w:t>
            </w:r>
          </w:p>
        </w:tc>
        <w:tc>
          <w:tcPr>
            <w:tcW w:w="790" w:type="pct"/>
            <w:tcBorders>
              <w:top w:val="single" w:sz="16" w:space="0" w:color="000000"/>
              <w:left w:val="single" w:sz="12" w:space="0" w:color="auto"/>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p-value</w:t>
            </w:r>
          </w:p>
        </w:tc>
      </w:tr>
      <w:tr w:rsidR="007B5136" w:rsidRPr="000202EA" w:rsidTr="000202EA">
        <w:trPr>
          <w:cantSplit/>
          <w:jc w:val="center"/>
        </w:trPr>
        <w:tc>
          <w:tcPr>
            <w:tcW w:w="3217" w:type="pct"/>
            <w:tcBorders>
              <w:top w:val="single" w:sz="16" w:space="0" w:color="000000"/>
              <w:left w:val="single" w:sz="16" w:space="0" w:color="000000"/>
              <w:bottom w:val="single" w:sz="12"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Log Rank (Mantel-Cox)</w:t>
            </w:r>
          </w:p>
        </w:tc>
        <w:tc>
          <w:tcPr>
            <w:tcW w:w="993" w:type="pct"/>
            <w:tcBorders>
              <w:top w:val="single" w:sz="16" w:space="0" w:color="000000"/>
              <w:left w:val="single" w:sz="16" w:space="0" w:color="000000"/>
              <w:bottom w:val="single" w:sz="12" w:space="0" w:color="auto"/>
              <w:right w:val="single" w:sz="12"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5.835</w:t>
            </w:r>
          </w:p>
        </w:tc>
        <w:tc>
          <w:tcPr>
            <w:tcW w:w="790" w:type="pct"/>
            <w:tcBorders>
              <w:top w:val="single" w:sz="16" w:space="0" w:color="000000"/>
              <w:left w:val="single" w:sz="12" w:space="0" w:color="auto"/>
              <w:bottom w:val="single" w:sz="12"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0.016</w:t>
            </w:r>
            <w:r w:rsidRPr="000202EA">
              <w:rPr>
                <w:b/>
                <w:bCs/>
                <w:color w:val="000000"/>
                <w:sz w:val="20"/>
                <w:szCs w:val="20"/>
                <w:vertAlign w:val="superscript"/>
              </w:rPr>
              <w:t>*</w:t>
            </w:r>
          </w:p>
        </w:tc>
      </w:tr>
      <w:tr w:rsidR="007B5136" w:rsidRPr="000202EA" w:rsidTr="000202EA">
        <w:trPr>
          <w:cantSplit/>
          <w:jc w:val="center"/>
        </w:trPr>
        <w:tc>
          <w:tcPr>
            <w:tcW w:w="3217" w:type="pct"/>
            <w:tcBorders>
              <w:top w:val="single" w:sz="12" w:space="0" w:color="auto"/>
              <w:left w:val="single" w:sz="16" w:space="0" w:color="000000"/>
              <w:bottom w:val="single" w:sz="12"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proofErr w:type="spellStart"/>
            <w:r w:rsidRPr="000202EA">
              <w:rPr>
                <w:b/>
                <w:bCs/>
                <w:color w:val="000000"/>
                <w:sz w:val="20"/>
                <w:szCs w:val="20"/>
              </w:rPr>
              <w:t>Breslow</w:t>
            </w:r>
            <w:proofErr w:type="spellEnd"/>
            <w:r w:rsidRPr="000202EA">
              <w:rPr>
                <w:b/>
                <w:bCs/>
                <w:color w:val="000000"/>
                <w:sz w:val="20"/>
                <w:szCs w:val="20"/>
              </w:rPr>
              <w:t xml:space="preserve"> (Generalized </w:t>
            </w:r>
            <w:proofErr w:type="spellStart"/>
            <w:r w:rsidRPr="000202EA">
              <w:rPr>
                <w:b/>
                <w:bCs/>
                <w:color w:val="000000"/>
                <w:sz w:val="20"/>
                <w:szCs w:val="20"/>
              </w:rPr>
              <w:t>Wilcoxon</w:t>
            </w:r>
            <w:proofErr w:type="spellEnd"/>
            <w:r w:rsidRPr="000202EA">
              <w:rPr>
                <w:b/>
                <w:bCs/>
                <w:color w:val="000000"/>
                <w:sz w:val="20"/>
                <w:szCs w:val="20"/>
              </w:rPr>
              <w:t>)</w:t>
            </w:r>
          </w:p>
        </w:tc>
        <w:tc>
          <w:tcPr>
            <w:tcW w:w="993" w:type="pct"/>
            <w:tcBorders>
              <w:top w:val="single" w:sz="12" w:space="0" w:color="auto"/>
              <w:left w:val="single" w:sz="16" w:space="0" w:color="000000"/>
              <w:bottom w:val="single" w:sz="12" w:space="0" w:color="auto"/>
              <w:right w:val="single" w:sz="12"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5.597</w:t>
            </w:r>
          </w:p>
        </w:tc>
        <w:tc>
          <w:tcPr>
            <w:tcW w:w="790" w:type="pct"/>
            <w:tcBorders>
              <w:top w:val="single" w:sz="12" w:space="0" w:color="auto"/>
              <w:left w:val="single" w:sz="12" w:space="0" w:color="auto"/>
              <w:bottom w:val="single" w:sz="12" w:space="0" w:color="auto"/>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0.018</w:t>
            </w:r>
            <w:r w:rsidRPr="000202EA">
              <w:rPr>
                <w:b/>
                <w:bCs/>
                <w:color w:val="000000"/>
                <w:sz w:val="20"/>
                <w:szCs w:val="20"/>
                <w:vertAlign w:val="superscript"/>
              </w:rPr>
              <w:t>*</w:t>
            </w:r>
          </w:p>
        </w:tc>
      </w:tr>
      <w:tr w:rsidR="007B5136" w:rsidRPr="000202EA" w:rsidTr="000202EA">
        <w:trPr>
          <w:cantSplit/>
          <w:jc w:val="center"/>
        </w:trPr>
        <w:tc>
          <w:tcPr>
            <w:tcW w:w="3217" w:type="pct"/>
            <w:tcBorders>
              <w:top w:val="single" w:sz="12" w:space="0" w:color="auto"/>
              <w:left w:val="single" w:sz="16" w:space="0" w:color="000000"/>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proofErr w:type="spellStart"/>
            <w:r w:rsidRPr="000202EA">
              <w:rPr>
                <w:b/>
                <w:bCs/>
                <w:color w:val="000000"/>
                <w:sz w:val="20"/>
                <w:szCs w:val="20"/>
              </w:rPr>
              <w:t>Tarone</w:t>
            </w:r>
            <w:proofErr w:type="spellEnd"/>
            <w:r w:rsidRPr="000202EA">
              <w:rPr>
                <w:b/>
                <w:bCs/>
                <w:color w:val="000000"/>
                <w:sz w:val="20"/>
                <w:szCs w:val="20"/>
              </w:rPr>
              <w:t>-Ware</w:t>
            </w:r>
          </w:p>
        </w:tc>
        <w:tc>
          <w:tcPr>
            <w:tcW w:w="993" w:type="pct"/>
            <w:tcBorders>
              <w:top w:val="single" w:sz="12" w:space="0" w:color="auto"/>
              <w:left w:val="single" w:sz="16" w:space="0" w:color="000000"/>
              <w:bottom w:val="single" w:sz="16" w:space="0" w:color="000000"/>
              <w:right w:val="single" w:sz="12" w:space="0" w:color="auto"/>
            </w:tcBorders>
            <w:shd w:val="clear" w:color="auto" w:fill="FFFFFF"/>
            <w:vAlign w:val="center"/>
          </w:tcPr>
          <w:p w:rsidR="007B5136" w:rsidRPr="000202EA" w:rsidRDefault="007B5136" w:rsidP="00243C1C">
            <w:pPr>
              <w:autoSpaceDE w:val="0"/>
              <w:autoSpaceDN w:val="0"/>
              <w:adjustRightInd w:val="0"/>
              <w:snapToGrid w:val="0"/>
              <w:jc w:val="both"/>
              <w:rPr>
                <w:color w:val="000000"/>
                <w:sz w:val="20"/>
                <w:szCs w:val="20"/>
              </w:rPr>
            </w:pPr>
            <w:r w:rsidRPr="000202EA">
              <w:rPr>
                <w:color w:val="000000"/>
                <w:sz w:val="20"/>
                <w:szCs w:val="20"/>
              </w:rPr>
              <w:t>5.743</w:t>
            </w:r>
          </w:p>
        </w:tc>
        <w:tc>
          <w:tcPr>
            <w:tcW w:w="790" w:type="pct"/>
            <w:tcBorders>
              <w:top w:val="single" w:sz="12" w:space="0" w:color="auto"/>
              <w:left w:val="single" w:sz="12" w:space="0" w:color="auto"/>
              <w:bottom w:val="single" w:sz="16" w:space="0" w:color="000000"/>
              <w:right w:val="single" w:sz="16" w:space="0" w:color="000000"/>
            </w:tcBorders>
            <w:shd w:val="clear" w:color="auto" w:fill="FFFFFF"/>
            <w:vAlign w:val="center"/>
          </w:tcPr>
          <w:p w:rsidR="007B5136" w:rsidRPr="000202EA" w:rsidRDefault="007B5136" w:rsidP="00243C1C">
            <w:pPr>
              <w:autoSpaceDE w:val="0"/>
              <w:autoSpaceDN w:val="0"/>
              <w:adjustRightInd w:val="0"/>
              <w:snapToGrid w:val="0"/>
              <w:jc w:val="both"/>
              <w:rPr>
                <w:b/>
                <w:bCs/>
                <w:color w:val="000000"/>
                <w:sz w:val="20"/>
                <w:szCs w:val="20"/>
              </w:rPr>
            </w:pPr>
            <w:r w:rsidRPr="000202EA">
              <w:rPr>
                <w:b/>
                <w:bCs/>
                <w:color w:val="000000"/>
                <w:sz w:val="20"/>
                <w:szCs w:val="20"/>
              </w:rPr>
              <w:t>0.017</w:t>
            </w:r>
            <w:r w:rsidRPr="000202EA">
              <w:rPr>
                <w:b/>
                <w:bCs/>
                <w:color w:val="000000"/>
                <w:sz w:val="20"/>
                <w:szCs w:val="20"/>
                <w:vertAlign w:val="superscript"/>
              </w:rPr>
              <w:t>*</w:t>
            </w:r>
          </w:p>
        </w:tc>
      </w:tr>
    </w:tbl>
    <w:p w:rsidR="009B39CE" w:rsidRPr="000202EA" w:rsidRDefault="007B5136" w:rsidP="000202EA">
      <w:pPr>
        <w:snapToGrid w:val="0"/>
        <w:ind w:firstLine="425"/>
        <w:jc w:val="both"/>
        <w:rPr>
          <w:sz w:val="20"/>
          <w:szCs w:val="20"/>
        </w:rPr>
      </w:pPr>
      <w:r w:rsidRPr="000202EA">
        <w:rPr>
          <w:sz w:val="20"/>
          <w:szCs w:val="20"/>
        </w:rPr>
        <w:t>There is significant relation between smoking and long term patency rates. The non-smokers showed better patency rates than smokers (log Rank p-</w:t>
      </w:r>
      <w:proofErr w:type="spellStart"/>
      <w:r w:rsidRPr="000202EA">
        <w:rPr>
          <w:sz w:val="20"/>
          <w:szCs w:val="20"/>
        </w:rPr>
        <w:t>vlue</w:t>
      </w:r>
      <w:proofErr w:type="spellEnd"/>
      <w:r w:rsidRPr="000202EA">
        <w:rPr>
          <w:sz w:val="20"/>
          <w:szCs w:val="20"/>
        </w:rPr>
        <w:t xml:space="preserve"> = 0.016).</w:t>
      </w:r>
    </w:p>
    <w:p w:rsidR="007B5136" w:rsidRPr="000202EA" w:rsidRDefault="007B5136" w:rsidP="00243C1C">
      <w:pPr>
        <w:autoSpaceDE w:val="0"/>
        <w:autoSpaceDN w:val="0"/>
        <w:adjustRightInd w:val="0"/>
        <w:snapToGrid w:val="0"/>
        <w:jc w:val="center"/>
        <w:rPr>
          <w:sz w:val="20"/>
          <w:szCs w:val="20"/>
        </w:rPr>
      </w:pPr>
      <w:r w:rsidRPr="000202EA">
        <w:rPr>
          <w:noProof/>
          <w:sz w:val="20"/>
          <w:szCs w:val="20"/>
          <w:lang w:eastAsia="zh-CN"/>
        </w:rPr>
        <w:drawing>
          <wp:inline distT="0" distB="0" distL="0" distR="0">
            <wp:extent cx="2723574" cy="1971923"/>
            <wp:effectExtent l="19050" t="0" r="576"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5332" cy="1973196"/>
                    </a:xfrm>
                    <a:prstGeom prst="rect">
                      <a:avLst/>
                    </a:prstGeom>
                    <a:noFill/>
                    <a:ln>
                      <a:noFill/>
                    </a:ln>
                  </pic:spPr>
                </pic:pic>
              </a:graphicData>
            </a:graphic>
          </wp:inline>
        </w:drawing>
      </w:r>
    </w:p>
    <w:p w:rsidR="007B5136" w:rsidRPr="000202EA" w:rsidRDefault="007B5136" w:rsidP="00243C1C">
      <w:pPr>
        <w:autoSpaceDE w:val="0"/>
        <w:autoSpaceDN w:val="0"/>
        <w:adjustRightInd w:val="0"/>
        <w:snapToGrid w:val="0"/>
        <w:jc w:val="both"/>
        <w:rPr>
          <w:sz w:val="20"/>
          <w:szCs w:val="20"/>
        </w:rPr>
      </w:pPr>
      <w:r w:rsidRPr="000202EA">
        <w:rPr>
          <w:b/>
          <w:bCs/>
          <w:sz w:val="20"/>
          <w:szCs w:val="20"/>
        </w:rPr>
        <w:t xml:space="preserve">Figure </w:t>
      </w:r>
      <w:r w:rsidR="00477AFD" w:rsidRPr="000202EA">
        <w:rPr>
          <w:b/>
          <w:bCs/>
          <w:sz w:val="20"/>
          <w:szCs w:val="20"/>
        </w:rPr>
        <w:t>11</w:t>
      </w:r>
      <w:r w:rsidR="00C305D9" w:rsidRPr="000202EA">
        <w:rPr>
          <w:b/>
          <w:bCs/>
          <w:sz w:val="20"/>
          <w:szCs w:val="20"/>
        </w:rPr>
        <w:t>: S</w:t>
      </w:r>
      <w:r w:rsidRPr="000202EA">
        <w:rPr>
          <w:b/>
          <w:bCs/>
          <w:sz w:val="20"/>
          <w:szCs w:val="20"/>
        </w:rPr>
        <w:t>moking in relation to primary patency</w:t>
      </w:r>
    </w:p>
    <w:p w:rsidR="007B5136" w:rsidRPr="000202EA" w:rsidRDefault="007B5136" w:rsidP="00243C1C">
      <w:pPr>
        <w:autoSpaceDE w:val="0"/>
        <w:autoSpaceDN w:val="0"/>
        <w:adjustRightInd w:val="0"/>
        <w:snapToGrid w:val="0"/>
        <w:jc w:val="both"/>
        <w:rPr>
          <w:b/>
          <w:bCs/>
          <w:sz w:val="20"/>
          <w:szCs w:val="20"/>
        </w:rPr>
      </w:pPr>
    </w:p>
    <w:p w:rsidR="009B39CE" w:rsidRPr="000202EA" w:rsidRDefault="007B5136" w:rsidP="00243C1C">
      <w:pPr>
        <w:snapToGrid w:val="0"/>
        <w:ind w:firstLine="425"/>
        <w:jc w:val="both"/>
        <w:rPr>
          <w:b/>
          <w:bCs/>
          <w:sz w:val="20"/>
          <w:szCs w:val="20"/>
        </w:rPr>
      </w:pPr>
      <w:r w:rsidRPr="000202EA">
        <w:rPr>
          <w:sz w:val="20"/>
          <w:szCs w:val="20"/>
        </w:rPr>
        <w:t>In our study, 28 patients smoker (70%) and 12 patients non-smoker</w:t>
      </w:r>
      <w:r w:rsidR="009B39CE" w:rsidRPr="000202EA">
        <w:rPr>
          <w:sz w:val="20"/>
          <w:szCs w:val="20"/>
        </w:rPr>
        <w:t>s (</w:t>
      </w:r>
      <w:r w:rsidRPr="000202EA">
        <w:rPr>
          <w:sz w:val="20"/>
          <w:szCs w:val="20"/>
        </w:rPr>
        <w:t>40%) were treated with duplex guided angioplasty.</w:t>
      </w:r>
      <w:r w:rsidRPr="000202EA">
        <w:rPr>
          <w:color w:val="000000"/>
          <w:sz w:val="20"/>
          <w:szCs w:val="20"/>
          <w:lang w:val="en-GB"/>
        </w:rPr>
        <w:t xml:space="preserve"> Follow up of smoker group at 1, 6 and 12 months resulted in primary patency rates were 100%, 78.5% </w:t>
      </w:r>
      <w:r w:rsidRPr="000202EA">
        <w:rPr>
          <w:color w:val="000000"/>
          <w:sz w:val="20"/>
          <w:szCs w:val="20"/>
        </w:rPr>
        <w:t>and 65</w:t>
      </w:r>
      <w:r w:rsidRPr="000202EA">
        <w:rPr>
          <w:color w:val="000000"/>
          <w:sz w:val="20"/>
          <w:szCs w:val="20"/>
          <w:lang w:val="en-GB"/>
        </w:rPr>
        <w:t>% respectively</w:t>
      </w:r>
      <w:r w:rsidRPr="000202EA">
        <w:rPr>
          <w:color w:val="000000"/>
          <w:sz w:val="20"/>
          <w:szCs w:val="20"/>
          <w:lang w:val="en-GB" w:bidi="ar-EG"/>
        </w:rPr>
        <w:t xml:space="preserve">. </w:t>
      </w:r>
      <w:r w:rsidRPr="000202EA">
        <w:rPr>
          <w:color w:val="000000"/>
          <w:sz w:val="20"/>
          <w:szCs w:val="20"/>
          <w:lang w:val="en-GB"/>
        </w:rPr>
        <w:t xml:space="preserve">In non-smoker group, 1, 6 and 12-month primary patency rates were 100%, 91.6% and 83.3%. The differences between two groups were significant (P </w:t>
      </w:r>
      <w:r w:rsidRPr="000202EA">
        <w:rPr>
          <w:sz w:val="20"/>
          <w:szCs w:val="20"/>
        </w:rPr>
        <w:t>&lt;0.01</w:t>
      </w:r>
      <w:r w:rsidRPr="000202EA">
        <w:rPr>
          <w:color w:val="000000"/>
          <w:sz w:val="20"/>
          <w:szCs w:val="20"/>
          <w:lang w:val="en-GB"/>
        </w:rPr>
        <w:t>6).</w:t>
      </w:r>
    </w:p>
    <w:p w:rsidR="009B39CE" w:rsidRPr="000202EA" w:rsidRDefault="009B39CE" w:rsidP="00243C1C">
      <w:pPr>
        <w:autoSpaceDE w:val="0"/>
        <w:autoSpaceDN w:val="0"/>
        <w:adjustRightInd w:val="0"/>
        <w:snapToGrid w:val="0"/>
        <w:jc w:val="both"/>
        <w:rPr>
          <w:rFonts w:eastAsiaTheme="minorEastAsia"/>
          <w:b/>
          <w:bCs/>
          <w:sz w:val="20"/>
          <w:szCs w:val="20"/>
          <w:lang w:eastAsia="zh-CN"/>
        </w:rPr>
      </w:pPr>
    </w:p>
    <w:p w:rsidR="007B5136" w:rsidRPr="000202EA" w:rsidRDefault="007B5136" w:rsidP="00C305D9">
      <w:pPr>
        <w:autoSpaceDE w:val="0"/>
        <w:autoSpaceDN w:val="0"/>
        <w:adjustRightInd w:val="0"/>
        <w:snapToGrid w:val="0"/>
        <w:jc w:val="both"/>
        <w:rPr>
          <w:b/>
          <w:bCs/>
          <w:sz w:val="20"/>
          <w:szCs w:val="20"/>
        </w:rPr>
      </w:pPr>
      <w:r w:rsidRPr="000202EA">
        <w:rPr>
          <w:b/>
          <w:bCs/>
          <w:sz w:val="20"/>
          <w:szCs w:val="20"/>
        </w:rPr>
        <w:t xml:space="preserve">Table </w:t>
      </w:r>
      <w:r w:rsidR="00477AFD" w:rsidRPr="000202EA">
        <w:rPr>
          <w:b/>
          <w:bCs/>
          <w:sz w:val="20"/>
          <w:szCs w:val="20"/>
        </w:rPr>
        <w:t>7</w:t>
      </w:r>
      <w:r w:rsidRPr="000202EA">
        <w:rPr>
          <w:b/>
          <w:bCs/>
          <w:sz w:val="20"/>
          <w:szCs w:val="20"/>
        </w:rPr>
        <w:t xml:space="preserve">: </w:t>
      </w:r>
      <w:bookmarkStart w:id="0" w:name="_GoBack"/>
      <w:r w:rsidRPr="000202EA">
        <w:rPr>
          <w:b/>
          <w:bCs/>
          <w:sz w:val="20"/>
          <w:szCs w:val="20"/>
        </w:rPr>
        <w:t>Initial hemodynamic response: ABI at discharge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1559"/>
        <w:gridCol w:w="969"/>
        <w:gridCol w:w="576"/>
        <w:gridCol w:w="553"/>
        <w:gridCol w:w="748"/>
      </w:tblGrid>
      <w:tr w:rsidR="00C305D9" w:rsidRPr="000202EA" w:rsidTr="00C305D9">
        <w:trPr>
          <w:cantSplit/>
          <w:jc w:val="center"/>
        </w:trPr>
        <w:tc>
          <w:tcPr>
            <w:tcW w:w="0" w:type="auto"/>
            <w:tcBorders>
              <w:top w:val="single" w:sz="16" w:space="0" w:color="000000"/>
              <w:left w:val="single" w:sz="16" w:space="0" w:color="000000"/>
              <w:bottom w:val="single" w:sz="4" w:space="0" w:color="auto"/>
              <w:right w:val="single" w:sz="16" w:space="0" w:color="000000"/>
            </w:tcBorders>
            <w:shd w:val="clear" w:color="auto" w:fill="FFFFFF"/>
            <w:vAlign w:val="center"/>
          </w:tcPr>
          <w:bookmarkEnd w:id="0"/>
          <w:p w:rsidR="007B5136" w:rsidRPr="000202EA" w:rsidRDefault="007B5136" w:rsidP="00C305D9">
            <w:pPr>
              <w:autoSpaceDE w:val="0"/>
              <w:autoSpaceDN w:val="0"/>
              <w:adjustRightInd w:val="0"/>
              <w:snapToGrid w:val="0"/>
              <w:jc w:val="both"/>
              <w:rPr>
                <w:b/>
                <w:bCs/>
                <w:sz w:val="20"/>
                <w:szCs w:val="20"/>
              </w:rPr>
            </w:pPr>
            <w:r w:rsidRPr="000202EA">
              <w:rPr>
                <w:b/>
                <w:bCs/>
                <w:sz w:val="20"/>
                <w:szCs w:val="20"/>
              </w:rPr>
              <w:t>ABI at discharge</w:t>
            </w:r>
          </w:p>
        </w:tc>
        <w:tc>
          <w:tcPr>
            <w:tcW w:w="0" w:type="auto"/>
            <w:tcBorders>
              <w:top w:val="single" w:sz="16" w:space="0" w:color="000000"/>
              <w:bottom w:val="single" w:sz="4" w:space="0" w:color="auto"/>
            </w:tcBorders>
            <w:shd w:val="clear" w:color="auto" w:fill="FFFFFF"/>
            <w:vAlign w:val="center"/>
          </w:tcPr>
          <w:p w:rsidR="007B5136" w:rsidRPr="000202EA" w:rsidRDefault="007B5136" w:rsidP="00C305D9">
            <w:pPr>
              <w:autoSpaceDE w:val="0"/>
              <w:autoSpaceDN w:val="0"/>
              <w:adjustRightInd w:val="0"/>
              <w:snapToGrid w:val="0"/>
              <w:jc w:val="both"/>
              <w:rPr>
                <w:b/>
                <w:bCs/>
                <w:color w:val="000000"/>
                <w:sz w:val="20"/>
                <w:szCs w:val="20"/>
              </w:rPr>
            </w:pPr>
            <w:proofErr w:type="spellStart"/>
            <w:r w:rsidRPr="000202EA">
              <w:rPr>
                <w:b/>
                <w:bCs/>
                <w:color w:val="000000"/>
                <w:sz w:val="20"/>
                <w:szCs w:val="20"/>
              </w:rPr>
              <w:t>Mean±SD</w:t>
            </w:r>
            <w:proofErr w:type="spellEnd"/>
          </w:p>
        </w:tc>
        <w:tc>
          <w:tcPr>
            <w:tcW w:w="0" w:type="auto"/>
            <w:tcBorders>
              <w:top w:val="single" w:sz="16" w:space="0" w:color="000000"/>
              <w:bottom w:val="single" w:sz="4" w:space="0" w:color="auto"/>
            </w:tcBorders>
            <w:shd w:val="clear" w:color="auto" w:fill="FFFFFF"/>
            <w:vAlign w:val="center"/>
          </w:tcPr>
          <w:p w:rsidR="007B5136" w:rsidRPr="000202EA" w:rsidRDefault="007B5136" w:rsidP="00C305D9">
            <w:pPr>
              <w:autoSpaceDE w:val="0"/>
              <w:autoSpaceDN w:val="0"/>
              <w:adjustRightInd w:val="0"/>
              <w:snapToGrid w:val="0"/>
              <w:jc w:val="both"/>
              <w:rPr>
                <w:b/>
                <w:bCs/>
                <w:color w:val="000000"/>
                <w:sz w:val="20"/>
                <w:szCs w:val="20"/>
              </w:rPr>
            </w:pPr>
            <w:r w:rsidRPr="000202EA">
              <w:rPr>
                <w:b/>
                <w:bCs/>
                <w:color w:val="000000"/>
                <w:sz w:val="20"/>
                <w:szCs w:val="20"/>
              </w:rPr>
              <w:t>Mini.</w:t>
            </w:r>
          </w:p>
        </w:tc>
        <w:tc>
          <w:tcPr>
            <w:tcW w:w="0" w:type="auto"/>
            <w:tcBorders>
              <w:top w:val="single" w:sz="16" w:space="0" w:color="000000"/>
              <w:bottom w:val="single" w:sz="4" w:space="0" w:color="auto"/>
              <w:right w:val="single" w:sz="12" w:space="0" w:color="auto"/>
            </w:tcBorders>
            <w:shd w:val="clear" w:color="auto" w:fill="FFFFFF"/>
            <w:vAlign w:val="center"/>
          </w:tcPr>
          <w:p w:rsidR="007B5136" w:rsidRPr="000202EA" w:rsidRDefault="007B5136" w:rsidP="00C305D9">
            <w:pPr>
              <w:autoSpaceDE w:val="0"/>
              <w:autoSpaceDN w:val="0"/>
              <w:adjustRightInd w:val="0"/>
              <w:snapToGrid w:val="0"/>
              <w:jc w:val="both"/>
              <w:rPr>
                <w:b/>
                <w:bCs/>
                <w:color w:val="000000"/>
                <w:sz w:val="20"/>
                <w:szCs w:val="20"/>
              </w:rPr>
            </w:pPr>
            <w:r w:rsidRPr="000202EA">
              <w:rPr>
                <w:b/>
                <w:bCs/>
                <w:color w:val="000000"/>
                <w:sz w:val="20"/>
                <w:szCs w:val="20"/>
              </w:rPr>
              <w:t>Max.</w:t>
            </w:r>
          </w:p>
        </w:tc>
        <w:tc>
          <w:tcPr>
            <w:tcW w:w="0" w:type="auto"/>
            <w:tcBorders>
              <w:top w:val="single" w:sz="16" w:space="0" w:color="000000"/>
              <w:left w:val="single" w:sz="12" w:space="0" w:color="auto"/>
              <w:bottom w:val="single" w:sz="4" w:space="0" w:color="auto"/>
              <w:right w:val="single" w:sz="16" w:space="0" w:color="000000"/>
            </w:tcBorders>
            <w:shd w:val="clear" w:color="auto" w:fill="FFFFFF"/>
            <w:vAlign w:val="center"/>
          </w:tcPr>
          <w:p w:rsidR="007B5136" w:rsidRPr="000202EA" w:rsidRDefault="007B5136" w:rsidP="00C305D9">
            <w:pPr>
              <w:autoSpaceDE w:val="0"/>
              <w:autoSpaceDN w:val="0"/>
              <w:adjustRightInd w:val="0"/>
              <w:snapToGrid w:val="0"/>
              <w:jc w:val="both"/>
              <w:rPr>
                <w:b/>
                <w:bCs/>
                <w:color w:val="000000"/>
                <w:sz w:val="20"/>
                <w:szCs w:val="20"/>
              </w:rPr>
            </w:pPr>
            <w:r w:rsidRPr="000202EA">
              <w:rPr>
                <w:b/>
                <w:bCs/>
                <w:color w:val="000000"/>
                <w:sz w:val="20"/>
                <w:szCs w:val="20"/>
              </w:rPr>
              <w:t>p-value</w:t>
            </w:r>
          </w:p>
        </w:tc>
      </w:tr>
      <w:tr w:rsidR="00C305D9" w:rsidRPr="000202EA" w:rsidTr="00C305D9">
        <w:trPr>
          <w:cantSplit/>
          <w:jc w:val="center"/>
        </w:trPr>
        <w:tc>
          <w:tcPr>
            <w:tcW w:w="0" w:type="auto"/>
            <w:tcBorders>
              <w:top w:val="single" w:sz="16" w:space="0" w:color="000000"/>
              <w:left w:val="single" w:sz="16" w:space="0" w:color="000000"/>
              <w:bottom w:val="single" w:sz="4" w:space="0" w:color="auto"/>
              <w:right w:val="single" w:sz="16" w:space="0" w:color="000000"/>
            </w:tcBorders>
            <w:shd w:val="clear" w:color="auto" w:fill="FFFFFF"/>
            <w:vAlign w:val="center"/>
          </w:tcPr>
          <w:p w:rsidR="007B5136" w:rsidRPr="000202EA" w:rsidRDefault="007B5136" w:rsidP="00C305D9">
            <w:pPr>
              <w:autoSpaceDE w:val="0"/>
              <w:autoSpaceDN w:val="0"/>
              <w:adjustRightInd w:val="0"/>
              <w:snapToGrid w:val="0"/>
              <w:jc w:val="both"/>
              <w:rPr>
                <w:b/>
                <w:bCs/>
                <w:color w:val="000000"/>
                <w:sz w:val="20"/>
                <w:szCs w:val="20"/>
              </w:rPr>
            </w:pPr>
            <w:r w:rsidRPr="000202EA">
              <w:rPr>
                <w:b/>
                <w:bCs/>
                <w:color w:val="000000"/>
                <w:sz w:val="20"/>
                <w:szCs w:val="20"/>
              </w:rPr>
              <w:t>Non patent</w:t>
            </w:r>
          </w:p>
        </w:tc>
        <w:tc>
          <w:tcPr>
            <w:tcW w:w="0" w:type="auto"/>
            <w:tcBorders>
              <w:top w:val="single" w:sz="16" w:space="0" w:color="000000"/>
              <w:bottom w:val="single" w:sz="4" w:space="0" w:color="auto"/>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r w:rsidRPr="000202EA">
              <w:rPr>
                <w:color w:val="000000"/>
                <w:sz w:val="20"/>
                <w:szCs w:val="20"/>
              </w:rPr>
              <w:t>0.79±0.14</w:t>
            </w:r>
          </w:p>
        </w:tc>
        <w:tc>
          <w:tcPr>
            <w:tcW w:w="0" w:type="auto"/>
            <w:tcBorders>
              <w:top w:val="single" w:sz="16" w:space="0" w:color="000000"/>
              <w:bottom w:val="single" w:sz="4" w:space="0" w:color="auto"/>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r w:rsidRPr="000202EA">
              <w:rPr>
                <w:color w:val="000000"/>
                <w:sz w:val="20"/>
                <w:szCs w:val="20"/>
              </w:rPr>
              <w:t>0.60</w:t>
            </w:r>
          </w:p>
        </w:tc>
        <w:tc>
          <w:tcPr>
            <w:tcW w:w="0" w:type="auto"/>
            <w:tcBorders>
              <w:top w:val="single" w:sz="16" w:space="0" w:color="000000"/>
              <w:bottom w:val="single" w:sz="4" w:space="0" w:color="auto"/>
              <w:right w:val="single" w:sz="12" w:space="0" w:color="auto"/>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r w:rsidRPr="000202EA">
              <w:rPr>
                <w:color w:val="000000"/>
                <w:sz w:val="20"/>
                <w:szCs w:val="20"/>
              </w:rPr>
              <w:t>1.10</w:t>
            </w:r>
          </w:p>
        </w:tc>
        <w:tc>
          <w:tcPr>
            <w:tcW w:w="0" w:type="auto"/>
            <w:vMerge w:val="restart"/>
            <w:tcBorders>
              <w:top w:val="single" w:sz="16" w:space="0" w:color="000000"/>
              <w:left w:val="single" w:sz="12" w:space="0" w:color="auto"/>
              <w:right w:val="single" w:sz="16" w:space="0" w:color="000000"/>
            </w:tcBorders>
            <w:shd w:val="clear" w:color="auto" w:fill="FFFFFF"/>
            <w:vAlign w:val="center"/>
          </w:tcPr>
          <w:p w:rsidR="007B5136" w:rsidRPr="000202EA" w:rsidRDefault="007B5136" w:rsidP="00C305D9">
            <w:pPr>
              <w:autoSpaceDE w:val="0"/>
              <w:autoSpaceDN w:val="0"/>
              <w:adjustRightInd w:val="0"/>
              <w:snapToGrid w:val="0"/>
              <w:jc w:val="both"/>
              <w:rPr>
                <w:b/>
                <w:bCs/>
                <w:color w:val="000000"/>
                <w:sz w:val="20"/>
                <w:szCs w:val="20"/>
              </w:rPr>
            </w:pPr>
            <w:r w:rsidRPr="000202EA">
              <w:rPr>
                <w:b/>
                <w:bCs/>
                <w:color w:val="000000"/>
                <w:sz w:val="20"/>
                <w:szCs w:val="20"/>
              </w:rPr>
              <w:t>˂0.001</w:t>
            </w:r>
            <w:r w:rsidRPr="000202EA">
              <w:rPr>
                <w:b/>
                <w:bCs/>
                <w:color w:val="000000"/>
                <w:sz w:val="20"/>
                <w:szCs w:val="20"/>
                <w:vertAlign w:val="superscript"/>
              </w:rPr>
              <w:t>*</w:t>
            </w:r>
          </w:p>
        </w:tc>
      </w:tr>
      <w:tr w:rsidR="00C305D9" w:rsidRPr="000202EA" w:rsidTr="00C305D9">
        <w:trPr>
          <w:cantSplit/>
          <w:jc w:val="center"/>
        </w:trPr>
        <w:tc>
          <w:tcPr>
            <w:tcW w:w="0" w:type="auto"/>
            <w:tcBorders>
              <w:top w:val="single" w:sz="4" w:space="0" w:color="auto"/>
              <w:left w:val="single" w:sz="16" w:space="0" w:color="000000"/>
              <w:bottom w:val="single" w:sz="4" w:space="0" w:color="auto"/>
              <w:right w:val="single" w:sz="16" w:space="0" w:color="000000"/>
            </w:tcBorders>
            <w:shd w:val="clear" w:color="auto" w:fill="FFFFFF"/>
            <w:vAlign w:val="center"/>
          </w:tcPr>
          <w:p w:rsidR="007B5136" w:rsidRPr="000202EA" w:rsidRDefault="007B5136" w:rsidP="00C305D9">
            <w:pPr>
              <w:autoSpaceDE w:val="0"/>
              <w:autoSpaceDN w:val="0"/>
              <w:adjustRightInd w:val="0"/>
              <w:snapToGrid w:val="0"/>
              <w:jc w:val="both"/>
              <w:rPr>
                <w:b/>
                <w:bCs/>
                <w:color w:val="000000"/>
                <w:sz w:val="20"/>
                <w:szCs w:val="20"/>
              </w:rPr>
            </w:pPr>
            <w:r w:rsidRPr="000202EA">
              <w:rPr>
                <w:b/>
                <w:bCs/>
                <w:color w:val="000000"/>
                <w:sz w:val="20"/>
                <w:szCs w:val="20"/>
              </w:rPr>
              <w:t>patent</w:t>
            </w:r>
          </w:p>
        </w:tc>
        <w:tc>
          <w:tcPr>
            <w:tcW w:w="0" w:type="auto"/>
            <w:tcBorders>
              <w:top w:val="single" w:sz="4" w:space="0" w:color="auto"/>
              <w:bottom w:val="single" w:sz="4" w:space="0" w:color="auto"/>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r w:rsidRPr="000202EA">
              <w:rPr>
                <w:color w:val="000000"/>
                <w:sz w:val="20"/>
                <w:szCs w:val="20"/>
              </w:rPr>
              <w:t>1.01±0.15</w:t>
            </w:r>
          </w:p>
        </w:tc>
        <w:tc>
          <w:tcPr>
            <w:tcW w:w="0" w:type="auto"/>
            <w:tcBorders>
              <w:top w:val="single" w:sz="4" w:space="0" w:color="auto"/>
              <w:bottom w:val="single" w:sz="4" w:space="0" w:color="auto"/>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r w:rsidRPr="000202EA">
              <w:rPr>
                <w:color w:val="000000"/>
                <w:sz w:val="20"/>
                <w:szCs w:val="20"/>
              </w:rPr>
              <w:t>0.70</w:t>
            </w:r>
          </w:p>
        </w:tc>
        <w:tc>
          <w:tcPr>
            <w:tcW w:w="0" w:type="auto"/>
            <w:tcBorders>
              <w:top w:val="single" w:sz="4" w:space="0" w:color="auto"/>
              <w:bottom w:val="single" w:sz="4" w:space="0" w:color="auto"/>
              <w:right w:val="single" w:sz="12" w:space="0" w:color="auto"/>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r w:rsidRPr="000202EA">
              <w:rPr>
                <w:color w:val="000000"/>
                <w:sz w:val="20"/>
                <w:szCs w:val="20"/>
              </w:rPr>
              <w:t>1.20</w:t>
            </w:r>
          </w:p>
        </w:tc>
        <w:tc>
          <w:tcPr>
            <w:tcW w:w="0" w:type="auto"/>
            <w:vMerge/>
            <w:tcBorders>
              <w:left w:val="single" w:sz="12" w:space="0" w:color="auto"/>
              <w:right w:val="single" w:sz="16" w:space="0" w:color="000000"/>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p>
        </w:tc>
      </w:tr>
      <w:tr w:rsidR="00C305D9" w:rsidRPr="000202EA" w:rsidTr="00C305D9">
        <w:trPr>
          <w:cantSplit/>
          <w:jc w:val="center"/>
        </w:trPr>
        <w:tc>
          <w:tcPr>
            <w:tcW w:w="0" w:type="auto"/>
            <w:tcBorders>
              <w:top w:val="single" w:sz="4" w:space="0" w:color="auto"/>
              <w:left w:val="single" w:sz="16" w:space="0" w:color="000000"/>
              <w:bottom w:val="single" w:sz="16" w:space="0" w:color="000000"/>
              <w:right w:val="single" w:sz="16" w:space="0" w:color="000000"/>
            </w:tcBorders>
            <w:shd w:val="clear" w:color="auto" w:fill="FFFFFF"/>
            <w:vAlign w:val="center"/>
          </w:tcPr>
          <w:p w:rsidR="007B5136" w:rsidRPr="000202EA" w:rsidRDefault="007B5136" w:rsidP="00C305D9">
            <w:pPr>
              <w:autoSpaceDE w:val="0"/>
              <w:autoSpaceDN w:val="0"/>
              <w:adjustRightInd w:val="0"/>
              <w:snapToGrid w:val="0"/>
              <w:jc w:val="both"/>
              <w:rPr>
                <w:b/>
                <w:bCs/>
                <w:color w:val="000000"/>
                <w:sz w:val="20"/>
                <w:szCs w:val="20"/>
              </w:rPr>
            </w:pPr>
            <w:r w:rsidRPr="000202EA">
              <w:rPr>
                <w:b/>
                <w:bCs/>
                <w:color w:val="000000"/>
                <w:sz w:val="20"/>
                <w:szCs w:val="20"/>
              </w:rPr>
              <w:t>Total</w:t>
            </w:r>
          </w:p>
        </w:tc>
        <w:tc>
          <w:tcPr>
            <w:tcW w:w="0" w:type="auto"/>
            <w:tcBorders>
              <w:top w:val="single" w:sz="4" w:space="0" w:color="auto"/>
              <w:bottom w:val="single" w:sz="16" w:space="0" w:color="000000"/>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r w:rsidRPr="000202EA">
              <w:rPr>
                <w:color w:val="000000"/>
                <w:sz w:val="20"/>
                <w:szCs w:val="20"/>
              </w:rPr>
              <w:t>0.90±0.18</w:t>
            </w:r>
          </w:p>
        </w:tc>
        <w:tc>
          <w:tcPr>
            <w:tcW w:w="0" w:type="auto"/>
            <w:tcBorders>
              <w:top w:val="single" w:sz="4" w:space="0" w:color="auto"/>
              <w:bottom w:val="single" w:sz="16" w:space="0" w:color="000000"/>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r w:rsidRPr="000202EA">
              <w:rPr>
                <w:color w:val="000000"/>
                <w:sz w:val="20"/>
                <w:szCs w:val="20"/>
              </w:rPr>
              <w:t>0.60</w:t>
            </w:r>
          </w:p>
        </w:tc>
        <w:tc>
          <w:tcPr>
            <w:tcW w:w="0" w:type="auto"/>
            <w:tcBorders>
              <w:top w:val="single" w:sz="4" w:space="0" w:color="auto"/>
              <w:bottom w:val="single" w:sz="16" w:space="0" w:color="000000"/>
              <w:right w:val="single" w:sz="12" w:space="0" w:color="auto"/>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r w:rsidRPr="000202EA">
              <w:rPr>
                <w:color w:val="000000"/>
                <w:sz w:val="20"/>
                <w:szCs w:val="20"/>
              </w:rPr>
              <w:t>1.20</w:t>
            </w:r>
          </w:p>
        </w:tc>
        <w:tc>
          <w:tcPr>
            <w:tcW w:w="0" w:type="auto"/>
            <w:vMerge/>
            <w:tcBorders>
              <w:left w:val="single" w:sz="12" w:space="0" w:color="auto"/>
              <w:bottom w:val="single" w:sz="16" w:space="0" w:color="000000"/>
              <w:right w:val="single" w:sz="16" w:space="0" w:color="000000"/>
            </w:tcBorders>
            <w:shd w:val="clear" w:color="auto" w:fill="FFFFFF"/>
            <w:vAlign w:val="center"/>
          </w:tcPr>
          <w:p w:rsidR="007B5136" w:rsidRPr="000202EA" w:rsidRDefault="007B5136" w:rsidP="00C305D9">
            <w:pPr>
              <w:autoSpaceDE w:val="0"/>
              <w:autoSpaceDN w:val="0"/>
              <w:adjustRightInd w:val="0"/>
              <w:snapToGrid w:val="0"/>
              <w:jc w:val="both"/>
              <w:rPr>
                <w:color w:val="000000"/>
                <w:sz w:val="20"/>
                <w:szCs w:val="20"/>
              </w:rPr>
            </w:pPr>
          </w:p>
        </w:tc>
      </w:tr>
    </w:tbl>
    <w:p w:rsidR="007B5136" w:rsidRPr="000202EA" w:rsidRDefault="007B5136" w:rsidP="00243C1C">
      <w:pPr>
        <w:snapToGrid w:val="0"/>
        <w:ind w:firstLine="425"/>
        <w:jc w:val="both"/>
        <w:rPr>
          <w:sz w:val="20"/>
          <w:szCs w:val="20"/>
        </w:rPr>
      </w:pPr>
      <w:proofErr w:type="spellStart"/>
      <w:r w:rsidRPr="000202EA">
        <w:rPr>
          <w:sz w:val="20"/>
          <w:szCs w:val="20"/>
        </w:rPr>
        <w:t>Postprocedure</w:t>
      </w:r>
      <w:proofErr w:type="spellEnd"/>
      <w:r w:rsidRPr="000202EA">
        <w:rPr>
          <w:sz w:val="20"/>
          <w:szCs w:val="20"/>
        </w:rPr>
        <w:t xml:space="preserve"> </w:t>
      </w:r>
      <w:proofErr w:type="spellStart"/>
      <w:r w:rsidRPr="000202EA">
        <w:rPr>
          <w:sz w:val="20"/>
          <w:szCs w:val="20"/>
        </w:rPr>
        <w:t>ABIs</w:t>
      </w:r>
      <w:proofErr w:type="spellEnd"/>
      <w:r w:rsidRPr="000202EA">
        <w:rPr>
          <w:sz w:val="20"/>
          <w:szCs w:val="20"/>
        </w:rPr>
        <w:t xml:space="preserve"> obtained before patient discharge ranged from 0.6 to 1.2 (mean ± SD, 0.90 ± 0.18; P &lt;0</w:t>
      </w:r>
      <w:r w:rsidR="00C305D9" w:rsidRPr="000202EA">
        <w:rPr>
          <w:sz w:val="20"/>
          <w:szCs w:val="20"/>
        </w:rPr>
        <w:t>.</w:t>
      </w:r>
      <w:r w:rsidRPr="000202EA">
        <w:rPr>
          <w:sz w:val="20"/>
          <w:szCs w:val="20"/>
        </w:rPr>
        <w:t xml:space="preserve">0001). </w:t>
      </w:r>
      <w:r w:rsidRPr="000202EA">
        <w:rPr>
          <w:sz w:val="20"/>
          <w:szCs w:val="20"/>
          <w:lang w:val="en-GB"/>
        </w:rPr>
        <w:t xml:space="preserve">The differences between patients with long term patency and other patients with no patency were significant (P </w:t>
      </w:r>
      <w:r w:rsidRPr="000202EA">
        <w:rPr>
          <w:sz w:val="20"/>
          <w:szCs w:val="20"/>
        </w:rPr>
        <w:t>&lt;0.001</w:t>
      </w:r>
      <w:r w:rsidRPr="000202EA">
        <w:rPr>
          <w:sz w:val="20"/>
          <w:szCs w:val="20"/>
          <w:lang w:val="en-GB"/>
        </w:rPr>
        <w:t>).</w:t>
      </w:r>
    </w:p>
    <w:p w:rsidR="007B5136" w:rsidRPr="000202EA" w:rsidRDefault="007B5136" w:rsidP="00243C1C">
      <w:pPr>
        <w:autoSpaceDE w:val="0"/>
        <w:autoSpaceDN w:val="0"/>
        <w:adjustRightInd w:val="0"/>
        <w:snapToGrid w:val="0"/>
        <w:ind w:firstLine="425"/>
        <w:jc w:val="both"/>
        <w:rPr>
          <w:sz w:val="20"/>
          <w:szCs w:val="20"/>
        </w:rPr>
      </w:pPr>
      <w:r w:rsidRPr="000202EA">
        <w:rPr>
          <w:sz w:val="20"/>
          <w:szCs w:val="20"/>
        </w:rPr>
        <w:t xml:space="preserve">There was 2 cases (2.5%) died, this occurred in 2 patients with multiple </w:t>
      </w:r>
      <w:proofErr w:type="spellStart"/>
      <w:r w:rsidRPr="000202EA">
        <w:rPr>
          <w:sz w:val="20"/>
          <w:szCs w:val="20"/>
        </w:rPr>
        <w:t>comorbidities</w:t>
      </w:r>
      <w:proofErr w:type="spellEnd"/>
      <w:r w:rsidRPr="000202EA">
        <w:rPr>
          <w:sz w:val="20"/>
          <w:szCs w:val="20"/>
        </w:rPr>
        <w:t xml:space="preserve"> after seven </w:t>
      </w:r>
      <w:r w:rsidRPr="000202EA">
        <w:rPr>
          <w:sz w:val="20"/>
          <w:szCs w:val="20"/>
        </w:rPr>
        <w:lastRenderedPageBreak/>
        <w:t xml:space="preserve">months following a successful endovascular intervention, from massive </w:t>
      </w:r>
      <w:proofErr w:type="spellStart"/>
      <w:r w:rsidRPr="000202EA">
        <w:rPr>
          <w:sz w:val="20"/>
          <w:szCs w:val="20"/>
        </w:rPr>
        <w:t>cerebrovascular</w:t>
      </w:r>
      <w:proofErr w:type="spellEnd"/>
      <w:r w:rsidRPr="000202EA">
        <w:rPr>
          <w:sz w:val="20"/>
          <w:szCs w:val="20"/>
        </w:rPr>
        <w:t xml:space="preserve"> stroke. Immediate complications occurred following 5 interventions (10.2%). Wire perforation occurred in 2 cases to which 3 minutes balloon dilatation </w:t>
      </w:r>
      <w:proofErr w:type="spellStart"/>
      <w:r w:rsidRPr="000202EA">
        <w:rPr>
          <w:sz w:val="20"/>
          <w:szCs w:val="20"/>
        </w:rPr>
        <w:t>tamponading</w:t>
      </w:r>
      <w:proofErr w:type="spellEnd"/>
      <w:r w:rsidRPr="000202EA">
        <w:rPr>
          <w:sz w:val="20"/>
          <w:szCs w:val="20"/>
        </w:rPr>
        <w:t xml:space="preserve"> was done, 2 dissections and retroperitoneal hematoma in one case.</w:t>
      </w:r>
    </w:p>
    <w:p w:rsidR="007B5136" w:rsidRPr="000202EA" w:rsidRDefault="007B5136" w:rsidP="00243C1C">
      <w:pPr>
        <w:snapToGrid w:val="0"/>
        <w:ind w:firstLine="425"/>
        <w:jc w:val="both"/>
        <w:rPr>
          <w:sz w:val="20"/>
          <w:szCs w:val="20"/>
          <w:lang w:bidi="ar-EG"/>
        </w:rPr>
      </w:pPr>
    </w:p>
    <w:p w:rsidR="007B5136" w:rsidRPr="000202EA" w:rsidRDefault="00EA2961" w:rsidP="00243C1C">
      <w:pPr>
        <w:snapToGrid w:val="0"/>
        <w:jc w:val="both"/>
        <w:rPr>
          <w:b/>
          <w:bCs/>
          <w:sz w:val="20"/>
          <w:szCs w:val="20"/>
          <w:lang w:bidi="ar-EG"/>
        </w:rPr>
      </w:pPr>
      <w:r w:rsidRPr="000202EA">
        <w:rPr>
          <w:b/>
          <w:bCs/>
          <w:sz w:val="20"/>
          <w:szCs w:val="20"/>
          <w:lang w:bidi="ar-EG"/>
        </w:rPr>
        <w:t xml:space="preserve">4. </w:t>
      </w:r>
      <w:r w:rsidR="00282291" w:rsidRPr="000202EA">
        <w:rPr>
          <w:b/>
          <w:bCs/>
          <w:sz w:val="20"/>
          <w:szCs w:val="20"/>
          <w:lang w:bidi="ar-EG"/>
        </w:rPr>
        <w:t>Discussion:</w:t>
      </w:r>
    </w:p>
    <w:p w:rsidR="00282291" w:rsidRPr="000202EA" w:rsidRDefault="00282291" w:rsidP="00243C1C">
      <w:pPr>
        <w:snapToGrid w:val="0"/>
        <w:ind w:firstLine="425"/>
        <w:jc w:val="both"/>
        <w:rPr>
          <w:sz w:val="20"/>
          <w:szCs w:val="20"/>
          <w:lang w:bidi="ar-EG"/>
        </w:rPr>
      </w:pPr>
      <w:r w:rsidRPr="000202EA">
        <w:rPr>
          <w:sz w:val="20"/>
          <w:szCs w:val="20"/>
          <w:lang w:bidi="ar-EG"/>
        </w:rPr>
        <w:t xml:space="preserve">Several reports have proved the feasibility of duplex ultrasound-guided PTA as an alternative to conventional PTA with patency rate mounting to 93%. Duplex-guided balloon angioplasty and stent placement seems to be a safe and effective technique for the treatment of </w:t>
      </w:r>
      <w:proofErr w:type="spellStart"/>
      <w:r w:rsidRPr="000202EA">
        <w:rPr>
          <w:sz w:val="20"/>
          <w:szCs w:val="20"/>
          <w:lang w:bidi="ar-EG"/>
        </w:rPr>
        <w:t>infrainguinal</w:t>
      </w:r>
      <w:proofErr w:type="spellEnd"/>
      <w:r w:rsidRPr="000202EA">
        <w:rPr>
          <w:sz w:val="20"/>
          <w:szCs w:val="20"/>
          <w:lang w:bidi="ar-EG"/>
        </w:rPr>
        <w:t xml:space="preserve"> arterial occlusive disease</w:t>
      </w:r>
      <w:r w:rsidRPr="000202EA">
        <w:rPr>
          <w:b/>
          <w:bCs/>
          <w:sz w:val="20"/>
          <w:szCs w:val="20"/>
          <w:lang w:bidi="ar-EG"/>
        </w:rPr>
        <w:t xml:space="preserve"> (</w:t>
      </w:r>
      <w:proofErr w:type="spellStart"/>
      <w:r w:rsidRPr="000202EA">
        <w:rPr>
          <w:b/>
          <w:bCs/>
          <w:sz w:val="20"/>
          <w:szCs w:val="20"/>
          <w:lang w:bidi="ar-EG"/>
        </w:rPr>
        <w:t>Ascher</w:t>
      </w:r>
      <w:proofErr w:type="spellEnd"/>
      <w:r w:rsidRPr="000202EA">
        <w:rPr>
          <w:b/>
          <w:bCs/>
          <w:sz w:val="20"/>
          <w:szCs w:val="20"/>
          <w:lang w:bidi="ar-EG"/>
        </w:rPr>
        <w:t xml:space="preserve"> et al., 2006)</w:t>
      </w:r>
      <w:r w:rsidRPr="000202EA">
        <w:rPr>
          <w:sz w:val="20"/>
          <w:szCs w:val="20"/>
          <w:lang w:bidi="ar-EG"/>
        </w:rPr>
        <w:t>.</w:t>
      </w:r>
      <w:r w:rsidR="00C305D9" w:rsidRPr="000202EA">
        <w:rPr>
          <w:sz w:val="20"/>
          <w:szCs w:val="20"/>
          <w:lang w:bidi="ar-EG"/>
        </w:rPr>
        <w:t xml:space="preserve"> </w:t>
      </w:r>
      <w:r w:rsidRPr="000202EA">
        <w:rPr>
          <w:sz w:val="20"/>
          <w:szCs w:val="20"/>
          <w:lang w:bidi="ar-EG"/>
        </w:rPr>
        <w:t xml:space="preserve">Review of data revealed short-term patency and </w:t>
      </w:r>
      <w:proofErr w:type="spellStart"/>
      <w:r w:rsidRPr="000202EA">
        <w:rPr>
          <w:sz w:val="20"/>
          <w:szCs w:val="20"/>
          <w:lang w:bidi="ar-EG"/>
        </w:rPr>
        <w:t>intraoperative</w:t>
      </w:r>
      <w:proofErr w:type="spellEnd"/>
      <w:r w:rsidRPr="000202EA">
        <w:rPr>
          <w:sz w:val="20"/>
          <w:szCs w:val="20"/>
          <w:lang w:bidi="ar-EG"/>
        </w:rPr>
        <w:t xml:space="preserve"> complication rates (</w:t>
      </w:r>
      <w:proofErr w:type="spellStart"/>
      <w:r w:rsidRPr="000202EA">
        <w:rPr>
          <w:sz w:val="20"/>
          <w:szCs w:val="20"/>
          <w:lang w:bidi="ar-EG"/>
        </w:rPr>
        <w:t>thromboembolization</w:t>
      </w:r>
      <w:proofErr w:type="spellEnd"/>
      <w:r w:rsidRPr="000202EA">
        <w:rPr>
          <w:sz w:val="20"/>
          <w:szCs w:val="20"/>
          <w:lang w:bidi="ar-EG"/>
        </w:rPr>
        <w:t xml:space="preserve">, hemorrhage, and failed attempts) similar to those in prior series </w:t>
      </w:r>
      <w:r w:rsidRPr="000202EA">
        <w:rPr>
          <w:b/>
          <w:bCs/>
          <w:sz w:val="20"/>
          <w:szCs w:val="20"/>
          <w:lang w:bidi="ar-EG"/>
        </w:rPr>
        <w:t>(</w:t>
      </w:r>
      <w:proofErr w:type="spellStart"/>
      <w:r w:rsidRPr="000202EA">
        <w:rPr>
          <w:b/>
          <w:bCs/>
          <w:sz w:val="20"/>
          <w:szCs w:val="20"/>
          <w:lang w:bidi="ar-EG"/>
        </w:rPr>
        <w:t>Desgranges</w:t>
      </w:r>
      <w:proofErr w:type="spellEnd"/>
      <w:r w:rsidRPr="000202EA">
        <w:rPr>
          <w:b/>
          <w:bCs/>
          <w:sz w:val="20"/>
          <w:szCs w:val="20"/>
          <w:lang w:bidi="ar-EG"/>
        </w:rPr>
        <w:t xml:space="preserve"> et al., 2004).</w:t>
      </w:r>
    </w:p>
    <w:p w:rsidR="00282291" w:rsidRPr="000202EA" w:rsidRDefault="00282291" w:rsidP="00243C1C">
      <w:pPr>
        <w:snapToGrid w:val="0"/>
        <w:ind w:firstLine="425"/>
        <w:jc w:val="both"/>
        <w:rPr>
          <w:sz w:val="20"/>
          <w:szCs w:val="20"/>
          <w:lang w:bidi="ar-EG"/>
        </w:rPr>
      </w:pPr>
      <w:r w:rsidRPr="000202EA">
        <w:rPr>
          <w:sz w:val="20"/>
          <w:szCs w:val="20"/>
          <w:lang w:bidi="ar-EG"/>
        </w:rPr>
        <w:t xml:space="preserve">The advent of modern duplex scanners capable of delivering high-quality images of the arterial wall and lumen while providing reliable hemodynamic parameters of the </w:t>
      </w:r>
      <w:proofErr w:type="spellStart"/>
      <w:r w:rsidRPr="000202EA">
        <w:rPr>
          <w:sz w:val="20"/>
          <w:szCs w:val="20"/>
          <w:lang w:bidi="ar-EG"/>
        </w:rPr>
        <w:t>infrainguinal</w:t>
      </w:r>
      <w:proofErr w:type="spellEnd"/>
      <w:r w:rsidRPr="000202EA">
        <w:rPr>
          <w:sz w:val="20"/>
          <w:szCs w:val="20"/>
          <w:lang w:bidi="ar-EG"/>
        </w:rPr>
        <w:t xml:space="preserve"> arteries facilitated our proposed technique. The magnification provided by these scanners allows better definition of anatomic details. As previously demonstrated, duplex scanners can be used not only to identify the exact location and severity of the occlusive disease process, but also to precisely measure the extent of the lesion </w:t>
      </w:r>
      <w:r w:rsidRPr="000202EA">
        <w:rPr>
          <w:b/>
          <w:bCs/>
          <w:sz w:val="20"/>
          <w:szCs w:val="20"/>
          <w:lang w:bidi="ar-EG"/>
        </w:rPr>
        <w:t>(</w:t>
      </w:r>
      <w:proofErr w:type="spellStart"/>
      <w:r w:rsidRPr="000202EA">
        <w:rPr>
          <w:b/>
          <w:bCs/>
          <w:sz w:val="20"/>
          <w:szCs w:val="20"/>
          <w:lang w:bidi="ar-EG"/>
        </w:rPr>
        <w:t>Ascher</w:t>
      </w:r>
      <w:proofErr w:type="spellEnd"/>
      <w:r w:rsidRPr="000202EA">
        <w:rPr>
          <w:b/>
          <w:bCs/>
          <w:sz w:val="20"/>
          <w:szCs w:val="20"/>
          <w:lang w:bidi="ar-EG"/>
        </w:rPr>
        <w:t xml:space="preserve"> et al., 2005).</w:t>
      </w:r>
      <w:r w:rsidR="00C305D9" w:rsidRPr="000202EA">
        <w:rPr>
          <w:sz w:val="20"/>
          <w:szCs w:val="20"/>
          <w:lang w:bidi="ar-EG"/>
        </w:rPr>
        <w:t xml:space="preserve"> </w:t>
      </w:r>
      <w:r w:rsidRPr="000202EA">
        <w:rPr>
          <w:sz w:val="20"/>
          <w:szCs w:val="20"/>
          <w:lang w:bidi="ar-EG"/>
        </w:rPr>
        <w:t xml:space="preserve">In this manner, balloons and stents can be selected according to precisely measured parameters </w:t>
      </w:r>
      <w:r w:rsidRPr="000202EA">
        <w:rPr>
          <w:b/>
          <w:bCs/>
          <w:sz w:val="20"/>
          <w:szCs w:val="20"/>
          <w:lang w:bidi="ar-EG"/>
        </w:rPr>
        <w:t>(</w:t>
      </w:r>
      <w:proofErr w:type="spellStart"/>
      <w:r w:rsidRPr="000202EA">
        <w:rPr>
          <w:b/>
          <w:bCs/>
          <w:sz w:val="20"/>
          <w:szCs w:val="20"/>
          <w:lang w:bidi="ar-EG"/>
        </w:rPr>
        <w:t>Sprouse</w:t>
      </w:r>
      <w:proofErr w:type="spellEnd"/>
      <w:r w:rsidRPr="000202EA">
        <w:rPr>
          <w:b/>
          <w:bCs/>
          <w:sz w:val="20"/>
          <w:szCs w:val="20"/>
          <w:lang w:bidi="ar-EG"/>
        </w:rPr>
        <w:t xml:space="preserve"> et al., 2004)</w:t>
      </w:r>
      <w:r w:rsidRPr="000202EA">
        <w:rPr>
          <w:sz w:val="20"/>
          <w:szCs w:val="20"/>
          <w:lang w:bidi="ar-EG"/>
        </w:rPr>
        <w:t>.</w:t>
      </w:r>
    </w:p>
    <w:p w:rsidR="00282291" w:rsidRPr="000202EA" w:rsidRDefault="00282291" w:rsidP="00243C1C">
      <w:pPr>
        <w:snapToGrid w:val="0"/>
        <w:ind w:firstLine="425"/>
        <w:jc w:val="both"/>
        <w:rPr>
          <w:color w:val="FF0000"/>
          <w:sz w:val="20"/>
          <w:szCs w:val="20"/>
          <w:lang w:bidi="ar-EG"/>
        </w:rPr>
      </w:pPr>
      <w:r w:rsidRPr="000202EA">
        <w:rPr>
          <w:sz w:val="20"/>
          <w:szCs w:val="20"/>
          <w:lang w:bidi="ar-EG"/>
        </w:rPr>
        <w:t xml:space="preserve">In addition to avoiding radiation and contrast exposure, duplex ultrasound helps to confirm the adequacy of PTA by the combined hemodynamic and imaging parameters. </w:t>
      </w:r>
      <w:r w:rsidRPr="000202EA">
        <w:rPr>
          <w:b/>
          <w:bCs/>
          <w:sz w:val="20"/>
          <w:szCs w:val="20"/>
          <w:lang w:bidi="ar-EG"/>
        </w:rPr>
        <w:t>(</w:t>
      </w:r>
      <w:proofErr w:type="spellStart"/>
      <w:r w:rsidRPr="000202EA">
        <w:rPr>
          <w:b/>
          <w:bCs/>
          <w:sz w:val="20"/>
          <w:szCs w:val="20"/>
          <w:lang w:bidi="ar-EG"/>
        </w:rPr>
        <w:t>Nadolski</w:t>
      </w:r>
      <w:proofErr w:type="spellEnd"/>
      <w:r w:rsidRPr="000202EA">
        <w:rPr>
          <w:b/>
          <w:bCs/>
          <w:sz w:val="20"/>
          <w:szCs w:val="20"/>
          <w:lang w:bidi="ar-EG"/>
        </w:rPr>
        <w:t xml:space="preserve"> and Stavropoulos, 2013).</w:t>
      </w:r>
    </w:p>
    <w:p w:rsidR="00282291" w:rsidRPr="000202EA" w:rsidRDefault="00282291" w:rsidP="00243C1C">
      <w:pPr>
        <w:snapToGrid w:val="0"/>
        <w:ind w:firstLine="425"/>
        <w:jc w:val="both"/>
        <w:rPr>
          <w:sz w:val="20"/>
          <w:szCs w:val="20"/>
          <w:lang w:bidi="ar-EG"/>
        </w:rPr>
      </w:pPr>
      <w:r w:rsidRPr="000202EA">
        <w:rPr>
          <w:sz w:val="20"/>
          <w:szCs w:val="20"/>
          <w:lang w:bidi="ar-EG"/>
        </w:rPr>
        <w:t xml:space="preserve">Standard fluoroscopy balloon angioplasties require contrast material and radiation exposure. </w:t>
      </w:r>
      <w:proofErr w:type="spellStart"/>
      <w:r w:rsidRPr="000202EA">
        <w:rPr>
          <w:sz w:val="20"/>
          <w:szCs w:val="20"/>
          <w:lang w:bidi="ar-EG"/>
        </w:rPr>
        <w:t>Nephrotoxic</w:t>
      </w:r>
      <w:proofErr w:type="spellEnd"/>
      <w:r w:rsidRPr="000202EA">
        <w:rPr>
          <w:sz w:val="20"/>
          <w:szCs w:val="20"/>
          <w:lang w:bidi="ar-EG"/>
        </w:rPr>
        <w:t xml:space="preserve"> contrast material can become a challenge in patients presenting with diabetes mellitus or in those with pre-existing renal insufficiency</w:t>
      </w:r>
      <w:r w:rsidR="00C305D9" w:rsidRPr="000202EA">
        <w:rPr>
          <w:sz w:val="20"/>
          <w:szCs w:val="20"/>
          <w:lang w:bidi="ar-EG"/>
        </w:rPr>
        <w:t>. T</w:t>
      </w:r>
      <w:r w:rsidRPr="000202EA">
        <w:rPr>
          <w:sz w:val="20"/>
          <w:szCs w:val="20"/>
          <w:lang w:bidi="ar-EG"/>
        </w:rPr>
        <w:t xml:space="preserve">his approach is particularly advantageous for patients with medical conditions (such as diabetes mellitus or pre-existing chronic renal insufficiency) that predispose them to an increased risk of developing contrast-induced renal failure. Acute renal insufficiency may develop in up to 31% of diabetic patients who undergo intravenous injection of contrast material. Similarly, up to 42% of patients with pre-existing chronic renal failure may experience deterioration of their renal function, and up to 20% of these patients may require </w:t>
      </w:r>
      <w:proofErr w:type="spellStart"/>
      <w:r w:rsidRPr="000202EA">
        <w:rPr>
          <w:sz w:val="20"/>
          <w:szCs w:val="20"/>
          <w:lang w:bidi="ar-EG"/>
        </w:rPr>
        <w:t>hemodialysis</w:t>
      </w:r>
      <w:proofErr w:type="spellEnd"/>
      <w:r w:rsidRPr="000202EA">
        <w:rPr>
          <w:sz w:val="20"/>
          <w:szCs w:val="20"/>
          <w:lang w:bidi="ar-EG"/>
        </w:rPr>
        <w:t xml:space="preserve"> treatments. Moreover, 38% of diabetic patients may develop contrast induced renal failure</w:t>
      </w:r>
      <w:r w:rsidRPr="000202EA">
        <w:rPr>
          <w:b/>
          <w:bCs/>
          <w:sz w:val="20"/>
          <w:szCs w:val="20"/>
          <w:lang w:bidi="ar-EG"/>
        </w:rPr>
        <w:t xml:space="preserve">. </w:t>
      </w:r>
      <w:r w:rsidRPr="000202EA">
        <w:rPr>
          <w:sz w:val="20"/>
          <w:szCs w:val="20"/>
          <w:lang w:bidi="ar-EG"/>
        </w:rPr>
        <w:t xml:space="preserve">The risk of contrast </w:t>
      </w:r>
      <w:r w:rsidRPr="000202EA">
        <w:rPr>
          <w:sz w:val="20"/>
          <w:szCs w:val="20"/>
          <w:lang w:bidi="ar-EG"/>
        </w:rPr>
        <w:lastRenderedPageBreak/>
        <w:t xml:space="preserve">induced nephropathy and renal failure especially in patients with renal impairment. The risk of dye inducing allergy and hypersensitivity starting from </w:t>
      </w:r>
      <w:proofErr w:type="spellStart"/>
      <w:r w:rsidRPr="000202EA">
        <w:rPr>
          <w:sz w:val="20"/>
          <w:szCs w:val="20"/>
          <w:lang w:bidi="ar-EG"/>
        </w:rPr>
        <w:t>urticaria</w:t>
      </w:r>
      <w:proofErr w:type="spellEnd"/>
      <w:r w:rsidRPr="000202EA">
        <w:rPr>
          <w:sz w:val="20"/>
          <w:szCs w:val="20"/>
          <w:lang w:bidi="ar-EG"/>
        </w:rPr>
        <w:t xml:space="preserve"> up to cardio-pulmonary arrest. Because of such dangers and drawbacks, it is recommended to use the duplex guided angioplasty techniqu</w:t>
      </w:r>
      <w:r w:rsidR="009B39CE" w:rsidRPr="000202EA">
        <w:rPr>
          <w:sz w:val="20"/>
          <w:szCs w:val="20"/>
          <w:lang w:bidi="ar-EG"/>
        </w:rPr>
        <w:t xml:space="preserve">e </w:t>
      </w:r>
      <w:r w:rsidR="009B39CE" w:rsidRPr="000202EA">
        <w:rPr>
          <w:b/>
          <w:bCs/>
          <w:sz w:val="20"/>
          <w:szCs w:val="20"/>
          <w:lang w:bidi="ar-EG"/>
        </w:rPr>
        <w:t>(</w:t>
      </w:r>
      <w:proofErr w:type="spellStart"/>
      <w:r w:rsidRPr="000202EA">
        <w:rPr>
          <w:b/>
          <w:bCs/>
          <w:sz w:val="20"/>
          <w:szCs w:val="20"/>
          <w:lang w:bidi="ar-EG"/>
        </w:rPr>
        <w:t>Hingorani</w:t>
      </w:r>
      <w:proofErr w:type="spellEnd"/>
      <w:r w:rsidRPr="000202EA">
        <w:rPr>
          <w:b/>
          <w:bCs/>
          <w:sz w:val="20"/>
          <w:szCs w:val="20"/>
          <w:lang w:bidi="ar-EG"/>
        </w:rPr>
        <w:t xml:space="preserve"> et al., 2012).</w:t>
      </w:r>
    </w:p>
    <w:p w:rsidR="00282291" w:rsidRPr="000202EA" w:rsidRDefault="00282291" w:rsidP="00243C1C">
      <w:pPr>
        <w:snapToGrid w:val="0"/>
        <w:ind w:firstLine="425"/>
        <w:jc w:val="both"/>
        <w:rPr>
          <w:sz w:val="20"/>
          <w:szCs w:val="20"/>
          <w:lang w:bidi="ar-EG"/>
        </w:rPr>
      </w:pPr>
      <w:r w:rsidRPr="000202EA">
        <w:rPr>
          <w:sz w:val="20"/>
          <w:szCs w:val="20"/>
          <w:lang w:bidi="ar-EG"/>
        </w:rPr>
        <w:t xml:space="preserve">As the proportion of minimally invasive arterial procedures increases, vascular surgeons have to be more aware of the potential complications of radiation exposure, particularly to the eyes and gonads. The deleterious effects are cumulative and irreversible. The risk of irradiation exposure for the surgeon and the assistant staff as the lead aprons worn only protect the abdomen and chest while the back still uncovered and unprotected, even the thyroid region is uncovered as there is no thyroid coverage and the same risk could happen to the eyes as special glasses should be worn </w:t>
      </w:r>
      <w:r w:rsidRPr="000202EA">
        <w:rPr>
          <w:b/>
          <w:bCs/>
          <w:sz w:val="20"/>
          <w:szCs w:val="20"/>
          <w:lang w:bidi="ar-EG"/>
        </w:rPr>
        <w:t>(</w:t>
      </w:r>
      <w:proofErr w:type="spellStart"/>
      <w:r w:rsidRPr="000202EA">
        <w:rPr>
          <w:b/>
          <w:bCs/>
          <w:sz w:val="20"/>
          <w:szCs w:val="20"/>
          <w:lang w:bidi="ar-EG"/>
        </w:rPr>
        <w:t>Hingorani</w:t>
      </w:r>
      <w:proofErr w:type="spellEnd"/>
      <w:r w:rsidRPr="000202EA">
        <w:rPr>
          <w:b/>
          <w:bCs/>
          <w:sz w:val="20"/>
          <w:szCs w:val="20"/>
          <w:lang w:bidi="ar-EG"/>
        </w:rPr>
        <w:t xml:space="preserve"> et al., 2012).</w:t>
      </w:r>
    </w:p>
    <w:p w:rsidR="00282291" w:rsidRPr="000202EA" w:rsidRDefault="00282291" w:rsidP="00243C1C">
      <w:pPr>
        <w:snapToGrid w:val="0"/>
        <w:ind w:firstLine="425"/>
        <w:jc w:val="both"/>
        <w:rPr>
          <w:sz w:val="20"/>
          <w:szCs w:val="20"/>
          <w:lang w:bidi="ar-EG"/>
        </w:rPr>
      </w:pPr>
      <w:r w:rsidRPr="000202EA">
        <w:rPr>
          <w:b/>
          <w:bCs/>
          <w:sz w:val="20"/>
          <w:szCs w:val="20"/>
          <w:lang w:bidi="ar-EG"/>
        </w:rPr>
        <w:t xml:space="preserve">In this study, </w:t>
      </w:r>
      <w:r w:rsidRPr="000202EA">
        <w:rPr>
          <w:sz w:val="20"/>
          <w:szCs w:val="20"/>
          <w:lang w:bidi="ar-EG"/>
        </w:rPr>
        <w:t xml:space="preserve">whenever difficulty was faced during vessel puncture, duplex guidance made access very easy and solved the problem every time. Also, the puncture of the access artery (CFA or SFA) can be guided by </w:t>
      </w:r>
      <w:proofErr w:type="spellStart"/>
      <w:r w:rsidRPr="000202EA">
        <w:rPr>
          <w:sz w:val="20"/>
          <w:szCs w:val="20"/>
          <w:lang w:bidi="ar-EG"/>
        </w:rPr>
        <w:t>ultrasonography</w:t>
      </w:r>
      <w:proofErr w:type="spellEnd"/>
      <w:r w:rsidRPr="000202EA">
        <w:rPr>
          <w:sz w:val="20"/>
          <w:szCs w:val="20"/>
          <w:lang w:bidi="ar-EG"/>
        </w:rPr>
        <w:t xml:space="preserve">, thus helping to prevent any complications such as arterial dissections and to prevent in </w:t>
      </w:r>
      <w:proofErr w:type="spellStart"/>
      <w:r w:rsidRPr="000202EA">
        <w:rPr>
          <w:sz w:val="20"/>
          <w:szCs w:val="20"/>
          <w:lang w:bidi="ar-EG"/>
        </w:rPr>
        <w:t>advertant</w:t>
      </w:r>
      <w:proofErr w:type="spellEnd"/>
      <w:r w:rsidRPr="000202EA">
        <w:rPr>
          <w:sz w:val="20"/>
          <w:szCs w:val="20"/>
          <w:lang w:bidi="ar-EG"/>
        </w:rPr>
        <w:t xml:space="preserve"> </w:t>
      </w:r>
      <w:proofErr w:type="spellStart"/>
      <w:r w:rsidRPr="000202EA">
        <w:rPr>
          <w:sz w:val="20"/>
          <w:szCs w:val="20"/>
          <w:lang w:bidi="ar-EG"/>
        </w:rPr>
        <w:t>profundafemoris</w:t>
      </w:r>
      <w:proofErr w:type="spellEnd"/>
      <w:r w:rsidRPr="000202EA">
        <w:rPr>
          <w:sz w:val="20"/>
          <w:szCs w:val="20"/>
          <w:lang w:bidi="ar-EG"/>
        </w:rPr>
        <w:t xml:space="preserve"> artery puncture, and if this happened correction of wire to SFA is very easy with duplex guidance.</w:t>
      </w:r>
    </w:p>
    <w:p w:rsidR="00282291" w:rsidRPr="000202EA" w:rsidRDefault="00282291" w:rsidP="00243C1C">
      <w:pPr>
        <w:snapToGrid w:val="0"/>
        <w:ind w:firstLine="425"/>
        <w:jc w:val="both"/>
        <w:rPr>
          <w:b/>
          <w:bCs/>
          <w:sz w:val="20"/>
          <w:szCs w:val="20"/>
          <w:lang w:bidi="ar-EG"/>
        </w:rPr>
      </w:pPr>
      <w:r w:rsidRPr="000202EA">
        <w:rPr>
          <w:b/>
          <w:bCs/>
          <w:sz w:val="20"/>
          <w:szCs w:val="20"/>
          <w:lang w:bidi="ar-EG"/>
        </w:rPr>
        <w:t>In this study</w:t>
      </w:r>
      <w:r w:rsidRPr="000202EA">
        <w:rPr>
          <w:sz w:val="20"/>
          <w:szCs w:val="20"/>
          <w:lang w:bidi="ar-EG"/>
        </w:rPr>
        <w:t xml:space="preserve">, identification of the exact location of the vascular lesion precisely and it's accurate length, and its type and also status of run off vessels. Also, we could study the </w:t>
      </w:r>
      <w:proofErr w:type="spellStart"/>
      <w:r w:rsidRPr="000202EA">
        <w:rPr>
          <w:sz w:val="20"/>
          <w:szCs w:val="20"/>
          <w:lang w:bidi="ar-EG"/>
        </w:rPr>
        <w:t>hemodynamics</w:t>
      </w:r>
      <w:proofErr w:type="spellEnd"/>
      <w:r w:rsidRPr="000202EA">
        <w:rPr>
          <w:sz w:val="20"/>
          <w:szCs w:val="20"/>
          <w:lang w:bidi="ar-EG"/>
        </w:rPr>
        <w:t xml:space="preserve"> of the lesion before and after the procedure instantaneously. This had helped us to select lesions based on Tran</w:t>
      </w:r>
      <w:r w:rsidR="00C305D9" w:rsidRPr="000202EA">
        <w:rPr>
          <w:sz w:val="20"/>
          <w:szCs w:val="20"/>
          <w:lang w:bidi="ar-EG"/>
        </w:rPr>
        <w:t>s A</w:t>
      </w:r>
      <w:r w:rsidRPr="000202EA">
        <w:rPr>
          <w:sz w:val="20"/>
          <w:szCs w:val="20"/>
          <w:lang w:bidi="ar-EG"/>
        </w:rPr>
        <w:t xml:space="preserve">tlantic Inter- Society Consensus (TASC) recommendation </w:t>
      </w:r>
      <w:r w:rsidRPr="000202EA">
        <w:rPr>
          <w:b/>
          <w:bCs/>
          <w:sz w:val="20"/>
          <w:szCs w:val="20"/>
          <w:lang w:bidi="ar-EG"/>
        </w:rPr>
        <w:t>(TASC II, 20</w:t>
      </w:r>
      <w:r w:rsidR="00993ABE" w:rsidRPr="000202EA">
        <w:rPr>
          <w:b/>
          <w:bCs/>
          <w:sz w:val="20"/>
          <w:szCs w:val="20"/>
          <w:lang w:bidi="ar-EG"/>
        </w:rPr>
        <w:t>15</w:t>
      </w:r>
      <w:r w:rsidRPr="000202EA">
        <w:rPr>
          <w:b/>
          <w:bCs/>
          <w:sz w:val="20"/>
          <w:szCs w:val="20"/>
          <w:lang w:bidi="ar-EG"/>
        </w:rPr>
        <w:t>).</w:t>
      </w:r>
    </w:p>
    <w:p w:rsidR="00282291" w:rsidRPr="000202EA" w:rsidRDefault="00282291" w:rsidP="00243C1C">
      <w:pPr>
        <w:snapToGrid w:val="0"/>
        <w:ind w:firstLine="425"/>
        <w:jc w:val="both"/>
        <w:rPr>
          <w:b/>
          <w:bCs/>
          <w:sz w:val="20"/>
          <w:szCs w:val="20"/>
          <w:lang w:bidi="ar-EG"/>
        </w:rPr>
      </w:pPr>
      <w:proofErr w:type="spellStart"/>
      <w:r w:rsidRPr="000202EA">
        <w:rPr>
          <w:b/>
          <w:bCs/>
          <w:sz w:val="20"/>
          <w:szCs w:val="20"/>
          <w:lang w:bidi="ar-EG"/>
        </w:rPr>
        <w:t>Ascher</w:t>
      </w:r>
      <w:proofErr w:type="spellEnd"/>
      <w:r w:rsidRPr="000202EA">
        <w:rPr>
          <w:b/>
          <w:bCs/>
          <w:sz w:val="20"/>
          <w:szCs w:val="20"/>
          <w:lang w:bidi="ar-EG"/>
        </w:rPr>
        <w:t xml:space="preserve"> et al</w:t>
      </w:r>
      <w:r w:rsidRPr="000202EA">
        <w:rPr>
          <w:sz w:val="20"/>
          <w:szCs w:val="20"/>
          <w:lang w:bidi="ar-EG"/>
        </w:rPr>
        <w:t xml:space="preserve"> stated that balloon angioplasty of the </w:t>
      </w:r>
      <w:proofErr w:type="spellStart"/>
      <w:r w:rsidRPr="000202EA">
        <w:rPr>
          <w:sz w:val="20"/>
          <w:szCs w:val="20"/>
          <w:lang w:bidi="ar-EG"/>
        </w:rPr>
        <w:t>infrapopliteal</w:t>
      </w:r>
      <w:proofErr w:type="spellEnd"/>
      <w:r w:rsidRPr="000202EA">
        <w:rPr>
          <w:sz w:val="20"/>
          <w:szCs w:val="20"/>
          <w:lang w:bidi="ar-EG"/>
        </w:rPr>
        <w:t xml:space="preserve"> arteries is feasible under duplex guidance alone. Excellent anatomic and hemodynamic results may be expected from our approach regardless of the extent of the </w:t>
      </w:r>
      <w:proofErr w:type="spellStart"/>
      <w:r w:rsidRPr="000202EA">
        <w:rPr>
          <w:sz w:val="20"/>
          <w:szCs w:val="20"/>
          <w:lang w:bidi="ar-EG"/>
        </w:rPr>
        <w:t>stenotic</w:t>
      </w:r>
      <w:proofErr w:type="spellEnd"/>
      <w:r w:rsidRPr="000202EA">
        <w:rPr>
          <w:sz w:val="20"/>
          <w:szCs w:val="20"/>
          <w:lang w:bidi="ar-EG"/>
        </w:rPr>
        <w:t xml:space="preserve"> lesion. However, one should be ready to abandon this approach in favor of a more standard technique whenever duplex visualization of the treated segment is not acceptable, such as in cases of heavily calcified arteries or in very obese patients in whom the target arteries are deeper than 4 cm </w:t>
      </w:r>
      <w:r w:rsidRPr="000202EA">
        <w:rPr>
          <w:b/>
          <w:bCs/>
          <w:sz w:val="20"/>
          <w:szCs w:val="20"/>
          <w:lang w:bidi="ar-EG"/>
        </w:rPr>
        <w:t>(</w:t>
      </w:r>
      <w:proofErr w:type="spellStart"/>
      <w:r w:rsidRPr="000202EA">
        <w:rPr>
          <w:b/>
          <w:bCs/>
          <w:sz w:val="20"/>
          <w:szCs w:val="20"/>
          <w:lang w:bidi="ar-EG"/>
        </w:rPr>
        <w:t>Ascher</w:t>
      </w:r>
      <w:proofErr w:type="spellEnd"/>
      <w:r w:rsidRPr="000202EA">
        <w:rPr>
          <w:b/>
          <w:bCs/>
          <w:sz w:val="20"/>
          <w:szCs w:val="20"/>
          <w:lang w:bidi="ar-EG"/>
        </w:rPr>
        <w:t xml:space="preserve"> et al., 2005).</w:t>
      </w:r>
    </w:p>
    <w:p w:rsidR="00282291" w:rsidRPr="000202EA" w:rsidRDefault="00282291" w:rsidP="00243C1C">
      <w:pPr>
        <w:snapToGrid w:val="0"/>
        <w:ind w:firstLine="425"/>
        <w:jc w:val="both"/>
        <w:rPr>
          <w:b/>
          <w:bCs/>
          <w:sz w:val="20"/>
          <w:szCs w:val="20"/>
          <w:lang w:bidi="ar-EG"/>
        </w:rPr>
      </w:pPr>
      <w:r w:rsidRPr="000202EA">
        <w:rPr>
          <w:b/>
          <w:bCs/>
          <w:sz w:val="20"/>
          <w:szCs w:val="20"/>
          <w:lang w:bidi="ar-EG"/>
        </w:rPr>
        <w:t>In this study</w:t>
      </w:r>
      <w:r w:rsidRPr="000202EA">
        <w:rPr>
          <w:sz w:val="20"/>
          <w:szCs w:val="20"/>
          <w:lang w:bidi="ar-EG"/>
        </w:rPr>
        <w:t xml:space="preserve">, the proper size, length of balloon and the stent according to precise measurements of the vessel diameter and the extent of the lesion could be done according to duplex evaluation. After retrieval of the balloon angioplasty catheter, a detailed duplex examination of the entire treated segment was performed to identify areas of possible residual </w:t>
      </w:r>
      <w:proofErr w:type="spellStart"/>
      <w:r w:rsidRPr="000202EA">
        <w:rPr>
          <w:sz w:val="20"/>
          <w:szCs w:val="20"/>
          <w:lang w:bidi="ar-EG"/>
        </w:rPr>
        <w:t>stenosis</w:t>
      </w:r>
      <w:proofErr w:type="spellEnd"/>
      <w:r w:rsidRPr="000202EA">
        <w:rPr>
          <w:sz w:val="20"/>
          <w:szCs w:val="20"/>
          <w:lang w:bidi="ar-EG"/>
        </w:rPr>
        <w:t xml:space="preserve">, plaque recoil or dissection causing flow abnormalities. All areas of suspected defects were </w:t>
      </w:r>
      <w:r w:rsidRPr="000202EA">
        <w:rPr>
          <w:sz w:val="20"/>
          <w:szCs w:val="20"/>
          <w:lang w:bidi="ar-EG"/>
        </w:rPr>
        <w:lastRenderedPageBreak/>
        <w:t>assessed by direct diameter-reduction measurement on color or power image, as well as by spectral analyses, including PSV.</w:t>
      </w:r>
    </w:p>
    <w:p w:rsidR="00282291" w:rsidRPr="000202EA" w:rsidRDefault="00282291" w:rsidP="00243C1C">
      <w:pPr>
        <w:snapToGrid w:val="0"/>
        <w:ind w:firstLine="425"/>
        <w:jc w:val="both"/>
        <w:rPr>
          <w:sz w:val="20"/>
          <w:szCs w:val="20"/>
          <w:lang w:bidi="ar-EG"/>
        </w:rPr>
      </w:pPr>
      <w:r w:rsidRPr="000202EA">
        <w:rPr>
          <w:sz w:val="20"/>
          <w:szCs w:val="20"/>
          <w:lang w:bidi="ar-EG"/>
        </w:rPr>
        <w:t>Duplex guided procedures were accomplished in this study by a team consisting of radiologist (</w:t>
      </w:r>
      <w:proofErr w:type="spellStart"/>
      <w:r w:rsidRPr="000202EA">
        <w:rPr>
          <w:sz w:val="20"/>
          <w:szCs w:val="20"/>
          <w:lang w:bidi="ar-EG"/>
        </w:rPr>
        <w:t>sonarist</w:t>
      </w:r>
      <w:proofErr w:type="spellEnd"/>
      <w:r w:rsidRPr="000202EA">
        <w:rPr>
          <w:sz w:val="20"/>
          <w:szCs w:val="20"/>
          <w:lang w:bidi="ar-EG"/>
        </w:rPr>
        <w:t xml:space="preserve">) was responsible for managing the probe during the procedure, and vascular surgeon who was responsible for the steps of PTA and </w:t>
      </w:r>
      <w:proofErr w:type="spellStart"/>
      <w:r w:rsidRPr="000202EA">
        <w:rPr>
          <w:sz w:val="20"/>
          <w:szCs w:val="20"/>
          <w:lang w:bidi="ar-EG"/>
        </w:rPr>
        <w:t>stenting</w:t>
      </w:r>
      <w:proofErr w:type="spellEnd"/>
      <w:r w:rsidRPr="000202EA">
        <w:rPr>
          <w:sz w:val="20"/>
          <w:szCs w:val="20"/>
          <w:lang w:bidi="ar-EG"/>
        </w:rPr>
        <w:t>.</w:t>
      </w:r>
    </w:p>
    <w:p w:rsidR="00282291" w:rsidRPr="000202EA" w:rsidRDefault="00282291" w:rsidP="00243C1C">
      <w:pPr>
        <w:autoSpaceDE w:val="0"/>
        <w:autoSpaceDN w:val="0"/>
        <w:adjustRightInd w:val="0"/>
        <w:snapToGrid w:val="0"/>
        <w:ind w:firstLine="425"/>
        <w:jc w:val="both"/>
        <w:rPr>
          <w:sz w:val="20"/>
          <w:szCs w:val="20"/>
        </w:rPr>
      </w:pPr>
      <w:r w:rsidRPr="000202EA">
        <w:rPr>
          <w:b/>
          <w:bCs/>
          <w:sz w:val="20"/>
          <w:szCs w:val="20"/>
        </w:rPr>
        <w:t>In this study</w:t>
      </w:r>
      <w:r w:rsidRPr="000202EA">
        <w:rPr>
          <w:sz w:val="20"/>
          <w:szCs w:val="20"/>
        </w:rPr>
        <w:t xml:space="preserve">, a total 40 patients had TASC A and B lesions were treated by duplex angioplasty for CLI, 29(72.5%) were treated for rest pain and 11(27.5%) were for rest pain associated with tissue loss. </w:t>
      </w:r>
      <w:r w:rsidRPr="000202EA">
        <w:rPr>
          <w:sz w:val="20"/>
          <w:szCs w:val="20"/>
        </w:rPr>
        <w:tab/>
        <w:t xml:space="preserve"> The mean age was 61.35 ± 8.59 years. A male predominance (77.5%) was noted, and the typical </w:t>
      </w:r>
      <w:proofErr w:type="spellStart"/>
      <w:r w:rsidRPr="000202EA">
        <w:rPr>
          <w:sz w:val="20"/>
          <w:szCs w:val="20"/>
        </w:rPr>
        <w:t>comorbid</w:t>
      </w:r>
      <w:proofErr w:type="spellEnd"/>
      <w:r w:rsidRPr="000202EA">
        <w:rPr>
          <w:sz w:val="20"/>
          <w:szCs w:val="20"/>
        </w:rPr>
        <w:t xml:space="preserve"> features associated with PAD were identified. 13 limbs (32.5%) had single-vessel runoff, 27 (67.5%) had multiple-vessel runoff.</w:t>
      </w:r>
    </w:p>
    <w:p w:rsidR="00282291" w:rsidRPr="000202EA" w:rsidRDefault="00282291" w:rsidP="00243C1C">
      <w:pPr>
        <w:snapToGrid w:val="0"/>
        <w:ind w:firstLine="425"/>
        <w:jc w:val="both"/>
        <w:rPr>
          <w:sz w:val="20"/>
          <w:szCs w:val="20"/>
          <w:lang w:bidi="ar-EG"/>
        </w:rPr>
      </w:pPr>
      <w:r w:rsidRPr="000202EA">
        <w:rPr>
          <w:sz w:val="20"/>
          <w:szCs w:val="20"/>
          <w:lang w:bidi="ar-EG"/>
        </w:rPr>
        <w:t>The technical success rate was 100% in this study</w:t>
      </w:r>
      <w:r w:rsidRPr="000202EA">
        <w:rPr>
          <w:b/>
          <w:bCs/>
          <w:sz w:val="20"/>
          <w:szCs w:val="20"/>
          <w:lang w:bidi="ar-EG"/>
        </w:rPr>
        <w:t xml:space="preserve">, </w:t>
      </w:r>
      <w:r w:rsidRPr="000202EA">
        <w:rPr>
          <w:sz w:val="20"/>
          <w:szCs w:val="20"/>
          <w:lang w:bidi="ar-EG"/>
        </w:rPr>
        <w:t>based on 1- blood flow was regard before accomplishing the procedure by PTA alone in 38 patients (95%) and PTA with stent in two patients (5%) due to dissection and treated with (6x80cm) EV3 (Self-expanding stent</w:t>
      </w:r>
      <w:r w:rsidR="00C305D9" w:rsidRPr="000202EA">
        <w:rPr>
          <w:sz w:val="20"/>
          <w:szCs w:val="20"/>
          <w:lang w:bidi="ar-EG"/>
        </w:rPr>
        <w:t xml:space="preserve">. </w:t>
      </w:r>
      <w:proofErr w:type="spellStart"/>
      <w:r w:rsidR="00C305D9" w:rsidRPr="000202EA">
        <w:rPr>
          <w:sz w:val="20"/>
          <w:szCs w:val="20"/>
          <w:lang w:bidi="ar-EG"/>
        </w:rPr>
        <w:t>I</w:t>
      </w:r>
      <w:r w:rsidRPr="000202EA">
        <w:rPr>
          <w:sz w:val="20"/>
          <w:szCs w:val="20"/>
          <w:lang w:bidi="ar-EG"/>
        </w:rPr>
        <w:t>ntraoperative</w:t>
      </w:r>
      <w:proofErr w:type="spellEnd"/>
      <w:r w:rsidRPr="000202EA">
        <w:rPr>
          <w:sz w:val="20"/>
          <w:szCs w:val="20"/>
          <w:lang w:bidi="ar-EG"/>
        </w:rPr>
        <w:t xml:space="preserve"> complications, there were dissection occurred in two cases one treated with stent deployment due to </w:t>
      </w:r>
      <w:proofErr w:type="spellStart"/>
      <w:r w:rsidRPr="000202EA">
        <w:rPr>
          <w:sz w:val="20"/>
          <w:szCs w:val="20"/>
          <w:lang w:bidi="ar-EG"/>
        </w:rPr>
        <w:t>hemodynamically</w:t>
      </w:r>
      <w:proofErr w:type="spellEnd"/>
      <w:r w:rsidRPr="000202EA">
        <w:rPr>
          <w:sz w:val="20"/>
          <w:szCs w:val="20"/>
          <w:lang w:bidi="ar-EG"/>
        </w:rPr>
        <w:t xml:space="preserve"> residual significant </w:t>
      </w:r>
      <w:proofErr w:type="spellStart"/>
      <w:r w:rsidRPr="000202EA">
        <w:rPr>
          <w:sz w:val="20"/>
          <w:szCs w:val="20"/>
          <w:lang w:bidi="ar-EG"/>
        </w:rPr>
        <w:t>stenosis</w:t>
      </w:r>
      <w:proofErr w:type="spellEnd"/>
      <w:r w:rsidRPr="000202EA">
        <w:rPr>
          <w:sz w:val="20"/>
          <w:szCs w:val="20"/>
          <w:lang w:bidi="ar-EG"/>
        </w:rPr>
        <w:t xml:space="preserve"> following angioplasty &lt; 30% diameter reduction and the other one treated with multiple successive balloon dilation for 30 second duration and one minute apart, no thrombosis of the SFA, no distal emboli were detected on completion duplex scans.</w:t>
      </w:r>
    </w:p>
    <w:p w:rsidR="00282291" w:rsidRPr="000202EA" w:rsidRDefault="00282291" w:rsidP="00243C1C">
      <w:pPr>
        <w:snapToGrid w:val="0"/>
        <w:ind w:firstLine="425"/>
        <w:jc w:val="both"/>
        <w:rPr>
          <w:sz w:val="20"/>
          <w:szCs w:val="20"/>
          <w:lang w:bidi="ar-EG"/>
        </w:rPr>
      </w:pPr>
      <w:r w:rsidRPr="000202EA">
        <w:rPr>
          <w:b/>
          <w:bCs/>
          <w:sz w:val="20"/>
          <w:szCs w:val="20"/>
          <w:lang w:bidi="ar-EG"/>
        </w:rPr>
        <w:t xml:space="preserve">Richard et al 2006 </w:t>
      </w:r>
      <w:r w:rsidRPr="000202EA">
        <w:rPr>
          <w:sz w:val="20"/>
          <w:szCs w:val="20"/>
          <w:lang w:bidi="ar-EG"/>
        </w:rPr>
        <w:t xml:space="preserve">reported immediate technical success was achieved in 49 of 52 treated </w:t>
      </w:r>
      <w:proofErr w:type="spellStart"/>
      <w:r w:rsidRPr="000202EA">
        <w:rPr>
          <w:sz w:val="20"/>
          <w:szCs w:val="20"/>
          <w:lang w:bidi="ar-EG"/>
        </w:rPr>
        <w:t>infrapopliteal</w:t>
      </w:r>
      <w:proofErr w:type="spellEnd"/>
      <w:r w:rsidRPr="000202EA">
        <w:rPr>
          <w:sz w:val="20"/>
          <w:szCs w:val="20"/>
          <w:lang w:bidi="ar-EG"/>
        </w:rPr>
        <w:t xml:space="preserve"> arteries, with an overall success rate of 94%. In the remaining three cases, the wire would not traverse a </w:t>
      </w:r>
      <w:proofErr w:type="spellStart"/>
      <w:r w:rsidRPr="000202EA">
        <w:rPr>
          <w:sz w:val="20"/>
          <w:szCs w:val="20"/>
          <w:lang w:bidi="ar-EG"/>
        </w:rPr>
        <w:t>stenotic</w:t>
      </w:r>
      <w:proofErr w:type="spellEnd"/>
      <w:r w:rsidRPr="000202EA">
        <w:rPr>
          <w:sz w:val="20"/>
          <w:szCs w:val="20"/>
          <w:lang w:bidi="ar-EG"/>
        </w:rPr>
        <w:t xml:space="preserve"> lesion (two </w:t>
      </w:r>
      <w:proofErr w:type="spellStart"/>
      <w:r w:rsidRPr="000202EA">
        <w:rPr>
          <w:sz w:val="20"/>
          <w:szCs w:val="20"/>
          <w:lang w:bidi="ar-EG"/>
        </w:rPr>
        <w:t>peroneal</w:t>
      </w:r>
      <w:proofErr w:type="spellEnd"/>
      <w:r w:rsidRPr="000202EA">
        <w:rPr>
          <w:sz w:val="20"/>
          <w:szCs w:val="20"/>
          <w:lang w:bidi="ar-EG"/>
        </w:rPr>
        <w:t xml:space="preserve"> arteries) or failed to re-enter during a </w:t>
      </w:r>
      <w:proofErr w:type="spellStart"/>
      <w:r w:rsidRPr="000202EA">
        <w:rPr>
          <w:sz w:val="20"/>
          <w:szCs w:val="20"/>
          <w:lang w:bidi="ar-EG"/>
        </w:rPr>
        <w:t>subintimal</w:t>
      </w:r>
      <w:proofErr w:type="spellEnd"/>
      <w:r w:rsidRPr="000202EA">
        <w:rPr>
          <w:sz w:val="20"/>
          <w:szCs w:val="20"/>
          <w:lang w:bidi="ar-EG"/>
        </w:rPr>
        <w:t xml:space="preserve"> dissection (one </w:t>
      </w:r>
      <w:proofErr w:type="spellStart"/>
      <w:r w:rsidRPr="000202EA">
        <w:rPr>
          <w:sz w:val="20"/>
          <w:szCs w:val="20"/>
          <w:lang w:bidi="ar-EG"/>
        </w:rPr>
        <w:t>peroneal</w:t>
      </w:r>
      <w:proofErr w:type="spellEnd"/>
      <w:r w:rsidRPr="000202EA">
        <w:rPr>
          <w:sz w:val="20"/>
          <w:szCs w:val="20"/>
          <w:lang w:bidi="ar-EG"/>
        </w:rPr>
        <w:t xml:space="preserve"> artery).</w:t>
      </w:r>
    </w:p>
    <w:p w:rsidR="00282291" w:rsidRPr="000202EA" w:rsidRDefault="00282291" w:rsidP="00243C1C">
      <w:pPr>
        <w:snapToGrid w:val="0"/>
        <w:ind w:firstLine="425"/>
        <w:jc w:val="both"/>
        <w:rPr>
          <w:sz w:val="20"/>
          <w:szCs w:val="20"/>
          <w:lang w:bidi="ar-EG"/>
        </w:rPr>
      </w:pPr>
      <w:proofErr w:type="spellStart"/>
      <w:r w:rsidRPr="000202EA">
        <w:rPr>
          <w:b/>
          <w:bCs/>
          <w:sz w:val="20"/>
          <w:szCs w:val="20"/>
          <w:lang w:bidi="ar-EG"/>
        </w:rPr>
        <w:t>Hingorani</w:t>
      </w:r>
      <w:proofErr w:type="spellEnd"/>
      <w:r w:rsidRPr="000202EA">
        <w:rPr>
          <w:b/>
          <w:bCs/>
          <w:sz w:val="20"/>
          <w:szCs w:val="20"/>
          <w:lang w:bidi="ar-EG"/>
        </w:rPr>
        <w:t xml:space="preserve"> et al 2004 </w:t>
      </w:r>
      <w:r w:rsidRPr="000202EA">
        <w:rPr>
          <w:sz w:val="20"/>
          <w:szCs w:val="20"/>
          <w:lang w:bidi="ar-EG"/>
        </w:rPr>
        <w:t xml:space="preserve">reported immediate technical success of </w:t>
      </w:r>
      <w:proofErr w:type="spellStart"/>
      <w:r w:rsidRPr="000202EA">
        <w:rPr>
          <w:sz w:val="20"/>
          <w:szCs w:val="20"/>
          <w:lang w:bidi="ar-EG"/>
        </w:rPr>
        <w:t>femoropopliteal</w:t>
      </w:r>
      <w:proofErr w:type="spellEnd"/>
      <w:r w:rsidRPr="000202EA">
        <w:rPr>
          <w:sz w:val="20"/>
          <w:szCs w:val="20"/>
          <w:lang w:bidi="ar-EG"/>
        </w:rPr>
        <w:t xml:space="preserve"> angioplasties, as confirmed by completion color flow imaging and spectral analyses, was documented in all cases. </w:t>
      </w:r>
      <w:proofErr w:type="spellStart"/>
      <w:r w:rsidRPr="000202EA">
        <w:rPr>
          <w:sz w:val="20"/>
          <w:szCs w:val="20"/>
          <w:lang w:bidi="ar-EG"/>
        </w:rPr>
        <w:t>Intraoperative</w:t>
      </w:r>
      <w:proofErr w:type="spellEnd"/>
      <w:r w:rsidRPr="000202EA">
        <w:rPr>
          <w:sz w:val="20"/>
          <w:szCs w:val="20"/>
          <w:lang w:bidi="ar-EG"/>
        </w:rPr>
        <w:t xml:space="preserve"> and early postoperative complications, local complications included one patient who required groin exploration for expanding hematoma. This was an obese patient who had a high femoral artery bifurcation. No distal emboli were detected on completion duplex scans. There were no early (30 days) </w:t>
      </w:r>
      <w:proofErr w:type="spellStart"/>
      <w:r w:rsidRPr="000202EA">
        <w:rPr>
          <w:sz w:val="20"/>
          <w:szCs w:val="20"/>
          <w:lang w:bidi="ar-EG"/>
        </w:rPr>
        <w:t>postprocedural</w:t>
      </w:r>
      <w:proofErr w:type="spellEnd"/>
      <w:r w:rsidRPr="000202EA">
        <w:rPr>
          <w:sz w:val="20"/>
          <w:szCs w:val="20"/>
          <w:lang w:bidi="ar-EG"/>
        </w:rPr>
        <w:t xml:space="preserve"> strokes, myocardial infarctions, or deaths in this series</w:t>
      </w:r>
      <w:r w:rsidRPr="000202EA">
        <w:rPr>
          <w:b/>
          <w:bCs/>
          <w:sz w:val="20"/>
          <w:szCs w:val="20"/>
          <w:lang w:bidi="ar-EG"/>
        </w:rPr>
        <w:t xml:space="preserve"> (</w:t>
      </w:r>
      <w:proofErr w:type="spellStart"/>
      <w:r w:rsidRPr="000202EA">
        <w:rPr>
          <w:b/>
          <w:bCs/>
          <w:sz w:val="20"/>
          <w:szCs w:val="20"/>
          <w:lang w:bidi="ar-EG"/>
        </w:rPr>
        <w:t>Hingorani</w:t>
      </w:r>
      <w:proofErr w:type="spellEnd"/>
      <w:r w:rsidRPr="000202EA">
        <w:rPr>
          <w:b/>
          <w:bCs/>
          <w:sz w:val="20"/>
          <w:szCs w:val="20"/>
          <w:lang w:bidi="ar-EG"/>
        </w:rPr>
        <w:t xml:space="preserve"> et al., 2004)</w:t>
      </w:r>
      <w:r w:rsidRPr="000202EA">
        <w:rPr>
          <w:sz w:val="20"/>
          <w:szCs w:val="20"/>
          <w:lang w:bidi="ar-EG"/>
        </w:rPr>
        <w:t>.</w:t>
      </w:r>
    </w:p>
    <w:p w:rsidR="00282291" w:rsidRPr="000202EA" w:rsidRDefault="00282291" w:rsidP="00243C1C">
      <w:pPr>
        <w:snapToGrid w:val="0"/>
        <w:jc w:val="both"/>
        <w:rPr>
          <w:b/>
          <w:bCs/>
          <w:sz w:val="20"/>
          <w:szCs w:val="20"/>
          <w:lang w:bidi="ar-EG"/>
        </w:rPr>
      </w:pPr>
      <w:r w:rsidRPr="000202EA">
        <w:rPr>
          <w:b/>
          <w:bCs/>
          <w:sz w:val="20"/>
          <w:szCs w:val="20"/>
          <w:lang w:bidi="ar-EG"/>
        </w:rPr>
        <w:t>Factors affecting short and long term outcome:</w:t>
      </w:r>
    </w:p>
    <w:p w:rsidR="00282291" w:rsidRPr="000202EA" w:rsidRDefault="00282291" w:rsidP="00243C1C">
      <w:pPr>
        <w:snapToGrid w:val="0"/>
        <w:ind w:firstLine="425"/>
        <w:jc w:val="both"/>
        <w:rPr>
          <w:sz w:val="20"/>
          <w:szCs w:val="20"/>
          <w:lang w:bidi="ar-EG"/>
        </w:rPr>
      </w:pPr>
      <w:r w:rsidRPr="000202EA">
        <w:rPr>
          <w:sz w:val="20"/>
          <w:szCs w:val="20"/>
          <w:lang w:bidi="ar-EG"/>
        </w:rPr>
        <w:t>Factors that influence the results of endovascular intervention for the ischemic lower limbs are:</w:t>
      </w:r>
    </w:p>
    <w:p w:rsidR="00282291" w:rsidRPr="000202EA" w:rsidRDefault="00282291" w:rsidP="00243C1C">
      <w:pPr>
        <w:numPr>
          <w:ilvl w:val="0"/>
          <w:numId w:val="3"/>
        </w:numPr>
        <w:snapToGrid w:val="0"/>
        <w:ind w:left="0" w:firstLine="425"/>
        <w:jc w:val="both"/>
        <w:rPr>
          <w:sz w:val="20"/>
          <w:szCs w:val="20"/>
          <w:lang w:bidi="ar-EG"/>
        </w:rPr>
      </w:pPr>
      <w:r w:rsidRPr="000202EA">
        <w:rPr>
          <w:sz w:val="20"/>
          <w:szCs w:val="20"/>
          <w:lang w:bidi="ar-EG"/>
        </w:rPr>
        <w:t>Lesion characteristics.</w:t>
      </w:r>
    </w:p>
    <w:p w:rsidR="00282291" w:rsidRPr="000202EA" w:rsidRDefault="00282291" w:rsidP="00243C1C">
      <w:pPr>
        <w:numPr>
          <w:ilvl w:val="0"/>
          <w:numId w:val="3"/>
        </w:numPr>
        <w:snapToGrid w:val="0"/>
        <w:ind w:left="0" w:firstLine="425"/>
        <w:jc w:val="both"/>
        <w:rPr>
          <w:sz w:val="20"/>
          <w:szCs w:val="20"/>
          <w:lang w:bidi="ar-EG"/>
        </w:rPr>
      </w:pPr>
      <w:r w:rsidRPr="000202EA">
        <w:rPr>
          <w:sz w:val="20"/>
          <w:szCs w:val="20"/>
          <w:lang w:bidi="ar-EG"/>
        </w:rPr>
        <w:t>Patient demographics.</w:t>
      </w:r>
    </w:p>
    <w:p w:rsidR="00282291" w:rsidRPr="000202EA" w:rsidRDefault="00282291" w:rsidP="00243C1C">
      <w:pPr>
        <w:numPr>
          <w:ilvl w:val="0"/>
          <w:numId w:val="3"/>
        </w:numPr>
        <w:snapToGrid w:val="0"/>
        <w:ind w:left="0" w:firstLine="425"/>
        <w:jc w:val="both"/>
        <w:rPr>
          <w:sz w:val="20"/>
          <w:szCs w:val="20"/>
          <w:lang w:bidi="ar-EG"/>
        </w:rPr>
      </w:pPr>
      <w:r w:rsidRPr="000202EA">
        <w:rPr>
          <w:sz w:val="20"/>
          <w:szCs w:val="20"/>
          <w:lang w:bidi="ar-EG"/>
        </w:rPr>
        <w:t>Clinical situation.</w:t>
      </w:r>
    </w:p>
    <w:p w:rsidR="00282291" w:rsidRPr="000202EA" w:rsidRDefault="00282291" w:rsidP="00243C1C">
      <w:pPr>
        <w:numPr>
          <w:ilvl w:val="0"/>
          <w:numId w:val="3"/>
        </w:numPr>
        <w:snapToGrid w:val="0"/>
        <w:ind w:left="0" w:firstLine="425"/>
        <w:jc w:val="both"/>
        <w:rPr>
          <w:sz w:val="20"/>
          <w:szCs w:val="20"/>
          <w:lang w:bidi="ar-EG"/>
        </w:rPr>
      </w:pPr>
      <w:r w:rsidRPr="000202EA">
        <w:rPr>
          <w:sz w:val="20"/>
          <w:szCs w:val="20"/>
          <w:lang w:bidi="ar-EG"/>
        </w:rPr>
        <w:lastRenderedPageBreak/>
        <w:t>Initial hemodynamic response.</w:t>
      </w:r>
    </w:p>
    <w:p w:rsidR="00282291" w:rsidRPr="000202EA" w:rsidRDefault="00282291" w:rsidP="00243C1C">
      <w:pPr>
        <w:snapToGrid w:val="0"/>
        <w:jc w:val="both"/>
        <w:rPr>
          <w:b/>
          <w:bCs/>
          <w:sz w:val="20"/>
          <w:szCs w:val="20"/>
          <w:lang w:bidi="ar-EG"/>
        </w:rPr>
      </w:pPr>
      <w:r w:rsidRPr="000202EA">
        <w:rPr>
          <w:b/>
          <w:bCs/>
          <w:sz w:val="20"/>
          <w:szCs w:val="20"/>
          <w:lang w:bidi="ar-EG"/>
        </w:rPr>
        <w:t>Lesion characteristics</w:t>
      </w:r>
    </w:p>
    <w:p w:rsidR="00282291" w:rsidRPr="000202EA" w:rsidRDefault="00282291" w:rsidP="00243C1C">
      <w:pPr>
        <w:snapToGrid w:val="0"/>
        <w:ind w:firstLine="425"/>
        <w:jc w:val="both"/>
        <w:rPr>
          <w:sz w:val="20"/>
          <w:szCs w:val="20"/>
          <w:lang w:bidi="ar-EG"/>
        </w:rPr>
      </w:pPr>
      <w:r w:rsidRPr="000202EA">
        <w:rPr>
          <w:sz w:val="20"/>
          <w:szCs w:val="20"/>
          <w:lang w:bidi="ar-EG"/>
        </w:rPr>
        <w:t>In this study, 7 proximal SFA lesions (17.5%), 21 middle SFA lesions (52.5%) and 12 distal SFA lesions (30%) were treated with duplex guided angioplasty. The primary patency rate of proximal SFA lesions at 1,</w:t>
      </w:r>
      <w:r w:rsidR="000202EA" w:rsidRPr="000202EA">
        <w:rPr>
          <w:rFonts w:eastAsiaTheme="minorEastAsia" w:hint="eastAsia"/>
          <w:sz w:val="20"/>
          <w:szCs w:val="20"/>
          <w:lang w:eastAsia="zh-CN" w:bidi="ar-EG"/>
        </w:rPr>
        <w:t xml:space="preserve"> </w:t>
      </w:r>
      <w:r w:rsidRPr="000202EA">
        <w:rPr>
          <w:sz w:val="20"/>
          <w:szCs w:val="20"/>
          <w:lang w:bidi="ar-EG"/>
        </w:rPr>
        <w:t>6,</w:t>
      </w:r>
      <w:r w:rsidR="000202EA" w:rsidRPr="000202EA">
        <w:rPr>
          <w:rFonts w:eastAsiaTheme="minorEastAsia" w:hint="eastAsia"/>
          <w:sz w:val="20"/>
          <w:szCs w:val="20"/>
          <w:lang w:eastAsia="zh-CN" w:bidi="ar-EG"/>
        </w:rPr>
        <w:t xml:space="preserve"> </w:t>
      </w:r>
      <w:r w:rsidRPr="000202EA">
        <w:rPr>
          <w:sz w:val="20"/>
          <w:szCs w:val="20"/>
          <w:lang w:bidi="ar-EG"/>
        </w:rPr>
        <w:t>12 months were 100%, 71.4% and 57.14% respectively. The primary patency rate of middle SFA lesions at 1,</w:t>
      </w:r>
      <w:r w:rsidR="000202EA" w:rsidRPr="000202EA">
        <w:rPr>
          <w:rFonts w:eastAsiaTheme="minorEastAsia" w:hint="eastAsia"/>
          <w:sz w:val="20"/>
          <w:szCs w:val="20"/>
          <w:lang w:eastAsia="zh-CN" w:bidi="ar-EG"/>
        </w:rPr>
        <w:t xml:space="preserve"> </w:t>
      </w:r>
      <w:r w:rsidRPr="000202EA">
        <w:rPr>
          <w:sz w:val="20"/>
          <w:szCs w:val="20"/>
          <w:lang w:bidi="ar-EG"/>
        </w:rPr>
        <w:t>6,</w:t>
      </w:r>
      <w:r w:rsidR="000202EA" w:rsidRPr="000202EA">
        <w:rPr>
          <w:rFonts w:eastAsiaTheme="minorEastAsia" w:hint="eastAsia"/>
          <w:sz w:val="20"/>
          <w:szCs w:val="20"/>
          <w:lang w:eastAsia="zh-CN" w:bidi="ar-EG"/>
        </w:rPr>
        <w:t xml:space="preserve"> </w:t>
      </w:r>
      <w:r w:rsidRPr="000202EA">
        <w:rPr>
          <w:sz w:val="20"/>
          <w:szCs w:val="20"/>
          <w:lang w:bidi="ar-EG"/>
        </w:rPr>
        <w:t>12 months were 100%, 81% and 71.4% respectively. The primary patency rate of distal SFA lesions at 1,6,12 months were 100%, 75% and 66.7% respectively. In summary, there is significant relation between site of lesion and long term patency rate</w:t>
      </w:r>
      <w:r w:rsidR="009B39CE" w:rsidRPr="000202EA">
        <w:rPr>
          <w:sz w:val="20"/>
          <w:szCs w:val="20"/>
          <w:lang w:bidi="ar-EG"/>
        </w:rPr>
        <w:t>s (</w:t>
      </w:r>
      <w:r w:rsidRPr="000202EA">
        <w:rPr>
          <w:sz w:val="20"/>
          <w:szCs w:val="20"/>
          <w:lang w:bidi="ar-EG"/>
        </w:rPr>
        <w:t>p-</w:t>
      </w:r>
      <w:proofErr w:type="spellStart"/>
      <w:r w:rsidRPr="000202EA">
        <w:rPr>
          <w:sz w:val="20"/>
          <w:szCs w:val="20"/>
          <w:lang w:bidi="ar-EG"/>
        </w:rPr>
        <w:t>vlue</w:t>
      </w:r>
      <w:proofErr w:type="spellEnd"/>
      <w:r w:rsidRPr="000202EA">
        <w:rPr>
          <w:sz w:val="20"/>
          <w:szCs w:val="20"/>
          <w:lang w:bidi="ar-EG"/>
        </w:rPr>
        <w:t xml:space="preserve"> =0.01). The middle SFA lesion showed better patency rates than proximal and distal SFA lesions.</w:t>
      </w:r>
    </w:p>
    <w:p w:rsidR="00282291" w:rsidRPr="000202EA" w:rsidRDefault="00282291" w:rsidP="00243C1C">
      <w:pPr>
        <w:snapToGrid w:val="0"/>
        <w:ind w:firstLine="425"/>
        <w:jc w:val="both"/>
        <w:rPr>
          <w:sz w:val="20"/>
          <w:szCs w:val="20"/>
        </w:rPr>
      </w:pPr>
      <w:r w:rsidRPr="000202EA">
        <w:rPr>
          <w:sz w:val="20"/>
          <w:szCs w:val="20"/>
        </w:rPr>
        <w:t xml:space="preserve">In a study done by </w:t>
      </w:r>
      <w:hyperlink r:id="rId24" w:history="1">
        <w:proofErr w:type="spellStart"/>
        <w:r w:rsidRPr="000202EA">
          <w:rPr>
            <w:b/>
            <w:bCs/>
            <w:sz w:val="20"/>
            <w:szCs w:val="20"/>
          </w:rPr>
          <w:t>Löfberg</w:t>
        </w:r>
      </w:hyperlink>
      <w:r w:rsidRPr="000202EA">
        <w:rPr>
          <w:b/>
          <w:bCs/>
          <w:sz w:val="20"/>
          <w:szCs w:val="20"/>
        </w:rPr>
        <w:t>et</w:t>
      </w:r>
      <w:proofErr w:type="spellEnd"/>
      <w:r w:rsidRPr="000202EA">
        <w:rPr>
          <w:b/>
          <w:bCs/>
          <w:sz w:val="20"/>
          <w:szCs w:val="20"/>
        </w:rPr>
        <w:t xml:space="preserve"> al 2001</w:t>
      </w:r>
      <w:r w:rsidRPr="000202EA">
        <w:rPr>
          <w:sz w:val="20"/>
          <w:szCs w:val="20"/>
        </w:rPr>
        <w:t>, Primary success rates at 12 and 24 months in proximal SFA lesions were 80% and 60%, respectively. The primary success rate of middle SFA lesions limbs were 85%, 75%.</w:t>
      </w:r>
    </w:p>
    <w:p w:rsidR="00282291" w:rsidRPr="000202EA" w:rsidRDefault="00282291" w:rsidP="00243C1C">
      <w:pPr>
        <w:snapToGrid w:val="0"/>
        <w:ind w:firstLine="425"/>
        <w:jc w:val="both"/>
        <w:rPr>
          <w:sz w:val="20"/>
          <w:szCs w:val="20"/>
        </w:rPr>
      </w:pPr>
      <w:r w:rsidRPr="000202EA">
        <w:rPr>
          <w:sz w:val="20"/>
          <w:szCs w:val="20"/>
        </w:rPr>
        <w:t xml:space="preserve">In this study, 8 occlusion lesions (20%), 21 </w:t>
      </w:r>
      <w:proofErr w:type="spellStart"/>
      <w:r w:rsidRPr="000202EA">
        <w:rPr>
          <w:sz w:val="20"/>
          <w:szCs w:val="20"/>
        </w:rPr>
        <w:t>stenotic</w:t>
      </w:r>
      <w:proofErr w:type="spellEnd"/>
      <w:r w:rsidRPr="000202EA">
        <w:rPr>
          <w:sz w:val="20"/>
          <w:szCs w:val="20"/>
        </w:rPr>
        <w:t xml:space="preserve"> lesions (52.5%) and 11 multiple </w:t>
      </w:r>
      <w:proofErr w:type="spellStart"/>
      <w:r w:rsidRPr="000202EA">
        <w:rPr>
          <w:sz w:val="20"/>
          <w:szCs w:val="20"/>
        </w:rPr>
        <w:t>stenotic</w:t>
      </w:r>
      <w:proofErr w:type="spellEnd"/>
      <w:r w:rsidRPr="000202EA">
        <w:rPr>
          <w:sz w:val="20"/>
          <w:szCs w:val="20"/>
        </w:rPr>
        <w:t xml:space="preserve"> lesions (27.5%) were treated with duplex guided angioplasty. The primary patency rate of occlusion lesions at 1,6,12 months were 100%, 67.5% and 50% respectively. The primary patency rate of </w:t>
      </w:r>
      <w:proofErr w:type="spellStart"/>
      <w:r w:rsidRPr="000202EA">
        <w:rPr>
          <w:sz w:val="20"/>
          <w:szCs w:val="20"/>
        </w:rPr>
        <w:t>stenotic</w:t>
      </w:r>
      <w:proofErr w:type="spellEnd"/>
      <w:r w:rsidRPr="000202EA">
        <w:rPr>
          <w:sz w:val="20"/>
          <w:szCs w:val="20"/>
        </w:rPr>
        <w:t xml:space="preserve"> lesions at 1,6,12 months was 100%, 82.5% and 70% respectively. The primary patency rate of multiple </w:t>
      </w:r>
      <w:proofErr w:type="spellStart"/>
      <w:r w:rsidRPr="000202EA">
        <w:rPr>
          <w:sz w:val="20"/>
          <w:szCs w:val="20"/>
        </w:rPr>
        <w:t>stenotic</w:t>
      </w:r>
      <w:proofErr w:type="spellEnd"/>
      <w:r w:rsidRPr="000202EA">
        <w:rPr>
          <w:sz w:val="20"/>
          <w:szCs w:val="20"/>
        </w:rPr>
        <w:t xml:space="preserve"> lesions at 1,6,12 months was 100%, 77.5% and 65% respectively.</w:t>
      </w:r>
    </w:p>
    <w:p w:rsidR="00282291" w:rsidRPr="000202EA" w:rsidRDefault="00282291" w:rsidP="00243C1C">
      <w:pPr>
        <w:snapToGrid w:val="0"/>
        <w:ind w:firstLine="425"/>
        <w:jc w:val="both"/>
        <w:rPr>
          <w:sz w:val="20"/>
          <w:szCs w:val="20"/>
        </w:rPr>
      </w:pPr>
      <w:r w:rsidRPr="000202EA">
        <w:rPr>
          <w:sz w:val="20"/>
          <w:szCs w:val="20"/>
        </w:rPr>
        <w:t xml:space="preserve">In summary, there is highly significant relation between type of lesion and long term patency rates </w:t>
      </w:r>
      <w:r w:rsidRPr="000202EA">
        <w:rPr>
          <w:b/>
          <w:bCs/>
          <w:sz w:val="20"/>
          <w:szCs w:val="20"/>
        </w:rPr>
        <w:t>(p-value =0.002)</w:t>
      </w:r>
      <w:r w:rsidRPr="000202EA">
        <w:rPr>
          <w:sz w:val="20"/>
          <w:szCs w:val="20"/>
        </w:rPr>
        <w:t xml:space="preserve">. The </w:t>
      </w:r>
      <w:proofErr w:type="spellStart"/>
      <w:r w:rsidRPr="000202EA">
        <w:rPr>
          <w:sz w:val="20"/>
          <w:szCs w:val="20"/>
        </w:rPr>
        <w:t>stenotic</w:t>
      </w:r>
      <w:proofErr w:type="spellEnd"/>
      <w:r w:rsidRPr="000202EA">
        <w:rPr>
          <w:sz w:val="20"/>
          <w:szCs w:val="20"/>
        </w:rPr>
        <w:t xml:space="preserve"> lesions showed better patency rates than occlusion and multiple </w:t>
      </w:r>
      <w:proofErr w:type="spellStart"/>
      <w:r w:rsidRPr="000202EA">
        <w:rPr>
          <w:sz w:val="20"/>
          <w:szCs w:val="20"/>
        </w:rPr>
        <w:t>stenotic</w:t>
      </w:r>
      <w:proofErr w:type="spellEnd"/>
      <w:r w:rsidRPr="000202EA">
        <w:rPr>
          <w:sz w:val="20"/>
          <w:szCs w:val="20"/>
        </w:rPr>
        <w:t xml:space="preserve"> lesions.</w:t>
      </w:r>
    </w:p>
    <w:p w:rsidR="00282291" w:rsidRPr="000202EA" w:rsidRDefault="00282291" w:rsidP="00243C1C">
      <w:pPr>
        <w:snapToGrid w:val="0"/>
        <w:ind w:firstLine="425"/>
        <w:jc w:val="both"/>
        <w:rPr>
          <w:sz w:val="20"/>
          <w:szCs w:val="20"/>
        </w:rPr>
      </w:pPr>
      <w:proofErr w:type="spellStart"/>
      <w:r w:rsidRPr="000202EA">
        <w:rPr>
          <w:b/>
          <w:bCs/>
          <w:sz w:val="20"/>
          <w:szCs w:val="20"/>
        </w:rPr>
        <w:t>Becquemin</w:t>
      </w:r>
      <w:proofErr w:type="spellEnd"/>
      <w:r w:rsidRPr="000202EA">
        <w:rPr>
          <w:b/>
          <w:bCs/>
          <w:sz w:val="20"/>
          <w:szCs w:val="20"/>
        </w:rPr>
        <w:t xml:space="preserve"> et al1994</w:t>
      </w:r>
      <w:r w:rsidRPr="000202EA">
        <w:rPr>
          <w:sz w:val="20"/>
          <w:szCs w:val="20"/>
        </w:rPr>
        <w:t xml:space="preserve"> founded Multiple factors have previously been shown to adversely affect patency including type of lesion (</w:t>
      </w:r>
      <w:proofErr w:type="spellStart"/>
      <w:r w:rsidRPr="000202EA">
        <w:rPr>
          <w:sz w:val="20"/>
          <w:szCs w:val="20"/>
        </w:rPr>
        <w:t>stenosis</w:t>
      </w:r>
      <w:proofErr w:type="spellEnd"/>
      <w:r w:rsidRPr="000202EA">
        <w:rPr>
          <w:sz w:val="20"/>
          <w:szCs w:val="20"/>
        </w:rPr>
        <w:t xml:space="preserve"> vs. occlusion) and length of lesion</w:t>
      </w:r>
      <w:r w:rsidR="00C305D9" w:rsidRPr="000202EA">
        <w:rPr>
          <w:sz w:val="20"/>
          <w:szCs w:val="20"/>
        </w:rPr>
        <w:t xml:space="preserve">. </w:t>
      </w:r>
      <w:proofErr w:type="spellStart"/>
      <w:r w:rsidR="00C305D9" w:rsidRPr="000202EA">
        <w:rPr>
          <w:sz w:val="20"/>
          <w:szCs w:val="20"/>
        </w:rPr>
        <w:t>S</w:t>
      </w:r>
      <w:r w:rsidRPr="000202EA">
        <w:rPr>
          <w:sz w:val="20"/>
          <w:szCs w:val="20"/>
        </w:rPr>
        <w:t>tenoses</w:t>
      </w:r>
      <w:proofErr w:type="spellEnd"/>
      <w:r w:rsidRPr="000202EA">
        <w:rPr>
          <w:sz w:val="20"/>
          <w:szCs w:val="20"/>
        </w:rPr>
        <w:t xml:space="preserve"> are associated with better patency than occlusions.</w:t>
      </w:r>
    </w:p>
    <w:p w:rsidR="00282291" w:rsidRPr="000202EA" w:rsidRDefault="00A42605" w:rsidP="00243C1C">
      <w:pPr>
        <w:snapToGrid w:val="0"/>
        <w:ind w:firstLine="425"/>
        <w:jc w:val="both"/>
        <w:rPr>
          <w:sz w:val="20"/>
          <w:szCs w:val="20"/>
        </w:rPr>
      </w:pPr>
      <w:hyperlink r:id="rId25" w:history="1">
        <w:r w:rsidR="00282291" w:rsidRPr="000202EA">
          <w:rPr>
            <w:b/>
            <w:bCs/>
            <w:sz w:val="20"/>
            <w:szCs w:val="20"/>
          </w:rPr>
          <w:t>Mark</w:t>
        </w:r>
      </w:hyperlink>
      <w:r w:rsidR="00282291" w:rsidRPr="000202EA">
        <w:rPr>
          <w:b/>
          <w:bCs/>
          <w:sz w:val="20"/>
          <w:szCs w:val="20"/>
        </w:rPr>
        <w:t>et al 2007</w:t>
      </w:r>
      <w:r w:rsidR="00282291" w:rsidRPr="000202EA">
        <w:rPr>
          <w:sz w:val="20"/>
          <w:szCs w:val="20"/>
        </w:rPr>
        <w:t xml:space="preserve"> reported that The primary success rate at 60 months was 53% in limbs with single SFA </w:t>
      </w:r>
      <w:proofErr w:type="spellStart"/>
      <w:r w:rsidR="00282291" w:rsidRPr="000202EA">
        <w:rPr>
          <w:sz w:val="20"/>
          <w:szCs w:val="20"/>
        </w:rPr>
        <w:t>stenosis</w:t>
      </w:r>
      <w:proofErr w:type="spellEnd"/>
      <w:r w:rsidR="00282291" w:rsidRPr="000202EA">
        <w:rPr>
          <w:sz w:val="20"/>
          <w:szCs w:val="20"/>
        </w:rPr>
        <w:t xml:space="preserve"> and 42% in those with multiple </w:t>
      </w:r>
      <w:proofErr w:type="spellStart"/>
      <w:r w:rsidR="00282291" w:rsidRPr="000202EA">
        <w:rPr>
          <w:sz w:val="20"/>
          <w:szCs w:val="20"/>
        </w:rPr>
        <w:t>stenoses</w:t>
      </w:r>
      <w:proofErr w:type="spellEnd"/>
      <w:r w:rsidR="00282291" w:rsidRPr="000202EA">
        <w:rPr>
          <w:sz w:val="20"/>
          <w:szCs w:val="20"/>
        </w:rPr>
        <w:t xml:space="preserve"> (P = NS).</w:t>
      </w:r>
    </w:p>
    <w:p w:rsidR="00282291" w:rsidRPr="000202EA" w:rsidRDefault="00282291" w:rsidP="00243C1C">
      <w:pPr>
        <w:snapToGrid w:val="0"/>
        <w:ind w:firstLine="425"/>
        <w:jc w:val="both"/>
        <w:rPr>
          <w:color w:val="FF0000"/>
          <w:sz w:val="20"/>
          <w:szCs w:val="20"/>
        </w:rPr>
      </w:pPr>
      <w:proofErr w:type="spellStart"/>
      <w:r w:rsidRPr="000202EA">
        <w:rPr>
          <w:b/>
          <w:bCs/>
          <w:sz w:val="20"/>
          <w:szCs w:val="20"/>
        </w:rPr>
        <w:t>Ascher</w:t>
      </w:r>
      <w:proofErr w:type="spellEnd"/>
      <w:r w:rsidRPr="000202EA">
        <w:rPr>
          <w:b/>
          <w:bCs/>
          <w:sz w:val="20"/>
          <w:szCs w:val="20"/>
        </w:rPr>
        <w:t xml:space="preserve"> et al., (2005) </w:t>
      </w:r>
      <w:r w:rsidRPr="000202EA">
        <w:rPr>
          <w:sz w:val="20"/>
          <w:szCs w:val="20"/>
        </w:rPr>
        <w:t xml:space="preserve">reported that no statistically significant difference was found between the technical success rates for those with </w:t>
      </w:r>
      <w:proofErr w:type="spellStart"/>
      <w:r w:rsidRPr="000202EA">
        <w:rPr>
          <w:sz w:val="20"/>
          <w:szCs w:val="20"/>
        </w:rPr>
        <w:t>stenoses</w:t>
      </w:r>
      <w:proofErr w:type="spellEnd"/>
      <w:r w:rsidRPr="000202EA">
        <w:rPr>
          <w:sz w:val="20"/>
          <w:szCs w:val="20"/>
        </w:rPr>
        <w:t xml:space="preserve"> as compared with those with occlusions.</w:t>
      </w:r>
    </w:p>
    <w:p w:rsidR="00282291" w:rsidRPr="000202EA" w:rsidRDefault="00282291" w:rsidP="00243C1C">
      <w:pPr>
        <w:autoSpaceDE w:val="0"/>
        <w:autoSpaceDN w:val="0"/>
        <w:adjustRightInd w:val="0"/>
        <w:snapToGrid w:val="0"/>
        <w:ind w:firstLine="425"/>
        <w:jc w:val="both"/>
        <w:rPr>
          <w:b/>
          <w:bCs/>
          <w:sz w:val="20"/>
          <w:szCs w:val="20"/>
        </w:rPr>
      </w:pPr>
      <w:r w:rsidRPr="000202EA">
        <w:rPr>
          <w:b/>
          <w:bCs/>
          <w:sz w:val="20"/>
          <w:szCs w:val="20"/>
        </w:rPr>
        <w:t>In this study</w:t>
      </w:r>
      <w:r w:rsidRPr="000202EA">
        <w:rPr>
          <w:sz w:val="20"/>
          <w:szCs w:val="20"/>
        </w:rPr>
        <w:t xml:space="preserve">, 27 lesions (67.5%) were associated with good run off (2-3 vessels) and 13 </w:t>
      </w:r>
      <w:proofErr w:type="spellStart"/>
      <w:r w:rsidRPr="000202EA">
        <w:rPr>
          <w:sz w:val="20"/>
          <w:szCs w:val="20"/>
        </w:rPr>
        <w:t>stenotic</w:t>
      </w:r>
      <w:proofErr w:type="spellEnd"/>
      <w:r w:rsidRPr="000202EA">
        <w:rPr>
          <w:sz w:val="20"/>
          <w:szCs w:val="20"/>
        </w:rPr>
        <w:t xml:space="preserve"> lesions (32.5%) were associated with poor run off (0-1 vessels)</w:t>
      </w:r>
      <w:r w:rsidR="00C305D9" w:rsidRPr="000202EA">
        <w:rPr>
          <w:sz w:val="20"/>
          <w:szCs w:val="20"/>
        </w:rPr>
        <w:t>. T</w:t>
      </w:r>
      <w:r w:rsidRPr="000202EA">
        <w:rPr>
          <w:sz w:val="20"/>
          <w:szCs w:val="20"/>
        </w:rPr>
        <w:t>he primary patency rate for lesions with good run off at 1,6,12 months were 100%, 88.9% and 85% respectively. The primary patency rate for lesions with poor run off at 1,</w:t>
      </w:r>
      <w:r w:rsidR="000202EA" w:rsidRPr="000202EA">
        <w:rPr>
          <w:rFonts w:eastAsiaTheme="minorEastAsia" w:hint="eastAsia"/>
          <w:sz w:val="20"/>
          <w:szCs w:val="20"/>
          <w:lang w:eastAsia="zh-CN"/>
        </w:rPr>
        <w:t xml:space="preserve"> </w:t>
      </w:r>
      <w:r w:rsidRPr="000202EA">
        <w:rPr>
          <w:sz w:val="20"/>
          <w:szCs w:val="20"/>
        </w:rPr>
        <w:t>6,</w:t>
      </w:r>
      <w:r w:rsidR="000202EA" w:rsidRPr="000202EA">
        <w:rPr>
          <w:rFonts w:eastAsiaTheme="minorEastAsia" w:hint="eastAsia"/>
          <w:sz w:val="20"/>
          <w:szCs w:val="20"/>
          <w:lang w:eastAsia="zh-CN"/>
        </w:rPr>
        <w:t xml:space="preserve"> </w:t>
      </w:r>
      <w:r w:rsidRPr="000202EA">
        <w:rPr>
          <w:sz w:val="20"/>
          <w:szCs w:val="20"/>
        </w:rPr>
        <w:t xml:space="preserve">12 months were </w:t>
      </w:r>
      <w:r w:rsidRPr="000202EA">
        <w:rPr>
          <w:sz w:val="20"/>
          <w:szCs w:val="20"/>
        </w:rPr>
        <w:lastRenderedPageBreak/>
        <w:t>100%, 53.8% and 30.7% respectively. In summary, there is significant relation between status of run off and long term patency rate</w:t>
      </w:r>
      <w:r w:rsidR="009B39CE" w:rsidRPr="000202EA">
        <w:rPr>
          <w:sz w:val="20"/>
          <w:szCs w:val="20"/>
        </w:rPr>
        <w:t xml:space="preserve">s </w:t>
      </w:r>
      <w:r w:rsidR="009B39CE" w:rsidRPr="000202EA">
        <w:rPr>
          <w:b/>
          <w:bCs/>
          <w:sz w:val="20"/>
          <w:szCs w:val="20"/>
        </w:rPr>
        <w:t>(</w:t>
      </w:r>
      <w:r w:rsidRPr="000202EA">
        <w:rPr>
          <w:b/>
          <w:bCs/>
          <w:sz w:val="20"/>
          <w:szCs w:val="20"/>
        </w:rPr>
        <w:t>p-value =0.033)</w:t>
      </w:r>
      <w:r w:rsidRPr="000202EA">
        <w:rPr>
          <w:sz w:val="20"/>
          <w:szCs w:val="20"/>
        </w:rPr>
        <w:t>. Patients with good run off showed a better long term patency rates than patients with poor run off.</w:t>
      </w:r>
    </w:p>
    <w:p w:rsidR="00282291" w:rsidRPr="000202EA" w:rsidRDefault="00282291" w:rsidP="00243C1C">
      <w:pPr>
        <w:autoSpaceDE w:val="0"/>
        <w:autoSpaceDN w:val="0"/>
        <w:adjustRightInd w:val="0"/>
        <w:snapToGrid w:val="0"/>
        <w:ind w:firstLine="425"/>
        <w:jc w:val="both"/>
        <w:rPr>
          <w:b/>
          <w:bCs/>
          <w:sz w:val="20"/>
          <w:szCs w:val="20"/>
        </w:rPr>
      </w:pPr>
      <w:proofErr w:type="spellStart"/>
      <w:r w:rsidRPr="000202EA">
        <w:rPr>
          <w:b/>
          <w:bCs/>
          <w:sz w:val="20"/>
          <w:szCs w:val="20"/>
        </w:rPr>
        <w:t>Becquemin</w:t>
      </w:r>
      <w:proofErr w:type="spellEnd"/>
      <w:r w:rsidRPr="000202EA">
        <w:rPr>
          <w:b/>
          <w:bCs/>
          <w:sz w:val="20"/>
          <w:szCs w:val="20"/>
        </w:rPr>
        <w:t xml:space="preserve"> et al 1994</w:t>
      </w:r>
      <w:r w:rsidRPr="000202EA">
        <w:rPr>
          <w:sz w:val="20"/>
          <w:szCs w:val="20"/>
        </w:rPr>
        <w:t xml:space="preserve"> founded that distal run off adversely affect patency.</w:t>
      </w:r>
    </w:p>
    <w:p w:rsidR="00282291" w:rsidRPr="000202EA" w:rsidRDefault="00282291" w:rsidP="00243C1C">
      <w:pPr>
        <w:snapToGrid w:val="0"/>
        <w:ind w:firstLine="425"/>
        <w:jc w:val="both"/>
        <w:rPr>
          <w:b/>
          <w:bCs/>
          <w:sz w:val="20"/>
          <w:szCs w:val="20"/>
        </w:rPr>
      </w:pPr>
      <w:r w:rsidRPr="000202EA">
        <w:rPr>
          <w:b/>
          <w:bCs/>
          <w:sz w:val="20"/>
          <w:szCs w:val="20"/>
        </w:rPr>
        <w:t xml:space="preserve">Mark et al 2006 </w:t>
      </w:r>
      <w:r w:rsidRPr="000202EA">
        <w:rPr>
          <w:sz w:val="20"/>
          <w:szCs w:val="20"/>
        </w:rPr>
        <w:t>reported that patients with poor run off showed poorer long term patency rates than patients with good run off.</w:t>
      </w:r>
    </w:p>
    <w:p w:rsidR="00282291" w:rsidRPr="000202EA" w:rsidRDefault="00282291" w:rsidP="00243C1C">
      <w:pPr>
        <w:snapToGrid w:val="0"/>
        <w:ind w:firstLine="425"/>
        <w:jc w:val="both"/>
        <w:rPr>
          <w:sz w:val="20"/>
          <w:szCs w:val="20"/>
        </w:rPr>
      </w:pPr>
      <w:proofErr w:type="spellStart"/>
      <w:r w:rsidRPr="000202EA">
        <w:rPr>
          <w:b/>
          <w:bCs/>
          <w:sz w:val="20"/>
          <w:szCs w:val="20"/>
        </w:rPr>
        <w:t>Hingorani</w:t>
      </w:r>
      <w:proofErr w:type="spellEnd"/>
      <w:r w:rsidRPr="000202EA">
        <w:rPr>
          <w:b/>
          <w:bCs/>
          <w:sz w:val="20"/>
          <w:szCs w:val="20"/>
        </w:rPr>
        <w:t xml:space="preserve"> 2011</w:t>
      </w:r>
      <w:r w:rsidRPr="000202EA">
        <w:rPr>
          <w:sz w:val="20"/>
          <w:szCs w:val="20"/>
        </w:rPr>
        <w:t xml:space="preserve"> reported that 2 years patency rates after </w:t>
      </w:r>
      <w:proofErr w:type="spellStart"/>
      <w:r w:rsidRPr="000202EA">
        <w:rPr>
          <w:sz w:val="20"/>
          <w:szCs w:val="20"/>
        </w:rPr>
        <w:t>femoropopliteal</w:t>
      </w:r>
      <w:proofErr w:type="spellEnd"/>
      <w:r w:rsidRPr="000202EA">
        <w:rPr>
          <w:sz w:val="20"/>
          <w:szCs w:val="20"/>
        </w:rPr>
        <w:t xml:space="preserve"> PTA as 55% in limbs with good run off and 23% in limbs with poor run off.</w:t>
      </w:r>
    </w:p>
    <w:p w:rsidR="00282291" w:rsidRPr="000202EA" w:rsidRDefault="00282291" w:rsidP="00243C1C">
      <w:pPr>
        <w:snapToGrid w:val="0"/>
        <w:ind w:firstLine="425"/>
        <w:jc w:val="both"/>
        <w:rPr>
          <w:sz w:val="20"/>
          <w:szCs w:val="20"/>
        </w:rPr>
      </w:pPr>
      <w:r w:rsidRPr="000202EA">
        <w:rPr>
          <w:sz w:val="20"/>
          <w:szCs w:val="20"/>
        </w:rPr>
        <w:t xml:space="preserve">In a study by </w:t>
      </w:r>
      <w:proofErr w:type="spellStart"/>
      <w:r w:rsidRPr="000202EA">
        <w:rPr>
          <w:b/>
          <w:bCs/>
          <w:sz w:val="20"/>
          <w:szCs w:val="20"/>
        </w:rPr>
        <w:t>Guo</w:t>
      </w:r>
      <w:proofErr w:type="spellEnd"/>
      <w:r w:rsidRPr="000202EA">
        <w:rPr>
          <w:b/>
          <w:bCs/>
          <w:sz w:val="20"/>
          <w:szCs w:val="20"/>
        </w:rPr>
        <w:t xml:space="preserve"> et al 2015</w:t>
      </w:r>
      <w:r w:rsidRPr="000202EA">
        <w:rPr>
          <w:sz w:val="20"/>
          <w:szCs w:val="20"/>
        </w:rPr>
        <w:t xml:space="preserve">, </w:t>
      </w:r>
      <w:proofErr w:type="spellStart"/>
      <w:r w:rsidRPr="000202EA">
        <w:rPr>
          <w:sz w:val="20"/>
          <w:szCs w:val="20"/>
        </w:rPr>
        <w:t>univariate</w:t>
      </w:r>
      <w:proofErr w:type="spellEnd"/>
      <w:r w:rsidRPr="000202EA">
        <w:rPr>
          <w:sz w:val="20"/>
          <w:szCs w:val="20"/>
        </w:rPr>
        <w:t xml:space="preserve"> analysis revealed that number of run-off vessels was associated with re-</w:t>
      </w:r>
      <w:proofErr w:type="spellStart"/>
      <w:r w:rsidRPr="000202EA">
        <w:rPr>
          <w:sz w:val="20"/>
          <w:szCs w:val="20"/>
        </w:rPr>
        <w:t>stenosis</w:t>
      </w:r>
      <w:proofErr w:type="spellEnd"/>
      <w:r w:rsidRPr="000202EA">
        <w:rPr>
          <w:sz w:val="20"/>
          <w:szCs w:val="20"/>
        </w:rPr>
        <w:t xml:space="preserve">/occlusion because significantly higher risk of </w:t>
      </w:r>
      <w:proofErr w:type="spellStart"/>
      <w:r w:rsidRPr="000202EA">
        <w:rPr>
          <w:sz w:val="20"/>
          <w:szCs w:val="20"/>
        </w:rPr>
        <w:t>stenosis</w:t>
      </w:r>
      <w:proofErr w:type="spellEnd"/>
      <w:r w:rsidRPr="000202EA">
        <w:rPr>
          <w:sz w:val="20"/>
          <w:szCs w:val="20"/>
        </w:rPr>
        <w:t>/occlusion in patients with two run-off vessels was found compared to patients without run-off vessel (P = 0.046).</w:t>
      </w:r>
    </w:p>
    <w:p w:rsidR="00282291" w:rsidRPr="000202EA" w:rsidRDefault="00282291" w:rsidP="00243C1C">
      <w:pPr>
        <w:autoSpaceDE w:val="0"/>
        <w:autoSpaceDN w:val="0"/>
        <w:adjustRightInd w:val="0"/>
        <w:snapToGrid w:val="0"/>
        <w:jc w:val="both"/>
        <w:rPr>
          <w:b/>
          <w:bCs/>
          <w:sz w:val="20"/>
          <w:szCs w:val="20"/>
        </w:rPr>
      </w:pPr>
      <w:r w:rsidRPr="000202EA">
        <w:rPr>
          <w:b/>
          <w:bCs/>
          <w:sz w:val="20"/>
          <w:szCs w:val="20"/>
        </w:rPr>
        <w:t>Patient demographics:</w:t>
      </w:r>
    </w:p>
    <w:p w:rsidR="00282291" w:rsidRPr="000202EA" w:rsidRDefault="00282291" w:rsidP="00243C1C">
      <w:pPr>
        <w:snapToGrid w:val="0"/>
        <w:ind w:firstLine="425"/>
        <w:jc w:val="both"/>
        <w:rPr>
          <w:sz w:val="20"/>
          <w:szCs w:val="20"/>
        </w:rPr>
      </w:pPr>
      <w:r w:rsidRPr="000202EA">
        <w:rPr>
          <w:sz w:val="20"/>
          <w:szCs w:val="20"/>
        </w:rPr>
        <w:t xml:space="preserve">In this study, 17 patients 40-60 years (42.5%) and 23 patients </w:t>
      </w:r>
      <w:r w:rsidRPr="000202EA">
        <w:rPr>
          <w:b/>
          <w:bCs/>
          <w:sz w:val="20"/>
          <w:szCs w:val="20"/>
        </w:rPr>
        <w:t>&gt;</w:t>
      </w:r>
      <w:r w:rsidRPr="000202EA">
        <w:rPr>
          <w:sz w:val="20"/>
          <w:szCs w:val="20"/>
        </w:rPr>
        <w:t>60 year</w:t>
      </w:r>
      <w:r w:rsidR="009B39CE" w:rsidRPr="000202EA">
        <w:rPr>
          <w:sz w:val="20"/>
          <w:szCs w:val="20"/>
        </w:rPr>
        <w:t>s (</w:t>
      </w:r>
      <w:r w:rsidRPr="000202EA">
        <w:rPr>
          <w:sz w:val="20"/>
          <w:szCs w:val="20"/>
        </w:rPr>
        <w:t>57.5 %) were treated with duplex guided angioplasty. Follow up of</w:t>
      </w:r>
      <w:r w:rsidR="000202EA" w:rsidRPr="000202EA">
        <w:rPr>
          <w:rFonts w:eastAsiaTheme="minorEastAsia" w:hint="eastAsia"/>
          <w:sz w:val="20"/>
          <w:szCs w:val="20"/>
          <w:lang w:eastAsia="zh-CN"/>
        </w:rPr>
        <w:t xml:space="preserve"> </w:t>
      </w:r>
      <w:r w:rsidRPr="000202EA">
        <w:rPr>
          <w:sz w:val="20"/>
          <w:szCs w:val="20"/>
        </w:rPr>
        <w:t>the patients for clinical outcome resulted in no significant relation between the age and clinical outcome (log Rank p-value =0.33).</w:t>
      </w:r>
    </w:p>
    <w:p w:rsidR="00282291" w:rsidRPr="000202EA" w:rsidRDefault="00282291" w:rsidP="00243C1C">
      <w:pPr>
        <w:shd w:val="clear" w:color="auto" w:fill="FFFFFF"/>
        <w:snapToGrid w:val="0"/>
        <w:ind w:firstLine="425"/>
        <w:jc w:val="both"/>
        <w:rPr>
          <w:b/>
          <w:bCs/>
          <w:sz w:val="20"/>
          <w:szCs w:val="20"/>
        </w:rPr>
      </w:pPr>
      <w:r w:rsidRPr="000202EA">
        <w:rPr>
          <w:sz w:val="20"/>
          <w:szCs w:val="20"/>
        </w:rPr>
        <w:t xml:space="preserve">In this study, There were 32 diabetic patients (80%) and 8 non diabetic (20%). </w:t>
      </w:r>
      <w:r w:rsidRPr="000202EA">
        <w:rPr>
          <w:sz w:val="20"/>
          <w:szCs w:val="20"/>
          <w:lang w:val="en-GB"/>
        </w:rPr>
        <w:t xml:space="preserve">In diabetes group 1, 6, 12, month primary patency rates were 100%, 74 % </w:t>
      </w:r>
      <w:r w:rsidRPr="000202EA">
        <w:rPr>
          <w:sz w:val="20"/>
          <w:szCs w:val="20"/>
        </w:rPr>
        <w:t xml:space="preserve">and </w:t>
      </w:r>
      <w:r w:rsidRPr="000202EA">
        <w:rPr>
          <w:sz w:val="20"/>
          <w:szCs w:val="20"/>
          <w:lang w:val="en-GB"/>
        </w:rPr>
        <w:t xml:space="preserve">65.2%, in non-diabetes group1, 6 and 12-month primary patency rates were 100%, 100% and 82.35%. </w:t>
      </w:r>
      <w:r w:rsidRPr="000202EA">
        <w:rPr>
          <w:sz w:val="20"/>
          <w:szCs w:val="20"/>
        </w:rPr>
        <w:t>There is significant relation between diabetes and long term patency rates. The non-diabetics showed better patency rates than poor runoff (log Rank p-value = 0.031)</w:t>
      </w:r>
      <w:r w:rsidR="00C305D9" w:rsidRPr="000202EA">
        <w:rPr>
          <w:sz w:val="20"/>
          <w:szCs w:val="20"/>
        </w:rPr>
        <w:t>. I</w:t>
      </w:r>
      <w:r w:rsidRPr="000202EA">
        <w:rPr>
          <w:sz w:val="20"/>
          <w:szCs w:val="20"/>
        </w:rPr>
        <w:t>n summary, non-diabetic patients showed better initial and long term patency rates than diabetic patients.</w:t>
      </w:r>
    </w:p>
    <w:p w:rsidR="00282291" w:rsidRPr="000202EA" w:rsidRDefault="00282291" w:rsidP="00243C1C">
      <w:pPr>
        <w:snapToGrid w:val="0"/>
        <w:ind w:firstLine="425"/>
        <w:jc w:val="both"/>
        <w:rPr>
          <w:sz w:val="20"/>
          <w:szCs w:val="20"/>
          <w:lang w:val="en-GB"/>
        </w:rPr>
      </w:pPr>
      <w:r w:rsidRPr="000202EA">
        <w:rPr>
          <w:b/>
          <w:bCs/>
          <w:sz w:val="20"/>
          <w:szCs w:val="20"/>
          <w:lang w:bidi="ar-EG"/>
        </w:rPr>
        <w:t>Clark et al 2001</w:t>
      </w:r>
      <w:r w:rsidRPr="000202EA">
        <w:rPr>
          <w:sz w:val="20"/>
          <w:szCs w:val="20"/>
          <w:lang w:bidi="ar-EG"/>
        </w:rPr>
        <w:t xml:space="preserve"> reported that Patients with diabetes have been shown to have worse outcomes than patients without diabetes.</w:t>
      </w:r>
      <w:r w:rsidRPr="000202EA">
        <w:rPr>
          <w:b/>
          <w:bCs/>
          <w:sz w:val="20"/>
          <w:szCs w:val="20"/>
          <w:lang w:val="en-GB"/>
        </w:rPr>
        <w:t xml:space="preserve"> Also, Wu et al2014</w:t>
      </w:r>
      <w:r w:rsidRPr="000202EA">
        <w:rPr>
          <w:sz w:val="20"/>
          <w:szCs w:val="20"/>
          <w:lang w:val="en-GB"/>
        </w:rPr>
        <w:t xml:space="preserve"> reported that diabetes mellitus was an independent predictor of risk for primary patency.</w:t>
      </w:r>
    </w:p>
    <w:p w:rsidR="00282291" w:rsidRPr="000202EA" w:rsidRDefault="00282291" w:rsidP="00243C1C">
      <w:pPr>
        <w:shd w:val="clear" w:color="auto" w:fill="FFFFFF"/>
        <w:snapToGrid w:val="0"/>
        <w:ind w:firstLine="425"/>
        <w:jc w:val="both"/>
        <w:rPr>
          <w:sz w:val="20"/>
          <w:szCs w:val="20"/>
          <w:lang w:val="en-GB"/>
        </w:rPr>
      </w:pPr>
      <w:r w:rsidRPr="000202EA">
        <w:rPr>
          <w:sz w:val="20"/>
          <w:szCs w:val="20"/>
        </w:rPr>
        <w:t>In study done b</w:t>
      </w:r>
      <w:r w:rsidR="00C305D9" w:rsidRPr="000202EA">
        <w:rPr>
          <w:sz w:val="20"/>
          <w:szCs w:val="20"/>
        </w:rPr>
        <w:t xml:space="preserve">y </w:t>
      </w:r>
      <w:r w:rsidR="00C305D9" w:rsidRPr="000202EA">
        <w:rPr>
          <w:b/>
          <w:bCs/>
          <w:sz w:val="20"/>
          <w:szCs w:val="20"/>
        </w:rPr>
        <w:t>A</w:t>
      </w:r>
      <w:r w:rsidRPr="000202EA">
        <w:rPr>
          <w:b/>
          <w:bCs/>
          <w:sz w:val="20"/>
          <w:szCs w:val="20"/>
        </w:rPr>
        <w:t xml:space="preserve">ndrew </w:t>
      </w:r>
      <w:r w:rsidRPr="000202EA">
        <w:rPr>
          <w:b/>
          <w:bCs/>
          <w:sz w:val="20"/>
          <w:szCs w:val="20"/>
          <w:lang w:val="en-GB"/>
        </w:rPr>
        <w:t xml:space="preserve">et al </w:t>
      </w:r>
      <w:r w:rsidRPr="000202EA">
        <w:rPr>
          <w:b/>
          <w:bCs/>
          <w:sz w:val="20"/>
          <w:szCs w:val="20"/>
        </w:rPr>
        <w:t>2007</w:t>
      </w:r>
      <w:r w:rsidRPr="000202EA">
        <w:rPr>
          <w:sz w:val="20"/>
          <w:szCs w:val="20"/>
        </w:rPr>
        <w:t xml:space="preserve">, follow up of </w:t>
      </w:r>
      <w:r w:rsidRPr="000202EA">
        <w:rPr>
          <w:sz w:val="20"/>
          <w:szCs w:val="20"/>
          <w:lang w:val="en-GB"/>
        </w:rPr>
        <w:t xml:space="preserve">diabetes group at 6, 12, 24, and 36-month primary patency rates were 88.7% ± 4.0%, 62.3% ± 6.6%, 55.3% ± 7.0%, and 46.5% ± 7.5%. In non-diabetes group, 6, 12, 24, and 36-month primary patency rates </w:t>
      </w:r>
      <w:r w:rsidRPr="000202EA">
        <w:rPr>
          <w:sz w:val="20"/>
          <w:szCs w:val="20"/>
        </w:rPr>
        <w:t>were</w:t>
      </w:r>
      <w:r w:rsidRPr="000202EA">
        <w:rPr>
          <w:sz w:val="20"/>
          <w:szCs w:val="20"/>
          <w:lang w:val="en-GB"/>
        </w:rPr>
        <w:t xml:space="preserve"> 90.9% ± 3.3%, 71.8% ± 5.4%, 71.8% ± 5.4%, and 60.9% ± 6.2%; The differences between two groups were not significant (P &gt; 0.05).</w:t>
      </w:r>
    </w:p>
    <w:p w:rsidR="00282291" w:rsidRPr="000202EA" w:rsidRDefault="00282291" w:rsidP="00243C1C">
      <w:pPr>
        <w:snapToGrid w:val="0"/>
        <w:ind w:firstLine="425"/>
        <w:jc w:val="both"/>
        <w:rPr>
          <w:b/>
          <w:bCs/>
          <w:sz w:val="20"/>
          <w:szCs w:val="20"/>
        </w:rPr>
      </w:pPr>
      <w:r w:rsidRPr="000202EA">
        <w:rPr>
          <w:sz w:val="20"/>
          <w:szCs w:val="20"/>
          <w:lang w:val="en-GB"/>
        </w:rPr>
        <w:t>In contrast to our study</w:t>
      </w:r>
      <w:r w:rsidRPr="000202EA">
        <w:rPr>
          <w:b/>
          <w:bCs/>
          <w:sz w:val="20"/>
          <w:szCs w:val="20"/>
          <w:lang w:val="en-GB"/>
        </w:rPr>
        <w:t xml:space="preserve">, </w:t>
      </w:r>
      <w:proofErr w:type="spellStart"/>
      <w:r w:rsidRPr="000202EA">
        <w:rPr>
          <w:b/>
          <w:bCs/>
          <w:sz w:val="20"/>
          <w:szCs w:val="20"/>
        </w:rPr>
        <w:t>Guo</w:t>
      </w:r>
      <w:proofErr w:type="spellEnd"/>
      <w:r w:rsidRPr="000202EA">
        <w:rPr>
          <w:b/>
          <w:bCs/>
          <w:sz w:val="20"/>
          <w:szCs w:val="20"/>
        </w:rPr>
        <w:t xml:space="preserve"> et al </w:t>
      </w:r>
      <w:r w:rsidRPr="000202EA">
        <w:rPr>
          <w:sz w:val="20"/>
          <w:szCs w:val="20"/>
        </w:rPr>
        <w:t xml:space="preserve">in their study stated that </w:t>
      </w:r>
      <w:proofErr w:type="spellStart"/>
      <w:r w:rsidRPr="000202EA">
        <w:rPr>
          <w:sz w:val="20"/>
          <w:szCs w:val="20"/>
        </w:rPr>
        <w:t>univariate</w:t>
      </w:r>
      <w:proofErr w:type="spellEnd"/>
      <w:r w:rsidRPr="000202EA">
        <w:rPr>
          <w:sz w:val="20"/>
          <w:szCs w:val="20"/>
        </w:rPr>
        <w:t xml:space="preserve"> analysis for risk factors, such diabetes mellitus, hypertension, and </w:t>
      </w:r>
      <w:proofErr w:type="spellStart"/>
      <w:r w:rsidRPr="000202EA">
        <w:rPr>
          <w:sz w:val="20"/>
          <w:szCs w:val="20"/>
        </w:rPr>
        <w:t>hyperlipidemia</w:t>
      </w:r>
      <w:proofErr w:type="spellEnd"/>
      <w:r w:rsidRPr="000202EA">
        <w:rPr>
          <w:sz w:val="20"/>
          <w:szCs w:val="20"/>
        </w:rPr>
        <w:t xml:space="preserve"> had no relationship with the occurrence of re-</w:t>
      </w:r>
      <w:proofErr w:type="spellStart"/>
      <w:r w:rsidRPr="000202EA">
        <w:rPr>
          <w:sz w:val="20"/>
          <w:szCs w:val="20"/>
        </w:rPr>
        <w:t>stenosis</w:t>
      </w:r>
      <w:proofErr w:type="spellEnd"/>
      <w:r w:rsidRPr="000202EA">
        <w:rPr>
          <w:sz w:val="20"/>
          <w:szCs w:val="20"/>
        </w:rPr>
        <w:t xml:space="preserve"> or occlusion </w:t>
      </w:r>
      <w:r w:rsidRPr="000202EA">
        <w:rPr>
          <w:b/>
          <w:bCs/>
          <w:sz w:val="20"/>
          <w:szCs w:val="20"/>
        </w:rPr>
        <w:t>(</w:t>
      </w:r>
      <w:proofErr w:type="spellStart"/>
      <w:r w:rsidRPr="000202EA">
        <w:rPr>
          <w:b/>
          <w:bCs/>
          <w:sz w:val="20"/>
          <w:szCs w:val="20"/>
        </w:rPr>
        <w:t>Guo</w:t>
      </w:r>
      <w:proofErr w:type="spellEnd"/>
      <w:r w:rsidRPr="000202EA">
        <w:rPr>
          <w:b/>
          <w:bCs/>
          <w:sz w:val="20"/>
          <w:szCs w:val="20"/>
        </w:rPr>
        <w:t xml:space="preserve"> et al 2015).</w:t>
      </w:r>
    </w:p>
    <w:p w:rsidR="00282291" w:rsidRPr="000202EA" w:rsidRDefault="00282291" w:rsidP="00243C1C">
      <w:pPr>
        <w:snapToGrid w:val="0"/>
        <w:ind w:firstLine="425"/>
        <w:jc w:val="both"/>
        <w:rPr>
          <w:sz w:val="20"/>
          <w:szCs w:val="20"/>
        </w:rPr>
      </w:pPr>
      <w:r w:rsidRPr="000202EA">
        <w:rPr>
          <w:sz w:val="20"/>
          <w:szCs w:val="20"/>
        </w:rPr>
        <w:lastRenderedPageBreak/>
        <w:t>In our study, 28 patients smoker (70%) and 12 patients non-smoker</w:t>
      </w:r>
      <w:r w:rsidR="009B39CE" w:rsidRPr="000202EA">
        <w:rPr>
          <w:sz w:val="20"/>
          <w:szCs w:val="20"/>
        </w:rPr>
        <w:t>s (</w:t>
      </w:r>
      <w:r w:rsidRPr="000202EA">
        <w:rPr>
          <w:sz w:val="20"/>
          <w:szCs w:val="20"/>
        </w:rPr>
        <w:t>40%) were treated with duplex guided angioplasty.</w:t>
      </w:r>
      <w:r w:rsidRPr="000202EA">
        <w:rPr>
          <w:color w:val="000000"/>
          <w:sz w:val="20"/>
          <w:szCs w:val="20"/>
          <w:lang w:val="en-GB"/>
        </w:rPr>
        <w:t xml:space="preserve"> Follow up of smoker group at 1, 6 and 12 months resulted in primary patency rates were 100%, 78.5% </w:t>
      </w:r>
      <w:r w:rsidRPr="000202EA">
        <w:rPr>
          <w:color w:val="000000"/>
          <w:sz w:val="20"/>
          <w:szCs w:val="20"/>
        </w:rPr>
        <w:t>and 65</w:t>
      </w:r>
      <w:r w:rsidRPr="000202EA">
        <w:rPr>
          <w:color w:val="000000"/>
          <w:sz w:val="20"/>
          <w:szCs w:val="20"/>
          <w:lang w:val="en-GB"/>
        </w:rPr>
        <w:t>% respectively</w:t>
      </w:r>
      <w:r w:rsidRPr="000202EA">
        <w:rPr>
          <w:color w:val="000000"/>
          <w:sz w:val="20"/>
          <w:szCs w:val="20"/>
          <w:lang w:val="en-GB" w:bidi="ar-EG"/>
        </w:rPr>
        <w:t xml:space="preserve">. </w:t>
      </w:r>
      <w:r w:rsidRPr="000202EA">
        <w:rPr>
          <w:color w:val="000000"/>
          <w:sz w:val="20"/>
          <w:szCs w:val="20"/>
          <w:lang w:val="en-GB"/>
        </w:rPr>
        <w:t xml:space="preserve">In non-smoker group, 1, 6 and 12-month primary patency rates were 100%, 91.6% and 83.3%. The differences between two groups were significant (P </w:t>
      </w:r>
      <w:r w:rsidRPr="000202EA">
        <w:rPr>
          <w:sz w:val="20"/>
          <w:szCs w:val="20"/>
        </w:rPr>
        <w:t>&lt;0.01</w:t>
      </w:r>
      <w:r w:rsidRPr="000202EA">
        <w:rPr>
          <w:color w:val="000000"/>
          <w:sz w:val="20"/>
          <w:szCs w:val="20"/>
          <w:lang w:val="en-GB"/>
        </w:rPr>
        <w:t>6).</w:t>
      </w:r>
    </w:p>
    <w:p w:rsidR="00282291" w:rsidRPr="000202EA" w:rsidRDefault="00282291" w:rsidP="00243C1C">
      <w:pPr>
        <w:shd w:val="clear" w:color="auto" w:fill="FFFFFF"/>
        <w:snapToGrid w:val="0"/>
        <w:ind w:firstLine="425"/>
        <w:jc w:val="both"/>
        <w:rPr>
          <w:b/>
          <w:bCs/>
          <w:sz w:val="20"/>
          <w:szCs w:val="20"/>
        </w:rPr>
      </w:pPr>
      <w:r w:rsidRPr="000202EA">
        <w:rPr>
          <w:color w:val="000000"/>
          <w:sz w:val="20"/>
          <w:szCs w:val="20"/>
          <w:lang w:bidi="ar-EG"/>
        </w:rPr>
        <w:t>In study done by</w:t>
      </w:r>
      <w:r w:rsidR="00C305D9" w:rsidRPr="000202EA">
        <w:rPr>
          <w:color w:val="000000"/>
          <w:sz w:val="20"/>
          <w:szCs w:val="20"/>
          <w:lang w:bidi="ar-EG"/>
        </w:rPr>
        <w:t xml:space="preserve"> </w:t>
      </w:r>
      <w:hyperlink r:id="rId26" w:history="1">
        <w:proofErr w:type="spellStart"/>
        <w:r w:rsidRPr="000202EA">
          <w:rPr>
            <w:b/>
            <w:bCs/>
            <w:color w:val="000000"/>
            <w:sz w:val="20"/>
            <w:szCs w:val="20"/>
          </w:rPr>
          <w:t>Schillinger</w:t>
        </w:r>
      </w:hyperlink>
      <w:r w:rsidRPr="000202EA">
        <w:rPr>
          <w:b/>
          <w:bCs/>
          <w:color w:val="000000"/>
          <w:sz w:val="20"/>
          <w:szCs w:val="20"/>
        </w:rPr>
        <w:t>et</w:t>
      </w:r>
      <w:proofErr w:type="spellEnd"/>
      <w:r w:rsidRPr="000202EA">
        <w:rPr>
          <w:b/>
          <w:bCs/>
          <w:color w:val="000000"/>
          <w:sz w:val="20"/>
          <w:szCs w:val="20"/>
        </w:rPr>
        <w:t xml:space="preserve"> al </w:t>
      </w:r>
      <w:r w:rsidRPr="000202EA">
        <w:rPr>
          <w:sz w:val="20"/>
          <w:szCs w:val="20"/>
        </w:rPr>
        <w:t>reported that</w:t>
      </w:r>
      <w:r w:rsidR="00C305D9" w:rsidRPr="000202EA">
        <w:rPr>
          <w:color w:val="000000"/>
          <w:sz w:val="20"/>
          <w:szCs w:val="20"/>
        </w:rPr>
        <w:t xml:space="preserve"> </w:t>
      </w:r>
      <w:r w:rsidRPr="000202EA">
        <w:rPr>
          <w:color w:val="000000"/>
          <w:sz w:val="20"/>
          <w:szCs w:val="20"/>
        </w:rPr>
        <w:t xml:space="preserve">cumulative </w:t>
      </w:r>
      <w:proofErr w:type="spellStart"/>
      <w:r w:rsidRPr="000202EA">
        <w:rPr>
          <w:color w:val="000000"/>
          <w:sz w:val="20"/>
          <w:szCs w:val="20"/>
        </w:rPr>
        <w:t>restenosis</w:t>
      </w:r>
      <w:proofErr w:type="spellEnd"/>
      <w:r w:rsidRPr="000202EA">
        <w:rPr>
          <w:color w:val="000000"/>
          <w:sz w:val="20"/>
          <w:szCs w:val="20"/>
        </w:rPr>
        <w:t xml:space="preserve"> rates at 6 and 12 months according to patients’ smoking habits were 99 and 190 nonsmokers, 18 and 22 light smokers, </w:t>
      </w:r>
      <w:r w:rsidRPr="000202EA">
        <w:rPr>
          <w:sz w:val="20"/>
          <w:szCs w:val="20"/>
        </w:rPr>
        <w:t>16</w:t>
      </w:r>
      <w:r w:rsidRPr="000202EA">
        <w:rPr>
          <w:color w:val="000000"/>
          <w:sz w:val="20"/>
          <w:szCs w:val="20"/>
        </w:rPr>
        <w:t xml:space="preserve"> and 29 habitual smokers, and 26 and 47 heavy smokers, respectively (P &lt;0.001)</w:t>
      </w:r>
      <w:r w:rsidR="00C305D9" w:rsidRPr="000202EA">
        <w:rPr>
          <w:color w:val="000000"/>
          <w:sz w:val="20"/>
          <w:szCs w:val="20"/>
        </w:rPr>
        <w:t xml:space="preserve">. </w:t>
      </w:r>
      <w:r w:rsidR="00C305D9" w:rsidRPr="000202EA">
        <w:rPr>
          <w:sz w:val="20"/>
          <w:szCs w:val="20"/>
        </w:rPr>
        <w:t>S</w:t>
      </w:r>
      <w:r w:rsidRPr="000202EA">
        <w:rPr>
          <w:sz w:val="20"/>
          <w:szCs w:val="20"/>
        </w:rPr>
        <w:t xml:space="preserve">moking 10 or more cigarettes daily are associated with a reduced rate of intermediate-term </w:t>
      </w:r>
      <w:proofErr w:type="spellStart"/>
      <w:r w:rsidRPr="000202EA">
        <w:rPr>
          <w:sz w:val="20"/>
          <w:szCs w:val="20"/>
        </w:rPr>
        <w:t>restenosis</w:t>
      </w:r>
      <w:proofErr w:type="spellEnd"/>
      <w:r w:rsidRPr="000202EA">
        <w:rPr>
          <w:sz w:val="20"/>
          <w:szCs w:val="20"/>
        </w:rPr>
        <w:t xml:space="preserve"> after lower-limb endovascular interventions </w:t>
      </w:r>
      <w:r w:rsidRPr="000202EA">
        <w:rPr>
          <w:b/>
          <w:bCs/>
          <w:sz w:val="20"/>
          <w:szCs w:val="20"/>
        </w:rPr>
        <w:t>(</w:t>
      </w:r>
      <w:proofErr w:type="spellStart"/>
      <w:r w:rsidRPr="000202EA">
        <w:rPr>
          <w:b/>
          <w:bCs/>
          <w:sz w:val="20"/>
          <w:szCs w:val="20"/>
        </w:rPr>
        <w:t>Schillinger</w:t>
      </w:r>
      <w:proofErr w:type="spellEnd"/>
      <w:r w:rsidRPr="000202EA">
        <w:rPr>
          <w:b/>
          <w:bCs/>
          <w:sz w:val="20"/>
          <w:szCs w:val="20"/>
        </w:rPr>
        <w:t xml:space="preserve"> et al., 2004).</w:t>
      </w:r>
    </w:p>
    <w:p w:rsidR="00282291" w:rsidRPr="000202EA" w:rsidRDefault="00282291" w:rsidP="00243C1C">
      <w:pPr>
        <w:shd w:val="clear" w:color="auto" w:fill="FFFFFF"/>
        <w:snapToGrid w:val="0"/>
        <w:jc w:val="both"/>
        <w:rPr>
          <w:b/>
          <w:bCs/>
          <w:sz w:val="20"/>
          <w:szCs w:val="20"/>
        </w:rPr>
      </w:pPr>
    </w:p>
    <w:p w:rsidR="00282291" w:rsidRPr="000202EA" w:rsidRDefault="00282291" w:rsidP="00243C1C">
      <w:pPr>
        <w:snapToGrid w:val="0"/>
        <w:jc w:val="both"/>
        <w:rPr>
          <w:b/>
          <w:bCs/>
          <w:sz w:val="20"/>
          <w:szCs w:val="20"/>
          <w:lang w:bidi="ar-EG"/>
        </w:rPr>
      </w:pPr>
      <w:r w:rsidRPr="000202EA">
        <w:rPr>
          <w:b/>
          <w:bCs/>
          <w:sz w:val="20"/>
          <w:szCs w:val="20"/>
          <w:lang w:bidi="ar-EG"/>
        </w:rPr>
        <w:t>Clinical situation:</w:t>
      </w:r>
    </w:p>
    <w:p w:rsidR="00282291" w:rsidRPr="000202EA" w:rsidRDefault="00282291" w:rsidP="00243C1C">
      <w:pPr>
        <w:snapToGrid w:val="0"/>
        <w:ind w:firstLine="425"/>
        <w:jc w:val="both"/>
        <w:rPr>
          <w:b/>
          <w:bCs/>
          <w:sz w:val="20"/>
          <w:szCs w:val="20"/>
          <w:lang w:bidi="ar-EG"/>
        </w:rPr>
      </w:pPr>
      <w:r w:rsidRPr="000202EA">
        <w:rPr>
          <w:sz w:val="20"/>
          <w:szCs w:val="20"/>
          <w:lang w:bidi="ar-EG"/>
        </w:rPr>
        <w:t xml:space="preserve">In our study, </w:t>
      </w:r>
      <w:r w:rsidRPr="000202EA">
        <w:rPr>
          <w:sz w:val="20"/>
          <w:szCs w:val="20"/>
        </w:rPr>
        <w:t>29</w:t>
      </w:r>
      <w:r w:rsidRPr="000202EA">
        <w:rPr>
          <w:sz w:val="20"/>
          <w:szCs w:val="20"/>
          <w:lang w:bidi="ar-EG"/>
        </w:rPr>
        <w:t xml:space="preserve"> patients (72.5%) were presented were presented with rest pain and 11 patients (27.5%) were presented with tissue loss.</w:t>
      </w:r>
      <w:r w:rsidRPr="000202EA">
        <w:rPr>
          <w:sz w:val="20"/>
          <w:szCs w:val="20"/>
          <w:lang w:val="en-GB" w:bidi="ar-EG"/>
        </w:rPr>
        <w:t xml:space="preserve"> Follow up of the patients with rest pain at 1, 6 and 12, month resulted in primary patency rates were 100%, 83.3 % </w:t>
      </w:r>
      <w:r w:rsidRPr="000202EA">
        <w:rPr>
          <w:sz w:val="20"/>
          <w:szCs w:val="20"/>
          <w:lang w:bidi="ar-EG"/>
        </w:rPr>
        <w:t>and 72.2</w:t>
      </w:r>
      <w:r w:rsidRPr="000202EA">
        <w:rPr>
          <w:sz w:val="20"/>
          <w:szCs w:val="20"/>
          <w:lang w:val="en-GB" w:bidi="ar-EG"/>
        </w:rPr>
        <w:t xml:space="preserve">% respectively, while follow up of the patients who were </w:t>
      </w:r>
      <w:r w:rsidRPr="000202EA">
        <w:rPr>
          <w:sz w:val="20"/>
          <w:szCs w:val="20"/>
          <w:lang w:bidi="ar-EG"/>
        </w:rPr>
        <w:t>gangrene</w:t>
      </w:r>
      <w:r w:rsidRPr="000202EA">
        <w:rPr>
          <w:sz w:val="20"/>
          <w:szCs w:val="20"/>
          <w:lang w:val="en-GB" w:bidi="ar-EG"/>
        </w:rPr>
        <w:t xml:space="preserve"> at 1, 6 and 12, month resulted in primary patency rates were 100%, 72.7 % </w:t>
      </w:r>
      <w:r w:rsidRPr="000202EA">
        <w:rPr>
          <w:sz w:val="20"/>
          <w:szCs w:val="20"/>
          <w:lang w:bidi="ar-EG"/>
        </w:rPr>
        <w:t>and 54.5</w:t>
      </w:r>
      <w:r w:rsidRPr="000202EA">
        <w:rPr>
          <w:sz w:val="20"/>
          <w:szCs w:val="20"/>
          <w:lang w:val="en-GB" w:bidi="ar-EG"/>
        </w:rPr>
        <w:t>% respectively.</w:t>
      </w:r>
      <w:r w:rsidRPr="000202EA">
        <w:rPr>
          <w:sz w:val="20"/>
          <w:szCs w:val="20"/>
          <w:lang w:bidi="ar-EG"/>
        </w:rPr>
        <w:t xml:space="preserve"> 7 patient who showed gangrene: 1 patients underwent racket amputation of third toe, 3 patient underwent</w:t>
      </w:r>
      <w:r w:rsidR="00C305D9" w:rsidRPr="000202EA">
        <w:rPr>
          <w:sz w:val="20"/>
          <w:szCs w:val="20"/>
          <w:lang w:bidi="ar-EG"/>
        </w:rPr>
        <w:t xml:space="preserve"> </w:t>
      </w:r>
      <w:r w:rsidRPr="000202EA">
        <w:rPr>
          <w:sz w:val="20"/>
          <w:szCs w:val="20"/>
          <w:lang w:bidi="ar-EG"/>
        </w:rPr>
        <w:t>racket amputation of big toe, 2 patient underwent racket amputation of little toe</w:t>
      </w:r>
      <w:r w:rsidR="00C305D9" w:rsidRPr="000202EA">
        <w:rPr>
          <w:sz w:val="20"/>
          <w:szCs w:val="20"/>
          <w:lang w:bidi="ar-EG"/>
        </w:rPr>
        <w:t xml:space="preserve"> </w:t>
      </w:r>
      <w:r w:rsidRPr="000202EA">
        <w:rPr>
          <w:sz w:val="20"/>
          <w:szCs w:val="20"/>
          <w:lang w:bidi="ar-EG"/>
        </w:rPr>
        <w:t>and 1 patient</w:t>
      </w:r>
      <w:r w:rsidR="00C305D9" w:rsidRPr="000202EA">
        <w:rPr>
          <w:sz w:val="20"/>
          <w:szCs w:val="20"/>
          <w:lang w:bidi="ar-EG"/>
        </w:rPr>
        <w:t xml:space="preserve"> </w:t>
      </w:r>
      <w:r w:rsidRPr="000202EA">
        <w:rPr>
          <w:sz w:val="20"/>
          <w:szCs w:val="20"/>
          <w:lang w:bidi="ar-EG"/>
        </w:rPr>
        <w:t>underwent trans metatarsal amputation of</w:t>
      </w:r>
      <w:r w:rsidR="00C305D9" w:rsidRPr="000202EA">
        <w:rPr>
          <w:sz w:val="20"/>
          <w:szCs w:val="20"/>
          <w:lang w:bidi="ar-EG"/>
        </w:rPr>
        <w:t xml:space="preserve"> </w:t>
      </w:r>
      <w:r w:rsidRPr="000202EA">
        <w:rPr>
          <w:sz w:val="20"/>
          <w:szCs w:val="20"/>
          <w:lang w:bidi="ar-EG"/>
        </w:rPr>
        <w:t>forefoot</w:t>
      </w:r>
      <w:r w:rsidR="00C305D9" w:rsidRPr="000202EA">
        <w:rPr>
          <w:sz w:val="20"/>
          <w:szCs w:val="20"/>
          <w:lang w:bidi="ar-EG"/>
        </w:rPr>
        <w:t xml:space="preserve"> </w:t>
      </w:r>
      <w:r w:rsidRPr="000202EA">
        <w:rPr>
          <w:sz w:val="20"/>
          <w:szCs w:val="20"/>
          <w:lang w:bidi="ar-EG"/>
        </w:rPr>
        <w:t>due to severe infection.</w:t>
      </w:r>
    </w:p>
    <w:p w:rsidR="00282291" w:rsidRPr="000202EA" w:rsidRDefault="00282291" w:rsidP="00243C1C">
      <w:pPr>
        <w:snapToGrid w:val="0"/>
        <w:ind w:firstLine="425"/>
        <w:jc w:val="both"/>
        <w:rPr>
          <w:sz w:val="20"/>
          <w:szCs w:val="20"/>
          <w:lang w:bidi="ar-EG"/>
        </w:rPr>
      </w:pPr>
      <w:r w:rsidRPr="000202EA">
        <w:rPr>
          <w:sz w:val="20"/>
          <w:szCs w:val="20"/>
          <w:lang w:bidi="ar-EG"/>
        </w:rPr>
        <w:t xml:space="preserve">In study done by </w:t>
      </w:r>
      <w:proofErr w:type="spellStart"/>
      <w:r w:rsidRPr="000202EA">
        <w:rPr>
          <w:b/>
          <w:bCs/>
          <w:sz w:val="20"/>
          <w:szCs w:val="20"/>
          <w:lang w:bidi="ar-EG"/>
        </w:rPr>
        <w:t>Ascher</w:t>
      </w:r>
      <w:proofErr w:type="spellEnd"/>
      <w:r w:rsidR="000202EA" w:rsidRPr="000202EA">
        <w:rPr>
          <w:rFonts w:eastAsiaTheme="minorEastAsia" w:hint="eastAsia"/>
          <w:b/>
          <w:bCs/>
          <w:sz w:val="20"/>
          <w:szCs w:val="20"/>
          <w:lang w:eastAsia="zh-CN" w:bidi="ar-EG"/>
        </w:rPr>
        <w:t xml:space="preserve"> </w:t>
      </w:r>
      <w:r w:rsidRPr="000202EA">
        <w:rPr>
          <w:b/>
          <w:bCs/>
          <w:sz w:val="20"/>
          <w:szCs w:val="20"/>
          <w:lang w:bidi="ar-EG"/>
        </w:rPr>
        <w:t>et al 2012</w:t>
      </w:r>
      <w:r w:rsidRPr="000202EA">
        <w:rPr>
          <w:sz w:val="20"/>
          <w:szCs w:val="20"/>
          <w:lang w:bidi="ar-EG"/>
        </w:rPr>
        <w:t xml:space="preserve"> for evaluation Clinical failure after </w:t>
      </w:r>
      <w:proofErr w:type="spellStart"/>
      <w:r w:rsidRPr="000202EA">
        <w:rPr>
          <w:sz w:val="20"/>
          <w:szCs w:val="20"/>
          <w:lang w:bidi="ar-EG"/>
        </w:rPr>
        <w:t>percutaneous</w:t>
      </w:r>
      <w:proofErr w:type="spellEnd"/>
      <w:r w:rsidRPr="000202EA">
        <w:rPr>
          <w:sz w:val="20"/>
          <w:szCs w:val="20"/>
          <w:lang w:bidi="ar-EG"/>
        </w:rPr>
        <w:t xml:space="preserve"> </w:t>
      </w:r>
      <w:proofErr w:type="spellStart"/>
      <w:r w:rsidRPr="000202EA">
        <w:rPr>
          <w:sz w:val="20"/>
          <w:szCs w:val="20"/>
          <w:lang w:bidi="ar-EG"/>
        </w:rPr>
        <w:t>transluminal</w:t>
      </w:r>
      <w:proofErr w:type="spellEnd"/>
      <w:r w:rsidRPr="000202EA">
        <w:rPr>
          <w:sz w:val="20"/>
          <w:szCs w:val="20"/>
          <w:lang w:bidi="ar-EG"/>
        </w:rPr>
        <w:t xml:space="preserve"> angioplasty of the superficial femoral artery, recorded 85 patients, 112 distinct lesions were treated. Indications for treatment were </w:t>
      </w:r>
      <w:proofErr w:type="spellStart"/>
      <w:r w:rsidRPr="000202EA">
        <w:rPr>
          <w:sz w:val="20"/>
          <w:szCs w:val="20"/>
          <w:lang w:bidi="ar-EG"/>
        </w:rPr>
        <w:t>claudication</w:t>
      </w:r>
      <w:proofErr w:type="spellEnd"/>
      <w:r w:rsidRPr="000202EA">
        <w:rPr>
          <w:sz w:val="20"/>
          <w:szCs w:val="20"/>
          <w:lang w:bidi="ar-EG"/>
        </w:rPr>
        <w:t xml:space="preserve"> (59%), rest pain (19%), tissue loss (17%), the mean </w:t>
      </w:r>
      <w:proofErr w:type="spellStart"/>
      <w:r w:rsidRPr="000202EA">
        <w:rPr>
          <w:sz w:val="20"/>
          <w:szCs w:val="20"/>
          <w:lang w:bidi="ar-EG"/>
        </w:rPr>
        <w:t>preprocedure</w:t>
      </w:r>
      <w:proofErr w:type="spellEnd"/>
      <w:r w:rsidRPr="000202EA">
        <w:rPr>
          <w:sz w:val="20"/>
          <w:szCs w:val="20"/>
          <w:lang w:bidi="ar-EG"/>
        </w:rPr>
        <w:t xml:space="preserve"> resting ABI was 0.66 (range, 0.18-1.05).</w:t>
      </w:r>
      <w:r w:rsidR="00C305D9" w:rsidRPr="000202EA">
        <w:rPr>
          <w:sz w:val="20"/>
          <w:szCs w:val="20"/>
          <w:lang w:bidi="ar-EG"/>
        </w:rPr>
        <w:t xml:space="preserve"> </w:t>
      </w:r>
      <w:r w:rsidRPr="000202EA">
        <w:rPr>
          <w:sz w:val="20"/>
          <w:szCs w:val="20"/>
          <w:lang w:bidi="ar-EG"/>
        </w:rPr>
        <w:t>Clinical success was 98% at 1 month, 79.9 at 6 month,</w:t>
      </w:r>
      <w:r w:rsidR="00C305D9" w:rsidRPr="000202EA">
        <w:rPr>
          <w:sz w:val="20"/>
          <w:szCs w:val="20"/>
          <w:lang w:bidi="ar-EG"/>
        </w:rPr>
        <w:t xml:space="preserve"> </w:t>
      </w:r>
      <w:r w:rsidRPr="000202EA">
        <w:rPr>
          <w:sz w:val="20"/>
          <w:szCs w:val="20"/>
          <w:lang w:bidi="ar-EG"/>
        </w:rPr>
        <w:t>69% at 1 year, 54% at 2 years, 49% at 3 years, and 40% at 4 years.</w:t>
      </w:r>
    </w:p>
    <w:p w:rsidR="00282291" w:rsidRPr="000202EA" w:rsidRDefault="00282291" w:rsidP="00243C1C">
      <w:pPr>
        <w:snapToGrid w:val="0"/>
        <w:ind w:firstLine="425"/>
        <w:jc w:val="both"/>
        <w:rPr>
          <w:color w:val="FF0000"/>
          <w:sz w:val="20"/>
          <w:szCs w:val="20"/>
        </w:rPr>
      </w:pPr>
      <w:proofErr w:type="spellStart"/>
      <w:r w:rsidRPr="000202EA">
        <w:rPr>
          <w:b/>
          <w:bCs/>
          <w:sz w:val="20"/>
          <w:szCs w:val="20"/>
        </w:rPr>
        <w:t>Tiia</w:t>
      </w:r>
      <w:proofErr w:type="spellEnd"/>
      <w:r w:rsidRPr="000202EA">
        <w:rPr>
          <w:b/>
          <w:bCs/>
          <w:sz w:val="20"/>
          <w:szCs w:val="20"/>
        </w:rPr>
        <w:t xml:space="preserve"> et al 2002</w:t>
      </w:r>
      <w:r w:rsidRPr="000202EA">
        <w:rPr>
          <w:sz w:val="20"/>
          <w:szCs w:val="20"/>
        </w:rPr>
        <w:t xml:space="preserve"> reported that the long-term patency rates of PTA of the </w:t>
      </w:r>
      <w:proofErr w:type="spellStart"/>
      <w:r w:rsidRPr="000202EA">
        <w:rPr>
          <w:sz w:val="20"/>
          <w:szCs w:val="20"/>
        </w:rPr>
        <w:t>femoropopliteal</w:t>
      </w:r>
      <w:proofErr w:type="spellEnd"/>
      <w:r w:rsidRPr="000202EA">
        <w:rPr>
          <w:sz w:val="20"/>
          <w:szCs w:val="20"/>
        </w:rPr>
        <w:t xml:space="preserve"> arteries in </w:t>
      </w:r>
      <w:proofErr w:type="spellStart"/>
      <w:r w:rsidRPr="000202EA">
        <w:rPr>
          <w:sz w:val="20"/>
          <w:szCs w:val="20"/>
        </w:rPr>
        <w:t>claudicant</w:t>
      </w:r>
      <w:proofErr w:type="spellEnd"/>
      <w:r w:rsidRPr="000202EA">
        <w:rPr>
          <w:sz w:val="20"/>
          <w:szCs w:val="20"/>
        </w:rPr>
        <w:t xml:space="preserve"> patients were poor, the acceptable number of interventions and the low frequency of development of chronic critical ischemia imply the long-term benefits achievable with this treatment.</w:t>
      </w:r>
    </w:p>
    <w:p w:rsidR="00282291" w:rsidRPr="000202EA" w:rsidRDefault="00282291" w:rsidP="00243C1C">
      <w:pPr>
        <w:snapToGrid w:val="0"/>
        <w:jc w:val="both"/>
        <w:rPr>
          <w:sz w:val="20"/>
          <w:szCs w:val="20"/>
        </w:rPr>
      </w:pPr>
      <w:r w:rsidRPr="000202EA">
        <w:rPr>
          <w:b/>
          <w:bCs/>
          <w:sz w:val="20"/>
          <w:szCs w:val="20"/>
        </w:rPr>
        <w:t>Initial hemodynamic response:</w:t>
      </w:r>
    </w:p>
    <w:p w:rsidR="00282291" w:rsidRPr="000202EA" w:rsidRDefault="00282291" w:rsidP="00243C1C">
      <w:pPr>
        <w:snapToGrid w:val="0"/>
        <w:ind w:firstLine="425"/>
        <w:jc w:val="both"/>
        <w:rPr>
          <w:sz w:val="20"/>
          <w:szCs w:val="20"/>
        </w:rPr>
      </w:pPr>
      <w:r w:rsidRPr="000202EA">
        <w:rPr>
          <w:sz w:val="20"/>
          <w:szCs w:val="20"/>
        </w:rPr>
        <w:t xml:space="preserve">After duplex guided angioplasty, the extent of improvement in the ABI serves as an indicator of the immediate hemodynamic improvement and also as a prognostic indicator. </w:t>
      </w:r>
      <w:proofErr w:type="spellStart"/>
      <w:r w:rsidRPr="000202EA">
        <w:rPr>
          <w:sz w:val="20"/>
          <w:szCs w:val="20"/>
        </w:rPr>
        <w:t>Postprocedur</w:t>
      </w:r>
      <w:r w:rsidR="00C305D9" w:rsidRPr="000202EA">
        <w:rPr>
          <w:sz w:val="20"/>
          <w:szCs w:val="20"/>
        </w:rPr>
        <w:t>e</w:t>
      </w:r>
      <w:proofErr w:type="spellEnd"/>
      <w:r w:rsidR="00C305D9" w:rsidRPr="000202EA">
        <w:rPr>
          <w:sz w:val="20"/>
          <w:szCs w:val="20"/>
        </w:rPr>
        <w:t xml:space="preserve"> </w:t>
      </w:r>
      <w:proofErr w:type="spellStart"/>
      <w:r w:rsidR="00C305D9" w:rsidRPr="000202EA">
        <w:rPr>
          <w:sz w:val="20"/>
          <w:szCs w:val="20"/>
        </w:rPr>
        <w:t>P</w:t>
      </w:r>
      <w:r w:rsidRPr="000202EA">
        <w:rPr>
          <w:sz w:val="20"/>
          <w:szCs w:val="20"/>
        </w:rPr>
        <w:t>ostprocedure</w:t>
      </w:r>
      <w:proofErr w:type="spellEnd"/>
      <w:r w:rsidRPr="000202EA">
        <w:rPr>
          <w:sz w:val="20"/>
          <w:szCs w:val="20"/>
        </w:rPr>
        <w:t xml:space="preserve"> </w:t>
      </w:r>
      <w:proofErr w:type="spellStart"/>
      <w:r w:rsidRPr="000202EA">
        <w:rPr>
          <w:sz w:val="20"/>
          <w:szCs w:val="20"/>
        </w:rPr>
        <w:t>ABIs</w:t>
      </w:r>
      <w:proofErr w:type="spellEnd"/>
      <w:r w:rsidRPr="000202EA">
        <w:rPr>
          <w:sz w:val="20"/>
          <w:szCs w:val="20"/>
        </w:rPr>
        <w:t xml:space="preserve"> obtained before patient discharge ranged from 0.6 to 1.2 (mean ± SD, 0.90 ± 0.18). </w:t>
      </w:r>
      <w:r w:rsidRPr="000202EA">
        <w:rPr>
          <w:sz w:val="20"/>
          <w:szCs w:val="20"/>
          <w:lang w:val="en-GB"/>
        </w:rPr>
        <w:t xml:space="preserve">The differences </w:t>
      </w:r>
      <w:r w:rsidRPr="000202EA">
        <w:rPr>
          <w:sz w:val="20"/>
          <w:szCs w:val="20"/>
          <w:lang w:val="en-GB"/>
        </w:rPr>
        <w:lastRenderedPageBreak/>
        <w:t xml:space="preserve">between patients with long term patency and other patients with no patency were significant (P </w:t>
      </w:r>
      <w:r w:rsidRPr="000202EA">
        <w:rPr>
          <w:sz w:val="20"/>
          <w:szCs w:val="20"/>
        </w:rPr>
        <w:t>&lt;0.001</w:t>
      </w:r>
      <w:r w:rsidRPr="000202EA">
        <w:rPr>
          <w:sz w:val="20"/>
          <w:szCs w:val="20"/>
          <w:lang w:val="en-GB"/>
        </w:rPr>
        <w:t>).</w:t>
      </w:r>
    </w:p>
    <w:p w:rsidR="00282291" w:rsidRPr="000202EA" w:rsidRDefault="00282291" w:rsidP="00243C1C">
      <w:pPr>
        <w:snapToGrid w:val="0"/>
        <w:ind w:firstLine="425"/>
        <w:jc w:val="both"/>
        <w:rPr>
          <w:sz w:val="20"/>
          <w:szCs w:val="20"/>
        </w:rPr>
      </w:pPr>
      <w:r w:rsidRPr="000202EA">
        <w:rPr>
          <w:sz w:val="20"/>
          <w:szCs w:val="20"/>
        </w:rPr>
        <w:t xml:space="preserve">In study done by </w:t>
      </w:r>
      <w:proofErr w:type="spellStart"/>
      <w:r w:rsidRPr="000202EA">
        <w:rPr>
          <w:b/>
          <w:bCs/>
          <w:sz w:val="20"/>
          <w:szCs w:val="20"/>
        </w:rPr>
        <w:t>Ascher</w:t>
      </w:r>
      <w:proofErr w:type="spellEnd"/>
      <w:r w:rsidR="00993ABE" w:rsidRPr="000202EA">
        <w:rPr>
          <w:b/>
          <w:bCs/>
          <w:sz w:val="20"/>
          <w:szCs w:val="20"/>
        </w:rPr>
        <w:t xml:space="preserve"> </w:t>
      </w:r>
      <w:r w:rsidRPr="000202EA">
        <w:rPr>
          <w:b/>
          <w:bCs/>
          <w:sz w:val="20"/>
          <w:szCs w:val="20"/>
        </w:rPr>
        <w:t xml:space="preserve">et al 2005 </w:t>
      </w:r>
      <w:r w:rsidRPr="000202EA">
        <w:rPr>
          <w:sz w:val="20"/>
          <w:szCs w:val="20"/>
        </w:rPr>
        <w:t xml:space="preserve">reported </w:t>
      </w:r>
      <w:proofErr w:type="spellStart"/>
      <w:r w:rsidRPr="000202EA">
        <w:rPr>
          <w:sz w:val="20"/>
          <w:szCs w:val="20"/>
        </w:rPr>
        <w:t>Postprocedure</w:t>
      </w:r>
      <w:proofErr w:type="spellEnd"/>
      <w:r w:rsidRPr="000202EA">
        <w:rPr>
          <w:sz w:val="20"/>
          <w:szCs w:val="20"/>
        </w:rPr>
        <w:t xml:space="preserve"> </w:t>
      </w:r>
      <w:proofErr w:type="spellStart"/>
      <w:r w:rsidRPr="000202EA">
        <w:rPr>
          <w:sz w:val="20"/>
          <w:szCs w:val="20"/>
        </w:rPr>
        <w:t>ABIs</w:t>
      </w:r>
      <w:proofErr w:type="spellEnd"/>
      <w:r w:rsidRPr="000202EA">
        <w:rPr>
          <w:sz w:val="20"/>
          <w:szCs w:val="20"/>
        </w:rPr>
        <w:t xml:space="preserve"> obtained before patient discharge ranged from 0.54 to 1 (mean ± SD, 0.82 ± 0.14; P &lt;.001).</w:t>
      </w:r>
    </w:p>
    <w:p w:rsidR="00282291" w:rsidRPr="000202EA" w:rsidRDefault="00282291" w:rsidP="00243C1C">
      <w:pPr>
        <w:snapToGrid w:val="0"/>
        <w:ind w:firstLine="425"/>
        <w:jc w:val="both"/>
        <w:rPr>
          <w:sz w:val="20"/>
          <w:szCs w:val="20"/>
        </w:rPr>
      </w:pPr>
      <w:proofErr w:type="spellStart"/>
      <w:r w:rsidRPr="000202EA">
        <w:rPr>
          <w:b/>
          <w:bCs/>
          <w:sz w:val="20"/>
          <w:szCs w:val="20"/>
        </w:rPr>
        <w:t>Ascher</w:t>
      </w:r>
      <w:proofErr w:type="spellEnd"/>
      <w:r w:rsidRPr="000202EA">
        <w:rPr>
          <w:b/>
          <w:bCs/>
          <w:sz w:val="20"/>
          <w:szCs w:val="20"/>
        </w:rPr>
        <w:t xml:space="preserve"> et al 2006 </w:t>
      </w:r>
      <w:r w:rsidRPr="000202EA">
        <w:rPr>
          <w:sz w:val="20"/>
          <w:szCs w:val="20"/>
        </w:rPr>
        <w:t>stated that</w:t>
      </w:r>
      <w:r w:rsidR="000202EA" w:rsidRPr="000202EA">
        <w:rPr>
          <w:rFonts w:eastAsiaTheme="minorEastAsia" w:hint="eastAsia"/>
          <w:sz w:val="20"/>
          <w:szCs w:val="20"/>
          <w:lang w:eastAsia="zh-CN"/>
        </w:rPr>
        <w:t xml:space="preserve"> </w:t>
      </w:r>
      <w:r w:rsidRPr="000202EA">
        <w:rPr>
          <w:sz w:val="20"/>
          <w:szCs w:val="20"/>
        </w:rPr>
        <w:t xml:space="preserve">duplex-guided balloon angioplasty and stent placement seems to be a safe and effective technique for the treatment of </w:t>
      </w:r>
      <w:proofErr w:type="spellStart"/>
      <w:r w:rsidRPr="000202EA">
        <w:rPr>
          <w:sz w:val="20"/>
          <w:szCs w:val="20"/>
        </w:rPr>
        <w:t>infrainguinal</w:t>
      </w:r>
      <w:proofErr w:type="spellEnd"/>
      <w:r w:rsidRPr="000202EA">
        <w:rPr>
          <w:sz w:val="20"/>
          <w:szCs w:val="20"/>
        </w:rPr>
        <w:t xml:space="preserve"> arterial occlusive disease. Overall </w:t>
      </w:r>
      <w:proofErr w:type="spellStart"/>
      <w:r w:rsidRPr="000202EA">
        <w:rPr>
          <w:sz w:val="20"/>
          <w:szCs w:val="20"/>
        </w:rPr>
        <w:t>preprocedure</w:t>
      </w:r>
      <w:proofErr w:type="spellEnd"/>
      <w:r w:rsidRPr="000202EA">
        <w:rPr>
          <w:sz w:val="20"/>
          <w:szCs w:val="20"/>
        </w:rPr>
        <w:t xml:space="preserve"> and </w:t>
      </w:r>
      <w:proofErr w:type="spellStart"/>
      <w:r w:rsidRPr="000202EA">
        <w:rPr>
          <w:sz w:val="20"/>
          <w:szCs w:val="20"/>
        </w:rPr>
        <w:t>postprocedure</w:t>
      </w:r>
      <w:proofErr w:type="spellEnd"/>
      <w:r w:rsidRPr="000202EA">
        <w:rPr>
          <w:sz w:val="20"/>
          <w:szCs w:val="20"/>
        </w:rPr>
        <w:t xml:space="preserve"> ankle-brachial indices changed from a mean of 0.69±0.16 (range, 0.2-1.1) to 0.95±0.14 (range, 0.55-1.3), respectively (P &lt;0</w:t>
      </w:r>
      <w:r w:rsidR="00C305D9" w:rsidRPr="000202EA">
        <w:rPr>
          <w:sz w:val="20"/>
          <w:szCs w:val="20"/>
        </w:rPr>
        <w:t>.</w:t>
      </w:r>
      <w:r w:rsidRPr="000202EA">
        <w:rPr>
          <w:sz w:val="20"/>
          <w:szCs w:val="20"/>
        </w:rPr>
        <w:t>0001).</w:t>
      </w:r>
    </w:p>
    <w:p w:rsidR="00282291" w:rsidRPr="000202EA" w:rsidRDefault="00282291" w:rsidP="00243C1C">
      <w:pPr>
        <w:snapToGrid w:val="0"/>
        <w:ind w:firstLine="425"/>
        <w:jc w:val="both"/>
        <w:rPr>
          <w:sz w:val="20"/>
          <w:szCs w:val="20"/>
        </w:rPr>
      </w:pPr>
    </w:p>
    <w:p w:rsidR="00282291" w:rsidRPr="000202EA" w:rsidRDefault="00282291" w:rsidP="00243C1C">
      <w:pPr>
        <w:snapToGrid w:val="0"/>
        <w:jc w:val="both"/>
        <w:rPr>
          <w:b/>
          <w:bCs/>
          <w:sz w:val="20"/>
          <w:szCs w:val="20"/>
          <w:lang w:bidi="ar-EG"/>
        </w:rPr>
      </w:pPr>
      <w:r w:rsidRPr="000202EA">
        <w:rPr>
          <w:b/>
          <w:bCs/>
          <w:sz w:val="20"/>
          <w:szCs w:val="20"/>
          <w:lang w:bidi="ar-EG"/>
        </w:rPr>
        <w:t>Conclusion</w:t>
      </w:r>
    </w:p>
    <w:p w:rsidR="00282291" w:rsidRPr="000202EA" w:rsidRDefault="00282291" w:rsidP="00243C1C">
      <w:pPr>
        <w:snapToGrid w:val="0"/>
        <w:ind w:firstLine="425"/>
        <w:jc w:val="both"/>
        <w:rPr>
          <w:sz w:val="20"/>
          <w:szCs w:val="20"/>
          <w:lang w:bidi="ar-EG"/>
        </w:rPr>
      </w:pPr>
      <w:r w:rsidRPr="000202EA">
        <w:rPr>
          <w:sz w:val="20"/>
          <w:szCs w:val="20"/>
          <w:lang w:bidi="ar-EG"/>
        </w:rPr>
        <w:t>Duplex-guided balloon angioplasty seems to be feasible, safe, effective technique, a bedside procedure and cost effective as well. Compared with fluoroscopy guidance its considerable cheap, feasible, safe, effective technique, abed–side procedure and cost effective as well.</w:t>
      </w:r>
    </w:p>
    <w:p w:rsidR="00282291" w:rsidRPr="000202EA" w:rsidRDefault="00282291" w:rsidP="00243C1C">
      <w:pPr>
        <w:snapToGrid w:val="0"/>
        <w:ind w:firstLine="425"/>
        <w:jc w:val="both"/>
        <w:rPr>
          <w:sz w:val="20"/>
          <w:szCs w:val="20"/>
          <w:lang w:bidi="ar-EG"/>
        </w:rPr>
      </w:pPr>
      <w:r w:rsidRPr="000202EA">
        <w:rPr>
          <w:sz w:val="20"/>
          <w:szCs w:val="20"/>
          <w:lang w:bidi="ar-EG"/>
        </w:rPr>
        <w:t>Duplex-guided arterial interventions are particularly beneficial for patients who are allergic to contrast material and for those with chronic renal insufficiency</w:t>
      </w:r>
      <w:r w:rsidR="00C305D9" w:rsidRPr="000202EA">
        <w:rPr>
          <w:sz w:val="20"/>
          <w:szCs w:val="20"/>
          <w:lang w:bidi="ar-EG"/>
        </w:rPr>
        <w:t>. A</w:t>
      </w:r>
      <w:r w:rsidRPr="000202EA">
        <w:rPr>
          <w:sz w:val="20"/>
          <w:szCs w:val="20"/>
          <w:lang w:bidi="ar-EG"/>
        </w:rPr>
        <w:t>lthough we appreciate that Duplex angioplasty will not replace conventional PTA, this new method may be superior in selected patients.</w:t>
      </w:r>
    </w:p>
    <w:p w:rsidR="00282291" w:rsidRPr="000202EA" w:rsidRDefault="00282291" w:rsidP="00243C1C">
      <w:pPr>
        <w:snapToGrid w:val="0"/>
        <w:ind w:firstLine="425"/>
        <w:jc w:val="both"/>
        <w:rPr>
          <w:sz w:val="20"/>
          <w:szCs w:val="20"/>
          <w:lang w:bidi="ar-EG"/>
        </w:rPr>
      </w:pPr>
      <w:r w:rsidRPr="000202EA">
        <w:rPr>
          <w:sz w:val="20"/>
          <w:szCs w:val="20"/>
          <w:lang w:bidi="ar-EG"/>
        </w:rPr>
        <w:t xml:space="preserve">Review of our data revealed short-term patency and </w:t>
      </w:r>
      <w:proofErr w:type="spellStart"/>
      <w:r w:rsidRPr="000202EA">
        <w:rPr>
          <w:sz w:val="20"/>
          <w:szCs w:val="20"/>
          <w:lang w:bidi="ar-EG"/>
        </w:rPr>
        <w:t>intraoperative</w:t>
      </w:r>
      <w:proofErr w:type="spellEnd"/>
      <w:r w:rsidRPr="000202EA">
        <w:rPr>
          <w:sz w:val="20"/>
          <w:szCs w:val="20"/>
          <w:lang w:bidi="ar-EG"/>
        </w:rPr>
        <w:t xml:space="preserve"> complication rates. Vascular patients are usually high risk patients, being old in age and suffering associated cardiac, cerebral, kidney and atherosclerotic disease.</w:t>
      </w:r>
    </w:p>
    <w:p w:rsidR="00282291" w:rsidRPr="000202EA" w:rsidRDefault="00282291" w:rsidP="00243C1C">
      <w:pPr>
        <w:snapToGrid w:val="0"/>
        <w:ind w:firstLine="425"/>
        <w:jc w:val="both"/>
        <w:rPr>
          <w:sz w:val="20"/>
          <w:szCs w:val="20"/>
          <w:lang w:bidi="ar-EG"/>
        </w:rPr>
      </w:pPr>
      <w:r w:rsidRPr="000202EA">
        <w:rPr>
          <w:sz w:val="20"/>
          <w:szCs w:val="20"/>
          <w:lang w:bidi="ar-EG"/>
        </w:rPr>
        <w:t>Technical advantages include direct visualization of the puncture site, accurate selection of the proper size balloon and confirmation of the adequacy of the technique by hemodynamic and imaging parameters. Additional benefits are avoidance of radiation exposure. Although this technique holds considerable potential, longer follow-up will help to fully evaluate its broader applicability.</w:t>
      </w:r>
    </w:p>
    <w:p w:rsidR="00161870" w:rsidRPr="000202EA" w:rsidRDefault="00161870" w:rsidP="00243C1C">
      <w:pPr>
        <w:snapToGrid w:val="0"/>
        <w:ind w:firstLine="425"/>
        <w:jc w:val="both"/>
        <w:rPr>
          <w:sz w:val="20"/>
          <w:szCs w:val="20"/>
          <w:lang w:bidi="ar-EG"/>
        </w:rPr>
      </w:pPr>
    </w:p>
    <w:p w:rsidR="00161870" w:rsidRPr="000202EA" w:rsidRDefault="00161870" w:rsidP="00243C1C">
      <w:pPr>
        <w:snapToGrid w:val="0"/>
        <w:jc w:val="both"/>
        <w:rPr>
          <w:b/>
          <w:bCs/>
          <w:sz w:val="20"/>
          <w:szCs w:val="20"/>
          <w:lang w:bidi="ar-EG"/>
        </w:rPr>
      </w:pPr>
      <w:r w:rsidRPr="000202EA">
        <w:rPr>
          <w:b/>
          <w:bCs/>
          <w:sz w:val="20"/>
          <w:szCs w:val="20"/>
          <w:lang w:bidi="ar-EG"/>
        </w:rPr>
        <w:t>References</w:t>
      </w:r>
    </w:p>
    <w:p w:rsidR="008207E0" w:rsidRPr="000202EA" w:rsidRDefault="008207E0" w:rsidP="00243C1C">
      <w:pPr>
        <w:pStyle w:val="ListParagraph"/>
        <w:numPr>
          <w:ilvl w:val="0"/>
          <w:numId w:val="7"/>
        </w:numPr>
        <w:snapToGrid w:val="0"/>
        <w:jc w:val="both"/>
        <w:rPr>
          <w:sz w:val="18"/>
          <w:szCs w:val="18"/>
        </w:rPr>
      </w:pPr>
      <w:r w:rsidRPr="000202EA">
        <w:rPr>
          <w:bCs/>
          <w:sz w:val="18"/>
          <w:szCs w:val="18"/>
        </w:rPr>
        <w:t xml:space="preserve">Aquino R, </w:t>
      </w:r>
      <w:proofErr w:type="spellStart"/>
      <w:r w:rsidRPr="000202EA">
        <w:rPr>
          <w:bCs/>
          <w:sz w:val="18"/>
          <w:szCs w:val="18"/>
        </w:rPr>
        <w:t>Johnnides</w:t>
      </w:r>
      <w:proofErr w:type="spellEnd"/>
      <w:r w:rsidRPr="000202EA">
        <w:rPr>
          <w:bCs/>
          <w:sz w:val="18"/>
          <w:szCs w:val="18"/>
        </w:rPr>
        <w:t xml:space="preserve"> C, </w:t>
      </w:r>
      <w:proofErr w:type="spellStart"/>
      <w:r w:rsidRPr="000202EA">
        <w:rPr>
          <w:bCs/>
          <w:sz w:val="18"/>
          <w:szCs w:val="18"/>
        </w:rPr>
        <w:t>Makaroun</w:t>
      </w:r>
      <w:proofErr w:type="spellEnd"/>
      <w:r w:rsidRPr="000202EA">
        <w:rPr>
          <w:bCs/>
          <w:sz w:val="18"/>
          <w:szCs w:val="18"/>
        </w:rPr>
        <w:t xml:space="preserve"> M, et al (2001).</w:t>
      </w:r>
      <w:r w:rsidRPr="000202EA">
        <w:rPr>
          <w:sz w:val="18"/>
          <w:szCs w:val="18"/>
        </w:rPr>
        <w:t xml:space="preserve"> Natural history of </w:t>
      </w:r>
      <w:proofErr w:type="spellStart"/>
      <w:r w:rsidRPr="000202EA">
        <w:rPr>
          <w:sz w:val="18"/>
          <w:szCs w:val="18"/>
        </w:rPr>
        <w:t>claudication</w:t>
      </w:r>
      <w:proofErr w:type="spellEnd"/>
      <w:r w:rsidRPr="000202EA">
        <w:rPr>
          <w:sz w:val="18"/>
          <w:szCs w:val="18"/>
        </w:rPr>
        <w:t xml:space="preserve">: Long-term serial follow-up study of 1244 </w:t>
      </w:r>
      <w:proofErr w:type="spellStart"/>
      <w:r w:rsidRPr="000202EA">
        <w:rPr>
          <w:sz w:val="18"/>
          <w:szCs w:val="18"/>
        </w:rPr>
        <w:t>claudicants</w:t>
      </w:r>
      <w:proofErr w:type="spellEnd"/>
      <w:r w:rsidRPr="000202EA">
        <w:rPr>
          <w:sz w:val="18"/>
          <w:szCs w:val="18"/>
        </w:rPr>
        <w:t xml:space="preserve">. J </w:t>
      </w:r>
      <w:proofErr w:type="spellStart"/>
      <w:r w:rsidRPr="000202EA">
        <w:rPr>
          <w:sz w:val="18"/>
          <w:szCs w:val="18"/>
        </w:rPr>
        <w:t>Vasc</w:t>
      </w:r>
      <w:proofErr w:type="spellEnd"/>
      <w:r w:rsidRPr="000202EA">
        <w:rPr>
          <w:sz w:val="18"/>
          <w:szCs w:val="18"/>
        </w:rPr>
        <w:t xml:space="preserve"> Surg. 34(6): 962–970.</w:t>
      </w:r>
    </w:p>
    <w:p w:rsidR="008207E0" w:rsidRPr="000202EA" w:rsidRDefault="008207E0" w:rsidP="00243C1C">
      <w:pPr>
        <w:pStyle w:val="ListParagraph"/>
        <w:numPr>
          <w:ilvl w:val="0"/>
          <w:numId w:val="7"/>
        </w:numPr>
        <w:snapToGrid w:val="0"/>
        <w:jc w:val="both"/>
        <w:rPr>
          <w:sz w:val="18"/>
          <w:szCs w:val="18"/>
        </w:rPr>
      </w:pPr>
      <w:r w:rsidRPr="000202EA">
        <w:rPr>
          <w:bCs/>
          <w:sz w:val="18"/>
          <w:szCs w:val="18"/>
        </w:rPr>
        <w:t xml:space="preserve">Wang, John; </w:t>
      </w:r>
      <w:proofErr w:type="spellStart"/>
      <w:r w:rsidRPr="000202EA">
        <w:rPr>
          <w:bCs/>
          <w:sz w:val="18"/>
          <w:szCs w:val="18"/>
        </w:rPr>
        <w:t>Blebea</w:t>
      </w:r>
      <w:proofErr w:type="spellEnd"/>
      <w:r w:rsidRPr="000202EA">
        <w:rPr>
          <w:bCs/>
          <w:sz w:val="18"/>
          <w:szCs w:val="18"/>
        </w:rPr>
        <w:t xml:space="preserve">, John; Kennedy, Tara; Salvatore, Michael; Kelly and Patrick (2009): </w:t>
      </w:r>
      <w:r w:rsidRPr="000202EA">
        <w:rPr>
          <w:sz w:val="18"/>
          <w:szCs w:val="18"/>
        </w:rPr>
        <w:t>Journal for Vascular Ultrasound, Volume 33, Number 3, September, pp. (5):150 -154.</w:t>
      </w:r>
    </w:p>
    <w:p w:rsidR="008207E0" w:rsidRPr="000202EA" w:rsidRDefault="008207E0" w:rsidP="00243C1C">
      <w:pPr>
        <w:pStyle w:val="ListParagraph"/>
        <w:numPr>
          <w:ilvl w:val="0"/>
          <w:numId w:val="7"/>
        </w:numPr>
        <w:snapToGrid w:val="0"/>
        <w:jc w:val="both"/>
        <w:rPr>
          <w:sz w:val="18"/>
          <w:szCs w:val="18"/>
        </w:rPr>
      </w:pPr>
      <w:proofErr w:type="spellStart"/>
      <w:r w:rsidRPr="000202EA">
        <w:rPr>
          <w:bCs/>
          <w:sz w:val="18"/>
          <w:szCs w:val="18"/>
        </w:rPr>
        <w:t>Lipsitz</w:t>
      </w:r>
      <w:proofErr w:type="spellEnd"/>
      <w:r w:rsidRPr="000202EA">
        <w:rPr>
          <w:bCs/>
          <w:sz w:val="18"/>
          <w:szCs w:val="18"/>
        </w:rPr>
        <w:t xml:space="preserve"> EC, </w:t>
      </w:r>
      <w:proofErr w:type="spellStart"/>
      <w:r w:rsidRPr="000202EA">
        <w:rPr>
          <w:bCs/>
          <w:sz w:val="18"/>
          <w:szCs w:val="18"/>
        </w:rPr>
        <w:t>Veith</w:t>
      </w:r>
      <w:proofErr w:type="spellEnd"/>
      <w:r w:rsidRPr="000202EA">
        <w:rPr>
          <w:bCs/>
          <w:sz w:val="18"/>
          <w:szCs w:val="18"/>
        </w:rPr>
        <w:t xml:space="preserve"> FJ, Ohki T, Heller S, </w:t>
      </w:r>
      <w:proofErr w:type="spellStart"/>
      <w:r w:rsidRPr="000202EA">
        <w:rPr>
          <w:bCs/>
          <w:sz w:val="18"/>
          <w:szCs w:val="18"/>
        </w:rPr>
        <w:t>Wain</w:t>
      </w:r>
      <w:proofErr w:type="spellEnd"/>
      <w:r w:rsidRPr="000202EA">
        <w:rPr>
          <w:bCs/>
          <w:sz w:val="18"/>
          <w:szCs w:val="18"/>
        </w:rPr>
        <w:t xml:space="preserve"> RA, Suggs WD, Lee JC, </w:t>
      </w:r>
      <w:proofErr w:type="spellStart"/>
      <w:r w:rsidRPr="000202EA">
        <w:rPr>
          <w:bCs/>
          <w:sz w:val="18"/>
          <w:szCs w:val="18"/>
        </w:rPr>
        <w:t>Kwei</w:t>
      </w:r>
      <w:proofErr w:type="spellEnd"/>
      <w:r w:rsidRPr="000202EA">
        <w:rPr>
          <w:bCs/>
          <w:sz w:val="18"/>
          <w:szCs w:val="18"/>
        </w:rPr>
        <w:t xml:space="preserve"> S, Goldstein K, Rabin J, Chang D and Mehta M (2000): </w:t>
      </w:r>
      <w:r w:rsidRPr="000202EA">
        <w:rPr>
          <w:sz w:val="18"/>
          <w:szCs w:val="18"/>
        </w:rPr>
        <w:t xml:space="preserve">Does the endovascular </w:t>
      </w:r>
      <w:r w:rsidRPr="000202EA">
        <w:rPr>
          <w:sz w:val="18"/>
          <w:szCs w:val="18"/>
        </w:rPr>
        <w:lastRenderedPageBreak/>
        <w:t xml:space="preserve">repair of </w:t>
      </w:r>
      <w:proofErr w:type="spellStart"/>
      <w:r w:rsidRPr="000202EA">
        <w:rPr>
          <w:sz w:val="18"/>
          <w:szCs w:val="18"/>
        </w:rPr>
        <w:t>aortoiliac</w:t>
      </w:r>
      <w:proofErr w:type="spellEnd"/>
      <w:r w:rsidRPr="000202EA">
        <w:rPr>
          <w:sz w:val="18"/>
          <w:szCs w:val="18"/>
        </w:rPr>
        <w:t xml:space="preserve"> aneurysm pose a radiation safety hazard to vascular surgeons?, J </w:t>
      </w:r>
      <w:proofErr w:type="spellStart"/>
      <w:r w:rsidRPr="000202EA">
        <w:rPr>
          <w:sz w:val="18"/>
          <w:szCs w:val="18"/>
        </w:rPr>
        <w:t>Vasc</w:t>
      </w:r>
      <w:proofErr w:type="spellEnd"/>
      <w:r w:rsidRPr="000202EA">
        <w:rPr>
          <w:sz w:val="18"/>
          <w:szCs w:val="18"/>
        </w:rPr>
        <w:t xml:space="preserve"> </w:t>
      </w:r>
      <w:proofErr w:type="spellStart"/>
      <w:r w:rsidRPr="000202EA">
        <w:rPr>
          <w:sz w:val="18"/>
          <w:szCs w:val="18"/>
        </w:rPr>
        <w:t>Surg</w:t>
      </w:r>
      <w:proofErr w:type="spellEnd"/>
      <w:r w:rsidRPr="000202EA">
        <w:rPr>
          <w:sz w:val="18"/>
          <w:szCs w:val="18"/>
        </w:rPr>
        <w:t xml:space="preserve"> 32(4):704–710.</w:t>
      </w:r>
    </w:p>
    <w:p w:rsidR="008207E0" w:rsidRPr="000202EA" w:rsidRDefault="008207E0" w:rsidP="00243C1C">
      <w:pPr>
        <w:pStyle w:val="ListParagraph"/>
        <w:numPr>
          <w:ilvl w:val="0"/>
          <w:numId w:val="7"/>
        </w:numPr>
        <w:snapToGrid w:val="0"/>
        <w:jc w:val="both"/>
        <w:rPr>
          <w:sz w:val="18"/>
          <w:szCs w:val="18"/>
        </w:rPr>
      </w:pPr>
      <w:proofErr w:type="spellStart"/>
      <w:r w:rsidRPr="000202EA">
        <w:rPr>
          <w:bCs/>
          <w:sz w:val="18"/>
          <w:szCs w:val="18"/>
        </w:rPr>
        <w:t>Ascher</w:t>
      </w:r>
      <w:proofErr w:type="spellEnd"/>
      <w:r w:rsidRPr="000202EA">
        <w:rPr>
          <w:bCs/>
          <w:sz w:val="18"/>
          <w:szCs w:val="18"/>
        </w:rPr>
        <w:t xml:space="preserve"> E, </w:t>
      </w:r>
      <w:proofErr w:type="spellStart"/>
      <w:r w:rsidRPr="000202EA">
        <w:rPr>
          <w:bCs/>
          <w:sz w:val="18"/>
          <w:szCs w:val="18"/>
        </w:rPr>
        <w:t>Gopal</w:t>
      </w:r>
      <w:proofErr w:type="spellEnd"/>
      <w:r w:rsidRPr="000202EA">
        <w:rPr>
          <w:bCs/>
          <w:sz w:val="18"/>
          <w:szCs w:val="18"/>
        </w:rPr>
        <w:t xml:space="preserve"> K, Marks N, </w:t>
      </w:r>
      <w:proofErr w:type="spellStart"/>
      <w:r w:rsidRPr="000202EA">
        <w:rPr>
          <w:bCs/>
          <w:sz w:val="18"/>
          <w:szCs w:val="18"/>
        </w:rPr>
        <w:t>Boniscavage</w:t>
      </w:r>
      <w:proofErr w:type="spellEnd"/>
      <w:r w:rsidRPr="000202EA">
        <w:rPr>
          <w:bCs/>
          <w:sz w:val="18"/>
          <w:szCs w:val="18"/>
        </w:rPr>
        <w:t xml:space="preserve"> P, </w:t>
      </w:r>
      <w:proofErr w:type="spellStart"/>
      <w:r w:rsidRPr="000202EA">
        <w:rPr>
          <w:bCs/>
          <w:sz w:val="18"/>
          <w:szCs w:val="18"/>
        </w:rPr>
        <w:t>Shiferson</w:t>
      </w:r>
      <w:proofErr w:type="spellEnd"/>
      <w:r w:rsidRPr="000202EA">
        <w:rPr>
          <w:bCs/>
          <w:sz w:val="18"/>
          <w:szCs w:val="18"/>
        </w:rPr>
        <w:t xml:space="preserve"> A and </w:t>
      </w:r>
      <w:proofErr w:type="spellStart"/>
      <w:r w:rsidRPr="000202EA">
        <w:rPr>
          <w:bCs/>
          <w:sz w:val="18"/>
          <w:szCs w:val="18"/>
        </w:rPr>
        <w:t>Hingorani</w:t>
      </w:r>
      <w:proofErr w:type="spellEnd"/>
      <w:r w:rsidRPr="000202EA">
        <w:rPr>
          <w:bCs/>
          <w:sz w:val="18"/>
          <w:szCs w:val="18"/>
        </w:rPr>
        <w:t xml:space="preserve"> A (2010).</w:t>
      </w:r>
      <w:r w:rsidRPr="000202EA">
        <w:rPr>
          <w:sz w:val="18"/>
          <w:szCs w:val="18"/>
        </w:rPr>
        <w:t xml:space="preserve"> Duplex-guided endovascular repair of </w:t>
      </w:r>
      <w:proofErr w:type="spellStart"/>
      <w:r w:rsidRPr="000202EA">
        <w:rPr>
          <w:sz w:val="18"/>
          <w:szCs w:val="18"/>
        </w:rPr>
        <w:t>popliteal</w:t>
      </w:r>
      <w:proofErr w:type="spellEnd"/>
      <w:r w:rsidRPr="000202EA">
        <w:rPr>
          <w:sz w:val="18"/>
          <w:szCs w:val="18"/>
        </w:rPr>
        <w:t xml:space="preserve"> artery aneurysms (</w:t>
      </w:r>
      <w:proofErr w:type="spellStart"/>
      <w:r w:rsidRPr="000202EA">
        <w:rPr>
          <w:sz w:val="18"/>
          <w:szCs w:val="18"/>
        </w:rPr>
        <w:t>PAAs</w:t>
      </w:r>
      <w:proofErr w:type="spellEnd"/>
      <w:r w:rsidRPr="000202EA">
        <w:rPr>
          <w:sz w:val="18"/>
          <w:szCs w:val="18"/>
        </w:rPr>
        <w:t xml:space="preserve">): a new approach to avert the use of contrast material and radiation exposure. </w:t>
      </w:r>
      <w:proofErr w:type="spellStart"/>
      <w:r w:rsidRPr="000202EA">
        <w:rPr>
          <w:sz w:val="18"/>
          <w:szCs w:val="18"/>
        </w:rPr>
        <w:t>Eur</w:t>
      </w:r>
      <w:proofErr w:type="spellEnd"/>
      <w:r w:rsidRPr="000202EA">
        <w:rPr>
          <w:sz w:val="18"/>
          <w:szCs w:val="18"/>
        </w:rPr>
        <w:t xml:space="preserve"> J </w:t>
      </w:r>
      <w:proofErr w:type="spellStart"/>
      <w:r w:rsidRPr="000202EA">
        <w:rPr>
          <w:sz w:val="18"/>
          <w:szCs w:val="18"/>
        </w:rPr>
        <w:t>Vasc</w:t>
      </w:r>
      <w:proofErr w:type="spellEnd"/>
      <w:r w:rsidRPr="000202EA">
        <w:rPr>
          <w:sz w:val="18"/>
          <w:szCs w:val="18"/>
        </w:rPr>
        <w:t xml:space="preserve"> </w:t>
      </w:r>
      <w:proofErr w:type="spellStart"/>
      <w:r w:rsidRPr="000202EA">
        <w:rPr>
          <w:sz w:val="18"/>
          <w:szCs w:val="18"/>
        </w:rPr>
        <w:t>Endovasc</w:t>
      </w:r>
      <w:proofErr w:type="spellEnd"/>
      <w:r w:rsidRPr="000202EA">
        <w:rPr>
          <w:sz w:val="18"/>
          <w:szCs w:val="18"/>
        </w:rPr>
        <w:t xml:space="preserve"> </w:t>
      </w:r>
      <w:proofErr w:type="spellStart"/>
      <w:r w:rsidRPr="000202EA">
        <w:rPr>
          <w:sz w:val="18"/>
          <w:szCs w:val="18"/>
        </w:rPr>
        <w:t>Surg</w:t>
      </w:r>
      <w:proofErr w:type="spellEnd"/>
      <w:r w:rsidRPr="000202EA">
        <w:rPr>
          <w:sz w:val="18"/>
          <w:szCs w:val="18"/>
        </w:rPr>
        <w:t xml:space="preserve"> 39:769e73.</w:t>
      </w:r>
    </w:p>
    <w:p w:rsidR="008207E0" w:rsidRPr="000202EA" w:rsidRDefault="008207E0" w:rsidP="00243C1C">
      <w:pPr>
        <w:pStyle w:val="ListParagraph"/>
        <w:numPr>
          <w:ilvl w:val="0"/>
          <w:numId w:val="7"/>
        </w:numPr>
        <w:snapToGrid w:val="0"/>
        <w:jc w:val="both"/>
        <w:rPr>
          <w:sz w:val="18"/>
          <w:szCs w:val="18"/>
        </w:rPr>
      </w:pPr>
      <w:proofErr w:type="spellStart"/>
      <w:r w:rsidRPr="000202EA">
        <w:rPr>
          <w:bCs/>
          <w:sz w:val="18"/>
          <w:szCs w:val="18"/>
        </w:rPr>
        <w:t>Ascher</w:t>
      </w:r>
      <w:proofErr w:type="spellEnd"/>
      <w:r w:rsidRPr="000202EA">
        <w:rPr>
          <w:bCs/>
          <w:sz w:val="18"/>
          <w:szCs w:val="18"/>
        </w:rPr>
        <w:t xml:space="preserve"> E, Marks NA, </w:t>
      </w:r>
      <w:proofErr w:type="spellStart"/>
      <w:r w:rsidRPr="000202EA">
        <w:rPr>
          <w:bCs/>
          <w:sz w:val="18"/>
          <w:szCs w:val="18"/>
        </w:rPr>
        <w:t>Hingorani</w:t>
      </w:r>
      <w:proofErr w:type="spellEnd"/>
      <w:r w:rsidRPr="000202EA">
        <w:rPr>
          <w:bCs/>
          <w:sz w:val="18"/>
          <w:szCs w:val="18"/>
        </w:rPr>
        <w:t xml:space="preserve"> AP, </w:t>
      </w:r>
      <w:proofErr w:type="spellStart"/>
      <w:r w:rsidRPr="000202EA">
        <w:rPr>
          <w:bCs/>
          <w:sz w:val="18"/>
          <w:szCs w:val="18"/>
        </w:rPr>
        <w:t>Schutzer</w:t>
      </w:r>
      <w:proofErr w:type="spellEnd"/>
      <w:r w:rsidRPr="000202EA">
        <w:rPr>
          <w:bCs/>
          <w:sz w:val="18"/>
          <w:szCs w:val="18"/>
        </w:rPr>
        <w:t xml:space="preserve"> RW and </w:t>
      </w:r>
      <w:proofErr w:type="spellStart"/>
      <w:r w:rsidRPr="000202EA">
        <w:rPr>
          <w:bCs/>
          <w:sz w:val="18"/>
          <w:szCs w:val="18"/>
        </w:rPr>
        <w:t>Mutyala</w:t>
      </w:r>
      <w:proofErr w:type="spellEnd"/>
      <w:r w:rsidRPr="000202EA">
        <w:rPr>
          <w:bCs/>
          <w:sz w:val="18"/>
          <w:szCs w:val="18"/>
        </w:rPr>
        <w:t xml:space="preserve"> </w:t>
      </w:r>
      <w:r w:rsidR="009B39CE" w:rsidRPr="000202EA">
        <w:rPr>
          <w:bCs/>
          <w:sz w:val="18"/>
          <w:szCs w:val="18"/>
        </w:rPr>
        <w:t>M (</w:t>
      </w:r>
      <w:r w:rsidRPr="000202EA">
        <w:rPr>
          <w:bCs/>
          <w:sz w:val="18"/>
          <w:szCs w:val="18"/>
        </w:rPr>
        <w:t>2006)</w:t>
      </w:r>
      <w:r w:rsidRPr="000202EA">
        <w:rPr>
          <w:sz w:val="18"/>
          <w:szCs w:val="18"/>
        </w:rPr>
        <w:t xml:space="preserve">. Duplex-guided endovascular treatment for occlusive and </w:t>
      </w:r>
      <w:proofErr w:type="spellStart"/>
      <w:r w:rsidRPr="000202EA">
        <w:rPr>
          <w:sz w:val="18"/>
          <w:szCs w:val="18"/>
        </w:rPr>
        <w:t>stenotic</w:t>
      </w:r>
      <w:proofErr w:type="spellEnd"/>
      <w:r w:rsidRPr="000202EA">
        <w:rPr>
          <w:sz w:val="18"/>
          <w:szCs w:val="18"/>
        </w:rPr>
        <w:t xml:space="preserve"> lesions of the </w:t>
      </w:r>
      <w:proofErr w:type="spellStart"/>
      <w:r w:rsidRPr="000202EA">
        <w:rPr>
          <w:sz w:val="18"/>
          <w:szCs w:val="18"/>
        </w:rPr>
        <w:t>femoralpopliteal</w:t>
      </w:r>
      <w:proofErr w:type="spellEnd"/>
      <w:r w:rsidRPr="000202EA">
        <w:rPr>
          <w:sz w:val="18"/>
          <w:szCs w:val="18"/>
        </w:rPr>
        <w:t xml:space="preserve"> arterial segment: A comparative study in the first 253 cases. J </w:t>
      </w:r>
      <w:proofErr w:type="spellStart"/>
      <w:r w:rsidRPr="000202EA">
        <w:rPr>
          <w:sz w:val="18"/>
          <w:szCs w:val="18"/>
        </w:rPr>
        <w:t>Vasc</w:t>
      </w:r>
      <w:proofErr w:type="spellEnd"/>
      <w:r w:rsidRPr="000202EA">
        <w:rPr>
          <w:sz w:val="18"/>
          <w:szCs w:val="18"/>
        </w:rPr>
        <w:t xml:space="preserve"> </w:t>
      </w:r>
      <w:proofErr w:type="spellStart"/>
      <w:r w:rsidRPr="000202EA">
        <w:rPr>
          <w:sz w:val="18"/>
          <w:szCs w:val="18"/>
        </w:rPr>
        <w:t>Surg</w:t>
      </w:r>
      <w:proofErr w:type="spellEnd"/>
      <w:r w:rsidRPr="000202EA">
        <w:rPr>
          <w:sz w:val="18"/>
          <w:szCs w:val="18"/>
        </w:rPr>
        <w:t xml:space="preserve"> 44:1230-8.</w:t>
      </w:r>
    </w:p>
    <w:p w:rsidR="008207E0" w:rsidRPr="000202EA" w:rsidRDefault="008207E0" w:rsidP="00243C1C">
      <w:pPr>
        <w:pStyle w:val="ListParagraph"/>
        <w:numPr>
          <w:ilvl w:val="0"/>
          <w:numId w:val="7"/>
        </w:numPr>
        <w:snapToGrid w:val="0"/>
        <w:jc w:val="both"/>
        <w:rPr>
          <w:sz w:val="18"/>
          <w:szCs w:val="18"/>
        </w:rPr>
      </w:pPr>
      <w:proofErr w:type="spellStart"/>
      <w:r w:rsidRPr="000202EA">
        <w:rPr>
          <w:bCs/>
          <w:sz w:val="18"/>
          <w:szCs w:val="18"/>
        </w:rPr>
        <w:t>Ascher</w:t>
      </w:r>
      <w:proofErr w:type="spellEnd"/>
      <w:r w:rsidRPr="000202EA">
        <w:rPr>
          <w:bCs/>
          <w:sz w:val="18"/>
          <w:szCs w:val="18"/>
        </w:rPr>
        <w:t xml:space="preserve"> E, Marks NA, </w:t>
      </w:r>
      <w:proofErr w:type="spellStart"/>
      <w:r w:rsidRPr="000202EA">
        <w:rPr>
          <w:bCs/>
          <w:sz w:val="18"/>
          <w:szCs w:val="18"/>
        </w:rPr>
        <w:t>Hingorani</w:t>
      </w:r>
      <w:proofErr w:type="spellEnd"/>
      <w:r w:rsidRPr="000202EA">
        <w:rPr>
          <w:bCs/>
          <w:sz w:val="18"/>
          <w:szCs w:val="18"/>
        </w:rPr>
        <w:t xml:space="preserve"> AP, </w:t>
      </w:r>
      <w:proofErr w:type="spellStart"/>
      <w:r w:rsidRPr="000202EA">
        <w:rPr>
          <w:bCs/>
          <w:sz w:val="18"/>
          <w:szCs w:val="18"/>
        </w:rPr>
        <w:t>Schutzer</w:t>
      </w:r>
      <w:proofErr w:type="spellEnd"/>
      <w:r w:rsidRPr="000202EA">
        <w:rPr>
          <w:bCs/>
          <w:sz w:val="18"/>
          <w:szCs w:val="18"/>
        </w:rPr>
        <w:t xml:space="preserve"> RW, </w:t>
      </w:r>
      <w:proofErr w:type="spellStart"/>
      <w:r w:rsidRPr="000202EA">
        <w:rPr>
          <w:bCs/>
          <w:sz w:val="18"/>
          <w:szCs w:val="18"/>
        </w:rPr>
        <w:t>Nahata</w:t>
      </w:r>
      <w:proofErr w:type="spellEnd"/>
      <w:r w:rsidRPr="000202EA">
        <w:rPr>
          <w:bCs/>
          <w:sz w:val="18"/>
          <w:szCs w:val="18"/>
        </w:rPr>
        <w:t xml:space="preserve"> S (2005).</w:t>
      </w:r>
      <w:r w:rsidR="00C305D9" w:rsidRPr="000202EA">
        <w:rPr>
          <w:sz w:val="18"/>
          <w:szCs w:val="18"/>
        </w:rPr>
        <w:t xml:space="preserve"> </w:t>
      </w:r>
      <w:r w:rsidRPr="000202EA">
        <w:rPr>
          <w:sz w:val="18"/>
          <w:szCs w:val="18"/>
        </w:rPr>
        <w:t xml:space="preserve">Duplex-guided balloon angioplasty and </w:t>
      </w:r>
      <w:proofErr w:type="spellStart"/>
      <w:r w:rsidRPr="000202EA">
        <w:rPr>
          <w:sz w:val="18"/>
          <w:szCs w:val="18"/>
        </w:rPr>
        <w:t>stenting</w:t>
      </w:r>
      <w:proofErr w:type="spellEnd"/>
      <w:r w:rsidRPr="000202EA">
        <w:rPr>
          <w:sz w:val="18"/>
          <w:szCs w:val="18"/>
        </w:rPr>
        <w:t xml:space="preserve"> for </w:t>
      </w:r>
      <w:proofErr w:type="spellStart"/>
      <w:r w:rsidRPr="000202EA">
        <w:rPr>
          <w:sz w:val="18"/>
          <w:szCs w:val="18"/>
        </w:rPr>
        <w:t>femoropopliteal</w:t>
      </w:r>
      <w:proofErr w:type="spellEnd"/>
      <w:r w:rsidRPr="000202EA">
        <w:rPr>
          <w:sz w:val="18"/>
          <w:szCs w:val="18"/>
        </w:rPr>
        <w:t xml:space="preserve"> arterial occlusive disease: an alternative in patients with renal insufficiency. J </w:t>
      </w:r>
      <w:proofErr w:type="spellStart"/>
      <w:r w:rsidRPr="000202EA">
        <w:rPr>
          <w:sz w:val="18"/>
          <w:szCs w:val="18"/>
        </w:rPr>
        <w:t>Vasc</w:t>
      </w:r>
      <w:proofErr w:type="spellEnd"/>
      <w:r w:rsidRPr="000202EA">
        <w:rPr>
          <w:sz w:val="18"/>
          <w:szCs w:val="18"/>
        </w:rPr>
        <w:t xml:space="preserve"> Surg. Dec;42(6):1114 -1121.</w:t>
      </w:r>
    </w:p>
    <w:p w:rsidR="008207E0" w:rsidRPr="000202EA" w:rsidRDefault="008207E0" w:rsidP="00243C1C">
      <w:pPr>
        <w:pStyle w:val="ListParagraph"/>
        <w:numPr>
          <w:ilvl w:val="0"/>
          <w:numId w:val="7"/>
        </w:numPr>
        <w:snapToGrid w:val="0"/>
        <w:jc w:val="both"/>
        <w:rPr>
          <w:sz w:val="18"/>
          <w:szCs w:val="18"/>
        </w:rPr>
      </w:pPr>
      <w:proofErr w:type="spellStart"/>
      <w:r w:rsidRPr="000202EA">
        <w:rPr>
          <w:bCs/>
          <w:sz w:val="18"/>
          <w:szCs w:val="18"/>
        </w:rPr>
        <w:t>Desgranges</w:t>
      </w:r>
      <w:proofErr w:type="spellEnd"/>
      <w:r w:rsidRPr="000202EA">
        <w:rPr>
          <w:bCs/>
          <w:sz w:val="18"/>
          <w:szCs w:val="18"/>
        </w:rPr>
        <w:t xml:space="preserve"> P, </w:t>
      </w:r>
      <w:proofErr w:type="spellStart"/>
      <w:r w:rsidRPr="000202EA">
        <w:rPr>
          <w:bCs/>
          <w:sz w:val="18"/>
          <w:szCs w:val="18"/>
        </w:rPr>
        <w:t>Boufi</w:t>
      </w:r>
      <w:proofErr w:type="spellEnd"/>
      <w:r w:rsidRPr="000202EA">
        <w:rPr>
          <w:bCs/>
          <w:sz w:val="18"/>
          <w:szCs w:val="18"/>
        </w:rPr>
        <w:t xml:space="preserve"> M, </w:t>
      </w:r>
      <w:proofErr w:type="spellStart"/>
      <w:r w:rsidRPr="000202EA">
        <w:rPr>
          <w:bCs/>
          <w:sz w:val="18"/>
          <w:szCs w:val="18"/>
        </w:rPr>
        <w:t>Lapeyre</w:t>
      </w:r>
      <w:proofErr w:type="spellEnd"/>
      <w:r w:rsidRPr="000202EA">
        <w:rPr>
          <w:bCs/>
          <w:sz w:val="18"/>
          <w:szCs w:val="18"/>
        </w:rPr>
        <w:t xml:space="preserve"> M, </w:t>
      </w:r>
      <w:proofErr w:type="spellStart"/>
      <w:r w:rsidRPr="000202EA">
        <w:rPr>
          <w:bCs/>
          <w:sz w:val="18"/>
          <w:szCs w:val="18"/>
        </w:rPr>
        <w:t>Tarquini</w:t>
      </w:r>
      <w:proofErr w:type="spellEnd"/>
      <w:r w:rsidRPr="000202EA">
        <w:rPr>
          <w:bCs/>
          <w:sz w:val="18"/>
          <w:szCs w:val="18"/>
        </w:rPr>
        <w:t xml:space="preserve"> G, van </w:t>
      </w:r>
      <w:proofErr w:type="spellStart"/>
      <w:r w:rsidRPr="000202EA">
        <w:rPr>
          <w:bCs/>
          <w:sz w:val="18"/>
          <w:szCs w:val="18"/>
        </w:rPr>
        <w:t>Laere</w:t>
      </w:r>
      <w:proofErr w:type="spellEnd"/>
      <w:r w:rsidRPr="000202EA">
        <w:rPr>
          <w:bCs/>
          <w:sz w:val="18"/>
          <w:szCs w:val="18"/>
        </w:rPr>
        <w:t xml:space="preserve"> O, </w:t>
      </w:r>
      <w:proofErr w:type="spellStart"/>
      <w:r w:rsidRPr="000202EA">
        <w:rPr>
          <w:bCs/>
          <w:sz w:val="18"/>
          <w:szCs w:val="18"/>
        </w:rPr>
        <w:t>Losy</w:t>
      </w:r>
      <w:proofErr w:type="spellEnd"/>
      <w:r w:rsidRPr="000202EA">
        <w:rPr>
          <w:bCs/>
          <w:sz w:val="18"/>
          <w:szCs w:val="18"/>
        </w:rPr>
        <w:t xml:space="preserve"> F, et al (2004).</w:t>
      </w:r>
      <w:r w:rsidRPr="000202EA">
        <w:rPr>
          <w:sz w:val="18"/>
          <w:szCs w:val="18"/>
        </w:rPr>
        <w:t xml:space="preserve"> </w:t>
      </w:r>
      <w:proofErr w:type="spellStart"/>
      <w:r w:rsidRPr="000202EA">
        <w:rPr>
          <w:sz w:val="18"/>
          <w:szCs w:val="18"/>
        </w:rPr>
        <w:t>Subintimal</w:t>
      </w:r>
      <w:proofErr w:type="spellEnd"/>
      <w:r w:rsidRPr="000202EA">
        <w:rPr>
          <w:sz w:val="18"/>
          <w:szCs w:val="18"/>
        </w:rPr>
        <w:t xml:space="preserve"> angioplasty: feasible and durable. </w:t>
      </w:r>
      <w:proofErr w:type="spellStart"/>
      <w:r w:rsidRPr="000202EA">
        <w:rPr>
          <w:sz w:val="18"/>
          <w:szCs w:val="18"/>
        </w:rPr>
        <w:t>Eur</w:t>
      </w:r>
      <w:proofErr w:type="spellEnd"/>
      <w:r w:rsidRPr="000202EA">
        <w:rPr>
          <w:sz w:val="18"/>
          <w:szCs w:val="18"/>
        </w:rPr>
        <w:t xml:space="preserve"> J </w:t>
      </w:r>
      <w:proofErr w:type="spellStart"/>
      <w:r w:rsidRPr="000202EA">
        <w:rPr>
          <w:sz w:val="18"/>
          <w:szCs w:val="18"/>
        </w:rPr>
        <w:t>Vasc</w:t>
      </w:r>
      <w:proofErr w:type="spellEnd"/>
      <w:r w:rsidRPr="000202EA">
        <w:rPr>
          <w:sz w:val="18"/>
          <w:szCs w:val="18"/>
        </w:rPr>
        <w:t xml:space="preserve"> </w:t>
      </w:r>
      <w:proofErr w:type="spellStart"/>
      <w:r w:rsidRPr="000202EA">
        <w:rPr>
          <w:sz w:val="18"/>
          <w:szCs w:val="18"/>
        </w:rPr>
        <w:t>Endovasc</w:t>
      </w:r>
      <w:proofErr w:type="spellEnd"/>
      <w:r w:rsidRPr="000202EA">
        <w:rPr>
          <w:sz w:val="18"/>
          <w:szCs w:val="18"/>
        </w:rPr>
        <w:t xml:space="preserve"> </w:t>
      </w:r>
      <w:proofErr w:type="spellStart"/>
      <w:r w:rsidRPr="000202EA">
        <w:rPr>
          <w:sz w:val="18"/>
          <w:szCs w:val="18"/>
        </w:rPr>
        <w:t>Surg</w:t>
      </w:r>
      <w:proofErr w:type="spellEnd"/>
      <w:r w:rsidRPr="000202EA">
        <w:rPr>
          <w:sz w:val="18"/>
          <w:szCs w:val="18"/>
        </w:rPr>
        <w:t xml:space="preserve"> 28:138-41.</w:t>
      </w:r>
    </w:p>
    <w:p w:rsidR="008207E0" w:rsidRPr="000202EA" w:rsidRDefault="008207E0" w:rsidP="00243C1C">
      <w:pPr>
        <w:pStyle w:val="ListParagraph"/>
        <w:numPr>
          <w:ilvl w:val="0"/>
          <w:numId w:val="7"/>
        </w:numPr>
        <w:snapToGrid w:val="0"/>
        <w:jc w:val="both"/>
        <w:rPr>
          <w:sz w:val="18"/>
          <w:szCs w:val="18"/>
        </w:rPr>
      </w:pPr>
      <w:proofErr w:type="spellStart"/>
      <w:r w:rsidRPr="000202EA">
        <w:rPr>
          <w:bCs/>
          <w:sz w:val="18"/>
          <w:szCs w:val="18"/>
        </w:rPr>
        <w:t>Sprouse</w:t>
      </w:r>
      <w:proofErr w:type="spellEnd"/>
      <w:r w:rsidRPr="000202EA">
        <w:rPr>
          <w:bCs/>
          <w:sz w:val="18"/>
          <w:szCs w:val="18"/>
        </w:rPr>
        <w:t xml:space="preserve"> LR II, Meier GH III, Parent FN, D</w:t>
      </w:r>
      <w:r w:rsidR="00C305D9" w:rsidRPr="000202EA">
        <w:rPr>
          <w:bCs/>
          <w:sz w:val="18"/>
          <w:szCs w:val="18"/>
        </w:rPr>
        <w:t xml:space="preserve">e </w:t>
      </w:r>
      <w:proofErr w:type="spellStart"/>
      <w:r w:rsidR="00C305D9" w:rsidRPr="000202EA">
        <w:rPr>
          <w:bCs/>
          <w:sz w:val="18"/>
          <w:szCs w:val="18"/>
        </w:rPr>
        <w:t>M</w:t>
      </w:r>
      <w:r w:rsidRPr="000202EA">
        <w:rPr>
          <w:bCs/>
          <w:sz w:val="18"/>
          <w:szCs w:val="18"/>
        </w:rPr>
        <w:t>asi</w:t>
      </w:r>
      <w:proofErr w:type="spellEnd"/>
      <w:r w:rsidRPr="000202EA">
        <w:rPr>
          <w:bCs/>
          <w:sz w:val="18"/>
          <w:szCs w:val="18"/>
        </w:rPr>
        <w:t xml:space="preserve"> RJ, Glickman MH, Barber G</w:t>
      </w:r>
      <w:r w:rsidR="009B39CE" w:rsidRPr="000202EA">
        <w:rPr>
          <w:bCs/>
          <w:sz w:val="18"/>
          <w:szCs w:val="18"/>
        </w:rPr>
        <w:t>A (</w:t>
      </w:r>
      <w:r w:rsidRPr="000202EA">
        <w:rPr>
          <w:bCs/>
          <w:sz w:val="18"/>
          <w:szCs w:val="18"/>
        </w:rPr>
        <w:t>2004).</w:t>
      </w:r>
      <w:r w:rsidRPr="000202EA">
        <w:rPr>
          <w:sz w:val="18"/>
          <w:szCs w:val="18"/>
        </w:rPr>
        <w:t xml:space="preserve"> Is ultrasound more accurate than axial computed tomography for determination of maximal abdominal aortic aneurysm diameter? </w:t>
      </w:r>
      <w:proofErr w:type="spellStart"/>
      <w:r w:rsidRPr="000202EA">
        <w:rPr>
          <w:sz w:val="18"/>
          <w:szCs w:val="18"/>
        </w:rPr>
        <w:t>Eur</w:t>
      </w:r>
      <w:proofErr w:type="spellEnd"/>
      <w:r w:rsidRPr="000202EA">
        <w:rPr>
          <w:sz w:val="18"/>
          <w:szCs w:val="18"/>
        </w:rPr>
        <w:t xml:space="preserve"> J </w:t>
      </w:r>
      <w:proofErr w:type="spellStart"/>
      <w:r w:rsidRPr="000202EA">
        <w:rPr>
          <w:sz w:val="18"/>
          <w:szCs w:val="18"/>
        </w:rPr>
        <w:t>Vasc</w:t>
      </w:r>
      <w:proofErr w:type="spellEnd"/>
      <w:r w:rsidRPr="000202EA">
        <w:rPr>
          <w:sz w:val="18"/>
          <w:szCs w:val="18"/>
        </w:rPr>
        <w:t xml:space="preserve"> </w:t>
      </w:r>
      <w:proofErr w:type="spellStart"/>
      <w:r w:rsidRPr="000202EA">
        <w:rPr>
          <w:sz w:val="18"/>
          <w:szCs w:val="18"/>
        </w:rPr>
        <w:t>Endovasc</w:t>
      </w:r>
      <w:proofErr w:type="spellEnd"/>
      <w:r w:rsidRPr="000202EA">
        <w:rPr>
          <w:sz w:val="18"/>
          <w:szCs w:val="18"/>
        </w:rPr>
        <w:t xml:space="preserve"> </w:t>
      </w:r>
      <w:proofErr w:type="spellStart"/>
      <w:r w:rsidRPr="000202EA">
        <w:rPr>
          <w:sz w:val="18"/>
          <w:szCs w:val="18"/>
        </w:rPr>
        <w:t>Surg</w:t>
      </w:r>
      <w:proofErr w:type="spellEnd"/>
      <w:r w:rsidRPr="000202EA">
        <w:rPr>
          <w:sz w:val="18"/>
          <w:szCs w:val="18"/>
        </w:rPr>
        <w:t xml:space="preserve"> 28:28-35.</w:t>
      </w:r>
    </w:p>
    <w:p w:rsidR="008207E0" w:rsidRPr="000202EA" w:rsidRDefault="008207E0" w:rsidP="00243C1C">
      <w:pPr>
        <w:pStyle w:val="ListParagraph"/>
        <w:numPr>
          <w:ilvl w:val="0"/>
          <w:numId w:val="7"/>
        </w:numPr>
        <w:snapToGrid w:val="0"/>
        <w:jc w:val="both"/>
        <w:rPr>
          <w:sz w:val="18"/>
          <w:szCs w:val="18"/>
        </w:rPr>
      </w:pPr>
      <w:proofErr w:type="spellStart"/>
      <w:r w:rsidRPr="000202EA">
        <w:rPr>
          <w:bCs/>
          <w:sz w:val="18"/>
          <w:szCs w:val="18"/>
        </w:rPr>
        <w:t>Nadolski</w:t>
      </w:r>
      <w:proofErr w:type="spellEnd"/>
      <w:r w:rsidRPr="000202EA">
        <w:rPr>
          <w:bCs/>
          <w:sz w:val="18"/>
          <w:szCs w:val="18"/>
        </w:rPr>
        <w:t xml:space="preserve"> GJ, Stavropoulos SW</w:t>
      </w:r>
      <w:r w:rsidRPr="000202EA">
        <w:rPr>
          <w:sz w:val="18"/>
          <w:szCs w:val="18"/>
        </w:rPr>
        <w:t xml:space="preserve">. Contrast alternatives for iodinated contrast allergy and renal dysfunction: options and limitations. J </w:t>
      </w:r>
      <w:proofErr w:type="spellStart"/>
      <w:r w:rsidRPr="000202EA">
        <w:rPr>
          <w:sz w:val="18"/>
          <w:szCs w:val="18"/>
        </w:rPr>
        <w:t>Vasc</w:t>
      </w:r>
      <w:proofErr w:type="spellEnd"/>
      <w:r w:rsidRPr="000202EA">
        <w:rPr>
          <w:sz w:val="18"/>
          <w:szCs w:val="18"/>
        </w:rPr>
        <w:t xml:space="preserve"> </w:t>
      </w:r>
      <w:proofErr w:type="spellStart"/>
      <w:r w:rsidRPr="000202EA">
        <w:rPr>
          <w:sz w:val="18"/>
          <w:szCs w:val="18"/>
        </w:rPr>
        <w:t>Surg</w:t>
      </w:r>
      <w:proofErr w:type="spellEnd"/>
      <w:r w:rsidRPr="000202EA">
        <w:rPr>
          <w:sz w:val="18"/>
          <w:szCs w:val="18"/>
        </w:rPr>
        <w:t xml:space="preserve"> 2013; 57(2): 593-598.</w:t>
      </w:r>
    </w:p>
    <w:p w:rsidR="008207E0" w:rsidRPr="000202EA" w:rsidRDefault="008207E0" w:rsidP="00243C1C">
      <w:pPr>
        <w:pStyle w:val="ListParagraph"/>
        <w:numPr>
          <w:ilvl w:val="0"/>
          <w:numId w:val="7"/>
        </w:numPr>
        <w:snapToGrid w:val="0"/>
        <w:jc w:val="both"/>
        <w:rPr>
          <w:sz w:val="18"/>
          <w:szCs w:val="18"/>
        </w:rPr>
      </w:pPr>
      <w:proofErr w:type="spellStart"/>
      <w:r w:rsidRPr="000202EA">
        <w:rPr>
          <w:bCs/>
          <w:sz w:val="18"/>
          <w:szCs w:val="18"/>
        </w:rPr>
        <w:t>Hingorani</w:t>
      </w:r>
      <w:proofErr w:type="spellEnd"/>
      <w:r w:rsidRPr="000202EA">
        <w:rPr>
          <w:bCs/>
          <w:sz w:val="18"/>
          <w:szCs w:val="18"/>
        </w:rPr>
        <w:t xml:space="preserve"> A, </w:t>
      </w:r>
      <w:proofErr w:type="spellStart"/>
      <w:r w:rsidRPr="000202EA">
        <w:rPr>
          <w:bCs/>
          <w:sz w:val="18"/>
          <w:szCs w:val="18"/>
        </w:rPr>
        <w:t>Ascher</w:t>
      </w:r>
      <w:proofErr w:type="spellEnd"/>
      <w:r w:rsidRPr="000202EA">
        <w:rPr>
          <w:bCs/>
          <w:sz w:val="18"/>
          <w:szCs w:val="18"/>
        </w:rPr>
        <w:t xml:space="preserve"> E, Marks N, et al</w:t>
      </w:r>
      <w:r w:rsidRPr="000202EA">
        <w:rPr>
          <w:sz w:val="18"/>
          <w:szCs w:val="18"/>
        </w:rPr>
        <w:t xml:space="preserve">: New Developments And Updated Results With Duplex Guided PTA And </w:t>
      </w:r>
      <w:proofErr w:type="spellStart"/>
      <w:r w:rsidRPr="000202EA">
        <w:rPr>
          <w:sz w:val="18"/>
          <w:szCs w:val="18"/>
        </w:rPr>
        <w:t>Stenting</w:t>
      </w:r>
      <w:proofErr w:type="spellEnd"/>
      <w:r w:rsidRPr="000202EA">
        <w:rPr>
          <w:sz w:val="18"/>
          <w:szCs w:val="18"/>
        </w:rPr>
        <w:t xml:space="preserve">. J </w:t>
      </w:r>
      <w:proofErr w:type="spellStart"/>
      <w:r w:rsidRPr="000202EA">
        <w:rPr>
          <w:sz w:val="18"/>
          <w:szCs w:val="18"/>
        </w:rPr>
        <w:t>Vasc</w:t>
      </w:r>
      <w:proofErr w:type="spellEnd"/>
      <w:r w:rsidRPr="000202EA">
        <w:rPr>
          <w:sz w:val="18"/>
          <w:szCs w:val="18"/>
        </w:rPr>
        <w:t xml:space="preserve"> </w:t>
      </w:r>
      <w:proofErr w:type="spellStart"/>
      <w:r w:rsidRPr="000202EA">
        <w:rPr>
          <w:sz w:val="18"/>
          <w:szCs w:val="18"/>
        </w:rPr>
        <w:t>Surg</w:t>
      </w:r>
      <w:proofErr w:type="spellEnd"/>
      <w:r w:rsidRPr="000202EA">
        <w:rPr>
          <w:sz w:val="18"/>
          <w:szCs w:val="18"/>
        </w:rPr>
        <w:t xml:space="preserve"> 2012; 30:475-30.</w:t>
      </w:r>
    </w:p>
    <w:p w:rsidR="008207E0" w:rsidRPr="000202EA" w:rsidRDefault="008207E0" w:rsidP="00243C1C">
      <w:pPr>
        <w:pStyle w:val="ListParagraph"/>
        <w:numPr>
          <w:ilvl w:val="0"/>
          <w:numId w:val="7"/>
        </w:numPr>
        <w:snapToGrid w:val="0"/>
        <w:jc w:val="both"/>
        <w:rPr>
          <w:sz w:val="18"/>
          <w:szCs w:val="18"/>
        </w:rPr>
      </w:pPr>
      <w:r w:rsidRPr="000202EA">
        <w:rPr>
          <w:bCs/>
          <w:sz w:val="18"/>
          <w:szCs w:val="18"/>
        </w:rPr>
        <w:t>TASC II D</w:t>
      </w:r>
      <w:r w:rsidRPr="000202EA">
        <w:rPr>
          <w:sz w:val="18"/>
          <w:szCs w:val="18"/>
        </w:rPr>
        <w:t xml:space="preserve"> </w:t>
      </w:r>
      <w:proofErr w:type="spellStart"/>
      <w:r w:rsidRPr="000202EA">
        <w:rPr>
          <w:sz w:val="18"/>
          <w:szCs w:val="18"/>
        </w:rPr>
        <w:t>femoropopliteal</w:t>
      </w:r>
      <w:proofErr w:type="spellEnd"/>
      <w:r w:rsidRPr="000202EA">
        <w:rPr>
          <w:sz w:val="18"/>
          <w:szCs w:val="18"/>
        </w:rPr>
        <w:t xml:space="preserve"> occlusive disease: a single center study. BMC Cardiovascular Disorders 2015; 15:44-49.</w:t>
      </w:r>
    </w:p>
    <w:p w:rsidR="008207E0" w:rsidRPr="000202EA" w:rsidRDefault="008207E0" w:rsidP="00243C1C">
      <w:pPr>
        <w:pStyle w:val="ListParagraph"/>
        <w:numPr>
          <w:ilvl w:val="0"/>
          <w:numId w:val="7"/>
        </w:numPr>
        <w:snapToGrid w:val="0"/>
        <w:jc w:val="both"/>
        <w:rPr>
          <w:sz w:val="18"/>
          <w:szCs w:val="18"/>
        </w:rPr>
      </w:pPr>
      <w:r w:rsidRPr="000202EA">
        <w:rPr>
          <w:bCs/>
          <w:sz w:val="18"/>
          <w:szCs w:val="18"/>
        </w:rPr>
        <w:t xml:space="preserve">Clark TW, </w:t>
      </w:r>
      <w:proofErr w:type="spellStart"/>
      <w:r w:rsidRPr="000202EA">
        <w:rPr>
          <w:bCs/>
          <w:sz w:val="18"/>
          <w:szCs w:val="18"/>
        </w:rPr>
        <w:t>Groffsky</w:t>
      </w:r>
      <w:proofErr w:type="spellEnd"/>
      <w:r w:rsidRPr="000202EA">
        <w:rPr>
          <w:bCs/>
          <w:sz w:val="18"/>
          <w:szCs w:val="18"/>
        </w:rPr>
        <w:t xml:space="preserve"> JL and </w:t>
      </w:r>
      <w:proofErr w:type="spellStart"/>
      <w:r w:rsidRPr="000202EA">
        <w:rPr>
          <w:bCs/>
          <w:sz w:val="18"/>
          <w:szCs w:val="18"/>
        </w:rPr>
        <w:t>Soulen</w:t>
      </w:r>
      <w:proofErr w:type="spellEnd"/>
      <w:r w:rsidRPr="000202EA">
        <w:rPr>
          <w:bCs/>
          <w:sz w:val="18"/>
          <w:szCs w:val="18"/>
        </w:rPr>
        <w:t xml:space="preserve"> MC (2001)</w:t>
      </w:r>
      <w:r w:rsidRPr="000202EA">
        <w:rPr>
          <w:sz w:val="18"/>
          <w:szCs w:val="18"/>
        </w:rPr>
        <w:t xml:space="preserve">. Predictors of long-term patency after </w:t>
      </w:r>
      <w:proofErr w:type="spellStart"/>
      <w:r w:rsidRPr="000202EA">
        <w:rPr>
          <w:sz w:val="18"/>
          <w:szCs w:val="18"/>
        </w:rPr>
        <w:t>femoropopliteal</w:t>
      </w:r>
      <w:proofErr w:type="spellEnd"/>
      <w:r w:rsidRPr="000202EA">
        <w:rPr>
          <w:sz w:val="18"/>
          <w:szCs w:val="18"/>
        </w:rPr>
        <w:t xml:space="preserve"> angioplasty: results from the STAR registry. J </w:t>
      </w:r>
      <w:proofErr w:type="spellStart"/>
      <w:r w:rsidRPr="000202EA">
        <w:rPr>
          <w:sz w:val="18"/>
          <w:szCs w:val="18"/>
        </w:rPr>
        <w:t>Vasc</w:t>
      </w:r>
      <w:proofErr w:type="spellEnd"/>
      <w:r w:rsidRPr="000202EA">
        <w:rPr>
          <w:sz w:val="18"/>
          <w:szCs w:val="18"/>
        </w:rPr>
        <w:t xml:space="preserve"> </w:t>
      </w:r>
      <w:proofErr w:type="spellStart"/>
      <w:r w:rsidRPr="000202EA">
        <w:rPr>
          <w:sz w:val="18"/>
          <w:szCs w:val="18"/>
        </w:rPr>
        <w:t>Interv</w:t>
      </w:r>
      <w:proofErr w:type="spellEnd"/>
      <w:r w:rsidRPr="000202EA">
        <w:rPr>
          <w:sz w:val="18"/>
          <w:szCs w:val="18"/>
        </w:rPr>
        <w:t xml:space="preserve"> </w:t>
      </w:r>
      <w:proofErr w:type="spellStart"/>
      <w:r w:rsidRPr="000202EA">
        <w:rPr>
          <w:sz w:val="18"/>
          <w:szCs w:val="18"/>
        </w:rPr>
        <w:t>Radiol</w:t>
      </w:r>
      <w:proofErr w:type="spellEnd"/>
      <w:r w:rsidRPr="000202EA">
        <w:rPr>
          <w:sz w:val="18"/>
          <w:szCs w:val="18"/>
        </w:rPr>
        <w:t xml:space="preserve"> 12: 923-33.</w:t>
      </w:r>
    </w:p>
    <w:p w:rsidR="008207E0" w:rsidRPr="000202EA" w:rsidRDefault="008207E0" w:rsidP="00243C1C">
      <w:pPr>
        <w:pStyle w:val="ListParagraph"/>
        <w:numPr>
          <w:ilvl w:val="0"/>
          <w:numId w:val="7"/>
        </w:numPr>
        <w:snapToGrid w:val="0"/>
        <w:jc w:val="both"/>
        <w:rPr>
          <w:sz w:val="18"/>
          <w:szCs w:val="18"/>
          <w:lang w:val="en-GB"/>
        </w:rPr>
      </w:pPr>
      <w:r w:rsidRPr="000202EA">
        <w:rPr>
          <w:bCs/>
          <w:sz w:val="18"/>
          <w:szCs w:val="18"/>
          <w:lang w:val="en-GB"/>
        </w:rPr>
        <w:t>Wu W,</w:t>
      </w:r>
      <w:r w:rsidR="00C305D9" w:rsidRPr="000202EA">
        <w:rPr>
          <w:bCs/>
          <w:sz w:val="18"/>
          <w:szCs w:val="18"/>
          <w:lang w:val="en-GB"/>
        </w:rPr>
        <w:t xml:space="preserve"> </w:t>
      </w:r>
      <w:proofErr w:type="spellStart"/>
      <w:r w:rsidRPr="000202EA">
        <w:rPr>
          <w:bCs/>
          <w:sz w:val="18"/>
          <w:szCs w:val="18"/>
          <w:lang w:val="en-GB"/>
        </w:rPr>
        <w:t>Hua</w:t>
      </w:r>
      <w:proofErr w:type="spellEnd"/>
      <w:r w:rsidRPr="000202EA">
        <w:rPr>
          <w:bCs/>
          <w:sz w:val="18"/>
          <w:szCs w:val="18"/>
          <w:lang w:val="en-GB"/>
        </w:rPr>
        <w:t xml:space="preserve"> S, Li Y, Ye W, Liu B,</w:t>
      </w:r>
      <w:r w:rsidR="00C305D9" w:rsidRPr="000202EA">
        <w:rPr>
          <w:bCs/>
          <w:sz w:val="18"/>
          <w:szCs w:val="18"/>
          <w:lang w:val="en-GB"/>
        </w:rPr>
        <w:t xml:space="preserve"> </w:t>
      </w:r>
      <w:proofErr w:type="spellStart"/>
      <w:r w:rsidRPr="000202EA">
        <w:rPr>
          <w:bCs/>
          <w:sz w:val="18"/>
          <w:szCs w:val="18"/>
          <w:lang w:val="en-GB"/>
        </w:rPr>
        <w:t>Zheng</w:t>
      </w:r>
      <w:proofErr w:type="spellEnd"/>
      <w:r w:rsidRPr="000202EA">
        <w:rPr>
          <w:bCs/>
          <w:sz w:val="18"/>
          <w:szCs w:val="18"/>
          <w:lang w:val="en-GB"/>
        </w:rPr>
        <w:t xml:space="preserve"> Y, Song X, and Liu </w:t>
      </w:r>
      <w:r w:rsidR="009B39CE" w:rsidRPr="000202EA">
        <w:rPr>
          <w:bCs/>
          <w:sz w:val="18"/>
          <w:szCs w:val="18"/>
          <w:lang w:val="en-GB"/>
        </w:rPr>
        <w:t xml:space="preserve">C </w:t>
      </w:r>
      <w:r w:rsidR="009B39CE" w:rsidRPr="000202EA">
        <w:rPr>
          <w:bCs/>
          <w:sz w:val="18"/>
          <w:szCs w:val="18"/>
        </w:rPr>
        <w:t>(</w:t>
      </w:r>
      <w:r w:rsidRPr="000202EA">
        <w:rPr>
          <w:bCs/>
          <w:sz w:val="18"/>
          <w:szCs w:val="18"/>
        </w:rPr>
        <w:t>2014)</w:t>
      </w:r>
      <w:r w:rsidRPr="000202EA">
        <w:rPr>
          <w:bCs/>
          <w:sz w:val="18"/>
          <w:szCs w:val="18"/>
          <w:lang w:val="en-GB"/>
        </w:rPr>
        <w:t>.</w:t>
      </w:r>
      <w:r w:rsidRPr="000202EA">
        <w:rPr>
          <w:sz w:val="18"/>
          <w:szCs w:val="18"/>
          <w:lang w:val="en-GB"/>
        </w:rPr>
        <w:t xml:space="preserve"> Incidence, Risk Factors, Treatment and Prognosis of </w:t>
      </w:r>
      <w:proofErr w:type="spellStart"/>
      <w:r w:rsidRPr="000202EA">
        <w:rPr>
          <w:sz w:val="18"/>
          <w:szCs w:val="18"/>
          <w:lang w:val="en-GB"/>
        </w:rPr>
        <w:t>Popliteal</w:t>
      </w:r>
      <w:proofErr w:type="spellEnd"/>
      <w:r w:rsidRPr="000202EA">
        <w:rPr>
          <w:sz w:val="18"/>
          <w:szCs w:val="18"/>
          <w:lang w:val="en-GB"/>
        </w:rPr>
        <w:t xml:space="preserve"> Artery </w:t>
      </w:r>
      <w:proofErr w:type="spellStart"/>
      <w:r w:rsidRPr="000202EA">
        <w:rPr>
          <w:sz w:val="18"/>
          <w:szCs w:val="18"/>
          <w:lang w:val="en-GB"/>
        </w:rPr>
        <w:t>Embolization</w:t>
      </w:r>
      <w:proofErr w:type="spellEnd"/>
      <w:r w:rsidRPr="000202EA">
        <w:rPr>
          <w:sz w:val="18"/>
          <w:szCs w:val="18"/>
          <w:lang w:val="en-GB"/>
        </w:rPr>
        <w:t xml:space="preserve"> in the Superficial Femoral Artery Interventions. </w:t>
      </w:r>
      <w:proofErr w:type="spellStart"/>
      <w:r w:rsidRPr="000202EA">
        <w:rPr>
          <w:sz w:val="18"/>
          <w:szCs w:val="18"/>
          <w:lang w:val="en-GB"/>
        </w:rPr>
        <w:t>PL</w:t>
      </w:r>
      <w:r w:rsidR="00C305D9" w:rsidRPr="000202EA">
        <w:rPr>
          <w:sz w:val="18"/>
          <w:szCs w:val="18"/>
          <w:lang w:val="en-GB"/>
        </w:rPr>
        <w:t>o</w:t>
      </w:r>
      <w:proofErr w:type="spellEnd"/>
      <w:r w:rsidR="00C305D9" w:rsidRPr="000202EA">
        <w:rPr>
          <w:sz w:val="18"/>
          <w:szCs w:val="18"/>
          <w:lang w:val="en-GB"/>
        </w:rPr>
        <w:t xml:space="preserve"> S</w:t>
      </w:r>
      <w:r w:rsidRPr="000202EA">
        <w:rPr>
          <w:sz w:val="18"/>
          <w:szCs w:val="18"/>
          <w:lang w:val="en-GB"/>
        </w:rPr>
        <w:t xml:space="preserve"> One. 9(9): e107717.</w:t>
      </w:r>
    </w:p>
    <w:p w:rsidR="008207E0" w:rsidRPr="000202EA" w:rsidRDefault="008207E0" w:rsidP="00243C1C">
      <w:pPr>
        <w:pStyle w:val="ListParagraph"/>
        <w:numPr>
          <w:ilvl w:val="0"/>
          <w:numId w:val="7"/>
        </w:numPr>
        <w:snapToGrid w:val="0"/>
        <w:jc w:val="both"/>
        <w:rPr>
          <w:sz w:val="18"/>
          <w:szCs w:val="18"/>
        </w:rPr>
      </w:pPr>
      <w:r w:rsidRPr="000202EA">
        <w:rPr>
          <w:bCs/>
          <w:sz w:val="18"/>
          <w:szCs w:val="18"/>
        </w:rPr>
        <w:t>Andrew MB, Eugene P, Joseph PH et a</w:t>
      </w:r>
      <w:r w:rsidR="009B39CE" w:rsidRPr="000202EA">
        <w:rPr>
          <w:bCs/>
          <w:sz w:val="18"/>
          <w:szCs w:val="18"/>
        </w:rPr>
        <w:t>l (</w:t>
      </w:r>
      <w:r w:rsidRPr="000202EA">
        <w:rPr>
          <w:bCs/>
          <w:sz w:val="18"/>
          <w:szCs w:val="18"/>
        </w:rPr>
        <w:t>2007)</w:t>
      </w:r>
      <w:r w:rsidRPr="000202EA">
        <w:rPr>
          <w:sz w:val="18"/>
          <w:szCs w:val="18"/>
        </w:rPr>
        <w:t xml:space="preserve">. Impact of diabetes mellitus on outcomes of superficial femoral artery </w:t>
      </w:r>
      <w:proofErr w:type="spellStart"/>
      <w:r w:rsidRPr="000202EA">
        <w:rPr>
          <w:sz w:val="18"/>
          <w:szCs w:val="18"/>
        </w:rPr>
        <w:t>endoluminal</w:t>
      </w:r>
      <w:proofErr w:type="spellEnd"/>
      <w:r w:rsidRPr="000202EA">
        <w:rPr>
          <w:sz w:val="18"/>
          <w:szCs w:val="18"/>
        </w:rPr>
        <w:t xml:space="preserve"> interventions. J </w:t>
      </w:r>
      <w:proofErr w:type="spellStart"/>
      <w:r w:rsidRPr="000202EA">
        <w:rPr>
          <w:sz w:val="18"/>
          <w:szCs w:val="18"/>
        </w:rPr>
        <w:t>Vasc</w:t>
      </w:r>
      <w:proofErr w:type="spellEnd"/>
      <w:r w:rsidRPr="000202EA">
        <w:rPr>
          <w:sz w:val="18"/>
          <w:szCs w:val="18"/>
        </w:rPr>
        <w:t xml:space="preserve"> </w:t>
      </w:r>
      <w:proofErr w:type="spellStart"/>
      <w:r w:rsidRPr="000202EA">
        <w:rPr>
          <w:sz w:val="18"/>
          <w:szCs w:val="18"/>
        </w:rPr>
        <w:t>Surg</w:t>
      </w:r>
      <w:proofErr w:type="spellEnd"/>
      <w:r w:rsidRPr="000202EA">
        <w:rPr>
          <w:sz w:val="18"/>
          <w:szCs w:val="18"/>
        </w:rPr>
        <w:t xml:space="preserve"> 46:946-58.</w:t>
      </w:r>
    </w:p>
    <w:p w:rsidR="009B39CE" w:rsidRPr="000202EA" w:rsidRDefault="008207E0" w:rsidP="00243C1C">
      <w:pPr>
        <w:pStyle w:val="ListParagraph"/>
        <w:numPr>
          <w:ilvl w:val="0"/>
          <w:numId w:val="7"/>
        </w:numPr>
        <w:snapToGrid w:val="0"/>
        <w:ind w:left="425" w:hanging="425"/>
        <w:jc w:val="both"/>
        <w:rPr>
          <w:sz w:val="18"/>
          <w:szCs w:val="18"/>
          <w:lang w:bidi="ar-EG"/>
        </w:rPr>
      </w:pPr>
      <w:proofErr w:type="spellStart"/>
      <w:r w:rsidRPr="000202EA">
        <w:rPr>
          <w:bCs/>
          <w:sz w:val="18"/>
          <w:szCs w:val="18"/>
        </w:rPr>
        <w:t>Guo</w:t>
      </w:r>
      <w:proofErr w:type="spellEnd"/>
      <w:r w:rsidRPr="000202EA">
        <w:rPr>
          <w:bCs/>
          <w:sz w:val="18"/>
          <w:szCs w:val="18"/>
        </w:rPr>
        <w:t xml:space="preserve"> X, </w:t>
      </w:r>
      <w:proofErr w:type="spellStart"/>
      <w:r w:rsidRPr="000202EA">
        <w:rPr>
          <w:bCs/>
          <w:sz w:val="18"/>
          <w:szCs w:val="18"/>
        </w:rPr>
        <w:t>Xue</w:t>
      </w:r>
      <w:proofErr w:type="spellEnd"/>
      <w:r w:rsidRPr="000202EA">
        <w:rPr>
          <w:bCs/>
          <w:sz w:val="18"/>
          <w:szCs w:val="18"/>
        </w:rPr>
        <w:t xml:space="preserve"> G, Huang X, </w:t>
      </w:r>
      <w:proofErr w:type="spellStart"/>
      <w:r w:rsidRPr="000202EA">
        <w:rPr>
          <w:bCs/>
          <w:sz w:val="18"/>
          <w:szCs w:val="18"/>
        </w:rPr>
        <w:t>Xie</w:t>
      </w:r>
      <w:proofErr w:type="spellEnd"/>
      <w:r w:rsidRPr="000202EA">
        <w:rPr>
          <w:bCs/>
          <w:sz w:val="18"/>
          <w:szCs w:val="18"/>
        </w:rPr>
        <w:t xml:space="preserve"> H, Liang W, Zhang J, Lin F and Yao </w:t>
      </w:r>
      <w:r w:rsidR="009B39CE" w:rsidRPr="000202EA">
        <w:rPr>
          <w:bCs/>
          <w:sz w:val="18"/>
          <w:szCs w:val="18"/>
        </w:rPr>
        <w:t>F (</w:t>
      </w:r>
      <w:r w:rsidRPr="000202EA">
        <w:rPr>
          <w:bCs/>
          <w:sz w:val="18"/>
          <w:szCs w:val="18"/>
        </w:rPr>
        <w:t>2015).</w:t>
      </w:r>
      <w:r w:rsidRPr="000202EA">
        <w:rPr>
          <w:sz w:val="18"/>
          <w:szCs w:val="18"/>
        </w:rPr>
        <w:t xml:space="preserve"> Outcomes of endovascular treatment for patients with TASC II D </w:t>
      </w:r>
      <w:proofErr w:type="spellStart"/>
      <w:r w:rsidRPr="000202EA">
        <w:rPr>
          <w:sz w:val="18"/>
          <w:szCs w:val="18"/>
        </w:rPr>
        <w:t>femoropopliteal</w:t>
      </w:r>
      <w:proofErr w:type="spellEnd"/>
      <w:r w:rsidRPr="000202EA">
        <w:rPr>
          <w:sz w:val="18"/>
          <w:szCs w:val="18"/>
        </w:rPr>
        <w:t xml:space="preserve"> occlusive disease: a single center study. BMC Cardiovascular Disorders 2015; 15:44-49.</w:t>
      </w:r>
      <w:r w:rsidR="000202EA" w:rsidRPr="000202EA">
        <w:rPr>
          <w:rFonts w:eastAsiaTheme="minorEastAsia" w:hint="eastAsia"/>
          <w:sz w:val="18"/>
          <w:szCs w:val="18"/>
          <w:lang w:eastAsia="zh-CN"/>
        </w:rPr>
        <w:t xml:space="preserve"> </w:t>
      </w:r>
    </w:p>
    <w:p w:rsidR="009B39CE" w:rsidRPr="000202EA" w:rsidRDefault="009B39CE" w:rsidP="00243C1C">
      <w:pPr>
        <w:snapToGrid w:val="0"/>
        <w:ind w:left="425" w:hanging="425"/>
        <w:jc w:val="both"/>
        <w:rPr>
          <w:sz w:val="20"/>
          <w:szCs w:val="20"/>
          <w:lang w:bidi="ar-EG"/>
        </w:rPr>
        <w:sectPr w:rsidR="009B39CE" w:rsidRPr="000202EA" w:rsidSect="00243C1C">
          <w:headerReference w:type="default" r:id="rId27"/>
          <w:type w:val="continuous"/>
          <w:pgSz w:w="12242" w:h="15842" w:code="1"/>
          <w:pgMar w:top="1440" w:right="1440" w:bottom="1440" w:left="1440" w:header="720" w:footer="720" w:gutter="0"/>
          <w:cols w:num="2" w:space="600"/>
          <w:docGrid w:linePitch="360"/>
        </w:sectPr>
      </w:pPr>
    </w:p>
    <w:p w:rsidR="00282291" w:rsidRPr="000202EA" w:rsidRDefault="00282291" w:rsidP="00243C1C">
      <w:pPr>
        <w:snapToGrid w:val="0"/>
        <w:ind w:left="425" w:hanging="425"/>
        <w:jc w:val="both"/>
        <w:rPr>
          <w:sz w:val="20"/>
          <w:szCs w:val="20"/>
          <w:lang w:bidi="ar-EG"/>
        </w:rPr>
      </w:pPr>
    </w:p>
    <w:p w:rsidR="00601353" w:rsidRPr="000202EA" w:rsidRDefault="009B39CE" w:rsidP="00243C1C">
      <w:pPr>
        <w:snapToGrid w:val="0"/>
        <w:ind w:left="425" w:hanging="425"/>
        <w:jc w:val="both"/>
        <w:rPr>
          <w:sz w:val="20"/>
          <w:szCs w:val="20"/>
          <w:lang w:bidi="ar-EG"/>
        </w:rPr>
      </w:pPr>
      <w:r w:rsidRPr="000202EA">
        <w:rPr>
          <w:sz w:val="20"/>
          <w:szCs w:val="20"/>
          <w:lang w:bidi="ar-EG"/>
        </w:rPr>
        <w:t>6/7/2017</w:t>
      </w:r>
    </w:p>
    <w:sectPr w:rsidR="00601353" w:rsidRPr="000202EA" w:rsidSect="009B39CE">
      <w:headerReference w:type="default" r:id="rId2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22" w:rsidRDefault="00885122" w:rsidP="00447F48">
      <w:r>
        <w:separator/>
      </w:r>
    </w:p>
  </w:endnote>
  <w:endnote w:type="continuationSeparator" w:id="0">
    <w:p w:rsidR="00885122" w:rsidRDefault="00885122" w:rsidP="00447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C1C" w:rsidRPr="00F22AC2" w:rsidRDefault="00A42605" w:rsidP="00F22AC2">
    <w:pPr>
      <w:jc w:val="center"/>
      <w:rPr>
        <w:sz w:val="20"/>
      </w:rPr>
    </w:pPr>
    <w:r w:rsidRPr="00F22AC2">
      <w:rPr>
        <w:sz w:val="20"/>
      </w:rPr>
      <w:fldChar w:fldCharType="begin"/>
    </w:r>
    <w:r w:rsidR="00F22AC2" w:rsidRPr="00F22AC2">
      <w:rPr>
        <w:sz w:val="20"/>
      </w:rPr>
      <w:instrText xml:space="preserve"> page </w:instrText>
    </w:r>
    <w:r w:rsidRPr="00F22AC2">
      <w:rPr>
        <w:sz w:val="20"/>
      </w:rPr>
      <w:fldChar w:fldCharType="separate"/>
    </w:r>
    <w:r w:rsidR="006B606B">
      <w:rPr>
        <w:noProof/>
        <w:sz w:val="20"/>
      </w:rPr>
      <w:t>28</w:t>
    </w:r>
    <w:r w:rsidRPr="00F22AC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22" w:rsidRDefault="00885122" w:rsidP="00447F48">
      <w:r>
        <w:separator/>
      </w:r>
    </w:p>
  </w:footnote>
  <w:footnote w:type="continuationSeparator" w:id="0">
    <w:p w:rsidR="00885122" w:rsidRDefault="00885122" w:rsidP="00447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C2" w:rsidRPr="00F22AC2" w:rsidRDefault="00F22AC2" w:rsidP="00F22AC2">
    <w:pPr>
      <w:pBdr>
        <w:bottom w:val="thinThickMediumGap" w:sz="12" w:space="1" w:color="auto"/>
      </w:pBdr>
      <w:tabs>
        <w:tab w:val="left" w:pos="851"/>
        <w:tab w:val="right" w:pos="8364"/>
      </w:tabs>
      <w:adjustRightInd w:val="0"/>
      <w:snapToGrid w:val="0"/>
      <w:jc w:val="both"/>
      <w:rPr>
        <w:iCs/>
        <w:sz w:val="20"/>
        <w:szCs w:val="20"/>
      </w:rPr>
    </w:pPr>
    <w:r w:rsidRPr="00F22AC2">
      <w:rPr>
        <w:rFonts w:hint="eastAsia"/>
        <w:sz w:val="20"/>
        <w:szCs w:val="20"/>
      </w:rPr>
      <w:tab/>
    </w:r>
    <w:r w:rsidRPr="00F22AC2">
      <w:rPr>
        <w:sz w:val="20"/>
        <w:szCs w:val="20"/>
      </w:rPr>
      <w:t>New York Science Journal 201</w:t>
    </w:r>
    <w:r w:rsidRPr="00F22AC2">
      <w:rPr>
        <w:rFonts w:hint="eastAsia"/>
        <w:sz w:val="20"/>
        <w:szCs w:val="20"/>
      </w:rPr>
      <w:t>7</w:t>
    </w:r>
    <w:r w:rsidRPr="00F22AC2">
      <w:rPr>
        <w:sz w:val="20"/>
        <w:szCs w:val="20"/>
      </w:rPr>
      <w:t>;</w:t>
    </w:r>
    <w:r w:rsidRPr="00F22AC2">
      <w:rPr>
        <w:rFonts w:hint="eastAsia"/>
        <w:sz w:val="20"/>
        <w:szCs w:val="20"/>
      </w:rPr>
      <w:t>10</w:t>
    </w:r>
    <w:r w:rsidRPr="00F22AC2">
      <w:rPr>
        <w:sz w:val="20"/>
        <w:szCs w:val="20"/>
      </w:rPr>
      <w:t>(</w:t>
    </w:r>
    <w:r w:rsidRPr="00F22AC2">
      <w:rPr>
        <w:rFonts w:hint="eastAsia"/>
        <w:sz w:val="20"/>
        <w:szCs w:val="20"/>
      </w:rPr>
      <w:t>8</w:t>
    </w:r>
    <w:r w:rsidRPr="00F22AC2">
      <w:rPr>
        <w:sz w:val="20"/>
        <w:szCs w:val="20"/>
      </w:rPr>
      <w:t>)</w:t>
    </w:r>
    <w:r w:rsidRPr="00F22AC2">
      <w:rPr>
        <w:iCs/>
        <w:sz w:val="20"/>
        <w:szCs w:val="20"/>
      </w:rPr>
      <w:t xml:space="preserve">     </w:t>
    </w:r>
    <w:r w:rsidRPr="00F22AC2">
      <w:rPr>
        <w:rFonts w:hint="eastAsia"/>
        <w:iCs/>
        <w:sz w:val="20"/>
        <w:szCs w:val="20"/>
      </w:rPr>
      <w:tab/>
    </w:r>
    <w:r w:rsidRPr="00F22AC2">
      <w:rPr>
        <w:iCs/>
        <w:sz w:val="20"/>
        <w:szCs w:val="20"/>
      </w:rPr>
      <w:t xml:space="preserve"> </w:t>
    </w:r>
    <w:r w:rsidRPr="00F22AC2">
      <w:rPr>
        <w:rFonts w:hint="eastAsia"/>
        <w:iCs/>
        <w:sz w:val="20"/>
        <w:szCs w:val="20"/>
      </w:rPr>
      <w:t xml:space="preserve"> </w:t>
    </w:r>
    <w:r w:rsidRPr="00F22AC2">
      <w:rPr>
        <w:iCs/>
        <w:sz w:val="20"/>
        <w:szCs w:val="20"/>
      </w:rPr>
      <w:t xml:space="preserve">   </w:t>
    </w:r>
    <w:hyperlink r:id="rId1" w:history="1">
      <w:r w:rsidRPr="00F22AC2">
        <w:rPr>
          <w:rStyle w:val="Hyperlink"/>
          <w:color w:val="0000FF"/>
          <w:sz w:val="20"/>
          <w:szCs w:val="20"/>
        </w:rPr>
        <w:t>http://www.sciencepub.net/newyork</w:t>
      </w:r>
    </w:hyperlink>
  </w:p>
  <w:p w:rsidR="00F22AC2" w:rsidRPr="00F22AC2" w:rsidRDefault="00F22AC2" w:rsidP="00F22AC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C2" w:rsidRPr="00F22AC2" w:rsidRDefault="00F22AC2" w:rsidP="00F22AC2">
    <w:pPr>
      <w:pBdr>
        <w:bottom w:val="thinThickMediumGap" w:sz="12" w:space="1" w:color="auto"/>
      </w:pBdr>
      <w:tabs>
        <w:tab w:val="left" w:pos="851"/>
        <w:tab w:val="right" w:pos="8364"/>
      </w:tabs>
      <w:adjustRightInd w:val="0"/>
      <w:snapToGrid w:val="0"/>
      <w:jc w:val="both"/>
      <w:rPr>
        <w:iCs/>
        <w:sz w:val="20"/>
        <w:szCs w:val="20"/>
      </w:rPr>
    </w:pPr>
    <w:r w:rsidRPr="00F22AC2">
      <w:rPr>
        <w:rFonts w:hint="eastAsia"/>
        <w:sz w:val="20"/>
        <w:szCs w:val="20"/>
      </w:rPr>
      <w:tab/>
    </w:r>
    <w:r w:rsidRPr="00F22AC2">
      <w:rPr>
        <w:sz w:val="20"/>
        <w:szCs w:val="20"/>
      </w:rPr>
      <w:t>New York Science Journal 201</w:t>
    </w:r>
    <w:r w:rsidRPr="00F22AC2">
      <w:rPr>
        <w:rFonts w:hint="eastAsia"/>
        <w:sz w:val="20"/>
        <w:szCs w:val="20"/>
      </w:rPr>
      <w:t>7</w:t>
    </w:r>
    <w:r w:rsidRPr="00F22AC2">
      <w:rPr>
        <w:sz w:val="20"/>
        <w:szCs w:val="20"/>
      </w:rPr>
      <w:t>;</w:t>
    </w:r>
    <w:r w:rsidRPr="00F22AC2">
      <w:rPr>
        <w:rFonts w:hint="eastAsia"/>
        <w:sz w:val="20"/>
        <w:szCs w:val="20"/>
      </w:rPr>
      <w:t>10</w:t>
    </w:r>
    <w:r w:rsidRPr="00F22AC2">
      <w:rPr>
        <w:sz w:val="20"/>
        <w:szCs w:val="20"/>
      </w:rPr>
      <w:t>(</w:t>
    </w:r>
    <w:r w:rsidRPr="00F22AC2">
      <w:rPr>
        <w:rFonts w:hint="eastAsia"/>
        <w:sz w:val="20"/>
        <w:szCs w:val="20"/>
      </w:rPr>
      <w:t>8</w:t>
    </w:r>
    <w:r w:rsidRPr="00F22AC2">
      <w:rPr>
        <w:sz w:val="20"/>
        <w:szCs w:val="20"/>
      </w:rPr>
      <w:t>)</w:t>
    </w:r>
    <w:r w:rsidRPr="00F22AC2">
      <w:rPr>
        <w:iCs/>
        <w:sz w:val="20"/>
        <w:szCs w:val="20"/>
      </w:rPr>
      <w:t xml:space="preserve">     </w:t>
    </w:r>
    <w:r w:rsidRPr="00F22AC2">
      <w:rPr>
        <w:rFonts w:hint="eastAsia"/>
        <w:iCs/>
        <w:sz w:val="20"/>
        <w:szCs w:val="20"/>
      </w:rPr>
      <w:tab/>
    </w:r>
    <w:r w:rsidRPr="00F22AC2">
      <w:rPr>
        <w:iCs/>
        <w:sz w:val="20"/>
        <w:szCs w:val="20"/>
      </w:rPr>
      <w:t xml:space="preserve"> </w:t>
    </w:r>
    <w:r w:rsidRPr="00F22AC2">
      <w:rPr>
        <w:rFonts w:hint="eastAsia"/>
        <w:iCs/>
        <w:sz w:val="20"/>
        <w:szCs w:val="20"/>
      </w:rPr>
      <w:t xml:space="preserve"> </w:t>
    </w:r>
    <w:r w:rsidRPr="00F22AC2">
      <w:rPr>
        <w:iCs/>
        <w:sz w:val="20"/>
        <w:szCs w:val="20"/>
      </w:rPr>
      <w:t xml:space="preserve">   </w:t>
    </w:r>
    <w:hyperlink r:id="rId1" w:history="1">
      <w:r w:rsidRPr="00F22AC2">
        <w:rPr>
          <w:rStyle w:val="Hyperlink"/>
          <w:color w:val="0000FF"/>
          <w:sz w:val="20"/>
          <w:szCs w:val="20"/>
        </w:rPr>
        <w:t>http://www.sciencepub.net/newyork</w:t>
      </w:r>
    </w:hyperlink>
  </w:p>
  <w:p w:rsidR="00F22AC2" w:rsidRPr="00F22AC2" w:rsidRDefault="00F22AC2" w:rsidP="00F22AC2">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FD" w:rsidRPr="00477AFD" w:rsidRDefault="00477AFD" w:rsidP="00477AFD">
    <w:pPr>
      <w:pBdr>
        <w:bottom w:val="thinThickMediumGap" w:sz="12" w:space="1" w:color="auto"/>
      </w:pBdr>
      <w:tabs>
        <w:tab w:val="center" w:pos="4680"/>
        <w:tab w:val="right" w:pos="9360"/>
      </w:tabs>
      <w:jc w:val="center"/>
      <w:rPr>
        <w:rFonts w:asciiTheme="majorBidi" w:hAnsiTheme="majorBidi" w:cstheme="majorBidi"/>
        <w:iCs/>
        <w:sz w:val="20"/>
        <w:szCs w:val="20"/>
        <w:lang w:bidi="ar-EG"/>
      </w:rPr>
    </w:pPr>
    <w:r w:rsidRPr="00477AFD">
      <w:rPr>
        <w:rFonts w:asciiTheme="majorBidi" w:hAnsiTheme="majorBidi" w:cstheme="majorBidi"/>
        <w:sz w:val="20"/>
        <w:szCs w:val="20"/>
      </w:rPr>
      <w:t xml:space="preserve">New York Science Journal 2017;10(x)                             </w:t>
    </w:r>
    <w:hyperlink r:id="rId1" w:history="1">
      <w:r w:rsidRPr="00477AFD">
        <w:rPr>
          <w:rStyle w:val="Hyperlink"/>
          <w:rFonts w:asciiTheme="majorBidi" w:eastAsia="Arial" w:hAnsiTheme="majorBidi" w:cstheme="majorBidi"/>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D649E"/>
    <w:multiLevelType w:val="hybridMultilevel"/>
    <w:tmpl w:val="8AA441A0"/>
    <w:lvl w:ilvl="0" w:tplc="6B227D6A">
      <w:numFmt w:val="bullet"/>
      <w:lvlText w:val="-"/>
      <w:lvlJc w:val="left"/>
      <w:pPr>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A1F236B"/>
    <w:multiLevelType w:val="hybridMultilevel"/>
    <w:tmpl w:val="F15CFC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9E38DE"/>
    <w:multiLevelType w:val="hybridMultilevel"/>
    <w:tmpl w:val="91EA6B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63C168E"/>
    <w:multiLevelType w:val="multilevel"/>
    <w:tmpl w:val="F86E3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A68476D"/>
    <w:multiLevelType w:val="hybridMultilevel"/>
    <w:tmpl w:val="C0261A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447F48"/>
    <w:rsid w:val="00012A84"/>
    <w:rsid w:val="000202EA"/>
    <w:rsid w:val="00070E15"/>
    <w:rsid w:val="000A6C67"/>
    <w:rsid w:val="000D0C08"/>
    <w:rsid w:val="000E0C1D"/>
    <w:rsid w:val="000E73E9"/>
    <w:rsid w:val="00161870"/>
    <w:rsid w:val="001B66B8"/>
    <w:rsid w:val="001C562E"/>
    <w:rsid w:val="001F6EE1"/>
    <w:rsid w:val="00243C1C"/>
    <w:rsid w:val="002722A3"/>
    <w:rsid w:val="00282291"/>
    <w:rsid w:val="002A5ADA"/>
    <w:rsid w:val="002D2809"/>
    <w:rsid w:val="002E0754"/>
    <w:rsid w:val="002E184C"/>
    <w:rsid w:val="00301C25"/>
    <w:rsid w:val="00344F1B"/>
    <w:rsid w:val="00346D3B"/>
    <w:rsid w:val="003C1C9E"/>
    <w:rsid w:val="00447F48"/>
    <w:rsid w:val="00477AFD"/>
    <w:rsid w:val="004A6CF2"/>
    <w:rsid w:val="004E6688"/>
    <w:rsid w:val="005637A4"/>
    <w:rsid w:val="00572CFF"/>
    <w:rsid w:val="00601353"/>
    <w:rsid w:val="00614AB2"/>
    <w:rsid w:val="00625EE7"/>
    <w:rsid w:val="00641D70"/>
    <w:rsid w:val="00682343"/>
    <w:rsid w:val="006A7847"/>
    <w:rsid w:val="006B606B"/>
    <w:rsid w:val="00714B51"/>
    <w:rsid w:val="00725563"/>
    <w:rsid w:val="00774EE9"/>
    <w:rsid w:val="0078297A"/>
    <w:rsid w:val="007A57ED"/>
    <w:rsid w:val="007B5136"/>
    <w:rsid w:val="008156DD"/>
    <w:rsid w:val="0081730A"/>
    <w:rsid w:val="008207E0"/>
    <w:rsid w:val="00824A6A"/>
    <w:rsid w:val="00854EC4"/>
    <w:rsid w:val="00885122"/>
    <w:rsid w:val="009157D9"/>
    <w:rsid w:val="00941BAB"/>
    <w:rsid w:val="00944708"/>
    <w:rsid w:val="00946FD3"/>
    <w:rsid w:val="00955FD7"/>
    <w:rsid w:val="00993ABE"/>
    <w:rsid w:val="009A2FB7"/>
    <w:rsid w:val="009B39CE"/>
    <w:rsid w:val="009E6211"/>
    <w:rsid w:val="00A121D7"/>
    <w:rsid w:val="00A37415"/>
    <w:rsid w:val="00A42605"/>
    <w:rsid w:val="00A86861"/>
    <w:rsid w:val="00BA6CCB"/>
    <w:rsid w:val="00C305D9"/>
    <w:rsid w:val="00CB4E9B"/>
    <w:rsid w:val="00D070CC"/>
    <w:rsid w:val="00E230A6"/>
    <w:rsid w:val="00E5798C"/>
    <w:rsid w:val="00EA2961"/>
    <w:rsid w:val="00EA655B"/>
    <w:rsid w:val="00ED442C"/>
    <w:rsid w:val="00F22A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7F48"/>
    <w:pPr>
      <w:tabs>
        <w:tab w:val="center" w:pos="4153"/>
        <w:tab w:val="right" w:pos="8306"/>
      </w:tabs>
    </w:pPr>
  </w:style>
  <w:style w:type="character" w:customStyle="1" w:styleId="HeaderChar">
    <w:name w:val="Header Char"/>
    <w:basedOn w:val="DefaultParagraphFont"/>
    <w:link w:val="Header"/>
    <w:uiPriority w:val="99"/>
    <w:semiHidden/>
    <w:rsid w:val="00447F4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47F48"/>
    <w:pPr>
      <w:tabs>
        <w:tab w:val="center" w:pos="4153"/>
        <w:tab w:val="right" w:pos="8306"/>
      </w:tabs>
    </w:pPr>
  </w:style>
  <w:style w:type="character" w:customStyle="1" w:styleId="FooterChar">
    <w:name w:val="Footer Char"/>
    <w:basedOn w:val="DefaultParagraphFont"/>
    <w:link w:val="Footer"/>
    <w:uiPriority w:val="99"/>
    <w:semiHidden/>
    <w:rsid w:val="00447F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5136"/>
    <w:rPr>
      <w:rFonts w:ascii="Tahoma" w:hAnsi="Tahoma" w:cs="Tahoma"/>
      <w:sz w:val="16"/>
      <w:szCs w:val="16"/>
    </w:rPr>
  </w:style>
  <w:style w:type="character" w:customStyle="1" w:styleId="BalloonTextChar">
    <w:name w:val="Balloon Text Char"/>
    <w:basedOn w:val="DefaultParagraphFont"/>
    <w:link w:val="BalloonText"/>
    <w:uiPriority w:val="99"/>
    <w:semiHidden/>
    <w:rsid w:val="007B5136"/>
    <w:rPr>
      <w:rFonts w:ascii="Tahoma" w:eastAsia="Times New Roman" w:hAnsi="Tahoma" w:cs="Tahoma"/>
      <w:sz w:val="16"/>
      <w:szCs w:val="16"/>
    </w:rPr>
  </w:style>
  <w:style w:type="character" w:styleId="Hyperlink">
    <w:name w:val="Hyperlink"/>
    <w:basedOn w:val="DefaultParagraphFont"/>
    <w:uiPriority w:val="99"/>
    <w:unhideWhenUsed/>
    <w:rsid w:val="00614AB2"/>
    <w:rPr>
      <w:color w:val="0000FF" w:themeColor="hyperlink"/>
      <w:u w:val="single"/>
    </w:rPr>
  </w:style>
  <w:style w:type="paragraph" w:styleId="ListParagraph">
    <w:name w:val="List Paragraph"/>
    <w:basedOn w:val="Normal"/>
    <w:uiPriority w:val="34"/>
    <w:qFormat/>
    <w:rsid w:val="00ED44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oda_hr_84@yahoo.com" TargetMode="Externa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hyperlink" Target="http://radiology.rsna.org/search?author1=Martin+Schillinger&amp;sortspec=date&amp;submit=Submit"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hyperlink" Target="http://www.ncbi.nlm.nih.gov/pubmed?term=L%C3%B6fberg%20AM%5BAuthor%5D&amp;cauthor=true&amp;cauthor_uid=11436083"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cbi.nlm.nih.gov/pubmed?term=L%C3%B6fberg%20AM%5BAuthor%5D&amp;cauthor=true&amp;cauthor_uid=11436083"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eader" Target="header3.xml"/><Relationship Id="rId10" Type="http://schemas.openxmlformats.org/officeDocument/2006/relationships/hyperlink" Target="http://www.dx.doi.org/10.7537/marsnys100817.04"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2.xm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otY val="340"/>
      <c:rAngAx val="1"/>
    </c:view3D>
    <c:plotArea>
      <c:layout/>
      <c:bar3DChart>
        <c:barDir val="col"/>
        <c:grouping val="clustered"/>
        <c:ser>
          <c:idx val="0"/>
          <c:order val="0"/>
          <c:spPr>
            <a:solidFill>
              <a:srgbClr val="C00000"/>
            </a:solidFill>
          </c:spPr>
          <c:dPt>
            <c:idx val="0"/>
            <c:spPr>
              <a:solidFill>
                <a:srgbClr val="002060"/>
              </a:solidFill>
            </c:spPr>
          </c:dPt>
          <c:dLbls>
            <c:dLbl>
              <c:idx val="0"/>
              <c:layout>
                <c:manualLayout>
                  <c:x val="2.2222440944881877E-2"/>
                  <c:y val="-4.6296296296296606E-2"/>
                </c:manualLayout>
              </c:layout>
              <c:showVal val="1"/>
            </c:dLbl>
            <c:dLbl>
              <c:idx val="1"/>
              <c:layout>
                <c:manualLayout>
                  <c:x val="0"/>
                  <c:y val="-4.1666666666666692E-2"/>
                </c:manualLayout>
              </c:layout>
              <c:showVal val="1"/>
            </c:dLbl>
            <c:txPr>
              <a:bodyPr/>
              <a:lstStyle/>
              <a:p>
                <a:pPr>
                  <a:defRPr lang="en-US" sz="800"/>
                </a:pPr>
                <a:endParaRPr lang="en-US"/>
              </a:p>
            </c:txPr>
            <c:showVal val="1"/>
          </c:dLbls>
          <c:cat>
            <c:strRef>
              <c:f>Sheet1!$L$4:$M$4</c:f>
              <c:strCache>
                <c:ptCount val="2"/>
                <c:pt idx="0">
                  <c:v>Female</c:v>
                </c:pt>
                <c:pt idx="1">
                  <c:v>Male </c:v>
                </c:pt>
              </c:strCache>
            </c:strRef>
          </c:cat>
          <c:val>
            <c:numRef>
              <c:f>Sheet1!$L$5:$M$5</c:f>
              <c:numCache>
                <c:formatCode>0.00%</c:formatCode>
                <c:ptCount val="2"/>
                <c:pt idx="0">
                  <c:v>0.22500000000000037</c:v>
                </c:pt>
                <c:pt idx="1">
                  <c:v>0.77500000000000258</c:v>
                </c:pt>
              </c:numCache>
            </c:numRef>
          </c:val>
        </c:ser>
        <c:shape val="box"/>
        <c:axId val="45916544"/>
        <c:axId val="45918080"/>
        <c:axId val="0"/>
      </c:bar3DChart>
      <c:catAx>
        <c:axId val="45916544"/>
        <c:scaling>
          <c:orientation val="maxMin"/>
        </c:scaling>
        <c:axPos val="b"/>
        <c:tickLblPos val="nextTo"/>
        <c:txPr>
          <a:bodyPr/>
          <a:lstStyle/>
          <a:p>
            <a:pPr>
              <a:defRPr lang="en-US" sz="800"/>
            </a:pPr>
            <a:endParaRPr lang="en-US"/>
          </a:p>
        </c:txPr>
        <c:crossAx val="45918080"/>
        <c:crosses val="autoZero"/>
        <c:auto val="1"/>
        <c:lblAlgn val="ctr"/>
        <c:lblOffset val="100"/>
      </c:catAx>
      <c:valAx>
        <c:axId val="45918080"/>
        <c:scaling>
          <c:orientation val="minMax"/>
        </c:scaling>
        <c:axPos val="r"/>
        <c:majorGridlines/>
        <c:numFmt formatCode="0.00%" sourceLinked="1"/>
        <c:tickLblPos val="nextTo"/>
        <c:txPr>
          <a:bodyPr/>
          <a:lstStyle/>
          <a:p>
            <a:pPr>
              <a:defRPr lang="en-US" sz="900"/>
            </a:pPr>
            <a:endParaRPr lang="en-US"/>
          </a:p>
        </c:txPr>
        <c:crossAx val="45916544"/>
        <c:crosses val="autoZero"/>
        <c:crossBetween val="between"/>
      </c:valAx>
    </c:plotArea>
    <c:legend>
      <c:legendPos val="l"/>
      <c:layout/>
      <c:txPr>
        <a:bodyPr/>
        <a:lstStyle/>
        <a:p>
          <a:pPr>
            <a:defRPr lang="en-US" sz="800"/>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otY val="340"/>
      <c:rAngAx val="1"/>
    </c:view3D>
    <c:plotArea>
      <c:layout>
        <c:manualLayout>
          <c:layoutTarget val="inner"/>
          <c:xMode val="edge"/>
          <c:yMode val="edge"/>
          <c:x val="0.23030533683289758"/>
          <c:y val="5.1400554097404488E-2"/>
          <c:w val="0.63167847769029717"/>
          <c:h val="0.71960994459025962"/>
        </c:manualLayout>
      </c:layout>
      <c:bar3DChart>
        <c:barDir val="col"/>
        <c:grouping val="clustered"/>
        <c:ser>
          <c:idx val="0"/>
          <c:order val="0"/>
          <c:spPr>
            <a:solidFill>
              <a:srgbClr val="C00000"/>
            </a:solidFill>
          </c:spPr>
          <c:dPt>
            <c:idx val="0"/>
            <c:spPr>
              <a:solidFill>
                <a:schemeClr val="accent6">
                  <a:lumMod val="75000"/>
                </a:schemeClr>
              </a:solidFill>
            </c:spPr>
          </c:dPt>
          <c:dPt>
            <c:idx val="1"/>
            <c:spPr>
              <a:solidFill>
                <a:srgbClr val="FFC000"/>
              </a:solidFill>
            </c:spPr>
          </c:dPt>
          <c:dLbls>
            <c:dLbl>
              <c:idx val="0"/>
              <c:layout>
                <c:manualLayout>
                  <c:x val="2.2222440944881877E-2"/>
                  <c:y val="-4.6296296296296523E-2"/>
                </c:manualLayout>
              </c:layout>
              <c:showVal val="1"/>
            </c:dLbl>
            <c:dLbl>
              <c:idx val="1"/>
              <c:layout>
                <c:manualLayout>
                  <c:x val="0"/>
                  <c:y val="-4.1666666666666664E-2"/>
                </c:manualLayout>
              </c:layout>
              <c:showVal val="1"/>
            </c:dLbl>
            <c:txPr>
              <a:bodyPr/>
              <a:lstStyle/>
              <a:p>
                <a:pPr>
                  <a:defRPr lang="en-US" sz="800"/>
                </a:pPr>
                <a:endParaRPr lang="en-US"/>
              </a:p>
            </c:txPr>
            <c:showVal val="1"/>
          </c:dLbls>
          <c:cat>
            <c:strRef>
              <c:f>Sheet1!$L$4:$M$4</c:f>
              <c:strCache>
                <c:ptCount val="2"/>
                <c:pt idx="0">
                  <c:v>tissue loss</c:v>
                </c:pt>
                <c:pt idx="1">
                  <c:v>Rest pain without tissue loss </c:v>
                </c:pt>
              </c:strCache>
            </c:strRef>
          </c:cat>
          <c:val>
            <c:numRef>
              <c:f>Sheet1!$L$5:$M$5</c:f>
              <c:numCache>
                <c:formatCode>0.00%</c:formatCode>
                <c:ptCount val="2"/>
                <c:pt idx="0">
                  <c:v>0.27500000000000002</c:v>
                </c:pt>
                <c:pt idx="1">
                  <c:v>0.72500000000000064</c:v>
                </c:pt>
              </c:numCache>
            </c:numRef>
          </c:val>
        </c:ser>
        <c:shape val="box"/>
        <c:axId val="45906944"/>
        <c:axId val="86147840"/>
        <c:axId val="0"/>
      </c:bar3DChart>
      <c:catAx>
        <c:axId val="45906944"/>
        <c:scaling>
          <c:orientation val="maxMin"/>
        </c:scaling>
        <c:axPos val="b"/>
        <c:tickLblPos val="nextTo"/>
        <c:txPr>
          <a:bodyPr/>
          <a:lstStyle/>
          <a:p>
            <a:pPr>
              <a:defRPr lang="en-US" sz="800"/>
            </a:pPr>
            <a:endParaRPr lang="en-US"/>
          </a:p>
        </c:txPr>
        <c:crossAx val="86147840"/>
        <c:crosses val="autoZero"/>
        <c:auto val="1"/>
        <c:lblAlgn val="ctr"/>
        <c:lblOffset val="100"/>
      </c:catAx>
      <c:valAx>
        <c:axId val="86147840"/>
        <c:scaling>
          <c:orientation val="minMax"/>
        </c:scaling>
        <c:axPos val="r"/>
        <c:majorGridlines/>
        <c:numFmt formatCode="0.00%" sourceLinked="1"/>
        <c:tickLblPos val="nextTo"/>
        <c:txPr>
          <a:bodyPr/>
          <a:lstStyle/>
          <a:p>
            <a:pPr>
              <a:defRPr lang="en-US" sz="800"/>
            </a:pPr>
            <a:endParaRPr lang="en-US"/>
          </a:p>
        </c:txPr>
        <c:crossAx val="45906944"/>
        <c:crosses val="autoZero"/>
        <c:crossBetween val="between"/>
      </c:valAx>
    </c:plotArea>
    <c:legend>
      <c:legendPos val="l"/>
      <c:layout>
        <c:manualLayout>
          <c:xMode val="edge"/>
          <c:yMode val="edge"/>
          <c:x val="1.6666666666666701E-2"/>
          <c:y val="0.36034339457567832"/>
          <c:w val="0.21086089238845143"/>
          <c:h val="0.39968358121901904"/>
        </c:manualLayout>
      </c:layout>
      <c:txPr>
        <a:bodyPr/>
        <a:lstStyle/>
        <a:p>
          <a:pPr>
            <a:defRPr lang="en-US" sz="800"/>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gradFill flip="none" rotWithShape="1">
              <a:gsLst>
                <a:gs pos="0">
                  <a:srgbClr val="000082"/>
                </a:gs>
                <a:gs pos="30000">
                  <a:srgbClr val="66008F"/>
                </a:gs>
                <a:gs pos="64999">
                  <a:srgbClr val="BA0066"/>
                </a:gs>
                <a:gs pos="89999">
                  <a:srgbClr val="FF0000"/>
                </a:gs>
                <a:gs pos="100000">
                  <a:srgbClr val="FF8200"/>
                </a:gs>
              </a:gsLst>
              <a:lin ang="5400000" scaled="0"/>
              <a:tileRect r="-100000" b="-100000"/>
            </a:gradFill>
          </c:spPr>
          <c:dPt>
            <c:idx val="1"/>
            <c:spPr>
              <a:solidFill>
                <a:schemeClr val="accent2">
                  <a:lumMod val="50000"/>
                </a:schemeClr>
              </a:solidFill>
            </c:spPr>
          </c:dPt>
          <c:dPt>
            <c:idx val="2"/>
            <c:spPr>
              <a:solidFill>
                <a:schemeClr val="accent6">
                  <a:lumMod val="75000"/>
                </a:schemeClr>
              </a:solidFill>
            </c:spPr>
          </c:dPt>
          <c:dLbls>
            <c:txPr>
              <a:bodyPr/>
              <a:lstStyle/>
              <a:p>
                <a:pPr>
                  <a:defRPr lang="en-US" sz="800"/>
                </a:pPr>
                <a:endParaRPr lang="en-US"/>
              </a:p>
            </c:txPr>
            <c:showVal val="1"/>
          </c:dLbls>
          <c:cat>
            <c:strRef>
              <c:f>Sheet1!$K$4:$M$4</c:f>
              <c:strCache>
                <c:ptCount val="3"/>
                <c:pt idx="0">
                  <c:v>distal SFA </c:v>
                </c:pt>
                <c:pt idx="1">
                  <c:v>middle SFA </c:v>
                </c:pt>
                <c:pt idx="2">
                  <c:v>proximal SFA</c:v>
                </c:pt>
              </c:strCache>
            </c:strRef>
          </c:cat>
          <c:val>
            <c:numRef>
              <c:f>Sheet1!$K$5:$M$5</c:f>
              <c:numCache>
                <c:formatCode>0.00%</c:formatCode>
                <c:ptCount val="3"/>
                <c:pt idx="0" formatCode="0%">
                  <c:v>0.30000000000000032</c:v>
                </c:pt>
                <c:pt idx="1">
                  <c:v>0.52500000000000002</c:v>
                </c:pt>
                <c:pt idx="2">
                  <c:v>0.17500000000000004</c:v>
                </c:pt>
              </c:numCache>
            </c:numRef>
          </c:val>
        </c:ser>
        <c:axId val="86234624"/>
        <c:axId val="86236160"/>
      </c:barChart>
      <c:catAx>
        <c:axId val="86234624"/>
        <c:scaling>
          <c:orientation val="maxMin"/>
        </c:scaling>
        <c:axPos val="b"/>
        <c:tickLblPos val="nextTo"/>
        <c:txPr>
          <a:bodyPr/>
          <a:lstStyle/>
          <a:p>
            <a:pPr>
              <a:defRPr lang="en-US" sz="800"/>
            </a:pPr>
            <a:endParaRPr lang="en-US"/>
          </a:p>
        </c:txPr>
        <c:crossAx val="86236160"/>
        <c:crosses val="autoZero"/>
        <c:auto val="1"/>
        <c:lblAlgn val="ctr"/>
        <c:lblOffset val="100"/>
      </c:catAx>
      <c:valAx>
        <c:axId val="86236160"/>
        <c:scaling>
          <c:orientation val="minMax"/>
        </c:scaling>
        <c:axPos val="r"/>
        <c:majorGridlines/>
        <c:numFmt formatCode="0%" sourceLinked="1"/>
        <c:tickLblPos val="nextTo"/>
        <c:txPr>
          <a:bodyPr/>
          <a:lstStyle/>
          <a:p>
            <a:pPr>
              <a:defRPr lang="en-US" sz="800"/>
            </a:pPr>
            <a:endParaRPr lang="en-US"/>
          </a:p>
        </c:txPr>
        <c:crossAx val="86234624"/>
        <c:crosses val="autoZero"/>
        <c:crossBetween val="between"/>
      </c:valAx>
    </c:plotArea>
    <c:legend>
      <c:legendPos val="l"/>
      <c:layout/>
      <c:txPr>
        <a:bodyPr/>
        <a:lstStyle/>
        <a:p>
          <a:pPr>
            <a:defRPr lang="en-US" sz="800"/>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A39F-DD1A-435F-8FDC-BD3A247E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6140</Words>
  <Characters>34630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Hamouda</dc:creator>
  <cp:lastModifiedBy>Administrator</cp:lastModifiedBy>
  <cp:revision>3</cp:revision>
  <dcterms:created xsi:type="dcterms:W3CDTF">2017-06-09T14:33:00Z</dcterms:created>
  <dcterms:modified xsi:type="dcterms:W3CDTF">2017-06-10T00:50:00Z</dcterms:modified>
</cp:coreProperties>
</file>